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BD7" w:rsidRPr="0032635B" w:rsidRDefault="00C92BD7" w:rsidP="00C92BD7">
      <w:pPr>
        <w:adjustRightInd w:val="0"/>
        <w:snapToGrid w:val="0"/>
        <w:spacing w:line="360" w:lineRule="auto"/>
        <w:rPr>
          <w:rFonts w:ascii="Book Antiqua" w:eastAsia="Times New Roman" w:hAnsi="Book Antiqua" w:cs="宋体"/>
          <w:b/>
          <w:i/>
          <w:color w:val="000000"/>
          <w:sz w:val="24"/>
          <w:szCs w:val="24"/>
        </w:rPr>
      </w:pPr>
      <w:bookmarkStart w:id="0" w:name="OLE_LINK545"/>
      <w:bookmarkStart w:id="1" w:name="OLE_LINK546"/>
      <w:r w:rsidRPr="0032635B">
        <w:rPr>
          <w:rFonts w:ascii="Book Antiqua" w:eastAsia="Times New Roman" w:hAnsi="Book Antiqua" w:cs="宋体"/>
          <w:b/>
          <w:color w:val="000000"/>
          <w:sz w:val="24"/>
          <w:szCs w:val="24"/>
        </w:rPr>
        <w:t xml:space="preserve">Name of journal: </w:t>
      </w:r>
      <w:bookmarkStart w:id="2" w:name="OLE_LINK718"/>
      <w:bookmarkStart w:id="3" w:name="OLE_LINK719"/>
      <w:bookmarkStart w:id="4" w:name="OLE_LINK645"/>
      <w:bookmarkStart w:id="5" w:name="OLE_LINK661"/>
      <w:bookmarkStart w:id="6" w:name="OLE_LINK1068"/>
      <w:r w:rsidRPr="0032635B">
        <w:rPr>
          <w:rFonts w:ascii="Book Antiqua" w:eastAsia="Times New Roman" w:hAnsi="Book Antiqua" w:cs="宋体"/>
          <w:b/>
          <w:i/>
          <w:color w:val="000000"/>
          <w:sz w:val="24"/>
          <w:szCs w:val="24"/>
        </w:rPr>
        <w:t xml:space="preserve">World Journal of </w:t>
      </w:r>
      <w:bookmarkStart w:id="7" w:name="OLE_LINK1222"/>
      <w:bookmarkStart w:id="8" w:name="OLE_LINK1223"/>
      <w:r w:rsidRPr="0032635B">
        <w:rPr>
          <w:rFonts w:ascii="Book Antiqua" w:eastAsia="Times New Roman" w:hAnsi="Book Antiqua" w:cs="宋体"/>
          <w:b/>
          <w:i/>
          <w:color w:val="000000"/>
          <w:sz w:val="24"/>
          <w:szCs w:val="24"/>
        </w:rPr>
        <w:t>Gastroenterology</w:t>
      </w:r>
      <w:bookmarkEnd w:id="2"/>
      <w:bookmarkEnd w:id="3"/>
      <w:bookmarkEnd w:id="4"/>
      <w:bookmarkEnd w:id="5"/>
      <w:bookmarkEnd w:id="6"/>
      <w:bookmarkEnd w:id="7"/>
      <w:bookmarkEnd w:id="8"/>
    </w:p>
    <w:p w:rsidR="00C92BD7" w:rsidRPr="0032635B" w:rsidRDefault="00C92BD7" w:rsidP="00C92BD7">
      <w:pPr>
        <w:adjustRightInd w:val="0"/>
        <w:snapToGrid w:val="0"/>
        <w:spacing w:line="360" w:lineRule="auto"/>
        <w:rPr>
          <w:rFonts w:ascii="Book Antiqua" w:eastAsia="宋体" w:hAnsi="Book Antiqua" w:cs="Arial"/>
          <w:color w:val="000000"/>
          <w:sz w:val="24"/>
          <w:szCs w:val="24"/>
          <w:lang w:val="en" w:eastAsia="zh-CN"/>
        </w:rPr>
      </w:pPr>
      <w:r w:rsidRPr="0032635B">
        <w:rPr>
          <w:rFonts w:ascii="Book Antiqua" w:hAnsi="Book Antiqua" w:cs="Arial"/>
          <w:b/>
          <w:color w:val="000000"/>
          <w:sz w:val="24"/>
          <w:szCs w:val="24"/>
          <w:lang w:val="en"/>
        </w:rPr>
        <w:t xml:space="preserve">ESPS Manuscript NO: </w:t>
      </w:r>
      <w:r w:rsidRPr="0032635B">
        <w:rPr>
          <w:rFonts w:ascii="Book Antiqua" w:eastAsia="宋体" w:hAnsi="Book Antiqua" w:cs="Arial"/>
          <w:b/>
          <w:color w:val="000000"/>
          <w:sz w:val="24"/>
          <w:szCs w:val="24"/>
          <w:lang w:val="en" w:eastAsia="zh-CN"/>
        </w:rPr>
        <w:t>24922</w:t>
      </w:r>
    </w:p>
    <w:p w:rsidR="00C92BD7" w:rsidRPr="0032635B" w:rsidRDefault="00C92BD7" w:rsidP="00C92BD7">
      <w:pPr>
        <w:spacing w:line="360" w:lineRule="auto"/>
        <w:rPr>
          <w:rFonts w:ascii="Book Antiqua" w:eastAsia="宋体" w:hAnsi="Book Antiqua"/>
          <w:b/>
          <w:sz w:val="24"/>
          <w:szCs w:val="24"/>
          <w:lang w:eastAsia="zh-CN"/>
        </w:rPr>
      </w:pPr>
      <w:r w:rsidRPr="0032635B">
        <w:rPr>
          <w:rFonts w:ascii="Book Antiqua" w:hAnsi="Book Antiqua"/>
          <w:b/>
          <w:sz w:val="24"/>
          <w:szCs w:val="24"/>
        </w:rPr>
        <w:t>Manuscript Type: ORIGINAL ARTICLE</w:t>
      </w:r>
    </w:p>
    <w:p w:rsidR="00C92BD7" w:rsidRPr="0032635B" w:rsidRDefault="00C92BD7" w:rsidP="00C92BD7">
      <w:pPr>
        <w:spacing w:line="360" w:lineRule="auto"/>
        <w:rPr>
          <w:rFonts w:ascii="Book Antiqua" w:eastAsia="宋体" w:hAnsi="Book Antiqua"/>
          <w:b/>
          <w:sz w:val="24"/>
          <w:szCs w:val="24"/>
          <w:lang w:eastAsia="zh-CN"/>
        </w:rPr>
      </w:pPr>
    </w:p>
    <w:bookmarkEnd w:id="0"/>
    <w:bookmarkEnd w:id="1"/>
    <w:p w:rsidR="00C92BD7" w:rsidRPr="0032635B" w:rsidRDefault="00C92BD7" w:rsidP="00C92BD7">
      <w:pPr>
        <w:spacing w:line="360" w:lineRule="auto"/>
        <w:rPr>
          <w:rFonts w:ascii="Book Antiqua" w:eastAsia="宋体" w:hAnsi="Book Antiqua" w:cs="Times New Roman"/>
          <w:b/>
          <w:i/>
          <w:sz w:val="24"/>
          <w:szCs w:val="24"/>
          <w:lang w:eastAsia="zh-CN"/>
        </w:rPr>
      </w:pPr>
      <w:r w:rsidRPr="0032635B">
        <w:rPr>
          <w:rFonts w:ascii="Book Antiqua" w:hAnsi="Book Antiqua" w:cs="Times New Roman"/>
          <w:b/>
          <w:i/>
          <w:sz w:val="24"/>
          <w:szCs w:val="24"/>
        </w:rPr>
        <w:t>Randomized Controlled Trial</w:t>
      </w:r>
    </w:p>
    <w:p w:rsidR="00EC3974" w:rsidRPr="0032635B" w:rsidRDefault="00E045D9" w:rsidP="00C92BD7">
      <w:pPr>
        <w:spacing w:line="360" w:lineRule="auto"/>
        <w:rPr>
          <w:rFonts w:ascii="Book Antiqua" w:hAnsi="Book Antiqua" w:cs="Times New Roman"/>
          <w:sz w:val="24"/>
          <w:szCs w:val="24"/>
        </w:rPr>
      </w:pPr>
      <w:r w:rsidRPr="0032635B">
        <w:rPr>
          <w:rFonts w:ascii="Book Antiqua" w:hAnsi="Book Antiqua" w:cs="Times New Roman"/>
          <w:b/>
          <w:sz w:val="24"/>
          <w:szCs w:val="24"/>
        </w:rPr>
        <w:t>R</w:t>
      </w:r>
      <w:r w:rsidR="00EC3974" w:rsidRPr="0032635B">
        <w:rPr>
          <w:rFonts w:ascii="Book Antiqua" w:hAnsi="Book Antiqua" w:cs="Times New Roman"/>
          <w:b/>
          <w:sz w:val="24"/>
          <w:szCs w:val="24"/>
        </w:rPr>
        <w:t xml:space="preserve">andomized study of </w:t>
      </w:r>
      <w:proofErr w:type="spellStart"/>
      <w:r w:rsidR="00EC3974" w:rsidRPr="0032635B">
        <w:rPr>
          <w:rFonts w:ascii="Book Antiqua" w:hAnsi="Book Antiqua" w:cs="Times New Roman"/>
          <w:b/>
          <w:sz w:val="24"/>
          <w:szCs w:val="24"/>
        </w:rPr>
        <w:t>lafutid</w:t>
      </w:r>
      <w:r w:rsidR="00160D09" w:rsidRPr="0032635B">
        <w:rPr>
          <w:rFonts w:ascii="Book Antiqua" w:hAnsi="Book Antiqua" w:cs="Times New Roman"/>
          <w:b/>
          <w:sz w:val="24"/>
          <w:szCs w:val="24"/>
        </w:rPr>
        <w:t>ine</w:t>
      </w:r>
      <w:proofErr w:type="spellEnd"/>
      <w:r w:rsidR="00160D09" w:rsidRPr="0032635B">
        <w:rPr>
          <w:rFonts w:ascii="Book Antiqua" w:hAnsi="Book Antiqua" w:cs="Times New Roman"/>
          <w:b/>
          <w:sz w:val="24"/>
          <w:szCs w:val="24"/>
        </w:rPr>
        <w:t xml:space="preserve"> </w:t>
      </w:r>
      <w:proofErr w:type="spellStart"/>
      <w:r w:rsidRPr="0032635B">
        <w:rPr>
          <w:rFonts w:ascii="Book Antiqua" w:hAnsi="Book Antiqua" w:cs="Times New Roman"/>
          <w:b/>
          <w:i/>
          <w:sz w:val="24"/>
          <w:szCs w:val="24"/>
        </w:rPr>
        <w:t>vs</w:t>
      </w:r>
      <w:proofErr w:type="spellEnd"/>
      <w:r w:rsidR="00160D09" w:rsidRPr="0032635B">
        <w:rPr>
          <w:rFonts w:ascii="Book Antiqua" w:hAnsi="Book Antiqua" w:cs="Times New Roman"/>
          <w:b/>
          <w:sz w:val="24"/>
          <w:szCs w:val="24"/>
        </w:rPr>
        <w:t xml:space="preserve"> </w:t>
      </w:r>
      <w:proofErr w:type="spellStart"/>
      <w:r w:rsidR="00160D09" w:rsidRPr="0032635B">
        <w:rPr>
          <w:rFonts w:ascii="Book Antiqua" w:hAnsi="Book Antiqua" w:cs="Times New Roman"/>
          <w:b/>
          <w:sz w:val="24"/>
          <w:szCs w:val="24"/>
        </w:rPr>
        <w:t>lansopr</w:t>
      </w:r>
      <w:r w:rsidR="00EC3974" w:rsidRPr="0032635B">
        <w:rPr>
          <w:rFonts w:ascii="Book Antiqua" w:hAnsi="Book Antiqua" w:cs="Times New Roman"/>
          <w:b/>
          <w:sz w:val="24"/>
          <w:szCs w:val="24"/>
        </w:rPr>
        <w:t>azole</w:t>
      </w:r>
      <w:proofErr w:type="spellEnd"/>
      <w:r w:rsidR="006E6FEF" w:rsidRPr="0032635B">
        <w:rPr>
          <w:rFonts w:ascii="Book Antiqua" w:hAnsi="Book Antiqua" w:cs="Times New Roman"/>
          <w:b/>
          <w:sz w:val="24"/>
          <w:szCs w:val="24"/>
        </w:rPr>
        <w:t xml:space="preserve"> in </w:t>
      </w:r>
      <w:r w:rsidRPr="0032635B">
        <w:rPr>
          <w:rFonts w:ascii="Book Antiqua" w:hAnsi="Book Antiqua" w:cs="Times New Roman"/>
          <w:b/>
          <w:sz w:val="24"/>
          <w:szCs w:val="24"/>
        </w:rPr>
        <w:t xml:space="preserve">patients with </w:t>
      </w:r>
      <w:r w:rsidR="006E6FEF" w:rsidRPr="0032635B">
        <w:rPr>
          <w:rFonts w:ascii="Book Antiqua" w:hAnsi="Book Antiqua" w:cs="Times New Roman"/>
          <w:b/>
          <w:sz w:val="24"/>
          <w:szCs w:val="24"/>
        </w:rPr>
        <w:t xml:space="preserve">mild </w:t>
      </w:r>
      <w:proofErr w:type="spellStart"/>
      <w:r w:rsidR="006E6FEF" w:rsidRPr="0032635B">
        <w:rPr>
          <w:rFonts w:ascii="Book Antiqua" w:hAnsi="Book Antiqua" w:cs="Times New Roman"/>
          <w:b/>
          <w:sz w:val="24"/>
          <w:szCs w:val="24"/>
        </w:rPr>
        <w:t>gastroesophageal</w:t>
      </w:r>
      <w:proofErr w:type="spellEnd"/>
      <w:r w:rsidR="006E6FEF" w:rsidRPr="0032635B">
        <w:rPr>
          <w:rFonts w:ascii="Book Antiqua" w:hAnsi="Book Antiqua" w:cs="Times New Roman"/>
          <w:b/>
          <w:sz w:val="24"/>
          <w:szCs w:val="24"/>
        </w:rPr>
        <w:t xml:space="preserve"> reflux di</w:t>
      </w:r>
      <w:bookmarkStart w:id="9" w:name="_GoBack"/>
      <w:bookmarkEnd w:id="9"/>
      <w:r w:rsidR="006E6FEF" w:rsidRPr="0032635B">
        <w:rPr>
          <w:rFonts w:ascii="Book Antiqua" w:hAnsi="Book Antiqua" w:cs="Times New Roman"/>
          <w:b/>
          <w:sz w:val="24"/>
          <w:szCs w:val="24"/>
        </w:rPr>
        <w:t>sease</w:t>
      </w:r>
    </w:p>
    <w:p w:rsidR="00EC3974" w:rsidRPr="0032635B" w:rsidRDefault="00EC3974" w:rsidP="00C92BD7">
      <w:pPr>
        <w:widowControl/>
        <w:spacing w:line="360" w:lineRule="auto"/>
        <w:rPr>
          <w:rFonts w:ascii="Book Antiqua" w:hAnsi="Book Antiqua" w:cs="Times New Roman"/>
          <w:sz w:val="24"/>
          <w:szCs w:val="24"/>
        </w:rPr>
      </w:pPr>
    </w:p>
    <w:p w:rsidR="00F0474A" w:rsidRPr="0032635B" w:rsidRDefault="00C92BD7" w:rsidP="00C92BD7">
      <w:pPr>
        <w:widowControl/>
        <w:spacing w:line="360" w:lineRule="auto"/>
        <w:rPr>
          <w:rFonts w:ascii="Book Antiqua" w:hAnsi="Book Antiqua" w:cs="Times New Roman"/>
          <w:sz w:val="24"/>
          <w:szCs w:val="24"/>
        </w:rPr>
      </w:pPr>
      <w:proofErr w:type="spellStart"/>
      <w:r w:rsidRPr="0032635B">
        <w:rPr>
          <w:rFonts w:ascii="Book Antiqua" w:hAnsi="Book Antiqua"/>
          <w:sz w:val="24"/>
          <w:szCs w:val="24"/>
        </w:rPr>
        <w:t>Takenaka</w:t>
      </w:r>
      <w:proofErr w:type="spellEnd"/>
      <w:r w:rsidRPr="0032635B">
        <w:rPr>
          <w:rFonts w:ascii="Book Antiqua" w:hAnsi="Book Antiqua" w:cs="Times New Roman"/>
          <w:sz w:val="24"/>
          <w:szCs w:val="24"/>
        </w:rPr>
        <w:t xml:space="preserve"> </w:t>
      </w:r>
      <w:r w:rsidRPr="0032635B">
        <w:rPr>
          <w:rFonts w:ascii="Book Antiqua" w:eastAsia="宋体" w:hAnsi="Book Antiqua" w:cs="Times New Roman"/>
          <w:sz w:val="24"/>
          <w:szCs w:val="24"/>
          <w:lang w:eastAsia="zh-CN"/>
        </w:rPr>
        <w:t>R</w:t>
      </w:r>
      <w:r w:rsidRPr="0032635B">
        <w:rPr>
          <w:rFonts w:ascii="Book Antiqua" w:eastAsia="宋体" w:hAnsi="Book Antiqua" w:cs="Times New Roman"/>
          <w:i/>
          <w:sz w:val="24"/>
          <w:szCs w:val="24"/>
          <w:lang w:eastAsia="zh-CN"/>
        </w:rPr>
        <w:t xml:space="preserve"> et al.</w:t>
      </w:r>
      <w:r w:rsidRPr="0032635B">
        <w:rPr>
          <w:rFonts w:ascii="Book Antiqua" w:eastAsia="宋体" w:hAnsi="Book Antiqua" w:cs="Times New Roman"/>
          <w:sz w:val="24"/>
          <w:szCs w:val="24"/>
          <w:lang w:eastAsia="zh-CN"/>
        </w:rPr>
        <w:t xml:space="preserve"> </w:t>
      </w:r>
      <w:proofErr w:type="spellStart"/>
      <w:r w:rsidRPr="0032635B">
        <w:rPr>
          <w:rFonts w:ascii="Book Antiqua" w:hAnsi="Book Antiqua" w:cs="Times New Roman"/>
          <w:sz w:val="24"/>
          <w:szCs w:val="24"/>
        </w:rPr>
        <w:t>Lafutidine</w:t>
      </w:r>
      <w:proofErr w:type="spellEnd"/>
      <w:r w:rsidRPr="0032635B">
        <w:rPr>
          <w:rFonts w:ascii="Book Antiqua" w:hAnsi="Book Antiqua" w:cs="Times New Roman"/>
          <w:sz w:val="24"/>
          <w:szCs w:val="24"/>
        </w:rPr>
        <w:t xml:space="preserve"> </w:t>
      </w:r>
      <w:proofErr w:type="spellStart"/>
      <w:r w:rsidR="00F0474A" w:rsidRPr="0032635B">
        <w:rPr>
          <w:rFonts w:ascii="Book Antiqua" w:hAnsi="Book Antiqua" w:cs="Times New Roman"/>
          <w:i/>
          <w:sz w:val="24"/>
          <w:szCs w:val="24"/>
        </w:rPr>
        <w:t>vs</w:t>
      </w:r>
      <w:proofErr w:type="spellEnd"/>
      <w:r w:rsidR="00F0474A" w:rsidRPr="0032635B">
        <w:rPr>
          <w:rFonts w:ascii="Book Antiqua" w:hAnsi="Book Antiqua" w:cs="Times New Roman"/>
          <w:sz w:val="24"/>
          <w:szCs w:val="24"/>
        </w:rPr>
        <w:t xml:space="preserve"> </w:t>
      </w:r>
      <w:proofErr w:type="spellStart"/>
      <w:r w:rsidR="00F0474A" w:rsidRPr="0032635B">
        <w:rPr>
          <w:rFonts w:ascii="Book Antiqua" w:hAnsi="Book Antiqua" w:cs="Times New Roman"/>
          <w:sz w:val="24"/>
          <w:szCs w:val="24"/>
        </w:rPr>
        <w:t>lansoprazole</w:t>
      </w:r>
      <w:proofErr w:type="spellEnd"/>
      <w:r w:rsidR="00F0474A" w:rsidRPr="0032635B">
        <w:rPr>
          <w:rFonts w:ascii="Book Antiqua" w:hAnsi="Book Antiqua" w:cs="Times New Roman"/>
          <w:sz w:val="24"/>
          <w:szCs w:val="24"/>
        </w:rPr>
        <w:t xml:space="preserve"> in mild GERD</w:t>
      </w:r>
    </w:p>
    <w:p w:rsidR="00F0474A" w:rsidRPr="0032635B" w:rsidRDefault="00F0474A" w:rsidP="00C92BD7">
      <w:pPr>
        <w:widowControl/>
        <w:spacing w:line="360" w:lineRule="auto"/>
        <w:rPr>
          <w:rFonts w:ascii="Book Antiqua" w:hAnsi="Book Antiqua" w:cs="Times New Roman"/>
          <w:sz w:val="24"/>
          <w:szCs w:val="24"/>
        </w:rPr>
      </w:pPr>
    </w:p>
    <w:p w:rsidR="00147A64" w:rsidRPr="00330DCE" w:rsidRDefault="00147A64" w:rsidP="00C92BD7">
      <w:pPr>
        <w:widowControl/>
        <w:spacing w:line="360" w:lineRule="auto"/>
        <w:rPr>
          <w:rFonts w:ascii="Book Antiqua" w:hAnsi="Book Antiqua"/>
          <w:sz w:val="24"/>
          <w:szCs w:val="24"/>
        </w:rPr>
      </w:pPr>
      <w:proofErr w:type="spellStart"/>
      <w:r w:rsidRPr="00330DCE">
        <w:rPr>
          <w:rFonts w:ascii="Book Antiqua" w:hAnsi="Book Antiqua"/>
          <w:sz w:val="24"/>
          <w:szCs w:val="24"/>
        </w:rPr>
        <w:t>Ryuta</w:t>
      </w:r>
      <w:proofErr w:type="spellEnd"/>
      <w:r w:rsidRPr="00330DCE">
        <w:rPr>
          <w:rFonts w:ascii="Book Antiqua" w:hAnsi="Book Antiqua"/>
          <w:sz w:val="24"/>
          <w:szCs w:val="24"/>
        </w:rPr>
        <w:t xml:space="preserve"> </w:t>
      </w:r>
      <w:proofErr w:type="spellStart"/>
      <w:r w:rsidRPr="00330DCE">
        <w:rPr>
          <w:rFonts w:ascii="Book Antiqua" w:hAnsi="Book Antiqua"/>
          <w:sz w:val="24"/>
          <w:szCs w:val="24"/>
        </w:rPr>
        <w:t>Takenaka</w:t>
      </w:r>
      <w:proofErr w:type="spellEnd"/>
      <w:r w:rsidRPr="00330DCE">
        <w:rPr>
          <w:rFonts w:ascii="Book Antiqua" w:hAnsi="Book Antiqua"/>
          <w:sz w:val="24"/>
          <w:szCs w:val="24"/>
        </w:rPr>
        <w:t>, Hiroyuki Okada</w:t>
      </w:r>
      <w:r w:rsidR="003E0E82" w:rsidRPr="00330DCE">
        <w:rPr>
          <w:rFonts w:ascii="Book Antiqua" w:hAnsi="Book Antiqua"/>
          <w:sz w:val="24"/>
          <w:szCs w:val="24"/>
        </w:rPr>
        <w:t xml:space="preserve">, </w:t>
      </w:r>
      <w:r w:rsidR="006C709A" w:rsidRPr="00330DCE">
        <w:rPr>
          <w:rFonts w:ascii="Book Antiqua" w:hAnsi="Book Antiqua"/>
          <w:sz w:val="24"/>
          <w:szCs w:val="24"/>
        </w:rPr>
        <w:t xml:space="preserve">Seiji Kawano, Yoshinori </w:t>
      </w:r>
      <w:proofErr w:type="spellStart"/>
      <w:r w:rsidR="006C709A" w:rsidRPr="00330DCE">
        <w:rPr>
          <w:rFonts w:ascii="Book Antiqua" w:hAnsi="Book Antiqua"/>
          <w:sz w:val="24"/>
          <w:szCs w:val="24"/>
        </w:rPr>
        <w:t>Komazawa</w:t>
      </w:r>
      <w:proofErr w:type="spellEnd"/>
      <w:r w:rsidR="006C709A" w:rsidRPr="00330DCE">
        <w:rPr>
          <w:rFonts w:ascii="Book Antiqua" w:hAnsi="Book Antiqua"/>
          <w:sz w:val="24"/>
          <w:szCs w:val="24"/>
        </w:rPr>
        <w:t xml:space="preserve">, Fumiya </w:t>
      </w:r>
      <w:proofErr w:type="spellStart"/>
      <w:r w:rsidR="006C709A" w:rsidRPr="00330DCE">
        <w:rPr>
          <w:rFonts w:ascii="Book Antiqua" w:hAnsi="Book Antiqua"/>
          <w:sz w:val="24"/>
          <w:szCs w:val="24"/>
        </w:rPr>
        <w:t>Yoshinaga</w:t>
      </w:r>
      <w:proofErr w:type="spellEnd"/>
      <w:r w:rsidR="006C709A" w:rsidRPr="00330DCE">
        <w:rPr>
          <w:rFonts w:ascii="Book Antiqua" w:hAnsi="Book Antiqua"/>
          <w:sz w:val="24"/>
          <w:szCs w:val="24"/>
        </w:rPr>
        <w:t xml:space="preserve">, Shinji Nagata, </w:t>
      </w:r>
      <w:proofErr w:type="spellStart"/>
      <w:r w:rsidR="006C709A" w:rsidRPr="00330DCE">
        <w:rPr>
          <w:rFonts w:ascii="Book Antiqua" w:hAnsi="Book Antiqua"/>
          <w:sz w:val="24"/>
          <w:szCs w:val="24"/>
        </w:rPr>
        <w:t>Masafumi</w:t>
      </w:r>
      <w:proofErr w:type="spellEnd"/>
      <w:r w:rsidR="006C709A" w:rsidRPr="00330DCE">
        <w:rPr>
          <w:rFonts w:ascii="Book Antiqua" w:hAnsi="Book Antiqua"/>
          <w:sz w:val="24"/>
          <w:szCs w:val="24"/>
        </w:rPr>
        <w:t xml:space="preserve"> Inoue, </w:t>
      </w:r>
      <w:r w:rsidR="00ED2017" w:rsidRPr="00330DCE">
        <w:rPr>
          <w:rFonts w:ascii="Book Antiqua" w:hAnsi="Book Antiqua"/>
          <w:sz w:val="24"/>
          <w:szCs w:val="24"/>
        </w:rPr>
        <w:t xml:space="preserve">Hirohisa Komatsu, Seiji </w:t>
      </w:r>
      <w:proofErr w:type="spellStart"/>
      <w:r w:rsidR="00ED2017" w:rsidRPr="00330DCE">
        <w:rPr>
          <w:rFonts w:ascii="Book Antiqua" w:hAnsi="Book Antiqua"/>
          <w:sz w:val="24"/>
          <w:szCs w:val="24"/>
        </w:rPr>
        <w:t>Onogawa</w:t>
      </w:r>
      <w:proofErr w:type="spellEnd"/>
      <w:r w:rsidR="00ED2017" w:rsidRPr="00330DCE">
        <w:rPr>
          <w:rFonts w:ascii="Book Antiqua" w:hAnsi="Book Antiqua"/>
          <w:sz w:val="24"/>
          <w:szCs w:val="24"/>
        </w:rPr>
        <w:t xml:space="preserve">, </w:t>
      </w:r>
      <w:r w:rsidR="006C709A" w:rsidRPr="00330DCE">
        <w:rPr>
          <w:rFonts w:ascii="Book Antiqua" w:hAnsi="Book Antiqua"/>
          <w:sz w:val="24"/>
          <w:szCs w:val="24"/>
        </w:rPr>
        <w:t xml:space="preserve">Yoshinori </w:t>
      </w:r>
      <w:proofErr w:type="spellStart"/>
      <w:r w:rsidR="006C709A" w:rsidRPr="00330DCE">
        <w:rPr>
          <w:rFonts w:ascii="Book Antiqua" w:hAnsi="Book Antiqua"/>
          <w:sz w:val="24"/>
          <w:szCs w:val="24"/>
        </w:rPr>
        <w:t>Kushiyama</w:t>
      </w:r>
      <w:proofErr w:type="spellEnd"/>
      <w:r w:rsidR="006C709A" w:rsidRPr="00330DCE">
        <w:rPr>
          <w:rFonts w:ascii="Book Antiqua" w:hAnsi="Book Antiqua"/>
          <w:sz w:val="24"/>
          <w:szCs w:val="24"/>
        </w:rPr>
        <w:t xml:space="preserve">, </w:t>
      </w:r>
      <w:r w:rsidR="00D11390" w:rsidRPr="00330DCE">
        <w:rPr>
          <w:rFonts w:ascii="Book Antiqua" w:hAnsi="Book Antiqua"/>
          <w:sz w:val="24"/>
          <w:szCs w:val="24"/>
        </w:rPr>
        <w:t>Shin</w:t>
      </w:r>
      <w:r w:rsidR="00ED2017" w:rsidRPr="00330DCE">
        <w:rPr>
          <w:rFonts w:ascii="Book Antiqua" w:hAnsi="Book Antiqua"/>
          <w:sz w:val="24"/>
          <w:szCs w:val="24"/>
        </w:rPr>
        <w:t xml:space="preserve">ichi </w:t>
      </w:r>
      <w:proofErr w:type="spellStart"/>
      <w:r w:rsidR="00ED2017" w:rsidRPr="00330DCE">
        <w:rPr>
          <w:rFonts w:ascii="Book Antiqua" w:hAnsi="Book Antiqua"/>
          <w:sz w:val="24"/>
          <w:szCs w:val="24"/>
        </w:rPr>
        <w:t>Mukai</w:t>
      </w:r>
      <w:proofErr w:type="spellEnd"/>
      <w:r w:rsidR="00ED2017" w:rsidRPr="00330DCE">
        <w:rPr>
          <w:rFonts w:ascii="Book Antiqua" w:hAnsi="Book Antiqua"/>
          <w:sz w:val="24"/>
          <w:szCs w:val="24"/>
        </w:rPr>
        <w:t xml:space="preserve">, </w:t>
      </w:r>
      <w:r w:rsidR="002B002C" w:rsidRPr="00330DCE">
        <w:rPr>
          <w:rFonts w:ascii="Book Antiqua" w:hAnsi="Book Antiqua"/>
          <w:sz w:val="24"/>
          <w:szCs w:val="24"/>
        </w:rPr>
        <w:t>Hiroko</w:t>
      </w:r>
      <w:r w:rsidR="00ED2017" w:rsidRPr="00330DCE">
        <w:rPr>
          <w:rFonts w:ascii="Book Antiqua" w:hAnsi="Book Antiqua"/>
          <w:sz w:val="24"/>
          <w:szCs w:val="24"/>
        </w:rPr>
        <w:t xml:space="preserve"> </w:t>
      </w:r>
      <w:proofErr w:type="spellStart"/>
      <w:r w:rsidR="00ED2017" w:rsidRPr="00330DCE">
        <w:rPr>
          <w:rFonts w:ascii="Book Antiqua" w:hAnsi="Book Antiqua"/>
          <w:sz w:val="24"/>
          <w:szCs w:val="24"/>
        </w:rPr>
        <w:t>Todo</w:t>
      </w:r>
      <w:proofErr w:type="spellEnd"/>
      <w:r w:rsidR="00ED2017" w:rsidRPr="00330DCE">
        <w:rPr>
          <w:rFonts w:ascii="Book Antiqua" w:hAnsi="Book Antiqua"/>
          <w:sz w:val="24"/>
          <w:szCs w:val="24"/>
        </w:rPr>
        <w:t xml:space="preserve">, </w:t>
      </w:r>
      <w:proofErr w:type="spellStart"/>
      <w:r w:rsidR="00ED2017" w:rsidRPr="00330DCE">
        <w:rPr>
          <w:rFonts w:ascii="Book Antiqua" w:hAnsi="Book Antiqua"/>
          <w:sz w:val="24"/>
          <w:szCs w:val="24"/>
        </w:rPr>
        <w:t>Hideharu</w:t>
      </w:r>
      <w:proofErr w:type="spellEnd"/>
      <w:r w:rsidR="00ED2017" w:rsidRPr="00330DCE">
        <w:rPr>
          <w:rFonts w:ascii="Book Antiqua" w:hAnsi="Book Antiqua"/>
          <w:sz w:val="24"/>
          <w:szCs w:val="24"/>
        </w:rPr>
        <w:t xml:space="preserve"> </w:t>
      </w:r>
      <w:proofErr w:type="spellStart"/>
      <w:r w:rsidR="00ED2017" w:rsidRPr="00330DCE">
        <w:rPr>
          <w:rFonts w:ascii="Book Antiqua" w:hAnsi="Book Antiqua"/>
          <w:sz w:val="24"/>
          <w:szCs w:val="24"/>
        </w:rPr>
        <w:t>Okanobu</w:t>
      </w:r>
      <w:proofErr w:type="spellEnd"/>
      <w:r w:rsidR="00ED2017" w:rsidRPr="00330DCE">
        <w:rPr>
          <w:rFonts w:ascii="Book Antiqua" w:hAnsi="Book Antiqua"/>
          <w:sz w:val="24"/>
          <w:szCs w:val="24"/>
        </w:rPr>
        <w:t xml:space="preserve">, </w:t>
      </w:r>
      <w:proofErr w:type="spellStart"/>
      <w:r w:rsidR="00ED2017" w:rsidRPr="00330DCE">
        <w:rPr>
          <w:rFonts w:ascii="Book Antiqua" w:hAnsi="Book Antiqua"/>
          <w:sz w:val="24"/>
          <w:szCs w:val="24"/>
        </w:rPr>
        <w:t>Noriaki</w:t>
      </w:r>
      <w:proofErr w:type="spellEnd"/>
      <w:r w:rsidR="00ED2017" w:rsidRPr="00330DCE">
        <w:rPr>
          <w:rFonts w:ascii="Book Antiqua" w:hAnsi="Book Antiqua"/>
          <w:sz w:val="24"/>
          <w:szCs w:val="24"/>
        </w:rPr>
        <w:t xml:space="preserve"> </w:t>
      </w:r>
      <w:proofErr w:type="spellStart"/>
      <w:r w:rsidR="00ED2017" w:rsidRPr="00330DCE">
        <w:rPr>
          <w:rFonts w:ascii="Book Antiqua" w:hAnsi="Book Antiqua"/>
          <w:sz w:val="24"/>
          <w:szCs w:val="24"/>
        </w:rPr>
        <w:t>Manabe</w:t>
      </w:r>
      <w:proofErr w:type="spellEnd"/>
      <w:r w:rsidR="00ED2017" w:rsidRPr="00330DCE">
        <w:rPr>
          <w:rFonts w:ascii="Book Antiqua" w:hAnsi="Book Antiqua"/>
          <w:sz w:val="24"/>
          <w:szCs w:val="24"/>
        </w:rPr>
        <w:t xml:space="preserve">, </w:t>
      </w:r>
      <w:r w:rsidR="003E0E82" w:rsidRPr="00330DCE">
        <w:rPr>
          <w:rFonts w:ascii="Book Antiqua" w:hAnsi="Book Antiqua"/>
          <w:sz w:val="24"/>
          <w:szCs w:val="24"/>
        </w:rPr>
        <w:t xml:space="preserve">Shinji Tanaka, Ken </w:t>
      </w:r>
      <w:proofErr w:type="spellStart"/>
      <w:r w:rsidR="003E0E82" w:rsidRPr="00330DCE">
        <w:rPr>
          <w:rFonts w:ascii="Book Antiqua" w:hAnsi="Book Antiqua"/>
          <w:sz w:val="24"/>
          <w:szCs w:val="24"/>
        </w:rPr>
        <w:t>Haruma</w:t>
      </w:r>
      <w:proofErr w:type="spellEnd"/>
      <w:r w:rsidR="006D2B5D" w:rsidRPr="00330DCE">
        <w:rPr>
          <w:rFonts w:ascii="Book Antiqua" w:hAnsi="Book Antiqua"/>
          <w:sz w:val="24"/>
          <w:szCs w:val="24"/>
        </w:rPr>
        <w:t xml:space="preserve"> and</w:t>
      </w:r>
      <w:r w:rsidR="006C709A" w:rsidRPr="00330DCE">
        <w:rPr>
          <w:rFonts w:ascii="Book Antiqua" w:hAnsi="Book Antiqua"/>
          <w:sz w:val="24"/>
          <w:szCs w:val="24"/>
        </w:rPr>
        <w:t xml:space="preserve"> Yoshikazu Kinoshita</w:t>
      </w:r>
    </w:p>
    <w:p w:rsidR="00147A64" w:rsidRPr="0032635B" w:rsidRDefault="00147A64" w:rsidP="00C92BD7">
      <w:pPr>
        <w:widowControl/>
        <w:spacing w:line="360" w:lineRule="auto"/>
        <w:rPr>
          <w:rFonts w:ascii="Book Antiqua" w:hAnsi="Book Antiqua"/>
          <w:sz w:val="24"/>
          <w:szCs w:val="24"/>
        </w:rPr>
      </w:pPr>
    </w:p>
    <w:p w:rsidR="00C92BD7" w:rsidRPr="0032635B" w:rsidRDefault="00F0474A" w:rsidP="00C92BD7">
      <w:pPr>
        <w:widowControl/>
        <w:spacing w:line="360" w:lineRule="auto"/>
        <w:rPr>
          <w:rFonts w:ascii="Book Antiqua" w:eastAsia="宋体" w:hAnsi="Book Antiqua" w:cs="Times New Roman"/>
          <w:sz w:val="24"/>
          <w:szCs w:val="24"/>
          <w:lang w:eastAsia="zh-CN"/>
        </w:rPr>
      </w:pPr>
      <w:proofErr w:type="spellStart"/>
      <w:r w:rsidRPr="0032635B">
        <w:rPr>
          <w:rFonts w:ascii="Book Antiqua" w:hAnsi="Book Antiqua"/>
          <w:b/>
          <w:sz w:val="24"/>
          <w:szCs w:val="24"/>
        </w:rPr>
        <w:t>Ryuta</w:t>
      </w:r>
      <w:proofErr w:type="spellEnd"/>
      <w:r w:rsidRPr="0032635B">
        <w:rPr>
          <w:rFonts w:ascii="Book Antiqua" w:hAnsi="Book Antiqua"/>
          <w:b/>
          <w:sz w:val="24"/>
          <w:szCs w:val="24"/>
        </w:rPr>
        <w:t xml:space="preserve"> </w:t>
      </w:r>
      <w:proofErr w:type="spellStart"/>
      <w:r w:rsidRPr="0032635B">
        <w:rPr>
          <w:rFonts w:ascii="Book Antiqua" w:hAnsi="Book Antiqua"/>
          <w:b/>
          <w:sz w:val="24"/>
          <w:szCs w:val="24"/>
        </w:rPr>
        <w:t>Takenaka</w:t>
      </w:r>
      <w:proofErr w:type="spellEnd"/>
      <w:r w:rsidRPr="0032635B">
        <w:rPr>
          <w:rFonts w:ascii="Book Antiqua" w:hAnsi="Book Antiqua" w:cs="Times New Roman"/>
          <w:sz w:val="24"/>
          <w:szCs w:val="24"/>
        </w:rPr>
        <w:t xml:space="preserve">, </w:t>
      </w:r>
      <w:r w:rsidR="00147A64" w:rsidRPr="0032635B">
        <w:rPr>
          <w:rFonts w:ascii="Book Antiqua" w:hAnsi="Book Antiqua" w:cs="Times New Roman"/>
          <w:sz w:val="24"/>
          <w:szCs w:val="24"/>
        </w:rPr>
        <w:t>Department of Gastroenterology,</w:t>
      </w:r>
      <w:r w:rsidR="00BE0A24" w:rsidRPr="0032635B">
        <w:rPr>
          <w:rFonts w:ascii="Book Antiqua" w:hAnsi="Book Antiqua" w:cs="Times New Roman"/>
          <w:sz w:val="24"/>
          <w:szCs w:val="24"/>
        </w:rPr>
        <w:t xml:space="preserve"> </w:t>
      </w:r>
      <w:proofErr w:type="spellStart"/>
      <w:r w:rsidR="00BE0A24" w:rsidRPr="0032635B">
        <w:rPr>
          <w:rFonts w:ascii="Book Antiqua" w:hAnsi="Book Antiqua" w:cs="Times New Roman"/>
          <w:sz w:val="24"/>
          <w:szCs w:val="24"/>
        </w:rPr>
        <w:t>Tsuyama</w:t>
      </w:r>
      <w:proofErr w:type="spellEnd"/>
      <w:r w:rsidR="00BE0A24" w:rsidRPr="0032635B">
        <w:rPr>
          <w:rFonts w:ascii="Book Antiqua" w:hAnsi="Book Antiqua" w:cs="Times New Roman"/>
          <w:sz w:val="24"/>
          <w:szCs w:val="24"/>
        </w:rPr>
        <w:t xml:space="preserve"> Chuo Hospital, </w:t>
      </w:r>
      <w:proofErr w:type="spellStart"/>
      <w:r w:rsidR="00BE0A24" w:rsidRPr="0032635B">
        <w:rPr>
          <w:rFonts w:ascii="Book Antiqua" w:hAnsi="Book Antiqua" w:cs="Times New Roman"/>
          <w:sz w:val="24"/>
          <w:szCs w:val="24"/>
        </w:rPr>
        <w:t>Tsuyama</w:t>
      </w:r>
      <w:proofErr w:type="spellEnd"/>
      <w:r w:rsidR="00D0486C" w:rsidRPr="0032635B">
        <w:rPr>
          <w:rFonts w:ascii="Book Antiqua" w:hAnsi="Book Antiqua"/>
          <w:sz w:val="24"/>
          <w:szCs w:val="24"/>
        </w:rPr>
        <w:t xml:space="preserve"> </w:t>
      </w:r>
      <w:r w:rsidR="00D0486C" w:rsidRPr="0032635B">
        <w:rPr>
          <w:rFonts w:ascii="Book Antiqua" w:hAnsi="Book Antiqua" w:cs="Times New Roman"/>
          <w:sz w:val="24"/>
          <w:szCs w:val="24"/>
        </w:rPr>
        <w:t>708-0841</w:t>
      </w:r>
      <w:r w:rsidR="00C92BD7" w:rsidRPr="0032635B">
        <w:rPr>
          <w:rFonts w:ascii="Book Antiqua" w:hAnsi="Book Antiqua" w:cs="Times New Roman"/>
          <w:sz w:val="24"/>
          <w:szCs w:val="24"/>
        </w:rPr>
        <w:t>, Japan</w:t>
      </w:r>
    </w:p>
    <w:p w:rsidR="00C92BD7" w:rsidRPr="0032635B" w:rsidRDefault="00C92BD7" w:rsidP="00C92BD7">
      <w:pPr>
        <w:widowControl/>
        <w:spacing w:line="360" w:lineRule="auto"/>
        <w:rPr>
          <w:rFonts w:ascii="Book Antiqua" w:eastAsia="宋体" w:hAnsi="Book Antiqua" w:cs="Times New Roman"/>
          <w:sz w:val="24"/>
          <w:szCs w:val="24"/>
          <w:lang w:eastAsia="zh-CN"/>
        </w:rPr>
      </w:pPr>
    </w:p>
    <w:p w:rsidR="008D4846" w:rsidRPr="0032635B" w:rsidRDefault="00F0474A" w:rsidP="00C92BD7">
      <w:pPr>
        <w:widowControl/>
        <w:spacing w:line="360" w:lineRule="auto"/>
        <w:rPr>
          <w:rFonts w:ascii="Book Antiqua" w:eastAsia="宋体" w:hAnsi="Book Antiqua" w:cs="Times New Roman"/>
          <w:kern w:val="0"/>
          <w:sz w:val="24"/>
          <w:szCs w:val="24"/>
          <w:lang w:eastAsia="zh-CN"/>
        </w:rPr>
      </w:pPr>
      <w:r w:rsidRPr="0032635B">
        <w:rPr>
          <w:rFonts w:ascii="Book Antiqua" w:hAnsi="Book Antiqua"/>
          <w:b/>
          <w:sz w:val="24"/>
          <w:szCs w:val="24"/>
        </w:rPr>
        <w:t xml:space="preserve">Hiroyuki Okada, Seiji Kawano, </w:t>
      </w:r>
      <w:r w:rsidR="00A051DA" w:rsidRPr="0032635B">
        <w:rPr>
          <w:rFonts w:ascii="Book Antiqua" w:hAnsi="Book Antiqua" w:cs="Times New Roman"/>
          <w:sz w:val="24"/>
          <w:szCs w:val="24"/>
        </w:rPr>
        <w:t xml:space="preserve">Department of Gastroenterology and </w:t>
      </w:r>
      <w:proofErr w:type="spellStart"/>
      <w:r w:rsidR="00A051DA" w:rsidRPr="0032635B">
        <w:rPr>
          <w:rFonts w:ascii="Book Antiqua" w:hAnsi="Book Antiqua" w:cs="Times New Roman"/>
          <w:sz w:val="24"/>
          <w:szCs w:val="24"/>
        </w:rPr>
        <w:t>Hepatology</w:t>
      </w:r>
      <w:proofErr w:type="spellEnd"/>
      <w:r w:rsidR="00A051DA" w:rsidRPr="0032635B">
        <w:rPr>
          <w:rFonts w:ascii="Book Antiqua" w:hAnsi="Book Antiqua" w:cs="Times New Roman"/>
          <w:sz w:val="24"/>
          <w:szCs w:val="24"/>
        </w:rPr>
        <w:t xml:space="preserve">, Okayama University Graduate School of Medicine, Dentistry and Pharmaceutical Sciences, </w:t>
      </w:r>
      <w:r w:rsidR="00473E0F" w:rsidRPr="0032635B">
        <w:rPr>
          <w:rFonts w:ascii="Book Antiqua" w:hAnsi="Book Antiqua"/>
          <w:sz w:val="24"/>
          <w:szCs w:val="24"/>
        </w:rPr>
        <w:t>Okayama 708-0841,</w:t>
      </w:r>
      <w:r w:rsidR="00C92BD7" w:rsidRPr="0032635B">
        <w:rPr>
          <w:rFonts w:ascii="Book Antiqua" w:hAnsi="Book Antiqua" w:cs="Times New Roman"/>
          <w:sz w:val="24"/>
          <w:szCs w:val="24"/>
        </w:rPr>
        <w:t xml:space="preserve"> Japan</w:t>
      </w:r>
    </w:p>
    <w:p w:rsidR="00C92BD7" w:rsidRPr="0032635B" w:rsidRDefault="00C92BD7" w:rsidP="00C92BD7">
      <w:pPr>
        <w:widowControl/>
        <w:spacing w:line="360" w:lineRule="auto"/>
        <w:rPr>
          <w:rFonts w:ascii="Book Antiqua" w:eastAsia="宋体" w:hAnsi="Book Antiqua" w:cs="Times New Roman"/>
          <w:kern w:val="0"/>
          <w:sz w:val="24"/>
          <w:szCs w:val="24"/>
          <w:lang w:eastAsia="zh-CN"/>
        </w:rPr>
      </w:pPr>
    </w:p>
    <w:p w:rsidR="000E4AF2" w:rsidRPr="0032635B" w:rsidRDefault="000E4AF2" w:rsidP="00C92BD7">
      <w:pPr>
        <w:widowControl/>
        <w:spacing w:line="360" w:lineRule="auto"/>
        <w:rPr>
          <w:rFonts w:ascii="Book Antiqua" w:eastAsia="宋体" w:hAnsi="Book Antiqua" w:cs="Times New Roman"/>
          <w:sz w:val="24"/>
          <w:szCs w:val="24"/>
          <w:lang w:eastAsia="zh-CN"/>
        </w:rPr>
      </w:pPr>
      <w:r w:rsidRPr="0032635B">
        <w:rPr>
          <w:rFonts w:ascii="Book Antiqua" w:hAnsi="Book Antiqua"/>
          <w:b/>
          <w:sz w:val="24"/>
          <w:szCs w:val="24"/>
        </w:rPr>
        <w:t xml:space="preserve">Yoshinori </w:t>
      </w:r>
      <w:proofErr w:type="spellStart"/>
      <w:r w:rsidRPr="0032635B">
        <w:rPr>
          <w:rFonts w:ascii="Book Antiqua" w:hAnsi="Book Antiqua"/>
          <w:b/>
          <w:sz w:val="24"/>
          <w:szCs w:val="24"/>
        </w:rPr>
        <w:t>Komazawa</w:t>
      </w:r>
      <w:proofErr w:type="spellEnd"/>
      <w:r w:rsidRPr="0032635B">
        <w:rPr>
          <w:rFonts w:ascii="Book Antiqua" w:hAnsi="Book Antiqua"/>
          <w:b/>
          <w:sz w:val="24"/>
          <w:szCs w:val="24"/>
        </w:rPr>
        <w:t xml:space="preserve">, </w:t>
      </w:r>
      <w:r w:rsidR="008D4846" w:rsidRPr="0032635B">
        <w:rPr>
          <w:rFonts w:ascii="Book Antiqua" w:hAnsi="Book Antiqua" w:cs="Times New Roman"/>
          <w:kern w:val="0"/>
          <w:sz w:val="24"/>
          <w:szCs w:val="24"/>
        </w:rPr>
        <w:t>Division of Internal Medicine</w:t>
      </w:r>
      <w:r w:rsidR="00ED2017" w:rsidRPr="0032635B">
        <w:rPr>
          <w:rFonts w:ascii="Book Antiqua" w:hAnsi="Book Antiqua" w:cs="Times New Roman"/>
          <w:sz w:val="24"/>
          <w:szCs w:val="24"/>
        </w:rPr>
        <w:t xml:space="preserve">, </w:t>
      </w:r>
      <w:proofErr w:type="spellStart"/>
      <w:r w:rsidR="00ED2017" w:rsidRPr="0032635B">
        <w:rPr>
          <w:rFonts w:ascii="Book Antiqua" w:hAnsi="Book Antiqua" w:cs="Times New Roman"/>
          <w:sz w:val="24"/>
          <w:szCs w:val="24"/>
        </w:rPr>
        <w:t>Izumo</w:t>
      </w:r>
      <w:proofErr w:type="spellEnd"/>
      <w:r w:rsidR="00ED2017" w:rsidRPr="0032635B">
        <w:rPr>
          <w:rFonts w:ascii="Book Antiqua" w:hAnsi="Book Antiqua" w:cs="Times New Roman"/>
          <w:sz w:val="24"/>
          <w:szCs w:val="24"/>
        </w:rPr>
        <w:t xml:space="preserve"> Cit</w:t>
      </w:r>
      <w:r w:rsidR="00C92BD7" w:rsidRPr="0032635B">
        <w:rPr>
          <w:rFonts w:ascii="Book Antiqua" w:hAnsi="Book Antiqua" w:cs="Times New Roman"/>
          <w:sz w:val="24"/>
          <w:szCs w:val="24"/>
        </w:rPr>
        <w:t xml:space="preserve">y General Medical Center, </w:t>
      </w:r>
      <w:proofErr w:type="spellStart"/>
      <w:r w:rsidR="00C92BD7" w:rsidRPr="0032635B">
        <w:rPr>
          <w:rFonts w:ascii="Book Antiqua" w:hAnsi="Book Antiqua" w:cs="Times New Roman"/>
          <w:sz w:val="24"/>
          <w:szCs w:val="24"/>
        </w:rPr>
        <w:t>Izumo</w:t>
      </w:r>
      <w:proofErr w:type="spellEnd"/>
      <w:r w:rsidR="00D0486C" w:rsidRPr="0032635B">
        <w:rPr>
          <w:rFonts w:ascii="Book Antiqua" w:hAnsi="Book Antiqua"/>
          <w:sz w:val="24"/>
          <w:szCs w:val="24"/>
        </w:rPr>
        <w:t xml:space="preserve"> </w:t>
      </w:r>
      <w:r w:rsidR="00D0486C" w:rsidRPr="0032635B">
        <w:rPr>
          <w:rFonts w:ascii="Book Antiqua" w:hAnsi="Book Antiqua" w:cs="Times New Roman"/>
          <w:sz w:val="24"/>
          <w:szCs w:val="24"/>
        </w:rPr>
        <w:t>691-0003</w:t>
      </w:r>
      <w:r w:rsidR="00C92BD7" w:rsidRPr="0032635B">
        <w:rPr>
          <w:rFonts w:ascii="Book Antiqua" w:hAnsi="Book Antiqua" w:cs="Times New Roman"/>
          <w:sz w:val="24"/>
          <w:szCs w:val="24"/>
        </w:rPr>
        <w:t>, Japan</w:t>
      </w:r>
    </w:p>
    <w:p w:rsidR="00C92BD7" w:rsidRPr="0032635B" w:rsidRDefault="00C92BD7" w:rsidP="00C92BD7">
      <w:pPr>
        <w:widowControl/>
        <w:spacing w:line="360" w:lineRule="auto"/>
        <w:rPr>
          <w:rFonts w:ascii="Book Antiqua" w:eastAsia="宋体" w:hAnsi="Book Antiqua" w:cs="Times New Roman"/>
          <w:sz w:val="24"/>
          <w:szCs w:val="24"/>
          <w:lang w:eastAsia="zh-CN"/>
        </w:rPr>
      </w:pPr>
    </w:p>
    <w:p w:rsidR="001D5381" w:rsidRPr="0032635B" w:rsidRDefault="000E4AF2" w:rsidP="00C92BD7">
      <w:pPr>
        <w:widowControl/>
        <w:spacing w:line="360" w:lineRule="auto"/>
        <w:rPr>
          <w:rFonts w:ascii="Book Antiqua" w:eastAsia="宋体" w:hAnsi="Book Antiqua" w:cs="Times New Roman"/>
          <w:sz w:val="24"/>
          <w:szCs w:val="24"/>
          <w:lang w:eastAsia="zh-CN"/>
        </w:rPr>
      </w:pPr>
      <w:r w:rsidRPr="0032635B">
        <w:rPr>
          <w:rFonts w:ascii="Book Antiqua" w:hAnsi="Book Antiqua"/>
          <w:b/>
          <w:sz w:val="24"/>
          <w:szCs w:val="24"/>
        </w:rPr>
        <w:t xml:space="preserve">Fumiya </w:t>
      </w:r>
      <w:proofErr w:type="spellStart"/>
      <w:r w:rsidRPr="0032635B">
        <w:rPr>
          <w:rFonts w:ascii="Book Antiqua" w:hAnsi="Book Antiqua"/>
          <w:b/>
          <w:sz w:val="24"/>
          <w:szCs w:val="24"/>
        </w:rPr>
        <w:t>Yoshinaga</w:t>
      </w:r>
      <w:proofErr w:type="spellEnd"/>
      <w:r w:rsidRPr="0032635B">
        <w:rPr>
          <w:rFonts w:ascii="Book Antiqua" w:hAnsi="Book Antiqua"/>
          <w:b/>
          <w:sz w:val="24"/>
          <w:szCs w:val="24"/>
        </w:rPr>
        <w:t xml:space="preserve">, </w:t>
      </w:r>
      <w:r w:rsidR="00ED2017" w:rsidRPr="0032635B">
        <w:rPr>
          <w:rFonts w:ascii="Book Antiqua" w:hAnsi="Book Antiqua" w:cs="Times New Roman"/>
          <w:kern w:val="0"/>
          <w:sz w:val="24"/>
          <w:szCs w:val="24"/>
        </w:rPr>
        <w:t xml:space="preserve">Department of </w:t>
      </w:r>
      <w:r w:rsidR="00ED2017" w:rsidRPr="0032635B">
        <w:rPr>
          <w:rFonts w:ascii="Book Antiqua" w:hAnsi="Book Antiqua" w:cs="Times New Roman"/>
          <w:sz w:val="24"/>
          <w:szCs w:val="24"/>
        </w:rPr>
        <w:t xml:space="preserve">Gastroenterology, </w:t>
      </w:r>
      <w:proofErr w:type="spellStart"/>
      <w:r w:rsidR="00ED2017" w:rsidRPr="0032635B">
        <w:rPr>
          <w:rFonts w:ascii="Book Antiqua" w:hAnsi="Book Antiqua" w:cs="Times New Roman"/>
          <w:sz w:val="24"/>
          <w:szCs w:val="24"/>
        </w:rPr>
        <w:t>Mi</w:t>
      </w:r>
      <w:r w:rsidR="00C92BD7" w:rsidRPr="0032635B">
        <w:rPr>
          <w:rFonts w:ascii="Book Antiqua" w:hAnsi="Book Antiqua" w:cs="Times New Roman"/>
          <w:sz w:val="24"/>
          <w:szCs w:val="24"/>
        </w:rPr>
        <w:t>hara</w:t>
      </w:r>
      <w:proofErr w:type="spellEnd"/>
      <w:r w:rsidR="00C92BD7" w:rsidRPr="0032635B">
        <w:rPr>
          <w:rFonts w:ascii="Book Antiqua" w:hAnsi="Book Antiqua" w:cs="Times New Roman"/>
          <w:sz w:val="24"/>
          <w:szCs w:val="24"/>
        </w:rPr>
        <w:t xml:space="preserve"> Red Cross Hospital, </w:t>
      </w:r>
      <w:proofErr w:type="spellStart"/>
      <w:r w:rsidR="00C92BD7" w:rsidRPr="0032635B">
        <w:rPr>
          <w:rFonts w:ascii="Book Antiqua" w:hAnsi="Book Antiqua" w:cs="Times New Roman"/>
          <w:sz w:val="24"/>
          <w:szCs w:val="24"/>
        </w:rPr>
        <w:t>Mihara</w:t>
      </w:r>
      <w:proofErr w:type="spellEnd"/>
      <w:r w:rsidR="00945497" w:rsidRPr="0032635B">
        <w:rPr>
          <w:rFonts w:ascii="Book Antiqua" w:hAnsi="Book Antiqua"/>
          <w:sz w:val="24"/>
          <w:szCs w:val="24"/>
        </w:rPr>
        <w:t xml:space="preserve"> </w:t>
      </w:r>
      <w:r w:rsidR="00945497" w:rsidRPr="0032635B">
        <w:rPr>
          <w:rFonts w:ascii="Book Antiqua" w:hAnsi="Book Antiqua" w:cs="Times New Roman"/>
          <w:sz w:val="24"/>
          <w:szCs w:val="24"/>
        </w:rPr>
        <w:t>723-0011</w:t>
      </w:r>
      <w:r w:rsidR="00C92BD7" w:rsidRPr="0032635B">
        <w:rPr>
          <w:rFonts w:ascii="Book Antiqua" w:hAnsi="Book Antiqua" w:cs="Times New Roman"/>
          <w:sz w:val="24"/>
          <w:szCs w:val="24"/>
        </w:rPr>
        <w:t>, Japan</w:t>
      </w:r>
    </w:p>
    <w:p w:rsidR="00C92BD7" w:rsidRPr="0032635B" w:rsidRDefault="00C92BD7" w:rsidP="00C92BD7">
      <w:pPr>
        <w:widowControl/>
        <w:spacing w:line="360" w:lineRule="auto"/>
        <w:rPr>
          <w:rFonts w:ascii="Book Antiqua" w:eastAsia="宋体" w:hAnsi="Book Antiqua" w:cs="Times New Roman"/>
          <w:sz w:val="24"/>
          <w:szCs w:val="24"/>
          <w:lang w:eastAsia="zh-CN"/>
        </w:rPr>
      </w:pPr>
    </w:p>
    <w:p w:rsidR="001D5381" w:rsidRPr="0032635B" w:rsidRDefault="000E4AF2" w:rsidP="00C92BD7">
      <w:pPr>
        <w:widowControl/>
        <w:spacing w:line="360" w:lineRule="auto"/>
        <w:rPr>
          <w:rFonts w:ascii="Book Antiqua" w:eastAsia="宋体" w:hAnsi="Book Antiqua" w:cs="Times New Roman"/>
          <w:sz w:val="24"/>
          <w:szCs w:val="24"/>
          <w:lang w:eastAsia="zh-CN"/>
        </w:rPr>
      </w:pPr>
      <w:r w:rsidRPr="0032635B">
        <w:rPr>
          <w:rFonts w:ascii="Book Antiqua" w:hAnsi="Book Antiqua"/>
          <w:b/>
          <w:sz w:val="24"/>
          <w:szCs w:val="24"/>
        </w:rPr>
        <w:t xml:space="preserve">Shinji Nagata, </w:t>
      </w:r>
      <w:r w:rsidR="00ED2017" w:rsidRPr="0032635B">
        <w:rPr>
          <w:rFonts w:ascii="Book Antiqua" w:hAnsi="Book Antiqua" w:cs="Times New Roman"/>
          <w:sz w:val="24"/>
          <w:szCs w:val="24"/>
        </w:rPr>
        <w:t xml:space="preserve">Department of Endoscopy, Hiroshima City </w:t>
      </w:r>
      <w:proofErr w:type="spellStart"/>
      <w:r w:rsidR="00ED2017" w:rsidRPr="0032635B">
        <w:rPr>
          <w:rFonts w:ascii="Book Antiqua" w:hAnsi="Book Antiqua" w:cs="Times New Roman"/>
          <w:sz w:val="24"/>
          <w:szCs w:val="24"/>
        </w:rPr>
        <w:t>Asa</w:t>
      </w:r>
      <w:proofErr w:type="spellEnd"/>
      <w:r w:rsidR="00ED2017" w:rsidRPr="0032635B">
        <w:rPr>
          <w:rFonts w:ascii="Book Antiqua" w:hAnsi="Book Antiqua" w:cs="Times New Roman"/>
          <w:sz w:val="24"/>
          <w:szCs w:val="24"/>
        </w:rPr>
        <w:t xml:space="preserve"> </w:t>
      </w:r>
      <w:r w:rsidR="00D11390" w:rsidRPr="0032635B">
        <w:rPr>
          <w:rFonts w:ascii="Book Antiqua" w:hAnsi="Book Antiqua" w:cs="Times New Roman"/>
          <w:sz w:val="24"/>
          <w:szCs w:val="24"/>
        </w:rPr>
        <w:t xml:space="preserve">Citizens </w:t>
      </w:r>
      <w:r w:rsidR="00ED2017" w:rsidRPr="0032635B">
        <w:rPr>
          <w:rFonts w:ascii="Book Antiqua" w:hAnsi="Book Antiqua" w:cs="Times New Roman"/>
          <w:sz w:val="24"/>
          <w:szCs w:val="24"/>
        </w:rPr>
        <w:t>Hospital,</w:t>
      </w:r>
      <w:r w:rsidR="00C92BD7" w:rsidRPr="0032635B">
        <w:rPr>
          <w:rFonts w:ascii="Book Antiqua" w:hAnsi="Book Antiqua" w:cs="Times New Roman"/>
          <w:sz w:val="24"/>
          <w:szCs w:val="24"/>
        </w:rPr>
        <w:t xml:space="preserve"> Hiroshima</w:t>
      </w:r>
      <w:r w:rsidR="00945497" w:rsidRPr="0032635B">
        <w:rPr>
          <w:rFonts w:ascii="Book Antiqua" w:hAnsi="Book Antiqua"/>
          <w:sz w:val="24"/>
          <w:szCs w:val="24"/>
        </w:rPr>
        <w:t xml:space="preserve"> </w:t>
      </w:r>
      <w:r w:rsidR="00945497" w:rsidRPr="0032635B">
        <w:rPr>
          <w:rFonts w:ascii="Book Antiqua" w:hAnsi="Book Antiqua" w:cs="Times New Roman"/>
          <w:sz w:val="24"/>
          <w:szCs w:val="24"/>
        </w:rPr>
        <w:t>731-0293</w:t>
      </w:r>
      <w:r w:rsidR="00C92BD7" w:rsidRPr="0032635B">
        <w:rPr>
          <w:rFonts w:ascii="Book Antiqua" w:hAnsi="Book Antiqua" w:cs="Times New Roman"/>
          <w:sz w:val="24"/>
          <w:szCs w:val="24"/>
        </w:rPr>
        <w:t>, Japan</w:t>
      </w:r>
    </w:p>
    <w:p w:rsidR="00C92BD7" w:rsidRPr="0032635B" w:rsidRDefault="00C92BD7" w:rsidP="00C92BD7">
      <w:pPr>
        <w:widowControl/>
        <w:spacing w:line="360" w:lineRule="auto"/>
        <w:rPr>
          <w:rFonts w:ascii="Book Antiqua" w:eastAsia="宋体" w:hAnsi="Book Antiqua" w:cs="Times New Roman"/>
          <w:sz w:val="24"/>
          <w:szCs w:val="24"/>
          <w:lang w:eastAsia="zh-CN"/>
        </w:rPr>
      </w:pPr>
    </w:p>
    <w:p w:rsidR="005D0D7E" w:rsidRPr="0032635B" w:rsidRDefault="000E4AF2" w:rsidP="00C92BD7">
      <w:pPr>
        <w:widowControl/>
        <w:spacing w:line="360" w:lineRule="auto"/>
        <w:rPr>
          <w:rFonts w:ascii="Book Antiqua" w:eastAsia="宋体" w:hAnsi="Book Antiqua" w:cs="Times New Roman"/>
          <w:sz w:val="24"/>
          <w:szCs w:val="24"/>
          <w:lang w:eastAsia="zh-CN"/>
        </w:rPr>
      </w:pPr>
      <w:proofErr w:type="spellStart"/>
      <w:r w:rsidRPr="0032635B">
        <w:rPr>
          <w:rFonts w:ascii="Book Antiqua" w:hAnsi="Book Antiqua"/>
          <w:b/>
          <w:sz w:val="24"/>
          <w:szCs w:val="24"/>
        </w:rPr>
        <w:t>Masafumi</w:t>
      </w:r>
      <w:proofErr w:type="spellEnd"/>
      <w:r w:rsidRPr="0032635B">
        <w:rPr>
          <w:rFonts w:ascii="Book Antiqua" w:hAnsi="Book Antiqua"/>
          <w:b/>
          <w:sz w:val="24"/>
          <w:szCs w:val="24"/>
        </w:rPr>
        <w:t xml:space="preserve"> Inoue, </w:t>
      </w:r>
      <w:r w:rsidR="00147A64" w:rsidRPr="0032635B">
        <w:rPr>
          <w:rFonts w:ascii="Book Antiqua" w:hAnsi="Book Antiqua" w:cs="Times New Roman"/>
          <w:kern w:val="0"/>
          <w:sz w:val="24"/>
          <w:szCs w:val="24"/>
        </w:rPr>
        <w:t xml:space="preserve">Department of </w:t>
      </w:r>
      <w:r w:rsidR="00147A64" w:rsidRPr="0032635B">
        <w:rPr>
          <w:rFonts w:ascii="Book Antiqua" w:hAnsi="Book Antiqua" w:cs="Times New Roman"/>
          <w:sz w:val="24"/>
          <w:szCs w:val="24"/>
        </w:rPr>
        <w:t>Gastroenterology, Okayama Red Cross Hospital</w:t>
      </w:r>
      <w:r w:rsidR="00C92BD7" w:rsidRPr="0032635B">
        <w:rPr>
          <w:rFonts w:ascii="Book Antiqua" w:hAnsi="Book Antiqua" w:cs="Times New Roman"/>
          <w:sz w:val="24"/>
          <w:szCs w:val="24"/>
        </w:rPr>
        <w:t xml:space="preserve">, </w:t>
      </w:r>
      <w:r w:rsidR="00473E0F" w:rsidRPr="0032635B">
        <w:rPr>
          <w:rFonts w:ascii="Book Antiqua" w:hAnsi="Book Antiqua"/>
          <w:sz w:val="24"/>
          <w:szCs w:val="24"/>
        </w:rPr>
        <w:t xml:space="preserve">Okayama </w:t>
      </w:r>
      <w:r w:rsidR="00EB6B96">
        <w:rPr>
          <w:rFonts w:ascii="Book Antiqua" w:eastAsia="宋体" w:hAnsi="Book Antiqua" w:hint="eastAsia"/>
          <w:sz w:val="24"/>
          <w:szCs w:val="24"/>
          <w:lang w:eastAsia="zh-CN"/>
        </w:rPr>
        <w:t>7</w:t>
      </w:r>
      <w:r w:rsidR="00945497" w:rsidRPr="0032635B">
        <w:rPr>
          <w:rFonts w:ascii="Book Antiqua" w:hAnsi="Book Antiqua"/>
          <w:sz w:val="24"/>
          <w:szCs w:val="24"/>
        </w:rPr>
        <w:t>00-0941</w:t>
      </w:r>
      <w:r w:rsidR="00473E0F" w:rsidRPr="0032635B">
        <w:rPr>
          <w:rFonts w:ascii="Book Antiqua" w:hAnsi="Book Antiqua"/>
          <w:sz w:val="24"/>
          <w:szCs w:val="24"/>
        </w:rPr>
        <w:t xml:space="preserve">, </w:t>
      </w:r>
      <w:r w:rsidR="00C92BD7" w:rsidRPr="0032635B">
        <w:rPr>
          <w:rFonts w:ascii="Book Antiqua" w:hAnsi="Book Antiqua" w:cs="Times New Roman"/>
          <w:sz w:val="24"/>
          <w:szCs w:val="24"/>
        </w:rPr>
        <w:t>Japan</w:t>
      </w:r>
    </w:p>
    <w:p w:rsidR="00C92BD7" w:rsidRPr="0032635B" w:rsidRDefault="00C92BD7" w:rsidP="00C92BD7">
      <w:pPr>
        <w:widowControl/>
        <w:spacing w:line="360" w:lineRule="auto"/>
        <w:rPr>
          <w:rFonts w:ascii="Book Antiqua" w:eastAsia="宋体" w:hAnsi="Book Antiqua" w:cs="Times New Roman"/>
          <w:sz w:val="24"/>
          <w:szCs w:val="24"/>
          <w:lang w:eastAsia="zh-CN"/>
        </w:rPr>
      </w:pPr>
    </w:p>
    <w:p w:rsidR="005D0D7E" w:rsidRPr="0032635B" w:rsidRDefault="000E4AF2" w:rsidP="00C92BD7">
      <w:pPr>
        <w:widowControl/>
        <w:spacing w:line="360" w:lineRule="auto"/>
        <w:rPr>
          <w:rFonts w:ascii="Book Antiqua" w:eastAsia="宋体" w:hAnsi="Book Antiqua" w:cs="Times New Roman"/>
          <w:sz w:val="24"/>
          <w:szCs w:val="24"/>
          <w:lang w:eastAsia="zh-CN"/>
        </w:rPr>
      </w:pPr>
      <w:r w:rsidRPr="0032635B">
        <w:rPr>
          <w:rFonts w:ascii="Book Antiqua" w:hAnsi="Book Antiqua"/>
          <w:b/>
          <w:sz w:val="24"/>
          <w:szCs w:val="24"/>
        </w:rPr>
        <w:t xml:space="preserve">Hirohisa Komatsu, </w:t>
      </w:r>
      <w:r w:rsidR="005D0D7E" w:rsidRPr="0032635B">
        <w:rPr>
          <w:rFonts w:ascii="Book Antiqua" w:hAnsi="Book Antiqua" w:cs="Times New Roman"/>
          <w:sz w:val="24"/>
          <w:szCs w:val="24"/>
        </w:rPr>
        <w:t>Department of Gastroenterology, Hirosh</w:t>
      </w:r>
      <w:r w:rsidR="00C92BD7" w:rsidRPr="0032635B">
        <w:rPr>
          <w:rFonts w:ascii="Book Antiqua" w:hAnsi="Book Antiqua" w:cs="Times New Roman"/>
          <w:sz w:val="24"/>
          <w:szCs w:val="24"/>
        </w:rPr>
        <w:t>ima General Hospital, Hiroshima</w:t>
      </w:r>
      <w:r w:rsidR="0092168C" w:rsidRPr="0032635B">
        <w:rPr>
          <w:rFonts w:ascii="Book Antiqua" w:eastAsia="宋体" w:hAnsi="Book Antiqua" w:cs="Times New Roman"/>
          <w:sz w:val="24"/>
          <w:szCs w:val="24"/>
          <w:lang w:eastAsia="zh-CN"/>
        </w:rPr>
        <w:t xml:space="preserve"> </w:t>
      </w:r>
      <w:r w:rsidR="0092168C" w:rsidRPr="0032635B">
        <w:rPr>
          <w:rFonts w:ascii="Book Antiqua" w:hAnsi="Book Antiqua" w:cs="Times New Roman"/>
          <w:sz w:val="24"/>
          <w:szCs w:val="24"/>
        </w:rPr>
        <w:t>734-8551</w:t>
      </w:r>
      <w:r w:rsidR="00C92BD7" w:rsidRPr="0032635B">
        <w:rPr>
          <w:rFonts w:ascii="Book Antiqua" w:hAnsi="Book Antiqua" w:cs="Times New Roman"/>
          <w:sz w:val="24"/>
          <w:szCs w:val="24"/>
        </w:rPr>
        <w:t>, Japan</w:t>
      </w:r>
    </w:p>
    <w:p w:rsidR="00C92BD7" w:rsidRPr="0032635B" w:rsidRDefault="00C92BD7" w:rsidP="00C92BD7">
      <w:pPr>
        <w:widowControl/>
        <w:spacing w:line="360" w:lineRule="auto"/>
        <w:rPr>
          <w:rFonts w:ascii="Book Antiqua" w:eastAsia="宋体" w:hAnsi="Book Antiqua" w:cs="Times New Roman"/>
          <w:sz w:val="24"/>
          <w:szCs w:val="24"/>
          <w:lang w:eastAsia="zh-CN"/>
        </w:rPr>
      </w:pPr>
    </w:p>
    <w:p w:rsidR="005D0D7E" w:rsidRPr="0032635B" w:rsidRDefault="000E4AF2" w:rsidP="00C92BD7">
      <w:pPr>
        <w:widowControl/>
        <w:spacing w:line="360" w:lineRule="auto"/>
        <w:rPr>
          <w:rFonts w:ascii="Book Antiqua" w:eastAsia="宋体" w:hAnsi="Book Antiqua" w:cs="Times New Roman"/>
          <w:sz w:val="24"/>
          <w:szCs w:val="24"/>
          <w:lang w:eastAsia="zh-CN"/>
        </w:rPr>
      </w:pPr>
      <w:r w:rsidRPr="0032635B">
        <w:rPr>
          <w:rFonts w:ascii="Book Antiqua" w:hAnsi="Book Antiqua"/>
          <w:b/>
          <w:sz w:val="24"/>
          <w:szCs w:val="24"/>
        </w:rPr>
        <w:t xml:space="preserve">Seiji </w:t>
      </w:r>
      <w:proofErr w:type="spellStart"/>
      <w:r w:rsidRPr="0032635B">
        <w:rPr>
          <w:rFonts w:ascii="Book Antiqua" w:hAnsi="Book Antiqua"/>
          <w:b/>
          <w:sz w:val="24"/>
          <w:szCs w:val="24"/>
        </w:rPr>
        <w:t>Onogawa</w:t>
      </w:r>
      <w:proofErr w:type="spellEnd"/>
      <w:r w:rsidRPr="0032635B">
        <w:rPr>
          <w:rFonts w:ascii="Book Antiqua" w:hAnsi="Book Antiqua"/>
          <w:b/>
          <w:sz w:val="24"/>
          <w:szCs w:val="24"/>
        </w:rPr>
        <w:t xml:space="preserve">, </w:t>
      </w:r>
      <w:r w:rsidR="005D0D7E" w:rsidRPr="0032635B">
        <w:rPr>
          <w:rFonts w:ascii="Book Antiqua" w:hAnsi="Book Antiqua" w:cs="Times New Roman"/>
          <w:sz w:val="24"/>
          <w:szCs w:val="24"/>
        </w:rPr>
        <w:t xml:space="preserve">Department of Gastroenterology, </w:t>
      </w:r>
      <w:proofErr w:type="spellStart"/>
      <w:r w:rsidR="005D0D7E" w:rsidRPr="0032635B">
        <w:rPr>
          <w:rFonts w:ascii="Book Antiqua" w:hAnsi="Book Antiqua" w:cs="Times New Roman"/>
          <w:sz w:val="24"/>
          <w:szCs w:val="24"/>
        </w:rPr>
        <w:t>Onomichi</w:t>
      </w:r>
      <w:proofErr w:type="spellEnd"/>
      <w:r w:rsidR="00C92BD7" w:rsidRPr="0032635B">
        <w:rPr>
          <w:rFonts w:ascii="Book Antiqua" w:hAnsi="Book Antiqua" w:cs="Times New Roman"/>
          <w:sz w:val="24"/>
          <w:szCs w:val="24"/>
        </w:rPr>
        <w:t xml:space="preserve"> General Hospital, </w:t>
      </w:r>
      <w:proofErr w:type="spellStart"/>
      <w:r w:rsidR="00C92BD7" w:rsidRPr="0032635B">
        <w:rPr>
          <w:rFonts w:ascii="Book Antiqua" w:hAnsi="Book Antiqua" w:cs="Times New Roman"/>
          <w:sz w:val="24"/>
          <w:szCs w:val="24"/>
        </w:rPr>
        <w:t>Onomichi</w:t>
      </w:r>
      <w:proofErr w:type="spellEnd"/>
      <w:r w:rsidR="00945497" w:rsidRPr="0032635B">
        <w:rPr>
          <w:rFonts w:ascii="Book Antiqua" w:hAnsi="Book Antiqua"/>
          <w:sz w:val="24"/>
          <w:szCs w:val="24"/>
        </w:rPr>
        <w:t xml:space="preserve"> </w:t>
      </w:r>
      <w:r w:rsidR="00945497" w:rsidRPr="0032635B">
        <w:rPr>
          <w:rFonts w:ascii="Book Antiqua" w:hAnsi="Book Antiqua" w:cs="Times New Roman"/>
          <w:sz w:val="24"/>
          <w:szCs w:val="24"/>
        </w:rPr>
        <w:t>722-8508</w:t>
      </w:r>
      <w:r w:rsidR="00C92BD7" w:rsidRPr="0032635B">
        <w:rPr>
          <w:rFonts w:ascii="Book Antiqua" w:hAnsi="Book Antiqua" w:cs="Times New Roman"/>
          <w:sz w:val="24"/>
          <w:szCs w:val="24"/>
        </w:rPr>
        <w:t>, Japan</w:t>
      </w:r>
    </w:p>
    <w:p w:rsidR="00C92BD7" w:rsidRPr="0032635B" w:rsidRDefault="00C92BD7" w:rsidP="00C92BD7">
      <w:pPr>
        <w:widowControl/>
        <w:spacing w:line="360" w:lineRule="auto"/>
        <w:rPr>
          <w:rFonts w:ascii="Book Antiqua" w:eastAsia="宋体" w:hAnsi="Book Antiqua" w:cs="Times New Roman"/>
          <w:sz w:val="24"/>
          <w:szCs w:val="24"/>
          <w:lang w:eastAsia="zh-CN"/>
        </w:rPr>
      </w:pPr>
    </w:p>
    <w:p w:rsidR="001D5381" w:rsidRPr="0032635B" w:rsidRDefault="000E4AF2" w:rsidP="00C92BD7">
      <w:pPr>
        <w:widowControl/>
        <w:spacing w:line="360" w:lineRule="auto"/>
        <w:rPr>
          <w:rFonts w:ascii="Book Antiqua" w:eastAsia="宋体" w:hAnsi="Book Antiqua" w:cs="Times New Roman"/>
          <w:sz w:val="24"/>
          <w:szCs w:val="24"/>
          <w:lang w:eastAsia="zh-CN"/>
        </w:rPr>
      </w:pPr>
      <w:r w:rsidRPr="0032635B">
        <w:rPr>
          <w:rFonts w:ascii="Book Antiqua" w:hAnsi="Book Antiqua"/>
          <w:b/>
          <w:sz w:val="24"/>
          <w:szCs w:val="24"/>
        </w:rPr>
        <w:t xml:space="preserve">Yoshinori </w:t>
      </w:r>
      <w:proofErr w:type="spellStart"/>
      <w:r w:rsidRPr="0032635B">
        <w:rPr>
          <w:rFonts w:ascii="Book Antiqua" w:hAnsi="Book Antiqua"/>
          <w:b/>
          <w:sz w:val="24"/>
          <w:szCs w:val="24"/>
        </w:rPr>
        <w:t>Kushiyama</w:t>
      </w:r>
      <w:proofErr w:type="spellEnd"/>
      <w:r w:rsidRPr="0032635B">
        <w:rPr>
          <w:rFonts w:ascii="Book Antiqua" w:hAnsi="Book Antiqua"/>
          <w:b/>
          <w:sz w:val="24"/>
          <w:szCs w:val="24"/>
        </w:rPr>
        <w:t xml:space="preserve">, </w:t>
      </w:r>
      <w:r w:rsidR="00BE0A24" w:rsidRPr="0032635B">
        <w:rPr>
          <w:rFonts w:ascii="Book Antiqua" w:hAnsi="Book Antiqua" w:cs="Times New Roman"/>
          <w:kern w:val="0"/>
          <w:sz w:val="24"/>
          <w:szCs w:val="24"/>
        </w:rPr>
        <w:t xml:space="preserve">Department of </w:t>
      </w:r>
      <w:r w:rsidR="00BE0A24" w:rsidRPr="0032635B">
        <w:rPr>
          <w:rFonts w:ascii="Book Antiqua" w:hAnsi="Book Antiqua" w:cs="Times New Roman"/>
          <w:sz w:val="24"/>
          <w:szCs w:val="24"/>
        </w:rPr>
        <w:t>Gastroenterology, Ma</w:t>
      </w:r>
      <w:r w:rsidR="00C92BD7" w:rsidRPr="0032635B">
        <w:rPr>
          <w:rFonts w:ascii="Book Antiqua" w:hAnsi="Book Antiqua" w:cs="Times New Roman"/>
          <w:sz w:val="24"/>
          <w:szCs w:val="24"/>
        </w:rPr>
        <w:t>tsue Red Cross Hospital</w:t>
      </w:r>
      <w:r w:rsidR="00C92BD7" w:rsidRPr="0032635B">
        <w:rPr>
          <w:rFonts w:ascii="Book Antiqua" w:eastAsia="宋体" w:hAnsi="Book Antiqua" w:cs="Times New Roman"/>
          <w:sz w:val="24"/>
          <w:szCs w:val="24"/>
          <w:lang w:eastAsia="zh-CN"/>
        </w:rPr>
        <w:t>,</w:t>
      </w:r>
      <w:r w:rsidR="00C92BD7" w:rsidRPr="0032635B">
        <w:rPr>
          <w:rFonts w:ascii="Book Antiqua" w:hAnsi="Book Antiqua" w:cs="Times New Roman"/>
          <w:sz w:val="24"/>
          <w:szCs w:val="24"/>
        </w:rPr>
        <w:t xml:space="preserve"> Matsue</w:t>
      </w:r>
      <w:r w:rsidR="00945497" w:rsidRPr="0032635B">
        <w:rPr>
          <w:rFonts w:ascii="Book Antiqua" w:hAnsi="Book Antiqua"/>
          <w:sz w:val="24"/>
          <w:szCs w:val="24"/>
        </w:rPr>
        <w:t xml:space="preserve"> </w:t>
      </w:r>
      <w:r w:rsidR="00945497" w:rsidRPr="0032635B">
        <w:rPr>
          <w:rFonts w:ascii="Book Antiqua" w:hAnsi="Book Antiqua" w:cs="Times New Roman"/>
          <w:sz w:val="24"/>
          <w:szCs w:val="24"/>
        </w:rPr>
        <w:t>690-8506</w:t>
      </w:r>
      <w:r w:rsidR="00C92BD7" w:rsidRPr="0032635B">
        <w:rPr>
          <w:rFonts w:ascii="Book Antiqua" w:hAnsi="Book Antiqua" w:cs="Times New Roman"/>
          <w:sz w:val="24"/>
          <w:szCs w:val="24"/>
        </w:rPr>
        <w:t>, Japan</w:t>
      </w:r>
    </w:p>
    <w:p w:rsidR="00C92BD7" w:rsidRPr="0032635B" w:rsidRDefault="00C92BD7" w:rsidP="00C92BD7">
      <w:pPr>
        <w:widowControl/>
        <w:spacing w:line="360" w:lineRule="auto"/>
        <w:rPr>
          <w:rFonts w:ascii="Book Antiqua" w:eastAsia="宋体" w:hAnsi="Book Antiqua" w:cs="Times New Roman"/>
          <w:sz w:val="24"/>
          <w:szCs w:val="24"/>
          <w:lang w:eastAsia="zh-CN"/>
        </w:rPr>
      </w:pPr>
    </w:p>
    <w:p w:rsidR="005D0D7E" w:rsidRDefault="000E4AF2" w:rsidP="00C92BD7">
      <w:pPr>
        <w:widowControl/>
        <w:spacing w:line="360" w:lineRule="auto"/>
        <w:rPr>
          <w:rFonts w:ascii="Book Antiqua" w:eastAsia="宋体" w:hAnsi="Book Antiqua" w:cs="Times New Roman"/>
          <w:sz w:val="24"/>
          <w:szCs w:val="24"/>
          <w:lang w:eastAsia="zh-CN"/>
        </w:rPr>
      </w:pPr>
      <w:r w:rsidRPr="0032635B">
        <w:rPr>
          <w:rFonts w:ascii="Book Antiqua" w:hAnsi="Book Antiqua"/>
          <w:b/>
          <w:sz w:val="24"/>
          <w:szCs w:val="24"/>
        </w:rPr>
        <w:t xml:space="preserve">Shinichi </w:t>
      </w:r>
      <w:proofErr w:type="spellStart"/>
      <w:r w:rsidRPr="0032635B">
        <w:rPr>
          <w:rFonts w:ascii="Book Antiqua" w:hAnsi="Book Antiqua"/>
          <w:b/>
          <w:sz w:val="24"/>
          <w:szCs w:val="24"/>
        </w:rPr>
        <w:t>Mukai</w:t>
      </w:r>
      <w:proofErr w:type="spellEnd"/>
      <w:r w:rsidRPr="0032635B">
        <w:rPr>
          <w:rFonts w:ascii="Book Antiqua" w:hAnsi="Book Antiqua"/>
          <w:b/>
          <w:sz w:val="24"/>
          <w:szCs w:val="24"/>
        </w:rPr>
        <w:t xml:space="preserve">, </w:t>
      </w:r>
      <w:r w:rsidR="005D0D7E" w:rsidRPr="0032635B">
        <w:rPr>
          <w:rFonts w:ascii="Book Antiqua" w:hAnsi="Book Antiqua" w:cs="Times New Roman"/>
          <w:sz w:val="24"/>
          <w:szCs w:val="24"/>
        </w:rPr>
        <w:t>Department of Gastroenterology, Mi</w:t>
      </w:r>
      <w:r w:rsidR="00C92BD7" w:rsidRPr="0032635B">
        <w:rPr>
          <w:rFonts w:ascii="Book Antiqua" w:hAnsi="Book Antiqua" w:cs="Times New Roman"/>
          <w:sz w:val="24"/>
          <w:szCs w:val="24"/>
        </w:rPr>
        <w:t>yoshi Central Hospital, Miyoshi</w:t>
      </w:r>
      <w:r w:rsidR="00945497" w:rsidRPr="0032635B">
        <w:rPr>
          <w:rFonts w:ascii="Book Antiqua" w:hAnsi="Book Antiqua"/>
          <w:sz w:val="24"/>
          <w:szCs w:val="24"/>
        </w:rPr>
        <w:t xml:space="preserve"> </w:t>
      </w:r>
      <w:r w:rsidR="00945497" w:rsidRPr="0032635B">
        <w:rPr>
          <w:rFonts w:ascii="Book Antiqua" w:hAnsi="Book Antiqua" w:cs="Times New Roman"/>
          <w:sz w:val="24"/>
          <w:szCs w:val="24"/>
        </w:rPr>
        <w:t>728-0023</w:t>
      </w:r>
      <w:r w:rsidR="00C92BD7" w:rsidRPr="0032635B">
        <w:rPr>
          <w:rFonts w:ascii="Book Antiqua" w:hAnsi="Book Antiqua" w:cs="Times New Roman"/>
          <w:sz w:val="24"/>
          <w:szCs w:val="24"/>
        </w:rPr>
        <w:t>, Japan</w:t>
      </w:r>
    </w:p>
    <w:p w:rsidR="004B4C0A" w:rsidRPr="004B4C0A" w:rsidRDefault="004B4C0A" w:rsidP="00C92BD7">
      <w:pPr>
        <w:widowControl/>
        <w:spacing w:line="360" w:lineRule="auto"/>
        <w:rPr>
          <w:rFonts w:ascii="Book Antiqua" w:eastAsia="宋体" w:hAnsi="Book Antiqua" w:cs="Times New Roman"/>
          <w:sz w:val="24"/>
          <w:szCs w:val="24"/>
          <w:lang w:eastAsia="zh-CN"/>
        </w:rPr>
      </w:pPr>
    </w:p>
    <w:p w:rsidR="005D0D7E" w:rsidRPr="0032635B" w:rsidRDefault="000E4AF2" w:rsidP="00C92BD7">
      <w:pPr>
        <w:widowControl/>
        <w:spacing w:line="360" w:lineRule="auto"/>
        <w:rPr>
          <w:rFonts w:ascii="Book Antiqua" w:eastAsia="宋体" w:hAnsi="Book Antiqua" w:cs="Times New Roman"/>
          <w:sz w:val="24"/>
          <w:szCs w:val="24"/>
          <w:lang w:eastAsia="zh-CN"/>
        </w:rPr>
      </w:pPr>
      <w:r w:rsidRPr="0032635B">
        <w:rPr>
          <w:rFonts w:ascii="Book Antiqua" w:hAnsi="Book Antiqua"/>
          <w:b/>
          <w:sz w:val="24"/>
          <w:szCs w:val="24"/>
        </w:rPr>
        <w:t xml:space="preserve">Hiroko </w:t>
      </w:r>
      <w:proofErr w:type="spellStart"/>
      <w:r w:rsidRPr="0032635B">
        <w:rPr>
          <w:rFonts w:ascii="Book Antiqua" w:hAnsi="Book Antiqua"/>
          <w:b/>
          <w:sz w:val="24"/>
          <w:szCs w:val="24"/>
        </w:rPr>
        <w:t>Todo</w:t>
      </w:r>
      <w:proofErr w:type="spellEnd"/>
      <w:r w:rsidRPr="0032635B">
        <w:rPr>
          <w:rFonts w:ascii="Book Antiqua" w:hAnsi="Book Antiqua"/>
          <w:b/>
          <w:sz w:val="24"/>
          <w:szCs w:val="24"/>
        </w:rPr>
        <w:t xml:space="preserve">, </w:t>
      </w:r>
      <w:r w:rsidR="005D0D7E" w:rsidRPr="0032635B">
        <w:rPr>
          <w:rFonts w:ascii="Book Antiqua" w:hAnsi="Book Antiqua" w:cs="Times New Roman"/>
          <w:sz w:val="24"/>
          <w:szCs w:val="24"/>
        </w:rPr>
        <w:t>Department of Gastroenterology, Hiroshima-N</w:t>
      </w:r>
      <w:r w:rsidR="00C92BD7" w:rsidRPr="0032635B">
        <w:rPr>
          <w:rFonts w:ascii="Book Antiqua" w:hAnsi="Book Antiqua" w:cs="Times New Roman"/>
          <w:sz w:val="24"/>
          <w:szCs w:val="24"/>
        </w:rPr>
        <w:t>ishi Medical Center, Hiroshima</w:t>
      </w:r>
      <w:r w:rsidR="00945497" w:rsidRPr="0032635B">
        <w:rPr>
          <w:rFonts w:ascii="Book Antiqua" w:hAnsi="Book Antiqua"/>
          <w:sz w:val="24"/>
          <w:szCs w:val="24"/>
        </w:rPr>
        <w:t xml:space="preserve"> </w:t>
      </w:r>
      <w:r w:rsidR="00945497" w:rsidRPr="0032635B">
        <w:rPr>
          <w:rFonts w:ascii="Book Antiqua" w:hAnsi="Book Antiqua" w:cs="Times New Roman"/>
          <w:sz w:val="24"/>
          <w:szCs w:val="24"/>
        </w:rPr>
        <w:t>739-0651</w:t>
      </w:r>
      <w:r w:rsidR="00C92BD7" w:rsidRPr="0032635B">
        <w:rPr>
          <w:rFonts w:ascii="Book Antiqua" w:hAnsi="Book Antiqua" w:cs="Times New Roman"/>
          <w:sz w:val="24"/>
          <w:szCs w:val="24"/>
        </w:rPr>
        <w:t>, Japan</w:t>
      </w:r>
    </w:p>
    <w:p w:rsidR="00C92BD7" w:rsidRPr="0032635B" w:rsidRDefault="00C92BD7" w:rsidP="00C92BD7">
      <w:pPr>
        <w:widowControl/>
        <w:spacing w:line="360" w:lineRule="auto"/>
        <w:rPr>
          <w:rFonts w:ascii="Book Antiqua" w:eastAsia="宋体" w:hAnsi="Book Antiqua" w:cs="Times New Roman"/>
          <w:sz w:val="24"/>
          <w:szCs w:val="24"/>
          <w:lang w:eastAsia="zh-CN"/>
        </w:rPr>
      </w:pPr>
    </w:p>
    <w:p w:rsidR="008D6AE9" w:rsidRPr="0032635B" w:rsidRDefault="000E4AF2" w:rsidP="00C92BD7">
      <w:pPr>
        <w:widowControl/>
        <w:spacing w:line="360" w:lineRule="auto"/>
        <w:rPr>
          <w:rFonts w:ascii="Book Antiqua" w:eastAsia="宋体" w:hAnsi="Book Antiqua" w:cs="Times New Roman"/>
          <w:sz w:val="24"/>
          <w:szCs w:val="24"/>
          <w:lang w:eastAsia="zh-CN"/>
        </w:rPr>
      </w:pPr>
      <w:proofErr w:type="spellStart"/>
      <w:r w:rsidRPr="0032635B">
        <w:rPr>
          <w:rFonts w:ascii="Book Antiqua" w:hAnsi="Book Antiqua"/>
          <w:b/>
          <w:sz w:val="24"/>
          <w:szCs w:val="24"/>
        </w:rPr>
        <w:t>Hideharu</w:t>
      </w:r>
      <w:proofErr w:type="spellEnd"/>
      <w:r w:rsidRPr="0032635B">
        <w:rPr>
          <w:rFonts w:ascii="Book Antiqua" w:hAnsi="Book Antiqua"/>
          <w:b/>
          <w:sz w:val="24"/>
          <w:szCs w:val="24"/>
        </w:rPr>
        <w:t xml:space="preserve"> </w:t>
      </w:r>
      <w:proofErr w:type="spellStart"/>
      <w:r w:rsidRPr="0032635B">
        <w:rPr>
          <w:rFonts w:ascii="Book Antiqua" w:hAnsi="Book Antiqua"/>
          <w:b/>
          <w:sz w:val="24"/>
          <w:szCs w:val="24"/>
        </w:rPr>
        <w:t>Okanobu</w:t>
      </w:r>
      <w:proofErr w:type="spellEnd"/>
      <w:r w:rsidRPr="0032635B">
        <w:rPr>
          <w:rFonts w:ascii="Book Antiqua" w:hAnsi="Book Antiqua"/>
          <w:b/>
          <w:sz w:val="24"/>
          <w:szCs w:val="24"/>
        </w:rPr>
        <w:t xml:space="preserve">, </w:t>
      </w:r>
      <w:r w:rsidR="008D6AE9" w:rsidRPr="0032635B">
        <w:rPr>
          <w:rFonts w:ascii="Book Antiqua" w:hAnsi="Book Antiqua" w:cs="Times New Roman"/>
          <w:sz w:val="24"/>
          <w:szCs w:val="24"/>
        </w:rPr>
        <w:t xml:space="preserve">Department of Gastroenterology, Chugoku </w:t>
      </w:r>
      <w:proofErr w:type="spellStart"/>
      <w:r w:rsidR="008D6AE9" w:rsidRPr="0032635B">
        <w:rPr>
          <w:rFonts w:ascii="Book Antiqua" w:hAnsi="Book Antiqua" w:cs="Times New Roman"/>
          <w:sz w:val="24"/>
          <w:szCs w:val="24"/>
        </w:rPr>
        <w:t>Rosai</w:t>
      </w:r>
      <w:proofErr w:type="spellEnd"/>
      <w:r w:rsidR="008D6AE9" w:rsidRPr="0032635B">
        <w:rPr>
          <w:rFonts w:ascii="Book Antiqua" w:hAnsi="Book Antiqua" w:cs="Times New Roman"/>
          <w:sz w:val="24"/>
          <w:szCs w:val="24"/>
        </w:rPr>
        <w:t xml:space="preserve"> Hospital</w:t>
      </w:r>
      <w:r w:rsidR="00C92BD7" w:rsidRPr="0032635B">
        <w:rPr>
          <w:rFonts w:ascii="Book Antiqua" w:eastAsia="宋体" w:hAnsi="Book Antiqua" w:cs="Times New Roman"/>
          <w:sz w:val="24"/>
          <w:szCs w:val="24"/>
          <w:lang w:eastAsia="zh-CN"/>
        </w:rPr>
        <w:t>,</w:t>
      </w:r>
      <w:r w:rsidR="00C92BD7" w:rsidRPr="0032635B">
        <w:rPr>
          <w:rFonts w:ascii="Book Antiqua" w:hAnsi="Book Antiqua" w:cs="Times New Roman"/>
          <w:sz w:val="24"/>
          <w:szCs w:val="24"/>
        </w:rPr>
        <w:t xml:space="preserve"> Kure</w:t>
      </w:r>
      <w:r w:rsidR="00945497" w:rsidRPr="0032635B">
        <w:rPr>
          <w:rFonts w:ascii="Book Antiqua" w:hAnsi="Book Antiqua"/>
          <w:sz w:val="24"/>
          <w:szCs w:val="24"/>
        </w:rPr>
        <w:t xml:space="preserve"> </w:t>
      </w:r>
      <w:r w:rsidR="00945497" w:rsidRPr="0032635B">
        <w:rPr>
          <w:rFonts w:ascii="Book Antiqua" w:hAnsi="Book Antiqua" w:cs="Times New Roman"/>
          <w:sz w:val="24"/>
          <w:szCs w:val="24"/>
        </w:rPr>
        <w:t>737-0134</w:t>
      </w:r>
      <w:r w:rsidR="00C92BD7" w:rsidRPr="0032635B">
        <w:rPr>
          <w:rFonts w:ascii="Book Antiqua" w:hAnsi="Book Antiqua" w:cs="Times New Roman"/>
          <w:sz w:val="24"/>
          <w:szCs w:val="24"/>
        </w:rPr>
        <w:t>, Japan</w:t>
      </w:r>
    </w:p>
    <w:p w:rsidR="00C92BD7" w:rsidRPr="0032635B" w:rsidRDefault="00C92BD7" w:rsidP="00C92BD7">
      <w:pPr>
        <w:widowControl/>
        <w:spacing w:line="360" w:lineRule="auto"/>
        <w:rPr>
          <w:rFonts w:ascii="Book Antiqua" w:eastAsia="宋体" w:hAnsi="Book Antiqua" w:cs="Times New Roman"/>
          <w:sz w:val="24"/>
          <w:szCs w:val="24"/>
          <w:lang w:eastAsia="zh-CN"/>
        </w:rPr>
      </w:pPr>
    </w:p>
    <w:p w:rsidR="001D5381" w:rsidRPr="0032635B" w:rsidRDefault="000E4AF2" w:rsidP="00C92BD7">
      <w:pPr>
        <w:widowControl/>
        <w:spacing w:line="360" w:lineRule="auto"/>
        <w:rPr>
          <w:rFonts w:ascii="Book Antiqua" w:eastAsia="宋体" w:hAnsi="Book Antiqua" w:cs="Times New Roman"/>
          <w:sz w:val="24"/>
          <w:szCs w:val="24"/>
          <w:lang w:eastAsia="zh-CN"/>
        </w:rPr>
      </w:pPr>
      <w:proofErr w:type="spellStart"/>
      <w:r w:rsidRPr="0032635B">
        <w:rPr>
          <w:rFonts w:ascii="Book Antiqua" w:hAnsi="Book Antiqua"/>
          <w:b/>
          <w:sz w:val="24"/>
          <w:szCs w:val="24"/>
        </w:rPr>
        <w:t>Noriaki</w:t>
      </w:r>
      <w:proofErr w:type="spellEnd"/>
      <w:r w:rsidRPr="0032635B">
        <w:rPr>
          <w:rFonts w:ascii="Book Antiqua" w:hAnsi="Book Antiqua"/>
          <w:b/>
          <w:sz w:val="24"/>
          <w:szCs w:val="24"/>
        </w:rPr>
        <w:t xml:space="preserve"> </w:t>
      </w:r>
      <w:proofErr w:type="spellStart"/>
      <w:r w:rsidRPr="0032635B">
        <w:rPr>
          <w:rFonts w:ascii="Book Antiqua" w:hAnsi="Book Antiqua"/>
          <w:b/>
          <w:sz w:val="24"/>
          <w:szCs w:val="24"/>
        </w:rPr>
        <w:t>Manabe</w:t>
      </w:r>
      <w:proofErr w:type="spellEnd"/>
      <w:r w:rsidRPr="0032635B">
        <w:rPr>
          <w:rFonts w:ascii="Book Antiqua" w:hAnsi="Book Antiqua"/>
          <w:b/>
          <w:sz w:val="24"/>
          <w:szCs w:val="24"/>
        </w:rPr>
        <w:t>,</w:t>
      </w:r>
      <w:r w:rsidRPr="0032635B">
        <w:rPr>
          <w:rFonts w:ascii="Book Antiqua" w:hAnsi="Book Antiqua" w:cs="Times New Roman"/>
          <w:sz w:val="24"/>
          <w:szCs w:val="24"/>
          <w:vertAlign w:val="superscript"/>
        </w:rPr>
        <w:t xml:space="preserve"> </w:t>
      </w:r>
      <w:r w:rsidR="001D5381" w:rsidRPr="0032635B">
        <w:rPr>
          <w:rFonts w:ascii="Book Antiqua" w:hAnsi="Book Antiqua" w:cs="Times New Roman"/>
          <w:sz w:val="24"/>
          <w:szCs w:val="24"/>
        </w:rPr>
        <w:t>Department of Gastroenterology, Kawasaki Med</w:t>
      </w:r>
      <w:r w:rsidR="00C92BD7" w:rsidRPr="0032635B">
        <w:rPr>
          <w:rFonts w:ascii="Book Antiqua" w:hAnsi="Book Antiqua" w:cs="Times New Roman"/>
          <w:sz w:val="24"/>
          <w:szCs w:val="24"/>
        </w:rPr>
        <w:t>ical School Hospital, Kurashiki</w:t>
      </w:r>
      <w:r w:rsidR="00945497" w:rsidRPr="0032635B">
        <w:rPr>
          <w:rFonts w:ascii="Book Antiqua" w:eastAsia="宋体" w:hAnsi="Book Antiqua" w:cs="Times New Roman"/>
          <w:sz w:val="24"/>
          <w:szCs w:val="24"/>
          <w:lang w:eastAsia="zh-CN"/>
        </w:rPr>
        <w:t xml:space="preserve"> 701-0192</w:t>
      </w:r>
      <w:r w:rsidR="00C92BD7" w:rsidRPr="0032635B">
        <w:rPr>
          <w:rFonts w:ascii="Book Antiqua" w:hAnsi="Book Antiqua" w:cs="Times New Roman"/>
          <w:sz w:val="24"/>
          <w:szCs w:val="24"/>
        </w:rPr>
        <w:t>, Japan</w:t>
      </w:r>
    </w:p>
    <w:p w:rsidR="00C92BD7" w:rsidRPr="0032635B" w:rsidRDefault="00C92BD7" w:rsidP="00C92BD7">
      <w:pPr>
        <w:widowControl/>
        <w:spacing w:line="360" w:lineRule="auto"/>
        <w:rPr>
          <w:rFonts w:ascii="Book Antiqua" w:eastAsia="宋体" w:hAnsi="Book Antiqua" w:cs="Times New Roman"/>
          <w:sz w:val="24"/>
          <w:szCs w:val="24"/>
          <w:lang w:eastAsia="zh-CN"/>
        </w:rPr>
      </w:pPr>
    </w:p>
    <w:p w:rsidR="001D5381" w:rsidRPr="0032635B" w:rsidRDefault="00863F5E" w:rsidP="00C92BD7">
      <w:pPr>
        <w:widowControl/>
        <w:spacing w:line="360" w:lineRule="auto"/>
        <w:rPr>
          <w:rFonts w:ascii="Book Antiqua" w:eastAsia="宋体" w:hAnsi="Book Antiqua" w:cs="Times New Roman"/>
          <w:sz w:val="24"/>
          <w:szCs w:val="24"/>
          <w:lang w:eastAsia="zh-CN"/>
        </w:rPr>
      </w:pPr>
      <w:r w:rsidRPr="0032635B">
        <w:rPr>
          <w:rFonts w:ascii="Book Antiqua" w:hAnsi="Book Antiqua"/>
          <w:b/>
          <w:sz w:val="24"/>
          <w:szCs w:val="24"/>
        </w:rPr>
        <w:t xml:space="preserve">Shinji Tanaka, </w:t>
      </w:r>
      <w:r w:rsidR="00BE0A24" w:rsidRPr="0032635B">
        <w:rPr>
          <w:rFonts w:ascii="Book Antiqua" w:hAnsi="Book Antiqua" w:cs="Times New Roman"/>
          <w:sz w:val="24"/>
          <w:szCs w:val="24"/>
        </w:rPr>
        <w:t xml:space="preserve">Department of </w:t>
      </w:r>
      <w:r w:rsidR="003022B0" w:rsidRPr="0032635B">
        <w:rPr>
          <w:rFonts w:ascii="Book Antiqua" w:hAnsi="Book Antiqua" w:cs="Times New Roman"/>
          <w:sz w:val="24"/>
          <w:szCs w:val="24"/>
        </w:rPr>
        <w:t>Endoscopy</w:t>
      </w:r>
      <w:r w:rsidR="00BE0A24" w:rsidRPr="0032635B">
        <w:rPr>
          <w:rFonts w:ascii="Book Antiqua" w:hAnsi="Book Antiqua" w:cs="Times New Roman"/>
          <w:sz w:val="24"/>
          <w:szCs w:val="24"/>
        </w:rPr>
        <w:t xml:space="preserve">, </w:t>
      </w:r>
      <w:r w:rsidR="003022B0" w:rsidRPr="0032635B">
        <w:rPr>
          <w:rFonts w:ascii="Book Antiqua" w:hAnsi="Book Antiqua" w:cs="Times New Roman"/>
          <w:sz w:val="24"/>
          <w:szCs w:val="24"/>
        </w:rPr>
        <w:t>Hiroshima</w:t>
      </w:r>
      <w:r w:rsidR="00BE0A24" w:rsidRPr="0032635B">
        <w:rPr>
          <w:rFonts w:ascii="Book Antiqua" w:hAnsi="Book Antiqua" w:cs="Times New Roman"/>
          <w:sz w:val="24"/>
          <w:szCs w:val="24"/>
        </w:rPr>
        <w:t xml:space="preserve"> University Hospital, </w:t>
      </w:r>
      <w:r w:rsidR="00C92BD7" w:rsidRPr="0032635B">
        <w:rPr>
          <w:rFonts w:ascii="Book Antiqua" w:hAnsi="Book Antiqua" w:cs="Times New Roman"/>
          <w:sz w:val="24"/>
          <w:szCs w:val="24"/>
        </w:rPr>
        <w:t>Hiroshima</w:t>
      </w:r>
      <w:r w:rsidR="0092168C" w:rsidRPr="0032635B">
        <w:rPr>
          <w:rFonts w:ascii="Book Antiqua" w:hAnsi="Book Antiqua"/>
          <w:sz w:val="24"/>
          <w:szCs w:val="24"/>
        </w:rPr>
        <w:t xml:space="preserve"> </w:t>
      </w:r>
      <w:r w:rsidR="0092168C" w:rsidRPr="0032635B">
        <w:rPr>
          <w:rFonts w:ascii="Book Antiqua" w:hAnsi="Book Antiqua" w:cs="Times New Roman"/>
          <w:sz w:val="24"/>
          <w:szCs w:val="24"/>
        </w:rPr>
        <w:t>734-8551</w:t>
      </w:r>
      <w:r w:rsidR="00C92BD7" w:rsidRPr="0032635B">
        <w:rPr>
          <w:rFonts w:ascii="Book Antiqua" w:hAnsi="Book Antiqua" w:cs="Times New Roman"/>
          <w:sz w:val="24"/>
          <w:szCs w:val="24"/>
        </w:rPr>
        <w:t>, Japan</w:t>
      </w:r>
    </w:p>
    <w:p w:rsidR="00C92BD7" w:rsidRPr="0032635B" w:rsidRDefault="00C92BD7" w:rsidP="00C92BD7">
      <w:pPr>
        <w:widowControl/>
        <w:spacing w:line="360" w:lineRule="auto"/>
        <w:rPr>
          <w:rFonts w:ascii="Book Antiqua" w:eastAsia="宋体" w:hAnsi="Book Antiqua" w:cs="Times New Roman"/>
          <w:sz w:val="24"/>
          <w:szCs w:val="24"/>
          <w:lang w:eastAsia="zh-CN"/>
        </w:rPr>
      </w:pPr>
    </w:p>
    <w:p w:rsidR="00801AA0" w:rsidRPr="0032635B" w:rsidRDefault="00801AA0" w:rsidP="00C92BD7">
      <w:pPr>
        <w:widowControl/>
        <w:spacing w:line="360" w:lineRule="auto"/>
        <w:rPr>
          <w:rFonts w:ascii="Book Antiqua" w:eastAsia="宋体" w:hAnsi="Book Antiqua"/>
          <w:sz w:val="24"/>
          <w:szCs w:val="24"/>
          <w:lang w:eastAsia="zh-CN"/>
        </w:rPr>
      </w:pPr>
      <w:r w:rsidRPr="0032635B">
        <w:rPr>
          <w:rFonts w:ascii="Book Antiqua" w:hAnsi="Book Antiqua"/>
          <w:b/>
          <w:sz w:val="24"/>
          <w:szCs w:val="24"/>
        </w:rPr>
        <w:t xml:space="preserve">Ken </w:t>
      </w:r>
      <w:proofErr w:type="spellStart"/>
      <w:r w:rsidRPr="0032635B">
        <w:rPr>
          <w:rFonts w:ascii="Book Antiqua" w:hAnsi="Book Antiqua"/>
          <w:b/>
          <w:sz w:val="24"/>
          <w:szCs w:val="24"/>
        </w:rPr>
        <w:t>Haruma</w:t>
      </w:r>
      <w:proofErr w:type="spellEnd"/>
      <w:r w:rsidRPr="0032635B">
        <w:rPr>
          <w:rFonts w:ascii="Book Antiqua" w:hAnsi="Book Antiqua"/>
          <w:b/>
          <w:sz w:val="24"/>
          <w:szCs w:val="24"/>
        </w:rPr>
        <w:t xml:space="preserve">, </w:t>
      </w:r>
      <w:r w:rsidRPr="0032635B">
        <w:rPr>
          <w:rFonts w:ascii="Book Antiqua" w:hAnsi="Book Antiqua"/>
          <w:sz w:val="24"/>
          <w:szCs w:val="24"/>
        </w:rPr>
        <w:t>Department of</w:t>
      </w:r>
      <w:r w:rsidRPr="0032635B">
        <w:rPr>
          <w:rFonts w:ascii="Book Antiqua" w:hAnsi="Book Antiqua"/>
          <w:b/>
          <w:sz w:val="24"/>
          <w:szCs w:val="24"/>
        </w:rPr>
        <w:t xml:space="preserve"> </w:t>
      </w:r>
      <w:r w:rsidRPr="0032635B">
        <w:rPr>
          <w:rFonts w:ascii="Book Antiqua" w:hAnsi="Book Antiqua"/>
          <w:sz w:val="24"/>
          <w:szCs w:val="24"/>
        </w:rPr>
        <w:t>General Internal Medicine 2, Kawasaki Hospital, Kawasaki Medical School</w:t>
      </w:r>
      <w:r w:rsidR="00C92BD7" w:rsidRPr="0032635B">
        <w:rPr>
          <w:rFonts w:ascii="Book Antiqua" w:hAnsi="Book Antiqua"/>
          <w:sz w:val="24"/>
          <w:szCs w:val="24"/>
        </w:rPr>
        <w:t xml:space="preserve">, </w:t>
      </w:r>
      <w:r w:rsidR="00473E0F" w:rsidRPr="0032635B">
        <w:rPr>
          <w:rFonts w:ascii="Book Antiqua" w:hAnsi="Book Antiqua"/>
          <w:sz w:val="24"/>
          <w:szCs w:val="24"/>
        </w:rPr>
        <w:t xml:space="preserve">Okayama 708-0841, </w:t>
      </w:r>
      <w:r w:rsidR="00C92BD7" w:rsidRPr="0032635B">
        <w:rPr>
          <w:rFonts w:ascii="Book Antiqua" w:hAnsi="Book Antiqua" w:cs="Times New Roman"/>
          <w:sz w:val="24"/>
          <w:szCs w:val="24"/>
        </w:rPr>
        <w:t>Japan</w:t>
      </w:r>
    </w:p>
    <w:p w:rsidR="00C92BD7" w:rsidRPr="0032635B" w:rsidRDefault="00C92BD7" w:rsidP="00C92BD7">
      <w:pPr>
        <w:widowControl/>
        <w:spacing w:line="360" w:lineRule="auto"/>
        <w:rPr>
          <w:rFonts w:ascii="Book Antiqua" w:eastAsia="宋体" w:hAnsi="Book Antiqua"/>
          <w:sz w:val="24"/>
          <w:szCs w:val="24"/>
          <w:shd w:val="pct15" w:color="auto" w:fill="FFFFFF"/>
          <w:lang w:eastAsia="zh-CN"/>
        </w:rPr>
      </w:pPr>
    </w:p>
    <w:p w:rsidR="001D5381" w:rsidRPr="0032635B" w:rsidRDefault="00863F5E" w:rsidP="00C92BD7">
      <w:pPr>
        <w:widowControl/>
        <w:spacing w:line="360" w:lineRule="auto"/>
        <w:rPr>
          <w:rFonts w:ascii="Book Antiqua" w:hAnsi="Book Antiqua" w:cs="Times New Roman"/>
          <w:sz w:val="24"/>
          <w:szCs w:val="24"/>
        </w:rPr>
      </w:pPr>
      <w:r w:rsidRPr="0032635B">
        <w:rPr>
          <w:rFonts w:ascii="Book Antiqua" w:hAnsi="Book Antiqua"/>
          <w:b/>
          <w:sz w:val="24"/>
          <w:szCs w:val="24"/>
        </w:rPr>
        <w:t xml:space="preserve">Yoshikazu Kinoshita, </w:t>
      </w:r>
      <w:r w:rsidR="001D5381" w:rsidRPr="0032635B">
        <w:rPr>
          <w:rFonts w:ascii="Book Antiqua" w:hAnsi="Book Antiqua" w:cs="Times New Roman"/>
          <w:sz w:val="24"/>
          <w:szCs w:val="24"/>
        </w:rPr>
        <w:t xml:space="preserve">Department of Gastroenterology and </w:t>
      </w:r>
      <w:proofErr w:type="spellStart"/>
      <w:r w:rsidR="001D5381" w:rsidRPr="0032635B">
        <w:rPr>
          <w:rFonts w:ascii="Book Antiqua" w:hAnsi="Book Antiqua" w:cs="Times New Roman"/>
          <w:sz w:val="24"/>
          <w:szCs w:val="24"/>
        </w:rPr>
        <w:t>Hepatology</w:t>
      </w:r>
      <w:proofErr w:type="spellEnd"/>
      <w:r w:rsidR="001D5381" w:rsidRPr="0032635B">
        <w:rPr>
          <w:rFonts w:ascii="Book Antiqua" w:hAnsi="Book Antiqua" w:cs="Times New Roman"/>
          <w:sz w:val="24"/>
          <w:szCs w:val="24"/>
        </w:rPr>
        <w:t xml:space="preserve">, Shimane University Hospital, </w:t>
      </w:r>
      <w:proofErr w:type="spellStart"/>
      <w:r w:rsidR="001D5381" w:rsidRPr="0032635B">
        <w:rPr>
          <w:rFonts w:ascii="Book Antiqua" w:hAnsi="Book Antiqua" w:cs="Times New Roman"/>
          <w:sz w:val="24"/>
          <w:szCs w:val="24"/>
        </w:rPr>
        <w:t>Izumo</w:t>
      </w:r>
      <w:proofErr w:type="spellEnd"/>
      <w:r w:rsidR="0092168C" w:rsidRPr="0032635B">
        <w:rPr>
          <w:rFonts w:ascii="Book Antiqua" w:hAnsi="Book Antiqua"/>
          <w:sz w:val="24"/>
          <w:szCs w:val="24"/>
        </w:rPr>
        <w:t xml:space="preserve"> </w:t>
      </w:r>
      <w:r w:rsidR="0092168C" w:rsidRPr="0032635B">
        <w:rPr>
          <w:rFonts w:ascii="Book Antiqua" w:hAnsi="Book Antiqua" w:cs="Times New Roman"/>
          <w:sz w:val="24"/>
          <w:szCs w:val="24"/>
        </w:rPr>
        <w:t>693-0021</w:t>
      </w:r>
      <w:r w:rsidR="001D5381" w:rsidRPr="0032635B">
        <w:rPr>
          <w:rFonts w:ascii="Book Antiqua" w:hAnsi="Book Antiqua" w:cs="Times New Roman"/>
          <w:sz w:val="24"/>
          <w:szCs w:val="24"/>
        </w:rPr>
        <w:t>, Japan</w:t>
      </w:r>
    </w:p>
    <w:p w:rsidR="003E0E82" w:rsidRPr="0032635B" w:rsidRDefault="003E0E82" w:rsidP="00C92BD7">
      <w:pPr>
        <w:widowControl/>
        <w:spacing w:line="360" w:lineRule="auto"/>
        <w:rPr>
          <w:rFonts w:ascii="Book Antiqua" w:hAnsi="Book Antiqua" w:cs="Times New Roman"/>
          <w:sz w:val="24"/>
          <w:szCs w:val="24"/>
        </w:rPr>
      </w:pPr>
    </w:p>
    <w:p w:rsidR="003E0E82" w:rsidRPr="0032635B" w:rsidRDefault="00F0474A" w:rsidP="00C92BD7">
      <w:pPr>
        <w:widowControl/>
        <w:spacing w:line="360" w:lineRule="auto"/>
        <w:rPr>
          <w:rFonts w:ascii="Book Antiqua" w:hAnsi="Book Antiqua" w:cs="Times New Roman"/>
          <w:b/>
          <w:sz w:val="24"/>
          <w:szCs w:val="24"/>
        </w:rPr>
      </w:pPr>
      <w:r w:rsidRPr="0032635B">
        <w:rPr>
          <w:rFonts w:ascii="Book Antiqua" w:hAnsi="Book Antiqua" w:cs="Times New Roman"/>
          <w:b/>
          <w:sz w:val="24"/>
          <w:szCs w:val="24"/>
        </w:rPr>
        <w:t xml:space="preserve">Author contributions: </w:t>
      </w:r>
      <w:r w:rsidR="00E2782E" w:rsidRPr="0032635B">
        <w:rPr>
          <w:rFonts w:ascii="Book Antiqua" w:hAnsi="Book Antiqua" w:cs="Times New Roman"/>
          <w:sz w:val="24"/>
          <w:szCs w:val="24"/>
        </w:rPr>
        <w:t xml:space="preserve">Kinoshita Y, Okada H, Tanaka S and </w:t>
      </w:r>
      <w:proofErr w:type="spellStart"/>
      <w:r w:rsidR="00E2782E" w:rsidRPr="0032635B">
        <w:rPr>
          <w:rFonts w:ascii="Book Antiqua" w:hAnsi="Book Antiqua" w:cs="Times New Roman"/>
          <w:sz w:val="24"/>
          <w:szCs w:val="24"/>
        </w:rPr>
        <w:t>Haruma</w:t>
      </w:r>
      <w:proofErr w:type="spellEnd"/>
      <w:r w:rsidR="00E2782E" w:rsidRPr="0032635B">
        <w:rPr>
          <w:rFonts w:ascii="Book Antiqua" w:hAnsi="Book Antiqua" w:cs="Times New Roman"/>
          <w:sz w:val="24"/>
          <w:szCs w:val="24"/>
        </w:rPr>
        <w:t xml:space="preserve"> K designed this study; </w:t>
      </w:r>
      <w:proofErr w:type="spellStart"/>
      <w:r w:rsidR="00E2782E" w:rsidRPr="0032635B">
        <w:rPr>
          <w:rFonts w:ascii="Book Antiqua" w:hAnsi="Book Antiqua"/>
          <w:sz w:val="24"/>
          <w:szCs w:val="24"/>
        </w:rPr>
        <w:t>Takenaka</w:t>
      </w:r>
      <w:proofErr w:type="spellEnd"/>
      <w:r w:rsidR="00E2782E" w:rsidRPr="0032635B">
        <w:rPr>
          <w:rFonts w:ascii="Book Antiqua" w:hAnsi="Book Antiqua"/>
          <w:sz w:val="24"/>
          <w:szCs w:val="24"/>
        </w:rPr>
        <w:t xml:space="preserve"> R</w:t>
      </w:r>
      <w:r w:rsidR="00E2782E" w:rsidRPr="0032635B">
        <w:rPr>
          <w:rFonts w:ascii="Book Antiqua" w:hAnsi="Book Antiqua"/>
          <w:b/>
          <w:sz w:val="24"/>
          <w:szCs w:val="24"/>
        </w:rPr>
        <w:t>,</w:t>
      </w:r>
      <w:r w:rsidR="00E2782E" w:rsidRPr="0032635B">
        <w:rPr>
          <w:rFonts w:ascii="Book Antiqua" w:hAnsi="Book Antiqua"/>
          <w:sz w:val="24"/>
          <w:szCs w:val="24"/>
        </w:rPr>
        <w:t xml:space="preserve"> Okada H, Kawano S, </w:t>
      </w:r>
      <w:proofErr w:type="spellStart"/>
      <w:r w:rsidR="00E2782E" w:rsidRPr="0032635B">
        <w:rPr>
          <w:rFonts w:ascii="Book Antiqua" w:hAnsi="Book Antiqua"/>
          <w:sz w:val="24"/>
          <w:szCs w:val="24"/>
        </w:rPr>
        <w:t>Komazawa</w:t>
      </w:r>
      <w:proofErr w:type="spellEnd"/>
      <w:r w:rsidR="00E2782E" w:rsidRPr="0032635B">
        <w:rPr>
          <w:rFonts w:ascii="Book Antiqua" w:hAnsi="Book Antiqua"/>
          <w:sz w:val="24"/>
          <w:szCs w:val="24"/>
        </w:rPr>
        <w:t xml:space="preserve"> Y, </w:t>
      </w:r>
      <w:proofErr w:type="spellStart"/>
      <w:r w:rsidR="00E2782E" w:rsidRPr="0032635B">
        <w:rPr>
          <w:rFonts w:ascii="Book Antiqua" w:hAnsi="Book Antiqua"/>
          <w:sz w:val="24"/>
          <w:szCs w:val="24"/>
        </w:rPr>
        <w:t>Yoshinaga</w:t>
      </w:r>
      <w:proofErr w:type="spellEnd"/>
      <w:r w:rsidR="00E2782E" w:rsidRPr="0032635B">
        <w:rPr>
          <w:rFonts w:ascii="Book Antiqua" w:hAnsi="Book Antiqua"/>
          <w:sz w:val="24"/>
          <w:szCs w:val="24"/>
        </w:rPr>
        <w:t xml:space="preserve"> F, Nagata S, Inoue M, Komatsu H, </w:t>
      </w:r>
      <w:proofErr w:type="spellStart"/>
      <w:r w:rsidR="00E2782E" w:rsidRPr="0032635B">
        <w:rPr>
          <w:rFonts w:ascii="Book Antiqua" w:hAnsi="Book Antiqua"/>
          <w:sz w:val="24"/>
          <w:szCs w:val="24"/>
        </w:rPr>
        <w:t>Onogawa</w:t>
      </w:r>
      <w:proofErr w:type="spellEnd"/>
      <w:r w:rsidR="00E2782E" w:rsidRPr="0032635B">
        <w:rPr>
          <w:rFonts w:ascii="Book Antiqua" w:hAnsi="Book Antiqua"/>
          <w:sz w:val="24"/>
          <w:szCs w:val="24"/>
        </w:rPr>
        <w:t xml:space="preserve"> S, </w:t>
      </w:r>
      <w:proofErr w:type="spellStart"/>
      <w:r w:rsidR="00E2782E" w:rsidRPr="0032635B">
        <w:rPr>
          <w:rFonts w:ascii="Book Antiqua" w:hAnsi="Book Antiqua"/>
          <w:sz w:val="24"/>
          <w:szCs w:val="24"/>
        </w:rPr>
        <w:t>Kushiyama</w:t>
      </w:r>
      <w:proofErr w:type="spellEnd"/>
      <w:r w:rsidR="00E2782E" w:rsidRPr="0032635B">
        <w:rPr>
          <w:rFonts w:ascii="Book Antiqua" w:hAnsi="Book Antiqua"/>
          <w:sz w:val="24"/>
          <w:szCs w:val="24"/>
        </w:rPr>
        <w:t xml:space="preserve"> Y, </w:t>
      </w:r>
      <w:proofErr w:type="spellStart"/>
      <w:r w:rsidR="00E2782E" w:rsidRPr="0032635B">
        <w:rPr>
          <w:rFonts w:ascii="Book Antiqua" w:hAnsi="Book Antiqua"/>
          <w:sz w:val="24"/>
          <w:szCs w:val="24"/>
        </w:rPr>
        <w:t>Mukai</w:t>
      </w:r>
      <w:proofErr w:type="spellEnd"/>
      <w:r w:rsidR="00E2782E" w:rsidRPr="0032635B">
        <w:rPr>
          <w:rFonts w:ascii="Book Antiqua" w:hAnsi="Book Antiqua"/>
          <w:sz w:val="24"/>
          <w:szCs w:val="24"/>
        </w:rPr>
        <w:t xml:space="preserve"> S, </w:t>
      </w:r>
      <w:proofErr w:type="spellStart"/>
      <w:r w:rsidR="00E2782E" w:rsidRPr="0032635B">
        <w:rPr>
          <w:rFonts w:ascii="Book Antiqua" w:hAnsi="Book Antiqua"/>
          <w:sz w:val="24"/>
          <w:szCs w:val="24"/>
        </w:rPr>
        <w:t>Todo</w:t>
      </w:r>
      <w:proofErr w:type="spellEnd"/>
      <w:r w:rsidR="00E2782E" w:rsidRPr="0032635B">
        <w:rPr>
          <w:rFonts w:ascii="Book Antiqua" w:hAnsi="Book Antiqua"/>
          <w:sz w:val="24"/>
          <w:szCs w:val="24"/>
        </w:rPr>
        <w:t xml:space="preserve"> H, </w:t>
      </w:r>
      <w:proofErr w:type="spellStart"/>
      <w:r w:rsidR="00E2782E" w:rsidRPr="0032635B">
        <w:rPr>
          <w:rFonts w:ascii="Book Antiqua" w:hAnsi="Book Antiqua"/>
          <w:sz w:val="24"/>
          <w:szCs w:val="24"/>
        </w:rPr>
        <w:t>Okanobu</w:t>
      </w:r>
      <w:proofErr w:type="spellEnd"/>
      <w:r w:rsidR="00E2782E" w:rsidRPr="0032635B">
        <w:rPr>
          <w:rFonts w:ascii="Book Antiqua" w:hAnsi="Book Antiqua"/>
          <w:sz w:val="24"/>
          <w:szCs w:val="24"/>
        </w:rPr>
        <w:t xml:space="preserve"> H, </w:t>
      </w:r>
      <w:proofErr w:type="spellStart"/>
      <w:r w:rsidR="00E2782E" w:rsidRPr="0032635B">
        <w:rPr>
          <w:rFonts w:ascii="Book Antiqua" w:hAnsi="Book Antiqua"/>
          <w:sz w:val="24"/>
          <w:szCs w:val="24"/>
        </w:rPr>
        <w:t>Manabe</w:t>
      </w:r>
      <w:proofErr w:type="spellEnd"/>
      <w:r w:rsidR="00E2782E" w:rsidRPr="0032635B">
        <w:rPr>
          <w:rFonts w:ascii="Book Antiqua" w:hAnsi="Book Antiqua"/>
          <w:sz w:val="24"/>
          <w:szCs w:val="24"/>
        </w:rPr>
        <w:t xml:space="preserve"> N and Kinoshita Y</w:t>
      </w:r>
      <w:r w:rsidR="00E2782E" w:rsidRPr="0032635B">
        <w:rPr>
          <w:rFonts w:ascii="Book Antiqua" w:hAnsi="Book Antiqua" w:cs="Times New Roman"/>
          <w:sz w:val="24"/>
          <w:szCs w:val="24"/>
        </w:rPr>
        <w:t xml:space="preserve"> performed the research; </w:t>
      </w:r>
      <w:proofErr w:type="spellStart"/>
      <w:r w:rsidR="00E2782E" w:rsidRPr="0032635B">
        <w:rPr>
          <w:rFonts w:ascii="Book Antiqua" w:hAnsi="Book Antiqua"/>
          <w:sz w:val="24"/>
          <w:szCs w:val="24"/>
        </w:rPr>
        <w:t>Takenaka</w:t>
      </w:r>
      <w:proofErr w:type="spellEnd"/>
      <w:r w:rsidR="00E2782E" w:rsidRPr="0032635B">
        <w:rPr>
          <w:rFonts w:ascii="Book Antiqua" w:hAnsi="Book Antiqua"/>
          <w:sz w:val="24"/>
          <w:szCs w:val="24"/>
        </w:rPr>
        <w:t xml:space="preserve"> R and Kinoshita Y analyzed the data</w:t>
      </w:r>
      <w:r w:rsidR="00233BE7" w:rsidRPr="0032635B">
        <w:rPr>
          <w:rFonts w:ascii="Book Antiqua" w:hAnsi="Book Antiqua"/>
          <w:sz w:val="24"/>
          <w:szCs w:val="24"/>
        </w:rPr>
        <w:t xml:space="preserve">; </w:t>
      </w:r>
      <w:proofErr w:type="spellStart"/>
      <w:r w:rsidR="00233BE7" w:rsidRPr="0032635B">
        <w:rPr>
          <w:rFonts w:ascii="Book Antiqua" w:hAnsi="Book Antiqua" w:cs="Times New Roman"/>
          <w:sz w:val="24"/>
          <w:szCs w:val="24"/>
        </w:rPr>
        <w:t>Takenaka</w:t>
      </w:r>
      <w:proofErr w:type="spellEnd"/>
      <w:r w:rsidR="00233BE7" w:rsidRPr="0032635B">
        <w:rPr>
          <w:rFonts w:ascii="Book Antiqua" w:hAnsi="Book Antiqua" w:cs="Times New Roman"/>
          <w:sz w:val="24"/>
          <w:szCs w:val="24"/>
        </w:rPr>
        <w:t xml:space="preserve"> R, Okada H and Kinoshita Y wrote the paper and all co-authors approved the final version of the paper.</w:t>
      </w:r>
    </w:p>
    <w:p w:rsidR="00112684" w:rsidRPr="0032635B" w:rsidRDefault="00112684" w:rsidP="00C92BD7">
      <w:pPr>
        <w:widowControl/>
        <w:spacing w:line="360" w:lineRule="auto"/>
        <w:rPr>
          <w:rFonts w:ascii="Book Antiqua" w:hAnsi="Book Antiqua" w:cs="Times New Roman"/>
          <w:sz w:val="24"/>
          <w:szCs w:val="24"/>
        </w:rPr>
      </w:pPr>
    </w:p>
    <w:p w:rsidR="00112684" w:rsidRPr="0032635B" w:rsidRDefault="00C92BD7" w:rsidP="00C92BD7">
      <w:pPr>
        <w:widowControl/>
        <w:spacing w:line="360" w:lineRule="auto"/>
        <w:rPr>
          <w:rFonts w:ascii="Book Antiqua" w:hAnsi="Book Antiqua" w:cs="Times New Roman"/>
          <w:sz w:val="24"/>
          <w:szCs w:val="24"/>
        </w:rPr>
      </w:pPr>
      <w:proofErr w:type="gramStart"/>
      <w:r w:rsidRPr="0032635B">
        <w:rPr>
          <w:rFonts w:ascii="Book Antiqua" w:hAnsi="Book Antiqua" w:cs="Times New Roman"/>
          <w:b/>
          <w:sz w:val="24"/>
          <w:szCs w:val="24"/>
        </w:rPr>
        <w:t xml:space="preserve">Supported </w:t>
      </w:r>
      <w:r w:rsidR="007146B3" w:rsidRPr="0032635B">
        <w:rPr>
          <w:rFonts w:ascii="Book Antiqua" w:hAnsi="Book Antiqua" w:cs="Times New Roman"/>
          <w:b/>
          <w:sz w:val="24"/>
          <w:szCs w:val="24"/>
        </w:rPr>
        <w:t>by</w:t>
      </w:r>
      <w:r w:rsidR="007146B3" w:rsidRPr="0032635B">
        <w:rPr>
          <w:rFonts w:ascii="Book Antiqua" w:hAnsi="Book Antiqua" w:cs="Times New Roman"/>
          <w:sz w:val="24"/>
          <w:szCs w:val="24"/>
        </w:rPr>
        <w:t xml:space="preserve"> </w:t>
      </w:r>
      <w:proofErr w:type="spellStart"/>
      <w:r w:rsidR="007146B3" w:rsidRPr="0032635B">
        <w:rPr>
          <w:rFonts w:ascii="Book Antiqua" w:hAnsi="Book Antiqua" w:cs="Times New Roman"/>
          <w:sz w:val="24"/>
          <w:szCs w:val="24"/>
        </w:rPr>
        <w:t>Taiho</w:t>
      </w:r>
      <w:proofErr w:type="spellEnd"/>
      <w:r w:rsidR="007146B3" w:rsidRPr="0032635B">
        <w:rPr>
          <w:rFonts w:ascii="Book Antiqua" w:hAnsi="Book Antiqua" w:cs="Times New Roman"/>
          <w:sz w:val="24"/>
          <w:szCs w:val="24"/>
        </w:rPr>
        <w:t xml:space="preserve"> pharmaceutical co. ltd.</w:t>
      </w:r>
      <w:proofErr w:type="gramEnd"/>
    </w:p>
    <w:p w:rsidR="00112684" w:rsidRPr="0032635B" w:rsidRDefault="00112684" w:rsidP="00C92BD7">
      <w:pPr>
        <w:widowControl/>
        <w:spacing w:line="360" w:lineRule="auto"/>
        <w:rPr>
          <w:rFonts w:ascii="Book Antiqua" w:hAnsi="Book Antiqua" w:cs="Times New Roman"/>
          <w:sz w:val="24"/>
          <w:szCs w:val="24"/>
        </w:rPr>
      </w:pPr>
    </w:p>
    <w:p w:rsidR="00112684" w:rsidRPr="0032635B" w:rsidRDefault="00233BE7" w:rsidP="00C92BD7">
      <w:pPr>
        <w:widowControl/>
        <w:spacing w:line="360" w:lineRule="auto"/>
        <w:rPr>
          <w:rFonts w:ascii="Book Antiqua" w:hAnsi="Book Antiqua" w:cs="Times New Roman"/>
          <w:sz w:val="24"/>
          <w:szCs w:val="24"/>
        </w:rPr>
      </w:pPr>
      <w:r w:rsidRPr="0032635B">
        <w:rPr>
          <w:rFonts w:ascii="Book Antiqua" w:hAnsi="Book Antiqua" w:cs="Times New Roman"/>
          <w:b/>
          <w:sz w:val="24"/>
          <w:szCs w:val="24"/>
        </w:rPr>
        <w:t>Institut</w:t>
      </w:r>
      <w:r w:rsidR="00112684" w:rsidRPr="0032635B">
        <w:rPr>
          <w:rFonts w:ascii="Book Antiqua" w:hAnsi="Book Antiqua" w:cs="Times New Roman"/>
          <w:b/>
          <w:sz w:val="24"/>
          <w:szCs w:val="24"/>
        </w:rPr>
        <w:t xml:space="preserve">ional review board statement: </w:t>
      </w:r>
      <w:r w:rsidR="000F6222" w:rsidRPr="0032635B">
        <w:rPr>
          <w:rFonts w:ascii="Book Antiqua" w:hAnsi="Book Antiqua" w:cs="Times New Roman"/>
          <w:sz w:val="24"/>
          <w:szCs w:val="24"/>
        </w:rPr>
        <w:t xml:space="preserve">The study was reviewed and approved by the ethics committee of all participating institutions. </w:t>
      </w:r>
    </w:p>
    <w:p w:rsidR="000F6222" w:rsidRPr="0032635B" w:rsidRDefault="000F6222" w:rsidP="00C92BD7">
      <w:pPr>
        <w:widowControl/>
        <w:spacing w:line="360" w:lineRule="auto"/>
        <w:rPr>
          <w:rFonts w:ascii="Book Antiqua" w:hAnsi="Book Antiqua" w:cs="Times New Roman"/>
          <w:sz w:val="24"/>
          <w:szCs w:val="24"/>
        </w:rPr>
      </w:pPr>
    </w:p>
    <w:p w:rsidR="00112684" w:rsidRPr="0032635B" w:rsidRDefault="00112684" w:rsidP="00C92BD7">
      <w:pPr>
        <w:widowControl/>
        <w:spacing w:line="360" w:lineRule="auto"/>
        <w:rPr>
          <w:rFonts w:ascii="Book Antiqua" w:hAnsi="Book Antiqua"/>
          <w:sz w:val="24"/>
          <w:szCs w:val="24"/>
        </w:rPr>
      </w:pPr>
      <w:r w:rsidRPr="0032635B">
        <w:rPr>
          <w:rFonts w:ascii="Book Antiqua" w:hAnsi="Book Antiqua" w:cs="Times New Roman"/>
          <w:b/>
          <w:sz w:val="24"/>
          <w:szCs w:val="24"/>
        </w:rPr>
        <w:t xml:space="preserve">Clinical trial registration statement: </w:t>
      </w:r>
      <w:r w:rsidRPr="0032635B">
        <w:rPr>
          <w:rFonts w:ascii="Book Antiqua" w:hAnsi="Book Antiqua" w:cs="Times New Roman"/>
          <w:sz w:val="24"/>
          <w:szCs w:val="24"/>
        </w:rPr>
        <w:t xml:space="preserve">This study is registered at UMIN Clinical Trial Registry. The registration identification number is </w:t>
      </w:r>
      <w:r w:rsidRPr="0032635B">
        <w:rPr>
          <w:rFonts w:ascii="Book Antiqua" w:hAnsi="Book Antiqua"/>
          <w:sz w:val="24"/>
          <w:szCs w:val="24"/>
        </w:rPr>
        <w:t>UMIN000006162.</w:t>
      </w:r>
    </w:p>
    <w:p w:rsidR="00112684" w:rsidRPr="0032635B" w:rsidRDefault="00112684" w:rsidP="00C92BD7">
      <w:pPr>
        <w:widowControl/>
        <w:spacing w:line="360" w:lineRule="auto"/>
        <w:rPr>
          <w:rFonts w:ascii="Book Antiqua" w:hAnsi="Book Antiqua"/>
          <w:sz w:val="24"/>
          <w:szCs w:val="24"/>
        </w:rPr>
      </w:pPr>
    </w:p>
    <w:p w:rsidR="00112684" w:rsidRPr="0032635B" w:rsidRDefault="00112684" w:rsidP="00C92BD7">
      <w:pPr>
        <w:widowControl/>
        <w:spacing w:line="360" w:lineRule="auto"/>
        <w:rPr>
          <w:rFonts w:ascii="Book Antiqua" w:hAnsi="Book Antiqua"/>
          <w:sz w:val="24"/>
          <w:szCs w:val="24"/>
        </w:rPr>
      </w:pPr>
      <w:r w:rsidRPr="0032635B">
        <w:rPr>
          <w:rFonts w:ascii="Book Antiqua" w:hAnsi="Book Antiqua"/>
          <w:b/>
          <w:sz w:val="24"/>
          <w:szCs w:val="24"/>
        </w:rPr>
        <w:t xml:space="preserve">Informed consent statement: </w:t>
      </w:r>
      <w:r w:rsidRPr="0032635B">
        <w:rPr>
          <w:rFonts w:ascii="Book Antiqua" w:hAnsi="Book Antiqua"/>
          <w:sz w:val="24"/>
          <w:szCs w:val="24"/>
        </w:rPr>
        <w:t>All study participants, or their legal guardian, provided informed written prior to study enrollment.</w:t>
      </w:r>
    </w:p>
    <w:p w:rsidR="00F646B2" w:rsidRPr="0032635B" w:rsidRDefault="00F646B2" w:rsidP="00C92BD7">
      <w:pPr>
        <w:widowControl/>
        <w:spacing w:line="360" w:lineRule="auto"/>
        <w:rPr>
          <w:rFonts w:ascii="Book Antiqua" w:hAnsi="Book Antiqua" w:cs="Times New Roman"/>
          <w:sz w:val="24"/>
          <w:szCs w:val="24"/>
        </w:rPr>
      </w:pPr>
    </w:p>
    <w:p w:rsidR="00C92BD7" w:rsidRPr="0032635B" w:rsidRDefault="00F646B2" w:rsidP="00C92BD7">
      <w:pPr>
        <w:autoSpaceDE w:val="0"/>
        <w:autoSpaceDN w:val="0"/>
        <w:adjustRightInd w:val="0"/>
        <w:spacing w:line="360" w:lineRule="auto"/>
        <w:rPr>
          <w:rFonts w:ascii="Book Antiqua" w:hAnsi="Book Antiqua" w:cs="TimesNewRomanPS-BoldItalicMT"/>
          <w:b/>
          <w:bCs/>
          <w:iCs/>
          <w:kern w:val="0"/>
          <w:sz w:val="24"/>
          <w:szCs w:val="24"/>
        </w:rPr>
      </w:pPr>
      <w:r w:rsidRPr="0032635B">
        <w:rPr>
          <w:rFonts w:ascii="Book Antiqua" w:hAnsi="Book Antiqua" w:cs="Times New Roman"/>
          <w:b/>
          <w:sz w:val="24"/>
          <w:szCs w:val="24"/>
        </w:rPr>
        <w:t>Conflict-of-interest statement:</w:t>
      </w:r>
      <w:r w:rsidRPr="0032635B">
        <w:rPr>
          <w:rFonts w:ascii="Book Antiqua" w:hAnsi="Book Antiqua" w:cs="Times New Roman"/>
          <w:sz w:val="24"/>
          <w:szCs w:val="24"/>
        </w:rPr>
        <w:t xml:space="preserve"> </w:t>
      </w:r>
      <w:r w:rsidR="00C92BD7" w:rsidRPr="0032635B">
        <w:rPr>
          <w:rFonts w:ascii="Book Antiqua" w:hAnsi="Book Antiqua"/>
          <w:kern w:val="0"/>
          <w:sz w:val="24"/>
          <w:szCs w:val="24"/>
        </w:rPr>
        <w:t>No potential conflicts of interest relevant to this article were reported.</w:t>
      </w:r>
    </w:p>
    <w:p w:rsidR="001A0224" w:rsidRPr="0032635B" w:rsidRDefault="001A0224" w:rsidP="00C92BD7">
      <w:pPr>
        <w:widowControl/>
        <w:spacing w:line="360" w:lineRule="auto"/>
        <w:rPr>
          <w:rFonts w:ascii="Book Antiqua" w:eastAsia="宋体" w:hAnsi="Book Antiqua" w:cs="Times New Roman"/>
          <w:sz w:val="24"/>
          <w:szCs w:val="24"/>
          <w:lang w:eastAsia="zh-CN"/>
        </w:rPr>
      </w:pPr>
    </w:p>
    <w:p w:rsidR="00F646B2" w:rsidRPr="0032635B" w:rsidRDefault="00F646B2" w:rsidP="00C92BD7">
      <w:pPr>
        <w:widowControl/>
        <w:spacing w:line="360" w:lineRule="auto"/>
        <w:rPr>
          <w:rFonts w:ascii="Book Antiqua" w:eastAsia="宋体" w:hAnsi="Book Antiqua" w:cs="Times New Roman"/>
          <w:sz w:val="24"/>
          <w:szCs w:val="24"/>
          <w:lang w:eastAsia="zh-CN"/>
        </w:rPr>
      </w:pPr>
      <w:r w:rsidRPr="0032635B">
        <w:rPr>
          <w:rFonts w:ascii="Book Antiqua" w:hAnsi="Book Antiqua" w:cs="Times New Roman"/>
          <w:b/>
          <w:sz w:val="24"/>
          <w:szCs w:val="24"/>
        </w:rPr>
        <w:t xml:space="preserve">Data sharing statement: </w:t>
      </w:r>
      <w:r w:rsidRPr="0032635B">
        <w:rPr>
          <w:rFonts w:ascii="Book Antiqua" w:hAnsi="Book Antiqua" w:cs="Times New Roman"/>
          <w:sz w:val="24"/>
          <w:szCs w:val="24"/>
        </w:rPr>
        <w:t>No additional data are available.</w:t>
      </w:r>
    </w:p>
    <w:p w:rsidR="00D12783" w:rsidRPr="0032635B" w:rsidRDefault="00D12783" w:rsidP="00C92BD7">
      <w:pPr>
        <w:widowControl/>
        <w:spacing w:line="360" w:lineRule="auto"/>
        <w:rPr>
          <w:rFonts w:ascii="Book Antiqua" w:eastAsia="宋体" w:hAnsi="Book Antiqua" w:cs="Times New Roman"/>
          <w:sz w:val="24"/>
          <w:szCs w:val="24"/>
          <w:lang w:eastAsia="zh-CN"/>
        </w:rPr>
      </w:pPr>
    </w:p>
    <w:p w:rsidR="00D12783" w:rsidRDefault="00D12783" w:rsidP="00D12783">
      <w:pPr>
        <w:spacing w:line="360" w:lineRule="auto"/>
        <w:rPr>
          <w:rFonts w:ascii="Book Antiqua" w:eastAsia="宋体" w:hAnsi="Book Antiqua"/>
          <w:color w:val="000000"/>
          <w:kern w:val="0"/>
          <w:sz w:val="24"/>
          <w:szCs w:val="24"/>
          <w:lang w:eastAsia="zh-CN"/>
        </w:rPr>
      </w:pPr>
      <w:bookmarkStart w:id="10" w:name="OLE_LINK155"/>
      <w:bookmarkStart w:id="11" w:name="OLE_LINK183"/>
      <w:bookmarkStart w:id="12" w:name="OLE_LINK441"/>
      <w:r w:rsidRPr="0032635B">
        <w:rPr>
          <w:rFonts w:ascii="Book Antiqua" w:hAnsi="Book Antiqua"/>
          <w:b/>
          <w:color w:val="000000"/>
          <w:kern w:val="0"/>
          <w:sz w:val="24"/>
          <w:szCs w:val="24"/>
        </w:rPr>
        <w:t xml:space="preserve">Open-Access: </w:t>
      </w:r>
      <w:r w:rsidRPr="0032635B">
        <w:rPr>
          <w:rFonts w:ascii="Book Antiqua" w:hAnsi="Book Antiqua"/>
          <w:color w:val="000000"/>
          <w:kern w:val="0"/>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00222D64" w:rsidRPr="00290DDE">
          <w:rPr>
            <w:rStyle w:val="ab"/>
            <w:rFonts w:ascii="Book Antiqua" w:hAnsi="Book Antiqua"/>
            <w:kern w:val="0"/>
            <w:sz w:val="24"/>
            <w:szCs w:val="24"/>
          </w:rPr>
          <w:t>http://creativecommons.org/licenses/by-nc/4.0/</w:t>
        </w:r>
      </w:hyperlink>
    </w:p>
    <w:p w:rsidR="00222D64" w:rsidRPr="00222D64" w:rsidRDefault="00222D64" w:rsidP="00D12783">
      <w:pPr>
        <w:spacing w:line="360" w:lineRule="auto"/>
        <w:rPr>
          <w:rFonts w:ascii="Book Antiqua" w:eastAsia="宋体" w:hAnsi="Book Antiqua"/>
          <w:b/>
          <w:color w:val="000000"/>
          <w:kern w:val="0"/>
          <w:sz w:val="24"/>
          <w:szCs w:val="24"/>
          <w:lang w:eastAsia="zh-CN"/>
        </w:rPr>
      </w:pPr>
    </w:p>
    <w:bookmarkEnd w:id="10"/>
    <w:bookmarkEnd w:id="11"/>
    <w:bookmarkEnd w:id="12"/>
    <w:p w:rsidR="00222D64" w:rsidRPr="000D1F92" w:rsidRDefault="00222D64" w:rsidP="00222D64">
      <w:pPr>
        <w:spacing w:line="360" w:lineRule="auto"/>
        <w:rPr>
          <w:rFonts w:ascii="Book Antiqua" w:hAnsi="Book Antiqua" w:cs="Arial Unicode MS"/>
          <w:color w:val="000000"/>
          <w:sz w:val="24"/>
        </w:rPr>
      </w:pPr>
      <w:r w:rsidRPr="000D1F92">
        <w:rPr>
          <w:rFonts w:ascii="Book Antiqua" w:hAnsi="Book Antiqua" w:cs="Arial Unicode MS"/>
          <w:b/>
          <w:color w:val="000000"/>
          <w:sz w:val="24"/>
        </w:rPr>
        <w:t>Manuscript source:</w:t>
      </w:r>
      <w:r w:rsidRPr="000D1F92">
        <w:rPr>
          <w:rFonts w:ascii="Book Antiqua" w:hAnsi="Book Antiqua" w:cs="Arial Unicode MS"/>
          <w:color w:val="000000"/>
          <w:sz w:val="24"/>
        </w:rPr>
        <w:t xml:space="preserve"> Invited manuscript</w:t>
      </w:r>
    </w:p>
    <w:p w:rsidR="00F646B2" w:rsidRPr="00222D64" w:rsidRDefault="00F646B2" w:rsidP="00C92BD7">
      <w:pPr>
        <w:widowControl/>
        <w:spacing w:line="360" w:lineRule="auto"/>
        <w:rPr>
          <w:rFonts w:ascii="Book Antiqua" w:hAnsi="Book Antiqua" w:cs="Times New Roman"/>
          <w:b/>
          <w:sz w:val="24"/>
          <w:szCs w:val="24"/>
        </w:rPr>
      </w:pPr>
    </w:p>
    <w:p w:rsidR="006C709A" w:rsidRPr="0032635B" w:rsidRDefault="00F646B2" w:rsidP="00C92BD7">
      <w:pPr>
        <w:widowControl/>
        <w:spacing w:line="360" w:lineRule="auto"/>
        <w:rPr>
          <w:rFonts w:ascii="Book Antiqua" w:eastAsia="宋体" w:hAnsi="Book Antiqua" w:cs="Times New Roman"/>
          <w:sz w:val="24"/>
          <w:szCs w:val="24"/>
          <w:lang w:eastAsia="zh-CN"/>
        </w:rPr>
      </w:pPr>
      <w:r w:rsidRPr="0032635B">
        <w:rPr>
          <w:rFonts w:ascii="Book Antiqua" w:hAnsi="Book Antiqua" w:cs="Times New Roman"/>
          <w:b/>
          <w:kern w:val="0"/>
          <w:sz w:val="24"/>
          <w:szCs w:val="24"/>
        </w:rPr>
        <w:t>Correspondence to</w:t>
      </w:r>
      <w:r w:rsidR="003E0E82" w:rsidRPr="0032635B">
        <w:rPr>
          <w:rFonts w:ascii="Book Antiqua" w:hAnsi="Book Antiqua" w:cs="Times New Roman"/>
          <w:b/>
          <w:kern w:val="0"/>
          <w:sz w:val="24"/>
          <w:szCs w:val="24"/>
        </w:rPr>
        <w:t>:</w:t>
      </w:r>
      <w:r w:rsidRPr="0032635B">
        <w:rPr>
          <w:rFonts w:ascii="Book Antiqua" w:hAnsi="Book Antiqua" w:cs="Times New Roman"/>
          <w:sz w:val="24"/>
          <w:szCs w:val="24"/>
        </w:rPr>
        <w:t xml:space="preserve"> </w:t>
      </w:r>
      <w:proofErr w:type="spellStart"/>
      <w:r w:rsidR="006C709A" w:rsidRPr="0032635B">
        <w:rPr>
          <w:rFonts w:ascii="Book Antiqua" w:hAnsi="Book Antiqua"/>
          <w:b/>
          <w:sz w:val="24"/>
          <w:szCs w:val="24"/>
        </w:rPr>
        <w:t>Ryuta</w:t>
      </w:r>
      <w:proofErr w:type="spellEnd"/>
      <w:r w:rsidR="006C709A" w:rsidRPr="0032635B">
        <w:rPr>
          <w:rFonts w:ascii="Book Antiqua" w:hAnsi="Book Antiqua"/>
          <w:b/>
          <w:sz w:val="24"/>
          <w:szCs w:val="24"/>
        </w:rPr>
        <w:t xml:space="preserve"> </w:t>
      </w:r>
      <w:proofErr w:type="spellStart"/>
      <w:r w:rsidR="006C709A" w:rsidRPr="0032635B">
        <w:rPr>
          <w:rFonts w:ascii="Book Antiqua" w:hAnsi="Book Antiqua"/>
          <w:b/>
          <w:sz w:val="24"/>
          <w:szCs w:val="24"/>
        </w:rPr>
        <w:t>Takenaka</w:t>
      </w:r>
      <w:proofErr w:type="spellEnd"/>
      <w:r w:rsidRPr="0032635B">
        <w:rPr>
          <w:rFonts w:ascii="Book Antiqua" w:hAnsi="Book Antiqua"/>
          <w:b/>
          <w:sz w:val="24"/>
          <w:szCs w:val="24"/>
        </w:rPr>
        <w:t>,</w:t>
      </w:r>
      <w:r w:rsidR="00C92BD7" w:rsidRPr="0032635B">
        <w:rPr>
          <w:rFonts w:ascii="Book Antiqua" w:hAnsi="Book Antiqua"/>
          <w:b/>
          <w:sz w:val="24"/>
          <w:szCs w:val="24"/>
        </w:rPr>
        <w:t xml:space="preserve"> M</w:t>
      </w:r>
      <w:r w:rsidR="006C709A" w:rsidRPr="0032635B">
        <w:rPr>
          <w:rFonts w:ascii="Book Antiqua" w:hAnsi="Book Antiqua"/>
          <w:b/>
          <w:sz w:val="24"/>
          <w:szCs w:val="24"/>
        </w:rPr>
        <w:t>D</w:t>
      </w:r>
      <w:r w:rsidR="00C92BD7" w:rsidRPr="0032635B">
        <w:rPr>
          <w:rFonts w:ascii="Book Antiqua" w:eastAsia="宋体" w:hAnsi="Book Antiqua"/>
          <w:b/>
          <w:sz w:val="24"/>
          <w:szCs w:val="24"/>
          <w:lang w:eastAsia="zh-CN"/>
        </w:rPr>
        <w:t>,</w:t>
      </w:r>
      <w:r w:rsidR="006C709A" w:rsidRPr="0032635B">
        <w:rPr>
          <w:rFonts w:ascii="Book Antiqua" w:hAnsi="Book Antiqua"/>
          <w:b/>
          <w:sz w:val="24"/>
          <w:szCs w:val="24"/>
        </w:rPr>
        <w:t xml:space="preserve"> PhD</w:t>
      </w:r>
      <w:r w:rsidR="00C92BD7" w:rsidRPr="0032635B">
        <w:rPr>
          <w:rFonts w:ascii="Book Antiqua" w:eastAsia="宋体" w:hAnsi="Book Antiqua"/>
          <w:b/>
          <w:sz w:val="24"/>
          <w:szCs w:val="24"/>
          <w:lang w:eastAsia="zh-CN"/>
        </w:rPr>
        <w:t>,</w:t>
      </w:r>
      <w:r w:rsidR="006C709A" w:rsidRPr="0032635B">
        <w:rPr>
          <w:rFonts w:ascii="Book Antiqua" w:hAnsi="Book Antiqua"/>
          <w:sz w:val="24"/>
          <w:szCs w:val="24"/>
        </w:rPr>
        <w:t xml:space="preserve"> Department of Gastroen</w:t>
      </w:r>
      <w:r w:rsidR="00C92BD7" w:rsidRPr="0032635B">
        <w:rPr>
          <w:rFonts w:ascii="Book Antiqua" w:hAnsi="Book Antiqua"/>
          <w:sz w:val="24"/>
          <w:szCs w:val="24"/>
        </w:rPr>
        <w:t xml:space="preserve">terology, </w:t>
      </w:r>
      <w:proofErr w:type="spellStart"/>
      <w:r w:rsidR="00C92BD7" w:rsidRPr="0032635B">
        <w:rPr>
          <w:rFonts w:ascii="Book Antiqua" w:hAnsi="Book Antiqua"/>
          <w:sz w:val="24"/>
          <w:szCs w:val="24"/>
        </w:rPr>
        <w:t>Tsuyama</w:t>
      </w:r>
      <w:proofErr w:type="spellEnd"/>
      <w:r w:rsidR="00C92BD7" w:rsidRPr="0032635B">
        <w:rPr>
          <w:rFonts w:ascii="Book Antiqua" w:hAnsi="Book Antiqua"/>
          <w:sz w:val="24"/>
          <w:szCs w:val="24"/>
        </w:rPr>
        <w:t xml:space="preserve"> Chuo Hospital</w:t>
      </w:r>
      <w:r w:rsidR="00C92BD7" w:rsidRPr="0032635B">
        <w:rPr>
          <w:rFonts w:ascii="Book Antiqua" w:eastAsia="宋体" w:hAnsi="Book Antiqua"/>
          <w:sz w:val="24"/>
          <w:szCs w:val="24"/>
          <w:lang w:eastAsia="zh-CN"/>
        </w:rPr>
        <w:t xml:space="preserve">, </w:t>
      </w:r>
      <w:r w:rsidR="006C709A" w:rsidRPr="0032635B">
        <w:rPr>
          <w:rFonts w:ascii="Book Antiqua" w:hAnsi="Book Antiqua"/>
          <w:sz w:val="24"/>
          <w:szCs w:val="24"/>
        </w:rPr>
        <w:t>1</w:t>
      </w:r>
      <w:r w:rsidR="00C92BD7" w:rsidRPr="0032635B">
        <w:rPr>
          <w:rFonts w:ascii="Book Antiqua" w:hAnsi="Book Antiqua"/>
          <w:sz w:val="24"/>
          <w:szCs w:val="24"/>
        </w:rPr>
        <w:t xml:space="preserve">756 Kawasaki, </w:t>
      </w:r>
      <w:proofErr w:type="spellStart"/>
      <w:r w:rsidR="00C92BD7" w:rsidRPr="0032635B">
        <w:rPr>
          <w:rFonts w:ascii="Book Antiqua" w:hAnsi="Book Antiqua"/>
          <w:sz w:val="24"/>
          <w:szCs w:val="24"/>
        </w:rPr>
        <w:t>Tsuyama</w:t>
      </w:r>
      <w:proofErr w:type="spellEnd"/>
      <w:r w:rsidR="00C92BD7" w:rsidRPr="0032635B">
        <w:rPr>
          <w:rFonts w:ascii="Book Antiqua" w:hAnsi="Book Antiqua"/>
          <w:sz w:val="24"/>
          <w:szCs w:val="24"/>
        </w:rPr>
        <w:t>, Okayama</w:t>
      </w:r>
      <w:r w:rsidR="006C709A" w:rsidRPr="0032635B">
        <w:rPr>
          <w:rFonts w:ascii="Book Antiqua" w:hAnsi="Book Antiqua"/>
          <w:sz w:val="24"/>
          <w:szCs w:val="24"/>
        </w:rPr>
        <w:t xml:space="preserve"> 708-0841, Japan</w:t>
      </w:r>
      <w:r w:rsidR="00C92BD7" w:rsidRPr="0032635B">
        <w:rPr>
          <w:rFonts w:ascii="Book Antiqua" w:eastAsia="宋体" w:hAnsi="Book Antiqua"/>
          <w:sz w:val="24"/>
          <w:szCs w:val="24"/>
          <w:lang w:eastAsia="zh-CN"/>
        </w:rPr>
        <w:t xml:space="preserve">. </w:t>
      </w:r>
      <w:r w:rsidR="006C709A" w:rsidRPr="0032635B">
        <w:rPr>
          <w:rFonts w:ascii="Book Antiqua" w:hAnsi="Book Antiqua"/>
          <w:sz w:val="24"/>
          <w:szCs w:val="24"/>
        </w:rPr>
        <w:t>rtakenak@tch.or.jp</w:t>
      </w:r>
    </w:p>
    <w:p w:rsidR="006C709A" w:rsidRPr="0032635B" w:rsidRDefault="006C709A" w:rsidP="00C92BD7">
      <w:pPr>
        <w:widowControl/>
        <w:spacing w:line="360" w:lineRule="auto"/>
        <w:rPr>
          <w:rFonts w:ascii="Book Antiqua" w:hAnsi="Book Antiqua"/>
          <w:sz w:val="24"/>
          <w:szCs w:val="24"/>
        </w:rPr>
      </w:pPr>
      <w:r w:rsidRPr="0032635B">
        <w:rPr>
          <w:rFonts w:ascii="Book Antiqua" w:hAnsi="Book Antiqua"/>
          <w:b/>
          <w:sz w:val="24"/>
          <w:szCs w:val="24"/>
        </w:rPr>
        <w:t>T</w:t>
      </w:r>
      <w:r w:rsidR="00C92BD7" w:rsidRPr="0032635B">
        <w:rPr>
          <w:rFonts w:ascii="Book Antiqua" w:hAnsi="Book Antiqua"/>
          <w:b/>
          <w:sz w:val="24"/>
          <w:szCs w:val="24"/>
        </w:rPr>
        <w:t>el</w:t>
      </w:r>
      <w:r w:rsidR="00C92BD7" w:rsidRPr="0032635B">
        <w:rPr>
          <w:rFonts w:ascii="Book Antiqua" w:eastAsia="宋体" w:hAnsi="Book Antiqua"/>
          <w:b/>
          <w:sz w:val="24"/>
          <w:szCs w:val="24"/>
          <w:lang w:eastAsia="zh-CN"/>
        </w:rPr>
        <w:t>ephone</w:t>
      </w:r>
      <w:r w:rsidR="00C92BD7" w:rsidRPr="0032635B">
        <w:rPr>
          <w:rFonts w:ascii="Book Antiqua" w:hAnsi="Book Antiqua"/>
          <w:sz w:val="24"/>
          <w:szCs w:val="24"/>
        </w:rPr>
        <w:t>: +81-868-21</w:t>
      </w:r>
      <w:r w:rsidRPr="0032635B">
        <w:rPr>
          <w:rFonts w:ascii="Book Antiqua" w:hAnsi="Book Antiqua"/>
          <w:sz w:val="24"/>
          <w:szCs w:val="24"/>
        </w:rPr>
        <w:t>8111</w:t>
      </w:r>
      <w:r w:rsidRPr="0032635B">
        <w:rPr>
          <w:rFonts w:ascii="Book Antiqua" w:hAnsi="Book Antiqua"/>
          <w:sz w:val="24"/>
          <w:szCs w:val="24"/>
        </w:rPr>
        <w:t xml:space="preserve">　</w:t>
      </w:r>
    </w:p>
    <w:p w:rsidR="00BE0A24" w:rsidRPr="0032635B" w:rsidRDefault="006C709A" w:rsidP="00C92BD7">
      <w:pPr>
        <w:widowControl/>
        <w:spacing w:line="360" w:lineRule="auto"/>
        <w:rPr>
          <w:rFonts w:ascii="Book Antiqua" w:hAnsi="Book Antiqua"/>
          <w:sz w:val="24"/>
          <w:szCs w:val="24"/>
        </w:rPr>
      </w:pPr>
      <w:r w:rsidRPr="0032635B">
        <w:rPr>
          <w:rFonts w:ascii="Book Antiqua" w:hAnsi="Book Antiqua"/>
          <w:b/>
          <w:sz w:val="24"/>
          <w:szCs w:val="24"/>
        </w:rPr>
        <w:t>Fax</w:t>
      </w:r>
      <w:r w:rsidR="00C92BD7" w:rsidRPr="0032635B">
        <w:rPr>
          <w:rFonts w:ascii="Book Antiqua" w:hAnsi="Book Antiqua"/>
          <w:sz w:val="24"/>
          <w:szCs w:val="24"/>
        </w:rPr>
        <w:t>: +81-868-21</w:t>
      </w:r>
      <w:r w:rsidRPr="0032635B">
        <w:rPr>
          <w:rFonts w:ascii="Book Antiqua" w:hAnsi="Book Antiqua"/>
          <w:sz w:val="24"/>
          <w:szCs w:val="24"/>
        </w:rPr>
        <w:t>8201</w:t>
      </w:r>
    </w:p>
    <w:p w:rsidR="00D12783" w:rsidRPr="0032635B" w:rsidRDefault="00D12783" w:rsidP="00C92BD7">
      <w:pPr>
        <w:widowControl/>
        <w:spacing w:line="360" w:lineRule="auto"/>
        <w:rPr>
          <w:rFonts w:ascii="Book Antiqua" w:eastAsia="宋体" w:hAnsi="Book Antiqua"/>
          <w:b/>
          <w:bCs/>
          <w:sz w:val="24"/>
          <w:szCs w:val="24"/>
          <w:lang w:eastAsia="zh-CN"/>
        </w:rPr>
      </w:pPr>
    </w:p>
    <w:p w:rsidR="00D12783" w:rsidRPr="0032635B" w:rsidRDefault="00D12783" w:rsidP="00D12783">
      <w:pPr>
        <w:spacing w:line="360" w:lineRule="auto"/>
        <w:rPr>
          <w:rFonts w:ascii="Book Antiqua" w:eastAsia="宋体" w:hAnsi="Book Antiqua"/>
          <w:sz w:val="24"/>
          <w:szCs w:val="24"/>
          <w:lang w:eastAsia="zh-CN"/>
        </w:rPr>
      </w:pPr>
      <w:bookmarkStart w:id="13" w:name="OLE_LINK476"/>
      <w:bookmarkStart w:id="14" w:name="OLE_LINK477"/>
      <w:bookmarkStart w:id="15" w:name="OLE_LINK117"/>
      <w:bookmarkStart w:id="16" w:name="OLE_LINK528"/>
      <w:bookmarkStart w:id="17" w:name="OLE_LINK557"/>
      <w:r w:rsidRPr="0032635B">
        <w:rPr>
          <w:rFonts w:ascii="Book Antiqua" w:hAnsi="Book Antiqua"/>
          <w:b/>
          <w:sz w:val="24"/>
          <w:szCs w:val="24"/>
        </w:rPr>
        <w:t>Received:</w:t>
      </w:r>
      <w:r w:rsidR="00162CB0" w:rsidRPr="0032635B">
        <w:rPr>
          <w:rFonts w:ascii="Book Antiqua" w:eastAsia="宋体" w:hAnsi="Book Antiqua"/>
          <w:b/>
          <w:sz w:val="24"/>
          <w:szCs w:val="24"/>
          <w:lang w:eastAsia="zh-CN"/>
        </w:rPr>
        <w:t xml:space="preserve"> </w:t>
      </w:r>
      <w:r w:rsidR="00162CB0" w:rsidRPr="0032635B">
        <w:rPr>
          <w:rFonts w:ascii="Book Antiqua" w:eastAsia="宋体" w:hAnsi="Book Antiqua"/>
          <w:sz w:val="24"/>
          <w:szCs w:val="24"/>
          <w:lang w:eastAsia="zh-CN"/>
        </w:rPr>
        <w:t>February 14, 2016</w:t>
      </w:r>
    </w:p>
    <w:p w:rsidR="00D12783" w:rsidRPr="0032635B" w:rsidRDefault="00D12783" w:rsidP="00D12783">
      <w:pPr>
        <w:spacing w:line="360" w:lineRule="auto"/>
        <w:rPr>
          <w:rFonts w:ascii="Book Antiqua" w:eastAsia="宋体" w:hAnsi="Book Antiqua"/>
          <w:sz w:val="24"/>
          <w:szCs w:val="24"/>
          <w:lang w:eastAsia="zh-CN"/>
        </w:rPr>
      </w:pPr>
      <w:r w:rsidRPr="0032635B">
        <w:rPr>
          <w:rFonts w:ascii="Book Antiqua" w:hAnsi="Book Antiqua"/>
          <w:b/>
          <w:sz w:val="24"/>
          <w:szCs w:val="24"/>
        </w:rPr>
        <w:t>Peer-review started:</w:t>
      </w:r>
      <w:r w:rsidR="00162CB0" w:rsidRPr="0032635B">
        <w:rPr>
          <w:rFonts w:ascii="Book Antiqua" w:eastAsia="宋体" w:hAnsi="Book Antiqua"/>
          <w:b/>
          <w:sz w:val="24"/>
          <w:szCs w:val="24"/>
          <w:lang w:eastAsia="zh-CN"/>
        </w:rPr>
        <w:t xml:space="preserve"> </w:t>
      </w:r>
      <w:r w:rsidR="00162CB0" w:rsidRPr="0032635B">
        <w:rPr>
          <w:rFonts w:ascii="Book Antiqua" w:eastAsia="宋体" w:hAnsi="Book Antiqua"/>
          <w:sz w:val="24"/>
          <w:szCs w:val="24"/>
          <w:lang w:eastAsia="zh-CN"/>
        </w:rPr>
        <w:t>February 15, 2016</w:t>
      </w:r>
    </w:p>
    <w:p w:rsidR="00D12783" w:rsidRPr="0032635B" w:rsidRDefault="00D12783" w:rsidP="00D12783">
      <w:pPr>
        <w:spacing w:line="360" w:lineRule="auto"/>
        <w:rPr>
          <w:rFonts w:ascii="Book Antiqua" w:hAnsi="Book Antiqua"/>
          <w:b/>
          <w:sz w:val="24"/>
          <w:szCs w:val="24"/>
        </w:rPr>
      </w:pPr>
      <w:r w:rsidRPr="0032635B">
        <w:rPr>
          <w:rFonts w:ascii="Book Antiqua" w:hAnsi="Book Antiqua"/>
          <w:b/>
          <w:sz w:val="24"/>
          <w:szCs w:val="24"/>
        </w:rPr>
        <w:t>First decision:</w:t>
      </w:r>
      <w:r w:rsidR="00162CB0" w:rsidRPr="0032635B">
        <w:rPr>
          <w:rFonts w:ascii="Book Antiqua" w:eastAsia="宋体" w:hAnsi="Book Antiqua"/>
          <w:sz w:val="24"/>
          <w:szCs w:val="24"/>
          <w:lang w:eastAsia="zh-CN"/>
        </w:rPr>
        <w:t xml:space="preserve"> March 21, 2016</w:t>
      </w:r>
    </w:p>
    <w:p w:rsidR="00D12783" w:rsidRPr="0032635B" w:rsidRDefault="00D12783" w:rsidP="00D12783">
      <w:pPr>
        <w:spacing w:line="360" w:lineRule="auto"/>
        <w:rPr>
          <w:rFonts w:ascii="Book Antiqua" w:eastAsia="宋体" w:hAnsi="Book Antiqua"/>
          <w:sz w:val="24"/>
          <w:szCs w:val="24"/>
          <w:lang w:eastAsia="zh-CN"/>
        </w:rPr>
      </w:pPr>
      <w:r w:rsidRPr="0032635B">
        <w:rPr>
          <w:rFonts w:ascii="Book Antiqua" w:hAnsi="Book Antiqua"/>
          <w:b/>
          <w:sz w:val="24"/>
          <w:szCs w:val="24"/>
        </w:rPr>
        <w:t>Revised:</w:t>
      </w:r>
      <w:r w:rsidR="00162CB0" w:rsidRPr="0032635B">
        <w:rPr>
          <w:rFonts w:ascii="Book Antiqua" w:eastAsia="宋体" w:hAnsi="Book Antiqua"/>
          <w:b/>
          <w:sz w:val="24"/>
          <w:szCs w:val="24"/>
          <w:lang w:eastAsia="zh-CN"/>
        </w:rPr>
        <w:t xml:space="preserve"> </w:t>
      </w:r>
      <w:r w:rsidR="00162CB0" w:rsidRPr="0032635B">
        <w:rPr>
          <w:rFonts w:ascii="Book Antiqua" w:eastAsia="宋体" w:hAnsi="Book Antiqua"/>
          <w:sz w:val="24"/>
          <w:szCs w:val="24"/>
          <w:lang w:eastAsia="zh-CN"/>
        </w:rPr>
        <w:t>April 17, 2016</w:t>
      </w:r>
    </w:p>
    <w:p w:rsidR="00D12783" w:rsidRPr="00C7739D" w:rsidRDefault="00D12783" w:rsidP="00D12783">
      <w:pPr>
        <w:spacing w:line="360" w:lineRule="auto"/>
        <w:rPr>
          <w:rFonts w:ascii="Book Antiqua" w:hAnsi="Book Antiqua"/>
          <w:color w:val="000000"/>
          <w:sz w:val="24"/>
        </w:rPr>
      </w:pPr>
      <w:r w:rsidRPr="0032635B">
        <w:rPr>
          <w:rFonts w:ascii="Book Antiqua" w:hAnsi="Book Antiqua"/>
          <w:b/>
          <w:sz w:val="24"/>
          <w:szCs w:val="24"/>
        </w:rPr>
        <w:t>Accepted:</w:t>
      </w:r>
      <w:r w:rsidR="00C7739D" w:rsidRPr="00C7739D">
        <w:rPr>
          <w:rFonts w:ascii="Book Antiqua" w:hAnsi="Book Antiqua"/>
          <w:color w:val="000000"/>
          <w:sz w:val="24"/>
        </w:rPr>
        <w:t xml:space="preserve"> </w:t>
      </w:r>
      <w:r w:rsidR="00C7739D">
        <w:rPr>
          <w:rFonts w:ascii="Book Antiqua" w:hAnsi="Book Antiqua"/>
          <w:color w:val="000000"/>
          <w:sz w:val="24"/>
        </w:rPr>
        <w:t>May 21</w:t>
      </w:r>
      <w:r w:rsidR="00C7739D" w:rsidRPr="005E139A">
        <w:rPr>
          <w:rFonts w:ascii="Book Antiqua" w:hAnsi="Book Antiqua"/>
          <w:color w:val="000000"/>
          <w:sz w:val="24"/>
        </w:rPr>
        <w:t>, 2016</w:t>
      </w:r>
      <w:r w:rsidRPr="0032635B">
        <w:rPr>
          <w:rFonts w:ascii="Book Antiqua" w:hAnsi="Book Antiqua"/>
          <w:b/>
          <w:sz w:val="24"/>
          <w:szCs w:val="24"/>
        </w:rPr>
        <w:t xml:space="preserve">  </w:t>
      </w:r>
    </w:p>
    <w:p w:rsidR="00D12783" w:rsidRPr="0032635B" w:rsidRDefault="00D12783" w:rsidP="00D12783">
      <w:pPr>
        <w:spacing w:line="360" w:lineRule="auto"/>
        <w:rPr>
          <w:rFonts w:ascii="Book Antiqua" w:hAnsi="Book Antiqua"/>
          <w:b/>
          <w:sz w:val="24"/>
          <w:szCs w:val="24"/>
        </w:rPr>
      </w:pPr>
      <w:r w:rsidRPr="0032635B">
        <w:rPr>
          <w:rFonts w:ascii="Book Antiqua" w:hAnsi="Book Antiqua"/>
          <w:b/>
          <w:sz w:val="24"/>
          <w:szCs w:val="24"/>
        </w:rPr>
        <w:t>Article in press:</w:t>
      </w:r>
    </w:p>
    <w:p w:rsidR="00D12783" w:rsidRPr="0032635B" w:rsidRDefault="00D12783" w:rsidP="00D12783">
      <w:pPr>
        <w:spacing w:line="360" w:lineRule="auto"/>
        <w:rPr>
          <w:rFonts w:ascii="Book Antiqua" w:hAnsi="Book Antiqua"/>
          <w:b/>
          <w:sz w:val="24"/>
          <w:szCs w:val="24"/>
        </w:rPr>
      </w:pPr>
      <w:r w:rsidRPr="0032635B">
        <w:rPr>
          <w:rFonts w:ascii="Book Antiqua" w:hAnsi="Book Antiqua"/>
          <w:b/>
          <w:sz w:val="24"/>
          <w:szCs w:val="24"/>
        </w:rPr>
        <w:t>Published online:</w:t>
      </w:r>
    </w:p>
    <w:bookmarkEnd w:id="13"/>
    <w:bookmarkEnd w:id="14"/>
    <w:bookmarkEnd w:id="15"/>
    <w:bookmarkEnd w:id="16"/>
    <w:bookmarkEnd w:id="17"/>
    <w:p w:rsidR="006D2B5D" w:rsidRPr="0032635B" w:rsidRDefault="006D2B5D" w:rsidP="00C92BD7">
      <w:pPr>
        <w:widowControl/>
        <w:spacing w:line="360" w:lineRule="auto"/>
        <w:rPr>
          <w:rFonts w:ascii="Book Antiqua" w:hAnsi="Book Antiqua"/>
          <w:b/>
          <w:bCs/>
          <w:sz w:val="24"/>
          <w:szCs w:val="24"/>
        </w:rPr>
      </w:pPr>
      <w:r w:rsidRPr="0032635B">
        <w:rPr>
          <w:rFonts w:ascii="Book Antiqua" w:hAnsi="Book Antiqua"/>
          <w:b/>
          <w:bCs/>
          <w:sz w:val="24"/>
          <w:szCs w:val="24"/>
        </w:rPr>
        <w:br w:type="page"/>
      </w:r>
    </w:p>
    <w:p w:rsidR="00AB2CAA" w:rsidRPr="0032635B" w:rsidRDefault="00AB2CAA" w:rsidP="00C92BD7">
      <w:pPr>
        <w:spacing w:line="360" w:lineRule="auto"/>
        <w:rPr>
          <w:rFonts w:ascii="Book Antiqua" w:hAnsi="Book Antiqua"/>
          <w:sz w:val="24"/>
          <w:szCs w:val="24"/>
        </w:rPr>
      </w:pPr>
      <w:r w:rsidRPr="0032635B">
        <w:rPr>
          <w:rFonts w:ascii="Book Antiqua" w:hAnsi="Book Antiqua"/>
          <w:b/>
          <w:bCs/>
          <w:sz w:val="24"/>
          <w:szCs w:val="24"/>
        </w:rPr>
        <w:lastRenderedPageBreak/>
        <w:t>Abstract</w:t>
      </w:r>
    </w:p>
    <w:p w:rsidR="00AB2CAA" w:rsidRPr="0032635B" w:rsidRDefault="00D12783" w:rsidP="00C92BD7">
      <w:pPr>
        <w:spacing w:line="360" w:lineRule="auto"/>
        <w:rPr>
          <w:rFonts w:ascii="Book Antiqua" w:hAnsi="Book Antiqua" w:cs="Times New Roman"/>
          <w:sz w:val="24"/>
          <w:szCs w:val="24"/>
        </w:rPr>
      </w:pPr>
      <w:r w:rsidRPr="0032635B">
        <w:rPr>
          <w:rFonts w:ascii="Book Antiqua" w:hAnsi="Book Antiqua"/>
          <w:b/>
          <w:bCs/>
          <w:sz w:val="24"/>
          <w:szCs w:val="24"/>
        </w:rPr>
        <w:t>AIM</w:t>
      </w:r>
      <w:r w:rsidR="00AB2CAA" w:rsidRPr="0032635B">
        <w:rPr>
          <w:rFonts w:ascii="Book Antiqua" w:hAnsi="Book Antiqua"/>
          <w:bCs/>
          <w:sz w:val="24"/>
          <w:szCs w:val="24"/>
        </w:rPr>
        <w:t xml:space="preserve">: </w:t>
      </w:r>
      <w:r w:rsidR="00F646B2" w:rsidRPr="0032635B">
        <w:rPr>
          <w:rFonts w:ascii="Book Antiqua" w:hAnsi="Book Antiqua" w:cs="Times New Roman"/>
          <w:sz w:val="24"/>
          <w:szCs w:val="24"/>
        </w:rPr>
        <w:t>T</w:t>
      </w:r>
      <w:r w:rsidR="004063F3" w:rsidRPr="0032635B">
        <w:rPr>
          <w:rFonts w:ascii="Book Antiqua" w:hAnsi="Book Antiqua" w:cs="Times New Roman"/>
          <w:sz w:val="24"/>
          <w:szCs w:val="24"/>
        </w:rPr>
        <w:t xml:space="preserve">o compare the clinical efficacy of </w:t>
      </w:r>
      <w:r w:rsidR="00160D09" w:rsidRPr="0032635B">
        <w:rPr>
          <w:rFonts w:ascii="Book Antiqua" w:hAnsi="Book Antiqua" w:cs="Times New Roman"/>
          <w:sz w:val="24"/>
          <w:szCs w:val="24"/>
        </w:rPr>
        <w:t xml:space="preserve">the second-generation H2RA </w:t>
      </w:r>
      <w:proofErr w:type="spellStart"/>
      <w:r w:rsidR="004063F3" w:rsidRPr="0032635B">
        <w:rPr>
          <w:rFonts w:ascii="Book Antiqua" w:hAnsi="Book Antiqua" w:cs="Times New Roman"/>
          <w:sz w:val="24"/>
          <w:szCs w:val="24"/>
        </w:rPr>
        <w:t>lafutidine</w:t>
      </w:r>
      <w:proofErr w:type="spellEnd"/>
      <w:r w:rsidR="004063F3" w:rsidRPr="0032635B">
        <w:rPr>
          <w:rFonts w:ascii="Book Antiqua" w:hAnsi="Book Antiqua" w:cs="Times New Roman"/>
          <w:sz w:val="24"/>
          <w:szCs w:val="24"/>
        </w:rPr>
        <w:t xml:space="preserve"> with </w:t>
      </w:r>
      <w:r w:rsidR="00160D09" w:rsidRPr="0032635B">
        <w:rPr>
          <w:rFonts w:ascii="Book Antiqua" w:hAnsi="Book Antiqua" w:cs="Times New Roman"/>
          <w:sz w:val="24"/>
          <w:szCs w:val="24"/>
        </w:rPr>
        <w:t>that</w:t>
      </w:r>
      <w:r w:rsidR="004063F3" w:rsidRPr="0032635B">
        <w:rPr>
          <w:rFonts w:ascii="Book Antiqua" w:hAnsi="Book Antiqua" w:cs="Times New Roman"/>
          <w:sz w:val="24"/>
          <w:szCs w:val="24"/>
        </w:rPr>
        <w:t xml:space="preserve"> of </w:t>
      </w:r>
      <w:proofErr w:type="spellStart"/>
      <w:r w:rsidR="004063F3" w:rsidRPr="0032635B">
        <w:rPr>
          <w:rFonts w:ascii="Book Antiqua" w:hAnsi="Book Antiqua" w:cs="Times New Roman"/>
          <w:sz w:val="24"/>
          <w:szCs w:val="24"/>
        </w:rPr>
        <w:t>lansop</w:t>
      </w:r>
      <w:r w:rsidR="00160D09" w:rsidRPr="0032635B">
        <w:rPr>
          <w:rFonts w:ascii="Book Antiqua" w:hAnsi="Book Antiqua" w:cs="Times New Roman"/>
          <w:sz w:val="24"/>
          <w:szCs w:val="24"/>
        </w:rPr>
        <w:t>r</w:t>
      </w:r>
      <w:r w:rsidR="004063F3" w:rsidRPr="0032635B">
        <w:rPr>
          <w:rFonts w:ascii="Book Antiqua" w:hAnsi="Book Antiqua" w:cs="Times New Roman"/>
          <w:sz w:val="24"/>
          <w:szCs w:val="24"/>
        </w:rPr>
        <w:t>azole</w:t>
      </w:r>
      <w:proofErr w:type="spellEnd"/>
      <w:r w:rsidR="004063F3" w:rsidRPr="0032635B">
        <w:rPr>
          <w:rFonts w:ascii="Book Antiqua" w:hAnsi="Book Antiqua" w:cs="Times New Roman"/>
          <w:sz w:val="24"/>
          <w:szCs w:val="24"/>
        </w:rPr>
        <w:t xml:space="preserve"> in Japanese patients with mild </w:t>
      </w:r>
      <w:proofErr w:type="spellStart"/>
      <w:r w:rsidRPr="0032635B">
        <w:rPr>
          <w:rFonts w:ascii="Book Antiqua" w:hAnsi="Book Antiqua" w:cs="Times New Roman"/>
          <w:bCs/>
          <w:sz w:val="24"/>
          <w:szCs w:val="24"/>
        </w:rPr>
        <w:t>gastroesophageal</w:t>
      </w:r>
      <w:proofErr w:type="spellEnd"/>
      <w:r w:rsidRPr="0032635B">
        <w:rPr>
          <w:rFonts w:ascii="Book Antiqua" w:hAnsi="Book Antiqua" w:cs="Times New Roman"/>
          <w:bCs/>
          <w:sz w:val="24"/>
          <w:szCs w:val="24"/>
        </w:rPr>
        <w:t xml:space="preserve"> reflux disease (GERD)</w:t>
      </w:r>
      <w:r w:rsidR="004063F3" w:rsidRPr="0032635B">
        <w:rPr>
          <w:rFonts w:ascii="Book Antiqua" w:hAnsi="Book Antiqua" w:cs="Times New Roman"/>
          <w:sz w:val="24"/>
          <w:szCs w:val="24"/>
        </w:rPr>
        <w:t xml:space="preserve">. </w:t>
      </w:r>
    </w:p>
    <w:p w:rsidR="00F646B2" w:rsidRPr="0032635B" w:rsidRDefault="00F646B2" w:rsidP="00C92BD7">
      <w:pPr>
        <w:spacing w:line="360" w:lineRule="auto"/>
        <w:rPr>
          <w:rFonts w:ascii="Book Antiqua" w:hAnsi="Book Antiqua" w:cs="Times New Roman"/>
          <w:bCs/>
          <w:sz w:val="24"/>
          <w:szCs w:val="24"/>
        </w:rPr>
      </w:pPr>
    </w:p>
    <w:p w:rsidR="00AB2CAA" w:rsidRPr="0032635B" w:rsidRDefault="00D12783" w:rsidP="00C92BD7">
      <w:pPr>
        <w:spacing w:line="360" w:lineRule="auto"/>
        <w:rPr>
          <w:rFonts w:ascii="Book Antiqua" w:hAnsi="Book Antiqua"/>
          <w:sz w:val="24"/>
          <w:szCs w:val="24"/>
        </w:rPr>
      </w:pPr>
      <w:r w:rsidRPr="0032635B">
        <w:rPr>
          <w:rFonts w:ascii="Book Antiqua" w:hAnsi="Book Antiqua" w:cs="Times New Roman"/>
          <w:b/>
          <w:bCs/>
          <w:sz w:val="24"/>
          <w:szCs w:val="24"/>
        </w:rPr>
        <w:t>METHODS</w:t>
      </w:r>
      <w:r w:rsidR="00AB2CAA" w:rsidRPr="0032635B">
        <w:rPr>
          <w:rFonts w:ascii="Book Antiqua" w:hAnsi="Book Antiqua" w:cs="Times New Roman"/>
          <w:bCs/>
          <w:sz w:val="24"/>
          <w:szCs w:val="24"/>
        </w:rPr>
        <w:t xml:space="preserve">: </w:t>
      </w:r>
      <w:r w:rsidR="00173410" w:rsidRPr="0032635B">
        <w:rPr>
          <w:rFonts w:ascii="Book Antiqua" w:hAnsi="Book Antiqua"/>
          <w:sz w:val="24"/>
          <w:szCs w:val="24"/>
        </w:rPr>
        <w:t xml:space="preserve">Patients </w:t>
      </w:r>
      <w:r w:rsidR="00160D09" w:rsidRPr="0032635B">
        <w:rPr>
          <w:rFonts w:ascii="Book Antiqua" w:hAnsi="Book Antiqua"/>
          <w:sz w:val="24"/>
          <w:szCs w:val="24"/>
        </w:rPr>
        <w:t xml:space="preserve">with symptoms of GERD and a diagnosis of </w:t>
      </w:r>
      <w:r w:rsidR="00173410" w:rsidRPr="0032635B">
        <w:rPr>
          <w:rFonts w:ascii="Book Antiqua" w:hAnsi="Book Antiqua"/>
          <w:sz w:val="24"/>
          <w:szCs w:val="24"/>
        </w:rPr>
        <w:t xml:space="preserve">grade A reflux esophagitis </w:t>
      </w:r>
      <w:r w:rsidR="00160D09" w:rsidRPr="0032635B">
        <w:rPr>
          <w:rFonts w:ascii="Book Antiqua" w:hAnsi="Book Antiqua"/>
          <w:sz w:val="24"/>
          <w:szCs w:val="24"/>
        </w:rPr>
        <w:t>(</w:t>
      </w:r>
      <w:r w:rsidR="00173410" w:rsidRPr="0032635B">
        <w:rPr>
          <w:rFonts w:ascii="Book Antiqua" w:hAnsi="Book Antiqua"/>
          <w:sz w:val="24"/>
          <w:szCs w:val="24"/>
        </w:rPr>
        <w:t>according to the Los Angeles classification</w:t>
      </w:r>
      <w:r w:rsidR="00160D09" w:rsidRPr="0032635B">
        <w:rPr>
          <w:rFonts w:ascii="Book Antiqua" w:hAnsi="Book Antiqua"/>
          <w:sz w:val="24"/>
          <w:szCs w:val="24"/>
        </w:rPr>
        <w:t>)</w:t>
      </w:r>
      <w:r w:rsidR="00173410" w:rsidRPr="0032635B">
        <w:rPr>
          <w:rFonts w:ascii="Book Antiqua" w:hAnsi="Book Antiqua"/>
          <w:sz w:val="24"/>
          <w:szCs w:val="24"/>
        </w:rPr>
        <w:t xml:space="preserve"> </w:t>
      </w:r>
      <w:r w:rsidR="00160D09" w:rsidRPr="0032635B">
        <w:rPr>
          <w:rFonts w:ascii="Book Antiqua" w:hAnsi="Book Antiqua"/>
          <w:sz w:val="24"/>
          <w:szCs w:val="24"/>
        </w:rPr>
        <w:t xml:space="preserve">were </w:t>
      </w:r>
      <w:r w:rsidR="00173410" w:rsidRPr="0032635B">
        <w:rPr>
          <w:rFonts w:ascii="Book Antiqua" w:hAnsi="Book Antiqua"/>
          <w:sz w:val="24"/>
          <w:szCs w:val="24"/>
        </w:rPr>
        <w:t>random</w:t>
      </w:r>
      <w:r w:rsidR="00160D09" w:rsidRPr="0032635B">
        <w:rPr>
          <w:rFonts w:ascii="Book Antiqua" w:hAnsi="Book Antiqua"/>
          <w:sz w:val="24"/>
          <w:szCs w:val="24"/>
        </w:rPr>
        <w:t xml:space="preserve">ized to </w:t>
      </w:r>
      <w:r w:rsidR="00173410" w:rsidRPr="0032635B">
        <w:rPr>
          <w:rFonts w:ascii="Book Antiqua" w:hAnsi="Book Antiqua"/>
          <w:sz w:val="24"/>
          <w:szCs w:val="24"/>
        </w:rPr>
        <w:t xml:space="preserve">receive </w:t>
      </w:r>
      <w:proofErr w:type="spellStart"/>
      <w:r w:rsidR="00173410" w:rsidRPr="0032635B">
        <w:rPr>
          <w:rFonts w:ascii="Book Antiqua" w:hAnsi="Book Antiqua"/>
          <w:sz w:val="24"/>
          <w:szCs w:val="24"/>
        </w:rPr>
        <w:t>lafutidine</w:t>
      </w:r>
      <w:proofErr w:type="spellEnd"/>
      <w:r w:rsidR="00173410" w:rsidRPr="0032635B">
        <w:rPr>
          <w:rFonts w:ascii="Book Antiqua" w:hAnsi="Book Antiqua"/>
          <w:sz w:val="24"/>
          <w:szCs w:val="24"/>
        </w:rPr>
        <w:t xml:space="preserve"> (10 mg, twice daily) or </w:t>
      </w:r>
      <w:proofErr w:type="spellStart"/>
      <w:r w:rsidR="00173410" w:rsidRPr="0032635B">
        <w:rPr>
          <w:rFonts w:ascii="Book Antiqua" w:hAnsi="Book Antiqua"/>
          <w:sz w:val="24"/>
          <w:szCs w:val="24"/>
        </w:rPr>
        <w:t>lansoprazole</w:t>
      </w:r>
      <w:proofErr w:type="spellEnd"/>
      <w:r w:rsidR="00173410" w:rsidRPr="0032635B">
        <w:rPr>
          <w:rFonts w:ascii="Book Antiqua" w:hAnsi="Book Antiqua"/>
          <w:sz w:val="24"/>
          <w:szCs w:val="24"/>
        </w:rPr>
        <w:t xml:space="preserve"> (30</w:t>
      </w:r>
      <w:r w:rsidR="00160D09" w:rsidRPr="0032635B">
        <w:rPr>
          <w:rFonts w:ascii="Book Antiqua" w:hAnsi="Book Antiqua"/>
          <w:sz w:val="24"/>
          <w:szCs w:val="24"/>
        </w:rPr>
        <w:t xml:space="preserve"> </w:t>
      </w:r>
      <w:r w:rsidR="00173410" w:rsidRPr="0032635B">
        <w:rPr>
          <w:rFonts w:ascii="Book Antiqua" w:hAnsi="Book Antiqua"/>
          <w:sz w:val="24"/>
          <w:szCs w:val="24"/>
        </w:rPr>
        <w:t xml:space="preserve">mg, once daily) for </w:t>
      </w:r>
      <w:r w:rsidR="00160D09" w:rsidRPr="0032635B">
        <w:rPr>
          <w:rFonts w:ascii="Book Antiqua" w:hAnsi="Book Antiqua"/>
          <w:sz w:val="24"/>
          <w:szCs w:val="24"/>
        </w:rPr>
        <w:t xml:space="preserve">an initial </w:t>
      </w:r>
      <w:r w:rsidR="00173410" w:rsidRPr="0032635B">
        <w:rPr>
          <w:rFonts w:ascii="Book Antiqua" w:hAnsi="Book Antiqua"/>
          <w:sz w:val="24"/>
          <w:szCs w:val="24"/>
        </w:rPr>
        <w:t xml:space="preserve">8 </w:t>
      </w:r>
      <w:proofErr w:type="spellStart"/>
      <w:r w:rsidR="00162CB0" w:rsidRPr="0032635B">
        <w:rPr>
          <w:rFonts w:ascii="Book Antiqua" w:eastAsia="宋体" w:hAnsi="Book Antiqua"/>
          <w:sz w:val="24"/>
          <w:szCs w:val="24"/>
          <w:lang w:eastAsia="zh-CN"/>
        </w:rPr>
        <w:t>wk</w:t>
      </w:r>
      <w:proofErr w:type="spellEnd"/>
      <w:r w:rsidR="00173410" w:rsidRPr="0032635B">
        <w:rPr>
          <w:rFonts w:ascii="Book Antiqua" w:hAnsi="Book Antiqua"/>
          <w:sz w:val="24"/>
          <w:szCs w:val="24"/>
        </w:rPr>
        <w:t xml:space="preserve">, </w:t>
      </w:r>
      <w:r w:rsidR="00160D09" w:rsidRPr="0032635B">
        <w:rPr>
          <w:rFonts w:ascii="Book Antiqua" w:hAnsi="Book Antiqua"/>
          <w:sz w:val="24"/>
          <w:szCs w:val="24"/>
        </w:rPr>
        <w:t>followed by</w:t>
      </w:r>
      <w:r w:rsidR="00173410" w:rsidRPr="0032635B">
        <w:rPr>
          <w:rFonts w:ascii="Book Antiqua" w:hAnsi="Book Antiqua"/>
          <w:sz w:val="24"/>
          <w:szCs w:val="24"/>
        </w:rPr>
        <w:t xml:space="preserve"> maintenance treatment </w:t>
      </w:r>
      <w:r w:rsidR="00160D09" w:rsidRPr="0032635B">
        <w:rPr>
          <w:rFonts w:ascii="Book Antiqua" w:hAnsi="Book Antiqua"/>
          <w:sz w:val="24"/>
          <w:szCs w:val="24"/>
        </w:rPr>
        <w:t xml:space="preserve">comprising half-doses of the assigned drug </w:t>
      </w:r>
      <w:r w:rsidR="00173410" w:rsidRPr="0032635B">
        <w:rPr>
          <w:rFonts w:ascii="Book Antiqua" w:hAnsi="Book Antiqua"/>
          <w:sz w:val="24"/>
          <w:szCs w:val="24"/>
        </w:rPr>
        <w:t xml:space="preserve">for 24 </w:t>
      </w:r>
      <w:r w:rsidR="00162CB0" w:rsidRPr="0032635B">
        <w:rPr>
          <w:rFonts w:ascii="Book Antiqua" w:eastAsia="宋体" w:hAnsi="Book Antiqua"/>
          <w:sz w:val="24"/>
          <w:szCs w:val="24"/>
          <w:lang w:eastAsia="zh-CN"/>
        </w:rPr>
        <w:t>wk</w:t>
      </w:r>
      <w:r w:rsidR="00173410" w:rsidRPr="0032635B">
        <w:rPr>
          <w:rFonts w:ascii="Book Antiqua" w:hAnsi="Book Antiqua"/>
          <w:sz w:val="24"/>
          <w:szCs w:val="24"/>
        </w:rPr>
        <w:t xml:space="preserve">. </w:t>
      </w:r>
      <w:r w:rsidR="004063F3" w:rsidRPr="0032635B">
        <w:rPr>
          <w:rFonts w:ascii="Book Antiqua" w:hAnsi="Book Antiqua"/>
          <w:sz w:val="24"/>
          <w:szCs w:val="24"/>
        </w:rPr>
        <w:t xml:space="preserve">The primary endpoint was the </w:t>
      </w:r>
      <w:r w:rsidR="00724A14" w:rsidRPr="0032635B">
        <w:rPr>
          <w:rFonts w:ascii="Book Antiqua" w:hAnsi="Book Antiqua"/>
          <w:sz w:val="24"/>
          <w:szCs w:val="24"/>
        </w:rPr>
        <w:t xml:space="preserve">frequency and </w:t>
      </w:r>
      <w:r w:rsidR="004063F3" w:rsidRPr="0032635B">
        <w:rPr>
          <w:rFonts w:ascii="Book Antiqua" w:hAnsi="Book Antiqua"/>
          <w:sz w:val="24"/>
          <w:szCs w:val="24"/>
        </w:rPr>
        <w:t xml:space="preserve">severity of heartburn during initial and maintenance treatment. </w:t>
      </w:r>
      <w:r w:rsidR="00DB0F2D" w:rsidRPr="0032635B">
        <w:rPr>
          <w:rFonts w:ascii="Book Antiqua" w:hAnsi="Book Antiqua"/>
          <w:sz w:val="24"/>
          <w:szCs w:val="24"/>
        </w:rPr>
        <w:t>The secondary endpoints were the sum score of question</w:t>
      </w:r>
      <w:r w:rsidR="00D072E6" w:rsidRPr="0032635B">
        <w:rPr>
          <w:rFonts w:ascii="Book Antiqua" w:hAnsi="Book Antiqua"/>
          <w:sz w:val="24"/>
          <w:szCs w:val="24"/>
        </w:rPr>
        <w:t>s</w:t>
      </w:r>
      <w:r w:rsidR="00DB0F2D" w:rsidRPr="0032635B">
        <w:rPr>
          <w:rFonts w:ascii="Book Antiqua" w:hAnsi="Book Antiqua"/>
          <w:sz w:val="24"/>
          <w:szCs w:val="24"/>
        </w:rPr>
        <w:t xml:space="preserve"> 2 and 3 in</w:t>
      </w:r>
      <w:r w:rsidR="00D072E6" w:rsidRPr="0032635B">
        <w:rPr>
          <w:rFonts w:ascii="Book Antiqua" w:hAnsi="Book Antiqua"/>
          <w:sz w:val="24"/>
          <w:szCs w:val="24"/>
        </w:rPr>
        <w:t xml:space="preserve"> the Gastrointestinal Symptom Rating Scale (GSRS), </w:t>
      </w:r>
      <w:r w:rsidR="00DB0F2D" w:rsidRPr="0032635B">
        <w:rPr>
          <w:rFonts w:ascii="Book Antiqua" w:hAnsi="Book Antiqua"/>
          <w:sz w:val="24"/>
          <w:szCs w:val="24"/>
        </w:rPr>
        <w:t>and the satisfaction score</w:t>
      </w:r>
      <w:r w:rsidR="004063F3" w:rsidRPr="0032635B">
        <w:rPr>
          <w:rFonts w:ascii="Book Antiqua" w:hAnsi="Book Antiqua"/>
          <w:sz w:val="24"/>
          <w:szCs w:val="24"/>
        </w:rPr>
        <w:t>.</w:t>
      </w:r>
    </w:p>
    <w:p w:rsidR="00F646B2" w:rsidRPr="0032635B" w:rsidRDefault="00F646B2" w:rsidP="00C92BD7">
      <w:pPr>
        <w:spacing w:line="360" w:lineRule="auto"/>
        <w:rPr>
          <w:rFonts w:ascii="Book Antiqua" w:hAnsi="Book Antiqua" w:cs="Times New Roman"/>
          <w:bCs/>
          <w:sz w:val="24"/>
          <w:szCs w:val="24"/>
        </w:rPr>
      </w:pPr>
    </w:p>
    <w:p w:rsidR="00AB2CAA" w:rsidRDefault="00D12783" w:rsidP="00C92BD7">
      <w:pPr>
        <w:spacing w:line="360" w:lineRule="auto"/>
        <w:rPr>
          <w:rFonts w:ascii="Book Antiqua" w:hAnsi="Book Antiqua"/>
          <w:sz w:val="24"/>
          <w:szCs w:val="24"/>
        </w:rPr>
      </w:pPr>
      <w:r w:rsidRPr="0032635B">
        <w:rPr>
          <w:rFonts w:ascii="Book Antiqua" w:hAnsi="Book Antiqua"/>
          <w:b/>
          <w:bCs/>
          <w:sz w:val="24"/>
          <w:szCs w:val="24"/>
        </w:rPr>
        <w:t>RESULTS</w:t>
      </w:r>
      <w:r w:rsidR="00AB2CAA" w:rsidRPr="0032635B">
        <w:rPr>
          <w:rFonts w:ascii="Book Antiqua" w:hAnsi="Book Antiqua"/>
          <w:b/>
          <w:bCs/>
          <w:sz w:val="24"/>
          <w:szCs w:val="24"/>
        </w:rPr>
        <w:t xml:space="preserve">: </w:t>
      </w:r>
      <w:r w:rsidR="00173410" w:rsidRPr="0032635B">
        <w:rPr>
          <w:rFonts w:ascii="Book Antiqua" w:hAnsi="Book Antiqua"/>
          <w:bCs/>
          <w:sz w:val="24"/>
          <w:szCs w:val="24"/>
        </w:rPr>
        <w:t>Between April 2012 and March 2013, a total of 53 patients were enrolled</w:t>
      </w:r>
      <w:r w:rsidR="00D072E6" w:rsidRPr="0032635B">
        <w:rPr>
          <w:rFonts w:ascii="Book Antiqua" w:hAnsi="Book Antiqua"/>
          <w:bCs/>
          <w:sz w:val="24"/>
          <w:szCs w:val="24"/>
        </w:rPr>
        <w:t xml:space="preserve">, of whom 24 and 29 received </w:t>
      </w:r>
      <w:proofErr w:type="spellStart"/>
      <w:r w:rsidR="00173410" w:rsidRPr="0032635B">
        <w:rPr>
          <w:rFonts w:ascii="Book Antiqua" w:hAnsi="Book Antiqua"/>
          <w:bCs/>
          <w:sz w:val="24"/>
          <w:szCs w:val="24"/>
        </w:rPr>
        <w:t>lafutidine</w:t>
      </w:r>
      <w:proofErr w:type="spellEnd"/>
      <w:r w:rsidR="00173410" w:rsidRPr="0032635B">
        <w:rPr>
          <w:rFonts w:ascii="Book Antiqua" w:hAnsi="Book Antiqua"/>
          <w:bCs/>
          <w:sz w:val="24"/>
          <w:szCs w:val="24"/>
        </w:rPr>
        <w:t xml:space="preserve"> </w:t>
      </w:r>
      <w:r w:rsidR="00D072E6" w:rsidRPr="0032635B">
        <w:rPr>
          <w:rFonts w:ascii="Book Antiqua" w:hAnsi="Book Antiqua"/>
          <w:bCs/>
          <w:sz w:val="24"/>
          <w:szCs w:val="24"/>
        </w:rPr>
        <w:t>and</w:t>
      </w:r>
      <w:r w:rsidR="00173410" w:rsidRPr="0032635B">
        <w:rPr>
          <w:rFonts w:ascii="Book Antiqua" w:hAnsi="Book Antiqua"/>
          <w:bCs/>
          <w:sz w:val="24"/>
          <w:szCs w:val="24"/>
        </w:rPr>
        <w:t xml:space="preserve"> </w:t>
      </w:r>
      <w:proofErr w:type="spellStart"/>
      <w:r w:rsidR="00D072E6" w:rsidRPr="0032635B">
        <w:rPr>
          <w:rFonts w:ascii="Book Antiqua" w:hAnsi="Book Antiqua"/>
          <w:bCs/>
          <w:sz w:val="24"/>
          <w:szCs w:val="24"/>
        </w:rPr>
        <w:t>lansoprazole</w:t>
      </w:r>
      <w:proofErr w:type="spellEnd"/>
      <w:r w:rsidR="00D072E6" w:rsidRPr="0032635B">
        <w:rPr>
          <w:rFonts w:ascii="Book Antiqua" w:hAnsi="Book Antiqua"/>
          <w:bCs/>
          <w:sz w:val="24"/>
          <w:szCs w:val="24"/>
        </w:rPr>
        <w:t xml:space="preserve">, respectively. </w:t>
      </w:r>
      <w:r w:rsidR="00613E6C" w:rsidRPr="0032635B">
        <w:rPr>
          <w:rFonts w:ascii="Book Antiqua" w:hAnsi="Book Antiqua"/>
          <w:sz w:val="24"/>
          <w:szCs w:val="24"/>
        </w:rPr>
        <w:t xml:space="preserve">After </w:t>
      </w:r>
      <w:r w:rsidR="00D072E6" w:rsidRPr="0032635B">
        <w:rPr>
          <w:rFonts w:ascii="Book Antiqua" w:hAnsi="Book Antiqua"/>
          <w:sz w:val="24"/>
          <w:szCs w:val="24"/>
        </w:rPr>
        <w:t xml:space="preserve">8 </w:t>
      </w:r>
      <w:proofErr w:type="spellStart"/>
      <w:r w:rsidR="00162CB0" w:rsidRPr="0032635B">
        <w:rPr>
          <w:rFonts w:ascii="Book Antiqua" w:eastAsia="宋体" w:hAnsi="Book Antiqua"/>
          <w:sz w:val="24"/>
          <w:szCs w:val="24"/>
          <w:lang w:eastAsia="zh-CN"/>
        </w:rPr>
        <w:t>wk</w:t>
      </w:r>
      <w:proofErr w:type="spellEnd"/>
      <w:r w:rsidR="00613E6C" w:rsidRPr="0032635B">
        <w:rPr>
          <w:rFonts w:ascii="Book Antiqua" w:hAnsi="Book Antiqua"/>
          <w:sz w:val="24"/>
          <w:szCs w:val="24"/>
        </w:rPr>
        <w:t>, t</w:t>
      </w:r>
      <w:r w:rsidR="00EC3974" w:rsidRPr="0032635B">
        <w:rPr>
          <w:rFonts w:ascii="Book Antiqua" w:hAnsi="Book Antiqua"/>
          <w:sz w:val="24"/>
          <w:szCs w:val="24"/>
        </w:rPr>
        <w:t xml:space="preserve">he </w:t>
      </w:r>
      <w:r w:rsidR="00724A14" w:rsidRPr="0032635B">
        <w:rPr>
          <w:rFonts w:ascii="Book Antiqua" w:hAnsi="Book Antiqua"/>
          <w:sz w:val="24"/>
          <w:szCs w:val="24"/>
        </w:rPr>
        <w:t xml:space="preserve">frequency and </w:t>
      </w:r>
      <w:r w:rsidR="00EC3974" w:rsidRPr="0032635B">
        <w:rPr>
          <w:rFonts w:ascii="Book Antiqua" w:hAnsi="Book Antiqua"/>
          <w:sz w:val="24"/>
          <w:szCs w:val="24"/>
        </w:rPr>
        <w:t xml:space="preserve">severity of heartburn </w:t>
      </w:r>
      <w:r w:rsidR="00D072E6" w:rsidRPr="0032635B">
        <w:rPr>
          <w:rFonts w:ascii="Book Antiqua" w:hAnsi="Book Antiqua"/>
          <w:sz w:val="24"/>
          <w:szCs w:val="24"/>
        </w:rPr>
        <w:t xml:space="preserve">was </w:t>
      </w:r>
      <w:r w:rsidR="00EC3974" w:rsidRPr="0032635B">
        <w:rPr>
          <w:rFonts w:ascii="Book Antiqua" w:hAnsi="Book Antiqua"/>
          <w:sz w:val="24"/>
          <w:szCs w:val="24"/>
        </w:rPr>
        <w:t xml:space="preserve">significantly </w:t>
      </w:r>
      <w:r w:rsidR="00D072E6" w:rsidRPr="0032635B">
        <w:rPr>
          <w:rFonts w:ascii="Book Antiqua" w:hAnsi="Book Antiqua"/>
          <w:sz w:val="24"/>
          <w:szCs w:val="24"/>
        </w:rPr>
        <w:t>reduced in both groups</w:t>
      </w:r>
      <w:r w:rsidR="00EC3974" w:rsidRPr="0032635B">
        <w:rPr>
          <w:rFonts w:ascii="Book Antiqua" w:hAnsi="Book Antiqua"/>
          <w:sz w:val="24"/>
          <w:szCs w:val="24"/>
        </w:rPr>
        <w:t xml:space="preserve">. However, </w:t>
      </w:r>
      <w:proofErr w:type="spellStart"/>
      <w:r w:rsidR="00EC3974" w:rsidRPr="0032635B">
        <w:rPr>
          <w:rFonts w:ascii="Book Antiqua" w:hAnsi="Book Antiqua"/>
          <w:sz w:val="24"/>
          <w:szCs w:val="24"/>
        </w:rPr>
        <w:t>lafutidine</w:t>
      </w:r>
      <w:proofErr w:type="spellEnd"/>
      <w:r w:rsidR="00EC3974" w:rsidRPr="0032635B">
        <w:rPr>
          <w:rFonts w:ascii="Book Antiqua" w:hAnsi="Book Antiqua"/>
          <w:sz w:val="24"/>
          <w:szCs w:val="24"/>
        </w:rPr>
        <w:t xml:space="preserve"> </w:t>
      </w:r>
      <w:r w:rsidR="00613E6C" w:rsidRPr="0032635B">
        <w:rPr>
          <w:rFonts w:ascii="Book Antiqua" w:hAnsi="Book Antiqua"/>
          <w:sz w:val="24"/>
          <w:szCs w:val="24"/>
        </w:rPr>
        <w:t>w</w:t>
      </w:r>
      <w:r w:rsidR="003B5BA2" w:rsidRPr="0032635B">
        <w:rPr>
          <w:rFonts w:ascii="Book Antiqua" w:hAnsi="Book Antiqua"/>
          <w:sz w:val="24"/>
          <w:szCs w:val="24"/>
        </w:rPr>
        <w:t>as</w:t>
      </w:r>
      <w:r w:rsidR="00EC3974" w:rsidRPr="0032635B">
        <w:rPr>
          <w:rFonts w:ascii="Book Antiqua" w:hAnsi="Book Antiqua"/>
          <w:sz w:val="24"/>
          <w:szCs w:val="24"/>
        </w:rPr>
        <w:t xml:space="preserve"> significantly inferior to </w:t>
      </w:r>
      <w:proofErr w:type="spellStart"/>
      <w:r w:rsidR="00EC3974" w:rsidRPr="0032635B">
        <w:rPr>
          <w:rFonts w:ascii="Book Antiqua" w:hAnsi="Book Antiqua"/>
          <w:sz w:val="24"/>
          <w:szCs w:val="24"/>
        </w:rPr>
        <w:t>lansoprazole</w:t>
      </w:r>
      <w:proofErr w:type="spellEnd"/>
      <w:r w:rsidR="00EC3974" w:rsidRPr="0032635B">
        <w:rPr>
          <w:rFonts w:ascii="Book Antiqua" w:hAnsi="Book Antiqua"/>
          <w:sz w:val="24"/>
          <w:szCs w:val="24"/>
        </w:rPr>
        <w:t xml:space="preserve"> </w:t>
      </w:r>
      <w:r w:rsidR="00613E6C" w:rsidRPr="0032635B">
        <w:rPr>
          <w:rFonts w:ascii="Book Antiqua" w:hAnsi="Book Antiqua"/>
          <w:sz w:val="24"/>
          <w:szCs w:val="24"/>
        </w:rPr>
        <w:t xml:space="preserve">with regard to the severity of heartburn during initial and maintenance </w:t>
      </w:r>
      <w:r w:rsidR="00D072E6" w:rsidRPr="0032635B">
        <w:rPr>
          <w:rFonts w:ascii="Book Antiqua" w:hAnsi="Book Antiqua"/>
          <w:sz w:val="24"/>
          <w:szCs w:val="24"/>
        </w:rPr>
        <w:t>treatment</w:t>
      </w:r>
      <w:r w:rsidR="00165CF6" w:rsidRPr="0032635B">
        <w:rPr>
          <w:rFonts w:ascii="Book Antiqua" w:hAnsi="Book Antiqua"/>
          <w:sz w:val="24"/>
          <w:szCs w:val="24"/>
        </w:rPr>
        <w:t xml:space="preserve"> (</w:t>
      </w:r>
      <w:r w:rsidR="00165CF6" w:rsidRPr="0032635B">
        <w:rPr>
          <w:rFonts w:ascii="Book Antiqua" w:hAnsi="Book Antiqua"/>
          <w:i/>
          <w:sz w:val="24"/>
          <w:szCs w:val="24"/>
        </w:rPr>
        <w:t>P</w:t>
      </w:r>
      <w:r w:rsidRPr="0032635B">
        <w:rPr>
          <w:rFonts w:ascii="Book Antiqua" w:eastAsia="宋体" w:hAnsi="Book Antiqua"/>
          <w:sz w:val="24"/>
          <w:szCs w:val="24"/>
          <w:lang w:eastAsia="zh-CN"/>
        </w:rPr>
        <w:t xml:space="preserve"> </w:t>
      </w:r>
      <w:r w:rsidR="00165CF6" w:rsidRPr="0032635B">
        <w:rPr>
          <w:rFonts w:ascii="Book Antiqua" w:hAnsi="Book Antiqua"/>
          <w:sz w:val="24"/>
          <w:szCs w:val="24"/>
        </w:rPr>
        <w:t>=</w:t>
      </w:r>
      <w:r w:rsidRPr="0032635B">
        <w:rPr>
          <w:rFonts w:ascii="Book Antiqua" w:eastAsia="宋体" w:hAnsi="Book Antiqua"/>
          <w:sz w:val="24"/>
          <w:szCs w:val="24"/>
          <w:lang w:eastAsia="zh-CN"/>
        </w:rPr>
        <w:t xml:space="preserve"> </w:t>
      </w:r>
      <w:r w:rsidR="00165CF6" w:rsidRPr="0032635B">
        <w:rPr>
          <w:rFonts w:ascii="Book Antiqua" w:hAnsi="Book Antiqua"/>
          <w:sz w:val="24"/>
          <w:szCs w:val="24"/>
        </w:rPr>
        <w:t>0.016)</w:t>
      </w:r>
      <w:r w:rsidR="00613E6C" w:rsidRPr="0032635B">
        <w:rPr>
          <w:rFonts w:ascii="Book Antiqua" w:hAnsi="Book Antiqua"/>
          <w:sz w:val="24"/>
          <w:szCs w:val="24"/>
        </w:rPr>
        <w:t>. The sum score of question</w:t>
      </w:r>
      <w:r w:rsidR="00D072E6" w:rsidRPr="0032635B">
        <w:rPr>
          <w:rFonts w:ascii="Book Antiqua" w:hAnsi="Book Antiqua"/>
          <w:sz w:val="24"/>
          <w:szCs w:val="24"/>
        </w:rPr>
        <w:t>s</w:t>
      </w:r>
      <w:r w:rsidR="00613E6C" w:rsidRPr="0032635B">
        <w:rPr>
          <w:rFonts w:ascii="Book Antiqua" w:hAnsi="Book Antiqua"/>
          <w:sz w:val="24"/>
          <w:szCs w:val="24"/>
        </w:rPr>
        <w:t xml:space="preserve"> 2 and 3 in </w:t>
      </w:r>
      <w:r w:rsidR="00D072E6" w:rsidRPr="0032635B">
        <w:rPr>
          <w:rFonts w:ascii="Book Antiqua" w:hAnsi="Book Antiqua"/>
          <w:sz w:val="24"/>
          <w:szCs w:val="24"/>
        </w:rPr>
        <w:t xml:space="preserve">the </w:t>
      </w:r>
      <w:r w:rsidR="00613E6C" w:rsidRPr="0032635B">
        <w:rPr>
          <w:rFonts w:ascii="Book Antiqua" w:hAnsi="Book Antiqua"/>
          <w:sz w:val="24"/>
          <w:szCs w:val="24"/>
        </w:rPr>
        <w:t>GSRS</w:t>
      </w:r>
      <w:r w:rsidR="00D072E6" w:rsidRPr="0032635B">
        <w:rPr>
          <w:rFonts w:ascii="Book Antiqua" w:hAnsi="Book Antiqua"/>
          <w:sz w:val="24"/>
          <w:szCs w:val="24"/>
        </w:rPr>
        <w:t>,</w:t>
      </w:r>
      <w:r w:rsidR="00613E6C" w:rsidRPr="0032635B">
        <w:rPr>
          <w:rFonts w:ascii="Book Antiqua" w:hAnsi="Book Antiqua"/>
          <w:sz w:val="24"/>
          <w:szCs w:val="24"/>
        </w:rPr>
        <w:t xml:space="preserve"> and </w:t>
      </w:r>
      <w:r w:rsidR="00EC3974" w:rsidRPr="0032635B">
        <w:rPr>
          <w:rFonts w:ascii="Book Antiqua" w:hAnsi="Book Antiqua"/>
          <w:sz w:val="24"/>
          <w:szCs w:val="24"/>
        </w:rPr>
        <w:t>satisfaction score</w:t>
      </w:r>
      <w:r w:rsidR="00D072E6" w:rsidRPr="0032635B">
        <w:rPr>
          <w:rFonts w:ascii="Book Antiqua" w:hAnsi="Book Antiqua"/>
          <w:sz w:val="24"/>
          <w:szCs w:val="24"/>
        </w:rPr>
        <w:t>s</w:t>
      </w:r>
      <w:r w:rsidR="00EC3974" w:rsidRPr="0032635B">
        <w:rPr>
          <w:rFonts w:ascii="Book Antiqua" w:hAnsi="Book Antiqua"/>
          <w:sz w:val="24"/>
          <w:szCs w:val="24"/>
        </w:rPr>
        <w:t xml:space="preserve"> w</w:t>
      </w:r>
      <w:r w:rsidR="00613E6C" w:rsidRPr="0032635B">
        <w:rPr>
          <w:rFonts w:ascii="Book Antiqua" w:hAnsi="Book Antiqua"/>
          <w:sz w:val="24"/>
          <w:szCs w:val="24"/>
        </w:rPr>
        <w:t>ere</w:t>
      </w:r>
      <w:r w:rsidR="00EC3974" w:rsidRPr="0032635B">
        <w:rPr>
          <w:rFonts w:ascii="Book Antiqua" w:hAnsi="Book Antiqua"/>
          <w:sz w:val="24"/>
          <w:szCs w:val="24"/>
        </w:rPr>
        <w:t xml:space="preserve"> also significantly </w:t>
      </w:r>
      <w:r w:rsidR="00613E6C" w:rsidRPr="0032635B">
        <w:rPr>
          <w:rFonts w:ascii="Book Antiqua" w:hAnsi="Book Antiqua"/>
          <w:sz w:val="24"/>
          <w:szCs w:val="24"/>
        </w:rPr>
        <w:t>worse</w:t>
      </w:r>
      <w:r w:rsidR="00EC3974" w:rsidRPr="0032635B">
        <w:rPr>
          <w:rFonts w:ascii="Book Antiqua" w:hAnsi="Book Antiqua"/>
          <w:sz w:val="24"/>
          <w:szCs w:val="24"/>
        </w:rPr>
        <w:t xml:space="preserve"> </w:t>
      </w:r>
      <w:r w:rsidR="00D072E6" w:rsidRPr="0032635B">
        <w:rPr>
          <w:rFonts w:ascii="Book Antiqua" w:hAnsi="Book Antiqua"/>
          <w:sz w:val="24"/>
          <w:szCs w:val="24"/>
        </w:rPr>
        <w:t xml:space="preserve">in the </w:t>
      </w:r>
      <w:proofErr w:type="spellStart"/>
      <w:r w:rsidR="00D072E6" w:rsidRPr="0032635B">
        <w:rPr>
          <w:rFonts w:ascii="Book Antiqua" w:hAnsi="Book Antiqua"/>
          <w:sz w:val="24"/>
          <w:szCs w:val="24"/>
        </w:rPr>
        <w:t>lafutidine</w:t>
      </w:r>
      <w:proofErr w:type="spellEnd"/>
      <w:r w:rsidR="00D072E6" w:rsidRPr="0032635B">
        <w:rPr>
          <w:rFonts w:ascii="Book Antiqua" w:hAnsi="Book Antiqua"/>
          <w:sz w:val="24"/>
          <w:szCs w:val="24"/>
        </w:rPr>
        <w:t xml:space="preserve"> group than</w:t>
      </w:r>
      <w:r w:rsidR="00EC3974" w:rsidRPr="0032635B">
        <w:rPr>
          <w:rFonts w:ascii="Book Antiqua" w:hAnsi="Book Antiqua"/>
          <w:sz w:val="24"/>
          <w:szCs w:val="24"/>
        </w:rPr>
        <w:t xml:space="preserve"> </w:t>
      </w:r>
      <w:r w:rsidR="00DB0F2D" w:rsidRPr="0032635B">
        <w:rPr>
          <w:rFonts w:ascii="Book Antiqua" w:hAnsi="Book Antiqua"/>
          <w:sz w:val="24"/>
          <w:szCs w:val="24"/>
        </w:rPr>
        <w:t xml:space="preserve">the </w:t>
      </w:r>
      <w:proofErr w:type="spellStart"/>
      <w:r w:rsidR="00EC3974" w:rsidRPr="0032635B">
        <w:rPr>
          <w:rFonts w:ascii="Book Antiqua" w:hAnsi="Book Antiqua"/>
          <w:sz w:val="24"/>
          <w:szCs w:val="24"/>
        </w:rPr>
        <w:t>lansoprazole</w:t>
      </w:r>
      <w:proofErr w:type="spellEnd"/>
      <w:r w:rsidR="00EC3974" w:rsidRPr="0032635B">
        <w:rPr>
          <w:rFonts w:ascii="Book Antiqua" w:hAnsi="Book Antiqua"/>
          <w:sz w:val="24"/>
          <w:szCs w:val="24"/>
        </w:rPr>
        <w:t xml:space="preserve"> group</w:t>
      </w:r>
      <w:r w:rsidR="00165CF6" w:rsidRPr="0032635B">
        <w:rPr>
          <w:rFonts w:ascii="Book Antiqua" w:hAnsi="Book Antiqua"/>
          <w:sz w:val="24"/>
          <w:szCs w:val="24"/>
        </w:rPr>
        <w:t xml:space="preserve"> (</w:t>
      </w:r>
      <w:r w:rsidRPr="0032635B">
        <w:rPr>
          <w:rFonts w:ascii="Book Antiqua" w:hAnsi="Book Antiqua"/>
          <w:i/>
          <w:sz w:val="24"/>
          <w:szCs w:val="24"/>
        </w:rPr>
        <w:t>P</w:t>
      </w:r>
      <w:r w:rsidRPr="0032635B">
        <w:rPr>
          <w:rFonts w:ascii="Book Antiqua" w:hAnsi="Book Antiqua"/>
          <w:sz w:val="24"/>
          <w:szCs w:val="24"/>
        </w:rPr>
        <w:t xml:space="preserve"> </w:t>
      </w:r>
      <w:r w:rsidR="00165CF6" w:rsidRPr="0032635B">
        <w:rPr>
          <w:rFonts w:ascii="Book Antiqua" w:hAnsi="Book Antiqua"/>
          <w:sz w:val="24"/>
          <w:szCs w:val="24"/>
        </w:rPr>
        <w:t>=</w:t>
      </w:r>
      <w:r w:rsidRPr="0032635B">
        <w:rPr>
          <w:rFonts w:ascii="Book Antiqua" w:eastAsia="宋体" w:hAnsi="Book Antiqua"/>
          <w:sz w:val="24"/>
          <w:szCs w:val="24"/>
          <w:lang w:eastAsia="zh-CN"/>
        </w:rPr>
        <w:t xml:space="preserve"> </w:t>
      </w:r>
      <w:r w:rsidR="00165CF6" w:rsidRPr="0032635B">
        <w:rPr>
          <w:rFonts w:ascii="Book Antiqua" w:hAnsi="Book Antiqua"/>
          <w:sz w:val="24"/>
          <w:szCs w:val="24"/>
        </w:rPr>
        <w:t xml:space="preserve">0.0068 and </w:t>
      </w:r>
      <w:r w:rsidRPr="0032635B">
        <w:rPr>
          <w:rFonts w:ascii="Book Antiqua" w:hAnsi="Book Antiqua"/>
          <w:i/>
          <w:sz w:val="24"/>
          <w:szCs w:val="24"/>
        </w:rPr>
        <w:t>P</w:t>
      </w:r>
      <w:r w:rsidRPr="0032635B">
        <w:rPr>
          <w:rFonts w:ascii="Book Antiqua" w:hAnsi="Book Antiqua"/>
          <w:sz w:val="24"/>
          <w:szCs w:val="24"/>
        </w:rPr>
        <w:t xml:space="preserve"> </w:t>
      </w:r>
      <w:r w:rsidR="00165CF6" w:rsidRPr="0032635B">
        <w:rPr>
          <w:rFonts w:ascii="Book Antiqua" w:hAnsi="Book Antiqua"/>
          <w:sz w:val="24"/>
          <w:szCs w:val="24"/>
        </w:rPr>
        <w:t>=</w:t>
      </w:r>
      <w:r w:rsidRPr="0032635B">
        <w:rPr>
          <w:rFonts w:ascii="Book Antiqua" w:eastAsia="宋体" w:hAnsi="Book Antiqua"/>
          <w:sz w:val="24"/>
          <w:szCs w:val="24"/>
          <w:lang w:eastAsia="zh-CN"/>
        </w:rPr>
        <w:t xml:space="preserve"> </w:t>
      </w:r>
      <w:r w:rsidR="00165CF6" w:rsidRPr="0032635B">
        <w:rPr>
          <w:rFonts w:ascii="Book Antiqua" w:hAnsi="Book Antiqua"/>
          <w:sz w:val="24"/>
          <w:szCs w:val="24"/>
        </w:rPr>
        <w:t>0.0048, respectively)</w:t>
      </w:r>
      <w:r w:rsidR="00EC3974" w:rsidRPr="0032635B">
        <w:rPr>
          <w:rFonts w:ascii="Book Antiqua" w:hAnsi="Book Antiqua"/>
          <w:sz w:val="24"/>
          <w:szCs w:val="24"/>
        </w:rPr>
        <w:t>.</w:t>
      </w:r>
    </w:p>
    <w:p w:rsidR="00165CF6" w:rsidRPr="00412C66" w:rsidRDefault="00165CF6" w:rsidP="00C92BD7">
      <w:pPr>
        <w:spacing w:line="360" w:lineRule="auto"/>
        <w:rPr>
          <w:rFonts w:ascii="Book Antiqua" w:eastAsia="宋体" w:hAnsi="Book Antiqua"/>
          <w:sz w:val="24"/>
          <w:szCs w:val="24"/>
          <w:lang w:eastAsia="zh-CN"/>
        </w:rPr>
      </w:pPr>
    </w:p>
    <w:p w:rsidR="00AB2CAA" w:rsidRPr="0032635B" w:rsidRDefault="00D12783" w:rsidP="00C92BD7">
      <w:pPr>
        <w:spacing w:line="360" w:lineRule="auto"/>
        <w:rPr>
          <w:rFonts w:ascii="Book Antiqua" w:hAnsi="Book Antiqua"/>
          <w:b/>
          <w:bCs/>
          <w:sz w:val="24"/>
          <w:szCs w:val="24"/>
        </w:rPr>
      </w:pPr>
      <w:r w:rsidRPr="0032635B">
        <w:rPr>
          <w:rFonts w:ascii="Book Antiqua" w:hAnsi="Book Antiqua"/>
          <w:b/>
          <w:bCs/>
          <w:sz w:val="24"/>
          <w:szCs w:val="24"/>
        </w:rPr>
        <w:t>CONCLUSION</w:t>
      </w:r>
      <w:r w:rsidR="00AB2CAA" w:rsidRPr="0032635B">
        <w:rPr>
          <w:rFonts w:ascii="Book Antiqua" w:hAnsi="Book Antiqua"/>
          <w:bCs/>
          <w:sz w:val="24"/>
          <w:szCs w:val="24"/>
        </w:rPr>
        <w:t>:</w:t>
      </w:r>
      <w:r w:rsidR="004063F3" w:rsidRPr="0032635B">
        <w:rPr>
          <w:rFonts w:ascii="Book Antiqua" w:hAnsi="Book Antiqua" w:cs="Times New Roman"/>
          <w:sz w:val="24"/>
          <w:szCs w:val="24"/>
        </w:rPr>
        <w:t xml:space="preserve"> The clinical efficacy of </w:t>
      </w:r>
      <w:proofErr w:type="spellStart"/>
      <w:r w:rsidR="004063F3" w:rsidRPr="0032635B">
        <w:rPr>
          <w:rFonts w:ascii="Book Antiqua" w:hAnsi="Book Antiqua" w:cs="Times New Roman"/>
          <w:sz w:val="24"/>
          <w:szCs w:val="24"/>
        </w:rPr>
        <w:t>lafutidine</w:t>
      </w:r>
      <w:proofErr w:type="spellEnd"/>
      <w:r w:rsidR="004063F3" w:rsidRPr="0032635B">
        <w:rPr>
          <w:rFonts w:ascii="Book Antiqua" w:hAnsi="Book Antiqua" w:cs="Times New Roman"/>
          <w:sz w:val="24"/>
          <w:szCs w:val="24"/>
        </w:rPr>
        <w:t xml:space="preserve"> w</w:t>
      </w:r>
      <w:r w:rsidR="006D6A6D" w:rsidRPr="0032635B">
        <w:rPr>
          <w:rFonts w:ascii="Book Antiqua" w:hAnsi="Book Antiqua" w:cs="Times New Roman"/>
          <w:sz w:val="24"/>
          <w:szCs w:val="24"/>
        </w:rPr>
        <w:t>as</w:t>
      </w:r>
      <w:r w:rsidR="004063F3" w:rsidRPr="0032635B">
        <w:rPr>
          <w:rFonts w:ascii="Book Antiqua" w:hAnsi="Book Antiqua" w:cs="Times New Roman"/>
          <w:sz w:val="24"/>
          <w:szCs w:val="24"/>
        </w:rPr>
        <w:t xml:space="preserve"> inferior to th</w:t>
      </w:r>
      <w:r w:rsidR="006D6A6D" w:rsidRPr="0032635B">
        <w:rPr>
          <w:rFonts w:ascii="Book Antiqua" w:hAnsi="Book Antiqua" w:cs="Times New Roman"/>
          <w:sz w:val="24"/>
          <w:szCs w:val="24"/>
        </w:rPr>
        <w:t>at</w:t>
      </w:r>
      <w:r w:rsidR="004063F3" w:rsidRPr="0032635B">
        <w:rPr>
          <w:rFonts w:ascii="Book Antiqua" w:hAnsi="Book Antiqua" w:cs="Times New Roman"/>
          <w:sz w:val="24"/>
          <w:szCs w:val="24"/>
        </w:rPr>
        <w:t xml:space="preserve"> of </w:t>
      </w:r>
      <w:proofErr w:type="spellStart"/>
      <w:r w:rsidR="004063F3" w:rsidRPr="0032635B">
        <w:rPr>
          <w:rFonts w:ascii="Book Antiqua" w:hAnsi="Book Antiqua" w:cs="Times New Roman"/>
          <w:sz w:val="24"/>
          <w:szCs w:val="24"/>
        </w:rPr>
        <w:lastRenderedPageBreak/>
        <w:t>lansop</w:t>
      </w:r>
      <w:r w:rsidR="006D6A6D" w:rsidRPr="0032635B">
        <w:rPr>
          <w:rFonts w:ascii="Book Antiqua" w:hAnsi="Book Antiqua" w:cs="Times New Roman"/>
          <w:sz w:val="24"/>
          <w:szCs w:val="24"/>
        </w:rPr>
        <w:t>r</w:t>
      </w:r>
      <w:r w:rsidR="004063F3" w:rsidRPr="0032635B">
        <w:rPr>
          <w:rFonts w:ascii="Book Antiqua" w:hAnsi="Book Antiqua" w:cs="Times New Roman"/>
          <w:sz w:val="24"/>
          <w:szCs w:val="24"/>
        </w:rPr>
        <w:t>azole</w:t>
      </w:r>
      <w:proofErr w:type="spellEnd"/>
      <w:r w:rsidR="006D6A6D" w:rsidRPr="0032635B">
        <w:rPr>
          <w:rFonts w:ascii="Book Antiqua" w:hAnsi="Book Antiqua" w:cs="Times New Roman"/>
          <w:sz w:val="24"/>
          <w:szCs w:val="24"/>
        </w:rPr>
        <w:t>,</w:t>
      </w:r>
      <w:r w:rsidR="004063F3" w:rsidRPr="0032635B">
        <w:rPr>
          <w:rFonts w:ascii="Book Antiqua" w:hAnsi="Book Antiqua" w:cs="Times New Roman"/>
          <w:sz w:val="24"/>
          <w:szCs w:val="24"/>
        </w:rPr>
        <w:t xml:space="preserve"> even in Japanese patients with mild GERD.</w:t>
      </w:r>
    </w:p>
    <w:p w:rsidR="00165CF6" w:rsidRPr="0032635B" w:rsidRDefault="00165CF6" w:rsidP="00C92BD7">
      <w:pPr>
        <w:spacing w:line="360" w:lineRule="auto"/>
        <w:rPr>
          <w:rFonts w:ascii="Book Antiqua" w:hAnsi="Book Antiqua" w:cs="Times New Roman"/>
          <w:bCs/>
          <w:sz w:val="24"/>
          <w:szCs w:val="24"/>
        </w:rPr>
      </w:pPr>
    </w:p>
    <w:p w:rsidR="00165CF6" w:rsidRPr="0032635B" w:rsidRDefault="00AB2CAA" w:rsidP="00C92BD7">
      <w:pPr>
        <w:spacing w:line="360" w:lineRule="auto"/>
        <w:rPr>
          <w:rFonts w:ascii="Book Antiqua" w:eastAsia="宋体" w:hAnsi="Book Antiqua" w:cs="Times New Roman"/>
          <w:bCs/>
          <w:sz w:val="24"/>
          <w:szCs w:val="24"/>
          <w:lang w:eastAsia="zh-CN"/>
        </w:rPr>
      </w:pPr>
      <w:r w:rsidRPr="0032635B">
        <w:rPr>
          <w:rFonts w:ascii="Book Antiqua" w:hAnsi="Book Antiqua" w:cs="Times New Roman"/>
          <w:b/>
          <w:bCs/>
          <w:sz w:val="24"/>
          <w:szCs w:val="24"/>
        </w:rPr>
        <w:t>Key words</w:t>
      </w:r>
      <w:r w:rsidRPr="0032635B">
        <w:rPr>
          <w:rFonts w:ascii="Book Antiqua" w:hAnsi="Book Antiqua" w:cs="Times New Roman"/>
          <w:bCs/>
          <w:sz w:val="24"/>
          <w:szCs w:val="24"/>
        </w:rPr>
        <w:t xml:space="preserve">: </w:t>
      </w:r>
      <w:proofErr w:type="spellStart"/>
      <w:r w:rsidR="00D12783" w:rsidRPr="0032635B">
        <w:rPr>
          <w:rFonts w:ascii="Book Antiqua" w:hAnsi="Book Antiqua" w:cs="Times New Roman"/>
          <w:bCs/>
          <w:sz w:val="24"/>
          <w:szCs w:val="24"/>
        </w:rPr>
        <w:t>Gastroesophageal</w:t>
      </w:r>
      <w:proofErr w:type="spellEnd"/>
      <w:r w:rsidR="00D12783" w:rsidRPr="0032635B">
        <w:rPr>
          <w:rFonts w:ascii="Book Antiqua" w:hAnsi="Book Antiqua" w:cs="Times New Roman"/>
          <w:bCs/>
          <w:sz w:val="24"/>
          <w:szCs w:val="24"/>
        </w:rPr>
        <w:t xml:space="preserve"> </w:t>
      </w:r>
      <w:r w:rsidR="006D6A6D" w:rsidRPr="0032635B">
        <w:rPr>
          <w:rFonts w:ascii="Book Antiqua" w:hAnsi="Book Antiqua" w:cs="Times New Roman"/>
          <w:bCs/>
          <w:sz w:val="24"/>
          <w:szCs w:val="24"/>
        </w:rPr>
        <w:t>reflux disease</w:t>
      </w:r>
      <w:r w:rsidR="00165CF6" w:rsidRPr="0032635B">
        <w:rPr>
          <w:rFonts w:ascii="Book Antiqua" w:hAnsi="Book Antiqua" w:cs="Times New Roman"/>
          <w:bCs/>
          <w:sz w:val="24"/>
          <w:szCs w:val="24"/>
        </w:rPr>
        <w:t>;</w:t>
      </w:r>
      <w:r w:rsidR="00C162D3" w:rsidRPr="0032635B">
        <w:rPr>
          <w:rFonts w:ascii="Book Antiqua" w:hAnsi="Book Antiqua" w:cs="Times New Roman"/>
          <w:bCs/>
          <w:sz w:val="24"/>
          <w:szCs w:val="24"/>
        </w:rPr>
        <w:t xml:space="preserve"> </w:t>
      </w:r>
      <w:r w:rsidR="00D12783" w:rsidRPr="0032635B">
        <w:rPr>
          <w:rFonts w:ascii="Book Antiqua" w:hAnsi="Book Antiqua" w:cs="Times New Roman"/>
          <w:bCs/>
          <w:sz w:val="24"/>
          <w:szCs w:val="24"/>
        </w:rPr>
        <w:t xml:space="preserve">Proton </w:t>
      </w:r>
      <w:r w:rsidR="006D6A6D" w:rsidRPr="0032635B">
        <w:rPr>
          <w:rFonts w:ascii="Book Antiqua" w:hAnsi="Book Antiqua" w:cs="Times New Roman"/>
          <w:bCs/>
          <w:sz w:val="24"/>
          <w:szCs w:val="24"/>
        </w:rPr>
        <w:t>pump inhibitors</w:t>
      </w:r>
      <w:r w:rsidR="00165CF6" w:rsidRPr="0032635B">
        <w:rPr>
          <w:rFonts w:ascii="Book Antiqua" w:hAnsi="Book Antiqua" w:cs="Times New Roman"/>
          <w:bCs/>
          <w:sz w:val="24"/>
          <w:szCs w:val="24"/>
        </w:rPr>
        <w:t>;</w:t>
      </w:r>
      <w:r w:rsidR="006D6A6D" w:rsidRPr="0032635B">
        <w:rPr>
          <w:rFonts w:ascii="Book Antiqua" w:hAnsi="Book Antiqua" w:cs="Times New Roman"/>
          <w:bCs/>
          <w:sz w:val="24"/>
          <w:szCs w:val="24"/>
        </w:rPr>
        <w:t xml:space="preserve"> </w:t>
      </w:r>
      <w:r w:rsidR="00D12783" w:rsidRPr="0032635B">
        <w:rPr>
          <w:rFonts w:ascii="Book Antiqua" w:hAnsi="Book Antiqua" w:cs="Times New Roman"/>
          <w:bCs/>
          <w:sz w:val="24"/>
          <w:szCs w:val="24"/>
        </w:rPr>
        <w:t xml:space="preserve">Histamine </w:t>
      </w:r>
      <w:r w:rsidR="006D6A6D" w:rsidRPr="0032635B">
        <w:rPr>
          <w:rFonts w:ascii="Book Antiqua" w:hAnsi="Book Antiqua" w:cs="Times New Roman"/>
          <w:bCs/>
          <w:sz w:val="24"/>
          <w:szCs w:val="24"/>
        </w:rPr>
        <w:t>receptor-2 antagonists</w:t>
      </w:r>
      <w:r w:rsidR="00165CF6" w:rsidRPr="0032635B">
        <w:rPr>
          <w:rFonts w:ascii="Book Antiqua" w:hAnsi="Book Antiqua" w:cs="Times New Roman"/>
          <w:bCs/>
          <w:sz w:val="24"/>
          <w:szCs w:val="24"/>
        </w:rPr>
        <w:t>; Los Angeles classification</w:t>
      </w:r>
    </w:p>
    <w:p w:rsidR="0091327D" w:rsidRPr="0032635B" w:rsidRDefault="0091327D" w:rsidP="00C92BD7">
      <w:pPr>
        <w:spacing w:line="360" w:lineRule="auto"/>
        <w:rPr>
          <w:rFonts w:ascii="Book Antiqua" w:eastAsia="宋体" w:hAnsi="Book Antiqua" w:cs="Times New Roman"/>
          <w:bCs/>
          <w:sz w:val="24"/>
          <w:szCs w:val="24"/>
          <w:lang w:eastAsia="zh-CN"/>
        </w:rPr>
      </w:pPr>
    </w:p>
    <w:p w:rsidR="0091327D" w:rsidRPr="0032635B" w:rsidRDefault="0091327D" w:rsidP="0091327D">
      <w:pPr>
        <w:spacing w:line="360" w:lineRule="auto"/>
        <w:rPr>
          <w:rFonts w:ascii="Book Antiqua" w:hAnsi="Book Antiqua" w:cs="Arial"/>
          <w:sz w:val="24"/>
          <w:szCs w:val="24"/>
        </w:rPr>
      </w:pPr>
      <w:bookmarkStart w:id="18" w:name="OLE_LINK55"/>
      <w:bookmarkStart w:id="19" w:name="OLE_LINK56"/>
      <w:bookmarkStart w:id="20" w:name="OLE_LINK105"/>
      <w:bookmarkStart w:id="21" w:name="OLE_LINK116"/>
      <w:bookmarkStart w:id="22" w:name="OLE_LINK89"/>
      <w:proofErr w:type="gramStart"/>
      <w:r w:rsidRPr="0032635B">
        <w:rPr>
          <w:rFonts w:ascii="Book Antiqua" w:hAnsi="Book Antiqua"/>
          <w:b/>
          <w:sz w:val="24"/>
          <w:szCs w:val="24"/>
        </w:rPr>
        <w:t>©</w:t>
      </w:r>
      <w:bookmarkEnd w:id="18"/>
      <w:bookmarkEnd w:id="19"/>
      <w:r w:rsidRPr="0032635B">
        <w:rPr>
          <w:rFonts w:ascii="Book Antiqua" w:hAnsi="Book Antiqua"/>
          <w:b/>
          <w:sz w:val="24"/>
          <w:szCs w:val="24"/>
        </w:rPr>
        <w:t xml:space="preserve"> </w:t>
      </w:r>
      <w:r w:rsidRPr="0032635B">
        <w:rPr>
          <w:rFonts w:ascii="Book Antiqua" w:hAnsi="Book Antiqua" w:cs="Arial"/>
          <w:b/>
          <w:sz w:val="24"/>
          <w:szCs w:val="24"/>
        </w:rPr>
        <w:t>The Author(s) 2016.</w:t>
      </w:r>
      <w:proofErr w:type="gramEnd"/>
      <w:r w:rsidRPr="0032635B">
        <w:rPr>
          <w:rFonts w:ascii="Book Antiqua" w:hAnsi="Book Antiqua" w:cs="Arial"/>
          <w:b/>
          <w:sz w:val="24"/>
          <w:szCs w:val="24"/>
        </w:rPr>
        <w:t xml:space="preserve"> </w:t>
      </w:r>
      <w:proofErr w:type="gramStart"/>
      <w:r w:rsidRPr="0032635B">
        <w:rPr>
          <w:rFonts w:ascii="Book Antiqua" w:hAnsi="Book Antiqua" w:cs="Arial"/>
          <w:sz w:val="24"/>
          <w:szCs w:val="24"/>
        </w:rPr>
        <w:t xml:space="preserve">Published by </w:t>
      </w:r>
      <w:proofErr w:type="spellStart"/>
      <w:r w:rsidRPr="0032635B">
        <w:rPr>
          <w:rFonts w:ascii="Book Antiqua" w:hAnsi="Book Antiqua" w:cs="Arial"/>
          <w:sz w:val="24"/>
          <w:szCs w:val="24"/>
        </w:rPr>
        <w:t>Baishideng</w:t>
      </w:r>
      <w:proofErr w:type="spellEnd"/>
      <w:r w:rsidRPr="0032635B">
        <w:rPr>
          <w:rFonts w:ascii="Book Antiqua" w:hAnsi="Book Antiqua" w:cs="Arial"/>
          <w:sz w:val="24"/>
          <w:szCs w:val="24"/>
        </w:rPr>
        <w:t xml:space="preserve"> Publishing Group Inc.</w:t>
      </w:r>
      <w:proofErr w:type="gramEnd"/>
      <w:r w:rsidRPr="0032635B">
        <w:rPr>
          <w:rFonts w:ascii="Book Antiqua" w:hAnsi="Book Antiqua" w:cs="Arial"/>
          <w:sz w:val="24"/>
          <w:szCs w:val="24"/>
        </w:rPr>
        <w:t xml:space="preserve"> All rights reserved.</w:t>
      </w:r>
    </w:p>
    <w:bookmarkEnd w:id="20"/>
    <w:bookmarkEnd w:id="21"/>
    <w:bookmarkEnd w:id="22"/>
    <w:p w:rsidR="00165CF6" w:rsidRPr="0032635B" w:rsidRDefault="00165CF6" w:rsidP="00C92BD7">
      <w:pPr>
        <w:spacing w:line="360" w:lineRule="auto"/>
        <w:rPr>
          <w:rFonts w:ascii="Book Antiqua" w:hAnsi="Book Antiqua" w:cs="Times New Roman"/>
          <w:bCs/>
          <w:sz w:val="24"/>
          <w:szCs w:val="24"/>
        </w:rPr>
      </w:pPr>
    </w:p>
    <w:p w:rsidR="004B6171" w:rsidRPr="0032635B" w:rsidRDefault="00165CF6" w:rsidP="00C92BD7">
      <w:pPr>
        <w:spacing w:line="360" w:lineRule="auto"/>
        <w:rPr>
          <w:rFonts w:ascii="Book Antiqua" w:hAnsi="Book Antiqua" w:cs="Times New Roman"/>
          <w:sz w:val="24"/>
          <w:szCs w:val="24"/>
        </w:rPr>
      </w:pPr>
      <w:r w:rsidRPr="0032635B">
        <w:rPr>
          <w:rFonts w:ascii="Book Antiqua" w:hAnsi="Book Antiqua" w:cs="Times New Roman"/>
          <w:b/>
          <w:bCs/>
          <w:sz w:val="24"/>
          <w:szCs w:val="24"/>
        </w:rPr>
        <w:t>Core tip:</w:t>
      </w:r>
      <w:r w:rsidRPr="0032635B">
        <w:rPr>
          <w:rFonts w:ascii="Book Antiqua" w:hAnsi="Book Antiqua" w:cs="Times New Roman"/>
          <w:bCs/>
          <w:sz w:val="24"/>
          <w:szCs w:val="24"/>
        </w:rPr>
        <w:t xml:space="preserve"> </w:t>
      </w:r>
      <w:r w:rsidRPr="0032635B">
        <w:rPr>
          <w:rFonts w:ascii="Book Antiqua" w:hAnsi="Book Antiqua" w:cs="Times New Roman"/>
          <w:sz w:val="24"/>
          <w:szCs w:val="24"/>
        </w:rPr>
        <w:t>The clinical efficac</w:t>
      </w:r>
      <w:r w:rsidR="00195147" w:rsidRPr="0032635B">
        <w:rPr>
          <w:rFonts w:ascii="Book Antiqua" w:hAnsi="Book Antiqua" w:cs="Times New Roman"/>
          <w:sz w:val="24"/>
          <w:szCs w:val="24"/>
        </w:rPr>
        <w:t xml:space="preserve">y of the second-generation H2RA </w:t>
      </w:r>
      <w:proofErr w:type="spellStart"/>
      <w:r w:rsidRPr="0032635B">
        <w:rPr>
          <w:rFonts w:ascii="Book Antiqua" w:hAnsi="Book Antiqua" w:cs="Times New Roman"/>
          <w:sz w:val="24"/>
          <w:szCs w:val="24"/>
        </w:rPr>
        <w:t>lafutidine</w:t>
      </w:r>
      <w:proofErr w:type="spellEnd"/>
      <w:r w:rsidRPr="0032635B">
        <w:rPr>
          <w:rFonts w:ascii="Book Antiqua" w:hAnsi="Book Antiqua" w:cs="Times New Roman"/>
          <w:sz w:val="24"/>
          <w:szCs w:val="24"/>
        </w:rPr>
        <w:t xml:space="preserve"> was inferior to that of </w:t>
      </w:r>
      <w:proofErr w:type="spellStart"/>
      <w:r w:rsidRPr="0032635B">
        <w:rPr>
          <w:rFonts w:ascii="Book Antiqua" w:hAnsi="Book Antiqua" w:cs="Times New Roman"/>
          <w:sz w:val="24"/>
          <w:szCs w:val="24"/>
        </w:rPr>
        <w:t>lansoprazole</w:t>
      </w:r>
      <w:proofErr w:type="spellEnd"/>
      <w:r w:rsidR="004B6171" w:rsidRPr="0032635B">
        <w:rPr>
          <w:rFonts w:ascii="Book Antiqua" w:hAnsi="Book Antiqua" w:cs="Times New Roman"/>
          <w:sz w:val="24"/>
          <w:szCs w:val="24"/>
        </w:rPr>
        <w:t xml:space="preserve">, </w:t>
      </w:r>
      <w:r w:rsidR="004B6171" w:rsidRPr="0032635B">
        <w:rPr>
          <w:rFonts w:ascii="Book Antiqua" w:hAnsi="Book Antiqua"/>
          <w:sz w:val="24"/>
          <w:szCs w:val="24"/>
        </w:rPr>
        <w:t>particularly during maintenance therapy</w:t>
      </w:r>
      <w:r w:rsidRPr="0032635B">
        <w:rPr>
          <w:rFonts w:ascii="Book Antiqua" w:hAnsi="Book Antiqua" w:cs="Times New Roman"/>
          <w:sz w:val="24"/>
          <w:szCs w:val="24"/>
        </w:rPr>
        <w:t xml:space="preserve">, even in Japanese patients with mild </w:t>
      </w:r>
      <w:proofErr w:type="spellStart"/>
      <w:r w:rsidR="00D12783" w:rsidRPr="0032635B">
        <w:rPr>
          <w:rFonts w:ascii="Book Antiqua" w:hAnsi="Book Antiqua" w:cs="Times New Roman"/>
          <w:bCs/>
          <w:sz w:val="24"/>
          <w:szCs w:val="24"/>
        </w:rPr>
        <w:t>gastroesophageal</w:t>
      </w:r>
      <w:proofErr w:type="spellEnd"/>
      <w:r w:rsidR="00D12783" w:rsidRPr="0032635B">
        <w:rPr>
          <w:rFonts w:ascii="Book Antiqua" w:hAnsi="Book Antiqua" w:cs="Times New Roman"/>
          <w:bCs/>
          <w:sz w:val="24"/>
          <w:szCs w:val="24"/>
        </w:rPr>
        <w:t xml:space="preserve"> reflux disease</w:t>
      </w:r>
      <w:r w:rsidRPr="0032635B">
        <w:rPr>
          <w:rFonts w:ascii="Book Antiqua" w:hAnsi="Book Antiqua" w:cs="Times New Roman"/>
          <w:sz w:val="24"/>
          <w:szCs w:val="24"/>
        </w:rPr>
        <w:t>.</w:t>
      </w:r>
      <w:r w:rsidR="00195147" w:rsidRPr="0032635B">
        <w:rPr>
          <w:rFonts w:ascii="Book Antiqua" w:hAnsi="Book Antiqua" w:cs="Times New Roman"/>
          <w:sz w:val="24"/>
          <w:szCs w:val="24"/>
        </w:rPr>
        <w:t xml:space="preserve"> </w:t>
      </w:r>
    </w:p>
    <w:p w:rsidR="004B6171" w:rsidRPr="0032635B" w:rsidRDefault="004B6171" w:rsidP="00C92BD7">
      <w:pPr>
        <w:spacing w:line="360" w:lineRule="auto"/>
        <w:rPr>
          <w:rFonts w:ascii="Book Antiqua" w:hAnsi="Book Antiqua"/>
          <w:sz w:val="24"/>
          <w:szCs w:val="24"/>
        </w:rPr>
      </w:pPr>
    </w:p>
    <w:p w:rsidR="004B6171" w:rsidRPr="0032635B" w:rsidRDefault="004B6171" w:rsidP="00C92BD7">
      <w:pPr>
        <w:spacing w:line="360" w:lineRule="auto"/>
        <w:rPr>
          <w:rFonts w:ascii="Book Antiqua" w:eastAsia="宋体" w:hAnsi="Book Antiqua" w:cs="Times New Roman"/>
          <w:sz w:val="24"/>
          <w:szCs w:val="24"/>
          <w:lang w:eastAsia="zh-CN"/>
        </w:rPr>
      </w:pPr>
      <w:proofErr w:type="spellStart"/>
      <w:r w:rsidRPr="0032635B">
        <w:rPr>
          <w:rFonts w:ascii="Book Antiqua" w:hAnsi="Book Antiqua"/>
          <w:sz w:val="24"/>
          <w:szCs w:val="24"/>
        </w:rPr>
        <w:t>Takenaka</w:t>
      </w:r>
      <w:proofErr w:type="spellEnd"/>
      <w:r w:rsidRPr="0032635B">
        <w:rPr>
          <w:rFonts w:ascii="Book Antiqua" w:hAnsi="Book Antiqua"/>
          <w:sz w:val="24"/>
          <w:szCs w:val="24"/>
        </w:rPr>
        <w:t xml:space="preserve"> R, Okada H, Kawano S, </w:t>
      </w:r>
      <w:proofErr w:type="spellStart"/>
      <w:r w:rsidRPr="0032635B">
        <w:rPr>
          <w:rFonts w:ascii="Book Antiqua" w:hAnsi="Book Antiqua"/>
          <w:sz w:val="24"/>
          <w:szCs w:val="24"/>
        </w:rPr>
        <w:t>Komazawa</w:t>
      </w:r>
      <w:proofErr w:type="spellEnd"/>
      <w:r w:rsidRPr="0032635B">
        <w:rPr>
          <w:rFonts w:ascii="Book Antiqua" w:hAnsi="Book Antiqua"/>
          <w:sz w:val="24"/>
          <w:szCs w:val="24"/>
        </w:rPr>
        <w:t xml:space="preserve"> Y, </w:t>
      </w:r>
      <w:proofErr w:type="spellStart"/>
      <w:r w:rsidRPr="0032635B">
        <w:rPr>
          <w:rFonts w:ascii="Book Antiqua" w:hAnsi="Book Antiqua"/>
          <w:sz w:val="24"/>
          <w:szCs w:val="24"/>
        </w:rPr>
        <w:t>Yoshinaga</w:t>
      </w:r>
      <w:proofErr w:type="spellEnd"/>
      <w:r w:rsidRPr="0032635B">
        <w:rPr>
          <w:rFonts w:ascii="Book Antiqua" w:hAnsi="Book Antiqua"/>
          <w:sz w:val="24"/>
          <w:szCs w:val="24"/>
        </w:rPr>
        <w:t xml:space="preserve"> F, Nagata S, Inoue M, Komatsu H, </w:t>
      </w:r>
      <w:proofErr w:type="spellStart"/>
      <w:r w:rsidRPr="0032635B">
        <w:rPr>
          <w:rFonts w:ascii="Book Antiqua" w:hAnsi="Book Antiqua"/>
          <w:sz w:val="24"/>
          <w:szCs w:val="24"/>
        </w:rPr>
        <w:t>Onogawa</w:t>
      </w:r>
      <w:proofErr w:type="spellEnd"/>
      <w:r w:rsidRPr="0032635B">
        <w:rPr>
          <w:rFonts w:ascii="Book Antiqua" w:hAnsi="Book Antiqua"/>
          <w:sz w:val="24"/>
          <w:szCs w:val="24"/>
        </w:rPr>
        <w:t xml:space="preserve"> S, </w:t>
      </w:r>
      <w:proofErr w:type="spellStart"/>
      <w:r w:rsidRPr="0032635B">
        <w:rPr>
          <w:rFonts w:ascii="Book Antiqua" w:hAnsi="Book Antiqua"/>
          <w:sz w:val="24"/>
          <w:szCs w:val="24"/>
        </w:rPr>
        <w:t>Kushiyama</w:t>
      </w:r>
      <w:proofErr w:type="spellEnd"/>
      <w:r w:rsidRPr="0032635B">
        <w:rPr>
          <w:rFonts w:ascii="Book Antiqua" w:hAnsi="Book Antiqua"/>
          <w:sz w:val="24"/>
          <w:szCs w:val="24"/>
        </w:rPr>
        <w:t xml:space="preserve"> Y, </w:t>
      </w:r>
      <w:proofErr w:type="spellStart"/>
      <w:r w:rsidRPr="0032635B">
        <w:rPr>
          <w:rFonts w:ascii="Book Antiqua" w:hAnsi="Book Antiqua"/>
          <w:sz w:val="24"/>
          <w:szCs w:val="24"/>
        </w:rPr>
        <w:t>Mukai</w:t>
      </w:r>
      <w:proofErr w:type="spellEnd"/>
      <w:r w:rsidRPr="0032635B">
        <w:rPr>
          <w:rFonts w:ascii="Book Antiqua" w:hAnsi="Book Antiqua"/>
          <w:sz w:val="24"/>
          <w:szCs w:val="24"/>
        </w:rPr>
        <w:t xml:space="preserve"> S, </w:t>
      </w:r>
      <w:proofErr w:type="spellStart"/>
      <w:r w:rsidRPr="0032635B">
        <w:rPr>
          <w:rFonts w:ascii="Book Antiqua" w:hAnsi="Book Antiqua"/>
          <w:sz w:val="24"/>
          <w:szCs w:val="24"/>
        </w:rPr>
        <w:t>Todo</w:t>
      </w:r>
      <w:proofErr w:type="spellEnd"/>
      <w:r w:rsidRPr="0032635B">
        <w:rPr>
          <w:rFonts w:ascii="Book Antiqua" w:hAnsi="Book Antiqua"/>
          <w:sz w:val="24"/>
          <w:szCs w:val="24"/>
        </w:rPr>
        <w:t xml:space="preserve"> H, </w:t>
      </w:r>
      <w:proofErr w:type="spellStart"/>
      <w:r w:rsidRPr="0032635B">
        <w:rPr>
          <w:rFonts w:ascii="Book Antiqua" w:hAnsi="Book Antiqua"/>
          <w:sz w:val="24"/>
          <w:szCs w:val="24"/>
        </w:rPr>
        <w:t>Okanobu</w:t>
      </w:r>
      <w:proofErr w:type="spellEnd"/>
      <w:r w:rsidRPr="0032635B">
        <w:rPr>
          <w:rFonts w:ascii="Book Antiqua" w:hAnsi="Book Antiqua"/>
          <w:sz w:val="24"/>
          <w:szCs w:val="24"/>
        </w:rPr>
        <w:t xml:space="preserve"> H, </w:t>
      </w:r>
      <w:proofErr w:type="spellStart"/>
      <w:r w:rsidRPr="0032635B">
        <w:rPr>
          <w:rFonts w:ascii="Book Antiqua" w:hAnsi="Book Antiqua"/>
          <w:sz w:val="24"/>
          <w:szCs w:val="24"/>
        </w:rPr>
        <w:t>Manabe</w:t>
      </w:r>
      <w:proofErr w:type="spellEnd"/>
      <w:r w:rsidRPr="0032635B">
        <w:rPr>
          <w:rFonts w:ascii="Book Antiqua" w:hAnsi="Book Antiqua"/>
          <w:sz w:val="24"/>
          <w:szCs w:val="24"/>
        </w:rPr>
        <w:t xml:space="preserve"> N, Tanaka S, </w:t>
      </w:r>
      <w:proofErr w:type="spellStart"/>
      <w:r w:rsidRPr="0032635B">
        <w:rPr>
          <w:rFonts w:ascii="Book Antiqua" w:hAnsi="Book Antiqua"/>
          <w:sz w:val="24"/>
          <w:szCs w:val="24"/>
        </w:rPr>
        <w:t>Haruma</w:t>
      </w:r>
      <w:proofErr w:type="spellEnd"/>
      <w:r w:rsidRPr="0032635B">
        <w:rPr>
          <w:rFonts w:ascii="Book Antiqua" w:hAnsi="Book Antiqua"/>
          <w:sz w:val="24"/>
          <w:szCs w:val="24"/>
        </w:rPr>
        <w:t xml:space="preserve"> K, Kinoshita Y. </w:t>
      </w:r>
      <w:r w:rsidRPr="0032635B">
        <w:rPr>
          <w:rFonts w:ascii="Book Antiqua" w:hAnsi="Book Antiqua" w:cs="Times New Roman"/>
          <w:sz w:val="24"/>
          <w:szCs w:val="24"/>
        </w:rPr>
        <w:t xml:space="preserve">Randomized study of </w:t>
      </w:r>
      <w:proofErr w:type="spellStart"/>
      <w:r w:rsidRPr="0032635B">
        <w:rPr>
          <w:rFonts w:ascii="Book Antiqua" w:hAnsi="Book Antiqua" w:cs="Times New Roman"/>
          <w:sz w:val="24"/>
          <w:szCs w:val="24"/>
        </w:rPr>
        <w:t>lafutidine</w:t>
      </w:r>
      <w:proofErr w:type="spellEnd"/>
      <w:r w:rsidRPr="0032635B">
        <w:rPr>
          <w:rFonts w:ascii="Book Antiqua" w:hAnsi="Book Antiqua" w:cs="Times New Roman"/>
          <w:sz w:val="24"/>
          <w:szCs w:val="24"/>
        </w:rPr>
        <w:t xml:space="preserve"> </w:t>
      </w:r>
      <w:proofErr w:type="spellStart"/>
      <w:r w:rsidRPr="0032635B">
        <w:rPr>
          <w:rFonts w:ascii="Book Antiqua" w:hAnsi="Book Antiqua" w:cs="Times New Roman"/>
          <w:i/>
          <w:sz w:val="24"/>
          <w:szCs w:val="24"/>
        </w:rPr>
        <w:t>vs</w:t>
      </w:r>
      <w:proofErr w:type="spellEnd"/>
      <w:r w:rsidRPr="0032635B">
        <w:rPr>
          <w:rFonts w:ascii="Book Antiqua" w:hAnsi="Book Antiqua" w:cs="Times New Roman"/>
          <w:sz w:val="24"/>
          <w:szCs w:val="24"/>
        </w:rPr>
        <w:t xml:space="preserve"> </w:t>
      </w:r>
      <w:proofErr w:type="spellStart"/>
      <w:r w:rsidRPr="0032635B">
        <w:rPr>
          <w:rFonts w:ascii="Book Antiqua" w:hAnsi="Book Antiqua" w:cs="Times New Roman"/>
          <w:sz w:val="24"/>
          <w:szCs w:val="24"/>
        </w:rPr>
        <w:t>lansoprazole</w:t>
      </w:r>
      <w:proofErr w:type="spellEnd"/>
      <w:r w:rsidRPr="0032635B">
        <w:rPr>
          <w:rFonts w:ascii="Book Antiqua" w:hAnsi="Book Antiqua" w:cs="Times New Roman"/>
          <w:sz w:val="24"/>
          <w:szCs w:val="24"/>
        </w:rPr>
        <w:t xml:space="preserve"> in patients with mild </w:t>
      </w:r>
      <w:proofErr w:type="spellStart"/>
      <w:r w:rsidRPr="0032635B">
        <w:rPr>
          <w:rFonts w:ascii="Book Antiqua" w:hAnsi="Book Antiqua" w:cs="Times New Roman"/>
          <w:sz w:val="24"/>
          <w:szCs w:val="24"/>
        </w:rPr>
        <w:t>gastroesophageal</w:t>
      </w:r>
      <w:proofErr w:type="spellEnd"/>
      <w:r w:rsidRPr="0032635B">
        <w:rPr>
          <w:rFonts w:ascii="Book Antiqua" w:hAnsi="Book Antiqua" w:cs="Times New Roman"/>
          <w:sz w:val="24"/>
          <w:szCs w:val="24"/>
        </w:rPr>
        <w:t xml:space="preserve"> reflux disease</w:t>
      </w:r>
      <w:r w:rsidR="00872FFA" w:rsidRPr="0032635B">
        <w:rPr>
          <w:rFonts w:ascii="Book Antiqua" w:hAnsi="Book Antiqua" w:cs="Times New Roman"/>
          <w:sz w:val="24"/>
          <w:szCs w:val="24"/>
        </w:rPr>
        <w:t>.</w:t>
      </w:r>
      <w:r w:rsidR="0091327D" w:rsidRPr="0032635B">
        <w:rPr>
          <w:rFonts w:ascii="Book Antiqua" w:eastAsia="Times New Roman" w:hAnsi="Book Antiqua" w:cs="宋体"/>
          <w:b/>
          <w:i/>
          <w:color w:val="000000"/>
          <w:sz w:val="24"/>
          <w:szCs w:val="24"/>
        </w:rPr>
        <w:t xml:space="preserve"> </w:t>
      </w:r>
      <w:r w:rsidR="0091327D" w:rsidRPr="0032635B">
        <w:rPr>
          <w:rFonts w:ascii="Book Antiqua" w:eastAsia="Times New Roman" w:hAnsi="Book Antiqua" w:cs="宋体"/>
          <w:i/>
          <w:color w:val="000000"/>
          <w:sz w:val="24"/>
          <w:szCs w:val="24"/>
        </w:rPr>
        <w:t>World Journal of Gastroenterology</w:t>
      </w:r>
      <w:r w:rsidR="0091327D" w:rsidRPr="0032635B">
        <w:rPr>
          <w:rFonts w:ascii="Book Antiqua" w:eastAsia="宋体" w:hAnsi="Book Antiqua" w:cs="宋体"/>
          <w:color w:val="000000"/>
          <w:sz w:val="24"/>
          <w:szCs w:val="24"/>
          <w:lang w:eastAsia="zh-CN"/>
        </w:rPr>
        <w:t xml:space="preserve"> 2016; </w:t>
      </w:r>
      <w:proofErr w:type="gramStart"/>
      <w:r w:rsidR="0091327D" w:rsidRPr="0032635B">
        <w:rPr>
          <w:rFonts w:ascii="Book Antiqua" w:eastAsia="宋体" w:hAnsi="Book Antiqua" w:cs="宋体"/>
          <w:color w:val="000000"/>
          <w:sz w:val="24"/>
          <w:szCs w:val="24"/>
          <w:lang w:eastAsia="zh-CN"/>
        </w:rPr>
        <w:t>In</w:t>
      </w:r>
      <w:proofErr w:type="gramEnd"/>
      <w:r w:rsidR="0091327D" w:rsidRPr="0032635B">
        <w:rPr>
          <w:rFonts w:ascii="Book Antiqua" w:eastAsia="宋体" w:hAnsi="Book Antiqua" w:cs="宋体"/>
          <w:color w:val="000000"/>
          <w:sz w:val="24"/>
          <w:szCs w:val="24"/>
          <w:lang w:eastAsia="zh-CN"/>
        </w:rPr>
        <w:t xml:space="preserve"> press</w:t>
      </w:r>
    </w:p>
    <w:p w:rsidR="00AB2CAA" w:rsidRPr="0032635B" w:rsidRDefault="00AB2CAA" w:rsidP="00C92BD7">
      <w:pPr>
        <w:spacing w:line="360" w:lineRule="auto"/>
        <w:rPr>
          <w:rFonts w:ascii="Book Antiqua" w:hAnsi="Book Antiqua" w:cs="Times New Roman"/>
          <w:bCs/>
          <w:sz w:val="24"/>
          <w:szCs w:val="24"/>
        </w:rPr>
      </w:pPr>
      <w:r w:rsidRPr="0032635B">
        <w:rPr>
          <w:rFonts w:ascii="Book Antiqua" w:hAnsi="Book Antiqua" w:cs="Times New Roman"/>
          <w:bCs/>
          <w:sz w:val="24"/>
          <w:szCs w:val="24"/>
        </w:rPr>
        <w:br w:type="page"/>
      </w:r>
      <w:r w:rsidR="00473E0F" w:rsidRPr="0032635B">
        <w:rPr>
          <w:rFonts w:ascii="Book Antiqua" w:hAnsi="Book Antiqua"/>
          <w:b/>
          <w:bCs/>
          <w:sz w:val="24"/>
          <w:szCs w:val="24"/>
        </w:rPr>
        <w:lastRenderedPageBreak/>
        <w:t>INTRODUCTION</w:t>
      </w:r>
    </w:p>
    <w:p w:rsidR="006D28A5" w:rsidRPr="0032635B" w:rsidRDefault="006D6A6D" w:rsidP="00C92BD7">
      <w:pPr>
        <w:spacing w:line="360" w:lineRule="auto"/>
        <w:rPr>
          <w:rFonts w:ascii="Book Antiqua" w:hAnsi="Book Antiqua" w:cs="Times New Roman"/>
          <w:sz w:val="24"/>
          <w:szCs w:val="24"/>
        </w:rPr>
      </w:pPr>
      <w:proofErr w:type="spellStart"/>
      <w:r w:rsidRPr="0032635B">
        <w:rPr>
          <w:rFonts w:ascii="Book Antiqua" w:hAnsi="Book Antiqua" w:cs="Times New Roman"/>
          <w:sz w:val="24"/>
          <w:szCs w:val="24"/>
        </w:rPr>
        <w:t>Gastro</w:t>
      </w:r>
      <w:r w:rsidR="00AB2CAA" w:rsidRPr="0032635B">
        <w:rPr>
          <w:rFonts w:ascii="Book Antiqua" w:hAnsi="Book Antiqua" w:cs="Times New Roman"/>
          <w:sz w:val="24"/>
          <w:szCs w:val="24"/>
        </w:rPr>
        <w:t>esophageal</w:t>
      </w:r>
      <w:proofErr w:type="spellEnd"/>
      <w:r w:rsidR="00AB2CAA" w:rsidRPr="0032635B">
        <w:rPr>
          <w:rFonts w:ascii="Book Antiqua" w:hAnsi="Book Antiqua" w:cs="Times New Roman"/>
          <w:sz w:val="24"/>
          <w:szCs w:val="24"/>
        </w:rPr>
        <w:t xml:space="preserve"> reflux disease (GERD) is characterized by symptoms of heartburn and acid regurgitation</w:t>
      </w:r>
      <w:r w:rsidRPr="0032635B">
        <w:rPr>
          <w:rFonts w:ascii="Book Antiqua" w:hAnsi="Book Antiqua" w:cs="Times New Roman"/>
          <w:sz w:val="24"/>
          <w:szCs w:val="24"/>
        </w:rPr>
        <w:t>. It is extremely common and has</w:t>
      </w:r>
      <w:r w:rsidR="00AB2CAA" w:rsidRPr="0032635B">
        <w:rPr>
          <w:rFonts w:ascii="Book Antiqua" w:hAnsi="Book Antiqua" w:cs="Times New Roman"/>
          <w:sz w:val="24"/>
          <w:szCs w:val="24"/>
        </w:rPr>
        <w:t xml:space="preserve"> a chronic</w:t>
      </w:r>
      <w:r w:rsidRPr="0032635B">
        <w:rPr>
          <w:rFonts w:ascii="Book Antiqua" w:hAnsi="Book Antiqua" w:cs="Times New Roman"/>
          <w:sz w:val="24"/>
          <w:szCs w:val="24"/>
        </w:rPr>
        <w:t>,</w:t>
      </w:r>
      <w:r w:rsidR="00AB2CAA" w:rsidRPr="0032635B">
        <w:rPr>
          <w:rFonts w:ascii="Book Antiqua" w:hAnsi="Book Antiqua" w:cs="Times New Roman"/>
          <w:sz w:val="24"/>
          <w:szCs w:val="24"/>
        </w:rPr>
        <w:t xml:space="preserve"> relapsing disease </w:t>
      </w:r>
      <w:proofErr w:type="gramStart"/>
      <w:r w:rsidR="00F755EB" w:rsidRPr="0032635B">
        <w:rPr>
          <w:rFonts w:ascii="Book Antiqua" w:hAnsi="Book Antiqua" w:cs="Times New Roman"/>
          <w:sz w:val="24"/>
          <w:szCs w:val="24"/>
        </w:rPr>
        <w:t>course</w:t>
      </w:r>
      <w:r w:rsidR="00473E0F" w:rsidRPr="0032635B">
        <w:rPr>
          <w:rFonts w:ascii="Book Antiqua" w:hAnsi="Book Antiqua" w:cs="Times New Roman"/>
          <w:sz w:val="24"/>
          <w:szCs w:val="24"/>
          <w:vertAlign w:val="superscript"/>
        </w:rPr>
        <w:t>[</w:t>
      </w:r>
      <w:proofErr w:type="gramEnd"/>
      <w:r w:rsidR="00E83C01" w:rsidRPr="0032635B">
        <w:rPr>
          <w:rFonts w:ascii="Book Antiqua" w:hAnsi="Book Antiqua" w:cs="Times New Roman"/>
          <w:sz w:val="24"/>
          <w:szCs w:val="24"/>
          <w:vertAlign w:val="superscript"/>
        </w:rPr>
        <w:t>1</w:t>
      </w:r>
      <w:r w:rsidR="00FF6FCE" w:rsidRPr="0032635B">
        <w:rPr>
          <w:rFonts w:ascii="Book Antiqua" w:hAnsi="Book Antiqua" w:cs="Times New Roman"/>
          <w:sz w:val="24"/>
          <w:szCs w:val="24"/>
          <w:vertAlign w:val="superscript"/>
        </w:rPr>
        <w:t>]</w:t>
      </w:r>
      <w:r w:rsidR="00AB2CAA" w:rsidRPr="0032635B">
        <w:rPr>
          <w:rFonts w:ascii="Book Antiqua" w:hAnsi="Book Antiqua" w:cs="Times New Roman"/>
          <w:sz w:val="24"/>
          <w:szCs w:val="24"/>
        </w:rPr>
        <w:t xml:space="preserve">. </w:t>
      </w:r>
      <w:r w:rsidRPr="0032635B">
        <w:rPr>
          <w:rFonts w:ascii="Book Antiqua" w:hAnsi="Book Antiqua" w:cs="Times New Roman"/>
          <w:sz w:val="24"/>
          <w:szCs w:val="24"/>
        </w:rPr>
        <w:t>Standard p</w:t>
      </w:r>
      <w:r w:rsidR="00E07F8C" w:rsidRPr="0032635B">
        <w:rPr>
          <w:rFonts w:ascii="Book Antiqua" w:hAnsi="Book Antiqua" w:cs="Times New Roman"/>
          <w:sz w:val="24"/>
          <w:szCs w:val="24"/>
        </w:rPr>
        <w:t xml:space="preserve">harmacological treatments for GERD </w:t>
      </w:r>
      <w:r w:rsidRPr="0032635B">
        <w:rPr>
          <w:rFonts w:ascii="Book Antiqua" w:hAnsi="Book Antiqua" w:cs="Times New Roman"/>
          <w:sz w:val="24"/>
          <w:szCs w:val="24"/>
        </w:rPr>
        <w:t xml:space="preserve">comprise </w:t>
      </w:r>
      <w:r w:rsidR="00E07F8C" w:rsidRPr="0032635B">
        <w:rPr>
          <w:rFonts w:ascii="Book Antiqua" w:hAnsi="Book Antiqua" w:cs="Times New Roman"/>
          <w:sz w:val="24"/>
          <w:szCs w:val="24"/>
        </w:rPr>
        <w:t>proton pump inhibitors (PPIs) and histamine receptor-2 antagonists (H2RA</w:t>
      </w:r>
      <w:r w:rsidR="00831AD4" w:rsidRPr="0032635B">
        <w:rPr>
          <w:rFonts w:ascii="Book Antiqua" w:hAnsi="Book Antiqua" w:cs="Times New Roman"/>
          <w:sz w:val="24"/>
          <w:szCs w:val="24"/>
        </w:rPr>
        <w:t>s</w:t>
      </w:r>
      <w:r w:rsidR="00E07F8C" w:rsidRPr="0032635B">
        <w:rPr>
          <w:rFonts w:ascii="Book Antiqua" w:hAnsi="Book Antiqua" w:cs="Times New Roman"/>
          <w:sz w:val="24"/>
          <w:szCs w:val="24"/>
        </w:rPr>
        <w:t>)</w:t>
      </w:r>
      <w:r w:rsidRPr="0032635B">
        <w:rPr>
          <w:rFonts w:ascii="Book Antiqua" w:hAnsi="Book Antiqua" w:cs="Times New Roman"/>
          <w:sz w:val="24"/>
          <w:szCs w:val="24"/>
        </w:rPr>
        <w:t>, which act by suppressing gastric acid secretion</w:t>
      </w:r>
      <w:r w:rsidR="00E07F8C" w:rsidRPr="0032635B">
        <w:rPr>
          <w:rFonts w:ascii="Book Antiqua" w:hAnsi="Book Antiqua" w:cs="Times New Roman"/>
          <w:sz w:val="24"/>
          <w:szCs w:val="24"/>
        </w:rPr>
        <w:t xml:space="preserve">. </w:t>
      </w:r>
      <w:r w:rsidRPr="0032635B">
        <w:rPr>
          <w:rFonts w:ascii="Book Antiqua" w:hAnsi="Book Antiqua" w:cs="Times New Roman"/>
          <w:sz w:val="24"/>
          <w:szCs w:val="24"/>
        </w:rPr>
        <w:t xml:space="preserve">Of the two drug classes, </w:t>
      </w:r>
      <w:r w:rsidR="000A2A20" w:rsidRPr="0032635B">
        <w:rPr>
          <w:rFonts w:ascii="Book Antiqua" w:hAnsi="Book Antiqua" w:cs="Times New Roman"/>
          <w:sz w:val="24"/>
          <w:szCs w:val="24"/>
        </w:rPr>
        <w:t>PPIs are considered to be</w:t>
      </w:r>
      <w:r w:rsidR="00B64B4E" w:rsidRPr="0032635B">
        <w:rPr>
          <w:rFonts w:ascii="Book Antiqua" w:hAnsi="Book Antiqua" w:cs="Times New Roman"/>
          <w:sz w:val="24"/>
          <w:szCs w:val="24"/>
        </w:rPr>
        <w:t xml:space="preserve"> more cost-effective </w:t>
      </w:r>
      <w:r w:rsidR="000A2A20" w:rsidRPr="0032635B">
        <w:rPr>
          <w:rFonts w:ascii="Book Antiqua" w:hAnsi="Book Antiqua" w:cs="Times New Roman"/>
          <w:sz w:val="24"/>
          <w:szCs w:val="24"/>
        </w:rPr>
        <w:t xml:space="preserve">as initial treatment for </w:t>
      </w:r>
      <w:proofErr w:type="gramStart"/>
      <w:r w:rsidR="00A063DB" w:rsidRPr="0032635B">
        <w:rPr>
          <w:rFonts w:ascii="Book Antiqua" w:hAnsi="Book Antiqua" w:cs="Times New Roman"/>
          <w:sz w:val="24"/>
          <w:szCs w:val="24"/>
        </w:rPr>
        <w:t>GERD</w:t>
      </w:r>
      <w:r w:rsidR="00473E0F" w:rsidRPr="0032635B">
        <w:rPr>
          <w:rFonts w:ascii="Book Antiqua" w:hAnsi="Book Antiqua" w:cs="Times New Roman"/>
          <w:sz w:val="24"/>
          <w:szCs w:val="24"/>
          <w:vertAlign w:val="superscript"/>
        </w:rPr>
        <w:t>[</w:t>
      </w:r>
      <w:proofErr w:type="gramEnd"/>
      <w:r w:rsidR="00473E0F" w:rsidRPr="0032635B">
        <w:rPr>
          <w:rFonts w:ascii="Book Antiqua" w:hAnsi="Book Antiqua" w:cs="Times New Roman"/>
          <w:sz w:val="24"/>
          <w:szCs w:val="24"/>
          <w:vertAlign w:val="superscript"/>
        </w:rPr>
        <w:t>2,</w:t>
      </w:r>
      <w:r w:rsidR="00324DD5" w:rsidRPr="0032635B">
        <w:rPr>
          <w:rFonts w:ascii="Book Antiqua" w:hAnsi="Book Antiqua" w:cs="Times New Roman"/>
          <w:sz w:val="24"/>
          <w:szCs w:val="24"/>
          <w:vertAlign w:val="superscript"/>
        </w:rPr>
        <w:t>3</w:t>
      </w:r>
      <w:r w:rsidR="00FF6FCE" w:rsidRPr="0032635B">
        <w:rPr>
          <w:rFonts w:ascii="Book Antiqua" w:hAnsi="Book Antiqua" w:cs="Times New Roman"/>
          <w:sz w:val="24"/>
          <w:szCs w:val="24"/>
          <w:vertAlign w:val="superscript"/>
        </w:rPr>
        <w:t>]</w:t>
      </w:r>
      <w:r w:rsidR="000A2A20" w:rsidRPr="0032635B">
        <w:rPr>
          <w:rFonts w:ascii="Book Antiqua" w:hAnsi="Book Antiqua" w:cs="Times New Roman"/>
          <w:sz w:val="24"/>
          <w:szCs w:val="24"/>
        </w:rPr>
        <w:t>. However, the</w:t>
      </w:r>
      <w:r w:rsidR="00B64B4E" w:rsidRPr="0032635B">
        <w:rPr>
          <w:rFonts w:ascii="Book Antiqua" w:hAnsi="Book Antiqua" w:cs="Times New Roman"/>
          <w:sz w:val="24"/>
          <w:szCs w:val="24"/>
        </w:rPr>
        <w:t xml:space="preserve"> cost-effectiveness </w:t>
      </w:r>
      <w:r w:rsidR="000A2A20" w:rsidRPr="0032635B">
        <w:rPr>
          <w:rFonts w:ascii="Book Antiqua" w:hAnsi="Book Antiqua" w:cs="Times New Roman"/>
          <w:sz w:val="24"/>
          <w:szCs w:val="24"/>
        </w:rPr>
        <w:t xml:space="preserve">of pharmacotherapy </w:t>
      </w:r>
      <w:r w:rsidR="00B64B4E" w:rsidRPr="0032635B">
        <w:rPr>
          <w:rFonts w:ascii="Book Antiqua" w:hAnsi="Book Antiqua" w:cs="Times New Roman"/>
          <w:sz w:val="24"/>
          <w:szCs w:val="24"/>
        </w:rPr>
        <w:t xml:space="preserve">in </w:t>
      </w:r>
      <w:r w:rsidR="000A2A20" w:rsidRPr="0032635B">
        <w:rPr>
          <w:rFonts w:ascii="Book Antiqua" w:hAnsi="Book Antiqua" w:cs="Times New Roman"/>
          <w:sz w:val="24"/>
          <w:szCs w:val="24"/>
        </w:rPr>
        <w:t xml:space="preserve">Japanese </w:t>
      </w:r>
      <w:r w:rsidR="00B64B4E" w:rsidRPr="0032635B">
        <w:rPr>
          <w:rFonts w:ascii="Book Antiqua" w:hAnsi="Book Antiqua" w:cs="Times New Roman"/>
          <w:sz w:val="24"/>
          <w:szCs w:val="24"/>
        </w:rPr>
        <w:t xml:space="preserve">patients with mild GERD </w:t>
      </w:r>
      <w:r w:rsidR="000A2A20" w:rsidRPr="0032635B">
        <w:rPr>
          <w:rFonts w:ascii="Book Antiqua" w:hAnsi="Book Antiqua" w:cs="Times New Roman"/>
          <w:sz w:val="24"/>
          <w:szCs w:val="24"/>
        </w:rPr>
        <w:t>has not been evaluated</w:t>
      </w:r>
      <w:r w:rsidR="00B64B4E" w:rsidRPr="0032635B">
        <w:rPr>
          <w:rFonts w:ascii="Book Antiqua" w:hAnsi="Book Antiqua" w:cs="Times New Roman"/>
          <w:sz w:val="24"/>
          <w:szCs w:val="24"/>
        </w:rPr>
        <w:t xml:space="preserve">. </w:t>
      </w:r>
    </w:p>
    <w:p w:rsidR="00AB2CAA" w:rsidRPr="0032635B" w:rsidRDefault="003818FB" w:rsidP="00C92BD7">
      <w:pPr>
        <w:spacing w:line="360" w:lineRule="auto"/>
        <w:ind w:firstLine="360"/>
        <w:rPr>
          <w:rFonts w:ascii="Book Antiqua" w:hAnsi="Book Antiqua" w:cs="Times New Roman"/>
          <w:sz w:val="24"/>
          <w:szCs w:val="24"/>
        </w:rPr>
      </w:pPr>
      <w:proofErr w:type="spellStart"/>
      <w:r w:rsidRPr="0032635B">
        <w:rPr>
          <w:rFonts w:ascii="Book Antiqua" w:hAnsi="Book Antiqua" w:cs="Times New Roman"/>
          <w:sz w:val="24"/>
          <w:szCs w:val="24"/>
        </w:rPr>
        <w:t>Lafutidine</w:t>
      </w:r>
      <w:proofErr w:type="spellEnd"/>
      <w:r w:rsidRPr="0032635B">
        <w:rPr>
          <w:rFonts w:ascii="Book Antiqua" w:hAnsi="Book Antiqua" w:cs="Times New Roman"/>
          <w:sz w:val="24"/>
          <w:szCs w:val="24"/>
        </w:rPr>
        <w:t xml:space="preserve"> is a second</w:t>
      </w:r>
      <w:r w:rsidR="00D96741" w:rsidRPr="0032635B">
        <w:rPr>
          <w:rFonts w:ascii="Book Antiqua" w:hAnsi="Book Antiqua" w:cs="Times New Roman"/>
          <w:sz w:val="24"/>
          <w:szCs w:val="24"/>
        </w:rPr>
        <w:t>-</w:t>
      </w:r>
      <w:r w:rsidRPr="0032635B">
        <w:rPr>
          <w:rFonts w:ascii="Book Antiqua" w:hAnsi="Book Antiqua" w:cs="Times New Roman"/>
          <w:sz w:val="24"/>
          <w:szCs w:val="24"/>
        </w:rPr>
        <w:t xml:space="preserve">generation </w:t>
      </w:r>
      <w:r w:rsidR="000A2A20" w:rsidRPr="0032635B">
        <w:rPr>
          <w:rFonts w:ascii="Book Antiqua" w:hAnsi="Book Antiqua" w:cs="Times New Roman"/>
          <w:sz w:val="24"/>
          <w:szCs w:val="24"/>
        </w:rPr>
        <w:t>H2RA that has</w:t>
      </w:r>
      <w:r w:rsidR="008D020C" w:rsidRPr="0032635B">
        <w:rPr>
          <w:rFonts w:ascii="Book Antiqua" w:hAnsi="Book Antiqua" w:cs="Times New Roman"/>
          <w:sz w:val="24"/>
          <w:szCs w:val="24"/>
        </w:rPr>
        <w:t xml:space="preserve"> a potent and sus</w:t>
      </w:r>
      <w:r w:rsidR="000A2A20" w:rsidRPr="0032635B">
        <w:rPr>
          <w:rFonts w:ascii="Book Antiqua" w:hAnsi="Book Antiqua" w:cs="Times New Roman"/>
          <w:sz w:val="24"/>
          <w:szCs w:val="24"/>
        </w:rPr>
        <w:t>tained</w:t>
      </w:r>
      <w:r w:rsidR="00D96741" w:rsidRPr="0032635B">
        <w:rPr>
          <w:rFonts w:ascii="Book Antiqua" w:hAnsi="Book Antiqua" w:cs="Times New Roman"/>
          <w:sz w:val="24"/>
          <w:szCs w:val="24"/>
        </w:rPr>
        <w:t xml:space="preserve"> anti-acid secretory effect. It </w:t>
      </w:r>
      <w:r w:rsidR="000A2A20" w:rsidRPr="0032635B">
        <w:rPr>
          <w:rFonts w:ascii="Book Antiqua" w:hAnsi="Book Antiqua" w:cs="Times New Roman"/>
          <w:sz w:val="24"/>
          <w:szCs w:val="24"/>
        </w:rPr>
        <w:t xml:space="preserve">acts by </w:t>
      </w:r>
      <w:r w:rsidR="00D96741" w:rsidRPr="0032635B">
        <w:rPr>
          <w:rFonts w:ascii="Book Antiqua" w:hAnsi="Book Antiqua" w:cs="Times New Roman"/>
          <w:sz w:val="24"/>
          <w:szCs w:val="24"/>
        </w:rPr>
        <w:t>increas</w:t>
      </w:r>
      <w:r w:rsidR="000A2A20" w:rsidRPr="0032635B">
        <w:rPr>
          <w:rFonts w:ascii="Book Antiqua" w:hAnsi="Book Antiqua" w:cs="Times New Roman"/>
          <w:sz w:val="24"/>
          <w:szCs w:val="24"/>
        </w:rPr>
        <w:t>ing</w:t>
      </w:r>
      <w:r w:rsidR="00D96741" w:rsidRPr="0032635B">
        <w:rPr>
          <w:rFonts w:ascii="Book Antiqua" w:hAnsi="Book Antiqua" w:cs="Times New Roman"/>
          <w:sz w:val="24"/>
          <w:szCs w:val="24"/>
        </w:rPr>
        <w:t xml:space="preserve"> plasma concentrations of calcitonin gene-related peptide and </w:t>
      </w:r>
      <w:proofErr w:type="spellStart"/>
      <w:r w:rsidR="00D96741" w:rsidRPr="0032635B">
        <w:rPr>
          <w:rFonts w:ascii="Book Antiqua" w:hAnsi="Book Antiqua" w:cs="Times New Roman"/>
          <w:sz w:val="24"/>
          <w:szCs w:val="24"/>
        </w:rPr>
        <w:t>somatostatin</w:t>
      </w:r>
      <w:proofErr w:type="spellEnd"/>
      <w:r w:rsidR="00D96741" w:rsidRPr="0032635B">
        <w:rPr>
          <w:rFonts w:ascii="Book Antiqua" w:hAnsi="Book Antiqua" w:cs="Times New Roman"/>
          <w:sz w:val="24"/>
          <w:szCs w:val="24"/>
        </w:rPr>
        <w:t>, result</w:t>
      </w:r>
      <w:r w:rsidR="000A2A20" w:rsidRPr="0032635B">
        <w:rPr>
          <w:rFonts w:ascii="Book Antiqua" w:hAnsi="Book Antiqua" w:cs="Times New Roman"/>
          <w:sz w:val="24"/>
          <w:szCs w:val="24"/>
        </w:rPr>
        <w:t>ing</w:t>
      </w:r>
      <w:r w:rsidR="00D96741" w:rsidRPr="0032635B">
        <w:rPr>
          <w:rFonts w:ascii="Book Antiqua" w:hAnsi="Book Antiqua" w:cs="Times New Roman"/>
          <w:sz w:val="24"/>
          <w:szCs w:val="24"/>
        </w:rPr>
        <w:t xml:space="preserve"> in inhibition of postprandial acid secretion and </w:t>
      </w:r>
      <w:proofErr w:type="spellStart"/>
      <w:r w:rsidR="00D96741" w:rsidRPr="0032635B">
        <w:rPr>
          <w:rFonts w:ascii="Book Antiqua" w:hAnsi="Book Antiqua" w:cs="Times New Roman"/>
          <w:sz w:val="24"/>
          <w:szCs w:val="24"/>
        </w:rPr>
        <w:t>gastroprotective</w:t>
      </w:r>
      <w:proofErr w:type="spellEnd"/>
      <w:r w:rsidR="00D96741" w:rsidRPr="0032635B">
        <w:rPr>
          <w:rFonts w:ascii="Book Antiqua" w:hAnsi="Book Antiqua" w:cs="Times New Roman"/>
          <w:sz w:val="24"/>
          <w:szCs w:val="24"/>
        </w:rPr>
        <w:t xml:space="preserve"> </w:t>
      </w:r>
      <w:proofErr w:type="gramStart"/>
      <w:r w:rsidR="00F755EB" w:rsidRPr="0032635B">
        <w:rPr>
          <w:rFonts w:ascii="Book Antiqua" w:hAnsi="Book Antiqua" w:cs="Times New Roman"/>
          <w:sz w:val="24"/>
          <w:szCs w:val="24"/>
        </w:rPr>
        <w:t>activity</w:t>
      </w:r>
      <w:r w:rsidR="00473E0F" w:rsidRPr="0032635B">
        <w:rPr>
          <w:rFonts w:ascii="Book Antiqua" w:hAnsi="Book Antiqua" w:cs="Times New Roman"/>
          <w:sz w:val="24"/>
          <w:szCs w:val="24"/>
          <w:vertAlign w:val="superscript"/>
        </w:rPr>
        <w:t>[</w:t>
      </w:r>
      <w:proofErr w:type="gramEnd"/>
      <w:r w:rsidR="00324DD5" w:rsidRPr="0032635B">
        <w:rPr>
          <w:rFonts w:ascii="Book Antiqua" w:hAnsi="Book Antiqua" w:cs="Times New Roman"/>
          <w:sz w:val="24"/>
          <w:szCs w:val="24"/>
          <w:vertAlign w:val="superscript"/>
        </w:rPr>
        <w:t>4</w:t>
      </w:r>
      <w:r w:rsidR="00FF6FCE" w:rsidRPr="0032635B">
        <w:rPr>
          <w:rFonts w:ascii="Book Antiqua" w:hAnsi="Book Antiqua" w:cs="Times New Roman"/>
          <w:sz w:val="24"/>
          <w:szCs w:val="24"/>
          <w:vertAlign w:val="superscript"/>
        </w:rPr>
        <w:t>]</w:t>
      </w:r>
      <w:r w:rsidR="00D96741" w:rsidRPr="0032635B">
        <w:rPr>
          <w:rFonts w:ascii="Book Antiqua" w:hAnsi="Book Antiqua" w:cs="Times New Roman"/>
          <w:sz w:val="24"/>
          <w:szCs w:val="24"/>
        </w:rPr>
        <w:t xml:space="preserve">. </w:t>
      </w:r>
      <w:r w:rsidR="000A2A20" w:rsidRPr="0032635B">
        <w:rPr>
          <w:rFonts w:ascii="Book Antiqua" w:hAnsi="Book Antiqua" w:cs="Times New Roman"/>
          <w:sz w:val="24"/>
          <w:szCs w:val="24"/>
        </w:rPr>
        <w:t>In contrast to</w:t>
      </w:r>
      <w:r w:rsidR="0003314C" w:rsidRPr="0032635B">
        <w:rPr>
          <w:rFonts w:ascii="Book Antiqua" w:hAnsi="Book Antiqua" w:cs="Times New Roman"/>
          <w:sz w:val="24"/>
          <w:szCs w:val="24"/>
        </w:rPr>
        <w:t xml:space="preserve"> other H2RAs, </w:t>
      </w:r>
      <w:r w:rsidR="000A2A20" w:rsidRPr="0032635B">
        <w:rPr>
          <w:rFonts w:ascii="Book Antiqua" w:hAnsi="Book Antiqua" w:cs="Times New Roman"/>
          <w:sz w:val="24"/>
          <w:szCs w:val="24"/>
        </w:rPr>
        <w:t xml:space="preserve">the therapeutic action of </w:t>
      </w:r>
      <w:proofErr w:type="spellStart"/>
      <w:r w:rsidR="000A2A20" w:rsidRPr="0032635B">
        <w:rPr>
          <w:rFonts w:ascii="Book Antiqua" w:hAnsi="Book Antiqua" w:cs="Times New Roman"/>
          <w:sz w:val="24"/>
          <w:szCs w:val="24"/>
        </w:rPr>
        <w:t>lafutidine</w:t>
      </w:r>
      <w:proofErr w:type="spellEnd"/>
      <w:r w:rsidR="000A2A20" w:rsidRPr="0032635B">
        <w:rPr>
          <w:rFonts w:ascii="Book Antiqua" w:hAnsi="Book Antiqua" w:cs="Times New Roman"/>
          <w:sz w:val="24"/>
          <w:szCs w:val="24"/>
        </w:rPr>
        <w:t xml:space="preserve"> involves </w:t>
      </w:r>
      <w:r w:rsidR="0003314C" w:rsidRPr="0032635B">
        <w:rPr>
          <w:rFonts w:ascii="Book Antiqua" w:hAnsi="Book Antiqua" w:cs="Times New Roman"/>
          <w:sz w:val="24"/>
          <w:szCs w:val="24"/>
        </w:rPr>
        <w:t>e</w:t>
      </w:r>
      <w:r w:rsidR="00C85FDA" w:rsidRPr="0032635B">
        <w:rPr>
          <w:rFonts w:ascii="Book Antiqua" w:hAnsi="Book Antiqua" w:cs="Times New Roman"/>
          <w:sz w:val="24"/>
          <w:szCs w:val="24"/>
        </w:rPr>
        <w:t xml:space="preserve">sophageal host-defense via capsaicin-sensitive afferent </w:t>
      </w:r>
      <w:proofErr w:type="gramStart"/>
      <w:r w:rsidR="00F755EB" w:rsidRPr="0032635B">
        <w:rPr>
          <w:rFonts w:ascii="Book Antiqua" w:hAnsi="Book Antiqua" w:cs="Times New Roman"/>
          <w:sz w:val="24"/>
          <w:szCs w:val="24"/>
        </w:rPr>
        <w:t>nerves</w:t>
      </w:r>
      <w:r w:rsidR="00473E0F" w:rsidRPr="0032635B">
        <w:rPr>
          <w:rFonts w:ascii="Book Antiqua" w:hAnsi="Book Antiqua" w:cs="Times New Roman"/>
          <w:sz w:val="24"/>
          <w:szCs w:val="24"/>
          <w:vertAlign w:val="superscript"/>
        </w:rPr>
        <w:t>[</w:t>
      </w:r>
      <w:proofErr w:type="gramEnd"/>
      <w:r w:rsidR="00324DD5" w:rsidRPr="0032635B">
        <w:rPr>
          <w:rFonts w:ascii="Book Antiqua" w:hAnsi="Book Antiqua" w:cs="Times New Roman"/>
          <w:sz w:val="24"/>
          <w:szCs w:val="24"/>
          <w:vertAlign w:val="superscript"/>
        </w:rPr>
        <w:t>5</w:t>
      </w:r>
      <w:r w:rsidR="00FF6FCE" w:rsidRPr="0032635B">
        <w:rPr>
          <w:rFonts w:ascii="Book Antiqua" w:hAnsi="Book Antiqua" w:cs="Times New Roman"/>
          <w:sz w:val="24"/>
          <w:szCs w:val="24"/>
          <w:vertAlign w:val="superscript"/>
        </w:rPr>
        <w:t>]</w:t>
      </w:r>
      <w:r w:rsidR="00C85FDA" w:rsidRPr="0032635B">
        <w:rPr>
          <w:rFonts w:ascii="Book Antiqua" w:hAnsi="Book Antiqua" w:cs="Times New Roman"/>
          <w:sz w:val="24"/>
          <w:szCs w:val="24"/>
        </w:rPr>
        <w:t xml:space="preserve">. </w:t>
      </w:r>
      <w:r w:rsidR="000A2A20" w:rsidRPr="0032635B">
        <w:rPr>
          <w:rFonts w:ascii="Book Antiqua" w:hAnsi="Book Antiqua" w:cs="Times New Roman"/>
          <w:sz w:val="24"/>
          <w:szCs w:val="24"/>
        </w:rPr>
        <w:t>The</w:t>
      </w:r>
      <w:r w:rsidR="00872258" w:rsidRPr="0032635B">
        <w:rPr>
          <w:rFonts w:ascii="Book Antiqua" w:hAnsi="Book Antiqua" w:cs="Times New Roman"/>
          <w:sz w:val="24"/>
          <w:szCs w:val="24"/>
        </w:rPr>
        <w:t xml:space="preserve"> LAFORE trials</w:t>
      </w:r>
      <w:r w:rsidR="006E2C82" w:rsidRPr="0032635B">
        <w:rPr>
          <w:rFonts w:ascii="Book Antiqua" w:hAnsi="Book Antiqua" w:cs="Times New Roman"/>
          <w:sz w:val="24"/>
          <w:szCs w:val="24"/>
        </w:rPr>
        <w:t xml:space="preserve"> conducted </w:t>
      </w:r>
      <w:r w:rsidR="000A2A20" w:rsidRPr="0032635B">
        <w:rPr>
          <w:rFonts w:ascii="Book Antiqua" w:hAnsi="Book Antiqua" w:cs="Times New Roman"/>
          <w:sz w:val="24"/>
          <w:szCs w:val="24"/>
        </w:rPr>
        <w:t>in</w:t>
      </w:r>
      <w:r w:rsidR="006E2C82" w:rsidRPr="0032635B">
        <w:rPr>
          <w:rFonts w:ascii="Book Antiqua" w:hAnsi="Book Antiqua" w:cs="Times New Roman"/>
          <w:sz w:val="24"/>
          <w:szCs w:val="24"/>
        </w:rPr>
        <w:t xml:space="preserve"> </w:t>
      </w:r>
      <w:r w:rsidR="00083B35" w:rsidRPr="0032635B">
        <w:rPr>
          <w:rFonts w:ascii="Book Antiqua" w:hAnsi="Book Antiqua" w:cs="Times New Roman"/>
          <w:sz w:val="24"/>
          <w:szCs w:val="24"/>
        </w:rPr>
        <w:t xml:space="preserve">Japanese </w:t>
      </w:r>
      <w:r w:rsidR="006E2C82" w:rsidRPr="0032635B">
        <w:rPr>
          <w:rFonts w:ascii="Book Antiqua" w:hAnsi="Book Antiqua" w:cs="Times New Roman"/>
          <w:sz w:val="24"/>
          <w:szCs w:val="24"/>
        </w:rPr>
        <w:t>patients with</w:t>
      </w:r>
      <w:r w:rsidR="000A2A20" w:rsidRPr="0032635B">
        <w:rPr>
          <w:rFonts w:ascii="Book Antiqua" w:hAnsi="Book Antiqua" w:cs="Times New Roman"/>
          <w:sz w:val="24"/>
          <w:szCs w:val="24"/>
        </w:rPr>
        <w:t xml:space="preserve"> mild</w:t>
      </w:r>
      <w:r w:rsidR="006E2C82" w:rsidRPr="0032635B">
        <w:rPr>
          <w:rFonts w:ascii="Book Antiqua" w:hAnsi="Book Antiqua" w:cs="Times New Roman"/>
          <w:sz w:val="24"/>
          <w:szCs w:val="24"/>
        </w:rPr>
        <w:t xml:space="preserve"> GERD</w:t>
      </w:r>
      <w:r w:rsidR="000A2A20" w:rsidRPr="0032635B">
        <w:rPr>
          <w:rFonts w:ascii="Book Antiqua" w:hAnsi="Book Antiqua" w:cs="Times New Roman"/>
          <w:sz w:val="24"/>
          <w:szCs w:val="24"/>
        </w:rPr>
        <w:t xml:space="preserve"> (grade A in the Los Angeles </w:t>
      </w:r>
      <w:r w:rsidR="00130758" w:rsidRPr="0032635B">
        <w:rPr>
          <w:rFonts w:ascii="Book Antiqua" w:hAnsi="Book Antiqua" w:cs="Times New Roman"/>
          <w:sz w:val="24"/>
          <w:szCs w:val="24"/>
        </w:rPr>
        <w:t>classification)</w:t>
      </w:r>
      <w:r w:rsidR="000A2A20" w:rsidRPr="0032635B">
        <w:rPr>
          <w:rFonts w:ascii="Book Antiqua" w:hAnsi="Book Antiqua" w:cs="Times New Roman"/>
          <w:sz w:val="24"/>
          <w:szCs w:val="24"/>
        </w:rPr>
        <w:t xml:space="preserve"> </w:t>
      </w:r>
      <w:r w:rsidR="00130758" w:rsidRPr="0032635B">
        <w:rPr>
          <w:rFonts w:ascii="Book Antiqua" w:hAnsi="Book Antiqua" w:cs="Times New Roman"/>
          <w:sz w:val="24"/>
          <w:szCs w:val="24"/>
        </w:rPr>
        <w:t xml:space="preserve">indicated that </w:t>
      </w:r>
      <w:r w:rsidR="00872258" w:rsidRPr="0032635B">
        <w:rPr>
          <w:rFonts w:ascii="Book Antiqua" w:hAnsi="Book Antiqua" w:cs="Times New Roman"/>
          <w:sz w:val="24"/>
          <w:szCs w:val="24"/>
        </w:rPr>
        <w:t xml:space="preserve">healing rates at 8 </w:t>
      </w:r>
      <w:proofErr w:type="spellStart"/>
      <w:r w:rsidR="00473E0F" w:rsidRPr="0032635B">
        <w:rPr>
          <w:rFonts w:ascii="Book Antiqua" w:eastAsia="宋体" w:hAnsi="Book Antiqua" w:cs="Times New Roman"/>
          <w:sz w:val="24"/>
          <w:szCs w:val="24"/>
          <w:lang w:eastAsia="zh-CN"/>
        </w:rPr>
        <w:t>wk</w:t>
      </w:r>
      <w:proofErr w:type="spellEnd"/>
      <w:r w:rsidR="00872258" w:rsidRPr="0032635B">
        <w:rPr>
          <w:rFonts w:ascii="Book Antiqua" w:hAnsi="Book Antiqua" w:cs="Times New Roman"/>
          <w:sz w:val="24"/>
          <w:szCs w:val="24"/>
        </w:rPr>
        <w:t xml:space="preserve"> were </w:t>
      </w:r>
      <w:r w:rsidR="00EA1435" w:rsidRPr="0032635B">
        <w:rPr>
          <w:rFonts w:ascii="Book Antiqua" w:hAnsi="Book Antiqua" w:cs="Times New Roman"/>
          <w:sz w:val="24"/>
          <w:szCs w:val="24"/>
        </w:rPr>
        <w:t>79.4</w:t>
      </w:r>
      <w:r w:rsidR="00872258" w:rsidRPr="0032635B">
        <w:rPr>
          <w:rFonts w:ascii="Book Antiqua" w:hAnsi="Book Antiqua" w:cs="Times New Roman"/>
          <w:sz w:val="24"/>
          <w:szCs w:val="24"/>
        </w:rPr>
        <w:t xml:space="preserve">% in </w:t>
      </w:r>
      <w:r w:rsidR="00EA1435" w:rsidRPr="0032635B">
        <w:rPr>
          <w:rFonts w:ascii="Book Antiqua" w:hAnsi="Book Antiqua" w:cs="Times New Roman"/>
          <w:sz w:val="24"/>
          <w:szCs w:val="24"/>
        </w:rPr>
        <w:t xml:space="preserve">the </w:t>
      </w:r>
      <w:proofErr w:type="spellStart"/>
      <w:r w:rsidR="00872258" w:rsidRPr="0032635B">
        <w:rPr>
          <w:rFonts w:ascii="Book Antiqua" w:hAnsi="Book Antiqua" w:cs="Times New Roman"/>
          <w:sz w:val="24"/>
          <w:szCs w:val="24"/>
        </w:rPr>
        <w:t>lafutidine</w:t>
      </w:r>
      <w:proofErr w:type="spellEnd"/>
      <w:r w:rsidR="00872258" w:rsidRPr="0032635B">
        <w:rPr>
          <w:rFonts w:ascii="Book Antiqua" w:hAnsi="Book Antiqua" w:cs="Times New Roman"/>
          <w:sz w:val="24"/>
          <w:szCs w:val="24"/>
        </w:rPr>
        <w:t xml:space="preserve"> groups and </w:t>
      </w:r>
      <w:r w:rsidR="00EA1435" w:rsidRPr="0032635B">
        <w:rPr>
          <w:rFonts w:ascii="Book Antiqua" w:hAnsi="Book Antiqua" w:cs="Times New Roman"/>
          <w:sz w:val="24"/>
          <w:szCs w:val="24"/>
        </w:rPr>
        <w:t>68.3</w:t>
      </w:r>
      <w:r w:rsidR="00872FFA" w:rsidRPr="0032635B">
        <w:rPr>
          <w:rFonts w:ascii="Book Antiqua" w:hAnsi="Book Antiqua" w:cs="Times New Roman"/>
          <w:sz w:val="24"/>
          <w:szCs w:val="24"/>
        </w:rPr>
        <w:t xml:space="preserve">% in the famotidine </w:t>
      </w:r>
      <w:proofErr w:type="gramStart"/>
      <w:r w:rsidR="00F755EB" w:rsidRPr="0032635B">
        <w:rPr>
          <w:rFonts w:ascii="Book Antiqua" w:hAnsi="Book Antiqua" w:cs="Times New Roman"/>
          <w:sz w:val="24"/>
          <w:szCs w:val="24"/>
        </w:rPr>
        <w:t>group</w:t>
      </w:r>
      <w:r w:rsidR="00473E0F" w:rsidRPr="0032635B">
        <w:rPr>
          <w:rFonts w:ascii="Book Antiqua" w:hAnsi="Book Antiqua" w:cs="Times New Roman"/>
          <w:sz w:val="24"/>
          <w:szCs w:val="24"/>
          <w:vertAlign w:val="superscript"/>
        </w:rPr>
        <w:t>[</w:t>
      </w:r>
      <w:proofErr w:type="gramEnd"/>
      <w:r w:rsidR="00324DD5" w:rsidRPr="0032635B">
        <w:rPr>
          <w:rFonts w:ascii="Book Antiqua" w:hAnsi="Book Antiqua" w:cs="Times New Roman"/>
          <w:sz w:val="24"/>
          <w:szCs w:val="24"/>
          <w:vertAlign w:val="superscript"/>
        </w:rPr>
        <w:t>6</w:t>
      </w:r>
      <w:r w:rsidR="00FF6FCE" w:rsidRPr="0032635B">
        <w:rPr>
          <w:rFonts w:ascii="Book Antiqua" w:hAnsi="Book Antiqua" w:cs="Times New Roman"/>
          <w:sz w:val="24"/>
          <w:szCs w:val="24"/>
          <w:vertAlign w:val="superscript"/>
        </w:rPr>
        <w:t>]</w:t>
      </w:r>
      <w:r w:rsidR="00EA1435" w:rsidRPr="0032635B">
        <w:rPr>
          <w:rFonts w:ascii="Book Antiqua" w:hAnsi="Book Antiqua" w:cs="Times New Roman"/>
          <w:sz w:val="24"/>
          <w:szCs w:val="24"/>
        </w:rPr>
        <w:t xml:space="preserve">. </w:t>
      </w:r>
      <w:r w:rsidR="00130758" w:rsidRPr="0032635B">
        <w:rPr>
          <w:rFonts w:ascii="Book Antiqua" w:hAnsi="Book Antiqua" w:cs="Times New Roman"/>
          <w:sz w:val="24"/>
          <w:szCs w:val="24"/>
        </w:rPr>
        <w:t xml:space="preserve">The </w:t>
      </w:r>
      <w:r w:rsidR="008D7D19" w:rsidRPr="0032635B">
        <w:rPr>
          <w:rFonts w:ascii="Book Antiqua" w:hAnsi="Book Antiqua" w:cs="Times New Roman"/>
          <w:sz w:val="24"/>
          <w:szCs w:val="24"/>
        </w:rPr>
        <w:t>cost</w:t>
      </w:r>
      <w:r w:rsidR="006E2C82" w:rsidRPr="0032635B">
        <w:rPr>
          <w:rFonts w:ascii="Book Antiqua" w:hAnsi="Book Antiqua" w:cs="Times New Roman"/>
          <w:sz w:val="24"/>
          <w:szCs w:val="24"/>
        </w:rPr>
        <w:t xml:space="preserve"> of </w:t>
      </w:r>
      <w:proofErr w:type="spellStart"/>
      <w:r w:rsidR="006E2C82" w:rsidRPr="0032635B">
        <w:rPr>
          <w:rFonts w:ascii="Book Antiqua" w:hAnsi="Book Antiqua" w:cs="Times New Roman"/>
          <w:sz w:val="24"/>
          <w:szCs w:val="24"/>
        </w:rPr>
        <w:t>lafutidine</w:t>
      </w:r>
      <w:proofErr w:type="spellEnd"/>
      <w:r w:rsidR="006E2C82" w:rsidRPr="0032635B">
        <w:rPr>
          <w:rFonts w:ascii="Book Antiqua" w:hAnsi="Book Antiqua" w:cs="Times New Roman"/>
          <w:sz w:val="24"/>
          <w:szCs w:val="24"/>
        </w:rPr>
        <w:t xml:space="preserve"> </w:t>
      </w:r>
      <w:r w:rsidR="00130758" w:rsidRPr="0032635B">
        <w:rPr>
          <w:rFonts w:ascii="Book Antiqua" w:hAnsi="Book Antiqua" w:cs="Times New Roman"/>
          <w:sz w:val="24"/>
          <w:szCs w:val="24"/>
        </w:rPr>
        <w:t xml:space="preserve">treatment </w:t>
      </w:r>
      <w:r w:rsidR="006E2C82" w:rsidRPr="0032635B">
        <w:rPr>
          <w:rFonts w:ascii="Book Antiqua" w:hAnsi="Book Antiqua" w:cs="Times New Roman"/>
          <w:sz w:val="24"/>
          <w:szCs w:val="24"/>
        </w:rPr>
        <w:t xml:space="preserve">is </w:t>
      </w:r>
      <w:r w:rsidR="00786782" w:rsidRPr="0032635B">
        <w:rPr>
          <w:rFonts w:ascii="Book Antiqua" w:hAnsi="Book Antiqua" w:cs="Times New Roman"/>
          <w:sz w:val="24"/>
          <w:szCs w:val="24"/>
        </w:rPr>
        <w:t>41.3</w:t>
      </w:r>
      <w:r w:rsidR="006E2C82" w:rsidRPr="0032635B">
        <w:rPr>
          <w:rFonts w:ascii="Book Antiqua" w:hAnsi="Book Antiqua" w:cs="Times New Roman"/>
          <w:sz w:val="24"/>
          <w:szCs w:val="24"/>
        </w:rPr>
        <w:t xml:space="preserve"> yen per day</w:t>
      </w:r>
      <w:r w:rsidR="00130758" w:rsidRPr="0032635B">
        <w:rPr>
          <w:rFonts w:ascii="Book Antiqua" w:hAnsi="Book Antiqua" w:cs="Times New Roman"/>
          <w:sz w:val="24"/>
          <w:szCs w:val="24"/>
        </w:rPr>
        <w:t>,</w:t>
      </w:r>
      <w:r w:rsidR="006E2C82" w:rsidRPr="0032635B">
        <w:rPr>
          <w:rFonts w:ascii="Book Antiqua" w:hAnsi="Book Antiqua" w:cs="Times New Roman"/>
          <w:sz w:val="24"/>
          <w:szCs w:val="24"/>
        </w:rPr>
        <w:t xml:space="preserve"> and cheaper than</w:t>
      </w:r>
      <w:r w:rsidR="00B64B4E" w:rsidRPr="0032635B">
        <w:rPr>
          <w:rFonts w:ascii="Book Antiqua" w:hAnsi="Book Antiqua" w:cs="Times New Roman"/>
          <w:sz w:val="24"/>
          <w:szCs w:val="24"/>
        </w:rPr>
        <w:t xml:space="preserve"> half dose</w:t>
      </w:r>
      <w:r w:rsidR="00130758" w:rsidRPr="0032635B">
        <w:rPr>
          <w:rFonts w:ascii="Book Antiqua" w:hAnsi="Book Antiqua" w:cs="Times New Roman"/>
          <w:sz w:val="24"/>
          <w:szCs w:val="24"/>
        </w:rPr>
        <w:t>s</w:t>
      </w:r>
      <w:r w:rsidR="00B64B4E" w:rsidRPr="0032635B">
        <w:rPr>
          <w:rFonts w:ascii="Book Antiqua" w:hAnsi="Book Antiqua" w:cs="Times New Roman"/>
          <w:sz w:val="24"/>
          <w:szCs w:val="24"/>
        </w:rPr>
        <w:t xml:space="preserve"> of PPIs</w:t>
      </w:r>
      <w:r w:rsidR="00786782" w:rsidRPr="0032635B">
        <w:rPr>
          <w:rFonts w:ascii="Book Antiqua" w:hAnsi="Book Antiqua" w:cs="Times New Roman"/>
          <w:sz w:val="24"/>
          <w:szCs w:val="24"/>
        </w:rPr>
        <w:t xml:space="preserve"> (95.2 yen)</w:t>
      </w:r>
      <w:r w:rsidR="00B64B4E" w:rsidRPr="0032635B">
        <w:rPr>
          <w:rFonts w:ascii="Book Antiqua" w:hAnsi="Book Antiqua" w:cs="Times New Roman"/>
          <w:sz w:val="24"/>
          <w:szCs w:val="24"/>
        </w:rPr>
        <w:t xml:space="preserve">. </w:t>
      </w:r>
    </w:p>
    <w:p w:rsidR="00114612" w:rsidRPr="0032635B" w:rsidRDefault="00B64B4E" w:rsidP="00C92BD7">
      <w:pPr>
        <w:spacing w:line="360" w:lineRule="auto"/>
        <w:ind w:firstLine="360"/>
        <w:rPr>
          <w:rFonts w:ascii="Book Antiqua" w:hAnsi="Book Antiqua" w:cs="Times New Roman"/>
          <w:sz w:val="24"/>
          <w:szCs w:val="24"/>
        </w:rPr>
      </w:pPr>
      <w:r w:rsidRPr="0032635B">
        <w:rPr>
          <w:rFonts w:ascii="Book Antiqua" w:hAnsi="Book Antiqua" w:cs="Times New Roman"/>
          <w:sz w:val="24"/>
          <w:szCs w:val="24"/>
        </w:rPr>
        <w:t xml:space="preserve">The aim of this study was to compare the clinical efficacy of </w:t>
      </w:r>
      <w:proofErr w:type="spellStart"/>
      <w:r w:rsidRPr="0032635B">
        <w:rPr>
          <w:rFonts w:ascii="Book Antiqua" w:hAnsi="Book Antiqua" w:cs="Times New Roman"/>
          <w:sz w:val="24"/>
          <w:szCs w:val="24"/>
        </w:rPr>
        <w:t>lafutidine</w:t>
      </w:r>
      <w:proofErr w:type="spellEnd"/>
      <w:r w:rsidRPr="0032635B">
        <w:rPr>
          <w:rFonts w:ascii="Book Antiqua" w:hAnsi="Book Antiqua" w:cs="Times New Roman"/>
          <w:sz w:val="24"/>
          <w:szCs w:val="24"/>
        </w:rPr>
        <w:t xml:space="preserve"> with </w:t>
      </w:r>
      <w:r w:rsidR="00130758" w:rsidRPr="0032635B">
        <w:rPr>
          <w:rFonts w:ascii="Book Antiqua" w:hAnsi="Book Antiqua" w:cs="Times New Roman"/>
          <w:sz w:val="24"/>
          <w:szCs w:val="24"/>
        </w:rPr>
        <w:t>that</w:t>
      </w:r>
      <w:r w:rsidRPr="0032635B">
        <w:rPr>
          <w:rFonts w:ascii="Book Antiqua" w:hAnsi="Book Antiqua" w:cs="Times New Roman"/>
          <w:sz w:val="24"/>
          <w:szCs w:val="24"/>
        </w:rPr>
        <w:t xml:space="preserve"> of </w:t>
      </w:r>
      <w:proofErr w:type="spellStart"/>
      <w:r w:rsidR="00130758" w:rsidRPr="0032635B">
        <w:rPr>
          <w:rFonts w:ascii="Book Antiqua" w:hAnsi="Book Antiqua" w:cs="Times New Roman"/>
          <w:sz w:val="24"/>
          <w:szCs w:val="24"/>
        </w:rPr>
        <w:t>lansopr</w:t>
      </w:r>
      <w:r w:rsidRPr="0032635B">
        <w:rPr>
          <w:rFonts w:ascii="Book Antiqua" w:hAnsi="Book Antiqua" w:cs="Times New Roman"/>
          <w:sz w:val="24"/>
          <w:szCs w:val="24"/>
        </w:rPr>
        <w:t>azole</w:t>
      </w:r>
      <w:proofErr w:type="spellEnd"/>
      <w:r w:rsidRPr="0032635B">
        <w:rPr>
          <w:rFonts w:ascii="Book Antiqua" w:hAnsi="Book Antiqua" w:cs="Times New Roman"/>
          <w:sz w:val="24"/>
          <w:szCs w:val="24"/>
        </w:rPr>
        <w:t xml:space="preserve"> </w:t>
      </w:r>
      <w:r w:rsidR="00130758" w:rsidRPr="0032635B">
        <w:rPr>
          <w:rFonts w:ascii="Book Antiqua" w:hAnsi="Book Antiqua" w:cs="Times New Roman"/>
          <w:sz w:val="24"/>
          <w:szCs w:val="24"/>
        </w:rPr>
        <w:t>as initial and maintenance treatment</w:t>
      </w:r>
      <w:r w:rsidRPr="0032635B">
        <w:rPr>
          <w:rFonts w:ascii="Book Antiqua" w:hAnsi="Book Antiqua" w:cs="Times New Roman"/>
          <w:sz w:val="24"/>
          <w:szCs w:val="24"/>
        </w:rPr>
        <w:t xml:space="preserve"> in Japanese patients with mild GERD.</w:t>
      </w:r>
    </w:p>
    <w:p w:rsidR="00114612" w:rsidRPr="0032635B" w:rsidRDefault="00114612" w:rsidP="00C92BD7">
      <w:pPr>
        <w:widowControl/>
        <w:spacing w:line="360" w:lineRule="auto"/>
        <w:rPr>
          <w:rFonts w:ascii="Book Antiqua" w:hAnsi="Book Antiqua" w:cs="Times New Roman"/>
          <w:b/>
          <w:sz w:val="24"/>
          <w:szCs w:val="24"/>
        </w:rPr>
      </w:pPr>
      <w:r w:rsidRPr="0032635B">
        <w:rPr>
          <w:rFonts w:ascii="Book Antiqua" w:hAnsi="Book Antiqua" w:cs="Times New Roman"/>
          <w:b/>
          <w:sz w:val="24"/>
          <w:szCs w:val="24"/>
        </w:rPr>
        <w:br w:type="page"/>
      </w:r>
    </w:p>
    <w:p w:rsidR="00473E0F" w:rsidRPr="0032635B" w:rsidRDefault="00473E0F" w:rsidP="00473E0F">
      <w:pPr>
        <w:spacing w:line="360" w:lineRule="auto"/>
        <w:rPr>
          <w:rFonts w:ascii="Book Antiqua" w:hAnsi="Book Antiqua"/>
          <w:b/>
          <w:sz w:val="24"/>
          <w:szCs w:val="24"/>
        </w:rPr>
      </w:pPr>
      <w:bookmarkStart w:id="23" w:name="OLE_LINK337"/>
      <w:bookmarkStart w:id="24" w:name="OLE_LINK338"/>
      <w:bookmarkStart w:id="25" w:name="OLE_LINK378"/>
      <w:bookmarkStart w:id="26" w:name="OLE_LINK388"/>
      <w:bookmarkStart w:id="27" w:name="OLE_LINK394"/>
      <w:r w:rsidRPr="0032635B">
        <w:rPr>
          <w:rFonts w:ascii="Book Antiqua" w:hAnsi="Book Antiqua"/>
          <w:b/>
          <w:sz w:val="24"/>
          <w:szCs w:val="24"/>
        </w:rPr>
        <w:lastRenderedPageBreak/>
        <w:t>MATERIALS AND METHODS</w:t>
      </w:r>
    </w:p>
    <w:bookmarkEnd w:id="23"/>
    <w:bookmarkEnd w:id="24"/>
    <w:bookmarkEnd w:id="25"/>
    <w:bookmarkEnd w:id="26"/>
    <w:bookmarkEnd w:id="27"/>
    <w:p w:rsidR="00083B35" w:rsidRPr="0032635B" w:rsidRDefault="00083B35" w:rsidP="00C92BD7">
      <w:pPr>
        <w:widowControl/>
        <w:spacing w:line="360" w:lineRule="auto"/>
        <w:rPr>
          <w:rFonts w:ascii="Book Antiqua" w:hAnsi="Book Antiqua"/>
          <w:b/>
          <w:i/>
          <w:sz w:val="24"/>
          <w:szCs w:val="24"/>
        </w:rPr>
      </w:pPr>
      <w:r w:rsidRPr="0032635B">
        <w:rPr>
          <w:rFonts w:ascii="Book Antiqua" w:hAnsi="Book Antiqua"/>
          <w:b/>
          <w:i/>
          <w:sz w:val="24"/>
          <w:szCs w:val="24"/>
        </w:rPr>
        <w:t>Study design</w:t>
      </w:r>
    </w:p>
    <w:p w:rsidR="00083B35" w:rsidRPr="0032635B" w:rsidRDefault="00083B35" w:rsidP="00C92BD7">
      <w:pPr>
        <w:widowControl/>
        <w:spacing w:line="360" w:lineRule="auto"/>
        <w:rPr>
          <w:rFonts w:ascii="Book Antiqua" w:eastAsia="宋体" w:hAnsi="Book Antiqua"/>
          <w:sz w:val="24"/>
          <w:szCs w:val="24"/>
          <w:lang w:eastAsia="zh-CN"/>
        </w:rPr>
      </w:pPr>
      <w:r w:rsidRPr="0032635B">
        <w:rPr>
          <w:rFonts w:ascii="Book Antiqua" w:hAnsi="Book Antiqua"/>
          <w:sz w:val="24"/>
          <w:szCs w:val="24"/>
        </w:rPr>
        <w:t>Th</w:t>
      </w:r>
      <w:r w:rsidR="00130758" w:rsidRPr="0032635B">
        <w:rPr>
          <w:rFonts w:ascii="Book Antiqua" w:hAnsi="Book Antiqua"/>
          <w:sz w:val="24"/>
          <w:szCs w:val="24"/>
        </w:rPr>
        <w:t>is was a phase III, controlled study</w:t>
      </w:r>
      <w:r w:rsidRPr="0032635B">
        <w:rPr>
          <w:rFonts w:ascii="Book Antiqua" w:hAnsi="Book Antiqua"/>
          <w:sz w:val="24"/>
          <w:szCs w:val="24"/>
        </w:rPr>
        <w:t xml:space="preserve"> </w:t>
      </w:r>
      <w:r w:rsidR="00130758" w:rsidRPr="0032635B">
        <w:rPr>
          <w:rFonts w:ascii="Book Antiqua" w:hAnsi="Book Antiqua"/>
          <w:sz w:val="24"/>
          <w:szCs w:val="24"/>
        </w:rPr>
        <w:t>performed in 4 university hospitals and 11 of their affiliated hospitals in Japan between April 2012 and March 2013</w:t>
      </w:r>
      <w:r w:rsidRPr="0032635B">
        <w:rPr>
          <w:rFonts w:ascii="Book Antiqua" w:hAnsi="Book Antiqua"/>
          <w:sz w:val="24"/>
          <w:szCs w:val="24"/>
        </w:rPr>
        <w:t xml:space="preserve">. The study was approved by </w:t>
      </w:r>
      <w:r w:rsidR="00130758" w:rsidRPr="0032635B">
        <w:rPr>
          <w:rFonts w:ascii="Book Antiqua" w:hAnsi="Book Antiqua"/>
          <w:sz w:val="24"/>
          <w:szCs w:val="24"/>
        </w:rPr>
        <w:t>the institutional review board of each participating hospital</w:t>
      </w:r>
      <w:r w:rsidRPr="0032635B">
        <w:rPr>
          <w:rFonts w:ascii="Book Antiqua" w:hAnsi="Book Antiqua"/>
          <w:sz w:val="24"/>
          <w:szCs w:val="24"/>
        </w:rPr>
        <w:t xml:space="preserve"> and </w:t>
      </w:r>
      <w:r w:rsidR="00130758" w:rsidRPr="0032635B">
        <w:rPr>
          <w:rFonts w:ascii="Book Antiqua" w:hAnsi="Book Antiqua"/>
          <w:sz w:val="24"/>
          <w:szCs w:val="24"/>
        </w:rPr>
        <w:t>was conducted in accordance to Good Clinical Practice guidelines. W</w:t>
      </w:r>
      <w:r w:rsidRPr="0032635B">
        <w:rPr>
          <w:rFonts w:ascii="Book Antiqua" w:hAnsi="Book Antiqua"/>
          <w:sz w:val="24"/>
          <w:szCs w:val="24"/>
        </w:rPr>
        <w:t xml:space="preserve">ritten informed consent was obtained from all </w:t>
      </w:r>
      <w:r w:rsidR="00130758" w:rsidRPr="0032635B">
        <w:rPr>
          <w:rFonts w:ascii="Book Antiqua" w:hAnsi="Book Antiqua"/>
          <w:sz w:val="24"/>
          <w:szCs w:val="24"/>
        </w:rPr>
        <w:t>patients</w:t>
      </w:r>
      <w:r w:rsidRPr="0032635B">
        <w:rPr>
          <w:rFonts w:ascii="Book Antiqua" w:hAnsi="Book Antiqua"/>
          <w:sz w:val="24"/>
          <w:szCs w:val="24"/>
        </w:rPr>
        <w:t xml:space="preserve">. </w:t>
      </w:r>
      <w:r w:rsidR="000C7B5C" w:rsidRPr="0032635B">
        <w:rPr>
          <w:rFonts w:ascii="Book Antiqua" w:hAnsi="Book Antiqua"/>
          <w:sz w:val="24"/>
          <w:szCs w:val="24"/>
        </w:rPr>
        <w:t xml:space="preserve">The study </w:t>
      </w:r>
      <w:r w:rsidR="00130758" w:rsidRPr="0032635B">
        <w:rPr>
          <w:rFonts w:ascii="Book Antiqua" w:hAnsi="Book Antiqua"/>
          <w:sz w:val="24"/>
          <w:szCs w:val="24"/>
        </w:rPr>
        <w:t>is</w:t>
      </w:r>
      <w:r w:rsidR="000C7B5C" w:rsidRPr="0032635B">
        <w:rPr>
          <w:rFonts w:ascii="Book Antiqua" w:hAnsi="Book Antiqua"/>
          <w:sz w:val="24"/>
          <w:szCs w:val="24"/>
        </w:rPr>
        <w:t xml:space="preserve"> registered in the University Hospital Medical Network Clinical Trials Registry </w:t>
      </w:r>
      <w:r w:rsidR="00130758" w:rsidRPr="0032635B">
        <w:rPr>
          <w:rFonts w:ascii="Book Antiqua" w:hAnsi="Book Antiqua"/>
          <w:sz w:val="24"/>
          <w:szCs w:val="24"/>
        </w:rPr>
        <w:t xml:space="preserve">(unique trial number </w:t>
      </w:r>
      <w:r w:rsidR="000C7B5C" w:rsidRPr="0032635B">
        <w:rPr>
          <w:rFonts w:ascii="Book Antiqua" w:hAnsi="Book Antiqua"/>
          <w:sz w:val="24"/>
          <w:szCs w:val="24"/>
        </w:rPr>
        <w:t>UMIN000006162</w:t>
      </w:r>
      <w:r w:rsidR="00130758" w:rsidRPr="0032635B">
        <w:rPr>
          <w:rFonts w:ascii="Book Antiqua" w:hAnsi="Book Antiqua"/>
          <w:sz w:val="24"/>
          <w:szCs w:val="24"/>
        </w:rPr>
        <w:t>)</w:t>
      </w:r>
      <w:r w:rsidR="000C7B5C" w:rsidRPr="0032635B">
        <w:rPr>
          <w:rFonts w:ascii="Book Antiqua" w:hAnsi="Book Antiqua"/>
          <w:sz w:val="24"/>
          <w:szCs w:val="24"/>
        </w:rPr>
        <w:t>.</w:t>
      </w:r>
    </w:p>
    <w:p w:rsidR="00473E0F" w:rsidRPr="0032635B" w:rsidRDefault="00473E0F" w:rsidP="00C92BD7">
      <w:pPr>
        <w:widowControl/>
        <w:spacing w:line="360" w:lineRule="auto"/>
        <w:rPr>
          <w:rFonts w:ascii="Book Antiqua" w:eastAsia="宋体" w:hAnsi="Book Antiqua"/>
          <w:sz w:val="24"/>
          <w:szCs w:val="24"/>
          <w:lang w:eastAsia="zh-CN"/>
        </w:rPr>
      </w:pPr>
    </w:p>
    <w:p w:rsidR="00083B35" w:rsidRPr="0032635B" w:rsidRDefault="00083B35" w:rsidP="00C92BD7">
      <w:pPr>
        <w:widowControl/>
        <w:spacing w:line="360" w:lineRule="auto"/>
        <w:rPr>
          <w:rFonts w:ascii="Book Antiqua" w:hAnsi="Book Antiqua"/>
          <w:b/>
          <w:i/>
          <w:sz w:val="24"/>
          <w:szCs w:val="24"/>
        </w:rPr>
      </w:pPr>
      <w:r w:rsidRPr="0032635B">
        <w:rPr>
          <w:rFonts w:ascii="Book Antiqua" w:hAnsi="Book Antiqua"/>
          <w:b/>
          <w:i/>
          <w:sz w:val="24"/>
          <w:szCs w:val="24"/>
        </w:rPr>
        <w:t>Subjects</w:t>
      </w:r>
    </w:p>
    <w:p w:rsidR="00083B35" w:rsidRPr="0032635B" w:rsidRDefault="00130758" w:rsidP="00473E0F">
      <w:pPr>
        <w:widowControl/>
        <w:spacing w:line="360" w:lineRule="auto"/>
        <w:rPr>
          <w:rFonts w:ascii="Book Antiqua" w:eastAsia="宋体" w:hAnsi="Book Antiqua"/>
          <w:b/>
          <w:sz w:val="24"/>
          <w:szCs w:val="24"/>
          <w:lang w:eastAsia="zh-CN"/>
        </w:rPr>
      </w:pPr>
      <w:r w:rsidRPr="0032635B">
        <w:rPr>
          <w:rFonts w:ascii="Book Antiqua" w:hAnsi="Book Antiqua"/>
          <w:b/>
          <w:sz w:val="24"/>
          <w:szCs w:val="24"/>
        </w:rPr>
        <w:t>Inclusion</w:t>
      </w:r>
      <w:r w:rsidR="00083B35" w:rsidRPr="0032635B">
        <w:rPr>
          <w:rFonts w:ascii="Book Antiqua" w:hAnsi="Book Antiqua"/>
          <w:b/>
          <w:sz w:val="24"/>
          <w:szCs w:val="24"/>
        </w:rPr>
        <w:t xml:space="preserve"> criteria</w:t>
      </w:r>
      <w:r w:rsidR="00473E0F" w:rsidRPr="0032635B">
        <w:rPr>
          <w:rFonts w:ascii="Book Antiqua" w:eastAsia="宋体" w:hAnsi="Book Antiqua"/>
          <w:b/>
          <w:sz w:val="24"/>
          <w:szCs w:val="24"/>
          <w:lang w:eastAsia="zh-CN"/>
        </w:rPr>
        <w:t xml:space="preserve">: </w:t>
      </w:r>
      <w:r w:rsidR="00083B35" w:rsidRPr="0032635B">
        <w:rPr>
          <w:rFonts w:ascii="Book Antiqua" w:hAnsi="Book Antiqua"/>
          <w:sz w:val="24"/>
          <w:szCs w:val="24"/>
        </w:rPr>
        <w:t xml:space="preserve">Patients who </w:t>
      </w:r>
      <w:r w:rsidRPr="0032635B">
        <w:rPr>
          <w:rFonts w:ascii="Book Antiqua" w:hAnsi="Book Antiqua"/>
          <w:sz w:val="24"/>
          <w:szCs w:val="24"/>
        </w:rPr>
        <w:t xml:space="preserve">were </w:t>
      </w:r>
      <w:r w:rsidR="00473E0F" w:rsidRPr="0032635B">
        <w:rPr>
          <w:rFonts w:ascii="Book Antiqua" w:hAnsi="Book Antiqua"/>
          <w:sz w:val="24"/>
          <w:szCs w:val="24"/>
        </w:rPr>
        <w:sym w:font="Symbol" w:char="F0B3"/>
      </w:r>
      <w:r w:rsidRPr="0032635B">
        <w:rPr>
          <w:rFonts w:ascii="Book Antiqua" w:hAnsi="Book Antiqua"/>
          <w:sz w:val="24"/>
          <w:szCs w:val="24"/>
        </w:rPr>
        <w:t xml:space="preserve"> </w:t>
      </w:r>
      <w:r w:rsidR="00083B35" w:rsidRPr="0032635B">
        <w:rPr>
          <w:rFonts w:ascii="Book Antiqua" w:hAnsi="Book Antiqua"/>
          <w:sz w:val="24"/>
          <w:szCs w:val="24"/>
        </w:rPr>
        <w:t>20 years</w:t>
      </w:r>
      <w:r w:rsidRPr="0032635B">
        <w:rPr>
          <w:rFonts w:ascii="Book Antiqua" w:hAnsi="Book Antiqua"/>
          <w:sz w:val="24"/>
          <w:szCs w:val="24"/>
        </w:rPr>
        <w:t xml:space="preserve"> </w:t>
      </w:r>
      <w:r w:rsidR="00083B35" w:rsidRPr="0032635B">
        <w:rPr>
          <w:rFonts w:ascii="Book Antiqua" w:hAnsi="Book Antiqua"/>
          <w:sz w:val="24"/>
          <w:szCs w:val="24"/>
        </w:rPr>
        <w:t xml:space="preserve">old </w:t>
      </w:r>
      <w:r w:rsidRPr="0032635B">
        <w:rPr>
          <w:rFonts w:ascii="Book Antiqua" w:hAnsi="Book Antiqua"/>
          <w:sz w:val="24"/>
          <w:szCs w:val="24"/>
        </w:rPr>
        <w:t xml:space="preserve">with </w:t>
      </w:r>
      <w:r w:rsidR="00083B35" w:rsidRPr="0032635B">
        <w:rPr>
          <w:rFonts w:ascii="Book Antiqua" w:hAnsi="Book Antiqua"/>
          <w:sz w:val="24"/>
          <w:szCs w:val="24"/>
        </w:rPr>
        <w:t xml:space="preserve">symptoms of heartburn or regurgitation </w:t>
      </w:r>
      <w:r w:rsidR="00AD4B95" w:rsidRPr="0032635B">
        <w:rPr>
          <w:rFonts w:ascii="Book Antiqua" w:hAnsi="Book Antiqua"/>
          <w:sz w:val="24"/>
          <w:szCs w:val="24"/>
        </w:rPr>
        <w:t xml:space="preserve">and </w:t>
      </w:r>
      <w:r w:rsidR="00083B35" w:rsidRPr="0032635B">
        <w:rPr>
          <w:rFonts w:ascii="Book Antiqua" w:hAnsi="Book Antiqua"/>
          <w:sz w:val="24"/>
          <w:szCs w:val="24"/>
        </w:rPr>
        <w:t xml:space="preserve">a diagnosis of grade </w:t>
      </w:r>
      <w:proofErr w:type="gramStart"/>
      <w:r w:rsidR="00083B35" w:rsidRPr="0032635B">
        <w:rPr>
          <w:rFonts w:ascii="Book Antiqua" w:hAnsi="Book Antiqua"/>
          <w:sz w:val="24"/>
          <w:szCs w:val="24"/>
        </w:rPr>
        <w:t>A</w:t>
      </w:r>
      <w:proofErr w:type="gramEnd"/>
      <w:r w:rsidR="00083B35" w:rsidRPr="0032635B">
        <w:rPr>
          <w:rFonts w:ascii="Book Antiqua" w:hAnsi="Book Antiqua"/>
          <w:sz w:val="24"/>
          <w:szCs w:val="24"/>
        </w:rPr>
        <w:t xml:space="preserve"> reflux esophagitis according to the Los </w:t>
      </w:r>
      <w:r w:rsidR="00AD4B95" w:rsidRPr="0032635B">
        <w:rPr>
          <w:rFonts w:ascii="Book Antiqua" w:hAnsi="Book Antiqua"/>
          <w:sz w:val="24"/>
          <w:szCs w:val="24"/>
        </w:rPr>
        <w:t xml:space="preserve">Angeles classification, </w:t>
      </w:r>
      <w:r w:rsidR="00083B35" w:rsidRPr="0032635B">
        <w:rPr>
          <w:rFonts w:ascii="Book Antiqua" w:hAnsi="Book Antiqua"/>
          <w:sz w:val="24"/>
          <w:szCs w:val="24"/>
        </w:rPr>
        <w:t xml:space="preserve">as confirmed by endoscopic examination </w:t>
      </w:r>
      <w:r w:rsidR="008D020C" w:rsidRPr="0032635B">
        <w:rPr>
          <w:rFonts w:ascii="Book Antiqua" w:hAnsi="Book Antiqua"/>
          <w:sz w:val="24"/>
          <w:szCs w:val="24"/>
        </w:rPr>
        <w:t>at leas</w:t>
      </w:r>
      <w:r w:rsidR="00AD4B95" w:rsidRPr="0032635B">
        <w:rPr>
          <w:rFonts w:ascii="Book Antiqua" w:hAnsi="Book Antiqua"/>
          <w:sz w:val="24"/>
          <w:szCs w:val="24"/>
        </w:rPr>
        <w:t>t</w:t>
      </w:r>
      <w:r w:rsidR="00083B35" w:rsidRPr="0032635B">
        <w:rPr>
          <w:rFonts w:ascii="Book Antiqua" w:hAnsi="Book Antiqua"/>
          <w:sz w:val="24"/>
          <w:szCs w:val="24"/>
        </w:rPr>
        <w:t xml:space="preserve"> 1 </w:t>
      </w:r>
      <w:proofErr w:type="spellStart"/>
      <w:r w:rsidR="00473E0F" w:rsidRPr="0032635B">
        <w:rPr>
          <w:rFonts w:ascii="Book Antiqua" w:eastAsia="宋体" w:hAnsi="Book Antiqua"/>
          <w:sz w:val="24"/>
          <w:szCs w:val="24"/>
          <w:lang w:eastAsia="zh-CN"/>
        </w:rPr>
        <w:t>wk</w:t>
      </w:r>
      <w:proofErr w:type="spellEnd"/>
      <w:r w:rsidR="00083B35" w:rsidRPr="0032635B">
        <w:rPr>
          <w:rFonts w:ascii="Book Antiqua" w:hAnsi="Book Antiqua"/>
          <w:sz w:val="24"/>
          <w:szCs w:val="24"/>
        </w:rPr>
        <w:t xml:space="preserve"> </w:t>
      </w:r>
      <w:r w:rsidR="00AD4B95" w:rsidRPr="0032635B">
        <w:rPr>
          <w:rFonts w:ascii="Book Antiqua" w:hAnsi="Book Antiqua"/>
          <w:sz w:val="24"/>
          <w:szCs w:val="24"/>
        </w:rPr>
        <w:t>prior to the</w:t>
      </w:r>
      <w:r w:rsidR="00083B35" w:rsidRPr="0032635B">
        <w:rPr>
          <w:rFonts w:ascii="Book Antiqua" w:hAnsi="Book Antiqua"/>
          <w:sz w:val="24"/>
          <w:szCs w:val="24"/>
        </w:rPr>
        <w:t xml:space="preserve"> observation period</w:t>
      </w:r>
      <w:r w:rsidR="00AD4B95" w:rsidRPr="0032635B">
        <w:rPr>
          <w:rFonts w:ascii="Book Antiqua" w:hAnsi="Book Antiqua"/>
          <w:sz w:val="24"/>
          <w:szCs w:val="24"/>
        </w:rPr>
        <w:t xml:space="preserve">, </w:t>
      </w:r>
      <w:r w:rsidR="00083B35" w:rsidRPr="0032635B">
        <w:rPr>
          <w:rFonts w:ascii="Book Antiqua" w:hAnsi="Book Antiqua"/>
          <w:sz w:val="24"/>
          <w:szCs w:val="24"/>
        </w:rPr>
        <w:t xml:space="preserve">were eligible for enrollment. </w:t>
      </w:r>
      <w:r w:rsidR="00AD4B95" w:rsidRPr="0032635B">
        <w:rPr>
          <w:rFonts w:ascii="Book Antiqua" w:hAnsi="Book Antiqua"/>
          <w:sz w:val="24"/>
          <w:szCs w:val="24"/>
        </w:rPr>
        <w:t>Both t</w:t>
      </w:r>
      <w:r w:rsidR="00083B35" w:rsidRPr="0032635B">
        <w:rPr>
          <w:rFonts w:ascii="Book Antiqua" w:hAnsi="Book Antiqua"/>
          <w:sz w:val="24"/>
          <w:szCs w:val="24"/>
        </w:rPr>
        <w:t xml:space="preserve">he </w:t>
      </w:r>
      <w:r w:rsidR="00AD4B95" w:rsidRPr="0032635B">
        <w:rPr>
          <w:rFonts w:ascii="Book Antiqua" w:hAnsi="Book Antiqua"/>
          <w:sz w:val="24"/>
          <w:szCs w:val="24"/>
        </w:rPr>
        <w:t xml:space="preserve">frequency and </w:t>
      </w:r>
      <w:r w:rsidR="00083B35" w:rsidRPr="0032635B">
        <w:rPr>
          <w:rFonts w:ascii="Book Antiqua" w:hAnsi="Book Antiqua"/>
          <w:sz w:val="24"/>
          <w:szCs w:val="24"/>
        </w:rPr>
        <w:t xml:space="preserve">severity of symptoms were </w:t>
      </w:r>
      <w:r w:rsidR="00AD4B95" w:rsidRPr="0032635B">
        <w:rPr>
          <w:rFonts w:ascii="Book Antiqua" w:hAnsi="Book Antiqua"/>
          <w:sz w:val="24"/>
          <w:szCs w:val="24"/>
        </w:rPr>
        <w:t xml:space="preserve">required to be </w:t>
      </w:r>
      <w:r w:rsidR="00473E0F" w:rsidRPr="0032635B">
        <w:rPr>
          <w:rFonts w:ascii="Book Antiqua" w:hAnsi="Book Antiqua"/>
          <w:sz w:val="24"/>
          <w:szCs w:val="24"/>
        </w:rPr>
        <w:sym w:font="Symbol" w:char="F0B3"/>
      </w:r>
      <w:r w:rsidR="00AD4B95" w:rsidRPr="0032635B">
        <w:rPr>
          <w:rFonts w:ascii="Book Antiqua" w:hAnsi="Book Antiqua"/>
          <w:sz w:val="24"/>
          <w:szCs w:val="24"/>
        </w:rPr>
        <w:t xml:space="preserve"> </w:t>
      </w:r>
      <w:r w:rsidR="00083B35" w:rsidRPr="0032635B">
        <w:rPr>
          <w:rFonts w:ascii="Book Antiqua" w:hAnsi="Book Antiqua"/>
          <w:sz w:val="24"/>
          <w:szCs w:val="24"/>
        </w:rPr>
        <w:t xml:space="preserve">3 </w:t>
      </w:r>
      <w:r w:rsidR="00D91286" w:rsidRPr="0032635B">
        <w:rPr>
          <w:rFonts w:ascii="Book Antiqua" w:hAnsi="Book Antiqua"/>
          <w:sz w:val="24"/>
          <w:szCs w:val="24"/>
        </w:rPr>
        <w:t xml:space="preserve">on </w:t>
      </w:r>
      <w:r w:rsidR="00940836" w:rsidRPr="0032635B">
        <w:rPr>
          <w:rFonts w:ascii="Book Antiqua" w:hAnsi="Book Antiqua"/>
          <w:sz w:val="24"/>
          <w:szCs w:val="24"/>
        </w:rPr>
        <w:t>question 2 or 3</w:t>
      </w:r>
      <w:r w:rsidR="00AD4B95" w:rsidRPr="0032635B">
        <w:rPr>
          <w:rFonts w:ascii="Book Antiqua" w:hAnsi="Book Antiqua"/>
          <w:sz w:val="24"/>
          <w:szCs w:val="24"/>
        </w:rPr>
        <w:t xml:space="preserve"> of the</w:t>
      </w:r>
      <w:r w:rsidR="00940836" w:rsidRPr="0032635B">
        <w:rPr>
          <w:rFonts w:ascii="Book Antiqua" w:hAnsi="Book Antiqua"/>
          <w:sz w:val="24"/>
          <w:szCs w:val="24"/>
        </w:rPr>
        <w:t xml:space="preserve"> </w:t>
      </w:r>
      <w:r w:rsidR="00083B35" w:rsidRPr="0032635B">
        <w:rPr>
          <w:rFonts w:ascii="Book Antiqua" w:hAnsi="Book Antiqua"/>
          <w:sz w:val="24"/>
          <w:szCs w:val="24"/>
        </w:rPr>
        <w:t>Gastrointestinal Symptom Rating Scale (GSRS).</w:t>
      </w:r>
    </w:p>
    <w:p w:rsidR="00473E0F" w:rsidRPr="0032635B" w:rsidRDefault="00473E0F" w:rsidP="00473E0F">
      <w:pPr>
        <w:widowControl/>
        <w:spacing w:line="360" w:lineRule="auto"/>
        <w:rPr>
          <w:rFonts w:ascii="Book Antiqua" w:eastAsia="宋体" w:hAnsi="Book Antiqua"/>
          <w:sz w:val="24"/>
          <w:szCs w:val="24"/>
          <w:lang w:eastAsia="zh-CN"/>
        </w:rPr>
      </w:pPr>
    </w:p>
    <w:p w:rsidR="00083B35" w:rsidRPr="0032635B" w:rsidRDefault="00083B35" w:rsidP="00473E0F">
      <w:pPr>
        <w:widowControl/>
        <w:spacing w:line="360" w:lineRule="auto"/>
        <w:rPr>
          <w:rFonts w:ascii="Book Antiqua" w:eastAsia="宋体" w:hAnsi="Book Antiqua"/>
          <w:b/>
          <w:sz w:val="24"/>
          <w:szCs w:val="24"/>
          <w:lang w:eastAsia="zh-CN"/>
        </w:rPr>
      </w:pPr>
      <w:r w:rsidRPr="0032635B">
        <w:rPr>
          <w:rFonts w:ascii="Book Antiqua" w:hAnsi="Book Antiqua"/>
          <w:b/>
          <w:sz w:val="24"/>
          <w:szCs w:val="24"/>
        </w:rPr>
        <w:t>Exclusion criteria</w:t>
      </w:r>
      <w:r w:rsidR="00473E0F" w:rsidRPr="0032635B">
        <w:rPr>
          <w:rFonts w:ascii="Book Antiqua" w:eastAsia="宋体" w:hAnsi="Book Antiqua"/>
          <w:b/>
          <w:sz w:val="24"/>
          <w:szCs w:val="24"/>
          <w:lang w:eastAsia="zh-CN"/>
        </w:rPr>
        <w:t>:</w:t>
      </w:r>
      <w:r w:rsidR="0091327D" w:rsidRPr="0032635B">
        <w:rPr>
          <w:rFonts w:ascii="Book Antiqua" w:eastAsia="宋体" w:hAnsi="Book Antiqua"/>
          <w:b/>
          <w:sz w:val="24"/>
          <w:szCs w:val="24"/>
          <w:lang w:eastAsia="zh-CN"/>
        </w:rPr>
        <w:t xml:space="preserve"> </w:t>
      </w:r>
      <w:r w:rsidRPr="0032635B">
        <w:rPr>
          <w:rFonts w:ascii="Book Antiqua" w:hAnsi="Book Antiqua"/>
          <w:sz w:val="24"/>
          <w:szCs w:val="24"/>
        </w:rPr>
        <w:t xml:space="preserve">Patients with any of the following conditions were excluded: (1) gastric or duodenal ulcers (excluding ulcer scars); (2) esophageal, gastric or duodenal cancer; (3) the concurrent presence of Barrett’s esophagus; (4) a history of upper gastrointestinal resection; (5) a history of receiving PPIs or H2RAs within </w:t>
      </w:r>
      <w:r w:rsidR="00AD4B95" w:rsidRPr="0032635B">
        <w:rPr>
          <w:rFonts w:ascii="Book Antiqua" w:hAnsi="Book Antiqua"/>
          <w:sz w:val="24"/>
          <w:szCs w:val="24"/>
        </w:rPr>
        <w:t xml:space="preserve">the </w:t>
      </w:r>
      <w:r w:rsidRPr="0032635B">
        <w:rPr>
          <w:rFonts w:ascii="Book Antiqua" w:hAnsi="Book Antiqua"/>
          <w:sz w:val="24"/>
          <w:szCs w:val="24"/>
        </w:rPr>
        <w:t xml:space="preserve">2 </w:t>
      </w:r>
      <w:proofErr w:type="spellStart"/>
      <w:r w:rsidR="00473E0F" w:rsidRPr="0032635B">
        <w:rPr>
          <w:rFonts w:ascii="Book Antiqua" w:eastAsia="宋体" w:hAnsi="Book Antiqua"/>
          <w:sz w:val="24"/>
          <w:szCs w:val="24"/>
          <w:lang w:eastAsia="zh-CN"/>
        </w:rPr>
        <w:t>wk</w:t>
      </w:r>
      <w:proofErr w:type="spellEnd"/>
      <w:r w:rsidRPr="0032635B">
        <w:rPr>
          <w:rFonts w:ascii="Book Antiqua" w:hAnsi="Book Antiqua"/>
          <w:sz w:val="24"/>
          <w:szCs w:val="24"/>
        </w:rPr>
        <w:t xml:space="preserve"> prior to endoscopic examination; (6) comorbidity</w:t>
      </w:r>
      <w:r w:rsidR="00AD4B95" w:rsidRPr="0032635B">
        <w:rPr>
          <w:rFonts w:ascii="Book Antiqua" w:hAnsi="Book Antiqua"/>
          <w:sz w:val="24"/>
          <w:szCs w:val="24"/>
        </w:rPr>
        <w:t xml:space="preserve"> with severe cardiovascular, hepatic</w:t>
      </w:r>
      <w:r w:rsidRPr="0032635B">
        <w:rPr>
          <w:rFonts w:ascii="Book Antiqua" w:hAnsi="Book Antiqua"/>
          <w:sz w:val="24"/>
          <w:szCs w:val="24"/>
        </w:rPr>
        <w:t xml:space="preserve">, or renal disease; (7) a history of allergy to </w:t>
      </w:r>
      <w:proofErr w:type="spellStart"/>
      <w:r w:rsidRPr="0032635B">
        <w:rPr>
          <w:rFonts w:ascii="Book Antiqua" w:hAnsi="Book Antiqua"/>
          <w:sz w:val="24"/>
          <w:szCs w:val="24"/>
        </w:rPr>
        <w:lastRenderedPageBreak/>
        <w:t>lafutidine</w:t>
      </w:r>
      <w:proofErr w:type="spellEnd"/>
      <w:r w:rsidRPr="0032635B">
        <w:rPr>
          <w:rFonts w:ascii="Book Antiqua" w:hAnsi="Book Antiqua"/>
          <w:sz w:val="24"/>
          <w:szCs w:val="24"/>
        </w:rPr>
        <w:t xml:space="preserve"> or </w:t>
      </w:r>
      <w:proofErr w:type="spellStart"/>
      <w:r w:rsidRPr="0032635B">
        <w:rPr>
          <w:rFonts w:ascii="Book Antiqua" w:hAnsi="Book Antiqua"/>
          <w:sz w:val="24"/>
          <w:szCs w:val="24"/>
        </w:rPr>
        <w:t>lansoprazole</w:t>
      </w:r>
      <w:proofErr w:type="spellEnd"/>
      <w:r w:rsidRPr="0032635B">
        <w:rPr>
          <w:rFonts w:ascii="Book Antiqua" w:hAnsi="Book Antiqua"/>
          <w:sz w:val="24"/>
          <w:szCs w:val="24"/>
        </w:rPr>
        <w:t xml:space="preserve">; and (8) other conditions considered </w:t>
      </w:r>
      <w:r w:rsidR="00AD4B95" w:rsidRPr="0032635B">
        <w:rPr>
          <w:rFonts w:ascii="Book Antiqua" w:hAnsi="Book Antiqua"/>
          <w:sz w:val="24"/>
          <w:szCs w:val="24"/>
        </w:rPr>
        <w:t>unsuitable for study participation</w:t>
      </w:r>
      <w:r w:rsidRPr="0032635B">
        <w:rPr>
          <w:rFonts w:ascii="Book Antiqua" w:hAnsi="Book Antiqua"/>
          <w:sz w:val="24"/>
          <w:szCs w:val="24"/>
        </w:rPr>
        <w:t xml:space="preserve"> by the attending physician.</w:t>
      </w:r>
    </w:p>
    <w:p w:rsidR="00473E0F" w:rsidRPr="0032635B" w:rsidRDefault="00473E0F" w:rsidP="00473E0F">
      <w:pPr>
        <w:widowControl/>
        <w:spacing w:line="360" w:lineRule="auto"/>
        <w:rPr>
          <w:rFonts w:ascii="Book Antiqua" w:eastAsia="宋体" w:hAnsi="Book Antiqua"/>
          <w:sz w:val="24"/>
          <w:szCs w:val="24"/>
          <w:lang w:eastAsia="zh-CN"/>
        </w:rPr>
      </w:pPr>
    </w:p>
    <w:p w:rsidR="00083B35" w:rsidRPr="0032635B" w:rsidRDefault="00083B35" w:rsidP="00C92BD7">
      <w:pPr>
        <w:widowControl/>
        <w:spacing w:line="360" w:lineRule="auto"/>
        <w:rPr>
          <w:rFonts w:ascii="Book Antiqua" w:hAnsi="Book Antiqua"/>
          <w:b/>
          <w:i/>
          <w:sz w:val="24"/>
          <w:szCs w:val="24"/>
        </w:rPr>
      </w:pPr>
      <w:r w:rsidRPr="0032635B">
        <w:rPr>
          <w:rFonts w:ascii="Book Antiqua" w:hAnsi="Book Antiqua"/>
          <w:b/>
          <w:i/>
          <w:sz w:val="24"/>
          <w:szCs w:val="24"/>
        </w:rPr>
        <w:t>Study methods</w:t>
      </w:r>
    </w:p>
    <w:p w:rsidR="0051315D" w:rsidRPr="0032635B" w:rsidRDefault="006F58D8" w:rsidP="00C92BD7">
      <w:pPr>
        <w:widowControl/>
        <w:spacing w:line="360" w:lineRule="auto"/>
        <w:rPr>
          <w:rFonts w:ascii="Book Antiqua" w:eastAsia="宋体" w:hAnsi="Book Antiqua"/>
          <w:sz w:val="24"/>
          <w:szCs w:val="24"/>
          <w:lang w:eastAsia="zh-CN"/>
        </w:rPr>
      </w:pPr>
      <w:r w:rsidRPr="0032635B">
        <w:rPr>
          <w:rFonts w:ascii="Book Antiqua" w:hAnsi="Book Antiqua"/>
          <w:sz w:val="24"/>
          <w:szCs w:val="24"/>
        </w:rPr>
        <w:t xml:space="preserve">Eligible </w:t>
      </w:r>
      <w:r w:rsidR="00083B35" w:rsidRPr="0032635B">
        <w:rPr>
          <w:rFonts w:ascii="Book Antiqua" w:hAnsi="Book Antiqua"/>
          <w:sz w:val="24"/>
          <w:szCs w:val="24"/>
        </w:rPr>
        <w:t xml:space="preserve">patients were </w:t>
      </w:r>
      <w:r w:rsidRPr="0032635B">
        <w:rPr>
          <w:rFonts w:ascii="Book Antiqua" w:hAnsi="Book Antiqua"/>
          <w:sz w:val="24"/>
          <w:szCs w:val="24"/>
        </w:rPr>
        <w:t>randomized</w:t>
      </w:r>
      <w:r w:rsidR="00083B35" w:rsidRPr="0032635B">
        <w:rPr>
          <w:rFonts w:ascii="Book Antiqua" w:hAnsi="Book Antiqua"/>
          <w:sz w:val="24"/>
          <w:szCs w:val="24"/>
        </w:rPr>
        <w:t xml:space="preserve"> </w:t>
      </w:r>
      <w:r w:rsidRPr="0032635B">
        <w:rPr>
          <w:rFonts w:ascii="Book Antiqua" w:hAnsi="Book Antiqua"/>
          <w:sz w:val="24"/>
          <w:szCs w:val="24"/>
        </w:rPr>
        <w:t xml:space="preserve">in a 1:1 ration </w:t>
      </w:r>
      <w:r w:rsidR="00083B35" w:rsidRPr="0032635B">
        <w:rPr>
          <w:rFonts w:ascii="Book Antiqua" w:hAnsi="Book Antiqua"/>
          <w:sz w:val="24"/>
          <w:szCs w:val="24"/>
        </w:rPr>
        <w:t xml:space="preserve">to receive </w:t>
      </w:r>
      <w:proofErr w:type="spellStart"/>
      <w:r w:rsidR="00083B35" w:rsidRPr="0032635B">
        <w:rPr>
          <w:rFonts w:ascii="Book Antiqua" w:hAnsi="Book Antiqua"/>
          <w:sz w:val="24"/>
          <w:szCs w:val="24"/>
        </w:rPr>
        <w:t>lafutidine</w:t>
      </w:r>
      <w:proofErr w:type="spellEnd"/>
      <w:r w:rsidR="00083B35" w:rsidRPr="0032635B">
        <w:rPr>
          <w:rFonts w:ascii="Book Antiqua" w:hAnsi="Book Antiqua"/>
          <w:sz w:val="24"/>
          <w:szCs w:val="24"/>
        </w:rPr>
        <w:t xml:space="preserve"> (10 mg, twice daily) or </w:t>
      </w:r>
      <w:proofErr w:type="spellStart"/>
      <w:r w:rsidR="00083B35" w:rsidRPr="0032635B">
        <w:rPr>
          <w:rFonts w:ascii="Book Antiqua" w:hAnsi="Book Antiqua"/>
          <w:sz w:val="24"/>
          <w:szCs w:val="24"/>
        </w:rPr>
        <w:t>lansoprazole</w:t>
      </w:r>
      <w:proofErr w:type="spellEnd"/>
      <w:r w:rsidR="00083B35" w:rsidRPr="0032635B">
        <w:rPr>
          <w:rFonts w:ascii="Book Antiqua" w:hAnsi="Book Antiqua"/>
          <w:sz w:val="24"/>
          <w:szCs w:val="24"/>
        </w:rPr>
        <w:t xml:space="preserve"> (30</w:t>
      </w:r>
      <w:r w:rsidRPr="0032635B">
        <w:rPr>
          <w:rFonts w:ascii="Book Antiqua" w:hAnsi="Book Antiqua"/>
          <w:sz w:val="24"/>
          <w:szCs w:val="24"/>
        </w:rPr>
        <w:t xml:space="preserve"> </w:t>
      </w:r>
      <w:r w:rsidR="00083B35" w:rsidRPr="0032635B">
        <w:rPr>
          <w:rFonts w:ascii="Book Antiqua" w:hAnsi="Book Antiqua"/>
          <w:sz w:val="24"/>
          <w:szCs w:val="24"/>
        </w:rPr>
        <w:t xml:space="preserve">mg, once daily) for </w:t>
      </w:r>
      <w:r w:rsidRPr="0032635B">
        <w:rPr>
          <w:rFonts w:ascii="Book Antiqua" w:hAnsi="Book Antiqua"/>
          <w:sz w:val="24"/>
          <w:szCs w:val="24"/>
        </w:rPr>
        <w:t xml:space="preserve">an initial </w:t>
      </w:r>
      <w:r w:rsidR="00083B35" w:rsidRPr="0032635B">
        <w:rPr>
          <w:rFonts w:ascii="Book Antiqua" w:hAnsi="Book Antiqua"/>
          <w:sz w:val="24"/>
          <w:szCs w:val="24"/>
        </w:rPr>
        <w:t>8 weeks</w:t>
      </w:r>
      <w:r w:rsidR="00002933" w:rsidRPr="0032635B">
        <w:rPr>
          <w:rFonts w:ascii="Book Antiqua" w:hAnsi="Book Antiqua"/>
          <w:sz w:val="24"/>
          <w:szCs w:val="24"/>
        </w:rPr>
        <w:t xml:space="preserve"> according to assignment lists generated </w:t>
      </w:r>
      <w:r w:rsidRPr="0032635B">
        <w:rPr>
          <w:rFonts w:ascii="Book Antiqua" w:hAnsi="Book Antiqua"/>
          <w:sz w:val="24"/>
          <w:szCs w:val="24"/>
        </w:rPr>
        <w:t>by</w:t>
      </w:r>
      <w:r w:rsidR="00002933" w:rsidRPr="0032635B">
        <w:rPr>
          <w:rFonts w:ascii="Book Antiqua" w:hAnsi="Book Antiqua"/>
          <w:sz w:val="24"/>
          <w:szCs w:val="24"/>
        </w:rPr>
        <w:t xml:space="preserve"> a permuted-block procedure</w:t>
      </w:r>
      <w:r w:rsidR="00083B35" w:rsidRPr="0032635B">
        <w:rPr>
          <w:rFonts w:ascii="Book Antiqua" w:hAnsi="Book Antiqua"/>
          <w:sz w:val="24"/>
          <w:szCs w:val="24"/>
        </w:rPr>
        <w:t xml:space="preserve">. </w:t>
      </w:r>
      <w:r w:rsidRPr="0032635B">
        <w:rPr>
          <w:rFonts w:ascii="Book Antiqua" w:hAnsi="Book Antiqua"/>
          <w:sz w:val="24"/>
          <w:szCs w:val="24"/>
        </w:rPr>
        <w:t>Patients</w:t>
      </w:r>
      <w:r w:rsidR="00083B35" w:rsidRPr="0032635B">
        <w:rPr>
          <w:rFonts w:ascii="Book Antiqua" w:hAnsi="Book Antiqua"/>
          <w:sz w:val="24"/>
          <w:szCs w:val="24"/>
        </w:rPr>
        <w:t xml:space="preserve"> were </w:t>
      </w:r>
      <w:r w:rsidRPr="0032635B">
        <w:rPr>
          <w:rFonts w:ascii="Book Antiqua" w:hAnsi="Book Antiqua"/>
          <w:sz w:val="24"/>
          <w:szCs w:val="24"/>
        </w:rPr>
        <w:t>question</w:t>
      </w:r>
      <w:r w:rsidR="00083B35" w:rsidRPr="0032635B">
        <w:rPr>
          <w:rFonts w:ascii="Book Antiqua" w:hAnsi="Book Antiqua"/>
          <w:sz w:val="24"/>
          <w:szCs w:val="24"/>
        </w:rPr>
        <w:t xml:space="preserve">ed </w:t>
      </w:r>
      <w:r w:rsidRPr="0032635B">
        <w:rPr>
          <w:rFonts w:ascii="Book Antiqua" w:hAnsi="Book Antiqua"/>
          <w:sz w:val="24"/>
          <w:szCs w:val="24"/>
        </w:rPr>
        <w:t>on the frequency of heartburn during</w:t>
      </w:r>
      <w:r w:rsidR="00083B35" w:rsidRPr="0032635B">
        <w:rPr>
          <w:rFonts w:ascii="Book Antiqua" w:hAnsi="Book Antiqua"/>
          <w:sz w:val="24"/>
          <w:szCs w:val="24"/>
        </w:rPr>
        <w:t xml:space="preserve"> </w:t>
      </w:r>
      <w:r w:rsidRPr="0032635B">
        <w:rPr>
          <w:rFonts w:ascii="Book Antiqua" w:hAnsi="Book Antiqua"/>
          <w:sz w:val="24"/>
          <w:szCs w:val="24"/>
        </w:rPr>
        <w:t>the</w:t>
      </w:r>
      <w:r w:rsidR="00083B35" w:rsidRPr="0032635B">
        <w:rPr>
          <w:rFonts w:ascii="Book Antiqua" w:hAnsi="Book Antiqua"/>
          <w:sz w:val="24"/>
          <w:szCs w:val="24"/>
        </w:rPr>
        <w:t xml:space="preserve"> week prior to initial treatment. After initial treatment</w:t>
      </w:r>
      <w:r w:rsidR="006A2594" w:rsidRPr="0032635B">
        <w:rPr>
          <w:rFonts w:ascii="Book Antiqua" w:hAnsi="Book Antiqua"/>
          <w:sz w:val="24"/>
          <w:szCs w:val="24"/>
        </w:rPr>
        <w:t>,</w:t>
      </w:r>
      <w:r w:rsidR="00083B35" w:rsidRPr="0032635B">
        <w:rPr>
          <w:rFonts w:ascii="Book Antiqua" w:hAnsi="Book Antiqua"/>
          <w:sz w:val="24"/>
          <w:szCs w:val="24"/>
        </w:rPr>
        <w:t xml:space="preserve"> the frequency of heartburn </w:t>
      </w:r>
      <w:r w:rsidR="006A2594" w:rsidRPr="0032635B">
        <w:rPr>
          <w:rFonts w:ascii="Book Antiqua" w:hAnsi="Book Antiqua"/>
          <w:sz w:val="24"/>
          <w:szCs w:val="24"/>
        </w:rPr>
        <w:t xml:space="preserve">was recorded </w:t>
      </w:r>
      <w:r w:rsidR="00083B35" w:rsidRPr="0032635B">
        <w:rPr>
          <w:rFonts w:ascii="Book Antiqua" w:hAnsi="Book Antiqua"/>
          <w:sz w:val="24"/>
          <w:szCs w:val="24"/>
        </w:rPr>
        <w:t xml:space="preserve">daily for 2 weeks. </w:t>
      </w:r>
      <w:r w:rsidR="005C0192" w:rsidRPr="0032635B">
        <w:rPr>
          <w:rFonts w:ascii="Book Antiqua" w:hAnsi="Book Antiqua"/>
          <w:sz w:val="24"/>
          <w:szCs w:val="24"/>
        </w:rPr>
        <w:t xml:space="preserve">The number of episodes and the severity of heartburn were also assessed using </w:t>
      </w:r>
      <w:r w:rsidR="006A2594" w:rsidRPr="0032635B">
        <w:rPr>
          <w:rFonts w:ascii="Book Antiqua" w:hAnsi="Book Antiqua"/>
          <w:sz w:val="24"/>
          <w:szCs w:val="24"/>
        </w:rPr>
        <w:t xml:space="preserve">the </w:t>
      </w:r>
      <w:r w:rsidR="005C0192" w:rsidRPr="0032635B">
        <w:rPr>
          <w:rFonts w:ascii="Book Antiqua" w:hAnsi="Book Antiqua"/>
          <w:sz w:val="24"/>
          <w:szCs w:val="24"/>
        </w:rPr>
        <w:t xml:space="preserve">visual analog scale </w:t>
      </w:r>
      <w:r w:rsidR="00DB0F2D" w:rsidRPr="0032635B">
        <w:rPr>
          <w:rFonts w:ascii="Book Antiqua" w:hAnsi="Book Antiqua"/>
          <w:sz w:val="24"/>
          <w:szCs w:val="24"/>
        </w:rPr>
        <w:t xml:space="preserve">(VAS) </w:t>
      </w:r>
      <w:r w:rsidR="005C0192" w:rsidRPr="0032635B">
        <w:rPr>
          <w:rFonts w:ascii="Book Antiqua" w:hAnsi="Book Antiqua"/>
          <w:sz w:val="24"/>
          <w:szCs w:val="24"/>
        </w:rPr>
        <w:t xml:space="preserve">and GSRS until 24 </w:t>
      </w:r>
      <w:proofErr w:type="spellStart"/>
      <w:r w:rsidR="00473E0F" w:rsidRPr="0032635B">
        <w:rPr>
          <w:rFonts w:ascii="Book Antiqua" w:eastAsia="宋体" w:hAnsi="Book Antiqua"/>
          <w:sz w:val="24"/>
          <w:szCs w:val="24"/>
          <w:lang w:eastAsia="zh-CN"/>
        </w:rPr>
        <w:t>wk</w:t>
      </w:r>
      <w:proofErr w:type="spellEnd"/>
      <w:r w:rsidR="005C0192" w:rsidRPr="0032635B">
        <w:rPr>
          <w:rFonts w:ascii="Book Antiqua" w:hAnsi="Book Antiqua"/>
          <w:sz w:val="24"/>
          <w:szCs w:val="24"/>
        </w:rPr>
        <w:t xml:space="preserve"> after the initial treatment</w:t>
      </w:r>
      <w:r w:rsidR="006A2594" w:rsidRPr="0032635B">
        <w:rPr>
          <w:rFonts w:ascii="Book Antiqua" w:hAnsi="Book Antiqua"/>
          <w:sz w:val="24"/>
          <w:szCs w:val="24"/>
        </w:rPr>
        <w:t>-period</w:t>
      </w:r>
      <w:r w:rsidR="005C0192" w:rsidRPr="0032635B">
        <w:rPr>
          <w:rFonts w:ascii="Book Antiqua" w:hAnsi="Book Antiqua"/>
          <w:sz w:val="24"/>
          <w:szCs w:val="24"/>
        </w:rPr>
        <w:t xml:space="preserve">. </w:t>
      </w:r>
      <w:r w:rsidR="00083B35" w:rsidRPr="0032635B">
        <w:rPr>
          <w:rFonts w:ascii="Book Antiqua" w:hAnsi="Book Antiqua"/>
          <w:sz w:val="24"/>
          <w:szCs w:val="24"/>
        </w:rPr>
        <w:t xml:space="preserve">During initial treatment, </w:t>
      </w:r>
      <w:r w:rsidR="006A2594" w:rsidRPr="0032635B">
        <w:rPr>
          <w:rFonts w:ascii="Book Antiqua" w:hAnsi="Book Antiqua"/>
          <w:sz w:val="24"/>
          <w:szCs w:val="24"/>
        </w:rPr>
        <w:t>concomitant administration of the following drugs was not permitted</w:t>
      </w:r>
      <w:r w:rsidR="00083B35" w:rsidRPr="0032635B">
        <w:rPr>
          <w:rFonts w:ascii="Book Antiqua" w:hAnsi="Book Antiqua"/>
          <w:sz w:val="24"/>
          <w:szCs w:val="24"/>
        </w:rPr>
        <w:t xml:space="preserve">: (1) PPI; (2) H2RA; (3) prostaglandins; (4) mucosal protection drugs; (5) antacids; and (6) drugs </w:t>
      </w:r>
      <w:r w:rsidR="006A2594" w:rsidRPr="0032635B">
        <w:rPr>
          <w:rFonts w:ascii="Book Antiqua" w:hAnsi="Book Antiqua"/>
          <w:sz w:val="24"/>
          <w:szCs w:val="24"/>
        </w:rPr>
        <w:t xml:space="preserve">that may affect </w:t>
      </w:r>
      <w:r w:rsidR="00083B35" w:rsidRPr="0032635B">
        <w:rPr>
          <w:rFonts w:ascii="Book Antiqua" w:hAnsi="Book Antiqua"/>
          <w:sz w:val="24"/>
          <w:szCs w:val="24"/>
        </w:rPr>
        <w:t xml:space="preserve">upper gastrointestinal symptoms. </w:t>
      </w:r>
      <w:r w:rsidR="006A2594" w:rsidRPr="0032635B">
        <w:rPr>
          <w:rFonts w:ascii="Book Antiqua" w:hAnsi="Book Antiqua"/>
          <w:sz w:val="24"/>
          <w:szCs w:val="24"/>
        </w:rPr>
        <w:t>Unless symptoms became worse, t</w:t>
      </w:r>
      <w:r w:rsidR="00083B35" w:rsidRPr="0032635B">
        <w:rPr>
          <w:rFonts w:ascii="Book Antiqua" w:hAnsi="Book Antiqua"/>
          <w:sz w:val="24"/>
          <w:szCs w:val="24"/>
        </w:rPr>
        <w:t xml:space="preserve">he allocated drug was administrated </w:t>
      </w:r>
      <w:r w:rsidR="006A2594" w:rsidRPr="0032635B">
        <w:rPr>
          <w:rFonts w:ascii="Book Antiqua" w:hAnsi="Book Antiqua"/>
          <w:sz w:val="24"/>
          <w:szCs w:val="24"/>
        </w:rPr>
        <w:t xml:space="preserve">as initial treatment </w:t>
      </w:r>
      <w:r w:rsidR="00083B35" w:rsidRPr="0032635B">
        <w:rPr>
          <w:rFonts w:ascii="Book Antiqua" w:hAnsi="Book Antiqua"/>
          <w:sz w:val="24"/>
          <w:szCs w:val="24"/>
        </w:rPr>
        <w:t xml:space="preserve">for 8 </w:t>
      </w:r>
      <w:proofErr w:type="spellStart"/>
      <w:r w:rsidR="004B4C0A">
        <w:rPr>
          <w:rFonts w:ascii="Book Antiqua" w:eastAsia="宋体" w:hAnsi="Book Antiqua" w:hint="eastAsia"/>
          <w:sz w:val="24"/>
          <w:szCs w:val="24"/>
          <w:lang w:eastAsia="zh-CN"/>
        </w:rPr>
        <w:t>wk</w:t>
      </w:r>
      <w:proofErr w:type="spellEnd"/>
      <w:r w:rsidR="00083B35" w:rsidRPr="0032635B">
        <w:rPr>
          <w:rFonts w:ascii="Book Antiqua" w:hAnsi="Book Antiqua"/>
          <w:sz w:val="24"/>
          <w:szCs w:val="24"/>
        </w:rPr>
        <w:t xml:space="preserve">, </w:t>
      </w:r>
      <w:r w:rsidR="006A2594" w:rsidRPr="0032635B">
        <w:rPr>
          <w:rFonts w:ascii="Book Antiqua" w:hAnsi="Book Antiqua"/>
          <w:sz w:val="24"/>
          <w:szCs w:val="24"/>
        </w:rPr>
        <w:t xml:space="preserve">followed by </w:t>
      </w:r>
      <w:r w:rsidR="00083B35" w:rsidRPr="0032635B">
        <w:rPr>
          <w:rFonts w:ascii="Book Antiqua" w:hAnsi="Book Antiqua"/>
          <w:sz w:val="24"/>
          <w:szCs w:val="24"/>
        </w:rPr>
        <w:t xml:space="preserve">maintenance treatment for 24 </w:t>
      </w:r>
      <w:r w:rsidR="00473E0F" w:rsidRPr="0032635B">
        <w:rPr>
          <w:rFonts w:ascii="Book Antiqua" w:eastAsia="宋体" w:hAnsi="Book Antiqua"/>
          <w:sz w:val="24"/>
          <w:szCs w:val="24"/>
          <w:lang w:eastAsia="zh-CN"/>
        </w:rPr>
        <w:t>wk</w:t>
      </w:r>
      <w:r w:rsidR="00083B35" w:rsidRPr="0032635B">
        <w:rPr>
          <w:rFonts w:ascii="Book Antiqua" w:hAnsi="Book Antiqua"/>
          <w:sz w:val="24"/>
          <w:szCs w:val="24"/>
        </w:rPr>
        <w:t xml:space="preserve">. In the </w:t>
      </w:r>
      <w:proofErr w:type="spellStart"/>
      <w:r w:rsidR="00083B35" w:rsidRPr="0032635B">
        <w:rPr>
          <w:rFonts w:ascii="Book Antiqua" w:hAnsi="Book Antiqua"/>
          <w:sz w:val="24"/>
          <w:szCs w:val="24"/>
        </w:rPr>
        <w:t>lafutidine</w:t>
      </w:r>
      <w:proofErr w:type="spellEnd"/>
      <w:r w:rsidR="00083B35" w:rsidRPr="0032635B">
        <w:rPr>
          <w:rFonts w:ascii="Book Antiqua" w:hAnsi="Book Antiqua"/>
          <w:sz w:val="24"/>
          <w:szCs w:val="24"/>
        </w:rPr>
        <w:t xml:space="preserve"> group, a half dose was selected</w:t>
      </w:r>
      <w:r w:rsidR="006A2594" w:rsidRPr="0032635B">
        <w:rPr>
          <w:rFonts w:ascii="Book Antiqua" w:hAnsi="Book Antiqua"/>
          <w:sz w:val="24"/>
          <w:szCs w:val="24"/>
        </w:rPr>
        <w:t xml:space="preserve"> for</w:t>
      </w:r>
      <w:r w:rsidR="00083B35" w:rsidRPr="0032635B">
        <w:rPr>
          <w:rFonts w:ascii="Book Antiqua" w:hAnsi="Book Antiqua"/>
          <w:sz w:val="24"/>
          <w:szCs w:val="24"/>
        </w:rPr>
        <w:t xml:space="preserve"> maintenance treatment </w:t>
      </w:r>
      <w:r w:rsidR="006A2594" w:rsidRPr="0032635B">
        <w:rPr>
          <w:rFonts w:ascii="Book Antiqua" w:hAnsi="Book Antiqua"/>
          <w:sz w:val="24"/>
          <w:szCs w:val="24"/>
        </w:rPr>
        <w:t>if</w:t>
      </w:r>
      <w:r w:rsidR="00083B35" w:rsidRPr="0032635B">
        <w:rPr>
          <w:rFonts w:ascii="Book Antiqua" w:hAnsi="Book Antiqua"/>
          <w:sz w:val="24"/>
          <w:szCs w:val="24"/>
        </w:rPr>
        <w:t xml:space="preserve"> symptom</w:t>
      </w:r>
      <w:r w:rsidR="006A2594" w:rsidRPr="0032635B">
        <w:rPr>
          <w:rFonts w:ascii="Book Antiqua" w:hAnsi="Book Antiqua"/>
          <w:sz w:val="24"/>
          <w:szCs w:val="24"/>
        </w:rPr>
        <w:t>s</w:t>
      </w:r>
      <w:r w:rsidR="00083B35" w:rsidRPr="0032635B">
        <w:rPr>
          <w:rFonts w:ascii="Book Antiqua" w:hAnsi="Book Antiqua"/>
          <w:sz w:val="24"/>
          <w:szCs w:val="24"/>
        </w:rPr>
        <w:t xml:space="preserve"> </w:t>
      </w:r>
      <w:r w:rsidR="006A2594" w:rsidRPr="0032635B">
        <w:rPr>
          <w:rFonts w:ascii="Book Antiqua" w:hAnsi="Book Antiqua"/>
          <w:sz w:val="24"/>
          <w:szCs w:val="24"/>
        </w:rPr>
        <w:t>had</w:t>
      </w:r>
      <w:r w:rsidR="001F735D" w:rsidRPr="0032635B">
        <w:rPr>
          <w:rFonts w:ascii="Book Antiqua" w:hAnsi="Book Antiqua"/>
          <w:sz w:val="24"/>
          <w:szCs w:val="24"/>
        </w:rPr>
        <w:t xml:space="preserve"> improved</w:t>
      </w:r>
      <w:r w:rsidR="006A2594" w:rsidRPr="0032635B">
        <w:rPr>
          <w:rFonts w:ascii="Book Antiqua" w:hAnsi="Book Antiqua"/>
          <w:sz w:val="24"/>
          <w:szCs w:val="24"/>
        </w:rPr>
        <w:t xml:space="preserve"> or disappeared</w:t>
      </w:r>
      <w:r w:rsidR="001F735D" w:rsidRPr="0032635B">
        <w:rPr>
          <w:rFonts w:ascii="Book Antiqua" w:hAnsi="Book Antiqua"/>
          <w:sz w:val="24"/>
          <w:szCs w:val="24"/>
        </w:rPr>
        <w:t xml:space="preserve"> </w:t>
      </w:r>
      <w:r w:rsidR="006A2594" w:rsidRPr="0032635B">
        <w:rPr>
          <w:rFonts w:ascii="Book Antiqua" w:hAnsi="Book Antiqua"/>
          <w:sz w:val="24"/>
          <w:szCs w:val="24"/>
        </w:rPr>
        <w:t xml:space="preserve">at the first assessment, whereas the full dose was continued if symptoms had not improved. An asymptomatic state was defined as </w:t>
      </w:r>
      <w:r w:rsidR="00473E0F" w:rsidRPr="0032635B">
        <w:rPr>
          <w:rFonts w:ascii="Book Antiqua" w:hAnsi="Book Antiqua"/>
          <w:sz w:val="24"/>
          <w:szCs w:val="24"/>
        </w:rPr>
        <w:sym w:font="Symbol" w:char="F0A3"/>
      </w:r>
      <w:r w:rsidR="006A2594" w:rsidRPr="0032635B">
        <w:rPr>
          <w:rFonts w:ascii="Book Antiqua" w:hAnsi="Book Antiqua"/>
          <w:sz w:val="24"/>
          <w:szCs w:val="24"/>
        </w:rPr>
        <w:t xml:space="preserve"> 2 for both </w:t>
      </w:r>
      <w:r w:rsidR="00C05B8C" w:rsidRPr="0032635B">
        <w:rPr>
          <w:rFonts w:ascii="Book Antiqua" w:hAnsi="Book Antiqua"/>
          <w:sz w:val="24"/>
          <w:szCs w:val="24"/>
        </w:rPr>
        <w:t>questions 2 and 3 on the GSRS.</w:t>
      </w:r>
      <w:r w:rsidR="00FF6FC3" w:rsidRPr="0032635B">
        <w:rPr>
          <w:rFonts w:ascii="Book Antiqua" w:hAnsi="Book Antiqua"/>
          <w:sz w:val="24"/>
          <w:szCs w:val="24"/>
        </w:rPr>
        <w:t xml:space="preserve"> </w:t>
      </w:r>
      <w:r w:rsidR="00083B35" w:rsidRPr="0032635B">
        <w:rPr>
          <w:rFonts w:ascii="Book Antiqua" w:hAnsi="Book Antiqua"/>
          <w:sz w:val="24"/>
          <w:szCs w:val="24"/>
        </w:rPr>
        <w:t xml:space="preserve">In the </w:t>
      </w:r>
      <w:proofErr w:type="spellStart"/>
      <w:r w:rsidR="00083B35" w:rsidRPr="0032635B">
        <w:rPr>
          <w:rFonts w:ascii="Book Antiqua" w:hAnsi="Book Antiqua"/>
          <w:sz w:val="24"/>
          <w:szCs w:val="24"/>
        </w:rPr>
        <w:t>lansoprazole</w:t>
      </w:r>
      <w:proofErr w:type="spellEnd"/>
      <w:r w:rsidR="00083B35" w:rsidRPr="0032635B">
        <w:rPr>
          <w:rFonts w:ascii="Book Antiqua" w:hAnsi="Book Antiqua"/>
          <w:sz w:val="24"/>
          <w:szCs w:val="24"/>
        </w:rPr>
        <w:t xml:space="preserve"> group, a half dose was administrated irrespective of symptom</w:t>
      </w:r>
      <w:r w:rsidR="00FF6FC3" w:rsidRPr="0032635B">
        <w:rPr>
          <w:rFonts w:ascii="Book Antiqua" w:hAnsi="Book Antiqua"/>
          <w:sz w:val="24"/>
          <w:szCs w:val="24"/>
        </w:rPr>
        <w:t>s</w:t>
      </w:r>
      <w:r w:rsidR="00083B35" w:rsidRPr="0032635B">
        <w:rPr>
          <w:rFonts w:ascii="Book Antiqua" w:hAnsi="Book Antiqua"/>
          <w:sz w:val="24"/>
          <w:szCs w:val="24"/>
        </w:rPr>
        <w:t xml:space="preserve">, </w:t>
      </w:r>
      <w:r w:rsidR="00FF6FC3" w:rsidRPr="0032635B">
        <w:rPr>
          <w:rFonts w:ascii="Book Antiqua" w:hAnsi="Book Antiqua"/>
          <w:sz w:val="24"/>
          <w:szCs w:val="24"/>
        </w:rPr>
        <w:t>but</w:t>
      </w:r>
      <w:r w:rsidR="00083B35" w:rsidRPr="0032635B">
        <w:rPr>
          <w:rFonts w:ascii="Book Antiqua" w:hAnsi="Book Antiqua"/>
          <w:sz w:val="24"/>
          <w:szCs w:val="24"/>
        </w:rPr>
        <w:t xml:space="preserve"> </w:t>
      </w:r>
      <w:r w:rsidR="00FF6FC3" w:rsidRPr="0032635B">
        <w:rPr>
          <w:rFonts w:ascii="Book Antiqua" w:hAnsi="Book Antiqua"/>
          <w:sz w:val="24"/>
          <w:szCs w:val="24"/>
        </w:rPr>
        <w:t xml:space="preserve">was </w:t>
      </w:r>
      <w:r w:rsidR="00083B35" w:rsidRPr="0032635B">
        <w:rPr>
          <w:rFonts w:ascii="Book Antiqua" w:hAnsi="Book Antiqua"/>
          <w:sz w:val="24"/>
          <w:szCs w:val="24"/>
        </w:rPr>
        <w:t xml:space="preserve">changed to </w:t>
      </w:r>
      <w:r w:rsidR="00FF6FC3" w:rsidRPr="0032635B">
        <w:rPr>
          <w:rFonts w:ascii="Book Antiqua" w:hAnsi="Book Antiqua"/>
          <w:sz w:val="24"/>
          <w:szCs w:val="24"/>
        </w:rPr>
        <w:t xml:space="preserve">the </w:t>
      </w:r>
      <w:r w:rsidR="00083B35" w:rsidRPr="0032635B">
        <w:rPr>
          <w:rFonts w:ascii="Book Antiqua" w:hAnsi="Book Antiqua"/>
          <w:sz w:val="24"/>
          <w:szCs w:val="24"/>
        </w:rPr>
        <w:t xml:space="preserve">full dose </w:t>
      </w:r>
      <w:r w:rsidR="00FF6FC3" w:rsidRPr="0032635B">
        <w:rPr>
          <w:rFonts w:ascii="Book Antiqua" w:hAnsi="Book Antiqua"/>
          <w:sz w:val="24"/>
          <w:szCs w:val="24"/>
        </w:rPr>
        <w:t>if</w:t>
      </w:r>
      <w:r w:rsidR="00083B35" w:rsidRPr="0032635B">
        <w:rPr>
          <w:rFonts w:ascii="Book Antiqua" w:hAnsi="Book Antiqua"/>
          <w:sz w:val="24"/>
          <w:szCs w:val="24"/>
        </w:rPr>
        <w:t xml:space="preserve"> symptom</w:t>
      </w:r>
      <w:r w:rsidR="00FF6FC3" w:rsidRPr="0032635B">
        <w:rPr>
          <w:rFonts w:ascii="Book Antiqua" w:hAnsi="Book Antiqua"/>
          <w:sz w:val="24"/>
          <w:szCs w:val="24"/>
        </w:rPr>
        <w:t>s</w:t>
      </w:r>
      <w:r w:rsidR="00083B35" w:rsidRPr="0032635B">
        <w:rPr>
          <w:rFonts w:ascii="Book Antiqua" w:hAnsi="Book Antiqua"/>
          <w:sz w:val="24"/>
          <w:szCs w:val="24"/>
        </w:rPr>
        <w:t xml:space="preserve"> worse</w:t>
      </w:r>
      <w:r w:rsidR="00FF6FC3" w:rsidRPr="0032635B">
        <w:rPr>
          <w:rFonts w:ascii="Book Antiqua" w:hAnsi="Book Antiqua"/>
          <w:sz w:val="24"/>
          <w:szCs w:val="24"/>
        </w:rPr>
        <w:t>ned. If</w:t>
      </w:r>
      <w:r w:rsidR="003B5BA2" w:rsidRPr="0032635B">
        <w:rPr>
          <w:rFonts w:ascii="Book Antiqua" w:hAnsi="Book Antiqua"/>
          <w:sz w:val="24"/>
          <w:szCs w:val="24"/>
        </w:rPr>
        <w:t xml:space="preserve"> symptom</w:t>
      </w:r>
      <w:r w:rsidR="00FF6FC3" w:rsidRPr="0032635B">
        <w:rPr>
          <w:rFonts w:ascii="Book Antiqua" w:hAnsi="Book Antiqua"/>
          <w:sz w:val="24"/>
          <w:szCs w:val="24"/>
        </w:rPr>
        <w:t>s</w:t>
      </w:r>
      <w:r w:rsidR="00FF61F8" w:rsidRPr="0032635B">
        <w:rPr>
          <w:rFonts w:ascii="Book Antiqua" w:hAnsi="Book Antiqua"/>
          <w:sz w:val="24"/>
          <w:szCs w:val="24"/>
        </w:rPr>
        <w:t xml:space="preserve"> </w:t>
      </w:r>
      <w:r w:rsidR="00FF6FC3" w:rsidRPr="0032635B">
        <w:rPr>
          <w:rFonts w:ascii="Book Antiqua" w:hAnsi="Book Antiqua"/>
          <w:sz w:val="24"/>
          <w:szCs w:val="24"/>
        </w:rPr>
        <w:t>had</w:t>
      </w:r>
      <w:r w:rsidR="00083B35" w:rsidRPr="0032635B">
        <w:rPr>
          <w:rFonts w:ascii="Book Antiqua" w:hAnsi="Book Antiqua"/>
          <w:sz w:val="24"/>
          <w:szCs w:val="24"/>
        </w:rPr>
        <w:t xml:space="preserve"> not improved at the </w:t>
      </w:r>
      <w:r w:rsidR="00FF6FC3" w:rsidRPr="0032635B">
        <w:rPr>
          <w:rFonts w:ascii="Book Antiqua" w:hAnsi="Book Antiqua"/>
          <w:sz w:val="24"/>
          <w:szCs w:val="24"/>
        </w:rPr>
        <w:t>first maintenance</w:t>
      </w:r>
      <w:r w:rsidR="00083B35" w:rsidRPr="0032635B">
        <w:rPr>
          <w:rFonts w:ascii="Book Antiqua" w:hAnsi="Book Antiqua"/>
          <w:sz w:val="24"/>
          <w:szCs w:val="24"/>
        </w:rPr>
        <w:t xml:space="preserve"> assessment, </w:t>
      </w:r>
      <w:r w:rsidR="00FF6FC3" w:rsidRPr="0032635B">
        <w:rPr>
          <w:rFonts w:ascii="Book Antiqua" w:hAnsi="Book Antiqua"/>
          <w:sz w:val="24"/>
          <w:szCs w:val="24"/>
        </w:rPr>
        <w:t xml:space="preserve">the attending physician was permitted to consider other treatment strategies. </w:t>
      </w:r>
      <w:r w:rsidR="0034354E" w:rsidRPr="0032635B">
        <w:rPr>
          <w:rFonts w:ascii="Book Antiqua" w:hAnsi="Book Antiqua"/>
          <w:sz w:val="24"/>
          <w:szCs w:val="24"/>
        </w:rPr>
        <w:lastRenderedPageBreak/>
        <w:t>P</w:t>
      </w:r>
      <w:r w:rsidR="00083B35" w:rsidRPr="0032635B">
        <w:rPr>
          <w:rFonts w:ascii="Book Antiqua" w:hAnsi="Book Antiqua"/>
          <w:sz w:val="24"/>
          <w:szCs w:val="24"/>
        </w:rPr>
        <w:t xml:space="preserve">atients </w:t>
      </w:r>
      <w:r w:rsidR="0034354E" w:rsidRPr="0032635B">
        <w:rPr>
          <w:rFonts w:ascii="Book Antiqua" w:hAnsi="Book Antiqua"/>
          <w:sz w:val="24"/>
          <w:szCs w:val="24"/>
        </w:rPr>
        <w:t xml:space="preserve">underwent symptomatic evaluation </w:t>
      </w:r>
      <w:r w:rsidR="00083B35" w:rsidRPr="0032635B">
        <w:rPr>
          <w:rFonts w:ascii="Book Antiqua" w:hAnsi="Book Antiqua"/>
          <w:sz w:val="24"/>
          <w:szCs w:val="24"/>
        </w:rPr>
        <w:t xml:space="preserve">every 8 </w:t>
      </w:r>
      <w:proofErr w:type="spellStart"/>
      <w:r w:rsidR="00473E0F" w:rsidRPr="0032635B">
        <w:rPr>
          <w:rFonts w:ascii="Book Antiqua" w:eastAsia="宋体" w:hAnsi="Book Antiqua"/>
          <w:sz w:val="24"/>
          <w:szCs w:val="24"/>
          <w:lang w:eastAsia="zh-CN"/>
        </w:rPr>
        <w:t>wk</w:t>
      </w:r>
      <w:proofErr w:type="spellEnd"/>
      <w:r w:rsidR="0034354E" w:rsidRPr="0032635B">
        <w:rPr>
          <w:rFonts w:ascii="Book Antiqua" w:hAnsi="Book Antiqua"/>
          <w:sz w:val="24"/>
          <w:szCs w:val="24"/>
        </w:rPr>
        <w:t xml:space="preserve"> for the duration of 32 </w:t>
      </w:r>
      <w:r w:rsidR="00473E0F" w:rsidRPr="0032635B">
        <w:rPr>
          <w:rFonts w:ascii="Book Antiqua" w:eastAsia="宋体" w:hAnsi="Book Antiqua"/>
          <w:sz w:val="24"/>
          <w:szCs w:val="24"/>
          <w:lang w:eastAsia="zh-CN"/>
        </w:rPr>
        <w:t>wk</w:t>
      </w:r>
      <w:r w:rsidR="0034354E" w:rsidRPr="0032635B">
        <w:rPr>
          <w:rFonts w:ascii="Book Antiqua" w:hAnsi="Book Antiqua"/>
          <w:sz w:val="24"/>
          <w:szCs w:val="24"/>
        </w:rPr>
        <w:t>.</w:t>
      </w:r>
      <w:r w:rsidR="00083B35" w:rsidRPr="0032635B">
        <w:rPr>
          <w:rFonts w:ascii="Book Antiqua" w:hAnsi="Book Antiqua"/>
          <w:sz w:val="24"/>
          <w:szCs w:val="24"/>
        </w:rPr>
        <w:t xml:space="preserve"> During the study, the number of episodes of heartburn was evaluated by reviewing patients’ diaries. In addition to endoscopy, physical examinations and laboratory tests were performed to confirm the eligibility and safety of the patients.</w:t>
      </w:r>
    </w:p>
    <w:p w:rsidR="00473E0F" w:rsidRPr="0032635B" w:rsidRDefault="00473E0F" w:rsidP="00C92BD7">
      <w:pPr>
        <w:widowControl/>
        <w:spacing w:line="360" w:lineRule="auto"/>
        <w:rPr>
          <w:rFonts w:ascii="Book Antiqua" w:eastAsia="宋体" w:hAnsi="Book Antiqua"/>
          <w:sz w:val="24"/>
          <w:szCs w:val="24"/>
          <w:lang w:eastAsia="zh-CN"/>
        </w:rPr>
      </w:pPr>
    </w:p>
    <w:p w:rsidR="005E04AC" w:rsidRPr="0032635B" w:rsidRDefault="008A3B1C" w:rsidP="00C92BD7">
      <w:pPr>
        <w:widowControl/>
        <w:spacing w:line="360" w:lineRule="auto"/>
        <w:rPr>
          <w:rFonts w:ascii="Book Antiqua" w:hAnsi="Book Antiqua"/>
          <w:b/>
          <w:i/>
          <w:sz w:val="24"/>
          <w:szCs w:val="24"/>
        </w:rPr>
      </w:pPr>
      <w:r w:rsidRPr="0032635B">
        <w:rPr>
          <w:rFonts w:ascii="Book Antiqua" w:hAnsi="Book Antiqua"/>
          <w:b/>
          <w:i/>
          <w:sz w:val="24"/>
          <w:szCs w:val="24"/>
        </w:rPr>
        <w:t>Evaluation of symptoms</w:t>
      </w:r>
    </w:p>
    <w:p w:rsidR="008A3B1C" w:rsidRPr="0032635B" w:rsidRDefault="0034354E" w:rsidP="00C92BD7">
      <w:pPr>
        <w:widowControl/>
        <w:spacing w:line="360" w:lineRule="auto"/>
        <w:rPr>
          <w:rFonts w:ascii="Book Antiqua" w:eastAsia="宋体" w:hAnsi="Book Antiqua"/>
          <w:sz w:val="24"/>
          <w:szCs w:val="24"/>
          <w:lang w:eastAsia="zh-CN"/>
        </w:rPr>
      </w:pPr>
      <w:r w:rsidRPr="0032635B">
        <w:rPr>
          <w:rFonts w:ascii="Book Antiqua" w:hAnsi="Book Antiqua"/>
          <w:sz w:val="24"/>
          <w:szCs w:val="24"/>
        </w:rPr>
        <w:t>P</w:t>
      </w:r>
      <w:r w:rsidR="008A3B1C" w:rsidRPr="0032635B">
        <w:rPr>
          <w:rFonts w:ascii="Book Antiqua" w:hAnsi="Book Antiqua"/>
          <w:sz w:val="24"/>
          <w:szCs w:val="24"/>
        </w:rPr>
        <w:t xml:space="preserve">atients’ diaries were used to assess the </w:t>
      </w:r>
      <w:r w:rsidRPr="0032635B">
        <w:rPr>
          <w:rFonts w:ascii="Book Antiqua" w:hAnsi="Book Antiqua"/>
          <w:sz w:val="24"/>
          <w:szCs w:val="24"/>
        </w:rPr>
        <w:t xml:space="preserve">frequency and </w:t>
      </w:r>
      <w:r w:rsidR="008A3B1C" w:rsidRPr="0032635B">
        <w:rPr>
          <w:rFonts w:ascii="Book Antiqua" w:hAnsi="Book Antiqua"/>
          <w:sz w:val="24"/>
          <w:szCs w:val="24"/>
        </w:rPr>
        <w:t xml:space="preserve">severity of heartburn. The severity of heartburn </w:t>
      </w:r>
      <w:r w:rsidR="00805AE4" w:rsidRPr="0032635B">
        <w:rPr>
          <w:rFonts w:ascii="Book Antiqua" w:hAnsi="Book Antiqua"/>
          <w:sz w:val="24"/>
          <w:szCs w:val="24"/>
        </w:rPr>
        <w:t xml:space="preserve">and </w:t>
      </w:r>
      <w:r w:rsidRPr="0032635B">
        <w:rPr>
          <w:rFonts w:ascii="Book Antiqua" w:hAnsi="Book Antiqua"/>
          <w:sz w:val="24"/>
          <w:szCs w:val="24"/>
        </w:rPr>
        <w:t xml:space="preserve">patient </w:t>
      </w:r>
      <w:r w:rsidR="00805AE4" w:rsidRPr="0032635B">
        <w:rPr>
          <w:rFonts w:ascii="Book Antiqua" w:hAnsi="Book Antiqua"/>
          <w:sz w:val="24"/>
          <w:szCs w:val="24"/>
        </w:rPr>
        <w:t>satisfaction</w:t>
      </w:r>
      <w:r w:rsidRPr="0032635B">
        <w:rPr>
          <w:rFonts w:ascii="Book Antiqua" w:hAnsi="Book Antiqua"/>
          <w:sz w:val="24"/>
          <w:szCs w:val="24"/>
        </w:rPr>
        <w:t xml:space="preserve"> were graded</w:t>
      </w:r>
      <w:r w:rsidR="00805AE4" w:rsidRPr="0032635B">
        <w:rPr>
          <w:rFonts w:ascii="Book Antiqua" w:hAnsi="Book Antiqua"/>
          <w:sz w:val="24"/>
          <w:szCs w:val="24"/>
        </w:rPr>
        <w:t xml:space="preserve"> </w:t>
      </w:r>
      <w:r w:rsidRPr="0032635B">
        <w:rPr>
          <w:rFonts w:ascii="Book Antiqua" w:hAnsi="Book Antiqua"/>
          <w:sz w:val="24"/>
          <w:szCs w:val="24"/>
        </w:rPr>
        <w:t xml:space="preserve">with </w:t>
      </w:r>
      <w:r w:rsidR="00DB0F2D" w:rsidRPr="0032635B">
        <w:rPr>
          <w:rFonts w:ascii="Book Antiqua" w:hAnsi="Book Antiqua"/>
          <w:sz w:val="24"/>
          <w:szCs w:val="24"/>
        </w:rPr>
        <w:t>VAS</w:t>
      </w:r>
      <w:r w:rsidRPr="0032635B">
        <w:rPr>
          <w:rFonts w:ascii="Book Antiqua" w:hAnsi="Book Antiqua"/>
          <w:sz w:val="24"/>
          <w:szCs w:val="24"/>
        </w:rPr>
        <w:t xml:space="preserve"> scores</w:t>
      </w:r>
      <w:r w:rsidR="008A3B1C" w:rsidRPr="0032635B">
        <w:rPr>
          <w:rFonts w:ascii="Book Antiqua" w:hAnsi="Book Antiqua"/>
          <w:sz w:val="24"/>
          <w:szCs w:val="24"/>
        </w:rPr>
        <w:t>.</w:t>
      </w:r>
    </w:p>
    <w:p w:rsidR="00473E0F" w:rsidRPr="0032635B" w:rsidRDefault="00473E0F" w:rsidP="00C92BD7">
      <w:pPr>
        <w:widowControl/>
        <w:spacing w:line="360" w:lineRule="auto"/>
        <w:rPr>
          <w:rFonts w:ascii="Book Antiqua" w:eastAsia="宋体" w:hAnsi="Book Antiqua"/>
          <w:sz w:val="24"/>
          <w:szCs w:val="24"/>
          <w:lang w:eastAsia="zh-CN"/>
        </w:rPr>
      </w:pPr>
    </w:p>
    <w:p w:rsidR="00A07783" w:rsidRPr="0032635B" w:rsidRDefault="00A07783" w:rsidP="00C92BD7">
      <w:pPr>
        <w:widowControl/>
        <w:spacing w:line="360" w:lineRule="auto"/>
        <w:rPr>
          <w:rFonts w:ascii="Book Antiqua" w:hAnsi="Book Antiqua"/>
          <w:b/>
          <w:i/>
          <w:sz w:val="24"/>
          <w:szCs w:val="24"/>
        </w:rPr>
      </w:pPr>
      <w:r w:rsidRPr="0032635B">
        <w:rPr>
          <w:rFonts w:ascii="Book Antiqua" w:hAnsi="Book Antiqua"/>
          <w:b/>
          <w:i/>
          <w:sz w:val="24"/>
          <w:szCs w:val="24"/>
        </w:rPr>
        <w:t>Endpoints</w:t>
      </w:r>
    </w:p>
    <w:p w:rsidR="00E53DC1" w:rsidRPr="0032635B" w:rsidRDefault="00BA3AC7" w:rsidP="00C92BD7">
      <w:pPr>
        <w:widowControl/>
        <w:spacing w:line="360" w:lineRule="auto"/>
        <w:rPr>
          <w:rFonts w:ascii="Book Antiqua" w:eastAsia="宋体" w:hAnsi="Book Antiqua"/>
          <w:sz w:val="24"/>
          <w:szCs w:val="24"/>
          <w:lang w:eastAsia="zh-CN"/>
        </w:rPr>
      </w:pPr>
      <w:r w:rsidRPr="0032635B">
        <w:rPr>
          <w:rFonts w:ascii="Book Antiqua" w:hAnsi="Book Antiqua"/>
          <w:sz w:val="24"/>
          <w:szCs w:val="24"/>
        </w:rPr>
        <w:t>The p</w:t>
      </w:r>
      <w:r w:rsidR="00E53DC1" w:rsidRPr="0032635B">
        <w:rPr>
          <w:rFonts w:ascii="Book Antiqua" w:hAnsi="Book Antiqua"/>
          <w:sz w:val="24"/>
          <w:szCs w:val="24"/>
        </w:rPr>
        <w:t xml:space="preserve">rimary endpoint was </w:t>
      </w:r>
      <w:r w:rsidR="000C56DC" w:rsidRPr="0032635B">
        <w:rPr>
          <w:rFonts w:ascii="Book Antiqua" w:hAnsi="Book Antiqua"/>
          <w:sz w:val="24"/>
          <w:szCs w:val="24"/>
        </w:rPr>
        <w:t xml:space="preserve">the frequency </w:t>
      </w:r>
      <w:r w:rsidR="0016098A" w:rsidRPr="0032635B">
        <w:rPr>
          <w:rFonts w:ascii="Book Antiqua" w:hAnsi="Book Antiqua"/>
          <w:sz w:val="24"/>
          <w:szCs w:val="24"/>
        </w:rPr>
        <w:t xml:space="preserve">and severity </w:t>
      </w:r>
      <w:r w:rsidR="000C56DC" w:rsidRPr="0032635B">
        <w:rPr>
          <w:rFonts w:ascii="Book Antiqua" w:hAnsi="Book Antiqua"/>
          <w:sz w:val="24"/>
          <w:szCs w:val="24"/>
        </w:rPr>
        <w:t xml:space="preserve">of heart burn. </w:t>
      </w:r>
      <w:r w:rsidRPr="0032635B">
        <w:rPr>
          <w:rFonts w:ascii="Book Antiqua" w:hAnsi="Book Antiqua"/>
          <w:sz w:val="24"/>
          <w:szCs w:val="24"/>
        </w:rPr>
        <w:t xml:space="preserve">The secondary endpoints were the </w:t>
      </w:r>
      <w:r w:rsidR="00BE4E21" w:rsidRPr="0032635B">
        <w:rPr>
          <w:rFonts w:ascii="Book Antiqua" w:hAnsi="Book Antiqua"/>
          <w:sz w:val="24"/>
          <w:szCs w:val="24"/>
        </w:rPr>
        <w:t>sum</w:t>
      </w:r>
      <w:r w:rsidR="004322EC" w:rsidRPr="0032635B">
        <w:rPr>
          <w:rFonts w:ascii="Book Antiqua" w:hAnsi="Book Antiqua"/>
          <w:sz w:val="24"/>
          <w:szCs w:val="24"/>
        </w:rPr>
        <w:t xml:space="preserve"> score of question</w:t>
      </w:r>
      <w:r w:rsidR="0034354E" w:rsidRPr="0032635B">
        <w:rPr>
          <w:rFonts w:ascii="Book Antiqua" w:hAnsi="Book Antiqua"/>
          <w:sz w:val="24"/>
          <w:szCs w:val="24"/>
        </w:rPr>
        <w:t>s</w:t>
      </w:r>
      <w:r w:rsidR="004322EC" w:rsidRPr="0032635B">
        <w:rPr>
          <w:rFonts w:ascii="Book Antiqua" w:hAnsi="Book Antiqua"/>
          <w:sz w:val="24"/>
          <w:szCs w:val="24"/>
        </w:rPr>
        <w:t xml:space="preserve"> 2 and 3 </w:t>
      </w:r>
      <w:r w:rsidR="0034354E" w:rsidRPr="0032635B">
        <w:rPr>
          <w:rFonts w:ascii="Book Antiqua" w:hAnsi="Book Antiqua"/>
          <w:sz w:val="24"/>
          <w:szCs w:val="24"/>
        </w:rPr>
        <w:t>of the</w:t>
      </w:r>
      <w:r w:rsidR="004322EC" w:rsidRPr="0032635B">
        <w:rPr>
          <w:rFonts w:ascii="Book Antiqua" w:hAnsi="Book Antiqua"/>
          <w:sz w:val="24"/>
          <w:szCs w:val="24"/>
        </w:rPr>
        <w:t xml:space="preserve"> GSRS</w:t>
      </w:r>
      <w:r w:rsidR="0034354E" w:rsidRPr="0032635B">
        <w:rPr>
          <w:rFonts w:ascii="Book Antiqua" w:hAnsi="Book Antiqua"/>
          <w:sz w:val="24"/>
          <w:szCs w:val="24"/>
        </w:rPr>
        <w:t>,</w:t>
      </w:r>
      <w:r w:rsidR="00724A14" w:rsidRPr="0032635B">
        <w:rPr>
          <w:rFonts w:ascii="Book Antiqua" w:hAnsi="Book Antiqua"/>
          <w:sz w:val="24"/>
          <w:szCs w:val="24"/>
        </w:rPr>
        <w:t xml:space="preserve"> </w:t>
      </w:r>
      <w:r w:rsidR="004322EC" w:rsidRPr="0032635B">
        <w:rPr>
          <w:rFonts w:ascii="Book Antiqua" w:hAnsi="Book Antiqua"/>
          <w:sz w:val="24"/>
          <w:szCs w:val="24"/>
        </w:rPr>
        <w:t>a</w:t>
      </w:r>
      <w:r w:rsidR="00C54A09" w:rsidRPr="0032635B">
        <w:rPr>
          <w:rFonts w:ascii="Book Antiqua" w:hAnsi="Book Antiqua"/>
          <w:sz w:val="24"/>
          <w:szCs w:val="24"/>
        </w:rPr>
        <w:t>n</w:t>
      </w:r>
      <w:r w:rsidR="00B82165" w:rsidRPr="0032635B">
        <w:rPr>
          <w:rFonts w:ascii="Book Antiqua" w:hAnsi="Book Antiqua"/>
          <w:sz w:val="24"/>
          <w:szCs w:val="24"/>
        </w:rPr>
        <w:t xml:space="preserve">d </w:t>
      </w:r>
      <w:r w:rsidR="000E7985" w:rsidRPr="0032635B">
        <w:rPr>
          <w:rFonts w:ascii="Book Antiqua" w:hAnsi="Book Antiqua"/>
          <w:sz w:val="24"/>
          <w:szCs w:val="24"/>
        </w:rPr>
        <w:t xml:space="preserve">the </w:t>
      </w:r>
      <w:r w:rsidR="0034354E" w:rsidRPr="0032635B">
        <w:rPr>
          <w:rFonts w:ascii="Book Antiqua" w:hAnsi="Book Antiqua"/>
          <w:sz w:val="24"/>
          <w:szCs w:val="24"/>
        </w:rPr>
        <w:t xml:space="preserve">patient </w:t>
      </w:r>
      <w:r w:rsidR="000E7985" w:rsidRPr="0032635B">
        <w:rPr>
          <w:rFonts w:ascii="Book Antiqua" w:hAnsi="Book Antiqua"/>
          <w:sz w:val="24"/>
          <w:szCs w:val="24"/>
        </w:rPr>
        <w:t>satisfaction score</w:t>
      </w:r>
      <w:r w:rsidR="0034354E" w:rsidRPr="0032635B">
        <w:rPr>
          <w:rFonts w:ascii="Book Antiqua" w:hAnsi="Book Antiqua"/>
          <w:sz w:val="24"/>
          <w:szCs w:val="24"/>
        </w:rPr>
        <w:t>,</w:t>
      </w:r>
      <w:r w:rsidR="000C56DC" w:rsidRPr="0032635B">
        <w:rPr>
          <w:rFonts w:ascii="Book Antiqua" w:hAnsi="Book Antiqua"/>
          <w:sz w:val="24"/>
          <w:szCs w:val="24"/>
        </w:rPr>
        <w:t xml:space="preserve"> during initial and maintenance treatment</w:t>
      </w:r>
      <w:r w:rsidR="000E7985" w:rsidRPr="0032635B">
        <w:rPr>
          <w:rFonts w:ascii="Book Antiqua" w:hAnsi="Book Antiqua"/>
          <w:sz w:val="24"/>
          <w:szCs w:val="24"/>
        </w:rPr>
        <w:t xml:space="preserve">. </w:t>
      </w:r>
    </w:p>
    <w:p w:rsidR="00473E0F" w:rsidRPr="0032635B" w:rsidRDefault="00473E0F" w:rsidP="00C92BD7">
      <w:pPr>
        <w:widowControl/>
        <w:spacing w:line="360" w:lineRule="auto"/>
        <w:rPr>
          <w:rFonts w:ascii="Book Antiqua" w:eastAsia="宋体" w:hAnsi="Book Antiqua"/>
          <w:sz w:val="24"/>
          <w:szCs w:val="24"/>
          <w:lang w:eastAsia="zh-CN"/>
        </w:rPr>
      </w:pPr>
    </w:p>
    <w:p w:rsidR="00901E0C" w:rsidRPr="0032635B" w:rsidRDefault="00A07783" w:rsidP="00C92BD7">
      <w:pPr>
        <w:widowControl/>
        <w:spacing w:line="360" w:lineRule="auto"/>
        <w:rPr>
          <w:rFonts w:ascii="Book Antiqua" w:hAnsi="Book Antiqua"/>
          <w:b/>
          <w:i/>
          <w:sz w:val="24"/>
          <w:szCs w:val="24"/>
        </w:rPr>
      </w:pPr>
      <w:r w:rsidRPr="0032635B">
        <w:rPr>
          <w:rFonts w:ascii="Book Antiqua" w:hAnsi="Book Antiqua"/>
          <w:b/>
          <w:i/>
          <w:sz w:val="24"/>
          <w:szCs w:val="24"/>
        </w:rPr>
        <w:t>Statistical analysis</w:t>
      </w:r>
    </w:p>
    <w:p w:rsidR="005E04AC" w:rsidRPr="0032635B" w:rsidRDefault="0034354E" w:rsidP="00C92BD7">
      <w:pPr>
        <w:widowControl/>
        <w:spacing w:line="360" w:lineRule="auto"/>
        <w:rPr>
          <w:rFonts w:ascii="Book Antiqua" w:hAnsi="Book Antiqua"/>
          <w:sz w:val="24"/>
          <w:szCs w:val="24"/>
        </w:rPr>
      </w:pPr>
      <w:r w:rsidRPr="0032635B">
        <w:rPr>
          <w:rFonts w:ascii="Book Antiqua" w:hAnsi="Book Antiqua"/>
          <w:sz w:val="24"/>
          <w:szCs w:val="24"/>
        </w:rPr>
        <w:t xml:space="preserve">Statistical </w:t>
      </w:r>
      <w:r w:rsidR="00901E0C" w:rsidRPr="0032635B">
        <w:rPr>
          <w:rFonts w:ascii="Book Antiqua" w:hAnsi="Book Antiqua"/>
          <w:sz w:val="24"/>
          <w:szCs w:val="24"/>
        </w:rPr>
        <w:t xml:space="preserve">differences between </w:t>
      </w:r>
      <w:r w:rsidR="00DB0F2D" w:rsidRPr="0032635B">
        <w:rPr>
          <w:rFonts w:ascii="Book Antiqua" w:hAnsi="Book Antiqua"/>
          <w:sz w:val="24"/>
          <w:szCs w:val="24"/>
        </w:rPr>
        <w:t xml:space="preserve">the two </w:t>
      </w:r>
      <w:r w:rsidR="00901E0C" w:rsidRPr="0032635B">
        <w:rPr>
          <w:rFonts w:ascii="Book Antiqua" w:hAnsi="Book Antiqua"/>
          <w:sz w:val="24"/>
          <w:szCs w:val="24"/>
        </w:rPr>
        <w:t>groups w</w:t>
      </w:r>
      <w:r w:rsidRPr="0032635B">
        <w:rPr>
          <w:rFonts w:ascii="Book Antiqua" w:hAnsi="Book Antiqua"/>
          <w:sz w:val="24"/>
          <w:szCs w:val="24"/>
        </w:rPr>
        <w:t>ere</w:t>
      </w:r>
      <w:r w:rsidR="00901E0C" w:rsidRPr="0032635B">
        <w:rPr>
          <w:rFonts w:ascii="Book Antiqua" w:hAnsi="Book Antiqua"/>
          <w:sz w:val="24"/>
          <w:szCs w:val="24"/>
        </w:rPr>
        <w:t xml:space="preserve"> determined </w:t>
      </w:r>
      <w:r w:rsidRPr="0032635B">
        <w:rPr>
          <w:rFonts w:ascii="Book Antiqua" w:hAnsi="Book Antiqua"/>
          <w:sz w:val="24"/>
          <w:szCs w:val="24"/>
        </w:rPr>
        <w:t>with the chi-squared test</w:t>
      </w:r>
      <w:r w:rsidR="00901E0C" w:rsidRPr="0032635B">
        <w:rPr>
          <w:rFonts w:ascii="Book Antiqua" w:hAnsi="Book Antiqua"/>
          <w:sz w:val="24"/>
          <w:szCs w:val="24"/>
        </w:rPr>
        <w:t xml:space="preserve"> or Fisher’s exact test for discontinuous </w:t>
      </w:r>
      <w:r w:rsidR="00533659" w:rsidRPr="0032635B">
        <w:rPr>
          <w:rFonts w:ascii="Book Antiqua" w:hAnsi="Book Antiqua"/>
          <w:sz w:val="24"/>
          <w:szCs w:val="24"/>
        </w:rPr>
        <w:t>variables</w:t>
      </w:r>
      <w:r w:rsidR="00901E0C" w:rsidRPr="0032635B">
        <w:rPr>
          <w:rFonts w:ascii="Book Antiqua" w:hAnsi="Book Antiqua"/>
          <w:sz w:val="24"/>
          <w:szCs w:val="24"/>
        </w:rPr>
        <w:t xml:space="preserve"> and </w:t>
      </w:r>
      <w:r w:rsidR="006A14C9" w:rsidRPr="0032635B">
        <w:rPr>
          <w:rFonts w:ascii="Book Antiqua" w:hAnsi="Book Antiqua"/>
          <w:sz w:val="24"/>
          <w:szCs w:val="24"/>
        </w:rPr>
        <w:t xml:space="preserve">the </w:t>
      </w:r>
      <w:r w:rsidR="00B74804" w:rsidRPr="0032635B">
        <w:rPr>
          <w:rFonts w:ascii="Book Antiqua" w:hAnsi="Book Antiqua"/>
          <w:sz w:val="24"/>
          <w:szCs w:val="24"/>
        </w:rPr>
        <w:t xml:space="preserve">Mann-Whitney </w:t>
      </w:r>
      <w:r w:rsidR="00B74804" w:rsidRPr="0032635B">
        <w:rPr>
          <w:rFonts w:ascii="Book Antiqua" w:hAnsi="Book Antiqua"/>
          <w:i/>
          <w:sz w:val="24"/>
          <w:szCs w:val="24"/>
        </w:rPr>
        <w:t>U</w:t>
      </w:r>
      <w:r w:rsidR="00B74804" w:rsidRPr="0032635B">
        <w:rPr>
          <w:rFonts w:ascii="Book Antiqua" w:hAnsi="Book Antiqua"/>
          <w:sz w:val="24"/>
          <w:szCs w:val="24"/>
        </w:rPr>
        <w:t xml:space="preserve"> test or </w:t>
      </w:r>
      <w:r w:rsidR="00901E0C" w:rsidRPr="0032635B">
        <w:rPr>
          <w:rFonts w:ascii="Book Antiqua" w:hAnsi="Book Antiqua"/>
          <w:sz w:val="24"/>
          <w:szCs w:val="24"/>
        </w:rPr>
        <w:t xml:space="preserve">Wilcoxon rank sum test for continuous variables. </w:t>
      </w:r>
      <w:r w:rsidR="006A14C9" w:rsidRPr="0032635B">
        <w:rPr>
          <w:rFonts w:ascii="Book Antiqua" w:hAnsi="Book Antiqua"/>
          <w:sz w:val="24"/>
          <w:szCs w:val="24"/>
        </w:rPr>
        <w:t>R</w:t>
      </w:r>
      <w:r w:rsidR="00C54A09" w:rsidRPr="0032635B">
        <w:rPr>
          <w:rFonts w:ascii="Book Antiqua" w:hAnsi="Book Antiqua"/>
          <w:sz w:val="24"/>
          <w:szCs w:val="24"/>
        </w:rPr>
        <w:t xml:space="preserve">epeated measures </w:t>
      </w:r>
      <w:r w:rsidR="006A14C9" w:rsidRPr="0032635B">
        <w:rPr>
          <w:rFonts w:ascii="Book Antiqua" w:hAnsi="Book Antiqua"/>
          <w:sz w:val="24"/>
          <w:szCs w:val="24"/>
        </w:rPr>
        <w:t>such as VAS and GSRS scores were analyzed by ANOVA</w:t>
      </w:r>
      <w:r w:rsidR="00C54A09" w:rsidRPr="0032635B">
        <w:rPr>
          <w:rFonts w:ascii="Book Antiqua" w:hAnsi="Book Antiqua"/>
          <w:sz w:val="24"/>
          <w:szCs w:val="24"/>
        </w:rPr>
        <w:t xml:space="preserve">. </w:t>
      </w:r>
      <w:r w:rsidR="006A14C9" w:rsidRPr="0032635B">
        <w:rPr>
          <w:rFonts w:ascii="Book Antiqua" w:hAnsi="Book Antiqua"/>
          <w:sz w:val="24"/>
          <w:szCs w:val="24"/>
        </w:rPr>
        <w:t>Statistical analyses were performed with t</w:t>
      </w:r>
      <w:r w:rsidR="00B74804" w:rsidRPr="0032635B">
        <w:rPr>
          <w:rFonts w:ascii="Book Antiqua" w:hAnsi="Book Antiqua"/>
          <w:sz w:val="24"/>
          <w:szCs w:val="24"/>
        </w:rPr>
        <w:t>he JMP (version 7) software package (SAS Institute, Cary,</w:t>
      </w:r>
      <w:r w:rsidR="006A14C9" w:rsidRPr="0032635B">
        <w:rPr>
          <w:rFonts w:ascii="Book Antiqua" w:hAnsi="Book Antiqua"/>
          <w:sz w:val="24"/>
          <w:szCs w:val="24"/>
        </w:rPr>
        <w:t xml:space="preserve"> North Carolina, United States). </w:t>
      </w:r>
      <w:r w:rsidR="00B74804" w:rsidRPr="0032635B">
        <w:rPr>
          <w:rFonts w:ascii="Book Antiqua" w:hAnsi="Book Antiqua"/>
          <w:i/>
          <w:sz w:val="24"/>
          <w:szCs w:val="24"/>
        </w:rPr>
        <w:t>P</w:t>
      </w:r>
      <w:r w:rsidR="00B74804" w:rsidRPr="0032635B">
        <w:rPr>
          <w:rFonts w:ascii="Book Antiqua" w:hAnsi="Book Antiqua"/>
          <w:sz w:val="24"/>
          <w:szCs w:val="24"/>
        </w:rPr>
        <w:t xml:space="preserve"> value</w:t>
      </w:r>
      <w:r w:rsidR="006A14C9" w:rsidRPr="0032635B">
        <w:rPr>
          <w:rFonts w:ascii="Book Antiqua" w:hAnsi="Book Antiqua"/>
          <w:sz w:val="24"/>
          <w:szCs w:val="24"/>
        </w:rPr>
        <w:t>s</w:t>
      </w:r>
      <w:r w:rsidR="00B74804" w:rsidRPr="0032635B">
        <w:rPr>
          <w:rFonts w:ascii="Book Antiqua" w:hAnsi="Book Antiqua"/>
          <w:sz w:val="24"/>
          <w:szCs w:val="24"/>
        </w:rPr>
        <w:t xml:space="preserve"> </w:t>
      </w:r>
      <w:r w:rsidR="00473E0F" w:rsidRPr="0032635B">
        <w:rPr>
          <w:rFonts w:ascii="Book Antiqua" w:hAnsi="Book Antiqua"/>
          <w:sz w:val="24"/>
          <w:szCs w:val="24"/>
        </w:rPr>
        <w:sym w:font="Symbol" w:char="F0A3"/>
      </w:r>
      <w:r w:rsidR="00B74804" w:rsidRPr="0032635B">
        <w:rPr>
          <w:rFonts w:ascii="Book Antiqua" w:hAnsi="Book Antiqua"/>
          <w:sz w:val="24"/>
          <w:szCs w:val="24"/>
        </w:rPr>
        <w:t xml:space="preserve"> 0.05 w</w:t>
      </w:r>
      <w:r w:rsidR="006A14C9" w:rsidRPr="0032635B">
        <w:rPr>
          <w:rFonts w:ascii="Book Antiqua" w:hAnsi="Book Antiqua"/>
          <w:sz w:val="24"/>
          <w:szCs w:val="24"/>
        </w:rPr>
        <w:t>ere</w:t>
      </w:r>
      <w:r w:rsidR="00B74804" w:rsidRPr="0032635B">
        <w:rPr>
          <w:rFonts w:ascii="Book Antiqua" w:hAnsi="Book Antiqua"/>
          <w:sz w:val="24"/>
          <w:szCs w:val="24"/>
        </w:rPr>
        <w:t xml:space="preserve"> considered </w:t>
      </w:r>
      <w:r w:rsidR="006A14C9" w:rsidRPr="0032635B">
        <w:rPr>
          <w:rFonts w:ascii="Book Antiqua" w:hAnsi="Book Antiqua"/>
          <w:sz w:val="24"/>
          <w:szCs w:val="24"/>
        </w:rPr>
        <w:t xml:space="preserve">to denote statistically </w:t>
      </w:r>
      <w:r w:rsidR="00B74804" w:rsidRPr="0032635B">
        <w:rPr>
          <w:rFonts w:ascii="Book Antiqua" w:hAnsi="Book Antiqua"/>
          <w:sz w:val="24"/>
          <w:szCs w:val="24"/>
        </w:rPr>
        <w:t>significant</w:t>
      </w:r>
      <w:r w:rsidR="006A14C9" w:rsidRPr="0032635B">
        <w:rPr>
          <w:rFonts w:ascii="Book Antiqua" w:hAnsi="Book Antiqua"/>
          <w:sz w:val="24"/>
          <w:szCs w:val="24"/>
        </w:rPr>
        <w:t xml:space="preserve"> differences between groups</w:t>
      </w:r>
      <w:r w:rsidR="00B74804" w:rsidRPr="0032635B">
        <w:rPr>
          <w:rFonts w:ascii="Book Antiqua" w:hAnsi="Book Antiqua"/>
          <w:sz w:val="24"/>
          <w:szCs w:val="24"/>
        </w:rPr>
        <w:t xml:space="preserve">. </w:t>
      </w:r>
      <w:r w:rsidR="00F755EB" w:rsidRPr="0032635B">
        <w:rPr>
          <w:rFonts w:ascii="Book Antiqua" w:hAnsi="Book Antiqua"/>
          <w:sz w:val="24"/>
          <w:szCs w:val="24"/>
        </w:rPr>
        <w:t xml:space="preserve">The </w:t>
      </w:r>
      <w:r w:rsidR="00F755EB" w:rsidRPr="0032635B">
        <w:rPr>
          <w:rFonts w:ascii="Book Antiqua" w:hAnsi="Book Antiqua"/>
          <w:sz w:val="24"/>
          <w:szCs w:val="24"/>
        </w:rPr>
        <w:lastRenderedPageBreak/>
        <w:t xml:space="preserve">statistical methods of this study were reviewed by </w:t>
      </w:r>
      <w:proofErr w:type="spellStart"/>
      <w:r w:rsidR="00F755EB" w:rsidRPr="0032635B">
        <w:rPr>
          <w:rFonts w:ascii="Book Antiqua" w:hAnsi="Book Antiqua"/>
          <w:sz w:val="24"/>
          <w:szCs w:val="24"/>
        </w:rPr>
        <w:t>Ryuta</w:t>
      </w:r>
      <w:proofErr w:type="spellEnd"/>
      <w:r w:rsidR="00F755EB" w:rsidRPr="0032635B">
        <w:rPr>
          <w:rFonts w:ascii="Book Antiqua" w:hAnsi="Book Antiqua"/>
          <w:sz w:val="24"/>
          <w:szCs w:val="24"/>
        </w:rPr>
        <w:t xml:space="preserve"> </w:t>
      </w:r>
      <w:proofErr w:type="spellStart"/>
      <w:r w:rsidR="00F755EB" w:rsidRPr="0032635B">
        <w:rPr>
          <w:rFonts w:ascii="Book Antiqua" w:hAnsi="Book Antiqua"/>
          <w:sz w:val="24"/>
          <w:szCs w:val="24"/>
        </w:rPr>
        <w:t>Takenaka</w:t>
      </w:r>
      <w:proofErr w:type="spellEnd"/>
      <w:r w:rsidR="00F755EB" w:rsidRPr="0032635B">
        <w:rPr>
          <w:rFonts w:ascii="Book Antiqua" w:hAnsi="Book Antiqua"/>
          <w:sz w:val="24"/>
          <w:szCs w:val="24"/>
        </w:rPr>
        <w:t xml:space="preserve"> from </w:t>
      </w:r>
      <w:proofErr w:type="spellStart"/>
      <w:r w:rsidR="00F755EB" w:rsidRPr="0032635B">
        <w:rPr>
          <w:rFonts w:ascii="Book Antiqua" w:hAnsi="Book Antiqua"/>
          <w:sz w:val="24"/>
          <w:szCs w:val="24"/>
        </w:rPr>
        <w:t>Tsuyama</w:t>
      </w:r>
      <w:proofErr w:type="spellEnd"/>
      <w:r w:rsidR="00F755EB" w:rsidRPr="0032635B">
        <w:rPr>
          <w:rFonts w:ascii="Book Antiqua" w:hAnsi="Book Antiqua"/>
          <w:sz w:val="24"/>
          <w:szCs w:val="24"/>
        </w:rPr>
        <w:t xml:space="preserve"> Chuo Hospital.</w:t>
      </w:r>
    </w:p>
    <w:p w:rsidR="00473E0F" w:rsidRPr="0032635B" w:rsidRDefault="00473E0F" w:rsidP="00C92BD7">
      <w:pPr>
        <w:widowControl/>
        <w:spacing w:line="360" w:lineRule="auto"/>
        <w:rPr>
          <w:rFonts w:ascii="Book Antiqua" w:eastAsia="宋体" w:hAnsi="Book Antiqua" w:cs="Times New Roman"/>
          <w:b/>
          <w:sz w:val="24"/>
          <w:szCs w:val="24"/>
          <w:lang w:eastAsia="zh-CN"/>
        </w:rPr>
      </w:pPr>
    </w:p>
    <w:p w:rsidR="0008542D" w:rsidRPr="0032635B" w:rsidRDefault="00473E0F" w:rsidP="00C92BD7">
      <w:pPr>
        <w:widowControl/>
        <w:spacing w:line="360" w:lineRule="auto"/>
        <w:rPr>
          <w:rFonts w:ascii="Book Antiqua" w:hAnsi="Book Antiqua" w:cs="Times New Roman"/>
          <w:b/>
          <w:sz w:val="24"/>
          <w:szCs w:val="24"/>
        </w:rPr>
      </w:pPr>
      <w:r w:rsidRPr="0032635B">
        <w:rPr>
          <w:rFonts w:ascii="Book Antiqua" w:hAnsi="Book Antiqua" w:cs="Times New Roman"/>
          <w:b/>
          <w:sz w:val="24"/>
          <w:szCs w:val="24"/>
        </w:rPr>
        <w:t>RESULTS</w:t>
      </w:r>
    </w:p>
    <w:p w:rsidR="0008542D" w:rsidRPr="0032635B" w:rsidRDefault="0008542D" w:rsidP="00C92BD7">
      <w:pPr>
        <w:widowControl/>
        <w:spacing w:line="360" w:lineRule="auto"/>
        <w:rPr>
          <w:rFonts w:ascii="Book Antiqua" w:hAnsi="Book Antiqua" w:cs="Times New Roman"/>
          <w:b/>
          <w:i/>
          <w:sz w:val="24"/>
          <w:szCs w:val="24"/>
        </w:rPr>
      </w:pPr>
      <w:r w:rsidRPr="0032635B">
        <w:rPr>
          <w:rFonts w:ascii="Book Antiqua" w:hAnsi="Book Antiqua" w:cs="Times New Roman"/>
          <w:b/>
          <w:i/>
          <w:sz w:val="24"/>
          <w:szCs w:val="24"/>
        </w:rPr>
        <w:t>Patients flow</w:t>
      </w:r>
    </w:p>
    <w:p w:rsidR="00585292" w:rsidRPr="0032635B" w:rsidRDefault="004B0A6B" w:rsidP="00C92BD7">
      <w:pPr>
        <w:widowControl/>
        <w:spacing w:line="360" w:lineRule="auto"/>
        <w:rPr>
          <w:rFonts w:ascii="Book Antiqua" w:hAnsi="Book Antiqua"/>
          <w:sz w:val="24"/>
          <w:szCs w:val="24"/>
        </w:rPr>
      </w:pPr>
      <w:r w:rsidRPr="0032635B">
        <w:rPr>
          <w:rFonts w:ascii="Book Antiqua" w:hAnsi="Book Antiqua"/>
          <w:sz w:val="24"/>
          <w:szCs w:val="24"/>
        </w:rPr>
        <w:t xml:space="preserve">Between April 2012 and March 2013, </w:t>
      </w:r>
      <w:r w:rsidR="00901538" w:rsidRPr="0032635B">
        <w:rPr>
          <w:rFonts w:ascii="Book Antiqua" w:hAnsi="Book Antiqua"/>
          <w:sz w:val="24"/>
          <w:szCs w:val="24"/>
        </w:rPr>
        <w:t xml:space="preserve">the study enrolled </w:t>
      </w:r>
      <w:r w:rsidRPr="0032635B">
        <w:rPr>
          <w:rFonts w:ascii="Book Antiqua" w:hAnsi="Book Antiqua"/>
          <w:sz w:val="24"/>
          <w:szCs w:val="24"/>
        </w:rPr>
        <w:t xml:space="preserve">53 patients </w:t>
      </w:r>
      <w:r w:rsidR="00901538" w:rsidRPr="0032635B">
        <w:rPr>
          <w:rFonts w:ascii="Book Antiqua" w:hAnsi="Book Antiqua"/>
          <w:sz w:val="24"/>
          <w:szCs w:val="24"/>
        </w:rPr>
        <w:t>with</w:t>
      </w:r>
      <w:r w:rsidRPr="0032635B">
        <w:rPr>
          <w:rFonts w:ascii="Book Antiqua" w:hAnsi="Book Antiqua"/>
          <w:sz w:val="24"/>
          <w:szCs w:val="24"/>
        </w:rPr>
        <w:t xml:space="preserve"> heartburn or regurgitation </w:t>
      </w:r>
      <w:r w:rsidR="00901538" w:rsidRPr="0032635B">
        <w:rPr>
          <w:rFonts w:ascii="Book Antiqua" w:hAnsi="Book Antiqua"/>
          <w:sz w:val="24"/>
          <w:szCs w:val="24"/>
        </w:rPr>
        <w:t xml:space="preserve">who underwent </w:t>
      </w:r>
      <w:r w:rsidRPr="0032635B">
        <w:rPr>
          <w:rFonts w:ascii="Book Antiqua" w:hAnsi="Book Antiqua"/>
          <w:sz w:val="24"/>
          <w:szCs w:val="24"/>
        </w:rPr>
        <w:t>upper gastrointestinal endoscopy</w:t>
      </w:r>
      <w:r w:rsidR="00901538" w:rsidRPr="0032635B">
        <w:rPr>
          <w:rFonts w:ascii="Book Antiqua" w:hAnsi="Book Antiqua"/>
          <w:sz w:val="24"/>
          <w:szCs w:val="24"/>
        </w:rPr>
        <w:t xml:space="preserve">. Among the 53 patients, </w:t>
      </w:r>
      <w:r w:rsidRPr="0032635B">
        <w:rPr>
          <w:rFonts w:ascii="Book Antiqua" w:hAnsi="Book Antiqua"/>
          <w:sz w:val="24"/>
          <w:szCs w:val="24"/>
        </w:rPr>
        <w:t xml:space="preserve">24 </w:t>
      </w:r>
      <w:r w:rsidR="00901538" w:rsidRPr="0032635B">
        <w:rPr>
          <w:rFonts w:ascii="Book Antiqua" w:hAnsi="Book Antiqua"/>
          <w:sz w:val="24"/>
          <w:szCs w:val="24"/>
        </w:rPr>
        <w:t xml:space="preserve">and 29 </w:t>
      </w:r>
      <w:r w:rsidRPr="0032635B">
        <w:rPr>
          <w:rFonts w:ascii="Book Antiqua" w:hAnsi="Book Antiqua"/>
          <w:sz w:val="24"/>
          <w:szCs w:val="24"/>
        </w:rPr>
        <w:t xml:space="preserve">were </w:t>
      </w:r>
      <w:r w:rsidR="00901538" w:rsidRPr="0032635B">
        <w:rPr>
          <w:rFonts w:ascii="Book Antiqua" w:hAnsi="Book Antiqua"/>
          <w:sz w:val="24"/>
          <w:szCs w:val="24"/>
        </w:rPr>
        <w:t xml:space="preserve">randomized </w:t>
      </w:r>
      <w:r w:rsidRPr="0032635B">
        <w:rPr>
          <w:rFonts w:ascii="Book Antiqua" w:hAnsi="Book Antiqua"/>
          <w:sz w:val="24"/>
          <w:szCs w:val="24"/>
        </w:rPr>
        <w:t xml:space="preserve">to the </w:t>
      </w:r>
      <w:proofErr w:type="spellStart"/>
      <w:r w:rsidRPr="0032635B">
        <w:rPr>
          <w:rFonts w:ascii="Book Antiqua" w:hAnsi="Book Antiqua"/>
          <w:sz w:val="24"/>
          <w:szCs w:val="24"/>
        </w:rPr>
        <w:t>lafutidine</w:t>
      </w:r>
      <w:proofErr w:type="spellEnd"/>
      <w:r w:rsidRPr="0032635B">
        <w:rPr>
          <w:rFonts w:ascii="Book Antiqua" w:hAnsi="Book Antiqua"/>
          <w:sz w:val="24"/>
          <w:szCs w:val="24"/>
        </w:rPr>
        <w:t xml:space="preserve"> and </w:t>
      </w:r>
      <w:proofErr w:type="spellStart"/>
      <w:r w:rsidRPr="0032635B">
        <w:rPr>
          <w:rFonts w:ascii="Book Antiqua" w:hAnsi="Book Antiqua"/>
          <w:sz w:val="24"/>
          <w:szCs w:val="24"/>
        </w:rPr>
        <w:t>lansoprazole</w:t>
      </w:r>
      <w:proofErr w:type="spellEnd"/>
      <w:r w:rsidRPr="0032635B">
        <w:rPr>
          <w:rFonts w:ascii="Book Antiqua" w:hAnsi="Book Antiqua"/>
          <w:sz w:val="24"/>
          <w:szCs w:val="24"/>
        </w:rPr>
        <w:t xml:space="preserve"> group</w:t>
      </w:r>
      <w:r w:rsidR="00901538" w:rsidRPr="0032635B">
        <w:rPr>
          <w:rFonts w:ascii="Book Antiqua" w:hAnsi="Book Antiqua"/>
          <w:sz w:val="24"/>
          <w:szCs w:val="24"/>
        </w:rPr>
        <w:t xml:space="preserve">, respectively. </w:t>
      </w:r>
      <w:r w:rsidRPr="0032635B">
        <w:rPr>
          <w:rFonts w:ascii="Book Antiqua" w:hAnsi="Book Antiqua"/>
          <w:sz w:val="24"/>
          <w:szCs w:val="24"/>
        </w:rPr>
        <w:t xml:space="preserve">There were </w:t>
      </w:r>
      <w:r w:rsidR="00845665" w:rsidRPr="0032635B">
        <w:rPr>
          <w:rFonts w:ascii="Book Antiqua" w:hAnsi="Book Antiqua"/>
          <w:sz w:val="24"/>
          <w:szCs w:val="24"/>
        </w:rPr>
        <w:t>no</w:t>
      </w:r>
      <w:r w:rsidRPr="0032635B">
        <w:rPr>
          <w:rFonts w:ascii="Book Antiqua" w:hAnsi="Book Antiqua"/>
          <w:sz w:val="24"/>
          <w:szCs w:val="24"/>
        </w:rPr>
        <w:t xml:space="preserve"> significant differences between the two groups in background characteristics</w:t>
      </w:r>
      <w:r w:rsidR="00BC2023" w:rsidRPr="0032635B">
        <w:rPr>
          <w:rFonts w:ascii="Book Antiqua" w:hAnsi="Book Antiqua"/>
          <w:sz w:val="24"/>
          <w:szCs w:val="24"/>
        </w:rPr>
        <w:t>,</w:t>
      </w:r>
      <w:r w:rsidRPr="0032635B">
        <w:rPr>
          <w:rFonts w:ascii="Book Antiqua" w:hAnsi="Book Antiqua"/>
          <w:sz w:val="24"/>
          <w:szCs w:val="24"/>
        </w:rPr>
        <w:t xml:space="preserve"> </w:t>
      </w:r>
      <w:r w:rsidR="00845665" w:rsidRPr="0032635B">
        <w:rPr>
          <w:rFonts w:ascii="Book Antiqua" w:hAnsi="Book Antiqua"/>
          <w:sz w:val="24"/>
          <w:szCs w:val="24"/>
        </w:rPr>
        <w:t xml:space="preserve">except for gender distribution </w:t>
      </w:r>
      <w:r w:rsidRPr="0032635B">
        <w:rPr>
          <w:rFonts w:ascii="Book Antiqua" w:hAnsi="Book Antiqua"/>
          <w:sz w:val="24"/>
          <w:szCs w:val="24"/>
        </w:rPr>
        <w:t>(Table 1).</w:t>
      </w:r>
      <w:r w:rsidR="00845665" w:rsidRPr="0032635B">
        <w:rPr>
          <w:rFonts w:ascii="Book Antiqua" w:hAnsi="Book Antiqua"/>
          <w:sz w:val="24"/>
          <w:szCs w:val="24"/>
        </w:rPr>
        <w:t xml:space="preserve"> </w:t>
      </w:r>
    </w:p>
    <w:p w:rsidR="0008542D" w:rsidRPr="0032635B" w:rsidRDefault="00BC2023" w:rsidP="00C92BD7">
      <w:pPr>
        <w:widowControl/>
        <w:spacing w:line="360" w:lineRule="auto"/>
        <w:ind w:firstLine="840"/>
        <w:rPr>
          <w:rFonts w:ascii="Book Antiqua" w:eastAsia="宋体" w:hAnsi="Book Antiqua"/>
          <w:sz w:val="24"/>
          <w:szCs w:val="24"/>
          <w:lang w:eastAsia="zh-CN"/>
        </w:rPr>
      </w:pPr>
      <w:r w:rsidRPr="0032635B">
        <w:rPr>
          <w:rFonts w:ascii="Book Antiqua" w:hAnsi="Book Antiqua"/>
          <w:sz w:val="24"/>
          <w:szCs w:val="24"/>
        </w:rPr>
        <w:t>During initial treatment</w:t>
      </w:r>
      <w:r w:rsidR="00585292" w:rsidRPr="0032635B">
        <w:rPr>
          <w:rFonts w:ascii="Book Antiqua" w:hAnsi="Book Antiqua"/>
          <w:sz w:val="24"/>
          <w:szCs w:val="24"/>
        </w:rPr>
        <w:t xml:space="preserve">, </w:t>
      </w:r>
      <w:r w:rsidR="00C6677E" w:rsidRPr="0032635B">
        <w:rPr>
          <w:rFonts w:ascii="Book Antiqua" w:hAnsi="Book Antiqua"/>
          <w:sz w:val="24"/>
          <w:szCs w:val="24"/>
        </w:rPr>
        <w:t>8</w:t>
      </w:r>
      <w:r w:rsidR="00585292" w:rsidRPr="0032635B">
        <w:rPr>
          <w:rFonts w:ascii="Book Antiqua" w:hAnsi="Book Antiqua"/>
          <w:sz w:val="24"/>
          <w:szCs w:val="24"/>
        </w:rPr>
        <w:t xml:space="preserve"> patients </w:t>
      </w:r>
      <w:r w:rsidR="003C7EC3" w:rsidRPr="0032635B">
        <w:rPr>
          <w:rFonts w:ascii="Book Antiqua" w:hAnsi="Book Antiqua"/>
          <w:sz w:val="24"/>
          <w:szCs w:val="24"/>
        </w:rPr>
        <w:t>discontinued the study</w:t>
      </w:r>
      <w:r w:rsidRPr="0032635B">
        <w:rPr>
          <w:rFonts w:ascii="Book Antiqua" w:hAnsi="Book Antiqua"/>
          <w:sz w:val="24"/>
          <w:szCs w:val="24"/>
        </w:rPr>
        <w:t xml:space="preserve">, with the most common reasons being </w:t>
      </w:r>
      <w:r w:rsidR="003C7EC3" w:rsidRPr="0032635B">
        <w:rPr>
          <w:rFonts w:ascii="Book Antiqua" w:hAnsi="Book Antiqua"/>
          <w:sz w:val="24"/>
          <w:szCs w:val="24"/>
        </w:rPr>
        <w:t>withdrawal of informed consent. Of the 4</w:t>
      </w:r>
      <w:r w:rsidR="00C6677E" w:rsidRPr="0032635B">
        <w:rPr>
          <w:rFonts w:ascii="Book Antiqua" w:hAnsi="Book Antiqua"/>
          <w:sz w:val="24"/>
          <w:szCs w:val="24"/>
        </w:rPr>
        <w:t>5</w:t>
      </w:r>
      <w:r w:rsidR="003C7EC3" w:rsidRPr="0032635B">
        <w:rPr>
          <w:rFonts w:ascii="Book Antiqua" w:hAnsi="Book Antiqua"/>
          <w:sz w:val="24"/>
          <w:szCs w:val="24"/>
        </w:rPr>
        <w:t xml:space="preserve"> patients assigned to receive </w:t>
      </w:r>
      <w:r w:rsidR="000E4DD5" w:rsidRPr="0032635B">
        <w:rPr>
          <w:rFonts w:ascii="Book Antiqua" w:hAnsi="Book Antiqua"/>
          <w:sz w:val="24"/>
          <w:szCs w:val="24"/>
        </w:rPr>
        <w:t xml:space="preserve">maintenance </w:t>
      </w:r>
      <w:r w:rsidR="003C7EC3" w:rsidRPr="0032635B">
        <w:rPr>
          <w:rFonts w:ascii="Book Antiqua" w:hAnsi="Book Antiqua"/>
          <w:sz w:val="24"/>
          <w:szCs w:val="24"/>
        </w:rPr>
        <w:t xml:space="preserve">treatment, </w:t>
      </w:r>
      <w:r w:rsidR="00452908" w:rsidRPr="0032635B">
        <w:rPr>
          <w:rFonts w:ascii="Book Antiqua" w:hAnsi="Book Antiqua"/>
          <w:sz w:val="24"/>
          <w:szCs w:val="24"/>
        </w:rPr>
        <w:t>2</w:t>
      </w:r>
      <w:r w:rsidR="00C6677E" w:rsidRPr="0032635B">
        <w:rPr>
          <w:rFonts w:ascii="Book Antiqua" w:hAnsi="Book Antiqua"/>
          <w:sz w:val="24"/>
          <w:szCs w:val="24"/>
        </w:rPr>
        <w:t>2</w:t>
      </w:r>
      <w:r w:rsidR="00D17F00" w:rsidRPr="0032635B">
        <w:rPr>
          <w:rFonts w:ascii="Book Antiqua" w:hAnsi="Book Antiqua"/>
          <w:sz w:val="24"/>
          <w:szCs w:val="24"/>
        </w:rPr>
        <w:t xml:space="preserve"> were excluded from </w:t>
      </w:r>
      <w:r w:rsidRPr="0032635B">
        <w:rPr>
          <w:rFonts w:ascii="Book Antiqua" w:hAnsi="Book Antiqua"/>
          <w:sz w:val="24"/>
          <w:szCs w:val="24"/>
        </w:rPr>
        <w:t xml:space="preserve">the </w:t>
      </w:r>
      <w:r w:rsidR="00D17F00" w:rsidRPr="0032635B">
        <w:rPr>
          <w:rFonts w:ascii="Book Antiqua" w:hAnsi="Book Antiqua"/>
          <w:sz w:val="24"/>
          <w:szCs w:val="24"/>
        </w:rPr>
        <w:t xml:space="preserve">final analysis, </w:t>
      </w:r>
      <w:r w:rsidRPr="0032635B">
        <w:rPr>
          <w:rFonts w:ascii="Book Antiqua" w:hAnsi="Book Antiqua"/>
          <w:sz w:val="24"/>
          <w:szCs w:val="24"/>
        </w:rPr>
        <w:t>primarily</w:t>
      </w:r>
      <w:r w:rsidR="00D17F00" w:rsidRPr="0032635B">
        <w:rPr>
          <w:rFonts w:ascii="Book Antiqua" w:hAnsi="Book Antiqua"/>
          <w:sz w:val="24"/>
          <w:szCs w:val="24"/>
        </w:rPr>
        <w:t xml:space="preserve"> because of missing to follow</w:t>
      </w:r>
      <w:r w:rsidR="00452908" w:rsidRPr="0032635B">
        <w:rPr>
          <w:rFonts w:ascii="Book Antiqua" w:hAnsi="Book Antiqua"/>
          <w:sz w:val="24"/>
          <w:szCs w:val="24"/>
        </w:rPr>
        <w:t>-</w:t>
      </w:r>
      <w:r w:rsidR="00D17F00" w:rsidRPr="0032635B">
        <w:rPr>
          <w:rFonts w:ascii="Book Antiqua" w:hAnsi="Book Antiqua"/>
          <w:sz w:val="24"/>
          <w:szCs w:val="24"/>
        </w:rPr>
        <w:t>up</w:t>
      </w:r>
      <w:r w:rsidR="00452908" w:rsidRPr="0032635B">
        <w:rPr>
          <w:rFonts w:ascii="Book Antiqua" w:hAnsi="Book Antiqua"/>
          <w:sz w:val="24"/>
          <w:szCs w:val="24"/>
        </w:rPr>
        <w:t xml:space="preserve"> (Figure 1)</w:t>
      </w:r>
      <w:r w:rsidR="003337D5" w:rsidRPr="0032635B">
        <w:rPr>
          <w:rFonts w:ascii="Book Antiqua" w:hAnsi="Book Antiqua"/>
          <w:sz w:val="24"/>
          <w:szCs w:val="24"/>
        </w:rPr>
        <w:t>.</w:t>
      </w:r>
      <w:r w:rsidR="00452908" w:rsidRPr="0032635B">
        <w:rPr>
          <w:rFonts w:ascii="Book Antiqua" w:hAnsi="Book Antiqua"/>
          <w:sz w:val="24"/>
          <w:szCs w:val="24"/>
        </w:rPr>
        <w:t xml:space="preserve"> </w:t>
      </w:r>
      <w:r w:rsidR="00D17F00" w:rsidRPr="0032635B">
        <w:rPr>
          <w:rFonts w:ascii="Book Antiqua" w:hAnsi="Book Antiqua"/>
          <w:sz w:val="24"/>
          <w:szCs w:val="24"/>
        </w:rPr>
        <w:t xml:space="preserve"> </w:t>
      </w:r>
      <w:r w:rsidR="003C7EC3" w:rsidRPr="0032635B">
        <w:rPr>
          <w:rFonts w:ascii="Book Antiqua" w:hAnsi="Book Antiqua"/>
          <w:sz w:val="24"/>
          <w:szCs w:val="24"/>
        </w:rPr>
        <w:t xml:space="preserve"> </w:t>
      </w:r>
    </w:p>
    <w:p w:rsidR="00473E0F" w:rsidRPr="0032635B" w:rsidRDefault="00473E0F" w:rsidP="00C92BD7">
      <w:pPr>
        <w:widowControl/>
        <w:spacing w:line="360" w:lineRule="auto"/>
        <w:ind w:firstLine="840"/>
        <w:rPr>
          <w:rFonts w:ascii="Book Antiqua" w:eastAsia="宋体" w:hAnsi="Book Antiqua" w:cs="Times New Roman"/>
          <w:sz w:val="24"/>
          <w:szCs w:val="24"/>
          <w:lang w:eastAsia="zh-CN"/>
        </w:rPr>
      </w:pPr>
    </w:p>
    <w:p w:rsidR="00AC279D" w:rsidRPr="0032635B" w:rsidRDefault="00AC279D" w:rsidP="00C92BD7">
      <w:pPr>
        <w:widowControl/>
        <w:spacing w:line="360" w:lineRule="auto"/>
        <w:rPr>
          <w:rFonts w:ascii="Book Antiqua" w:hAnsi="Book Antiqua"/>
          <w:b/>
          <w:i/>
          <w:sz w:val="24"/>
          <w:szCs w:val="24"/>
        </w:rPr>
      </w:pPr>
      <w:r w:rsidRPr="0032635B">
        <w:rPr>
          <w:rFonts w:ascii="Book Antiqua" w:hAnsi="Book Antiqua"/>
          <w:b/>
          <w:i/>
          <w:sz w:val="24"/>
          <w:szCs w:val="24"/>
        </w:rPr>
        <w:t>Clinical outcomes during treatment</w:t>
      </w:r>
    </w:p>
    <w:p w:rsidR="00114612" w:rsidRPr="0032635B" w:rsidRDefault="001A5849" w:rsidP="00C92BD7">
      <w:pPr>
        <w:widowControl/>
        <w:spacing w:line="360" w:lineRule="auto"/>
        <w:rPr>
          <w:rFonts w:ascii="Book Antiqua" w:eastAsia="宋体" w:hAnsi="Book Antiqua"/>
          <w:sz w:val="24"/>
          <w:szCs w:val="24"/>
          <w:lang w:eastAsia="zh-CN"/>
        </w:rPr>
      </w:pPr>
      <w:r w:rsidRPr="0032635B">
        <w:rPr>
          <w:rFonts w:ascii="Book Antiqua" w:hAnsi="Book Antiqua"/>
          <w:sz w:val="24"/>
          <w:szCs w:val="24"/>
        </w:rPr>
        <w:t xml:space="preserve">The frequency of heartburn </w:t>
      </w:r>
      <w:r w:rsidR="00BC2023" w:rsidRPr="0032635B">
        <w:rPr>
          <w:rFonts w:ascii="Book Antiqua" w:hAnsi="Book Antiqua"/>
          <w:sz w:val="24"/>
          <w:szCs w:val="24"/>
        </w:rPr>
        <w:t xml:space="preserve">according to the </w:t>
      </w:r>
      <w:r w:rsidRPr="0032635B">
        <w:rPr>
          <w:rFonts w:ascii="Book Antiqua" w:hAnsi="Book Antiqua"/>
          <w:sz w:val="24"/>
          <w:szCs w:val="24"/>
        </w:rPr>
        <w:t>patients</w:t>
      </w:r>
      <w:r w:rsidR="00837C07" w:rsidRPr="0032635B">
        <w:rPr>
          <w:rFonts w:ascii="Book Antiqua" w:hAnsi="Book Antiqua"/>
          <w:sz w:val="24"/>
          <w:szCs w:val="24"/>
        </w:rPr>
        <w:t>’</w:t>
      </w:r>
      <w:r w:rsidRPr="0032635B">
        <w:rPr>
          <w:rFonts w:ascii="Book Antiqua" w:hAnsi="Book Antiqua"/>
          <w:sz w:val="24"/>
          <w:szCs w:val="24"/>
        </w:rPr>
        <w:t xml:space="preserve"> questionnaire</w:t>
      </w:r>
      <w:r w:rsidR="00BC2023" w:rsidRPr="0032635B">
        <w:rPr>
          <w:rFonts w:ascii="Book Antiqua" w:hAnsi="Book Antiqua"/>
          <w:sz w:val="24"/>
          <w:szCs w:val="24"/>
        </w:rPr>
        <w:t>s</w:t>
      </w:r>
      <w:r w:rsidRPr="0032635B">
        <w:rPr>
          <w:rFonts w:ascii="Book Antiqua" w:hAnsi="Book Antiqua"/>
          <w:sz w:val="24"/>
          <w:szCs w:val="24"/>
        </w:rPr>
        <w:t xml:space="preserve"> was </w:t>
      </w:r>
      <w:r w:rsidR="00BC2023" w:rsidRPr="0032635B">
        <w:rPr>
          <w:rFonts w:ascii="Book Antiqua" w:hAnsi="Book Antiqua"/>
          <w:sz w:val="24"/>
          <w:szCs w:val="24"/>
        </w:rPr>
        <w:t>lower</w:t>
      </w:r>
      <w:r w:rsidRPr="0032635B">
        <w:rPr>
          <w:rFonts w:ascii="Book Antiqua" w:hAnsi="Book Antiqua"/>
          <w:sz w:val="24"/>
          <w:szCs w:val="24"/>
        </w:rPr>
        <w:t xml:space="preserve"> after initial treatment in </w:t>
      </w:r>
      <w:r w:rsidR="00BC2023" w:rsidRPr="0032635B">
        <w:rPr>
          <w:rFonts w:ascii="Book Antiqua" w:hAnsi="Book Antiqua"/>
          <w:sz w:val="24"/>
          <w:szCs w:val="24"/>
        </w:rPr>
        <w:t xml:space="preserve">both groups </w:t>
      </w:r>
      <w:r w:rsidRPr="0032635B">
        <w:rPr>
          <w:rFonts w:ascii="Book Antiqua" w:hAnsi="Book Antiqua"/>
          <w:sz w:val="24"/>
          <w:szCs w:val="24"/>
        </w:rPr>
        <w:t>(Figure 2)</w:t>
      </w:r>
      <w:r w:rsidR="0060362A" w:rsidRPr="0032635B">
        <w:rPr>
          <w:rFonts w:ascii="Book Antiqua" w:hAnsi="Book Antiqua"/>
          <w:sz w:val="24"/>
          <w:szCs w:val="24"/>
        </w:rPr>
        <w:t>. However, the</w:t>
      </w:r>
      <w:r w:rsidR="0060362A" w:rsidRPr="0032635B">
        <w:rPr>
          <w:rFonts w:ascii="Book Antiqua" w:hAnsi="Book Antiqua" w:cs="Times New Roman"/>
          <w:sz w:val="24"/>
          <w:szCs w:val="24"/>
        </w:rPr>
        <w:t xml:space="preserve"> change in heartburn frequency</w:t>
      </w:r>
      <w:r w:rsidR="0060362A" w:rsidRPr="0032635B">
        <w:rPr>
          <w:rFonts w:ascii="Book Antiqua" w:hAnsi="Book Antiqua"/>
          <w:sz w:val="24"/>
          <w:szCs w:val="24"/>
        </w:rPr>
        <w:t xml:space="preserve"> was </w:t>
      </w:r>
      <w:r w:rsidR="0016098A" w:rsidRPr="0032635B">
        <w:rPr>
          <w:rFonts w:ascii="Book Antiqua" w:hAnsi="Book Antiqua"/>
          <w:sz w:val="24"/>
          <w:szCs w:val="24"/>
        </w:rPr>
        <w:t>not statistically significant</w:t>
      </w:r>
      <w:r w:rsidR="00BC2023" w:rsidRPr="0032635B">
        <w:rPr>
          <w:rFonts w:ascii="Book Antiqua" w:hAnsi="Book Antiqua"/>
          <w:sz w:val="24"/>
          <w:szCs w:val="24"/>
        </w:rPr>
        <w:t>ly different in either group</w:t>
      </w:r>
      <w:r w:rsidR="0016098A" w:rsidRPr="0032635B">
        <w:rPr>
          <w:rFonts w:ascii="Book Antiqua" w:hAnsi="Book Antiqua"/>
          <w:sz w:val="24"/>
          <w:szCs w:val="24"/>
        </w:rPr>
        <w:t xml:space="preserve"> </w:t>
      </w:r>
      <w:r w:rsidR="0060362A" w:rsidRPr="0032635B">
        <w:rPr>
          <w:rFonts w:ascii="Book Antiqua" w:hAnsi="Book Antiqua"/>
          <w:sz w:val="24"/>
          <w:szCs w:val="24"/>
        </w:rPr>
        <w:t xml:space="preserve">(Figure 3). </w:t>
      </w:r>
      <w:r w:rsidR="006E693E" w:rsidRPr="0032635B">
        <w:rPr>
          <w:rFonts w:ascii="Book Antiqua" w:hAnsi="Book Antiqua"/>
          <w:sz w:val="24"/>
          <w:szCs w:val="24"/>
        </w:rPr>
        <w:t>T</w:t>
      </w:r>
      <w:r w:rsidR="00452908" w:rsidRPr="0032635B">
        <w:rPr>
          <w:rFonts w:ascii="Book Antiqua" w:hAnsi="Book Antiqua"/>
          <w:sz w:val="24"/>
          <w:szCs w:val="24"/>
        </w:rPr>
        <w:t>he severity of heartburn</w:t>
      </w:r>
      <w:r w:rsidR="00BC2023" w:rsidRPr="0032635B">
        <w:rPr>
          <w:rFonts w:ascii="Book Antiqua" w:hAnsi="Book Antiqua"/>
          <w:sz w:val="24"/>
          <w:szCs w:val="24"/>
        </w:rPr>
        <w:t>,</w:t>
      </w:r>
      <w:r w:rsidR="00452908" w:rsidRPr="0032635B">
        <w:rPr>
          <w:rFonts w:ascii="Book Antiqua" w:hAnsi="Book Antiqua"/>
          <w:sz w:val="24"/>
          <w:szCs w:val="24"/>
        </w:rPr>
        <w:t xml:space="preserve"> </w:t>
      </w:r>
      <w:r w:rsidR="00D8587F" w:rsidRPr="0032635B">
        <w:rPr>
          <w:rFonts w:ascii="Book Antiqua" w:hAnsi="Book Antiqua"/>
          <w:sz w:val="24"/>
          <w:szCs w:val="24"/>
        </w:rPr>
        <w:t>evaluated using VAS</w:t>
      </w:r>
      <w:r w:rsidR="00BC2023" w:rsidRPr="0032635B">
        <w:rPr>
          <w:rFonts w:ascii="Book Antiqua" w:hAnsi="Book Antiqua"/>
          <w:sz w:val="24"/>
          <w:szCs w:val="24"/>
        </w:rPr>
        <w:t>,</w:t>
      </w:r>
      <w:r w:rsidR="00D8587F" w:rsidRPr="0032635B">
        <w:rPr>
          <w:rFonts w:ascii="Book Antiqua" w:hAnsi="Book Antiqua"/>
          <w:sz w:val="24"/>
          <w:szCs w:val="24"/>
        </w:rPr>
        <w:t xml:space="preserve"> </w:t>
      </w:r>
      <w:r w:rsidR="00426066" w:rsidRPr="0032635B">
        <w:rPr>
          <w:rFonts w:ascii="Book Antiqua" w:hAnsi="Book Antiqua"/>
          <w:sz w:val="24"/>
          <w:szCs w:val="24"/>
        </w:rPr>
        <w:t xml:space="preserve">was </w:t>
      </w:r>
      <w:r w:rsidR="00BC2023" w:rsidRPr="0032635B">
        <w:rPr>
          <w:rFonts w:ascii="Book Antiqua" w:hAnsi="Book Antiqua"/>
          <w:sz w:val="24"/>
          <w:szCs w:val="24"/>
        </w:rPr>
        <w:t xml:space="preserve">also </w:t>
      </w:r>
      <w:r w:rsidR="000E4DD5" w:rsidRPr="0032635B">
        <w:rPr>
          <w:rFonts w:ascii="Book Antiqua" w:hAnsi="Book Antiqua"/>
          <w:sz w:val="24"/>
          <w:szCs w:val="24"/>
        </w:rPr>
        <w:t xml:space="preserve">significantly </w:t>
      </w:r>
      <w:r w:rsidR="00BC2023" w:rsidRPr="0032635B">
        <w:rPr>
          <w:rFonts w:ascii="Book Antiqua" w:hAnsi="Book Antiqua"/>
          <w:sz w:val="24"/>
          <w:szCs w:val="24"/>
        </w:rPr>
        <w:t>reduced</w:t>
      </w:r>
      <w:r w:rsidR="000E4DD5" w:rsidRPr="0032635B">
        <w:rPr>
          <w:rFonts w:ascii="Book Antiqua" w:hAnsi="Book Antiqua"/>
          <w:sz w:val="24"/>
          <w:szCs w:val="24"/>
        </w:rPr>
        <w:t xml:space="preserve"> after initial </w:t>
      </w:r>
      <w:r w:rsidR="00EB5980" w:rsidRPr="0032635B">
        <w:rPr>
          <w:rFonts w:ascii="Book Antiqua" w:hAnsi="Book Antiqua"/>
          <w:sz w:val="24"/>
          <w:szCs w:val="24"/>
        </w:rPr>
        <w:t xml:space="preserve">treatment in </w:t>
      </w:r>
      <w:r w:rsidR="00BC2023" w:rsidRPr="0032635B">
        <w:rPr>
          <w:rFonts w:ascii="Book Antiqua" w:hAnsi="Book Antiqua"/>
          <w:sz w:val="24"/>
          <w:szCs w:val="24"/>
        </w:rPr>
        <w:t>both</w:t>
      </w:r>
      <w:r w:rsidR="000E4DD5" w:rsidRPr="0032635B">
        <w:rPr>
          <w:rFonts w:ascii="Book Antiqua" w:hAnsi="Book Antiqua"/>
          <w:sz w:val="24"/>
          <w:szCs w:val="24"/>
        </w:rPr>
        <w:t xml:space="preserve"> group</w:t>
      </w:r>
      <w:r w:rsidR="00BC2023" w:rsidRPr="0032635B">
        <w:rPr>
          <w:rFonts w:ascii="Book Antiqua" w:hAnsi="Book Antiqua"/>
          <w:sz w:val="24"/>
          <w:szCs w:val="24"/>
        </w:rPr>
        <w:t>s</w:t>
      </w:r>
      <w:r w:rsidR="00F755EB" w:rsidRPr="0032635B">
        <w:rPr>
          <w:rFonts w:ascii="Book Antiqua" w:hAnsi="Book Antiqua"/>
          <w:sz w:val="24"/>
          <w:szCs w:val="24"/>
        </w:rPr>
        <w:t>.</w:t>
      </w:r>
      <w:r w:rsidR="00D8587F" w:rsidRPr="0032635B">
        <w:rPr>
          <w:rFonts w:ascii="Book Antiqua" w:hAnsi="Book Antiqua"/>
          <w:sz w:val="24"/>
          <w:szCs w:val="24"/>
        </w:rPr>
        <w:t xml:space="preserve"> </w:t>
      </w:r>
      <w:r w:rsidR="00BC2023" w:rsidRPr="0032635B">
        <w:rPr>
          <w:rFonts w:ascii="Book Antiqua" w:hAnsi="Book Antiqua"/>
          <w:sz w:val="24"/>
          <w:szCs w:val="24"/>
        </w:rPr>
        <w:t>Worsening of symptom during maintenance treatment</w:t>
      </w:r>
      <w:r w:rsidR="00D8587F" w:rsidRPr="0032635B">
        <w:rPr>
          <w:rFonts w:ascii="Book Antiqua" w:hAnsi="Book Antiqua"/>
          <w:sz w:val="24"/>
          <w:szCs w:val="24"/>
        </w:rPr>
        <w:t xml:space="preserve"> did not </w:t>
      </w:r>
      <w:r w:rsidR="00BC2023" w:rsidRPr="0032635B">
        <w:rPr>
          <w:rFonts w:ascii="Book Antiqua" w:hAnsi="Book Antiqua"/>
          <w:sz w:val="24"/>
          <w:szCs w:val="24"/>
        </w:rPr>
        <w:t>occur in either group.</w:t>
      </w:r>
      <w:r w:rsidR="00740BE5" w:rsidRPr="0032635B">
        <w:rPr>
          <w:rFonts w:ascii="Book Antiqua" w:hAnsi="Book Antiqua"/>
          <w:sz w:val="24"/>
          <w:szCs w:val="24"/>
        </w:rPr>
        <w:t xml:space="preserve"> </w:t>
      </w:r>
      <w:r w:rsidR="00D8587F" w:rsidRPr="0032635B">
        <w:rPr>
          <w:rFonts w:ascii="Book Antiqua" w:hAnsi="Book Antiqua"/>
          <w:sz w:val="24"/>
          <w:szCs w:val="24"/>
        </w:rPr>
        <w:t xml:space="preserve">However, </w:t>
      </w:r>
      <w:proofErr w:type="spellStart"/>
      <w:r w:rsidR="00DB496F" w:rsidRPr="0032635B">
        <w:rPr>
          <w:rFonts w:ascii="Book Antiqua" w:hAnsi="Book Antiqua"/>
          <w:sz w:val="24"/>
          <w:szCs w:val="24"/>
        </w:rPr>
        <w:t>lafutidine</w:t>
      </w:r>
      <w:proofErr w:type="spellEnd"/>
      <w:r w:rsidR="00DB496F" w:rsidRPr="0032635B">
        <w:rPr>
          <w:rFonts w:ascii="Book Antiqua" w:hAnsi="Book Antiqua"/>
          <w:sz w:val="24"/>
          <w:szCs w:val="24"/>
        </w:rPr>
        <w:t xml:space="preserve"> w</w:t>
      </w:r>
      <w:r w:rsidR="00BC2023" w:rsidRPr="0032635B">
        <w:rPr>
          <w:rFonts w:ascii="Book Antiqua" w:hAnsi="Book Antiqua"/>
          <w:sz w:val="24"/>
          <w:szCs w:val="24"/>
        </w:rPr>
        <w:t>as</w:t>
      </w:r>
      <w:r w:rsidR="00DB496F" w:rsidRPr="0032635B">
        <w:rPr>
          <w:rFonts w:ascii="Book Antiqua" w:hAnsi="Book Antiqua"/>
          <w:sz w:val="24"/>
          <w:szCs w:val="24"/>
        </w:rPr>
        <w:t xml:space="preserve"> significantly inferior to </w:t>
      </w:r>
      <w:proofErr w:type="spellStart"/>
      <w:r w:rsidR="00DB496F" w:rsidRPr="0032635B">
        <w:rPr>
          <w:rFonts w:ascii="Book Antiqua" w:hAnsi="Book Antiqua"/>
          <w:sz w:val="24"/>
          <w:szCs w:val="24"/>
        </w:rPr>
        <w:t>lansoprazole</w:t>
      </w:r>
      <w:proofErr w:type="spellEnd"/>
      <w:r w:rsidR="00DB496F" w:rsidRPr="0032635B">
        <w:rPr>
          <w:rFonts w:ascii="Book Antiqua" w:hAnsi="Book Antiqua"/>
          <w:sz w:val="24"/>
          <w:szCs w:val="24"/>
        </w:rPr>
        <w:t xml:space="preserve"> </w:t>
      </w:r>
      <w:r w:rsidR="00BC2023" w:rsidRPr="0032635B">
        <w:rPr>
          <w:rFonts w:ascii="Book Antiqua" w:hAnsi="Book Antiqua"/>
          <w:sz w:val="24"/>
          <w:szCs w:val="24"/>
        </w:rPr>
        <w:t xml:space="preserve">in reducing </w:t>
      </w:r>
      <w:r w:rsidR="00BC2023" w:rsidRPr="0032635B">
        <w:rPr>
          <w:rFonts w:ascii="Book Antiqua" w:hAnsi="Book Antiqua"/>
          <w:sz w:val="24"/>
          <w:szCs w:val="24"/>
        </w:rPr>
        <w:lastRenderedPageBreak/>
        <w:t>heartburn s</w:t>
      </w:r>
      <w:r w:rsidR="00837C07" w:rsidRPr="0032635B">
        <w:rPr>
          <w:rFonts w:ascii="Book Antiqua" w:hAnsi="Book Antiqua"/>
          <w:sz w:val="24"/>
          <w:szCs w:val="24"/>
        </w:rPr>
        <w:t>e</w:t>
      </w:r>
      <w:r w:rsidR="008D020C" w:rsidRPr="0032635B">
        <w:rPr>
          <w:rFonts w:ascii="Book Antiqua" w:hAnsi="Book Antiqua"/>
          <w:sz w:val="24"/>
          <w:szCs w:val="24"/>
        </w:rPr>
        <w:t>veri</w:t>
      </w:r>
      <w:r w:rsidR="00BC2023" w:rsidRPr="0032635B">
        <w:rPr>
          <w:rFonts w:ascii="Book Antiqua" w:hAnsi="Book Antiqua"/>
          <w:sz w:val="24"/>
          <w:szCs w:val="24"/>
        </w:rPr>
        <w:t>ty</w:t>
      </w:r>
      <w:r w:rsidR="004322EC" w:rsidRPr="0032635B">
        <w:rPr>
          <w:rFonts w:ascii="Book Antiqua" w:hAnsi="Book Antiqua"/>
          <w:sz w:val="24"/>
          <w:szCs w:val="24"/>
        </w:rPr>
        <w:t xml:space="preserve"> (Figure </w:t>
      </w:r>
      <w:r w:rsidRPr="0032635B">
        <w:rPr>
          <w:rFonts w:ascii="Book Antiqua" w:hAnsi="Book Antiqua"/>
          <w:sz w:val="24"/>
          <w:szCs w:val="24"/>
        </w:rPr>
        <w:t>4</w:t>
      </w:r>
      <w:r w:rsidR="004322EC" w:rsidRPr="0032635B">
        <w:rPr>
          <w:rFonts w:ascii="Book Antiqua" w:hAnsi="Book Antiqua"/>
          <w:sz w:val="24"/>
          <w:szCs w:val="24"/>
        </w:rPr>
        <w:t>)</w:t>
      </w:r>
      <w:r w:rsidR="00740BE5" w:rsidRPr="0032635B">
        <w:rPr>
          <w:rFonts w:ascii="Book Antiqua" w:hAnsi="Book Antiqua"/>
          <w:sz w:val="24"/>
          <w:szCs w:val="24"/>
        </w:rPr>
        <w:t>.</w:t>
      </w:r>
      <w:r w:rsidR="004322EC" w:rsidRPr="0032635B">
        <w:rPr>
          <w:rFonts w:ascii="Book Antiqua" w:hAnsi="Book Antiqua"/>
          <w:sz w:val="24"/>
          <w:szCs w:val="24"/>
        </w:rPr>
        <w:t xml:space="preserve"> </w:t>
      </w:r>
      <w:r w:rsidR="00BE4E21" w:rsidRPr="0032635B">
        <w:rPr>
          <w:rFonts w:ascii="Book Antiqua" w:hAnsi="Book Antiqua"/>
          <w:sz w:val="24"/>
          <w:szCs w:val="24"/>
        </w:rPr>
        <w:t>Similarly, t</w:t>
      </w:r>
      <w:r w:rsidR="00DB496F" w:rsidRPr="0032635B">
        <w:rPr>
          <w:rFonts w:ascii="Book Antiqua" w:hAnsi="Book Antiqua"/>
          <w:sz w:val="24"/>
          <w:szCs w:val="24"/>
        </w:rPr>
        <w:t xml:space="preserve">he </w:t>
      </w:r>
      <w:r w:rsidR="00BE4E21" w:rsidRPr="0032635B">
        <w:rPr>
          <w:rFonts w:ascii="Book Antiqua" w:hAnsi="Book Antiqua"/>
          <w:sz w:val="24"/>
          <w:szCs w:val="24"/>
        </w:rPr>
        <w:t>sum score of question</w:t>
      </w:r>
      <w:r w:rsidR="00BC2023" w:rsidRPr="0032635B">
        <w:rPr>
          <w:rFonts w:ascii="Book Antiqua" w:hAnsi="Book Antiqua"/>
          <w:sz w:val="24"/>
          <w:szCs w:val="24"/>
        </w:rPr>
        <w:t>s</w:t>
      </w:r>
      <w:r w:rsidR="00BE4E21" w:rsidRPr="0032635B">
        <w:rPr>
          <w:rFonts w:ascii="Book Antiqua" w:hAnsi="Book Antiqua"/>
          <w:sz w:val="24"/>
          <w:szCs w:val="24"/>
        </w:rPr>
        <w:t xml:space="preserve"> 2 and 3 in </w:t>
      </w:r>
      <w:r w:rsidR="00BC2023" w:rsidRPr="0032635B">
        <w:rPr>
          <w:rFonts w:ascii="Book Antiqua" w:hAnsi="Book Antiqua"/>
          <w:sz w:val="24"/>
          <w:szCs w:val="24"/>
        </w:rPr>
        <w:t xml:space="preserve">the </w:t>
      </w:r>
      <w:r w:rsidR="00BE4E21" w:rsidRPr="0032635B">
        <w:rPr>
          <w:rFonts w:ascii="Book Antiqua" w:hAnsi="Book Antiqua"/>
          <w:sz w:val="24"/>
          <w:szCs w:val="24"/>
        </w:rPr>
        <w:t xml:space="preserve">GSRS and the satisfaction score </w:t>
      </w:r>
      <w:r w:rsidR="00BC2023" w:rsidRPr="0032635B">
        <w:rPr>
          <w:rFonts w:ascii="Book Antiqua" w:hAnsi="Book Antiqua"/>
          <w:sz w:val="24"/>
          <w:szCs w:val="24"/>
        </w:rPr>
        <w:t xml:space="preserve">were both significantly </w:t>
      </w:r>
      <w:r w:rsidR="00BE4E21" w:rsidRPr="0032635B">
        <w:rPr>
          <w:rFonts w:ascii="Book Antiqua" w:hAnsi="Book Antiqua"/>
          <w:sz w:val="24"/>
          <w:szCs w:val="24"/>
        </w:rPr>
        <w:t xml:space="preserve">worse </w:t>
      </w:r>
      <w:r w:rsidR="00BC2023" w:rsidRPr="0032635B">
        <w:rPr>
          <w:rFonts w:ascii="Book Antiqua" w:hAnsi="Book Antiqua"/>
          <w:sz w:val="24"/>
          <w:szCs w:val="24"/>
        </w:rPr>
        <w:t xml:space="preserve">in the </w:t>
      </w:r>
      <w:proofErr w:type="spellStart"/>
      <w:r w:rsidR="00BC2023" w:rsidRPr="0032635B">
        <w:rPr>
          <w:rFonts w:ascii="Book Antiqua" w:hAnsi="Book Antiqua"/>
          <w:sz w:val="24"/>
          <w:szCs w:val="24"/>
        </w:rPr>
        <w:t>lafutidine</w:t>
      </w:r>
      <w:proofErr w:type="spellEnd"/>
      <w:r w:rsidR="00BC2023" w:rsidRPr="0032635B">
        <w:rPr>
          <w:rFonts w:ascii="Book Antiqua" w:hAnsi="Book Antiqua"/>
          <w:sz w:val="24"/>
          <w:szCs w:val="24"/>
        </w:rPr>
        <w:t xml:space="preserve"> group </w:t>
      </w:r>
      <w:r w:rsidR="00BE4E21" w:rsidRPr="0032635B">
        <w:rPr>
          <w:rFonts w:ascii="Book Antiqua" w:hAnsi="Book Antiqua"/>
          <w:sz w:val="24"/>
          <w:szCs w:val="24"/>
        </w:rPr>
        <w:t xml:space="preserve">than those in </w:t>
      </w:r>
      <w:r w:rsidR="00DB0F2D" w:rsidRPr="0032635B">
        <w:rPr>
          <w:rFonts w:ascii="Book Antiqua" w:hAnsi="Book Antiqua"/>
          <w:sz w:val="24"/>
          <w:szCs w:val="24"/>
        </w:rPr>
        <w:t xml:space="preserve">the </w:t>
      </w:r>
      <w:proofErr w:type="spellStart"/>
      <w:r w:rsidR="00BE4E21" w:rsidRPr="0032635B">
        <w:rPr>
          <w:rFonts w:ascii="Book Antiqua" w:hAnsi="Book Antiqua"/>
          <w:sz w:val="24"/>
          <w:szCs w:val="24"/>
        </w:rPr>
        <w:t>lansoprazole</w:t>
      </w:r>
      <w:proofErr w:type="spellEnd"/>
      <w:r w:rsidR="00BE4E21" w:rsidRPr="0032635B">
        <w:rPr>
          <w:rFonts w:ascii="Book Antiqua" w:hAnsi="Book Antiqua"/>
          <w:sz w:val="24"/>
          <w:szCs w:val="24"/>
        </w:rPr>
        <w:t xml:space="preserve"> group</w:t>
      </w:r>
      <w:r w:rsidR="00FF6FCE" w:rsidRPr="0032635B">
        <w:rPr>
          <w:rFonts w:ascii="Book Antiqua" w:hAnsi="Book Antiqua"/>
          <w:sz w:val="24"/>
          <w:szCs w:val="24"/>
        </w:rPr>
        <w:t xml:space="preserve">, </w:t>
      </w:r>
      <w:r w:rsidR="008D020C" w:rsidRPr="0032635B">
        <w:rPr>
          <w:rFonts w:ascii="Book Antiqua" w:hAnsi="Book Antiqua"/>
          <w:sz w:val="24"/>
          <w:szCs w:val="24"/>
        </w:rPr>
        <w:t>particularly</w:t>
      </w:r>
      <w:r w:rsidR="00FF6FCE" w:rsidRPr="0032635B">
        <w:rPr>
          <w:rFonts w:ascii="Book Antiqua" w:hAnsi="Book Antiqua"/>
          <w:sz w:val="24"/>
          <w:szCs w:val="24"/>
        </w:rPr>
        <w:t xml:space="preserve"> during maintenance therapy</w:t>
      </w:r>
      <w:r w:rsidR="00BE4E21" w:rsidRPr="0032635B">
        <w:rPr>
          <w:rFonts w:ascii="Book Antiqua" w:hAnsi="Book Antiqua"/>
          <w:sz w:val="24"/>
          <w:szCs w:val="24"/>
        </w:rPr>
        <w:t xml:space="preserve"> (Figure</w:t>
      </w:r>
      <w:r w:rsidR="0049048F" w:rsidRPr="0032635B">
        <w:rPr>
          <w:rFonts w:ascii="Book Antiqua" w:hAnsi="Book Antiqua"/>
          <w:sz w:val="24"/>
          <w:szCs w:val="24"/>
        </w:rPr>
        <w:t xml:space="preserve">s </w:t>
      </w:r>
      <w:r w:rsidRPr="0032635B">
        <w:rPr>
          <w:rFonts w:ascii="Book Antiqua" w:hAnsi="Book Antiqua"/>
          <w:sz w:val="24"/>
          <w:szCs w:val="24"/>
        </w:rPr>
        <w:t>5</w:t>
      </w:r>
      <w:r w:rsidR="00BE4E21" w:rsidRPr="0032635B">
        <w:rPr>
          <w:rFonts w:ascii="Book Antiqua" w:hAnsi="Book Antiqua"/>
          <w:sz w:val="24"/>
          <w:szCs w:val="24"/>
        </w:rPr>
        <w:t xml:space="preserve"> and </w:t>
      </w:r>
      <w:r w:rsidRPr="0032635B">
        <w:rPr>
          <w:rFonts w:ascii="Book Antiqua" w:hAnsi="Book Antiqua"/>
          <w:sz w:val="24"/>
          <w:szCs w:val="24"/>
        </w:rPr>
        <w:t>6</w:t>
      </w:r>
      <w:r w:rsidR="00BE4E21" w:rsidRPr="0032635B">
        <w:rPr>
          <w:rFonts w:ascii="Book Antiqua" w:hAnsi="Book Antiqua"/>
          <w:sz w:val="24"/>
          <w:szCs w:val="24"/>
        </w:rPr>
        <w:t>, respectively).</w:t>
      </w:r>
    </w:p>
    <w:p w:rsidR="00473E0F" w:rsidRPr="0032635B" w:rsidRDefault="00473E0F" w:rsidP="00C92BD7">
      <w:pPr>
        <w:widowControl/>
        <w:spacing w:line="360" w:lineRule="auto"/>
        <w:rPr>
          <w:rFonts w:ascii="Book Antiqua" w:eastAsia="宋体" w:hAnsi="Book Antiqua"/>
          <w:sz w:val="24"/>
          <w:szCs w:val="24"/>
          <w:lang w:eastAsia="zh-CN"/>
        </w:rPr>
      </w:pPr>
    </w:p>
    <w:p w:rsidR="0013638B" w:rsidRPr="0032635B" w:rsidRDefault="00473E0F" w:rsidP="00C92BD7">
      <w:pPr>
        <w:widowControl/>
        <w:spacing w:line="360" w:lineRule="auto"/>
        <w:rPr>
          <w:rFonts w:ascii="Book Antiqua" w:hAnsi="Book Antiqua"/>
          <w:b/>
          <w:sz w:val="24"/>
          <w:szCs w:val="24"/>
        </w:rPr>
      </w:pPr>
      <w:r w:rsidRPr="0032635B">
        <w:rPr>
          <w:rFonts w:ascii="Book Antiqua" w:hAnsi="Book Antiqua"/>
          <w:b/>
          <w:sz w:val="24"/>
          <w:szCs w:val="24"/>
        </w:rPr>
        <w:t>DISCUSSION</w:t>
      </w:r>
    </w:p>
    <w:p w:rsidR="00BB3676" w:rsidRPr="0032635B" w:rsidRDefault="00962575" w:rsidP="00C92BD7">
      <w:pPr>
        <w:widowControl/>
        <w:spacing w:line="360" w:lineRule="auto"/>
        <w:rPr>
          <w:rFonts w:ascii="Book Antiqua" w:hAnsi="Book Antiqua"/>
          <w:sz w:val="24"/>
          <w:szCs w:val="24"/>
        </w:rPr>
      </w:pPr>
      <w:r w:rsidRPr="0032635B">
        <w:rPr>
          <w:rFonts w:ascii="Book Antiqua" w:hAnsi="Book Antiqua"/>
          <w:sz w:val="24"/>
          <w:szCs w:val="24"/>
        </w:rPr>
        <w:t xml:space="preserve">GERD is a chronic disorder </w:t>
      </w:r>
      <w:r w:rsidR="000D560F" w:rsidRPr="0032635B">
        <w:rPr>
          <w:rFonts w:ascii="Book Antiqua" w:hAnsi="Book Antiqua"/>
          <w:sz w:val="24"/>
          <w:szCs w:val="24"/>
        </w:rPr>
        <w:t>and long-term acid</w:t>
      </w:r>
      <w:r w:rsidRPr="0032635B">
        <w:rPr>
          <w:rFonts w:ascii="Book Antiqua" w:hAnsi="Book Antiqua"/>
          <w:sz w:val="24"/>
          <w:szCs w:val="24"/>
        </w:rPr>
        <w:t>-</w:t>
      </w:r>
      <w:r w:rsidR="000D560F" w:rsidRPr="0032635B">
        <w:rPr>
          <w:rFonts w:ascii="Book Antiqua" w:hAnsi="Book Antiqua"/>
          <w:sz w:val="24"/>
          <w:szCs w:val="24"/>
        </w:rPr>
        <w:t>suppressi</w:t>
      </w:r>
      <w:r w:rsidRPr="0032635B">
        <w:rPr>
          <w:rFonts w:ascii="Book Antiqua" w:hAnsi="Book Antiqua"/>
          <w:sz w:val="24"/>
          <w:szCs w:val="24"/>
        </w:rPr>
        <w:t>on</w:t>
      </w:r>
      <w:r w:rsidR="000D560F" w:rsidRPr="0032635B">
        <w:rPr>
          <w:rFonts w:ascii="Book Antiqua" w:hAnsi="Book Antiqua"/>
          <w:sz w:val="24"/>
          <w:szCs w:val="24"/>
        </w:rPr>
        <w:t xml:space="preserve"> therapy is </w:t>
      </w:r>
      <w:r w:rsidRPr="0032635B">
        <w:rPr>
          <w:rFonts w:ascii="Book Antiqua" w:hAnsi="Book Antiqua"/>
          <w:sz w:val="24"/>
          <w:szCs w:val="24"/>
        </w:rPr>
        <w:t xml:space="preserve">necessary in most </w:t>
      </w:r>
      <w:proofErr w:type="gramStart"/>
      <w:r w:rsidR="00F755EB" w:rsidRPr="0032635B">
        <w:rPr>
          <w:rFonts w:ascii="Book Antiqua" w:hAnsi="Book Antiqua"/>
          <w:sz w:val="24"/>
          <w:szCs w:val="24"/>
        </w:rPr>
        <w:t>cases</w:t>
      </w:r>
      <w:r w:rsidR="00473E0F" w:rsidRPr="0032635B">
        <w:rPr>
          <w:rFonts w:ascii="Book Antiqua" w:hAnsi="Book Antiqua"/>
          <w:sz w:val="24"/>
          <w:szCs w:val="24"/>
          <w:vertAlign w:val="superscript"/>
        </w:rPr>
        <w:t>[</w:t>
      </w:r>
      <w:proofErr w:type="gramEnd"/>
      <w:r w:rsidR="00FA6892" w:rsidRPr="0032635B">
        <w:rPr>
          <w:rFonts w:ascii="Book Antiqua" w:hAnsi="Book Antiqua"/>
          <w:sz w:val="24"/>
          <w:szCs w:val="24"/>
          <w:vertAlign w:val="superscript"/>
        </w:rPr>
        <w:t>7</w:t>
      </w:r>
      <w:r w:rsidR="00796FF4" w:rsidRPr="0032635B">
        <w:rPr>
          <w:rFonts w:ascii="Book Antiqua" w:hAnsi="Book Antiqua"/>
          <w:sz w:val="24"/>
          <w:szCs w:val="24"/>
          <w:vertAlign w:val="superscript"/>
        </w:rPr>
        <w:t>]</w:t>
      </w:r>
      <w:r w:rsidR="000D560F" w:rsidRPr="0032635B">
        <w:rPr>
          <w:rFonts w:ascii="Book Antiqua" w:hAnsi="Book Antiqua"/>
          <w:sz w:val="24"/>
          <w:szCs w:val="24"/>
        </w:rPr>
        <w:t xml:space="preserve">. </w:t>
      </w:r>
      <w:r w:rsidRPr="0032635B">
        <w:rPr>
          <w:rFonts w:ascii="Book Antiqua" w:hAnsi="Book Antiqua"/>
          <w:sz w:val="24"/>
          <w:szCs w:val="24"/>
        </w:rPr>
        <w:t>A</w:t>
      </w:r>
      <w:r w:rsidR="0002639B" w:rsidRPr="0032635B">
        <w:rPr>
          <w:rFonts w:ascii="Book Antiqua" w:hAnsi="Book Antiqua"/>
          <w:sz w:val="24"/>
          <w:szCs w:val="24"/>
        </w:rPr>
        <w:t xml:space="preserve"> meta-analysis of 34 trials that included 1</w:t>
      </w:r>
      <w:r w:rsidRPr="0032635B">
        <w:rPr>
          <w:rFonts w:ascii="Book Antiqua" w:hAnsi="Book Antiqua"/>
          <w:sz w:val="24"/>
          <w:szCs w:val="24"/>
        </w:rPr>
        <w:t>,</w:t>
      </w:r>
      <w:r w:rsidR="0002639B" w:rsidRPr="0032635B">
        <w:rPr>
          <w:rFonts w:ascii="Book Antiqua" w:hAnsi="Book Antiqua"/>
          <w:sz w:val="24"/>
          <w:szCs w:val="24"/>
        </w:rPr>
        <w:t>314 individuals</w:t>
      </w:r>
      <w:r w:rsidRPr="0032635B">
        <w:rPr>
          <w:rFonts w:ascii="Book Antiqua" w:hAnsi="Book Antiqua"/>
          <w:sz w:val="24"/>
          <w:szCs w:val="24"/>
        </w:rPr>
        <w:t xml:space="preserve"> demonstrated that </w:t>
      </w:r>
      <w:r w:rsidR="0002639B" w:rsidRPr="0032635B">
        <w:rPr>
          <w:rFonts w:ascii="Book Antiqua" w:hAnsi="Book Antiqua"/>
          <w:sz w:val="24"/>
          <w:szCs w:val="24"/>
        </w:rPr>
        <w:t xml:space="preserve">PPIs were significantly more effective than H2RAs in relieving heartburn in </w:t>
      </w:r>
      <w:r w:rsidRPr="0032635B">
        <w:rPr>
          <w:rFonts w:ascii="Book Antiqua" w:hAnsi="Book Antiqua"/>
          <w:sz w:val="24"/>
          <w:szCs w:val="24"/>
        </w:rPr>
        <w:t xml:space="preserve">GERD </w:t>
      </w:r>
      <w:r w:rsidR="0002639B" w:rsidRPr="0032635B">
        <w:rPr>
          <w:rFonts w:ascii="Book Antiqua" w:hAnsi="Book Antiqua"/>
          <w:sz w:val="24"/>
          <w:szCs w:val="24"/>
        </w:rPr>
        <w:t>(</w:t>
      </w:r>
      <w:r w:rsidR="00473E0F" w:rsidRPr="0032635B">
        <w:rPr>
          <w:rFonts w:ascii="Book Antiqua" w:hAnsi="Book Antiqua"/>
          <w:sz w:val="24"/>
          <w:szCs w:val="24"/>
        </w:rPr>
        <w:t>RR</w:t>
      </w:r>
      <w:r w:rsidR="00473E0F" w:rsidRPr="0032635B">
        <w:rPr>
          <w:rFonts w:ascii="Book Antiqua" w:eastAsia="宋体" w:hAnsi="Book Antiqua"/>
          <w:sz w:val="24"/>
          <w:szCs w:val="24"/>
          <w:lang w:eastAsia="zh-CN"/>
        </w:rPr>
        <w:t xml:space="preserve"> =</w:t>
      </w:r>
      <w:r w:rsidR="00473E0F" w:rsidRPr="0032635B">
        <w:rPr>
          <w:rFonts w:ascii="Book Antiqua" w:hAnsi="Book Antiqua"/>
          <w:sz w:val="24"/>
          <w:szCs w:val="24"/>
        </w:rPr>
        <w:t xml:space="preserve"> 0.66, 95%</w:t>
      </w:r>
      <w:r w:rsidR="0002639B" w:rsidRPr="0032635B">
        <w:rPr>
          <w:rFonts w:ascii="Book Antiqua" w:hAnsi="Book Antiqua"/>
          <w:sz w:val="24"/>
          <w:szCs w:val="24"/>
        </w:rPr>
        <w:t>CI</w:t>
      </w:r>
      <w:r w:rsidR="00473E0F" w:rsidRPr="0032635B">
        <w:rPr>
          <w:rFonts w:ascii="Book Antiqua" w:eastAsia="宋体" w:hAnsi="Book Antiqua"/>
          <w:sz w:val="24"/>
          <w:szCs w:val="24"/>
          <w:lang w:eastAsia="zh-CN"/>
        </w:rPr>
        <w:t>:</w:t>
      </w:r>
      <w:r w:rsidR="0002639B" w:rsidRPr="0032635B">
        <w:rPr>
          <w:rFonts w:ascii="Book Antiqua" w:hAnsi="Book Antiqua"/>
          <w:sz w:val="24"/>
          <w:szCs w:val="24"/>
        </w:rPr>
        <w:t xml:space="preserve"> 0.60-0.73) a</w:t>
      </w:r>
      <w:r w:rsidRPr="0032635B">
        <w:rPr>
          <w:rFonts w:ascii="Book Antiqua" w:hAnsi="Book Antiqua"/>
          <w:sz w:val="24"/>
          <w:szCs w:val="24"/>
        </w:rPr>
        <w:t xml:space="preserve">s well as </w:t>
      </w:r>
      <w:r w:rsidR="0002639B" w:rsidRPr="0032635B">
        <w:rPr>
          <w:rFonts w:ascii="Book Antiqua" w:hAnsi="Book Antiqua"/>
          <w:sz w:val="24"/>
          <w:szCs w:val="24"/>
        </w:rPr>
        <w:t>in patients with non</w:t>
      </w:r>
      <w:r w:rsidRPr="0032635B">
        <w:rPr>
          <w:rFonts w:ascii="Book Antiqua" w:hAnsi="Book Antiqua"/>
          <w:sz w:val="24"/>
          <w:szCs w:val="24"/>
        </w:rPr>
        <w:t>-</w:t>
      </w:r>
      <w:r w:rsidR="0002639B" w:rsidRPr="0032635B">
        <w:rPr>
          <w:rFonts w:ascii="Book Antiqua" w:hAnsi="Book Antiqua"/>
          <w:sz w:val="24"/>
          <w:szCs w:val="24"/>
        </w:rPr>
        <w:t xml:space="preserve">erosive reflux disease on upper endoscopy (RR </w:t>
      </w:r>
      <w:r w:rsidR="00473E0F" w:rsidRPr="0032635B">
        <w:rPr>
          <w:rFonts w:ascii="Book Antiqua" w:eastAsia="宋体" w:hAnsi="Book Antiqua"/>
          <w:sz w:val="24"/>
          <w:szCs w:val="24"/>
          <w:lang w:eastAsia="zh-CN"/>
        </w:rPr>
        <w:t xml:space="preserve">= </w:t>
      </w:r>
      <w:r w:rsidR="00473E0F" w:rsidRPr="0032635B">
        <w:rPr>
          <w:rFonts w:ascii="Book Antiqua" w:hAnsi="Book Antiqua"/>
          <w:sz w:val="24"/>
          <w:szCs w:val="24"/>
        </w:rPr>
        <w:t>0.78, 95%</w:t>
      </w:r>
      <w:r w:rsidR="0002639B" w:rsidRPr="0032635B">
        <w:rPr>
          <w:rFonts w:ascii="Book Antiqua" w:hAnsi="Book Antiqua"/>
          <w:sz w:val="24"/>
          <w:szCs w:val="24"/>
        </w:rPr>
        <w:t>CI</w:t>
      </w:r>
      <w:r w:rsidR="00473E0F" w:rsidRPr="0032635B">
        <w:rPr>
          <w:rFonts w:ascii="Book Antiqua" w:eastAsia="宋体" w:hAnsi="Book Antiqua"/>
          <w:sz w:val="24"/>
          <w:szCs w:val="24"/>
          <w:lang w:eastAsia="zh-CN"/>
        </w:rPr>
        <w:t>:</w:t>
      </w:r>
      <w:r w:rsidR="0002639B" w:rsidRPr="0032635B">
        <w:rPr>
          <w:rFonts w:ascii="Book Antiqua" w:hAnsi="Book Antiqua"/>
          <w:sz w:val="24"/>
          <w:szCs w:val="24"/>
        </w:rPr>
        <w:t xml:space="preserve"> 0.62-0.97</w:t>
      </w:r>
      <w:proofErr w:type="gramStart"/>
      <w:r w:rsidR="0002639B" w:rsidRPr="0032635B">
        <w:rPr>
          <w:rFonts w:ascii="Book Antiqua" w:hAnsi="Book Antiqua"/>
          <w:sz w:val="24"/>
          <w:szCs w:val="24"/>
        </w:rPr>
        <w:t>)</w:t>
      </w:r>
      <w:r w:rsidR="00796FF4" w:rsidRPr="0032635B">
        <w:rPr>
          <w:rFonts w:ascii="Book Antiqua" w:hAnsi="Book Antiqua"/>
          <w:sz w:val="24"/>
          <w:szCs w:val="24"/>
          <w:vertAlign w:val="superscript"/>
        </w:rPr>
        <w:t>[</w:t>
      </w:r>
      <w:proofErr w:type="gramEnd"/>
      <w:r w:rsidR="00E53A88" w:rsidRPr="0032635B">
        <w:rPr>
          <w:rFonts w:ascii="Book Antiqua" w:hAnsi="Book Antiqua"/>
          <w:sz w:val="24"/>
          <w:szCs w:val="24"/>
          <w:vertAlign w:val="superscript"/>
        </w:rPr>
        <w:t>8</w:t>
      </w:r>
      <w:r w:rsidR="00796FF4" w:rsidRPr="0032635B">
        <w:rPr>
          <w:rFonts w:ascii="Book Antiqua" w:hAnsi="Book Antiqua"/>
          <w:sz w:val="24"/>
          <w:szCs w:val="24"/>
          <w:vertAlign w:val="superscript"/>
        </w:rPr>
        <w:t>]</w:t>
      </w:r>
      <w:r w:rsidR="00796FF4" w:rsidRPr="0032635B">
        <w:rPr>
          <w:rFonts w:ascii="Book Antiqua" w:hAnsi="Book Antiqua"/>
          <w:sz w:val="24"/>
          <w:szCs w:val="24"/>
        </w:rPr>
        <w:t xml:space="preserve">. </w:t>
      </w:r>
      <w:r w:rsidR="000D560F" w:rsidRPr="0032635B">
        <w:rPr>
          <w:rFonts w:ascii="Book Antiqua" w:hAnsi="Book Antiqua"/>
          <w:sz w:val="24"/>
          <w:szCs w:val="24"/>
        </w:rPr>
        <w:t xml:space="preserve">Because no reports </w:t>
      </w:r>
      <w:r w:rsidRPr="0032635B">
        <w:rPr>
          <w:rFonts w:ascii="Book Antiqua" w:hAnsi="Book Antiqua"/>
          <w:sz w:val="24"/>
          <w:szCs w:val="24"/>
        </w:rPr>
        <w:t xml:space="preserve">have been published </w:t>
      </w:r>
      <w:r w:rsidR="008D020C" w:rsidRPr="0032635B">
        <w:rPr>
          <w:rFonts w:ascii="Book Antiqua" w:hAnsi="Book Antiqua"/>
          <w:sz w:val="24"/>
          <w:szCs w:val="24"/>
        </w:rPr>
        <w:t>concerning</w:t>
      </w:r>
      <w:r w:rsidRPr="0032635B">
        <w:rPr>
          <w:rFonts w:ascii="Book Antiqua" w:hAnsi="Book Antiqua"/>
          <w:sz w:val="24"/>
          <w:szCs w:val="24"/>
        </w:rPr>
        <w:t xml:space="preserve"> the </w:t>
      </w:r>
      <w:r w:rsidR="000D560F" w:rsidRPr="0032635B">
        <w:rPr>
          <w:rFonts w:ascii="Book Antiqua" w:hAnsi="Book Antiqua" w:cs="Times New Roman"/>
          <w:sz w:val="24"/>
          <w:szCs w:val="24"/>
        </w:rPr>
        <w:t xml:space="preserve">cost-effectiveness </w:t>
      </w:r>
      <w:r w:rsidRPr="0032635B">
        <w:rPr>
          <w:rFonts w:ascii="Book Antiqua" w:hAnsi="Book Antiqua" w:cs="Times New Roman"/>
          <w:sz w:val="24"/>
          <w:szCs w:val="24"/>
        </w:rPr>
        <w:t xml:space="preserve">of pharmacotherapy </w:t>
      </w:r>
      <w:r w:rsidR="000D560F" w:rsidRPr="0032635B">
        <w:rPr>
          <w:rFonts w:ascii="Book Antiqua" w:hAnsi="Book Antiqua" w:cs="Times New Roman"/>
          <w:sz w:val="24"/>
          <w:szCs w:val="24"/>
        </w:rPr>
        <w:t xml:space="preserve">in </w:t>
      </w:r>
      <w:r w:rsidRPr="0032635B">
        <w:rPr>
          <w:rFonts w:ascii="Book Antiqua" w:hAnsi="Book Antiqua" w:cs="Times New Roman"/>
          <w:sz w:val="24"/>
          <w:szCs w:val="24"/>
        </w:rPr>
        <w:t xml:space="preserve">Japanese </w:t>
      </w:r>
      <w:r w:rsidR="000D560F" w:rsidRPr="0032635B">
        <w:rPr>
          <w:rFonts w:ascii="Book Antiqua" w:hAnsi="Book Antiqua" w:cs="Times New Roman"/>
          <w:sz w:val="24"/>
          <w:szCs w:val="24"/>
        </w:rPr>
        <w:t>patients with mild GERD</w:t>
      </w:r>
      <w:r w:rsidRPr="0032635B">
        <w:rPr>
          <w:rFonts w:ascii="Book Antiqua" w:hAnsi="Book Antiqua" w:cs="Times New Roman"/>
          <w:sz w:val="24"/>
          <w:szCs w:val="24"/>
        </w:rPr>
        <w:t>,</w:t>
      </w:r>
      <w:r w:rsidR="000D560F" w:rsidRPr="0032635B">
        <w:rPr>
          <w:rFonts w:ascii="Book Antiqua" w:hAnsi="Book Antiqua" w:cs="Times New Roman"/>
          <w:sz w:val="24"/>
          <w:szCs w:val="24"/>
        </w:rPr>
        <w:t xml:space="preserve"> which is </w:t>
      </w:r>
      <w:r w:rsidRPr="0032635B">
        <w:rPr>
          <w:rFonts w:ascii="Book Antiqua" w:hAnsi="Book Antiqua" w:cs="Times New Roman"/>
          <w:sz w:val="24"/>
          <w:szCs w:val="24"/>
        </w:rPr>
        <w:t xml:space="preserve">a </w:t>
      </w:r>
      <w:r w:rsidR="000D560F" w:rsidRPr="0032635B">
        <w:rPr>
          <w:rFonts w:ascii="Book Antiqua" w:hAnsi="Book Antiqua" w:cs="Times New Roman"/>
          <w:sz w:val="24"/>
          <w:szCs w:val="24"/>
        </w:rPr>
        <w:t xml:space="preserve">common </w:t>
      </w:r>
      <w:r w:rsidRPr="0032635B">
        <w:rPr>
          <w:rFonts w:ascii="Book Antiqua" w:hAnsi="Book Antiqua" w:cs="Times New Roman"/>
          <w:sz w:val="24"/>
          <w:szCs w:val="24"/>
        </w:rPr>
        <w:t xml:space="preserve">condition </w:t>
      </w:r>
      <w:r w:rsidR="000D560F" w:rsidRPr="0032635B">
        <w:rPr>
          <w:rFonts w:ascii="Book Antiqua" w:hAnsi="Book Antiqua" w:cs="Times New Roman"/>
          <w:sz w:val="24"/>
          <w:szCs w:val="24"/>
        </w:rPr>
        <w:t xml:space="preserve">in Japan, </w:t>
      </w:r>
      <w:r w:rsidRPr="0032635B">
        <w:rPr>
          <w:rFonts w:ascii="Book Antiqua" w:hAnsi="Book Antiqua" w:cs="Times New Roman"/>
          <w:sz w:val="24"/>
          <w:szCs w:val="24"/>
        </w:rPr>
        <w:t xml:space="preserve">the present study was </w:t>
      </w:r>
      <w:r w:rsidR="008D020C" w:rsidRPr="0032635B">
        <w:rPr>
          <w:rFonts w:ascii="Book Antiqua" w:hAnsi="Book Antiqua" w:cs="Times New Roman"/>
          <w:sz w:val="24"/>
          <w:szCs w:val="24"/>
        </w:rPr>
        <w:t>designed</w:t>
      </w:r>
      <w:r w:rsidRPr="0032635B">
        <w:rPr>
          <w:rFonts w:ascii="Book Antiqua" w:hAnsi="Book Antiqua" w:cs="Times New Roman"/>
          <w:sz w:val="24"/>
          <w:szCs w:val="24"/>
        </w:rPr>
        <w:t xml:space="preserve"> to</w:t>
      </w:r>
      <w:r w:rsidR="000D560F" w:rsidRPr="0032635B">
        <w:rPr>
          <w:rFonts w:ascii="Book Antiqua" w:hAnsi="Book Antiqua" w:cs="Times New Roman"/>
          <w:sz w:val="24"/>
          <w:szCs w:val="24"/>
        </w:rPr>
        <w:t xml:space="preserve"> evaluate the efficacy of </w:t>
      </w:r>
      <w:r w:rsidRPr="0032635B">
        <w:rPr>
          <w:rFonts w:ascii="Book Antiqua" w:hAnsi="Book Antiqua" w:cs="Times New Roman"/>
          <w:sz w:val="24"/>
          <w:szCs w:val="24"/>
        </w:rPr>
        <w:t xml:space="preserve">the </w:t>
      </w:r>
      <w:r w:rsidR="000D560F" w:rsidRPr="0032635B">
        <w:rPr>
          <w:rFonts w:ascii="Book Antiqua" w:hAnsi="Book Antiqua" w:cs="Times New Roman"/>
          <w:sz w:val="24"/>
          <w:szCs w:val="24"/>
        </w:rPr>
        <w:t>second-generation H2RA</w:t>
      </w:r>
      <w:r w:rsidRPr="0032635B">
        <w:rPr>
          <w:rFonts w:ascii="Book Antiqua" w:hAnsi="Book Antiqua" w:cs="Times New Roman"/>
          <w:sz w:val="24"/>
          <w:szCs w:val="24"/>
        </w:rPr>
        <w:t xml:space="preserve"> </w:t>
      </w:r>
      <w:proofErr w:type="spellStart"/>
      <w:r w:rsidRPr="0032635B">
        <w:rPr>
          <w:rFonts w:ascii="Book Antiqua" w:hAnsi="Book Antiqua" w:cs="Times New Roman"/>
          <w:sz w:val="24"/>
          <w:szCs w:val="24"/>
        </w:rPr>
        <w:t>lafutidine</w:t>
      </w:r>
      <w:proofErr w:type="spellEnd"/>
      <w:r w:rsidR="000D560F" w:rsidRPr="0032635B">
        <w:rPr>
          <w:rFonts w:ascii="Book Antiqua" w:hAnsi="Book Antiqua" w:cs="Times New Roman"/>
          <w:sz w:val="24"/>
          <w:szCs w:val="24"/>
        </w:rPr>
        <w:t xml:space="preserve">. However, </w:t>
      </w:r>
      <w:proofErr w:type="spellStart"/>
      <w:r w:rsidR="000D560F" w:rsidRPr="0032635B">
        <w:rPr>
          <w:rFonts w:ascii="Book Antiqua" w:hAnsi="Book Antiqua"/>
          <w:sz w:val="24"/>
          <w:szCs w:val="24"/>
        </w:rPr>
        <w:t>lansoprazole</w:t>
      </w:r>
      <w:proofErr w:type="spellEnd"/>
      <w:r w:rsidR="000D560F" w:rsidRPr="0032635B">
        <w:rPr>
          <w:rFonts w:ascii="Book Antiqua" w:hAnsi="Book Antiqua"/>
          <w:sz w:val="24"/>
          <w:szCs w:val="24"/>
        </w:rPr>
        <w:t xml:space="preserve"> </w:t>
      </w:r>
      <w:r w:rsidRPr="0032635B">
        <w:rPr>
          <w:rFonts w:ascii="Book Antiqua" w:hAnsi="Book Antiqua"/>
          <w:sz w:val="24"/>
          <w:szCs w:val="24"/>
        </w:rPr>
        <w:t>wa</w:t>
      </w:r>
      <w:r w:rsidR="000D560F" w:rsidRPr="0032635B">
        <w:rPr>
          <w:rFonts w:ascii="Book Antiqua" w:hAnsi="Book Antiqua"/>
          <w:sz w:val="24"/>
          <w:szCs w:val="24"/>
        </w:rPr>
        <w:t xml:space="preserve">s superior to </w:t>
      </w:r>
      <w:proofErr w:type="spellStart"/>
      <w:r w:rsidR="000D560F" w:rsidRPr="0032635B">
        <w:rPr>
          <w:rFonts w:ascii="Book Antiqua" w:hAnsi="Book Antiqua"/>
          <w:sz w:val="24"/>
          <w:szCs w:val="24"/>
        </w:rPr>
        <w:t>lafutidine</w:t>
      </w:r>
      <w:proofErr w:type="spellEnd"/>
      <w:r w:rsidR="000D560F" w:rsidRPr="0032635B">
        <w:rPr>
          <w:rFonts w:ascii="Book Antiqua" w:hAnsi="Book Antiqua"/>
          <w:sz w:val="24"/>
          <w:szCs w:val="24"/>
        </w:rPr>
        <w:t xml:space="preserve"> </w:t>
      </w:r>
      <w:r w:rsidRPr="0032635B">
        <w:rPr>
          <w:rFonts w:ascii="Book Antiqua" w:hAnsi="Book Antiqua"/>
          <w:sz w:val="24"/>
          <w:szCs w:val="24"/>
        </w:rPr>
        <w:t>in Japanese patients with mild GERD, no</w:t>
      </w:r>
      <w:r w:rsidR="000D560F" w:rsidRPr="0032635B">
        <w:rPr>
          <w:rFonts w:ascii="Book Antiqua" w:hAnsi="Book Antiqua"/>
          <w:sz w:val="24"/>
          <w:szCs w:val="24"/>
        </w:rPr>
        <w:t xml:space="preserve">t only </w:t>
      </w:r>
      <w:r w:rsidRPr="0032635B">
        <w:rPr>
          <w:rFonts w:ascii="Book Antiqua" w:hAnsi="Book Antiqua"/>
          <w:sz w:val="24"/>
          <w:szCs w:val="24"/>
        </w:rPr>
        <w:t>with respect to lowering the severity of heart</w:t>
      </w:r>
      <w:r w:rsidR="000D560F" w:rsidRPr="0032635B">
        <w:rPr>
          <w:rFonts w:ascii="Book Antiqua" w:hAnsi="Book Antiqua"/>
          <w:sz w:val="24"/>
          <w:szCs w:val="24"/>
        </w:rPr>
        <w:t>burn</w:t>
      </w:r>
      <w:r w:rsidRPr="0032635B">
        <w:rPr>
          <w:rFonts w:ascii="Book Antiqua" w:hAnsi="Book Antiqua"/>
          <w:sz w:val="24"/>
          <w:szCs w:val="24"/>
        </w:rPr>
        <w:t>,</w:t>
      </w:r>
      <w:r w:rsidR="000D560F" w:rsidRPr="0032635B">
        <w:rPr>
          <w:rFonts w:ascii="Book Antiqua" w:hAnsi="Book Antiqua"/>
          <w:sz w:val="24"/>
          <w:szCs w:val="24"/>
        </w:rPr>
        <w:t xml:space="preserve"> but </w:t>
      </w:r>
      <w:r w:rsidRPr="0032635B">
        <w:rPr>
          <w:rFonts w:ascii="Book Antiqua" w:hAnsi="Book Antiqua"/>
          <w:sz w:val="24"/>
          <w:szCs w:val="24"/>
        </w:rPr>
        <w:t xml:space="preserve">also the </w:t>
      </w:r>
      <w:r w:rsidR="000D560F" w:rsidRPr="0032635B">
        <w:rPr>
          <w:rFonts w:ascii="Book Antiqua" w:hAnsi="Book Antiqua"/>
          <w:sz w:val="24"/>
          <w:szCs w:val="24"/>
        </w:rPr>
        <w:t xml:space="preserve">satisfaction score. </w:t>
      </w:r>
      <w:r w:rsidRPr="0032635B">
        <w:rPr>
          <w:rFonts w:ascii="Book Antiqua" w:hAnsi="Book Antiqua"/>
          <w:sz w:val="24"/>
          <w:szCs w:val="24"/>
        </w:rPr>
        <w:t xml:space="preserve">The </w:t>
      </w:r>
      <w:r w:rsidR="000D560F" w:rsidRPr="0032635B">
        <w:rPr>
          <w:rFonts w:ascii="Book Antiqua" w:hAnsi="Book Antiqua"/>
          <w:sz w:val="24"/>
          <w:szCs w:val="24"/>
        </w:rPr>
        <w:t xml:space="preserve">GSRS score was also better in the </w:t>
      </w:r>
      <w:proofErr w:type="spellStart"/>
      <w:r w:rsidR="000D560F" w:rsidRPr="0032635B">
        <w:rPr>
          <w:rFonts w:ascii="Book Antiqua" w:hAnsi="Book Antiqua"/>
          <w:sz w:val="24"/>
          <w:szCs w:val="24"/>
        </w:rPr>
        <w:t>lansoprazole</w:t>
      </w:r>
      <w:proofErr w:type="spellEnd"/>
      <w:r w:rsidR="000D560F" w:rsidRPr="0032635B">
        <w:rPr>
          <w:rFonts w:ascii="Book Antiqua" w:hAnsi="Book Antiqua"/>
          <w:sz w:val="24"/>
          <w:szCs w:val="24"/>
        </w:rPr>
        <w:t xml:space="preserve"> than </w:t>
      </w:r>
      <w:r w:rsidRPr="0032635B">
        <w:rPr>
          <w:rFonts w:ascii="Book Antiqua" w:hAnsi="Book Antiqua"/>
          <w:sz w:val="24"/>
          <w:szCs w:val="24"/>
        </w:rPr>
        <w:t xml:space="preserve">the </w:t>
      </w:r>
      <w:proofErr w:type="spellStart"/>
      <w:r w:rsidRPr="0032635B">
        <w:rPr>
          <w:rFonts w:ascii="Book Antiqua" w:hAnsi="Book Antiqua"/>
          <w:sz w:val="24"/>
          <w:szCs w:val="24"/>
        </w:rPr>
        <w:t>lafutidine</w:t>
      </w:r>
      <w:proofErr w:type="spellEnd"/>
      <w:r w:rsidRPr="0032635B">
        <w:rPr>
          <w:rFonts w:ascii="Book Antiqua" w:hAnsi="Book Antiqua"/>
          <w:sz w:val="24"/>
          <w:szCs w:val="24"/>
        </w:rPr>
        <w:t xml:space="preserve"> group. Thus, the</w:t>
      </w:r>
      <w:r w:rsidR="000D560F" w:rsidRPr="0032635B">
        <w:rPr>
          <w:rFonts w:ascii="Book Antiqua" w:hAnsi="Book Antiqua"/>
          <w:sz w:val="24"/>
          <w:szCs w:val="24"/>
        </w:rPr>
        <w:t xml:space="preserve"> hypothesis that </w:t>
      </w:r>
      <w:proofErr w:type="spellStart"/>
      <w:r w:rsidR="000D560F" w:rsidRPr="0032635B">
        <w:rPr>
          <w:rFonts w:ascii="Book Antiqua" w:hAnsi="Book Antiqua"/>
          <w:sz w:val="24"/>
          <w:szCs w:val="24"/>
        </w:rPr>
        <w:t>lafutidine</w:t>
      </w:r>
      <w:proofErr w:type="spellEnd"/>
      <w:r w:rsidR="000D560F" w:rsidRPr="0032635B">
        <w:rPr>
          <w:rFonts w:ascii="Book Antiqua" w:hAnsi="Book Antiqua"/>
          <w:sz w:val="24"/>
          <w:szCs w:val="24"/>
        </w:rPr>
        <w:t xml:space="preserve"> has similar efficacy and superior cost-</w:t>
      </w:r>
      <w:r w:rsidRPr="0032635B">
        <w:rPr>
          <w:rFonts w:ascii="Book Antiqua" w:hAnsi="Book Antiqua"/>
          <w:sz w:val="24"/>
          <w:szCs w:val="24"/>
        </w:rPr>
        <w:t xml:space="preserve">effectiveness compared with </w:t>
      </w:r>
      <w:proofErr w:type="spellStart"/>
      <w:r w:rsidR="000D560F" w:rsidRPr="0032635B">
        <w:rPr>
          <w:rFonts w:ascii="Book Antiqua" w:hAnsi="Book Antiqua"/>
          <w:sz w:val="24"/>
          <w:szCs w:val="24"/>
        </w:rPr>
        <w:t>lansoprazole</w:t>
      </w:r>
      <w:proofErr w:type="spellEnd"/>
      <w:r w:rsidR="000D560F" w:rsidRPr="0032635B">
        <w:rPr>
          <w:rFonts w:ascii="Book Antiqua" w:hAnsi="Book Antiqua"/>
          <w:sz w:val="24"/>
          <w:szCs w:val="24"/>
        </w:rPr>
        <w:t xml:space="preserve"> in Japanese patients with mild GERD</w:t>
      </w:r>
      <w:r w:rsidR="003037C3" w:rsidRPr="0032635B">
        <w:rPr>
          <w:rFonts w:ascii="Book Antiqua" w:hAnsi="Book Antiqua"/>
          <w:sz w:val="24"/>
          <w:szCs w:val="24"/>
        </w:rPr>
        <w:t xml:space="preserve"> was not confirmed</w:t>
      </w:r>
      <w:r w:rsidR="000D560F" w:rsidRPr="0032635B">
        <w:rPr>
          <w:rFonts w:ascii="Book Antiqua" w:hAnsi="Book Antiqua"/>
          <w:sz w:val="24"/>
          <w:szCs w:val="24"/>
        </w:rPr>
        <w:t>.</w:t>
      </w:r>
    </w:p>
    <w:p w:rsidR="00E53A88" w:rsidRPr="0032635B" w:rsidRDefault="00E53A88" w:rsidP="00C92BD7">
      <w:pPr>
        <w:widowControl/>
        <w:spacing w:line="360" w:lineRule="auto"/>
        <w:ind w:firstLine="840"/>
        <w:rPr>
          <w:rFonts w:ascii="Book Antiqua" w:hAnsi="Book Antiqua"/>
          <w:sz w:val="24"/>
          <w:szCs w:val="24"/>
        </w:rPr>
      </w:pPr>
      <w:r w:rsidRPr="0032635B">
        <w:rPr>
          <w:rFonts w:ascii="Book Antiqua" w:hAnsi="Book Antiqua"/>
          <w:sz w:val="24"/>
          <w:szCs w:val="24"/>
        </w:rPr>
        <w:t>Limitations of PPI</w:t>
      </w:r>
      <w:r w:rsidR="005716D4" w:rsidRPr="0032635B">
        <w:rPr>
          <w:rFonts w:ascii="Book Antiqua" w:hAnsi="Book Antiqua"/>
          <w:sz w:val="24"/>
          <w:szCs w:val="24"/>
        </w:rPr>
        <w:t>s</w:t>
      </w:r>
      <w:r w:rsidRPr="0032635B">
        <w:rPr>
          <w:rFonts w:ascii="Book Antiqua" w:hAnsi="Book Antiqua"/>
          <w:sz w:val="24"/>
          <w:szCs w:val="24"/>
        </w:rPr>
        <w:t xml:space="preserve"> include a higher cost </w:t>
      </w:r>
      <w:r w:rsidR="005716D4" w:rsidRPr="0032635B">
        <w:rPr>
          <w:rFonts w:ascii="Book Antiqua" w:hAnsi="Book Antiqua"/>
          <w:sz w:val="24"/>
          <w:szCs w:val="24"/>
        </w:rPr>
        <w:t>than</w:t>
      </w:r>
      <w:r w:rsidRPr="0032635B">
        <w:rPr>
          <w:rFonts w:ascii="Book Antiqua" w:hAnsi="Book Antiqua"/>
          <w:sz w:val="24"/>
          <w:szCs w:val="24"/>
        </w:rPr>
        <w:t xml:space="preserve"> H2RAs, and potential side effects </w:t>
      </w:r>
      <w:r w:rsidR="005716D4" w:rsidRPr="0032635B">
        <w:rPr>
          <w:rFonts w:ascii="Book Antiqua" w:hAnsi="Book Antiqua"/>
          <w:sz w:val="24"/>
          <w:szCs w:val="24"/>
        </w:rPr>
        <w:t>such as</w:t>
      </w:r>
      <w:r w:rsidRPr="0032635B">
        <w:rPr>
          <w:rFonts w:ascii="Book Antiqua" w:hAnsi="Book Antiqua"/>
          <w:sz w:val="24"/>
          <w:szCs w:val="24"/>
        </w:rPr>
        <w:t xml:space="preserve"> </w:t>
      </w:r>
      <w:proofErr w:type="spellStart"/>
      <w:r w:rsidRPr="0032635B">
        <w:rPr>
          <w:rFonts w:ascii="Book Antiqua" w:hAnsi="Book Antiqua"/>
          <w:sz w:val="24"/>
          <w:szCs w:val="24"/>
        </w:rPr>
        <w:t>hypochlorhydria</w:t>
      </w:r>
      <w:proofErr w:type="spellEnd"/>
      <w:r w:rsidRPr="0032635B">
        <w:rPr>
          <w:rFonts w:ascii="Book Antiqua" w:hAnsi="Book Antiqua"/>
          <w:sz w:val="24"/>
          <w:szCs w:val="24"/>
        </w:rPr>
        <w:t xml:space="preserve"> and </w:t>
      </w:r>
      <w:proofErr w:type="spellStart"/>
      <w:r w:rsidRPr="0032635B">
        <w:rPr>
          <w:rFonts w:ascii="Book Antiqua" w:hAnsi="Book Antiqua"/>
          <w:sz w:val="24"/>
          <w:szCs w:val="24"/>
        </w:rPr>
        <w:t>hypergastrinemia</w:t>
      </w:r>
      <w:proofErr w:type="spellEnd"/>
      <w:r w:rsidRPr="0032635B">
        <w:rPr>
          <w:rFonts w:ascii="Book Antiqua" w:hAnsi="Book Antiqua"/>
          <w:sz w:val="24"/>
          <w:szCs w:val="24"/>
        </w:rPr>
        <w:t xml:space="preserve">. In particular, </w:t>
      </w:r>
      <w:r w:rsidR="005716D4" w:rsidRPr="0032635B">
        <w:rPr>
          <w:rFonts w:ascii="Book Antiqua" w:hAnsi="Book Antiqua"/>
          <w:sz w:val="24"/>
          <w:szCs w:val="24"/>
        </w:rPr>
        <w:t xml:space="preserve">PPI-related </w:t>
      </w:r>
      <w:proofErr w:type="spellStart"/>
      <w:r w:rsidRPr="0032635B">
        <w:rPr>
          <w:rFonts w:ascii="Book Antiqua" w:hAnsi="Book Antiqua"/>
          <w:sz w:val="24"/>
          <w:szCs w:val="24"/>
        </w:rPr>
        <w:t>hypochlorhydria</w:t>
      </w:r>
      <w:proofErr w:type="spellEnd"/>
      <w:r w:rsidRPr="0032635B">
        <w:rPr>
          <w:rFonts w:ascii="Book Antiqua" w:hAnsi="Book Antiqua"/>
          <w:sz w:val="24"/>
          <w:szCs w:val="24"/>
        </w:rPr>
        <w:t xml:space="preserve"> is concern </w:t>
      </w:r>
      <w:r w:rsidR="005716D4" w:rsidRPr="0032635B">
        <w:rPr>
          <w:rFonts w:ascii="Book Antiqua" w:hAnsi="Book Antiqua"/>
          <w:sz w:val="24"/>
          <w:szCs w:val="24"/>
        </w:rPr>
        <w:t xml:space="preserve">because </w:t>
      </w:r>
      <w:r w:rsidRPr="0032635B">
        <w:rPr>
          <w:rFonts w:ascii="Book Antiqua" w:hAnsi="Book Antiqua"/>
          <w:sz w:val="24"/>
          <w:szCs w:val="24"/>
        </w:rPr>
        <w:t xml:space="preserve">it may </w:t>
      </w:r>
      <w:r w:rsidR="005716D4" w:rsidRPr="0032635B">
        <w:rPr>
          <w:rFonts w:ascii="Book Antiqua" w:hAnsi="Book Antiqua"/>
          <w:sz w:val="24"/>
          <w:szCs w:val="24"/>
        </w:rPr>
        <w:t xml:space="preserve">increase susceptibility to </w:t>
      </w:r>
      <w:r w:rsidRPr="0032635B">
        <w:rPr>
          <w:rFonts w:ascii="Book Antiqua" w:hAnsi="Book Antiqua"/>
          <w:sz w:val="24"/>
          <w:szCs w:val="24"/>
        </w:rPr>
        <w:lastRenderedPageBreak/>
        <w:t>infections</w:t>
      </w:r>
      <w:r w:rsidR="005716D4" w:rsidRPr="0032635B">
        <w:rPr>
          <w:rFonts w:ascii="Book Antiqua" w:hAnsi="Book Antiqua"/>
          <w:sz w:val="24"/>
          <w:szCs w:val="24"/>
        </w:rPr>
        <w:t xml:space="preserve">, for example Clostridium </w:t>
      </w:r>
      <w:proofErr w:type="spellStart"/>
      <w:r w:rsidR="005716D4" w:rsidRPr="0032635B">
        <w:rPr>
          <w:rFonts w:ascii="Book Antiqua" w:hAnsi="Book Antiqua"/>
          <w:sz w:val="24"/>
          <w:szCs w:val="24"/>
        </w:rPr>
        <w:t>difficile</w:t>
      </w:r>
      <w:proofErr w:type="spellEnd"/>
      <w:r w:rsidR="005716D4" w:rsidRPr="0032635B">
        <w:rPr>
          <w:rFonts w:ascii="Book Antiqua" w:hAnsi="Book Antiqua"/>
          <w:sz w:val="24"/>
          <w:szCs w:val="24"/>
        </w:rPr>
        <w:t xml:space="preserve">-associated </w:t>
      </w:r>
      <w:proofErr w:type="gramStart"/>
      <w:r w:rsidR="00F755EB" w:rsidRPr="0032635B">
        <w:rPr>
          <w:rFonts w:ascii="Book Antiqua" w:hAnsi="Book Antiqua"/>
          <w:sz w:val="24"/>
          <w:szCs w:val="24"/>
        </w:rPr>
        <w:t>diarrhea</w:t>
      </w:r>
      <w:r w:rsidR="00473E0F" w:rsidRPr="0032635B">
        <w:rPr>
          <w:rFonts w:ascii="Book Antiqua" w:hAnsi="Book Antiqua"/>
          <w:sz w:val="24"/>
          <w:szCs w:val="24"/>
          <w:vertAlign w:val="superscript"/>
        </w:rPr>
        <w:t>[</w:t>
      </w:r>
      <w:proofErr w:type="gramEnd"/>
      <w:r w:rsidR="005716D4" w:rsidRPr="0032635B">
        <w:rPr>
          <w:rFonts w:ascii="Book Antiqua" w:hAnsi="Book Antiqua"/>
          <w:sz w:val="24"/>
          <w:szCs w:val="24"/>
          <w:vertAlign w:val="superscript"/>
        </w:rPr>
        <w:t>9-11]</w:t>
      </w:r>
      <w:r w:rsidR="005716D4" w:rsidRPr="0032635B">
        <w:rPr>
          <w:rFonts w:ascii="Book Antiqua" w:hAnsi="Book Antiqua"/>
          <w:sz w:val="24"/>
          <w:szCs w:val="24"/>
        </w:rPr>
        <w:t xml:space="preserve">, as well as </w:t>
      </w:r>
      <w:proofErr w:type="spellStart"/>
      <w:r w:rsidRPr="0032635B">
        <w:rPr>
          <w:rFonts w:ascii="Book Antiqua" w:hAnsi="Book Antiqua"/>
          <w:sz w:val="24"/>
          <w:szCs w:val="24"/>
        </w:rPr>
        <w:t>malabsorption</w:t>
      </w:r>
      <w:proofErr w:type="spellEnd"/>
      <w:r w:rsidR="005716D4" w:rsidRPr="0032635B">
        <w:rPr>
          <w:rFonts w:ascii="Book Antiqua" w:hAnsi="Book Antiqua"/>
          <w:sz w:val="24"/>
          <w:szCs w:val="24"/>
        </w:rPr>
        <w:t xml:space="preserve"> leading to </w:t>
      </w:r>
      <w:proofErr w:type="spellStart"/>
      <w:r w:rsidR="005716D4" w:rsidRPr="0032635B">
        <w:rPr>
          <w:rFonts w:ascii="Book Antiqua" w:hAnsi="Book Antiqua"/>
          <w:sz w:val="24"/>
          <w:szCs w:val="24"/>
        </w:rPr>
        <w:t>hypomagnesemia</w:t>
      </w:r>
      <w:proofErr w:type="spellEnd"/>
      <w:r w:rsidRPr="0032635B">
        <w:rPr>
          <w:rFonts w:ascii="Book Antiqua" w:hAnsi="Book Antiqua"/>
          <w:sz w:val="24"/>
          <w:szCs w:val="24"/>
          <w:vertAlign w:val="superscript"/>
        </w:rPr>
        <w:t>[12]</w:t>
      </w:r>
      <w:r w:rsidRPr="0032635B">
        <w:rPr>
          <w:rFonts w:ascii="Book Antiqua" w:hAnsi="Book Antiqua"/>
          <w:sz w:val="24"/>
          <w:szCs w:val="24"/>
        </w:rPr>
        <w:t xml:space="preserve">. </w:t>
      </w:r>
      <w:proofErr w:type="spellStart"/>
      <w:r w:rsidR="005716D4" w:rsidRPr="0032635B">
        <w:rPr>
          <w:rFonts w:ascii="Book Antiqua" w:hAnsi="Book Antiqua"/>
          <w:sz w:val="24"/>
          <w:szCs w:val="24"/>
        </w:rPr>
        <w:t>Hypochlorhydria</w:t>
      </w:r>
      <w:proofErr w:type="spellEnd"/>
      <w:r w:rsidR="005716D4" w:rsidRPr="0032635B">
        <w:rPr>
          <w:rFonts w:ascii="Book Antiqua" w:hAnsi="Book Antiqua"/>
          <w:sz w:val="24"/>
          <w:szCs w:val="24"/>
        </w:rPr>
        <w:t xml:space="preserve"> may</w:t>
      </w:r>
      <w:r w:rsidRPr="0032635B">
        <w:rPr>
          <w:rFonts w:ascii="Book Antiqua" w:hAnsi="Book Antiqua"/>
          <w:sz w:val="24"/>
          <w:szCs w:val="24"/>
        </w:rPr>
        <w:t xml:space="preserve"> theoretically reduce calcium </w:t>
      </w:r>
      <w:proofErr w:type="gramStart"/>
      <w:r w:rsidR="00F755EB" w:rsidRPr="0032635B">
        <w:rPr>
          <w:rFonts w:ascii="Book Antiqua" w:hAnsi="Book Antiqua"/>
          <w:sz w:val="24"/>
          <w:szCs w:val="24"/>
        </w:rPr>
        <w:t>absorption</w:t>
      </w:r>
      <w:r w:rsidR="00473E0F" w:rsidRPr="0032635B">
        <w:rPr>
          <w:rFonts w:ascii="Book Antiqua" w:hAnsi="Book Antiqua"/>
          <w:sz w:val="24"/>
          <w:szCs w:val="24"/>
          <w:vertAlign w:val="superscript"/>
        </w:rPr>
        <w:t>[</w:t>
      </w:r>
      <w:proofErr w:type="gramEnd"/>
      <w:r w:rsidRPr="0032635B">
        <w:rPr>
          <w:rFonts w:ascii="Book Antiqua" w:hAnsi="Book Antiqua"/>
          <w:sz w:val="24"/>
          <w:szCs w:val="24"/>
          <w:vertAlign w:val="superscript"/>
        </w:rPr>
        <w:t>13]</w:t>
      </w:r>
      <w:r w:rsidRPr="0032635B">
        <w:rPr>
          <w:rFonts w:ascii="Book Antiqua" w:hAnsi="Book Antiqua"/>
          <w:sz w:val="24"/>
          <w:szCs w:val="24"/>
        </w:rPr>
        <w:t>. A meta-analysis that included 11 cohort and case-control studies examined the risk of fractures associated with PPI use</w:t>
      </w:r>
      <w:r w:rsidR="001F4068" w:rsidRPr="0032635B">
        <w:rPr>
          <w:rFonts w:ascii="Book Antiqua" w:hAnsi="Book Antiqua"/>
          <w:sz w:val="24"/>
          <w:szCs w:val="24"/>
        </w:rPr>
        <w:t>,</w:t>
      </w:r>
      <w:r w:rsidRPr="0032635B">
        <w:rPr>
          <w:rFonts w:ascii="Book Antiqua" w:hAnsi="Book Antiqua"/>
          <w:sz w:val="24"/>
          <w:szCs w:val="24"/>
        </w:rPr>
        <w:t xml:space="preserve"> and showed that </w:t>
      </w:r>
      <w:r w:rsidR="001F4068" w:rsidRPr="0032635B">
        <w:rPr>
          <w:rFonts w:ascii="Book Antiqua" w:hAnsi="Book Antiqua"/>
          <w:sz w:val="24"/>
          <w:szCs w:val="24"/>
        </w:rPr>
        <w:t>t</w:t>
      </w:r>
      <w:r w:rsidRPr="0032635B">
        <w:rPr>
          <w:rFonts w:ascii="Book Antiqua" w:hAnsi="Book Antiqua"/>
          <w:sz w:val="24"/>
          <w:szCs w:val="24"/>
        </w:rPr>
        <w:t>he risk of hip fracture</w:t>
      </w:r>
      <w:r w:rsidR="005716D4" w:rsidRPr="0032635B">
        <w:rPr>
          <w:rFonts w:ascii="Book Antiqua" w:hAnsi="Book Antiqua"/>
          <w:sz w:val="24"/>
          <w:szCs w:val="24"/>
        </w:rPr>
        <w:t>, spine fracture, and any-site fracture</w:t>
      </w:r>
      <w:r w:rsidRPr="0032635B">
        <w:rPr>
          <w:rFonts w:ascii="Book Antiqua" w:hAnsi="Book Antiqua"/>
          <w:sz w:val="24"/>
          <w:szCs w:val="24"/>
        </w:rPr>
        <w:t xml:space="preserve"> was increased among PPI users compared with nonusers (</w:t>
      </w:r>
      <w:r w:rsidR="005716D4" w:rsidRPr="0032635B">
        <w:rPr>
          <w:rFonts w:ascii="Book Antiqua" w:hAnsi="Book Antiqua"/>
          <w:sz w:val="24"/>
          <w:szCs w:val="24"/>
        </w:rPr>
        <w:t>RR</w:t>
      </w:r>
      <w:r w:rsidRPr="0032635B">
        <w:rPr>
          <w:rFonts w:ascii="Book Antiqua" w:hAnsi="Book Antiqua"/>
          <w:sz w:val="24"/>
          <w:szCs w:val="24"/>
        </w:rPr>
        <w:t xml:space="preserve"> </w:t>
      </w:r>
      <w:r w:rsidR="00473E0F" w:rsidRPr="0032635B">
        <w:rPr>
          <w:rFonts w:ascii="Book Antiqua" w:eastAsia="宋体" w:hAnsi="Book Antiqua"/>
          <w:sz w:val="24"/>
          <w:szCs w:val="24"/>
          <w:lang w:eastAsia="zh-CN"/>
        </w:rPr>
        <w:t xml:space="preserve">= </w:t>
      </w:r>
      <w:r w:rsidR="00473E0F" w:rsidRPr="0032635B">
        <w:rPr>
          <w:rFonts w:ascii="Book Antiqua" w:hAnsi="Book Antiqua"/>
          <w:sz w:val="24"/>
          <w:szCs w:val="24"/>
        </w:rPr>
        <w:t>1.30, 95%</w:t>
      </w:r>
      <w:r w:rsidRPr="0032635B">
        <w:rPr>
          <w:rFonts w:ascii="Book Antiqua" w:hAnsi="Book Antiqua"/>
          <w:sz w:val="24"/>
          <w:szCs w:val="24"/>
        </w:rPr>
        <w:t>CI</w:t>
      </w:r>
      <w:r w:rsidR="00473E0F" w:rsidRPr="0032635B">
        <w:rPr>
          <w:rFonts w:ascii="Book Antiqua" w:eastAsia="宋体" w:hAnsi="Book Antiqua"/>
          <w:sz w:val="24"/>
          <w:szCs w:val="24"/>
          <w:lang w:eastAsia="zh-CN"/>
        </w:rPr>
        <w:t>:</w:t>
      </w:r>
      <w:r w:rsidRPr="0032635B">
        <w:rPr>
          <w:rFonts w:ascii="Book Antiqua" w:hAnsi="Book Antiqua"/>
          <w:sz w:val="24"/>
          <w:szCs w:val="24"/>
        </w:rPr>
        <w:t xml:space="preserve"> 1.19-1.43</w:t>
      </w:r>
      <w:r w:rsidR="005716D4" w:rsidRPr="0032635B">
        <w:rPr>
          <w:rFonts w:ascii="Book Antiqua" w:hAnsi="Book Antiqua"/>
          <w:sz w:val="24"/>
          <w:szCs w:val="24"/>
        </w:rPr>
        <w:t xml:space="preserve">; RR </w:t>
      </w:r>
      <w:r w:rsidR="00473E0F" w:rsidRPr="0032635B">
        <w:rPr>
          <w:rFonts w:ascii="Book Antiqua" w:eastAsia="宋体" w:hAnsi="Book Antiqua"/>
          <w:sz w:val="24"/>
          <w:szCs w:val="24"/>
          <w:lang w:eastAsia="zh-CN"/>
        </w:rPr>
        <w:t xml:space="preserve">= </w:t>
      </w:r>
      <w:r w:rsidR="00473E0F" w:rsidRPr="0032635B">
        <w:rPr>
          <w:rFonts w:ascii="Book Antiqua" w:hAnsi="Book Antiqua"/>
          <w:sz w:val="24"/>
          <w:szCs w:val="24"/>
        </w:rPr>
        <w:t>1.56, 95%</w:t>
      </w:r>
      <w:r w:rsidR="005716D4" w:rsidRPr="0032635B">
        <w:rPr>
          <w:rFonts w:ascii="Book Antiqua" w:hAnsi="Book Antiqua"/>
          <w:sz w:val="24"/>
          <w:szCs w:val="24"/>
        </w:rPr>
        <w:t>CI</w:t>
      </w:r>
      <w:r w:rsidR="00473E0F" w:rsidRPr="0032635B">
        <w:rPr>
          <w:rFonts w:ascii="Book Antiqua" w:eastAsia="宋体" w:hAnsi="Book Antiqua"/>
          <w:sz w:val="24"/>
          <w:szCs w:val="24"/>
          <w:lang w:eastAsia="zh-CN"/>
        </w:rPr>
        <w:t>:</w:t>
      </w:r>
      <w:r w:rsidR="005716D4" w:rsidRPr="0032635B">
        <w:rPr>
          <w:rFonts w:ascii="Book Antiqua" w:hAnsi="Book Antiqua"/>
          <w:sz w:val="24"/>
          <w:szCs w:val="24"/>
        </w:rPr>
        <w:t xml:space="preserve"> 1.31-1.85; and RR </w:t>
      </w:r>
      <w:r w:rsidR="00473E0F" w:rsidRPr="0032635B">
        <w:rPr>
          <w:rFonts w:ascii="Book Antiqua" w:eastAsia="宋体" w:hAnsi="Book Antiqua"/>
          <w:sz w:val="24"/>
          <w:szCs w:val="24"/>
          <w:lang w:eastAsia="zh-CN"/>
        </w:rPr>
        <w:t xml:space="preserve">= </w:t>
      </w:r>
      <w:r w:rsidR="00473E0F" w:rsidRPr="0032635B">
        <w:rPr>
          <w:rFonts w:ascii="Book Antiqua" w:hAnsi="Book Antiqua"/>
          <w:sz w:val="24"/>
          <w:szCs w:val="24"/>
        </w:rPr>
        <w:t>1.16, 95%</w:t>
      </w:r>
      <w:r w:rsidR="005716D4" w:rsidRPr="0032635B">
        <w:rPr>
          <w:rFonts w:ascii="Book Antiqua" w:hAnsi="Book Antiqua"/>
          <w:sz w:val="24"/>
          <w:szCs w:val="24"/>
        </w:rPr>
        <w:t>CI</w:t>
      </w:r>
      <w:r w:rsidR="00473E0F" w:rsidRPr="0032635B">
        <w:rPr>
          <w:rFonts w:ascii="Book Antiqua" w:eastAsia="宋体" w:hAnsi="Book Antiqua"/>
          <w:sz w:val="24"/>
          <w:szCs w:val="24"/>
          <w:lang w:eastAsia="zh-CN"/>
        </w:rPr>
        <w:t>:</w:t>
      </w:r>
      <w:r w:rsidR="005716D4" w:rsidRPr="0032635B">
        <w:rPr>
          <w:rFonts w:ascii="Book Antiqua" w:hAnsi="Book Antiqua"/>
          <w:sz w:val="24"/>
          <w:szCs w:val="24"/>
        </w:rPr>
        <w:t xml:space="preserve"> 1.02-1.32, respectively</w:t>
      </w:r>
      <w:r w:rsidR="008848DD" w:rsidRPr="0032635B">
        <w:rPr>
          <w:rFonts w:ascii="Book Antiqua" w:hAnsi="Book Antiqua"/>
          <w:sz w:val="24"/>
          <w:szCs w:val="24"/>
        </w:rPr>
        <w:t>)</w:t>
      </w:r>
      <w:r w:rsidR="001F4068" w:rsidRPr="0032635B">
        <w:rPr>
          <w:rFonts w:ascii="Book Antiqua" w:hAnsi="Book Antiqua"/>
          <w:sz w:val="24"/>
          <w:szCs w:val="24"/>
          <w:vertAlign w:val="superscript"/>
        </w:rPr>
        <w:t>[14]</w:t>
      </w:r>
      <w:r w:rsidR="001F4068" w:rsidRPr="0032635B">
        <w:rPr>
          <w:rFonts w:ascii="Book Antiqua" w:hAnsi="Book Antiqua"/>
          <w:sz w:val="24"/>
          <w:szCs w:val="24"/>
        </w:rPr>
        <w:t xml:space="preserve">. Therefore, </w:t>
      </w:r>
      <w:r w:rsidR="005716D4" w:rsidRPr="0032635B">
        <w:rPr>
          <w:rFonts w:ascii="Book Antiqua" w:hAnsi="Book Antiqua"/>
          <w:sz w:val="24"/>
          <w:szCs w:val="24"/>
        </w:rPr>
        <w:t xml:space="preserve">once </w:t>
      </w:r>
      <w:r w:rsidR="00837C07" w:rsidRPr="0032635B">
        <w:rPr>
          <w:rFonts w:ascii="Book Antiqua" w:hAnsi="Book Antiqua"/>
          <w:sz w:val="24"/>
          <w:szCs w:val="24"/>
        </w:rPr>
        <w:t>an</w:t>
      </w:r>
      <w:r w:rsidR="005716D4" w:rsidRPr="0032635B">
        <w:rPr>
          <w:rFonts w:ascii="Book Antiqua" w:hAnsi="Book Antiqua"/>
          <w:sz w:val="24"/>
          <w:szCs w:val="24"/>
        </w:rPr>
        <w:t xml:space="preserve"> asymptomatic state has been attained, tapering or cessation of medication should be considered in </w:t>
      </w:r>
      <w:r w:rsidR="001F4068" w:rsidRPr="0032635B">
        <w:rPr>
          <w:rFonts w:ascii="Book Antiqua" w:hAnsi="Book Antiqua"/>
          <w:sz w:val="24"/>
          <w:szCs w:val="24"/>
        </w:rPr>
        <w:t xml:space="preserve">patients with </w:t>
      </w:r>
      <w:r w:rsidR="005716D4" w:rsidRPr="0032635B">
        <w:rPr>
          <w:rFonts w:ascii="Book Antiqua" w:hAnsi="Book Antiqua"/>
          <w:sz w:val="24"/>
          <w:szCs w:val="24"/>
        </w:rPr>
        <w:t>GERD</w:t>
      </w:r>
      <w:r w:rsidR="001F4068" w:rsidRPr="0032635B">
        <w:rPr>
          <w:rFonts w:ascii="Book Antiqua" w:hAnsi="Book Antiqua"/>
          <w:sz w:val="24"/>
          <w:szCs w:val="24"/>
        </w:rPr>
        <w:t>.</w:t>
      </w:r>
    </w:p>
    <w:p w:rsidR="00CE542B" w:rsidRPr="00412C66" w:rsidRDefault="001F4068" w:rsidP="00C92BD7">
      <w:pPr>
        <w:widowControl/>
        <w:spacing w:line="360" w:lineRule="auto"/>
        <w:ind w:firstLine="840"/>
        <w:rPr>
          <w:rFonts w:ascii="Book Antiqua" w:hAnsi="Book Antiqua"/>
          <w:sz w:val="24"/>
          <w:szCs w:val="24"/>
        </w:rPr>
      </w:pPr>
      <w:r w:rsidRPr="0032635B">
        <w:rPr>
          <w:rFonts w:ascii="Book Antiqua" w:hAnsi="Book Antiqua"/>
          <w:sz w:val="24"/>
          <w:szCs w:val="24"/>
        </w:rPr>
        <w:t xml:space="preserve">In the present study, </w:t>
      </w:r>
      <w:r w:rsidR="005716D4" w:rsidRPr="0032635B">
        <w:rPr>
          <w:rFonts w:ascii="Book Antiqua" w:hAnsi="Book Antiqua"/>
          <w:sz w:val="24"/>
          <w:szCs w:val="24"/>
        </w:rPr>
        <w:t xml:space="preserve">initial therapy improved </w:t>
      </w:r>
      <w:r w:rsidR="000D560F" w:rsidRPr="0032635B">
        <w:rPr>
          <w:rFonts w:ascii="Book Antiqua" w:hAnsi="Book Antiqua"/>
          <w:sz w:val="24"/>
          <w:szCs w:val="24"/>
        </w:rPr>
        <w:t>c</w:t>
      </w:r>
      <w:r w:rsidR="00FE4C8F" w:rsidRPr="0032635B">
        <w:rPr>
          <w:rFonts w:ascii="Book Antiqua" w:hAnsi="Book Antiqua"/>
          <w:sz w:val="24"/>
          <w:szCs w:val="24"/>
        </w:rPr>
        <w:t>linical outcome</w:t>
      </w:r>
      <w:r w:rsidR="005716D4" w:rsidRPr="0032635B">
        <w:rPr>
          <w:rFonts w:ascii="Book Antiqua" w:hAnsi="Book Antiqua"/>
          <w:sz w:val="24"/>
          <w:szCs w:val="24"/>
        </w:rPr>
        <w:t>s</w:t>
      </w:r>
      <w:r w:rsidR="00FE4C8F" w:rsidRPr="0032635B">
        <w:rPr>
          <w:rFonts w:ascii="Book Antiqua" w:hAnsi="Book Antiqua"/>
          <w:sz w:val="24"/>
          <w:szCs w:val="24"/>
        </w:rPr>
        <w:t xml:space="preserve"> such as heartburn and </w:t>
      </w:r>
      <w:r w:rsidR="005716D4" w:rsidRPr="0032635B">
        <w:rPr>
          <w:rFonts w:ascii="Book Antiqua" w:hAnsi="Book Antiqua"/>
          <w:sz w:val="24"/>
          <w:szCs w:val="24"/>
        </w:rPr>
        <w:t xml:space="preserve">patient </w:t>
      </w:r>
      <w:r w:rsidR="00FE4C8F" w:rsidRPr="0032635B">
        <w:rPr>
          <w:rFonts w:ascii="Book Antiqua" w:hAnsi="Book Antiqua"/>
          <w:sz w:val="24"/>
          <w:szCs w:val="24"/>
        </w:rPr>
        <w:t xml:space="preserve">satisfaction score </w:t>
      </w:r>
      <w:r w:rsidR="005716D4" w:rsidRPr="0032635B">
        <w:rPr>
          <w:rFonts w:ascii="Book Antiqua" w:hAnsi="Book Antiqua"/>
          <w:sz w:val="24"/>
          <w:szCs w:val="24"/>
        </w:rPr>
        <w:t xml:space="preserve">in both </w:t>
      </w:r>
      <w:r w:rsidR="00FE4C8F" w:rsidRPr="0032635B">
        <w:rPr>
          <w:rFonts w:ascii="Book Antiqua" w:hAnsi="Book Antiqua"/>
          <w:sz w:val="24"/>
          <w:szCs w:val="24"/>
        </w:rPr>
        <w:t xml:space="preserve">the </w:t>
      </w:r>
      <w:proofErr w:type="spellStart"/>
      <w:r w:rsidR="00FE4C8F" w:rsidRPr="0032635B">
        <w:rPr>
          <w:rFonts w:ascii="Book Antiqua" w:hAnsi="Book Antiqua"/>
          <w:sz w:val="24"/>
          <w:szCs w:val="24"/>
        </w:rPr>
        <w:t>lafutidine</w:t>
      </w:r>
      <w:proofErr w:type="spellEnd"/>
      <w:r w:rsidR="00FE4C8F" w:rsidRPr="0032635B">
        <w:rPr>
          <w:rFonts w:ascii="Book Antiqua" w:hAnsi="Book Antiqua"/>
          <w:sz w:val="24"/>
          <w:szCs w:val="24"/>
        </w:rPr>
        <w:t xml:space="preserve"> group </w:t>
      </w:r>
      <w:r w:rsidR="005716D4" w:rsidRPr="0032635B">
        <w:rPr>
          <w:rFonts w:ascii="Book Antiqua" w:hAnsi="Book Antiqua"/>
          <w:sz w:val="24"/>
          <w:szCs w:val="24"/>
        </w:rPr>
        <w:t xml:space="preserve">and </w:t>
      </w:r>
      <w:r w:rsidR="00FE4C8F" w:rsidRPr="0032635B">
        <w:rPr>
          <w:rFonts w:ascii="Book Antiqua" w:hAnsi="Book Antiqua"/>
          <w:sz w:val="24"/>
          <w:szCs w:val="24"/>
        </w:rPr>
        <w:t xml:space="preserve">the </w:t>
      </w:r>
      <w:proofErr w:type="spellStart"/>
      <w:r w:rsidR="00FE4C8F" w:rsidRPr="0032635B">
        <w:rPr>
          <w:rFonts w:ascii="Book Antiqua" w:hAnsi="Book Antiqua"/>
          <w:sz w:val="24"/>
          <w:szCs w:val="24"/>
        </w:rPr>
        <w:t>lansoprazole</w:t>
      </w:r>
      <w:proofErr w:type="spellEnd"/>
      <w:r w:rsidR="00FE4C8F" w:rsidRPr="0032635B">
        <w:rPr>
          <w:rFonts w:ascii="Book Antiqua" w:hAnsi="Book Antiqua"/>
          <w:sz w:val="24"/>
          <w:szCs w:val="24"/>
        </w:rPr>
        <w:t xml:space="preserve"> group. However, </w:t>
      </w:r>
      <w:r w:rsidR="005716D4" w:rsidRPr="0032635B">
        <w:rPr>
          <w:rFonts w:ascii="Book Antiqua" w:hAnsi="Book Antiqua"/>
          <w:sz w:val="24"/>
          <w:szCs w:val="24"/>
        </w:rPr>
        <w:t xml:space="preserve">the </w:t>
      </w:r>
      <w:r w:rsidR="000D560F" w:rsidRPr="0032635B">
        <w:rPr>
          <w:rFonts w:ascii="Book Antiqua" w:hAnsi="Book Antiqua"/>
          <w:sz w:val="24"/>
          <w:szCs w:val="24"/>
        </w:rPr>
        <w:t xml:space="preserve">satisfaction score and </w:t>
      </w:r>
      <w:r w:rsidR="000A7AC9" w:rsidRPr="0032635B">
        <w:rPr>
          <w:rFonts w:ascii="Book Antiqua" w:hAnsi="Book Antiqua"/>
          <w:sz w:val="24"/>
          <w:szCs w:val="24"/>
        </w:rPr>
        <w:t xml:space="preserve">GSRS score </w:t>
      </w:r>
      <w:r w:rsidR="005716D4" w:rsidRPr="0032635B">
        <w:rPr>
          <w:rFonts w:ascii="Book Antiqua" w:hAnsi="Book Antiqua"/>
          <w:sz w:val="24"/>
          <w:szCs w:val="24"/>
        </w:rPr>
        <w:t>became</w:t>
      </w:r>
      <w:r w:rsidR="000A7AC9" w:rsidRPr="0032635B">
        <w:rPr>
          <w:rFonts w:ascii="Book Antiqua" w:hAnsi="Book Antiqua"/>
          <w:sz w:val="24"/>
          <w:szCs w:val="24"/>
        </w:rPr>
        <w:t xml:space="preserve"> worse during maintenance therapy in the </w:t>
      </w:r>
      <w:proofErr w:type="spellStart"/>
      <w:r w:rsidR="000A7AC9" w:rsidRPr="0032635B">
        <w:rPr>
          <w:rFonts w:ascii="Book Antiqua" w:hAnsi="Book Antiqua"/>
          <w:sz w:val="24"/>
          <w:szCs w:val="24"/>
        </w:rPr>
        <w:t>lafutidine</w:t>
      </w:r>
      <w:proofErr w:type="spellEnd"/>
      <w:r w:rsidR="000A7AC9" w:rsidRPr="0032635B">
        <w:rPr>
          <w:rFonts w:ascii="Book Antiqua" w:hAnsi="Book Antiqua"/>
          <w:sz w:val="24"/>
          <w:szCs w:val="24"/>
        </w:rPr>
        <w:t xml:space="preserve"> group. </w:t>
      </w:r>
      <w:r w:rsidR="00746545" w:rsidRPr="0032635B">
        <w:rPr>
          <w:rFonts w:ascii="Book Antiqua" w:hAnsi="Book Antiqua"/>
          <w:sz w:val="24"/>
          <w:szCs w:val="24"/>
        </w:rPr>
        <w:t xml:space="preserve">The effect of acid suppression in the </w:t>
      </w:r>
      <w:proofErr w:type="spellStart"/>
      <w:r w:rsidR="00746545" w:rsidRPr="0032635B">
        <w:rPr>
          <w:rFonts w:ascii="Book Antiqua" w:hAnsi="Book Antiqua"/>
          <w:sz w:val="24"/>
          <w:szCs w:val="24"/>
        </w:rPr>
        <w:t>la</w:t>
      </w:r>
      <w:r w:rsidR="001615A4" w:rsidRPr="0032635B">
        <w:rPr>
          <w:rFonts w:ascii="Book Antiqua" w:hAnsi="Book Antiqua"/>
          <w:sz w:val="24"/>
          <w:szCs w:val="24"/>
        </w:rPr>
        <w:t>futidine</w:t>
      </w:r>
      <w:proofErr w:type="spellEnd"/>
      <w:r w:rsidR="001615A4" w:rsidRPr="0032635B">
        <w:rPr>
          <w:rFonts w:ascii="Book Antiqua" w:hAnsi="Book Antiqua"/>
          <w:sz w:val="24"/>
          <w:szCs w:val="24"/>
        </w:rPr>
        <w:t xml:space="preserve"> group was weak during </w:t>
      </w:r>
      <w:r w:rsidR="00746545" w:rsidRPr="0032635B">
        <w:rPr>
          <w:rFonts w:ascii="Book Antiqua" w:hAnsi="Book Antiqua"/>
          <w:sz w:val="24"/>
          <w:szCs w:val="24"/>
        </w:rPr>
        <w:t xml:space="preserve">the maintenance therapy. </w:t>
      </w:r>
      <w:r w:rsidR="00DB0F2D" w:rsidRPr="0032635B">
        <w:rPr>
          <w:rFonts w:ascii="Book Antiqua" w:hAnsi="Book Antiqua"/>
          <w:sz w:val="24"/>
          <w:szCs w:val="24"/>
        </w:rPr>
        <w:t xml:space="preserve">Two possible mechanisms </w:t>
      </w:r>
      <w:r w:rsidR="009C0B3B" w:rsidRPr="0032635B">
        <w:rPr>
          <w:rFonts w:ascii="Book Antiqua" w:hAnsi="Book Antiqua"/>
          <w:sz w:val="24"/>
          <w:szCs w:val="24"/>
        </w:rPr>
        <w:t xml:space="preserve">may explain this observation. </w:t>
      </w:r>
      <w:r w:rsidR="00913713" w:rsidRPr="0032635B">
        <w:rPr>
          <w:rFonts w:ascii="Book Antiqua" w:hAnsi="Book Antiqua"/>
          <w:sz w:val="24"/>
          <w:szCs w:val="24"/>
        </w:rPr>
        <w:t>First</w:t>
      </w:r>
      <w:r w:rsidR="009C0B3B" w:rsidRPr="0032635B">
        <w:rPr>
          <w:rFonts w:ascii="Book Antiqua" w:hAnsi="Book Antiqua"/>
          <w:sz w:val="24"/>
          <w:szCs w:val="24"/>
        </w:rPr>
        <w:t>ly</w:t>
      </w:r>
      <w:r w:rsidR="00913713" w:rsidRPr="0032635B">
        <w:rPr>
          <w:rFonts w:ascii="Book Antiqua" w:hAnsi="Book Antiqua"/>
          <w:sz w:val="24"/>
          <w:szCs w:val="24"/>
        </w:rPr>
        <w:t xml:space="preserve">, </w:t>
      </w:r>
      <w:r w:rsidR="009C0B3B" w:rsidRPr="0032635B">
        <w:rPr>
          <w:rFonts w:ascii="Book Antiqua" w:hAnsi="Book Antiqua"/>
          <w:sz w:val="24"/>
          <w:szCs w:val="24"/>
        </w:rPr>
        <w:t xml:space="preserve">patients may develop </w:t>
      </w:r>
      <w:r w:rsidR="00913713" w:rsidRPr="0032635B">
        <w:rPr>
          <w:rFonts w:ascii="Book Antiqua" w:hAnsi="Book Antiqua"/>
          <w:sz w:val="24"/>
          <w:szCs w:val="24"/>
        </w:rPr>
        <w:t xml:space="preserve">tolerance to </w:t>
      </w:r>
      <w:proofErr w:type="spellStart"/>
      <w:r w:rsidR="00913713" w:rsidRPr="0032635B">
        <w:rPr>
          <w:rFonts w:ascii="Book Antiqua" w:hAnsi="Book Antiqua"/>
          <w:sz w:val="24"/>
          <w:szCs w:val="24"/>
        </w:rPr>
        <w:t>lafutidine</w:t>
      </w:r>
      <w:proofErr w:type="spellEnd"/>
      <w:r w:rsidR="00913713" w:rsidRPr="0032635B">
        <w:rPr>
          <w:rFonts w:ascii="Book Antiqua" w:hAnsi="Book Antiqua"/>
          <w:sz w:val="24"/>
          <w:szCs w:val="24"/>
        </w:rPr>
        <w:t xml:space="preserve"> during maintenance therapy. As previously </w:t>
      </w:r>
      <w:r w:rsidR="009C0B3B" w:rsidRPr="0032635B">
        <w:rPr>
          <w:rFonts w:ascii="Book Antiqua" w:hAnsi="Book Antiqua"/>
          <w:sz w:val="24"/>
          <w:szCs w:val="24"/>
        </w:rPr>
        <w:t>reported</w:t>
      </w:r>
      <w:r w:rsidR="00913713" w:rsidRPr="0032635B">
        <w:rPr>
          <w:rFonts w:ascii="Book Antiqua" w:hAnsi="Book Antiqua"/>
          <w:sz w:val="24"/>
          <w:szCs w:val="24"/>
        </w:rPr>
        <w:t xml:space="preserve"> in </w:t>
      </w:r>
      <w:r w:rsidR="009C0B3B" w:rsidRPr="0032635B">
        <w:rPr>
          <w:rFonts w:ascii="Book Antiqua" w:hAnsi="Book Antiqua"/>
          <w:sz w:val="24"/>
          <w:szCs w:val="24"/>
        </w:rPr>
        <w:t xml:space="preserve">a study assessing </w:t>
      </w:r>
      <w:r w:rsidR="00913713" w:rsidRPr="0032635B">
        <w:rPr>
          <w:rFonts w:ascii="Book Antiqua" w:hAnsi="Book Antiqua"/>
          <w:sz w:val="24"/>
          <w:szCs w:val="24"/>
        </w:rPr>
        <w:t xml:space="preserve">ranitidine and famotidine, the development of </w:t>
      </w:r>
      <w:proofErr w:type="spellStart"/>
      <w:r w:rsidR="00913713" w:rsidRPr="0032635B">
        <w:rPr>
          <w:rFonts w:ascii="Book Antiqua" w:hAnsi="Book Antiqua"/>
          <w:sz w:val="24"/>
          <w:szCs w:val="24"/>
        </w:rPr>
        <w:t>tachyphylaxis</w:t>
      </w:r>
      <w:proofErr w:type="spellEnd"/>
      <w:r w:rsidR="00913713" w:rsidRPr="0032635B">
        <w:rPr>
          <w:rFonts w:ascii="Book Antiqua" w:hAnsi="Book Antiqua"/>
          <w:sz w:val="24"/>
          <w:szCs w:val="24"/>
        </w:rPr>
        <w:t xml:space="preserve"> within </w:t>
      </w:r>
      <w:r w:rsidR="009C0B3B" w:rsidRPr="0032635B">
        <w:rPr>
          <w:rFonts w:ascii="Book Antiqua" w:hAnsi="Book Antiqua"/>
          <w:sz w:val="24"/>
          <w:szCs w:val="24"/>
        </w:rPr>
        <w:t>2 to 6</w:t>
      </w:r>
      <w:r w:rsidR="00913713" w:rsidRPr="0032635B">
        <w:rPr>
          <w:rFonts w:ascii="Book Antiqua" w:hAnsi="Book Antiqua"/>
          <w:sz w:val="24"/>
          <w:szCs w:val="24"/>
        </w:rPr>
        <w:t xml:space="preserve"> </w:t>
      </w:r>
      <w:proofErr w:type="spellStart"/>
      <w:r w:rsidR="00473E0F" w:rsidRPr="0032635B">
        <w:rPr>
          <w:rFonts w:ascii="Book Antiqua" w:eastAsia="宋体" w:hAnsi="Book Antiqua"/>
          <w:sz w:val="24"/>
          <w:szCs w:val="24"/>
          <w:lang w:eastAsia="zh-CN"/>
        </w:rPr>
        <w:t>wk</w:t>
      </w:r>
      <w:proofErr w:type="spellEnd"/>
      <w:r w:rsidR="00913713" w:rsidRPr="0032635B">
        <w:rPr>
          <w:rFonts w:ascii="Book Antiqua" w:hAnsi="Book Antiqua"/>
          <w:sz w:val="24"/>
          <w:szCs w:val="24"/>
        </w:rPr>
        <w:t xml:space="preserve"> of initiation of H2RAs limits their use </w:t>
      </w:r>
      <w:r w:rsidR="008848DD" w:rsidRPr="0032635B">
        <w:rPr>
          <w:rFonts w:ascii="Book Antiqua" w:hAnsi="Book Antiqua"/>
          <w:sz w:val="24"/>
          <w:szCs w:val="24"/>
        </w:rPr>
        <w:t xml:space="preserve">as maintenance therapy for </w:t>
      </w:r>
      <w:proofErr w:type="gramStart"/>
      <w:r w:rsidR="00F755EB" w:rsidRPr="0032635B">
        <w:rPr>
          <w:rFonts w:ascii="Book Antiqua" w:hAnsi="Book Antiqua"/>
          <w:sz w:val="24"/>
          <w:szCs w:val="24"/>
        </w:rPr>
        <w:t>GERD</w:t>
      </w:r>
      <w:r w:rsidR="00473E0F" w:rsidRPr="0032635B">
        <w:rPr>
          <w:rFonts w:ascii="Book Antiqua" w:hAnsi="Book Antiqua"/>
          <w:sz w:val="24"/>
          <w:szCs w:val="24"/>
          <w:vertAlign w:val="superscript"/>
        </w:rPr>
        <w:t>[</w:t>
      </w:r>
      <w:proofErr w:type="gramEnd"/>
      <w:r w:rsidR="00913713" w:rsidRPr="0032635B">
        <w:rPr>
          <w:rFonts w:ascii="Book Antiqua" w:hAnsi="Book Antiqua"/>
          <w:sz w:val="24"/>
          <w:szCs w:val="24"/>
          <w:vertAlign w:val="superscript"/>
        </w:rPr>
        <w:t>15]</w:t>
      </w:r>
      <w:r w:rsidR="00913713" w:rsidRPr="0032635B">
        <w:rPr>
          <w:rFonts w:ascii="Book Antiqua" w:hAnsi="Book Antiqua"/>
          <w:sz w:val="24"/>
          <w:szCs w:val="24"/>
        </w:rPr>
        <w:t>. Second</w:t>
      </w:r>
      <w:r w:rsidR="009C0B3B" w:rsidRPr="0032635B">
        <w:rPr>
          <w:rFonts w:ascii="Book Antiqua" w:hAnsi="Book Antiqua"/>
          <w:sz w:val="24"/>
          <w:szCs w:val="24"/>
        </w:rPr>
        <w:t>ly</w:t>
      </w:r>
      <w:r w:rsidR="001615A4" w:rsidRPr="0032635B">
        <w:rPr>
          <w:rFonts w:ascii="Book Antiqua" w:hAnsi="Book Antiqua"/>
          <w:sz w:val="24"/>
          <w:szCs w:val="24"/>
        </w:rPr>
        <w:t xml:space="preserve">, the dose of </w:t>
      </w:r>
      <w:proofErr w:type="spellStart"/>
      <w:r w:rsidR="001615A4" w:rsidRPr="0032635B">
        <w:rPr>
          <w:rFonts w:ascii="Book Antiqua" w:hAnsi="Book Antiqua"/>
          <w:sz w:val="24"/>
          <w:szCs w:val="24"/>
        </w:rPr>
        <w:t>lafutidine</w:t>
      </w:r>
      <w:proofErr w:type="spellEnd"/>
      <w:r w:rsidR="001615A4" w:rsidRPr="0032635B">
        <w:rPr>
          <w:rFonts w:ascii="Book Antiqua" w:hAnsi="Book Antiqua"/>
          <w:sz w:val="24"/>
          <w:szCs w:val="24"/>
        </w:rPr>
        <w:t xml:space="preserve"> during maintenance therapy was </w:t>
      </w:r>
      <w:r w:rsidR="009C0B3B" w:rsidRPr="0032635B">
        <w:rPr>
          <w:rFonts w:ascii="Book Antiqua" w:hAnsi="Book Antiqua"/>
          <w:sz w:val="24"/>
          <w:szCs w:val="24"/>
        </w:rPr>
        <w:t xml:space="preserve">low for symptomatic </w:t>
      </w:r>
      <w:r w:rsidR="001615A4" w:rsidRPr="0032635B">
        <w:rPr>
          <w:rFonts w:ascii="Book Antiqua" w:hAnsi="Book Antiqua"/>
          <w:sz w:val="24"/>
          <w:szCs w:val="24"/>
        </w:rPr>
        <w:t xml:space="preserve">relief. </w:t>
      </w:r>
      <w:r w:rsidR="000A7AC9" w:rsidRPr="0032635B">
        <w:rPr>
          <w:rFonts w:ascii="Book Antiqua" w:hAnsi="Book Antiqua"/>
          <w:sz w:val="24"/>
          <w:szCs w:val="24"/>
        </w:rPr>
        <w:t xml:space="preserve">If </w:t>
      </w:r>
      <w:r w:rsidR="009C0B3B" w:rsidRPr="0032635B">
        <w:rPr>
          <w:rFonts w:ascii="Book Antiqua" w:hAnsi="Book Antiqua"/>
          <w:sz w:val="24"/>
          <w:szCs w:val="24"/>
        </w:rPr>
        <w:t xml:space="preserve">a 10-mg dose of </w:t>
      </w:r>
      <w:proofErr w:type="spellStart"/>
      <w:r w:rsidR="000A7AC9" w:rsidRPr="0032635B">
        <w:rPr>
          <w:rFonts w:ascii="Book Antiqua" w:hAnsi="Book Antiqua"/>
          <w:sz w:val="24"/>
          <w:szCs w:val="24"/>
        </w:rPr>
        <w:t>lafutidine</w:t>
      </w:r>
      <w:proofErr w:type="spellEnd"/>
      <w:r w:rsidR="000A7AC9" w:rsidRPr="0032635B">
        <w:rPr>
          <w:rFonts w:ascii="Book Antiqua" w:hAnsi="Book Antiqua"/>
          <w:sz w:val="24"/>
          <w:szCs w:val="24"/>
        </w:rPr>
        <w:t xml:space="preserve"> </w:t>
      </w:r>
      <w:r w:rsidR="009C0B3B" w:rsidRPr="0032635B">
        <w:rPr>
          <w:rFonts w:ascii="Book Antiqua" w:hAnsi="Book Antiqua"/>
          <w:sz w:val="24"/>
          <w:szCs w:val="24"/>
        </w:rPr>
        <w:t xml:space="preserve">was administered </w:t>
      </w:r>
      <w:r w:rsidR="000A7AC9" w:rsidRPr="0032635B">
        <w:rPr>
          <w:rFonts w:ascii="Book Antiqua" w:hAnsi="Book Antiqua"/>
          <w:sz w:val="24"/>
          <w:szCs w:val="24"/>
        </w:rPr>
        <w:t xml:space="preserve">twice daily </w:t>
      </w:r>
      <w:r w:rsidR="009C0B3B" w:rsidRPr="0032635B">
        <w:rPr>
          <w:rFonts w:ascii="Book Antiqua" w:hAnsi="Book Antiqua"/>
          <w:sz w:val="24"/>
          <w:szCs w:val="24"/>
        </w:rPr>
        <w:t>during</w:t>
      </w:r>
      <w:r w:rsidR="000A7AC9" w:rsidRPr="0032635B">
        <w:rPr>
          <w:rFonts w:ascii="Book Antiqua" w:hAnsi="Book Antiqua"/>
          <w:sz w:val="24"/>
          <w:szCs w:val="24"/>
        </w:rPr>
        <w:t xml:space="preserve"> maintenance therapy, symptom</w:t>
      </w:r>
      <w:r w:rsidR="009C0B3B" w:rsidRPr="0032635B">
        <w:rPr>
          <w:rFonts w:ascii="Book Antiqua" w:hAnsi="Book Antiqua"/>
          <w:sz w:val="24"/>
          <w:szCs w:val="24"/>
        </w:rPr>
        <w:t>atic severity may have been similar</w:t>
      </w:r>
      <w:r w:rsidR="000A7AC9" w:rsidRPr="0032635B">
        <w:rPr>
          <w:rFonts w:ascii="Book Antiqua" w:hAnsi="Book Antiqua"/>
          <w:sz w:val="24"/>
          <w:szCs w:val="24"/>
        </w:rPr>
        <w:t xml:space="preserve"> </w:t>
      </w:r>
      <w:r w:rsidR="007A159B" w:rsidRPr="0032635B">
        <w:rPr>
          <w:rFonts w:ascii="Book Antiqua" w:hAnsi="Book Antiqua"/>
          <w:sz w:val="24"/>
          <w:szCs w:val="24"/>
        </w:rPr>
        <w:t>to</w:t>
      </w:r>
      <w:r w:rsidR="000A7AC9" w:rsidRPr="0032635B">
        <w:rPr>
          <w:rFonts w:ascii="Book Antiqua" w:hAnsi="Book Antiqua"/>
          <w:sz w:val="24"/>
          <w:szCs w:val="24"/>
        </w:rPr>
        <w:t xml:space="preserve"> </w:t>
      </w:r>
      <w:r w:rsidR="009C0B3B" w:rsidRPr="0032635B">
        <w:rPr>
          <w:rFonts w:ascii="Book Antiqua" w:hAnsi="Book Antiqua"/>
          <w:sz w:val="24"/>
          <w:szCs w:val="24"/>
        </w:rPr>
        <w:t>that</w:t>
      </w:r>
      <w:r w:rsidR="000A7AC9" w:rsidRPr="0032635B">
        <w:rPr>
          <w:rFonts w:ascii="Book Antiqua" w:hAnsi="Book Antiqua"/>
          <w:sz w:val="24"/>
          <w:szCs w:val="24"/>
        </w:rPr>
        <w:t xml:space="preserve"> in the </w:t>
      </w:r>
      <w:proofErr w:type="spellStart"/>
      <w:r w:rsidR="000A7AC9" w:rsidRPr="0032635B">
        <w:rPr>
          <w:rFonts w:ascii="Book Antiqua" w:hAnsi="Book Antiqua"/>
          <w:sz w:val="24"/>
          <w:szCs w:val="24"/>
        </w:rPr>
        <w:t>lansoprazole</w:t>
      </w:r>
      <w:proofErr w:type="spellEnd"/>
      <w:r w:rsidR="000A7AC9" w:rsidRPr="0032635B">
        <w:rPr>
          <w:rFonts w:ascii="Book Antiqua" w:hAnsi="Book Antiqua"/>
          <w:sz w:val="24"/>
          <w:szCs w:val="24"/>
        </w:rPr>
        <w:t xml:space="preserve"> group. </w:t>
      </w:r>
      <w:r w:rsidR="00786782" w:rsidRPr="0032635B">
        <w:rPr>
          <w:rFonts w:ascii="Book Antiqua" w:hAnsi="Book Antiqua"/>
          <w:sz w:val="24"/>
          <w:szCs w:val="24"/>
        </w:rPr>
        <w:t>The cost</w:t>
      </w:r>
      <w:r w:rsidR="009C0B3B" w:rsidRPr="0032635B">
        <w:rPr>
          <w:rFonts w:ascii="Book Antiqua" w:hAnsi="Book Antiqua"/>
          <w:sz w:val="24"/>
          <w:szCs w:val="24"/>
        </w:rPr>
        <w:t>s</w:t>
      </w:r>
      <w:r w:rsidR="00786782" w:rsidRPr="0032635B">
        <w:rPr>
          <w:rFonts w:ascii="Book Antiqua" w:hAnsi="Book Antiqua"/>
          <w:sz w:val="24"/>
          <w:szCs w:val="24"/>
        </w:rPr>
        <w:t xml:space="preserve"> of 10 mg </w:t>
      </w:r>
      <w:r w:rsidR="009C0B3B" w:rsidRPr="0032635B">
        <w:rPr>
          <w:rFonts w:ascii="Book Antiqua" w:hAnsi="Book Antiqua"/>
          <w:sz w:val="24"/>
          <w:szCs w:val="24"/>
        </w:rPr>
        <w:t xml:space="preserve">of </w:t>
      </w:r>
      <w:proofErr w:type="spellStart"/>
      <w:r w:rsidR="00786782" w:rsidRPr="0032635B">
        <w:rPr>
          <w:rFonts w:ascii="Book Antiqua" w:hAnsi="Book Antiqua"/>
          <w:sz w:val="24"/>
          <w:szCs w:val="24"/>
        </w:rPr>
        <w:t>lafutidine</w:t>
      </w:r>
      <w:proofErr w:type="spellEnd"/>
      <w:r w:rsidR="00786782" w:rsidRPr="0032635B">
        <w:rPr>
          <w:rFonts w:ascii="Book Antiqua" w:hAnsi="Book Antiqua"/>
          <w:sz w:val="24"/>
          <w:szCs w:val="24"/>
        </w:rPr>
        <w:t xml:space="preserve"> twice daily and </w:t>
      </w:r>
      <w:r w:rsidR="009C0B3B" w:rsidRPr="0032635B">
        <w:rPr>
          <w:rFonts w:ascii="Book Antiqua" w:hAnsi="Book Antiqua"/>
          <w:sz w:val="24"/>
          <w:szCs w:val="24"/>
        </w:rPr>
        <w:t xml:space="preserve">a </w:t>
      </w:r>
      <w:r w:rsidR="00786782" w:rsidRPr="0032635B">
        <w:rPr>
          <w:rFonts w:ascii="Book Antiqua" w:hAnsi="Book Antiqua"/>
          <w:sz w:val="24"/>
          <w:szCs w:val="24"/>
        </w:rPr>
        <w:t xml:space="preserve">half dose of </w:t>
      </w:r>
      <w:proofErr w:type="spellStart"/>
      <w:r w:rsidR="00786782" w:rsidRPr="0032635B">
        <w:rPr>
          <w:rFonts w:ascii="Book Antiqua" w:hAnsi="Book Antiqua"/>
          <w:sz w:val="24"/>
          <w:szCs w:val="24"/>
        </w:rPr>
        <w:t>lansoprazole</w:t>
      </w:r>
      <w:proofErr w:type="spellEnd"/>
      <w:r w:rsidR="00786782" w:rsidRPr="0032635B">
        <w:rPr>
          <w:rFonts w:ascii="Book Antiqua" w:hAnsi="Book Antiqua"/>
          <w:sz w:val="24"/>
          <w:szCs w:val="24"/>
        </w:rPr>
        <w:t xml:space="preserve"> were </w:t>
      </w:r>
      <w:r w:rsidR="00786782" w:rsidRPr="0032635B">
        <w:rPr>
          <w:rFonts w:ascii="Book Antiqua" w:hAnsi="Book Antiqua"/>
          <w:sz w:val="24"/>
          <w:szCs w:val="24"/>
        </w:rPr>
        <w:lastRenderedPageBreak/>
        <w:t xml:space="preserve">82.6 yen and 95.2 yen, respectively. </w:t>
      </w:r>
      <w:r w:rsidR="00746545" w:rsidRPr="0032635B">
        <w:rPr>
          <w:rFonts w:ascii="Book Antiqua" w:hAnsi="Book Antiqua"/>
          <w:sz w:val="24"/>
          <w:szCs w:val="24"/>
        </w:rPr>
        <w:t xml:space="preserve">Therefore, </w:t>
      </w:r>
      <w:r w:rsidR="009C0B3B" w:rsidRPr="0032635B">
        <w:rPr>
          <w:rFonts w:ascii="Book Antiqua" w:hAnsi="Book Antiqua"/>
          <w:sz w:val="24"/>
          <w:szCs w:val="24"/>
        </w:rPr>
        <w:t xml:space="preserve">future studies are planned to evaluate 10 mg of </w:t>
      </w:r>
      <w:proofErr w:type="spellStart"/>
      <w:r w:rsidR="00746545" w:rsidRPr="0032635B">
        <w:rPr>
          <w:rFonts w:ascii="Book Antiqua" w:hAnsi="Book Antiqua"/>
          <w:sz w:val="24"/>
          <w:szCs w:val="24"/>
        </w:rPr>
        <w:t>lafutidine</w:t>
      </w:r>
      <w:proofErr w:type="spellEnd"/>
      <w:r w:rsidR="00746545" w:rsidRPr="0032635B">
        <w:rPr>
          <w:rFonts w:ascii="Book Antiqua" w:hAnsi="Book Antiqua"/>
          <w:sz w:val="24"/>
          <w:szCs w:val="24"/>
        </w:rPr>
        <w:t xml:space="preserve"> twice daily for maintenance therapy</w:t>
      </w:r>
      <w:r w:rsidR="009C0B3B" w:rsidRPr="0032635B">
        <w:rPr>
          <w:rFonts w:ascii="Book Antiqua" w:hAnsi="Book Antiqua"/>
          <w:sz w:val="24"/>
          <w:szCs w:val="24"/>
        </w:rPr>
        <w:t>, with the aim of proving</w:t>
      </w:r>
      <w:r w:rsidR="00746545" w:rsidRPr="0032635B">
        <w:rPr>
          <w:rFonts w:ascii="Book Antiqua" w:hAnsi="Book Antiqua"/>
          <w:sz w:val="24"/>
          <w:szCs w:val="24"/>
        </w:rPr>
        <w:t xml:space="preserve"> our hy</w:t>
      </w:r>
      <w:r w:rsidR="00746545" w:rsidRPr="00412C66">
        <w:rPr>
          <w:rFonts w:ascii="Book Antiqua" w:hAnsi="Book Antiqua"/>
          <w:sz w:val="24"/>
          <w:szCs w:val="24"/>
        </w:rPr>
        <w:t xml:space="preserve">pothesis that </w:t>
      </w:r>
      <w:proofErr w:type="spellStart"/>
      <w:r w:rsidR="00746545" w:rsidRPr="00412C66">
        <w:rPr>
          <w:rFonts w:ascii="Book Antiqua" w:hAnsi="Book Antiqua"/>
          <w:sz w:val="24"/>
          <w:szCs w:val="24"/>
        </w:rPr>
        <w:t>lafutidine</w:t>
      </w:r>
      <w:proofErr w:type="spellEnd"/>
      <w:r w:rsidR="00746545" w:rsidRPr="00412C66">
        <w:rPr>
          <w:rFonts w:ascii="Book Antiqua" w:hAnsi="Book Antiqua"/>
          <w:sz w:val="24"/>
          <w:szCs w:val="24"/>
        </w:rPr>
        <w:t xml:space="preserve"> has similar efficacy and superior cost-performance to </w:t>
      </w:r>
      <w:proofErr w:type="spellStart"/>
      <w:r w:rsidR="00746545" w:rsidRPr="00412C66">
        <w:rPr>
          <w:rFonts w:ascii="Book Antiqua" w:hAnsi="Book Antiqua"/>
          <w:sz w:val="24"/>
          <w:szCs w:val="24"/>
        </w:rPr>
        <w:t>lansoprazole</w:t>
      </w:r>
      <w:proofErr w:type="spellEnd"/>
      <w:r w:rsidR="00746545" w:rsidRPr="00412C66">
        <w:rPr>
          <w:rFonts w:ascii="Book Antiqua" w:hAnsi="Book Antiqua"/>
          <w:sz w:val="24"/>
          <w:szCs w:val="24"/>
        </w:rPr>
        <w:t xml:space="preserve"> in Japanese patients with mild GERD.</w:t>
      </w:r>
      <w:r w:rsidR="00913713" w:rsidRPr="00412C66">
        <w:rPr>
          <w:rFonts w:ascii="Book Antiqua" w:hAnsi="Book Antiqua"/>
          <w:sz w:val="24"/>
          <w:szCs w:val="24"/>
        </w:rPr>
        <w:t xml:space="preserve">  </w:t>
      </w:r>
    </w:p>
    <w:p w:rsidR="003A7E4F" w:rsidRPr="0032635B" w:rsidRDefault="003A7E4F" w:rsidP="00C92BD7">
      <w:pPr>
        <w:widowControl/>
        <w:spacing w:line="360" w:lineRule="auto"/>
        <w:ind w:firstLine="840"/>
        <w:rPr>
          <w:rFonts w:ascii="Book Antiqua" w:hAnsi="Book Antiqua"/>
          <w:sz w:val="24"/>
          <w:szCs w:val="24"/>
        </w:rPr>
      </w:pPr>
      <w:r w:rsidRPr="00412C66">
        <w:rPr>
          <w:rFonts w:ascii="Book Antiqua" w:hAnsi="Book Antiqua"/>
          <w:sz w:val="24"/>
          <w:szCs w:val="24"/>
        </w:rPr>
        <w:t>Th</w:t>
      </w:r>
      <w:r w:rsidR="009C0B3B" w:rsidRPr="00412C66">
        <w:rPr>
          <w:rFonts w:ascii="Book Antiqua" w:hAnsi="Book Antiqua"/>
          <w:sz w:val="24"/>
          <w:szCs w:val="24"/>
        </w:rPr>
        <w:t xml:space="preserve">is study has some </w:t>
      </w:r>
      <w:r w:rsidRPr="00412C66">
        <w:rPr>
          <w:rFonts w:ascii="Book Antiqua" w:hAnsi="Book Antiqua"/>
          <w:sz w:val="24"/>
          <w:szCs w:val="24"/>
        </w:rPr>
        <w:t xml:space="preserve">limitations. </w:t>
      </w:r>
      <w:r w:rsidR="007B7FF5" w:rsidRPr="00412C66">
        <w:rPr>
          <w:rFonts w:ascii="Book Antiqua" w:hAnsi="Book Antiqua" w:hint="eastAsia"/>
          <w:sz w:val="24"/>
          <w:szCs w:val="24"/>
        </w:rPr>
        <w:t>The sample size was relatively small. Furthermore, a</w:t>
      </w:r>
      <w:r w:rsidR="009C0B3B" w:rsidRPr="00412C66">
        <w:rPr>
          <w:rFonts w:ascii="Book Antiqua" w:hAnsi="Book Antiqua"/>
          <w:sz w:val="24"/>
          <w:szCs w:val="24"/>
        </w:rPr>
        <w:t xml:space="preserve"> substantial number of patients </w:t>
      </w:r>
      <w:r w:rsidR="008D020C" w:rsidRPr="00412C66">
        <w:rPr>
          <w:rFonts w:ascii="Book Antiqua" w:hAnsi="Book Antiqua"/>
          <w:sz w:val="24"/>
          <w:szCs w:val="24"/>
        </w:rPr>
        <w:t>discontinued</w:t>
      </w:r>
      <w:r w:rsidR="009C0B3B" w:rsidRPr="00412C66">
        <w:rPr>
          <w:rFonts w:ascii="Book Antiqua" w:hAnsi="Book Antiqua"/>
          <w:sz w:val="24"/>
          <w:szCs w:val="24"/>
        </w:rPr>
        <w:t xml:space="preserve"> the study although the proportion of patients lost to follow-up wa</w:t>
      </w:r>
      <w:r w:rsidR="009D4B66" w:rsidRPr="00412C66">
        <w:rPr>
          <w:rFonts w:ascii="Book Antiqua" w:hAnsi="Book Antiqua"/>
          <w:sz w:val="24"/>
          <w:szCs w:val="24"/>
        </w:rPr>
        <w:t>s</w:t>
      </w:r>
      <w:r w:rsidR="009C0B3B" w:rsidRPr="00412C66">
        <w:rPr>
          <w:rFonts w:ascii="Book Antiqua" w:hAnsi="Book Antiqua"/>
          <w:sz w:val="24"/>
          <w:szCs w:val="24"/>
        </w:rPr>
        <w:t xml:space="preserve"> similar in the two treatment groups. In addition, the </w:t>
      </w:r>
      <w:r w:rsidR="002C45CE" w:rsidRPr="00412C66">
        <w:rPr>
          <w:rFonts w:ascii="Book Antiqua" w:hAnsi="Book Antiqua"/>
          <w:sz w:val="24"/>
          <w:szCs w:val="24"/>
        </w:rPr>
        <w:t xml:space="preserve">male/female ratio was significantly </w:t>
      </w:r>
      <w:r w:rsidR="0034432B" w:rsidRPr="00412C66">
        <w:rPr>
          <w:rFonts w:ascii="Book Antiqua" w:hAnsi="Book Antiqua"/>
          <w:sz w:val="24"/>
          <w:szCs w:val="24"/>
        </w:rPr>
        <w:t>sm</w:t>
      </w:r>
      <w:r w:rsidR="0034432B" w:rsidRPr="0032635B">
        <w:rPr>
          <w:rFonts w:ascii="Book Antiqua" w:hAnsi="Book Antiqua"/>
          <w:sz w:val="24"/>
          <w:szCs w:val="24"/>
        </w:rPr>
        <w:t>aller</w:t>
      </w:r>
      <w:r w:rsidR="002C45CE" w:rsidRPr="0032635B">
        <w:rPr>
          <w:rFonts w:ascii="Book Antiqua" w:hAnsi="Book Antiqua"/>
          <w:sz w:val="24"/>
          <w:szCs w:val="24"/>
        </w:rPr>
        <w:t xml:space="preserve"> in the </w:t>
      </w:r>
      <w:proofErr w:type="spellStart"/>
      <w:r w:rsidR="002C45CE" w:rsidRPr="0032635B">
        <w:rPr>
          <w:rFonts w:ascii="Book Antiqua" w:hAnsi="Book Antiqua"/>
          <w:sz w:val="24"/>
          <w:szCs w:val="24"/>
        </w:rPr>
        <w:t>lafutidine</w:t>
      </w:r>
      <w:proofErr w:type="spellEnd"/>
      <w:r w:rsidR="002C45CE" w:rsidRPr="0032635B">
        <w:rPr>
          <w:rFonts w:ascii="Book Antiqua" w:hAnsi="Book Antiqua"/>
          <w:sz w:val="24"/>
          <w:szCs w:val="24"/>
        </w:rPr>
        <w:t xml:space="preserve"> than the </w:t>
      </w:r>
      <w:proofErr w:type="spellStart"/>
      <w:r w:rsidR="002C45CE" w:rsidRPr="0032635B">
        <w:rPr>
          <w:rFonts w:ascii="Book Antiqua" w:hAnsi="Book Antiqua"/>
          <w:sz w:val="24"/>
          <w:szCs w:val="24"/>
        </w:rPr>
        <w:t>lansoprazole</w:t>
      </w:r>
      <w:proofErr w:type="spellEnd"/>
      <w:r w:rsidR="002C45CE" w:rsidRPr="0032635B">
        <w:rPr>
          <w:rFonts w:ascii="Book Antiqua" w:hAnsi="Book Antiqua"/>
          <w:sz w:val="24"/>
          <w:szCs w:val="24"/>
        </w:rPr>
        <w:t xml:space="preserve"> group</w:t>
      </w:r>
      <w:r w:rsidR="00262C5B" w:rsidRPr="0032635B">
        <w:rPr>
          <w:rFonts w:ascii="Book Antiqua" w:hAnsi="Book Antiqua"/>
          <w:sz w:val="24"/>
          <w:szCs w:val="24"/>
        </w:rPr>
        <w:t>, which may have had an</w:t>
      </w:r>
      <w:r w:rsidR="002C45CE" w:rsidRPr="0032635B">
        <w:rPr>
          <w:rFonts w:ascii="Book Antiqua" w:hAnsi="Book Antiqua"/>
          <w:sz w:val="24"/>
          <w:szCs w:val="24"/>
        </w:rPr>
        <w:t xml:space="preserve"> influence on clinical outcome</w:t>
      </w:r>
      <w:r w:rsidR="000C7B5C" w:rsidRPr="0032635B">
        <w:rPr>
          <w:rFonts w:ascii="Book Antiqua" w:hAnsi="Book Antiqua"/>
          <w:sz w:val="24"/>
          <w:szCs w:val="24"/>
        </w:rPr>
        <w:t>s</w:t>
      </w:r>
      <w:r w:rsidR="002C45CE" w:rsidRPr="0032635B">
        <w:rPr>
          <w:rFonts w:ascii="Book Antiqua" w:hAnsi="Book Antiqua"/>
          <w:sz w:val="24"/>
          <w:szCs w:val="24"/>
        </w:rPr>
        <w:t xml:space="preserve">. </w:t>
      </w:r>
    </w:p>
    <w:p w:rsidR="00F755EB" w:rsidRPr="0032635B" w:rsidRDefault="002C45CE" w:rsidP="00C92BD7">
      <w:pPr>
        <w:widowControl/>
        <w:spacing w:line="360" w:lineRule="auto"/>
        <w:ind w:firstLine="840"/>
        <w:rPr>
          <w:rFonts w:ascii="Book Antiqua" w:hAnsi="Book Antiqua"/>
          <w:sz w:val="24"/>
          <w:szCs w:val="24"/>
        </w:rPr>
      </w:pPr>
      <w:r w:rsidRPr="0032635B">
        <w:rPr>
          <w:rFonts w:ascii="Book Antiqua" w:hAnsi="Book Antiqua"/>
          <w:sz w:val="24"/>
          <w:szCs w:val="24"/>
        </w:rPr>
        <w:t xml:space="preserve">In </w:t>
      </w:r>
      <w:r w:rsidR="00473E0F" w:rsidRPr="0032635B">
        <w:rPr>
          <w:rFonts w:ascii="Book Antiqua" w:eastAsia="宋体" w:hAnsi="Book Antiqua"/>
          <w:sz w:val="24"/>
          <w:szCs w:val="24"/>
          <w:lang w:eastAsia="zh-CN"/>
        </w:rPr>
        <w:t>conclusion</w:t>
      </w:r>
      <w:r w:rsidRPr="0032635B">
        <w:rPr>
          <w:rFonts w:ascii="Book Antiqua" w:hAnsi="Book Antiqua"/>
          <w:sz w:val="24"/>
          <w:szCs w:val="24"/>
        </w:rPr>
        <w:t>, the eff</w:t>
      </w:r>
      <w:r w:rsidR="00262C5B" w:rsidRPr="0032635B">
        <w:rPr>
          <w:rFonts w:ascii="Book Antiqua" w:hAnsi="Book Antiqua"/>
          <w:sz w:val="24"/>
          <w:szCs w:val="24"/>
        </w:rPr>
        <w:t>icacy</w:t>
      </w:r>
      <w:r w:rsidRPr="0032635B">
        <w:rPr>
          <w:rFonts w:ascii="Book Antiqua" w:hAnsi="Book Antiqua"/>
          <w:sz w:val="24"/>
          <w:szCs w:val="24"/>
        </w:rPr>
        <w:t xml:space="preserve"> of </w:t>
      </w:r>
      <w:r w:rsidR="00262C5B" w:rsidRPr="0032635B">
        <w:rPr>
          <w:rFonts w:ascii="Book Antiqua" w:hAnsi="Book Antiqua"/>
          <w:sz w:val="24"/>
          <w:szCs w:val="24"/>
        </w:rPr>
        <w:t>a</w:t>
      </w:r>
      <w:r w:rsidRPr="0032635B">
        <w:rPr>
          <w:rFonts w:ascii="Book Antiqua" w:hAnsi="Book Antiqua"/>
          <w:sz w:val="24"/>
          <w:szCs w:val="24"/>
        </w:rPr>
        <w:t xml:space="preserve"> second</w:t>
      </w:r>
      <w:r w:rsidR="00262C5B" w:rsidRPr="0032635B">
        <w:rPr>
          <w:rFonts w:ascii="Book Antiqua" w:hAnsi="Book Antiqua"/>
          <w:sz w:val="24"/>
          <w:szCs w:val="24"/>
        </w:rPr>
        <w:t>-</w:t>
      </w:r>
      <w:r w:rsidRPr="0032635B">
        <w:rPr>
          <w:rFonts w:ascii="Book Antiqua" w:hAnsi="Book Antiqua"/>
          <w:sz w:val="24"/>
          <w:szCs w:val="24"/>
        </w:rPr>
        <w:t xml:space="preserve">generation H2RA </w:t>
      </w:r>
      <w:r w:rsidR="00262C5B" w:rsidRPr="0032635B">
        <w:rPr>
          <w:rFonts w:ascii="Book Antiqua" w:hAnsi="Book Antiqua"/>
          <w:sz w:val="24"/>
          <w:szCs w:val="24"/>
        </w:rPr>
        <w:t xml:space="preserve">over a PPI </w:t>
      </w:r>
      <w:r w:rsidRPr="0032635B">
        <w:rPr>
          <w:rFonts w:ascii="Book Antiqua" w:hAnsi="Book Antiqua"/>
          <w:sz w:val="24"/>
          <w:szCs w:val="24"/>
        </w:rPr>
        <w:t xml:space="preserve">in </w:t>
      </w:r>
      <w:r w:rsidR="00E23C82" w:rsidRPr="0032635B">
        <w:rPr>
          <w:rFonts w:ascii="Book Antiqua" w:hAnsi="Book Antiqua"/>
          <w:sz w:val="24"/>
          <w:szCs w:val="24"/>
        </w:rPr>
        <w:t xml:space="preserve">Japanese </w:t>
      </w:r>
      <w:r w:rsidRPr="0032635B">
        <w:rPr>
          <w:rFonts w:ascii="Book Antiqua" w:hAnsi="Book Antiqua"/>
          <w:sz w:val="24"/>
          <w:szCs w:val="24"/>
        </w:rPr>
        <w:t>patients with mild GERD</w:t>
      </w:r>
      <w:r w:rsidR="00262C5B" w:rsidRPr="0032635B">
        <w:rPr>
          <w:rFonts w:ascii="Book Antiqua" w:hAnsi="Book Antiqua"/>
          <w:sz w:val="24"/>
          <w:szCs w:val="24"/>
        </w:rPr>
        <w:t xml:space="preserve"> was not demonstrated</w:t>
      </w:r>
      <w:r w:rsidR="007A159B" w:rsidRPr="0032635B">
        <w:rPr>
          <w:rFonts w:ascii="Book Antiqua" w:hAnsi="Book Antiqua"/>
          <w:sz w:val="24"/>
          <w:szCs w:val="24"/>
        </w:rPr>
        <w:t xml:space="preserve">, </w:t>
      </w:r>
      <w:r w:rsidR="00262C5B" w:rsidRPr="0032635B">
        <w:rPr>
          <w:rFonts w:ascii="Book Antiqua" w:hAnsi="Book Antiqua"/>
          <w:sz w:val="24"/>
          <w:szCs w:val="24"/>
        </w:rPr>
        <w:t>most notably</w:t>
      </w:r>
      <w:r w:rsidR="007A159B" w:rsidRPr="0032635B">
        <w:rPr>
          <w:rFonts w:ascii="Book Antiqua" w:hAnsi="Book Antiqua"/>
          <w:sz w:val="24"/>
          <w:szCs w:val="24"/>
        </w:rPr>
        <w:t xml:space="preserve"> during maintenance therapy</w:t>
      </w:r>
      <w:r w:rsidRPr="0032635B">
        <w:rPr>
          <w:rFonts w:ascii="Book Antiqua" w:hAnsi="Book Antiqua"/>
          <w:sz w:val="24"/>
          <w:szCs w:val="24"/>
        </w:rPr>
        <w:t xml:space="preserve">. </w:t>
      </w:r>
    </w:p>
    <w:p w:rsidR="00F755EB" w:rsidRPr="0032635B" w:rsidRDefault="00F755EB" w:rsidP="00C92BD7">
      <w:pPr>
        <w:widowControl/>
        <w:spacing w:line="360" w:lineRule="auto"/>
        <w:rPr>
          <w:rFonts w:ascii="Book Antiqua" w:hAnsi="Book Antiqua"/>
          <w:sz w:val="24"/>
          <w:szCs w:val="24"/>
        </w:rPr>
      </w:pPr>
    </w:p>
    <w:p w:rsidR="00203A73" w:rsidRPr="0032635B" w:rsidRDefault="00F755EB" w:rsidP="00C92BD7">
      <w:pPr>
        <w:widowControl/>
        <w:spacing w:line="360" w:lineRule="auto"/>
        <w:rPr>
          <w:rFonts w:ascii="Book Antiqua" w:hAnsi="Book Antiqua"/>
          <w:b/>
          <w:sz w:val="24"/>
          <w:szCs w:val="24"/>
        </w:rPr>
      </w:pPr>
      <w:r w:rsidRPr="0032635B">
        <w:rPr>
          <w:rFonts w:ascii="Book Antiqua" w:hAnsi="Book Antiqua"/>
          <w:b/>
          <w:sz w:val="24"/>
          <w:szCs w:val="24"/>
        </w:rPr>
        <w:t>COMMENTS</w:t>
      </w:r>
    </w:p>
    <w:p w:rsidR="00F755EB" w:rsidRPr="0032635B" w:rsidRDefault="00F755EB" w:rsidP="00C92BD7">
      <w:pPr>
        <w:widowControl/>
        <w:spacing w:line="360" w:lineRule="auto"/>
        <w:rPr>
          <w:rFonts w:ascii="Book Antiqua" w:hAnsi="Book Antiqua"/>
          <w:b/>
          <w:i/>
          <w:sz w:val="24"/>
          <w:szCs w:val="24"/>
        </w:rPr>
      </w:pPr>
      <w:r w:rsidRPr="0032635B">
        <w:rPr>
          <w:rFonts w:ascii="Book Antiqua" w:hAnsi="Book Antiqua"/>
          <w:b/>
          <w:i/>
          <w:sz w:val="24"/>
          <w:szCs w:val="24"/>
        </w:rPr>
        <w:t>Background</w:t>
      </w:r>
    </w:p>
    <w:p w:rsidR="00F755EB" w:rsidRPr="0032635B" w:rsidRDefault="006E3A4F" w:rsidP="00C92BD7">
      <w:pPr>
        <w:widowControl/>
        <w:spacing w:line="360" w:lineRule="auto"/>
        <w:rPr>
          <w:rFonts w:ascii="Book Antiqua" w:hAnsi="Book Antiqua" w:cs="Times New Roman"/>
          <w:sz w:val="24"/>
          <w:szCs w:val="24"/>
        </w:rPr>
      </w:pPr>
      <w:r w:rsidRPr="0032635B">
        <w:rPr>
          <w:rFonts w:ascii="Book Antiqua" w:hAnsi="Book Antiqua" w:cs="Times New Roman"/>
          <w:sz w:val="24"/>
          <w:szCs w:val="24"/>
        </w:rPr>
        <w:t>Proton pump inhibitors (PPIs) are considered to be more cos</w:t>
      </w:r>
      <w:r w:rsidR="00F755EB" w:rsidRPr="0032635B">
        <w:rPr>
          <w:rFonts w:ascii="Book Antiqua" w:hAnsi="Book Antiqua" w:cs="Times New Roman"/>
          <w:sz w:val="24"/>
          <w:szCs w:val="24"/>
        </w:rPr>
        <w:t xml:space="preserve">t-effective for </w:t>
      </w:r>
      <w:r w:rsidRPr="0032635B">
        <w:rPr>
          <w:rFonts w:ascii="Book Antiqua" w:hAnsi="Book Antiqua" w:cs="Times New Roman"/>
          <w:sz w:val="24"/>
          <w:szCs w:val="24"/>
        </w:rPr>
        <w:t xml:space="preserve">patients with </w:t>
      </w:r>
      <w:proofErr w:type="spellStart"/>
      <w:r w:rsidR="004F44EF" w:rsidRPr="0032635B">
        <w:rPr>
          <w:rFonts w:ascii="Book Antiqua" w:hAnsi="Book Antiqua" w:cs="Times New Roman"/>
          <w:bCs/>
          <w:sz w:val="24"/>
          <w:szCs w:val="24"/>
        </w:rPr>
        <w:t>gastroesophageal</w:t>
      </w:r>
      <w:proofErr w:type="spellEnd"/>
      <w:r w:rsidR="004F44EF" w:rsidRPr="0032635B">
        <w:rPr>
          <w:rFonts w:ascii="Book Antiqua" w:hAnsi="Book Antiqua" w:cs="Times New Roman"/>
          <w:bCs/>
          <w:sz w:val="24"/>
          <w:szCs w:val="24"/>
        </w:rPr>
        <w:t xml:space="preserve"> reflux disease (GERD)</w:t>
      </w:r>
      <w:r w:rsidRPr="0032635B">
        <w:rPr>
          <w:rFonts w:ascii="Book Antiqua" w:hAnsi="Book Antiqua" w:cs="Times New Roman"/>
          <w:sz w:val="24"/>
          <w:szCs w:val="24"/>
        </w:rPr>
        <w:t xml:space="preserve"> than first-generation histamine receptor-2 antagonists (H2RAs)</w:t>
      </w:r>
      <w:r w:rsidR="00F755EB" w:rsidRPr="0032635B">
        <w:rPr>
          <w:rFonts w:ascii="Book Antiqua" w:hAnsi="Book Antiqua" w:cs="Times New Roman"/>
          <w:sz w:val="24"/>
          <w:szCs w:val="24"/>
        </w:rPr>
        <w:t xml:space="preserve">. </w:t>
      </w:r>
      <w:proofErr w:type="spellStart"/>
      <w:r w:rsidRPr="0032635B">
        <w:rPr>
          <w:rFonts w:ascii="Book Antiqua" w:hAnsi="Book Antiqua" w:cs="Times New Roman"/>
          <w:sz w:val="24"/>
          <w:szCs w:val="24"/>
        </w:rPr>
        <w:t>Lafutidine</w:t>
      </w:r>
      <w:proofErr w:type="spellEnd"/>
      <w:r w:rsidRPr="0032635B">
        <w:rPr>
          <w:rFonts w:ascii="Book Antiqua" w:hAnsi="Book Antiqua" w:cs="Times New Roman"/>
          <w:sz w:val="24"/>
          <w:szCs w:val="24"/>
        </w:rPr>
        <w:t xml:space="preserve"> is a second-generation H2RA that has a potent and sustained anti-acid secretory effect. In LAFORE trials conducted in Japanese patients with mild GERD, </w:t>
      </w:r>
      <w:proofErr w:type="spellStart"/>
      <w:r w:rsidRPr="0032635B">
        <w:rPr>
          <w:rFonts w:ascii="Book Antiqua" w:hAnsi="Book Antiqua" w:cs="Times New Roman"/>
          <w:sz w:val="24"/>
          <w:szCs w:val="24"/>
        </w:rPr>
        <w:t>lafutidine</w:t>
      </w:r>
      <w:proofErr w:type="spellEnd"/>
      <w:r w:rsidRPr="0032635B">
        <w:rPr>
          <w:rFonts w:ascii="Book Antiqua" w:hAnsi="Book Antiqua" w:cs="Times New Roman"/>
          <w:sz w:val="24"/>
          <w:szCs w:val="24"/>
        </w:rPr>
        <w:t xml:space="preserve"> was superior to first-generation H2RA (famotidine). The</w:t>
      </w:r>
      <w:r w:rsidR="00F755EB" w:rsidRPr="0032635B">
        <w:rPr>
          <w:rFonts w:ascii="Book Antiqua" w:hAnsi="Book Antiqua" w:cs="Times New Roman"/>
          <w:sz w:val="24"/>
          <w:szCs w:val="24"/>
        </w:rPr>
        <w:t xml:space="preserve"> aim of this study was to compare the clinical efficacy of </w:t>
      </w:r>
      <w:proofErr w:type="spellStart"/>
      <w:r w:rsidR="00F755EB" w:rsidRPr="0032635B">
        <w:rPr>
          <w:rFonts w:ascii="Book Antiqua" w:hAnsi="Book Antiqua" w:cs="Times New Roman"/>
          <w:sz w:val="24"/>
          <w:szCs w:val="24"/>
        </w:rPr>
        <w:t>lafutidine</w:t>
      </w:r>
      <w:proofErr w:type="spellEnd"/>
      <w:r w:rsidR="00F755EB" w:rsidRPr="0032635B">
        <w:rPr>
          <w:rFonts w:ascii="Book Antiqua" w:hAnsi="Book Antiqua" w:cs="Times New Roman"/>
          <w:sz w:val="24"/>
          <w:szCs w:val="24"/>
        </w:rPr>
        <w:t xml:space="preserve"> with that of </w:t>
      </w:r>
      <w:r w:rsidR="00B47669" w:rsidRPr="0032635B">
        <w:rPr>
          <w:rFonts w:ascii="Book Antiqua" w:hAnsi="Book Antiqua" w:cs="Times New Roman"/>
          <w:sz w:val="24"/>
          <w:szCs w:val="24"/>
        </w:rPr>
        <w:t>PPI (</w:t>
      </w:r>
      <w:proofErr w:type="spellStart"/>
      <w:r w:rsidR="00F755EB" w:rsidRPr="0032635B">
        <w:rPr>
          <w:rFonts w:ascii="Book Antiqua" w:hAnsi="Book Antiqua" w:cs="Times New Roman"/>
          <w:sz w:val="24"/>
          <w:szCs w:val="24"/>
        </w:rPr>
        <w:t>lansoprazole</w:t>
      </w:r>
      <w:proofErr w:type="spellEnd"/>
      <w:r w:rsidR="00B47669" w:rsidRPr="0032635B">
        <w:rPr>
          <w:rFonts w:ascii="Book Antiqua" w:hAnsi="Book Antiqua" w:cs="Times New Roman"/>
          <w:sz w:val="24"/>
          <w:szCs w:val="24"/>
        </w:rPr>
        <w:t>)</w:t>
      </w:r>
      <w:r w:rsidR="00F755EB" w:rsidRPr="0032635B">
        <w:rPr>
          <w:rFonts w:ascii="Book Antiqua" w:hAnsi="Book Antiqua" w:cs="Times New Roman"/>
          <w:sz w:val="24"/>
          <w:szCs w:val="24"/>
        </w:rPr>
        <w:t xml:space="preserve"> as initial and maintenance treatment in Japanese patients with mild GERD.</w:t>
      </w:r>
    </w:p>
    <w:p w:rsidR="006E3A4F" w:rsidRPr="0032635B" w:rsidRDefault="006E3A4F" w:rsidP="00C92BD7">
      <w:pPr>
        <w:widowControl/>
        <w:spacing w:line="360" w:lineRule="auto"/>
        <w:rPr>
          <w:rFonts w:ascii="Book Antiqua" w:hAnsi="Book Antiqua"/>
          <w:sz w:val="24"/>
          <w:szCs w:val="24"/>
        </w:rPr>
      </w:pPr>
    </w:p>
    <w:p w:rsidR="00B47669" w:rsidRPr="0032635B" w:rsidRDefault="00B47669" w:rsidP="00C92BD7">
      <w:pPr>
        <w:widowControl/>
        <w:spacing w:line="360" w:lineRule="auto"/>
        <w:rPr>
          <w:rFonts w:ascii="Book Antiqua" w:hAnsi="Book Antiqua"/>
          <w:b/>
          <w:i/>
          <w:sz w:val="24"/>
          <w:szCs w:val="24"/>
        </w:rPr>
      </w:pPr>
      <w:r w:rsidRPr="0032635B">
        <w:rPr>
          <w:rFonts w:ascii="Book Antiqua" w:hAnsi="Book Antiqua"/>
          <w:b/>
          <w:i/>
          <w:sz w:val="24"/>
          <w:szCs w:val="24"/>
        </w:rPr>
        <w:t>Research frontiers</w:t>
      </w:r>
    </w:p>
    <w:p w:rsidR="00B47669" w:rsidRPr="0032635B" w:rsidRDefault="00B47669" w:rsidP="00C92BD7">
      <w:pPr>
        <w:widowControl/>
        <w:spacing w:line="360" w:lineRule="auto"/>
        <w:rPr>
          <w:rFonts w:ascii="Book Antiqua" w:eastAsia="宋体" w:hAnsi="Book Antiqua"/>
          <w:sz w:val="24"/>
          <w:szCs w:val="24"/>
          <w:lang w:eastAsia="zh-CN"/>
        </w:rPr>
      </w:pPr>
      <w:r w:rsidRPr="0032635B">
        <w:rPr>
          <w:rFonts w:ascii="Book Antiqua" w:hAnsi="Book Antiqua"/>
          <w:sz w:val="24"/>
          <w:szCs w:val="24"/>
        </w:rPr>
        <w:t xml:space="preserve">GERD is a chronic disorder and long-term acid-suppression therapy is necessary in most cases. Limitations of PPIs include a higher cost than H2RAs, and potential side effects </w:t>
      </w:r>
      <w:r w:rsidR="00764C72" w:rsidRPr="0032635B">
        <w:rPr>
          <w:rFonts w:ascii="Book Antiqua" w:hAnsi="Book Antiqua"/>
          <w:sz w:val="24"/>
          <w:szCs w:val="24"/>
        </w:rPr>
        <w:t>related to</w:t>
      </w:r>
      <w:r w:rsidRPr="0032635B">
        <w:rPr>
          <w:rFonts w:ascii="Book Antiqua" w:hAnsi="Book Antiqua"/>
          <w:sz w:val="24"/>
          <w:szCs w:val="24"/>
        </w:rPr>
        <w:t xml:space="preserve"> </w:t>
      </w:r>
      <w:proofErr w:type="spellStart"/>
      <w:r w:rsidRPr="0032635B">
        <w:rPr>
          <w:rFonts w:ascii="Book Antiqua" w:hAnsi="Book Antiqua"/>
          <w:sz w:val="24"/>
          <w:szCs w:val="24"/>
        </w:rPr>
        <w:t>hypochlorhydria</w:t>
      </w:r>
      <w:proofErr w:type="spellEnd"/>
      <w:r w:rsidRPr="0032635B">
        <w:rPr>
          <w:rFonts w:ascii="Book Antiqua" w:hAnsi="Book Antiqua"/>
          <w:sz w:val="24"/>
          <w:szCs w:val="24"/>
        </w:rPr>
        <w:t xml:space="preserve"> and </w:t>
      </w:r>
      <w:proofErr w:type="spellStart"/>
      <w:r w:rsidRPr="0032635B">
        <w:rPr>
          <w:rFonts w:ascii="Book Antiqua" w:hAnsi="Book Antiqua"/>
          <w:sz w:val="24"/>
          <w:szCs w:val="24"/>
        </w:rPr>
        <w:t>hypergastrinemia</w:t>
      </w:r>
      <w:proofErr w:type="spellEnd"/>
      <w:r w:rsidRPr="0032635B">
        <w:rPr>
          <w:rFonts w:ascii="Book Antiqua" w:hAnsi="Book Antiqua"/>
          <w:sz w:val="24"/>
          <w:szCs w:val="24"/>
        </w:rPr>
        <w:t xml:space="preserve">. </w:t>
      </w:r>
    </w:p>
    <w:p w:rsidR="00473E0F" w:rsidRPr="0032635B" w:rsidRDefault="00473E0F" w:rsidP="00C92BD7">
      <w:pPr>
        <w:widowControl/>
        <w:spacing w:line="360" w:lineRule="auto"/>
        <w:rPr>
          <w:rFonts w:ascii="Book Antiqua" w:eastAsia="宋体" w:hAnsi="Book Antiqua" w:cs="Times New Roman"/>
          <w:sz w:val="24"/>
          <w:szCs w:val="24"/>
          <w:lang w:eastAsia="zh-CN"/>
        </w:rPr>
      </w:pPr>
    </w:p>
    <w:p w:rsidR="00B47669" w:rsidRPr="0032635B" w:rsidRDefault="00B47669" w:rsidP="00C92BD7">
      <w:pPr>
        <w:widowControl/>
        <w:spacing w:line="360" w:lineRule="auto"/>
        <w:rPr>
          <w:rFonts w:ascii="Book Antiqua" w:hAnsi="Book Antiqua" w:cs="Times New Roman"/>
          <w:b/>
          <w:i/>
          <w:sz w:val="24"/>
          <w:szCs w:val="24"/>
        </w:rPr>
      </w:pPr>
      <w:r w:rsidRPr="0032635B">
        <w:rPr>
          <w:rFonts w:ascii="Book Antiqua" w:hAnsi="Book Antiqua" w:cs="Times New Roman"/>
          <w:b/>
          <w:i/>
          <w:sz w:val="24"/>
          <w:szCs w:val="24"/>
        </w:rPr>
        <w:t>Innovations and breakthroughs</w:t>
      </w:r>
    </w:p>
    <w:p w:rsidR="00B47669" w:rsidRPr="0032635B" w:rsidRDefault="00B47669" w:rsidP="00C92BD7">
      <w:pPr>
        <w:widowControl/>
        <w:spacing w:line="360" w:lineRule="auto"/>
        <w:rPr>
          <w:rFonts w:ascii="Book Antiqua" w:hAnsi="Book Antiqua"/>
          <w:sz w:val="24"/>
          <w:szCs w:val="24"/>
        </w:rPr>
      </w:pPr>
      <w:proofErr w:type="spellStart"/>
      <w:r w:rsidRPr="0032635B">
        <w:rPr>
          <w:rFonts w:ascii="Book Antiqua" w:hAnsi="Book Antiqua"/>
          <w:sz w:val="24"/>
          <w:szCs w:val="24"/>
        </w:rPr>
        <w:t>Lansoprazole</w:t>
      </w:r>
      <w:proofErr w:type="spellEnd"/>
      <w:r w:rsidRPr="0032635B">
        <w:rPr>
          <w:rFonts w:ascii="Book Antiqua" w:hAnsi="Book Antiqua"/>
          <w:sz w:val="24"/>
          <w:szCs w:val="24"/>
        </w:rPr>
        <w:t xml:space="preserve"> was superior to </w:t>
      </w:r>
      <w:proofErr w:type="spellStart"/>
      <w:r w:rsidRPr="0032635B">
        <w:rPr>
          <w:rFonts w:ascii="Book Antiqua" w:hAnsi="Book Antiqua"/>
          <w:sz w:val="24"/>
          <w:szCs w:val="24"/>
        </w:rPr>
        <w:t>lafutidine</w:t>
      </w:r>
      <w:proofErr w:type="spellEnd"/>
      <w:r w:rsidRPr="0032635B">
        <w:rPr>
          <w:rFonts w:ascii="Book Antiqua" w:hAnsi="Book Antiqua"/>
          <w:sz w:val="24"/>
          <w:szCs w:val="24"/>
        </w:rPr>
        <w:t xml:space="preserve"> in Japanese patients with mild GERD, not only with respect to lowering the severity of heartburn, but also the satisfaction score. The hypothesis that </w:t>
      </w:r>
      <w:proofErr w:type="spellStart"/>
      <w:r w:rsidRPr="0032635B">
        <w:rPr>
          <w:rFonts w:ascii="Book Antiqua" w:hAnsi="Book Antiqua"/>
          <w:sz w:val="24"/>
          <w:szCs w:val="24"/>
        </w:rPr>
        <w:t>lafutidine</w:t>
      </w:r>
      <w:proofErr w:type="spellEnd"/>
      <w:r w:rsidRPr="0032635B">
        <w:rPr>
          <w:rFonts w:ascii="Book Antiqua" w:hAnsi="Book Antiqua"/>
          <w:sz w:val="24"/>
          <w:szCs w:val="24"/>
        </w:rPr>
        <w:t xml:space="preserve"> ha</w:t>
      </w:r>
      <w:r w:rsidR="00764C72" w:rsidRPr="0032635B">
        <w:rPr>
          <w:rFonts w:ascii="Book Antiqua" w:hAnsi="Book Antiqua"/>
          <w:sz w:val="24"/>
          <w:szCs w:val="24"/>
        </w:rPr>
        <w:t>d</w:t>
      </w:r>
      <w:r w:rsidRPr="0032635B">
        <w:rPr>
          <w:rFonts w:ascii="Book Antiqua" w:hAnsi="Book Antiqua"/>
          <w:sz w:val="24"/>
          <w:szCs w:val="24"/>
        </w:rPr>
        <w:t xml:space="preserve"> similar efficacy and superior cost-effectiveness compared with </w:t>
      </w:r>
      <w:proofErr w:type="spellStart"/>
      <w:r w:rsidRPr="0032635B">
        <w:rPr>
          <w:rFonts w:ascii="Book Antiqua" w:hAnsi="Book Antiqua"/>
          <w:sz w:val="24"/>
          <w:szCs w:val="24"/>
        </w:rPr>
        <w:t>lansoprazole</w:t>
      </w:r>
      <w:proofErr w:type="spellEnd"/>
      <w:r w:rsidRPr="0032635B">
        <w:rPr>
          <w:rFonts w:ascii="Book Antiqua" w:hAnsi="Book Antiqua"/>
          <w:sz w:val="24"/>
          <w:szCs w:val="24"/>
        </w:rPr>
        <w:t xml:space="preserve"> in Japanese patients with mild GERD was not confirmed.</w:t>
      </w:r>
    </w:p>
    <w:p w:rsidR="00B47669" w:rsidRPr="0032635B" w:rsidRDefault="00B47669" w:rsidP="00C92BD7">
      <w:pPr>
        <w:widowControl/>
        <w:spacing w:line="360" w:lineRule="auto"/>
        <w:rPr>
          <w:rFonts w:ascii="Book Antiqua" w:hAnsi="Book Antiqua"/>
          <w:sz w:val="24"/>
          <w:szCs w:val="24"/>
        </w:rPr>
      </w:pPr>
    </w:p>
    <w:p w:rsidR="00B47669" w:rsidRPr="0032635B" w:rsidRDefault="00B47669" w:rsidP="00C92BD7">
      <w:pPr>
        <w:widowControl/>
        <w:spacing w:line="360" w:lineRule="auto"/>
        <w:rPr>
          <w:rFonts w:ascii="Book Antiqua" w:hAnsi="Book Antiqua"/>
          <w:b/>
          <w:i/>
          <w:sz w:val="24"/>
          <w:szCs w:val="24"/>
        </w:rPr>
      </w:pPr>
      <w:r w:rsidRPr="0032635B">
        <w:rPr>
          <w:rFonts w:ascii="Book Antiqua" w:hAnsi="Book Antiqua"/>
          <w:b/>
          <w:i/>
          <w:sz w:val="24"/>
          <w:szCs w:val="24"/>
        </w:rPr>
        <w:t>Applications</w:t>
      </w:r>
    </w:p>
    <w:p w:rsidR="00724755" w:rsidRPr="0032635B" w:rsidRDefault="00492E37" w:rsidP="00C92BD7">
      <w:pPr>
        <w:widowControl/>
        <w:spacing w:line="360" w:lineRule="auto"/>
        <w:rPr>
          <w:rFonts w:ascii="Book Antiqua" w:hAnsi="Book Antiqua"/>
          <w:sz w:val="24"/>
          <w:szCs w:val="24"/>
        </w:rPr>
      </w:pPr>
      <w:r w:rsidRPr="0032635B">
        <w:rPr>
          <w:rFonts w:ascii="Book Antiqua" w:hAnsi="Book Antiqua"/>
          <w:sz w:val="24"/>
          <w:szCs w:val="24"/>
        </w:rPr>
        <w:t>The efficacy of a second-generation H2RA over a PPI in Japanese patients with mild GERD was not demonstrated, most notably during maintenance therapy.</w:t>
      </w:r>
    </w:p>
    <w:p w:rsidR="00492E37" w:rsidRPr="0032635B" w:rsidRDefault="00492E37" w:rsidP="00C92BD7">
      <w:pPr>
        <w:widowControl/>
        <w:spacing w:line="360" w:lineRule="auto"/>
        <w:rPr>
          <w:rFonts w:ascii="Book Antiqua" w:hAnsi="Book Antiqua"/>
          <w:sz w:val="24"/>
          <w:szCs w:val="24"/>
        </w:rPr>
      </w:pPr>
    </w:p>
    <w:p w:rsidR="00492E37" w:rsidRPr="0032635B" w:rsidRDefault="00492E37" w:rsidP="00C92BD7">
      <w:pPr>
        <w:widowControl/>
        <w:spacing w:line="360" w:lineRule="auto"/>
        <w:rPr>
          <w:rFonts w:ascii="Book Antiqua" w:hAnsi="Book Antiqua"/>
          <w:b/>
          <w:i/>
          <w:sz w:val="24"/>
          <w:szCs w:val="24"/>
        </w:rPr>
      </w:pPr>
      <w:r w:rsidRPr="0032635B">
        <w:rPr>
          <w:rFonts w:ascii="Book Antiqua" w:hAnsi="Book Antiqua"/>
          <w:b/>
          <w:i/>
          <w:sz w:val="24"/>
          <w:szCs w:val="24"/>
        </w:rPr>
        <w:t>Terminology</w:t>
      </w:r>
    </w:p>
    <w:p w:rsidR="00492E37" w:rsidRPr="0032635B" w:rsidRDefault="00492E37" w:rsidP="00C92BD7">
      <w:pPr>
        <w:widowControl/>
        <w:spacing w:line="360" w:lineRule="auto"/>
        <w:rPr>
          <w:rFonts w:ascii="Book Antiqua" w:hAnsi="Book Antiqua"/>
          <w:sz w:val="24"/>
          <w:szCs w:val="24"/>
        </w:rPr>
      </w:pPr>
      <w:proofErr w:type="spellStart"/>
      <w:r w:rsidRPr="0032635B">
        <w:rPr>
          <w:rFonts w:ascii="Book Antiqua" w:hAnsi="Book Antiqua"/>
          <w:sz w:val="24"/>
          <w:szCs w:val="24"/>
        </w:rPr>
        <w:t>Lafutidine</w:t>
      </w:r>
      <w:proofErr w:type="spellEnd"/>
      <w:r w:rsidRPr="0032635B">
        <w:rPr>
          <w:rFonts w:ascii="Book Antiqua" w:hAnsi="Book Antiqua"/>
          <w:sz w:val="24"/>
          <w:szCs w:val="24"/>
        </w:rPr>
        <w:t xml:space="preserve"> is </w:t>
      </w:r>
      <w:r w:rsidRPr="0032635B">
        <w:rPr>
          <w:rFonts w:ascii="Book Antiqua" w:hAnsi="Book Antiqua" w:cs="Times New Roman"/>
          <w:sz w:val="24"/>
          <w:szCs w:val="24"/>
        </w:rPr>
        <w:t>a second-generation H2RA</w:t>
      </w:r>
      <w:r w:rsidRPr="0032635B">
        <w:rPr>
          <w:rFonts w:ascii="Book Antiqua" w:hAnsi="Book Antiqua"/>
          <w:sz w:val="24"/>
          <w:szCs w:val="24"/>
        </w:rPr>
        <w:t xml:space="preserve"> and shown to be superior to first-generation H2RA (famotidine).</w:t>
      </w:r>
    </w:p>
    <w:p w:rsidR="00492E37" w:rsidRPr="0032635B" w:rsidRDefault="00492E37" w:rsidP="00C92BD7">
      <w:pPr>
        <w:widowControl/>
        <w:spacing w:line="360" w:lineRule="auto"/>
        <w:rPr>
          <w:rFonts w:ascii="Book Antiqua" w:hAnsi="Book Antiqua"/>
          <w:sz w:val="24"/>
          <w:szCs w:val="24"/>
        </w:rPr>
      </w:pPr>
    </w:p>
    <w:p w:rsidR="0032635B" w:rsidRPr="0032635B" w:rsidRDefault="00492E37" w:rsidP="00C92BD7">
      <w:pPr>
        <w:widowControl/>
        <w:spacing w:line="360" w:lineRule="auto"/>
        <w:rPr>
          <w:rFonts w:ascii="Book Antiqua" w:eastAsia="宋体" w:hAnsi="Book Antiqua"/>
          <w:b/>
          <w:i/>
          <w:sz w:val="24"/>
          <w:szCs w:val="24"/>
          <w:lang w:eastAsia="zh-CN"/>
        </w:rPr>
      </w:pPr>
      <w:r w:rsidRPr="0032635B">
        <w:rPr>
          <w:rFonts w:ascii="Book Antiqua" w:hAnsi="Book Antiqua"/>
          <w:b/>
          <w:i/>
          <w:sz w:val="24"/>
          <w:szCs w:val="24"/>
        </w:rPr>
        <w:t>Peer-review</w:t>
      </w:r>
    </w:p>
    <w:p w:rsidR="00492E37" w:rsidRPr="0032635B" w:rsidRDefault="0032635B" w:rsidP="00C92BD7">
      <w:pPr>
        <w:widowControl/>
        <w:spacing w:line="360" w:lineRule="auto"/>
        <w:rPr>
          <w:rFonts w:ascii="Book Antiqua" w:hAnsi="Book Antiqua"/>
          <w:b/>
          <w:i/>
          <w:sz w:val="24"/>
          <w:szCs w:val="24"/>
        </w:rPr>
      </w:pPr>
      <w:proofErr w:type="gramStart"/>
      <w:r w:rsidRPr="0032635B">
        <w:rPr>
          <w:rFonts w:ascii="Book Antiqua" w:hAnsi="Book Antiqua"/>
          <w:sz w:val="24"/>
          <w:szCs w:val="24"/>
        </w:rPr>
        <w:t>Interesting and well written study.</w:t>
      </w:r>
      <w:proofErr w:type="gramEnd"/>
      <w:r w:rsidRPr="0032635B">
        <w:rPr>
          <w:rFonts w:ascii="Book Antiqua" w:hAnsi="Book Antiqua"/>
          <w:sz w:val="24"/>
          <w:szCs w:val="24"/>
        </w:rPr>
        <w:t xml:space="preserve"> </w:t>
      </w:r>
      <w:r w:rsidR="00492E37" w:rsidRPr="0032635B">
        <w:rPr>
          <w:rFonts w:ascii="Book Antiqua" w:hAnsi="Book Antiqua"/>
          <w:b/>
          <w:i/>
          <w:sz w:val="24"/>
          <w:szCs w:val="24"/>
        </w:rPr>
        <w:br w:type="page"/>
      </w:r>
    </w:p>
    <w:p w:rsidR="00DA5735" w:rsidRPr="0032635B" w:rsidRDefault="00473E0F" w:rsidP="00DA5735">
      <w:pPr>
        <w:spacing w:line="360" w:lineRule="auto"/>
        <w:rPr>
          <w:rFonts w:ascii="Book Antiqua" w:eastAsia="宋体" w:hAnsi="Book Antiqua" w:cs="Times New Roman"/>
          <w:b/>
          <w:sz w:val="24"/>
          <w:szCs w:val="24"/>
          <w:lang w:eastAsia="zh-CN"/>
        </w:rPr>
      </w:pPr>
      <w:r w:rsidRPr="0032635B">
        <w:rPr>
          <w:rFonts w:ascii="Book Antiqua" w:hAnsi="Book Antiqua" w:cs="Times New Roman"/>
          <w:b/>
          <w:sz w:val="24"/>
          <w:szCs w:val="24"/>
        </w:rPr>
        <w:lastRenderedPageBreak/>
        <w:t>REFERENCES</w:t>
      </w:r>
    </w:p>
    <w:p w:rsidR="00DA5735" w:rsidRPr="0032635B" w:rsidRDefault="00DA5735" w:rsidP="00DA5735">
      <w:pPr>
        <w:widowControl/>
        <w:spacing w:line="360" w:lineRule="auto"/>
        <w:rPr>
          <w:rFonts w:ascii="Book Antiqua" w:eastAsia="宋体" w:hAnsi="Book Antiqua" w:cs="宋体"/>
          <w:kern w:val="0"/>
          <w:sz w:val="24"/>
          <w:szCs w:val="24"/>
        </w:rPr>
      </w:pPr>
      <w:r w:rsidRPr="0032635B">
        <w:rPr>
          <w:rFonts w:ascii="Book Antiqua" w:eastAsia="宋体" w:hAnsi="Book Antiqua" w:cs="宋体"/>
          <w:kern w:val="0"/>
          <w:sz w:val="24"/>
          <w:szCs w:val="24"/>
        </w:rPr>
        <w:t>1 </w:t>
      </w:r>
      <w:proofErr w:type="spellStart"/>
      <w:r w:rsidRPr="0032635B">
        <w:rPr>
          <w:rFonts w:ascii="Book Antiqua" w:eastAsia="宋体" w:hAnsi="Book Antiqua" w:cs="宋体"/>
          <w:b/>
          <w:bCs/>
          <w:kern w:val="0"/>
          <w:sz w:val="24"/>
          <w:szCs w:val="24"/>
        </w:rPr>
        <w:t>Vakil</w:t>
      </w:r>
      <w:proofErr w:type="spellEnd"/>
      <w:r w:rsidRPr="0032635B">
        <w:rPr>
          <w:rFonts w:ascii="Book Antiqua" w:eastAsia="宋体" w:hAnsi="Book Antiqua" w:cs="宋体"/>
          <w:b/>
          <w:bCs/>
          <w:kern w:val="0"/>
          <w:sz w:val="24"/>
          <w:szCs w:val="24"/>
        </w:rPr>
        <w:t xml:space="preserve"> N</w:t>
      </w:r>
      <w:r w:rsidRPr="0032635B">
        <w:rPr>
          <w:rFonts w:ascii="Book Antiqua" w:eastAsia="宋体" w:hAnsi="Book Antiqua" w:cs="宋体"/>
          <w:kern w:val="0"/>
          <w:sz w:val="24"/>
          <w:szCs w:val="24"/>
        </w:rPr>
        <w:t xml:space="preserve">, van </w:t>
      </w:r>
      <w:proofErr w:type="spellStart"/>
      <w:r w:rsidRPr="0032635B">
        <w:rPr>
          <w:rFonts w:ascii="Book Antiqua" w:eastAsia="宋体" w:hAnsi="Book Antiqua" w:cs="宋体"/>
          <w:kern w:val="0"/>
          <w:sz w:val="24"/>
          <w:szCs w:val="24"/>
        </w:rPr>
        <w:t>Zanten</w:t>
      </w:r>
      <w:proofErr w:type="spellEnd"/>
      <w:r w:rsidRPr="0032635B">
        <w:rPr>
          <w:rFonts w:ascii="Book Antiqua" w:eastAsia="宋体" w:hAnsi="Book Antiqua" w:cs="宋体"/>
          <w:kern w:val="0"/>
          <w:sz w:val="24"/>
          <w:szCs w:val="24"/>
        </w:rPr>
        <w:t xml:space="preserve"> SV, </w:t>
      </w:r>
      <w:proofErr w:type="spellStart"/>
      <w:r w:rsidRPr="0032635B">
        <w:rPr>
          <w:rFonts w:ascii="Book Antiqua" w:eastAsia="宋体" w:hAnsi="Book Antiqua" w:cs="宋体"/>
          <w:kern w:val="0"/>
          <w:sz w:val="24"/>
          <w:szCs w:val="24"/>
        </w:rPr>
        <w:t>Kahrilas</w:t>
      </w:r>
      <w:proofErr w:type="spellEnd"/>
      <w:r w:rsidRPr="0032635B">
        <w:rPr>
          <w:rFonts w:ascii="Book Antiqua" w:eastAsia="宋体" w:hAnsi="Book Antiqua" w:cs="宋体"/>
          <w:kern w:val="0"/>
          <w:sz w:val="24"/>
          <w:szCs w:val="24"/>
        </w:rPr>
        <w:t xml:space="preserve"> P, Dent J, Jones R. The Montreal definition and classification of </w:t>
      </w:r>
      <w:proofErr w:type="spellStart"/>
      <w:r w:rsidRPr="0032635B">
        <w:rPr>
          <w:rFonts w:ascii="Book Antiqua" w:eastAsia="宋体" w:hAnsi="Book Antiqua" w:cs="宋体"/>
          <w:kern w:val="0"/>
          <w:sz w:val="24"/>
          <w:szCs w:val="24"/>
        </w:rPr>
        <w:t>gastroesophageal</w:t>
      </w:r>
      <w:proofErr w:type="spellEnd"/>
      <w:r w:rsidRPr="0032635B">
        <w:rPr>
          <w:rFonts w:ascii="Book Antiqua" w:eastAsia="宋体" w:hAnsi="Book Antiqua" w:cs="宋体"/>
          <w:kern w:val="0"/>
          <w:sz w:val="24"/>
          <w:szCs w:val="24"/>
        </w:rPr>
        <w:t xml:space="preserve"> reflux disease: a global evidence-based consensus. </w:t>
      </w:r>
      <w:r w:rsidRPr="0032635B">
        <w:rPr>
          <w:rFonts w:ascii="Book Antiqua" w:eastAsia="宋体" w:hAnsi="Book Antiqua" w:cs="宋体"/>
          <w:i/>
          <w:iCs/>
          <w:kern w:val="0"/>
          <w:sz w:val="24"/>
          <w:szCs w:val="24"/>
        </w:rPr>
        <w:t xml:space="preserve">Am J </w:t>
      </w:r>
      <w:proofErr w:type="spellStart"/>
      <w:r w:rsidRPr="0032635B">
        <w:rPr>
          <w:rFonts w:ascii="Book Antiqua" w:eastAsia="宋体" w:hAnsi="Book Antiqua" w:cs="宋体"/>
          <w:i/>
          <w:iCs/>
          <w:kern w:val="0"/>
          <w:sz w:val="24"/>
          <w:szCs w:val="24"/>
        </w:rPr>
        <w:t>Gastroenterol</w:t>
      </w:r>
      <w:proofErr w:type="spellEnd"/>
      <w:r w:rsidRPr="0032635B">
        <w:rPr>
          <w:rFonts w:ascii="Book Antiqua" w:eastAsia="宋体" w:hAnsi="Book Antiqua" w:cs="宋体"/>
          <w:kern w:val="0"/>
          <w:sz w:val="24"/>
          <w:szCs w:val="24"/>
        </w:rPr>
        <w:t> 2006; </w:t>
      </w:r>
      <w:r w:rsidRPr="0032635B">
        <w:rPr>
          <w:rFonts w:ascii="Book Antiqua" w:eastAsia="宋体" w:hAnsi="Book Antiqua" w:cs="宋体"/>
          <w:b/>
          <w:bCs/>
          <w:kern w:val="0"/>
          <w:sz w:val="24"/>
          <w:szCs w:val="24"/>
        </w:rPr>
        <w:t>101</w:t>
      </w:r>
      <w:r w:rsidRPr="0032635B">
        <w:rPr>
          <w:rFonts w:ascii="Book Antiqua" w:eastAsia="宋体" w:hAnsi="Book Antiqua" w:cs="宋体"/>
          <w:kern w:val="0"/>
          <w:sz w:val="24"/>
          <w:szCs w:val="24"/>
        </w:rPr>
        <w:t>: 1900-120; quiz 1943 [PMID: 16928254 DOI: 10.1111/j.1572-0241.2006.00630.x]</w:t>
      </w:r>
    </w:p>
    <w:p w:rsidR="00DA5735" w:rsidRPr="0032635B" w:rsidRDefault="00DA5735" w:rsidP="00DA5735">
      <w:pPr>
        <w:widowControl/>
        <w:spacing w:line="360" w:lineRule="auto"/>
        <w:rPr>
          <w:rFonts w:ascii="Book Antiqua" w:eastAsia="宋体" w:hAnsi="Book Antiqua" w:cs="宋体"/>
          <w:kern w:val="0"/>
          <w:sz w:val="24"/>
          <w:szCs w:val="24"/>
        </w:rPr>
      </w:pPr>
      <w:r w:rsidRPr="0032635B">
        <w:rPr>
          <w:rFonts w:ascii="Book Antiqua" w:eastAsia="宋体" w:hAnsi="Book Antiqua" w:cs="宋体"/>
          <w:kern w:val="0"/>
          <w:sz w:val="24"/>
          <w:szCs w:val="24"/>
        </w:rPr>
        <w:t>2 </w:t>
      </w:r>
      <w:r w:rsidRPr="0032635B">
        <w:rPr>
          <w:rFonts w:ascii="Book Antiqua" w:eastAsia="宋体" w:hAnsi="Book Antiqua" w:cs="宋体"/>
          <w:b/>
          <w:bCs/>
          <w:kern w:val="0"/>
          <w:sz w:val="24"/>
          <w:szCs w:val="24"/>
        </w:rPr>
        <w:t>Khan M</w:t>
      </w:r>
      <w:r w:rsidRPr="0032635B">
        <w:rPr>
          <w:rFonts w:ascii="Book Antiqua" w:eastAsia="宋体" w:hAnsi="Book Antiqua" w:cs="宋体"/>
          <w:kern w:val="0"/>
          <w:sz w:val="24"/>
          <w:szCs w:val="24"/>
        </w:rPr>
        <w:t xml:space="preserve">, Santana J, </w:t>
      </w:r>
      <w:proofErr w:type="spellStart"/>
      <w:r w:rsidRPr="0032635B">
        <w:rPr>
          <w:rFonts w:ascii="Book Antiqua" w:eastAsia="宋体" w:hAnsi="Book Antiqua" w:cs="宋体"/>
          <w:kern w:val="0"/>
          <w:sz w:val="24"/>
          <w:szCs w:val="24"/>
        </w:rPr>
        <w:t>Donnellan</w:t>
      </w:r>
      <w:proofErr w:type="spellEnd"/>
      <w:r w:rsidRPr="0032635B">
        <w:rPr>
          <w:rFonts w:ascii="Book Antiqua" w:eastAsia="宋体" w:hAnsi="Book Antiqua" w:cs="宋体"/>
          <w:kern w:val="0"/>
          <w:sz w:val="24"/>
          <w:szCs w:val="24"/>
        </w:rPr>
        <w:t xml:space="preserve"> C, Preston C, </w:t>
      </w:r>
      <w:proofErr w:type="spellStart"/>
      <w:r w:rsidRPr="0032635B">
        <w:rPr>
          <w:rFonts w:ascii="Book Antiqua" w:eastAsia="宋体" w:hAnsi="Book Antiqua" w:cs="宋体"/>
          <w:kern w:val="0"/>
          <w:sz w:val="24"/>
          <w:szCs w:val="24"/>
        </w:rPr>
        <w:t>Moayyedi</w:t>
      </w:r>
      <w:proofErr w:type="spellEnd"/>
      <w:r w:rsidRPr="0032635B">
        <w:rPr>
          <w:rFonts w:ascii="Book Antiqua" w:eastAsia="宋体" w:hAnsi="Book Antiqua" w:cs="宋体"/>
          <w:kern w:val="0"/>
          <w:sz w:val="24"/>
          <w:szCs w:val="24"/>
        </w:rPr>
        <w:t xml:space="preserve"> P. Medical treatments in the short term management of reflux </w:t>
      </w:r>
      <w:proofErr w:type="spellStart"/>
      <w:r w:rsidRPr="0032635B">
        <w:rPr>
          <w:rFonts w:ascii="Book Antiqua" w:eastAsia="宋体" w:hAnsi="Book Antiqua" w:cs="宋体"/>
          <w:kern w:val="0"/>
          <w:sz w:val="24"/>
          <w:szCs w:val="24"/>
        </w:rPr>
        <w:t>oesophagitis</w:t>
      </w:r>
      <w:proofErr w:type="spellEnd"/>
      <w:r w:rsidRPr="0032635B">
        <w:rPr>
          <w:rFonts w:ascii="Book Antiqua" w:eastAsia="宋体" w:hAnsi="Book Antiqua" w:cs="宋体"/>
          <w:kern w:val="0"/>
          <w:sz w:val="24"/>
          <w:szCs w:val="24"/>
        </w:rPr>
        <w:t>. </w:t>
      </w:r>
      <w:r w:rsidRPr="0032635B">
        <w:rPr>
          <w:rFonts w:ascii="Book Antiqua" w:eastAsia="宋体" w:hAnsi="Book Antiqua" w:cs="宋体"/>
          <w:i/>
          <w:iCs/>
          <w:kern w:val="0"/>
          <w:sz w:val="24"/>
          <w:szCs w:val="24"/>
        </w:rPr>
        <w:t xml:space="preserve">Cochrane Database </w:t>
      </w:r>
      <w:proofErr w:type="spellStart"/>
      <w:r w:rsidRPr="0032635B">
        <w:rPr>
          <w:rFonts w:ascii="Book Antiqua" w:eastAsia="宋体" w:hAnsi="Book Antiqua" w:cs="宋体"/>
          <w:i/>
          <w:iCs/>
          <w:kern w:val="0"/>
          <w:sz w:val="24"/>
          <w:szCs w:val="24"/>
        </w:rPr>
        <w:t>Syst</w:t>
      </w:r>
      <w:proofErr w:type="spellEnd"/>
      <w:r w:rsidRPr="0032635B">
        <w:rPr>
          <w:rFonts w:ascii="Book Antiqua" w:eastAsia="宋体" w:hAnsi="Book Antiqua" w:cs="宋体"/>
          <w:i/>
          <w:iCs/>
          <w:kern w:val="0"/>
          <w:sz w:val="24"/>
          <w:szCs w:val="24"/>
        </w:rPr>
        <w:t xml:space="preserve"> Rev</w:t>
      </w:r>
      <w:r w:rsidRPr="0032635B">
        <w:rPr>
          <w:rFonts w:ascii="Book Antiqua" w:eastAsia="宋体" w:hAnsi="Book Antiqua" w:cs="宋体"/>
          <w:kern w:val="0"/>
          <w:sz w:val="24"/>
          <w:szCs w:val="24"/>
        </w:rPr>
        <w:t> 2007</w:t>
      </w:r>
      <w:proofErr w:type="gramStart"/>
      <w:r w:rsidRPr="0032635B">
        <w:rPr>
          <w:rFonts w:ascii="Book Antiqua" w:eastAsia="宋体" w:hAnsi="Book Antiqua" w:cs="宋体"/>
          <w:kern w:val="0"/>
          <w:sz w:val="24"/>
          <w:szCs w:val="24"/>
        </w:rPr>
        <w:t>; :</w:t>
      </w:r>
      <w:proofErr w:type="gramEnd"/>
      <w:r w:rsidRPr="0032635B">
        <w:rPr>
          <w:rFonts w:ascii="Book Antiqua" w:eastAsia="宋体" w:hAnsi="Book Antiqua" w:cs="宋体"/>
          <w:kern w:val="0"/>
          <w:sz w:val="24"/>
          <w:szCs w:val="24"/>
        </w:rPr>
        <w:t xml:space="preserve"> CD003244 [PMID: 17443524]</w:t>
      </w:r>
    </w:p>
    <w:p w:rsidR="00DA5735" w:rsidRPr="0032635B" w:rsidRDefault="00DA5735" w:rsidP="00DA5735">
      <w:pPr>
        <w:widowControl/>
        <w:spacing w:line="360" w:lineRule="auto"/>
        <w:rPr>
          <w:rFonts w:ascii="Book Antiqua" w:eastAsia="宋体" w:hAnsi="Book Antiqua" w:cs="宋体"/>
          <w:kern w:val="0"/>
          <w:sz w:val="24"/>
          <w:szCs w:val="24"/>
        </w:rPr>
      </w:pPr>
      <w:r w:rsidRPr="0032635B">
        <w:rPr>
          <w:rFonts w:ascii="Book Antiqua" w:eastAsia="宋体" w:hAnsi="Book Antiqua" w:cs="宋体"/>
          <w:kern w:val="0"/>
          <w:sz w:val="24"/>
          <w:szCs w:val="24"/>
        </w:rPr>
        <w:t>3 </w:t>
      </w:r>
      <w:proofErr w:type="spellStart"/>
      <w:r w:rsidRPr="0032635B">
        <w:rPr>
          <w:rFonts w:ascii="Book Antiqua" w:eastAsia="宋体" w:hAnsi="Book Antiqua" w:cs="宋体"/>
          <w:b/>
          <w:bCs/>
          <w:kern w:val="0"/>
          <w:sz w:val="24"/>
          <w:szCs w:val="24"/>
        </w:rPr>
        <w:t>Moayyedi</w:t>
      </w:r>
      <w:proofErr w:type="spellEnd"/>
      <w:r w:rsidRPr="0032635B">
        <w:rPr>
          <w:rFonts w:ascii="Book Antiqua" w:eastAsia="宋体" w:hAnsi="Book Antiqua" w:cs="宋体"/>
          <w:b/>
          <w:bCs/>
          <w:kern w:val="0"/>
          <w:sz w:val="24"/>
          <w:szCs w:val="24"/>
        </w:rPr>
        <w:t xml:space="preserve"> P</w:t>
      </w:r>
      <w:r w:rsidRPr="0032635B">
        <w:rPr>
          <w:rFonts w:ascii="Book Antiqua" w:eastAsia="宋体" w:hAnsi="Book Antiqua" w:cs="宋体"/>
          <w:kern w:val="0"/>
          <w:sz w:val="24"/>
          <w:szCs w:val="24"/>
        </w:rPr>
        <w:t>, Talley NJ. Gastro-</w:t>
      </w:r>
      <w:proofErr w:type="spellStart"/>
      <w:r w:rsidRPr="0032635B">
        <w:rPr>
          <w:rFonts w:ascii="Book Antiqua" w:eastAsia="宋体" w:hAnsi="Book Antiqua" w:cs="宋体"/>
          <w:kern w:val="0"/>
          <w:sz w:val="24"/>
          <w:szCs w:val="24"/>
        </w:rPr>
        <w:t>oesophageal</w:t>
      </w:r>
      <w:proofErr w:type="spellEnd"/>
      <w:r w:rsidRPr="0032635B">
        <w:rPr>
          <w:rFonts w:ascii="Book Antiqua" w:eastAsia="宋体" w:hAnsi="Book Antiqua" w:cs="宋体"/>
          <w:kern w:val="0"/>
          <w:sz w:val="24"/>
          <w:szCs w:val="24"/>
        </w:rPr>
        <w:t xml:space="preserve"> reflux disease. </w:t>
      </w:r>
      <w:r w:rsidRPr="0032635B">
        <w:rPr>
          <w:rFonts w:ascii="Book Antiqua" w:eastAsia="宋体" w:hAnsi="Book Antiqua" w:cs="宋体"/>
          <w:i/>
          <w:iCs/>
          <w:kern w:val="0"/>
          <w:sz w:val="24"/>
          <w:szCs w:val="24"/>
        </w:rPr>
        <w:t>Lancet</w:t>
      </w:r>
      <w:r w:rsidRPr="0032635B">
        <w:rPr>
          <w:rFonts w:ascii="Book Antiqua" w:eastAsia="宋体" w:hAnsi="Book Antiqua" w:cs="宋体"/>
          <w:kern w:val="0"/>
          <w:sz w:val="24"/>
          <w:szCs w:val="24"/>
        </w:rPr>
        <w:t> 2006; </w:t>
      </w:r>
      <w:r w:rsidRPr="0032635B">
        <w:rPr>
          <w:rFonts w:ascii="Book Antiqua" w:eastAsia="宋体" w:hAnsi="Book Antiqua" w:cs="宋体"/>
          <w:b/>
          <w:bCs/>
          <w:kern w:val="0"/>
          <w:sz w:val="24"/>
          <w:szCs w:val="24"/>
        </w:rPr>
        <w:t>367</w:t>
      </w:r>
      <w:r w:rsidRPr="0032635B">
        <w:rPr>
          <w:rFonts w:ascii="Book Antiqua" w:eastAsia="宋体" w:hAnsi="Book Antiqua" w:cs="宋体"/>
          <w:kern w:val="0"/>
          <w:sz w:val="24"/>
          <w:szCs w:val="24"/>
        </w:rPr>
        <w:t>: 2086-2100 [PMID: 16798392 DOI: 10.1016/S0140-6736(06)68932-0]</w:t>
      </w:r>
    </w:p>
    <w:p w:rsidR="00DA5735" w:rsidRPr="0032635B" w:rsidRDefault="00DA5735" w:rsidP="00DA5735">
      <w:pPr>
        <w:widowControl/>
        <w:spacing w:line="360" w:lineRule="auto"/>
        <w:rPr>
          <w:rFonts w:ascii="Book Antiqua" w:eastAsia="宋体" w:hAnsi="Book Antiqua" w:cs="宋体"/>
          <w:kern w:val="0"/>
          <w:sz w:val="24"/>
          <w:szCs w:val="24"/>
        </w:rPr>
      </w:pPr>
      <w:r w:rsidRPr="0032635B">
        <w:rPr>
          <w:rFonts w:ascii="Book Antiqua" w:eastAsia="宋体" w:hAnsi="Book Antiqua" w:cs="宋体"/>
          <w:kern w:val="0"/>
          <w:sz w:val="24"/>
          <w:szCs w:val="24"/>
        </w:rPr>
        <w:t>4 </w:t>
      </w:r>
      <w:r w:rsidRPr="0032635B">
        <w:rPr>
          <w:rFonts w:ascii="Book Antiqua" w:eastAsia="宋体" w:hAnsi="Book Antiqua" w:cs="宋体"/>
          <w:b/>
          <w:bCs/>
          <w:kern w:val="0"/>
          <w:sz w:val="24"/>
          <w:szCs w:val="24"/>
        </w:rPr>
        <w:t>Sato H</w:t>
      </w:r>
      <w:r w:rsidRPr="0032635B">
        <w:rPr>
          <w:rFonts w:ascii="Book Antiqua" w:eastAsia="宋体" w:hAnsi="Book Antiqua" w:cs="宋体"/>
          <w:kern w:val="0"/>
          <w:sz w:val="24"/>
          <w:szCs w:val="24"/>
        </w:rPr>
        <w:t xml:space="preserve">, Kawashima K, Yuki M, </w:t>
      </w:r>
      <w:proofErr w:type="spellStart"/>
      <w:r w:rsidRPr="0032635B">
        <w:rPr>
          <w:rFonts w:ascii="Book Antiqua" w:eastAsia="宋体" w:hAnsi="Book Antiqua" w:cs="宋体"/>
          <w:kern w:val="0"/>
          <w:sz w:val="24"/>
          <w:szCs w:val="24"/>
        </w:rPr>
        <w:t>Kazumori</w:t>
      </w:r>
      <w:proofErr w:type="spellEnd"/>
      <w:r w:rsidRPr="0032635B">
        <w:rPr>
          <w:rFonts w:ascii="Book Antiqua" w:eastAsia="宋体" w:hAnsi="Book Antiqua" w:cs="宋体"/>
          <w:kern w:val="0"/>
          <w:sz w:val="24"/>
          <w:szCs w:val="24"/>
        </w:rPr>
        <w:t xml:space="preserve"> H, Rumi MA, Ortega-Cava CF, Ishihara S, Kinoshita Y. </w:t>
      </w:r>
      <w:proofErr w:type="spellStart"/>
      <w:r w:rsidRPr="0032635B">
        <w:rPr>
          <w:rFonts w:ascii="Book Antiqua" w:eastAsia="宋体" w:hAnsi="Book Antiqua" w:cs="宋体"/>
          <w:kern w:val="0"/>
          <w:sz w:val="24"/>
          <w:szCs w:val="24"/>
        </w:rPr>
        <w:t>Lafutidine</w:t>
      </w:r>
      <w:proofErr w:type="spellEnd"/>
      <w:r w:rsidRPr="0032635B">
        <w:rPr>
          <w:rFonts w:ascii="Book Antiqua" w:eastAsia="宋体" w:hAnsi="Book Antiqua" w:cs="宋体"/>
          <w:kern w:val="0"/>
          <w:sz w:val="24"/>
          <w:szCs w:val="24"/>
        </w:rPr>
        <w:t>, a novel histamine H2-receptor antagonist, increases serum calcitonin gene-related peptide in rats after water immersion-restraint stress. </w:t>
      </w:r>
      <w:r w:rsidRPr="0032635B">
        <w:rPr>
          <w:rFonts w:ascii="Book Antiqua" w:eastAsia="宋体" w:hAnsi="Book Antiqua" w:cs="宋体"/>
          <w:i/>
          <w:iCs/>
          <w:kern w:val="0"/>
          <w:sz w:val="24"/>
          <w:szCs w:val="24"/>
        </w:rPr>
        <w:t xml:space="preserve">J Lab </w:t>
      </w:r>
      <w:proofErr w:type="spellStart"/>
      <w:r w:rsidRPr="0032635B">
        <w:rPr>
          <w:rFonts w:ascii="Book Antiqua" w:eastAsia="宋体" w:hAnsi="Book Antiqua" w:cs="宋体"/>
          <w:i/>
          <w:iCs/>
          <w:kern w:val="0"/>
          <w:sz w:val="24"/>
          <w:szCs w:val="24"/>
        </w:rPr>
        <w:t>Clin</w:t>
      </w:r>
      <w:proofErr w:type="spellEnd"/>
      <w:r w:rsidRPr="0032635B">
        <w:rPr>
          <w:rFonts w:ascii="Book Antiqua" w:eastAsia="宋体" w:hAnsi="Book Antiqua" w:cs="宋体"/>
          <w:i/>
          <w:iCs/>
          <w:kern w:val="0"/>
          <w:sz w:val="24"/>
          <w:szCs w:val="24"/>
        </w:rPr>
        <w:t xml:space="preserve"> Med</w:t>
      </w:r>
      <w:r w:rsidRPr="0032635B">
        <w:rPr>
          <w:rFonts w:ascii="Book Antiqua" w:eastAsia="宋体" w:hAnsi="Book Antiqua" w:cs="宋体"/>
          <w:kern w:val="0"/>
          <w:sz w:val="24"/>
          <w:szCs w:val="24"/>
        </w:rPr>
        <w:t> 2003; </w:t>
      </w:r>
      <w:r w:rsidRPr="0032635B">
        <w:rPr>
          <w:rFonts w:ascii="Book Antiqua" w:eastAsia="宋体" w:hAnsi="Book Antiqua" w:cs="宋体"/>
          <w:b/>
          <w:bCs/>
          <w:kern w:val="0"/>
          <w:sz w:val="24"/>
          <w:szCs w:val="24"/>
        </w:rPr>
        <w:t>141</w:t>
      </w:r>
      <w:r w:rsidRPr="0032635B">
        <w:rPr>
          <w:rFonts w:ascii="Book Antiqua" w:eastAsia="宋体" w:hAnsi="Book Antiqua" w:cs="宋体"/>
          <w:kern w:val="0"/>
          <w:sz w:val="24"/>
          <w:szCs w:val="24"/>
        </w:rPr>
        <w:t>: 102-105 [PMID: 12577045 DOI: 10.1067/mlc.2003.12]</w:t>
      </w:r>
    </w:p>
    <w:p w:rsidR="00DA5735" w:rsidRPr="0032635B" w:rsidRDefault="00DA5735" w:rsidP="00DA5735">
      <w:pPr>
        <w:widowControl/>
        <w:spacing w:line="360" w:lineRule="auto"/>
        <w:rPr>
          <w:rFonts w:ascii="Book Antiqua" w:eastAsia="宋体" w:hAnsi="Book Antiqua" w:cs="宋体"/>
          <w:kern w:val="0"/>
          <w:sz w:val="24"/>
          <w:szCs w:val="24"/>
        </w:rPr>
      </w:pPr>
      <w:r w:rsidRPr="0032635B">
        <w:rPr>
          <w:rFonts w:ascii="Book Antiqua" w:eastAsia="宋体" w:hAnsi="Book Antiqua" w:cs="宋体"/>
          <w:kern w:val="0"/>
          <w:sz w:val="24"/>
          <w:szCs w:val="24"/>
        </w:rPr>
        <w:t>5 </w:t>
      </w:r>
      <w:r w:rsidRPr="0032635B">
        <w:rPr>
          <w:rFonts w:ascii="Book Antiqua" w:eastAsia="宋体" w:hAnsi="Book Antiqua" w:cs="宋体"/>
          <w:b/>
          <w:bCs/>
          <w:kern w:val="0"/>
          <w:sz w:val="24"/>
          <w:szCs w:val="24"/>
        </w:rPr>
        <w:t>Nakano M</w:t>
      </w:r>
      <w:r w:rsidRPr="0032635B">
        <w:rPr>
          <w:rFonts w:ascii="Book Antiqua" w:eastAsia="宋体" w:hAnsi="Book Antiqua" w:cs="宋体"/>
          <w:kern w:val="0"/>
          <w:sz w:val="24"/>
          <w:szCs w:val="24"/>
        </w:rPr>
        <w:t xml:space="preserve">, </w:t>
      </w:r>
      <w:proofErr w:type="spellStart"/>
      <w:r w:rsidRPr="0032635B">
        <w:rPr>
          <w:rFonts w:ascii="Book Antiqua" w:eastAsia="宋体" w:hAnsi="Book Antiqua" w:cs="宋体"/>
          <w:kern w:val="0"/>
          <w:sz w:val="24"/>
          <w:szCs w:val="24"/>
        </w:rPr>
        <w:t>Ajioka</w:t>
      </w:r>
      <w:proofErr w:type="spellEnd"/>
      <w:r w:rsidRPr="0032635B">
        <w:rPr>
          <w:rFonts w:ascii="Book Antiqua" w:eastAsia="宋体" w:hAnsi="Book Antiqua" w:cs="宋体"/>
          <w:kern w:val="0"/>
          <w:sz w:val="24"/>
          <w:szCs w:val="24"/>
        </w:rPr>
        <w:t xml:space="preserve"> H, Abe M, </w:t>
      </w:r>
      <w:proofErr w:type="spellStart"/>
      <w:r w:rsidRPr="0032635B">
        <w:rPr>
          <w:rFonts w:ascii="Book Antiqua" w:eastAsia="宋体" w:hAnsi="Book Antiqua" w:cs="宋体"/>
          <w:kern w:val="0"/>
          <w:sz w:val="24"/>
          <w:szCs w:val="24"/>
        </w:rPr>
        <w:t>Kiniwa</w:t>
      </w:r>
      <w:proofErr w:type="spellEnd"/>
      <w:r w:rsidRPr="0032635B">
        <w:rPr>
          <w:rFonts w:ascii="Book Antiqua" w:eastAsia="宋体" w:hAnsi="Book Antiqua" w:cs="宋体"/>
          <w:kern w:val="0"/>
          <w:sz w:val="24"/>
          <w:szCs w:val="24"/>
        </w:rPr>
        <w:t xml:space="preserve"> M. Possible involvement of host defense mechanism in the suppression of rat acute reflux esophagitis by the particular histamine H2 receptor antagonist </w:t>
      </w:r>
      <w:proofErr w:type="spellStart"/>
      <w:r w:rsidRPr="0032635B">
        <w:rPr>
          <w:rFonts w:ascii="Book Antiqua" w:eastAsia="宋体" w:hAnsi="Book Antiqua" w:cs="宋体"/>
          <w:kern w:val="0"/>
          <w:sz w:val="24"/>
          <w:szCs w:val="24"/>
        </w:rPr>
        <w:t>lafutidine</w:t>
      </w:r>
      <w:proofErr w:type="spellEnd"/>
      <w:r w:rsidRPr="0032635B">
        <w:rPr>
          <w:rFonts w:ascii="Book Antiqua" w:eastAsia="宋体" w:hAnsi="Book Antiqua" w:cs="宋体"/>
          <w:kern w:val="0"/>
          <w:sz w:val="24"/>
          <w:szCs w:val="24"/>
        </w:rPr>
        <w:t>. </w:t>
      </w:r>
      <w:r w:rsidRPr="0032635B">
        <w:rPr>
          <w:rFonts w:ascii="Book Antiqua" w:eastAsia="宋体" w:hAnsi="Book Antiqua" w:cs="宋体"/>
          <w:i/>
          <w:iCs/>
          <w:kern w:val="0"/>
          <w:sz w:val="24"/>
          <w:szCs w:val="24"/>
        </w:rPr>
        <w:t>Pharmacology</w:t>
      </w:r>
      <w:r w:rsidRPr="0032635B">
        <w:rPr>
          <w:rFonts w:ascii="Book Antiqua" w:eastAsia="宋体" w:hAnsi="Book Antiqua" w:cs="宋体"/>
          <w:kern w:val="0"/>
          <w:sz w:val="24"/>
          <w:szCs w:val="24"/>
        </w:rPr>
        <w:t> 2012; </w:t>
      </w:r>
      <w:r w:rsidRPr="0032635B">
        <w:rPr>
          <w:rFonts w:ascii="Book Antiqua" w:eastAsia="宋体" w:hAnsi="Book Antiqua" w:cs="宋体"/>
          <w:b/>
          <w:bCs/>
          <w:kern w:val="0"/>
          <w:sz w:val="24"/>
          <w:szCs w:val="24"/>
        </w:rPr>
        <w:t>90</w:t>
      </w:r>
      <w:r w:rsidRPr="0032635B">
        <w:rPr>
          <w:rFonts w:ascii="Book Antiqua" w:eastAsia="宋体" w:hAnsi="Book Antiqua" w:cs="宋体"/>
          <w:kern w:val="0"/>
          <w:sz w:val="24"/>
          <w:szCs w:val="24"/>
        </w:rPr>
        <w:t>: 205-211 [PMID: 23038658 DOI: 10.1159/000342386]</w:t>
      </w:r>
    </w:p>
    <w:p w:rsidR="00DA5735" w:rsidRPr="0032635B" w:rsidRDefault="00DA5735" w:rsidP="00DA5735">
      <w:pPr>
        <w:widowControl/>
        <w:spacing w:line="360" w:lineRule="auto"/>
        <w:rPr>
          <w:rFonts w:ascii="Book Antiqua" w:eastAsia="宋体" w:hAnsi="Book Antiqua" w:cs="宋体"/>
          <w:kern w:val="0"/>
          <w:sz w:val="24"/>
          <w:szCs w:val="24"/>
        </w:rPr>
      </w:pPr>
      <w:proofErr w:type="gramStart"/>
      <w:r w:rsidRPr="0032635B">
        <w:rPr>
          <w:rFonts w:ascii="Book Antiqua" w:eastAsia="宋体" w:hAnsi="Book Antiqua" w:cs="宋体"/>
          <w:kern w:val="0"/>
          <w:sz w:val="24"/>
          <w:szCs w:val="24"/>
        </w:rPr>
        <w:t>6 </w:t>
      </w:r>
      <w:proofErr w:type="spellStart"/>
      <w:r w:rsidRPr="0032635B">
        <w:rPr>
          <w:rFonts w:ascii="Book Antiqua" w:eastAsia="宋体" w:hAnsi="Book Antiqua" w:cs="宋体"/>
          <w:b/>
          <w:bCs/>
          <w:kern w:val="0"/>
          <w:sz w:val="24"/>
          <w:szCs w:val="24"/>
        </w:rPr>
        <w:t>Ohara</w:t>
      </w:r>
      <w:proofErr w:type="spellEnd"/>
      <w:r w:rsidRPr="0032635B">
        <w:rPr>
          <w:rFonts w:ascii="Book Antiqua" w:eastAsia="宋体" w:hAnsi="Book Antiqua" w:cs="宋体"/>
          <w:b/>
          <w:bCs/>
          <w:kern w:val="0"/>
          <w:sz w:val="24"/>
          <w:szCs w:val="24"/>
        </w:rPr>
        <w:t xml:space="preserve"> S</w:t>
      </w:r>
      <w:r w:rsidRPr="0032635B">
        <w:rPr>
          <w:rFonts w:ascii="Book Antiqua" w:eastAsia="宋体" w:hAnsi="Book Antiqua" w:cs="宋体"/>
          <w:kern w:val="0"/>
          <w:sz w:val="24"/>
          <w:szCs w:val="24"/>
        </w:rPr>
        <w:t xml:space="preserve">, </w:t>
      </w:r>
      <w:proofErr w:type="spellStart"/>
      <w:r w:rsidRPr="0032635B">
        <w:rPr>
          <w:rFonts w:ascii="Book Antiqua" w:eastAsia="宋体" w:hAnsi="Book Antiqua" w:cs="宋体"/>
          <w:kern w:val="0"/>
          <w:sz w:val="24"/>
          <w:szCs w:val="24"/>
        </w:rPr>
        <w:t>Haruma</w:t>
      </w:r>
      <w:proofErr w:type="spellEnd"/>
      <w:r w:rsidRPr="0032635B">
        <w:rPr>
          <w:rFonts w:ascii="Book Antiqua" w:eastAsia="宋体" w:hAnsi="Book Antiqua" w:cs="宋体"/>
          <w:kern w:val="0"/>
          <w:sz w:val="24"/>
          <w:szCs w:val="24"/>
        </w:rPr>
        <w:t xml:space="preserve"> K, Kinoshita Y, </w:t>
      </w:r>
      <w:proofErr w:type="spellStart"/>
      <w:r w:rsidRPr="0032635B">
        <w:rPr>
          <w:rFonts w:ascii="Book Antiqua" w:eastAsia="宋体" w:hAnsi="Book Antiqua" w:cs="宋体"/>
          <w:kern w:val="0"/>
          <w:sz w:val="24"/>
          <w:szCs w:val="24"/>
        </w:rPr>
        <w:t>Kusano</w:t>
      </w:r>
      <w:proofErr w:type="spellEnd"/>
      <w:r w:rsidRPr="0032635B">
        <w:rPr>
          <w:rFonts w:ascii="Book Antiqua" w:eastAsia="宋体" w:hAnsi="Book Antiqua" w:cs="宋体"/>
          <w:kern w:val="0"/>
          <w:sz w:val="24"/>
          <w:szCs w:val="24"/>
        </w:rPr>
        <w:t xml:space="preserve"> M.</w:t>
      </w:r>
      <w:proofErr w:type="gramEnd"/>
      <w:r w:rsidRPr="0032635B">
        <w:rPr>
          <w:rFonts w:ascii="Book Antiqua" w:eastAsia="宋体" w:hAnsi="Book Antiqua" w:cs="宋体"/>
          <w:kern w:val="0"/>
          <w:sz w:val="24"/>
          <w:szCs w:val="24"/>
        </w:rPr>
        <w:t xml:space="preserve"> </w:t>
      </w:r>
      <w:proofErr w:type="gramStart"/>
      <w:r w:rsidRPr="0032635B">
        <w:rPr>
          <w:rFonts w:ascii="Book Antiqua" w:eastAsia="宋体" w:hAnsi="Book Antiqua" w:cs="宋体"/>
          <w:kern w:val="0"/>
          <w:sz w:val="24"/>
          <w:szCs w:val="24"/>
        </w:rPr>
        <w:t xml:space="preserve">A double-blind, controlled study comparing </w:t>
      </w:r>
      <w:proofErr w:type="spellStart"/>
      <w:r w:rsidRPr="0032635B">
        <w:rPr>
          <w:rFonts w:ascii="Book Antiqua" w:eastAsia="宋体" w:hAnsi="Book Antiqua" w:cs="宋体"/>
          <w:kern w:val="0"/>
          <w:sz w:val="24"/>
          <w:szCs w:val="24"/>
        </w:rPr>
        <w:t>lafutidine</w:t>
      </w:r>
      <w:proofErr w:type="spellEnd"/>
      <w:r w:rsidRPr="0032635B">
        <w:rPr>
          <w:rFonts w:ascii="Book Antiqua" w:eastAsia="宋体" w:hAnsi="Book Antiqua" w:cs="宋体"/>
          <w:kern w:val="0"/>
          <w:sz w:val="24"/>
          <w:szCs w:val="24"/>
        </w:rPr>
        <w:t xml:space="preserve"> with placebo and famotidine in Japanese patients with mild reflux esophagitis.</w:t>
      </w:r>
      <w:proofErr w:type="gramEnd"/>
      <w:r w:rsidRPr="0032635B">
        <w:rPr>
          <w:rFonts w:ascii="Book Antiqua" w:eastAsia="宋体" w:hAnsi="Book Antiqua" w:cs="宋体"/>
          <w:kern w:val="0"/>
          <w:sz w:val="24"/>
          <w:szCs w:val="24"/>
        </w:rPr>
        <w:t> </w:t>
      </w:r>
      <w:r w:rsidRPr="0032635B">
        <w:rPr>
          <w:rFonts w:ascii="Book Antiqua" w:eastAsia="宋体" w:hAnsi="Book Antiqua" w:cs="宋体"/>
          <w:i/>
          <w:iCs/>
          <w:kern w:val="0"/>
          <w:sz w:val="24"/>
          <w:szCs w:val="24"/>
        </w:rPr>
        <w:t xml:space="preserve">J </w:t>
      </w:r>
      <w:proofErr w:type="spellStart"/>
      <w:r w:rsidRPr="0032635B">
        <w:rPr>
          <w:rFonts w:ascii="Book Antiqua" w:eastAsia="宋体" w:hAnsi="Book Antiqua" w:cs="宋体"/>
          <w:i/>
          <w:iCs/>
          <w:kern w:val="0"/>
          <w:sz w:val="24"/>
          <w:szCs w:val="24"/>
        </w:rPr>
        <w:t>Gastroenterol</w:t>
      </w:r>
      <w:proofErr w:type="spellEnd"/>
      <w:r w:rsidRPr="0032635B">
        <w:rPr>
          <w:rFonts w:ascii="Book Antiqua" w:eastAsia="宋体" w:hAnsi="Book Antiqua" w:cs="宋体"/>
          <w:kern w:val="0"/>
          <w:sz w:val="24"/>
          <w:szCs w:val="24"/>
        </w:rPr>
        <w:t> 2010; </w:t>
      </w:r>
      <w:r w:rsidRPr="0032635B">
        <w:rPr>
          <w:rFonts w:ascii="Book Antiqua" w:eastAsia="宋体" w:hAnsi="Book Antiqua" w:cs="宋体"/>
          <w:b/>
          <w:bCs/>
          <w:kern w:val="0"/>
          <w:sz w:val="24"/>
          <w:szCs w:val="24"/>
        </w:rPr>
        <w:t>45</w:t>
      </w:r>
      <w:r w:rsidRPr="0032635B">
        <w:rPr>
          <w:rFonts w:ascii="Book Antiqua" w:eastAsia="宋体" w:hAnsi="Book Antiqua" w:cs="宋体"/>
          <w:kern w:val="0"/>
          <w:sz w:val="24"/>
          <w:szCs w:val="24"/>
        </w:rPr>
        <w:t>: 1219-1227 [PMID: 20632193 DOI: 10.1007/s00535-010-0283-8]</w:t>
      </w:r>
    </w:p>
    <w:p w:rsidR="00DA5735" w:rsidRPr="0032635B" w:rsidRDefault="00DA5735" w:rsidP="00DA5735">
      <w:pPr>
        <w:widowControl/>
        <w:spacing w:line="360" w:lineRule="auto"/>
        <w:rPr>
          <w:rFonts w:ascii="Book Antiqua" w:eastAsia="宋体" w:hAnsi="Book Antiqua" w:cs="宋体"/>
          <w:kern w:val="0"/>
          <w:sz w:val="24"/>
          <w:szCs w:val="24"/>
        </w:rPr>
      </w:pPr>
      <w:proofErr w:type="gramStart"/>
      <w:r w:rsidRPr="0032635B">
        <w:rPr>
          <w:rFonts w:ascii="Book Antiqua" w:eastAsia="宋体" w:hAnsi="Book Antiqua" w:cs="宋体"/>
          <w:kern w:val="0"/>
          <w:sz w:val="24"/>
          <w:szCs w:val="24"/>
        </w:rPr>
        <w:lastRenderedPageBreak/>
        <w:t>7 </w:t>
      </w:r>
      <w:r w:rsidRPr="0032635B">
        <w:rPr>
          <w:rFonts w:ascii="Book Antiqua" w:eastAsia="宋体" w:hAnsi="Book Antiqua" w:cs="宋体"/>
          <w:b/>
          <w:bCs/>
          <w:kern w:val="0"/>
          <w:sz w:val="24"/>
          <w:szCs w:val="24"/>
        </w:rPr>
        <w:t>Kinoshita Y</w:t>
      </w:r>
      <w:r w:rsidRPr="0032635B">
        <w:rPr>
          <w:rFonts w:ascii="Book Antiqua" w:eastAsia="宋体" w:hAnsi="Book Antiqua" w:cs="宋体"/>
          <w:kern w:val="0"/>
          <w:sz w:val="24"/>
          <w:szCs w:val="24"/>
        </w:rPr>
        <w:t xml:space="preserve">, Adachi K, </w:t>
      </w:r>
      <w:proofErr w:type="spellStart"/>
      <w:r w:rsidRPr="0032635B">
        <w:rPr>
          <w:rFonts w:ascii="Book Antiqua" w:eastAsia="宋体" w:hAnsi="Book Antiqua" w:cs="宋体"/>
          <w:kern w:val="0"/>
          <w:sz w:val="24"/>
          <w:szCs w:val="24"/>
        </w:rPr>
        <w:t>Fujishiro</w:t>
      </w:r>
      <w:proofErr w:type="spellEnd"/>
      <w:r w:rsidRPr="0032635B">
        <w:rPr>
          <w:rFonts w:ascii="Book Antiqua" w:eastAsia="宋体" w:hAnsi="Book Antiqua" w:cs="宋体"/>
          <w:kern w:val="0"/>
          <w:sz w:val="24"/>
          <w:szCs w:val="24"/>
        </w:rPr>
        <w:t xml:space="preserve"> H. Therapeutic approaches to reflux disease, focusing on acid secretion.</w:t>
      </w:r>
      <w:proofErr w:type="gramEnd"/>
      <w:r w:rsidRPr="0032635B">
        <w:rPr>
          <w:rFonts w:ascii="Book Antiqua" w:eastAsia="宋体" w:hAnsi="Book Antiqua" w:cs="宋体"/>
          <w:kern w:val="0"/>
          <w:sz w:val="24"/>
          <w:szCs w:val="24"/>
        </w:rPr>
        <w:t> </w:t>
      </w:r>
      <w:r w:rsidRPr="0032635B">
        <w:rPr>
          <w:rFonts w:ascii="Book Antiqua" w:eastAsia="宋体" w:hAnsi="Book Antiqua" w:cs="宋体"/>
          <w:i/>
          <w:iCs/>
          <w:kern w:val="0"/>
          <w:sz w:val="24"/>
          <w:szCs w:val="24"/>
        </w:rPr>
        <w:t xml:space="preserve">J </w:t>
      </w:r>
      <w:proofErr w:type="spellStart"/>
      <w:r w:rsidRPr="0032635B">
        <w:rPr>
          <w:rFonts w:ascii="Book Antiqua" w:eastAsia="宋体" w:hAnsi="Book Antiqua" w:cs="宋体"/>
          <w:i/>
          <w:iCs/>
          <w:kern w:val="0"/>
          <w:sz w:val="24"/>
          <w:szCs w:val="24"/>
        </w:rPr>
        <w:t>Gastroenterol</w:t>
      </w:r>
      <w:proofErr w:type="spellEnd"/>
      <w:r w:rsidRPr="0032635B">
        <w:rPr>
          <w:rFonts w:ascii="Book Antiqua" w:eastAsia="宋体" w:hAnsi="Book Antiqua" w:cs="宋体"/>
          <w:kern w:val="0"/>
          <w:sz w:val="24"/>
          <w:szCs w:val="24"/>
        </w:rPr>
        <w:t> 2003; </w:t>
      </w:r>
      <w:r w:rsidRPr="0032635B">
        <w:rPr>
          <w:rFonts w:ascii="Book Antiqua" w:eastAsia="宋体" w:hAnsi="Book Antiqua" w:cs="宋体"/>
          <w:b/>
          <w:bCs/>
          <w:kern w:val="0"/>
          <w:sz w:val="24"/>
          <w:szCs w:val="24"/>
        </w:rPr>
        <w:t xml:space="preserve">38 </w:t>
      </w:r>
      <w:proofErr w:type="spellStart"/>
      <w:r w:rsidRPr="0032635B">
        <w:rPr>
          <w:rFonts w:ascii="Book Antiqua" w:eastAsia="宋体" w:hAnsi="Book Antiqua" w:cs="宋体"/>
          <w:bCs/>
          <w:kern w:val="0"/>
          <w:sz w:val="24"/>
          <w:szCs w:val="24"/>
        </w:rPr>
        <w:t>Suppl</w:t>
      </w:r>
      <w:proofErr w:type="spellEnd"/>
      <w:r w:rsidRPr="0032635B">
        <w:rPr>
          <w:rFonts w:ascii="Book Antiqua" w:eastAsia="宋体" w:hAnsi="Book Antiqua" w:cs="宋体"/>
          <w:bCs/>
          <w:kern w:val="0"/>
          <w:sz w:val="24"/>
          <w:szCs w:val="24"/>
        </w:rPr>
        <w:t xml:space="preserve"> 15</w:t>
      </w:r>
      <w:r w:rsidRPr="0032635B">
        <w:rPr>
          <w:rFonts w:ascii="Book Antiqua" w:eastAsia="宋体" w:hAnsi="Book Antiqua" w:cs="宋体"/>
          <w:kern w:val="0"/>
          <w:sz w:val="24"/>
          <w:szCs w:val="24"/>
        </w:rPr>
        <w:t>: 13-19 [PMID: 12698865]</w:t>
      </w:r>
    </w:p>
    <w:p w:rsidR="00DA5735" w:rsidRPr="0032635B" w:rsidRDefault="00DA5735" w:rsidP="00DA5735">
      <w:pPr>
        <w:widowControl/>
        <w:spacing w:line="360" w:lineRule="auto"/>
        <w:rPr>
          <w:rFonts w:ascii="Book Antiqua" w:eastAsia="宋体" w:hAnsi="Book Antiqua" w:cs="宋体"/>
          <w:kern w:val="0"/>
          <w:sz w:val="24"/>
          <w:szCs w:val="24"/>
        </w:rPr>
      </w:pPr>
      <w:r w:rsidRPr="0032635B">
        <w:rPr>
          <w:rFonts w:ascii="Book Antiqua" w:eastAsia="宋体" w:hAnsi="Book Antiqua" w:cs="宋体"/>
          <w:kern w:val="0"/>
          <w:sz w:val="24"/>
          <w:szCs w:val="24"/>
        </w:rPr>
        <w:t>8 </w:t>
      </w:r>
      <w:proofErr w:type="spellStart"/>
      <w:r w:rsidRPr="0032635B">
        <w:rPr>
          <w:rFonts w:ascii="Book Antiqua" w:eastAsia="宋体" w:hAnsi="Book Antiqua" w:cs="宋体"/>
          <w:b/>
          <w:bCs/>
          <w:kern w:val="0"/>
          <w:sz w:val="24"/>
          <w:szCs w:val="24"/>
        </w:rPr>
        <w:t>Sigterman</w:t>
      </w:r>
      <w:proofErr w:type="spellEnd"/>
      <w:r w:rsidRPr="0032635B">
        <w:rPr>
          <w:rFonts w:ascii="Book Antiqua" w:eastAsia="宋体" w:hAnsi="Book Antiqua" w:cs="宋体"/>
          <w:b/>
          <w:bCs/>
          <w:kern w:val="0"/>
          <w:sz w:val="24"/>
          <w:szCs w:val="24"/>
        </w:rPr>
        <w:t xml:space="preserve"> KE</w:t>
      </w:r>
      <w:r w:rsidRPr="0032635B">
        <w:rPr>
          <w:rFonts w:ascii="Book Antiqua" w:eastAsia="宋体" w:hAnsi="Book Antiqua" w:cs="宋体"/>
          <w:kern w:val="0"/>
          <w:sz w:val="24"/>
          <w:szCs w:val="24"/>
        </w:rPr>
        <w:t xml:space="preserve">, van </w:t>
      </w:r>
      <w:proofErr w:type="spellStart"/>
      <w:r w:rsidRPr="0032635B">
        <w:rPr>
          <w:rFonts w:ascii="Book Antiqua" w:eastAsia="宋体" w:hAnsi="Book Antiqua" w:cs="宋体"/>
          <w:kern w:val="0"/>
          <w:sz w:val="24"/>
          <w:szCs w:val="24"/>
        </w:rPr>
        <w:t>Pinxteren</w:t>
      </w:r>
      <w:proofErr w:type="spellEnd"/>
      <w:r w:rsidRPr="0032635B">
        <w:rPr>
          <w:rFonts w:ascii="Book Antiqua" w:eastAsia="宋体" w:hAnsi="Book Antiqua" w:cs="宋体"/>
          <w:kern w:val="0"/>
          <w:sz w:val="24"/>
          <w:szCs w:val="24"/>
        </w:rPr>
        <w:t xml:space="preserve"> B, </w:t>
      </w:r>
      <w:proofErr w:type="spellStart"/>
      <w:r w:rsidRPr="0032635B">
        <w:rPr>
          <w:rFonts w:ascii="Book Antiqua" w:eastAsia="宋体" w:hAnsi="Book Antiqua" w:cs="宋体"/>
          <w:kern w:val="0"/>
          <w:sz w:val="24"/>
          <w:szCs w:val="24"/>
        </w:rPr>
        <w:t>Bonis</w:t>
      </w:r>
      <w:proofErr w:type="spellEnd"/>
      <w:r w:rsidRPr="0032635B">
        <w:rPr>
          <w:rFonts w:ascii="Book Antiqua" w:eastAsia="宋体" w:hAnsi="Book Antiqua" w:cs="宋体"/>
          <w:kern w:val="0"/>
          <w:sz w:val="24"/>
          <w:szCs w:val="24"/>
        </w:rPr>
        <w:t xml:space="preserve"> PA, Lau J, </w:t>
      </w:r>
      <w:proofErr w:type="spellStart"/>
      <w:r w:rsidRPr="0032635B">
        <w:rPr>
          <w:rFonts w:ascii="Book Antiqua" w:eastAsia="宋体" w:hAnsi="Book Antiqua" w:cs="宋体"/>
          <w:kern w:val="0"/>
          <w:sz w:val="24"/>
          <w:szCs w:val="24"/>
        </w:rPr>
        <w:t>Numans</w:t>
      </w:r>
      <w:proofErr w:type="spellEnd"/>
      <w:r w:rsidRPr="0032635B">
        <w:rPr>
          <w:rFonts w:ascii="Book Antiqua" w:eastAsia="宋体" w:hAnsi="Book Antiqua" w:cs="宋体"/>
          <w:kern w:val="0"/>
          <w:sz w:val="24"/>
          <w:szCs w:val="24"/>
        </w:rPr>
        <w:t xml:space="preserve"> ME. </w:t>
      </w:r>
      <w:proofErr w:type="gramStart"/>
      <w:r w:rsidRPr="0032635B">
        <w:rPr>
          <w:rFonts w:ascii="Book Antiqua" w:eastAsia="宋体" w:hAnsi="Book Antiqua" w:cs="宋体"/>
          <w:kern w:val="0"/>
          <w:sz w:val="24"/>
          <w:szCs w:val="24"/>
        </w:rPr>
        <w:t xml:space="preserve">Short-term treatment with proton pump inhibitors, H2-receptor antagonists and </w:t>
      </w:r>
      <w:proofErr w:type="spellStart"/>
      <w:r w:rsidRPr="0032635B">
        <w:rPr>
          <w:rFonts w:ascii="Book Antiqua" w:eastAsia="宋体" w:hAnsi="Book Antiqua" w:cs="宋体"/>
          <w:kern w:val="0"/>
          <w:sz w:val="24"/>
          <w:szCs w:val="24"/>
        </w:rPr>
        <w:t>prokinetics</w:t>
      </w:r>
      <w:proofErr w:type="spellEnd"/>
      <w:r w:rsidRPr="0032635B">
        <w:rPr>
          <w:rFonts w:ascii="Book Antiqua" w:eastAsia="宋体" w:hAnsi="Book Antiqua" w:cs="宋体"/>
          <w:kern w:val="0"/>
          <w:sz w:val="24"/>
          <w:szCs w:val="24"/>
        </w:rPr>
        <w:t xml:space="preserve"> for gastro-</w:t>
      </w:r>
      <w:proofErr w:type="spellStart"/>
      <w:r w:rsidRPr="0032635B">
        <w:rPr>
          <w:rFonts w:ascii="Book Antiqua" w:eastAsia="宋体" w:hAnsi="Book Antiqua" w:cs="宋体"/>
          <w:kern w:val="0"/>
          <w:sz w:val="24"/>
          <w:szCs w:val="24"/>
        </w:rPr>
        <w:t>oesophageal</w:t>
      </w:r>
      <w:proofErr w:type="spellEnd"/>
      <w:r w:rsidRPr="0032635B">
        <w:rPr>
          <w:rFonts w:ascii="Book Antiqua" w:eastAsia="宋体" w:hAnsi="Book Antiqua" w:cs="宋体"/>
          <w:kern w:val="0"/>
          <w:sz w:val="24"/>
          <w:szCs w:val="24"/>
        </w:rPr>
        <w:t xml:space="preserve"> reflux disease-like symptoms and endoscopy negative reflux disease.</w:t>
      </w:r>
      <w:proofErr w:type="gramEnd"/>
      <w:r w:rsidRPr="0032635B">
        <w:rPr>
          <w:rFonts w:ascii="Book Antiqua" w:eastAsia="宋体" w:hAnsi="Book Antiqua" w:cs="宋体"/>
          <w:kern w:val="0"/>
          <w:sz w:val="24"/>
          <w:szCs w:val="24"/>
        </w:rPr>
        <w:t> </w:t>
      </w:r>
      <w:r w:rsidRPr="0032635B">
        <w:rPr>
          <w:rFonts w:ascii="Book Antiqua" w:eastAsia="宋体" w:hAnsi="Book Antiqua" w:cs="宋体"/>
          <w:i/>
          <w:iCs/>
          <w:kern w:val="0"/>
          <w:sz w:val="24"/>
          <w:szCs w:val="24"/>
        </w:rPr>
        <w:t xml:space="preserve">Cochrane Database </w:t>
      </w:r>
      <w:proofErr w:type="spellStart"/>
      <w:r w:rsidRPr="0032635B">
        <w:rPr>
          <w:rFonts w:ascii="Book Antiqua" w:eastAsia="宋体" w:hAnsi="Book Antiqua" w:cs="宋体"/>
          <w:i/>
          <w:iCs/>
          <w:kern w:val="0"/>
          <w:sz w:val="24"/>
          <w:szCs w:val="24"/>
        </w:rPr>
        <w:t>Syst</w:t>
      </w:r>
      <w:proofErr w:type="spellEnd"/>
      <w:r w:rsidRPr="0032635B">
        <w:rPr>
          <w:rFonts w:ascii="Book Antiqua" w:eastAsia="宋体" w:hAnsi="Book Antiqua" w:cs="宋体"/>
          <w:i/>
          <w:iCs/>
          <w:kern w:val="0"/>
          <w:sz w:val="24"/>
          <w:szCs w:val="24"/>
        </w:rPr>
        <w:t xml:space="preserve"> Rev</w:t>
      </w:r>
      <w:r w:rsidRPr="0032635B">
        <w:rPr>
          <w:rFonts w:ascii="Book Antiqua" w:eastAsia="宋体" w:hAnsi="Book Antiqua" w:cs="宋体"/>
          <w:kern w:val="0"/>
          <w:sz w:val="24"/>
          <w:szCs w:val="24"/>
        </w:rPr>
        <w:t> 2013; </w:t>
      </w:r>
      <w:r w:rsidRPr="0032635B">
        <w:rPr>
          <w:rFonts w:ascii="Book Antiqua" w:eastAsia="宋体" w:hAnsi="Book Antiqua" w:cs="宋体"/>
          <w:b/>
          <w:bCs/>
          <w:kern w:val="0"/>
          <w:sz w:val="24"/>
          <w:szCs w:val="24"/>
        </w:rPr>
        <w:t>5</w:t>
      </w:r>
      <w:r w:rsidRPr="0032635B">
        <w:rPr>
          <w:rFonts w:ascii="Book Antiqua" w:eastAsia="宋体" w:hAnsi="Book Antiqua" w:cs="宋体"/>
          <w:kern w:val="0"/>
          <w:sz w:val="24"/>
          <w:szCs w:val="24"/>
        </w:rPr>
        <w:t>: CD002095 [PMID: 23728637 DOI: 10.1002/14651858]</w:t>
      </w:r>
    </w:p>
    <w:p w:rsidR="00DA5735" w:rsidRPr="0032635B" w:rsidRDefault="00DA5735" w:rsidP="00DA5735">
      <w:pPr>
        <w:widowControl/>
        <w:spacing w:line="360" w:lineRule="auto"/>
        <w:rPr>
          <w:rFonts w:ascii="Book Antiqua" w:eastAsia="宋体" w:hAnsi="Book Antiqua" w:cs="宋体"/>
          <w:kern w:val="0"/>
          <w:sz w:val="24"/>
          <w:szCs w:val="24"/>
        </w:rPr>
      </w:pPr>
      <w:proofErr w:type="gramStart"/>
      <w:r w:rsidRPr="0032635B">
        <w:rPr>
          <w:rFonts w:ascii="Book Antiqua" w:eastAsia="宋体" w:hAnsi="Book Antiqua" w:cs="宋体"/>
          <w:kern w:val="0"/>
          <w:sz w:val="24"/>
          <w:szCs w:val="24"/>
        </w:rPr>
        <w:t>9 </w:t>
      </w:r>
      <w:r w:rsidRPr="0032635B">
        <w:rPr>
          <w:rFonts w:ascii="Book Antiqua" w:eastAsia="宋体" w:hAnsi="Book Antiqua" w:cs="宋体"/>
          <w:b/>
          <w:bCs/>
          <w:kern w:val="0"/>
          <w:sz w:val="24"/>
          <w:szCs w:val="24"/>
        </w:rPr>
        <w:t>Dial S</w:t>
      </w:r>
      <w:r w:rsidRPr="0032635B">
        <w:rPr>
          <w:rFonts w:ascii="Book Antiqua" w:eastAsia="宋体" w:hAnsi="Book Antiqua" w:cs="宋体"/>
          <w:kern w:val="0"/>
          <w:sz w:val="24"/>
          <w:szCs w:val="24"/>
        </w:rPr>
        <w:t xml:space="preserve">, Delaney JA, </w:t>
      </w:r>
      <w:proofErr w:type="spellStart"/>
      <w:r w:rsidRPr="0032635B">
        <w:rPr>
          <w:rFonts w:ascii="Book Antiqua" w:eastAsia="宋体" w:hAnsi="Book Antiqua" w:cs="宋体"/>
          <w:kern w:val="0"/>
          <w:sz w:val="24"/>
          <w:szCs w:val="24"/>
        </w:rPr>
        <w:t>Barkun</w:t>
      </w:r>
      <w:proofErr w:type="spellEnd"/>
      <w:r w:rsidRPr="0032635B">
        <w:rPr>
          <w:rFonts w:ascii="Book Antiqua" w:eastAsia="宋体" w:hAnsi="Book Antiqua" w:cs="宋体"/>
          <w:kern w:val="0"/>
          <w:sz w:val="24"/>
          <w:szCs w:val="24"/>
        </w:rPr>
        <w:t xml:space="preserve"> AN, </w:t>
      </w:r>
      <w:proofErr w:type="spellStart"/>
      <w:r w:rsidRPr="0032635B">
        <w:rPr>
          <w:rFonts w:ascii="Book Antiqua" w:eastAsia="宋体" w:hAnsi="Book Antiqua" w:cs="宋体"/>
          <w:kern w:val="0"/>
          <w:sz w:val="24"/>
          <w:szCs w:val="24"/>
        </w:rPr>
        <w:t>Suissa</w:t>
      </w:r>
      <w:proofErr w:type="spellEnd"/>
      <w:r w:rsidRPr="0032635B">
        <w:rPr>
          <w:rFonts w:ascii="Book Antiqua" w:eastAsia="宋体" w:hAnsi="Book Antiqua" w:cs="宋体"/>
          <w:kern w:val="0"/>
          <w:sz w:val="24"/>
          <w:szCs w:val="24"/>
        </w:rPr>
        <w:t xml:space="preserve"> S. Use of gastric acid-suppressive agents and the risk of community-acquired Clostridium </w:t>
      </w:r>
      <w:proofErr w:type="spellStart"/>
      <w:r w:rsidRPr="0032635B">
        <w:rPr>
          <w:rFonts w:ascii="Book Antiqua" w:eastAsia="宋体" w:hAnsi="Book Antiqua" w:cs="宋体"/>
          <w:kern w:val="0"/>
          <w:sz w:val="24"/>
          <w:szCs w:val="24"/>
        </w:rPr>
        <w:t>difficile</w:t>
      </w:r>
      <w:proofErr w:type="spellEnd"/>
      <w:r w:rsidRPr="0032635B">
        <w:rPr>
          <w:rFonts w:ascii="Book Antiqua" w:eastAsia="宋体" w:hAnsi="Book Antiqua" w:cs="宋体"/>
          <w:kern w:val="0"/>
          <w:sz w:val="24"/>
          <w:szCs w:val="24"/>
        </w:rPr>
        <w:t>-associated disease.</w:t>
      </w:r>
      <w:proofErr w:type="gramEnd"/>
      <w:r w:rsidRPr="0032635B">
        <w:rPr>
          <w:rFonts w:ascii="Book Antiqua" w:eastAsia="宋体" w:hAnsi="Book Antiqua" w:cs="宋体"/>
          <w:kern w:val="0"/>
          <w:sz w:val="24"/>
          <w:szCs w:val="24"/>
        </w:rPr>
        <w:t> </w:t>
      </w:r>
      <w:r w:rsidRPr="0032635B">
        <w:rPr>
          <w:rFonts w:ascii="Book Antiqua" w:eastAsia="宋体" w:hAnsi="Book Antiqua" w:cs="宋体"/>
          <w:i/>
          <w:iCs/>
          <w:kern w:val="0"/>
          <w:sz w:val="24"/>
          <w:szCs w:val="24"/>
        </w:rPr>
        <w:t>JAMA</w:t>
      </w:r>
      <w:r w:rsidRPr="0032635B">
        <w:rPr>
          <w:rFonts w:ascii="Book Antiqua" w:eastAsia="宋体" w:hAnsi="Book Antiqua" w:cs="宋体"/>
          <w:kern w:val="0"/>
          <w:sz w:val="24"/>
          <w:szCs w:val="24"/>
        </w:rPr>
        <w:t> 2005; </w:t>
      </w:r>
      <w:r w:rsidRPr="0032635B">
        <w:rPr>
          <w:rFonts w:ascii="Book Antiqua" w:eastAsia="宋体" w:hAnsi="Book Antiqua" w:cs="宋体"/>
          <w:b/>
          <w:bCs/>
          <w:kern w:val="0"/>
          <w:sz w:val="24"/>
          <w:szCs w:val="24"/>
        </w:rPr>
        <w:t>294</w:t>
      </w:r>
      <w:r w:rsidRPr="0032635B">
        <w:rPr>
          <w:rFonts w:ascii="Book Antiqua" w:eastAsia="宋体" w:hAnsi="Book Antiqua" w:cs="宋体"/>
          <w:kern w:val="0"/>
          <w:sz w:val="24"/>
          <w:szCs w:val="24"/>
        </w:rPr>
        <w:t>: 2989-2995 [PMID: 16414946 DOI: 10.1001/jama.294.23.2989]</w:t>
      </w:r>
    </w:p>
    <w:p w:rsidR="00DA5735" w:rsidRPr="0032635B" w:rsidRDefault="00DA5735" w:rsidP="00DA5735">
      <w:pPr>
        <w:widowControl/>
        <w:spacing w:line="360" w:lineRule="auto"/>
        <w:rPr>
          <w:rFonts w:ascii="Book Antiqua" w:eastAsia="宋体" w:hAnsi="Book Antiqua" w:cs="宋体"/>
          <w:kern w:val="0"/>
          <w:sz w:val="24"/>
          <w:szCs w:val="24"/>
        </w:rPr>
      </w:pPr>
      <w:r w:rsidRPr="0032635B">
        <w:rPr>
          <w:rFonts w:ascii="Book Antiqua" w:eastAsia="宋体" w:hAnsi="Book Antiqua" w:cs="宋体"/>
          <w:kern w:val="0"/>
          <w:sz w:val="24"/>
          <w:szCs w:val="24"/>
        </w:rPr>
        <w:t>10 </w:t>
      </w:r>
      <w:proofErr w:type="spellStart"/>
      <w:r w:rsidRPr="0032635B">
        <w:rPr>
          <w:rFonts w:ascii="Book Antiqua" w:eastAsia="宋体" w:hAnsi="Book Antiqua" w:cs="宋体"/>
          <w:b/>
          <w:bCs/>
          <w:kern w:val="0"/>
          <w:sz w:val="24"/>
          <w:szCs w:val="24"/>
        </w:rPr>
        <w:t>Aseeri</w:t>
      </w:r>
      <w:proofErr w:type="spellEnd"/>
      <w:r w:rsidRPr="0032635B">
        <w:rPr>
          <w:rFonts w:ascii="Book Antiqua" w:eastAsia="宋体" w:hAnsi="Book Antiqua" w:cs="宋体"/>
          <w:b/>
          <w:bCs/>
          <w:kern w:val="0"/>
          <w:sz w:val="24"/>
          <w:szCs w:val="24"/>
        </w:rPr>
        <w:t xml:space="preserve"> M</w:t>
      </w:r>
      <w:r w:rsidRPr="0032635B">
        <w:rPr>
          <w:rFonts w:ascii="Book Antiqua" w:eastAsia="宋体" w:hAnsi="Book Antiqua" w:cs="宋体"/>
          <w:kern w:val="0"/>
          <w:sz w:val="24"/>
          <w:szCs w:val="24"/>
        </w:rPr>
        <w:t xml:space="preserve">, Schroeder T, Kramer J, </w:t>
      </w:r>
      <w:proofErr w:type="spellStart"/>
      <w:r w:rsidRPr="0032635B">
        <w:rPr>
          <w:rFonts w:ascii="Book Antiqua" w:eastAsia="宋体" w:hAnsi="Book Antiqua" w:cs="宋体"/>
          <w:kern w:val="0"/>
          <w:sz w:val="24"/>
          <w:szCs w:val="24"/>
        </w:rPr>
        <w:t>Zackula</w:t>
      </w:r>
      <w:proofErr w:type="spellEnd"/>
      <w:r w:rsidRPr="0032635B">
        <w:rPr>
          <w:rFonts w:ascii="Book Antiqua" w:eastAsia="宋体" w:hAnsi="Book Antiqua" w:cs="宋体"/>
          <w:kern w:val="0"/>
          <w:sz w:val="24"/>
          <w:szCs w:val="24"/>
        </w:rPr>
        <w:t xml:space="preserve"> R. Gastric acid suppression by proton pump inhibitors as a risk factor for clostridium </w:t>
      </w:r>
      <w:proofErr w:type="spellStart"/>
      <w:r w:rsidRPr="0032635B">
        <w:rPr>
          <w:rFonts w:ascii="Book Antiqua" w:eastAsia="宋体" w:hAnsi="Book Antiqua" w:cs="宋体"/>
          <w:kern w:val="0"/>
          <w:sz w:val="24"/>
          <w:szCs w:val="24"/>
        </w:rPr>
        <w:t>difficile</w:t>
      </w:r>
      <w:proofErr w:type="spellEnd"/>
      <w:r w:rsidRPr="0032635B">
        <w:rPr>
          <w:rFonts w:ascii="Book Antiqua" w:eastAsia="宋体" w:hAnsi="Book Antiqua" w:cs="宋体"/>
          <w:kern w:val="0"/>
          <w:sz w:val="24"/>
          <w:szCs w:val="24"/>
        </w:rPr>
        <w:t>-associated diarrhea in hospitalized patients. </w:t>
      </w:r>
      <w:r w:rsidRPr="0032635B">
        <w:rPr>
          <w:rFonts w:ascii="Book Antiqua" w:eastAsia="宋体" w:hAnsi="Book Antiqua" w:cs="宋体"/>
          <w:i/>
          <w:iCs/>
          <w:kern w:val="0"/>
          <w:sz w:val="24"/>
          <w:szCs w:val="24"/>
        </w:rPr>
        <w:t xml:space="preserve">Am J </w:t>
      </w:r>
      <w:proofErr w:type="spellStart"/>
      <w:r w:rsidRPr="0032635B">
        <w:rPr>
          <w:rFonts w:ascii="Book Antiqua" w:eastAsia="宋体" w:hAnsi="Book Antiqua" w:cs="宋体"/>
          <w:i/>
          <w:iCs/>
          <w:kern w:val="0"/>
          <w:sz w:val="24"/>
          <w:szCs w:val="24"/>
        </w:rPr>
        <w:t>Gastroenterol</w:t>
      </w:r>
      <w:proofErr w:type="spellEnd"/>
      <w:r w:rsidRPr="0032635B">
        <w:rPr>
          <w:rFonts w:ascii="Book Antiqua" w:eastAsia="宋体" w:hAnsi="Book Antiqua" w:cs="宋体"/>
          <w:kern w:val="0"/>
          <w:sz w:val="24"/>
          <w:szCs w:val="24"/>
        </w:rPr>
        <w:t> 2008; </w:t>
      </w:r>
      <w:r w:rsidRPr="0032635B">
        <w:rPr>
          <w:rFonts w:ascii="Book Antiqua" w:eastAsia="宋体" w:hAnsi="Book Antiqua" w:cs="宋体"/>
          <w:b/>
          <w:bCs/>
          <w:kern w:val="0"/>
          <w:sz w:val="24"/>
          <w:szCs w:val="24"/>
        </w:rPr>
        <w:t>103</w:t>
      </w:r>
      <w:r w:rsidRPr="0032635B">
        <w:rPr>
          <w:rFonts w:ascii="Book Antiqua" w:eastAsia="宋体" w:hAnsi="Book Antiqua" w:cs="宋体"/>
          <w:kern w:val="0"/>
          <w:sz w:val="24"/>
          <w:szCs w:val="24"/>
        </w:rPr>
        <w:t>: 2308-2313 [PMID: 18702653 DOI: 10.1111/j.1572-0241.2008.01975.x]</w:t>
      </w:r>
    </w:p>
    <w:p w:rsidR="00DA5735" w:rsidRPr="0032635B" w:rsidRDefault="00DA5735" w:rsidP="00DA5735">
      <w:pPr>
        <w:widowControl/>
        <w:spacing w:line="360" w:lineRule="auto"/>
        <w:rPr>
          <w:rFonts w:ascii="Book Antiqua" w:eastAsia="宋体" w:hAnsi="Book Antiqua" w:cs="宋体"/>
          <w:kern w:val="0"/>
          <w:sz w:val="24"/>
          <w:szCs w:val="24"/>
        </w:rPr>
      </w:pPr>
      <w:r w:rsidRPr="0032635B">
        <w:rPr>
          <w:rFonts w:ascii="Book Antiqua" w:eastAsia="宋体" w:hAnsi="Book Antiqua" w:cs="宋体"/>
          <w:kern w:val="0"/>
          <w:sz w:val="24"/>
          <w:szCs w:val="24"/>
        </w:rPr>
        <w:t>11 </w:t>
      </w:r>
      <w:r w:rsidRPr="0032635B">
        <w:rPr>
          <w:rFonts w:ascii="Book Antiqua" w:eastAsia="宋体" w:hAnsi="Book Antiqua" w:cs="宋体"/>
          <w:b/>
          <w:bCs/>
          <w:kern w:val="0"/>
          <w:sz w:val="24"/>
          <w:szCs w:val="24"/>
        </w:rPr>
        <w:t>Howell MD</w:t>
      </w:r>
      <w:r w:rsidRPr="0032635B">
        <w:rPr>
          <w:rFonts w:ascii="Book Antiqua" w:eastAsia="宋体" w:hAnsi="Book Antiqua" w:cs="宋体"/>
          <w:kern w:val="0"/>
          <w:sz w:val="24"/>
          <w:szCs w:val="24"/>
        </w:rPr>
        <w:t xml:space="preserve">, </w:t>
      </w:r>
      <w:proofErr w:type="spellStart"/>
      <w:r w:rsidRPr="0032635B">
        <w:rPr>
          <w:rFonts w:ascii="Book Antiqua" w:eastAsia="宋体" w:hAnsi="Book Antiqua" w:cs="宋体"/>
          <w:kern w:val="0"/>
          <w:sz w:val="24"/>
          <w:szCs w:val="24"/>
        </w:rPr>
        <w:t>Novack</w:t>
      </w:r>
      <w:proofErr w:type="spellEnd"/>
      <w:r w:rsidRPr="0032635B">
        <w:rPr>
          <w:rFonts w:ascii="Book Antiqua" w:eastAsia="宋体" w:hAnsi="Book Antiqua" w:cs="宋体"/>
          <w:kern w:val="0"/>
          <w:sz w:val="24"/>
          <w:szCs w:val="24"/>
        </w:rPr>
        <w:t xml:space="preserve"> V, </w:t>
      </w:r>
      <w:proofErr w:type="spellStart"/>
      <w:r w:rsidRPr="0032635B">
        <w:rPr>
          <w:rFonts w:ascii="Book Antiqua" w:eastAsia="宋体" w:hAnsi="Book Antiqua" w:cs="宋体"/>
          <w:kern w:val="0"/>
          <w:sz w:val="24"/>
          <w:szCs w:val="24"/>
        </w:rPr>
        <w:t>Grgurich</w:t>
      </w:r>
      <w:proofErr w:type="spellEnd"/>
      <w:r w:rsidRPr="0032635B">
        <w:rPr>
          <w:rFonts w:ascii="Book Antiqua" w:eastAsia="宋体" w:hAnsi="Book Antiqua" w:cs="宋体"/>
          <w:kern w:val="0"/>
          <w:sz w:val="24"/>
          <w:szCs w:val="24"/>
        </w:rPr>
        <w:t xml:space="preserve"> P, </w:t>
      </w:r>
      <w:proofErr w:type="spellStart"/>
      <w:r w:rsidRPr="0032635B">
        <w:rPr>
          <w:rFonts w:ascii="Book Antiqua" w:eastAsia="宋体" w:hAnsi="Book Antiqua" w:cs="宋体"/>
          <w:kern w:val="0"/>
          <w:sz w:val="24"/>
          <w:szCs w:val="24"/>
        </w:rPr>
        <w:t>Soulliard</w:t>
      </w:r>
      <w:proofErr w:type="spellEnd"/>
      <w:r w:rsidRPr="0032635B">
        <w:rPr>
          <w:rFonts w:ascii="Book Antiqua" w:eastAsia="宋体" w:hAnsi="Book Antiqua" w:cs="宋体"/>
          <w:kern w:val="0"/>
          <w:sz w:val="24"/>
          <w:szCs w:val="24"/>
        </w:rPr>
        <w:t xml:space="preserve"> D, </w:t>
      </w:r>
      <w:proofErr w:type="spellStart"/>
      <w:r w:rsidRPr="0032635B">
        <w:rPr>
          <w:rFonts w:ascii="Book Antiqua" w:eastAsia="宋体" w:hAnsi="Book Antiqua" w:cs="宋体"/>
          <w:kern w:val="0"/>
          <w:sz w:val="24"/>
          <w:szCs w:val="24"/>
        </w:rPr>
        <w:t>Novack</w:t>
      </w:r>
      <w:proofErr w:type="spellEnd"/>
      <w:r w:rsidRPr="0032635B">
        <w:rPr>
          <w:rFonts w:ascii="Book Antiqua" w:eastAsia="宋体" w:hAnsi="Book Antiqua" w:cs="宋体"/>
          <w:kern w:val="0"/>
          <w:sz w:val="24"/>
          <w:szCs w:val="24"/>
        </w:rPr>
        <w:t xml:space="preserve"> L, </w:t>
      </w:r>
      <w:proofErr w:type="spellStart"/>
      <w:r w:rsidRPr="0032635B">
        <w:rPr>
          <w:rFonts w:ascii="Book Antiqua" w:eastAsia="宋体" w:hAnsi="Book Antiqua" w:cs="宋体"/>
          <w:kern w:val="0"/>
          <w:sz w:val="24"/>
          <w:szCs w:val="24"/>
        </w:rPr>
        <w:t>Pencina</w:t>
      </w:r>
      <w:proofErr w:type="spellEnd"/>
      <w:r w:rsidRPr="0032635B">
        <w:rPr>
          <w:rFonts w:ascii="Book Antiqua" w:eastAsia="宋体" w:hAnsi="Book Antiqua" w:cs="宋体"/>
          <w:kern w:val="0"/>
          <w:sz w:val="24"/>
          <w:szCs w:val="24"/>
        </w:rPr>
        <w:t xml:space="preserve"> M, </w:t>
      </w:r>
      <w:proofErr w:type="spellStart"/>
      <w:r w:rsidRPr="0032635B">
        <w:rPr>
          <w:rFonts w:ascii="Book Antiqua" w:eastAsia="宋体" w:hAnsi="Book Antiqua" w:cs="宋体"/>
          <w:kern w:val="0"/>
          <w:sz w:val="24"/>
          <w:szCs w:val="24"/>
        </w:rPr>
        <w:t>Talmor</w:t>
      </w:r>
      <w:proofErr w:type="spellEnd"/>
      <w:r w:rsidRPr="0032635B">
        <w:rPr>
          <w:rFonts w:ascii="Book Antiqua" w:eastAsia="宋体" w:hAnsi="Book Antiqua" w:cs="宋体"/>
          <w:kern w:val="0"/>
          <w:sz w:val="24"/>
          <w:szCs w:val="24"/>
        </w:rPr>
        <w:t xml:space="preserve"> D. Iatrogenic gastric acid suppression and the risk of nosocomial Clostridium </w:t>
      </w:r>
      <w:proofErr w:type="spellStart"/>
      <w:r w:rsidRPr="0032635B">
        <w:rPr>
          <w:rFonts w:ascii="Book Antiqua" w:eastAsia="宋体" w:hAnsi="Book Antiqua" w:cs="宋体"/>
          <w:kern w:val="0"/>
          <w:sz w:val="24"/>
          <w:szCs w:val="24"/>
        </w:rPr>
        <w:t>difficile</w:t>
      </w:r>
      <w:proofErr w:type="spellEnd"/>
      <w:r w:rsidRPr="0032635B">
        <w:rPr>
          <w:rFonts w:ascii="Book Antiqua" w:eastAsia="宋体" w:hAnsi="Book Antiqua" w:cs="宋体"/>
          <w:kern w:val="0"/>
          <w:sz w:val="24"/>
          <w:szCs w:val="24"/>
        </w:rPr>
        <w:t xml:space="preserve"> infection. </w:t>
      </w:r>
      <w:r w:rsidRPr="0032635B">
        <w:rPr>
          <w:rFonts w:ascii="Book Antiqua" w:eastAsia="宋体" w:hAnsi="Book Antiqua" w:cs="宋体"/>
          <w:i/>
          <w:iCs/>
          <w:kern w:val="0"/>
          <w:sz w:val="24"/>
          <w:szCs w:val="24"/>
        </w:rPr>
        <w:t>Arch Intern Med</w:t>
      </w:r>
      <w:r w:rsidRPr="0032635B">
        <w:rPr>
          <w:rFonts w:ascii="Book Antiqua" w:eastAsia="宋体" w:hAnsi="Book Antiqua" w:cs="宋体"/>
          <w:kern w:val="0"/>
          <w:sz w:val="24"/>
          <w:szCs w:val="24"/>
        </w:rPr>
        <w:t> 2010; </w:t>
      </w:r>
      <w:r w:rsidRPr="0032635B">
        <w:rPr>
          <w:rFonts w:ascii="Book Antiqua" w:eastAsia="宋体" w:hAnsi="Book Antiqua" w:cs="宋体"/>
          <w:b/>
          <w:bCs/>
          <w:kern w:val="0"/>
          <w:sz w:val="24"/>
          <w:szCs w:val="24"/>
        </w:rPr>
        <w:t>170</w:t>
      </w:r>
      <w:r w:rsidRPr="0032635B">
        <w:rPr>
          <w:rFonts w:ascii="Book Antiqua" w:eastAsia="宋体" w:hAnsi="Book Antiqua" w:cs="宋体"/>
          <w:kern w:val="0"/>
          <w:sz w:val="24"/>
          <w:szCs w:val="24"/>
        </w:rPr>
        <w:t>: 784-790 [PMID: 20458086 DOI: 10.1001/archinternmed.2010.89]</w:t>
      </w:r>
    </w:p>
    <w:p w:rsidR="00DA5735" w:rsidRPr="0032635B" w:rsidRDefault="00DA5735" w:rsidP="00DA5735">
      <w:pPr>
        <w:widowControl/>
        <w:spacing w:line="360" w:lineRule="auto"/>
        <w:rPr>
          <w:rFonts w:ascii="Book Antiqua" w:eastAsia="宋体" w:hAnsi="Book Antiqua" w:cs="宋体"/>
          <w:kern w:val="0"/>
          <w:sz w:val="24"/>
          <w:szCs w:val="24"/>
        </w:rPr>
      </w:pPr>
      <w:r w:rsidRPr="0032635B">
        <w:rPr>
          <w:rFonts w:ascii="Book Antiqua" w:eastAsia="宋体" w:hAnsi="Book Antiqua" w:cs="宋体"/>
          <w:kern w:val="0"/>
          <w:sz w:val="24"/>
          <w:szCs w:val="24"/>
        </w:rPr>
        <w:t>12 </w:t>
      </w:r>
      <w:r w:rsidRPr="0032635B">
        <w:rPr>
          <w:rFonts w:ascii="Book Antiqua" w:eastAsia="宋体" w:hAnsi="Book Antiqua" w:cs="宋体"/>
          <w:b/>
          <w:bCs/>
          <w:kern w:val="0"/>
          <w:sz w:val="24"/>
          <w:szCs w:val="24"/>
        </w:rPr>
        <w:t>Hess MW</w:t>
      </w:r>
      <w:r w:rsidRPr="0032635B">
        <w:rPr>
          <w:rFonts w:ascii="Book Antiqua" w:eastAsia="宋体" w:hAnsi="Book Antiqua" w:cs="宋体"/>
          <w:kern w:val="0"/>
          <w:sz w:val="24"/>
          <w:szCs w:val="24"/>
        </w:rPr>
        <w:t xml:space="preserve">, </w:t>
      </w:r>
      <w:proofErr w:type="spellStart"/>
      <w:r w:rsidRPr="0032635B">
        <w:rPr>
          <w:rFonts w:ascii="Book Antiqua" w:eastAsia="宋体" w:hAnsi="Book Antiqua" w:cs="宋体"/>
          <w:kern w:val="0"/>
          <w:sz w:val="24"/>
          <w:szCs w:val="24"/>
        </w:rPr>
        <w:t>Hoenderop</w:t>
      </w:r>
      <w:proofErr w:type="spellEnd"/>
      <w:r w:rsidRPr="0032635B">
        <w:rPr>
          <w:rFonts w:ascii="Book Antiqua" w:eastAsia="宋体" w:hAnsi="Book Antiqua" w:cs="宋体"/>
          <w:kern w:val="0"/>
          <w:sz w:val="24"/>
          <w:szCs w:val="24"/>
        </w:rPr>
        <w:t xml:space="preserve"> JG, </w:t>
      </w:r>
      <w:proofErr w:type="spellStart"/>
      <w:r w:rsidRPr="0032635B">
        <w:rPr>
          <w:rFonts w:ascii="Book Antiqua" w:eastAsia="宋体" w:hAnsi="Book Antiqua" w:cs="宋体"/>
          <w:kern w:val="0"/>
          <w:sz w:val="24"/>
          <w:szCs w:val="24"/>
        </w:rPr>
        <w:t>Bindels</w:t>
      </w:r>
      <w:proofErr w:type="spellEnd"/>
      <w:r w:rsidRPr="0032635B">
        <w:rPr>
          <w:rFonts w:ascii="Book Antiqua" w:eastAsia="宋体" w:hAnsi="Book Antiqua" w:cs="宋体"/>
          <w:kern w:val="0"/>
          <w:sz w:val="24"/>
          <w:szCs w:val="24"/>
        </w:rPr>
        <w:t xml:space="preserve"> RJ, </w:t>
      </w:r>
      <w:proofErr w:type="spellStart"/>
      <w:r w:rsidRPr="0032635B">
        <w:rPr>
          <w:rFonts w:ascii="Book Antiqua" w:eastAsia="宋体" w:hAnsi="Book Antiqua" w:cs="宋体"/>
          <w:kern w:val="0"/>
          <w:sz w:val="24"/>
          <w:szCs w:val="24"/>
        </w:rPr>
        <w:t>Drenth</w:t>
      </w:r>
      <w:proofErr w:type="spellEnd"/>
      <w:r w:rsidRPr="0032635B">
        <w:rPr>
          <w:rFonts w:ascii="Book Antiqua" w:eastAsia="宋体" w:hAnsi="Book Antiqua" w:cs="宋体"/>
          <w:kern w:val="0"/>
          <w:sz w:val="24"/>
          <w:szCs w:val="24"/>
        </w:rPr>
        <w:t xml:space="preserve"> JP. Systematic review: hypomagnesaemia induced by proton pump inhibition. </w:t>
      </w:r>
      <w:r w:rsidRPr="0032635B">
        <w:rPr>
          <w:rFonts w:ascii="Book Antiqua" w:eastAsia="宋体" w:hAnsi="Book Antiqua" w:cs="宋体"/>
          <w:i/>
          <w:iCs/>
          <w:kern w:val="0"/>
          <w:sz w:val="24"/>
          <w:szCs w:val="24"/>
        </w:rPr>
        <w:t xml:space="preserve">Aliment </w:t>
      </w:r>
      <w:proofErr w:type="spellStart"/>
      <w:r w:rsidRPr="0032635B">
        <w:rPr>
          <w:rFonts w:ascii="Book Antiqua" w:eastAsia="宋体" w:hAnsi="Book Antiqua" w:cs="宋体"/>
          <w:i/>
          <w:iCs/>
          <w:kern w:val="0"/>
          <w:sz w:val="24"/>
          <w:szCs w:val="24"/>
        </w:rPr>
        <w:t>Pharmacol</w:t>
      </w:r>
      <w:proofErr w:type="spellEnd"/>
      <w:r w:rsidRPr="0032635B">
        <w:rPr>
          <w:rFonts w:ascii="Book Antiqua" w:eastAsia="宋体" w:hAnsi="Book Antiqua" w:cs="宋体"/>
          <w:i/>
          <w:iCs/>
          <w:kern w:val="0"/>
          <w:sz w:val="24"/>
          <w:szCs w:val="24"/>
        </w:rPr>
        <w:t xml:space="preserve"> </w:t>
      </w:r>
      <w:proofErr w:type="spellStart"/>
      <w:r w:rsidRPr="0032635B">
        <w:rPr>
          <w:rFonts w:ascii="Book Antiqua" w:eastAsia="宋体" w:hAnsi="Book Antiqua" w:cs="宋体"/>
          <w:i/>
          <w:iCs/>
          <w:kern w:val="0"/>
          <w:sz w:val="24"/>
          <w:szCs w:val="24"/>
        </w:rPr>
        <w:t>Ther</w:t>
      </w:r>
      <w:proofErr w:type="spellEnd"/>
      <w:r w:rsidRPr="0032635B">
        <w:rPr>
          <w:rFonts w:ascii="Book Antiqua" w:eastAsia="宋体" w:hAnsi="Book Antiqua" w:cs="宋体"/>
          <w:kern w:val="0"/>
          <w:sz w:val="24"/>
          <w:szCs w:val="24"/>
        </w:rPr>
        <w:t> 2012; </w:t>
      </w:r>
      <w:r w:rsidRPr="0032635B">
        <w:rPr>
          <w:rFonts w:ascii="Book Antiqua" w:eastAsia="宋体" w:hAnsi="Book Antiqua" w:cs="宋体"/>
          <w:b/>
          <w:bCs/>
          <w:kern w:val="0"/>
          <w:sz w:val="24"/>
          <w:szCs w:val="24"/>
        </w:rPr>
        <w:t>36</w:t>
      </w:r>
      <w:r w:rsidRPr="0032635B">
        <w:rPr>
          <w:rFonts w:ascii="Book Antiqua" w:eastAsia="宋体" w:hAnsi="Book Antiqua" w:cs="宋体"/>
          <w:kern w:val="0"/>
          <w:sz w:val="24"/>
          <w:szCs w:val="24"/>
        </w:rPr>
        <w:t>: 405-413 [PMID: 22762246 DOI: 10.1111/j.1365-2036.2012.05201.x]</w:t>
      </w:r>
    </w:p>
    <w:p w:rsidR="00DA5735" w:rsidRPr="0032635B" w:rsidRDefault="00DA5735" w:rsidP="00DA5735">
      <w:pPr>
        <w:widowControl/>
        <w:spacing w:line="360" w:lineRule="auto"/>
        <w:rPr>
          <w:rFonts w:ascii="Book Antiqua" w:eastAsia="宋体" w:hAnsi="Book Antiqua" w:cs="宋体"/>
          <w:kern w:val="0"/>
          <w:sz w:val="24"/>
          <w:szCs w:val="24"/>
        </w:rPr>
      </w:pPr>
      <w:proofErr w:type="gramStart"/>
      <w:r w:rsidRPr="0032635B">
        <w:rPr>
          <w:rFonts w:ascii="Book Antiqua" w:eastAsia="宋体" w:hAnsi="Book Antiqua" w:cs="宋体"/>
          <w:kern w:val="0"/>
          <w:sz w:val="24"/>
          <w:szCs w:val="24"/>
        </w:rPr>
        <w:lastRenderedPageBreak/>
        <w:t>13 </w:t>
      </w:r>
      <w:proofErr w:type="spellStart"/>
      <w:r w:rsidRPr="0032635B">
        <w:rPr>
          <w:rFonts w:ascii="Book Antiqua" w:eastAsia="宋体" w:hAnsi="Book Antiqua" w:cs="宋体"/>
          <w:b/>
          <w:bCs/>
          <w:kern w:val="0"/>
          <w:sz w:val="24"/>
          <w:szCs w:val="24"/>
        </w:rPr>
        <w:t>Recker</w:t>
      </w:r>
      <w:proofErr w:type="spellEnd"/>
      <w:r w:rsidRPr="0032635B">
        <w:rPr>
          <w:rFonts w:ascii="Book Antiqua" w:eastAsia="宋体" w:hAnsi="Book Antiqua" w:cs="宋体"/>
          <w:b/>
          <w:bCs/>
          <w:kern w:val="0"/>
          <w:sz w:val="24"/>
          <w:szCs w:val="24"/>
        </w:rPr>
        <w:t xml:space="preserve"> RR</w:t>
      </w:r>
      <w:r w:rsidRPr="0032635B">
        <w:rPr>
          <w:rFonts w:ascii="Book Antiqua" w:eastAsia="宋体" w:hAnsi="Book Antiqua" w:cs="宋体"/>
          <w:kern w:val="0"/>
          <w:sz w:val="24"/>
          <w:szCs w:val="24"/>
        </w:rPr>
        <w:t>.</w:t>
      </w:r>
      <w:proofErr w:type="gramEnd"/>
      <w:r w:rsidRPr="0032635B">
        <w:rPr>
          <w:rFonts w:ascii="Book Antiqua" w:eastAsia="宋体" w:hAnsi="Book Antiqua" w:cs="宋体"/>
          <w:kern w:val="0"/>
          <w:sz w:val="24"/>
          <w:szCs w:val="24"/>
        </w:rPr>
        <w:t xml:space="preserve"> </w:t>
      </w:r>
      <w:proofErr w:type="gramStart"/>
      <w:r w:rsidRPr="0032635B">
        <w:rPr>
          <w:rFonts w:ascii="Book Antiqua" w:eastAsia="宋体" w:hAnsi="Book Antiqua" w:cs="宋体"/>
          <w:kern w:val="0"/>
          <w:sz w:val="24"/>
          <w:szCs w:val="24"/>
        </w:rPr>
        <w:t xml:space="preserve">Calcium absorption and </w:t>
      </w:r>
      <w:proofErr w:type="spellStart"/>
      <w:r w:rsidRPr="0032635B">
        <w:rPr>
          <w:rFonts w:ascii="Book Antiqua" w:eastAsia="宋体" w:hAnsi="Book Antiqua" w:cs="宋体"/>
          <w:kern w:val="0"/>
          <w:sz w:val="24"/>
          <w:szCs w:val="24"/>
        </w:rPr>
        <w:t>achlorhydria</w:t>
      </w:r>
      <w:proofErr w:type="spellEnd"/>
      <w:r w:rsidRPr="0032635B">
        <w:rPr>
          <w:rFonts w:ascii="Book Antiqua" w:eastAsia="宋体" w:hAnsi="Book Antiqua" w:cs="宋体"/>
          <w:kern w:val="0"/>
          <w:sz w:val="24"/>
          <w:szCs w:val="24"/>
        </w:rPr>
        <w:t>.</w:t>
      </w:r>
      <w:proofErr w:type="gramEnd"/>
      <w:r w:rsidRPr="0032635B">
        <w:rPr>
          <w:rFonts w:ascii="Book Antiqua" w:eastAsia="宋体" w:hAnsi="Book Antiqua" w:cs="宋体"/>
          <w:kern w:val="0"/>
          <w:sz w:val="24"/>
          <w:szCs w:val="24"/>
        </w:rPr>
        <w:t> </w:t>
      </w:r>
      <w:r w:rsidRPr="0032635B">
        <w:rPr>
          <w:rFonts w:ascii="Book Antiqua" w:eastAsia="宋体" w:hAnsi="Book Antiqua" w:cs="宋体"/>
          <w:i/>
          <w:iCs/>
          <w:kern w:val="0"/>
          <w:sz w:val="24"/>
          <w:szCs w:val="24"/>
        </w:rPr>
        <w:t xml:space="preserve">N </w:t>
      </w:r>
      <w:proofErr w:type="spellStart"/>
      <w:r w:rsidRPr="0032635B">
        <w:rPr>
          <w:rFonts w:ascii="Book Antiqua" w:eastAsia="宋体" w:hAnsi="Book Antiqua" w:cs="宋体"/>
          <w:i/>
          <w:iCs/>
          <w:kern w:val="0"/>
          <w:sz w:val="24"/>
          <w:szCs w:val="24"/>
        </w:rPr>
        <w:t>Engl</w:t>
      </w:r>
      <w:proofErr w:type="spellEnd"/>
      <w:r w:rsidRPr="0032635B">
        <w:rPr>
          <w:rFonts w:ascii="Book Antiqua" w:eastAsia="宋体" w:hAnsi="Book Antiqua" w:cs="宋体"/>
          <w:i/>
          <w:iCs/>
          <w:kern w:val="0"/>
          <w:sz w:val="24"/>
          <w:szCs w:val="24"/>
        </w:rPr>
        <w:t xml:space="preserve"> J Med</w:t>
      </w:r>
      <w:r w:rsidRPr="0032635B">
        <w:rPr>
          <w:rFonts w:ascii="Book Antiqua" w:eastAsia="宋体" w:hAnsi="Book Antiqua" w:cs="宋体"/>
          <w:kern w:val="0"/>
          <w:sz w:val="24"/>
          <w:szCs w:val="24"/>
        </w:rPr>
        <w:t> 1985; </w:t>
      </w:r>
      <w:r w:rsidRPr="0032635B">
        <w:rPr>
          <w:rFonts w:ascii="Book Antiqua" w:eastAsia="宋体" w:hAnsi="Book Antiqua" w:cs="宋体"/>
          <w:b/>
          <w:bCs/>
          <w:kern w:val="0"/>
          <w:sz w:val="24"/>
          <w:szCs w:val="24"/>
        </w:rPr>
        <w:t>313</w:t>
      </w:r>
      <w:r w:rsidRPr="0032635B">
        <w:rPr>
          <w:rFonts w:ascii="Book Antiqua" w:eastAsia="宋体" w:hAnsi="Book Antiqua" w:cs="宋体"/>
          <w:kern w:val="0"/>
          <w:sz w:val="24"/>
          <w:szCs w:val="24"/>
        </w:rPr>
        <w:t>: 70-73 [PMID: 4000241 DOI: 10.1056/NEJM198507113130202]</w:t>
      </w:r>
    </w:p>
    <w:p w:rsidR="00DA5735" w:rsidRPr="0032635B" w:rsidRDefault="00DA5735" w:rsidP="00DA5735">
      <w:pPr>
        <w:widowControl/>
        <w:spacing w:line="360" w:lineRule="auto"/>
        <w:rPr>
          <w:rFonts w:ascii="Book Antiqua" w:eastAsia="宋体" w:hAnsi="Book Antiqua" w:cs="宋体"/>
          <w:kern w:val="0"/>
          <w:sz w:val="24"/>
          <w:szCs w:val="24"/>
        </w:rPr>
      </w:pPr>
      <w:r w:rsidRPr="0032635B">
        <w:rPr>
          <w:rFonts w:ascii="Book Antiqua" w:eastAsia="宋体" w:hAnsi="Book Antiqua" w:cs="宋体"/>
          <w:kern w:val="0"/>
          <w:sz w:val="24"/>
          <w:szCs w:val="24"/>
        </w:rPr>
        <w:t>14 </w:t>
      </w:r>
      <w:r w:rsidRPr="0032635B">
        <w:rPr>
          <w:rFonts w:ascii="Book Antiqua" w:eastAsia="宋体" w:hAnsi="Book Antiqua" w:cs="宋体"/>
          <w:b/>
          <w:bCs/>
          <w:kern w:val="0"/>
          <w:sz w:val="24"/>
          <w:szCs w:val="24"/>
        </w:rPr>
        <w:t>Yu EW</w:t>
      </w:r>
      <w:r w:rsidRPr="0032635B">
        <w:rPr>
          <w:rFonts w:ascii="Book Antiqua" w:eastAsia="宋体" w:hAnsi="Book Antiqua" w:cs="宋体"/>
          <w:kern w:val="0"/>
          <w:sz w:val="24"/>
          <w:szCs w:val="24"/>
        </w:rPr>
        <w:t>, Bauer SR, Bain PA, Bauer DC. Proton pump inhibitors and risk of fractures: a meta-analysis of 11 international studies. </w:t>
      </w:r>
      <w:r w:rsidRPr="0032635B">
        <w:rPr>
          <w:rFonts w:ascii="Book Antiqua" w:eastAsia="宋体" w:hAnsi="Book Antiqua" w:cs="宋体"/>
          <w:i/>
          <w:iCs/>
          <w:kern w:val="0"/>
          <w:sz w:val="24"/>
          <w:szCs w:val="24"/>
        </w:rPr>
        <w:t>Am J Med</w:t>
      </w:r>
      <w:r w:rsidRPr="0032635B">
        <w:rPr>
          <w:rFonts w:ascii="Book Antiqua" w:eastAsia="宋体" w:hAnsi="Book Antiqua" w:cs="宋体"/>
          <w:kern w:val="0"/>
          <w:sz w:val="24"/>
          <w:szCs w:val="24"/>
        </w:rPr>
        <w:t> 2011; </w:t>
      </w:r>
      <w:r w:rsidRPr="0032635B">
        <w:rPr>
          <w:rFonts w:ascii="Book Antiqua" w:eastAsia="宋体" w:hAnsi="Book Antiqua" w:cs="宋体"/>
          <w:b/>
          <w:bCs/>
          <w:kern w:val="0"/>
          <w:sz w:val="24"/>
          <w:szCs w:val="24"/>
        </w:rPr>
        <w:t>124</w:t>
      </w:r>
      <w:r w:rsidRPr="0032635B">
        <w:rPr>
          <w:rFonts w:ascii="Book Antiqua" w:eastAsia="宋体" w:hAnsi="Book Antiqua" w:cs="宋体"/>
          <w:kern w:val="0"/>
          <w:sz w:val="24"/>
          <w:szCs w:val="24"/>
        </w:rPr>
        <w:t>: 519-526 [PMID: 21605729 DOI: 10.1016/]</w:t>
      </w:r>
    </w:p>
    <w:p w:rsidR="00DA5735" w:rsidRPr="0032635B" w:rsidRDefault="00DA5735" w:rsidP="00DA5735">
      <w:pPr>
        <w:widowControl/>
        <w:spacing w:line="360" w:lineRule="auto"/>
        <w:rPr>
          <w:rFonts w:ascii="Book Antiqua" w:eastAsia="宋体" w:hAnsi="Book Antiqua" w:cs="宋体"/>
          <w:kern w:val="0"/>
          <w:sz w:val="24"/>
          <w:szCs w:val="24"/>
        </w:rPr>
      </w:pPr>
      <w:r w:rsidRPr="0032635B">
        <w:rPr>
          <w:rFonts w:ascii="Book Antiqua" w:eastAsia="宋体" w:hAnsi="Book Antiqua" w:cs="宋体"/>
          <w:kern w:val="0"/>
          <w:sz w:val="24"/>
          <w:szCs w:val="24"/>
        </w:rPr>
        <w:t>15 </w:t>
      </w:r>
      <w:proofErr w:type="spellStart"/>
      <w:r w:rsidRPr="0032635B">
        <w:rPr>
          <w:rFonts w:ascii="Book Antiqua" w:eastAsia="宋体" w:hAnsi="Book Antiqua" w:cs="宋体"/>
          <w:b/>
          <w:bCs/>
          <w:kern w:val="0"/>
          <w:sz w:val="24"/>
          <w:szCs w:val="24"/>
        </w:rPr>
        <w:t>Komazawa</w:t>
      </w:r>
      <w:proofErr w:type="spellEnd"/>
      <w:r w:rsidRPr="0032635B">
        <w:rPr>
          <w:rFonts w:ascii="Book Antiqua" w:eastAsia="宋体" w:hAnsi="Book Antiqua" w:cs="宋体"/>
          <w:b/>
          <w:bCs/>
          <w:kern w:val="0"/>
          <w:sz w:val="24"/>
          <w:szCs w:val="24"/>
        </w:rPr>
        <w:t xml:space="preserve"> Y</w:t>
      </w:r>
      <w:r w:rsidRPr="0032635B">
        <w:rPr>
          <w:rFonts w:ascii="Book Antiqua" w:eastAsia="宋体" w:hAnsi="Book Antiqua" w:cs="宋体"/>
          <w:kern w:val="0"/>
          <w:sz w:val="24"/>
          <w:szCs w:val="24"/>
        </w:rPr>
        <w:t xml:space="preserve">, Adachi K, </w:t>
      </w:r>
      <w:proofErr w:type="spellStart"/>
      <w:r w:rsidRPr="0032635B">
        <w:rPr>
          <w:rFonts w:ascii="Book Antiqua" w:eastAsia="宋体" w:hAnsi="Book Antiqua" w:cs="宋体"/>
          <w:kern w:val="0"/>
          <w:sz w:val="24"/>
          <w:szCs w:val="24"/>
        </w:rPr>
        <w:t>Mihara</w:t>
      </w:r>
      <w:proofErr w:type="spellEnd"/>
      <w:r w:rsidRPr="0032635B">
        <w:rPr>
          <w:rFonts w:ascii="Book Antiqua" w:eastAsia="宋体" w:hAnsi="Book Antiqua" w:cs="宋体"/>
          <w:kern w:val="0"/>
          <w:sz w:val="24"/>
          <w:szCs w:val="24"/>
        </w:rPr>
        <w:t xml:space="preserve"> T, Ono M, Kawamura A, </w:t>
      </w:r>
      <w:proofErr w:type="spellStart"/>
      <w:r w:rsidRPr="0032635B">
        <w:rPr>
          <w:rFonts w:ascii="Book Antiqua" w:eastAsia="宋体" w:hAnsi="Book Antiqua" w:cs="宋体"/>
          <w:kern w:val="0"/>
          <w:sz w:val="24"/>
          <w:szCs w:val="24"/>
        </w:rPr>
        <w:t>Fujishiro</w:t>
      </w:r>
      <w:proofErr w:type="spellEnd"/>
      <w:r w:rsidRPr="0032635B">
        <w:rPr>
          <w:rFonts w:ascii="Book Antiqua" w:eastAsia="宋体" w:hAnsi="Book Antiqua" w:cs="宋体"/>
          <w:kern w:val="0"/>
          <w:sz w:val="24"/>
          <w:szCs w:val="24"/>
        </w:rPr>
        <w:t xml:space="preserve"> H, Kinoshita Y. Tolerance to famotidine and ranitidine treatment after 14 days of administration in healthy subjects without Helicobacter pylori infection. </w:t>
      </w:r>
      <w:r w:rsidRPr="0032635B">
        <w:rPr>
          <w:rFonts w:ascii="Book Antiqua" w:eastAsia="宋体" w:hAnsi="Book Antiqua" w:cs="宋体"/>
          <w:i/>
          <w:iCs/>
          <w:kern w:val="0"/>
          <w:sz w:val="24"/>
          <w:szCs w:val="24"/>
        </w:rPr>
        <w:t xml:space="preserve">J </w:t>
      </w:r>
      <w:proofErr w:type="spellStart"/>
      <w:r w:rsidRPr="0032635B">
        <w:rPr>
          <w:rFonts w:ascii="Book Antiqua" w:eastAsia="宋体" w:hAnsi="Book Antiqua" w:cs="宋体"/>
          <w:i/>
          <w:iCs/>
          <w:kern w:val="0"/>
          <w:sz w:val="24"/>
          <w:szCs w:val="24"/>
        </w:rPr>
        <w:t>Gastroenterol</w:t>
      </w:r>
      <w:proofErr w:type="spellEnd"/>
      <w:r w:rsidRPr="0032635B">
        <w:rPr>
          <w:rFonts w:ascii="Book Antiqua" w:eastAsia="宋体" w:hAnsi="Book Antiqua" w:cs="宋体"/>
          <w:i/>
          <w:iCs/>
          <w:kern w:val="0"/>
          <w:sz w:val="24"/>
          <w:szCs w:val="24"/>
        </w:rPr>
        <w:t xml:space="preserve"> </w:t>
      </w:r>
      <w:proofErr w:type="spellStart"/>
      <w:r w:rsidRPr="0032635B">
        <w:rPr>
          <w:rFonts w:ascii="Book Antiqua" w:eastAsia="宋体" w:hAnsi="Book Antiqua" w:cs="宋体"/>
          <w:i/>
          <w:iCs/>
          <w:kern w:val="0"/>
          <w:sz w:val="24"/>
          <w:szCs w:val="24"/>
        </w:rPr>
        <w:t>Hepatol</w:t>
      </w:r>
      <w:proofErr w:type="spellEnd"/>
      <w:r w:rsidRPr="0032635B">
        <w:rPr>
          <w:rFonts w:ascii="Book Antiqua" w:eastAsia="宋体" w:hAnsi="Book Antiqua" w:cs="宋体"/>
          <w:kern w:val="0"/>
          <w:sz w:val="24"/>
          <w:szCs w:val="24"/>
        </w:rPr>
        <w:t> 2003; </w:t>
      </w:r>
      <w:r w:rsidRPr="0032635B">
        <w:rPr>
          <w:rFonts w:ascii="Book Antiqua" w:eastAsia="宋体" w:hAnsi="Book Antiqua" w:cs="宋体"/>
          <w:b/>
          <w:bCs/>
          <w:kern w:val="0"/>
          <w:sz w:val="24"/>
          <w:szCs w:val="24"/>
        </w:rPr>
        <w:t>18</w:t>
      </w:r>
      <w:r w:rsidRPr="0032635B">
        <w:rPr>
          <w:rFonts w:ascii="Book Antiqua" w:eastAsia="宋体" w:hAnsi="Book Antiqua" w:cs="宋体"/>
          <w:kern w:val="0"/>
          <w:sz w:val="24"/>
          <w:szCs w:val="24"/>
        </w:rPr>
        <w:t>: 678-682 [PMID: 12753150 DOI: 10.1046/j.1440-1746.2003.03041.x]</w:t>
      </w:r>
    </w:p>
    <w:p w:rsidR="00DA5735" w:rsidRPr="0032635B" w:rsidRDefault="00DA5735" w:rsidP="00DA5735">
      <w:pPr>
        <w:spacing w:line="360" w:lineRule="auto"/>
        <w:rPr>
          <w:rFonts w:ascii="Book Antiqua" w:hAnsi="Book Antiqua"/>
          <w:sz w:val="24"/>
          <w:szCs w:val="24"/>
        </w:rPr>
      </w:pPr>
    </w:p>
    <w:p w:rsidR="00DA5735" w:rsidRPr="0032635B" w:rsidRDefault="00DA5735" w:rsidP="00DA5735">
      <w:pPr>
        <w:pStyle w:val="a8"/>
        <w:wordWrap w:val="0"/>
        <w:spacing w:line="360" w:lineRule="auto"/>
        <w:ind w:right="120"/>
        <w:jc w:val="right"/>
        <w:rPr>
          <w:rFonts w:ascii="Book Antiqua" w:eastAsia="宋体" w:hAnsi="Book Antiqua"/>
          <w:b/>
          <w:bCs/>
          <w:color w:val="000000"/>
          <w:sz w:val="24"/>
          <w:szCs w:val="24"/>
          <w:lang w:eastAsia="zh-CN"/>
        </w:rPr>
      </w:pPr>
      <w:bookmarkStart w:id="28" w:name="OLE_LINK427"/>
      <w:bookmarkStart w:id="29" w:name="OLE_LINK435"/>
      <w:bookmarkStart w:id="30" w:name="OLE_LINK516"/>
      <w:bookmarkStart w:id="31" w:name="OLE_LINK45"/>
      <w:bookmarkStart w:id="32" w:name="OLE_LINK132"/>
      <w:bookmarkStart w:id="33" w:name="OLE_LINK529"/>
      <w:bookmarkStart w:id="34" w:name="OLE_LINK541"/>
      <w:bookmarkStart w:id="35" w:name="OLE_LINK560"/>
      <w:bookmarkStart w:id="36" w:name="OLE_LINK558"/>
      <w:r w:rsidRPr="0032635B">
        <w:rPr>
          <w:rStyle w:val="aa"/>
          <w:rFonts w:ascii="Book Antiqua" w:hAnsi="Book Antiqua" w:cs="Arial"/>
          <w:bCs w:val="0"/>
          <w:noProof/>
          <w:color w:val="000000"/>
          <w:sz w:val="24"/>
          <w:szCs w:val="24"/>
        </w:rPr>
        <w:t>P-Reviewer</w:t>
      </w:r>
      <w:r w:rsidRPr="0032635B">
        <w:rPr>
          <w:rStyle w:val="aa"/>
          <w:rFonts w:ascii="Book Antiqua" w:eastAsia="宋体" w:hAnsi="Book Antiqua" w:cs="Arial"/>
          <w:bCs w:val="0"/>
          <w:noProof/>
          <w:color w:val="000000"/>
          <w:sz w:val="24"/>
          <w:szCs w:val="24"/>
          <w:lang w:eastAsia="zh-CN"/>
        </w:rPr>
        <w:t>:</w:t>
      </w:r>
      <w:r w:rsidRPr="0032635B">
        <w:rPr>
          <w:rFonts w:ascii="Book Antiqua" w:hAnsi="Book Antiqua"/>
          <w:bCs/>
          <w:color w:val="000000"/>
          <w:sz w:val="24"/>
          <w:szCs w:val="24"/>
        </w:rPr>
        <w:t xml:space="preserve"> </w:t>
      </w:r>
      <w:proofErr w:type="spellStart"/>
      <w:r w:rsidR="00D006AB" w:rsidRPr="00D006AB">
        <w:rPr>
          <w:rFonts w:ascii="Book Antiqua" w:hAnsi="Book Antiqua"/>
          <w:bCs/>
          <w:color w:val="000000"/>
          <w:sz w:val="24"/>
          <w:szCs w:val="24"/>
        </w:rPr>
        <w:t>Annese</w:t>
      </w:r>
      <w:proofErr w:type="spellEnd"/>
      <w:r w:rsidR="00D006AB">
        <w:rPr>
          <w:rFonts w:ascii="Book Antiqua" w:eastAsia="宋体" w:hAnsi="Book Antiqua" w:hint="eastAsia"/>
          <w:bCs/>
          <w:color w:val="000000"/>
          <w:sz w:val="24"/>
          <w:szCs w:val="24"/>
          <w:lang w:eastAsia="zh-CN"/>
        </w:rPr>
        <w:t xml:space="preserve"> V</w:t>
      </w:r>
      <w:r w:rsidRPr="0032635B">
        <w:rPr>
          <w:rFonts w:ascii="Book Antiqua" w:hAnsi="Book Antiqua"/>
          <w:bCs/>
          <w:color w:val="000000"/>
          <w:sz w:val="24"/>
          <w:szCs w:val="24"/>
        </w:rPr>
        <w:t xml:space="preserve"> </w:t>
      </w:r>
      <w:r w:rsidRPr="0032635B">
        <w:rPr>
          <w:rFonts w:ascii="Book Antiqua" w:hAnsi="Book Antiqua"/>
          <w:b/>
          <w:bCs/>
          <w:color w:val="000000"/>
          <w:sz w:val="24"/>
          <w:szCs w:val="24"/>
        </w:rPr>
        <w:t>S-Editor</w:t>
      </w:r>
      <w:r w:rsidRPr="0032635B">
        <w:rPr>
          <w:rFonts w:ascii="Book Antiqua" w:eastAsia="宋体" w:hAnsi="Book Antiqua"/>
          <w:b/>
          <w:bCs/>
          <w:color w:val="000000"/>
          <w:sz w:val="24"/>
          <w:szCs w:val="24"/>
          <w:lang w:eastAsia="zh-CN"/>
        </w:rPr>
        <w:t>:</w:t>
      </w:r>
      <w:r w:rsidRPr="0032635B">
        <w:rPr>
          <w:rFonts w:ascii="Book Antiqua" w:hAnsi="Book Antiqua"/>
          <w:bCs/>
          <w:color w:val="000000"/>
          <w:sz w:val="24"/>
          <w:szCs w:val="24"/>
        </w:rPr>
        <w:t xml:space="preserve"> </w:t>
      </w:r>
      <w:r w:rsidRPr="0032635B">
        <w:rPr>
          <w:rFonts w:ascii="Book Antiqua" w:eastAsia="宋体" w:hAnsi="Book Antiqua"/>
          <w:bCs/>
          <w:color w:val="000000"/>
          <w:sz w:val="24"/>
          <w:szCs w:val="24"/>
          <w:lang w:eastAsia="zh-CN"/>
        </w:rPr>
        <w:t>Qi Y</w:t>
      </w:r>
      <w:r w:rsidRPr="0032635B">
        <w:rPr>
          <w:rFonts w:ascii="Book Antiqua" w:hAnsi="Book Antiqua"/>
          <w:b/>
          <w:bCs/>
          <w:color w:val="000000"/>
          <w:sz w:val="24"/>
          <w:szCs w:val="24"/>
        </w:rPr>
        <w:t xml:space="preserve">   L-Editor</w:t>
      </w:r>
      <w:r w:rsidRPr="0032635B">
        <w:rPr>
          <w:rFonts w:ascii="Book Antiqua" w:eastAsia="宋体" w:hAnsi="Book Antiqua"/>
          <w:b/>
          <w:bCs/>
          <w:color w:val="000000"/>
          <w:sz w:val="24"/>
          <w:szCs w:val="24"/>
          <w:lang w:eastAsia="zh-CN"/>
        </w:rPr>
        <w:t>:</w:t>
      </w:r>
      <w:r w:rsidRPr="0032635B">
        <w:rPr>
          <w:rFonts w:ascii="Book Antiqua" w:hAnsi="Book Antiqua"/>
          <w:b/>
          <w:bCs/>
          <w:color w:val="000000"/>
          <w:sz w:val="24"/>
          <w:szCs w:val="24"/>
        </w:rPr>
        <w:t xml:space="preserve">   E-Editor</w:t>
      </w:r>
      <w:r w:rsidRPr="0032635B">
        <w:rPr>
          <w:rFonts w:ascii="Book Antiqua" w:eastAsia="宋体" w:hAnsi="Book Antiqua"/>
          <w:b/>
          <w:bCs/>
          <w:color w:val="000000"/>
          <w:sz w:val="24"/>
          <w:szCs w:val="24"/>
          <w:lang w:eastAsia="zh-CN"/>
        </w:rPr>
        <w:t>:</w:t>
      </w:r>
    </w:p>
    <w:bookmarkEnd w:id="28"/>
    <w:bookmarkEnd w:id="29"/>
    <w:bookmarkEnd w:id="30"/>
    <w:bookmarkEnd w:id="31"/>
    <w:bookmarkEnd w:id="32"/>
    <w:bookmarkEnd w:id="33"/>
    <w:bookmarkEnd w:id="34"/>
    <w:bookmarkEnd w:id="35"/>
    <w:bookmarkEnd w:id="36"/>
    <w:p w:rsidR="00473E0F" w:rsidRPr="0032635B" w:rsidRDefault="00473E0F" w:rsidP="00DA5735">
      <w:pPr>
        <w:spacing w:line="360" w:lineRule="auto"/>
        <w:rPr>
          <w:rFonts w:ascii="Book Antiqua" w:eastAsia="宋体" w:hAnsi="Book Antiqua" w:cs="Times New Roman"/>
          <w:b/>
          <w:sz w:val="24"/>
          <w:szCs w:val="24"/>
          <w:lang w:eastAsia="zh-CN"/>
        </w:rPr>
      </w:pPr>
    </w:p>
    <w:p w:rsidR="00473E0F" w:rsidRPr="0032635B" w:rsidRDefault="00473E0F">
      <w:pPr>
        <w:widowControl/>
        <w:jc w:val="left"/>
        <w:rPr>
          <w:rFonts w:ascii="Book Antiqua" w:hAnsi="Book Antiqua" w:cs="Times New Roman"/>
          <w:b/>
          <w:sz w:val="24"/>
          <w:szCs w:val="24"/>
        </w:rPr>
      </w:pPr>
      <w:r w:rsidRPr="0032635B">
        <w:rPr>
          <w:rFonts w:ascii="Book Antiqua" w:hAnsi="Book Antiqua" w:cs="Times New Roman"/>
          <w:b/>
          <w:sz w:val="24"/>
          <w:szCs w:val="24"/>
        </w:rPr>
        <w:br w:type="page"/>
      </w:r>
    </w:p>
    <w:p w:rsidR="006F59B3" w:rsidRPr="0032635B" w:rsidRDefault="000D394F" w:rsidP="00C92BD7">
      <w:pPr>
        <w:widowControl/>
        <w:spacing w:line="360" w:lineRule="auto"/>
        <w:rPr>
          <w:rFonts w:ascii="Book Antiqua" w:eastAsia="宋体" w:hAnsi="Book Antiqua" w:cs="Times New Roman"/>
          <w:b/>
          <w:sz w:val="24"/>
          <w:szCs w:val="24"/>
          <w:lang w:eastAsia="zh-CN"/>
        </w:rPr>
      </w:pPr>
      <w:r w:rsidRPr="0032635B">
        <w:rPr>
          <w:rFonts w:ascii="Book Antiqua" w:hAnsi="Book Antiqua"/>
          <w:noProof/>
          <w:sz w:val="24"/>
          <w:szCs w:val="24"/>
          <w:lang w:eastAsia="zh-CN"/>
        </w:rPr>
        <w:lastRenderedPageBreak/>
        <w:drawing>
          <wp:inline distT="0" distB="0" distL="0" distR="0" wp14:anchorId="5D475F7B" wp14:editId="1626DA36">
            <wp:extent cx="5400040" cy="2837521"/>
            <wp:effectExtent l="0" t="0" r="0" b="12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00040" cy="2837521"/>
                    </a:xfrm>
                    <a:prstGeom prst="rect">
                      <a:avLst/>
                    </a:prstGeom>
                  </pic:spPr>
                </pic:pic>
              </a:graphicData>
            </a:graphic>
          </wp:inline>
        </w:drawing>
      </w:r>
      <w:r w:rsidR="002E6B6E" w:rsidRPr="0032635B">
        <w:rPr>
          <w:rFonts w:ascii="Book Antiqua" w:hAnsi="Book Antiqua" w:cs="Times New Roman"/>
          <w:b/>
          <w:sz w:val="24"/>
          <w:szCs w:val="24"/>
        </w:rPr>
        <w:t>Figure 1</w:t>
      </w:r>
      <w:r w:rsidR="00262C5B" w:rsidRPr="0032635B">
        <w:rPr>
          <w:rFonts w:ascii="Book Antiqua" w:hAnsi="Book Antiqua" w:cs="Times New Roman"/>
          <w:b/>
          <w:sz w:val="24"/>
          <w:szCs w:val="24"/>
        </w:rPr>
        <w:t xml:space="preserve"> Patient</w:t>
      </w:r>
      <w:r w:rsidR="006F59B3" w:rsidRPr="0032635B">
        <w:rPr>
          <w:rFonts w:ascii="Book Antiqua" w:hAnsi="Book Antiqua" w:cs="Times New Roman"/>
          <w:b/>
          <w:sz w:val="24"/>
          <w:szCs w:val="24"/>
        </w:rPr>
        <w:t xml:space="preserve"> flow</w:t>
      </w:r>
      <w:r w:rsidR="00473E0F" w:rsidRPr="0032635B">
        <w:rPr>
          <w:rFonts w:ascii="Book Antiqua" w:eastAsia="宋体" w:hAnsi="Book Antiqua" w:cs="Times New Roman"/>
          <w:b/>
          <w:sz w:val="24"/>
          <w:szCs w:val="24"/>
          <w:lang w:eastAsia="zh-CN"/>
        </w:rPr>
        <w:t>.</w:t>
      </w:r>
    </w:p>
    <w:p w:rsidR="00473E0F" w:rsidRPr="0032635B" w:rsidRDefault="00473E0F" w:rsidP="00C92BD7">
      <w:pPr>
        <w:widowControl/>
        <w:spacing w:line="360" w:lineRule="auto"/>
        <w:rPr>
          <w:rFonts w:ascii="Book Antiqua" w:eastAsia="宋体" w:hAnsi="Book Antiqua" w:cs="Times New Roman"/>
          <w:b/>
          <w:sz w:val="24"/>
          <w:szCs w:val="24"/>
          <w:lang w:eastAsia="zh-CN"/>
        </w:rPr>
      </w:pPr>
    </w:p>
    <w:p w:rsidR="001A5849" w:rsidRPr="00D006AB" w:rsidRDefault="00D006AB" w:rsidP="00C92BD7">
      <w:pPr>
        <w:widowControl/>
        <w:spacing w:line="360" w:lineRule="auto"/>
        <w:rPr>
          <w:rFonts w:ascii="Book Antiqua" w:eastAsia="宋体" w:hAnsi="Book Antiqua" w:cs="Times New Roman"/>
          <w:sz w:val="24"/>
          <w:szCs w:val="24"/>
          <w:lang w:eastAsia="zh-CN"/>
        </w:rPr>
      </w:pPr>
      <w:r>
        <w:rPr>
          <w:rFonts w:ascii="Book Antiqua" w:hAnsi="Book Antiqua" w:cs="Times New Roman"/>
          <w:b/>
          <w:noProof/>
          <w:sz w:val="24"/>
          <w:szCs w:val="24"/>
          <w:lang w:eastAsia="zh-CN"/>
        </w:rPr>
        <w:drawing>
          <wp:inline distT="0" distB="0" distL="0" distR="0" wp14:anchorId="6B8E0C00" wp14:editId="436F59A8">
            <wp:extent cx="5003800" cy="3598545"/>
            <wp:effectExtent l="0" t="0" r="6350" b="190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03800" cy="3598545"/>
                    </a:xfrm>
                    <a:prstGeom prst="rect">
                      <a:avLst/>
                    </a:prstGeom>
                    <a:noFill/>
                    <a:ln>
                      <a:noFill/>
                    </a:ln>
                  </pic:spPr>
                </pic:pic>
              </a:graphicData>
            </a:graphic>
          </wp:inline>
        </w:drawing>
      </w:r>
      <w:proofErr w:type="gramStart"/>
      <w:r w:rsidR="001A5849" w:rsidRPr="0032635B">
        <w:rPr>
          <w:rFonts w:ascii="Book Antiqua" w:hAnsi="Book Antiqua" w:cs="Times New Roman"/>
          <w:b/>
          <w:sz w:val="24"/>
          <w:szCs w:val="24"/>
        </w:rPr>
        <w:t xml:space="preserve">Figure 2 </w:t>
      </w:r>
      <w:r w:rsidR="00473E0F" w:rsidRPr="0032635B">
        <w:rPr>
          <w:rFonts w:ascii="Book Antiqua" w:hAnsi="Book Antiqua" w:cs="Times New Roman"/>
          <w:b/>
          <w:sz w:val="24"/>
          <w:szCs w:val="24"/>
        </w:rPr>
        <w:t xml:space="preserve">Frequency </w:t>
      </w:r>
      <w:r w:rsidR="001A5849" w:rsidRPr="0032635B">
        <w:rPr>
          <w:rFonts w:ascii="Book Antiqua" w:hAnsi="Book Antiqua" w:cs="Times New Roman"/>
          <w:b/>
          <w:sz w:val="24"/>
          <w:szCs w:val="24"/>
        </w:rPr>
        <w:t xml:space="preserve">of heartburn </w:t>
      </w:r>
      <w:r w:rsidR="001A5849" w:rsidRPr="0032635B">
        <w:rPr>
          <w:rFonts w:ascii="Book Antiqua" w:hAnsi="Book Antiqua"/>
          <w:b/>
          <w:sz w:val="24"/>
          <w:szCs w:val="24"/>
        </w:rPr>
        <w:t>evaluated using patient</w:t>
      </w:r>
      <w:r w:rsidR="00262C5B" w:rsidRPr="0032635B">
        <w:rPr>
          <w:rFonts w:ascii="Book Antiqua" w:hAnsi="Book Antiqua"/>
          <w:b/>
          <w:sz w:val="24"/>
          <w:szCs w:val="24"/>
        </w:rPr>
        <w:t>’</w:t>
      </w:r>
      <w:r w:rsidR="001A5849" w:rsidRPr="0032635B">
        <w:rPr>
          <w:rFonts w:ascii="Book Antiqua" w:hAnsi="Book Antiqua"/>
          <w:b/>
          <w:sz w:val="24"/>
          <w:szCs w:val="24"/>
        </w:rPr>
        <w:t xml:space="preserve"> questionnaire</w:t>
      </w:r>
      <w:r w:rsidR="00262C5B" w:rsidRPr="0032635B">
        <w:rPr>
          <w:rFonts w:ascii="Book Antiqua" w:hAnsi="Book Antiqua"/>
          <w:b/>
          <w:sz w:val="24"/>
          <w:szCs w:val="24"/>
        </w:rPr>
        <w:t>s</w:t>
      </w:r>
      <w:r w:rsidR="001A5849" w:rsidRPr="0032635B">
        <w:rPr>
          <w:rFonts w:ascii="Book Antiqua" w:hAnsi="Book Antiqua"/>
          <w:b/>
          <w:sz w:val="24"/>
          <w:szCs w:val="24"/>
        </w:rPr>
        <w:t>.</w:t>
      </w:r>
      <w:proofErr w:type="gramEnd"/>
      <w:r w:rsidR="000124D5" w:rsidRPr="0032635B">
        <w:rPr>
          <w:rFonts w:ascii="Book Antiqua" w:hAnsi="Book Antiqua"/>
          <w:b/>
          <w:sz w:val="24"/>
          <w:szCs w:val="24"/>
        </w:rPr>
        <w:t xml:space="preserve"> </w:t>
      </w:r>
      <w:r w:rsidR="00262C5B" w:rsidRPr="0032635B">
        <w:rPr>
          <w:rFonts w:ascii="Book Antiqua" w:hAnsi="Book Antiqua"/>
          <w:b/>
          <w:sz w:val="24"/>
          <w:szCs w:val="24"/>
        </w:rPr>
        <w:t>D</w:t>
      </w:r>
      <w:r w:rsidR="000124D5" w:rsidRPr="0032635B">
        <w:rPr>
          <w:rFonts w:ascii="Book Antiqua" w:hAnsi="Book Antiqua"/>
          <w:b/>
          <w:sz w:val="24"/>
          <w:szCs w:val="24"/>
        </w:rPr>
        <w:t xml:space="preserve">ata </w:t>
      </w:r>
      <w:r w:rsidR="00262C5B" w:rsidRPr="0032635B">
        <w:rPr>
          <w:rFonts w:ascii="Book Antiqua" w:hAnsi="Book Antiqua"/>
          <w:b/>
          <w:sz w:val="24"/>
          <w:szCs w:val="24"/>
        </w:rPr>
        <w:t>are</w:t>
      </w:r>
      <w:r w:rsidR="000124D5" w:rsidRPr="0032635B">
        <w:rPr>
          <w:rFonts w:ascii="Book Antiqua" w:hAnsi="Book Antiqua"/>
          <w:b/>
          <w:sz w:val="24"/>
          <w:szCs w:val="24"/>
        </w:rPr>
        <w:t xml:space="preserve"> shown as </w:t>
      </w:r>
      <w:r w:rsidR="00262C5B" w:rsidRPr="0032635B">
        <w:rPr>
          <w:rFonts w:ascii="Book Antiqua" w:hAnsi="Book Antiqua"/>
          <w:b/>
          <w:sz w:val="24"/>
          <w:szCs w:val="24"/>
        </w:rPr>
        <w:t xml:space="preserve">a </w:t>
      </w:r>
      <w:r w:rsidR="000124D5" w:rsidRPr="0032635B">
        <w:rPr>
          <w:rFonts w:ascii="Book Antiqua" w:hAnsi="Book Antiqua"/>
          <w:b/>
          <w:sz w:val="24"/>
          <w:szCs w:val="24"/>
        </w:rPr>
        <w:t>boxplot.</w:t>
      </w:r>
      <w:r w:rsidR="001A5849" w:rsidRPr="0032635B">
        <w:rPr>
          <w:rFonts w:ascii="Book Antiqua" w:hAnsi="Book Antiqua"/>
          <w:b/>
          <w:sz w:val="24"/>
          <w:szCs w:val="24"/>
        </w:rPr>
        <w:t xml:space="preserve"> </w:t>
      </w:r>
      <w:r w:rsidR="000124D5" w:rsidRPr="0032635B">
        <w:rPr>
          <w:rFonts w:ascii="Book Antiqua" w:hAnsi="Book Antiqua"/>
          <w:sz w:val="24"/>
          <w:szCs w:val="24"/>
        </w:rPr>
        <w:t>In both group</w:t>
      </w:r>
      <w:r w:rsidR="00262C5B" w:rsidRPr="0032635B">
        <w:rPr>
          <w:rFonts w:ascii="Book Antiqua" w:hAnsi="Book Antiqua"/>
          <w:sz w:val="24"/>
          <w:szCs w:val="24"/>
        </w:rPr>
        <w:t>s</w:t>
      </w:r>
      <w:r w:rsidR="000124D5" w:rsidRPr="0032635B">
        <w:rPr>
          <w:rFonts w:ascii="Book Antiqua" w:hAnsi="Book Antiqua"/>
          <w:sz w:val="24"/>
          <w:szCs w:val="24"/>
        </w:rPr>
        <w:t xml:space="preserve">, </w:t>
      </w:r>
      <w:r w:rsidR="000124D5" w:rsidRPr="0032635B">
        <w:rPr>
          <w:rFonts w:ascii="Book Antiqua" w:hAnsi="Book Antiqua" w:cs="Times New Roman"/>
          <w:sz w:val="24"/>
          <w:szCs w:val="24"/>
        </w:rPr>
        <w:t xml:space="preserve">the frequency of heartburn was </w:t>
      </w:r>
      <w:r w:rsidR="00262C5B" w:rsidRPr="0032635B">
        <w:rPr>
          <w:rFonts w:ascii="Book Antiqua" w:hAnsi="Book Antiqua" w:cs="Times New Roman"/>
          <w:sz w:val="24"/>
          <w:szCs w:val="24"/>
        </w:rPr>
        <w:t>reduced</w:t>
      </w:r>
      <w:r w:rsidR="000124D5" w:rsidRPr="0032635B">
        <w:rPr>
          <w:rFonts w:ascii="Book Antiqua" w:hAnsi="Book Antiqua" w:cs="Times New Roman"/>
          <w:sz w:val="24"/>
          <w:szCs w:val="24"/>
        </w:rPr>
        <w:t xml:space="preserve"> after initial treatment</w:t>
      </w:r>
      <w:r>
        <w:rPr>
          <w:rFonts w:ascii="Book Antiqua" w:eastAsia="宋体" w:hAnsi="Book Antiqua" w:cs="Times New Roman" w:hint="eastAsia"/>
          <w:sz w:val="24"/>
          <w:szCs w:val="24"/>
          <w:lang w:eastAsia="zh-CN"/>
        </w:rPr>
        <w:t>,</w:t>
      </w:r>
      <w:r w:rsidR="00473E0F" w:rsidRPr="0032635B">
        <w:rPr>
          <w:rFonts w:ascii="Book Antiqua" w:hAnsi="Book Antiqua" w:cs="Times New Roman"/>
          <w:sz w:val="24"/>
          <w:szCs w:val="24"/>
        </w:rPr>
        <w:t xml:space="preserve"> </w:t>
      </w:r>
      <w:proofErr w:type="spellStart"/>
      <w:r>
        <w:rPr>
          <w:rFonts w:ascii="Book Antiqua" w:eastAsia="宋体" w:hAnsi="Book Antiqua" w:cs="Times New Roman" w:hint="eastAsia"/>
          <w:sz w:val="24"/>
          <w:szCs w:val="24"/>
          <w:vertAlign w:val="superscript"/>
          <w:lang w:eastAsia="zh-CN"/>
        </w:rPr>
        <w:t>b</w:t>
      </w:r>
      <w:r w:rsidR="0060362A" w:rsidRPr="0032635B">
        <w:rPr>
          <w:rFonts w:ascii="Book Antiqua" w:hAnsi="Book Antiqua" w:cs="Times New Roman"/>
          <w:i/>
          <w:sz w:val="24"/>
          <w:szCs w:val="24"/>
        </w:rPr>
        <w:t>P</w:t>
      </w:r>
      <w:proofErr w:type="spellEnd"/>
      <w:r w:rsidR="00473E0F" w:rsidRPr="0032635B">
        <w:rPr>
          <w:rFonts w:ascii="Book Antiqua" w:eastAsia="宋体" w:hAnsi="Book Antiqua" w:cs="Times New Roman"/>
          <w:sz w:val="24"/>
          <w:szCs w:val="24"/>
          <w:lang w:eastAsia="zh-CN"/>
        </w:rPr>
        <w:t xml:space="preserve"> </w:t>
      </w:r>
      <w:r w:rsidR="0060362A" w:rsidRPr="0032635B">
        <w:rPr>
          <w:rFonts w:ascii="Book Antiqua" w:hAnsi="Book Antiqua" w:cs="Times New Roman"/>
          <w:sz w:val="24"/>
          <w:szCs w:val="24"/>
        </w:rPr>
        <w:t>&lt;</w:t>
      </w:r>
      <w:r w:rsidR="00473E0F" w:rsidRPr="0032635B">
        <w:rPr>
          <w:rFonts w:ascii="Book Antiqua" w:eastAsia="宋体" w:hAnsi="Book Antiqua" w:cs="Times New Roman"/>
          <w:sz w:val="24"/>
          <w:szCs w:val="24"/>
          <w:lang w:eastAsia="zh-CN"/>
        </w:rPr>
        <w:t xml:space="preserve"> </w:t>
      </w:r>
      <w:r w:rsidR="0060362A" w:rsidRPr="0032635B">
        <w:rPr>
          <w:rFonts w:ascii="Book Antiqua" w:hAnsi="Book Antiqua" w:cs="Times New Roman"/>
          <w:sz w:val="24"/>
          <w:szCs w:val="24"/>
        </w:rPr>
        <w:t>0.01</w:t>
      </w:r>
      <w:r>
        <w:rPr>
          <w:rFonts w:ascii="Book Antiqua" w:eastAsia="宋体" w:hAnsi="Book Antiqua" w:cs="Times New Roman" w:hint="eastAsia"/>
          <w:sz w:val="24"/>
          <w:szCs w:val="24"/>
          <w:lang w:eastAsia="zh-CN"/>
        </w:rPr>
        <w:t>.</w:t>
      </w:r>
    </w:p>
    <w:p w:rsidR="00473E0F" w:rsidRPr="0032635B" w:rsidRDefault="00473E0F" w:rsidP="00C92BD7">
      <w:pPr>
        <w:widowControl/>
        <w:spacing w:line="360" w:lineRule="auto"/>
        <w:rPr>
          <w:rFonts w:ascii="Book Antiqua" w:eastAsia="宋体" w:hAnsi="Book Antiqua" w:cs="Times New Roman"/>
          <w:sz w:val="24"/>
          <w:szCs w:val="24"/>
          <w:lang w:eastAsia="zh-CN"/>
        </w:rPr>
      </w:pPr>
    </w:p>
    <w:p w:rsidR="000D394F" w:rsidRPr="0032635B" w:rsidRDefault="000D394F" w:rsidP="00C92BD7">
      <w:pPr>
        <w:widowControl/>
        <w:spacing w:line="360" w:lineRule="auto"/>
        <w:rPr>
          <w:rFonts w:ascii="Book Antiqua" w:eastAsia="宋体" w:hAnsi="Book Antiqua" w:cs="Times New Roman"/>
          <w:b/>
          <w:sz w:val="24"/>
          <w:szCs w:val="24"/>
          <w:lang w:eastAsia="zh-CN"/>
        </w:rPr>
      </w:pPr>
      <w:r w:rsidRPr="0032635B">
        <w:rPr>
          <w:rFonts w:ascii="Book Antiqua" w:hAnsi="Book Antiqua"/>
          <w:noProof/>
          <w:sz w:val="24"/>
          <w:szCs w:val="24"/>
          <w:lang w:eastAsia="zh-CN"/>
        </w:rPr>
        <w:drawing>
          <wp:inline distT="0" distB="0" distL="0" distR="0" wp14:anchorId="21CF4D09" wp14:editId="28CB254B">
            <wp:extent cx="4600575" cy="3390900"/>
            <wp:effectExtent l="0" t="0" r="952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600575" cy="3390900"/>
                    </a:xfrm>
                    <a:prstGeom prst="rect">
                      <a:avLst/>
                    </a:prstGeom>
                  </pic:spPr>
                </pic:pic>
              </a:graphicData>
            </a:graphic>
          </wp:inline>
        </w:drawing>
      </w:r>
    </w:p>
    <w:p w:rsidR="000124D5" w:rsidRPr="0032635B" w:rsidRDefault="000124D5" w:rsidP="00C92BD7">
      <w:pPr>
        <w:widowControl/>
        <w:spacing w:line="360" w:lineRule="auto"/>
        <w:rPr>
          <w:rFonts w:ascii="Book Antiqua" w:eastAsia="宋体" w:hAnsi="Book Antiqua"/>
          <w:sz w:val="24"/>
          <w:szCs w:val="24"/>
          <w:lang w:eastAsia="zh-CN"/>
        </w:rPr>
      </w:pPr>
      <w:r w:rsidRPr="0032635B">
        <w:rPr>
          <w:rFonts w:ascii="Book Antiqua" w:hAnsi="Book Antiqua" w:cs="Times New Roman"/>
          <w:b/>
          <w:sz w:val="24"/>
          <w:szCs w:val="24"/>
        </w:rPr>
        <w:t xml:space="preserve">Figure 3 </w:t>
      </w:r>
      <w:r w:rsidR="00473E0F" w:rsidRPr="0032635B">
        <w:rPr>
          <w:rFonts w:ascii="Book Antiqua" w:hAnsi="Book Antiqua" w:cs="Times New Roman"/>
          <w:b/>
          <w:sz w:val="24"/>
          <w:szCs w:val="24"/>
        </w:rPr>
        <w:t xml:space="preserve">Change </w:t>
      </w:r>
      <w:r w:rsidRPr="0032635B">
        <w:rPr>
          <w:rFonts w:ascii="Book Antiqua" w:hAnsi="Book Antiqua" w:cs="Times New Roman"/>
          <w:b/>
          <w:sz w:val="24"/>
          <w:szCs w:val="24"/>
        </w:rPr>
        <w:t>in heartburn frequency</w:t>
      </w:r>
      <w:r w:rsidR="0060362A" w:rsidRPr="0032635B">
        <w:rPr>
          <w:rFonts w:ascii="Book Antiqua" w:hAnsi="Book Antiqua" w:cs="Times New Roman"/>
          <w:b/>
          <w:sz w:val="24"/>
          <w:szCs w:val="24"/>
        </w:rPr>
        <w:t xml:space="preserve"> after initial treatment. </w:t>
      </w:r>
      <w:r w:rsidR="00262C5B" w:rsidRPr="0032635B">
        <w:rPr>
          <w:rFonts w:ascii="Book Antiqua" w:hAnsi="Book Antiqua"/>
          <w:sz w:val="24"/>
          <w:szCs w:val="24"/>
        </w:rPr>
        <w:t>D</w:t>
      </w:r>
      <w:r w:rsidR="0060362A" w:rsidRPr="0032635B">
        <w:rPr>
          <w:rFonts w:ascii="Book Antiqua" w:hAnsi="Book Antiqua"/>
          <w:sz w:val="24"/>
          <w:szCs w:val="24"/>
        </w:rPr>
        <w:t xml:space="preserve">ata </w:t>
      </w:r>
      <w:r w:rsidR="00262C5B" w:rsidRPr="0032635B">
        <w:rPr>
          <w:rFonts w:ascii="Book Antiqua" w:hAnsi="Book Antiqua"/>
          <w:sz w:val="24"/>
          <w:szCs w:val="24"/>
        </w:rPr>
        <w:t>are</w:t>
      </w:r>
      <w:r w:rsidR="0060362A" w:rsidRPr="0032635B">
        <w:rPr>
          <w:rFonts w:ascii="Book Antiqua" w:hAnsi="Book Antiqua"/>
          <w:sz w:val="24"/>
          <w:szCs w:val="24"/>
        </w:rPr>
        <w:t xml:space="preserve"> shown as </w:t>
      </w:r>
      <w:r w:rsidR="00262C5B" w:rsidRPr="0032635B">
        <w:rPr>
          <w:rFonts w:ascii="Book Antiqua" w:hAnsi="Book Antiqua"/>
          <w:sz w:val="24"/>
          <w:szCs w:val="24"/>
        </w:rPr>
        <w:t xml:space="preserve">a </w:t>
      </w:r>
      <w:r w:rsidR="0060362A" w:rsidRPr="0032635B">
        <w:rPr>
          <w:rFonts w:ascii="Book Antiqua" w:hAnsi="Book Antiqua"/>
          <w:sz w:val="24"/>
          <w:szCs w:val="24"/>
        </w:rPr>
        <w:t xml:space="preserve">boxplot. There </w:t>
      </w:r>
      <w:r w:rsidR="00262C5B" w:rsidRPr="0032635B">
        <w:rPr>
          <w:rFonts w:ascii="Book Antiqua" w:hAnsi="Book Antiqua"/>
          <w:sz w:val="24"/>
          <w:szCs w:val="24"/>
        </w:rPr>
        <w:t>were</w:t>
      </w:r>
      <w:r w:rsidR="00426066" w:rsidRPr="0032635B">
        <w:rPr>
          <w:rFonts w:ascii="Book Antiqua" w:hAnsi="Book Antiqua"/>
          <w:sz w:val="24"/>
          <w:szCs w:val="24"/>
        </w:rPr>
        <w:t xml:space="preserve"> no</w:t>
      </w:r>
      <w:r w:rsidR="0060362A" w:rsidRPr="0032635B">
        <w:rPr>
          <w:rFonts w:ascii="Book Antiqua" w:hAnsi="Book Antiqua"/>
          <w:sz w:val="24"/>
          <w:szCs w:val="24"/>
        </w:rPr>
        <w:t xml:space="preserve"> significan</w:t>
      </w:r>
      <w:r w:rsidR="00426066" w:rsidRPr="0032635B">
        <w:rPr>
          <w:rFonts w:ascii="Book Antiqua" w:hAnsi="Book Antiqua"/>
          <w:sz w:val="24"/>
          <w:szCs w:val="24"/>
        </w:rPr>
        <w:t>t</w:t>
      </w:r>
      <w:r w:rsidR="0060362A" w:rsidRPr="0032635B">
        <w:rPr>
          <w:rFonts w:ascii="Book Antiqua" w:hAnsi="Book Antiqua"/>
          <w:sz w:val="24"/>
          <w:szCs w:val="24"/>
        </w:rPr>
        <w:t xml:space="preserve"> </w:t>
      </w:r>
      <w:r w:rsidR="00426066" w:rsidRPr="0032635B">
        <w:rPr>
          <w:rFonts w:ascii="Book Antiqua" w:hAnsi="Book Antiqua"/>
          <w:sz w:val="24"/>
          <w:szCs w:val="24"/>
        </w:rPr>
        <w:t xml:space="preserve">difference </w:t>
      </w:r>
      <w:r w:rsidR="0060362A" w:rsidRPr="0032635B">
        <w:rPr>
          <w:rFonts w:ascii="Book Antiqua" w:hAnsi="Book Antiqua"/>
          <w:sz w:val="24"/>
          <w:szCs w:val="24"/>
        </w:rPr>
        <w:t xml:space="preserve">between the </w:t>
      </w:r>
      <w:proofErr w:type="spellStart"/>
      <w:r w:rsidR="0060362A" w:rsidRPr="0032635B">
        <w:rPr>
          <w:rFonts w:ascii="Book Antiqua" w:hAnsi="Book Antiqua"/>
          <w:sz w:val="24"/>
          <w:szCs w:val="24"/>
        </w:rPr>
        <w:t>lafutidine</w:t>
      </w:r>
      <w:proofErr w:type="spellEnd"/>
      <w:r w:rsidR="0060362A" w:rsidRPr="0032635B">
        <w:rPr>
          <w:rFonts w:ascii="Book Antiqua" w:hAnsi="Book Antiqua"/>
          <w:sz w:val="24"/>
          <w:szCs w:val="24"/>
        </w:rPr>
        <w:t xml:space="preserve"> group and the </w:t>
      </w:r>
      <w:proofErr w:type="spellStart"/>
      <w:r w:rsidR="0060362A" w:rsidRPr="0032635B">
        <w:rPr>
          <w:rFonts w:ascii="Book Antiqua" w:hAnsi="Book Antiqua"/>
          <w:sz w:val="24"/>
          <w:szCs w:val="24"/>
        </w:rPr>
        <w:t>lansoprazole</w:t>
      </w:r>
      <w:proofErr w:type="spellEnd"/>
      <w:r w:rsidR="0060362A" w:rsidRPr="0032635B">
        <w:rPr>
          <w:rFonts w:ascii="Book Antiqua" w:hAnsi="Book Antiqua"/>
          <w:sz w:val="24"/>
          <w:szCs w:val="24"/>
        </w:rPr>
        <w:t xml:space="preserve"> group (</w:t>
      </w:r>
      <w:r w:rsidR="0060362A" w:rsidRPr="0032635B">
        <w:rPr>
          <w:rFonts w:ascii="Book Antiqua" w:hAnsi="Book Antiqua"/>
          <w:i/>
          <w:sz w:val="24"/>
          <w:szCs w:val="24"/>
        </w:rPr>
        <w:t>P</w:t>
      </w:r>
      <w:r w:rsidR="000D394F" w:rsidRPr="0032635B">
        <w:rPr>
          <w:rFonts w:ascii="Book Antiqua" w:eastAsia="宋体" w:hAnsi="Book Antiqua"/>
          <w:sz w:val="24"/>
          <w:szCs w:val="24"/>
          <w:lang w:eastAsia="zh-CN"/>
        </w:rPr>
        <w:t xml:space="preserve"> </w:t>
      </w:r>
      <w:r w:rsidR="0060362A" w:rsidRPr="0032635B">
        <w:rPr>
          <w:rFonts w:ascii="Book Antiqua" w:hAnsi="Book Antiqua"/>
          <w:sz w:val="24"/>
          <w:szCs w:val="24"/>
        </w:rPr>
        <w:t>=</w:t>
      </w:r>
      <w:r w:rsidR="000D394F" w:rsidRPr="0032635B">
        <w:rPr>
          <w:rFonts w:ascii="Book Antiqua" w:eastAsia="宋体" w:hAnsi="Book Antiqua"/>
          <w:sz w:val="24"/>
          <w:szCs w:val="24"/>
          <w:lang w:eastAsia="zh-CN"/>
        </w:rPr>
        <w:t xml:space="preserve"> </w:t>
      </w:r>
      <w:r w:rsidR="0060362A" w:rsidRPr="0032635B">
        <w:rPr>
          <w:rFonts w:ascii="Book Antiqua" w:hAnsi="Book Antiqua"/>
          <w:sz w:val="24"/>
          <w:szCs w:val="24"/>
        </w:rPr>
        <w:t xml:space="preserve">0.26). </w:t>
      </w:r>
    </w:p>
    <w:p w:rsidR="00473E0F" w:rsidRPr="0032635B" w:rsidRDefault="00473E0F" w:rsidP="00C92BD7">
      <w:pPr>
        <w:widowControl/>
        <w:spacing w:line="360" w:lineRule="auto"/>
        <w:rPr>
          <w:rFonts w:ascii="Book Antiqua" w:eastAsia="宋体" w:hAnsi="Book Antiqua" w:cs="Times New Roman"/>
          <w:sz w:val="24"/>
          <w:szCs w:val="24"/>
          <w:lang w:eastAsia="zh-CN"/>
        </w:rPr>
      </w:pPr>
    </w:p>
    <w:p w:rsidR="000D394F" w:rsidRPr="0032635B" w:rsidRDefault="000D394F" w:rsidP="00C92BD7">
      <w:pPr>
        <w:widowControl/>
        <w:spacing w:line="360" w:lineRule="auto"/>
        <w:rPr>
          <w:rFonts w:ascii="Book Antiqua" w:eastAsia="宋体" w:hAnsi="Book Antiqua" w:cs="Times New Roman"/>
          <w:b/>
          <w:sz w:val="24"/>
          <w:szCs w:val="24"/>
          <w:lang w:eastAsia="zh-CN"/>
        </w:rPr>
      </w:pPr>
      <w:r w:rsidRPr="0032635B">
        <w:rPr>
          <w:rFonts w:ascii="Book Antiqua" w:hAnsi="Book Antiqua"/>
          <w:noProof/>
          <w:sz w:val="24"/>
          <w:szCs w:val="24"/>
          <w:lang w:eastAsia="zh-CN"/>
        </w:rPr>
        <w:drawing>
          <wp:inline distT="0" distB="0" distL="0" distR="0" wp14:anchorId="14626B9E" wp14:editId="1EC736CF">
            <wp:extent cx="4410075" cy="2600325"/>
            <wp:effectExtent l="0" t="0" r="9525" b="952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410075" cy="2600325"/>
                    </a:xfrm>
                    <a:prstGeom prst="rect">
                      <a:avLst/>
                    </a:prstGeom>
                  </pic:spPr>
                </pic:pic>
              </a:graphicData>
            </a:graphic>
          </wp:inline>
        </w:drawing>
      </w:r>
    </w:p>
    <w:p w:rsidR="006F59B3" w:rsidRPr="0032635B" w:rsidRDefault="006F59B3" w:rsidP="00C92BD7">
      <w:pPr>
        <w:widowControl/>
        <w:spacing w:line="360" w:lineRule="auto"/>
        <w:rPr>
          <w:rFonts w:ascii="Book Antiqua" w:eastAsia="宋体" w:hAnsi="Book Antiqua"/>
          <w:sz w:val="24"/>
          <w:szCs w:val="24"/>
          <w:lang w:eastAsia="zh-CN"/>
        </w:rPr>
      </w:pPr>
      <w:r w:rsidRPr="0032635B">
        <w:rPr>
          <w:rFonts w:ascii="Book Antiqua" w:hAnsi="Book Antiqua" w:cs="Times New Roman"/>
          <w:b/>
          <w:sz w:val="24"/>
          <w:szCs w:val="24"/>
        </w:rPr>
        <w:lastRenderedPageBreak/>
        <w:t xml:space="preserve">Figure </w:t>
      </w:r>
      <w:r w:rsidR="001A5849" w:rsidRPr="0032635B">
        <w:rPr>
          <w:rFonts w:ascii="Book Antiqua" w:hAnsi="Book Antiqua" w:cs="Times New Roman"/>
          <w:b/>
          <w:sz w:val="24"/>
          <w:szCs w:val="24"/>
        </w:rPr>
        <w:t>4</w:t>
      </w:r>
      <w:r w:rsidRPr="0032635B">
        <w:rPr>
          <w:rFonts w:ascii="Book Antiqua" w:hAnsi="Book Antiqua" w:cs="Times New Roman"/>
          <w:b/>
          <w:sz w:val="24"/>
          <w:szCs w:val="24"/>
        </w:rPr>
        <w:t xml:space="preserve"> </w:t>
      </w:r>
      <w:r w:rsidR="00473E0F" w:rsidRPr="0032635B">
        <w:rPr>
          <w:rFonts w:ascii="Book Antiqua" w:hAnsi="Book Antiqua"/>
          <w:b/>
          <w:sz w:val="24"/>
          <w:szCs w:val="24"/>
        </w:rPr>
        <w:t xml:space="preserve">Severity </w:t>
      </w:r>
      <w:r w:rsidRPr="0032635B">
        <w:rPr>
          <w:rFonts w:ascii="Book Antiqua" w:hAnsi="Book Antiqua"/>
          <w:b/>
          <w:sz w:val="24"/>
          <w:szCs w:val="24"/>
        </w:rPr>
        <w:t xml:space="preserve">of heartburn evaluated using </w:t>
      </w:r>
      <w:r w:rsidR="008913E9" w:rsidRPr="0032635B">
        <w:rPr>
          <w:rFonts w:ascii="Book Antiqua" w:hAnsi="Book Antiqua"/>
          <w:b/>
          <w:sz w:val="24"/>
          <w:szCs w:val="24"/>
        </w:rPr>
        <w:t xml:space="preserve">visual analog scale </w:t>
      </w:r>
      <w:r w:rsidR="00262C5B" w:rsidRPr="0032635B">
        <w:rPr>
          <w:rFonts w:ascii="Book Antiqua" w:hAnsi="Book Antiqua"/>
          <w:b/>
          <w:sz w:val="24"/>
          <w:szCs w:val="24"/>
        </w:rPr>
        <w:t>scores</w:t>
      </w:r>
      <w:r w:rsidRPr="0032635B">
        <w:rPr>
          <w:rFonts w:ascii="Book Antiqua" w:hAnsi="Book Antiqua"/>
          <w:b/>
          <w:sz w:val="24"/>
          <w:szCs w:val="24"/>
        </w:rPr>
        <w:t xml:space="preserve">. </w:t>
      </w:r>
      <w:r w:rsidR="00262C5B" w:rsidRPr="0032635B">
        <w:rPr>
          <w:rFonts w:ascii="Book Antiqua" w:hAnsi="Book Antiqua"/>
          <w:sz w:val="24"/>
          <w:szCs w:val="24"/>
        </w:rPr>
        <w:t>D</w:t>
      </w:r>
      <w:r w:rsidRPr="0032635B">
        <w:rPr>
          <w:rFonts w:ascii="Book Antiqua" w:hAnsi="Book Antiqua"/>
          <w:sz w:val="24"/>
          <w:szCs w:val="24"/>
        </w:rPr>
        <w:t xml:space="preserve">ata </w:t>
      </w:r>
      <w:r w:rsidR="00262C5B" w:rsidRPr="0032635B">
        <w:rPr>
          <w:rFonts w:ascii="Book Antiqua" w:hAnsi="Book Antiqua"/>
          <w:sz w:val="24"/>
          <w:szCs w:val="24"/>
        </w:rPr>
        <w:t>are</w:t>
      </w:r>
      <w:r w:rsidRPr="0032635B">
        <w:rPr>
          <w:rFonts w:ascii="Book Antiqua" w:hAnsi="Book Antiqua"/>
          <w:sz w:val="24"/>
          <w:szCs w:val="24"/>
        </w:rPr>
        <w:t xml:space="preserve"> </w:t>
      </w:r>
      <w:r w:rsidR="00262C5B" w:rsidRPr="0032635B">
        <w:rPr>
          <w:rFonts w:ascii="Book Antiqua" w:hAnsi="Book Antiqua"/>
          <w:sz w:val="24"/>
          <w:szCs w:val="24"/>
        </w:rPr>
        <w:t>expressed</w:t>
      </w:r>
      <w:r w:rsidRPr="0032635B">
        <w:rPr>
          <w:rFonts w:ascii="Book Antiqua" w:hAnsi="Book Antiqua"/>
          <w:sz w:val="24"/>
          <w:szCs w:val="24"/>
        </w:rPr>
        <w:t xml:space="preserve"> as mean</w:t>
      </w:r>
      <w:r w:rsidR="00262C5B" w:rsidRPr="0032635B">
        <w:rPr>
          <w:rFonts w:ascii="Book Antiqua" w:hAnsi="Book Antiqua"/>
          <w:sz w:val="24"/>
          <w:szCs w:val="24"/>
        </w:rPr>
        <w:t>s</w:t>
      </w:r>
      <w:r w:rsidRPr="0032635B">
        <w:rPr>
          <w:rFonts w:ascii="Book Antiqua" w:hAnsi="Book Antiqua"/>
          <w:sz w:val="24"/>
          <w:szCs w:val="24"/>
        </w:rPr>
        <w:t xml:space="preserve"> ± </w:t>
      </w:r>
      <w:r w:rsidR="00473E0F" w:rsidRPr="0032635B">
        <w:rPr>
          <w:rFonts w:ascii="Book Antiqua" w:eastAsia="宋体" w:hAnsi="Book Antiqua"/>
          <w:sz w:val="24"/>
          <w:szCs w:val="24"/>
          <w:lang w:eastAsia="zh-CN"/>
        </w:rPr>
        <w:t>SE</w:t>
      </w:r>
      <w:r w:rsidRPr="0032635B">
        <w:rPr>
          <w:rFonts w:ascii="Book Antiqua" w:hAnsi="Book Antiqua"/>
          <w:sz w:val="24"/>
          <w:szCs w:val="24"/>
        </w:rPr>
        <w:t xml:space="preserve">. VAS scores in </w:t>
      </w:r>
      <w:r w:rsidR="00262C5B" w:rsidRPr="0032635B">
        <w:rPr>
          <w:rFonts w:ascii="Book Antiqua" w:hAnsi="Book Antiqua"/>
          <w:sz w:val="24"/>
          <w:szCs w:val="24"/>
        </w:rPr>
        <w:t xml:space="preserve">the </w:t>
      </w:r>
      <w:proofErr w:type="spellStart"/>
      <w:r w:rsidRPr="0032635B">
        <w:rPr>
          <w:rFonts w:ascii="Book Antiqua" w:hAnsi="Book Antiqua"/>
          <w:sz w:val="24"/>
          <w:szCs w:val="24"/>
        </w:rPr>
        <w:t>lafutidine</w:t>
      </w:r>
      <w:proofErr w:type="spellEnd"/>
      <w:r w:rsidRPr="0032635B">
        <w:rPr>
          <w:rFonts w:ascii="Book Antiqua" w:hAnsi="Book Antiqua"/>
          <w:sz w:val="24"/>
          <w:szCs w:val="24"/>
        </w:rPr>
        <w:t xml:space="preserve"> group were significantly worse than in </w:t>
      </w:r>
      <w:r w:rsidR="00262C5B" w:rsidRPr="0032635B">
        <w:rPr>
          <w:rFonts w:ascii="Book Antiqua" w:hAnsi="Book Antiqua"/>
          <w:sz w:val="24"/>
          <w:szCs w:val="24"/>
        </w:rPr>
        <w:t xml:space="preserve">the </w:t>
      </w:r>
      <w:proofErr w:type="spellStart"/>
      <w:r w:rsidRPr="0032635B">
        <w:rPr>
          <w:rFonts w:ascii="Book Antiqua" w:hAnsi="Book Antiqua"/>
          <w:sz w:val="24"/>
          <w:szCs w:val="24"/>
        </w:rPr>
        <w:t>lansoprazole</w:t>
      </w:r>
      <w:proofErr w:type="spellEnd"/>
      <w:r w:rsidRPr="0032635B">
        <w:rPr>
          <w:rFonts w:ascii="Book Antiqua" w:hAnsi="Book Antiqua"/>
          <w:sz w:val="24"/>
          <w:szCs w:val="24"/>
        </w:rPr>
        <w:t xml:space="preserve"> group (</w:t>
      </w:r>
      <w:r w:rsidRPr="0032635B">
        <w:rPr>
          <w:rFonts w:ascii="Book Antiqua" w:hAnsi="Book Antiqua"/>
          <w:i/>
          <w:sz w:val="24"/>
          <w:szCs w:val="24"/>
        </w:rPr>
        <w:t>P</w:t>
      </w:r>
      <w:r w:rsidR="00473E0F" w:rsidRPr="0032635B">
        <w:rPr>
          <w:rFonts w:ascii="Book Antiqua" w:eastAsia="宋体" w:hAnsi="Book Antiqua"/>
          <w:sz w:val="24"/>
          <w:szCs w:val="24"/>
          <w:lang w:eastAsia="zh-CN"/>
        </w:rPr>
        <w:t xml:space="preserve"> </w:t>
      </w:r>
      <w:r w:rsidRPr="0032635B">
        <w:rPr>
          <w:rFonts w:ascii="Book Antiqua" w:hAnsi="Book Antiqua"/>
          <w:sz w:val="24"/>
          <w:szCs w:val="24"/>
        </w:rPr>
        <w:t>=</w:t>
      </w:r>
      <w:r w:rsidR="00473E0F" w:rsidRPr="0032635B">
        <w:rPr>
          <w:rFonts w:ascii="Book Antiqua" w:eastAsia="宋体" w:hAnsi="Book Antiqua"/>
          <w:sz w:val="24"/>
          <w:szCs w:val="24"/>
          <w:lang w:eastAsia="zh-CN"/>
        </w:rPr>
        <w:t xml:space="preserve"> </w:t>
      </w:r>
      <w:r w:rsidRPr="0032635B">
        <w:rPr>
          <w:rFonts w:ascii="Book Antiqua" w:hAnsi="Book Antiqua"/>
          <w:sz w:val="24"/>
          <w:szCs w:val="24"/>
        </w:rPr>
        <w:t>0.016, ANOVA for repeated measures).</w:t>
      </w:r>
    </w:p>
    <w:p w:rsidR="00473E0F" w:rsidRPr="0032635B" w:rsidRDefault="00473E0F" w:rsidP="00C92BD7">
      <w:pPr>
        <w:widowControl/>
        <w:spacing w:line="360" w:lineRule="auto"/>
        <w:rPr>
          <w:rFonts w:ascii="Book Antiqua" w:eastAsia="宋体" w:hAnsi="Book Antiqua" w:cs="Times New Roman"/>
          <w:sz w:val="24"/>
          <w:szCs w:val="24"/>
          <w:lang w:eastAsia="zh-CN"/>
        </w:rPr>
      </w:pPr>
    </w:p>
    <w:p w:rsidR="000D394F" w:rsidRPr="0032635B" w:rsidRDefault="000D394F" w:rsidP="00C92BD7">
      <w:pPr>
        <w:widowControl/>
        <w:spacing w:line="360" w:lineRule="auto"/>
        <w:rPr>
          <w:rFonts w:ascii="Book Antiqua" w:eastAsia="宋体" w:hAnsi="Book Antiqua"/>
          <w:b/>
          <w:sz w:val="24"/>
          <w:szCs w:val="24"/>
          <w:lang w:eastAsia="zh-CN"/>
        </w:rPr>
      </w:pPr>
      <w:r w:rsidRPr="0032635B">
        <w:rPr>
          <w:rFonts w:ascii="Book Antiqua" w:hAnsi="Book Antiqua"/>
          <w:noProof/>
          <w:sz w:val="24"/>
          <w:szCs w:val="24"/>
          <w:lang w:eastAsia="zh-CN"/>
        </w:rPr>
        <w:drawing>
          <wp:inline distT="0" distB="0" distL="0" distR="0" wp14:anchorId="5B8E75B2" wp14:editId="034606FC">
            <wp:extent cx="4381500" cy="2562225"/>
            <wp:effectExtent l="0" t="0" r="0" b="952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381500" cy="2562225"/>
                    </a:xfrm>
                    <a:prstGeom prst="rect">
                      <a:avLst/>
                    </a:prstGeom>
                  </pic:spPr>
                </pic:pic>
              </a:graphicData>
            </a:graphic>
          </wp:inline>
        </w:drawing>
      </w:r>
    </w:p>
    <w:p w:rsidR="006F59B3" w:rsidRPr="0032635B" w:rsidRDefault="006F59B3" w:rsidP="00C92BD7">
      <w:pPr>
        <w:widowControl/>
        <w:spacing w:line="360" w:lineRule="auto"/>
        <w:rPr>
          <w:rFonts w:ascii="Book Antiqua" w:eastAsia="宋体" w:hAnsi="Book Antiqua"/>
          <w:sz w:val="24"/>
          <w:szCs w:val="24"/>
          <w:lang w:eastAsia="zh-CN"/>
        </w:rPr>
      </w:pPr>
      <w:r w:rsidRPr="0032635B">
        <w:rPr>
          <w:rFonts w:ascii="Book Antiqua" w:hAnsi="Book Antiqua"/>
          <w:b/>
          <w:sz w:val="24"/>
          <w:szCs w:val="24"/>
        </w:rPr>
        <w:t xml:space="preserve">Figure </w:t>
      </w:r>
      <w:r w:rsidR="001A5849" w:rsidRPr="0032635B">
        <w:rPr>
          <w:rFonts w:ascii="Book Antiqua" w:hAnsi="Book Antiqua"/>
          <w:b/>
          <w:sz w:val="24"/>
          <w:szCs w:val="24"/>
        </w:rPr>
        <w:t>5</w:t>
      </w:r>
      <w:r w:rsidRPr="0032635B">
        <w:rPr>
          <w:rFonts w:ascii="Book Antiqua" w:hAnsi="Book Antiqua"/>
          <w:b/>
          <w:sz w:val="24"/>
          <w:szCs w:val="24"/>
        </w:rPr>
        <w:t xml:space="preserve"> </w:t>
      </w:r>
      <w:r w:rsidR="00473E0F" w:rsidRPr="0032635B">
        <w:rPr>
          <w:rFonts w:ascii="Book Antiqua" w:hAnsi="Book Antiqua"/>
          <w:b/>
          <w:sz w:val="24"/>
          <w:szCs w:val="24"/>
        </w:rPr>
        <w:t xml:space="preserve">Sum </w:t>
      </w:r>
      <w:r w:rsidRPr="0032635B">
        <w:rPr>
          <w:rFonts w:ascii="Book Antiqua" w:hAnsi="Book Antiqua"/>
          <w:b/>
          <w:sz w:val="24"/>
          <w:szCs w:val="24"/>
        </w:rPr>
        <w:t xml:space="preserve">score of question 2 and question 3 in </w:t>
      </w:r>
      <w:r w:rsidR="00262C5B" w:rsidRPr="0032635B">
        <w:rPr>
          <w:rFonts w:ascii="Book Antiqua" w:hAnsi="Book Antiqua"/>
          <w:b/>
          <w:sz w:val="24"/>
          <w:szCs w:val="24"/>
        </w:rPr>
        <w:t xml:space="preserve">the </w:t>
      </w:r>
      <w:r w:rsidRPr="0032635B">
        <w:rPr>
          <w:rFonts w:ascii="Book Antiqua" w:hAnsi="Book Antiqua"/>
          <w:b/>
          <w:sz w:val="24"/>
          <w:szCs w:val="24"/>
        </w:rPr>
        <w:t xml:space="preserve">GSRS score. </w:t>
      </w:r>
      <w:r w:rsidR="00262C5B" w:rsidRPr="0032635B">
        <w:rPr>
          <w:rFonts w:ascii="Book Antiqua" w:hAnsi="Book Antiqua"/>
          <w:sz w:val="24"/>
          <w:szCs w:val="24"/>
        </w:rPr>
        <w:t>D</w:t>
      </w:r>
      <w:r w:rsidRPr="0032635B">
        <w:rPr>
          <w:rFonts w:ascii="Book Antiqua" w:hAnsi="Book Antiqua"/>
          <w:sz w:val="24"/>
          <w:szCs w:val="24"/>
        </w:rPr>
        <w:t xml:space="preserve">ata </w:t>
      </w:r>
      <w:r w:rsidR="00262C5B" w:rsidRPr="0032635B">
        <w:rPr>
          <w:rFonts w:ascii="Book Antiqua" w:hAnsi="Book Antiqua"/>
          <w:sz w:val="24"/>
          <w:szCs w:val="24"/>
        </w:rPr>
        <w:t>are</w:t>
      </w:r>
      <w:r w:rsidRPr="0032635B">
        <w:rPr>
          <w:rFonts w:ascii="Book Antiqua" w:hAnsi="Book Antiqua"/>
          <w:sz w:val="24"/>
          <w:szCs w:val="24"/>
        </w:rPr>
        <w:t xml:space="preserve"> </w:t>
      </w:r>
      <w:r w:rsidR="00262C5B" w:rsidRPr="0032635B">
        <w:rPr>
          <w:rFonts w:ascii="Book Antiqua" w:hAnsi="Book Antiqua"/>
          <w:sz w:val="24"/>
          <w:szCs w:val="24"/>
        </w:rPr>
        <w:t>expressed</w:t>
      </w:r>
      <w:r w:rsidRPr="0032635B">
        <w:rPr>
          <w:rFonts w:ascii="Book Antiqua" w:hAnsi="Book Antiqua"/>
          <w:sz w:val="24"/>
          <w:szCs w:val="24"/>
        </w:rPr>
        <w:t xml:space="preserve"> as mean</w:t>
      </w:r>
      <w:r w:rsidR="00262C5B" w:rsidRPr="0032635B">
        <w:rPr>
          <w:rFonts w:ascii="Book Antiqua" w:hAnsi="Book Antiqua"/>
          <w:sz w:val="24"/>
          <w:szCs w:val="24"/>
        </w:rPr>
        <w:t>s</w:t>
      </w:r>
      <w:r w:rsidRPr="0032635B">
        <w:rPr>
          <w:rFonts w:ascii="Book Antiqua" w:hAnsi="Book Antiqua"/>
          <w:sz w:val="24"/>
          <w:szCs w:val="24"/>
        </w:rPr>
        <w:t xml:space="preserve"> ± </w:t>
      </w:r>
      <w:r w:rsidR="00473E0F" w:rsidRPr="0032635B">
        <w:rPr>
          <w:rFonts w:ascii="Book Antiqua" w:eastAsia="宋体" w:hAnsi="Book Antiqua"/>
          <w:sz w:val="24"/>
          <w:szCs w:val="24"/>
          <w:lang w:eastAsia="zh-CN"/>
        </w:rPr>
        <w:t>SE</w:t>
      </w:r>
      <w:r w:rsidRPr="0032635B">
        <w:rPr>
          <w:rFonts w:ascii="Book Antiqua" w:hAnsi="Book Antiqua"/>
          <w:sz w:val="24"/>
          <w:szCs w:val="24"/>
        </w:rPr>
        <w:t xml:space="preserve">. VAS scores in </w:t>
      </w:r>
      <w:r w:rsidR="00262C5B" w:rsidRPr="0032635B">
        <w:rPr>
          <w:rFonts w:ascii="Book Antiqua" w:hAnsi="Book Antiqua"/>
          <w:sz w:val="24"/>
          <w:szCs w:val="24"/>
        </w:rPr>
        <w:t xml:space="preserve">the </w:t>
      </w:r>
      <w:proofErr w:type="spellStart"/>
      <w:r w:rsidRPr="0032635B">
        <w:rPr>
          <w:rFonts w:ascii="Book Antiqua" w:hAnsi="Book Antiqua"/>
          <w:sz w:val="24"/>
          <w:szCs w:val="24"/>
        </w:rPr>
        <w:t>lafutidine</w:t>
      </w:r>
      <w:proofErr w:type="spellEnd"/>
      <w:r w:rsidRPr="0032635B">
        <w:rPr>
          <w:rFonts w:ascii="Book Antiqua" w:hAnsi="Book Antiqua"/>
          <w:sz w:val="24"/>
          <w:szCs w:val="24"/>
        </w:rPr>
        <w:t xml:space="preserve"> group were significantly worse than in </w:t>
      </w:r>
      <w:r w:rsidR="00262C5B" w:rsidRPr="0032635B">
        <w:rPr>
          <w:rFonts w:ascii="Book Antiqua" w:hAnsi="Book Antiqua"/>
          <w:sz w:val="24"/>
          <w:szCs w:val="24"/>
        </w:rPr>
        <w:t xml:space="preserve">the </w:t>
      </w:r>
      <w:proofErr w:type="spellStart"/>
      <w:r w:rsidRPr="0032635B">
        <w:rPr>
          <w:rFonts w:ascii="Book Antiqua" w:hAnsi="Book Antiqua"/>
          <w:sz w:val="24"/>
          <w:szCs w:val="24"/>
        </w:rPr>
        <w:t>lansoprazole</w:t>
      </w:r>
      <w:proofErr w:type="spellEnd"/>
      <w:r w:rsidRPr="0032635B">
        <w:rPr>
          <w:rFonts w:ascii="Book Antiqua" w:hAnsi="Book Antiqua"/>
          <w:sz w:val="24"/>
          <w:szCs w:val="24"/>
        </w:rPr>
        <w:t xml:space="preserve"> group (</w:t>
      </w:r>
      <w:r w:rsidRPr="0032635B">
        <w:rPr>
          <w:rFonts w:ascii="Book Antiqua" w:hAnsi="Book Antiqua"/>
          <w:i/>
          <w:sz w:val="24"/>
          <w:szCs w:val="24"/>
        </w:rPr>
        <w:t>P</w:t>
      </w:r>
      <w:r w:rsidR="00473E0F" w:rsidRPr="0032635B">
        <w:rPr>
          <w:rFonts w:ascii="Book Antiqua" w:eastAsia="宋体" w:hAnsi="Book Antiqua"/>
          <w:sz w:val="24"/>
          <w:szCs w:val="24"/>
          <w:lang w:eastAsia="zh-CN"/>
        </w:rPr>
        <w:t xml:space="preserve"> </w:t>
      </w:r>
      <w:r w:rsidRPr="0032635B">
        <w:rPr>
          <w:rFonts w:ascii="Book Antiqua" w:hAnsi="Book Antiqua"/>
          <w:sz w:val="24"/>
          <w:szCs w:val="24"/>
        </w:rPr>
        <w:t>=</w:t>
      </w:r>
      <w:r w:rsidR="00473E0F" w:rsidRPr="0032635B">
        <w:rPr>
          <w:rFonts w:ascii="Book Antiqua" w:eastAsia="宋体" w:hAnsi="Book Antiqua"/>
          <w:sz w:val="24"/>
          <w:szCs w:val="24"/>
          <w:lang w:eastAsia="zh-CN"/>
        </w:rPr>
        <w:t xml:space="preserve"> </w:t>
      </w:r>
      <w:r w:rsidRPr="0032635B">
        <w:rPr>
          <w:rFonts w:ascii="Book Antiqua" w:hAnsi="Book Antiqua"/>
          <w:sz w:val="24"/>
          <w:szCs w:val="24"/>
        </w:rPr>
        <w:t>0.0068, ANOVA for repeated measures).</w:t>
      </w:r>
    </w:p>
    <w:p w:rsidR="00473E0F" w:rsidRPr="0032635B" w:rsidRDefault="00473E0F" w:rsidP="00C92BD7">
      <w:pPr>
        <w:widowControl/>
        <w:spacing w:line="360" w:lineRule="auto"/>
        <w:rPr>
          <w:rFonts w:ascii="Book Antiqua" w:eastAsia="宋体" w:hAnsi="Book Antiqua"/>
          <w:sz w:val="24"/>
          <w:szCs w:val="24"/>
          <w:lang w:eastAsia="zh-CN"/>
        </w:rPr>
      </w:pPr>
    </w:p>
    <w:p w:rsidR="000D394F" w:rsidRPr="0032635B" w:rsidRDefault="000D394F" w:rsidP="00C92BD7">
      <w:pPr>
        <w:widowControl/>
        <w:spacing w:line="360" w:lineRule="auto"/>
        <w:rPr>
          <w:rFonts w:ascii="Book Antiqua" w:eastAsia="宋体" w:hAnsi="Book Antiqua"/>
          <w:b/>
          <w:sz w:val="24"/>
          <w:szCs w:val="24"/>
          <w:lang w:eastAsia="zh-CN"/>
        </w:rPr>
      </w:pPr>
      <w:r w:rsidRPr="0032635B">
        <w:rPr>
          <w:rFonts w:ascii="Book Antiqua" w:hAnsi="Book Antiqua"/>
          <w:noProof/>
          <w:sz w:val="24"/>
          <w:szCs w:val="24"/>
          <w:lang w:eastAsia="zh-CN"/>
        </w:rPr>
        <w:lastRenderedPageBreak/>
        <w:drawing>
          <wp:inline distT="0" distB="0" distL="0" distR="0" wp14:anchorId="30869271" wp14:editId="35ACC8ED">
            <wp:extent cx="4600575" cy="2514600"/>
            <wp:effectExtent l="0" t="0" r="952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4600575" cy="2514600"/>
                    </a:xfrm>
                    <a:prstGeom prst="rect">
                      <a:avLst/>
                    </a:prstGeom>
                  </pic:spPr>
                </pic:pic>
              </a:graphicData>
            </a:graphic>
          </wp:inline>
        </w:drawing>
      </w:r>
    </w:p>
    <w:p w:rsidR="00D63ACF" w:rsidRPr="0032635B" w:rsidRDefault="006F59B3" w:rsidP="00C92BD7">
      <w:pPr>
        <w:widowControl/>
        <w:spacing w:line="360" w:lineRule="auto"/>
        <w:rPr>
          <w:rFonts w:ascii="Book Antiqua" w:hAnsi="Book Antiqua"/>
          <w:sz w:val="24"/>
          <w:szCs w:val="24"/>
        </w:rPr>
      </w:pPr>
      <w:r w:rsidRPr="0032635B">
        <w:rPr>
          <w:rFonts w:ascii="Book Antiqua" w:hAnsi="Book Antiqua"/>
          <w:b/>
          <w:sz w:val="24"/>
          <w:szCs w:val="24"/>
        </w:rPr>
        <w:t xml:space="preserve">Figure </w:t>
      </w:r>
      <w:r w:rsidR="001A5849" w:rsidRPr="0032635B">
        <w:rPr>
          <w:rFonts w:ascii="Book Antiqua" w:hAnsi="Book Antiqua"/>
          <w:b/>
          <w:sz w:val="24"/>
          <w:szCs w:val="24"/>
        </w:rPr>
        <w:t>6</w:t>
      </w:r>
      <w:r w:rsidRPr="0032635B">
        <w:rPr>
          <w:rFonts w:ascii="Book Antiqua" w:hAnsi="Book Antiqua"/>
          <w:b/>
          <w:sz w:val="24"/>
          <w:szCs w:val="24"/>
        </w:rPr>
        <w:t xml:space="preserve"> </w:t>
      </w:r>
      <w:r w:rsidR="00473E0F" w:rsidRPr="0032635B">
        <w:rPr>
          <w:rFonts w:ascii="Book Antiqua" w:hAnsi="Book Antiqua"/>
          <w:b/>
          <w:sz w:val="24"/>
          <w:szCs w:val="24"/>
        </w:rPr>
        <w:t xml:space="preserve">Satisfaction </w:t>
      </w:r>
      <w:r w:rsidRPr="0032635B">
        <w:rPr>
          <w:rFonts w:ascii="Book Antiqua" w:hAnsi="Book Antiqua"/>
          <w:b/>
          <w:sz w:val="24"/>
          <w:szCs w:val="24"/>
        </w:rPr>
        <w:t xml:space="preserve">score </w:t>
      </w:r>
      <w:r w:rsidR="00F85668" w:rsidRPr="0032635B">
        <w:rPr>
          <w:rFonts w:ascii="Book Antiqua" w:hAnsi="Book Antiqua"/>
          <w:b/>
          <w:sz w:val="24"/>
          <w:szCs w:val="24"/>
        </w:rPr>
        <w:t xml:space="preserve">evaluated using </w:t>
      </w:r>
      <w:r w:rsidR="000D394F" w:rsidRPr="0032635B">
        <w:rPr>
          <w:rFonts w:ascii="Book Antiqua" w:hAnsi="Book Antiqua"/>
          <w:b/>
          <w:sz w:val="24"/>
          <w:szCs w:val="24"/>
        </w:rPr>
        <w:t xml:space="preserve">visual analog scale </w:t>
      </w:r>
      <w:r w:rsidR="00262C5B" w:rsidRPr="0032635B">
        <w:rPr>
          <w:rFonts w:ascii="Book Antiqua" w:hAnsi="Book Antiqua"/>
          <w:b/>
          <w:sz w:val="24"/>
          <w:szCs w:val="24"/>
        </w:rPr>
        <w:t>scores.</w:t>
      </w:r>
      <w:r w:rsidR="00262C5B" w:rsidRPr="0032635B">
        <w:rPr>
          <w:rFonts w:ascii="Book Antiqua" w:hAnsi="Book Antiqua"/>
          <w:sz w:val="24"/>
          <w:szCs w:val="24"/>
        </w:rPr>
        <w:t xml:space="preserve"> D</w:t>
      </w:r>
      <w:r w:rsidR="00F85668" w:rsidRPr="0032635B">
        <w:rPr>
          <w:rFonts w:ascii="Book Antiqua" w:hAnsi="Book Antiqua"/>
          <w:sz w:val="24"/>
          <w:szCs w:val="24"/>
        </w:rPr>
        <w:t xml:space="preserve">ata </w:t>
      </w:r>
      <w:r w:rsidR="00262C5B" w:rsidRPr="0032635B">
        <w:rPr>
          <w:rFonts w:ascii="Book Antiqua" w:hAnsi="Book Antiqua"/>
          <w:sz w:val="24"/>
          <w:szCs w:val="24"/>
        </w:rPr>
        <w:t>are</w:t>
      </w:r>
      <w:r w:rsidR="00F85668" w:rsidRPr="0032635B">
        <w:rPr>
          <w:rFonts w:ascii="Book Antiqua" w:hAnsi="Book Antiqua"/>
          <w:sz w:val="24"/>
          <w:szCs w:val="24"/>
        </w:rPr>
        <w:t xml:space="preserve"> </w:t>
      </w:r>
      <w:r w:rsidR="00262C5B" w:rsidRPr="0032635B">
        <w:rPr>
          <w:rFonts w:ascii="Book Antiqua" w:hAnsi="Book Antiqua"/>
          <w:sz w:val="24"/>
          <w:szCs w:val="24"/>
        </w:rPr>
        <w:t>expressed</w:t>
      </w:r>
      <w:r w:rsidR="00F85668" w:rsidRPr="0032635B">
        <w:rPr>
          <w:rFonts w:ascii="Book Antiqua" w:hAnsi="Book Antiqua"/>
          <w:sz w:val="24"/>
          <w:szCs w:val="24"/>
        </w:rPr>
        <w:t xml:space="preserve"> as mean</w:t>
      </w:r>
      <w:r w:rsidR="00262C5B" w:rsidRPr="0032635B">
        <w:rPr>
          <w:rFonts w:ascii="Book Antiqua" w:hAnsi="Book Antiqua"/>
          <w:sz w:val="24"/>
          <w:szCs w:val="24"/>
        </w:rPr>
        <w:t>s</w:t>
      </w:r>
      <w:r w:rsidR="00F85668" w:rsidRPr="0032635B">
        <w:rPr>
          <w:rFonts w:ascii="Book Antiqua" w:hAnsi="Book Antiqua"/>
          <w:sz w:val="24"/>
          <w:szCs w:val="24"/>
        </w:rPr>
        <w:t xml:space="preserve"> ± </w:t>
      </w:r>
      <w:r w:rsidR="00473E0F" w:rsidRPr="0032635B">
        <w:rPr>
          <w:rFonts w:ascii="Book Antiqua" w:eastAsia="宋体" w:hAnsi="Book Antiqua"/>
          <w:sz w:val="24"/>
          <w:szCs w:val="24"/>
          <w:lang w:eastAsia="zh-CN"/>
        </w:rPr>
        <w:t>SE</w:t>
      </w:r>
      <w:r w:rsidR="00F85668" w:rsidRPr="0032635B">
        <w:rPr>
          <w:rFonts w:ascii="Book Antiqua" w:hAnsi="Book Antiqua"/>
          <w:sz w:val="24"/>
          <w:szCs w:val="24"/>
        </w:rPr>
        <w:t xml:space="preserve">. VAS scores in </w:t>
      </w:r>
      <w:r w:rsidR="00262C5B" w:rsidRPr="0032635B">
        <w:rPr>
          <w:rFonts w:ascii="Book Antiqua" w:hAnsi="Book Antiqua"/>
          <w:sz w:val="24"/>
          <w:szCs w:val="24"/>
        </w:rPr>
        <w:t xml:space="preserve">the </w:t>
      </w:r>
      <w:proofErr w:type="spellStart"/>
      <w:r w:rsidR="00F85668" w:rsidRPr="0032635B">
        <w:rPr>
          <w:rFonts w:ascii="Book Antiqua" w:hAnsi="Book Antiqua"/>
          <w:sz w:val="24"/>
          <w:szCs w:val="24"/>
        </w:rPr>
        <w:t>lafutidine</w:t>
      </w:r>
      <w:proofErr w:type="spellEnd"/>
      <w:r w:rsidR="00F85668" w:rsidRPr="0032635B">
        <w:rPr>
          <w:rFonts w:ascii="Book Antiqua" w:hAnsi="Book Antiqua"/>
          <w:sz w:val="24"/>
          <w:szCs w:val="24"/>
        </w:rPr>
        <w:t xml:space="preserve"> group were significantly worse than </w:t>
      </w:r>
      <w:r w:rsidR="00262C5B" w:rsidRPr="0032635B">
        <w:rPr>
          <w:rFonts w:ascii="Book Antiqua" w:hAnsi="Book Antiqua"/>
          <w:sz w:val="24"/>
          <w:szCs w:val="24"/>
        </w:rPr>
        <w:t>the</w:t>
      </w:r>
      <w:r w:rsidR="00F85668" w:rsidRPr="0032635B">
        <w:rPr>
          <w:rFonts w:ascii="Book Antiqua" w:hAnsi="Book Antiqua"/>
          <w:sz w:val="24"/>
          <w:szCs w:val="24"/>
        </w:rPr>
        <w:t xml:space="preserve"> </w:t>
      </w:r>
      <w:proofErr w:type="spellStart"/>
      <w:r w:rsidR="00F85668" w:rsidRPr="0032635B">
        <w:rPr>
          <w:rFonts w:ascii="Book Antiqua" w:hAnsi="Book Antiqua"/>
          <w:sz w:val="24"/>
          <w:szCs w:val="24"/>
        </w:rPr>
        <w:t>lansoprazole</w:t>
      </w:r>
      <w:proofErr w:type="spellEnd"/>
      <w:r w:rsidR="00F85668" w:rsidRPr="0032635B">
        <w:rPr>
          <w:rFonts w:ascii="Book Antiqua" w:hAnsi="Book Antiqua"/>
          <w:sz w:val="24"/>
          <w:szCs w:val="24"/>
        </w:rPr>
        <w:t xml:space="preserve"> group (</w:t>
      </w:r>
      <w:r w:rsidR="00F85668" w:rsidRPr="0032635B">
        <w:rPr>
          <w:rFonts w:ascii="Book Antiqua" w:hAnsi="Book Antiqua"/>
          <w:i/>
          <w:sz w:val="24"/>
          <w:szCs w:val="24"/>
        </w:rPr>
        <w:t>P</w:t>
      </w:r>
      <w:r w:rsidR="00473E0F" w:rsidRPr="0032635B">
        <w:rPr>
          <w:rFonts w:ascii="Book Antiqua" w:eastAsia="宋体" w:hAnsi="Book Antiqua"/>
          <w:sz w:val="24"/>
          <w:szCs w:val="24"/>
          <w:lang w:eastAsia="zh-CN"/>
        </w:rPr>
        <w:t xml:space="preserve"> </w:t>
      </w:r>
      <w:r w:rsidR="00F85668" w:rsidRPr="0032635B">
        <w:rPr>
          <w:rFonts w:ascii="Book Antiqua" w:hAnsi="Book Antiqua"/>
          <w:sz w:val="24"/>
          <w:szCs w:val="24"/>
        </w:rPr>
        <w:t>=</w:t>
      </w:r>
      <w:r w:rsidR="00473E0F" w:rsidRPr="0032635B">
        <w:rPr>
          <w:rFonts w:ascii="Book Antiqua" w:eastAsia="宋体" w:hAnsi="Book Antiqua"/>
          <w:sz w:val="24"/>
          <w:szCs w:val="24"/>
          <w:lang w:eastAsia="zh-CN"/>
        </w:rPr>
        <w:t xml:space="preserve"> </w:t>
      </w:r>
      <w:r w:rsidR="00F85668" w:rsidRPr="0032635B">
        <w:rPr>
          <w:rFonts w:ascii="Book Antiqua" w:hAnsi="Book Antiqua"/>
          <w:sz w:val="24"/>
          <w:szCs w:val="24"/>
        </w:rPr>
        <w:t>0.0048, ANOVA for repeated measures).</w:t>
      </w:r>
    </w:p>
    <w:p w:rsidR="00D63ACF" w:rsidRPr="0032635B" w:rsidRDefault="00D63ACF" w:rsidP="00C92BD7">
      <w:pPr>
        <w:widowControl/>
        <w:spacing w:line="360" w:lineRule="auto"/>
        <w:rPr>
          <w:rFonts w:ascii="Book Antiqua" w:hAnsi="Book Antiqua"/>
          <w:sz w:val="24"/>
          <w:szCs w:val="24"/>
        </w:rPr>
      </w:pPr>
      <w:r w:rsidRPr="0032635B">
        <w:rPr>
          <w:rFonts w:ascii="Book Antiqua" w:hAnsi="Book Antiqua"/>
          <w:sz w:val="24"/>
          <w:szCs w:val="24"/>
        </w:rPr>
        <w:br w:type="page"/>
      </w:r>
    </w:p>
    <w:p w:rsidR="00F85668" w:rsidRPr="0032635B" w:rsidRDefault="00473E0F" w:rsidP="00C92BD7">
      <w:pPr>
        <w:spacing w:line="360" w:lineRule="auto"/>
        <w:rPr>
          <w:rFonts w:ascii="Book Antiqua" w:eastAsia="宋体" w:hAnsi="Book Antiqua" w:cs="Times New Roman"/>
          <w:b/>
          <w:sz w:val="24"/>
          <w:szCs w:val="24"/>
          <w:lang w:eastAsia="zh-CN"/>
        </w:rPr>
      </w:pPr>
      <w:r w:rsidRPr="0032635B">
        <w:rPr>
          <w:rFonts w:ascii="Book Antiqua" w:hAnsi="Book Antiqua" w:cs="Times New Roman"/>
          <w:b/>
          <w:sz w:val="24"/>
          <w:szCs w:val="24"/>
        </w:rPr>
        <w:lastRenderedPageBreak/>
        <w:t>Table 1</w:t>
      </w:r>
      <w:r w:rsidRPr="0032635B">
        <w:rPr>
          <w:rFonts w:ascii="Book Antiqua" w:eastAsia="宋体" w:hAnsi="Book Antiqua" w:cs="Times New Roman"/>
          <w:b/>
          <w:sz w:val="24"/>
          <w:szCs w:val="24"/>
          <w:lang w:eastAsia="zh-CN"/>
        </w:rPr>
        <w:t xml:space="preserve"> </w:t>
      </w:r>
      <w:r w:rsidR="00F85668" w:rsidRPr="0032635B">
        <w:rPr>
          <w:rFonts w:ascii="Book Antiqua" w:hAnsi="Book Antiqua"/>
          <w:b/>
          <w:sz w:val="24"/>
          <w:szCs w:val="24"/>
        </w:rPr>
        <w:t>Patients´ clinical characteristics</w:t>
      </w:r>
      <w:r w:rsidR="00420B22" w:rsidRPr="0032635B">
        <w:rPr>
          <w:rFonts w:ascii="Book Antiqua" w:eastAsia="宋体" w:hAnsi="Book Antiqua"/>
          <w:b/>
          <w:sz w:val="24"/>
          <w:szCs w:val="24"/>
          <w:lang w:eastAsia="zh-CN"/>
        </w:rPr>
        <w:t xml:space="preserve"> </w:t>
      </w:r>
      <w:r w:rsidR="00420B22" w:rsidRPr="0032635B">
        <w:rPr>
          <w:rFonts w:ascii="Book Antiqua" w:eastAsia="宋体" w:hAnsi="Book Antiqua"/>
          <w:b/>
          <w:i/>
          <w:sz w:val="24"/>
          <w:szCs w:val="24"/>
          <w:lang w:eastAsia="zh-CN"/>
        </w:rPr>
        <w:t>n</w:t>
      </w:r>
      <w:r w:rsidR="00420B22" w:rsidRPr="0032635B">
        <w:rPr>
          <w:rFonts w:ascii="Book Antiqua" w:eastAsia="宋体" w:hAnsi="Book Antiqua"/>
          <w:b/>
          <w:sz w:val="24"/>
          <w:szCs w:val="24"/>
          <w:lang w:eastAsia="zh-CN"/>
        </w:rPr>
        <w:t xml:space="preserve"> (%)</w:t>
      </w:r>
    </w:p>
    <w:tbl>
      <w:tblPr>
        <w:tblW w:w="10065" w:type="dxa"/>
        <w:tblInd w:w="-318" w:type="dxa"/>
        <w:tblBorders>
          <w:top w:val="single" w:sz="4" w:space="0" w:color="auto"/>
          <w:bottom w:val="single" w:sz="4" w:space="0" w:color="auto"/>
        </w:tblBorders>
        <w:tblLayout w:type="fixed"/>
        <w:tblLook w:val="0000" w:firstRow="0" w:lastRow="0" w:firstColumn="0" w:lastColumn="0" w:noHBand="0" w:noVBand="0"/>
      </w:tblPr>
      <w:tblGrid>
        <w:gridCol w:w="284"/>
        <w:gridCol w:w="2384"/>
        <w:gridCol w:w="735"/>
        <w:gridCol w:w="1559"/>
        <w:gridCol w:w="1276"/>
        <w:gridCol w:w="1134"/>
        <w:gridCol w:w="1276"/>
        <w:gridCol w:w="1417"/>
      </w:tblGrid>
      <w:tr w:rsidR="00F85668" w:rsidRPr="0032635B" w:rsidTr="008913E9">
        <w:trPr>
          <w:trHeight w:val="823"/>
        </w:trPr>
        <w:tc>
          <w:tcPr>
            <w:tcW w:w="2668" w:type="dxa"/>
            <w:gridSpan w:val="2"/>
            <w:tcBorders>
              <w:top w:val="single" w:sz="4" w:space="0" w:color="auto"/>
              <w:left w:val="nil"/>
              <w:bottom w:val="single" w:sz="4" w:space="0" w:color="auto"/>
              <w:right w:val="nil"/>
            </w:tcBorders>
            <w:vAlign w:val="center"/>
          </w:tcPr>
          <w:p w:rsidR="00F85668" w:rsidRPr="0032635B" w:rsidRDefault="00F85668" w:rsidP="00C92BD7">
            <w:pPr>
              <w:spacing w:line="360" w:lineRule="auto"/>
              <w:rPr>
                <w:rFonts w:ascii="Book Antiqua" w:hAnsi="Book Antiqua" w:cs="Times New Roman"/>
                <w:sz w:val="24"/>
                <w:szCs w:val="24"/>
              </w:rPr>
            </w:pPr>
          </w:p>
        </w:tc>
        <w:tc>
          <w:tcPr>
            <w:tcW w:w="735" w:type="dxa"/>
            <w:tcBorders>
              <w:top w:val="single" w:sz="4" w:space="0" w:color="auto"/>
              <w:left w:val="nil"/>
              <w:bottom w:val="single" w:sz="4" w:space="0" w:color="auto"/>
              <w:right w:val="nil"/>
            </w:tcBorders>
            <w:vAlign w:val="center"/>
          </w:tcPr>
          <w:p w:rsidR="00F85668" w:rsidRPr="0032635B" w:rsidRDefault="00F85668" w:rsidP="00C92BD7">
            <w:pPr>
              <w:spacing w:line="360" w:lineRule="auto"/>
              <w:rPr>
                <w:rFonts w:ascii="Book Antiqua" w:hAnsi="Book Antiqua" w:cs="Times New Roman"/>
                <w:b/>
                <w:sz w:val="24"/>
                <w:szCs w:val="24"/>
              </w:rPr>
            </w:pPr>
          </w:p>
        </w:tc>
        <w:tc>
          <w:tcPr>
            <w:tcW w:w="2835" w:type="dxa"/>
            <w:gridSpan w:val="2"/>
            <w:tcBorders>
              <w:top w:val="single" w:sz="4" w:space="0" w:color="auto"/>
              <w:left w:val="nil"/>
              <w:bottom w:val="single" w:sz="4" w:space="0" w:color="auto"/>
              <w:right w:val="nil"/>
            </w:tcBorders>
            <w:vAlign w:val="center"/>
          </w:tcPr>
          <w:p w:rsidR="00F85668" w:rsidRPr="0032635B" w:rsidRDefault="00F85668" w:rsidP="00C92BD7">
            <w:pPr>
              <w:spacing w:line="360" w:lineRule="auto"/>
              <w:rPr>
                <w:rFonts w:ascii="Book Antiqua" w:hAnsi="Book Antiqua" w:cs="Times New Roman"/>
                <w:b/>
                <w:sz w:val="24"/>
                <w:szCs w:val="24"/>
              </w:rPr>
            </w:pPr>
            <w:proofErr w:type="spellStart"/>
            <w:r w:rsidRPr="0032635B">
              <w:rPr>
                <w:rFonts w:ascii="Book Antiqua" w:hAnsi="Book Antiqua"/>
                <w:b/>
                <w:sz w:val="24"/>
                <w:szCs w:val="24"/>
              </w:rPr>
              <w:t>Lafutidine</w:t>
            </w:r>
            <w:proofErr w:type="spellEnd"/>
            <w:r w:rsidRPr="0032635B">
              <w:rPr>
                <w:rFonts w:ascii="Book Antiqua" w:hAnsi="Book Antiqua"/>
                <w:b/>
                <w:sz w:val="24"/>
                <w:szCs w:val="24"/>
              </w:rPr>
              <w:t xml:space="preserve"> group</w:t>
            </w:r>
          </w:p>
          <w:p w:rsidR="00F85668" w:rsidRPr="0032635B" w:rsidRDefault="00F85668" w:rsidP="00C92BD7">
            <w:pPr>
              <w:spacing w:line="360" w:lineRule="auto"/>
              <w:rPr>
                <w:rFonts w:ascii="Book Antiqua" w:hAnsi="Book Antiqua" w:cs="Times New Roman"/>
                <w:b/>
                <w:sz w:val="24"/>
                <w:szCs w:val="24"/>
              </w:rPr>
            </w:pPr>
            <w:r w:rsidRPr="0032635B">
              <w:rPr>
                <w:rFonts w:ascii="Book Antiqua" w:hAnsi="Book Antiqua"/>
                <w:b/>
                <w:sz w:val="24"/>
                <w:szCs w:val="24"/>
              </w:rPr>
              <w:t>(</w:t>
            </w:r>
            <w:r w:rsidRPr="0032635B">
              <w:rPr>
                <w:rFonts w:ascii="Book Antiqua" w:hAnsi="Book Antiqua"/>
                <w:b/>
                <w:i/>
                <w:sz w:val="24"/>
                <w:szCs w:val="24"/>
              </w:rPr>
              <w:t xml:space="preserve">n </w:t>
            </w:r>
            <w:r w:rsidRPr="0032635B">
              <w:rPr>
                <w:rFonts w:ascii="Book Antiqua" w:hAnsi="Book Antiqua"/>
                <w:b/>
                <w:sz w:val="24"/>
                <w:szCs w:val="24"/>
              </w:rPr>
              <w:t>= 24)</w:t>
            </w:r>
          </w:p>
        </w:tc>
        <w:tc>
          <w:tcPr>
            <w:tcW w:w="2410" w:type="dxa"/>
            <w:gridSpan w:val="2"/>
            <w:tcBorders>
              <w:top w:val="single" w:sz="4" w:space="0" w:color="auto"/>
              <w:left w:val="nil"/>
              <w:bottom w:val="single" w:sz="4" w:space="0" w:color="auto"/>
              <w:right w:val="nil"/>
            </w:tcBorders>
            <w:vAlign w:val="center"/>
          </w:tcPr>
          <w:p w:rsidR="00F85668" w:rsidRPr="0032635B" w:rsidRDefault="00F85668" w:rsidP="00C92BD7">
            <w:pPr>
              <w:spacing w:line="360" w:lineRule="auto"/>
              <w:rPr>
                <w:rFonts w:ascii="Book Antiqua" w:hAnsi="Book Antiqua" w:cs="Times New Roman"/>
                <w:b/>
                <w:sz w:val="24"/>
                <w:szCs w:val="24"/>
              </w:rPr>
            </w:pPr>
            <w:proofErr w:type="spellStart"/>
            <w:r w:rsidRPr="0032635B">
              <w:rPr>
                <w:rFonts w:ascii="Book Antiqua" w:hAnsi="Book Antiqua"/>
                <w:b/>
                <w:sz w:val="24"/>
                <w:szCs w:val="24"/>
              </w:rPr>
              <w:t>Lansoprazole</w:t>
            </w:r>
            <w:proofErr w:type="spellEnd"/>
            <w:r w:rsidRPr="0032635B">
              <w:rPr>
                <w:rFonts w:ascii="Book Antiqua" w:hAnsi="Book Antiqua"/>
                <w:b/>
                <w:sz w:val="24"/>
                <w:szCs w:val="24"/>
              </w:rPr>
              <w:t xml:space="preserve"> group </w:t>
            </w:r>
          </w:p>
          <w:p w:rsidR="00F85668" w:rsidRPr="0032635B" w:rsidRDefault="00F85668" w:rsidP="00C92BD7">
            <w:pPr>
              <w:spacing w:line="360" w:lineRule="auto"/>
              <w:rPr>
                <w:rFonts w:ascii="Book Antiqua" w:hAnsi="Book Antiqua" w:cs="Times New Roman"/>
                <w:b/>
                <w:sz w:val="24"/>
                <w:szCs w:val="24"/>
              </w:rPr>
            </w:pPr>
            <w:r w:rsidRPr="0032635B">
              <w:rPr>
                <w:rFonts w:ascii="Book Antiqua" w:hAnsi="Book Antiqua"/>
                <w:b/>
                <w:sz w:val="24"/>
                <w:szCs w:val="24"/>
              </w:rPr>
              <w:t>(</w:t>
            </w:r>
            <w:r w:rsidR="00473E0F" w:rsidRPr="0032635B">
              <w:rPr>
                <w:rFonts w:ascii="Book Antiqua" w:hAnsi="Book Antiqua"/>
                <w:b/>
                <w:i/>
                <w:sz w:val="24"/>
                <w:szCs w:val="24"/>
              </w:rPr>
              <w:t>n</w:t>
            </w:r>
            <w:r w:rsidRPr="0032635B">
              <w:rPr>
                <w:rFonts w:ascii="Book Antiqua" w:hAnsi="Book Antiqua"/>
                <w:b/>
                <w:sz w:val="24"/>
                <w:szCs w:val="24"/>
              </w:rPr>
              <w:t xml:space="preserve"> = 29)</w:t>
            </w:r>
          </w:p>
        </w:tc>
        <w:tc>
          <w:tcPr>
            <w:tcW w:w="1417" w:type="dxa"/>
            <w:tcBorders>
              <w:top w:val="single" w:sz="4" w:space="0" w:color="auto"/>
              <w:left w:val="nil"/>
              <w:bottom w:val="single" w:sz="4" w:space="0" w:color="auto"/>
              <w:right w:val="nil"/>
            </w:tcBorders>
            <w:vAlign w:val="center"/>
          </w:tcPr>
          <w:p w:rsidR="00F85668" w:rsidRPr="0032635B" w:rsidRDefault="00F85668" w:rsidP="00C92BD7">
            <w:pPr>
              <w:spacing w:line="360" w:lineRule="auto"/>
              <w:rPr>
                <w:rFonts w:ascii="Book Antiqua" w:eastAsia="宋体" w:hAnsi="Book Antiqua"/>
                <w:b/>
                <w:sz w:val="24"/>
                <w:szCs w:val="24"/>
                <w:lang w:eastAsia="zh-CN"/>
              </w:rPr>
            </w:pPr>
            <w:r w:rsidRPr="0032635B">
              <w:rPr>
                <w:rFonts w:ascii="Book Antiqua" w:hAnsi="Book Antiqua"/>
                <w:b/>
                <w:i/>
                <w:sz w:val="24"/>
                <w:szCs w:val="24"/>
              </w:rPr>
              <w:t>P</w:t>
            </w:r>
            <w:r w:rsidR="00473E0F" w:rsidRPr="0032635B">
              <w:rPr>
                <w:rFonts w:ascii="Book Antiqua" w:eastAsia="宋体" w:hAnsi="Book Antiqua"/>
                <w:b/>
                <w:sz w:val="24"/>
                <w:szCs w:val="24"/>
                <w:lang w:eastAsia="zh-CN"/>
              </w:rPr>
              <w:t xml:space="preserve"> </w:t>
            </w:r>
            <w:proofErr w:type="spellStart"/>
            <w:r w:rsidR="00473E0F" w:rsidRPr="0032635B">
              <w:rPr>
                <w:rFonts w:ascii="Book Antiqua" w:eastAsia="宋体" w:hAnsi="Book Antiqua"/>
                <w:b/>
                <w:sz w:val="24"/>
                <w:szCs w:val="24"/>
                <w:lang w:eastAsia="zh-CN"/>
              </w:rPr>
              <w:t>vaule</w:t>
            </w:r>
            <w:proofErr w:type="spellEnd"/>
          </w:p>
        </w:tc>
      </w:tr>
      <w:tr w:rsidR="00F85668" w:rsidRPr="0032635B" w:rsidTr="008913E9">
        <w:tc>
          <w:tcPr>
            <w:tcW w:w="3403" w:type="dxa"/>
            <w:gridSpan w:val="3"/>
            <w:tcBorders>
              <w:top w:val="single" w:sz="4" w:space="0" w:color="auto"/>
              <w:left w:val="nil"/>
              <w:bottom w:val="nil"/>
              <w:right w:val="nil"/>
            </w:tcBorders>
          </w:tcPr>
          <w:p w:rsidR="00F85668" w:rsidRPr="0032635B" w:rsidRDefault="00F85668" w:rsidP="00C92BD7">
            <w:pPr>
              <w:spacing w:line="360" w:lineRule="auto"/>
              <w:rPr>
                <w:rFonts w:ascii="Book Antiqua" w:hAnsi="Book Antiqua" w:cs="Times New Roman"/>
                <w:sz w:val="24"/>
                <w:szCs w:val="24"/>
              </w:rPr>
            </w:pPr>
            <w:r w:rsidRPr="0032635B">
              <w:rPr>
                <w:rFonts w:ascii="Book Antiqua" w:hAnsi="Book Antiqua"/>
                <w:sz w:val="24"/>
                <w:szCs w:val="24"/>
              </w:rPr>
              <w:t>Age (median, range)</w:t>
            </w:r>
          </w:p>
        </w:tc>
        <w:tc>
          <w:tcPr>
            <w:tcW w:w="2835" w:type="dxa"/>
            <w:gridSpan w:val="2"/>
            <w:tcBorders>
              <w:top w:val="single" w:sz="4" w:space="0" w:color="auto"/>
              <w:left w:val="nil"/>
              <w:bottom w:val="nil"/>
              <w:right w:val="nil"/>
            </w:tcBorders>
          </w:tcPr>
          <w:p w:rsidR="00F85668" w:rsidRPr="0032635B" w:rsidRDefault="00F85668" w:rsidP="00C92BD7">
            <w:pPr>
              <w:spacing w:line="360" w:lineRule="auto"/>
              <w:rPr>
                <w:rFonts w:ascii="Book Antiqua" w:hAnsi="Book Antiqua" w:cs="Times New Roman"/>
                <w:sz w:val="24"/>
                <w:szCs w:val="24"/>
              </w:rPr>
            </w:pPr>
            <w:r w:rsidRPr="0032635B">
              <w:rPr>
                <w:rFonts w:ascii="Book Antiqua" w:hAnsi="Book Antiqua"/>
                <w:sz w:val="24"/>
                <w:szCs w:val="24"/>
              </w:rPr>
              <w:t>64 (27-80)</w:t>
            </w:r>
          </w:p>
        </w:tc>
        <w:tc>
          <w:tcPr>
            <w:tcW w:w="2410" w:type="dxa"/>
            <w:gridSpan w:val="2"/>
            <w:tcBorders>
              <w:top w:val="single" w:sz="4" w:space="0" w:color="auto"/>
              <w:left w:val="nil"/>
              <w:bottom w:val="nil"/>
              <w:right w:val="nil"/>
            </w:tcBorders>
          </w:tcPr>
          <w:p w:rsidR="00F85668" w:rsidRPr="0032635B" w:rsidRDefault="00F85668" w:rsidP="00C92BD7">
            <w:pPr>
              <w:spacing w:line="360" w:lineRule="auto"/>
              <w:rPr>
                <w:rFonts w:ascii="Book Antiqua" w:hAnsi="Book Antiqua" w:cs="Times New Roman"/>
                <w:sz w:val="24"/>
                <w:szCs w:val="24"/>
              </w:rPr>
            </w:pPr>
            <w:r w:rsidRPr="0032635B">
              <w:rPr>
                <w:rFonts w:ascii="Book Antiqua" w:hAnsi="Book Antiqua"/>
                <w:sz w:val="24"/>
                <w:szCs w:val="24"/>
              </w:rPr>
              <w:t>56 (26-85)</w:t>
            </w:r>
          </w:p>
        </w:tc>
        <w:tc>
          <w:tcPr>
            <w:tcW w:w="1417" w:type="dxa"/>
            <w:tcBorders>
              <w:top w:val="single" w:sz="4" w:space="0" w:color="auto"/>
              <w:left w:val="nil"/>
              <w:bottom w:val="nil"/>
              <w:right w:val="nil"/>
            </w:tcBorders>
          </w:tcPr>
          <w:p w:rsidR="00F85668" w:rsidRPr="0032635B" w:rsidRDefault="00F85668" w:rsidP="00C92BD7">
            <w:pPr>
              <w:spacing w:line="360" w:lineRule="auto"/>
              <w:rPr>
                <w:rFonts w:ascii="Book Antiqua" w:hAnsi="Book Antiqua" w:cs="Times New Roman"/>
                <w:sz w:val="24"/>
                <w:szCs w:val="24"/>
              </w:rPr>
            </w:pPr>
            <w:r w:rsidRPr="0032635B">
              <w:rPr>
                <w:rFonts w:ascii="Book Antiqua" w:hAnsi="Book Antiqua" w:cs="Times New Roman"/>
                <w:sz w:val="24"/>
                <w:szCs w:val="24"/>
              </w:rPr>
              <w:t>0.24</w:t>
            </w:r>
          </w:p>
        </w:tc>
      </w:tr>
      <w:tr w:rsidR="00F85668" w:rsidRPr="0032635B" w:rsidTr="008913E9">
        <w:tc>
          <w:tcPr>
            <w:tcW w:w="3403" w:type="dxa"/>
            <w:gridSpan w:val="3"/>
            <w:tcBorders>
              <w:top w:val="nil"/>
              <w:left w:val="nil"/>
              <w:bottom w:val="nil"/>
              <w:right w:val="nil"/>
            </w:tcBorders>
          </w:tcPr>
          <w:p w:rsidR="00F85668" w:rsidRPr="0032635B" w:rsidRDefault="00F85668" w:rsidP="00C92BD7">
            <w:pPr>
              <w:spacing w:line="360" w:lineRule="auto"/>
              <w:rPr>
                <w:rFonts w:ascii="Book Antiqua" w:hAnsi="Book Antiqua" w:cs="Times New Roman"/>
                <w:sz w:val="24"/>
                <w:szCs w:val="24"/>
              </w:rPr>
            </w:pPr>
            <w:r w:rsidRPr="0032635B">
              <w:rPr>
                <w:rFonts w:ascii="Book Antiqua" w:hAnsi="Book Antiqua"/>
                <w:sz w:val="24"/>
                <w:szCs w:val="24"/>
              </w:rPr>
              <w:t>Gender (male/female)</w:t>
            </w:r>
          </w:p>
        </w:tc>
        <w:tc>
          <w:tcPr>
            <w:tcW w:w="2835" w:type="dxa"/>
            <w:gridSpan w:val="2"/>
            <w:tcBorders>
              <w:top w:val="nil"/>
              <w:left w:val="nil"/>
              <w:bottom w:val="nil"/>
              <w:right w:val="nil"/>
            </w:tcBorders>
          </w:tcPr>
          <w:p w:rsidR="00F85668" w:rsidRPr="0032635B" w:rsidRDefault="00F85668" w:rsidP="00C92BD7">
            <w:pPr>
              <w:spacing w:line="360" w:lineRule="auto"/>
              <w:rPr>
                <w:rFonts w:ascii="Book Antiqua" w:hAnsi="Book Antiqua" w:cs="Times New Roman"/>
                <w:sz w:val="24"/>
                <w:szCs w:val="24"/>
              </w:rPr>
            </w:pPr>
            <w:r w:rsidRPr="0032635B">
              <w:rPr>
                <w:rFonts w:ascii="Book Antiqua" w:hAnsi="Book Antiqua"/>
                <w:sz w:val="24"/>
                <w:szCs w:val="24"/>
              </w:rPr>
              <w:t>8/16</w:t>
            </w:r>
          </w:p>
        </w:tc>
        <w:tc>
          <w:tcPr>
            <w:tcW w:w="2410" w:type="dxa"/>
            <w:gridSpan w:val="2"/>
            <w:tcBorders>
              <w:top w:val="nil"/>
              <w:left w:val="nil"/>
              <w:bottom w:val="nil"/>
              <w:right w:val="nil"/>
            </w:tcBorders>
          </w:tcPr>
          <w:p w:rsidR="00F85668" w:rsidRPr="0032635B" w:rsidRDefault="00F85668" w:rsidP="00C92BD7">
            <w:pPr>
              <w:spacing w:line="360" w:lineRule="auto"/>
              <w:rPr>
                <w:rFonts w:ascii="Book Antiqua" w:hAnsi="Book Antiqua" w:cs="Times New Roman"/>
                <w:sz w:val="24"/>
                <w:szCs w:val="24"/>
              </w:rPr>
            </w:pPr>
            <w:r w:rsidRPr="0032635B">
              <w:rPr>
                <w:rFonts w:ascii="Book Antiqua" w:hAnsi="Book Antiqua"/>
                <w:sz w:val="24"/>
                <w:szCs w:val="24"/>
              </w:rPr>
              <w:t>22/7</w:t>
            </w:r>
          </w:p>
        </w:tc>
        <w:tc>
          <w:tcPr>
            <w:tcW w:w="1417" w:type="dxa"/>
            <w:tcBorders>
              <w:top w:val="nil"/>
              <w:left w:val="nil"/>
              <w:bottom w:val="nil"/>
              <w:right w:val="nil"/>
            </w:tcBorders>
          </w:tcPr>
          <w:p w:rsidR="00F85668" w:rsidRPr="0032635B" w:rsidRDefault="00F85668" w:rsidP="00C92BD7">
            <w:pPr>
              <w:spacing w:line="360" w:lineRule="auto"/>
              <w:rPr>
                <w:rFonts w:ascii="Book Antiqua" w:hAnsi="Book Antiqua" w:cs="Times New Roman"/>
                <w:sz w:val="24"/>
                <w:szCs w:val="24"/>
              </w:rPr>
            </w:pPr>
            <w:r w:rsidRPr="0032635B">
              <w:rPr>
                <w:rFonts w:ascii="Book Antiqua" w:hAnsi="Book Antiqua"/>
                <w:sz w:val="24"/>
                <w:szCs w:val="24"/>
              </w:rPr>
              <w:t>0.0025</w:t>
            </w:r>
          </w:p>
        </w:tc>
      </w:tr>
      <w:tr w:rsidR="00420B22" w:rsidRPr="0032635B" w:rsidTr="008913E9">
        <w:tc>
          <w:tcPr>
            <w:tcW w:w="3403" w:type="dxa"/>
            <w:gridSpan w:val="3"/>
            <w:tcBorders>
              <w:top w:val="nil"/>
              <w:left w:val="nil"/>
              <w:bottom w:val="nil"/>
              <w:right w:val="nil"/>
            </w:tcBorders>
          </w:tcPr>
          <w:p w:rsidR="00420B22" w:rsidRPr="0032635B" w:rsidRDefault="00420B22" w:rsidP="00C92BD7">
            <w:pPr>
              <w:spacing w:line="360" w:lineRule="auto"/>
              <w:rPr>
                <w:rFonts w:ascii="Book Antiqua" w:hAnsi="Book Antiqua" w:cs="Times New Roman"/>
                <w:sz w:val="24"/>
                <w:szCs w:val="24"/>
              </w:rPr>
            </w:pPr>
            <w:r w:rsidRPr="0032635B">
              <w:rPr>
                <w:rFonts w:ascii="Book Antiqua" w:hAnsi="Book Antiqua"/>
                <w:sz w:val="24"/>
                <w:szCs w:val="24"/>
              </w:rPr>
              <w:t>Hiatal hernia</w:t>
            </w:r>
          </w:p>
        </w:tc>
        <w:tc>
          <w:tcPr>
            <w:tcW w:w="2835" w:type="dxa"/>
            <w:gridSpan w:val="2"/>
            <w:tcBorders>
              <w:top w:val="nil"/>
              <w:left w:val="nil"/>
              <w:bottom w:val="nil"/>
              <w:right w:val="nil"/>
            </w:tcBorders>
          </w:tcPr>
          <w:p w:rsidR="00420B22" w:rsidRPr="0032635B" w:rsidRDefault="00420B22" w:rsidP="00C92BD7">
            <w:pPr>
              <w:spacing w:line="360" w:lineRule="auto"/>
              <w:rPr>
                <w:rFonts w:ascii="Book Antiqua" w:eastAsia="宋体" w:hAnsi="Book Antiqua" w:cs="Times New Roman"/>
                <w:sz w:val="24"/>
                <w:szCs w:val="24"/>
                <w:lang w:eastAsia="zh-CN"/>
              </w:rPr>
            </w:pPr>
            <w:r w:rsidRPr="0032635B">
              <w:rPr>
                <w:rFonts w:ascii="Book Antiqua" w:hAnsi="Book Antiqua" w:cs="Times New Roman"/>
                <w:sz w:val="24"/>
                <w:szCs w:val="24"/>
              </w:rPr>
              <w:t>13</w:t>
            </w:r>
            <w:r w:rsidRPr="0032635B">
              <w:rPr>
                <w:rFonts w:ascii="Book Antiqua" w:eastAsia="宋体" w:hAnsi="Book Antiqua" w:cs="Times New Roman"/>
                <w:sz w:val="24"/>
                <w:szCs w:val="24"/>
                <w:lang w:eastAsia="zh-CN"/>
              </w:rPr>
              <w:t xml:space="preserve"> </w:t>
            </w:r>
            <w:r w:rsidR="008913E9" w:rsidRPr="0032635B">
              <w:rPr>
                <w:rFonts w:ascii="Book Antiqua" w:hAnsi="Book Antiqua" w:cs="Times New Roman"/>
                <w:sz w:val="24"/>
                <w:szCs w:val="24"/>
              </w:rPr>
              <w:t>(54</w:t>
            </w:r>
            <w:r w:rsidRPr="0032635B">
              <w:rPr>
                <w:rFonts w:ascii="Book Antiqua" w:hAnsi="Book Antiqua" w:cs="Times New Roman"/>
                <w:sz w:val="24"/>
                <w:szCs w:val="24"/>
              </w:rPr>
              <w:t>)</w:t>
            </w:r>
          </w:p>
        </w:tc>
        <w:tc>
          <w:tcPr>
            <w:tcW w:w="2410" w:type="dxa"/>
            <w:gridSpan w:val="2"/>
            <w:tcBorders>
              <w:top w:val="nil"/>
              <w:left w:val="nil"/>
              <w:bottom w:val="nil"/>
              <w:right w:val="nil"/>
            </w:tcBorders>
          </w:tcPr>
          <w:p w:rsidR="00420B22" w:rsidRPr="0032635B" w:rsidRDefault="00420B22" w:rsidP="00C92BD7">
            <w:pPr>
              <w:spacing w:line="360" w:lineRule="auto"/>
              <w:rPr>
                <w:rFonts w:ascii="Book Antiqua" w:hAnsi="Book Antiqua" w:cs="Times New Roman"/>
                <w:sz w:val="24"/>
                <w:szCs w:val="24"/>
              </w:rPr>
            </w:pPr>
            <w:r w:rsidRPr="0032635B">
              <w:rPr>
                <w:rFonts w:ascii="Book Antiqua" w:hAnsi="Book Antiqua" w:cs="Times New Roman"/>
                <w:sz w:val="24"/>
                <w:szCs w:val="24"/>
              </w:rPr>
              <w:t>19</w:t>
            </w:r>
            <w:r w:rsidRPr="0032635B">
              <w:rPr>
                <w:rFonts w:ascii="Book Antiqua" w:eastAsia="宋体" w:hAnsi="Book Antiqua" w:cs="Times New Roman"/>
                <w:sz w:val="24"/>
                <w:szCs w:val="24"/>
                <w:lang w:eastAsia="zh-CN"/>
              </w:rPr>
              <w:t xml:space="preserve"> </w:t>
            </w:r>
            <w:r w:rsidR="008913E9" w:rsidRPr="0032635B">
              <w:rPr>
                <w:rFonts w:ascii="Book Antiqua" w:hAnsi="Book Antiqua" w:cs="Times New Roman"/>
                <w:sz w:val="24"/>
                <w:szCs w:val="24"/>
              </w:rPr>
              <w:t>(66</w:t>
            </w:r>
            <w:r w:rsidRPr="0032635B">
              <w:rPr>
                <w:rFonts w:ascii="Book Antiqua" w:hAnsi="Book Antiqua" w:cs="Times New Roman"/>
                <w:sz w:val="24"/>
                <w:szCs w:val="24"/>
              </w:rPr>
              <w:t>)</w:t>
            </w:r>
          </w:p>
        </w:tc>
        <w:tc>
          <w:tcPr>
            <w:tcW w:w="1417" w:type="dxa"/>
            <w:tcBorders>
              <w:top w:val="nil"/>
              <w:left w:val="nil"/>
              <w:bottom w:val="nil"/>
              <w:right w:val="nil"/>
            </w:tcBorders>
          </w:tcPr>
          <w:p w:rsidR="00420B22" w:rsidRPr="0032635B" w:rsidRDefault="00420B22" w:rsidP="00C92BD7">
            <w:pPr>
              <w:spacing w:line="360" w:lineRule="auto"/>
              <w:rPr>
                <w:rFonts w:ascii="Book Antiqua" w:hAnsi="Book Antiqua" w:cs="Times New Roman"/>
                <w:sz w:val="24"/>
                <w:szCs w:val="24"/>
              </w:rPr>
            </w:pPr>
            <w:r w:rsidRPr="0032635B">
              <w:rPr>
                <w:rFonts w:ascii="Book Antiqua" w:hAnsi="Book Antiqua" w:cs="Times New Roman"/>
                <w:sz w:val="24"/>
                <w:szCs w:val="24"/>
              </w:rPr>
              <w:t>0.57</w:t>
            </w:r>
          </w:p>
        </w:tc>
      </w:tr>
      <w:tr w:rsidR="00420B22" w:rsidRPr="0032635B" w:rsidTr="008913E9">
        <w:trPr>
          <w:trHeight w:val="352"/>
        </w:trPr>
        <w:tc>
          <w:tcPr>
            <w:tcW w:w="3403" w:type="dxa"/>
            <w:gridSpan w:val="3"/>
            <w:tcBorders>
              <w:top w:val="nil"/>
              <w:left w:val="nil"/>
              <w:bottom w:val="nil"/>
              <w:right w:val="nil"/>
            </w:tcBorders>
          </w:tcPr>
          <w:p w:rsidR="00420B22" w:rsidRPr="0032635B" w:rsidRDefault="00420B22" w:rsidP="00C92BD7">
            <w:pPr>
              <w:spacing w:line="360" w:lineRule="auto"/>
              <w:rPr>
                <w:rFonts w:ascii="Book Antiqua" w:hAnsi="Book Antiqua" w:cs="Times New Roman"/>
                <w:sz w:val="24"/>
                <w:szCs w:val="24"/>
              </w:rPr>
            </w:pPr>
            <w:r w:rsidRPr="0032635B">
              <w:rPr>
                <w:rFonts w:ascii="Book Antiqua" w:hAnsi="Book Antiqua"/>
                <w:i/>
                <w:iCs/>
                <w:sz w:val="24"/>
                <w:szCs w:val="24"/>
              </w:rPr>
              <w:t>H. pylori</w:t>
            </w:r>
            <w:r w:rsidRPr="0032635B">
              <w:rPr>
                <w:rFonts w:ascii="Book Antiqua" w:hAnsi="Book Antiqua"/>
                <w:sz w:val="24"/>
                <w:szCs w:val="24"/>
              </w:rPr>
              <w:t xml:space="preserve"> infection</w:t>
            </w:r>
          </w:p>
        </w:tc>
        <w:tc>
          <w:tcPr>
            <w:tcW w:w="2835" w:type="dxa"/>
            <w:gridSpan w:val="2"/>
            <w:tcBorders>
              <w:top w:val="nil"/>
              <w:left w:val="nil"/>
              <w:bottom w:val="nil"/>
              <w:right w:val="nil"/>
            </w:tcBorders>
          </w:tcPr>
          <w:p w:rsidR="00420B22" w:rsidRPr="0032635B" w:rsidRDefault="00420B22" w:rsidP="00C92BD7">
            <w:pPr>
              <w:spacing w:line="360" w:lineRule="auto"/>
              <w:rPr>
                <w:rFonts w:ascii="Book Antiqua" w:hAnsi="Book Antiqua" w:cs="Times New Roman"/>
                <w:sz w:val="24"/>
                <w:szCs w:val="24"/>
              </w:rPr>
            </w:pPr>
            <w:r w:rsidRPr="0032635B">
              <w:rPr>
                <w:rFonts w:ascii="Book Antiqua" w:hAnsi="Book Antiqua" w:cs="Times New Roman"/>
                <w:sz w:val="24"/>
                <w:szCs w:val="24"/>
              </w:rPr>
              <w:t>2</w:t>
            </w:r>
            <w:r w:rsidRPr="0032635B">
              <w:rPr>
                <w:rFonts w:ascii="Book Antiqua" w:eastAsia="宋体" w:hAnsi="Book Antiqua" w:cs="Times New Roman"/>
                <w:sz w:val="24"/>
                <w:szCs w:val="24"/>
                <w:lang w:eastAsia="zh-CN"/>
              </w:rPr>
              <w:t xml:space="preserve"> </w:t>
            </w:r>
            <w:r w:rsidR="008913E9" w:rsidRPr="0032635B">
              <w:rPr>
                <w:rFonts w:ascii="Book Antiqua" w:hAnsi="Book Antiqua" w:cs="Times New Roman"/>
                <w:sz w:val="24"/>
                <w:szCs w:val="24"/>
              </w:rPr>
              <w:t>(8.3</w:t>
            </w:r>
            <w:r w:rsidRPr="0032635B">
              <w:rPr>
                <w:rFonts w:ascii="Book Antiqua" w:hAnsi="Book Antiqua" w:cs="Times New Roman"/>
                <w:sz w:val="24"/>
                <w:szCs w:val="24"/>
              </w:rPr>
              <w:t>)</w:t>
            </w:r>
          </w:p>
        </w:tc>
        <w:tc>
          <w:tcPr>
            <w:tcW w:w="2410" w:type="dxa"/>
            <w:gridSpan w:val="2"/>
            <w:tcBorders>
              <w:top w:val="nil"/>
              <w:left w:val="nil"/>
              <w:bottom w:val="nil"/>
              <w:right w:val="nil"/>
            </w:tcBorders>
          </w:tcPr>
          <w:p w:rsidR="00420B22" w:rsidRPr="0032635B" w:rsidRDefault="00420B22" w:rsidP="00C92BD7">
            <w:pPr>
              <w:spacing w:line="360" w:lineRule="auto"/>
              <w:rPr>
                <w:rFonts w:ascii="Book Antiqua" w:hAnsi="Book Antiqua" w:cs="Times New Roman"/>
                <w:sz w:val="24"/>
                <w:szCs w:val="24"/>
              </w:rPr>
            </w:pPr>
            <w:r w:rsidRPr="0032635B">
              <w:rPr>
                <w:rFonts w:ascii="Book Antiqua" w:hAnsi="Book Antiqua" w:cs="Times New Roman"/>
                <w:sz w:val="24"/>
                <w:szCs w:val="24"/>
              </w:rPr>
              <w:t>3</w:t>
            </w:r>
            <w:r w:rsidRPr="0032635B">
              <w:rPr>
                <w:rFonts w:ascii="Book Antiqua" w:eastAsia="宋体" w:hAnsi="Book Antiqua" w:cs="Times New Roman"/>
                <w:sz w:val="24"/>
                <w:szCs w:val="24"/>
                <w:lang w:eastAsia="zh-CN"/>
              </w:rPr>
              <w:t xml:space="preserve"> </w:t>
            </w:r>
            <w:r w:rsidR="008913E9" w:rsidRPr="0032635B">
              <w:rPr>
                <w:rFonts w:ascii="Book Antiqua" w:hAnsi="Book Antiqua" w:cs="Times New Roman"/>
                <w:sz w:val="24"/>
                <w:szCs w:val="24"/>
              </w:rPr>
              <w:t>(10.3</w:t>
            </w:r>
            <w:r w:rsidRPr="0032635B">
              <w:rPr>
                <w:rFonts w:ascii="Book Antiqua" w:hAnsi="Book Antiqua" w:cs="Times New Roman"/>
                <w:sz w:val="24"/>
                <w:szCs w:val="24"/>
              </w:rPr>
              <w:t>)</w:t>
            </w:r>
          </w:p>
        </w:tc>
        <w:tc>
          <w:tcPr>
            <w:tcW w:w="1417" w:type="dxa"/>
            <w:tcBorders>
              <w:top w:val="nil"/>
              <w:left w:val="nil"/>
              <w:bottom w:val="nil"/>
              <w:right w:val="nil"/>
            </w:tcBorders>
          </w:tcPr>
          <w:p w:rsidR="00420B22" w:rsidRPr="0032635B" w:rsidRDefault="00420B22" w:rsidP="00C92BD7">
            <w:pPr>
              <w:spacing w:line="360" w:lineRule="auto"/>
              <w:rPr>
                <w:rFonts w:ascii="Book Antiqua" w:hAnsi="Book Antiqua" w:cs="Times New Roman"/>
                <w:sz w:val="24"/>
                <w:szCs w:val="24"/>
              </w:rPr>
            </w:pPr>
            <w:r w:rsidRPr="0032635B">
              <w:rPr>
                <w:rFonts w:ascii="Book Antiqua" w:hAnsi="Book Antiqua" w:cs="Times New Roman"/>
                <w:sz w:val="24"/>
                <w:szCs w:val="24"/>
              </w:rPr>
              <w:t>&gt;</w:t>
            </w:r>
            <w:r w:rsidRPr="0032635B">
              <w:rPr>
                <w:rFonts w:ascii="Book Antiqua" w:eastAsia="宋体" w:hAnsi="Book Antiqua" w:cs="Times New Roman"/>
                <w:sz w:val="24"/>
                <w:szCs w:val="24"/>
                <w:lang w:eastAsia="zh-CN"/>
              </w:rPr>
              <w:t xml:space="preserve"> 0</w:t>
            </w:r>
            <w:r w:rsidRPr="0032635B">
              <w:rPr>
                <w:rFonts w:ascii="Book Antiqua" w:hAnsi="Book Antiqua" w:cs="Times New Roman"/>
                <w:sz w:val="24"/>
                <w:szCs w:val="24"/>
              </w:rPr>
              <w:t>.99</w:t>
            </w:r>
          </w:p>
        </w:tc>
      </w:tr>
      <w:tr w:rsidR="00F85668" w:rsidRPr="0032635B" w:rsidTr="008913E9">
        <w:trPr>
          <w:trHeight w:val="352"/>
        </w:trPr>
        <w:tc>
          <w:tcPr>
            <w:tcW w:w="3403" w:type="dxa"/>
            <w:gridSpan w:val="3"/>
            <w:tcBorders>
              <w:top w:val="nil"/>
              <w:left w:val="nil"/>
              <w:bottom w:val="nil"/>
              <w:right w:val="nil"/>
            </w:tcBorders>
          </w:tcPr>
          <w:p w:rsidR="00F85668" w:rsidRPr="0032635B" w:rsidRDefault="00F85668" w:rsidP="00C92BD7">
            <w:pPr>
              <w:spacing w:line="360" w:lineRule="auto"/>
              <w:rPr>
                <w:rFonts w:ascii="Book Antiqua" w:hAnsi="Book Antiqua" w:cs="Times New Roman"/>
                <w:sz w:val="24"/>
                <w:szCs w:val="24"/>
              </w:rPr>
            </w:pPr>
            <w:r w:rsidRPr="0032635B">
              <w:rPr>
                <w:rFonts w:ascii="Book Antiqua" w:hAnsi="Book Antiqua" w:cs="Times New Roman"/>
                <w:sz w:val="24"/>
                <w:szCs w:val="24"/>
              </w:rPr>
              <w:t>Habits</w:t>
            </w:r>
          </w:p>
        </w:tc>
        <w:tc>
          <w:tcPr>
            <w:tcW w:w="2835" w:type="dxa"/>
            <w:gridSpan w:val="2"/>
            <w:tcBorders>
              <w:top w:val="nil"/>
              <w:left w:val="nil"/>
              <w:bottom w:val="nil"/>
              <w:right w:val="nil"/>
            </w:tcBorders>
          </w:tcPr>
          <w:p w:rsidR="00F85668" w:rsidRPr="0032635B" w:rsidRDefault="00F85668" w:rsidP="00C92BD7">
            <w:pPr>
              <w:spacing w:line="360" w:lineRule="auto"/>
              <w:rPr>
                <w:rFonts w:ascii="Book Antiqua" w:hAnsi="Book Antiqua" w:cs="Times New Roman"/>
                <w:sz w:val="24"/>
                <w:szCs w:val="24"/>
              </w:rPr>
            </w:pPr>
          </w:p>
        </w:tc>
        <w:tc>
          <w:tcPr>
            <w:tcW w:w="2410" w:type="dxa"/>
            <w:gridSpan w:val="2"/>
            <w:tcBorders>
              <w:top w:val="nil"/>
              <w:left w:val="nil"/>
              <w:bottom w:val="nil"/>
              <w:right w:val="nil"/>
            </w:tcBorders>
          </w:tcPr>
          <w:p w:rsidR="00F85668" w:rsidRPr="0032635B" w:rsidRDefault="00F85668" w:rsidP="00C92BD7">
            <w:pPr>
              <w:spacing w:line="360" w:lineRule="auto"/>
              <w:rPr>
                <w:rFonts w:ascii="Book Antiqua" w:hAnsi="Book Antiqua" w:cs="Times New Roman"/>
                <w:sz w:val="24"/>
                <w:szCs w:val="24"/>
              </w:rPr>
            </w:pPr>
          </w:p>
        </w:tc>
        <w:tc>
          <w:tcPr>
            <w:tcW w:w="1417" w:type="dxa"/>
            <w:tcBorders>
              <w:top w:val="nil"/>
              <w:left w:val="nil"/>
              <w:bottom w:val="nil"/>
              <w:right w:val="nil"/>
            </w:tcBorders>
          </w:tcPr>
          <w:p w:rsidR="00F85668" w:rsidRPr="0032635B" w:rsidRDefault="00F85668" w:rsidP="00C92BD7">
            <w:pPr>
              <w:spacing w:line="360" w:lineRule="auto"/>
              <w:rPr>
                <w:rFonts w:ascii="Book Antiqua" w:hAnsi="Book Antiqua" w:cs="Times New Roman"/>
                <w:sz w:val="24"/>
                <w:szCs w:val="24"/>
              </w:rPr>
            </w:pPr>
          </w:p>
        </w:tc>
      </w:tr>
      <w:tr w:rsidR="00420B22" w:rsidRPr="0032635B" w:rsidTr="008913E9">
        <w:trPr>
          <w:trHeight w:val="352"/>
        </w:trPr>
        <w:tc>
          <w:tcPr>
            <w:tcW w:w="284" w:type="dxa"/>
            <w:tcBorders>
              <w:top w:val="nil"/>
              <w:left w:val="nil"/>
              <w:bottom w:val="nil"/>
              <w:right w:val="nil"/>
            </w:tcBorders>
          </w:tcPr>
          <w:p w:rsidR="00420B22" w:rsidRPr="0032635B" w:rsidRDefault="00420B22" w:rsidP="00C92BD7">
            <w:pPr>
              <w:spacing w:line="360" w:lineRule="auto"/>
              <w:rPr>
                <w:rFonts w:ascii="Book Antiqua" w:hAnsi="Book Antiqua" w:cs="Times New Roman"/>
                <w:sz w:val="24"/>
                <w:szCs w:val="24"/>
              </w:rPr>
            </w:pPr>
          </w:p>
        </w:tc>
        <w:tc>
          <w:tcPr>
            <w:tcW w:w="3119" w:type="dxa"/>
            <w:gridSpan w:val="2"/>
            <w:tcBorders>
              <w:top w:val="nil"/>
              <w:left w:val="nil"/>
              <w:bottom w:val="nil"/>
              <w:right w:val="nil"/>
            </w:tcBorders>
          </w:tcPr>
          <w:p w:rsidR="00420B22" w:rsidRPr="0032635B" w:rsidRDefault="00420B22" w:rsidP="00C92BD7">
            <w:pPr>
              <w:spacing w:line="360" w:lineRule="auto"/>
              <w:rPr>
                <w:rFonts w:ascii="Book Antiqua" w:hAnsi="Book Antiqua" w:cs="Times New Roman"/>
                <w:sz w:val="24"/>
                <w:szCs w:val="24"/>
              </w:rPr>
            </w:pPr>
            <w:r w:rsidRPr="0032635B">
              <w:rPr>
                <w:rFonts w:ascii="Book Antiqua" w:hAnsi="Book Antiqua"/>
                <w:sz w:val="24"/>
                <w:szCs w:val="24"/>
              </w:rPr>
              <w:t>Alcohol</w:t>
            </w:r>
          </w:p>
        </w:tc>
        <w:tc>
          <w:tcPr>
            <w:tcW w:w="2835" w:type="dxa"/>
            <w:gridSpan w:val="2"/>
            <w:tcBorders>
              <w:top w:val="nil"/>
              <w:left w:val="nil"/>
              <w:bottom w:val="nil"/>
              <w:right w:val="nil"/>
            </w:tcBorders>
          </w:tcPr>
          <w:p w:rsidR="00420B22" w:rsidRPr="0032635B" w:rsidRDefault="00420B22" w:rsidP="00C92BD7">
            <w:pPr>
              <w:spacing w:line="360" w:lineRule="auto"/>
              <w:rPr>
                <w:rFonts w:ascii="Book Antiqua" w:hAnsi="Book Antiqua" w:cs="Times New Roman"/>
                <w:sz w:val="24"/>
                <w:szCs w:val="24"/>
              </w:rPr>
            </w:pPr>
            <w:r w:rsidRPr="0032635B">
              <w:rPr>
                <w:rFonts w:ascii="Book Antiqua" w:hAnsi="Book Antiqua"/>
                <w:sz w:val="24"/>
                <w:szCs w:val="24"/>
              </w:rPr>
              <w:t xml:space="preserve">7 </w:t>
            </w:r>
            <w:r w:rsidR="008913E9" w:rsidRPr="0032635B">
              <w:rPr>
                <w:rFonts w:ascii="Book Antiqua" w:hAnsi="Book Antiqua"/>
                <w:sz w:val="24"/>
                <w:szCs w:val="24"/>
              </w:rPr>
              <w:t>(29.2</w:t>
            </w:r>
            <w:r w:rsidRPr="0032635B">
              <w:rPr>
                <w:rFonts w:ascii="Book Antiqua" w:hAnsi="Book Antiqua"/>
                <w:sz w:val="24"/>
                <w:szCs w:val="24"/>
              </w:rPr>
              <w:t>)</w:t>
            </w:r>
          </w:p>
        </w:tc>
        <w:tc>
          <w:tcPr>
            <w:tcW w:w="2410" w:type="dxa"/>
            <w:gridSpan w:val="2"/>
            <w:tcBorders>
              <w:top w:val="nil"/>
              <w:left w:val="nil"/>
              <w:bottom w:val="nil"/>
              <w:right w:val="nil"/>
            </w:tcBorders>
          </w:tcPr>
          <w:p w:rsidR="00420B22" w:rsidRPr="0032635B" w:rsidRDefault="00420B22" w:rsidP="00C92BD7">
            <w:pPr>
              <w:spacing w:line="360" w:lineRule="auto"/>
              <w:rPr>
                <w:rFonts w:ascii="Book Antiqua" w:hAnsi="Book Antiqua" w:cs="Times New Roman"/>
                <w:sz w:val="24"/>
                <w:szCs w:val="24"/>
              </w:rPr>
            </w:pPr>
            <w:r w:rsidRPr="0032635B">
              <w:rPr>
                <w:rFonts w:ascii="Book Antiqua" w:hAnsi="Book Antiqua"/>
                <w:sz w:val="24"/>
                <w:szCs w:val="24"/>
              </w:rPr>
              <w:t xml:space="preserve">13 </w:t>
            </w:r>
            <w:r w:rsidR="008913E9" w:rsidRPr="0032635B">
              <w:rPr>
                <w:rFonts w:ascii="Book Antiqua" w:hAnsi="Book Antiqua"/>
                <w:sz w:val="24"/>
                <w:szCs w:val="24"/>
              </w:rPr>
              <w:t>(44.8</w:t>
            </w:r>
            <w:r w:rsidRPr="0032635B">
              <w:rPr>
                <w:rFonts w:ascii="Book Antiqua" w:hAnsi="Book Antiqua"/>
                <w:sz w:val="24"/>
                <w:szCs w:val="24"/>
              </w:rPr>
              <w:t>)</w:t>
            </w:r>
          </w:p>
        </w:tc>
        <w:tc>
          <w:tcPr>
            <w:tcW w:w="1417" w:type="dxa"/>
            <w:tcBorders>
              <w:top w:val="nil"/>
              <w:left w:val="nil"/>
              <w:bottom w:val="nil"/>
              <w:right w:val="nil"/>
            </w:tcBorders>
          </w:tcPr>
          <w:p w:rsidR="00420B22" w:rsidRPr="0032635B" w:rsidRDefault="00420B22" w:rsidP="00C92BD7">
            <w:pPr>
              <w:spacing w:line="360" w:lineRule="auto"/>
              <w:rPr>
                <w:rFonts w:ascii="Book Antiqua" w:hAnsi="Book Antiqua" w:cs="Times New Roman"/>
                <w:sz w:val="24"/>
                <w:szCs w:val="24"/>
              </w:rPr>
            </w:pPr>
            <w:r w:rsidRPr="0032635B">
              <w:rPr>
                <w:rFonts w:ascii="Book Antiqua" w:hAnsi="Book Antiqua" w:cs="Times New Roman"/>
                <w:sz w:val="24"/>
                <w:szCs w:val="24"/>
              </w:rPr>
              <w:t>0.27</w:t>
            </w:r>
          </w:p>
        </w:tc>
      </w:tr>
      <w:tr w:rsidR="00420B22" w:rsidRPr="0032635B" w:rsidTr="008913E9">
        <w:trPr>
          <w:trHeight w:val="352"/>
        </w:trPr>
        <w:tc>
          <w:tcPr>
            <w:tcW w:w="284" w:type="dxa"/>
            <w:tcBorders>
              <w:top w:val="nil"/>
              <w:left w:val="nil"/>
              <w:bottom w:val="nil"/>
              <w:right w:val="nil"/>
            </w:tcBorders>
          </w:tcPr>
          <w:p w:rsidR="00420B22" w:rsidRPr="0032635B" w:rsidRDefault="00420B22" w:rsidP="00C92BD7">
            <w:pPr>
              <w:spacing w:line="360" w:lineRule="auto"/>
              <w:rPr>
                <w:rFonts w:ascii="Book Antiqua" w:hAnsi="Book Antiqua" w:cs="Times New Roman"/>
                <w:sz w:val="24"/>
                <w:szCs w:val="24"/>
              </w:rPr>
            </w:pPr>
          </w:p>
        </w:tc>
        <w:tc>
          <w:tcPr>
            <w:tcW w:w="3119" w:type="dxa"/>
            <w:gridSpan w:val="2"/>
            <w:tcBorders>
              <w:top w:val="nil"/>
              <w:left w:val="nil"/>
              <w:bottom w:val="nil"/>
              <w:right w:val="nil"/>
            </w:tcBorders>
          </w:tcPr>
          <w:p w:rsidR="00420B22" w:rsidRPr="0032635B" w:rsidRDefault="00420B22" w:rsidP="00C92BD7">
            <w:pPr>
              <w:spacing w:line="360" w:lineRule="auto"/>
              <w:rPr>
                <w:rFonts w:ascii="Book Antiqua" w:hAnsi="Book Antiqua" w:cs="Times New Roman"/>
                <w:sz w:val="24"/>
                <w:szCs w:val="24"/>
              </w:rPr>
            </w:pPr>
            <w:r w:rsidRPr="0032635B">
              <w:rPr>
                <w:rFonts w:ascii="Book Antiqua" w:hAnsi="Book Antiqua"/>
                <w:sz w:val="24"/>
                <w:szCs w:val="24"/>
              </w:rPr>
              <w:t>Tobacco</w:t>
            </w:r>
          </w:p>
        </w:tc>
        <w:tc>
          <w:tcPr>
            <w:tcW w:w="2835" w:type="dxa"/>
            <w:gridSpan w:val="2"/>
            <w:tcBorders>
              <w:top w:val="nil"/>
              <w:left w:val="nil"/>
              <w:bottom w:val="nil"/>
              <w:right w:val="nil"/>
            </w:tcBorders>
          </w:tcPr>
          <w:p w:rsidR="00420B22" w:rsidRPr="0032635B" w:rsidRDefault="00420B22" w:rsidP="00C92BD7">
            <w:pPr>
              <w:spacing w:line="360" w:lineRule="auto"/>
              <w:rPr>
                <w:rFonts w:ascii="Book Antiqua" w:hAnsi="Book Antiqua" w:cs="Times New Roman"/>
                <w:sz w:val="24"/>
                <w:szCs w:val="24"/>
              </w:rPr>
            </w:pPr>
            <w:r w:rsidRPr="0032635B">
              <w:rPr>
                <w:rFonts w:ascii="Book Antiqua" w:hAnsi="Book Antiqua"/>
                <w:sz w:val="24"/>
                <w:szCs w:val="24"/>
              </w:rPr>
              <w:t xml:space="preserve">3 </w:t>
            </w:r>
            <w:r w:rsidR="008913E9" w:rsidRPr="0032635B">
              <w:rPr>
                <w:rFonts w:ascii="Book Antiqua" w:hAnsi="Book Antiqua"/>
                <w:sz w:val="24"/>
                <w:szCs w:val="24"/>
              </w:rPr>
              <w:t>(12.5</w:t>
            </w:r>
            <w:r w:rsidRPr="0032635B">
              <w:rPr>
                <w:rFonts w:ascii="Book Antiqua" w:hAnsi="Book Antiqua"/>
                <w:sz w:val="24"/>
                <w:szCs w:val="24"/>
              </w:rPr>
              <w:t>)</w:t>
            </w:r>
          </w:p>
        </w:tc>
        <w:tc>
          <w:tcPr>
            <w:tcW w:w="2410" w:type="dxa"/>
            <w:gridSpan w:val="2"/>
            <w:tcBorders>
              <w:top w:val="nil"/>
              <w:left w:val="nil"/>
              <w:bottom w:val="nil"/>
              <w:right w:val="nil"/>
            </w:tcBorders>
          </w:tcPr>
          <w:p w:rsidR="00420B22" w:rsidRPr="0032635B" w:rsidRDefault="00420B22" w:rsidP="00C92BD7">
            <w:pPr>
              <w:spacing w:line="360" w:lineRule="auto"/>
              <w:rPr>
                <w:rFonts w:ascii="Book Antiqua" w:hAnsi="Book Antiqua" w:cs="Times New Roman"/>
                <w:sz w:val="24"/>
                <w:szCs w:val="24"/>
              </w:rPr>
            </w:pPr>
            <w:r w:rsidRPr="0032635B">
              <w:rPr>
                <w:rFonts w:ascii="Book Antiqua" w:hAnsi="Book Antiqua"/>
                <w:sz w:val="24"/>
                <w:szCs w:val="24"/>
              </w:rPr>
              <w:t xml:space="preserve">6 </w:t>
            </w:r>
            <w:r w:rsidR="008913E9" w:rsidRPr="0032635B">
              <w:rPr>
                <w:rFonts w:ascii="Book Antiqua" w:hAnsi="Book Antiqua"/>
                <w:sz w:val="24"/>
                <w:szCs w:val="24"/>
              </w:rPr>
              <w:t>(20.7</w:t>
            </w:r>
            <w:r w:rsidRPr="0032635B">
              <w:rPr>
                <w:rFonts w:ascii="Book Antiqua" w:hAnsi="Book Antiqua"/>
                <w:sz w:val="24"/>
                <w:szCs w:val="24"/>
              </w:rPr>
              <w:t>)</w:t>
            </w:r>
          </w:p>
        </w:tc>
        <w:tc>
          <w:tcPr>
            <w:tcW w:w="1417" w:type="dxa"/>
            <w:tcBorders>
              <w:top w:val="nil"/>
              <w:left w:val="nil"/>
              <w:bottom w:val="nil"/>
              <w:right w:val="nil"/>
            </w:tcBorders>
          </w:tcPr>
          <w:p w:rsidR="00420B22" w:rsidRPr="0032635B" w:rsidRDefault="00420B22" w:rsidP="00C92BD7">
            <w:pPr>
              <w:spacing w:line="360" w:lineRule="auto"/>
              <w:rPr>
                <w:rFonts w:ascii="Book Antiqua" w:hAnsi="Book Antiqua" w:cs="Times New Roman"/>
                <w:sz w:val="24"/>
                <w:szCs w:val="24"/>
              </w:rPr>
            </w:pPr>
            <w:r w:rsidRPr="0032635B">
              <w:rPr>
                <w:rFonts w:ascii="Book Antiqua" w:hAnsi="Book Antiqua" w:cs="Times New Roman"/>
                <w:sz w:val="24"/>
                <w:szCs w:val="24"/>
              </w:rPr>
              <w:t>0.49</w:t>
            </w:r>
          </w:p>
        </w:tc>
      </w:tr>
      <w:tr w:rsidR="00420B22" w:rsidRPr="0032635B" w:rsidTr="008913E9">
        <w:trPr>
          <w:trHeight w:val="352"/>
        </w:trPr>
        <w:tc>
          <w:tcPr>
            <w:tcW w:w="284" w:type="dxa"/>
            <w:tcBorders>
              <w:top w:val="nil"/>
              <w:left w:val="nil"/>
              <w:bottom w:val="nil"/>
              <w:right w:val="nil"/>
            </w:tcBorders>
          </w:tcPr>
          <w:p w:rsidR="00420B22" w:rsidRPr="0032635B" w:rsidRDefault="00420B22" w:rsidP="00C92BD7">
            <w:pPr>
              <w:spacing w:line="360" w:lineRule="auto"/>
              <w:rPr>
                <w:rFonts w:ascii="Book Antiqua" w:hAnsi="Book Antiqua" w:cs="Times New Roman"/>
                <w:sz w:val="24"/>
                <w:szCs w:val="24"/>
              </w:rPr>
            </w:pPr>
          </w:p>
        </w:tc>
        <w:tc>
          <w:tcPr>
            <w:tcW w:w="3119" w:type="dxa"/>
            <w:gridSpan w:val="2"/>
            <w:tcBorders>
              <w:top w:val="nil"/>
              <w:left w:val="nil"/>
              <w:bottom w:val="nil"/>
              <w:right w:val="nil"/>
            </w:tcBorders>
          </w:tcPr>
          <w:p w:rsidR="00420B22" w:rsidRPr="0032635B" w:rsidRDefault="00420B22" w:rsidP="00C92BD7">
            <w:pPr>
              <w:spacing w:line="360" w:lineRule="auto"/>
              <w:rPr>
                <w:rFonts w:ascii="Book Antiqua" w:hAnsi="Book Antiqua" w:cs="Times New Roman"/>
                <w:sz w:val="24"/>
                <w:szCs w:val="24"/>
              </w:rPr>
            </w:pPr>
            <w:r w:rsidRPr="0032635B">
              <w:rPr>
                <w:rFonts w:ascii="Book Antiqua" w:hAnsi="Book Antiqua"/>
                <w:sz w:val="24"/>
                <w:szCs w:val="24"/>
              </w:rPr>
              <w:t>Coffee</w:t>
            </w:r>
          </w:p>
        </w:tc>
        <w:tc>
          <w:tcPr>
            <w:tcW w:w="2835" w:type="dxa"/>
            <w:gridSpan w:val="2"/>
            <w:tcBorders>
              <w:top w:val="nil"/>
              <w:left w:val="nil"/>
              <w:bottom w:val="nil"/>
              <w:right w:val="nil"/>
            </w:tcBorders>
          </w:tcPr>
          <w:p w:rsidR="00420B22" w:rsidRPr="0032635B" w:rsidRDefault="00420B22" w:rsidP="00C92BD7">
            <w:pPr>
              <w:spacing w:line="360" w:lineRule="auto"/>
              <w:rPr>
                <w:rFonts w:ascii="Book Antiqua" w:hAnsi="Book Antiqua" w:cs="Times New Roman"/>
                <w:sz w:val="24"/>
                <w:szCs w:val="24"/>
              </w:rPr>
            </w:pPr>
            <w:r w:rsidRPr="0032635B">
              <w:rPr>
                <w:rFonts w:ascii="Book Antiqua" w:hAnsi="Book Antiqua"/>
                <w:sz w:val="24"/>
                <w:szCs w:val="24"/>
              </w:rPr>
              <w:t xml:space="preserve">14 </w:t>
            </w:r>
            <w:r w:rsidR="008913E9" w:rsidRPr="0032635B">
              <w:rPr>
                <w:rFonts w:ascii="Book Antiqua" w:hAnsi="Book Antiqua"/>
                <w:sz w:val="24"/>
                <w:szCs w:val="24"/>
              </w:rPr>
              <w:t>(58.3</w:t>
            </w:r>
            <w:r w:rsidRPr="0032635B">
              <w:rPr>
                <w:rFonts w:ascii="Book Antiqua" w:hAnsi="Book Antiqua"/>
                <w:sz w:val="24"/>
                <w:szCs w:val="24"/>
              </w:rPr>
              <w:t>)</w:t>
            </w:r>
          </w:p>
        </w:tc>
        <w:tc>
          <w:tcPr>
            <w:tcW w:w="2410" w:type="dxa"/>
            <w:gridSpan w:val="2"/>
            <w:tcBorders>
              <w:top w:val="nil"/>
              <w:left w:val="nil"/>
              <w:bottom w:val="nil"/>
              <w:right w:val="nil"/>
            </w:tcBorders>
          </w:tcPr>
          <w:p w:rsidR="00420B22" w:rsidRPr="0032635B" w:rsidRDefault="00420B22" w:rsidP="00C92BD7">
            <w:pPr>
              <w:spacing w:line="360" w:lineRule="auto"/>
              <w:rPr>
                <w:rFonts w:ascii="Book Antiqua" w:hAnsi="Book Antiqua" w:cs="Times New Roman"/>
                <w:sz w:val="24"/>
                <w:szCs w:val="24"/>
              </w:rPr>
            </w:pPr>
            <w:r w:rsidRPr="0032635B">
              <w:rPr>
                <w:rFonts w:ascii="Book Antiqua" w:hAnsi="Book Antiqua"/>
                <w:sz w:val="24"/>
                <w:szCs w:val="24"/>
              </w:rPr>
              <w:t xml:space="preserve">15 </w:t>
            </w:r>
            <w:r w:rsidR="008913E9" w:rsidRPr="0032635B">
              <w:rPr>
                <w:rFonts w:ascii="Book Antiqua" w:hAnsi="Book Antiqua"/>
                <w:sz w:val="24"/>
                <w:szCs w:val="24"/>
              </w:rPr>
              <w:t>(51.7</w:t>
            </w:r>
            <w:r w:rsidRPr="0032635B">
              <w:rPr>
                <w:rFonts w:ascii="Book Antiqua" w:hAnsi="Book Antiqua"/>
                <w:sz w:val="24"/>
                <w:szCs w:val="24"/>
              </w:rPr>
              <w:t>)</w:t>
            </w:r>
          </w:p>
        </w:tc>
        <w:tc>
          <w:tcPr>
            <w:tcW w:w="1417" w:type="dxa"/>
            <w:tcBorders>
              <w:top w:val="nil"/>
              <w:left w:val="nil"/>
              <w:bottom w:val="nil"/>
              <w:right w:val="nil"/>
            </w:tcBorders>
          </w:tcPr>
          <w:p w:rsidR="00420B22" w:rsidRPr="0032635B" w:rsidRDefault="00420B22" w:rsidP="00C92BD7">
            <w:pPr>
              <w:spacing w:line="360" w:lineRule="auto"/>
              <w:rPr>
                <w:rFonts w:ascii="Book Antiqua" w:hAnsi="Book Antiqua" w:cs="Times New Roman"/>
                <w:sz w:val="24"/>
                <w:szCs w:val="24"/>
              </w:rPr>
            </w:pPr>
            <w:r w:rsidRPr="0032635B">
              <w:rPr>
                <w:rFonts w:ascii="Book Antiqua" w:hAnsi="Book Antiqua" w:cs="Times New Roman"/>
                <w:sz w:val="24"/>
                <w:szCs w:val="24"/>
              </w:rPr>
              <w:t>0.78</w:t>
            </w:r>
          </w:p>
        </w:tc>
      </w:tr>
      <w:tr w:rsidR="00F85668" w:rsidRPr="0032635B" w:rsidTr="008913E9">
        <w:trPr>
          <w:trHeight w:val="352"/>
        </w:trPr>
        <w:tc>
          <w:tcPr>
            <w:tcW w:w="3403" w:type="dxa"/>
            <w:gridSpan w:val="3"/>
            <w:tcBorders>
              <w:top w:val="nil"/>
              <w:left w:val="nil"/>
              <w:bottom w:val="nil"/>
              <w:right w:val="nil"/>
            </w:tcBorders>
          </w:tcPr>
          <w:p w:rsidR="00F85668" w:rsidRPr="0032635B" w:rsidRDefault="00F85668" w:rsidP="00C92BD7">
            <w:pPr>
              <w:spacing w:line="360" w:lineRule="auto"/>
              <w:rPr>
                <w:rFonts w:ascii="Book Antiqua" w:hAnsi="Book Antiqua" w:cs="Times New Roman"/>
                <w:sz w:val="24"/>
                <w:szCs w:val="24"/>
              </w:rPr>
            </w:pPr>
            <w:r w:rsidRPr="0032635B">
              <w:rPr>
                <w:rFonts w:ascii="Book Antiqua" w:hAnsi="Book Antiqua"/>
                <w:sz w:val="24"/>
                <w:szCs w:val="24"/>
              </w:rPr>
              <w:t>Co-morbidity</w:t>
            </w:r>
          </w:p>
        </w:tc>
        <w:tc>
          <w:tcPr>
            <w:tcW w:w="1559" w:type="dxa"/>
            <w:tcBorders>
              <w:top w:val="nil"/>
              <w:left w:val="nil"/>
              <w:bottom w:val="nil"/>
              <w:right w:val="nil"/>
            </w:tcBorders>
          </w:tcPr>
          <w:p w:rsidR="00F85668" w:rsidRPr="0032635B" w:rsidRDefault="00F85668" w:rsidP="00C92BD7">
            <w:pPr>
              <w:spacing w:line="360" w:lineRule="auto"/>
              <w:rPr>
                <w:rFonts w:ascii="Book Antiqua" w:hAnsi="Book Antiqua" w:cs="Times New Roman"/>
                <w:sz w:val="24"/>
                <w:szCs w:val="24"/>
              </w:rPr>
            </w:pPr>
          </w:p>
        </w:tc>
        <w:tc>
          <w:tcPr>
            <w:tcW w:w="1276" w:type="dxa"/>
            <w:tcBorders>
              <w:top w:val="nil"/>
              <w:left w:val="nil"/>
              <w:bottom w:val="nil"/>
              <w:right w:val="nil"/>
            </w:tcBorders>
          </w:tcPr>
          <w:p w:rsidR="00F85668" w:rsidRPr="0032635B" w:rsidRDefault="00F85668" w:rsidP="00C92BD7">
            <w:pPr>
              <w:spacing w:line="360" w:lineRule="auto"/>
              <w:rPr>
                <w:rFonts w:ascii="Book Antiqua" w:hAnsi="Book Antiqua" w:cs="Times New Roman"/>
                <w:sz w:val="24"/>
                <w:szCs w:val="24"/>
              </w:rPr>
            </w:pPr>
          </w:p>
        </w:tc>
        <w:tc>
          <w:tcPr>
            <w:tcW w:w="1134" w:type="dxa"/>
            <w:tcBorders>
              <w:top w:val="nil"/>
              <w:left w:val="nil"/>
              <w:bottom w:val="nil"/>
              <w:right w:val="nil"/>
            </w:tcBorders>
          </w:tcPr>
          <w:p w:rsidR="00F85668" w:rsidRPr="0032635B" w:rsidRDefault="00F85668" w:rsidP="00C92BD7">
            <w:pPr>
              <w:spacing w:line="360" w:lineRule="auto"/>
              <w:rPr>
                <w:rFonts w:ascii="Book Antiqua" w:hAnsi="Book Antiqua" w:cs="Times New Roman"/>
                <w:sz w:val="24"/>
                <w:szCs w:val="24"/>
              </w:rPr>
            </w:pPr>
          </w:p>
        </w:tc>
        <w:tc>
          <w:tcPr>
            <w:tcW w:w="1276" w:type="dxa"/>
            <w:tcBorders>
              <w:top w:val="nil"/>
              <w:left w:val="nil"/>
              <w:bottom w:val="nil"/>
              <w:right w:val="nil"/>
            </w:tcBorders>
          </w:tcPr>
          <w:p w:rsidR="00F85668" w:rsidRPr="0032635B" w:rsidRDefault="00F85668" w:rsidP="00C92BD7">
            <w:pPr>
              <w:spacing w:line="360" w:lineRule="auto"/>
              <w:rPr>
                <w:rFonts w:ascii="Book Antiqua" w:hAnsi="Book Antiqua" w:cs="Times New Roman"/>
                <w:sz w:val="24"/>
                <w:szCs w:val="24"/>
              </w:rPr>
            </w:pPr>
          </w:p>
        </w:tc>
        <w:tc>
          <w:tcPr>
            <w:tcW w:w="1417" w:type="dxa"/>
            <w:tcBorders>
              <w:top w:val="nil"/>
              <w:left w:val="nil"/>
              <w:bottom w:val="nil"/>
              <w:right w:val="nil"/>
            </w:tcBorders>
          </w:tcPr>
          <w:p w:rsidR="00F85668" w:rsidRPr="0032635B" w:rsidRDefault="00F85668" w:rsidP="00C92BD7">
            <w:pPr>
              <w:spacing w:line="360" w:lineRule="auto"/>
              <w:rPr>
                <w:rFonts w:ascii="Book Antiqua" w:hAnsi="Book Antiqua" w:cs="Times New Roman"/>
                <w:sz w:val="24"/>
                <w:szCs w:val="24"/>
              </w:rPr>
            </w:pPr>
          </w:p>
        </w:tc>
      </w:tr>
      <w:tr w:rsidR="00420B22" w:rsidRPr="0032635B" w:rsidTr="008913E9">
        <w:trPr>
          <w:trHeight w:val="352"/>
        </w:trPr>
        <w:tc>
          <w:tcPr>
            <w:tcW w:w="284" w:type="dxa"/>
            <w:tcBorders>
              <w:top w:val="nil"/>
              <w:left w:val="nil"/>
              <w:bottom w:val="nil"/>
              <w:right w:val="nil"/>
            </w:tcBorders>
          </w:tcPr>
          <w:p w:rsidR="00420B22" w:rsidRPr="0032635B" w:rsidRDefault="00420B22" w:rsidP="00C92BD7">
            <w:pPr>
              <w:spacing w:line="360" w:lineRule="auto"/>
              <w:rPr>
                <w:rFonts w:ascii="Book Antiqua" w:hAnsi="Book Antiqua" w:cs="Times New Roman"/>
                <w:sz w:val="24"/>
                <w:szCs w:val="24"/>
              </w:rPr>
            </w:pPr>
          </w:p>
        </w:tc>
        <w:tc>
          <w:tcPr>
            <w:tcW w:w="3119" w:type="dxa"/>
            <w:gridSpan w:val="2"/>
            <w:tcBorders>
              <w:top w:val="nil"/>
              <w:left w:val="nil"/>
              <w:bottom w:val="nil"/>
              <w:right w:val="nil"/>
            </w:tcBorders>
          </w:tcPr>
          <w:p w:rsidR="00420B22" w:rsidRPr="0032635B" w:rsidRDefault="00420B22" w:rsidP="00C92BD7">
            <w:pPr>
              <w:spacing w:line="360" w:lineRule="auto"/>
              <w:rPr>
                <w:rFonts w:ascii="Book Antiqua" w:hAnsi="Book Antiqua" w:cs="Times New Roman"/>
                <w:sz w:val="24"/>
                <w:szCs w:val="24"/>
              </w:rPr>
            </w:pPr>
            <w:r w:rsidRPr="0032635B">
              <w:rPr>
                <w:rFonts w:ascii="Book Antiqua" w:hAnsi="Book Antiqua"/>
                <w:sz w:val="24"/>
                <w:szCs w:val="24"/>
              </w:rPr>
              <w:t>Hypertension</w:t>
            </w:r>
          </w:p>
        </w:tc>
        <w:tc>
          <w:tcPr>
            <w:tcW w:w="2835" w:type="dxa"/>
            <w:gridSpan w:val="2"/>
            <w:tcBorders>
              <w:top w:val="nil"/>
              <w:left w:val="nil"/>
              <w:bottom w:val="nil"/>
              <w:right w:val="nil"/>
            </w:tcBorders>
          </w:tcPr>
          <w:p w:rsidR="00420B22" w:rsidRPr="0032635B" w:rsidRDefault="00420B22" w:rsidP="00C92BD7">
            <w:pPr>
              <w:spacing w:line="360" w:lineRule="auto"/>
              <w:rPr>
                <w:rFonts w:ascii="Book Antiqua" w:hAnsi="Book Antiqua" w:cs="Times New Roman"/>
                <w:sz w:val="24"/>
                <w:szCs w:val="24"/>
              </w:rPr>
            </w:pPr>
            <w:r w:rsidRPr="0032635B">
              <w:rPr>
                <w:rFonts w:ascii="Book Antiqua" w:hAnsi="Book Antiqua" w:cs="Times New Roman"/>
                <w:sz w:val="24"/>
                <w:szCs w:val="24"/>
              </w:rPr>
              <w:t>2</w:t>
            </w:r>
            <w:r w:rsidRPr="0032635B">
              <w:rPr>
                <w:rFonts w:ascii="Book Antiqua" w:eastAsia="宋体" w:hAnsi="Book Antiqua" w:cs="Times New Roman"/>
                <w:sz w:val="24"/>
                <w:szCs w:val="24"/>
                <w:lang w:eastAsia="zh-CN"/>
              </w:rPr>
              <w:t xml:space="preserve"> </w:t>
            </w:r>
            <w:r w:rsidR="008913E9" w:rsidRPr="0032635B">
              <w:rPr>
                <w:rFonts w:ascii="Book Antiqua" w:hAnsi="Book Antiqua" w:cs="Times New Roman"/>
                <w:sz w:val="24"/>
                <w:szCs w:val="24"/>
              </w:rPr>
              <w:t>(8.3</w:t>
            </w:r>
            <w:r w:rsidRPr="0032635B">
              <w:rPr>
                <w:rFonts w:ascii="Book Antiqua" w:hAnsi="Book Antiqua" w:cs="Times New Roman"/>
                <w:sz w:val="24"/>
                <w:szCs w:val="24"/>
              </w:rPr>
              <w:t>)</w:t>
            </w:r>
          </w:p>
        </w:tc>
        <w:tc>
          <w:tcPr>
            <w:tcW w:w="2410" w:type="dxa"/>
            <w:gridSpan w:val="2"/>
            <w:tcBorders>
              <w:top w:val="nil"/>
              <w:left w:val="nil"/>
              <w:bottom w:val="nil"/>
              <w:right w:val="nil"/>
            </w:tcBorders>
          </w:tcPr>
          <w:p w:rsidR="00420B22" w:rsidRPr="0032635B" w:rsidRDefault="00420B22" w:rsidP="00C92BD7">
            <w:pPr>
              <w:spacing w:line="360" w:lineRule="auto"/>
              <w:rPr>
                <w:rFonts w:ascii="Book Antiqua" w:hAnsi="Book Antiqua" w:cs="Times New Roman"/>
                <w:sz w:val="24"/>
                <w:szCs w:val="24"/>
              </w:rPr>
            </w:pPr>
            <w:r w:rsidRPr="0032635B">
              <w:rPr>
                <w:rFonts w:ascii="Book Antiqua" w:hAnsi="Book Antiqua" w:cs="Times New Roman"/>
                <w:sz w:val="24"/>
                <w:szCs w:val="24"/>
              </w:rPr>
              <w:t>4</w:t>
            </w:r>
            <w:r w:rsidRPr="0032635B">
              <w:rPr>
                <w:rFonts w:ascii="Book Antiqua" w:eastAsia="宋体" w:hAnsi="Book Antiqua" w:cs="Times New Roman"/>
                <w:sz w:val="24"/>
                <w:szCs w:val="24"/>
                <w:lang w:eastAsia="zh-CN"/>
              </w:rPr>
              <w:t xml:space="preserve"> </w:t>
            </w:r>
            <w:r w:rsidR="008913E9" w:rsidRPr="0032635B">
              <w:rPr>
                <w:rFonts w:ascii="Book Antiqua" w:hAnsi="Book Antiqua" w:cs="Times New Roman"/>
                <w:sz w:val="24"/>
                <w:szCs w:val="24"/>
              </w:rPr>
              <w:t>(13.8</w:t>
            </w:r>
            <w:r w:rsidRPr="0032635B">
              <w:rPr>
                <w:rFonts w:ascii="Book Antiqua" w:hAnsi="Book Antiqua" w:cs="Times New Roman"/>
                <w:sz w:val="24"/>
                <w:szCs w:val="24"/>
              </w:rPr>
              <w:t>)</w:t>
            </w:r>
          </w:p>
        </w:tc>
        <w:tc>
          <w:tcPr>
            <w:tcW w:w="1417" w:type="dxa"/>
            <w:tcBorders>
              <w:top w:val="nil"/>
              <w:left w:val="nil"/>
              <w:bottom w:val="nil"/>
              <w:right w:val="nil"/>
            </w:tcBorders>
          </w:tcPr>
          <w:p w:rsidR="00420B22" w:rsidRPr="0032635B" w:rsidRDefault="00420B22" w:rsidP="00C92BD7">
            <w:pPr>
              <w:spacing w:line="360" w:lineRule="auto"/>
              <w:rPr>
                <w:rFonts w:ascii="Book Antiqua" w:hAnsi="Book Antiqua" w:cs="Times New Roman"/>
                <w:sz w:val="24"/>
                <w:szCs w:val="24"/>
              </w:rPr>
            </w:pPr>
            <w:r w:rsidRPr="0032635B">
              <w:rPr>
                <w:rFonts w:ascii="Book Antiqua" w:hAnsi="Book Antiqua" w:cs="Times New Roman"/>
                <w:sz w:val="24"/>
                <w:szCs w:val="24"/>
              </w:rPr>
              <w:t>0.68</w:t>
            </w:r>
          </w:p>
        </w:tc>
      </w:tr>
      <w:tr w:rsidR="00420B22" w:rsidRPr="0032635B" w:rsidTr="008913E9">
        <w:trPr>
          <w:trHeight w:val="352"/>
        </w:trPr>
        <w:tc>
          <w:tcPr>
            <w:tcW w:w="284" w:type="dxa"/>
            <w:tcBorders>
              <w:top w:val="nil"/>
              <w:left w:val="nil"/>
              <w:bottom w:val="nil"/>
              <w:right w:val="nil"/>
            </w:tcBorders>
          </w:tcPr>
          <w:p w:rsidR="00420B22" w:rsidRPr="0032635B" w:rsidRDefault="00420B22" w:rsidP="00C92BD7">
            <w:pPr>
              <w:spacing w:line="360" w:lineRule="auto"/>
              <w:rPr>
                <w:rFonts w:ascii="Book Antiqua" w:hAnsi="Book Antiqua" w:cs="Times New Roman"/>
                <w:sz w:val="24"/>
                <w:szCs w:val="24"/>
              </w:rPr>
            </w:pPr>
          </w:p>
        </w:tc>
        <w:tc>
          <w:tcPr>
            <w:tcW w:w="3119" w:type="dxa"/>
            <w:gridSpan w:val="2"/>
            <w:tcBorders>
              <w:top w:val="nil"/>
              <w:left w:val="nil"/>
              <w:bottom w:val="nil"/>
              <w:right w:val="nil"/>
            </w:tcBorders>
          </w:tcPr>
          <w:p w:rsidR="00420B22" w:rsidRPr="0032635B" w:rsidRDefault="00420B22" w:rsidP="00C92BD7">
            <w:pPr>
              <w:spacing w:line="360" w:lineRule="auto"/>
              <w:rPr>
                <w:rFonts w:ascii="Book Antiqua" w:hAnsi="Book Antiqua" w:cs="Times New Roman"/>
                <w:sz w:val="24"/>
                <w:szCs w:val="24"/>
              </w:rPr>
            </w:pPr>
            <w:r w:rsidRPr="0032635B">
              <w:rPr>
                <w:rFonts w:ascii="Book Antiqua" w:hAnsi="Book Antiqua"/>
                <w:sz w:val="24"/>
                <w:szCs w:val="24"/>
              </w:rPr>
              <w:t>Diabetes mellitus</w:t>
            </w:r>
          </w:p>
        </w:tc>
        <w:tc>
          <w:tcPr>
            <w:tcW w:w="2835" w:type="dxa"/>
            <w:gridSpan w:val="2"/>
            <w:tcBorders>
              <w:top w:val="nil"/>
              <w:left w:val="nil"/>
              <w:bottom w:val="nil"/>
              <w:right w:val="nil"/>
            </w:tcBorders>
          </w:tcPr>
          <w:p w:rsidR="00420B22" w:rsidRPr="0032635B" w:rsidRDefault="00420B22" w:rsidP="00C92BD7">
            <w:pPr>
              <w:spacing w:line="360" w:lineRule="auto"/>
              <w:rPr>
                <w:rFonts w:ascii="Book Antiqua" w:hAnsi="Book Antiqua" w:cs="Times New Roman"/>
                <w:sz w:val="24"/>
                <w:szCs w:val="24"/>
              </w:rPr>
            </w:pPr>
            <w:r w:rsidRPr="0032635B">
              <w:rPr>
                <w:rFonts w:ascii="Book Antiqua" w:hAnsi="Book Antiqua" w:cs="Times New Roman"/>
                <w:sz w:val="24"/>
                <w:szCs w:val="24"/>
              </w:rPr>
              <w:t>3</w:t>
            </w:r>
            <w:r w:rsidRPr="0032635B">
              <w:rPr>
                <w:rFonts w:ascii="Book Antiqua" w:eastAsia="宋体" w:hAnsi="Book Antiqua" w:cs="Times New Roman"/>
                <w:sz w:val="24"/>
                <w:szCs w:val="24"/>
                <w:lang w:eastAsia="zh-CN"/>
              </w:rPr>
              <w:t xml:space="preserve"> </w:t>
            </w:r>
            <w:r w:rsidR="008913E9" w:rsidRPr="0032635B">
              <w:rPr>
                <w:rFonts w:ascii="Book Antiqua" w:hAnsi="Book Antiqua"/>
                <w:sz w:val="24"/>
                <w:szCs w:val="24"/>
              </w:rPr>
              <w:t>(12.5</w:t>
            </w:r>
            <w:r w:rsidRPr="0032635B">
              <w:rPr>
                <w:rFonts w:ascii="Book Antiqua" w:hAnsi="Book Antiqua"/>
                <w:sz w:val="24"/>
                <w:szCs w:val="24"/>
              </w:rPr>
              <w:t>)</w:t>
            </w:r>
          </w:p>
        </w:tc>
        <w:tc>
          <w:tcPr>
            <w:tcW w:w="2410" w:type="dxa"/>
            <w:gridSpan w:val="2"/>
            <w:tcBorders>
              <w:top w:val="nil"/>
              <w:left w:val="nil"/>
              <w:bottom w:val="nil"/>
              <w:right w:val="nil"/>
            </w:tcBorders>
          </w:tcPr>
          <w:p w:rsidR="00420B22" w:rsidRPr="0032635B" w:rsidRDefault="00420B22" w:rsidP="00C92BD7">
            <w:pPr>
              <w:spacing w:line="360" w:lineRule="auto"/>
              <w:rPr>
                <w:rFonts w:ascii="Book Antiqua" w:hAnsi="Book Antiqua" w:cs="Times New Roman"/>
                <w:sz w:val="24"/>
                <w:szCs w:val="24"/>
              </w:rPr>
            </w:pPr>
            <w:r w:rsidRPr="0032635B">
              <w:rPr>
                <w:rFonts w:ascii="Book Antiqua" w:hAnsi="Book Antiqua" w:cs="Times New Roman"/>
                <w:sz w:val="24"/>
                <w:szCs w:val="24"/>
              </w:rPr>
              <w:t>3</w:t>
            </w:r>
            <w:r w:rsidRPr="0032635B">
              <w:rPr>
                <w:rFonts w:ascii="Book Antiqua" w:eastAsia="宋体" w:hAnsi="Book Antiqua" w:cs="Times New Roman"/>
                <w:sz w:val="24"/>
                <w:szCs w:val="24"/>
                <w:lang w:eastAsia="zh-CN"/>
              </w:rPr>
              <w:t xml:space="preserve"> </w:t>
            </w:r>
            <w:r w:rsidR="008913E9" w:rsidRPr="0032635B">
              <w:rPr>
                <w:rFonts w:ascii="Book Antiqua" w:hAnsi="Book Antiqua" w:cs="Times New Roman"/>
                <w:sz w:val="24"/>
                <w:szCs w:val="24"/>
              </w:rPr>
              <w:t>(10.3</w:t>
            </w:r>
            <w:r w:rsidRPr="0032635B">
              <w:rPr>
                <w:rFonts w:ascii="Book Antiqua" w:hAnsi="Book Antiqua" w:cs="Times New Roman"/>
                <w:sz w:val="24"/>
                <w:szCs w:val="24"/>
              </w:rPr>
              <w:t>)</w:t>
            </w:r>
          </w:p>
        </w:tc>
        <w:tc>
          <w:tcPr>
            <w:tcW w:w="1417" w:type="dxa"/>
            <w:tcBorders>
              <w:top w:val="nil"/>
              <w:left w:val="nil"/>
              <w:bottom w:val="nil"/>
              <w:right w:val="nil"/>
            </w:tcBorders>
          </w:tcPr>
          <w:p w:rsidR="00420B22" w:rsidRPr="0032635B" w:rsidRDefault="00420B22" w:rsidP="00C92BD7">
            <w:pPr>
              <w:spacing w:line="360" w:lineRule="auto"/>
              <w:rPr>
                <w:rFonts w:ascii="Book Antiqua" w:hAnsi="Book Antiqua" w:cs="Times New Roman"/>
                <w:sz w:val="24"/>
                <w:szCs w:val="24"/>
              </w:rPr>
            </w:pPr>
            <w:r w:rsidRPr="0032635B">
              <w:rPr>
                <w:rFonts w:ascii="Book Antiqua" w:hAnsi="Book Antiqua" w:cs="Times New Roman"/>
                <w:sz w:val="24"/>
                <w:szCs w:val="24"/>
              </w:rPr>
              <w:t>&gt;</w:t>
            </w:r>
            <w:r w:rsidRPr="0032635B">
              <w:rPr>
                <w:rFonts w:ascii="Book Antiqua" w:eastAsia="宋体" w:hAnsi="Book Antiqua" w:cs="Times New Roman"/>
                <w:sz w:val="24"/>
                <w:szCs w:val="24"/>
                <w:lang w:eastAsia="zh-CN"/>
              </w:rPr>
              <w:t xml:space="preserve"> 0</w:t>
            </w:r>
            <w:r w:rsidRPr="0032635B">
              <w:rPr>
                <w:rFonts w:ascii="Book Antiqua" w:hAnsi="Book Antiqua" w:cs="Times New Roman"/>
                <w:sz w:val="24"/>
                <w:szCs w:val="24"/>
              </w:rPr>
              <w:t>.99</w:t>
            </w:r>
          </w:p>
        </w:tc>
      </w:tr>
      <w:tr w:rsidR="00420B22" w:rsidRPr="0032635B" w:rsidTr="008913E9">
        <w:trPr>
          <w:trHeight w:val="352"/>
        </w:trPr>
        <w:tc>
          <w:tcPr>
            <w:tcW w:w="284" w:type="dxa"/>
            <w:tcBorders>
              <w:top w:val="nil"/>
              <w:left w:val="nil"/>
              <w:bottom w:val="nil"/>
              <w:right w:val="nil"/>
            </w:tcBorders>
          </w:tcPr>
          <w:p w:rsidR="00420B22" w:rsidRPr="0032635B" w:rsidRDefault="00420B22" w:rsidP="00C92BD7">
            <w:pPr>
              <w:spacing w:line="360" w:lineRule="auto"/>
              <w:rPr>
                <w:rFonts w:ascii="Book Antiqua" w:hAnsi="Book Antiqua" w:cs="Times New Roman"/>
                <w:sz w:val="24"/>
                <w:szCs w:val="24"/>
              </w:rPr>
            </w:pPr>
          </w:p>
        </w:tc>
        <w:tc>
          <w:tcPr>
            <w:tcW w:w="3119" w:type="dxa"/>
            <w:gridSpan w:val="2"/>
            <w:tcBorders>
              <w:top w:val="nil"/>
              <w:left w:val="nil"/>
              <w:bottom w:val="nil"/>
              <w:right w:val="nil"/>
            </w:tcBorders>
          </w:tcPr>
          <w:p w:rsidR="00420B22" w:rsidRPr="0032635B" w:rsidRDefault="00420B22" w:rsidP="00C92BD7">
            <w:pPr>
              <w:spacing w:line="360" w:lineRule="auto"/>
              <w:rPr>
                <w:rFonts w:ascii="Book Antiqua" w:hAnsi="Book Antiqua" w:cs="Times New Roman"/>
                <w:sz w:val="24"/>
                <w:szCs w:val="24"/>
              </w:rPr>
            </w:pPr>
            <w:r w:rsidRPr="0032635B">
              <w:rPr>
                <w:rFonts w:ascii="Book Antiqua" w:hAnsi="Book Antiqua"/>
                <w:sz w:val="24"/>
                <w:szCs w:val="24"/>
              </w:rPr>
              <w:t>Cerebrovascular disease</w:t>
            </w:r>
          </w:p>
        </w:tc>
        <w:tc>
          <w:tcPr>
            <w:tcW w:w="2835" w:type="dxa"/>
            <w:gridSpan w:val="2"/>
            <w:tcBorders>
              <w:top w:val="nil"/>
              <w:left w:val="nil"/>
              <w:bottom w:val="nil"/>
              <w:right w:val="nil"/>
            </w:tcBorders>
          </w:tcPr>
          <w:p w:rsidR="00420B22" w:rsidRPr="0032635B" w:rsidRDefault="00420B22" w:rsidP="00C92BD7">
            <w:pPr>
              <w:spacing w:line="360" w:lineRule="auto"/>
              <w:rPr>
                <w:rFonts w:ascii="Book Antiqua" w:hAnsi="Book Antiqua" w:cs="Times New Roman"/>
                <w:sz w:val="24"/>
                <w:szCs w:val="24"/>
              </w:rPr>
            </w:pPr>
            <w:r w:rsidRPr="0032635B">
              <w:rPr>
                <w:rFonts w:ascii="Book Antiqua" w:hAnsi="Book Antiqua" w:cs="Times New Roman"/>
                <w:sz w:val="24"/>
                <w:szCs w:val="24"/>
              </w:rPr>
              <w:t>0</w:t>
            </w:r>
            <w:r w:rsidRPr="0032635B">
              <w:rPr>
                <w:rFonts w:ascii="Book Antiqua" w:eastAsia="宋体" w:hAnsi="Book Antiqua" w:cs="Times New Roman"/>
                <w:sz w:val="24"/>
                <w:szCs w:val="24"/>
                <w:lang w:eastAsia="zh-CN"/>
              </w:rPr>
              <w:t xml:space="preserve"> </w:t>
            </w:r>
            <w:r w:rsidR="008913E9" w:rsidRPr="0032635B">
              <w:rPr>
                <w:rFonts w:ascii="Book Antiqua" w:hAnsi="Book Antiqua"/>
                <w:sz w:val="24"/>
                <w:szCs w:val="24"/>
              </w:rPr>
              <w:t>(0</w:t>
            </w:r>
            <w:r w:rsidRPr="0032635B">
              <w:rPr>
                <w:rFonts w:ascii="Book Antiqua" w:hAnsi="Book Antiqua"/>
                <w:sz w:val="24"/>
                <w:szCs w:val="24"/>
              </w:rPr>
              <w:t>)</w:t>
            </w:r>
          </w:p>
        </w:tc>
        <w:tc>
          <w:tcPr>
            <w:tcW w:w="2410" w:type="dxa"/>
            <w:gridSpan w:val="2"/>
            <w:tcBorders>
              <w:top w:val="nil"/>
              <w:left w:val="nil"/>
              <w:bottom w:val="nil"/>
              <w:right w:val="nil"/>
            </w:tcBorders>
          </w:tcPr>
          <w:p w:rsidR="00420B22" w:rsidRPr="0032635B" w:rsidRDefault="00420B22" w:rsidP="00C92BD7">
            <w:pPr>
              <w:spacing w:line="360" w:lineRule="auto"/>
              <w:rPr>
                <w:rFonts w:ascii="Book Antiqua" w:hAnsi="Book Antiqua" w:cs="Times New Roman"/>
                <w:sz w:val="24"/>
                <w:szCs w:val="24"/>
              </w:rPr>
            </w:pPr>
            <w:r w:rsidRPr="0032635B">
              <w:rPr>
                <w:rFonts w:ascii="Book Antiqua" w:hAnsi="Book Antiqua" w:cs="Times New Roman"/>
                <w:sz w:val="24"/>
                <w:szCs w:val="24"/>
              </w:rPr>
              <w:t>0</w:t>
            </w:r>
            <w:r w:rsidRPr="0032635B">
              <w:rPr>
                <w:rFonts w:ascii="Book Antiqua" w:eastAsia="宋体" w:hAnsi="Book Antiqua" w:cs="Times New Roman"/>
                <w:sz w:val="24"/>
                <w:szCs w:val="24"/>
                <w:lang w:eastAsia="zh-CN"/>
              </w:rPr>
              <w:t xml:space="preserve"> </w:t>
            </w:r>
            <w:r w:rsidR="008913E9" w:rsidRPr="0032635B">
              <w:rPr>
                <w:rFonts w:ascii="Book Antiqua" w:hAnsi="Book Antiqua"/>
                <w:sz w:val="24"/>
                <w:szCs w:val="24"/>
              </w:rPr>
              <w:t>(0</w:t>
            </w:r>
            <w:r w:rsidRPr="0032635B">
              <w:rPr>
                <w:rFonts w:ascii="Book Antiqua" w:hAnsi="Book Antiqua"/>
                <w:sz w:val="24"/>
                <w:szCs w:val="24"/>
              </w:rPr>
              <w:t>)</w:t>
            </w:r>
          </w:p>
        </w:tc>
        <w:tc>
          <w:tcPr>
            <w:tcW w:w="1417" w:type="dxa"/>
            <w:tcBorders>
              <w:top w:val="nil"/>
              <w:left w:val="nil"/>
              <w:bottom w:val="nil"/>
              <w:right w:val="nil"/>
            </w:tcBorders>
          </w:tcPr>
          <w:p w:rsidR="00420B22" w:rsidRPr="0032635B" w:rsidRDefault="00420B22" w:rsidP="00C92BD7">
            <w:pPr>
              <w:spacing w:line="360" w:lineRule="auto"/>
              <w:rPr>
                <w:rFonts w:ascii="Book Antiqua" w:hAnsi="Book Antiqua" w:cs="Times New Roman"/>
                <w:sz w:val="24"/>
                <w:szCs w:val="24"/>
              </w:rPr>
            </w:pPr>
            <w:r w:rsidRPr="0032635B">
              <w:rPr>
                <w:rFonts w:ascii="Book Antiqua" w:hAnsi="Book Antiqua"/>
                <w:sz w:val="24"/>
                <w:szCs w:val="24"/>
              </w:rPr>
              <w:t>-</w:t>
            </w:r>
          </w:p>
        </w:tc>
      </w:tr>
      <w:tr w:rsidR="00420B22" w:rsidRPr="0032635B" w:rsidTr="008913E9">
        <w:trPr>
          <w:trHeight w:val="352"/>
        </w:trPr>
        <w:tc>
          <w:tcPr>
            <w:tcW w:w="284" w:type="dxa"/>
            <w:tcBorders>
              <w:top w:val="nil"/>
              <w:left w:val="nil"/>
              <w:bottom w:val="nil"/>
              <w:right w:val="nil"/>
            </w:tcBorders>
          </w:tcPr>
          <w:p w:rsidR="00420B22" w:rsidRPr="0032635B" w:rsidRDefault="00420B22" w:rsidP="00C92BD7">
            <w:pPr>
              <w:spacing w:line="360" w:lineRule="auto"/>
              <w:rPr>
                <w:rFonts w:ascii="Book Antiqua" w:hAnsi="Book Antiqua" w:cs="Times New Roman"/>
                <w:sz w:val="24"/>
                <w:szCs w:val="24"/>
              </w:rPr>
            </w:pPr>
          </w:p>
        </w:tc>
        <w:tc>
          <w:tcPr>
            <w:tcW w:w="3119" w:type="dxa"/>
            <w:gridSpan w:val="2"/>
            <w:tcBorders>
              <w:top w:val="nil"/>
              <w:left w:val="nil"/>
              <w:bottom w:val="nil"/>
              <w:right w:val="nil"/>
            </w:tcBorders>
          </w:tcPr>
          <w:p w:rsidR="00420B22" w:rsidRPr="0032635B" w:rsidRDefault="00420B22" w:rsidP="00C92BD7">
            <w:pPr>
              <w:spacing w:line="360" w:lineRule="auto"/>
              <w:rPr>
                <w:rFonts w:ascii="Book Antiqua" w:hAnsi="Book Antiqua" w:cs="Times New Roman"/>
                <w:sz w:val="24"/>
                <w:szCs w:val="24"/>
              </w:rPr>
            </w:pPr>
            <w:r w:rsidRPr="0032635B">
              <w:rPr>
                <w:rFonts w:ascii="Book Antiqua" w:hAnsi="Book Antiqua"/>
                <w:sz w:val="24"/>
                <w:szCs w:val="24"/>
              </w:rPr>
              <w:t>Cardiovascular disease</w:t>
            </w:r>
          </w:p>
        </w:tc>
        <w:tc>
          <w:tcPr>
            <w:tcW w:w="2835" w:type="dxa"/>
            <w:gridSpan w:val="2"/>
            <w:tcBorders>
              <w:top w:val="nil"/>
              <w:left w:val="nil"/>
              <w:bottom w:val="nil"/>
              <w:right w:val="nil"/>
            </w:tcBorders>
          </w:tcPr>
          <w:p w:rsidR="00420B22" w:rsidRPr="0032635B" w:rsidRDefault="00420B22" w:rsidP="00C92BD7">
            <w:pPr>
              <w:spacing w:line="360" w:lineRule="auto"/>
              <w:rPr>
                <w:rFonts w:ascii="Book Antiqua" w:hAnsi="Book Antiqua" w:cs="Times New Roman"/>
                <w:sz w:val="24"/>
                <w:szCs w:val="24"/>
              </w:rPr>
            </w:pPr>
            <w:r w:rsidRPr="0032635B">
              <w:rPr>
                <w:rFonts w:ascii="Book Antiqua" w:hAnsi="Book Antiqua" w:cs="Times New Roman"/>
                <w:sz w:val="24"/>
                <w:szCs w:val="24"/>
              </w:rPr>
              <w:t>0</w:t>
            </w:r>
            <w:r w:rsidRPr="0032635B">
              <w:rPr>
                <w:rFonts w:ascii="Book Antiqua" w:eastAsia="宋体" w:hAnsi="Book Antiqua" w:cs="Times New Roman"/>
                <w:sz w:val="24"/>
                <w:szCs w:val="24"/>
                <w:lang w:eastAsia="zh-CN"/>
              </w:rPr>
              <w:t xml:space="preserve"> </w:t>
            </w:r>
            <w:r w:rsidR="008913E9" w:rsidRPr="0032635B">
              <w:rPr>
                <w:rFonts w:ascii="Book Antiqua" w:hAnsi="Book Antiqua"/>
                <w:sz w:val="24"/>
                <w:szCs w:val="24"/>
              </w:rPr>
              <w:t>(0</w:t>
            </w:r>
            <w:r w:rsidRPr="0032635B">
              <w:rPr>
                <w:rFonts w:ascii="Book Antiqua" w:hAnsi="Book Antiqua"/>
                <w:sz w:val="24"/>
                <w:szCs w:val="24"/>
              </w:rPr>
              <w:t>)</w:t>
            </w:r>
          </w:p>
        </w:tc>
        <w:tc>
          <w:tcPr>
            <w:tcW w:w="2410" w:type="dxa"/>
            <w:gridSpan w:val="2"/>
            <w:tcBorders>
              <w:top w:val="nil"/>
              <w:left w:val="nil"/>
              <w:bottom w:val="nil"/>
              <w:right w:val="nil"/>
            </w:tcBorders>
          </w:tcPr>
          <w:p w:rsidR="00420B22" w:rsidRPr="0032635B" w:rsidRDefault="00420B22" w:rsidP="00C92BD7">
            <w:pPr>
              <w:spacing w:line="360" w:lineRule="auto"/>
              <w:rPr>
                <w:rFonts w:ascii="Book Antiqua" w:hAnsi="Book Antiqua" w:cs="Times New Roman"/>
                <w:sz w:val="24"/>
                <w:szCs w:val="24"/>
              </w:rPr>
            </w:pPr>
            <w:r w:rsidRPr="0032635B">
              <w:rPr>
                <w:rFonts w:ascii="Book Antiqua" w:hAnsi="Book Antiqua" w:cs="Times New Roman"/>
                <w:sz w:val="24"/>
                <w:szCs w:val="24"/>
              </w:rPr>
              <w:t>0</w:t>
            </w:r>
            <w:r w:rsidRPr="0032635B">
              <w:rPr>
                <w:rFonts w:ascii="Book Antiqua" w:eastAsia="宋体" w:hAnsi="Book Antiqua" w:cs="Times New Roman"/>
                <w:sz w:val="24"/>
                <w:szCs w:val="24"/>
                <w:lang w:eastAsia="zh-CN"/>
              </w:rPr>
              <w:t xml:space="preserve"> </w:t>
            </w:r>
            <w:r w:rsidR="008913E9" w:rsidRPr="0032635B">
              <w:rPr>
                <w:rFonts w:ascii="Book Antiqua" w:hAnsi="Book Antiqua"/>
                <w:sz w:val="24"/>
                <w:szCs w:val="24"/>
              </w:rPr>
              <w:t>(0</w:t>
            </w:r>
            <w:r w:rsidRPr="0032635B">
              <w:rPr>
                <w:rFonts w:ascii="Book Antiqua" w:hAnsi="Book Antiqua"/>
                <w:sz w:val="24"/>
                <w:szCs w:val="24"/>
              </w:rPr>
              <w:t>)</w:t>
            </w:r>
          </w:p>
        </w:tc>
        <w:tc>
          <w:tcPr>
            <w:tcW w:w="1417" w:type="dxa"/>
            <w:tcBorders>
              <w:top w:val="nil"/>
              <w:left w:val="nil"/>
              <w:bottom w:val="nil"/>
              <w:right w:val="nil"/>
            </w:tcBorders>
          </w:tcPr>
          <w:p w:rsidR="00420B22" w:rsidRPr="0032635B" w:rsidRDefault="00420B22" w:rsidP="00C92BD7">
            <w:pPr>
              <w:spacing w:line="360" w:lineRule="auto"/>
              <w:rPr>
                <w:rFonts w:ascii="Book Antiqua" w:hAnsi="Book Antiqua" w:cs="Times New Roman"/>
                <w:sz w:val="24"/>
                <w:szCs w:val="24"/>
              </w:rPr>
            </w:pPr>
            <w:r w:rsidRPr="0032635B">
              <w:rPr>
                <w:rFonts w:ascii="Book Antiqua" w:hAnsi="Book Antiqua"/>
                <w:sz w:val="24"/>
                <w:szCs w:val="24"/>
              </w:rPr>
              <w:t>-</w:t>
            </w:r>
          </w:p>
        </w:tc>
      </w:tr>
      <w:tr w:rsidR="00420B22" w:rsidRPr="0032635B" w:rsidTr="008913E9">
        <w:trPr>
          <w:trHeight w:val="352"/>
        </w:trPr>
        <w:tc>
          <w:tcPr>
            <w:tcW w:w="284" w:type="dxa"/>
            <w:tcBorders>
              <w:top w:val="nil"/>
              <w:left w:val="nil"/>
              <w:bottom w:val="nil"/>
              <w:right w:val="nil"/>
            </w:tcBorders>
          </w:tcPr>
          <w:p w:rsidR="00420B22" w:rsidRPr="0032635B" w:rsidRDefault="00420B22" w:rsidP="00C92BD7">
            <w:pPr>
              <w:spacing w:line="360" w:lineRule="auto"/>
              <w:rPr>
                <w:rFonts w:ascii="Book Antiqua" w:hAnsi="Book Antiqua" w:cs="Times New Roman"/>
                <w:sz w:val="24"/>
                <w:szCs w:val="24"/>
              </w:rPr>
            </w:pPr>
          </w:p>
        </w:tc>
        <w:tc>
          <w:tcPr>
            <w:tcW w:w="3119" w:type="dxa"/>
            <w:gridSpan w:val="2"/>
            <w:tcBorders>
              <w:top w:val="nil"/>
              <w:left w:val="nil"/>
              <w:bottom w:val="nil"/>
              <w:right w:val="nil"/>
            </w:tcBorders>
          </w:tcPr>
          <w:p w:rsidR="00420B22" w:rsidRPr="0032635B" w:rsidRDefault="00420B22" w:rsidP="00C92BD7">
            <w:pPr>
              <w:spacing w:line="360" w:lineRule="auto"/>
              <w:rPr>
                <w:rFonts w:ascii="Book Antiqua" w:hAnsi="Book Antiqua" w:cs="Times New Roman"/>
                <w:sz w:val="24"/>
                <w:szCs w:val="24"/>
              </w:rPr>
            </w:pPr>
            <w:r w:rsidRPr="0032635B">
              <w:rPr>
                <w:rFonts w:ascii="Book Antiqua" w:hAnsi="Book Antiqua"/>
                <w:sz w:val="24"/>
                <w:szCs w:val="24"/>
              </w:rPr>
              <w:t>Liver disease</w:t>
            </w:r>
          </w:p>
        </w:tc>
        <w:tc>
          <w:tcPr>
            <w:tcW w:w="2835" w:type="dxa"/>
            <w:gridSpan w:val="2"/>
            <w:tcBorders>
              <w:top w:val="nil"/>
              <w:left w:val="nil"/>
              <w:bottom w:val="nil"/>
              <w:right w:val="nil"/>
            </w:tcBorders>
          </w:tcPr>
          <w:p w:rsidR="00420B22" w:rsidRPr="0032635B" w:rsidRDefault="00420B22" w:rsidP="00C92BD7">
            <w:pPr>
              <w:spacing w:line="360" w:lineRule="auto"/>
              <w:rPr>
                <w:rFonts w:ascii="Book Antiqua" w:hAnsi="Book Antiqua" w:cs="Times New Roman"/>
                <w:sz w:val="24"/>
                <w:szCs w:val="24"/>
              </w:rPr>
            </w:pPr>
            <w:r w:rsidRPr="0032635B">
              <w:rPr>
                <w:rFonts w:ascii="Book Antiqua" w:hAnsi="Book Antiqua" w:cs="Times New Roman"/>
                <w:sz w:val="24"/>
                <w:szCs w:val="24"/>
              </w:rPr>
              <w:t>1</w:t>
            </w:r>
            <w:r w:rsidRPr="0032635B">
              <w:rPr>
                <w:rFonts w:ascii="Book Antiqua" w:eastAsia="宋体" w:hAnsi="Book Antiqua" w:cs="Times New Roman"/>
                <w:sz w:val="24"/>
                <w:szCs w:val="24"/>
                <w:lang w:eastAsia="zh-CN"/>
              </w:rPr>
              <w:t xml:space="preserve"> </w:t>
            </w:r>
            <w:r w:rsidR="008913E9" w:rsidRPr="0032635B">
              <w:rPr>
                <w:rFonts w:ascii="Book Antiqua" w:hAnsi="Book Antiqua"/>
                <w:sz w:val="24"/>
                <w:szCs w:val="24"/>
              </w:rPr>
              <w:t>(4.2</w:t>
            </w:r>
            <w:r w:rsidRPr="0032635B">
              <w:rPr>
                <w:rFonts w:ascii="Book Antiqua" w:hAnsi="Book Antiqua"/>
                <w:sz w:val="24"/>
                <w:szCs w:val="24"/>
              </w:rPr>
              <w:t>)</w:t>
            </w:r>
          </w:p>
        </w:tc>
        <w:tc>
          <w:tcPr>
            <w:tcW w:w="2410" w:type="dxa"/>
            <w:gridSpan w:val="2"/>
            <w:tcBorders>
              <w:top w:val="nil"/>
              <w:left w:val="nil"/>
              <w:bottom w:val="nil"/>
              <w:right w:val="nil"/>
            </w:tcBorders>
          </w:tcPr>
          <w:p w:rsidR="00420B22" w:rsidRPr="0032635B" w:rsidRDefault="00420B22" w:rsidP="00C92BD7">
            <w:pPr>
              <w:spacing w:line="360" w:lineRule="auto"/>
              <w:rPr>
                <w:rFonts w:ascii="Book Antiqua" w:hAnsi="Book Antiqua" w:cs="Times New Roman"/>
                <w:sz w:val="24"/>
                <w:szCs w:val="24"/>
              </w:rPr>
            </w:pPr>
            <w:r w:rsidRPr="0032635B">
              <w:rPr>
                <w:rFonts w:ascii="Book Antiqua" w:hAnsi="Book Antiqua" w:cs="Times New Roman"/>
                <w:sz w:val="24"/>
                <w:szCs w:val="24"/>
              </w:rPr>
              <w:t>3</w:t>
            </w:r>
            <w:r w:rsidRPr="0032635B">
              <w:rPr>
                <w:rFonts w:ascii="Book Antiqua" w:eastAsia="宋体" w:hAnsi="Book Antiqua" w:cs="Times New Roman"/>
                <w:sz w:val="24"/>
                <w:szCs w:val="24"/>
                <w:lang w:eastAsia="zh-CN"/>
              </w:rPr>
              <w:t xml:space="preserve"> </w:t>
            </w:r>
            <w:r w:rsidR="008913E9" w:rsidRPr="0032635B">
              <w:rPr>
                <w:rFonts w:ascii="Book Antiqua" w:hAnsi="Book Antiqua"/>
                <w:sz w:val="24"/>
                <w:szCs w:val="24"/>
              </w:rPr>
              <w:t>(10.3</w:t>
            </w:r>
            <w:r w:rsidRPr="0032635B">
              <w:rPr>
                <w:rFonts w:ascii="Book Antiqua" w:hAnsi="Book Antiqua"/>
                <w:sz w:val="24"/>
                <w:szCs w:val="24"/>
              </w:rPr>
              <w:t>)</w:t>
            </w:r>
          </w:p>
        </w:tc>
        <w:tc>
          <w:tcPr>
            <w:tcW w:w="1417" w:type="dxa"/>
            <w:tcBorders>
              <w:top w:val="nil"/>
              <w:left w:val="nil"/>
              <w:bottom w:val="nil"/>
              <w:right w:val="nil"/>
            </w:tcBorders>
          </w:tcPr>
          <w:p w:rsidR="00420B22" w:rsidRPr="0032635B" w:rsidRDefault="00420B22" w:rsidP="00C92BD7">
            <w:pPr>
              <w:spacing w:line="360" w:lineRule="auto"/>
              <w:rPr>
                <w:rFonts w:ascii="Book Antiqua" w:hAnsi="Book Antiqua" w:cs="Times New Roman"/>
                <w:sz w:val="24"/>
                <w:szCs w:val="24"/>
              </w:rPr>
            </w:pPr>
            <w:r w:rsidRPr="0032635B">
              <w:rPr>
                <w:rFonts w:ascii="Book Antiqua" w:hAnsi="Book Antiqua"/>
                <w:sz w:val="24"/>
                <w:szCs w:val="24"/>
              </w:rPr>
              <w:t>0.62</w:t>
            </w:r>
          </w:p>
        </w:tc>
      </w:tr>
      <w:tr w:rsidR="00420B22" w:rsidRPr="0032635B" w:rsidTr="008913E9">
        <w:trPr>
          <w:trHeight w:val="352"/>
        </w:trPr>
        <w:tc>
          <w:tcPr>
            <w:tcW w:w="284" w:type="dxa"/>
            <w:tcBorders>
              <w:top w:val="nil"/>
              <w:left w:val="nil"/>
              <w:bottom w:val="nil"/>
              <w:right w:val="nil"/>
            </w:tcBorders>
          </w:tcPr>
          <w:p w:rsidR="00420B22" w:rsidRPr="0032635B" w:rsidRDefault="00420B22" w:rsidP="00C92BD7">
            <w:pPr>
              <w:spacing w:line="360" w:lineRule="auto"/>
              <w:rPr>
                <w:rFonts w:ascii="Book Antiqua" w:hAnsi="Book Antiqua" w:cs="Times New Roman"/>
                <w:sz w:val="24"/>
                <w:szCs w:val="24"/>
              </w:rPr>
            </w:pPr>
          </w:p>
        </w:tc>
        <w:tc>
          <w:tcPr>
            <w:tcW w:w="3119" w:type="dxa"/>
            <w:gridSpan w:val="2"/>
            <w:tcBorders>
              <w:top w:val="nil"/>
              <w:left w:val="nil"/>
              <w:bottom w:val="nil"/>
              <w:right w:val="nil"/>
            </w:tcBorders>
          </w:tcPr>
          <w:p w:rsidR="00420B22" w:rsidRPr="0032635B" w:rsidRDefault="00420B22" w:rsidP="00C92BD7">
            <w:pPr>
              <w:spacing w:line="360" w:lineRule="auto"/>
              <w:rPr>
                <w:rFonts w:ascii="Book Antiqua" w:hAnsi="Book Antiqua" w:cs="Times New Roman"/>
                <w:sz w:val="24"/>
                <w:szCs w:val="24"/>
              </w:rPr>
            </w:pPr>
            <w:r w:rsidRPr="0032635B">
              <w:rPr>
                <w:rFonts w:ascii="Book Antiqua" w:hAnsi="Book Antiqua"/>
                <w:sz w:val="24"/>
                <w:szCs w:val="24"/>
              </w:rPr>
              <w:t>Renal failure</w:t>
            </w:r>
          </w:p>
        </w:tc>
        <w:tc>
          <w:tcPr>
            <w:tcW w:w="2835" w:type="dxa"/>
            <w:gridSpan w:val="2"/>
            <w:tcBorders>
              <w:top w:val="nil"/>
              <w:left w:val="nil"/>
              <w:bottom w:val="nil"/>
              <w:right w:val="nil"/>
            </w:tcBorders>
          </w:tcPr>
          <w:p w:rsidR="00420B22" w:rsidRPr="0032635B" w:rsidRDefault="00420B22" w:rsidP="00C92BD7">
            <w:pPr>
              <w:spacing w:line="360" w:lineRule="auto"/>
              <w:rPr>
                <w:rFonts w:ascii="Book Antiqua" w:hAnsi="Book Antiqua" w:cs="Times New Roman"/>
                <w:sz w:val="24"/>
                <w:szCs w:val="24"/>
              </w:rPr>
            </w:pPr>
            <w:r w:rsidRPr="0032635B">
              <w:rPr>
                <w:rFonts w:ascii="Book Antiqua" w:hAnsi="Book Antiqua" w:cs="Times New Roman"/>
                <w:sz w:val="24"/>
                <w:szCs w:val="24"/>
              </w:rPr>
              <w:t>0</w:t>
            </w:r>
            <w:r w:rsidRPr="0032635B">
              <w:rPr>
                <w:rFonts w:ascii="Book Antiqua" w:eastAsia="宋体" w:hAnsi="Book Antiqua" w:cs="Times New Roman"/>
                <w:sz w:val="24"/>
                <w:szCs w:val="24"/>
                <w:lang w:eastAsia="zh-CN"/>
              </w:rPr>
              <w:t xml:space="preserve"> </w:t>
            </w:r>
            <w:r w:rsidR="008913E9" w:rsidRPr="0032635B">
              <w:rPr>
                <w:rFonts w:ascii="Book Antiqua" w:hAnsi="Book Antiqua"/>
                <w:sz w:val="24"/>
                <w:szCs w:val="24"/>
              </w:rPr>
              <w:t>(0</w:t>
            </w:r>
            <w:r w:rsidRPr="0032635B">
              <w:rPr>
                <w:rFonts w:ascii="Book Antiqua" w:hAnsi="Book Antiqua"/>
                <w:sz w:val="24"/>
                <w:szCs w:val="24"/>
              </w:rPr>
              <w:t>)</w:t>
            </w:r>
          </w:p>
        </w:tc>
        <w:tc>
          <w:tcPr>
            <w:tcW w:w="2410" w:type="dxa"/>
            <w:gridSpan w:val="2"/>
            <w:tcBorders>
              <w:top w:val="nil"/>
              <w:left w:val="nil"/>
              <w:bottom w:val="nil"/>
              <w:right w:val="nil"/>
            </w:tcBorders>
          </w:tcPr>
          <w:p w:rsidR="00420B22" w:rsidRPr="0032635B" w:rsidRDefault="00420B22" w:rsidP="00C92BD7">
            <w:pPr>
              <w:spacing w:line="360" w:lineRule="auto"/>
              <w:rPr>
                <w:rFonts w:ascii="Book Antiqua" w:hAnsi="Book Antiqua" w:cs="Times New Roman"/>
                <w:sz w:val="24"/>
                <w:szCs w:val="24"/>
              </w:rPr>
            </w:pPr>
            <w:r w:rsidRPr="0032635B">
              <w:rPr>
                <w:rFonts w:ascii="Book Antiqua" w:hAnsi="Book Antiqua" w:cs="Times New Roman"/>
                <w:sz w:val="24"/>
                <w:szCs w:val="24"/>
              </w:rPr>
              <w:t>0</w:t>
            </w:r>
            <w:r w:rsidRPr="0032635B">
              <w:rPr>
                <w:rFonts w:ascii="Book Antiqua" w:eastAsia="宋体" w:hAnsi="Book Antiqua" w:cs="Times New Roman"/>
                <w:sz w:val="24"/>
                <w:szCs w:val="24"/>
                <w:lang w:eastAsia="zh-CN"/>
              </w:rPr>
              <w:t xml:space="preserve"> </w:t>
            </w:r>
            <w:r w:rsidR="008913E9" w:rsidRPr="0032635B">
              <w:rPr>
                <w:rFonts w:ascii="Book Antiqua" w:hAnsi="Book Antiqua"/>
                <w:sz w:val="24"/>
                <w:szCs w:val="24"/>
              </w:rPr>
              <w:t>(0</w:t>
            </w:r>
            <w:r w:rsidRPr="0032635B">
              <w:rPr>
                <w:rFonts w:ascii="Book Antiqua" w:hAnsi="Book Antiqua"/>
                <w:sz w:val="24"/>
                <w:szCs w:val="24"/>
              </w:rPr>
              <w:t>)</w:t>
            </w:r>
          </w:p>
        </w:tc>
        <w:tc>
          <w:tcPr>
            <w:tcW w:w="1417" w:type="dxa"/>
            <w:tcBorders>
              <w:top w:val="nil"/>
              <w:left w:val="nil"/>
              <w:bottom w:val="nil"/>
              <w:right w:val="nil"/>
            </w:tcBorders>
          </w:tcPr>
          <w:p w:rsidR="00420B22" w:rsidRPr="0032635B" w:rsidRDefault="00420B22" w:rsidP="00C92BD7">
            <w:pPr>
              <w:spacing w:line="360" w:lineRule="auto"/>
              <w:rPr>
                <w:rFonts w:ascii="Book Antiqua" w:hAnsi="Book Antiqua" w:cs="Times New Roman"/>
                <w:sz w:val="24"/>
                <w:szCs w:val="24"/>
              </w:rPr>
            </w:pPr>
            <w:r w:rsidRPr="0032635B">
              <w:rPr>
                <w:rFonts w:ascii="Book Antiqua" w:hAnsi="Book Antiqua"/>
                <w:sz w:val="24"/>
                <w:szCs w:val="24"/>
              </w:rPr>
              <w:t>-</w:t>
            </w:r>
          </w:p>
        </w:tc>
      </w:tr>
      <w:tr w:rsidR="00420B22" w:rsidRPr="0032635B" w:rsidTr="008913E9">
        <w:trPr>
          <w:trHeight w:val="352"/>
        </w:trPr>
        <w:tc>
          <w:tcPr>
            <w:tcW w:w="284" w:type="dxa"/>
            <w:tcBorders>
              <w:top w:val="nil"/>
              <w:left w:val="nil"/>
              <w:bottom w:val="single" w:sz="4" w:space="0" w:color="auto"/>
              <w:right w:val="nil"/>
            </w:tcBorders>
          </w:tcPr>
          <w:p w:rsidR="00420B22" w:rsidRPr="0032635B" w:rsidRDefault="00420B22" w:rsidP="00C92BD7">
            <w:pPr>
              <w:spacing w:line="360" w:lineRule="auto"/>
              <w:rPr>
                <w:rFonts w:ascii="Book Antiqua" w:hAnsi="Book Antiqua" w:cs="Times New Roman"/>
                <w:sz w:val="24"/>
                <w:szCs w:val="24"/>
              </w:rPr>
            </w:pPr>
          </w:p>
        </w:tc>
        <w:tc>
          <w:tcPr>
            <w:tcW w:w="3119" w:type="dxa"/>
            <w:gridSpan w:val="2"/>
            <w:tcBorders>
              <w:top w:val="nil"/>
              <w:left w:val="nil"/>
              <w:bottom w:val="single" w:sz="4" w:space="0" w:color="auto"/>
              <w:right w:val="nil"/>
            </w:tcBorders>
          </w:tcPr>
          <w:p w:rsidR="00420B22" w:rsidRPr="0032635B" w:rsidRDefault="00420B22" w:rsidP="00C92BD7">
            <w:pPr>
              <w:spacing w:line="360" w:lineRule="auto"/>
              <w:rPr>
                <w:rFonts w:ascii="Book Antiqua" w:hAnsi="Book Antiqua" w:cs="Times New Roman"/>
                <w:sz w:val="24"/>
                <w:szCs w:val="24"/>
              </w:rPr>
            </w:pPr>
            <w:r w:rsidRPr="0032635B">
              <w:rPr>
                <w:rFonts w:ascii="Book Antiqua" w:hAnsi="Book Antiqua"/>
                <w:sz w:val="24"/>
                <w:szCs w:val="24"/>
              </w:rPr>
              <w:t>Malignancy</w:t>
            </w:r>
          </w:p>
        </w:tc>
        <w:tc>
          <w:tcPr>
            <w:tcW w:w="2835" w:type="dxa"/>
            <w:gridSpan w:val="2"/>
            <w:tcBorders>
              <w:top w:val="nil"/>
              <w:left w:val="nil"/>
              <w:bottom w:val="single" w:sz="4" w:space="0" w:color="auto"/>
              <w:right w:val="nil"/>
            </w:tcBorders>
          </w:tcPr>
          <w:p w:rsidR="00420B22" w:rsidRPr="0032635B" w:rsidRDefault="00420B22" w:rsidP="00C92BD7">
            <w:pPr>
              <w:spacing w:line="360" w:lineRule="auto"/>
              <w:rPr>
                <w:rFonts w:ascii="Book Antiqua" w:hAnsi="Book Antiqua" w:cs="Times New Roman"/>
                <w:sz w:val="24"/>
                <w:szCs w:val="24"/>
              </w:rPr>
            </w:pPr>
            <w:r w:rsidRPr="0032635B">
              <w:rPr>
                <w:rFonts w:ascii="Book Antiqua" w:hAnsi="Book Antiqua"/>
                <w:sz w:val="24"/>
                <w:szCs w:val="24"/>
              </w:rPr>
              <w:t xml:space="preserve">2 </w:t>
            </w:r>
            <w:r w:rsidR="008913E9" w:rsidRPr="0032635B">
              <w:rPr>
                <w:rFonts w:ascii="Book Antiqua" w:hAnsi="Book Antiqua"/>
                <w:sz w:val="24"/>
                <w:szCs w:val="24"/>
              </w:rPr>
              <w:t>(8.3</w:t>
            </w:r>
            <w:r w:rsidRPr="0032635B">
              <w:rPr>
                <w:rFonts w:ascii="Book Antiqua" w:hAnsi="Book Antiqua"/>
                <w:sz w:val="24"/>
                <w:szCs w:val="24"/>
              </w:rPr>
              <w:t>)</w:t>
            </w:r>
          </w:p>
        </w:tc>
        <w:tc>
          <w:tcPr>
            <w:tcW w:w="2410" w:type="dxa"/>
            <w:gridSpan w:val="2"/>
            <w:tcBorders>
              <w:top w:val="nil"/>
              <w:left w:val="nil"/>
              <w:bottom w:val="single" w:sz="4" w:space="0" w:color="auto"/>
              <w:right w:val="nil"/>
            </w:tcBorders>
          </w:tcPr>
          <w:p w:rsidR="00420B22" w:rsidRPr="0032635B" w:rsidRDefault="00420B22" w:rsidP="00C92BD7">
            <w:pPr>
              <w:spacing w:line="360" w:lineRule="auto"/>
              <w:rPr>
                <w:rFonts w:ascii="Book Antiqua" w:hAnsi="Book Antiqua" w:cs="Times New Roman"/>
                <w:sz w:val="24"/>
                <w:szCs w:val="24"/>
              </w:rPr>
            </w:pPr>
            <w:r w:rsidRPr="0032635B">
              <w:rPr>
                <w:rFonts w:ascii="Book Antiqua" w:hAnsi="Book Antiqua" w:cs="Times New Roman"/>
                <w:sz w:val="24"/>
                <w:szCs w:val="24"/>
              </w:rPr>
              <w:t>2</w:t>
            </w:r>
            <w:r w:rsidRPr="0032635B">
              <w:rPr>
                <w:rFonts w:ascii="Book Antiqua" w:eastAsia="宋体" w:hAnsi="Book Antiqua" w:cs="Times New Roman"/>
                <w:sz w:val="24"/>
                <w:szCs w:val="24"/>
                <w:lang w:eastAsia="zh-CN"/>
              </w:rPr>
              <w:t xml:space="preserve"> </w:t>
            </w:r>
            <w:r w:rsidR="008913E9" w:rsidRPr="0032635B">
              <w:rPr>
                <w:rFonts w:ascii="Book Antiqua" w:hAnsi="Book Antiqua"/>
                <w:sz w:val="24"/>
                <w:szCs w:val="24"/>
              </w:rPr>
              <w:t>(6.9</w:t>
            </w:r>
            <w:r w:rsidRPr="0032635B">
              <w:rPr>
                <w:rFonts w:ascii="Book Antiqua" w:hAnsi="Book Antiqua"/>
                <w:sz w:val="24"/>
                <w:szCs w:val="24"/>
              </w:rPr>
              <w:t>)</w:t>
            </w:r>
          </w:p>
        </w:tc>
        <w:tc>
          <w:tcPr>
            <w:tcW w:w="1417" w:type="dxa"/>
            <w:tcBorders>
              <w:top w:val="nil"/>
              <w:left w:val="nil"/>
              <w:bottom w:val="single" w:sz="4" w:space="0" w:color="auto"/>
              <w:right w:val="nil"/>
            </w:tcBorders>
          </w:tcPr>
          <w:p w:rsidR="00420B22" w:rsidRPr="0032635B" w:rsidRDefault="00420B22" w:rsidP="00C92BD7">
            <w:pPr>
              <w:spacing w:line="360" w:lineRule="auto"/>
              <w:rPr>
                <w:rFonts w:ascii="Book Antiqua" w:hAnsi="Book Antiqua" w:cs="Times New Roman"/>
                <w:sz w:val="24"/>
                <w:szCs w:val="24"/>
              </w:rPr>
            </w:pPr>
            <w:r w:rsidRPr="0032635B">
              <w:rPr>
                <w:rFonts w:ascii="Book Antiqua" w:hAnsi="Book Antiqua" w:cs="Times New Roman"/>
                <w:sz w:val="24"/>
                <w:szCs w:val="24"/>
              </w:rPr>
              <w:t>&gt;</w:t>
            </w:r>
            <w:r w:rsidRPr="0032635B">
              <w:rPr>
                <w:rFonts w:ascii="Book Antiqua" w:eastAsia="宋体" w:hAnsi="Book Antiqua" w:cs="Times New Roman"/>
                <w:sz w:val="24"/>
                <w:szCs w:val="24"/>
                <w:lang w:eastAsia="zh-CN"/>
              </w:rPr>
              <w:t xml:space="preserve"> 0</w:t>
            </w:r>
            <w:r w:rsidRPr="0032635B">
              <w:rPr>
                <w:rFonts w:ascii="Book Antiqua" w:hAnsi="Book Antiqua" w:cs="Times New Roman"/>
                <w:sz w:val="24"/>
                <w:szCs w:val="24"/>
              </w:rPr>
              <w:t>.99</w:t>
            </w:r>
          </w:p>
        </w:tc>
      </w:tr>
    </w:tbl>
    <w:p w:rsidR="00F85668" w:rsidRPr="0032635B" w:rsidRDefault="00F85668" w:rsidP="00C92BD7">
      <w:pPr>
        <w:widowControl/>
        <w:spacing w:line="360" w:lineRule="auto"/>
        <w:rPr>
          <w:rFonts w:ascii="Book Antiqua" w:hAnsi="Book Antiqua" w:cs="Times New Roman"/>
          <w:sz w:val="24"/>
          <w:szCs w:val="24"/>
        </w:rPr>
      </w:pPr>
    </w:p>
    <w:p w:rsidR="006F59B3" w:rsidRPr="0032635B" w:rsidRDefault="006F59B3" w:rsidP="00C92BD7">
      <w:pPr>
        <w:widowControl/>
        <w:spacing w:line="360" w:lineRule="auto"/>
        <w:rPr>
          <w:rFonts w:ascii="Book Antiqua" w:hAnsi="Book Antiqua" w:cs="Times New Roman"/>
          <w:sz w:val="24"/>
          <w:szCs w:val="24"/>
        </w:rPr>
      </w:pPr>
    </w:p>
    <w:sectPr w:rsidR="006F59B3" w:rsidRPr="0032635B" w:rsidSect="00C54A09">
      <w:pgSz w:w="11906" w:h="16838"/>
      <w:pgMar w:top="1985" w:right="1701" w:bottom="1701" w:left="1701" w:header="851" w:footer="992" w:gutter="0"/>
      <w:pgBorders w:offsetFrom="page">
        <w:bottom w:val="single" w:sz="4" w:space="24" w:color="auto"/>
      </w:pgBorders>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6933" w:rsidRDefault="00236933">
      <w:r>
        <w:separator/>
      </w:r>
    </w:p>
  </w:endnote>
  <w:endnote w:type="continuationSeparator" w:id="0">
    <w:p w:rsidR="00236933" w:rsidRDefault="00236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6933" w:rsidRDefault="00236933">
      <w:r>
        <w:separator/>
      </w:r>
    </w:p>
  </w:footnote>
  <w:footnote w:type="continuationSeparator" w:id="0">
    <w:p w:rsidR="00236933" w:rsidRDefault="002369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D3FDE"/>
    <w:multiLevelType w:val="hybridMultilevel"/>
    <w:tmpl w:val="FD0A118C"/>
    <w:lvl w:ilvl="0" w:tplc="FBEC401C">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
    <w:nsid w:val="2DA256EE"/>
    <w:multiLevelType w:val="hybridMultilevel"/>
    <w:tmpl w:val="9E7EB818"/>
    <w:lvl w:ilvl="0" w:tplc="09B6CFB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77E14D57"/>
    <w:multiLevelType w:val="hybridMultilevel"/>
    <w:tmpl w:val="98AA6144"/>
    <w:lvl w:ilvl="0" w:tplc="E048A828">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S Ma">
    <w15:presenceInfo w15:providerId="None" w15:userId="LS 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AFD"/>
    <w:rsid w:val="00002933"/>
    <w:rsid w:val="000124D5"/>
    <w:rsid w:val="0001647A"/>
    <w:rsid w:val="0002639B"/>
    <w:rsid w:val="00030F53"/>
    <w:rsid w:val="0003314C"/>
    <w:rsid w:val="0005032D"/>
    <w:rsid w:val="0006180E"/>
    <w:rsid w:val="00070D4F"/>
    <w:rsid w:val="000752DC"/>
    <w:rsid w:val="00083B35"/>
    <w:rsid w:val="0008542D"/>
    <w:rsid w:val="000979B9"/>
    <w:rsid w:val="000A1003"/>
    <w:rsid w:val="000A2A20"/>
    <w:rsid w:val="000A7AC9"/>
    <w:rsid w:val="000B4140"/>
    <w:rsid w:val="000C56DC"/>
    <w:rsid w:val="000C7B5C"/>
    <w:rsid w:val="000D394F"/>
    <w:rsid w:val="000D560F"/>
    <w:rsid w:val="000E4AF2"/>
    <w:rsid w:val="000E4DD5"/>
    <w:rsid w:val="000E7985"/>
    <w:rsid w:val="000F6222"/>
    <w:rsid w:val="000F6AD4"/>
    <w:rsid w:val="0011003B"/>
    <w:rsid w:val="00112684"/>
    <w:rsid w:val="001127CB"/>
    <w:rsid w:val="00114612"/>
    <w:rsid w:val="00115587"/>
    <w:rsid w:val="00125E2C"/>
    <w:rsid w:val="001260C4"/>
    <w:rsid w:val="00130758"/>
    <w:rsid w:val="00130DD1"/>
    <w:rsid w:val="001345FE"/>
    <w:rsid w:val="0013638B"/>
    <w:rsid w:val="00147A64"/>
    <w:rsid w:val="00150157"/>
    <w:rsid w:val="0016098A"/>
    <w:rsid w:val="00160D09"/>
    <w:rsid w:val="001615A4"/>
    <w:rsid w:val="00162CB0"/>
    <w:rsid w:val="00165CF6"/>
    <w:rsid w:val="00173410"/>
    <w:rsid w:val="00175289"/>
    <w:rsid w:val="00195147"/>
    <w:rsid w:val="001A0224"/>
    <w:rsid w:val="001A5849"/>
    <w:rsid w:val="001B53FF"/>
    <w:rsid w:val="001B63D6"/>
    <w:rsid w:val="001D1817"/>
    <w:rsid w:val="001D44B2"/>
    <w:rsid w:val="001D5381"/>
    <w:rsid w:val="001F399A"/>
    <w:rsid w:val="001F4068"/>
    <w:rsid w:val="001F735D"/>
    <w:rsid w:val="00203A73"/>
    <w:rsid w:val="00216E19"/>
    <w:rsid w:val="00222D64"/>
    <w:rsid w:val="00233BE7"/>
    <w:rsid w:val="00236933"/>
    <w:rsid w:val="002436DA"/>
    <w:rsid w:val="00253DB7"/>
    <w:rsid w:val="00255BEA"/>
    <w:rsid w:val="00257002"/>
    <w:rsid w:val="00260AF7"/>
    <w:rsid w:val="00261532"/>
    <w:rsid w:val="00262C5B"/>
    <w:rsid w:val="00264FD4"/>
    <w:rsid w:val="00285ABF"/>
    <w:rsid w:val="002906FC"/>
    <w:rsid w:val="002B002C"/>
    <w:rsid w:val="002B4FCD"/>
    <w:rsid w:val="002B79BD"/>
    <w:rsid w:val="002C45CE"/>
    <w:rsid w:val="002C511E"/>
    <w:rsid w:val="002E2EF2"/>
    <w:rsid w:val="002E6B6E"/>
    <w:rsid w:val="003022B0"/>
    <w:rsid w:val="003037C3"/>
    <w:rsid w:val="00324DD5"/>
    <w:rsid w:val="0032635B"/>
    <w:rsid w:val="00330DCE"/>
    <w:rsid w:val="003337D5"/>
    <w:rsid w:val="0034354E"/>
    <w:rsid w:val="0034432B"/>
    <w:rsid w:val="003818FB"/>
    <w:rsid w:val="00385037"/>
    <w:rsid w:val="003874B1"/>
    <w:rsid w:val="00394029"/>
    <w:rsid w:val="00397907"/>
    <w:rsid w:val="003A7E4F"/>
    <w:rsid w:val="003B4096"/>
    <w:rsid w:val="003B5BA2"/>
    <w:rsid w:val="003C7EC3"/>
    <w:rsid w:val="003D4869"/>
    <w:rsid w:val="003D6FDA"/>
    <w:rsid w:val="003E0E82"/>
    <w:rsid w:val="004063F3"/>
    <w:rsid w:val="004108AD"/>
    <w:rsid w:val="00412C66"/>
    <w:rsid w:val="00420B22"/>
    <w:rsid w:val="00426066"/>
    <w:rsid w:val="004322EC"/>
    <w:rsid w:val="00435392"/>
    <w:rsid w:val="00441647"/>
    <w:rsid w:val="00444102"/>
    <w:rsid w:val="00452908"/>
    <w:rsid w:val="00454268"/>
    <w:rsid w:val="00457F4C"/>
    <w:rsid w:val="00473E0F"/>
    <w:rsid w:val="0049048F"/>
    <w:rsid w:val="00492E37"/>
    <w:rsid w:val="0049737A"/>
    <w:rsid w:val="004B0A6B"/>
    <w:rsid w:val="004B4C0A"/>
    <w:rsid w:val="004B6171"/>
    <w:rsid w:val="004D141B"/>
    <w:rsid w:val="004E079C"/>
    <w:rsid w:val="004F44EF"/>
    <w:rsid w:val="00506316"/>
    <w:rsid w:val="0051315D"/>
    <w:rsid w:val="00533659"/>
    <w:rsid w:val="005537FB"/>
    <w:rsid w:val="00556119"/>
    <w:rsid w:val="00567F69"/>
    <w:rsid w:val="005716D4"/>
    <w:rsid w:val="00577A57"/>
    <w:rsid w:val="00585292"/>
    <w:rsid w:val="005A518A"/>
    <w:rsid w:val="005A778D"/>
    <w:rsid w:val="005C0192"/>
    <w:rsid w:val="005D0D7E"/>
    <w:rsid w:val="005E04AC"/>
    <w:rsid w:val="005E7EF0"/>
    <w:rsid w:val="0060362A"/>
    <w:rsid w:val="00613E6C"/>
    <w:rsid w:val="00667298"/>
    <w:rsid w:val="00695CF0"/>
    <w:rsid w:val="006A14C9"/>
    <w:rsid w:val="006A2594"/>
    <w:rsid w:val="006B70FC"/>
    <w:rsid w:val="006C709A"/>
    <w:rsid w:val="006D28A5"/>
    <w:rsid w:val="006D2B5D"/>
    <w:rsid w:val="006D6A6D"/>
    <w:rsid w:val="006E2C82"/>
    <w:rsid w:val="006E3A4F"/>
    <w:rsid w:val="006E693E"/>
    <w:rsid w:val="006E6FEF"/>
    <w:rsid w:val="006F05EC"/>
    <w:rsid w:val="006F1DA1"/>
    <w:rsid w:val="006F58D8"/>
    <w:rsid w:val="006F59B3"/>
    <w:rsid w:val="00706B3E"/>
    <w:rsid w:val="00710041"/>
    <w:rsid w:val="00711426"/>
    <w:rsid w:val="007146B3"/>
    <w:rsid w:val="00724755"/>
    <w:rsid w:val="00724A14"/>
    <w:rsid w:val="00740BE5"/>
    <w:rsid w:val="007440FD"/>
    <w:rsid w:val="00746545"/>
    <w:rsid w:val="00762F21"/>
    <w:rsid w:val="00764C72"/>
    <w:rsid w:val="00782B7F"/>
    <w:rsid w:val="00786782"/>
    <w:rsid w:val="00786EE6"/>
    <w:rsid w:val="00796FF4"/>
    <w:rsid w:val="007A159B"/>
    <w:rsid w:val="007B10E5"/>
    <w:rsid w:val="007B7FF5"/>
    <w:rsid w:val="007D5691"/>
    <w:rsid w:val="00801AA0"/>
    <w:rsid w:val="00805AE4"/>
    <w:rsid w:val="00817397"/>
    <w:rsid w:val="00820232"/>
    <w:rsid w:val="00831AD4"/>
    <w:rsid w:val="00837C07"/>
    <w:rsid w:val="0084168D"/>
    <w:rsid w:val="00845665"/>
    <w:rsid w:val="00863F5E"/>
    <w:rsid w:val="00866D81"/>
    <w:rsid w:val="00872258"/>
    <w:rsid w:val="00872FFA"/>
    <w:rsid w:val="008848DD"/>
    <w:rsid w:val="008913E9"/>
    <w:rsid w:val="00894EF3"/>
    <w:rsid w:val="008A3B1C"/>
    <w:rsid w:val="008D020C"/>
    <w:rsid w:val="008D3B5D"/>
    <w:rsid w:val="008D4846"/>
    <w:rsid w:val="008D6AE9"/>
    <w:rsid w:val="008D7D19"/>
    <w:rsid w:val="008F3EDC"/>
    <w:rsid w:val="00901538"/>
    <w:rsid w:val="00901E0C"/>
    <w:rsid w:val="00903194"/>
    <w:rsid w:val="0091327D"/>
    <w:rsid w:val="00913713"/>
    <w:rsid w:val="0092168C"/>
    <w:rsid w:val="009406E2"/>
    <w:rsid w:val="00940836"/>
    <w:rsid w:val="00945497"/>
    <w:rsid w:val="00962575"/>
    <w:rsid w:val="00972BF8"/>
    <w:rsid w:val="009828D8"/>
    <w:rsid w:val="009C0B3B"/>
    <w:rsid w:val="009D4B66"/>
    <w:rsid w:val="009D5E72"/>
    <w:rsid w:val="009E3369"/>
    <w:rsid w:val="00A051DA"/>
    <w:rsid w:val="00A063DB"/>
    <w:rsid w:val="00A07783"/>
    <w:rsid w:val="00A12C98"/>
    <w:rsid w:val="00A26DCD"/>
    <w:rsid w:val="00AB2CAA"/>
    <w:rsid w:val="00AB439A"/>
    <w:rsid w:val="00AC279D"/>
    <w:rsid w:val="00AD4B95"/>
    <w:rsid w:val="00AD5378"/>
    <w:rsid w:val="00AE7241"/>
    <w:rsid w:val="00AE7FB2"/>
    <w:rsid w:val="00AF1E82"/>
    <w:rsid w:val="00AF7BCC"/>
    <w:rsid w:val="00B24380"/>
    <w:rsid w:val="00B47669"/>
    <w:rsid w:val="00B51D9E"/>
    <w:rsid w:val="00B64B4E"/>
    <w:rsid w:val="00B74804"/>
    <w:rsid w:val="00B82165"/>
    <w:rsid w:val="00B87E72"/>
    <w:rsid w:val="00B928DF"/>
    <w:rsid w:val="00B9347B"/>
    <w:rsid w:val="00BA0A6B"/>
    <w:rsid w:val="00BA12B1"/>
    <w:rsid w:val="00BA3AC7"/>
    <w:rsid w:val="00BA672D"/>
    <w:rsid w:val="00BB3676"/>
    <w:rsid w:val="00BB6EE2"/>
    <w:rsid w:val="00BC2023"/>
    <w:rsid w:val="00BC7485"/>
    <w:rsid w:val="00BE0A24"/>
    <w:rsid w:val="00BE2BAA"/>
    <w:rsid w:val="00BE4E21"/>
    <w:rsid w:val="00C05B8C"/>
    <w:rsid w:val="00C06452"/>
    <w:rsid w:val="00C15EA5"/>
    <w:rsid w:val="00C162D3"/>
    <w:rsid w:val="00C201CF"/>
    <w:rsid w:val="00C304E4"/>
    <w:rsid w:val="00C54A09"/>
    <w:rsid w:val="00C5699A"/>
    <w:rsid w:val="00C6677E"/>
    <w:rsid w:val="00C67160"/>
    <w:rsid w:val="00C74AD6"/>
    <w:rsid w:val="00C7739D"/>
    <w:rsid w:val="00C85FDA"/>
    <w:rsid w:val="00C86036"/>
    <w:rsid w:val="00C92BD7"/>
    <w:rsid w:val="00C944B6"/>
    <w:rsid w:val="00C96EF2"/>
    <w:rsid w:val="00CB4DDF"/>
    <w:rsid w:val="00CB669E"/>
    <w:rsid w:val="00CE542B"/>
    <w:rsid w:val="00D006AB"/>
    <w:rsid w:val="00D0486C"/>
    <w:rsid w:val="00D072E6"/>
    <w:rsid w:val="00D11390"/>
    <w:rsid w:val="00D12783"/>
    <w:rsid w:val="00D17F00"/>
    <w:rsid w:val="00D23B08"/>
    <w:rsid w:val="00D33C77"/>
    <w:rsid w:val="00D63ACF"/>
    <w:rsid w:val="00D82885"/>
    <w:rsid w:val="00D837CC"/>
    <w:rsid w:val="00D8587F"/>
    <w:rsid w:val="00D91286"/>
    <w:rsid w:val="00D96741"/>
    <w:rsid w:val="00DA5735"/>
    <w:rsid w:val="00DB0F2D"/>
    <w:rsid w:val="00DB45C9"/>
    <w:rsid w:val="00DB496F"/>
    <w:rsid w:val="00DC3DAF"/>
    <w:rsid w:val="00DF7255"/>
    <w:rsid w:val="00E045D9"/>
    <w:rsid w:val="00E07F8C"/>
    <w:rsid w:val="00E118A8"/>
    <w:rsid w:val="00E234D5"/>
    <w:rsid w:val="00E23C82"/>
    <w:rsid w:val="00E2782E"/>
    <w:rsid w:val="00E42801"/>
    <w:rsid w:val="00E51AFD"/>
    <w:rsid w:val="00E52C63"/>
    <w:rsid w:val="00E53A88"/>
    <w:rsid w:val="00E53DC1"/>
    <w:rsid w:val="00E55968"/>
    <w:rsid w:val="00E7149E"/>
    <w:rsid w:val="00E81D42"/>
    <w:rsid w:val="00E83C01"/>
    <w:rsid w:val="00EA1435"/>
    <w:rsid w:val="00EB5980"/>
    <w:rsid w:val="00EB6B96"/>
    <w:rsid w:val="00EC1F83"/>
    <w:rsid w:val="00EC2AAA"/>
    <w:rsid w:val="00EC3974"/>
    <w:rsid w:val="00ED2017"/>
    <w:rsid w:val="00EE3544"/>
    <w:rsid w:val="00F0474A"/>
    <w:rsid w:val="00F1358A"/>
    <w:rsid w:val="00F347AB"/>
    <w:rsid w:val="00F646B2"/>
    <w:rsid w:val="00F66784"/>
    <w:rsid w:val="00F70317"/>
    <w:rsid w:val="00F755EB"/>
    <w:rsid w:val="00F80F93"/>
    <w:rsid w:val="00F85668"/>
    <w:rsid w:val="00F86EDE"/>
    <w:rsid w:val="00FA1ADC"/>
    <w:rsid w:val="00FA6892"/>
    <w:rsid w:val="00FB688E"/>
    <w:rsid w:val="00FD0E44"/>
    <w:rsid w:val="00FE4C8F"/>
    <w:rsid w:val="00FF0ADE"/>
    <w:rsid w:val="00FF1C89"/>
    <w:rsid w:val="00FF61F8"/>
    <w:rsid w:val="00FF6FC3"/>
    <w:rsid w:val="00FF6FCE"/>
    <w:rsid w:val="00FF7A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778D"/>
    <w:pPr>
      <w:widowControl w:val="0"/>
      <w:jc w:val="both"/>
    </w:pPr>
    <w:rPr>
      <w:rFonts w:ascii="Century" w:eastAsia="MS Mincho" w:hAnsi="Century"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rsid w:val="00AB2CAA"/>
    <w:pPr>
      <w:spacing w:line="480" w:lineRule="auto"/>
    </w:pPr>
    <w:rPr>
      <w:color w:val="808080"/>
    </w:rPr>
  </w:style>
  <w:style w:type="character" w:customStyle="1" w:styleId="Char">
    <w:name w:val="正文文本 Char"/>
    <w:basedOn w:val="a0"/>
    <w:link w:val="a3"/>
    <w:uiPriority w:val="99"/>
    <w:rsid w:val="00AB2CAA"/>
    <w:rPr>
      <w:rFonts w:ascii="Century" w:eastAsia="MS Mincho" w:hAnsi="Century" w:cs="Century"/>
      <w:color w:val="808080"/>
      <w:szCs w:val="21"/>
    </w:rPr>
  </w:style>
  <w:style w:type="paragraph" w:styleId="a4">
    <w:name w:val="header"/>
    <w:basedOn w:val="a"/>
    <w:link w:val="Char0"/>
    <w:uiPriority w:val="99"/>
    <w:rsid w:val="00AB2CAA"/>
    <w:pPr>
      <w:tabs>
        <w:tab w:val="center" w:pos="4252"/>
        <w:tab w:val="right" w:pos="8504"/>
      </w:tabs>
      <w:snapToGrid w:val="0"/>
    </w:pPr>
  </w:style>
  <w:style w:type="character" w:customStyle="1" w:styleId="a5">
    <w:name w:val="ヘッダー (文字)"/>
    <w:basedOn w:val="a0"/>
    <w:uiPriority w:val="99"/>
    <w:semiHidden/>
    <w:rsid w:val="00AB2CAA"/>
    <w:rPr>
      <w:rFonts w:ascii="Century" w:eastAsia="MS Mincho" w:hAnsi="Century" w:cs="Century"/>
      <w:szCs w:val="21"/>
    </w:rPr>
  </w:style>
  <w:style w:type="character" w:customStyle="1" w:styleId="Char0">
    <w:name w:val="页眉 Char"/>
    <w:link w:val="a4"/>
    <w:uiPriority w:val="99"/>
    <w:rsid w:val="00AB2CAA"/>
    <w:rPr>
      <w:rFonts w:ascii="Century" w:eastAsia="MS Mincho" w:hAnsi="Century" w:cs="Century"/>
      <w:szCs w:val="21"/>
    </w:rPr>
  </w:style>
  <w:style w:type="paragraph" w:styleId="a6">
    <w:name w:val="footer"/>
    <w:basedOn w:val="a"/>
    <w:link w:val="Char1"/>
    <w:uiPriority w:val="99"/>
    <w:rsid w:val="00AB2CAA"/>
    <w:pPr>
      <w:tabs>
        <w:tab w:val="center" w:pos="4252"/>
        <w:tab w:val="right" w:pos="8504"/>
      </w:tabs>
      <w:snapToGrid w:val="0"/>
    </w:pPr>
  </w:style>
  <w:style w:type="character" w:customStyle="1" w:styleId="a7">
    <w:name w:val="フッター (文字)"/>
    <w:basedOn w:val="a0"/>
    <w:uiPriority w:val="99"/>
    <w:semiHidden/>
    <w:rsid w:val="00AB2CAA"/>
    <w:rPr>
      <w:rFonts w:ascii="Century" w:eastAsia="MS Mincho" w:hAnsi="Century" w:cs="Century"/>
      <w:szCs w:val="21"/>
    </w:rPr>
  </w:style>
  <w:style w:type="character" w:customStyle="1" w:styleId="Char1">
    <w:name w:val="页脚 Char"/>
    <w:link w:val="a6"/>
    <w:uiPriority w:val="99"/>
    <w:rsid w:val="00AB2CAA"/>
    <w:rPr>
      <w:rFonts w:ascii="Century" w:eastAsia="MS Mincho" w:hAnsi="Century" w:cs="Century"/>
      <w:szCs w:val="21"/>
    </w:rPr>
  </w:style>
  <w:style w:type="paragraph" w:styleId="a8">
    <w:name w:val="List Paragraph"/>
    <w:basedOn w:val="a"/>
    <w:uiPriority w:val="34"/>
    <w:qFormat/>
    <w:rsid w:val="00D96741"/>
    <w:pPr>
      <w:ind w:leftChars="400" w:left="840"/>
    </w:pPr>
  </w:style>
  <w:style w:type="paragraph" w:styleId="a9">
    <w:name w:val="Balloon Text"/>
    <w:basedOn w:val="a"/>
    <w:link w:val="Char2"/>
    <w:uiPriority w:val="99"/>
    <w:semiHidden/>
    <w:unhideWhenUsed/>
    <w:rsid w:val="007A159B"/>
    <w:rPr>
      <w:rFonts w:asciiTheme="majorHAnsi" w:eastAsiaTheme="majorEastAsia" w:hAnsiTheme="majorHAnsi" w:cstheme="majorBidi"/>
      <w:sz w:val="18"/>
      <w:szCs w:val="18"/>
    </w:rPr>
  </w:style>
  <w:style w:type="character" w:customStyle="1" w:styleId="Char2">
    <w:name w:val="批注框文本 Char"/>
    <w:basedOn w:val="a0"/>
    <w:link w:val="a9"/>
    <w:uiPriority w:val="99"/>
    <w:semiHidden/>
    <w:rsid w:val="007A159B"/>
    <w:rPr>
      <w:rFonts w:asciiTheme="majorHAnsi" w:eastAsiaTheme="majorEastAsia" w:hAnsiTheme="majorHAnsi" w:cstheme="majorBidi"/>
      <w:sz w:val="18"/>
      <w:szCs w:val="18"/>
    </w:rPr>
  </w:style>
  <w:style w:type="character" w:styleId="aa">
    <w:name w:val="Strong"/>
    <w:uiPriority w:val="22"/>
    <w:qFormat/>
    <w:rsid w:val="00473E0F"/>
    <w:rPr>
      <w:b/>
      <w:bCs/>
    </w:rPr>
  </w:style>
  <w:style w:type="character" w:styleId="ab">
    <w:name w:val="Hyperlink"/>
    <w:basedOn w:val="a0"/>
    <w:uiPriority w:val="99"/>
    <w:unhideWhenUsed/>
    <w:rsid w:val="00222D6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778D"/>
    <w:pPr>
      <w:widowControl w:val="0"/>
      <w:jc w:val="both"/>
    </w:pPr>
    <w:rPr>
      <w:rFonts w:ascii="Century" w:eastAsia="MS Mincho" w:hAnsi="Century"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rsid w:val="00AB2CAA"/>
    <w:pPr>
      <w:spacing w:line="480" w:lineRule="auto"/>
    </w:pPr>
    <w:rPr>
      <w:color w:val="808080"/>
    </w:rPr>
  </w:style>
  <w:style w:type="character" w:customStyle="1" w:styleId="Char">
    <w:name w:val="正文文本 Char"/>
    <w:basedOn w:val="a0"/>
    <w:link w:val="a3"/>
    <w:uiPriority w:val="99"/>
    <w:rsid w:val="00AB2CAA"/>
    <w:rPr>
      <w:rFonts w:ascii="Century" w:eastAsia="MS Mincho" w:hAnsi="Century" w:cs="Century"/>
      <w:color w:val="808080"/>
      <w:szCs w:val="21"/>
    </w:rPr>
  </w:style>
  <w:style w:type="paragraph" w:styleId="a4">
    <w:name w:val="header"/>
    <w:basedOn w:val="a"/>
    <w:link w:val="Char0"/>
    <w:uiPriority w:val="99"/>
    <w:rsid w:val="00AB2CAA"/>
    <w:pPr>
      <w:tabs>
        <w:tab w:val="center" w:pos="4252"/>
        <w:tab w:val="right" w:pos="8504"/>
      </w:tabs>
      <w:snapToGrid w:val="0"/>
    </w:pPr>
  </w:style>
  <w:style w:type="character" w:customStyle="1" w:styleId="a5">
    <w:name w:val="ヘッダー (文字)"/>
    <w:basedOn w:val="a0"/>
    <w:uiPriority w:val="99"/>
    <w:semiHidden/>
    <w:rsid w:val="00AB2CAA"/>
    <w:rPr>
      <w:rFonts w:ascii="Century" w:eastAsia="MS Mincho" w:hAnsi="Century" w:cs="Century"/>
      <w:szCs w:val="21"/>
    </w:rPr>
  </w:style>
  <w:style w:type="character" w:customStyle="1" w:styleId="Char0">
    <w:name w:val="页眉 Char"/>
    <w:link w:val="a4"/>
    <w:uiPriority w:val="99"/>
    <w:rsid w:val="00AB2CAA"/>
    <w:rPr>
      <w:rFonts w:ascii="Century" w:eastAsia="MS Mincho" w:hAnsi="Century" w:cs="Century"/>
      <w:szCs w:val="21"/>
    </w:rPr>
  </w:style>
  <w:style w:type="paragraph" w:styleId="a6">
    <w:name w:val="footer"/>
    <w:basedOn w:val="a"/>
    <w:link w:val="Char1"/>
    <w:uiPriority w:val="99"/>
    <w:rsid w:val="00AB2CAA"/>
    <w:pPr>
      <w:tabs>
        <w:tab w:val="center" w:pos="4252"/>
        <w:tab w:val="right" w:pos="8504"/>
      </w:tabs>
      <w:snapToGrid w:val="0"/>
    </w:pPr>
  </w:style>
  <w:style w:type="character" w:customStyle="1" w:styleId="a7">
    <w:name w:val="フッター (文字)"/>
    <w:basedOn w:val="a0"/>
    <w:uiPriority w:val="99"/>
    <w:semiHidden/>
    <w:rsid w:val="00AB2CAA"/>
    <w:rPr>
      <w:rFonts w:ascii="Century" w:eastAsia="MS Mincho" w:hAnsi="Century" w:cs="Century"/>
      <w:szCs w:val="21"/>
    </w:rPr>
  </w:style>
  <w:style w:type="character" w:customStyle="1" w:styleId="Char1">
    <w:name w:val="页脚 Char"/>
    <w:link w:val="a6"/>
    <w:uiPriority w:val="99"/>
    <w:rsid w:val="00AB2CAA"/>
    <w:rPr>
      <w:rFonts w:ascii="Century" w:eastAsia="MS Mincho" w:hAnsi="Century" w:cs="Century"/>
      <w:szCs w:val="21"/>
    </w:rPr>
  </w:style>
  <w:style w:type="paragraph" w:styleId="a8">
    <w:name w:val="List Paragraph"/>
    <w:basedOn w:val="a"/>
    <w:uiPriority w:val="34"/>
    <w:qFormat/>
    <w:rsid w:val="00D96741"/>
    <w:pPr>
      <w:ind w:leftChars="400" w:left="840"/>
    </w:pPr>
  </w:style>
  <w:style w:type="paragraph" w:styleId="a9">
    <w:name w:val="Balloon Text"/>
    <w:basedOn w:val="a"/>
    <w:link w:val="Char2"/>
    <w:uiPriority w:val="99"/>
    <w:semiHidden/>
    <w:unhideWhenUsed/>
    <w:rsid w:val="007A159B"/>
    <w:rPr>
      <w:rFonts w:asciiTheme="majorHAnsi" w:eastAsiaTheme="majorEastAsia" w:hAnsiTheme="majorHAnsi" w:cstheme="majorBidi"/>
      <w:sz w:val="18"/>
      <w:szCs w:val="18"/>
    </w:rPr>
  </w:style>
  <w:style w:type="character" w:customStyle="1" w:styleId="Char2">
    <w:name w:val="批注框文本 Char"/>
    <w:basedOn w:val="a0"/>
    <w:link w:val="a9"/>
    <w:uiPriority w:val="99"/>
    <w:semiHidden/>
    <w:rsid w:val="007A159B"/>
    <w:rPr>
      <w:rFonts w:asciiTheme="majorHAnsi" w:eastAsiaTheme="majorEastAsia" w:hAnsiTheme="majorHAnsi" w:cstheme="majorBidi"/>
      <w:sz w:val="18"/>
      <w:szCs w:val="18"/>
    </w:rPr>
  </w:style>
  <w:style w:type="character" w:styleId="aa">
    <w:name w:val="Strong"/>
    <w:uiPriority w:val="22"/>
    <w:qFormat/>
    <w:rsid w:val="00473E0F"/>
    <w:rPr>
      <w:b/>
      <w:bCs/>
    </w:rPr>
  </w:style>
  <w:style w:type="character" w:styleId="ab">
    <w:name w:val="Hyperlink"/>
    <w:basedOn w:val="a0"/>
    <w:uiPriority w:val="99"/>
    <w:unhideWhenUsed/>
    <w:rsid w:val="00222D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79205">
      <w:bodyDiv w:val="1"/>
      <w:marLeft w:val="0"/>
      <w:marRight w:val="0"/>
      <w:marTop w:val="0"/>
      <w:marBottom w:val="0"/>
      <w:divBdr>
        <w:top w:val="none" w:sz="0" w:space="0" w:color="auto"/>
        <w:left w:val="none" w:sz="0" w:space="0" w:color="auto"/>
        <w:bottom w:val="none" w:sz="0" w:space="0" w:color="auto"/>
        <w:right w:val="none" w:sz="0" w:space="0" w:color="auto"/>
      </w:divBdr>
      <w:divsChild>
        <w:div w:id="150871759">
          <w:marLeft w:val="0"/>
          <w:marRight w:val="1"/>
          <w:marTop w:val="0"/>
          <w:marBottom w:val="0"/>
          <w:divBdr>
            <w:top w:val="none" w:sz="0" w:space="0" w:color="auto"/>
            <w:left w:val="none" w:sz="0" w:space="0" w:color="auto"/>
            <w:bottom w:val="none" w:sz="0" w:space="0" w:color="auto"/>
            <w:right w:val="none" w:sz="0" w:space="0" w:color="auto"/>
          </w:divBdr>
          <w:divsChild>
            <w:div w:id="36124135">
              <w:marLeft w:val="0"/>
              <w:marRight w:val="0"/>
              <w:marTop w:val="0"/>
              <w:marBottom w:val="0"/>
              <w:divBdr>
                <w:top w:val="none" w:sz="0" w:space="0" w:color="auto"/>
                <w:left w:val="none" w:sz="0" w:space="0" w:color="auto"/>
                <w:bottom w:val="none" w:sz="0" w:space="0" w:color="auto"/>
                <w:right w:val="none" w:sz="0" w:space="0" w:color="auto"/>
              </w:divBdr>
              <w:divsChild>
                <w:div w:id="1586914037">
                  <w:marLeft w:val="0"/>
                  <w:marRight w:val="1"/>
                  <w:marTop w:val="0"/>
                  <w:marBottom w:val="0"/>
                  <w:divBdr>
                    <w:top w:val="none" w:sz="0" w:space="0" w:color="auto"/>
                    <w:left w:val="none" w:sz="0" w:space="0" w:color="auto"/>
                    <w:bottom w:val="none" w:sz="0" w:space="0" w:color="auto"/>
                    <w:right w:val="none" w:sz="0" w:space="0" w:color="auto"/>
                  </w:divBdr>
                  <w:divsChild>
                    <w:div w:id="55705739">
                      <w:marLeft w:val="0"/>
                      <w:marRight w:val="0"/>
                      <w:marTop w:val="0"/>
                      <w:marBottom w:val="0"/>
                      <w:divBdr>
                        <w:top w:val="none" w:sz="0" w:space="0" w:color="auto"/>
                        <w:left w:val="none" w:sz="0" w:space="0" w:color="auto"/>
                        <w:bottom w:val="none" w:sz="0" w:space="0" w:color="auto"/>
                        <w:right w:val="none" w:sz="0" w:space="0" w:color="auto"/>
                      </w:divBdr>
                      <w:divsChild>
                        <w:div w:id="658266031">
                          <w:marLeft w:val="0"/>
                          <w:marRight w:val="0"/>
                          <w:marTop w:val="0"/>
                          <w:marBottom w:val="0"/>
                          <w:divBdr>
                            <w:top w:val="none" w:sz="0" w:space="0" w:color="auto"/>
                            <w:left w:val="none" w:sz="0" w:space="0" w:color="auto"/>
                            <w:bottom w:val="none" w:sz="0" w:space="0" w:color="auto"/>
                            <w:right w:val="none" w:sz="0" w:space="0" w:color="auto"/>
                          </w:divBdr>
                          <w:divsChild>
                            <w:div w:id="908031142">
                              <w:marLeft w:val="0"/>
                              <w:marRight w:val="0"/>
                              <w:marTop w:val="120"/>
                              <w:marBottom w:val="360"/>
                              <w:divBdr>
                                <w:top w:val="none" w:sz="0" w:space="0" w:color="auto"/>
                                <w:left w:val="none" w:sz="0" w:space="0" w:color="auto"/>
                                <w:bottom w:val="none" w:sz="0" w:space="0" w:color="auto"/>
                                <w:right w:val="none" w:sz="0" w:space="0" w:color="auto"/>
                              </w:divBdr>
                              <w:divsChild>
                                <w:div w:id="327176492">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963424">
      <w:bodyDiv w:val="1"/>
      <w:marLeft w:val="0"/>
      <w:marRight w:val="0"/>
      <w:marTop w:val="0"/>
      <w:marBottom w:val="0"/>
      <w:divBdr>
        <w:top w:val="none" w:sz="0" w:space="0" w:color="auto"/>
        <w:left w:val="none" w:sz="0" w:space="0" w:color="auto"/>
        <w:bottom w:val="none" w:sz="0" w:space="0" w:color="auto"/>
        <w:right w:val="none" w:sz="0" w:space="0" w:color="auto"/>
      </w:divBdr>
    </w:div>
    <w:div w:id="363558484">
      <w:bodyDiv w:val="1"/>
      <w:marLeft w:val="0"/>
      <w:marRight w:val="0"/>
      <w:marTop w:val="0"/>
      <w:marBottom w:val="0"/>
      <w:divBdr>
        <w:top w:val="none" w:sz="0" w:space="0" w:color="auto"/>
        <w:left w:val="none" w:sz="0" w:space="0" w:color="auto"/>
        <w:bottom w:val="none" w:sz="0" w:space="0" w:color="auto"/>
        <w:right w:val="none" w:sz="0" w:space="0" w:color="auto"/>
      </w:divBdr>
    </w:div>
    <w:div w:id="371154684">
      <w:bodyDiv w:val="1"/>
      <w:marLeft w:val="0"/>
      <w:marRight w:val="0"/>
      <w:marTop w:val="0"/>
      <w:marBottom w:val="0"/>
      <w:divBdr>
        <w:top w:val="none" w:sz="0" w:space="0" w:color="auto"/>
        <w:left w:val="none" w:sz="0" w:space="0" w:color="auto"/>
        <w:bottom w:val="none" w:sz="0" w:space="0" w:color="auto"/>
        <w:right w:val="none" w:sz="0" w:space="0" w:color="auto"/>
      </w:divBdr>
    </w:div>
    <w:div w:id="509836314">
      <w:bodyDiv w:val="1"/>
      <w:marLeft w:val="0"/>
      <w:marRight w:val="0"/>
      <w:marTop w:val="0"/>
      <w:marBottom w:val="0"/>
      <w:divBdr>
        <w:top w:val="none" w:sz="0" w:space="0" w:color="auto"/>
        <w:left w:val="none" w:sz="0" w:space="0" w:color="auto"/>
        <w:bottom w:val="none" w:sz="0" w:space="0" w:color="auto"/>
        <w:right w:val="none" w:sz="0" w:space="0" w:color="auto"/>
      </w:divBdr>
    </w:div>
    <w:div w:id="589703870">
      <w:bodyDiv w:val="1"/>
      <w:marLeft w:val="0"/>
      <w:marRight w:val="0"/>
      <w:marTop w:val="0"/>
      <w:marBottom w:val="0"/>
      <w:divBdr>
        <w:top w:val="none" w:sz="0" w:space="0" w:color="auto"/>
        <w:left w:val="none" w:sz="0" w:space="0" w:color="auto"/>
        <w:bottom w:val="none" w:sz="0" w:space="0" w:color="auto"/>
        <w:right w:val="none" w:sz="0" w:space="0" w:color="auto"/>
      </w:divBdr>
    </w:div>
    <w:div w:id="590353675">
      <w:bodyDiv w:val="1"/>
      <w:marLeft w:val="0"/>
      <w:marRight w:val="0"/>
      <w:marTop w:val="0"/>
      <w:marBottom w:val="0"/>
      <w:divBdr>
        <w:top w:val="none" w:sz="0" w:space="0" w:color="auto"/>
        <w:left w:val="none" w:sz="0" w:space="0" w:color="auto"/>
        <w:bottom w:val="none" w:sz="0" w:space="0" w:color="auto"/>
        <w:right w:val="none" w:sz="0" w:space="0" w:color="auto"/>
      </w:divBdr>
      <w:divsChild>
        <w:div w:id="360400134">
          <w:marLeft w:val="0"/>
          <w:marRight w:val="0"/>
          <w:marTop w:val="0"/>
          <w:marBottom w:val="0"/>
          <w:divBdr>
            <w:top w:val="none" w:sz="0" w:space="0" w:color="auto"/>
            <w:left w:val="none" w:sz="0" w:space="0" w:color="auto"/>
            <w:bottom w:val="none" w:sz="0" w:space="0" w:color="auto"/>
            <w:right w:val="none" w:sz="0" w:space="0" w:color="auto"/>
          </w:divBdr>
          <w:divsChild>
            <w:div w:id="911081526">
              <w:marLeft w:val="0"/>
              <w:marRight w:val="0"/>
              <w:marTop w:val="0"/>
              <w:marBottom w:val="0"/>
              <w:divBdr>
                <w:top w:val="none" w:sz="0" w:space="0" w:color="auto"/>
                <w:left w:val="none" w:sz="0" w:space="0" w:color="auto"/>
                <w:bottom w:val="none" w:sz="0" w:space="0" w:color="auto"/>
                <w:right w:val="none" w:sz="0" w:space="0" w:color="auto"/>
              </w:divBdr>
              <w:divsChild>
                <w:div w:id="164437799">
                  <w:marLeft w:val="450"/>
                  <w:marRight w:val="900"/>
                  <w:marTop w:val="450"/>
                  <w:marBottom w:val="450"/>
                  <w:divBdr>
                    <w:top w:val="none" w:sz="0" w:space="0" w:color="auto"/>
                    <w:left w:val="none" w:sz="0" w:space="0" w:color="auto"/>
                    <w:bottom w:val="none" w:sz="0" w:space="0" w:color="auto"/>
                    <w:right w:val="none" w:sz="0" w:space="0" w:color="auto"/>
                  </w:divBdr>
                  <w:divsChild>
                    <w:div w:id="168382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1378687">
      <w:bodyDiv w:val="1"/>
      <w:marLeft w:val="0"/>
      <w:marRight w:val="0"/>
      <w:marTop w:val="0"/>
      <w:marBottom w:val="0"/>
      <w:divBdr>
        <w:top w:val="none" w:sz="0" w:space="0" w:color="auto"/>
        <w:left w:val="none" w:sz="0" w:space="0" w:color="auto"/>
        <w:bottom w:val="none" w:sz="0" w:space="0" w:color="auto"/>
        <w:right w:val="none" w:sz="0" w:space="0" w:color="auto"/>
      </w:divBdr>
    </w:div>
    <w:div w:id="601768674">
      <w:bodyDiv w:val="1"/>
      <w:marLeft w:val="0"/>
      <w:marRight w:val="0"/>
      <w:marTop w:val="0"/>
      <w:marBottom w:val="0"/>
      <w:divBdr>
        <w:top w:val="none" w:sz="0" w:space="0" w:color="auto"/>
        <w:left w:val="none" w:sz="0" w:space="0" w:color="auto"/>
        <w:bottom w:val="none" w:sz="0" w:space="0" w:color="auto"/>
        <w:right w:val="none" w:sz="0" w:space="0" w:color="auto"/>
      </w:divBdr>
    </w:div>
    <w:div w:id="615061171">
      <w:bodyDiv w:val="1"/>
      <w:marLeft w:val="0"/>
      <w:marRight w:val="0"/>
      <w:marTop w:val="0"/>
      <w:marBottom w:val="0"/>
      <w:divBdr>
        <w:top w:val="none" w:sz="0" w:space="0" w:color="auto"/>
        <w:left w:val="none" w:sz="0" w:space="0" w:color="auto"/>
        <w:bottom w:val="none" w:sz="0" w:space="0" w:color="auto"/>
        <w:right w:val="none" w:sz="0" w:space="0" w:color="auto"/>
      </w:divBdr>
    </w:div>
    <w:div w:id="762185796">
      <w:bodyDiv w:val="1"/>
      <w:marLeft w:val="0"/>
      <w:marRight w:val="0"/>
      <w:marTop w:val="0"/>
      <w:marBottom w:val="0"/>
      <w:divBdr>
        <w:top w:val="none" w:sz="0" w:space="0" w:color="auto"/>
        <w:left w:val="none" w:sz="0" w:space="0" w:color="auto"/>
        <w:bottom w:val="none" w:sz="0" w:space="0" w:color="auto"/>
        <w:right w:val="none" w:sz="0" w:space="0" w:color="auto"/>
      </w:divBdr>
    </w:div>
    <w:div w:id="791637002">
      <w:bodyDiv w:val="1"/>
      <w:marLeft w:val="0"/>
      <w:marRight w:val="0"/>
      <w:marTop w:val="0"/>
      <w:marBottom w:val="0"/>
      <w:divBdr>
        <w:top w:val="none" w:sz="0" w:space="0" w:color="auto"/>
        <w:left w:val="none" w:sz="0" w:space="0" w:color="auto"/>
        <w:bottom w:val="none" w:sz="0" w:space="0" w:color="auto"/>
        <w:right w:val="none" w:sz="0" w:space="0" w:color="auto"/>
      </w:divBdr>
    </w:div>
    <w:div w:id="852649319">
      <w:bodyDiv w:val="1"/>
      <w:marLeft w:val="0"/>
      <w:marRight w:val="0"/>
      <w:marTop w:val="0"/>
      <w:marBottom w:val="0"/>
      <w:divBdr>
        <w:top w:val="none" w:sz="0" w:space="0" w:color="auto"/>
        <w:left w:val="none" w:sz="0" w:space="0" w:color="auto"/>
        <w:bottom w:val="none" w:sz="0" w:space="0" w:color="auto"/>
        <w:right w:val="none" w:sz="0" w:space="0" w:color="auto"/>
      </w:divBdr>
      <w:divsChild>
        <w:div w:id="341326500">
          <w:marLeft w:val="0"/>
          <w:marRight w:val="1"/>
          <w:marTop w:val="0"/>
          <w:marBottom w:val="0"/>
          <w:divBdr>
            <w:top w:val="none" w:sz="0" w:space="0" w:color="auto"/>
            <w:left w:val="none" w:sz="0" w:space="0" w:color="auto"/>
            <w:bottom w:val="none" w:sz="0" w:space="0" w:color="auto"/>
            <w:right w:val="none" w:sz="0" w:space="0" w:color="auto"/>
          </w:divBdr>
          <w:divsChild>
            <w:div w:id="1599754997">
              <w:marLeft w:val="0"/>
              <w:marRight w:val="0"/>
              <w:marTop w:val="0"/>
              <w:marBottom w:val="0"/>
              <w:divBdr>
                <w:top w:val="none" w:sz="0" w:space="0" w:color="auto"/>
                <w:left w:val="none" w:sz="0" w:space="0" w:color="auto"/>
                <w:bottom w:val="none" w:sz="0" w:space="0" w:color="auto"/>
                <w:right w:val="none" w:sz="0" w:space="0" w:color="auto"/>
              </w:divBdr>
              <w:divsChild>
                <w:div w:id="1738824910">
                  <w:marLeft w:val="0"/>
                  <w:marRight w:val="1"/>
                  <w:marTop w:val="0"/>
                  <w:marBottom w:val="0"/>
                  <w:divBdr>
                    <w:top w:val="none" w:sz="0" w:space="0" w:color="auto"/>
                    <w:left w:val="none" w:sz="0" w:space="0" w:color="auto"/>
                    <w:bottom w:val="none" w:sz="0" w:space="0" w:color="auto"/>
                    <w:right w:val="none" w:sz="0" w:space="0" w:color="auto"/>
                  </w:divBdr>
                  <w:divsChild>
                    <w:div w:id="1648197173">
                      <w:marLeft w:val="0"/>
                      <w:marRight w:val="0"/>
                      <w:marTop w:val="0"/>
                      <w:marBottom w:val="0"/>
                      <w:divBdr>
                        <w:top w:val="none" w:sz="0" w:space="0" w:color="auto"/>
                        <w:left w:val="none" w:sz="0" w:space="0" w:color="auto"/>
                        <w:bottom w:val="none" w:sz="0" w:space="0" w:color="auto"/>
                        <w:right w:val="none" w:sz="0" w:space="0" w:color="auto"/>
                      </w:divBdr>
                      <w:divsChild>
                        <w:div w:id="1398241291">
                          <w:marLeft w:val="0"/>
                          <w:marRight w:val="0"/>
                          <w:marTop w:val="0"/>
                          <w:marBottom w:val="0"/>
                          <w:divBdr>
                            <w:top w:val="none" w:sz="0" w:space="0" w:color="auto"/>
                            <w:left w:val="none" w:sz="0" w:space="0" w:color="auto"/>
                            <w:bottom w:val="none" w:sz="0" w:space="0" w:color="auto"/>
                            <w:right w:val="none" w:sz="0" w:space="0" w:color="auto"/>
                          </w:divBdr>
                          <w:divsChild>
                            <w:div w:id="596140208">
                              <w:marLeft w:val="0"/>
                              <w:marRight w:val="0"/>
                              <w:marTop w:val="120"/>
                              <w:marBottom w:val="360"/>
                              <w:divBdr>
                                <w:top w:val="none" w:sz="0" w:space="0" w:color="auto"/>
                                <w:left w:val="none" w:sz="0" w:space="0" w:color="auto"/>
                                <w:bottom w:val="none" w:sz="0" w:space="0" w:color="auto"/>
                                <w:right w:val="none" w:sz="0" w:space="0" w:color="auto"/>
                              </w:divBdr>
                              <w:divsChild>
                                <w:div w:id="1486318764">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4196576">
      <w:bodyDiv w:val="1"/>
      <w:marLeft w:val="0"/>
      <w:marRight w:val="0"/>
      <w:marTop w:val="0"/>
      <w:marBottom w:val="0"/>
      <w:divBdr>
        <w:top w:val="none" w:sz="0" w:space="0" w:color="auto"/>
        <w:left w:val="none" w:sz="0" w:space="0" w:color="auto"/>
        <w:bottom w:val="none" w:sz="0" w:space="0" w:color="auto"/>
        <w:right w:val="none" w:sz="0" w:space="0" w:color="auto"/>
      </w:divBdr>
      <w:divsChild>
        <w:div w:id="2125272510">
          <w:marLeft w:val="0"/>
          <w:marRight w:val="1"/>
          <w:marTop w:val="0"/>
          <w:marBottom w:val="0"/>
          <w:divBdr>
            <w:top w:val="none" w:sz="0" w:space="0" w:color="auto"/>
            <w:left w:val="none" w:sz="0" w:space="0" w:color="auto"/>
            <w:bottom w:val="none" w:sz="0" w:space="0" w:color="auto"/>
            <w:right w:val="none" w:sz="0" w:space="0" w:color="auto"/>
          </w:divBdr>
          <w:divsChild>
            <w:div w:id="2076707480">
              <w:marLeft w:val="0"/>
              <w:marRight w:val="0"/>
              <w:marTop w:val="0"/>
              <w:marBottom w:val="0"/>
              <w:divBdr>
                <w:top w:val="none" w:sz="0" w:space="0" w:color="auto"/>
                <w:left w:val="none" w:sz="0" w:space="0" w:color="auto"/>
                <w:bottom w:val="none" w:sz="0" w:space="0" w:color="auto"/>
                <w:right w:val="none" w:sz="0" w:space="0" w:color="auto"/>
              </w:divBdr>
              <w:divsChild>
                <w:div w:id="1249003491">
                  <w:marLeft w:val="0"/>
                  <w:marRight w:val="1"/>
                  <w:marTop w:val="0"/>
                  <w:marBottom w:val="0"/>
                  <w:divBdr>
                    <w:top w:val="none" w:sz="0" w:space="0" w:color="auto"/>
                    <w:left w:val="none" w:sz="0" w:space="0" w:color="auto"/>
                    <w:bottom w:val="none" w:sz="0" w:space="0" w:color="auto"/>
                    <w:right w:val="none" w:sz="0" w:space="0" w:color="auto"/>
                  </w:divBdr>
                  <w:divsChild>
                    <w:div w:id="1063259486">
                      <w:marLeft w:val="0"/>
                      <w:marRight w:val="0"/>
                      <w:marTop w:val="0"/>
                      <w:marBottom w:val="0"/>
                      <w:divBdr>
                        <w:top w:val="none" w:sz="0" w:space="0" w:color="auto"/>
                        <w:left w:val="none" w:sz="0" w:space="0" w:color="auto"/>
                        <w:bottom w:val="none" w:sz="0" w:space="0" w:color="auto"/>
                        <w:right w:val="none" w:sz="0" w:space="0" w:color="auto"/>
                      </w:divBdr>
                      <w:divsChild>
                        <w:div w:id="246964072">
                          <w:marLeft w:val="0"/>
                          <w:marRight w:val="0"/>
                          <w:marTop w:val="0"/>
                          <w:marBottom w:val="0"/>
                          <w:divBdr>
                            <w:top w:val="none" w:sz="0" w:space="0" w:color="auto"/>
                            <w:left w:val="none" w:sz="0" w:space="0" w:color="auto"/>
                            <w:bottom w:val="none" w:sz="0" w:space="0" w:color="auto"/>
                            <w:right w:val="none" w:sz="0" w:space="0" w:color="auto"/>
                          </w:divBdr>
                          <w:divsChild>
                            <w:div w:id="746805645">
                              <w:marLeft w:val="0"/>
                              <w:marRight w:val="0"/>
                              <w:marTop w:val="120"/>
                              <w:marBottom w:val="360"/>
                              <w:divBdr>
                                <w:top w:val="none" w:sz="0" w:space="0" w:color="auto"/>
                                <w:left w:val="none" w:sz="0" w:space="0" w:color="auto"/>
                                <w:bottom w:val="none" w:sz="0" w:space="0" w:color="auto"/>
                                <w:right w:val="none" w:sz="0" w:space="0" w:color="auto"/>
                              </w:divBdr>
                              <w:divsChild>
                                <w:div w:id="524289879">
                                  <w:marLeft w:val="420"/>
                                  <w:marRight w:val="0"/>
                                  <w:marTop w:val="0"/>
                                  <w:marBottom w:val="0"/>
                                  <w:divBdr>
                                    <w:top w:val="none" w:sz="0" w:space="0" w:color="auto"/>
                                    <w:left w:val="none" w:sz="0" w:space="0" w:color="auto"/>
                                    <w:bottom w:val="none" w:sz="0" w:space="0" w:color="auto"/>
                                    <w:right w:val="none" w:sz="0" w:space="0" w:color="auto"/>
                                  </w:divBdr>
                                  <w:divsChild>
                                    <w:div w:id="114538863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4726242">
      <w:bodyDiv w:val="1"/>
      <w:marLeft w:val="0"/>
      <w:marRight w:val="0"/>
      <w:marTop w:val="0"/>
      <w:marBottom w:val="0"/>
      <w:divBdr>
        <w:top w:val="none" w:sz="0" w:space="0" w:color="auto"/>
        <w:left w:val="none" w:sz="0" w:space="0" w:color="auto"/>
        <w:bottom w:val="none" w:sz="0" w:space="0" w:color="auto"/>
        <w:right w:val="none" w:sz="0" w:space="0" w:color="auto"/>
      </w:divBdr>
    </w:div>
    <w:div w:id="1031340651">
      <w:bodyDiv w:val="1"/>
      <w:marLeft w:val="0"/>
      <w:marRight w:val="0"/>
      <w:marTop w:val="0"/>
      <w:marBottom w:val="0"/>
      <w:divBdr>
        <w:top w:val="none" w:sz="0" w:space="0" w:color="auto"/>
        <w:left w:val="none" w:sz="0" w:space="0" w:color="auto"/>
        <w:bottom w:val="none" w:sz="0" w:space="0" w:color="auto"/>
        <w:right w:val="none" w:sz="0" w:space="0" w:color="auto"/>
      </w:divBdr>
      <w:divsChild>
        <w:div w:id="2054041541">
          <w:marLeft w:val="0"/>
          <w:marRight w:val="0"/>
          <w:marTop w:val="0"/>
          <w:marBottom w:val="0"/>
          <w:divBdr>
            <w:top w:val="none" w:sz="0" w:space="0" w:color="auto"/>
            <w:left w:val="none" w:sz="0" w:space="0" w:color="auto"/>
            <w:bottom w:val="none" w:sz="0" w:space="0" w:color="auto"/>
            <w:right w:val="none" w:sz="0" w:space="0" w:color="auto"/>
          </w:divBdr>
          <w:divsChild>
            <w:div w:id="1297682997">
              <w:marLeft w:val="0"/>
              <w:marRight w:val="0"/>
              <w:marTop w:val="0"/>
              <w:marBottom w:val="0"/>
              <w:divBdr>
                <w:top w:val="none" w:sz="0" w:space="0" w:color="auto"/>
                <w:left w:val="none" w:sz="0" w:space="0" w:color="auto"/>
                <w:bottom w:val="none" w:sz="0" w:space="0" w:color="auto"/>
                <w:right w:val="none" w:sz="0" w:space="0" w:color="auto"/>
              </w:divBdr>
              <w:divsChild>
                <w:div w:id="157237044">
                  <w:marLeft w:val="450"/>
                  <w:marRight w:val="900"/>
                  <w:marTop w:val="450"/>
                  <w:marBottom w:val="450"/>
                  <w:divBdr>
                    <w:top w:val="none" w:sz="0" w:space="0" w:color="auto"/>
                    <w:left w:val="none" w:sz="0" w:space="0" w:color="auto"/>
                    <w:bottom w:val="none" w:sz="0" w:space="0" w:color="auto"/>
                    <w:right w:val="none" w:sz="0" w:space="0" w:color="auto"/>
                  </w:divBdr>
                  <w:divsChild>
                    <w:div w:id="105882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898249">
      <w:bodyDiv w:val="1"/>
      <w:marLeft w:val="0"/>
      <w:marRight w:val="0"/>
      <w:marTop w:val="0"/>
      <w:marBottom w:val="0"/>
      <w:divBdr>
        <w:top w:val="none" w:sz="0" w:space="0" w:color="auto"/>
        <w:left w:val="none" w:sz="0" w:space="0" w:color="auto"/>
        <w:bottom w:val="none" w:sz="0" w:space="0" w:color="auto"/>
        <w:right w:val="none" w:sz="0" w:space="0" w:color="auto"/>
      </w:divBdr>
      <w:divsChild>
        <w:div w:id="1448739448">
          <w:marLeft w:val="0"/>
          <w:marRight w:val="1"/>
          <w:marTop w:val="0"/>
          <w:marBottom w:val="0"/>
          <w:divBdr>
            <w:top w:val="none" w:sz="0" w:space="0" w:color="auto"/>
            <w:left w:val="none" w:sz="0" w:space="0" w:color="auto"/>
            <w:bottom w:val="none" w:sz="0" w:space="0" w:color="auto"/>
            <w:right w:val="none" w:sz="0" w:space="0" w:color="auto"/>
          </w:divBdr>
          <w:divsChild>
            <w:div w:id="836263011">
              <w:marLeft w:val="0"/>
              <w:marRight w:val="0"/>
              <w:marTop w:val="0"/>
              <w:marBottom w:val="0"/>
              <w:divBdr>
                <w:top w:val="none" w:sz="0" w:space="0" w:color="auto"/>
                <w:left w:val="none" w:sz="0" w:space="0" w:color="auto"/>
                <w:bottom w:val="none" w:sz="0" w:space="0" w:color="auto"/>
                <w:right w:val="none" w:sz="0" w:space="0" w:color="auto"/>
              </w:divBdr>
              <w:divsChild>
                <w:div w:id="767890178">
                  <w:marLeft w:val="0"/>
                  <w:marRight w:val="1"/>
                  <w:marTop w:val="0"/>
                  <w:marBottom w:val="0"/>
                  <w:divBdr>
                    <w:top w:val="none" w:sz="0" w:space="0" w:color="auto"/>
                    <w:left w:val="none" w:sz="0" w:space="0" w:color="auto"/>
                    <w:bottom w:val="none" w:sz="0" w:space="0" w:color="auto"/>
                    <w:right w:val="none" w:sz="0" w:space="0" w:color="auto"/>
                  </w:divBdr>
                  <w:divsChild>
                    <w:div w:id="1764379094">
                      <w:marLeft w:val="0"/>
                      <w:marRight w:val="0"/>
                      <w:marTop w:val="0"/>
                      <w:marBottom w:val="0"/>
                      <w:divBdr>
                        <w:top w:val="none" w:sz="0" w:space="0" w:color="auto"/>
                        <w:left w:val="none" w:sz="0" w:space="0" w:color="auto"/>
                        <w:bottom w:val="none" w:sz="0" w:space="0" w:color="auto"/>
                        <w:right w:val="none" w:sz="0" w:space="0" w:color="auto"/>
                      </w:divBdr>
                      <w:divsChild>
                        <w:div w:id="179323968">
                          <w:marLeft w:val="0"/>
                          <w:marRight w:val="0"/>
                          <w:marTop w:val="0"/>
                          <w:marBottom w:val="0"/>
                          <w:divBdr>
                            <w:top w:val="none" w:sz="0" w:space="0" w:color="auto"/>
                            <w:left w:val="none" w:sz="0" w:space="0" w:color="auto"/>
                            <w:bottom w:val="none" w:sz="0" w:space="0" w:color="auto"/>
                            <w:right w:val="none" w:sz="0" w:space="0" w:color="auto"/>
                          </w:divBdr>
                          <w:divsChild>
                            <w:div w:id="1827890143">
                              <w:marLeft w:val="0"/>
                              <w:marRight w:val="0"/>
                              <w:marTop w:val="120"/>
                              <w:marBottom w:val="360"/>
                              <w:divBdr>
                                <w:top w:val="none" w:sz="0" w:space="0" w:color="auto"/>
                                <w:left w:val="none" w:sz="0" w:space="0" w:color="auto"/>
                                <w:bottom w:val="none" w:sz="0" w:space="0" w:color="auto"/>
                                <w:right w:val="none" w:sz="0" w:space="0" w:color="auto"/>
                              </w:divBdr>
                              <w:divsChild>
                                <w:div w:id="258026071">
                                  <w:marLeft w:val="420"/>
                                  <w:marRight w:val="0"/>
                                  <w:marTop w:val="0"/>
                                  <w:marBottom w:val="0"/>
                                  <w:divBdr>
                                    <w:top w:val="none" w:sz="0" w:space="0" w:color="auto"/>
                                    <w:left w:val="none" w:sz="0" w:space="0" w:color="auto"/>
                                    <w:bottom w:val="none" w:sz="0" w:space="0" w:color="auto"/>
                                    <w:right w:val="none" w:sz="0" w:space="0" w:color="auto"/>
                                  </w:divBdr>
                                  <w:divsChild>
                                    <w:div w:id="127566848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9516470">
      <w:bodyDiv w:val="1"/>
      <w:marLeft w:val="0"/>
      <w:marRight w:val="0"/>
      <w:marTop w:val="0"/>
      <w:marBottom w:val="0"/>
      <w:divBdr>
        <w:top w:val="none" w:sz="0" w:space="0" w:color="auto"/>
        <w:left w:val="none" w:sz="0" w:space="0" w:color="auto"/>
        <w:bottom w:val="none" w:sz="0" w:space="0" w:color="auto"/>
        <w:right w:val="none" w:sz="0" w:space="0" w:color="auto"/>
      </w:divBdr>
      <w:divsChild>
        <w:div w:id="786508618">
          <w:marLeft w:val="0"/>
          <w:marRight w:val="1"/>
          <w:marTop w:val="0"/>
          <w:marBottom w:val="0"/>
          <w:divBdr>
            <w:top w:val="none" w:sz="0" w:space="0" w:color="auto"/>
            <w:left w:val="none" w:sz="0" w:space="0" w:color="auto"/>
            <w:bottom w:val="none" w:sz="0" w:space="0" w:color="auto"/>
            <w:right w:val="none" w:sz="0" w:space="0" w:color="auto"/>
          </w:divBdr>
          <w:divsChild>
            <w:div w:id="870536669">
              <w:marLeft w:val="0"/>
              <w:marRight w:val="0"/>
              <w:marTop w:val="0"/>
              <w:marBottom w:val="0"/>
              <w:divBdr>
                <w:top w:val="none" w:sz="0" w:space="0" w:color="auto"/>
                <w:left w:val="none" w:sz="0" w:space="0" w:color="auto"/>
                <w:bottom w:val="none" w:sz="0" w:space="0" w:color="auto"/>
                <w:right w:val="none" w:sz="0" w:space="0" w:color="auto"/>
              </w:divBdr>
              <w:divsChild>
                <w:div w:id="1386563890">
                  <w:marLeft w:val="0"/>
                  <w:marRight w:val="1"/>
                  <w:marTop w:val="0"/>
                  <w:marBottom w:val="0"/>
                  <w:divBdr>
                    <w:top w:val="none" w:sz="0" w:space="0" w:color="auto"/>
                    <w:left w:val="none" w:sz="0" w:space="0" w:color="auto"/>
                    <w:bottom w:val="none" w:sz="0" w:space="0" w:color="auto"/>
                    <w:right w:val="none" w:sz="0" w:space="0" w:color="auto"/>
                  </w:divBdr>
                  <w:divsChild>
                    <w:div w:id="853614056">
                      <w:marLeft w:val="0"/>
                      <w:marRight w:val="0"/>
                      <w:marTop w:val="0"/>
                      <w:marBottom w:val="0"/>
                      <w:divBdr>
                        <w:top w:val="none" w:sz="0" w:space="0" w:color="auto"/>
                        <w:left w:val="none" w:sz="0" w:space="0" w:color="auto"/>
                        <w:bottom w:val="none" w:sz="0" w:space="0" w:color="auto"/>
                        <w:right w:val="none" w:sz="0" w:space="0" w:color="auto"/>
                      </w:divBdr>
                      <w:divsChild>
                        <w:div w:id="1156456688">
                          <w:marLeft w:val="0"/>
                          <w:marRight w:val="0"/>
                          <w:marTop w:val="0"/>
                          <w:marBottom w:val="0"/>
                          <w:divBdr>
                            <w:top w:val="none" w:sz="0" w:space="0" w:color="auto"/>
                            <w:left w:val="none" w:sz="0" w:space="0" w:color="auto"/>
                            <w:bottom w:val="none" w:sz="0" w:space="0" w:color="auto"/>
                            <w:right w:val="none" w:sz="0" w:space="0" w:color="auto"/>
                          </w:divBdr>
                          <w:divsChild>
                            <w:div w:id="891618626">
                              <w:marLeft w:val="0"/>
                              <w:marRight w:val="0"/>
                              <w:marTop w:val="120"/>
                              <w:marBottom w:val="360"/>
                              <w:divBdr>
                                <w:top w:val="none" w:sz="0" w:space="0" w:color="auto"/>
                                <w:left w:val="none" w:sz="0" w:space="0" w:color="auto"/>
                                <w:bottom w:val="none" w:sz="0" w:space="0" w:color="auto"/>
                                <w:right w:val="none" w:sz="0" w:space="0" w:color="auto"/>
                              </w:divBdr>
                              <w:divsChild>
                                <w:div w:id="1634172478">
                                  <w:marLeft w:val="420"/>
                                  <w:marRight w:val="0"/>
                                  <w:marTop w:val="0"/>
                                  <w:marBottom w:val="0"/>
                                  <w:divBdr>
                                    <w:top w:val="none" w:sz="0" w:space="0" w:color="auto"/>
                                    <w:left w:val="none" w:sz="0" w:space="0" w:color="auto"/>
                                    <w:bottom w:val="none" w:sz="0" w:space="0" w:color="auto"/>
                                    <w:right w:val="none" w:sz="0" w:space="0" w:color="auto"/>
                                  </w:divBdr>
                                  <w:divsChild>
                                    <w:div w:id="105646976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8134027">
      <w:bodyDiv w:val="1"/>
      <w:marLeft w:val="0"/>
      <w:marRight w:val="0"/>
      <w:marTop w:val="0"/>
      <w:marBottom w:val="0"/>
      <w:divBdr>
        <w:top w:val="none" w:sz="0" w:space="0" w:color="auto"/>
        <w:left w:val="none" w:sz="0" w:space="0" w:color="auto"/>
        <w:bottom w:val="none" w:sz="0" w:space="0" w:color="auto"/>
        <w:right w:val="none" w:sz="0" w:space="0" w:color="auto"/>
      </w:divBdr>
    </w:div>
    <w:div w:id="1247304510">
      <w:bodyDiv w:val="1"/>
      <w:marLeft w:val="0"/>
      <w:marRight w:val="0"/>
      <w:marTop w:val="0"/>
      <w:marBottom w:val="0"/>
      <w:divBdr>
        <w:top w:val="none" w:sz="0" w:space="0" w:color="auto"/>
        <w:left w:val="none" w:sz="0" w:space="0" w:color="auto"/>
        <w:bottom w:val="none" w:sz="0" w:space="0" w:color="auto"/>
        <w:right w:val="none" w:sz="0" w:space="0" w:color="auto"/>
      </w:divBdr>
    </w:div>
    <w:div w:id="1315916744">
      <w:bodyDiv w:val="1"/>
      <w:marLeft w:val="0"/>
      <w:marRight w:val="0"/>
      <w:marTop w:val="0"/>
      <w:marBottom w:val="0"/>
      <w:divBdr>
        <w:top w:val="none" w:sz="0" w:space="0" w:color="auto"/>
        <w:left w:val="none" w:sz="0" w:space="0" w:color="auto"/>
        <w:bottom w:val="none" w:sz="0" w:space="0" w:color="auto"/>
        <w:right w:val="none" w:sz="0" w:space="0" w:color="auto"/>
      </w:divBdr>
    </w:div>
    <w:div w:id="1423144837">
      <w:bodyDiv w:val="1"/>
      <w:marLeft w:val="0"/>
      <w:marRight w:val="0"/>
      <w:marTop w:val="0"/>
      <w:marBottom w:val="0"/>
      <w:divBdr>
        <w:top w:val="none" w:sz="0" w:space="0" w:color="auto"/>
        <w:left w:val="none" w:sz="0" w:space="0" w:color="auto"/>
        <w:bottom w:val="none" w:sz="0" w:space="0" w:color="auto"/>
        <w:right w:val="none" w:sz="0" w:space="0" w:color="auto"/>
      </w:divBdr>
    </w:div>
    <w:div w:id="1476726694">
      <w:bodyDiv w:val="1"/>
      <w:marLeft w:val="0"/>
      <w:marRight w:val="0"/>
      <w:marTop w:val="0"/>
      <w:marBottom w:val="0"/>
      <w:divBdr>
        <w:top w:val="none" w:sz="0" w:space="0" w:color="auto"/>
        <w:left w:val="none" w:sz="0" w:space="0" w:color="auto"/>
        <w:bottom w:val="none" w:sz="0" w:space="0" w:color="auto"/>
        <w:right w:val="none" w:sz="0" w:space="0" w:color="auto"/>
      </w:divBdr>
    </w:div>
    <w:div w:id="1538279268">
      <w:bodyDiv w:val="1"/>
      <w:marLeft w:val="0"/>
      <w:marRight w:val="0"/>
      <w:marTop w:val="0"/>
      <w:marBottom w:val="0"/>
      <w:divBdr>
        <w:top w:val="none" w:sz="0" w:space="0" w:color="auto"/>
        <w:left w:val="none" w:sz="0" w:space="0" w:color="auto"/>
        <w:bottom w:val="none" w:sz="0" w:space="0" w:color="auto"/>
        <w:right w:val="none" w:sz="0" w:space="0" w:color="auto"/>
      </w:divBdr>
    </w:div>
    <w:div w:id="1548251428">
      <w:bodyDiv w:val="1"/>
      <w:marLeft w:val="0"/>
      <w:marRight w:val="0"/>
      <w:marTop w:val="0"/>
      <w:marBottom w:val="0"/>
      <w:divBdr>
        <w:top w:val="none" w:sz="0" w:space="0" w:color="auto"/>
        <w:left w:val="none" w:sz="0" w:space="0" w:color="auto"/>
        <w:bottom w:val="none" w:sz="0" w:space="0" w:color="auto"/>
        <w:right w:val="none" w:sz="0" w:space="0" w:color="auto"/>
      </w:divBdr>
    </w:div>
    <w:div w:id="1708607244">
      <w:bodyDiv w:val="1"/>
      <w:marLeft w:val="0"/>
      <w:marRight w:val="0"/>
      <w:marTop w:val="0"/>
      <w:marBottom w:val="0"/>
      <w:divBdr>
        <w:top w:val="none" w:sz="0" w:space="0" w:color="auto"/>
        <w:left w:val="none" w:sz="0" w:space="0" w:color="auto"/>
        <w:bottom w:val="none" w:sz="0" w:space="0" w:color="auto"/>
        <w:right w:val="none" w:sz="0" w:space="0" w:color="auto"/>
      </w:divBdr>
    </w:div>
    <w:div w:id="1793396645">
      <w:bodyDiv w:val="1"/>
      <w:marLeft w:val="0"/>
      <w:marRight w:val="0"/>
      <w:marTop w:val="0"/>
      <w:marBottom w:val="0"/>
      <w:divBdr>
        <w:top w:val="none" w:sz="0" w:space="0" w:color="auto"/>
        <w:left w:val="none" w:sz="0" w:space="0" w:color="auto"/>
        <w:bottom w:val="none" w:sz="0" w:space="0" w:color="auto"/>
        <w:right w:val="none" w:sz="0" w:space="0" w:color="auto"/>
      </w:divBdr>
      <w:divsChild>
        <w:div w:id="698892916">
          <w:marLeft w:val="0"/>
          <w:marRight w:val="1"/>
          <w:marTop w:val="0"/>
          <w:marBottom w:val="0"/>
          <w:divBdr>
            <w:top w:val="none" w:sz="0" w:space="0" w:color="auto"/>
            <w:left w:val="none" w:sz="0" w:space="0" w:color="auto"/>
            <w:bottom w:val="none" w:sz="0" w:space="0" w:color="auto"/>
            <w:right w:val="none" w:sz="0" w:space="0" w:color="auto"/>
          </w:divBdr>
          <w:divsChild>
            <w:div w:id="1955744908">
              <w:marLeft w:val="0"/>
              <w:marRight w:val="0"/>
              <w:marTop w:val="0"/>
              <w:marBottom w:val="0"/>
              <w:divBdr>
                <w:top w:val="none" w:sz="0" w:space="0" w:color="auto"/>
                <w:left w:val="none" w:sz="0" w:space="0" w:color="auto"/>
                <w:bottom w:val="none" w:sz="0" w:space="0" w:color="auto"/>
                <w:right w:val="none" w:sz="0" w:space="0" w:color="auto"/>
              </w:divBdr>
              <w:divsChild>
                <w:div w:id="598414617">
                  <w:marLeft w:val="0"/>
                  <w:marRight w:val="1"/>
                  <w:marTop w:val="0"/>
                  <w:marBottom w:val="0"/>
                  <w:divBdr>
                    <w:top w:val="none" w:sz="0" w:space="0" w:color="auto"/>
                    <w:left w:val="none" w:sz="0" w:space="0" w:color="auto"/>
                    <w:bottom w:val="none" w:sz="0" w:space="0" w:color="auto"/>
                    <w:right w:val="none" w:sz="0" w:space="0" w:color="auto"/>
                  </w:divBdr>
                  <w:divsChild>
                    <w:div w:id="1740787825">
                      <w:marLeft w:val="0"/>
                      <w:marRight w:val="0"/>
                      <w:marTop w:val="0"/>
                      <w:marBottom w:val="0"/>
                      <w:divBdr>
                        <w:top w:val="none" w:sz="0" w:space="0" w:color="auto"/>
                        <w:left w:val="none" w:sz="0" w:space="0" w:color="auto"/>
                        <w:bottom w:val="none" w:sz="0" w:space="0" w:color="auto"/>
                        <w:right w:val="none" w:sz="0" w:space="0" w:color="auto"/>
                      </w:divBdr>
                      <w:divsChild>
                        <w:div w:id="513883743">
                          <w:marLeft w:val="0"/>
                          <w:marRight w:val="0"/>
                          <w:marTop w:val="0"/>
                          <w:marBottom w:val="0"/>
                          <w:divBdr>
                            <w:top w:val="none" w:sz="0" w:space="0" w:color="auto"/>
                            <w:left w:val="none" w:sz="0" w:space="0" w:color="auto"/>
                            <w:bottom w:val="none" w:sz="0" w:space="0" w:color="auto"/>
                            <w:right w:val="none" w:sz="0" w:space="0" w:color="auto"/>
                          </w:divBdr>
                          <w:divsChild>
                            <w:div w:id="1321081235">
                              <w:marLeft w:val="0"/>
                              <w:marRight w:val="0"/>
                              <w:marTop w:val="120"/>
                              <w:marBottom w:val="360"/>
                              <w:divBdr>
                                <w:top w:val="none" w:sz="0" w:space="0" w:color="auto"/>
                                <w:left w:val="none" w:sz="0" w:space="0" w:color="auto"/>
                                <w:bottom w:val="none" w:sz="0" w:space="0" w:color="auto"/>
                                <w:right w:val="none" w:sz="0" w:space="0" w:color="auto"/>
                              </w:divBdr>
                              <w:divsChild>
                                <w:div w:id="1439908123">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2519105">
      <w:bodyDiv w:val="1"/>
      <w:marLeft w:val="0"/>
      <w:marRight w:val="0"/>
      <w:marTop w:val="0"/>
      <w:marBottom w:val="0"/>
      <w:divBdr>
        <w:top w:val="none" w:sz="0" w:space="0" w:color="auto"/>
        <w:left w:val="none" w:sz="0" w:space="0" w:color="auto"/>
        <w:bottom w:val="none" w:sz="0" w:space="0" w:color="auto"/>
        <w:right w:val="none" w:sz="0" w:space="0" w:color="auto"/>
      </w:divBdr>
    </w:div>
    <w:div w:id="1929608450">
      <w:bodyDiv w:val="1"/>
      <w:marLeft w:val="0"/>
      <w:marRight w:val="0"/>
      <w:marTop w:val="0"/>
      <w:marBottom w:val="0"/>
      <w:divBdr>
        <w:top w:val="none" w:sz="0" w:space="0" w:color="auto"/>
        <w:left w:val="none" w:sz="0" w:space="0" w:color="auto"/>
        <w:bottom w:val="none" w:sz="0" w:space="0" w:color="auto"/>
        <w:right w:val="none" w:sz="0" w:space="0" w:color="auto"/>
      </w:divBdr>
      <w:divsChild>
        <w:div w:id="1413427837">
          <w:marLeft w:val="0"/>
          <w:marRight w:val="0"/>
          <w:marTop w:val="0"/>
          <w:marBottom w:val="0"/>
          <w:divBdr>
            <w:top w:val="none" w:sz="0" w:space="0" w:color="auto"/>
            <w:left w:val="none" w:sz="0" w:space="0" w:color="auto"/>
            <w:bottom w:val="none" w:sz="0" w:space="0" w:color="auto"/>
            <w:right w:val="none" w:sz="0" w:space="0" w:color="auto"/>
          </w:divBdr>
          <w:divsChild>
            <w:div w:id="971638923">
              <w:marLeft w:val="0"/>
              <w:marRight w:val="0"/>
              <w:marTop w:val="0"/>
              <w:marBottom w:val="0"/>
              <w:divBdr>
                <w:top w:val="none" w:sz="0" w:space="0" w:color="auto"/>
                <w:left w:val="none" w:sz="0" w:space="0" w:color="auto"/>
                <w:bottom w:val="none" w:sz="0" w:space="0" w:color="auto"/>
                <w:right w:val="none" w:sz="0" w:space="0" w:color="auto"/>
              </w:divBdr>
              <w:divsChild>
                <w:div w:id="1364479790">
                  <w:marLeft w:val="450"/>
                  <w:marRight w:val="900"/>
                  <w:marTop w:val="450"/>
                  <w:marBottom w:val="450"/>
                  <w:divBdr>
                    <w:top w:val="none" w:sz="0" w:space="0" w:color="auto"/>
                    <w:left w:val="none" w:sz="0" w:space="0" w:color="auto"/>
                    <w:bottom w:val="none" w:sz="0" w:space="0" w:color="auto"/>
                    <w:right w:val="none" w:sz="0" w:space="0" w:color="auto"/>
                  </w:divBdr>
                  <w:divsChild>
                    <w:div w:id="40464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425378">
      <w:bodyDiv w:val="1"/>
      <w:marLeft w:val="0"/>
      <w:marRight w:val="0"/>
      <w:marTop w:val="0"/>
      <w:marBottom w:val="0"/>
      <w:divBdr>
        <w:top w:val="none" w:sz="0" w:space="0" w:color="auto"/>
        <w:left w:val="none" w:sz="0" w:space="0" w:color="auto"/>
        <w:bottom w:val="none" w:sz="0" w:space="0" w:color="auto"/>
        <w:right w:val="none" w:sz="0" w:space="0" w:color="auto"/>
      </w:divBdr>
    </w:div>
    <w:div w:id="2051490713">
      <w:bodyDiv w:val="1"/>
      <w:marLeft w:val="0"/>
      <w:marRight w:val="0"/>
      <w:marTop w:val="0"/>
      <w:marBottom w:val="0"/>
      <w:divBdr>
        <w:top w:val="none" w:sz="0" w:space="0" w:color="auto"/>
        <w:left w:val="none" w:sz="0" w:space="0" w:color="auto"/>
        <w:bottom w:val="none" w:sz="0" w:space="0" w:color="auto"/>
        <w:right w:val="none" w:sz="0" w:space="0" w:color="auto"/>
      </w:divBdr>
    </w:div>
    <w:div w:id="2132934712">
      <w:bodyDiv w:val="1"/>
      <w:marLeft w:val="0"/>
      <w:marRight w:val="0"/>
      <w:marTop w:val="0"/>
      <w:marBottom w:val="0"/>
      <w:divBdr>
        <w:top w:val="none" w:sz="0" w:space="0" w:color="auto"/>
        <w:left w:val="none" w:sz="0" w:space="0" w:color="auto"/>
        <w:bottom w:val="none" w:sz="0" w:space="0" w:color="auto"/>
        <w:right w:val="none" w:sz="0" w:space="0" w:color="auto"/>
      </w:divBdr>
      <w:divsChild>
        <w:div w:id="538279131">
          <w:marLeft w:val="0"/>
          <w:marRight w:val="0"/>
          <w:marTop w:val="0"/>
          <w:marBottom w:val="0"/>
          <w:divBdr>
            <w:top w:val="none" w:sz="0" w:space="0" w:color="auto"/>
            <w:left w:val="none" w:sz="0" w:space="0" w:color="auto"/>
            <w:bottom w:val="none" w:sz="0" w:space="0" w:color="auto"/>
            <w:right w:val="none" w:sz="0" w:space="0" w:color="auto"/>
          </w:divBdr>
          <w:divsChild>
            <w:div w:id="1679774183">
              <w:marLeft w:val="0"/>
              <w:marRight w:val="0"/>
              <w:marTop w:val="0"/>
              <w:marBottom w:val="0"/>
              <w:divBdr>
                <w:top w:val="none" w:sz="0" w:space="0" w:color="auto"/>
                <w:left w:val="none" w:sz="0" w:space="0" w:color="auto"/>
                <w:bottom w:val="none" w:sz="0" w:space="0" w:color="auto"/>
                <w:right w:val="none" w:sz="0" w:space="0" w:color="auto"/>
              </w:divBdr>
              <w:divsChild>
                <w:div w:id="2006855786">
                  <w:marLeft w:val="450"/>
                  <w:marRight w:val="900"/>
                  <w:marTop w:val="450"/>
                  <w:marBottom w:val="450"/>
                  <w:divBdr>
                    <w:top w:val="none" w:sz="0" w:space="0" w:color="auto"/>
                    <w:left w:val="none" w:sz="0" w:space="0" w:color="auto"/>
                    <w:bottom w:val="none" w:sz="0" w:space="0" w:color="auto"/>
                    <w:right w:val="none" w:sz="0" w:space="0" w:color="auto"/>
                  </w:divBdr>
                  <w:divsChild>
                    <w:div w:id="64535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creativecommons.org/licenses/by-nc/4.0/" TargetMode="External"/><Relationship Id="rId14" Type="http://schemas.openxmlformats.org/officeDocument/2006/relationships/image" Target="media/image5.png"/></Relationships>
</file>

<file path=word/theme/theme1.xml><?xml version="1.0" encoding="utf-8"?>
<a:theme xmlns:a="http://schemas.openxmlformats.org/drawingml/2006/main" name="Office ​​テーマ">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F39037-7C2A-45D2-BD29-76888FF55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3768</Words>
  <Characters>21483</Characters>
  <Application>Microsoft Office Word</Application>
  <DocSecurity>0</DocSecurity>
  <Lines>179</Lines>
  <Paragraphs>50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25201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takenaka</dc:creator>
  <cp:lastModifiedBy>qiyuan</cp:lastModifiedBy>
  <cp:revision>3</cp:revision>
  <cp:lastPrinted>2015-10-04T01:26:00Z</cp:lastPrinted>
  <dcterms:created xsi:type="dcterms:W3CDTF">2016-05-21T02:37:00Z</dcterms:created>
  <dcterms:modified xsi:type="dcterms:W3CDTF">2016-05-23T00:28:00Z</dcterms:modified>
</cp:coreProperties>
</file>