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5A" w:rsidRPr="00E531C0" w:rsidRDefault="00AE4F5A" w:rsidP="00DF4498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531C0">
        <w:rPr>
          <w:rFonts w:ascii="Book Antiqua" w:hAnsi="Book Antiqua"/>
          <w:b/>
          <w:sz w:val="24"/>
          <w:szCs w:val="24"/>
        </w:rPr>
        <w:t>Name of Journal:</w:t>
      </w:r>
      <w:r w:rsidRPr="00E531C0">
        <w:rPr>
          <w:rFonts w:ascii="Book Antiqua" w:hAnsi="Book Antiqua"/>
          <w:sz w:val="24"/>
          <w:szCs w:val="24"/>
        </w:rPr>
        <w:t xml:space="preserve"> </w:t>
      </w:r>
      <w:r w:rsidRPr="00E531C0">
        <w:rPr>
          <w:rFonts w:ascii="Book Antiqua" w:hAnsi="Book Antiqua"/>
          <w:b/>
          <w:i/>
          <w:sz w:val="24"/>
          <w:szCs w:val="24"/>
        </w:rPr>
        <w:t>World Journal of Hepatology</w:t>
      </w:r>
    </w:p>
    <w:p w:rsidR="00AE4F5A" w:rsidRPr="00E531C0" w:rsidRDefault="00AE4F5A" w:rsidP="00DF4498">
      <w:pPr>
        <w:pStyle w:val="Default"/>
        <w:spacing w:line="360" w:lineRule="auto"/>
        <w:jc w:val="both"/>
        <w:rPr>
          <w:color w:val="auto"/>
        </w:rPr>
      </w:pPr>
      <w:r w:rsidRPr="00E531C0">
        <w:rPr>
          <w:b/>
          <w:color w:val="auto"/>
        </w:rPr>
        <w:t>ESPS Manuscript NO:</w:t>
      </w:r>
      <w:r w:rsidRPr="00E531C0">
        <w:rPr>
          <w:color w:val="auto"/>
        </w:rPr>
        <w:t xml:space="preserve"> </w:t>
      </w:r>
      <w:r w:rsidRPr="00E531C0">
        <w:rPr>
          <w:b/>
          <w:color w:val="auto"/>
        </w:rPr>
        <w:t>24933</w:t>
      </w:r>
    </w:p>
    <w:p w:rsidR="00891B7E" w:rsidRPr="00E531C0" w:rsidRDefault="00AE4F5A" w:rsidP="00DF4498">
      <w:pPr>
        <w:pStyle w:val="Default"/>
        <w:spacing w:line="360" w:lineRule="auto"/>
        <w:jc w:val="both"/>
        <w:rPr>
          <w:rFonts w:eastAsia="宋体"/>
          <w:b/>
          <w:color w:val="auto"/>
          <w:lang w:eastAsia="zh-CN"/>
        </w:rPr>
      </w:pPr>
      <w:r w:rsidRPr="00E531C0">
        <w:rPr>
          <w:b/>
          <w:color w:val="auto"/>
        </w:rPr>
        <w:t xml:space="preserve">Manuscript Type: </w:t>
      </w:r>
      <w:r w:rsidR="00397A31" w:rsidRPr="00E531C0">
        <w:rPr>
          <w:rFonts w:eastAsia="宋体"/>
          <w:b/>
          <w:color w:val="auto"/>
        </w:rPr>
        <w:t>Original Article</w:t>
      </w:r>
    </w:p>
    <w:p w:rsidR="00891B7E" w:rsidRPr="00E531C0" w:rsidRDefault="00891B7E" w:rsidP="00DF4498">
      <w:pPr>
        <w:pStyle w:val="Default"/>
        <w:spacing w:line="360" w:lineRule="auto"/>
        <w:jc w:val="both"/>
        <w:rPr>
          <w:rFonts w:eastAsia="宋体"/>
          <w:b/>
          <w:color w:val="auto"/>
          <w:lang w:eastAsia="zh-CN"/>
        </w:rPr>
      </w:pPr>
    </w:p>
    <w:p w:rsidR="00AE4F5A" w:rsidRPr="00E531C0" w:rsidRDefault="00AE4F5A" w:rsidP="00DF4498">
      <w:pPr>
        <w:pStyle w:val="Default"/>
        <w:spacing w:line="360" w:lineRule="auto"/>
        <w:jc w:val="both"/>
        <w:rPr>
          <w:rFonts w:eastAsia="宋体"/>
          <w:b/>
          <w:i/>
          <w:color w:val="auto"/>
          <w:lang w:eastAsia="zh-CN"/>
        </w:rPr>
      </w:pPr>
      <w:r w:rsidRPr="00E531C0">
        <w:rPr>
          <w:b/>
          <w:i/>
          <w:color w:val="auto"/>
        </w:rPr>
        <w:t xml:space="preserve">Retrospective </w:t>
      </w:r>
      <w:r w:rsidR="009C0C11" w:rsidRPr="00E531C0">
        <w:rPr>
          <w:b/>
          <w:i/>
          <w:color w:val="auto"/>
        </w:rPr>
        <w:t>S</w:t>
      </w:r>
      <w:r w:rsidRPr="00E531C0">
        <w:rPr>
          <w:b/>
          <w:i/>
          <w:color w:val="auto"/>
        </w:rPr>
        <w:t>tudy</w:t>
      </w:r>
    </w:p>
    <w:p w:rsidR="00434ED3" w:rsidRPr="00E531C0" w:rsidRDefault="00C526A9" w:rsidP="00DF4498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 xml:space="preserve">Clinical </w:t>
      </w:r>
      <w:r w:rsidR="00ED7FBE" w:rsidRPr="00E531C0">
        <w:rPr>
          <w:rFonts w:ascii="Book Antiqua" w:hAnsi="Book Antiqua"/>
          <w:b/>
          <w:sz w:val="24"/>
          <w:szCs w:val="24"/>
        </w:rPr>
        <w:t xml:space="preserve">characteristics and progression of liver abscess caused by </w:t>
      </w:r>
      <w:proofErr w:type="spellStart"/>
      <w:r w:rsidR="00B94779" w:rsidRPr="00E531C0">
        <w:rPr>
          <w:rFonts w:ascii="Book Antiqua" w:hAnsi="Book Antiqua"/>
          <w:b/>
          <w:sz w:val="24"/>
          <w:szCs w:val="24"/>
        </w:rPr>
        <w:t>t</w:t>
      </w:r>
      <w:r w:rsidR="00ED7FBE" w:rsidRPr="00E531C0">
        <w:rPr>
          <w:rFonts w:ascii="Book Antiqua" w:hAnsi="Book Antiqua"/>
          <w:b/>
          <w:sz w:val="24"/>
          <w:szCs w:val="24"/>
        </w:rPr>
        <w:t>ox</w:t>
      </w:r>
      <w:r w:rsidRPr="00E531C0">
        <w:rPr>
          <w:rFonts w:ascii="Book Antiqua" w:hAnsi="Book Antiqua"/>
          <w:b/>
          <w:sz w:val="24"/>
          <w:szCs w:val="24"/>
        </w:rPr>
        <w:t>ocara</w:t>
      </w:r>
      <w:proofErr w:type="spellEnd"/>
    </w:p>
    <w:p w:rsidR="00ED7FBE" w:rsidRPr="00E531C0" w:rsidRDefault="00ED7FBE" w:rsidP="00DF4498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AE4F5A" w:rsidRPr="00E531C0" w:rsidRDefault="00647DF2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Ha </w:t>
      </w:r>
      <w:r w:rsidRPr="00E531C0">
        <w:rPr>
          <w:rFonts w:ascii="Book Antiqua" w:eastAsia="宋体" w:hAnsi="Book Antiqua"/>
          <w:sz w:val="24"/>
          <w:szCs w:val="24"/>
          <w:lang w:eastAsia="zh-CN"/>
        </w:rPr>
        <w:t xml:space="preserve">KH </w:t>
      </w:r>
      <w:r w:rsidRPr="00E531C0">
        <w:rPr>
          <w:rFonts w:ascii="Book Antiqua" w:eastAsia="宋体" w:hAnsi="Book Antiqua"/>
          <w:i/>
          <w:sz w:val="24"/>
          <w:szCs w:val="24"/>
          <w:lang w:eastAsia="zh-CN"/>
        </w:rPr>
        <w:t>et al</w:t>
      </w:r>
      <w:r w:rsidRPr="00E531C0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="00AE4F5A" w:rsidRPr="00E531C0">
        <w:rPr>
          <w:rFonts w:ascii="Book Antiqua" w:hAnsi="Book Antiqua"/>
          <w:sz w:val="24"/>
          <w:szCs w:val="24"/>
        </w:rPr>
        <w:t xml:space="preserve">Liver abscess caused by </w:t>
      </w:r>
      <w:proofErr w:type="spellStart"/>
      <w:r w:rsidR="00B94779" w:rsidRPr="00E531C0">
        <w:rPr>
          <w:rFonts w:ascii="Book Antiqua" w:hAnsi="Book Antiqua"/>
          <w:sz w:val="24"/>
          <w:szCs w:val="24"/>
        </w:rPr>
        <w:t>t</w:t>
      </w:r>
      <w:r w:rsidR="00AE4F5A" w:rsidRPr="00E531C0">
        <w:rPr>
          <w:rFonts w:ascii="Book Antiqua" w:hAnsi="Book Antiqua"/>
          <w:sz w:val="24"/>
          <w:szCs w:val="24"/>
        </w:rPr>
        <w:t>oxocara</w:t>
      </w:r>
      <w:proofErr w:type="spellEnd"/>
    </w:p>
    <w:p w:rsidR="00397BFF" w:rsidRPr="00E531C0" w:rsidRDefault="00397BF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C526A9" w:rsidRPr="00E531C0" w:rsidRDefault="00C526A9" w:rsidP="00DF4498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vertAlign w:val="superscript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 xml:space="preserve">Kyung Ho Ha, Jung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Eun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Song,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Byung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Seok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Kim, Chang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Hyeong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Lee</w:t>
      </w:r>
    </w:p>
    <w:p w:rsidR="002E3D3F" w:rsidRPr="00E531C0" w:rsidRDefault="002E3D3F" w:rsidP="00DF4498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vertAlign w:val="superscript"/>
          <w:lang w:eastAsia="zh-CN"/>
        </w:rPr>
      </w:pPr>
    </w:p>
    <w:p w:rsidR="00C526A9" w:rsidRPr="00E531C0" w:rsidRDefault="002E3D3F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Kyung Ho Ha,</w:t>
      </w:r>
      <w:r w:rsidRPr="00E531C0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C526A9" w:rsidRPr="00E531C0">
        <w:rPr>
          <w:rFonts w:ascii="Book Antiqua" w:hAnsi="Book Antiqua"/>
          <w:sz w:val="24"/>
          <w:szCs w:val="24"/>
        </w:rPr>
        <w:t>Department of Internal Medicine, Daegu Medical Center</w:t>
      </w:r>
      <w:r w:rsidR="00AF701F" w:rsidRPr="00E531C0">
        <w:rPr>
          <w:rFonts w:ascii="Book Antiqua" w:hAnsi="Book Antiqua"/>
          <w:sz w:val="24"/>
          <w:szCs w:val="24"/>
        </w:rPr>
        <w:t xml:space="preserve">, </w:t>
      </w:r>
      <w:r w:rsidR="00FB4DE6" w:rsidRPr="00E531C0">
        <w:rPr>
          <w:rFonts w:ascii="Book Antiqua" w:hAnsi="Book Antiqua"/>
          <w:sz w:val="24"/>
          <w:szCs w:val="24"/>
        </w:rPr>
        <w:t>Daegu</w:t>
      </w:r>
      <w:r w:rsidR="00FB4DE6" w:rsidRPr="00E531C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AE4F5A" w:rsidRPr="00E531C0">
        <w:rPr>
          <w:rFonts w:ascii="Book Antiqua" w:hAnsi="Book Antiqua"/>
          <w:sz w:val="24"/>
          <w:szCs w:val="24"/>
        </w:rPr>
        <w:t xml:space="preserve">41845, South </w:t>
      </w:r>
      <w:r w:rsidR="00AF701F" w:rsidRPr="00E531C0">
        <w:rPr>
          <w:rFonts w:ascii="Book Antiqua" w:hAnsi="Book Antiqua"/>
          <w:sz w:val="24"/>
          <w:szCs w:val="24"/>
        </w:rPr>
        <w:t>Korea</w:t>
      </w:r>
    </w:p>
    <w:p w:rsidR="00BD37AE" w:rsidRPr="00E531C0" w:rsidRDefault="00BD37AE" w:rsidP="00DF4498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C526A9" w:rsidRPr="00E531C0" w:rsidRDefault="00BD37AE" w:rsidP="00DF4498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vertAlign w:val="superscript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 xml:space="preserve">Jung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Eun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Song,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Byung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Seok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Kim, Chang </w:t>
      </w:r>
      <w:proofErr w:type="spellStart"/>
      <w:r w:rsidRPr="00E531C0">
        <w:rPr>
          <w:rFonts w:ascii="Book Antiqua" w:hAnsi="Book Antiqua"/>
          <w:b/>
          <w:sz w:val="24"/>
          <w:szCs w:val="24"/>
        </w:rPr>
        <w:t>Hyeong</w:t>
      </w:r>
      <w:proofErr w:type="spellEnd"/>
      <w:r w:rsidRPr="00E531C0">
        <w:rPr>
          <w:rFonts w:ascii="Book Antiqua" w:hAnsi="Book Antiqua"/>
          <w:b/>
          <w:sz w:val="24"/>
          <w:szCs w:val="24"/>
        </w:rPr>
        <w:t xml:space="preserve"> Lee</w:t>
      </w:r>
      <w:r w:rsidRPr="00E531C0">
        <w:rPr>
          <w:rFonts w:ascii="Book Antiqua" w:eastAsia="宋体" w:hAnsi="Book Antiqua"/>
          <w:b/>
          <w:sz w:val="24"/>
          <w:szCs w:val="24"/>
          <w:lang w:eastAsia="zh-CN"/>
        </w:rPr>
        <w:t>,</w:t>
      </w:r>
      <w:r w:rsidRPr="00E531C0">
        <w:rPr>
          <w:rFonts w:ascii="Book Antiqua" w:eastAsia="宋体" w:hAnsi="Book Antiqua"/>
          <w:b/>
          <w:sz w:val="24"/>
          <w:szCs w:val="24"/>
          <w:vertAlign w:val="superscript"/>
          <w:lang w:eastAsia="zh-CN"/>
        </w:rPr>
        <w:t xml:space="preserve"> </w:t>
      </w:r>
      <w:r w:rsidR="00C526A9" w:rsidRPr="00E531C0">
        <w:rPr>
          <w:rFonts w:ascii="Book Antiqua" w:hAnsi="Book Antiqua"/>
          <w:sz w:val="24"/>
          <w:szCs w:val="24"/>
        </w:rPr>
        <w:t>Department of Internal Medicine,</w:t>
      </w:r>
      <w:r w:rsidR="00D44C29" w:rsidRPr="00E531C0">
        <w:rPr>
          <w:rFonts w:ascii="Book Antiqua" w:hAnsi="Book Antiqua"/>
          <w:sz w:val="24"/>
          <w:szCs w:val="24"/>
        </w:rPr>
        <w:t xml:space="preserve"> Division of Gastroenterology and Hepatology, </w:t>
      </w:r>
      <w:r w:rsidR="00C526A9" w:rsidRPr="00E531C0">
        <w:rPr>
          <w:rFonts w:ascii="Book Antiqua" w:hAnsi="Book Antiqua"/>
          <w:sz w:val="24"/>
          <w:szCs w:val="24"/>
        </w:rPr>
        <w:t>Daegu Catholic University</w:t>
      </w:r>
      <w:r w:rsidR="00AF701F" w:rsidRPr="00E531C0">
        <w:rPr>
          <w:rFonts w:ascii="Book Antiqua" w:hAnsi="Book Antiqua"/>
          <w:sz w:val="24"/>
          <w:szCs w:val="24"/>
        </w:rPr>
        <w:t>, Daegu</w:t>
      </w:r>
      <w:r w:rsidR="00097F28" w:rsidRPr="00E531C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AE4F5A" w:rsidRPr="00E531C0">
        <w:rPr>
          <w:rFonts w:ascii="Book Antiqua" w:hAnsi="Book Antiqua"/>
          <w:sz w:val="24"/>
          <w:szCs w:val="24"/>
        </w:rPr>
        <w:t>42472,</w:t>
      </w:r>
      <w:r w:rsidR="00AF701F" w:rsidRPr="00E531C0">
        <w:rPr>
          <w:rFonts w:ascii="Book Antiqua" w:hAnsi="Book Antiqua"/>
          <w:sz w:val="24"/>
          <w:szCs w:val="24"/>
        </w:rPr>
        <w:t xml:space="preserve"> </w:t>
      </w:r>
      <w:r w:rsidR="00AE4F5A" w:rsidRPr="00E531C0">
        <w:rPr>
          <w:rFonts w:ascii="Book Antiqua" w:hAnsi="Book Antiqua"/>
          <w:sz w:val="24"/>
          <w:szCs w:val="24"/>
        </w:rPr>
        <w:t xml:space="preserve">South </w:t>
      </w:r>
      <w:r w:rsidR="00AF701F" w:rsidRPr="00E531C0">
        <w:rPr>
          <w:rFonts w:ascii="Book Antiqua" w:hAnsi="Book Antiqua"/>
          <w:sz w:val="24"/>
          <w:szCs w:val="24"/>
        </w:rPr>
        <w:t>Korea</w:t>
      </w:r>
    </w:p>
    <w:p w:rsidR="00B571FB" w:rsidRPr="00E531C0" w:rsidRDefault="00B571FB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89363B" w:rsidRPr="00E531C0" w:rsidRDefault="00397BFF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Author contributions</w:t>
      </w:r>
      <w:r w:rsidR="0089363B" w:rsidRPr="00E531C0">
        <w:rPr>
          <w:rFonts w:ascii="Book Antiqua" w:hAnsi="Book Antiqua"/>
          <w:b/>
          <w:sz w:val="24"/>
          <w:szCs w:val="24"/>
        </w:rPr>
        <w:t>:</w:t>
      </w:r>
      <w:r w:rsidR="0089363B" w:rsidRPr="00E531C0">
        <w:rPr>
          <w:rFonts w:ascii="Book Antiqua" w:hAnsi="Book Antiqua"/>
          <w:sz w:val="24"/>
          <w:szCs w:val="24"/>
        </w:rPr>
        <w:t xml:space="preserve"> </w:t>
      </w:r>
      <w:r w:rsidR="00420A79" w:rsidRPr="00E531C0">
        <w:rPr>
          <w:rFonts w:ascii="Book Antiqua" w:hAnsi="Book Antiqua"/>
          <w:sz w:val="24"/>
          <w:szCs w:val="24"/>
        </w:rPr>
        <w:t xml:space="preserve">Ha KH </w:t>
      </w:r>
      <w:r w:rsidR="0089363B" w:rsidRPr="00E531C0">
        <w:rPr>
          <w:rFonts w:ascii="Book Antiqua" w:hAnsi="Book Antiqua"/>
          <w:sz w:val="24"/>
          <w:szCs w:val="24"/>
        </w:rPr>
        <w:t xml:space="preserve">searched literature, </w:t>
      </w:r>
      <w:r w:rsidR="00420A79" w:rsidRPr="00E531C0">
        <w:rPr>
          <w:rFonts w:ascii="Book Antiqua" w:hAnsi="Book Antiqua"/>
          <w:sz w:val="24"/>
          <w:szCs w:val="24"/>
        </w:rPr>
        <w:t>d</w:t>
      </w:r>
      <w:r w:rsidR="0089363B" w:rsidRPr="00E531C0">
        <w:rPr>
          <w:rFonts w:ascii="Book Antiqua" w:hAnsi="Book Antiqua"/>
          <w:sz w:val="24"/>
          <w:szCs w:val="24"/>
        </w:rPr>
        <w:t>rafted the manuscript, incorporated corrections by coauthors into final manuscript and organized details for submission of manuscript</w:t>
      </w:r>
      <w:r w:rsidR="00420A79" w:rsidRPr="00E531C0">
        <w:rPr>
          <w:rFonts w:ascii="Book Antiqua" w:hAnsi="Book Antiqua"/>
          <w:sz w:val="24"/>
          <w:szCs w:val="24"/>
        </w:rPr>
        <w:t>;</w:t>
      </w:r>
      <w:r w:rsidR="0089363B" w:rsidRPr="00E531C0">
        <w:rPr>
          <w:rFonts w:ascii="Book Antiqua" w:hAnsi="Book Antiqua"/>
          <w:sz w:val="24"/>
          <w:szCs w:val="24"/>
        </w:rPr>
        <w:t xml:space="preserve"> Song JE and Kim BS supervised the manuscript;</w:t>
      </w:r>
      <w:r w:rsidR="00420A79" w:rsidRPr="00E531C0">
        <w:rPr>
          <w:rFonts w:ascii="Book Antiqua" w:hAnsi="Book Antiqua"/>
          <w:sz w:val="24"/>
          <w:szCs w:val="24"/>
        </w:rPr>
        <w:t xml:space="preserve"> Lee CH </w:t>
      </w:r>
      <w:r w:rsidR="0089363B" w:rsidRPr="00E531C0">
        <w:rPr>
          <w:rFonts w:ascii="Book Antiqua" w:hAnsi="Book Antiqua"/>
          <w:sz w:val="24"/>
          <w:szCs w:val="24"/>
        </w:rPr>
        <w:t>contributed to writing the manuscript, reviews and corrections, final approval and submissions</w:t>
      </w:r>
    </w:p>
    <w:p w:rsidR="00EE7272" w:rsidRPr="00E531C0" w:rsidRDefault="00EE7272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91E46" w:rsidRPr="00E531C0" w:rsidRDefault="00397BFF" w:rsidP="00DF4498">
      <w:pPr>
        <w:wordWrap/>
        <w:adjustRightInd w:val="0"/>
        <w:spacing w:after="0" w:line="360" w:lineRule="auto"/>
        <w:rPr>
          <w:rFonts w:ascii="Book Antiqua" w:hAnsi="Book Antiqua" w:cs="TimesNewRomanPSMT"/>
          <w:kern w:val="0"/>
          <w:sz w:val="24"/>
          <w:szCs w:val="24"/>
        </w:rPr>
      </w:pPr>
      <w:r w:rsidRPr="00E531C0">
        <w:rPr>
          <w:rFonts w:ascii="Book Antiqua" w:hAnsi="Book Antiqua"/>
          <w:b/>
          <w:sz w:val="24"/>
          <w:szCs w:val="24"/>
        </w:rPr>
        <w:t>Institutional review board statement</w:t>
      </w:r>
      <w:r w:rsidR="00D44C29" w:rsidRPr="00E531C0">
        <w:rPr>
          <w:rFonts w:ascii="Book Antiqua" w:hAnsi="Book Antiqua"/>
          <w:b/>
          <w:sz w:val="24"/>
          <w:szCs w:val="24"/>
        </w:rPr>
        <w:t>:</w:t>
      </w:r>
      <w:r w:rsidR="00D44C29" w:rsidRPr="00E531C0">
        <w:rPr>
          <w:rFonts w:ascii="Book Antiqua" w:hAnsi="Book Antiqua"/>
          <w:sz w:val="24"/>
          <w:szCs w:val="24"/>
        </w:rPr>
        <w:t xml:space="preserve"> </w:t>
      </w:r>
      <w:r w:rsidR="00F91E46" w:rsidRPr="00E531C0">
        <w:rPr>
          <w:rFonts w:ascii="Book Antiqua" w:hAnsi="Book Antiqua" w:cs="TimesNewRomanPSMT"/>
          <w:kern w:val="0"/>
          <w:sz w:val="24"/>
          <w:szCs w:val="24"/>
        </w:rPr>
        <w:t xml:space="preserve">The study was reviewed and approved by the Institutional </w:t>
      </w:r>
      <w:r w:rsidR="00FE14DC" w:rsidRPr="00E531C0">
        <w:rPr>
          <w:rFonts w:ascii="Book Antiqua" w:hAnsi="Book Antiqua" w:cs="TimesNewRomanPSMT"/>
          <w:kern w:val="0"/>
          <w:sz w:val="24"/>
          <w:szCs w:val="24"/>
        </w:rPr>
        <w:t>Review B</w:t>
      </w:r>
      <w:r w:rsidR="003101A9" w:rsidRPr="00E531C0">
        <w:rPr>
          <w:rFonts w:ascii="Book Antiqua" w:hAnsi="Book Antiqua" w:cs="TimesNewRomanPSMT"/>
          <w:kern w:val="0"/>
          <w:sz w:val="24"/>
          <w:szCs w:val="24"/>
        </w:rPr>
        <w:t>oard of</w:t>
      </w:r>
      <w:r w:rsidR="00F91E46" w:rsidRPr="00E531C0">
        <w:rPr>
          <w:rFonts w:ascii="Book Antiqua" w:hAnsi="Book Antiqua" w:cs="TimesNewRomanPSMT"/>
          <w:kern w:val="0"/>
          <w:sz w:val="24"/>
          <w:szCs w:val="24"/>
        </w:rPr>
        <w:t xml:space="preserve"> Daegu Catholic University.</w:t>
      </w:r>
    </w:p>
    <w:p w:rsidR="00FD513E" w:rsidRPr="00E531C0" w:rsidRDefault="00FD513E" w:rsidP="00DF4498">
      <w:pPr>
        <w:wordWrap/>
        <w:adjustRightInd w:val="0"/>
        <w:spacing w:after="0" w:line="360" w:lineRule="auto"/>
        <w:rPr>
          <w:rFonts w:ascii="Book Antiqua" w:hAnsi="Book Antiqua" w:cs="TimesNewRomanPSMT"/>
          <w:kern w:val="0"/>
          <w:sz w:val="24"/>
          <w:szCs w:val="24"/>
        </w:rPr>
      </w:pPr>
    </w:p>
    <w:p w:rsidR="00FD513E" w:rsidRPr="00E531C0" w:rsidRDefault="00FD513E" w:rsidP="00DF4498">
      <w:pPr>
        <w:wordWrap/>
        <w:adjustRightInd w:val="0"/>
        <w:spacing w:after="0" w:line="360" w:lineRule="auto"/>
        <w:rPr>
          <w:rFonts w:ascii="Book Antiqua" w:hAnsi="Book Antiqua" w:cs="TimesNewRomanPSMT"/>
          <w:kern w:val="0"/>
          <w:sz w:val="24"/>
          <w:szCs w:val="24"/>
        </w:rPr>
      </w:pPr>
      <w:r w:rsidRPr="00E531C0">
        <w:rPr>
          <w:rFonts w:ascii="Book Antiqua" w:hAnsi="Book Antiqua" w:cs="TimesNewRomanPSMT"/>
          <w:b/>
          <w:kern w:val="0"/>
          <w:sz w:val="24"/>
          <w:szCs w:val="24"/>
        </w:rPr>
        <w:t>Informed consent statement:</w:t>
      </w:r>
      <w:r w:rsidRPr="00E531C0">
        <w:rPr>
          <w:rFonts w:ascii="Book Antiqua" w:hAnsi="Book Antiqua" w:cs="TimesNewRomanPSMT"/>
          <w:kern w:val="0"/>
          <w:sz w:val="24"/>
          <w:szCs w:val="24"/>
        </w:rPr>
        <w:t xml:space="preserve"> </w:t>
      </w:r>
      <w:r w:rsidRPr="00E531C0">
        <w:rPr>
          <w:rFonts w:ascii="Book Antiqua" w:hAnsi="Book Antiqua"/>
          <w:sz w:val="24"/>
          <w:szCs w:val="24"/>
        </w:rPr>
        <w:t>Because of retrospective and anonymous character of this study, the need for informed consent was waived by the institutional review board.</w:t>
      </w:r>
    </w:p>
    <w:p w:rsidR="00F91E46" w:rsidRPr="00E531C0" w:rsidRDefault="00F91E46" w:rsidP="00DF4498">
      <w:pPr>
        <w:wordWrap/>
        <w:adjustRightInd w:val="0"/>
        <w:spacing w:after="0" w:line="360" w:lineRule="auto"/>
        <w:rPr>
          <w:rFonts w:ascii="Book Antiqua" w:hAnsi="Book Antiqua" w:cs="TimesNewRomanPSMT"/>
          <w:kern w:val="0"/>
          <w:sz w:val="24"/>
          <w:szCs w:val="24"/>
        </w:rPr>
      </w:pPr>
    </w:p>
    <w:p w:rsidR="00397BFF" w:rsidRPr="00E531C0" w:rsidRDefault="00397BFF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lastRenderedPageBreak/>
        <w:t>Conflict</w:t>
      </w:r>
      <w:r w:rsidR="0089363B" w:rsidRPr="00E531C0">
        <w:rPr>
          <w:rFonts w:ascii="Book Antiqua" w:hAnsi="Book Antiqua"/>
          <w:b/>
          <w:sz w:val="24"/>
          <w:szCs w:val="24"/>
        </w:rPr>
        <w:t>-</w:t>
      </w:r>
      <w:r w:rsidRPr="00E531C0">
        <w:rPr>
          <w:rFonts w:ascii="Book Antiqua" w:hAnsi="Book Antiqua"/>
          <w:b/>
          <w:sz w:val="24"/>
          <w:szCs w:val="24"/>
        </w:rPr>
        <w:t>of</w:t>
      </w:r>
      <w:r w:rsidR="0089363B" w:rsidRPr="00E531C0">
        <w:rPr>
          <w:rFonts w:ascii="Book Antiqua" w:hAnsi="Book Antiqua"/>
          <w:b/>
          <w:sz w:val="24"/>
          <w:szCs w:val="24"/>
        </w:rPr>
        <w:t>-</w:t>
      </w:r>
      <w:r w:rsidRPr="00E531C0">
        <w:rPr>
          <w:rFonts w:ascii="Book Antiqua" w:hAnsi="Book Antiqua"/>
          <w:b/>
          <w:sz w:val="24"/>
          <w:szCs w:val="24"/>
        </w:rPr>
        <w:t>interest statement</w:t>
      </w:r>
      <w:r w:rsidR="00894E6A" w:rsidRPr="00E531C0">
        <w:rPr>
          <w:rFonts w:ascii="Book Antiqua" w:hAnsi="Book Antiqua"/>
          <w:b/>
          <w:sz w:val="24"/>
          <w:szCs w:val="24"/>
        </w:rPr>
        <w:t>:</w:t>
      </w:r>
      <w:r w:rsidR="00894E6A" w:rsidRPr="00E531C0">
        <w:rPr>
          <w:rFonts w:ascii="Book Antiqua" w:hAnsi="Book Antiqua"/>
          <w:sz w:val="24"/>
          <w:szCs w:val="24"/>
        </w:rPr>
        <w:t xml:space="preserve"> The authors </w:t>
      </w:r>
      <w:r w:rsidR="00D44C29" w:rsidRPr="00E531C0">
        <w:rPr>
          <w:rFonts w:ascii="Book Antiqua" w:hAnsi="Book Antiqua"/>
          <w:sz w:val="24"/>
          <w:szCs w:val="24"/>
        </w:rPr>
        <w:t>have</w:t>
      </w:r>
      <w:r w:rsidR="00894E6A" w:rsidRPr="00E531C0">
        <w:rPr>
          <w:rFonts w:ascii="Book Antiqua" w:hAnsi="Book Antiqua"/>
          <w:sz w:val="24"/>
          <w:szCs w:val="24"/>
        </w:rPr>
        <w:t xml:space="preserve"> no conflict of interest related to this publication.</w:t>
      </w:r>
    </w:p>
    <w:p w:rsidR="003E0184" w:rsidRPr="00E531C0" w:rsidRDefault="003E0184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420A79" w:rsidRPr="00E531C0" w:rsidRDefault="00397BFF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Data sharing statement</w:t>
      </w:r>
      <w:r w:rsidR="00D44C29" w:rsidRPr="00E531C0">
        <w:rPr>
          <w:rFonts w:ascii="Book Antiqua" w:hAnsi="Book Antiqua"/>
          <w:b/>
          <w:sz w:val="24"/>
          <w:szCs w:val="24"/>
        </w:rPr>
        <w:t>:</w:t>
      </w:r>
      <w:r w:rsidR="00D44C29" w:rsidRPr="00E531C0">
        <w:rPr>
          <w:rFonts w:ascii="Book Antiqua" w:hAnsi="Book Antiqua"/>
          <w:sz w:val="24"/>
          <w:szCs w:val="24"/>
        </w:rPr>
        <w:t xml:space="preserve"> No additional data are available.</w:t>
      </w:r>
    </w:p>
    <w:p w:rsidR="003E0184" w:rsidRPr="00E531C0" w:rsidRDefault="003E0184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130167" w:rsidRPr="00E531C0" w:rsidRDefault="00130167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bookmarkStart w:id="0" w:name="OLE_LINK479"/>
      <w:bookmarkStart w:id="1" w:name="OLE_LINK496"/>
      <w:bookmarkStart w:id="2" w:name="OLE_LINK506"/>
      <w:bookmarkStart w:id="3" w:name="OLE_LINK507"/>
      <w:r w:rsidRPr="00E531C0">
        <w:rPr>
          <w:rFonts w:ascii="Book Antiqua" w:hAnsi="Book Antiqua"/>
          <w:b/>
          <w:sz w:val="24"/>
          <w:szCs w:val="24"/>
        </w:rPr>
        <w:t xml:space="preserve">Open-Access: </w:t>
      </w:r>
      <w:r w:rsidRPr="00E531C0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E531C0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617313" w:rsidRPr="00E531C0" w:rsidRDefault="00617313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617313" w:rsidRPr="00E531C0" w:rsidRDefault="00617313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b/>
          <w:sz w:val="24"/>
          <w:szCs w:val="24"/>
        </w:rPr>
        <w:t xml:space="preserve">Manuscript source: </w:t>
      </w:r>
      <w:r w:rsidRPr="00E531C0">
        <w:rPr>
          <w:rFonts w:ascii="Book Antiqua" w:hAnsi="Book Antiqua"/>
          <w:sz w:val="24"/>
          <w:szCs w:val="24"/>
        </w:rPr>
        <w:t>Unsolicited manuscript</w:t>
      </w:r>
    </w:p>
    <w:p w:rsidR="00E405BD" w:rsidRPr="00E531C0" w:rsidRDefault="00E405BD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3258E" w:rsidRPr="00E531C0" w:rsidRDefault="00F9511A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kern w:val="0"/>
          <w:sz w:val="24"/>
          <w:szCs w:val="24"/>
        </w:rPr>
        <w:t>Correspondence to:</w:t>
      </w:r>
      <w:r w:rsidR="00894E6A" w:rsidRPr="00E531C0">
        <w:rPr>
          <w:rFonts w:ascii="Book Antiqua" w:hAnsi="Book Antiqua"/>
          <w:sz w:val="24"/>
          <w:szCs w:val="24"/>
        </w:rPr>
        <w:t xml:space="preserve"> </w:t>
      </w:r>
      <w:r w:rsidR="00420A79" w:rsidRPr="00E531C0">
        <w:rPr>
          <w:rFonts w:ascii="Book Antiqua" w:hAnsi="Book Antiqua"/>
          <w:b/>
          <w:sz w:val="24"/>
          <w:szCs w:val="24"/>
        </w:rPr>
        <w:t xml:space="preserve">Chang </w:t>
      </w:r>
      <w:proofErr w:type="spellStart"/>
      <w:r w:rsidR="00420A79" w:rsidRPr="00E531C0">
        <w:rPr>
          <w:rFonts w:ascii="Book Antiqua" w:hAnsi="Book Antiqua"/>
          <w:b/>
          <w:sz w:val="24"/>
          <w:szCs w:val="24"/>
        </w:rPr>
        <w:t>Hyeong</w:t>
      </w:r>
      <w:proofErr w:type="spellEnd"/>
      <w:r w:rsidR="00420A79" w:rsidRPr="00E531C0">
        <w:rPr>
          <w:rFonts w:ascii="Book Antiqua" w:hAnsi="Book Antiqua"/>
          <w:b/>
          <w:sz w:val="24"/>
          <w:szCs w:val="24"/>
        </w:rPr>
        <w:t xml:space="preserve"> Lee</w:t>
      </w:r>
      <w:r w:rsidR="00894E6A" w:rsidRPr="00E531C0">
        <w:rPr>
          <w:rFonts w:ascii="Book Antiqua" w:hAnsi="Book Antiqua"/>
          <w:b/>
          <w:sz w:val="24"/>
          <w:szCs w:val="24"/>
        </w:rPr>
        <w:t>, MD,</w:t>
      </w:r>
      <w:r w:rsidR="00184963" w:rsidRPr="00E531C0">
        <w:rPr>
          <w:rFonts w:ascii="Book Antiqua" w:hAnsi="Book Antiqua"/>
          <w:b/>
          <w:sz w:val="24"/>
          <w:szCs w:val="24"/>
        </w:rPr>
        <w:t xml:space="preserve"> Professor </w:t>
      </w:r>
      <w:r w:rsidR="00184963" w:rsidRPr="00E531C0">
        <w:rPr>
          <w:rFonts w:ascii="Book Antiqua" w:hAnsi="Book Antiqua"/>
          <w:sz w:val="24"/>
          <w:szCs w:val="24"/>
        </w:rPr>
        <w:t xml:space="preserve">of Internal Medicine and Gastroenterology, Division of </w:t>
      </w:r>
      <w:r w:rsidR="00894E6A" w:rsidRPr="00E531C0">
        <w:rPr>
          <w:rFonts w:ascii="Book Antiqua" w:hAnsi="Book Antiqua"/>
          <w:sz w:val="24"/>
          <w:szCs w:val="24"/>
        </w:rPr>
        <w:t xml:space="preserve">Gastroenterology and Hepatology, Daegu Catholic University, 33, </w:t>
      </w:r>
      <w:proofErr w:type="spellStart"/>
      <w:r w:rsidR="00894E6A" w:rsidRPr="00E531C0">
        <w:rPr>
          <w:rFonts w:ascii="Book Antiqua" w:hAnsi="Book Antiqua"/>
          <w:sz w:val="24"/>
          <w:szCs w:val="24"/>
        </w:rPr>
        <w:t>Duryugongwon-ro</w:t>
      </w:r>
      <w:proofErr w:type="spellEnd"/>
      <w:r w:rsidR="00894E6A" w:rsidRPr="00E531C0">
        <w:rPr>
          <w:rFonts w:ascii="Book Antiqua" w:hAnsi="Book Antiqua"/>
          <w:sz w:val="24"/>
          <w:szCs w:val="24"/>
        </w:rPr>
        <w:t xml:space="preserve"> 17-gil, Nam-</w:t>
      </w:r>
      <w:proofErr w:type="spellStart"/>
      <w:r w:rsidR="00894E6A" w:rsidRPr="00E531C0">
        <w:rPr>
          <w:rFonts w:ascii="Book Antiqua" w:hAnsi="Book Antiqua"/>
          <w:sz w:val="24"/>
          <w:szCs w:val="24"/>
        </w:rPr>
        <w:t>gu</w:t>
      </w:r>
      <w:proofErr w:type="spellEnd"/>
      <w:r w:rsidR="00894E6A" w:rsidRPr="00E531C0">
        <w:rPr>
          <w:rFonts w:ascii="Book Antiqua" w:hAnsi="Book Antiqua"/>
          <w:sz w:val="24"/>
          <w:szCs w:val="24"/>
        </w:rPr>
        <w:t>, Daegu</w:t>
      </w:r>
      <w:r w:rsidR="0053461A" w:rsidRPr="00E531C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287299" w:rsidRPr="00E531C0">
        <w:rPr>
          <w:rFonts w:ascii="Book Antiqua" w:hAnsi="Book Antiqua"/>
          <w:sz w:val="24"/>
          <w:szCs w:val="24"/>
        </w:rPr>
        <w:t xml:space="preserve">42472, </w:t>
      </w:r>
      <w:r w:rsidR="00E536CF" w:rsidRPr="00E531C0">
        <w:rPr>
          <w:rFonts w:ascii="Book Antiqua" w:hAnsi="Book Antiqua"/>
          <w:sz w:val="24"/>
          <w:szCs w:val="24"/>
        </w:rPr>
        <w:t xml:space="preserve">South </w:t>
      </w:r>
      <w:r w:rsidR="00894E6A" w:rsidRPr="00E531C0">
        <w:rPr>
          <w:rFonts w:ascii="Book Antiqua" w:hAnsi="Book Antiqua"/>
          <w:sz w:val="24"/>
          <w:szCs w:val="24"/>
        </w:rPr>
        <w:t xml:space="preserve">Korea. </w:t>
      </w:r>
      <w:hyperlink r:id="rId9" w:history="1">
        <w:r w:rsidR="00894E6A" w:rsidRPr="00E531C0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chlee1@cu.ac.kr</w:t>
        </w:r>
      </w:hyperlink>
    </w:p>
    <w:p w:rsidR="0083258E" w:rsidRPr="00E531C0" w:rsidRDefault="0062350F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Te</w:t>
      </w:r>
      <w:r w:rsidR="00894E6A" w:rsidRPr="00E531C0">
        <w:rPr>
          <w:rFonts w:ascii="Book Antiqua" w:hAnsi="Book Antiqua"/>
          <w:b/>
          <w:sz w:val="24"/>
          <w:szCs w:val="24"/>
        </w:rPr>
        <w:t>lephone</w:t>
      </w:r>
      <w:r w:rsidR="00317C2D" w:rsidRPr="00E531C0">
        <w:rPr>
          <w:rFonts w:ascii="Book Antiqua" w:hAnsi="Book Antiqua"/>
          <w:b/>
          <w:sz w:val="24"/>
          <w:szCs w:val="24"/>
        </w:rPr>
        <w:t>:</w:t>
      </w:r>
      <w:r w:rsidR="0083258E" w:rsidRPr="00E531C0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317C2D" w:rsidRPr="00E531C0">
        <w:rPr>
          <w:rFonts w:ascii="Book Antiqua" w:hAnsi="Book Antiqua"/>
          <w:sz w:val="24"/>
          <w:szCs w:val="24"/>
        </w:rPr>
        <w:t>+82-53-</w:t>
      </w:r>
      <w:r w:rsidR="00894E6A" w:rsidRPr="00E531C0">
        <w:rPr>
          <w:rFonts w:ascii="Book Antiqua" w:hAnsi="Book Antiqua"/>
          <w:sz w:val="24"/>
          <w:szCs w:val="24"/>
        </w:rPr>
        <w:t>6</w:t>
      </w:r>
      <w:r w:rsidR="00317C2D" w:rsidRPr="00E531C0">
        <w:rPr>
          <w:rFonts w:ascii="Book Antiqua" w:hAnsi="Book Antiqua"/>
          <w:sz w:val="24"/>
          <w:szCs w:val="24"/>
        </w:rPr>
        <w:t>5</w:t>
      </w:r>
      <w:r w:rsidR="00894E6A" w:rsidRPr="00E531C0">
        <w:rPr>
          <w:rFonts w:ascii="Book Antiqua" w:hAnsi="Book Antiqua"/>
          <w:sz w:val="24"/>
          <w:szCs w:val="24"/>
        </w:rPr>
        <w:t>0</w:t>
      </w:r>
      <w:r w:rsidR="00525CE5" w:rsidRPr="00E531C0">
        <w:rPr>
          <w:rFonts w:ascii="Book Antiqua" w:hAnsi="Book Antiqua"/>
          <w:sz w:val="24"/>
          <w:szCs w:val="24"/>
        </w:rPr>
        <w:t>3067</w:t>
      </w:r>
    </w:p>
    <w:p w:rsidR="00397BFF" w:rsidRPr="00E531C0" w:rsidRDefault="00894E6A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Fax</w:t>
      </w:r>
      <w:r w:rsidR="00317C2D" w:rsidRPr="00E531C0">
        <w:rPr>
          <w:rFonts w:ascii="Book Antiqua" w:hAnsi="Book Antiqua"/>
          <w:b/>
          <w:sz w:val="24"/>
          <w:szCs w:val="24"/>
        </w:rPr>
        <w:t>:</w:t>
      </w:r>
      <w:r w:rsidR="0083258E" w:rsidRPr="00E531C0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317C2D" w:rsidRPr="00E531C0">
        <w:rPr>
          <w:rFonts w:ascii="Book Antiqua" w:hAnsi="Book Antiqua"/>
          <w:sz w:val="24"/>
          <w:szCs w:val="24"/>
        </w:rPr>
        <w:t>+82-53-</w:t>
      </w:r>
      <w:r w:rsidR="0083258E" w:rsidRPr="00E531C0">
        <w:rPr>
          <w:rFonts w:ascii="Book Antiqua" w:hAnsi="Book Antiqua"/>
          <w:sz w:val="24"/>
          <w:szCs w:val="24"/>
        </w:rPr>
        <w:t>628</w:t>
      </w:r>
      <w:r w:rsidR="003944C0" w:rsidRPr="00E531C0">
        <w:rPr>
          <w:rFonts w:ascii="Book Antiqua" w:hAnsi="Book Antiqua"/>
          <w:sz w:val="24"/>
          <w:szCs w:val="24"/>
        </w:rPr>
        <w:t>4050</w:t>
      </w:r>
      <w:r w:rsidRPr="00E531C0">
        <w:rPr>
          <w:rFonts w:ascii="Book Antiqua" w:hAnsi="Book Antiqua"/>
          <w:sz w:val="24"/>
          <w:szCs w:val="24"/>
        </w:rPr>
        <w:t xml:space="preserve"> </w:t>
      </w:r>
    </w:p>
    <w:p w:rsidR="00886AF5" w:rsidRPr="00E531C0" w:rsidRDefault="00886AF5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A546D" w:rsidRPr="00E531C0" w:rsidRDefault="00CA546D" w:rsidP="00DF4498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bookmarkStart w:id="4" w:name="OLE_LINK285"/>
      <w:bookmarkStart w:id="5" w:name="OLE_LINK284"/>
      <w:r w:rsidRPr="00E531C0">
        <w:rPr>
          <w:rFonts w:ascii="Book Antiqua" w:eastAsiaTheme="minorEastAsia" w:hAnsi="Book Antiqua" w:cstheme="minorBidi"/>
          <w:b/>
          <w:sz w:val="24"/>
          <w:szCs w:val="24"/>
        </w:rPr>
        <w:t>Received:</w:t>
      </w:r>
      <w:r w:rsidRPr="00E531C0">
        <w:rPr>
          <w:rFonts w:ascii="Book Antiqua" w:eastAsiaTheme="minorEastAsia" w:hAnsi="Book Antiqua" w:cstheme="minorBidi"/>
          <w:sz w:val="24"/>
          <w:szCs w:val="24"/>
        </w:rPr>
        <w:t xml:space="preserve"> February </w:t>
      </w:r>
      <w:r w:rsidR="007C0523" w:rsidRPr="00E531C0">
        <w:rPr>
          <w:rFonts w:ascii="Book Antiqua" w:hAnsi="Book Antiqua" w:cstheme="minorBidi"/>
          <w:sz w:val="24"/>
          <w:szCs w:val="24"/>
        </w:rPr>
        <w:t>15</w:t>
      </w:r>
      <w:r w:rsidRPr="00E531C0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CA546D" w:rsidRPr="00E531C0" w:rsidRDefault="00CA546D" w:rsidP="00DF4498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E531C0">
        <w:rPr>
          <w:rFonts w:ascii="Book Antiqua" w:eastAsiaTheme="minorEastAsia" w:hAnsi="Book Antiqua" w:cstheme="minorBidi"/>
          <w:b/>
          <w:sz w:val="24"/>
          <w:szCs w:val="24"/>
        </w:rPr>
        <w:t>Peer-review started:</w:t>
      </w:r>
      <w:r w:rsidRPr="00E531C0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7C0523" w:rsidRPr="00E531C0">
        <w:rPr>
          <w:rFonts w:ascii="Book Antiqua" w:eastAsiaTheme="minorEastAsia" w:hAnsi="Book Antiqua" w:cstheme="minorBidi"/>
          <w:sz w:val="24"/>
          <w:szCs w:val="24"/>
        </w:rPr>
        <w:t xml:space="preserve">February </w:t>
      </w:r>
      <w:r w:rsidR="007C0523" w:rsidRPr="00E531C0">
        <w:rPr>
          <w:rFonts w:ascii="Book Antiqua" w:hAnsi="Book Antiqua" w:cstheme="minorBidi"/>
          <w:sz w:val="24"/>
          <w:szCs w:val="24"/>
        </w:rPr>
        <w:t>16</w:t>
      </w:r>
      <w:r w:rsidRPr="00E531C0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CA546D" w:rsidRPr="00E531C0" w:rsidRDefault="00CA546D" w:rsidP="00DF4498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E531C0">
        <w:rPr>
          <w:rFonts w:ascii="Book Antiqua" w:eastAsiaTheme="minorEastAsia" w:hAnsi="Book Antiqua" w:cstheme="minorBidi"/>
          <w:b/>
          <w:sz w:val="24"/>
          <w:szCs w:val="24"/>
        </w:rPr>
        <w:t>First decision:</w:t>
      </w:r>
      <w:r w:rsidRPr="00E531C0">
        <w:rPr>
          <w:rFonts w:ascii="Book Antiqua" w:eastAsiaTheme="minorEastAsia" w:hAnsi="Book Antiqua" w:cstheme="minorBidi"/>
          <w:sz w:val="24"/>
          <w:szCs w:val="24"/>
        </w:rPr>
        <w:t xml:space="preserve"> March </w:t>
      </w:r>
      <w:r w:rsidR="008703F9" w:rsidRPr="00E531C0">
        <w:rPr>
          <w:rFonts w:ascii="Book Antiqua" w:hAnsi="Book Antiqua" w:cstheme="minorBidi"/>
          <w:sz w:val="24"/>
          <w:szCs w:val="24"/>
        </w:rPr>
        <w:t>24</w:t>
      </w:r>
      <w:r w:rsidRPr="00E531C0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CA546D" w:rsidRPr="00E531C0" w:rsidRDefault="00CA546D" w:rsidP="00DF4498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E531C0">
        <w:rPr>
          <w:rFonts w:ascii="Book Antiqua" w:eastAsiaTheme="minorEastAsia" w:hAnsi="Book Antiqua" w:cstheme="minorBidi"/>
          <w:b/>
          <w:sz w:val="24"/>
          <w:szCs w:val="24"/>
        </w:rPr>
        <w:t xml:space="preserve">Revised: </w:t>
      </w:r>
      <w:r w:rsidR="008703F9" w:rsidRPr="00E531C0">
        <w:rPr>
          <w:rFonts w:ascii="Book Antiqua" w:hAnsi="Book Antiqua" w:cstheme="minorBidi"/>
          <w:sz w:val="24"/>
          <w:szCs w:val="24"/>
        </w:rPr>
        <w:t>April</w:t>
      </w:r>
      <w:r w:rsidR="008703F9" w:rsidRPr="00E531C0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8703F9" w:rsidRPr="00E531C0">
        <w:rPr>
          <w:rFonts w:ascii="Book Antiqua" w:hAnsi="Book Antiqua" w:cstheme="minorBidi"/>
          <w:sz w:val="24"/>
          <w:szCs w:val="24"/>
        </w:rPr>
        <w:t>7</w:t>
      </w:r>
      <w:r w:rsidRPr="00E531C0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CA546D" w:rsidRPr="00E531C0" w:rsidRDefault="00CA546D" w:rsidP="00DF4498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E531C0">
        <w:rPr>
          <w:rFonts w:ascii="Book Antiqua" w:eastAsiaTheme="minorEastAsia" w:hAnsi="Book Antiqua" w:cstheme="minorBidi"/>
          <w:b/>
          <w:sz w:val="24"/>
          <w:szCs w:val="24"/>
        </w:rPr>
        <w:t xml:space="preserve">Accepted: </w:t>
      </w:r>
      <w:r w:rsidR="00967146" w:rsidRPr="00967146">
        <w:rPr>
          <w:rFonts w:ascii="Book Antiqua" w:eastAsiaTheme="minorEastAsia" w:hAnsi="Book Antiqua" w:cstheme="minorBidi"/>
          <w:sz w:val="24"/>
          <w:szCs w:val="24"/>
        </w:rPr>
        <w:t>June 1, 2016</w:t>
      </w:r>
    </w:p>
    <w:p w:rsidR="00CA546D" w:rsidRPr="00E531C0" w:rsidRDefault="00CA546D" w:rsidP="00DF4498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E531C0">
        <w:rPr>
          <w:rFonts w:ascii="Book Antiqua" w:eastAsiaTheme="minorEastAsia" w:hAnsi="Book Antiqua" w:cstheme="minorBidi"/>
          <w:b/>
          <w:sz w:val="24"/>
          <w:szCs w:val="24"/>
        </w:rPr>
        <w:t xml:space="preserve">Article in press: </w:t>
      </w:r>
    </w:p>
    <w:p w:rsidR="00CA546D" w:rsidRPr="00E531C0" w:rsidRDefault="00CA546D" w:rsidP="00DF4498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E531C0">
        <w:rPr>
          <w:rFonts w:ascii="Book Antiqua" w:eastAsiaTheme="minorEastAsia" w:hAnsi="Book Antiqua" w:cstheme="minorBidi"/>
          <w:b/>
          <w:sz w:val="24"/>
          <w:szCs w:val="24"/>
        </w:rPr>
        <w:t xml:space="preserve">Published online: </w:t>
      </w:r>
      <w:bookmarkEnd w:id="4"/>
      <w:bookmarkEnd w:id="5"/>
    </w:p>
    <w:p w:rsidR="00C11F17" w:rsidRPr="00E531C0" w:rsidRDefault="00C11F17" w:rsidP="00DF449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eastAsia="宋体" w:hAnsi="Book Antiqua"/>
          <w:sz w:val="24"/>
          <w:szCs w:val="24"/>
          <w:lang w:eastAsia="zh-CN"/>
        </w:rPr>
        <w:br w:type="page"/>
      </w:r>
    </w:p>
    <w:p w:rsidR="00114255" w:rsidRPr="00E531C0" w:rsidRDefault="0065751E" w:rsidP="00DF4498">
      <w:pPr>
        <w:wordWrap/>
        <w:snapToGrid w:val="0"/>
        <w:spacing w:after="0" w:line="360" w:lineRule="auto"/>
        <w:rPr>
          <w:rFonts w:ascii="Book Antiqua" w:eastAsia="GulimChe" w:hAnsi="Book Antiqua" w:cs="Arial"/>
          <w:b/>
          <w:sz w:val="24"/>
          <w:szCs w:val="24"/>
        </w:rPr>
      </w:pPr>
      <w:r w:rsidRPr="00E531C0">
        <w:rPr>
          <w:rFonts w:ascii="Book Antiqua" w:eastAsia="GulimChe" w:hAnsi="Book Antiqua" w:cs="Arial"/>
          <w:b/>
          <w:sz w:val="24"/>
          <w:szCs w:val="24"/>
        </w:rPr>
        <w:lastRenderedPageBreak/>
        <w:t>Abstract</w:t>
      </w:r>
    </w:p>
    <w:p w:rsidR="00B571FB" w:rsidRPr="00E531C0" w:rsidRDefault="00193185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AIM</w:t>
      </w:r>
      <w:r w:rsidR="00B571FB" w:rsidRPr="00E531C0">
        <w:rPr>
          <w:rFonts w:ascii="Book Antiqua" w:hAnsi="Book Antiqua"/>
          <w:b/>
          <w:sz w:val="24"/>
          <w:szCs w:val="24"/>
        </w:rPr>
        <w:t>:</w:t>
      </w:r>
      <w:r w:rsidR="00B571FB" w:rsidRPr="00E531C0">
        <w:rPr>
          <w:rFonts w:ascii="Book Antiqua" w:hAnsi="Book Antiqua"/>
          <w:sz w:val="24"/>
          <w:szCs w:val="24"/>
        </w:rPr>
        <w:t xml:space="preserve"> </w:t>
      </w:r>
      <w:r w:rsidR="000D28D4" w:rsidRPr="00E531C0">
        <w:rPr>
          <w:rFonts w:ascii="Book Antiqua" w:hAnsi="Book Antiqua"/>
          <w:sz w:val="24"/>
          <w:szCs w:val="24"/>
        </w:rPr>
        <w:t xml:space="preserve">To </w:t>
      </w:r>
      <w:r w:rsidR="00B571FB" w:rsidRPr="00E531C0">
        <w:rPr>
          <w:rFonts w:ascii="Book Antiqua" w:hAnsi="Book Antiqua"/>
          <w:sz w:val="24"/>
          <w:szCs w:val="24"/>
        </w:rPr>
        <w:t xml:space="preserve">evaluate the clinical characteristics and progression of liver abscess caused by </w:t>
      </w:r>
      <w:proofErr w:type="spellStart"/>
      <w:r w:rsidR="00B571FB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B571FB" w:rsidRPr="00E531C0">
        <w:rPr>
          <w:rFonts w:ascii="Book Antiqua" w:hAnsi="Book Antiqua"/>
          <w:sz w:val="24"/>
          <w:szCs w:val="24"/>
        </w:rPr>
        <w:t>.</w:t>
      </w:r>
    </w:p>
    <w:p w:rsidR="00193185" w:rsidRPr="00E531C0" w:rsidRDefault="00193185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B3085" w:rsidRPr="00E531C0" w:rsidRDefault="005C58F8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M</w:t>
      </w:r>
      <w:r w:rsidR="00B40BE9" w:rsidRPr="00E531C0">
        <w:rPr>
          <w:rFonts w:ascii="Book Antiqua" w:hAnsi="Book Antiqua"/>
          <w:b/>
          <w:sz w:val="24"/>
          <w:szCs w:val="24"/>
        </w:rPr>
        <w:t>ETHODS</w:t>
      </w:r>
      <w:r w:rsidRPr="00E531C0">
        <w:rPr>
          <w:rFonts w:ascii="Book Antiqua" w:hAnsi="Book Antiqua"/>
          <w:b/>
          <w:sz w:val="24"/>
          <w:szCs w:val="24"/>
        </w:rPr>
        <w:t>:</w:t>
      </w:r>
      <w:r w:rsidRPr="00E531C0">
        <w:rPr>
          <w:rFonts w:ascii="Book Antiqua" w:hAnsi="Book Antiqua"/>
          <w:sz w:val="24"/>
          <w:szCs w:val="24"/>
        </w:rPr>
        <w:t xml:space="preserve"> We retrospectively reviewed the medical records of patients with serum IgG antibody to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and liver abscess diagnosed using abdominal</w:t>
      </w:r>
      <w:r w:rsidR="00955C0F" w:rsidRPr="00E531C0">
        <w:rPr>
          <w:rFonts w:ascii="Book Antiqua" w:hAnsi="Book Antiqua"/>
          <w:sz w:val="24"/>
          <w:szCs w:val="24"/>
        </w:rPr>
        <w:t xml:space="preserve"> computed tomography between February 2010 and February 2015. Among 84 patients exhibiting serum IgG antibody to </w:t>
      </w:r>
      <w:proofErr w:type="spellStart"/>
      <w:r w:rsidR="00955C0F"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="00955C0F"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955C0F"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="00955C0F" w:rsidRPr="00E531C0">
        <w:rPr>
          <w:rFonts w:ascii="Book Antiqua" w:hAnsi="Book Antiqua"/>
          <w:sz w:val="24"/>
          <w:szCs w:val="24"/>
        </w:rPr>
        <w:t xml:space="preserve">, 34 patients were diagnosed with liver </w:t>
      </w:r>
      <w:proofErr w:type="spellStart"/>
      <w:r w:rsidR="00955C0F" w:rsidRPr="00E531C0">
        <w:rPr>
          <w:rFonts w:ascii="Book Antiqua" w:hAnsi="Book Antiqua"/>
          <w:sz w:val="24"/>
          <w:szCs w:val="24"/>
        </w:rPr>
        <w:t>asbscess</w:t>
      </w:r>
      <w:proofErr w:type="spellEnd"/>
      <w:r w:rsidR="00955C0F" w:rsidRPr="00E531C0">
        <w:rPr>
          <w:rFonts w:ascii="Book Antiqua" w:hAnsi="Book Antiqua"/>
          <w:sz w:val="24"/>
          <w:szCs w:val="24"/>
        </w:rPr>
        <w:t xml:space="preserve"> and treated with </w:t>
      </w:r>
      <w:proofErr w:type="spellStart"/>
      <w:r w:rsidR="00955C0F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955C0F" w:rsidRPr="00E531C0">
        <w:rPr>
          <w:rFonts w:ascii="Book Antiqua" w:hAnsi="Book Antiqua"/>
          <w:sz w:val="24"/>
          <w:szCs w:val="24"/>
        </w:rPr>
        <w:t xml:space="preserve">. A follow-up period of 1 year was conducted. </w:t>
      </w:r>
    </w:p>
    <w:p w:rsidR="00025E50" w:rsidRPr="00E531C0" w:rsidRDefault="00025E50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C58F8" w:rsidRPr="00E531C0" w:rsidRDefault="000B3085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R</w:t>
      </w:r>
      <w:r w:rsidR="00B40BE9" w:rsidRPr="00E531C0">
        <w:rPr>
          <w:rFonts w:ascii="Book Antiqua" w:hAnsi="Book Antiqua"/>
          <w:b/>
          <w:sz w:val="24"/>
          <w:szCs w:val="24"/>
        </w:rPr>
        <w:t>ESULTS</w:t>
      </w:r>
      <w:r w:rsidRPr="00E531C0">
        <w:rPr>
          <w:rFonts w:ascii="Book Antiqua" w:hAnsi="Book Antiqua"/>
          <w:b/>
          <w:sz w:val="24"/>
          <w:szCs w:val="24"/>
        </w:rPr>
        <w:t>:</w:t>
      </w:r>
      <w:r w:rsidRPr="00E531C0">
        <w:rPr>
          <w:rFonts w:ascii="Book Antiqua" w:hAnsi="Book Antiqua"/>
          <w:sz w:val="24"/>
          <w:szCs w:val="24"/>
        </w:rPr>
        <w:t xml:space="preserve"> Mean patient age was 53 (34-79) years, with 26 (76.5%) patients being male. Twenty-one (61.7%) patients were moderate or heavy drinkers, 23 (67.6%) patients had a history of eating raw meat or liver and 6 (17.6%) patients owned pet dogs or cats.</w:t>
      </w:r>
      <w:r w:rsidR="00955C0F" w:rsidRPr="00E531C0">
        <w:rPr>
          <w:rFonts w:ascii="Book Antiqua" w:hAnsi="Book Antiqua"/>
          <w:sz w:val="24"/>
          <w:szCs w:val="24"/>
        </w:rPr>
        <w:t xml:space="preserve"> </w:t>
      </w:r>
      <w:r w:rsidR="00391371" w:rsidRPr="00E531C0">
        <w:rPr>
          <w:rFonts w:ascii="Book Antiqua" w:hAnsi="Book Antiqua"/>
          <w:sz w:val="24"/>
          <w:szCs w:val="24"/>
        </w:rPr>
        <w:t>Main patient symptoms consisted of right upper qua</w:t>
      </w:r>
      <w:r w:rsidR="00E17BDF" w:rsidRPr="00E531C0">
        <w:rPr>
          <w:rFonts w:ascii="Book Antiqua" w:hAnsi="Book Antiqua"/>
          <w:sz w:val="24"/>
          <w:szCs w:val="24"/>
        </w:rPr>
        <w:t>drant pain, fever, and fatigue;</w:t>
      </w:r>
      <w:r w:rsidR="007400CF" w:rsidRPr="00E531C0">
        <w:rPr>
          <w:rFonts w:ascii="Book Antiqua" w:hAnsi="Book Antiqua"/>
          <w:sz w:val="24"/>
          <w:szCs w:val="24"/>
        </w:rPr>
        <w:t xml:space="preserve"> </w:t>
      </w:r>
      <w:r w:rsidR="00391371" w:rsidRPr="00E531C0">
        <w:rPr>
          <w:rFonts w:ascii="Book Antiqua" w:hAnsi="Book Antiqua"/>
          <w:sz w:val="24"/>
          <w:szCs w:val="24"/>
        </w:rPr>
        <w:t>18 (52.9%) patients, however, presented with no symptoms. Lung involvement was detected in</w:t>
      </w:r>
      <w:r w:rsidR="00D63969" w:rsidRPr="00E531C0">
        <w:rPr>
          <w:rFonts w:ascii="Book Antiqua" w:hAnsi="Book Antiqua"/>
          <w:sz w:val="24"/>
          <w:szCs w:val="24"/>
        </w:rPr>
        <w:t xml:space="preserve"> </w:t>
      </w:r>
      <w:r w:rsidR="00D63969" w:rsidRPr="00E531C0">
        <w:rPr>
          <w:rFonts w:ascii="Book Antiqua" w:hAnsi="Book Antiqua"/>
          <w:strike/>
          <w:sz w:val="24"/>
          <w:szCs w:val="24"/>
        </w:rPr>
        <w:t>44</w:t>
      </w:r>
      <w:r w:rsidR="00391371" w:rsidRPr="00E531C0">
        <w:rPr>
          <w:rFonts w:ascii="Book Antiqua" w:hAnsi="Book Antiqua"/>
          <w:sz w:val="24"/>
          <w:szCs w:val="24"/>
        </w:rPr>
        <w:t xml:space="preserve"> </w:t>
      </w:r>
      <w:r w:rsidR="0070339F" w:rsidRPr="00E531C0">
        <w:rPr>
          <w:rFonts w:ascii="Book Antiqua" w:hAnsi="Book Antiqua"/>
          <w:sz w:val="24"/>
          <w:szCs w:val="24"/>
        </w:rPr>
        <w:t>4</w:t>
      </w:r>
      <w:r w:rsidR="00391371" w:rsidRPr="00E531C0">
        <w:rPr>
          <w:rFonts w:ascii="Book Antiqua" w:hAnsi="Book Antiqua"/>
          <w:sz w:val="24"/>
          <w:szCs w:val="24"/>
        </w:rPr>
        <w:t xml:space="preserve"> (11.7%) patients. The eosinophil count increased in 29 (85.3%) patients at initial diagnosis, and decreased in most patients after </w:t>
      </w:r>
      <w:proofErr w:type="spellStart"/>
      <w:r w:rsidR="00391371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391371" w:rsidRPr="00E531C0">
        <w:rPr>
          <w:rFonts w:ascii="Book Antiqua" w:hAnsi="Book Antiqua"/>
          <w:sz w:val="24"/>
          <w:szCs w:val="24"/>
        </w:rPr>
        <w:t xml:space="preserve"> treatment. The initial serum </w:t>
      </w:r>
      <w:proofErr w:type="spellStart"/>
      <w:r w:rsidR="00391371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391371" w:rsidRPr="00E531C0">
        <w:rPr>
          <w:rFonts w:ascii="Book Antiqua" w:hAnsi="Book Antiqua"/>
          <w:sz w:val="24"/>
          <w:szCs w:val="24"/>
        </w:rPr>
        <w:t xml:space="preserve"> level increased in 25 (73.5%) patients, but exhibited various response level</w:t>
      </w:r>
      <w:r w:rsidR="007400CF" w:rsidRPr="00E531C0">
        <w:rPr>
          <w:rFonts w:ascii="Book Antiqua" w:hAnsi="Book Antiqua"/>
          <w:sz w:val="24"/>
          <w:szCs w:val="24"/>
        </w:rPr>
        <w:t>s</w:t>
      </w:r>
      <w:r w:rsidR="00391371" w:rsidRPr="00E531C0">
        <w:rPr>
          <w:rFonts w:ascii="Book Antiqua" w:hAnsi="Book Antiqua"/>
          <w:sz w:val="24"/>
          <w:szCs w:val="24"/>
        </w:rPr>
        <w:t xml:space="preserve"> after </w:t>
      </w:r>
      <w:proofErr w:type="spellStart"/>
      <w:r w:rsidR="00391371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391371" w:rsidRPr="00E531C0">
        <w:rPr>
          <w:rFonts w:ascii="Book Antiqua" w:hAnsi="Book Antiqua"/>
          <w:sz w:val="24"/>
          <w:szCs w:val="24"/>
        </w:rPr>
        <w:t xml:space="preserve"> treatment. Liver abscess formation improved in all patients.</w:t>
      </w:r>
    </w:p>
    <w:p w:rsidR="00025E50" w:rsidRPr="00E531C0" w:rsidRDefault="00025E50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7400CF" w:rsidRPr="00E531C0" w:rsidRDefault="007400CF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C</w:t>
      </w:r>
      <w:r w:rsidR="00B40BE9" w:rsidRPr="00E531C0">
        <w:rPr>
          <w:rFonts w:ascii="Book Antiqua" w:hAnsi="Book Antiqua"/>
          <w:b/>
          <w:sz w:val="24"/>
          <w:szCs w:val="24"/>
        </w:rPr>
        <w:t>ONCLUSION</w:t>
      </w:r>
      <w:r w:rsidRPr="00E531C0">
        <w:rPr>
          <w:rFonts w:ascii="Book Antiqua" w:hAnsi="Book Antiqua"/>
          <w:b/>
          <w:sz w:val="24"/>
          <w:szCs w:val="24"/>
        </w:rPr>
        <w:t>:</w:t>
      </w:r>
      <w:r w:rsidRPr="00E531C0">
        <w:rPr>
          <w:rFonts w:ascii="Book Antiqua" w:hAnsi="Book Antiqua"/>
          <w:sz w:val="24"/>
          <w:szCs w:val="24"/>
        </w:rPr>
        <w:t xml:space="preserve"> </w:t>
      </w:r>
      <w:r w:rsidR="00165AF5" w:rsidRPr="00E531C0">
        <w:rPr>
          <w:rFonts w:ascii="Book Antiqua" w:hAnsi="Book Antiqua"/>
          <w:sz w:val="24"/>
          <w:szCs w:val="24"/>
        </w:rPr>
        <w:t xml:space="preserve">The </w:t>
      </w:r>
      <w:r w:rsidRPr="00E531C0">
        <w:rPr>
          <w:rFonts w:ascii="Book Antiqua" w:hAnsi="Book Antiqua"/>
          <w:sz w:val="24"/>
          <w:szCs w:val="24"/>
        </w:rPr>
        <w:t xml:space="preserve">liver abscess </w:t>
      </w:r>
      <w:r w:rsidR="00165AF5" w:rsidRPr="00E531C0">
        <w:rPr>
          <w:rFonts w:ascii="Book Antiqua" w:hAnsi="Book Antiqua"/>
          <w:sz w:val="24"/>
          <w:szCs w:val="24"/>
        </w:rPr>
        <w:t>was</w:t>
      </w:r>
      <w:r w:rsidRPr="00E531C0">
        <w:rPr>
          <w:rFonts w:ascii="Book Antiqua" w:hAnsi="Book Antiqua"/>
          <w:sz w:val="24"/>
          <w:szCs w:val="24"/>
        </w:rPr>
        <w:t xml:space="preserve"> improved with </w:t>
      </w:r>
      <w:proofErr w:type="spellStart"/>
      <w:r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treatment.</w:t>
      </w:r>
    </w:p>
    <w:p w:rsidR="00025E50" w:rsidRPr="00E531C0" w:rsidRDefault="00025E50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40485" w:rsidRPr="00E531C0" w:rsidRDefault="00C40485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sz w:val="24"/>
          <w:szCs w:val="24"/>
        </w:rPr>
        <w:t>Key</w:t>
      </w:r>
      <w:r w:rsidR="00B40BE9" w:rsidRPr="00E531C0">
        <w:rPr>
          <w:rFonts w:ascii="Book Antiqua" w:hAnsi="Book Antiqua"/>
          <w:b/>
          <w:sz w:val="24"/>
          <w:szCs w:val="24"/>
        </w:rPr>
        <w:t xml:space="preserve"> </w:t>
      </w:r>
      <w:r w:rsidRPr="00E531C0">
        <w:rPr>
          <w:rFonts w:ascii="Book Antiqua" w:hAnsi="Book Antiqua"/>
          <w:b/>
          <w:sz w:val="24"/>
          <w:szCs w:val="24"/>
        </w:rPr>
        <w:t>words:</w:t>
      </w:r>
      <w:r w:rsidRPr="00E531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; Liver </w:t>
      </w:r>
      <w:r w:rsidR="00025E50" w:rsidRPr="00E531C0">
        <w:rPr>
          <w:rFonts w:ascii="Book Antiqua" w:hAnsi="Book Antiqua"/>
          <w:sz w:val="24"/>
          <w:szCs w:val="24"/>
        </w:rPr>
        <w:t>ab</w:t>
      </w:r>
      <w:r w:rsidRPr="00E531C0">
        <w:rPr>
          <w:rFonts w:ascii="Book Antiqua" w:hAnsi="Book Antiqua"/>
          <w:sz w:val="24"/>
          <w:szCs w:val="24"/>
        </w:rPr>
        <w:t>scess; Eosinophilia</w:t>
      </w:r>
    </w:p>
    <w:p w:rsidR="00B640F9" w:rsidRPr="00E531C0" w:rsidRDefault="00B640F9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640F9" w:rsidRPr="00E531C0" w:rsidRDefault="00D05E9B" w:rsidP="00DF4498">
      <w:pPr>
        <w:wordWrap/>
        <w:spacing w:after="0" w:line="360" w:lineRule="auto"/>
        <w:rPr>
          <w:rFonts w:ascii="Book Antiqua" w:eastAsia="宋体" w:hAnsi="Book Antiqua" w:cs="Arial"/>
          <w:sz w:val="24"/>
          <w:szCs w:val="24"/>
          <w:lang w:eastAsia="zh-CN"/>
        </w:rPr>
      </w:pPr>
      <w:proofErr w:type="gramStart"/>
      <w:r w:rsidRPr="00E531C0">
        <w:rPr>
          <w:rFonts w:ascii="Book Antiqua" w:hAnsi="Book Antiqua"/>
          <w:b/>
          <w:sz w:val="24"/>
          <w:szCs w:val="24"/>
        </w:rPr>
        <w:t xml:space="preserve">© </w:t>
      </w:r>
      <w:r w:rsidRPr="00E531C0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E531C0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E531C0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E531C0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A07920" w:rsidRPr="00E531C0" w:rsidRDefault="00A07920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7505AC" w:rsidRPr="00E531C0" w:rsidRDefault="007505AC" w:rsidP="00DF4498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531C0">
        <w:rPr>
          <w:rFonts w:ascii="Book Antiqua" w:hAnsi="Book Antiqua"/>
          <w:b/>
          <w:sz w:val="24"/>
          <w:szCs w:val="24"/>
        </w:rPr>
        <w:t>Core tip</w:t>
      </w:r>
      <w:r w:rsidR="00B640F9" w:rsidRPr="00E531C0">
        <w:rPr>
          <w:rFonts w:ascii="Book Antiqua" w:eastAsia="宋体" w:hAnsi="Book Antiqua"/>
          <w:b/>
          <w:sz w:val="24"/>
          <w:szCs w:val="24"/>
          <w:lang w:eastAsia="zh-CN"/>
        </w:rPr>
        <w:t xml:space="preserve">: </w:t>
      </w:r>
      <w:r w:rsidRPr="00E531C0">
        <w:rPr>
          <w:rFonts w:ascii="Book Antiqua" w:hAnsi="Book Antiqua"/>
          <w:sz w:val="24"/>
          <w:szCs w:val="24"/>
        </w:rPr>
        <w:t xml:space="preserve">This is a retrospective study to evaluate the clinical characteristics and progression of 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. Eating uncooked food was a more </w:t>
      </w:r>
      <w:r w:rsidRPr="00E531C0">
        <w:rPr>
          <w:rFonts w:ascii="Book Antiqua" w:hAnsi="Book Antiqua"/>
          <w:sz w:val="24"/>
          <w:szCs w:val="24"/>
        </w:rPr>
        <w:lastRenderedPageBreak/>
        <w:t xml:space="preserve">common route of infection than contact with pet animals. Alcohol consumption, sex (male), and ingestion of raw meat or liver were considered to be significant risk factors for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. Patients can present with no specific symptoms, eosinophilia, and/or increased levels of serum </w:t>
      </w:r>
      <w:proofErr w:type="spellStart"/>
      <w:r w:rsidRPr="00E531C0">
        <w:rPr>
          <w:rFonts w:ascii="Book Antiqua" w:hAnsi="Book Antiqua"/>
          <w:sz w:val="24"/>
          <w:szCs w:val="24"/>
        </w:rPr>
        <w:t>IgE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. 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has characteristic radiologic findings. Even if a few patients experience relapse or migration of abscess posttreatment, a good prognosis exists for the overall clinical course. </w:t>
      </w:r>
    </w:p>
    <w:p w:rsidR="00A07920" w:rsidRPr="00E531C0" w:rsidRDefault="00A07920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DF4498" w:rsidRPr="00E531C0" w:rsidRDefault="00DF4498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sz w:val="24"/>
          <w:szCs w:val="24"/>
        </w:rPr>
        <w:t>Ha KH</w:t>
      </w:r>
      <w:r w:rsidRPr="00E531C0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E531C0">
        <w:rPr>
          <w:rFonts w:ascii="Book Antiqua" w:hAnsi="Book Antiqua"/>
          <w:sz w:val="24"/>
          <w:szCs w:val="24"/>
        </w:rPr>
        <w:t>Song JE</w:t>
      </w:r>
      <w:r w:rsidRPr="00E531C0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E531C0">
        <w:rPr>
          <w:rFonts w:ascii="Book Antiqua" w:hAnsi="Book Antiqua"/>
          <w:sz w:val="24"/>
          <w:szCs w:val="24"/>
        </w:rPr>
        <w:t>Kim BS</w:t>
      </w:r>
      <w:r w:rsidRPr="00E531C0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E531C0">
        <w:rPr>
          <w:rFonts w:ascii="Book Antiqua" w:hAnsi="Book Antiqua"/>
          <w:sz w:val="24"/>
          <w:szCs w:val="24"/>
        </w:rPr>
        <w:t>Lee CH</w:t>
      </w:r>
      <w:r w:rsidRPr="00E531C0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Pr="00E531C0">
        <w:rPr>
          <w:rFonts w:ascii="Book Antiqua" w:hAnsi="Book Antiqua"/>
          <w:sz w:val="24"/>
          <w:szCs w:val="24"/>
        </w:rPr>
        <w:t xml:space="preserve">Clinical characteristics and progression of 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bookmarkStart w:id="6" w:name="OLE_LINK130"/>
      <w:r w:rsidR="00FA15AB" w:rsidRPr="00E531C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FA15AB" w:rsidRPr="00E531C0">
        <w:rPr>
          <w:rFonts w:ascii="Book Antiqua" w:hAnsi="Book Antiqua"/>
          <w:i/>
          <w:iCs/>
          <w:sz w:val="24"/>
          <w:szCs w:val="24"/>
        </w:rPr>
        <w:t>Hepatol</w:t>
      </w:r>
      <w:bookmarkEnd w:id="6"/>
      <w:proofErr w:type="spellEnd"/>
      <w:r w:rsidR="00FA15AB" w:rsidRPr="00E531C0">
        <w:rPr>
          <w:rFonts w:ascii="Book Antiqua" w:hAnsi="Book Antiqua"/>
          <w:i/>
          <w:iCs/>
          <w:sz w:val="24"/>
          <w:szCs w:val="24"/>
        </w:rPr>
        <w:t xml:space="preserve"> </w:t>
      </w:r>
      <w:r w:rsidR="00FA15AB" w:rsidRPr="00E531C0">
        <w:rPr>
          <w:rFonts w:ascii="Book Antiqua" w:hAnsi="Book Antiqua"/>
          <w:iCs/>
          <w:sz w:val="24"/>
          <w:szCs w:val="24"/>
        </w:rPr>
        <w:t xml:space="preserve">2016; </w:t>
      </w:r>
      <w:proofErr w:type="gramStart"/>
      <w:r w:rsidR="00FA15AB" w:rsidRPr="00E531C0">
        <w:rPr>
          <w:rFonts w:ascii="Book Antiqua" w:hAnsi="Book Antiqua"/>
          <w:iCs/>
          <w:sz w:val="24"/>
          <w:szCs w:val="24"/>
        </w:rPr>
        <w:t>In</w:t>
      </w:r>
      <w:proofErr w:type="gramEnd"/>
      <w:r w:rsidR="00FA15AB" w:rsidRPr="00E531C0">
        <w:rPr>
          <w:rFonts w:ascii="Book Antiqua" w:hAnsi="Book Antiqua"/>
          <w:iCs/>
          <w:sz w:val="24"/>
          <w:szCs w:val="24"/>
        </w:rPr>
        <w:t xml:space="preserve"> press</w:t>
      </w:r>
    </w:p>
    <w:p w:rsidR="00A07920" w:rsidRPr="00E531C0" w:rsidRDefault="00A07920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A07920" w:rsidRPr="00E531C0" w:rsidRDefault="00A07920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A07920" w:rsidRPr="00E531C0" w:rsidRDefault="00A07920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9214CF" w:rsidRPr="00E531C0" w:rsidRDefault="009214C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AB1689" w:rsidRPr="00E531C0" w:rsidRDefault="00AB1689">
      <w:pPr>
        <w:widowControl/>
        <w:wordWrap/>
        <w:autoSpaceDE/>
        <w:autoSpaceDN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br w:type="page"/>
      </w:r>
    </w:p>
    <w:p w:rsidR="00A07920" w:rsidRPr="00E531C0" w:rsidRDefault="008E7B8B" w:rsidP="00DF4498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531C0">
        <w:rPr>
          <w:rFonts w:ascii="Book Antiqua" w:hAnsi="Book Antiqua"/>
          <w:b/>
          <w:sz w:val="24"/>
          <w:szCs w:val="24"/>
        </w:rPr>
        <w:lastRenderedPageBreak/>
        <w:t>INTRODUCTION</w:t>
      </w:r>
      <w:r w:rsidR="00114255" w:rsidRPr="00E531C0">
        <w:rPr>
          <w:rFonts w:ascii="Book Antiqua" w:hAnsi="Book Antiqua"/>
          <w:b/>
          <w:sz w:val="24"/>
          <w:szCs w:val="24"/>
        </w:rPr>
        <w:t xml:space="preserve"> </w:t>
      </w:r>
    </w:p>
    <w:p w:rsidR="00A07920" w:rsidRPr="00E531C0" w:rsidRDefault="00A07920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is a parasitic infection caused by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cati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. </w:t>
      </w:r>
      <w:r w:rsidR="00800849" w:rsidRPr="00E531C0">
        <w:rPr>
          <w:rFonts w:ascii="Book Antiqua" w:hAnsi="Book Antiqua"/>
          <w:sz w:val="24"/>
          <w:szCs w:val="24"/>
        </w:rPr>
        <w:t>It is</w:t>
      </w:r>
      <w:r w:rsidR="00802056" w:rsidRPr="00E531C0">
        <w:rPr>
          <w:rFonts w:ascii="Book Antiqua" w:hAnsi="Book Antiqua"/>
          <w:sz w:val="24"/>
          <w:szCs w:val="24"/>
        </w:rPr>
        <w:t xml:space="preserve"> known</w:t>
      </w:r>
      <w:r w:rsidR="00800849" w:rsidRPr="00E531C0">
        <w:rPr>
          <w:rFonts w:ascii="Book Antiqua" w:hAnsi="Book Antiqua"/>
          <w:sz w:val="24"/>
          <w:szCs w:val="24"/>
        </w:rPr>
        <w:t xml:space="preserve"> </w:t>
      </w:r>
      <w:r w:rsidR="008B2977" w:rsidRPr="00E531C0">
        <w:rPr>
          <w:rFonts w:ascii="Book Antiqua" w:hAnsi="Book Antiqua"/>
          <w:sz w:val="24"/>
          <w:szCs w:val="24"/>
        </w:rPr>
        <w:t xml:space="preserve">as </w:t>
      </w:r>
      <w:r w:rsidR="00800849" w:rsidRPr="00E531C0">
        <w:rPr>
          <w:rFonts w:ascii="Book Antiqua" w:hAnsi="Book Antiqua"/>
          <w:sz w:val="24"/>
          <w:szCs w:val="24"/>
        </w:rPr>
        <w:t xml:space="preserve">a main cause of </w:t>
      </w:r>
      <w:proofErr w:type="gramStart"/>
      <w:r w:rsidR="00800849" w:rsidRPr="00E531C0">
        <w:rPr>
          <w:rFonts w:ascii="Book Antiqua" w:hAnsi="Book Antiqua"/>
          <w:sz w:val="24"/>
          <w:szCs w:val="24"/>
        </w:rPr>
        <w:t>eosinophilia</w:t>
      </w:r>
      <w:r w:rsidR="008B2977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B2977" w:rsidRPr="00E531C0">
        <w:rPr>
          <w:rFonts w:ascii="Book Antiqua" w:hAnsi="Book Antiqua"/>
          <w:sz w:val="24"/>
          <w:szCs w:val="24"/>
          <w:vertAlign w:val="superscript"/>
        </w:rPr>
        <w:t>1]</w:t>
      </w:r>
      <w:r w:rsidR="00800849" w:rsidRPr="00E531C0">
        <w:rPr>
          <w:rFonts w:ascii="Book Antiqua" w:hAnsi="Book Antiqua"/>
          <w:sz w:val="24"/>
          <w:szCs w:val="24"/>
        </w:rPr>
        <w:t xml:space="preserve">. </w:t>
      </w:r>
      <w:r w:rsidRPr="00E531C0">
        <w:rPr>
          <w:rFonts w:ascii="Book Antiqua" w:hAnsi="Book Antiqua"/>
          <w:sz w:val="24"/>
          <w:szCs w:val="24"/>
        </w:rPr>
        <w:t xml:space="preserve">Clinical manifestations of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range from asymptomatic infection to involvement of various organs. Visceral larva </w:t>
      </w:r>
      <w:proofErr w:type="spellStart"/>
      <w:r w:rsidRPr="00E531C0">
        <w:rPr>
          <w:rFonts w:ascii="Book Antiqua" w:hAnsi="Book Antiqua"/>
          <w:sz w:val="24"/>
          <w:szCs w:val="24"/>
        </w:rPr>
        <w:t>migrans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(VLM) </w:t>
      </w:r>
      <w:r w:rsidR="00634BC0" w:rsidRPr="00E531C0">
        <w:rPr>
          <w:rFonts w:ascii="Book Antiqua" w:hAnsi="Book Antiqua"/>
          <w:sz w:val="24"/>
          <w:szCs w:val="24"/>
        </w:rPr>
        <w:t xml:space="preserve">means </w:t>
      </w:r>
      <w:proofErr w:type="spellStart"/>
      <w:r w:rsidR="00634BC0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634BC0" w:rsidRPr="00E531C0">
        <w:rPr>
          <w:rFonts w:ascii="Book Antiqua" w:hAnsi="Book Antiqua"/>
          <w:sz w:val="24"/>
          <w:szCs w:val="24"/>
        </w:rPr>
        <w:t xml:space="preserve"> infection associated with </w:t>
      </w:r>
      <w:r w:rsidRPr="00E531C0">
        <w:rPr>
          <w:rFonts w:ascii="Book Antiqua" w:hAnsi="Book Antiqua"/>
          <w:sz w:val="24"/>
          <w:szCs w:val="24"/>
        </w:rPr>
        <w:t xml:space="preserve">various internal organs of the </w:t>
      </w:r>
      <w:proofErr w:type="gramStart"/>
      <w:r w:rsidRPr="00E531C0">
        <w:rPr>
          <w:rFonts w:ascii="Book Antiqua" w:hAnsi="Book Antiqua"/>
          <w:sz w:val="24"/>
          <w:szCs w:val="24"/>
        </w:rPr>
        <w:t>body</w:t>
      </w:r>
      <w:r w:rsidR="00634BC0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B2977" w:rsidRPr="00E531C0">
        <w:rPr>
          <w:rFonts w:ascii="Book Antiqua" w:hAnsi="Book Antiqua"/>
          <w:sz w:val="24"/>
          <w:szCs w:val="24"/>
          <w:vertAlign w:val="superscript"/>
        </w:rPr>
        <w:t>2</w:t>
      </w:r>
      <w:r w:rsidR="00634BC0" w:rsidRPr="00E531C0">
        <w:rPr>
          <w:rFonts w:ascii="Book Antiqua" w:hAnsi="Book Antiqua"/>
          <w:sz w:val="24"/>
          <w:szCs w:val="24"/>
          <w:vertAlign w:val="superscript"/>
        </w:rPr>
        <w:t>]</w:t>
      </w:r>
      <w:r w:rsidRPr="00E531C0">
        <w:rPr>
          <w:rFonts w:ascii="Book Antiqua" w:hAnsi="Book Antiqua"/>
          <w:sz w:val="24"/>
          <w:szCs w:val="24"/>
        </w:rPr>
        <w:t>. Liver abscess represent one type of VLM</w:t>
      </w:r>
      <w:r w:rsidR="000C767C" w:rsidRPr="00E531C0">
        <w:rPr>
          <w:rFonts w:ascii="Book Antiqua" w:hAnsi="Book Antiqua"/>
          <w:sz w:val="24"/>
          <w:szCs w:val="24"/>
        </w:rPr>
        <w:t>, which differs</w:t>
      </w:r>
      <w:r w:rsidR="00E17BDF" w:rsidRPr="00E531C0">
        <w:rPr>
          <w:rFonts w:ascii="Book Antiqua" w:hAnsi="Book Antiqua"/>
          <w:sz w:val="24"/>
          <w:szCs w:val="24"/>
        </w:rPr>
        <w:t xml:space="preserve"> </w:t>
      </w:r>
      <w:r w:rsidR="000C767C" w:rsidRPr="00E531C0">
        <w:rPr>
          <w:rFonts w:ascii="Book Antiqua" w:hAnsi="Book Antiqua"/>
          <w:sz w:val="24"/>
          <w:szCs w:val="24"/>
        </w:rPr>
        <w:t xml:space="preserve">from </w:t>
      </w:r>
      <w:r w:rsidRPr="00E531C0">
        <w:rPr>
          <w:rFonts w:ascii="Book Antiqua" w:hAnsi="Book Antiqua"/>
          <w:sz w:val="24"/>
          <w:szCs w:val="24"/>
        </w:rPr>
        <w:t xml:space="preserve">pyogenic </w:t>
      </w:r>
      <w:r w:rsidR="000C767C" w:rsidRPr="00E531C0">
        <w:rPr>
          <w:rFonts w:ascii="Book Antiqua" w:hAnsi="Book Antiqua"/>
          <w:sz w:val="24"/>
          <w:szCs w:val="24"/>
        </w:rPr>
        <w:t>liver abscess in</w:t>
      </w:r>
      <w:r w:rsidRPr="00E531C0">
        <w:rPr>
          <w:rFonts w:ascii="Book Antiqua" w:hAnsi="Book Antiqua"/>
          <w:sz w:val="24"/>
          <w:szCs w:val="24"/>
        </w:rPr>
        <w:t xml:space="preserve"> displaying specific histologic and radiologic </w:t>
      </w:r>
      <w:proofErr w:type="gramStart"/>
      <w:r w:rsidRPr="00E531C0">
        <w:rPr>
          <w:rFonts w:ascii="Book Antiqua" w:hAnsi="Book Antiqua"/>
          <w:sz w:val="24"/>
          <w:szCs w:val="24"/>
        </w:rPr>
        <w:t>findings</w:t>
      </w:r>
      <w:r w:rsidR="004C1ACE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C1ACE" w:rsidRPr="00E531C0">
        <w:rPr>
          <w:rFonts w:ascii="Book Antiqua" w:hAnsi="Book Antiqua"/>
          <w:sz w:val="24"/>
          <w:szCs w:val="24"/>
          <w:vertAlign w:val="superscript"/>
        </w:rPr>
        <w:t>3</w:t>
      </w:r>
      <w:r w:rsidR="00912E9B" w:rsidRPr="00E531C0">
        <w:rPr>
          <w:rFonts w:ascii="Book Antiqua" w:hAnsi="Book Antiqua"/>
          <w:sz w:val="24"/>
          <w:szCs w:val="24"/>
          <w:vertAlign w:val="superscript"/>
        </w:rPr>
        <w:t>,4</w:t>
      </w:r>
      <w:r w:rsidR="004C1ACE" w:rsidRPr="00E531C0">
        <w:rPr>
          <w:rFonts w:ascii="Book Antiqua" w:hAnsi="Book Antiqua"/>
          <w:sz w:val="24"/>
          <w:szCs w:val="24"/>
          <w:vertAlign w:val="superscript"/>
        </w:rPr>
        <w:t>]</w:t>
      </w:r>
      <w:r w:rsidRPr="00E531C0">
        <w:rPr>
          <w:rFonts w:ascii="Book Antiqua" w:hAnsi="Book Antiqua"/>
          <w:sz w:val="24"/>
          <w:szCs w:val="24"/>
        </w:rPr>
        <w:t xml:space="preserve">. Hepatic </w:t>
      </w:r>
      <w:r w:rsidR="00800849" w:rsidRPr="00E531C0">
        <w:rPr>
          <w:rFonts w:ascii="Book Antiqua" w:hAnsi="Book Antiqua"/>
          <w:sz w:val="24"/>
          <w:szCs w:val="24"/>
        </w:rPr>
        <w:t>VLM</w:t>
      </w:r>
      <w:r w:rsidRPr="00E531C0">
        <w:rPr>
          <w:rFonts w:ascii="Book Antiqua" w:hAnsi="Book Antiqua"/>
          <w:sz w:val="24"/>
          <w:szCs w:val="24"/>
        </w:rPr>
        <w:t xml:space="preserve"> or 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can occasionally be detected as an abnormal finding at ultrasonography screening and therefore be misdiagnosed as a malignancy in patients with chronic liver disease or a history of other cancer</w:t>
      </w:r>
      <w:r w:rsidR="00406AEF" w:rsidRPr="00E531C0">
        <w:rPr>
          <w:rFonts w:ascii="Book Antiqua" w:hAnsi="Book Antiqua"/>
          <w:sz w:val="24"/>
          <w:szCs w:val="24"/>
        </w:rPr>
        <w:t>(</w:t>
      </w:r>
      <w:r w:rsidR="002F7808" w:rsidRPr="00E531C0">
        <w:rPr>
          <w:rFonts w:ascii="Book Antiqua" w:hAnsi="Book Antiqua"/>
          <w:sz w:val="24"/>
          <w:szCs w:val="24"/>
        </w:rPr>
        <w:t>s</w:t>
      </w:r>
      <w:proofErr w:type="gramStart"/>
      <w:r w:rsidR="00406AEF" w:rsidRPr="00E531C0">
        <w:rPr>
          <w:rFonts w:ascii="Book Antiqua" w:hAnsi="Book Antiqua"/>
          <w:sz w:val="24"/>
          <w:szCs w:val="24"/>
        </w:rPr>
        <w:t>)</w:t>
      </w:r>
      <w:r w:rsidR="00912E9B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12E9B" w:rsidRPr="00E531C0">
        <w:rPr>
          <w:rFonts w:ascii="Book Antiqua" w:hAnsi="Book Antiqua"/>
          <w:sz w:val="24"/>
          <w:szCs w:val="24"/>
          <w:vertAlign w:val="superscript"/>
        </w:rPr>
        <w:t>5]</w:t>
      </w:r>
      <w:r w:rsidRPr="00E531C0">
        <w:rPr>
          <w:rFonts w:ascii="Book Antiqua" w:hAnsi="Book Antiqua"/>
          <w:sz w:val="24"/>
          <w:szCs w:val="24"/>
        </w:rPr>
        <w:t>. A thorough understa</w:t>
      </w:r>
      <w:r w:rsidR="00F56C90" w:rsidRPr="00E531C0">
        <w:rPr>
          <w:rFonts w:ascii="Book Antiqua" w:hAnsi="Book Antiqua"/>
          <w:sz w:val="24"/>
          <w:szCs w:val="24"/>
        </w:rPr>
        <w:t>n</w:t>
      </w:r>
      <w:r w:rsidRPr="00E531C0">
        <w:rPr>
          <w:rFonts w:ascii="Book Antiqua" w:hAnsi="Book Antiqua"/>
          <w:sz w:val="24"/>
          <w:szCs w:val="24"/>
        </w:rPr>
        <w:t xml:space="preserve">ding of the clinical characteristics and progression of hepatic </w:t>
      </w:r>
      <w:r w:rsidR="00800849" w:rsidRPr="00E531C0">
        <w:rPr>
          <w:rFonts w:ascii="Book Antiqua" w:hAnsi="Book Antiqua"/>
          <w:sz w:val="24"/>
          <w:szCs w:val="24"/>
        </w:rPr>
        <w:t>VLM</w:t>
      </w:r>
      <w:r w:rsidRPr="00E531C0">
        <w:rPr>
          <w:rFonts w:ascii="Book Antiqua" w:hAnsi="Book Antiqua"/>
          <w:sz w:val="24"/>
          <w:szCs w:val="24"/>
        </w:rPr>
        <w:t xml:space="preserve"> or 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is necessary in o</w:t>
      </w:r>
      <w:r w:rsidR="00F56C90" w:rsidRPr="00E531C0">
        <w:rPr>
          <w:rFonts w:ascii="Book Antiqua" w:hAnsi="Book Antiqua"/>
          <w:sz w:val="24"/>
          <w:szCs w:val="24"/>
        </w:rPr>
        <w:t>r</w:t>
      </w:r>
      <w:r w:rsidRPr="00E531C0">
        <w:rPr>
          <w:rFonts w:ascii="Book Antiqua" w:hAnsi="Book Antiqua"/>
          <w:sz w:val="24"/>
          <w:szCs w:val="24"/>
        </w:rPr>
        <w:t>der to determine potential factors that may help improve diagnosis, as well as avoid unne</w:t>
      </w:r>
      <w:r w:rsidR="00A56288" w:rsidRPr="00E531C0">
        <w:rPr>
          <w:rFonts w:ascii="Book Antiqua" w:hAnsi="Book Antiqua"/>
          <w:sz w:val="24"/>
          <w:szCs w:val="24"/>
        </w:rPr>
        <w:t>cessary testing and improper disease treatment.</w:t>
      </w:r>
    </w:p>
    <w:p w:rsidR="008D3644" w:rsidRPr="00E531C0" w:rsidRDefault="008D3644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236917" w:rsidRPr="00E531C0" w:rsidRDefault="00236917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hAnsi="Book Antiqua"/>
          <w:b/>
          <w:kern w:val="0"/>
          <w:sz w:val="24"/>
          <w:szCs w:val="24"/>
        </w:rPr>
        <w:t>MATERIALS AND METHODS</w:t>
      </w:r>
      <w:r w:rsidRPr="00E531C0">
        <w:rPr>
          <w:rFonts w:ascii="Book Antiqua" w:hAnsi="Book Antiqua"/>
          <w:sz w:val="24"/>
          <w:szCs w:val="24"/>
        </w:rPr>
        <w:t xml:space="preserve"> </w:t>
      </w:r>
    </w:p>
    <w:p w:rsidR="008D3644" w:rsidRPr="00E531C0" w:rsidRDefault="008E7B8B" w:rsidP="00DF4498">
      <w:pPr>
        <w:wordWrap/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>We retrospectively reviewed the medical records of patients</w:t>
      </w:r>
      <w:r w:rsidR="00A02D76" w:rsidRPr="00E531C0">
        <w:rPr>
          <w:rFonts w:ascii="Book Antiqua" w:hAnsi="Book Antiqua"/>
          <w:sz w:val="24"/>
          <w:szCs w:val="24"/>
        </w:rPr>
        <w:t xml:space="preserve"> </w:t>
      </w:r>
      <w:r w:rsidRPr="00E531C0">
        <w:rPr>
          <w:rFonts w:ascii="Book Antiqua" w:hAnsi="Book Antiqua"/>
          <w:sz w:val="24"/>
          <w:szCs w:val="24"/>
        </w:rPr>
        <w:t xml:space="preserve">with serum IgG antibody to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and liver abscess diagnosed by abdominal computed tomography</w:t>
      </w:r>
      <w:r w:rsidR="006671F4" w:rsidRPr="00E531C0">
        <w:rPr>
          <w:rFonts w:ascii="Book Antiqua" w:hAnsi="Book Antiqua"/>
          <w:sz w:val="24"/>
          <w:szCs w:val="24"/>
        </w:rPr>
        <w:t xml:space="preserve"> (CT) </w:t>
      </w:r>
      <w:r w:rsidR="00A02D76" w:rsidRPr="00E531C0">
        <w:rPr>
          <w:rFonts w:ascii="Book Antiqua" w:hAnsi="Book Antiqua"/>
          <w:sz w:val="24"/>
          <w:szCs w:val="24"/>
        </w:rPr>
        <w:t xml:space="preserve">at Daegu Catholic University Hospital </w:t>
      </w:r>
      <w:r w:rsidR="006671F4" w:rsidRPr="00E531C0">
        <w:rPr>
          <w:rFonts w:ascii="Book Antiqua" w:hAnsi="Book Antiqua"/>
          <w:sz w:val="24"/>
          <w:szCs w:val="24"/>
        </w:rPr>
        <w:t xml:space="preserve">between February 23, 2010 and February 24, 2015. We investigated patients </w:t>
      </w:r>
      <w:r w:rsidR="00B9047C" w:rsidRPr="00E531C0">
        <w:rPr>
          <w:rFonts w:ascii="Book Antiqua" w:hAnsi="Book Antiqua"/>
          <w:sz w:val="24"/>
          <w:szCs w:val="24"/>
        </w:rPr>
        <w:t>a</w:t>
      </w:r>
      <w:r w:rsidR="00FC675E" w:rsidRPr="00E531C0">
        <w:rPr>
          <w:rFonts w:ascii="Book Antiqua" w:hAnsi="Book Antiqua"/>
          <w:sz w:val="24"/>
          <w:szCs w:val="24"/>
        </w:rPr>
        <w:t xml:space="preserve">bout a history of </w:t>
      </w:r>
      <w:r w:rsidR="006671F4" w:rsidRPr="00E531C0">
        <w:rPr>
          <w:rFonts w:ascii="Book Antiqua" w:hAnsi="Book Antiqua"/>
          <w:sz w:val="24"/>
          <w:szCs w:val="24"/>
        </w:rPr>
        <w:t>moderate or heavy alcohol consumption, raw meat or cow’s liver ingestion, and own</w:t>
      </w:r>
      <w:r w:rsidR="00D63969" w:rsidRPr="00E531C0">
        <w:rPr>
          <w:rFonts w:ascii="Book Antiqua" w:hAnsi="Book Antiqua"/>
          <w:sz w:val="24"/>
          <w:szCs w:val="24"/>
        </w:rPr>
        <w:t>ing</w:t>
      </w:r>
      <w:r w:rsidR="006671F4" w:rsidRPr="00E531C0">
        <w:rPr>
          <w:rFonts w:ascii="Book Antiqua" w:hAnsi="Book Antiqua"/>
          <w:sz w:val="24"/>
          <w:szCs w:val="24"/>
        </w:rPr>
        <w:t xml:space="preserve"> pet dogs or cats. We obtained liver transaminase levels, peripheral blood eosinophil counts, serum </w:t>
      </w:r>
      <w:proofErr w:type="spellStart"/>
      <w:r w:rsidR="006671F4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6671F4" w:rsidRPr="00E531C0">
        <w:rPr>
          <w:rFonts w:ascii="Book Antiqua" w:hAnsi="Book Antiqua"/>
          <w:sz w:val="24"/>
          <w:szCs w:val="24"/>
        </w:rPr>
        <w:t xml:space="preserve"> levels, hepatitis B surface antigen and antibod</w:t>
      </w:r>
      <w:r w:rsidR="0014342B" w:rsidRPr="00E531C0">
        <w:rPr>
          <w:rFonts w:ascii="Book Antiqua" w:hAnsi="Book Antiqua"/>
          <w:sz w:val="24"/>
          <w:szCs w:val="24"/>
        </w:rPr>
        <w:t>y</w:t>
      </w:r>
      <w:r w:rsidR="006671F4" w:rsidRPr="00E531C0">
        <w:rPr>
          <w:rFonts w:ascii="Book Antiqua" w:hAnsi="Book Antiqua"/>
          <w:sz w:val="24"/>
          <w:szCs w:val="24"/>
        </w:rPr>
        <w:t xml:space="preserve"> and anti-hepatitis C virus antibody results. In addition, we obtained any history of underlying disease and other organ</w:t>
      </w:r>
      <w:r w:rsidR="001548B0" w:rsidRPr="00E531C0">
        <w:rPr>
          <w:rFonts w:ascii="Book Antiqua" w:hAnsi="Book Antiqua"/>
          <w:sz w:val="24"/>
          <w:szCs w:val="24"/>
        </w:rPr>
        <w:t>(s)</w:t>
      </w:r>
      <w:r w:rsidR="006671F4" w:rsidRPr="00E531C0">
        <w:rPr>
          <w:rFonts w:ascii="Book Antiqua" w:hAnsi="Book Antiqua"/>
          <w:sz w:val="24"/>
          <w:szCs w:val="24"/>
        </w:rPr>
        <w:t xml:space="preserve"> involvement. Eosinophilia was defined as an absolute peripheral blood eosinophil count </w:t>
      </w:r>
      <w:r w:rsidR="006671F4" w:rsidRPr="00E531C0">
        <w:rPr>
          <w:rFonts w:ascii="Book Antiqua" w:eastAsia="Batang" w:hAnsi="Book Antiqua"/>
          <w:sz w:val="24"/>
          <w:szCs w:val="24"/>
        </w:rPr>
        <w:t>≥</w:t>
      </w:r>
      <w:r w:rsidR="00CF2582" w:rsidRPr="00E531C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6671F4" w:rsidRPr="00E531C0">
        <w:rPr>
          <w:rFonts w:ascii="Book Antiqua" w:hAnsi="Book Antiqua"/>
          <w:sz w:val="24"/>
          <w:szCs w:val="24"/>
        </w:rPr>
        <w:t>500/</w:t>
      </w:r>
      <w:r w:rsidR="00A06249" w:rsidRPr="00E531C0">
        <w:rPr>
          <w:rFonts w:ascii="Book Antiqua" w:eastAsia="한양신명조" w:hAnsi="Book Antiqua" w:cs="Arial"/>
          <w:kern w:val="0"/>
          <w:sz w:val="24"/>
          <w:szCs w:val="24"/>
        </w:rPr>
        <w:t>µ</w:t>
      </w:r>
      <w:r w:rsidR="007B49AD" w:rsidRPr="00E531C0">
        <w:rPr>
          <w:rFonts w:ascii="Book Antiqua" w:hAnsi="Book Antiqua"/>
          <w:sz w:val="24"/>
          <w:szCs w:val="24"/>
        </w:rPr>
        <w:t>L</w:t>
      </w:r>
      <w:r w:rsidR="006671F4" w:rsidRPr="00E531C0">
        <w:rPr>
          <w:rFonts w:ascii="Book Antiqua" w:hAnsi="Book Antiqua"/>
          <w:sz w:val="24"/>
          <w:szCs w:val="24"/>
        </w:rPr>
        <w:t>. El</w:t>
      </w:r>
      <w:r w:rsidR="00902AFE" w:rsidRPr="00E531C0">
        <w:rPr>
          <w:rFonts w:ascii="Book Antiqua" w:hAnsi="Book Antiqua"/>
          <w:sz w:val="24"/>
          <w:szCs w:val="24"/>
        </w:rPr>
        <w:t>e</w:t>
      </w:r>
      <w:r w:rsidR="006671F4" w:rsidRPr="00E531C0">
        <w:rPr>
          <w:rFonts w:ascii="Book Antiqua" w:hAnsi="Book Antiqua"/>
          <w:sz w:val="24"/>
          <w:szCs w:val="24"/>
        </w:rPr>
        <w:t xml:space="preserve">vated serum levels of </w:t>
      </w:r>
      <w:proofErr w:type="spellStart"/>
      <w:r w:rsidR="006671F4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6671F4" w:rsidRPr="00E531C0">
        <w:rPr>
          <w:rFonts w:ascii="Book Antiqua" w:hAnsi="Book Antiqua"/>
          <w:sz w:val="24"/>
          <w:szCs w:val="24"/>
        </w:rPr>
        <w:t xml:space="preserve"> were defined as </w:t>
      </w:r>
      <w:proofErr w:type="spellStart"/>
      <w:r w:rsidR="006671F4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6671F4" w:rsidRPr="00E531C0">
        <w:rPr>
          <w:rFonts w:ascii="Book Antiqua" w:hAnsi="Book Antiqua"/>
          <w:sz w:val="24"/>
          <w:szCs w:val="24"/>
        </w:rPr>
        <w:t xml:space="preserve"> levels </w:t>
      </w:r>
      <w:r w:rsidR="006671F4" w:rsidRPr="00E531C0">
        <w:rPr>
          <w:rFonts w:ascii="Book Antiqua" w:eastAsia="Batang" w:hAnsi="Book Antiqua"/>
          <w:sz w:val="24"/>
          <w:szCs w:val="24"/>
        </w:rPr>
        <w:t>≥</w:t>
      </w:r>
      <w:r w:rsidR="004C7598" w:rsidRPr="00E531C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6671F4" w:rsidRPr="00E531C0">
        <w:rPr>
          <w:rFonts w:ascii="Book Antiqua" w:eastAsia="Batang" w:hAnsi="Book Antiqua"/>
          <w:sz w:val="24"/>
          <w:szCs w:val="24"/>
        </w:rPr>
        <w:t>100</w:t>
      </w:r>
      <w:r w:rsidR="007B49AD" w:rsidRPr="00E531C0">
        <w:rPr>
          <w:rFonts w:ascii="Book Antiqua" w:eastAsia="Batang" w:hAnsi="Book Antiqua"/>
          <w:sz w:val="24"/>
          <w:szCs w:val="24"/>
        </w:rPr>
        <w:t xml:space="preserve"> IU/</w:t>
      </w:r>
      <w:proofErr w:type="spellStart"/>
      <w:r w:rsidR="007B49AD" w:rsidRPr="00E531C0">
        <w:rPr>
          <w:rFonts w:ascii="Book Antiqua" w:eastAsia="Batang" w:hAnsi="Book Antiqua"/>
          <w:sz w:val="24"/>
          <w:szCs w:val="24"/>
        </w:rPr>
        <w:t>mL.</w:t>
      </w:r>
      <w:proofErr w:type="spellEnd"/>
      <w:r w:rsidR="00902AFE" w:rsidRPr="00E531C0">
        <w:rPr>
          <w:rFonts w:ascii="Book Antiqua" w:eastAsia="Batang" w:hAnsi="Book Antiqua"/>
          <w:sz w:val="24"/>
          <w:szCs w:val="24"/>
        </w:rPr>
        <w:t xml:space="preserve"> We treated patients with liver abscess with 400 mg </w:t>
      </w:r>
      <w:r w:rsidR="00240D1E" w:rsidRPr="00E531C0">
        <w:rPr>
          <w:rFonts w:ascii="Book Antiqua" w:eastAsia="Batang" w:hAnsi="Book Antiqua"/>
          <w:sz w:val="24"/>
          <w:szCs w:val="24"/>
        </w:rPr>
        <w:t>orally twice daily for 5 d</w:t>
      </w:r>
      <w:r w:rsidR="00902AFE" w:rsidRPr="00E531C0">
        <w:rPr>
          <w:rFonts w:ascii="Book Antiqua" w:eastAsia="Batang" w:hAnsi="Book Antiqua"/>
          <w:sz w:val="24"/>
          <w:szCs w:val="24"/>
        </w:rPr>
        <w:t xml:space="preserve">. The follow-up protocol consisted of obtaining repeat eosinophil counts and serum </w:t>
      </w:r>
      <w:proofErr w:type="spellStart"/>
      <w:r w:rsidR="00902AFE" w:rsidRPr="00E531C0">
        <w:rPr>
          <w:rFonts w:ascii="Book Antiqua" w:eastAsia="Batang" w:hAnsi="Book Antiqua"/>
          <w:sz w:val="24"/>
          <w:szCs w:val="24"/>
        </w:rPr>
        <w:t>IgE</w:t>
      </w:r>
      <w:proofErr w:type="spellEnd"/>
      <w:r w:rsidR="00902AFE" w:rsidRPr="00E531C0">
        <w:rPr>
          <w:rFonts w:ascii="Book Antiqua" w:eastAsia="Batang" w:hAnsi="Book Antiqua"/>
          <w:sz w:val="24"/>
          <w:szCs w:val="24"/>
        </w:rPr>
        <w:t xml:space="preserve"> levels, as well as performing abdominal CT scans at various intervals for 1 year.</w:t>
      </w:r>
    </w:p>
    <w:p w:rsidR="008D3644" w:rsidRPr="00E531C0" w:rsidRDefault="008D3644" w:rsidP="00DF4498">
      <w:pPr>
        <w:wordWrap/>
        <w:spacing w:after="0" w:line="360" w:lineRule="auto"/>
        <w:rPr>
          <w:rFonts w:ascii="Book Antiqua" w:eastAsia="Batang" w:hAnsi="Book Antiqua"/>
          <w:sz w:val="24"/>
          <w:szCs w:val="24"/>
        </w:rPr>
      </w:pPr>
    </w:p>
    <w:p w:rsidR="008D3644" w:rsidRPr="00E531C0" w:rsidRDefault="008D3644" w:rsidP="00DF4498">
      <w:pPr>
        <w:wordWrap/>
        <w:snapToGrid w:val="0"/>
        <w:spacing w:after="0" w:line="360" w:lineRule="auto"/>
        <w:rPr>
          <w:rFonts w:ascii="Book Antiqua" w:eastAsiaTheme="minorHAnsi" w:hAnsi="Book Antiqua" w:cs="Arial"/>
          <w:b/>
          <w:sz w:val="24"/>
          <w:szCs w:val="24"/>
        </w:rPr>
      </w:pPr>
      <w:r w:rsidRPr="00E531C0">
        <w:rPr>
          <w:rFonts w:ascii="Book Antiqua" w:eastAsiaTheme="minorHAnsi" w:hAnsi="Book Antiqua" w:cs="Arial"/>
          <w:b/>
          <w:sz w:val="24"/>
          <w:szCs w:val="24"/>
        </w:rPr>
        <w:lastRenderedPageBreak/>
        <w:t>RESULTS</w:t>
      </w:r>
    </w:p>
    <w:p w:rsidR="00DB7BEF" w:rsidRPr="00E531C0" w:rsidRDefault="00DB7BEF" w:rsidP="00DF4498">
      <w:pPr>
        <w:wordWrap/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Among a total of 84 patients exhibiting serum IgG antibody to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Pr="00E531C0">
        <w:rPr>
          <w:rFonts w:ascii="Book Antiqua" w:hAnsi="Book Antiqua"/>
          <w:sz w:val="24"/>
          <w:szCs w:val="24"/>
        </w:rPr>
        <w:t>, 34 patients were diagnosed with liver abscess. Mean patient age was 53 years</w:t>
      </w:r>
      <w:r w:rsidR="00AC3BB1" w:rsidRPr="00E531C0">
        <w:rPr>
          <w:rFonts w:ascii="Book Antiqua" w:hAnsi="Book Antiqua"/>
          <w:sz w:val="24"/>
          <w:szCs w:val="24"/>
        </w:rPr>
        <w:t>,</w:t>
      </w:r>
      <w:r w:rsidRPr="00E531C0">
        <w:rPr>
          <w:rFonts w:ascii="Book Antiqua" w:hAnsi="Book Antiqua"/>
          <w:sz w:val="24"/>
          <w:szCs w:val="24"/>
        </w:rPr>
        <w:t xml:space="preserve"> with serum IgG antibody to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being three times more prevalent in men than in women</w:t>
      </w:r>
      <w:r w:rsidR="009B3BD0" w:rsidRPr="00E531C0">
        <w:rPr>
          <w:rFonts w:ascii="Book Antiqua" w:hAnsi="Book Antiqua"/>
          <w:sz w:val="24"/>
          <w:szCs w:val="24"/>
        </w:rPr>
        <w:t xml:space="preserve"> </w:t>
      </w:r>
      <w:r w:rsidR="009B3BD0" w:rsidRPr="00E531C0">
        <w:rPr>
          <w:rFonts w:ascii="Book Antiqua" w:eastAsia="Batang" w:hAnsi="Book Antiqua"/>
          <w:sz w:val="24"/>
          <w:szCs w:val="24"/>
        </w:rPr>
        <w:t>(Table 1)</w:t>
      </w:r>
      <w:r w:rsidRPr="00E531C0">
        <w:rPr>
          <w:rFonts w:ascii="Book Antiqua" w:hAnsi="Book Antiqua"/>
          <w:sz w:val="24"/>
          <w:szCs w:val="24"/>
        </w:rPr>
        <w:t>. Twenty-three (67.6%) patients had a history of eating raw meat or liver and 6 (17.6%) patients owned pet dogs or cats</w:t>
      </w:r>
      <w:r w:rsidR="009B3BD0" w:rsidRPr="00E531C0">
        <w:rPr>
          <w:rFonts w:ascii="Book Antiqua" w:hAnsi="Book Antiqua"/>
          <w:sz w:val="24"/>
          <w:szCs w:val="24"/>
        </w:rPr>
        <w:t xml:space="preserve"> </w:t>
      </w:r>
      <w:r w:rsidR="009B3BD0" w:rsidRPr="00E531C0">
        <w:rPr>
          <w:rFonts w:ascii="Book Antiqua" w:eastAsia="Batang" w:hAnsi="Book Antiqua"/>
          <w:sz w:val="24"/>
          <w:szCs w:val="24"/>
        </w:rPr>
        <w:t>(Table 1)</w:t>
      </w:r>
      <w:r w:rsidRPr="00E531C0">
        <w:rPr>
          <w:rFonts w:ascii="Book Antiqua" w:hAnsi="Book Antiqua"/>
          <w:sz w:val="24"/>
          <w:szCs w:val="24"/>
        </w:rPr>
        <w:t>. Four patients had no specific history of eating uncooked food or owning pet animals.</w:t>
      </w:r>
      <w:r w:rsidR="000279C1" w:rsidRPr="00E531C0">
        <w:rPr>
          <w:rFonts w:ascii="Book Antiqua" w:hAnsi="Book Antiqua"/>
          <w:sz w:val="24"/>
          <w:szCs w:val="24"/>
        </w:rPr>
        <w:t xml:space="preserve"> Main patient symptoms consisted of right upper quadrant pain, fever, and fatigue. Eighteen (52.9%) patients were asymptomatic</w:t>
      </w:r>
      <w:r w:rsidR="009B3BD0" w:rsidRPr="00E531C0">
        <w:rPr>
          <w:rFonts w:ascii="Book Antiqua" w:hAnsi="Book Antiqua"/>
          <w:sz w:val="24"/>
          <w:szCs w:val="24"/>
        </w:rPr>
        <w:t xml:space="preserve"> </w:t>
      </w:r>
      <w:r w:rsidR="009B3BD0" w:rsidRPr="00E531C0">
        <w:rPr>
          <w:rFonts w:ascii="Book Antiqua" w:eastAsia="Batang" w:hAnsi="Book Antiqua"/>
          <w:sz w:val="24"/>
          <w:szCs w:val="24"/>
        </w:rPr>
        <w:t>(Table 1)</w:t>
      </w:r>
      <w:r w:rsidR="000279C1" w:rsidRPr="00E531C0">
        <w:rPr>
          <w:rFonts w:ascii="Book Antiqua" w:hAnsi="Book Antiqua"/>
          <w:sz w:val="24"/>
          <w:szCs w:val="24"/>
        </w:rPr>
        <w:t>. Five patients revealed involvement of other organs including the lung, a leg muscle, and the brain in addition to liver involvement</w:t>
      </w:r>
      <w:r w:rsidR="009B3BD0" w:rsidRPr="00E531C0">
        <w:rPr>
          <w:rFonts w:ascii="Book Antiqua" w:hAnsi="Book Antiqua"/>
          <w:sz w:val="24"/>
          <w:szCs w:val="24"/>
        </w:rPr>
        <w:t xml:space="preserve"> </w:t>
      </w:r>
      <w:r w:rsidR="009B3BD0" w:rsidRPr="00E531C0">
        <w:rPr>
          <w:rFonts w:ascii="Book Antiqua" w:eastAsia="Batang" w:hAnsi="Book Antiqua"/>
          <w:sz w:val="24"/>
          <w:szCs w:val="24"/>
        </w:rPr>
        <w:t>(Table 1)</w:t>
      </w:r>
      <w:r w:rsidR="000279C1" w:rsidRPr="00E531C0">
        <w:rPr>
          <w:rFonts w:ascii="Book Antiqua" w:hAnsi="Book Antiqua"/>
          <w:sz w:val="24"/>
          <w:szCs w:val="24"/>
        </w:rPr>
        <w:t>. One of four patients with lung involvement demonstrated concomitant brain involvement.</w:t>
      </w:r>
      <w:r w:rsidR="00BF7F08" w:rsidRPr="00E531C0">
        <w:rPr>
          <w:rFonts w:ascii="Book Antiqua" w:hAnsi="Book Antiqua"/>
          <w:sz w:val="24"/>
          <w:szCs w:val="24"/>
        </w:rPr>
        <w:t xml:space="preserve"> Aspartate transaminase and alanine transaminase levels were normal in all patients except one who had alcoholic hepatitis. Twenty-nine (85.3%) patients initially presented with eosinophilia. Among these 29 patients, 17 had mild eosinophilia, 7 had moderate eosinophilia, and 5 had severe eosinophilia</w:t>
      </w:r>
      <w:r w:rsidR="009B3BD0" w:rsidRPr="00E531C0">
        <w:rPr>
          <w:rFonts w:ascii="Book Antiqua" w:hAnsi="Book Antiqua"/>
          <w:sz w:val="24"/>
          <w:szCs w:val="24"/>
        </w:rPr>
        <w:t xml:space="preserve"> </w:t>
      </w:r>
      <w:r w:rsidR="009B3BD0" w:rsidRPr="00E531C0">
        <w:rPr>
          <w:rFonts w:ascii="Book Antiqua" w:eastAsia="Batang" w:hAnsi="Book Antiqua"/>
          <w:sz w:val="24"/>
          <w:szCs w:val="24"/>
        </w:rPr>
        <w:t>(Table 1)</w:t>
      </w:r>
      <w:r w:rsidR="00BF7F08" w:rsidRPr="00E531C0">
        <w:rPr>
          <w:rFonts w:ascii="Book Antiqua" w:hAnsi="Book Antiqua"/>
          <w:sz w:val="24"/>
          <w:szCs w:val="24"/>
        </w:rPr>
        <w:t xml:space="preserve">. Twenty-five of 26 patients who had repeat serum </w:t>
      </w:r>
      <w:proofErr w:type="spellStart"/>
      <w:r w:rsidR="00BF7F08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BF7F08" w:rsidRPr="00E531C0">
        <w:rPr>
          <w:rFonts w:ascii="Book Antiqua" w:hAnsi="Book Antiqua"/>
          <w:sz w:val="24"/>
          <w:szCs w:val="24"/>
        </w:rPr>
        <w:t xml:space="preserve"> levels had initially increased </w:t>
      </w:r>
      <w:proofErr w:type="spellStart"/>
      <w:r w:rsidR="00BF7F08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BF7F08" w:rsidRPr="00E531C0">
        <w:rPr>
          <w:rFonts w:ascii="Book Antiqua" w:hAnsi="Book Antiqua"/>
          <w:sz w:val="24"/>
          <w:szCs w:val="24"/>
        </w:rPr>
        <w:t xml:space="preserve"> levels</w:t>
      </w:r>
      <w:r w:rsidR="009B3BD0" w:rsidRPr="00E531C0">
        <w:rPr>
          <w:rFonts w:ascii="Book Antiqua" w:hAnsi="Book Antiqua"/>
          <w:sz w:val="24"/>
          <w:szCs w:val="24"/>
        </w:rPr>
        <w:t xml:space="preserve"> </w:t>
      </w:r>
      <w:r w:rsidR="009B3BD0" w:rsidRPr="00E531C0">
        <w:rPr>
          <w:rFonts w:ascii="Book Antiqua" w:eastAsia="Batang" w:hAnsi="Book Antiqua"/>
          <w:sz w:val="24"/>
          <w:szCs w:val="24"/>
        </w:rPr>
        <w:t>(Table 1)</w:t>
      </w:r>
      <w:r w:rsidR="00BF7F08" w:rsidRPr="00E531C0">
        <w:rPr>
          <w:rFonts w:ascii="Book Antiqua" w:hAnsi="Book Antiqua"/>
          <w:sz w:val="24"/>
          <w:szCs w:val="24"/>
        </w:rPr>
        <w:t xml:space="preserve">. The remaining patient demonstrated an upper normal serum </w:t>
      </w:r>
      <w:proofErr w:type="spellStart"/>
      <w:r w:rsidR="00BF7F08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BF7F08" w:rsidRPr="00E531C0">
        <w:rPr>
          <w:rFonts w:ascii="Book Antiqua" w:hAnsi="Book Antiqua"/>
          <w:sz w:val="24"/>
          <w:szCs w:val="24"/>
        </w:rPr>
        <w:t xml:space="preserve"> level of 99 </w:t>
      </w:r>
      <w:r w:rsidR="00BF7F08" w:rsidRPr="00E531C0">
        <w:rPr>
          <w:rFonts w:ascii="Book Antiqua" w:eastAsia="Batang" w:hAnsi="Book Antiqua"/>
          <w:sz w:val="24"/>
          <w:szCs w:val="24"/>
        </w:rPr>
        <w:t>IU/</w:t>
      </w:r>
      <w:proofErr w:type="spellStart"/>
      <w:r w:rsidR="00BF7F08" w:rsidRPr="00E531C0">
        <w:rPr>
          <w:rFonts w:ascii="Book Antiqua" w:eastAsia="Batang" w:hAnsi="Book Antiqua"/>
          <w:sz w:val="24"/>
          <w:szCs w:val="24"/>
        </w:rPr>
        <w:t>mL.</w:t>
      </w:r>
      <w:proofErr w:type="spellEnd"/>
      <w:r w:rsidR="00BF7F08" w:rsidRPr="00E531C0">
        <w:rPr>
          <w:rFonts w:ascii="Book Antiqua" w:eastAsia="Batang" w:hAnsi="Book Antiqua"/>
          <w:sz w:val="24"/>
          <w:szCs w:val="24"/>
        </w:rPr>
        <w:t xml:space="preserve"> </w:t>
      </w:r>
      <w:r w:rsidR="00524ED1" w:rsidRPr="00E531C0">
        <w:rPr>
          <w:rFonts w:ascii="Book Antiqua" w:eastAsia="Batang" w:hAnsi="Book Antiqua"/>
          <w:sz w:val="24"/>
          <w:szCs w:val="24"/>
        </w:rPr>
        <w:t>Liver abscess on dynamic CT included multiple lesions in 19 patients and a single lesion in 15 patients</w:t>
      </w:r>
      <w:r w:rsidR="008D402E" w:rsidRPr="00E531C0">
        <w:rPr>
          <w:rFonts w:ascii="Book Antiqua" w:eastAsia="Batang" w:hAnsi="Book Antiqua"/>
          <w:sz w:val="24"/>
          <w:szCs w:val="24"/>
        </w:rPr>
        <w:t xml:space="preserve"> (Table 1)</w:t>
      </w:r>
      <w:r w:rsidR="00524ED1" w:rsidRPr="00E531C0">
        <w:rPr>
          <w:rFonts w:ascii="Book Antiqua" w:eastAsia="Batang" w:hAnsi="Book Antiqua"/>
          <w:sz w:val="24"/>
          <w:szCs w:val="24"/>
        </w:rPr>
        <w:t xml:space="preserve">. </w:t>
      </w:r>
      <w:r w:rsidR="007C5610" w:rsidRPr="00E531C0">
        <w:rPr>
          <w:rFonts w:ascii="Book Antiqua" w:eastAsia="Batang" w:hAnsi="Book Antiqua"/>
          <w:sz w:val="24"/>
          <w:szCs w:val="24"/>
        </w:rPr>
        <w:t>The</w:t>
      </w:r>
      <w:r w:rsidR="007C5610" w:rsidRPr="00E531C0">
        <w:rPr>
          <w:rFonts w:ascii="Book Antiqua" w:hAnsi="Book Antiqua"/>
          <w:sz w:val="24"/>
          <w:szCs w:val="24"/>
        </w:rPr>
        <w:t xml:space="preserve"> lesion</w:t>
      </w:r>
      <w:r w:rsidR="00F25B8A" w:rsidRPr="00E531C0">
        <w:rPr>
          <w:rFonts w:ascii="Book Antiqua" w:hAnsi="Book Antiqua"/>
          <w:sz w:val="24"/>
          <w:szCs w:val="24"/>
        </w:rPr>
        <w:t>s</w:t>
      </w:r>
      <w:r w:rsidR="00CF4125" w:rsidRPr="00E531C0">
        <w:rPr>
          <w:rFonts w:ascii="Book Antiqua" w:hAnsi="Book Antiqua"/>
          <w:sz w:val="24"/>
          <w:szCs w:val="24"/>
        </w:rPr>
        <w:t xml:space="preserve"> </w:t>
      </w:r>
      <w:r w:rsidR="007C5610" w:rsidRPr="00E531C0">
        <w:rPr>
          <w:rFonts w:ascii="Book Antiqua" w:hAnsi="Book Antiqua"/>
          <w:sz w:val="24"/>
          <w:szCs w:val="24"/>
        </w:rPr>
        <w:t>w</w:t>
      </w:r>
      <w:r w:rsidR="00F25B8A" w:rsidRPr="00E531C0">
        <w:rPr>
          <w:rFonts w:ascii="Book Antiqua" w:hAnsi="Book Antiqua"/>
          <w:sz w:val="24"/>
          <w:szCs w:val="24"/>
        </w:rPr>
        <w:t>ere seen as</w:t>
      </w:r>
      <w:r w:rsidR="00CF4125" w:rsidRPr="00E531C0">
        <w:rPr>
          <w:rFonts w:ascii="Book Antiqua" w:hAnsi="Book Antiqua"/>
          <w:sz w:val="24"/>
          <w:szCs w:val="24"/>
        </w:rPr>
        <w:t xml:space="preserve"> </w:t>
      </w:r>
      <w:r w:rsidR="00F25B8A" w:rsidRPr="00E531C0">
        <w:rPr>
          <w:rFonts w:ascii="Book Antiqua" w:hAnsi="Book Antiqua"/>
          <w:sz w:val="24"/>
          <w:szCs w:val="24"/>
        </w:rPr>
        <w:t>ill-defined, low-attenuating</w:t>
      </w:r>
      <w:r w:rsidR="007C5610" w:rsidRPr="00E531C0">
        <w:rPr>
          <w:rFonts w:ascii="Book Antiqua" w:hAnsi="Book Antiqua"/>
          <w:sz w:val="24"/>
          <w:szCs w:val="24"/>
        </w:rPr>
        <w:t xml:space="preserve">, oval </w:t>
      </w:r>
      <w:r w:rsidR="00F25B8A" w:rsidRPr="00E531C0">
        <w:rPr>
          <w:rFonts w:ascii="Book Antiqua" w:hAnsi="Book Antiqua"/>
          <w:sz w:val="24"/>
          <w:szCs w:val="24"/>
        </w:rPr>
        <w:t>nodules</w:t>
      </w:r>
      <w:r w:rsidR="00CF4125" w:rsidRPr="00E531C0">
        <w:rPr>
          <w:rFonts w:ascii="Book Antiqua" w:hAnsi="Book Antiqua"/>
          <w:sz w:val="24"/>
          <w:szCs w:val="24"/>
        </w:rPr>
        <w:t>.</w:t>
      </w:r>
      <w:r w:rsidR="00F25B8A" w:rsidRPr="00E531C0">
        <w:rPr>
          <w:rFonts w:ascii="Book Antiqua" w:hAnsi="Book Antiqua"/>
          <w:sz w:val="24"/>
          <w:szCs w:val="24"/>
        </w:rPr>
        <w:t xml:space="preserve"> </w:t>
      </w:r>
      <w:r w:rsidR="00D02546" w:rsidRPr="00E531C0">
        <w:rPr>
          <w:rFonts w:ascii="Book Antiqua" w:hAnsi="Book Antiqua"/>
          <w:sz w:val="24"/>
          <w:szCs w:val="24"/>
        </w:rPr>
        <w:t>They were faintly seen on arterial and equilibrium phase images and best seen on the portal venous phase.</w:t>
      </w:r>
      <w:r w:rsidR="007C5610" w:rsidRPr="00E531C0">
        <w:rPr>
          <w:rFonts w:ascii="Book Antiqua" w:hAnsi="Book Antiqua"/>
          <w:sz w:val="24"/>
          <w:szCs w:val="24"/>
        </w:rPr>
        <w:t xml:space="preserve"> </w:t>
      </w:r>
      <w:r w:rsidR="00524ED1" w:rsidRPr="00E531C0">
        <w:rPr>
          <w:rFonts w:ascii="Book Antiqua" w:eastAsia="Batang" w:hAnsi="Book Antiqua"/>
          <w:sz w:val="24"/>
          <w:szCs w:val="24"/>
        </w:rPr>
        <w:t xml:space="preserve">All of these 34 patients were treated with </w:t>
      </w:r>
      <w:proofErr w:type="spellStart"/>
      <w:r w:rsidR="00524ED1" w:rsidRPr="00E531C0">
        <w:rPr>
          <w:rFonts w:ascii="Book Antiqua" w:eastAsia="Batang" w:hAnsi="Book Antiqua"/>
          <w:sz w:val="24"/>
          <w:szCs w:val="24"/>
        </w:rPr>
        <w:t>albendazole</w:t>
      </w:r>
      <w:proofErr w:type="spellEnd"/>
      <w:r w:rsidR="00524ED1" w:rsidRPr="00E531C0">
        <w:rPr>
          <w:rFonts w:ascii="Book Antiqua" w:eastAsia="Batang" w:hAnsi="Book Antiqua"/>
          <w:sz w:val="24"/>
          <w:szCs w:val="24"/>
        </w:rPr>
        <w:t>. After treatment, the eosinophil count was normal in 16 patients, decrease</w:t>
      </w:r>
      <w:r w:rsidR="005C250D" w:rsidRPr="00E531C0">
        <w:rPr>
          <w:rFonts w:ascii="Book Antiqua" w:eastAsia="Batang" w:hAnsi="Book Antiqua"/>
          <w:sz w:val="24"/>
          <w:szCs w:val="24"/>
        </w:rPr>
        <w:t>d</w:t>
      </w:r>
      <w:r w:rsidR="00524ED1" w:rsidRPr="00E531C0">
        <w:rPr>
          <w:rFonts w:ascii="Book Antiqua" w:eastAsia="Batang" w:hAnsi="Book Antiqua"/>
          <w:sz w:val="24"/>
          <w:szCs w:val="24"/>
        </w:rPr>
        <w:t xml:space="preserve"> in 8, and remained the same in one</w:t>
      </w:r>
      <w:r w:rsidR="008D402E" w:rsidRPr="00E531C0">
        <w:rPr>
          <w:rFonts w:ascii="Book Antiqua" w:eastAsia="Batang" w:hAnsi="Book Antiqua"/>
          <w:sz w:val="24"/>
          <w:szCs w:val="24"/>
        </w:rPr>
        <w:t xml:space="preserve"> (Table 2)</w:t>
      </w:r>
      <w:r w:rsidR="00524ED1" w:rsidRPr="00E531C0">
        <w:rPr>
          <w:rFonts w:ascii="Book Antiqua" w:eastAsia="Batang" w:hAnsi="Book Antiqua"/>
          <w:sz w:val="24"/>
          <w:szCs w:val="24"/>
        </w:rPr>
        <w:t>.</w:t>
      </w:r>
      <w:r w:rsidR="005C250D" w:rsidRPr="00E531C0">
        <w:rPr>
          <w:rFonts w:ascii="Book Antiqua" w:eastAsia="Batang" w:hAnsi="Book Antiqua"/>
          <w:sz w:val="24"/>
          <w:szCs w:val="24"/>
        </w:rPr>
        <w:t xml:space="preserve"> </w:t>
      </w:r>
      <w:r w:rsidR="002E7D10" w:rsidRPr="00E531C0">
        <w:rPr>
          <w:rFonts w:ascii="Book Antiqua" w:eastAsia="Batang" w:hAnsi="Book Antiqua"/>
          <w:sz w:val="24"/>
          <w:szCs w:val="24"/>
        </w:rPr>
        <w:t xml:space="preserve">The eosinophilic response pattern </w:t>
      </w:r>
      <w:r w:rsidR="00D90A8B" w:rsidRPr="00E531C0">
        <w:rPr>
          <w:rFonts w:ascii="Book Antiqua" w:eastAsia="Batang" w:hAnsi="Book Antiqua"/>
          <w:sz w:val="24"/>
          <w:szCs w:val="24"/>
        </w:rPr>
        <w:t>was divided into</w:t>
      </w:r>
      <w:r w:rsidR="002E7D10" w:rsidRPr="00E531C0">
        <w:rPr>
          <w:rFonts w:ascii="Book Antiqua" w:eastAsia="Batang" w:hAnsi="Book Antiqua"/>
          <w:sz w:val="24"/>
          <w:szCs w:val="24"/>
        </w:rPr>
        <w:t xml:space="preserve"> two groups: continuously decreasing (15 patients, 62.5%) and fluctuating (9 patients, 37.5%). </w:t>
      </w:r>
      <w:r w:rsidR="005C250D" w:rsidRPr="00E531C0">
        <w:rPr>
          <w:rFonts w:ascii="Book Antiqua" w:eastAsia="Batang" w:hAnsi="Book Antiqua"/>
          <w:sz w:val="24"/>
          <w:szCs w:val="24"/>
        </w:rPr>
        <w:t>We were unable to evaluate the eosinophilic response in 9 patients. Among those patients, 5 had normal eosinophil counts at initial diagnosis and 4 did not participate in the follow-up protocol posttreatment. Fifteen of 24 patients who showed an eosinophili</w:t>
      </w:r>
      <w:r w:rsidR="00240D1E" w:rsidRPr="00E531C0">
        <w:rPr>
          <w:rFonts w:ascii="Book Antiqua" w:eastAsia="Batang" w:hAnsi="Book Antiqua"/>
          <w:sz w:val="24"/>
          <w:szCs w:val="24"/>
        </w:rPr>
        <w:t xml:space="preserve">c response did so within 1 </w:t>
      </w:r>
      <w:proofErr w:type="spellStart"/>
      <w:r w:rsidR="00240D1E" w:rsidRPr="00E531C0">
        <w:rPr>
          <w:rFonts w:ascii="Book Antiqua" w:eastAsia="Batang" w:hAnsi="Book Antiqua"/>
          <w:sz w:val="24"/>
          <w:szCs w:val="24"/>
        </w:rPr>
        <w:t>mo</w:t>
      </w:r>
      <w:proofErr w:type="spellEnd"/>
      <w:r w:rsidR="005C250D" w:rsidRPr="00E531C0">
        <w:rPr>
          <w:rFonts w:ascii="Book Antiqua" w:eastAsia="Batang" w:hAnsi="Book Antiqua"/>
          <w:sz w:val="24"/>
          <w:szCs w:val="24"/>
        </w:rPr>
        <w:t xml:space="preserve"> posttreatment. Six months after treatment, the serum </w:t>
      </w:r>
      <w:proofErr w:type="spellStart"/>
      <w:r w:rsidR="005C250D" w:rsidRPr="00E531C0">
        <w:rPr>
          <w:rFonts w:ascii="Book Antiqua" w:eastAsia="Batang" w:hAnsi="Book Antiqua"/>
          <w:sz w:val="24"/>
          <w:szCs w:val="24"/>
        </w:rPr>
        <w:t>IgE</w:t>
      </w:r>
      <w:proofErr w:type="spellEnd"/>
      <w:r w:rsidR="005C250D" w:rsidRPr="00E531C0">
        <w:rPr>
          <w:rFonts w:ascii="Book Antiqua" w:eastAsia="Batang" w:hAnsi="Book Antiqua"/>
          <w:sz w:val="24"/>
          <w:szCs w:val="24"/>
        </w:rPr>
        <w:t xml:space="preserve"> level increased in 7 patients, decreased in 8, and remained the same in 3</w:t>
      </w:r>
      <w:r w:rsidR="008D402E" w:rsidRPr="00E531C0">
        <w:rPr>
          <w:rFonts w:ascii="Book Antiqua" w:eastAsia="Batang" w:hAnsi="Book Antiqua"/>
          <w:sz w:val="24"/>
          <w:szCs w:val="24"/>
        </w:rPr>
        <w:t xml:space="preserve"> (Table 2).</w:t>
      </w:r>
      <w:r w:rsidR="005C250D" w:rsidRPr="00E531C0">
        <w:rPr>
          <w:rFonts w:ascii="Book Antiqua" w:eastAsia="Batang" w:hAnsi="Book Antiqua"/>
          <w:sz w:val="24"/>
          <w:szCs w:val="24"/>
        </w:rPr>
        <w:t xml:space="preserve"> </w:t>
      </w:r>
      <w:r w:rsidR="00342090" w:rsidRPr="00E531C0">
        <w:rPr>
          <w:rFonts w:ascii="Book Antiqua" w:eastAsia="Batang" w:hAnsi="Book Antiqua"/>
          <w:sz w:val="24"/>
          <w:szCs w:val="24"/>
        </w:rPr>
        <w:t xml:space="preserve">We were unable to evaluate the serum </w:t>
      </w:r>
      <w:proofErr w:type="spellStart"/>
      <w:r w:rsidR="00342090" w:rsidRPr="00E531C0">
        <w:rPr>
          <w:rFonts w:ascii="Book Antiqua" w:eastAsia="Batang" w:hAnsi="Book Antiqua"/>
          <w:sz w:val="24"/>
          <w:szCs w:val="24"/>
        </w:rPr>
        <w:t>IgE</w:t>
      </w:r>
      <w:proofErr w:type="spellEnd"/>
      <w:r w:rsidR="00342090" w:rsidRPr="00E531C0">
        <w:rPr>
          <w:rFonts w:ascii="Book Antiqua" w:eastAsia="Batang" w:hAnsi="Book Antiqua"/>
          <w:sz w:val="24"/>
          <w:szCs w:val="24"/>
        </w:rPr>
        <w:t xml:space="preserve"> response in 16 patients. </w:t>
      </w:r>
      <w:r w:rsidR="00342090" w:rsidRPr="00E531C0">
        <w:rPr>
          <w:rFonts w:ascii="Book Antiqua" w:eastAsia="Batang" w:hAnsi="Book Antiqua"/>
          <w:sz w:val="24"/>
          <w:szCs w:val="24"/>
        </w:rPr>
        <w:lastRenderedPageBreak/>
        <w:t xml:space="preserve">Among these patients, 8 patients did not undergo </w:t>
      </w:r>
      <w:r w:rsidR="0060175B" w:rsidRPr="00E531C0">
        <w:rPr>
          <w:rFonts w:ascii="Book Antiqua" w:eastAsia="Batang" w:hAnsi="Book Antiqua"/>
          <w:sz w:val="24"/>
          <w:szCs w:val="24"/>
        </w:rPr>
        <w:t>check</w:t>
      </w:r>
      <w:r w:rsidR="00342090" w:rsidRPr="00E531C0">
        <w:rPr>
          <w:rFonts w:ascii="Book Antiqua" w:eastAsia="Batang" w:hAnsi="Book Antiqua"/>
          <w:sz w:val="24"/>
          <w:szCs w:val="24"/>
        </w:rPr>
        <w:t xml:space="preserve"> serum </w:t>
      </w:r>
      <w:proofErr w:type="spellStart"/>
      <w:r w:rsidR="00342090" w:rsidRPr="00E531C0">
        <w:rPr>
          <w:rFonts w:ascii="Book Antiqua" w:eastAsia="Batang" w:hAnsi="Book Antiqua"/>
          <w:sz w:val="24"/>
          <w:szCs w:val="24"/>
        </w:rPr>
        <w:t>IgE</w:t>
      </w:r>
      <w:proofErr w:type="spellEnd"/>
      <w:r w:rsidR="00342090" w:rsidRPr="00E531C0">
        <w:rPr>
          <w:rFonts w:ascii="Book Antiqua" w:eastAsia="Batang" w:hAnsi="Book Antiqua"/>
          <w:sz w:val="24"/>
          <w:szCs w:val="24"/>
        </w:rPr>
        <w:t xml:space="preserve"> level tests </w:t>
      </w:r>
      <w:r w:rsidR="0060175B" w:rsidRPr="00E531C0">
        <w:rPr>
          <w:rFonts w:ascii="Book Antiqua" w:eastAsia="Batang" w:hAnsi="Book Antiqua"/>
          <w:sz w:val="24"/>
          <w:szCs w:val="24"/>
        </w:rPr>
        <w:t xml:space="preserve">initially </w:t>
      </w:r>
      <w:r w:rsidR="00342090" w:rsidRPr="00E531C0">
        <w:rPr>
          <w:rFonts w:ascii="Book Antiqua" w:eastAsia="Batang" w:hAnsi="Book Antiqua"/>
          <w:sz w:val="24"/>
          <w:szCs w:val="24"/>
        </w:rPr>
        <w:t xml:space="preserve">and the other 8 patients did not participate in the follow-up protocol. A follow-up CT was performed for 22 patients. Among these patients, 15 demonstrated </w:t>
      </w:r>
      <w:r w:rsidR="002E7D10" w:rsidRPr="00E531C0">
        <w:rPr>
          <w:rFonts w:ascii="Book Antiqua" w:eastAsia="Batang" w:hAnsi="Book Antiqua"/>
          <w:sz w:val="24"/>
          <w:szCs w:val="24"/>
        </w:rPr>
        <w:t xml:space="preserve">disappearance of </w:t>
      </w:r>
      <w:r w:rsidR="00342090" w:rsidRPr="00E531C0">
        <w:rPr>
          <w:rFonts w:ascii="Book Antiqua" w:eastAsia="Batang" w:hAnsi="Book Antiqua"/>
          <w:sz w:val="24"/>
          <w:szCs w:val="24"/>
        </w:rPr>
        <w:t xml:space="preserve">liver abscess within 3 </w:t>
      </w:r>
      <w:proofErr w:type="spellStart"/>
      <w:r w:rsidR="00342090" w:rsidRPr="00E531C0">
        <w:rPr>
          <w:rFonts w:ascii="Book Antiqua" w:eastAsia="Batang" w:hAnsi="Book Antiqua"/>
          <w:sz w:val="24"/>
          <w:szCs w:val="24"/>
        </w:rPr>
        <w:t>mo</w:t>
      </w:r>
      <w:proofErr w:type="spellEnd"/>
      <w:r w:rsidR="00342090" w:rsidRPr="00E531C0">
        <w:rPr>
          <w:rFonts w:ascii="Book Antiqua" w:eastAsia="Batang" w:hAnsi="Book Antiqua"/>
          <w:sz w:val="24"/>
          <w:szCs w:val="24"/>
        </w:rPr>
        <w:t xml:space="preserve"> and 21 within 6 mo. Relapse </w:t>
      </w:r>
      <w:r w:rsidR="002E7D10" w:rsidRPr="00E531C0">
        <w:rPr>
          <w:rFonts w:ascii="Book Antiqua" w:eastAsia="Batang" w:hAnsi="Book Antiqua"/>
          <w:sz w:val="24"/>
          <w:szCs w:val="24"/>
        </w:rPr>
        <w:t>or</w:t>
      </w:r>
      <w:r w:rsidR="00342090" w:rsidRPr="00E531C0">
        <w:rPr>
          <w:rFonts w:ascii="Book Antiqua" w:eastAsia="Batang" w:hAnsi="Book Antiqua"/>
          <w:sz w:val="24"/>
          <w:szCs w:val="24"/>
        </w:rPr>
        <w:t xml:space="preserve"> migration of liver a</w:t>
      </w:r>
      <w:r w:rsidR="002E7D10" w:rsidRPr="00E531C0">
        <w:rPr>
          <w:rFonts w:ascii="Book Antiqua" w:eastAsia="Batang" w:hAnsi="Book Antiqua"/>
          <w:sz w:val="24"/>
          <w:szCs w:val="24"/>
        </w:rPr>
        <w:t xml:space="preserve">bscess </w:t>
      </w:r>
      <w:r w:rsidR="00342090" w:rsidRPr="00E531C0">
        <w:rPr>
          <w:rFonts w:ascii="Book Antiqua" w:eastAsia="Batang" w:hAnsi="Book Antiqua"/>
          <w:sz w:val="24"/>
          <w:szCs w:val="24"/>
        </w:rPr>
        <w:t>w</w:t>
      </w:r>
      <w:r w:rsidR="0091534C" w:rsidRPr="00E531C0">
        <w:rPr>
          <w:rFonts w:ascii="Book Antiqua" w:eastAsia="Batang" w:hAnsi="Book Antiqua"/>
          <w:sz w:val="24"/>
          <w:szCs w:val="24"/>
        </w:rPr>
        <w:t>as</w:t>
      </w:r>
      <w:r w:rsidR="00342090" w:rsidRPr="00E531C0">
        <w:rPr>
          <w:rFonts w:ascii="Book Antiqua" w:eastAsia="Batang" w:hAnsi="Book Antiqua"/>
          <w:sz w:val="24"/>
          <w:szCs w:val="24"/>
        </w:rPr>
        <w:t xml:space="preserve"> observed in </w:t>
      </w:r>
      <w:r w:rsidR="000D1A05" w:rsidRPr="00E531C0">
        <w:rPr>
          <w:rFonts w:ascii="Book Antiqua" w:eastAsia="Batang" w:hAnsi="Book Antiqua"/>
          <w:sz w:val="24"/>
          <w:szCs w:val="24"/>
        </w:rPr>
        <w:t xml:space="preserve">3 </w:t>
      </w:r>
      <w:r w:rsidR="00342090" w:rsidRPr="00E531C0">
        <w:rPr>
          <w:rFonts w:ascii="Book Antiqua" w:eastAsia="Batang" w:hAnsi="Book Antiqua"/>
          <w:sz w:val="24"/>
          <w:szCs w:val="24"/>
        </w:rPr>
        <w:t>patient</w:t>
      </w:r>
      <w:r w:rsidR="002E7D10" w:rsidRPr="00E531C0">
        <w:rPr>
          <w:rFonts w:ascii="Book Antiqua" w:eastAsia="Batang" w:hAnsi="Book Antiqua"/>
          <w:sz w:val="24"/>
          <w:szCs w:val="24"/>
        </w:rPr>
        <w:t>s</w:t>
      </w:r>
      <w:r w:rsidR="00342090" w:rsidRPr="00E531C0">
        <w:rPr>
          <w:rFonts w:ascii="Book Antiqua" w:eastAsia="Batang" w:hAnsi="Book Antiqua"/>
          <w:sz w:val="24"/>
          <w:szCs w:val="24"/>
        </w:rPr>
        <w:t>.</w:t>
      </w:r>
      <w:r w:rsidR="005C250D" w:rsidRPr="00E531C0">
        <w:rPr>
          <w:rFonts w:ascii="Book Antiqua" w:eastAsia="Batang" w:hAnsi="Book Antiqua"/>
          <w:sz w:val="24"/>
          <w:szCs w:val="24"/>
        </w:rPr>
        <w:t xml:space="preserve"> </w:t>
      </w:r>
    </w:p>
    <w:p w:rsidR="008D3644" w:rsidRPr="00E531C0" w:rsidRDefault="008D3644" w:rsidP="00DF4498">
      <w:pPr>
        <w:wordWrap/>
        <w:spacing w:after="0" w:line="360" w:lineRule="auto"/>
        <w:rPr>
          <w:rFonts w:ascii="Book Antiqua" w:eastAsia="Batang" w:hAnsi="Book Antiqua"/>
          <w:sz w:val="24"/>
          <w:szCs w:val="24"/>
        </w:rPr>
      </w:pPr>
    </w:p>
    <w:p w:rsidR="00AF3B74" w:rsidRPr="00E531C0" w:rsidRDefault="00AF3B74" w:rsidP="00DF4498">
      <w:pPr>
        <w:wordWrap/>
        <w:spacing w:after="0" w:line="360" w:lineRule="auto"/>
        <w:rPr>
          <w:rFonts w:ascii="Book Antiqua" w:eastAsia="Batang" w:hAnsi="Book Antiqua"/>
          <w:b/>
          <w:sz w:val="24"/>
          <w:szCs w:val="24"/>
        </w:rPr>
      </w:pPr>
      <w:r w:rsidRPr="00E531C0">
        <w:rPr>
          <w:rFonts w:ascii="Book Antiqua" w:eastAsia="Batang" w:hAnsi="Book Antiqua"/>
          <w:b/>
          <w:sz w:val="24"/>
          <w:szCs w:val="24"/>
        </w:rPr>
        <w:t>DISCUSSION</w:t>
      </w:r>
    </w:p>
    <w:p w:rsidR="009762A6" w:rsidRPr="00E531C0" w:rsidRDefault="00953C52" w:rsidP="00DF4498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is a worldwide disease. The overall </w:t>
      </w:r>
      <w:proofErr w:type="spellStart"/>
      <w:r w:rsidRPr="00E531C0">
        <w:rPr>
          <w:rFonts w:ascii="Book Antiqua" w:hAnsi="Book Antiqua"/>
          <w:sz w:val="24"/>
          <w:szCs w:val="24"/>
        </w:rPr>
        <w:t>seroprevalence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has been reported as 13.9% in </w:t>
      </w:r>
      <w:r w:rsidR="00473556" w:rsidRPr="00E531C0">
        <w:rPr>
          <w:rFonts w:ascii="Book Antiqua" w:eastAsia="宋体" w:hAnsi="Book Antiqua"/>
          <w:sz w:val="24"/>
          <w:szCs w:val="24"/>
          <w:lang w:eastAsia="zh-CN"/>
        </w:rPr>
        <w:t xml:space="preserve">Unites </w:t>
      </w:r>
      <w:proofErr w:type="gramStart"/>
      <w:r w:rsidR="00473556" w:rsidRPr="00E531C0">
        <w:rPr>
          <w:rFonts w:ascii="Book Antiqua" w:eastAsia="宋体" w:hAnsi="Book Antiqua"/>
          <w:sz w:val="24"/>
          <w:szCs w:val="24"/>
          <w:lang w:eastAsia="zh-CN"/>
        </w:rPr>
        <w:t>States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64FF9" w:rsidRPr="00E531C0">
        <w:rPr>
          <w:rFonts w:ascii="Book Antiqua" w:hAnsi="Book Antiqua"/>
          <w:sz w:val="24"/>
          <w:szCs w:val="24"/>
          <w:vertAlign w:val="superscript"/>
        </w:rPr>
        <w:t>6]</w:t>
      </w:r>
      <w:r w:rsidRPr="00E531C0">
        <w:rPr>
          <w:rFonts w:ascii="Book Antiqua" w:hAnsi="Book Antiqua"/>
          <w:sz w:val="24"/>
          <w:szCs w:val="24"/>
        </w:rPr>
        <w:t>, 2</w:t>
      </w:r>
      <w:r w:rsidR="0010596B" w:rsidRPr="00E531C0">
        <w:rPr>
          <w:rFonts w:ascii="Book Antiqua" w:hAnsi="Book Antiqua"/>
          <w:sz w:val="24"/>
          <w:szCs w:val="24"/>
        </w:rPr>
        <w:t>%</w:t>
      </w:r>
      <w:r w:rsidRPr="00E531C0">
        <w:rPr>
          <w:rFonts w:ascii="Book Antiqua" w:hAnsi="Book Antiqua"/>
          <w:sz w:val="24"/>
          <w:szCs w:val="24"/>
        </w:rPr>
        <w:t>-5% and 14</w:t>
      </w:r>
      <w:r w:rsidR="00D1518C" w:rsidRPr="00E531C0">
        <w:rPr>
          <w:rFonts w:ascii="Book Antiqua" w:hAnsi="Book Antiqua"/>
          <w:sz w:val="24"/>
          <w:szCs w:val="24"/>
        </w:rPr>
        <w:t>%</w:t>
      </w:r>
      <w:r w:rsidRPr="00E531C0">
        <w:rPr>
          <w:rFonts w:ascii="Book Antiqua" w:hAnsi="Book Antiqua"/>
          <w:sz w:val="24"/>
          <w:szCs w:val="24"/>
        </w:rPr>
        <w:t>-37% respectively in the urban and rural areas of France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[7]</w:t>
      </w:r>
      <w:r w:rsidRPr="00E531C0">
        <w:rPr>
          <w:rFonts w:ascii="Book Antiqua" w:hAnsi="Book Antiqua"/>
          <w:sz w:val="24"/>
          <w:szCs w:val="24"/>
        </w:rPr>
        <w:t>, 18% in China, 20% in Malaysia, 68% in Indonesia, and 81% in Nepal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[8]</w:t>
      </w:r>
      <w:r w:rsidRPr="00E531C0">
        <w:rPr>
          <w:rFonts w:ascii="Book Antiqua" w:hAnsi="Book Antiqua"/>
          <w:sz w:val="24"/>
          <w:szCs w:val="24"/>
        </w:rPr>
        <w:t xml:space="preserve">. In Korea the </w:t>
      </w:r>
      <w:proofErr w:type="spellStart"/>
      <w:r w:rsidRPr="00E531C0">
        <w:rPr>
          <w:rFonts w:ascii="Book Antiqua" w:hAnsi="Book Antiqua"/>
          <w:sz w:val="24"/>
          <w:szCs w:val="24"/>
        </w:rPr>
        <w:t>seroprevalence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has been reported as 5% in </w:t>
      </w:r>
      <w:proofErr w:type="spellStart"/>
      <w:r w:rsidRPr="00E531C0">
        <w:rPr>
          <w:rFonts w:ascii="Book Antiqua" w:hAnsi="Book Antiqua"/>
          <w:sz w:val="24"/>
          <w:szCs w:val="24"/>
        </w:rPr>
        <w:t>Gangwon</w:t>
      </w:r>
      <w:proofErr w:type="spellEnd"/>
      <w:r w:rsidR="00CD47F5" w:rsidRPr="00E531C0">
        <w:rPr>
          <w:rFonts w:ascii="Book Antiqua" w:hAnsi="Book Antiqua"/>
          <w:sz w:val="24"/>
          <w:szCs w:val="24"/>
        </w:rPr>
        <w:t>-</w:t>
      </w:r>
      <w:proofErr w:type="gramStart"/>
      <w:r w:rsidRPr="00E531C0">
        <w:rPr>
          <w:rFonts w:ascii="Book Antiqua" w:hAnsi="Book Antiqua"/>
          <w:sz w:val="24"/>
          <w:szCs w:val="24"/>
        </w:rPr>
        <w:t>do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64FF9" w:rsidRPr="00E531C0">
        <w:rPr>
          <w:rFonts w:ascii="Book Antiqua" w:hAnsi="Book Antiqua"/>
          <w:sz w:val="24"/>
          <w:szCs w:val="24"/>
          <w:vertAlign w:val="superscript"/>
        </w:rPr>
        <w:t>9]</w:t>
      </w:r>
      <w:r w:rsidR="00C31780" w:rsidRPr="00E531C0">
        <w:rPr>
          <w:rFonts w:ascii="Book Antiqua" w:hAnsi="Book Antiqua"/>
          <w:sz w:val="24"/>
          <w:szCs w:val="24"/>
        </w:rPr>
        <w:t xml:space="preserve">, 6% in Seoul, and 11% in </w:t>
      </w:r>
      <w:proofErr w:type="spellStart"/>
      <w:r w:rsidR="00C31780" w:rsidRPr="00E531C0">
        <w:rPr>
          <w:rFonts w:ascii="Book Antiqua" w:hAnsi="Book Antiqua"/>
          <w:sz w:val="24"/>
          <w:szCs w:val="24"/>
        </w:rPr>
        <w:t>G</w:t>
      </w:r>
      <w:r w:rsidRPr="00E531C0">
        <w:rPr>
          <w:rFonts w:ascii="Book Antiqua" w:hAnsi="Book Antiqua"/>
          <w:sz w:val="24"/>
          <w:szCs w:val="24"/>
        </w:rPr>
        <w:t>y</w:t>
      </w:r>
      <w:r w:rsidR="00C31780" w:rsidRPr="00E531C0">
        <w:rPr>
          <w:rFonts w:ascii="Book Antiqua" w:hAnsi="Book Antiqua"/>
          <w:sz w:val="24"/>
          <w:szCs w:val="24"/>
        </w:rPr>
        <w:t>eo</w:t>
      </w:r>
      <w:r w:rsidRPr="00E531C0">
        <w:rPr>
          <w:rFonts w:ascii="Book Antiqua" w:hAnsi="Book Antiqua"/>
          <w:sz w:val="24"/>
          <w:szCs w:val="24"/>
        </w:rPr>
        <w:t>ngsan</w:t>
      </w:r>
      <w:r w:rsidR="00CD47F5" w:rsidRPr="00E531C0">
        <w:rPr>
          <w:rFonts w:ascii="Book Antiqua" w:hAnsi="Book Antiqua"/>
          <w:sz w:val="24"/>
          <w:szCs w:val="24"/>
        </w:rPr>
        <w:t>gn</w:t>
      </w:r>
      <w:r w:rsidRPr="00E531C0">
        <w:rPr>
          <w:rFonts w:ascii="Book Antiqua" w:hAnsi="Book Antiqua"/>
          <w:sz w:val="24"/>
          <w:szCs w:val="24"/>
        </w:rPr>
        <w:t>am</w:t>
      </w:r>
      <w:proofErr w:type="spellEnd"/>
      <w:r w:rsidRPr="00E531C0">
        <w:rPr>
          <w:rFonts w:ascii="Book Antiqua" w:hAnsi="Book Antiqua"/>
          <w:sz w:val="24"/>
          <w:szCs w:val="24"/>
        </w:rPr>
        <w:t>-do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[10]</w:t>
      </w:r>
      <w:r w:rsidRPr="00E531C0">
        <w:rPr>
          <w:rFonts w:ascii="Book Antiqua" w:hAnsi="Book Antiqua"/>
          <w:sz w:val="24"/>
          <w:szCs w:val="24"/>
        </w:rPr>
        <w:t xml:space="preserve">. The </w:t>
      </w:r>
      <w:proofErr w:type="spellStart"/>
      <w:r w:rsidRPr="00E531C0">
        <w:rPr>
          <w:rFonts w:ascii="Book Antiqua" w:hAnsi="Book Antiqua"/>
          <w:sz w:val="24"/>
          <w:szCs w:val="24"/>
        </w:rPr>
        <w:t>seroprevalence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in patients with eosinophilia has been reported as 64.9</w:t>
      </w:r>
      <w:r w:rsidR="005C54C5" w:rsidRPr="00E531C0">
        <w:rPr>
          <w:rFonts w:ascii="Book Antiqua" w:hAnsi="Book Antiqua"/>
          <w:sz w:val="24"/>
          <w:szCs w:val="24"/>
        </w:rPr>
        <w:t>%</w:t>
      </w:r>
      <w:r w:rsidRPr="00E531C0">
        <w:rPr>
          <w:rFonts w:ascii="Book Antiqua" w:hAnsi="Book Antiqua"/>
          <w:sz w:val="24"/>
          <w:szCs w:val="24"/>
        </w:rPr>
        <w:t xml:space="preserve">-86.7% in </w:t>
      </w:r>
      <w:proofErr w:type="gramStart"/>
      <w:r w:rsidRPr="00E531C0">
        <w:rPr>
          <w:rFonts w:ascii="Book Antiqua" w:hAnsi="Book Antiqua"/>
          <w:sz w:val="24"/>
          <w:szCs w:val="24"/>
        </w:rPr>
        <w:t>Seoul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64FF9" w:rsidRPr="00E531C0">
        <w:rPr>
          <w:rFonts w:ascii="Book Antiqua" w:hAnsi="Book Antiqua"/>
          <w:sz w:val="24"/>
          <w:szCs w:val="24"/>
          <w:vertAlign w:val="superscript"/>
        </w:rPr>
        <w:t>8,11]</w:t>
      </w:r>
      <w:r w:rsidRPr="00E531C0">
        <w:rPr>
          <w:rFonts w:ascii="Book Antiqua" w:hAnsi="Book Antiqua"/>
          <w:sz w:val="24"/>
          <w:szCs w:val="24"/>
        </w:rPr>
        <w:t xml:space="preserve">, 50.5% in </w:t>
      </w:r>
      <w:proofErr w:type="spellStart"/>
      <w:r w:rsidRPr="00E531C0">
        <w:rPr>
          <w:rFonts w:ascii="Book Antiqua" w:hAnsi="Book Antiqua"/>
          <w:sz w:val="24"/>
          <w:szCs w:val="24"/>
        </w:rPr>
        <w:t>Chun</w:t>
      </w:r>
      <w:r w:rsidR="00CD47F5" w:rsidRPr="00E531C0">
        <w:rPr>
          <w:rFonts w:ascii="Book Antiqua" w:hAnsi="Book Antiqua"/>
          <w:sz w:val="24"/>
          <w:szCs w:val="24"/>
        </w:rPr>
        <w:t>g</w:t>
      </w:r>
      <w:r w:rsidRPr="00E531C0">
        <w:rPr>
          <w:rFonts w:ascii="Book Antiqua" w:hAnsi="Book Antiqua"/>
          <w:sz w:val="24"/>
          <w:szCs w:val="24"/>
        </w:rPr>
        <w:t>c</w:t>
      </w:r>
      <w:r w:rsidR="00CD47F5" w:rsidRPr="00E531C0">
        <w:rPr>
          <w:rFonts w:ascii="Book Antiqua" w:hAnsi="Book Antiqua"/>
          <w:sz w:val="24"/>
          <w:szCs w:val="24"/>
        </w:rPr>
        <w:t>h</w:t>
      </w:r>
      <w:r w:rsidR="00F47920" w:rsidRPr="00E531C0">
        <w:rPr>
          <w:rFonts w:ascii="Book Antiqua" w:hAnsi="Book Antiqua"/>
          <w:sz w:val="24"/>
          <w:szCs w:val="24"/>
        </w:rPr>
        <w:t>eo</w:t>
      </w:r>
      <w:r w:rsidRPr="00E531C0">
        <w:rPr>
          <w:rFonts w:ascii="Book Antiqua" w:hAnsi="Book Antiqua"/>
          <w:sz w:val="24"/>
          <w:szCs w:val="24"/>
        </w:rPr>
        <w:t>ngnam</w:t>
      </w:r>
      <w:proofErr w:type="spellEnd"/>
      <w:r w:rsidRPr="00E531C0">
        <w:rPr>
          <w:rFonts w:ascii="Book Antiqua" w:hAnsi="Book Antiqua"/>
          <w:sz w:val="24"/>
          <w:szCs w:val="24"/>
        </w:rPr>
        <w:t>-do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[12]</w:t>
      </w:r>
      <w:r w:rsidRPr="00E531C0">
        <w:rPr>
          <w:rFonts w:ascii="Book Antiqua" w:hAnsi="Book Antiqua"/>
          <w:sz w:val="24"/>
          <w:szCs w:val="24"/>
        </w:rPr>
        <w:t>, and 62% in Pohang</w:t>
      </w:r>
      <w:r w:rsidR="00A64FF9" w:rsidRPr="00E531C0">
        <w:rPr>
          <w:rFonts w:ascii="Book Antiqua" w:hAnsi="Book Antiqua"/>
          <w:sz w:val="24"/>
          <w:szCs w:val="24"/>
          <w:vertAlign w:val="superscript"/>
        </w:rPr>
        <w:t>[13]</w:t>
      </w:r>
      <w:r w:rsidRPr="00E531C0">
        <w:rPr>
          <w:rFonts w:ascii="Book Antiqua" w:hAnsi="Book Antiqua"/>
          <w:sz w:val="24"/>
          <w:szCs w:val="24"/>
        </w:rPr>
        <w:t>.</w:t>
      </w:r>
      <w:r w:rsidR="005C1D72" w:rsidRPr="00E531C0">
        <w:rPr>
          <w:rFonts w:ascii="Book Antiqua" w:hAnsi="Book Antiqua"/>
          <w:sz w:val="24"/>
          <w:szCs w:val="24"/>
        </w:rPr>
        <w:t xml:space="preserve"> These reports confirm that </w:t>
      </w:r>
      <w:proofErr w:type="spellStart"/>
      <w:r w:rsidR="005C1D72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5C1D72" w:rsidRPr="00E531C0">
        <w:rPr>
          <w:rFonts w:ascii="Book Antiqua" w:hAnsi="Book Antiqua"/>
          <w:sz w:val="24"/>
          <w:szCs w:val="24"/>
        </w:rPr>
        <w:t xml:space="preserve"> is known to be a main cause of eosinophilia. </w:t>
      </w:r>
      <w:proofErr w:type="spellStart"/>
      <w:r w:rsidR="005C1D72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5C1D72" w:rsidRPr="00E531C0">
        <w:rPr>
          <w:rFonts w:ascii="Book Antiqua" w:hAnsi="Book Antiqua"/>
          <w:sz w:val="24"/>
          <w:szCs w:val="24"/>
        </w:rPr>
        <w:t xml:space="preserve"> infection is caused by ingestion of </w:t>
      </w:r>
      <w:proofErr w:type="spellStart"/>
      <w:r w:rsidR="005C1D72" w:rsidRPr="00E531C0">
        <w:rPr>
          <w:rFonts w:ascii="Book Antiqua" w:hAnsi="Book Antiqua"/>
          <w:sz w:val="24"/>
          <w:szCs w:val="24"/>
        </w:rPr>
        <w:t>embryonated</w:t>
      </w:r>
      <w:proofErr w:type="spellEnd"/>
      <w:r w:rsidR="005C1D72" w:rsidRPr="00E531C0">
        <w:rPr>
          <w:rFonts w:ascii="Book Antiqua" w:hAnsi="Book Antiqua"/>
          <w:sz w:val="24"/>
          <w:szCs w:val="24"/>
        </w:rPr>
        <w:t xml:space="preserve"> eggs from the soil and pet animals or by ingestion of encapsulated larva while eating uncooked </w:t>
      </w:r>
      <w:proofErr w:type="spellStart"/>
      <w:r w:rsidR="005C1D72" w:rsidRPr="00E531C0">
        <w:rPr>
          <w:rFonts w:ascii="Book Antiqua" w:hAnsi="Book Antiqua"/>
          <w:sz w:val="24"/>
          <w:szCs w:val="24"/>
        </w:rPr>
        <w:t>paratenic</w:t>
      </w:r>
      <w:proofErr w:type="spellEnd"/>
      <w:r w:rsidR="005C1D72" w:rsidRPr="00E531C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C1D72" w:rsidRPr="00E531C0">
        <w:rPr>
          <w:rFonts w:ascii="Book Antiqua" w:hAnsi="Book Antiqua"/>
          <w:sz w:val="24"/>
          <w:szCs w:val="24"/>
        </w:rPr>
        <w:t>hosts</w:t>
      </w:r>
      <w:r w:rsidR="00CD07AC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D07AC" w:rsidRPr="00E531C0">
        <w:rPr>
          <w:rFonts w:ascii="Book Antiqua" w:hAnsi="Book Antiqua"/>
          <w:sz w:val="24"/>
          <w:szCs w:val="24"/>
          <w:vertAlign w:val="superscript"/>
        </w:rPr>
        <w:t>14]</w:t>
      </w:r>
      <w:r w:rsidR="005C1D72" w:rsidRPr="00E531C0">
        <w:rPr>
          <w:rFonts w:ascii="Book Antiqua" w:hAnsi="Book Antiqua"/>
          <w:sz w:val="24"/>
          <w:szCs w:val="24"/>
        </w:rPr>
        <w:t>. In this study, eating uncooked food was a more common route of infection than con</w:t>
      </w:r>
      <w:r w:rsidR="00E965C7" w:rsidRPr="00E531C0">
        <w:rPr>
          <w:rFonts w:ascii="Book Antiqua" w:hAnsi="Book Antiqua"/>
          <w:sz w:val="24"/>
          <w:szCs w:val="24"/>
        </w:rPr>
        <w:t xml:space="preserve">tact with pet animals (67.6% </w:t>
      </w:r>
      <w:r w:rsidR="00E965C7" w:rsidRPr="00E531C0">
        <w:rPr>
          <w:rFonts w:ascii="Book Antiqua" w:hAnsi="Book Antiqua"/>
          <w:i/>
          <w:sz w:val="24"/>
          <w:szCs w:val="24"/>
        </w:rPr>
        <w:t>vs</w:t>
      </w:r>
      <w:r w:rsidR="005C1D72" w:rsidRPr="00E531C0">
        <w:rPr>
          <w:rFonts w:ascii="Book Antiqua" w:hAnsi="Book Antiqua"/>
          <w:sz w:val="24"/>
          <w:szCs w:val="24"/>
        </w:rPr>
        <w:t xml:space="preserve"> 17.6%).</w:t>
      </w:r>
      <w:r w:rsidR="00E71D7B" w:rsidRPr="00E531C0">
        <w:rPr>
          <w:rFonts w:ascii="Book Antiqua" w:hAnsi="Book Antiqua"/>
          <w:sz w:val="24"/>
          <w:szCs w:val="24"/>
        </w:rPr>
        <w:t xml:space="preserve"> Choi</w:t>
      </w:r>
      <w:r w:rsidR="004B05CC" w:rsidRPr="00E531C0">
        <w:rPr>
          <w:rFonts w:ascii="Book Antiqua" w:hAnsi="Book Antiqua"/>
          <w:sz w:val="24"/>
          <w:szCs w:val="24"/>
        </w:rPr>
        <w:t xml:space="preserve"> </w:t>
      </w:r>
      <w:r w:rsidR="004B05CC" w:rsidRPr="00E531C0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4B05CC" w:rsidRPr="00E531C0">
        <w:rPr>
          <w:rFonts w:ascii="Book Antiqua" w:hAnsi="Book Antiqua"/>
          <w:i/>
          <w:sz w:val="24"/>
          <w:szCs w:val="24"/>
        </w:rPr>
        <w:t>al</w:t>
      </w:r>
      <w:r w:rsidR="00CD07AC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D07AC" w:rsidRPr="00E531C0">
        <w:rPr>
          <w:rFonts w:ascii="Book Antiqua" w:hAnsi="Book Antiqua"/>
          <w:sz w:val="24"/>
          <w:szCs w:val="24"/>
          <w:vertAlign w:val="superscript"/>
        </w:rPr>
        <w:t>8]</w:t>
      </w:r>
      <w:r w:rsidR="004B05CC" w:rsidRPr="00E531C0">
        <w:rPr>
          <w:rFonts w:ascii="Book Antiqua" w:hAnsi="Book Antiqua"/>
          <w:sz w:val="24"/>
          <w:szCs w:val="24"/>
        </w:rPr>
        <w:t xml:space="preserve"> suggested that ingestion of raw cow liver was related to an</w:t>
      </w:r>
      <w:r w:rsidR="00E501D7" w:rsidRPr="00E531C0">
        <w:rPr>
          <w:rFonts w:ascii="Book Antiqua" w:hAnsi="Book Antiqua"/>
          <w:sz w:val="24"/>
          <w:szCs w:val="24"/>
        </w:rPr>
        <w:t xml:space="preserve"> increased risk of </w:t>
      </w:r>
      <w:proofErr w:type="spellStart"/>
      <w:r w:rsidR="00E501D7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CD07AC" w:rsidRPr="00E531C0">
        <w:rPr>
          <w:rFonts w:ascii="Book Antiqua" w:hAnsi="Book Antiqua"/>
          <w:sz w:val="24"/>
          <w:szCs w:val="24"/>
        </w:rPr>
        <w:t>,</w:t>
      </w:r>
      <w:r w:rsidR="00E501D7" w:rsidRPr="00E531C0">
        <w:rPr>
          <w:rFonts w:ascii="Book Antiqua" w:hAnsi="Book Antiqua"/>
          <w:sz w:val="24"/>
          <w:szCs w:val="24"/>
        </w:rPr>
        <w:t xml:space="preserve"> but not</w:t>
      </w:r>
      <w:r w:rsidR="004B05CC" w:rsidRPr="00E531C0">
        <w:rPr>
          <w:rFonts w:ascii="Book Antiqua" w:hAnsi="Book Antiqua"/>
          <w:sz w:val="24"/>
          <w:szCs w:val="24"/>
        </w:rPr>
        <w:t xml:space="preserve"> </w:t>
      </w:r>
      <w:r w:rsidR="00CD07AC" w:rsidRPr="00E531C0">
        <w:rPr>
          <w:rFonts w:ascii="Book Antiqua" w:hAnsi="Book Antiqua"/>
          <w:sz w:val="24"/>
          <w:szCs w:val="24"/>
        </w:rPr>
        <w:t xml:space="preserve">ingestion of </w:t>
      </w:r>
      <w:r w:rsidR="004B05CC" w:rsidRPr="00E531C0">
        <w:rPr>
          <w:rFonts w:ascii="Book Antiqua" w:hAnsi="Book Antiqua"/>
          <w:sz w:val="24"/>
          <w:szCs w:val="24"/>
        </w:rPr>
        <w:t>raw meat or animal blood and owning dogs</w:t>
      </w:r>
      <w:r w:rsidR="00E501D7" w:rsidRPr="00E531C0">
        <w:rPr>
          <w:rFonts w:ascii="Book Antiqua" w:hAnsi="Book Antiqua"/>
          <w:sz w:val="24"/>
          <w:szCs w:val="24"/>
        </w:rPr>
        <w:t>.</w:t>
      </w:r>
      <w:r w:rsidR="004B05CC" w:rsidRPr="00E531C0">
        <w:rPr>
          <w:rFonts w:ascii="Book Antiqua" w:hAnsi="Book Antiqua"/>
          <w:sz w:val="24"/>
          <w:szCs w:val="24"/>
        </w:rPr>
        <w:t xml:space="preserve"> Based on the results of our epidemiologic study, demonstrating that men are three times more susceptible to </w:t>
      </w:r>
      <w:proofErr w:type="spellStart"/>
      <w:r w:rsidR="004B05CC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4B05CC" w:rsidRPr="00E531C0">
        <w:rPr>
          <w:rFonts w:ascii="Book Antiqua" w:hAnsi="Book Antiqua"/>
          <w:sz w:val="24"/>
          <w:szCs w:val="24"/>
        </w:rPr>
        <w:t xml:space="preserve"> than women, and revealing that approximately 60% of the patients consumed alcohol, we consider sex (male) and alcohol consumption as</w:t>
      </w:r>
      <w:r w:rsidR="00C91D19" w:rsidRPr="00E531C0">
        <w:rPr>
          <w:rFonts w:ascii="Book Antiqua" w:hAnsi="Book Antiqua"/>
          <w:sz w:val="24"/>
          <w:szCs w:val="24"/>
        </w:rPr>
        <w:t xml:space="preserve"> risk factors for </w:t>
      </w:r>
      <w:proofErr w:type="spellStart"/>
      <w:r w:rsidR="00C91D19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C91D19" w:rsidRPr="00E531C0">
        <w:rPr>
          <w:rFonts w:ascii="Book Antiqua" w:hAnsi="Book Antiqua"/>
          <w:sz w:val="24"/>
          <w:szCs w:val="24"/>
        </w:rPr>
        <w:t>.</w:t>
      </w:r>
    </w:p>
    <w:p w:rsidR="005F6FC8" w:rsidRPr="00E531C0" w:rsidRDefault="004412A3" w:rsidP="00C91D19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The most commonly utilized serologic test for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is the detection</w:t>
      </w:r>
      <w:r w:rsidR="004B05CC" w:rsidRPr="00E531C0">
        <w:rPr>
          <w:rFonts w:ascii="Book Antiqua" w:hAnsi="Book Antiqua"/>
          <w:sz w:val="24"/>
          <w:szCs w:val="24"/>
        </w:rPr>
        <w:t xml:space="preserve"> of the serum IgG antibody to the </w:t>
      </w:r>
      <w:proofErr w:type="spellStart"/>
      <w:r w:rsidR="004B05CC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4B05CC" w:rsidRPr="00E531C0">
        <w:rPr>
          <w:rFonts w:ascii="Book Antiqua" w:hAnsi="Book Antiqua"/>
          <w:sz w:val="24"/>
          <w:szCs w:val="24"/>
        </w:rPr>
        <w:t xml:space="preserve"> excretory/secretory antigen (TES Ag) with a </w:t>
      </w:r>
      <w:proofErr w:type="spellStart"/>
      <w:r w:rsidR="004B05CC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4B05CC" w:rsidRPr="00E531C0">
        <w:rPr>
          <w:rFonts w:ascii="Book Antiqua" w:hAnsi="Book Antiqua"/>
          <w:sz w:val="24"/>
          <w:szCs w:val="24"/>
        </w:rPr>
        <w:t xml:space="preserve"> ELISA kit (</w:t>
      </w:r>
      <w:proofErr w:type="spellStart"/>
      <w:r w:rsidR="004B05CC" w:rsidRPr="00E531C0">
        <w:rPr>
          <w:rFonts w:ascii="Book Antiqua" w:hAnsi="Book Antiqua"/>
          <w:sz w:val="24"/>
          <w:szCs w:val="24"/>
        </w:rPr>
        <w:t>Bordier</w:t>
      </w:r>
      <w:proofErr w:type="spellEnd"/>
      <w:r w:rsidR="004B05CC" w:rsidRPr="00E531C0">
        <w:rPr>
          <w:rFonts w:ascii="Book Antiqua" w:hAnsi="Book Antiqua"/>
          <w:sz w:val="24"/>
          <w:szCs w:val="24"/>
        </w:rPr>
        <w:t xml:space="preserve"> Affinity Products, </w:t>
      </w:r>
      <w:proofErr w:type="spellStart"/>
      <w:r w:rsidR="004B05CC" w:rsidRPr="00E531C0">
        <w:rPr>
          <w:rFonts w:ascii="Book Antiqua" w:hAnsi="Book Antiqua"/>
          <w:sz w:val="24"/>
          <w:szCs w:val="24"/>
        </w:rPr>
        <w:t>Crissier</w:t>
      </w:r>
      <w:proofErr w:type="spellEnd"/>
      <w:r w:rsidR="004B05CC" w:rsidRPr="00E531C0">
        <w:rPr>
          <w:rFonts w:ascii="Book Antiqua" w:hAnsi="Book Antiqua"/>
          <w:sz w:val="24"/>
          <w:szCs w:val="24"/>
        </w:rPr>
        <w:t>, Switzerland)</w:t>
      </w:r>
      <w:r w:rsidR="00CA62B1" w:rsidRPr="00E531C0">
        <w:rPr>
          <w:rFonts w:ascii="Book Antiqua" w:hAnsi="Book Antiqua"/>
          <w:sz w:val="24"/>
          <w:szCs w:val="24"/>
          <w:vertAlign w:val="superscript"/>
        </w:rPr>
        <w:t>[15]</w:t>
      </w:r>
      <w:r w:rsidR="004B05CC" w:rsidRPr="00E531C0">
        <w:rPr>
          <w:rFonts w:ascii="Book Antiqua" w:hAnsi="Book Antiqua"/>
          <w:sz w:val="24"/>
          <w:szCs w:val="24"/>
        </w:rPr>
        <w:t>.</w:t>
      </w:r>
      <w:r w:rsidRPr="00E531C0">
        <w:rPr>
          <w:rFonts w:ascii="Book Antiqua" w:hAnsi="Book Antiqua"/>
          <w:sz w:val="24"/>
          <w:szCs w:val="24"/>
        </w:rPr>
        <w:t xml:space="preserve"> </w:t>
      </w:r>
      <w:r w:rsidR="008D71EA" w:rsidRPr="00E531C0">
        <w:rPr>
          <w:rFonts w:ascii="Book Antiqua" w:hAnsi="Book Antiqua"/>
          <w:sz w:val="24"/>
          <w:szCs w:val="24"/>
        </w:rPr>
        <w:t>E</w:t>
      </w:r>
      <w:r w:rsidR="004B05CC" w:rsidRPr="00E531C0">
        <w:rPr>
          <w:rFonts w:ascii="Book Antiqua" w:hAnsi="Book Antiqua"/>
          <w:sz w:val="24"/>
          <w:szCs w:val="24"/>
        </w:rPr>
        <w:t xml:space="preserve">osinophilia, elevated serum </w:t>
      </w:r>
      <w:proofErr w:type="spellStart"/>
      <w:r w:rsidR="004B05CC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4B05CC" w:rsidRPr="00E531C0">
        <w:rPr>
          <w:rFonts w:ascii="Book Antiqua" w:hAnsi="Book Antiqua"/>
          <w:sz w:val="24"/>
          <w:szCs w:val="24"/>
        </w:rPr>
        <w:t xml:space="preserve"> levels or increased eosinophil cationic protein </w:t>
      </w:r>
      <w:r w:rsidRPr="00E531C0">
        <w:rPr>
          <w:rFonts w:ascii="Book Antiqua" w:hAnsi="Book Antiqua"/>
          <w:sz w:val="24"/>
          <w:szCs w:val="24"/>
        </w:rPr>
        <w:t xml:space="preserve">is helpful </w:t>
      </w:r>
      <w:r w:rsidR="008D71EA" w:rsidRPr="00E531C0">
        <w:rPr>
          <w:rFonts w:ascii="Book Antiqua" w:hAnsi="Book Antiqua"/>
          <w:sz w:val="24"/>
          <w:szCs w:val="24"/>
        </w:rPr>
        <w:t>for</w:t>
      </w:r>
      <w:r w:rsidRPr="00E531C0">
        <w:rPr>
          <w:rFonts w:ascii="Book Antiqua" w:hAnsi="Book Antiqua"/>
          <w:sz w:val="24"/>
          <w:szCs w:val="24"/>
        </w:rPr>
        <w:t xml:space="preserve"> </w:t>
      </w:r>
      <w:r w:rsidR="00DE6F95" w:rsidRPr="00E531C0">
        <w:rPr>
          <w:rFonts w:ascii="Book Antiqua" w:hAnsi="Book Antiqua"/>
          <w:sz w:val="24"/>
          <w:szCs w:val="24"/>
        </w:rPr>
        <w:t xml:space="preserve">the diagnosis of </w:t>
      </w:r>
      <w:r w:rsidR="008D71EA" w:rsidRPr="00E531C0">
        <w:rPr>
          <w:rFonts w:ascii="Book Antiqua" w:hAnsi="Book Antiqua"/>
          <w:sz w:val="24"/>
          <w:szCs w:val="24"/>
        </w:rPr>
        <w:t xml:space="preserve">active </w:t>
      </w:r>
      <w:proofErr w:type="spellStart"/>
      <w:proofErr w:type="gramStart"/>
      <w:r w:rsidR="00DE6F95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CA62B1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A62B1" w:rsidRPr="00E531C0">
        <w:rPr>
          <w:rFonts w:ascii="Book Antiqua" w:hAnsi="Book Antiqua"/>
          <w:sz w:val="24"/>
          <w:szCs w:val="24"/>
          <w:vertAlign w:val="superscript"/>
        </w:rPr>
        <w:t>16-18]</w:t>
      </w:r>
      <w:r w:rsidR="00DE6F95" w:rsidRPr="00E531C0">
        <w:rPr>
          <w:rFonts w:ascii="Book Antiqua" w:hAnsi="Book Antiqua"/>
          <w:sz w:val="24"/>
          <w:szCs w:val="24"/>
        </w:rPr>
        <w:t xml:space="preserve">. Although the </w:t>
      </w:r>
      <w:proofErr w:type="spellStart"/>
      <w:r w:rsidR="00DE6F95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DE6F95" w:rsidRPr="00E531C0">
        <w:rPr>
          <w:rFonts w:ascii="Book Antiqua" w:hAnsi="Book Antiqua"/>
          <w:sz w:val="24"/>
          <w:szCs w:val="24"/>
        </w:rPr>
        <w:t xml:space="preserve"> ELISA test possesses high sensitivity and </w:t>
      </w:r>
      <w:proofErr w:type="gramStart"/>
      <w:r w:rsidR="00DE6F95" w:rsidRPr="00E531C0">
        <w:rPr>
          <w:rFonts w:ascii="Book Antiqua" w:hAnsi="Book Antiqua"/>
          <w:sz w:val="24"/>
          <w:szCs w:val="24"/>
        </w:rPr>
        <w:t>specificity</w:t>
      </w:r>
      <w:r w:rsidR="00CA62B1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A62B1" w:rsidRPr="00E531C0">
        <w:rPr>
          <w:rFonts w:ascii="Book Antiqua" w:hAnsi="Book Antiqua"/>
          <w:sz w:val="24"/>
          <w:szCs w:val="24"/>
          <w:vertAlign w:val="superscript"/>
        </w:rPr>
        <w:t>15]</w:t>
      </w:r>
      <w:r w:rsidR="00DE6F95" w:rsidRPr="00E531C0">
        <w:rPr>
          <w:rFonts w:ascii="Book Antiqua" w:hAnsi="Book Antiqua"/>
          <w:sz w:val="24"/>
          <w:szCs w:val="24"/>
        </w:rPr>
        <w:t>, the test cannot differentiate present from past infections</w:t>
      </w:r>
      <w:r w:rsidR="00CA62B1" w:rsidRPr="00E531C0">
        <w:rPr>
          <w:rFonts w:ascii="Book Antiqua" w:hAnsi="Book Antiqua"/>
          <w:sz w:val="24"/>
          <w:szCs w:val="24"/>
          <w:vertAlign w:val="superscript"/>
        </w:rPr>
        <w:t>[16]</w:t>
      </w:r>
      <w:r w:rsidR="00DE6F95" w:rsidRPr="00E531C0">
        <w:rPr>
          <w:rFonts w:ascii="Book Antiqua" w:hAnsi="Book Antiqua"/>
          <w:sz w:val="24"/>
          <w:szCs w:val="24"/>
        </w:rPr>
        <w:t xml:space="preserve"> and may produce cross-reactivity with other parasites such as </w:t>
      </w:r>
      <w:proofErr w:type="spellStart"/>
      <w:r w:rsidR="00DE6F95" w:rsidRPr="00E531C0">
        <w:rPr>
          <w:rFonts w:ascii="Book Antiqua" w:hAnsi="Book Antiqua"/>
          <w:i/>
          <w:sz w:val="24"/>
          <w:szCs w:val="24"/>
        </w:rPr>
        <w:t>Clonorchis</w:t>
      </w:r>
      <w:proofErr w:type="spellEnd"/>
      <w:r w:rsidR="00DE6F95"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E6F95" w:rsidRPr="00E531C0">
        <w:rPr>
          <w:rFonts w:ascii="Book Antiqua" w:hAnsi="Book Antiqua"/>
          <w:i/>
          <w:sz w:val="24"/>
          <w:szCs w:val="24"/>
        </w:rPr>
        <w:lastRenderedPageBreak/>
        <w:t>sinensis</w:t>
      </w:r>
      <w:proofErr w:type="spellEnd"/>
      <w:r w:rsidR="00DE6F95" w:rsidRPr="00E531C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E6F95" w:rsidRPr="00E531C0">
        <w:rPr>
          <w:rFonts w:ascii="Book Antiqua" w:hAnsi="Book Antiqua"/>
          <w:i/>
          <w:sz w:val="24"/>
          <w:szCs w:val="24"/>
        </w:rPr>
        <w:t>Sparganum</w:t>
      </w:r>
      <w:proofErr w:type="spellEnd"/>
      <w:r w:rsidR="00DE6F95" w:rsidRPr="00E531C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E6F95" w:rsidRPr="00E531C0">
        <w:rPr>
          <w:rFonts w:ascii="Book Antiqua" w:hAnsi="Book Antiqua"/>
          <w:i/>
          <w:sz w:val="24"/>
          <w:szCs w:val="24"/>
        </w:rPr>
        <w:t>Fasciola</w:t>
      </w:r>
      <w:proofErr w:type="spellEnd"/>
      <w:r w:rsidR="00DE6F95" w:rsidRPr="00E531C0">
        <w:rPr>
          <w:rFonts w:ascii="Book Antiqua" w:hAnsi="Book Antiqua"/>
          <w:i/>
          <w:sz w:val="24"/>
          <w:szCs w:val="24"/>
        </w:rPr>
        <w:t xml:space="preserve"> hepatica</w:t>
      </w:r>
      <w:r w:rsidR="00DE6F95" w:rsidRPr="00E531C0">
        <w:rPr>
          <w:rFonts w:ascii="Book Antiqua" w:hAnsi="Book Antiqua"/>
          <w:sz w:val="24"/>
          <w:szCs w:val="24"/>
        </w:rPr>
        <w:t xml:space="preserve">, and </w:t>
      </w:r>
      <w:proofErr w:type="spellStart"/>
      <w:r w:rsidR="00DE6F95" w:rsidRPr="00E531C0">
        <w:rPr>
          <w:rFonts w:ascii="Book Antiqua" w:hAnsi="Book Antiqua"/>
          <w:i/>
          <w:sz w:val="24"/>
          <w:szCs w:val="24"/>
        </w:rPr>
        <w:t>Paragonimus</w:t>
      </w:r>
      <w:proofErr w:type="spellEnd"/>
      <w:r w:rsidR="00DE6F95"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E6F95" w:rsidRPr="00E531C0">
        <w:rPr>
          <w:rFonts w:ascii="Book Antiqua" w:hAnsi="Book Antiqua"/>
          <w:i/>
          <w:sz w:val="24"/>
          <w:szCs w:val="24"/>
        </w:rPr>
        <w:t>westermani</w:t>
      </w:r>
      <w:proofErr w:type="spellEnd"/>
      <w:r w:rsidR="00CA62B1" w:rsidRPr="00E531C0">
        <w:rPr>
          <w:rFonts w:ascii="Book Antiqua" w:hAnsi="Book Antiqua"/>
          <w:sz w:val="24"/>
          <w:szCs w:val="24"/>
          <w:vertAlign w:val="superscript"/>
        </w:rPr>
        <w:t>[2]</w:t>
      </w:r>
      <w:r w:rsidR="00DE6F95" w:rsidRPr="00E531C0">
        <w:rPr>
          <w:rFonts w:ascii="Book Antiqua" w:hAnsi="Book Antiqua"/>
          <w:sz w:val="24"/>
          <w:szCs w:val="24"/>
        </w:rPr>
        <w:t>.</w:t>
      </w:r>
      <w:r w:rsidR="005C1D72" w:rsidRPr="00E531C0">
        <w:rPr>
          <w:rFonts w:ascii="Book Antiqua" w:hAnsi="Book Antiqua"/>
          <w:sz w:val="24"/>
          <w:szCs w:val="24"/>
        </w:rPr>
        <w:t xml:space="preserve"> </w:t>
      </w:r>
      <w:r w:rsidR="00DE6F95" w:rsidRPr="00E531C0">
        <w:rPr>
          <w:rFonts w:ascii="Book Antiqua" w:hAnsi="Book Antiqua"/>
          <w:sz w:val="24"/>
          <w:szCs w:val="24"/>
        </w:rPr>
        <w:t xml:space="preserve">Infected larva can penetrate the intestinal wall through vessels and invade various organs such as the liver, lung, muscle, eye, heart and central nervous system, </w:t>
      </w:r>
      <w:proofErr w:type="spellStart"/>
      <w:proofErr w:type="gramStart"/>
      <w:r w:rsidR="00DE6F95" w:rsidRPr="00E531C0">
        <w:rPr>
          <w:rFonts w:ascii="Book Antiqua" w:hAnsi="Book Antiqua"/>
          <w:i/>
          <w:sz w:val="24"/>
          <w:szCs w:val="24"/>
        </w:rPr>
        <w:t>etc</w:t>
      </w:r>
      <w:proofErr w:type="spellEnd"/>
      <w:r w:rsidR="00CA62B1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A62B1" w:rsidRPr="00E531C0">
        <w:rPr>
          <w:rFonts w:ascii="Book Antiqua" w:hAnsi="Book Antiqua"/>
          <w:sz w:val="24"/>
          <w:szCs w:val="24"/>
          <w:vertAlign w:val="superscript"/>
        </w:rPr>
        <w:t>19,20]</w:t>
      </w:r>
      <w:r w:rsidR="00DE6F95" w:rsidRPr="00E531C0">
        <w:rPr>
          <w:rFonts w:ascii="Book Antiqua" w:hAnsi="Book Antiqua"/>
          <w:sz w:val="24"/>
          <w:szCs w:val="24"/>
        </w:rPr>
        <w:t>. We investigated other organ</w:t>
      </w:r>
      <w:r w:rsidR="009B1EA4" w:rsidRPr="00E531C0">
        <w:rPr>
          <w:rFonts w:ascii="Book Antiqua" w:hAnsi="Book Antiqua"/>
          <w:sz w:val="24"/>
          <w:szCs w:val="24"/>
        </w:rPr>
        <w:t>(s)</w:t>
      </w:r>
      <w:r w:rsidR="00DE6F95" w:rsidRPr="00E531C0">
        <w:rPr>
          <w:rFonts w:ascii="Book Antiqua" w:hAnsi="Book Antiqua"/>
          <w:sz w:val="24"/>
          <w:szCs w:val="24"/>
        </w:rPr>
        <w:t xml:space="preserve"> involvement in 84 patients who had the IgG antibody for </w:t>
      </w:r>
      <w:proofErr w:type="spellStart"/>
      <w:r w:rsidR="00DE6F95"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="002D4716"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2D4716"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="00DE6F95" w:rsidRPr="00E531C0">
        <w:rPr>
          <w:rFonts w:ascii="Book Antiqua" w:hAnsi="Book Antiqua"/>
          <w:sz w:val="24"/>
          <w:szCs w:val="24"/>
        </w:rPr>
        <w:t xml:space="preserve">, and found the organs involved, displayed in order of frequency, </w:t>
      </w:r>
      <w:r w:rsidR="002D4716" w:rsidRPr="00E531C0">
        <w:rPr>
          <w:rFonts w:ascii="Book Antiqua" w:hAnsi="Book Antiqua"/>
          <w:sz w:val="24"/>
          <w:szCs w:val="24"/>
        </w:rPr>
        <w:t xml:space="preserve">were </w:t>
      </w:r>
      <w:r w:rsidR="00DE6F95" w:rsidRPr="00E531C0">
        <w:rPr>
          <w:rFonts w:ascii="Book Antiqua" w:hAnsi="Book Antiqua"/>
          <w:sz w:val="24"/>
          <w:szCs w:val="24"/>
        </w:rPr>
        <w:t xml:space="preserve">the liver (40.5%), lung (27.4%), eye (8.3%), skin (3.6%), muscle (1.2%), and brain (1.2%). Lung involvement occurred in 11.8% of patients with liver abscess (Table 1). This occurrence, therefore, creates the necessity of </w:t>
      </w:r>
      <w:r w:rsidR="009762A6" w:rsidRPr="00E531C0">
        <w:rPr>
          <w:rFonts w:ascii="Book Antiqua" w:hAnsi="Book Antiqua"/>
          <w:sz w:val="24"/>
          <w:szCs w:val="24"/>
        </w:rPr>
        <w:t xml:space="preserve">assessing the </w:t>
      </w:r>
      <w:r w:rsidR="00DE6F95" w:rsidRPr="00E531C0">
        <w:rPr>
          <w:rFonts w:ascii="Book Antiqua" w:hAnsi="Book Antiqua"/>
          <w:sz w:val="24"/>
          <w:szCs w:val="24"/>
        </w:rPr>
        <w:t xml:space="preserve">possibility of lung involvement in patients with liver abscess caused by </w:t>
      </w:r>
      <w:proofErr w:type="spellStart"/>
      <w:r w:rsidR="002D4716" w:rsidRPr="00E531C0">
        <w:rPr>
          <w:rFonts w:ascii="Book Antiqua" w:hAnsi="Book Antiqua"/>
          <w:sz w:val="24"/>
          <w:szCs w:val="24"/>
        </w:rPr>
        <w:t>t</w:t>
      </w:r>
      <w:r w:rsidR="00DE6F95" w:rsidRPr="00E531C0">
        <w:rPr>
          <w:rFonts w:ascii="Book Antiqua" w:hAnsi="Book Antiqua"/>
          <w:sz w:val="24"/>
          <w:szCs w:val="24"/>
        </w:rPr>
        <w:t>oxocariasis</w:t>
      </w:r>
      <w:proofErr w:type="spellEnd"/>
      <w:r w:rsidR="00DE6F95" w:rsidRPr="00E531C0">
        <w:rPr>
          <w:rFonts w:ascii="Book Antiqua" w:hAnsi="Book Antiqua"/>
          <w:sz w:val="24"/>
          <w:szCs w:val="24"/>
        </w:rPr>
        <w:t xml:space="preserve">. TES Ag secreted from the epicuticle of the moving </w:t>
      </w:r>
      <w:r w:rsidR="00E120C9" w:rsidRPr="00E531C0">
        <w:rPr>
          <w:rFonts w:ascii="Book Antiqua" w:hAnsi="Book Antiqua"/>
          <w:sz w:val="24"/>
          <w:szCs w:val="24"/>
        </w:rPr>
        <w:t xml:space="preserve">larva causes an immune reaction, which produces increased serum </w:t>
      </w:r>
      <w:proofErr w:type="spellStart"/>
      <w:r w:rsidR="00E120C9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E120C9" w:rsidRPr="00E531C0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E120C9" w:rsidRPr="00E531C0">
        <w:rPr>
          <w:rFonts w:ascii="Book Antiqua" w:hAnsi="Book Antiqua"/>
          <w:sz w:val="24"/>
          <w:szCs w:val="24"/>
        </w:rPr>
        <w:t>eosinophilia</w:t>
      </w:r>
      <w:r w:rsidR="00B516FA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516FA" w:rsidRPr="00E531C0">
        <w:rPr>
          <w:rFonts w:ascii="Book Antiqua" w:hAnsi="Book Antiqua"/>
          <w:sz w:val="24"/>
          <w:szCs w:val="24"/>
          <w:vertAlign w:val="superscript"/>
        </w:rPr>
        <w:t>21]</w:t>
      </w:r>
      <w:r w:rsidR="00E120C9" w:rsidRPr="00E531C0">
        <w:rPr>
          <w:rFonts w:ascii="Book Antiqua" w:hAnsi="Book Antiqua"/>
          <w:sz w:val="24"/>
          <w:szCs w:val="24"/>
        </w:rPr>
        <w:t xml:space="preserve">. Liver abscess, histologically described as eosinophilic abscess or granuloma, results from eosinophilic inflammation which develops when larva remain in the </w:t>
      </w:r>
      <w:proofErr w:type="gramStart"/>
      <w:r w:rsidR="00E120C9" w:rsidRPr="00E531C0">
        <w:rPr>
          <w:rFonts w:ascii="Book Antiqua" w:hAnsi="Book Antiqua"/>
          <w:sz w:val="24"/>
          <w:szCs w:val="24"/>
        </w:rPr>
        <w:t>liver</w:t>
      </w:r>
      <w:r w:rsidR="002E0796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E0796" w:rsidRPr="00E531C0">
        <w:rPr>
          <w:rFonts w:ascii="Book Antiqua" w:hAnsi="Book Antiqua"/>
          <w:sz w:val="24"/>
          <w:szCs w:val="24"/>
          <w:vertAlign w:val="superscript"/>
        </w:rPr>
        <w:t>22]</w:t>
      </w:r>
      <w:r w:rsidR="00E120C9" w:rsidRPr="00E531C0">
        <w:rPr>
          <w:rFonts w:ascii="Book Antiqua" w:hAnsi="Book Antiqua"/>
          <w:sz w:val="24"/>
          <w:szCs w:val="24"/>
        </w:rPr>
        <w:t xml:space="preserve">. </w:t>
      </w:r>
    </w:p>
    <w:p w:rsidR="00AF3B74" w:rsidRPr="00E531C0" w:rsidRDefault="005F6FC8" w:rsidP="003723FD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>Approximately 50% of patients were asymptomatic. A small number of patients</w:t>
      </w:r>
      <w:r w:rsidR="003E01F1" w:rsidRPr="00E531C0">
        <w:rPr>
          <w:rFonts w:ascii="Book Antiqua" w:hAnsi="Book Antiqua"/>
          <w:sz w:val="24"/>
          <w:szCs w:val="24"/>
        </w:rPr>
        <w:t xml:space="preserve"> had right upper quadrant pain, fever, and fatigue (Table 1). It remains impossible to rule out liver abscess in patients with </w:t>
      </w:r>
      <w:proofErr w:type="spellStart"/>
      <w:r w:rsidR="003E01F1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3E01F1" w:rsidRPr="00E531C0">
        <w:rPr>
          <w:rFonts w:ascii="Book Antiqua" w:hAnsi="Book Antiqua"/>
          <w:sz w:val="24"/>
          <w:szCs w:val="24"/>
        </w:rPr>
        <w:t xml:space="preserve"> using only symptom information. In contrast to patients with hepatic visceral larva </w:t>
      </w:r>
      <w:proofErr w:type="spellStart"/>
      <w:r w:rsidR="003E01F1" w:rsidRPr="00E531C0">
        <w:rPr>
          <w:rFonts w:ascii="Book Antiqua" w:hAnsi="Book Antiqua"/>
          <w:sz w:val="24"/>
          <w:szCs w:val="24"/>
        </w:rPr>
        <w:t>migrans</w:t>
      </w:r>
      <w:proofErr w:type="spellEnd"/>
      <w:r w:rsidR="003E01F1" w:rsidRPr="00E531C0">
        <w:rPr>
          <w:rFonts w:ascii="Book Antiqua" w:hAnsi="Book Antiqua"/>
          <w:sz w:val="24"/>
          <w:szCs w:val="24"/>
        </w:rPr>
        <w:t xml:space="preserve"> or liver abscess caused by </w:t>
      </w:r>
      <w:proofErr w:type="spellStart"/>
      <w:r w:rsidR="003E01F1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3E01F1" w:rsidRPr="00E531C0">
        <w:rPr>
          <w:rFonts w:ascii="Book Antiqua" w:hAnsi="Book Antiqua"/>
          <w:sz w:val="24"/>
          <w:szCs w:val="24"/>
        </w:rPr>
        <w:t xml:space="preserve">, approximately 90% of patients with pyogenic liver abscess have fever and approximately 70% have abdominal pain. The possibility of abscess caused by </w:t>
      </w:r>
      <w:proofErr w:type="spellStart"/>
      <w:r w:rsidR="003E01F1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3E01F1" w:rsidRPr="00E531C0">
        <w:rPr>
          <w:rFonts w:ascii="Book Antiqua" w:hAnsi="Book Antiqua"/>
          <w:sz w:val="24"/>
          <w:szCs w:val="24"/>
        </w:rPr>
        <w:t xml:space="preserve"> must be considered if liver abscess is inadvertently detected upon abdominal ultrasonography during routine medical exam</w:t>
      </w:r>
      <w:r w:rsidR="008B7A14" w:rsidRPr="00E531C0">
        <w:rPr>
          <w:rFonts w:ascii="Book Antiqua" w:hAnsi="Book Antiqua"/>
          <w:sz w:val="24"/>
          <w:szCs w:val="24"/>
        </w:rPr>
        <w:t>s</w:t>
      </w:r>
      <w:r w:rsidR="003E01F1" w:rsidRPr="00E531C0">
        <w:rPr>
          <w:rFonts w:ascii="Book Antiqua" w:hAnsi="Book Antiqua"/>
          <w:sz w:val="24"/>
          <w:szCs w:val="24"/>
        </w:rPr>
        <w:t xml:space="preserve">. CT </w:t>
      </w:r>
      <w:proofErr w:type="spellStart"/>
      <w:r w:rsidR="003E01F1" w:rsidRPr="00E531C0">
        <w:rPr>
          <w:rFonts w:ascii="Book Antiqua" w:hAnsi="Book Antiqua"/>
          <w:sz w:val="24"/>
          <w:szCs w:val="24"/>
        </w:rPr>
        <w:t>finidngs</w:t>
      </w:r>
      <w:proofErr w:type="spellEnd"/>
      <w:r w:rsidR="003E01F1" w:rsidRPr="00E531C0">
        <w:rPr>
          <w:rFonts w:ascii="Book Antiqua" w:hAnsi="Book Antiqua"/>
          <w:sz w:val="24"/>
          <w:szCs w:val="24"/>
        </w:rPr>
        <w:t xml:space="preserve"> of liver abscess caused by </w:t>
      </w:r>
      <w:proofErr w:type="spellStart"/>
      <w:r w:rsidR="003E01F1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3E01F1" w:rsidRPr="00E531C0">
        <w:rPr>
          <w:rFonts w:ascii="Book Antiqua" w:hAnsi="Book Antiqua"/>
          <w:sz w:val="24"/>
          <w:szCs w:val="24"/>
        </w:rPr>
        <w:t xml:space="preserve"> usually include lesions that measure approximately 1-1.5 cm in diameter; possess an oval shape, obscure margin, multiplicity, and </w:t>
      </w:r>
      <w:proofErr w:type="spellStart"/>
      <w:proofErr w:type="gramStart"/>
      <w:r w:rsidR="003E01F1" w:rsidRPr="00E531C0">
        <w:rPr>
          <w:rFonts w:ascii="Book Antiqua" w:hAnsi="Book Antiqua"/>
          <w:sz w:val="24"/>
          <w:szCs w:val="24"/>
        </w:rPr>
        <w:t>hypodensity</w:t>
      </w:r>
      <w:proofErr w:type="spellEnd"/>
      <w:r w:rsidR="00CA3BA3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A3BA3" w:rsidRPr="00E531C0">
        <w:rPr>
          <w:rFonts w:ascii="Book Antiqua" w:hAnsi="Book Antiqua"/>
          <w:sz w:val="24"/>
          <w:szCs w:val="24"/>
          <w:vertAlign w:val="superscript"/>
        </w:rPr>
        <w:t>3]</w:t>
      </w:r>
      <w:r w:rsidR="003E01F1" w:rsidRPr="00E531C0">
        <w:rPr>
          <w:rFonts w:ascii="Book Antiqua" w:hAnsi="Book Antiqua"/>
          <w:sz w:val="24"/>
          <w:szCs w:val="24"/>
        </w:rPr>
        <w:t xml:space="preserve">. In contrast to hepatocellular carcinoma, CT </w:t>
      </w:r>
      <w:bookmarkStart w:id="7" w:name="_GoBack"/>
      <w:proofErr w:type="spellStart"/>
      <w:r w:rsidR="003E01F1" w:rsidRPr="00E531C0">
        <w:rPr>
          <w:rFonts w:ascii="Book Antiqua" w:hAnsi="Book Antiqua"/>
          <w:sz w:val="24"/>
          <w:szCs w:val="24"/>
        </w:rPr>
        <w:t>finindgs</w:t>
      </w:r>
      <w:proofErr w:type="spellEnd"/>
      <w:r w:rsidR="003E01F1" w:rsidRPr="00E531C0">
        <w:rPr>
          <w:rFonts w:ascii="Book Antiqua" w:hAnsi="Book Antiqua"/>
          <w:sz w:val="24"/>
          <w:szCs w:val="24"/>
        </w:rPr>
        <w:t xml:space="preserve"> </w:t>
      </w:r>
      <w:bookmarkEnd w:id="7"/>
      <w:r w:rsidR="003E01F1" w:rsidRPr="00E531C0">
        <w:rPr>
          <w:rFonts w:ascii="Book Antiqua" w:hAnsi="Book Antiqua"/>
          <w:sz w:val="24"/>
          <w:szCs w:val="24"/>
        </w:rPr>
        <w:t xml:space="preserve">for liver abscess </w:t>
      </w:r>
      <w:r w:rsidR="002701A7" w:rsidRPr="00E531C0">
        <w:rPr>
          <w:rFonts w:ascii="Book Antiqua" w:hAnsi="Book Antiqua"/>
          <w:sz w:val="24"/>
          <w:szCs w:val="24"/>
        </w:rPr>
        <w:t xml:space="preserve">include </w:t>
      </w:r>
      <w:r w:rsidR="003E01F1" w:rsidRPr="00E531C0">
        <w:rPr>
          <w:rFonts w:ascii="Book Antiqua" w:hAnsi="Book Antiqua"/>
          <w:sz w:val="24"/>
          <w:szCs w:val="24"/>
        </w:rPr>
        <w:t xml:space="preserve">lesions that are regular, not round, and striking at portal venous </w:t>
      </w:r>
      <w:proofErr w:type="gramStart"/>
      <w:r w:rsidR="003E01F1" w:rsidRPr="00E531C0">
        <w:rPr>
          <w:rFonts w:ascii="Book Antiqua" w:hAnsi="Book Antiqua"/>
          <w:sz w:val="24"/>
          <w:szCs w:val="24"/>
        </w:rPr>
        <w:t>phase</w:t>
      </w:r>
      <w:r w:rsidR="002E2A82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E2A82" w:rsidRPr="00E531C0">
        <w:rPr>
          <w:rFonts w:ascii="Book Antiqua" w:hAnsi="Book Antiqua"/>
          <w:sz w:val="24"/>
          <w:szCs w:val="24"/>
          <w:vertAlign w:val="superscript"/>
        </w:rPr>
        <w:t>24]</w:t>
      </w:r>
      <w:r w:rsidR="003E01F1" w:rsidRPr="00E531C0">
        <w:rPr>
          <w:rFonts w:ascii="Book Antiqua" w:hAnsi="Book Antiqua"/>
          <w:sz w:val="24"/>
          <w:szCs w:val="24"/>
        </w:rPr>
        <w:t>. We</w:t>
      </w:r>
      <w:r w:rsidR="002701A7" w:rsidRPr="00E531C0">
        <w:rPr>
          <w:rFonts w:ascii="Book Antiqua" w:hAnsi="Book Antiqua"/>
          <w:sz w:val="24"/>
          <w:szCs w:val="24"/>
        </w:rPr>
        <w:t xml:space="preserve"> can confirm the CT findings cited in this study; however, one finding that differs from the previous </w:t>
      </w:r>
      <w:proofErr w:type="gramStart"/>
      <w:r w:rsidR="002701A7" w:rsidRPr="00E531C0">
        <w:rPr>
          <w:rFonts w:ascii="Book Antiqua" w:hAnsi="Book Antiqua"/>
          <w:sz w:val="24"/>
          <w:szCs w:val="24"/>
        </w:rPr>
        <w:t>study</w:t>
      </w:r>
      <w:r w:rsidR="00A94563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94563" w:rsidRPr="00E531C0">
        <w:rPr>
          <w:rFonts w:ascii="Book Antiqua" w:hAnsi="Book Antiqua"/>
          <w:sz w:val="24"/>
          <w:szCs w:val="24"/>
          <w:vertAlign w:val="superscript"/>
        </w:rPr>
        <w:t>2</w:t>
      </w:r>
      <w:r w:rsidR="002059B6" w:rsidRPr="00E531C0">
        <w:rPr>
          <w:rFonts w:ascii="Book Antiqua" w:eastAsia="宋体" w:hAnsi="Book Antiqua"/>
          <w:sz w:val="24"/>
          <w:szCs w:val="24"/>
          <w:vertAlign w:val="superscript"/>
          <w:lang w:eastAsia="zh-CN"/>
        </w:rPr>
        <w:t>3</w:t>
      </w:r>
      <w:r w:rsidR="00A94563" w:rsidRPr="00E531C0">
        <w:rPr>
          <w:rFonts w:ascii="Book Antiqua" w:hAnsi="Book Antiqua"/>
          <w:sz w:val="24"/>
          <w:szCs w:val="24"/>
          <w:vertAlign w:val="superscript"/>
        </w:rPr>
        <w:t>]</w:t>
      </w:r>
      <w:r w:rsidR="002701A7" w:rsidRPr="00E531C0">
        <w:rPr>
          <w:rFonts w:ascii="Book Antiqua" w:hAnsi="Book Antiqua"/>
          <w:sz w:val="24"/>
          <w:szCs w:val="24"/>
        </w:rPr>
        <w:t xml:space="preserve"> is that data from this study reveal that a relatively high number of patients with single abscess existed.</w:t>
      </w:r>
    </w:p>
    <w:p w:rsidR="00865F04" w:rsidRPr="00E531C0" w:rsidRDefault="009A6D20" w:rsidP="00227AC9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is a self-limiting disease; therefore, patients with mild symptoms do not necessarily require </w:t>
      </w:r>
      <w:proofErr w:type="gramStart"/>
      <w:r w:rsidRPr="00E531C0">
        <w:rPr>
          <w:rFonts w:ascii="Book Antiqua" w:hAnsi="Book Antiqua"/>
          <w:sz w:val="24"/>
          <w:szCs w:val="24"/>
        </w:rPr>
        <w:t>medication</w:t>
      </w:r>
      <w:r w:rsidR="00CB18EE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B18EE" w:rsidRPr="00E531C0">
        <w:rPr>
          <w:rFonts w:ascii="Book Antiqua" w:hAnsi="Book Antiqua"/>
          <w:sz w:val="24"/>
          <w:szCs w:val="24"/>
          <w:vertAlign w:val="superscript"/>
        </w:rPr>
        <w:t>2]</w:t>
      </w:r>
      <w:r w:rsidRPr="00E531C0">
        <w:rPr>
          <w:rFonts w:ascii="Book Antiqua" w:hAnsi="Book Antiqua"/>
          <w:sz w:val="24"/>
          <w:szCs w:val="24"/>
        </w:rPr>
        <w:t xml:space="preserve">. However, if patients have moderate or severe symptoms due to visceral larva </w:t>
      </w:r>
      <w:proofErr w:type="spellStart"/>
      <w:r w:rsidRPr="00E531C0">
        <w:rPr>
          <w:rFonts w:ascii="Book Antiqua" w:hAnsi="Book Antiqua"/>
          <w:sz w:val="24"/>
          <w:szCs w:val="24"/>
        </w:rPr>
        <w:t>migrans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, they should be treated with </w:t>
      </w:r>
      <w:proofErr w:type="spellStart"/>
      <w:proofErr w:type="gramStart"/>
      <w:r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CB18EE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B18EE" w:rsidRPr="00E531C0">
        <w:rPr>
          <w:rFonts w:ascii="Book Antiqua" w:hAnsi="Book Antiqua"/>
          <w:sz w:val="24"/>
          <w:szCs w:val="24"/>
          <w:vertAlign w:val="superscript"/>
        </w:rPr>
        <w:t>2</w:t>
      </w:r>
      <w:r w:rsidR="002059B6" w:rsidRPr="00E531C0">
        <w:rPr>
          <w:rFonts w:ascii="Book Antiqua" w:eastAsia="宋体" w:hAnsi="Book Antiqua"/>
          <w:sz w:val="24"/>
          <w:szCs w:val="24"/>
          <w:vertAlign w:val="superscript"/>
          <w:lang w:eastAsia="zh-CN"/>
        </w:rPr>
        <w:t>4</w:t>
      </w:r>
      <w:r w:rsidR="00CB18EE" w:rsidRPr="00E531C0">
        <w:rPr>
          <w:rFonts w:ascii="Book Antiqua" w:hAnsi="Book Antiqua"/>
          <w:sz w:val="24"/>
          <w:szCs w:val="24"/>
          <w:vertAlign w:val="superscript"/>
        </w:rPr>
        <w:t>]</w:t>
      </w:r>
      <w:r w:rsidRPr="00E531C0">
        <w:rPr>
          <w:rFonts w:ascii="Book Antiqua" w:hAnsi="Book Antiqua"/>
          <w:sz w:val="24"/>
          <w:szCs w:val="24"/>
        </w:rPr>
        <w:t xml:space="preserve">. </w:t>
      </w:r>
      <w:r w:rsidRPr="00E531C0">
        <w:rPr>
          <w:rFonts w:ascii="Book Antiqua" w:hAnsi="Book Antiqua"/>
          <w:sz w:val="24"/>
          <w:szCs w:val="24"/>
        </w:rPr>
        <w:lastRenderedPageBreak/>
        <w:t xml:space="preserve">Previous literature has recommended treating liver abscess regardless of symptom status because, compared with the control group, the </w:t>
      </w:r>
      <w:proofErr w:type="spellStart"/>
      <w:r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group demonstrated accelerated</w:t>
      </w:r>
      <w:r w:rsidR="00C76408" w:rsidRPr="00E531C0">
        <w:rPr>
          <w:rFonts w:ascii="Book Antiqua" w:hAnsi="Book Antiqua"/>
          <w:sz w:val="24"/>
          <w:szCs w:val="24"/>
        </w:rPr>
        <w:t xml:space="preserve"> liver abscess </w:t>
      </w:r>
      <w:proofErr w:type="gramStart"/>
      <w:r w:rsidR="00C76408" w:rsidRPr="00E531C0">
        <w:rPr>
          <w:rFonts w:ascii="Book Antiqua" w:hAnsi="Book Antiqua"/>
          <w:sz w:val="24"/>
          <w:szCs w:val="24"/>
        </w:rPr>
        <w:t>healing</w:t>
      </w:r>
      <w:r w:rsidR="0044473D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4473D" w:rsidRPr="00E531C0">
        <w:rPr>
          <w:rFonts w:ascii="Book Antiqua" w:hAnsi="Book Antiqua"/>
          <w:sz w:val="24"/>
          <w:szCs w:val="24"/>
          <w:vertAlign w:val="superscript"/>
        </w:rPr>
        <w:t>5]</w:t>
      </w:r>
      <w:r w:rsidR="00C76408" w:rsidRPr="00E531C0">
        <w:rPr>
          <w:rFonts w:ascii="Book Antiqua" w:hAnsi="Book Antiqua"/>
          <w:sz w:val="24"/>
          <w:szCs w:val="24"/>
        </w:rPr>
        <w:t xml:space="preserve">. Twenty-four of 25 patients who presented with eosinophilia and had been treated with </w:t>
      </w:r>
      <w:proofErr w:type="spellStart"/>
      <w:r w:rsidR="00C76408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C76408" w:rsidRPr="00E531C0">
        <w:rPr>
          <w:rFonts w:ascii="Book Antiqua" w:hAnsi="Book Antiqua"/>
          <w:sz w:val="24"/>
          <w:szCs w:val="24"/>
        </w:rPr>
        <w:t xml:space="preserve"> displayed decreased eosinophil counts. Fifteen of these patients (62.5%) had checked their eosinophil count within 1 </w:t>
      </w:r>
      <w:proofErr w:type="spellStart"/>
      <w:r w:rsidR="00C76408" w:rsidRPr="00E531C0">
        <w:rPr>
          <w:rFonts w:ascii="Book Antiqua" w:hAnsi="Book Antiqua"/>
          <w:sz w:val="24"/>
          <w:szCs w:val="24"/>
        </w:rPr>
        <w:t>mo</w:t>
      </w:r>
      <w:proofErr w:type="spellEnd"/>
      <w:r w:rsidR="00C76408" w:rsidRPr="00E531C0">
        <w:rPr>
          <w:rFonts w:ascii="Book Antiqua" w:hAnsi="Book Antiqua"/>
          <w:sz w:val="24"/>
          <w:szCs w:val="24"/>
        </w:rPr>
        <w:t xml:space="preserve"> posttreatment. All patients experienced decreased eosinophil counts. Previous literature has reported an eosinophilic response occurred 1 </w:t>
      </w:r>
      <w:proofErr w:type="spellStart"/>
      <w:r w:rsidR="00C76408" w:rsidRPr="00E531C0">
        <w:rPr>
          <w:rFonts w:ascii="Book Antiqua" w:hAnsi="Book Antiqua"/>
          <w:sz w:val="24"/>
          <w:szCs w:val="24"/>
        </w:rPr>
        <w:t>mo</w:t>
      </w:r>
      <w:proofErr w:type="spellEnd"/>
      <w:r w:rsidR="00C76408" w:rsidRPr="00E531C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76408" w:rsidRPr="00E531C0">
        <w:rPr>
          <w:rFonts w:ascii="Book Antiqua" w:hAnsi="Book Antiqua"/>
          <w:sz w:val="24"/>
          <w:szCs w:val="24"/>
        </w:rPr>
        <w:t>posttreatment</w:t>
      </w:r>
      <w:r w:rsidR="008A573C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A573C" w:rsidRPr="00E531C0">
        <w:rPr>
          <w:rFonts w:ascii="Book Antiqua" w:hAnsi="Book Antiqua"/>
          <w:sz w:val="24"/>
          <w:szCs w:val="24"/>
          <w:vertAlign w:val="superscript"/>
        </w:rPr>
        <w:t>16]</w:t>
      </w:r>
      <w:r w:rsidR="00C76408" w:rsidRPr="00E531C0">
        <w:rPr>
          <w:rFonts w:ascii="Book Antiqua" w:hAnsi="Book Antiqua"/>
          <w:sz w:val="24"/>
          <w:szCs w:val="24"/>
        </w:rPr>
        <w:t xml:space="preserve">; </w:t>
      </w:r>
      <w:r w:rsidR="00A14102" w:rsidRPr="00E531C0">
        <w:rPr>
          <w:rFonts w:ascii="Book Antiqua" w:hAnsi="Book Antiqua"/>
          <w:sz w:val="24"/>
          <w:szCs w:val="24"/>
        </w:rPr>
        <w:t>t</w:t>
      </w:r>
      <w:r w:rsidR="00C76408" w:rsidRPr="00E531C0">
        <w:rPr>
          <w:rFonts w:ascii="Book Antiqua" w:hAnsi="Book Antiqua"/>
          <w:sz w:val="24"/>
          <w:szCs w:val="24"/>
        </w:rPr>
        <w:t xml:space="preserve">herefore, we concluded that the eosinophilic response </w:t>
      </w:r>
      <w:r w:rsidR="009D0C9C" w:rsidRPr="00E531C0">
        <w:rPr>
          <w:rFonts w:ascii="Book Antiqua" w:hAnsi="Book Antiqua"/>
          <w:sz w:val="24"/>
          <w:szCs w:val="24"/>
        </w:rPr>
        <w:t>cou</w:t>
      </w:r>
      <w:r w:rsidR="00C76408" w:rsidRPr="00E531C0">
        <w:rPr>
          <w:rFonts w:ascii="Book Antiqua" w:hAnsi="Book Antiqua"/>
          <w:sz w:val="24"/>
          <w:szCs w:val="24"/>
        </w:rPr>
        <w:t xml:space="preserve">ld be evaluated 1 </w:t>
      </w:r>
      <w:proofErr w:type="spellStart"/>
      <w:r w:rsidR="00C76408" w:rsidRPr="00E531C0">
        <w:rPr>
          <w:rFonts w:ascii="Book Antiqua" w:hAnsi="Book Antiqua"/>
          <w:sz w:val="24"/>
          <w:szCs w:val="24"/>
        </w:rPr>
        <w:t>mo</w:t>
      </w:r>
      <w:proofErr w:type="spellEnd"/>
      <w:r w:rsidR="00C76408" w:rsidRPr="00E531C0">
        <w:rPr>
          <w:rFonts w:ascii="Book Antiqua" w:hAnsi="Book Antiqua"/>
          <w:sz w:val="24"/>
          <w:szCs w:val="24"/>
        </w:rPr>
        <w:t xml:space="preserve"> posttreatment. In addition, if the eosinophilic count initially decreases, but continually increases during the posttreatment period, relapse or migration of lesions should be considered. Transien</w:t>
      </w:r>
      <w:r w:rsidR="00240D1E" w:rsidRPr="00E531C0">
        <w:rPr>
          <w:rFonts w:ascii="Book Antiqua" w:hAnsi="Book Antiqua"/>
          <w:sz w:val="24"/>
          <w:szCs w:val="24"/>
        </w:rPr>
        <w:t>t eosinophil count fluctuations</w:t>
      </w:r>
      <w:r w:rsidR="00C76408" w:rsidRPr="00E531C0">
        <w:rPr>
          <w:rFonts w:ascii="Book Antiqua" w:hAnsi="Book Antiqua"/>
          <w:sz w:val="24"/>
          <w:szCs w:val="24"/>
        </w:rPr>
        <w:t>, which can occur among eosinophilic response patients as observed in this study, must also be considered.</w:t>
      </w:r>
      <w:r w:rsidR="007A6278" w:rsidRPr="00E531C0">
        <w:rPr>
          <w:rFonts w:ascii="Book Antiqua" w:hAnsi="Book Antiqua"/>
          <w:sz w:val="24"/>
          <w:szCs w:val="24"/>
        </w:rPr>
        <w:t xml:space="preserve"> Abd</w:t>
      </w:r>
      <w:r w:rsidR="00A14102" w:rsidRPr="00E531C0">
        <w:rPr>
          <w:rFonts w:ascii="Book Antiqua" w:hAnsi="Book Antiqua"/>
          <w:sz w:val="24"/>
          <w:szCs w:val="24"/>
        </w:rPr>
        <w:t>ominal CT and repeat eosinophil</w:t>
      </w:r>
      <w:r w:rsidR="007A6278" w:rsidRPr="00E531C0">
        <w:rPr>
          <w:rFonts w:ascii="Book Antiqua" w:hAnsi="Book Antiqua"/>
          <w:sz w:val="24"/>
          <w:szCs w:val="24"/>
        </w:rPr>
        <w:t xml:space="preserve"> counts at follow-up can help distinguish relapse or migration from eosinophilic fluctuation. Repeat serum </w:t>
      </w:r>
      <w:proofErr w:type="spellStart"/>
      <w:r w:rsidR="007A6278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7A6278" w:rsidRPr="00E531C0">
        <w:rPr>
          <w:rFonts w:ascii="Book Antiqua" w:hAnsi="Book Antiqua"/>
          <w:sz w:val="24"/>
          <w:szCs w:val="24"/>
        </w:rPr>
        <w:t xml:space="preserve"> levels at follow-up provides an inadequate evaluation measurement of treatment response because serum </w:t>
      </w:r>
      <w:proofErr w:type="spellStart"/>
      <w:r w:rsidR="007A6278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7A6278" w:rsidRPr="00E531C0">
        <w:rPr>
          <w:rFonts w:ascii="Book Antiqua" w:hAnsi="Book Antiqua"/>
          <w:sz w:val="24"/>
          <w:szCs w:val="24"/>
        </w:rPr>
        <w:t xml:space="preserve"> responds </w:t>
      </w:r>
      <w:proofErr w:type="gramStart"/>
      <w:r w:rsidR="007A6278" w:rsidRPr="00E531C0">
        <w:rPr>
          <w:rFonts w:ascii="Book Antiqua" w:hAnsi="Book Antiqua"/>
          <w:sz w:val="24"/>
          <w:szCs w:val="24"/>
        </w:rPr>
        <w:t>unpredictably</w:t>
      </w:r>
      <w:r w:rsidR="008A573C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A573C" w:rsidRPr="00E531C0">
        <w:rPr>
          <w:rFonts w:ascii="Book Antiqua" w:hAnsi="Book Antiqua"/>
          <w:sz w:val="24"/>
          <w:szCs w:val="24"/>
          <w:vertAlign w:val="superscript"/>
        </w:rPr>
        <w:t>16]</w:t>
      </w:r>
      <w:r w:rsidR="007A6278" w:rsidRPr="00E531C0">
        <w:rPr>
          <w:rFonts w:ascii="Book Antiqua" w:hAnsi="Book Antiqua"/>
          <w:sz w:val="24"/>
          <w:szCs w:val="24"/>
        </w:rPr>
        <w:t xml:space="preserve">. CT follow-up was performed within 3 </w:t>
      </w:r>
      <w:proofErr w:type="spellStart"/>
      <w:proofErr w:type="gramStart"/>
      <w:r w:rsidR="007A6278" w:rsidRPr="00E531C0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7A6278" w:rsidRPr="00E531C0">
        <w:rPr>
          <w:rFonts w:ascii="Book Antiqua" w:hAnsi="Book Antiqua"/>
          <w:sz w:val="24"/>
          <w:szCs w:val="24"/>
        </w:rPr>
        <w:t xml:space="preserve"> for 68.2% of patients and liver abscess disappeared in all of them.</w:t>
      </w:r>
      <w:r w:rsidR="00E26D85" w:rsidRPr="00E531C0">
        <w:rPr>
          <w:rFonts w:ascii="Book Antiqua" w:hAnsi="Book Antiqua"/>
          <w:sz w:val="24"/>
          <w:szCs w:val="24"/>
        </w:rPr>
        <w:t xml:space="preserve"> We therefore concluded that CT scan results </w:t>
      </w:r>
      <w:r w:rsidR="009D0C9C" w:rsidRPr="00E531C0">
        <w:rPr>
          <w:rFonts w:ascii="Book Antiqua" w:hAnsi="Book Antiqua"/>
          <w:sz w:val="24"/>
          <w:szCs w:val="24"/>
        </w:rPr>
        <w:t>c</w:t>
      </w:r>
      <w:r w:rsidR="00E26D85" w:rsidRPr="00E531C0">
        <w:rPr>
          <w:rFonts w:ascii="Book Antiqua" w:hAnsi="Book Antiqua"/>
          <w:sz w:val="24"/>
          <w:szCs w:val="24"/>
        </w:rPr>
        <w:t xml:space="preserve">ould be evaluated 3 </w:t>
      </w:r>
      <w:proofErr w:type="spellStart"/>
      <w:proofErr w:type="gramStart"/>
      <w:r w:rsidR="00E26D85" w:rsidRPr="00E531C0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E26D85" w:rsidRPr="00E531C0">
        <w:rPr>
          <w:rFonts w:ascii="Book Antiqua" w:hAnsi="Book Antiqua"/>
          <w:sz w:val="24"/>
          <w:szCs w:val="24"/>
        </w:rPr>
        <w:t xml:space="preserve"> posttreatment. We encountered relapse or migration of lesions in three patients at 4, 6, and 8 </w:t>
      </w:r>
      <w:proofErr w:type="spellStart"/>
      <w:r w:rsidR="00E26D85" w:rsidRPr="00E531C0">
        <w:rPr>
          <w:rFonts w:ascii="Book Antiqua" w:hAnsi="Book Antiqua"/>
          <w:sz w:val="24"/>
          <w:szCs w:val="24"/>
        </w:rPr>
        <w:t>mo</w:t>
      </w:r>
      <w:proofErr w:type="spellEnd"/>
      <w:r w:rsidR="00E26D85" w:rsidRPr="00E531C0">
        <w:rPr>
          <w:rFonts w:ascii="Book Antiqua" w:hAnsi="Book Antiqua"/>
          <w:sz w:val="24"/>
          <w:szCs w:val="24"/>
        </w:rPr>
        <w:t xml:space="preserve"> posttreatment. Eosinophilia developed in only one of these patients, while the other two experienced continuously decreasing eosinophil levels despite relapse or migration of lesions. Two of these three patients were </w:t>
      </w:r>
      <w:r w:rsidR="00F814D9" w:rsidRPr="00E531C0">
        <w:rPr>
          <w:rFonts w:ascii="Book Antiqua" w:hAnsi="Book Antiqua"/>
          <w:sz w:val="24"/>
          <w:szCs w:val="24"/>
        </w:rPr>
        <w:t>re</w:t>
      </w:r>
      <w:r w:rsidR="00E26D85" w:rsidRPr="00E531C0">
        <w:rPr>
          <w:rFonts w:ascii="Book Antiqua" w:hAnsi="Book Antiqua"/>
          <w:sz w:val="24"/>
          <w:szCs w:val="24"/>
        </w:rPr>
        <w:t xml:space="preserve">treated with </w:t>
      </w:r>
      <w:proofErr w:type="spellStart"/>
      <w:r w:rsidR="00E26D85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E26D85" w:rsidRPr="00E531C0">
        <w:rPr>
          <w:rFonts w:ascii="Book Antiqua" w:hAnsi="Book Antiqua"/>
          <w:sz w:val="24"/>
          <w:szCs w:val="24"/>
        </w:rPr>
        <w:t>, while the other was only observed. Subsequently, all lesions of all three patients disappeared.</w:t>
      </w:r>
      <w:r w:rsidR="003C4ADF" w:rsidRPr="00E531C0">
        <w:rPr>
          <w:rFonts w:ascii="Book Antiqua" w:hAnsi="Book Antiqua"/>
          <w:sz w:val="24"/>
          <w:szCs w:val="24"/>
        </w:rPr>
        <w:t xml:space="preserve"> If this phenomenon is observed posttreatment, the possibility of reinfection </w:t>
      </w:r>
      <w:r w:rsidR="008A573C" w:rsidRPr="00E531C0">
        <w:rPr>
          <w:rFonts w:ascii="Book Antiqua" w:hAnsi="Book Antiqua"/>
          <w:sz w:val="24"/>
          <w:szCs w:val="24"/>
        </w:rPr>
        <w:t xml:space="preserve">also </w:t>
      </w:r>
      <w:r w:rsidR="003C4ADF" w:rsidRPr="00E531C0">
        <w:rPr>
          <w:rFonts w:ascii="Book Antiqua" w:hAnsi="Book Antiqua"/>
          <w:sz w:val="24"/>
          <w:szCs w:val="24"/>
        </w:rPr>
        <w:t xml:space="preserve">needs to be considered. No evidence exists confirming that patients who are experiencing relapse or migration of liver abscess, regardless of </w:t>
      </w:r>
      <w:r w:rsidR="00FD2A06" w:rsidRPr="00E531C0">
        <w:rPr>
          <w:rFonts w:ascii="Book Antiqua" w:hAnsi="Book Antiqua"/>
          <w:sz w:val="24"/>
          <w:szCs w:val="24"/>
        </w:rPr>
        <w:t xml:space="preserve">clinical symptoms or eosinophilia, should be retreated with </w:t>
      </w:r>
      <w:proofErr w:type="spellStart"/>
      <w:r w:rsidR="00FD2A06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FD2A06" w:rsidRPr="00E531C0">
        <w:rPr>
          <w:rFonts w:ascii="Book Antiqua" w:hAnsi="Book Antiqua"/>
          <w:sz w:val="24"/>
          <w:szCs w:val="24"/>
        </w:rPr>
        <w:t xml:space="preserve">. It is reasonable, however, to retreat relapsed or migrated lesions with </w:t>
      </w:r>
      <w:proofErr w:type="spellStart"/>
      <w:r w:rsidR="00FD2A06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FD2A06" w:rsidRPr="00E531C0">
        <w:rPr>
          <w:rFonts w:ascii="Book Antiqua" w:hAnsi="Book Antiqua"/>
          <w:sz w:val="24"/>
          <w:szCs w:val="24"/>
        </w:rPr>
        <w:t xml:space="preserve"> because </w:t>
      </w:r>
      <w:proofErr w:type="spellStart"/>
      <w:r w:rsidR="00FD2A06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FD2A06" w:rsidRPr="00E531C0">
        <w:rPr>
          <w:rFonts w:ascii="Book Antiqua" w:hAnsi="Book Antiqua"/>
          <w:sz w:val="24"/>
          <w:szCs w:val="24"/>
        </w:rPr>
        <w:t xml:space="preserve"> is inexpensive, easily available over the counter and has no significant side effects. Existence of </w:t>
      </w:r>
      <w:proofErr w:type="spellStart"/>
      <w:r w:rsidR="00FD2A06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FD2A06" w:rsidRPr="00E531C0">
        <w:rPr>
          <w:rFonts w:ascii="Book Antiqua" w:hAnsi="Book Antiqua"/>
          <w:sz w:val="24"/>
          <w:szCs w:val="24"/>
        </w:rPr>
        <w:t xml:space="preserve">-specific IgG antibody can persist for years after the disappearance of liver abscess. One study reported that the </w:t>
      </w:r>
      <w:r w:rsidR="00FD2A06" w:rsidRPr="00E531C0">
        <w:rPr>
          <w:rFonts w:ascii="Book Antiqua" w:hAnsi="Book Antiqua"/>
          <w:sz w:val="24"/>
          <w:szCs w:val="24"/>
        </w:rPr>
        <w:lastRenderedPageBreak/>
        <w:t xml:space="preserve">mean duration of IgG antibody existence in the body was 2.7 </w:t>
      </w:r>
      <w:proofErr w:type="gramStart"/>
      <w:r w:rsidR="00FD2A06" w:rsidRPr="00E531C0">
        <w:rPr>
          <w:rFonts w:ascii="Book Antiqua" w:hAnsi="Book Antiqua"/>
          <w:sz w:val="24"/>
          <w:szCs w:val="24"/>
        </w:rPr>
        <w:t>years</w:t>
      </w:r>
      <w:r w:rsidR="00792123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2123" w:rsidRPr="00E531C0">
        <w:rPr>
          <w:rFonts w:ascii="Book Antiqua" w:hAnsi="Book Antiqua"/>
          <w:sz w:val="24"/>
          <w:szCs w:val="24"/>
          <w:vertAlign w:val="superscript"/>
        </w:rPr>
        <w:t>2</w:t>
      </w:r>
      <w:r w:rsidR="002059B6" w:rsidRPr="00E531C0">
        <w:rPr>
          <w:rFonts w:ascii="Book Antiqua" w:eastAsia="宋体" w:hAnsi="Book Antiqua"/>
          <w:sz w:val="24"/>
          <w:szCs w:val="24"/>
          <w:vertAlign w:val="superscript"/>
          <w:lang w:eastAsia="zh-CN"/>
        </w:rPr>
        <w:t>5</w:t>
      </w:r>
      <w:r w:rsidR="00792123" w:rsidRPr="00E531C0">
        <w:rPr>
          <w:rFonts w:ascii="Book Antiqua" w:hAnsi="Book Antiqua"/>
          <w:sz w:val="24"/>
          <w:szCs w:val="24"/>
          <w:vertAlign w:val="superscript"/>
        </w:rPr>
        <w:t>]</w:t>
      </w:r>
      <w:r w:rsidR="00FD2A06" w:rsidRPr="00E531C0">
        <w:rPr>
          <w:rFonts w:ascii="Book Antiqua" w:hAnsi="Book Antiqua"/>
          <w:sz w:val="24"/>
          <w:szCs w:val="24"/>
        </w:rPr>
        <w:t xml:space="preserve">. IgG antibody detection was conducted at 3, 9, 18, 24 </w:t>
      </w:r>
      <w:proofErr w:type="spellStart"/>
      <w:r w:rsidR="00FD2A06" w:rsidRPr="00E531C0">
        <w:rPr>
          <w:rFonts w:ascii="Book Antiqua" w:hAnsi="Book Antiqua"/>
          <w:sz w:val="24"/>
          <w:szCs w:val="24"/>
        </w:rPr>
        <w:t>mo</w:t>
      </w:r>
      <w:proofErr w:type="spellEnd"/>
      <w:r w:rsidR="00FD2A06" w:rsidRPr="00E531C0">
        <w:rPr>
          <w:rFonts w:ascii="Book Antiqua" w:hAnsi="Book Antiqua"/>
          <w:sz w:val="24"/>
          <w:szCs w:val="24"/>
        </w:rPr>
        <w:t xml:space="preserve"> and 5 years each in five patients from this study. All patients persistently displayed IgG antibody during the follow-up period, therefore, excluding detection of serum IgG antibody testing from the follow-up </w:t>
      </w:r>
      <w:proofErr w:type="gramStart"/>
      <w:r w:rsidR="00FD2A06" w:rsidRPr="00E531C0">
        <w:rPr>
          <w:rFonts w:ascii="Book Antiqua" w:hAnsi="Book Antiqua"/>
          <w:sz w:val="24"/>
          <w:szCs w:val="24"/>
        </w:rPr>
        <w:t>protocol</w:t>
      </w:r>
      <w:r w:rsidR="00792123" w:rsidRPr="00E531C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2123" w:rsidRPr="00E531C0">
        <w:rPr>
          <w:rFonts w:ascii="Book Antiqua" w:hAnsi="Book Antiqua"/>
          <w:sz w:val="24"/>
          <w:szCs w:val="24"/>
          <w:vertAlign w:val="superscript"/>
        </w:rPr>
        <w:t>16]</w:t>
      </w:r>
      <w:r w:rsidR="00FD2A06" w:rsidRPr="00E531C0">
        <w:rPr>
          <w:rFonts w:ascii="Book Antiqua" w:hAnsi="Book Antiqua"/>
          <w:sz w:val="24"/>
          <w:szCs w:val="24"/>
        </w:rPr>
        <w:t xml:space="preserve">. </w:t>
      </w:r>
    </w:p>
    <w:p w:rsidR="00865F04" w:rsidRPr="00E531C0" w:rsidRDefault="00865F04" w:rsidP="003F402B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>Th</w:t>
      </w:r>
      <w:r w:rsidR="00895EE8" w:rsidRPr="00E531C0">
        <w:rPr>
          <w:rFonts w:ascii="Book Antiqua" w:hAnsi="Book Antiqua"/>
          <w:sz w:val="24"/>
          <w:szCs w:val="24"/>
        </w:rPr>
        <w:t>e</w:t>
      </w:r>
      <w:r w:rsidRPr="00E531C0">
        <w:rPr>
          <w:rFonts w:ascii="Book Antiqua" w:hAnsi="Book Antiqua"/>
          <w:sz w:val="24"/>
          <w:szCs w:val="24"/>
        </w:rPr>
        <w:t xml:space="preserve"> study ha</w:t>
      </w:r>
      <w:r w:rsidR="00895EE8" w:rsidRPr="00E531C0">
        <w:rPr>
          <w:rFonts w:ascii="Book Antiqua" w:hAnsi="Book Antiqua"/>
          <w:sz w:val="24"/>
          <w:szCs w:val="24"/>
        </w:rPr>
        <w:t>s</w:t>
      </w:r>
      <w:r w:rsidRPr="00E531C0">
        <w:rPr>
          <w:rFonts w:ascii="Book Antiqua" w:hAnsi="Book Antiqua"/>
          <w:sz w:val="24"/>
          <w:szCs w:val="24"/>
        </w:rPr>
        <w:t xml:space="preserve"> limit</w:t>
      </w:r>
      <w:r w:rsidR="00895EE8" w:rsidRPr="00E531C0">
        <w:rPr>
          <w:rFonts w:ascii="Book Antiqua" w:hAnsi="Book Antiqua"/>
          <w:sz w:val="24"/>
          <w:szCs w:val="24"/>
        </w:rPr>
        <w:t>at</w:t>
      </w:r>
      <w:r w:rsidRPr="00E531C0">
        <w:rPr>
          <w:rFonts w:ascii="Book Antiqua" w:hAnsi="Book Antiqua"/>
          <w:sz w:val="24"/>
          <w:szCs w:val="24"/>
        </w:rPr>
        <w:t>ions as a</w:t>
      </w:r>
      <w:r w:rsidRPr="00E531C0">
        <w:rPr>
          <w:rFonts w:ascii="Book Antiqua" w:hAnsi="Book Antiqua" w:cs="Garamond"/>
          <w:kern w:val="0"/>
          <w:sz w:val="24"/>
          <w:szCs w:val="24"/>
        </w:rPr>
        <w:t xml:space="preserve"> retrospective study, </w:t>
      </w:r>
      <w:r w:rsidR="006246D0" w:rsidRPr="00E531C0">
        <w:rPr>
          <w:rFonts w:ascii="Book Antiqua" w:hAnsi="Book Antiqua" w:cs="Garamond"/>
          <w:kern w:val="0"/>
          <w:sz w:val="24"/>
          <w:szCs w:val="24"/>
        </w:rPr>
        <w:t>so</w:t>
      </w:r>
      <w:r w:rsidRPr="00E531C0">
        <w:rPr>
          <w:rFonts w:ascii="Book Antiqua" w:hAnsi="Book Antiqua" w:cs="Garamond"/>
          <w:kern w:val="0"/>
          <w:sz w:val="24"/>
          <w:szCs w:val="24"/>
        </w:rPr>
        <w:t xml:space="preserve"> our </w:t>
      </w:r>
      <w:r w:rsidRPr="00E531C0">
        <w:rPr>
          <w:rFonts w:ascii="Book Antiqua" w:hAnsi="Book Antiqua"/>
          <w:sz w:val="24"/>
          <w:szCs w:val="24"/>
        </w:rPr>
        <w:t>recommendations about the evaluation measurement of treatment response are based on the literature data and not on the results of th</w:t>
      </w:r>
      <w:r w:rsidR="00895EE8" w:rsidRPr="00E531C0">
        <w:rPr>
          <w:rFonts w:ascii="Book Antiqua" w:hAnsi="Book Antiqua"/>
          <w:sz w:val="24"/>
          <w:szCs w:val="24"/>
        </w:rPr>
        <w:t>is</w:t>
      </w:r>
      <w:r w:rsidRPr="00E531C0">
        <w:rPr>
          <w:rFonts w:ascii="Book Antiqua" w:hAnsi="Book Antiqua"/>
          <w:sz w:val="24"/>
          <w:szCs w:val="24"/>
        </w:rPr>
        <w:t xml:space="preserve"> study.</w:t>
      </w:r>
    </w:p>
    <w:p w:rsidR="00FD2A06" w:rsidRPr="00E531C0" w:rsidRDefault="00674844" w:rsidP="00F11CBE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is a disease resulting from the ingestion of uncooked food, which causes an immune reaction in the liver. Patients can present with no specific symptom</w:t>
      </w:r>
      <w:r w:rsidR="004B5B50" w:rsidRPr="00E531C0">
        <w:rPr>
          <w:rFonts w:ascii="Book Antiqua" w:hAnsi="Book Antiqua"/>
          <w:sz w:val="24"/>
          <w:szCs w:val="24"/>
        </w:rPr>
        <w:t xml:space="preserve">s, eosinophilia, and/or increased levels of serum </w:t>
      </w:r>
      <w:proofErr w:type="spellStart"/>
      <w:r w:rsidR="004B5B50" w:rsidRPr="00E531C0">
        <w:rPr>
          <w:rFonts w:ascii="Book Antiqua" w:hAnsi="Book Antiqua"/>
          <w:sz w:val="24"/>
          <w:szCs w:val="24"/>
        </w:rPr>
        <w:t>IgE</w:t>
      </w:r>
      <w:proofErr w:type="spellEnd"/>
      <w:r w:rsidR="004B5B50" w:rsidRPr="00E531C0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4B5B50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4B5B50" w:rsidRPr="00E531C0">
        <w:rPr>
          <w:rFonts w:ascii="Book Antiqua" w:hAnsi="Book Antiqua"/>
          <w:sz w:val="24"/>
          <w:szCs w:val="24"/>
        </w:rPr>
        <w:t xml:space="preserve"> has characteristic radiologic findings and may involve other organs such as the lung. Treatment of </w:t>
      </w:r>
      <w:proofErr w:type="spellStart"/>
      <w:r w:rsidR="004B5B50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4B5B50" w:rsidRPr="00E531C0">
        <w:rPr>
          <w:rFonts w:ascii="Book Antiqua" w:hAnsi="Book Antiqua"/>
          <w:sz w:val="24"/>
          <w:szCs w:val="24"/>
        </w:rPr>
        <w:t xml:space="preserve"> consists of taking </w:t>
      </w:r>
      <w:proofErr w:type="spellStart"/>
      <w:r w:rsidR="004B5B50" w:rsidRPr="00E531C0">
        <w:rPr>
          <w:rFonts w:ascii="Book Antiqua" w:hAnsi="Book Antiqua"/>
          <w:sz w:val="24"/>
          <w:szCs w:val="24"/>
        </w:rPr>
        <w:t>albendazole</w:t>
      </w:r>
      <w:proofErr w:type="spellEnd"/>
      <w:r w:rsidR="004B5B50" w:rsidRPr="00E531C0">
        <w:rPr>
          <w:rFonts w:ascii="Book Antiqua" w:hAnsi="Book Antiqua"/>
          <w:sz w:val="24"/>
          <w:szCs w:val="24"/>
        </w:rPr>
        <w:t xml:space="preserve"> for 5 d. After treatment, the eosinophil count starts to decrease within 1 </w:t>
      </w:r>
      <w:proofErr w:type="spellStart"/>
      <w:r w:rsidR="004B5B50" w:rsidRPr="00E531C0">
        <w:rPr>
          <w:rFonts w:ascii="Book Antiqua" w:hAnsi="Book Antiqua"/>
          <w:sz w:val="24"/>
          <w:szCs w:val="24"/>
        </w:rPr>
        <w:t>mo</w:t>
      </w:r>
      <w:proofErr w:type="spellEnd"/>
      <w:r w:rsidR="004B5B50" w:rsidRPr="00E531C0">
        <w:rPr>
          <w:rFonts w:ascii="Book Antiqua" w:hAnsi="Book Antiqua"/>
          <w:sz w:val="24"/>
          <w:szCs w:val="24"/>
        </w:rPr>
        <w:t xml:space="preserve"> and the abscess begins to disappear within 3 </w:t>
      </w:r>
      <w:proofErr w:type="spellStart"/>
      <w:proofErr w:type="gramStart"/>
      <w:r w:rsidR="004B5B50" w:rsidRPr="00E531C0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4B5B50" w:rsidRPr="00E531C0">
        <w:rPr>
          <w:rFonts w:ascii="Book Antiqua" w:hAnsi="Book Antiqua"/>
          <w:sz w:val="24"/>
          <w:szCs w:val="24"/>
        </w:rPr>
        <w:t xml:space="preserve"> as displayed on CT scan. Complete disappearance of liver abscess can occur after 1 year. Even if a few patients experience relapse or migration of abs</w:t>
      </w:r>
      <w:r w:rsidR="004970DD" w:rsidRPr="00E531C0">
        <w:rPr>
          <w:rFonts w:ascii="Book Antiqua" w:hAnsi="Book Antiqua"/>
          <w:sz w:val="24"/>
          <w:szCs w:val="24"/>
        </w:rPr>
        <w:t>cess posttreatment, a good prog</w:t>
      </w:r>
      <w:r w:rsidR="004B5B50" w:rsidRPr="00E531C0">
        <w:rPr>
          <w:rFonts w:ascii="Book Antiqua" w:hAnsi="Book Antiqua"/>
          <w:sz w:val="24"/>
          <w:szCs w:val="24"/>
        </w:rPr>
        <w:t>nosis exists for the overall clinical course of this disease.</w:t>
      </w:r>
    </w:p>
    <w:p w:rsidR="00900EA9" w:rsidRPr="00397A31" w:rsidRDefault="00900EA9">
      <w:pPr>
        <w:widowControl/>
        <w:wordWrap/>
        <w:autoSpaceDE/>
        <w:autoSpaceDN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F82F1B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531C0">
        <w:rPr>
          <w:rFonts w:ascii="Book Antiqua" w:hAnsi="Book Antiqua"/>
          <w:b/>
          <w:sz w:val="24"/>
          <w:szCs w:val="24"/>
        </w:rPr>
        <w:t>COMMENTS</w:t>
      </w:r>
    </w:p>
    <w:p w:rsidR="00F82F1B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531C0">
        <w:rPr>
          <w:rFonts w:ascii="Book Antiqua" w:hAnsi="Book Antiqua"/>
          <w:b/>
          <w:i/>
          <w:sz w:val="24"/>
          <w:szCs w:val="24"/>
        </w:rPr>
        <w:t>Background</w:t>
      </w:r>
    </w:p>
    <w:p w:rsidR="00FD319F" w:rsidRPr="00E531C0" w:rsidRDefault="00FD319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is a parasitic infection caused by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canis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531C0">
        <w:rPr>
          <w:rFonts w:ascii="Book Antiqua" w:hAnsi="Book Antiqua"/>
          <w:i/>
          <w:sz w:val="24"/>
          <w:szCs w:val="24"/>
        </w:rPr>
        <w:t>cati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. It is known as a main cause of eosinophilia. </w:t>
      </w:r>
      <w:r w:rsidR="00A82C2F" w:rsidRPr="00E531C0">
        <w:rPr>
          <w:rFonts w:ascii="Book Antiqua" w:hAnsi="Book Antiqua"/>
          <w:sz w:val="24"/>
          <w:szCs w:val="24"/>
        </w:rPr>
        <w:t xml:space="preserve">Clinical manifestations of </w:t>
      </w:r>
      <w:proofErr w:type="spellStart"/>
      <w:r w:rsidR="00A82C2F"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A82C2F" w:rsidRPr="00E531C0">
        <w:rPr>
          <w:rFonts w:ascii="Book Antiqua" w:hAnsi="Book Antiqua"/>
          <w:sz w:val="24"/>
          <w:szCs w:val="24"/>
        </w:rPr>
        <w:t xml:space="preserve"> range from asymptomatic infection to involvement of various organs. </w:t>
      </w:r>
      <w:r w:rsidRPr="00E531C0">
        <w:rPr>
          <w:rFonts w:ascii="Book Antiqua" w:hAnsi="Book Antiqua"/>
          <w:sz w:val="24"/>
          <w:szCs w:val="24"/>
        </w:rPr>
        <w:t xml:space="preserve">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can occasionally be detected as an abnormal finding at ultrasonography screening and therefore be misdiagnosed as a malignancy in patients with chronic liver disease or a history of other cancer(s). </w:t>
      </w:r>
      <w:r w:rsidR="00397A31">
        <w:rPr>
          <w:rFonts w:ascii="Book Antiqua" w:eastAsia="宋体" w:hAnsi="Book Antiqua" w:hint="eastAsia"/>
          <w:sz w:val="24"/>
          <w:szCs w:val="24"/>
          <w:lang w:eastAsia="zh-CN"/>
        </w:rPr>
        <w:t>The authors</w:t>
      </w:r>
      <w:r w:rsidR="00A82C2F" w:rsidRPr="00E531C0">
        <w:rPr>
          <w:rFonts w:ascii="Book Antiqua" w:hAnsi="Book Antiqua"/>
          <w:sz w:val="24"/>
          <w:szCs w:val="24"/>
        </w:rPr>
        <w:t xml:space="preserve"> evaluated the clinical characteristics and progression of liver abscess caused by </w:t>
      </w:r>
      <w:proofErr w:type="spellStart"/>
      <w:r w:rsidR="00A82C2F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A82C2F" w:rsidRPr="00E531C0">
        <w:rPr>
          <w:rFonts w:ascii="Book Antiqua" w:hAnsi="Book Antiqua"/>
          <w:sz w:val="24"/>
          <w:szCs w:val="24"/>
        </w:rPr>
        <w:t>.</w:t>
      </w:r>
    </w:p>
    <w:p w:rsidR="00FD319F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</w:p>
    <w:p w:rsidR="00FD319F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531C0">
        <w:rPr>
          <w:rFonts w:ascii="Book Antiqua" w:hAnsi="Book Antiqua"/>
          <w:b/>
          <w:i/>
          <w:sz w:val="24"/>
          <w:szCs w:val="24"/>
        </w:rPr>
        <w:t>Research frontiers</w:t>
      </w:r>
    </w:p>
    <w:p w:rsidR="00FD319F" w:rsidRPr="00E531C0" w:rsidRDefault="00A82C2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This study contributes to determining potential factors that may help improve </w:t>
      </w:r>
      <w:r w:rsidRPr="00E531C0">
        <w:rPr>
          <w:rFonts w:ascii="Book Antiqua" w:hAnsi="Book Antiqua"/>
          <w:sz w:val="24"/>
          <w:szCs w:val="24"/>
        </w:rPr>
        <w:lastRenderedPageBreak/>
        <w:t xml:space="preserve">diagnosis of 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>, as well as avoid unnecessary test</w:t>
      </w:r>
      <w:r w:rsidR="0024796A" w:rsidRPr="00E531C0">
        <w:rPr>
          <w:rFonts w:ascii="Book Antiqua" w:hAnsi="Book Antiqua"/>
          <w:sz w:val="24"/>
          <w:szCs w:val="24"/>
        </w:rPr>
        <w:t>ing</w:t>
      </w:r>
      <w:r w:rsidRPr="00E531C0">
        <w:rPr>
          <w:rFonts w:ascii="Book Antiqua" w:hAnsi="Book Antiqua"/>
          <w:sz w:val="24"/>
          <w:szCs w:val="24"/>
        </w:rPr>
        <w:t xml:space="preserve"> and improper treatment.</w:t>
      </w:r>
    </w:p>
    <w:p w:rsidR="00A82C2F" w:rsidRPr="00E531C0" w:rsidRDefault="00A82C2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</w:p>
    <w:p w:rsidR="00FD319F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531C0">
        <w:rPr>
          <w:rFonts w:ascii="Book Antiqua" w:hAnsi="Book Antiqua"/>
          <w:b/>
          <w:i/>
          <w:sz w:val="24"/>
          <w:szCs w:val="24"/>
        </w:rPr>
        <w:t>Innovations and breakthroughs</w:t>
      </w:r>
    </w:p>
    <w:p w:rsidR="001B4ADF" w:rsidRPr="00E531C0" w:rsidRDefault="003E6302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In this study, all patients </w:t>
      </w:r>
      <w:r w:rsidR="001B4ADF" w:rsidRPr="00E531C0">
        <w:rPr>
          <w:rFonts w:ascii="Book Antiqua" w:hAnsi="Book Antiqua"/>
          <w:sz w:val="24"/>
          <w:szCs w:val="24"/>
        </w:rPr>
        <w:t xml:space="preserve">(62.5%) </w:t>
      </w:r>
      <w:r w:rsidRPr="00E531C0">
        <w:rPr>
          <w:rFonts w:ascii="Book Antiqua" w:hAnsi="Book Antiqua"/>
          <w:sz w:val="24"/>
          <w:szCs w:val="24"/>
        </w:rPr>
        <w:t xml:space="preserve">who had checked their eosinophil count within 1 </w:t>
      </w:r>
      <w:proofErr w:type="spellStart"/>
      <w:r w:rsidRPr="00E531C0">
        <w:rPr>
          <w:rFonts w:ascii="Book Antiqua" w:hAnsi="Book Antiqua"/>
          <w:sz w:val="24"/>
          <w:szCs w:val="24"/>
        </w:rPr>
        <w:t>mo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posttreatment experienced decreased eosinophil counts.</w:t>
      </w:r>
      <w:r w:rsidR="001B4ADF" w:rsidRPr="00E531C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B4ADF" w:rsidRPr="00E531C0">
        <w:rPr>
          <w:rFonts w:ascii="Book Antiqua" w:hAnsi="Book Antiqua"/>
          <w:sz w:val="24"/>
          <w:szCs w:val="24"/>
        </w:rPr>
        <w:t xml:space="preserve">And all patients (68.2%) who had checked CT follow-up within 3 </w:t>
      </w:r>
      <w:proofErr w:type="spellStart"/>
      <w:r w:rsidR="001B4ADF" w:rsidRPr="00E531C0">
        <w:rPr>
          <w:rFonts w:ascii="Book Antiqua" w:hAnsi="Book Antiqua"/>
          <w:sz w:val="24"/>
          <w:szCs w:val="24"/>
        </w:rPr>
        <w:t>mo</w:t>
      </w:r>
      <w:proofErr w:type="spellEnd"/>
      <w:r w:rsidR="001B4ADF" w:rsidRPr="00E531C0">
        <w:rPr>
          <w:rFonts w:ascii="Book Antiqua" w:hAnsi="Book Antiqua"/>
          <w:sz w:val="24"/>
          <w:szCs w:val="24"/>
        </w:rPr>
        <w:t xml:space="preserve"> posttreatment experienced disappearance of liver abscess.</w:t>
      </w:r>
      <w:proofErr w:type="gramEnd"/>
      <w:r w:rsidR="001B4ADF" w:rsidRPr="00E531C0">
        <w:rPr>
          <w:rFonts w:ascii="Book Antiqua" w:hAnsi="Book Antiqua"/>
          <w:sz w:val="24"/>
          <w:szCs w:val="24"/>
        </w:rPr>
        <w:t xml:space="preserve"> </w:t>
      </w:r>
      <w:r w:rsidRPr="00E531C0">
        <w:rPr>
          <w:rFonts w:ascii="Book Antiqua" w:hAnsi="Book Antiqua"/>
          <w:sz w:val="24"/>
          <w:szCs w:val="24"/>
        </w:rPr>
        <w:t xml:space="preserve">Therefore, we concluded that the eosinophilic response could be evaluated 1 </w:t>
      </w:r>
      <w:proofErr w:type="spellStart"/>
      <w:r w:rsidRPr="00E531C0">
        <w:rPr>
          <w:rFonts w:ascii="Book Antiqua" w:hAnsi="Book Antiqua"/>
          <w:sz w:val="24"/>
          <w:szCs w:val="24"/>
        </w:rPr>
        <w:t>mo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posttreatment</w:t>
      </w:r>
      <w:r w:rsidR="001B4ADF" w:rsidRPr="00E531C0">
        <w:rPr>
          <w:rFonts w:ascii="Book Antiqua" w:hAnsi="Book Antiqua"/>
          <w:sz w:val="24"/>
          <w:szCs w:val="24"/>
        </w:rPr>
        <w:t xml:space="preserve"> and CT scan could be evaluated 3 </w:t>
      </w:r>
      <w:proofErr w:type="spellStart"/>
      <w:proofErr w:type="gramStart"/>
      <w:r w:rsidR="001B4ADF" w:rsidRPr="00E531C0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1B4ADF" w:rsidRPr="00E531C0">
        <w:rPr>
          <w:rFonts w:ascii="Book Antiqua" w:hAnsi="Book Antiqua"/>
          <w:sz w:val="24"/>
          <w:szCs w:val="24"/>
        </w:rPr>
        <w:t xml:space="preserve"> posttreatment.</w:t>
      </w:r>
    </w:p>
    <w:p w:rsidR="001B4ADF" w:rsidRPr="00E531C0" w:rsidRDefault="001B4ADF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F82F1B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531C0">
        <w:rPr>
          <w:rFonts w:ascii="Book Antiqua" w:hAnsi="Book Antiqua"/>
          <w:b/>
          <w:i/>
          <w:sz w:val="24"/>
          <w:szCs w:val="24"/>
        </w:rPr>
        <w:t>Applications</w:t>
      </w:r>
    </w:p>
    <w:p w:rsidR="002371C3" w:rsidRPr="00E531C0" w:rsidRDefault="00D346C4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Human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can clinically present as liver abscess. </w:t>
      </w:r>
      <w:r w:rsidR="002371C3" w:rsidRPr="00E531C0">
        <w:rPr>
          <w:rFonts w:ascii="Book Antiqua" w:hAnsi="Book Antiqua"/>
          <w:sz w:val="24"/>
          <w:szCs w:val="24"/>
        </w:rPr>
        <w:t xml:space="preserve">If a patient with a history of eating </w:t>
      </w:r>
      <w:r w:rsidR="006D0B60" w:rsidRPr="00E531C0">
        <w:rPr>
          <w:rFonts w:ascii="Book Antiqua" w:hAnsi="Book Antiqua"/>
          <w:sz w:val="24"/>
          <w:szCs w:val="24"/>
        </w:rPr>
        <w:t>raw meat or liver presents peripheral eosinophilia and abnormal liver imaging</w:t>
      </w:r>
      <w:r w:rsidR="002371C3" w:rsidRPr="00E531C0">
        <w:rPr>
          <w:rFonts w:ascii="Book Antiqua" w:hAnsi="Book Antiqua"/>
          <w:sz w:val="24"/>
          <w:szCs w:val="24"/>
        </w:rPr>
        <w:t xml:space="preserve">, </w:t>
      </w:r>
      <w:r w:rsidR="006D0B60" w:rsidRPr="00E531C0">
        <w:rPr>
          <w:rFonts w:ascii="Book Antiqua" w:hAnsi="Book Antiqua"/>
          <w:sz w:val="24"/>
          <w:szCs w:val="24"/>
        </w:rPr>
        <w:t xml:space="preserve">liver abscess caused by </w:t>
      </w:r>
      <w:proofErr w:type="spellStart"/>
      <w:r w:rsidR="002371C3"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="006D0B60" w:rsidRPr="00E531C0">
        <w:rPr>
          <w:rFonts w:ascii="Book Antiqua" w:hAnsi="Book Antiqua"/>
          <w:sz w:val="24"/>
          <w:szCs w:val="24"/>
        </w:rPr>
        <w:t xml:space="preserve"> should be considered</w:t>
      </w:r>
      <w:r w:rsidR="000D29F9" w:rsidRPr="00E531C0">
        <w:rPr>
          <w:rFonts w:ascii="Book Antiqua" w:hAnsi="Book Antiqua"/>
          <w:sz w:val="24"/>
          <w:szCs w:val="24"/>
        </w:rPr>
        <w:t xml:space="preserve"> for diagnosis</w:t>
      </w:r>
      <w:r w:rsidR="006D0B60" w:rsidRPr="00E531C0">
        <w:rPr>
          <w:rFonts w:ascii="Book Antiqua" w:hAnsi="Book Antiqua"/>
          <w:sz w:val="24"/>
          <w:szCs w:val="24"/>
        </w:rPr>
        <w:t>.</w:t>
      </w:r>
      <w:r w:rsidR="002371C3" w:rsidRPr="00E531C0">
        <w:rPr>
          <w:rFonts w:ascii="Book Antiqua" w:hAnsi="Book Antiqua"/>
          <w:sz w:val="24"/>
          <w:szCs w:val="24"/>
        </w:rPr>
        <w:t xml:space="preserve"> </w:t>
      </w:r>
    </w:p>
    <w:p w:rsidR="006D0B60" w:rsidRPr="00E531C0" w:rsidRDefault="006D0B60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FD319F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531C0">
        <w:rPr>
          <w:rFonts w:ascii="Book Antiqua" w:hAnsi="Book Antiqua"/>
          <w:b/>
          <w:i/>
          <w:sz w:val="24"/>
          <w:szCs w:val="24"/>
        </w:rPr>
        <w:t>Terminology</w:t>
      </w:r>
    </w:p>
    <w:p w:rsidR="006D0B60" w:rsidRPr="00E531C0" w:rsidRDefault="00B445DE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="006D0B60" w:rsidRPr="00E531C0">
        <w:rPr>
          <w:rFonts w:ascii="Book Antiqua" w:hAnsi="Book Antiqua"/>
          <w:sz w:val="24"/>
          <w:szCs w:val="24"/>
        </w:rPr>
        <w:t>: An infection transmitted from animals to humans caused by the parasitic roundworms commonly found in the intestine of dogs (</w:t>
      </w:r>
      <w:proofErr w:type="spellStart"/>
      <w:r w:rsidR="006D0B60" w:rsidRPr="00E531C0">
        <w:rPr>
          <w:rStyle w:val="Emphasis"/>
          <w:rFonts w:ascii="Book Antiqua" w:hAnsi="Book Antiqua"/>
          <w:sz w:val="24"/>
          <w:szCs w:val="24"/>
        </w:rPr>
        <w:t>Toxocara</w:t>
      </w:r>
      <w:proofErr w:type="spellEnd"/>
      <w:r w:rsidR="006D0B60" w:rsidRPr="00E531C0">
        <w:rPr>
          <w:rStyle w:val="Emphasis"/>
          <w:rFonts w:ascii="Book Antiqua" w:hAnsi="Book Antiqua"/>
          <w:sz w:val="24"/>
          <w:szCs w:val="24"/>
        </w:rPr>
        <w:t xml:space="preserve"> </w:t>
      </w:r>
      <w:proofErr w:type="spellStart"/>
      <w:r w:rsidR="006D0B60" w:rsidRPr="00E531C0">
        <w:rPr>
          <w:rStyle w:val="Emphasis"/>
          <w:rFonts w:ascii="Book Antiqua" w:hAnsi="Book Antiqua"/>
          <w:sz w:val="24"/>
          <w:szCs w:val="24"/>
        </w:rPr>
        <w:t>canis</w:t>
      </w:r>
      <w:proofErr w:type="spellEnd"/>
      <w:r w:rsidR="006D0B60" w:rsidRPr="00E531C0">
        <w:rPr>
          <w:rFonts w:ascii="Book Antiqua" w:hAnsi="Book Antiqua"/>
          <w:sz w:val="24"/>
          <w:szCs w:val="24"/>
        </w:rPr>
        <w:t>) and cats (</w:t>
      </w:r>
      <w:proofErr w:type="spellStart"/>
      <w:r w:rsidR="006D0B60" w:rsidRPr="00E531C0">
        <w:rPr>
          <w:rStyle w:val="Emphasis"/>
          <w:rFonts w:ascii="Book Antiqua" w:hAnsi="Book Antiqua"/>
          <w:sz w:val="24"/>
          <w:szCs w:val="24"/>
        </w:rPr>
        <w:t>T</w:t>
      </w:r>
      <w:r w:rsidRPr="00E531C0">
        <w:rPr>
          <w:rStyle w:val="Emphasis"/>
          <w:rFonts w:ascii="Book Antiqua" w:hAnsi="Book Antiqua"/>
          <w:sz w:val="24"/>
          <w:szCs w:val="24"/>
        </w:rPr>
        <w:t>oxocara</w:t>
      </w:r>
      <w:proofErr w:type="spellEnd"/>
      <w:r w:rsidR="006D0B60" w:rsidRPr="00E531C0">
        <w:rPr>
          <w:rStyle w:val="Emphasis"/>
          <w:rFonts w:ascii="Book Antiqua" w:hAnsi="Book Antiqua"/>
          <w:sz w:val="24"/>
          <w:szCs w:val="24"/>
        </w:rPr>
        <w:t xml:space="preserve"> </w:t>
      </w:r>
      <w:proofErr w:type="spellStart"/>
      <w:r w:rsidR="006D0B60" w:rsidRPr="00E531C0">
        <w:rPr>
          <w:rStyle w:val="Emphasis"/>
          <w:rFonts w:ascii="Book Antiqua" w:hAnsi="Book Antiqua"/>
          <w:sz w:val="24"/>
          <w:szCs w:val="24"/>
        </w:rPr>
        <w:t>cati</w:t>
      </w:r>
      <w:proofErr w:type="spellEnd"/>
      <w:r w:rsidR="006D0B60" w:rsidRPr="00E531C0">
        <w:rPr>
          <w:rFonts w:ascii="Book Antiqua" w:hAnsi="Book Antiqua"/>
          <w:sz w:val="24"/>
          <w:szCs w:val="24"/>
        </w:rPr>
        <w:t>).</w:t>
      </w:r>
    </w:p>
    <w:p w:rsidR="00B445DE" w:rsidRPr="00E531C0" w:rsidRDefault="00B445DE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</w:p>
    <w:p w:rsidR="00FD319F" w:rsidRPr="00E531C0" w:rsidRDefault="00FD319F" w:rsidP="00DF4498">
      <w:pPr>
        <w:wordWrap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531C0">
        <w:rPr>
          <w:rFonts w:ascii="Book Antiqua" w:hAnsi="Book Antiqua"/>
          <w:b/>
          <w:i/>
          <w:sz w:val="24"/>
          <w:szCs w:val="24"/>
        </w:rPr>
        <w:t>Peer-review</w:t>
      </w:r>
    </w:p>
    <w:p w:rsidR="002E6756" w:rsidRPr="00E531C0" w:rsidRDefault="00D346C4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t xml:space="preserve">Studies exploring </w:t>
      </w:r>
      <w:proofErr w:type="spellStart"/>
      <w:r w:rsidRPr="00E531C0">
        <w:rPr>
          <w:rFonts w:ascii="Book Antiqua" w:hAnsi="Book Antiqua"/>
          <w:sz w:val="24"/>
          <w:szCs w:val="24"/>
        </w:rPr>
        <w:t>toxocariasis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 in liver abscess have been infrequent. The author of this paper evaluated the clinical characteristics and progression of liver abscess caused by </w:t>
      </w:r>
      <w:proofErr w:type="spellStart"/>
      <w:r w:rsidRPr="00E531C0">
        <w:rPr>
          <w:rFonts w:ascii="Book Antiqua" w:hAnsi="Book Antiqua"/>
          <w:sz w:val="24"/>
          <w:szCs w:val="24"/>
        </w:rPr>
        <w:t>toxocara</w:t>
      </w:r>
      <w:proofErr w:type="spellEnd"/>
      <w:r w:rsidRPr="00E531C0">
        <w:rPr>
          <w:rFonts w:ascii="Book Antiqua" w:hAnsi="Book Antiqua"/>
          <w:sz w:val="24"/>
          <w:szCs w:val="24"/>
        </w:rPr>
        <w:t xml:space="preserve">. This study is useful for </w:t>
      </w:r>
      <w:r w:rsidR="00532B69" w:rsidRPr="00E531C0">
        <w:rPr>
          <w:rFonts w:ascii="Book Antiqua" w:hAnsi="Book Antiqua"/>
          <w:sz w:val="24"/>
          <w:szCs w:val="24"/>
        </w:rPr>
        <w:t xml:space="preserve">diagnosing and monitoring the disease in </w:t>
      </w:r>
      <w:r w:rsidRPr="00E531C0">
        <w:rPr>
          <w:rFonts w:ascii="Book Antiqua" w:hAnsi="Book Antiqua"/>
          <w:sz w:val="24"/>
          <w:szCs w:val="24"/>
        </w:rPr>
        <w:t xml:space="preserve">the clinical </w:t>
      </w:r>
      <w:r w:rsidR="00532B69" w:rsidRPr="00E531C0">
        <w:rPr>
          <w:rFonts w:ascii="Book Antiqua" w:hAnsi="Book Antiqua"/>
          <w:sz w:val="24"/>
          <w:szCs w:val="24"/>
        </w:rPr>
        <w:t>practice</w:t>
      </w:r>
      <w:r w:rsidRPr="00E531C0">
        <w:rPr>
          <w:rFonts w:ascii="Book Antiqua" w:hAnsi="Book Antiqua"/>
          <w:sz w:val="24"/>
          <w:szCs w:val="24"/>
        </w:rPr>
        <w:t>.</w:t>
      </w:r>
    </w:p>
    <w:p w:rsidR="002E6756" w:rsidRPr="00E531C0" w:rsidRDefault="002E6756">
      <w:pPr>
        <w:widowControl/>
        <w:wordWrap/>
        <w:autoSpaceDE/>
        <w:autoSpaceDN/>
        <w:rPr>
          <w:rFonts w:ascii="Book Antiqua" w:hAnsi="Book Antiqua"/>
          <w:sz w:val="24"/>
          <w:szCs w:val="24"/>
        </w:rPr>
      </w:pPr>
      <w:r w:rsidRPr="00E531C0">
        <w:rPr>
          <w:rFonts w:ascii="Book Antiqua" w:hAnsi="Book Antiqua"/>
          <w:sz w:val="24"/>
          <w:szCs w:val="24"/>
        </w:rPr>
        <w:br w:type="page"/>
      </w:r>
    </w:p>
    <w:p w:rsidR="002E6756" w:rsidRPr="00E531C0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</w:pPr>
      <w:bookmarkStart w:id="8" w:name="OLE_LINK1"/>
      <w:bookmarkStart w:id="9" w:name="OLE_LINK2"/>
      <w:bookmarkStart w:id="10" w:name="OLE_LINK8"/>
      <w:bookmarkStart w:id="11" w:name="OLE_LINK176"/>
      <w:bookmarkStart w:id="12" w:name="OLE_LINK187"/>
      <w:bookmarkStart w:id="13" w:name="OLE_LINK188"/>
      <w:r w:rsidRPr="00E531C0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lastRenderedPageBreak/>
        <w:t>REFERENCES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Kwon NH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Oh MJ, Lee SP, Lee BJ, Choi DC.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The prevalence and diagnostic value of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unknown eosinophilia.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Ann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Hematol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85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233-238 [PMID: 16463154 DOI: 10.1016/j.jaci.2005.12.320]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Pawlowski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Z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humans: clinical expression and treatment dilemma.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Helminthol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75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299-305 [PMID: 11818044 DOI: 10.1017/S0022149X01000464]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Lim JH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of the liver: visceral larva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migrans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Abdom</w:t>
      </w:r>
      <w:proofErr w:type="spellEnd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Imaging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33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151-156 [PMID: 17924161 DOI: 10.1007/s00261-007-9325-y]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Rahimian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Wilson T,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Oram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Holzman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RS.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Pyogenic liver abscess: recent trends in etiology and mortality. 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Infect Dis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39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1654-1659 [PMID: 15578367 DOI: 10.1086/425616]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Jang EY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Choi MS,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Gwak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GY,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Koh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KC, Paik SW, Lee JH, Paik YH,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Yoo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BC. Enhanced resolution of eosinophilic liver abscess associated with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by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albendazole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treatment.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Korean 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2015;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65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222-228 [PMID: 25896156 DOI: 10.4166/kjg.2015.65.4.222]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Won KY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Kruszon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-Moran D, Schantz PM, Jones JL. </w:t>
      </w: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National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seroprevalence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risk factors for Zoonotic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spp. infection.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Trop Med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Hyg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79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552-557 [PMID: 18840743]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Magnaval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JF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Michault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Calon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Charlet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JP. </w:t>
      </w: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Epidemiology of human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La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Réunion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Trans R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Trop Med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Hyg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1994;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88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531-533 [PMID: 7992328 DOI: 10.1016/0035-9203(94)90148-1]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Choi D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Lim JH, Choi DC, Paik SW, Kim SH, Huh S.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ingestion of raw cow liver in patients with eosinophilia.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Korean 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Parasitol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46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139-143 [PMID: 18830052 DOI: 10.3347/kjp.2008.46.3.139]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Park HY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Lee SU, Huh S, Kong Y,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Magnaval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JF. </w:t>
      </w: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A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seroepidemiological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survey for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apparently healthy residents in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Gangwon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-do, Korea.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Korean 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Parasitol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40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113-117 [PMID: 12325440 DOI: 10.3347/kjp.2002.40.3.113]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10 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HS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Jin Y, Choi MH, Kim JH, Lee YH, Yoon CH, Hwang EH, Kang H,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Ahn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SY, Kim GJ, Hong ST. Significance of serum antibody test for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healthy healthcare examinees with eosinophilia in Seoul and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Gyeongsangnam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-do, Korea.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lastRenderedPageBreak/>
        <w:t xml:space="preserve">Korean Med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29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1618-1625 [PMID: 25469060 DOI: 10.3346/jkms.2014.29.12.1618]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11 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YH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Huh S, Chung YB. </w:t>
      </w:r>
      <w:proofErr w:type="spellStart"/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Seroprevalence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of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among healthy people with eosinophilia.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Korean 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Parasitol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46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29-32 [PMID: 18344674 DOI: 10.3347/kjp.2008.46.1.29]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12 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Seo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Yoon SC. </w:t>
      </w: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A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seroepidemiological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survey of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among eosinophilia patients in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Chungcheongnam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-do.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Korean 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Parasitol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50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249-251 [PMID: 22949755 DOI: 10.3347/kjp.2012.50.3.249]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13 </w:t>
      </w:r>
      <w:proofErr w:type="spellStart"/>
      <w:r w:rsidRPr="002E67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Ryu</w:t>
      </w:r>
      <w:proofErr w:type="spellEnd"/>
      <w:r w:rsidRPr="002E67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BH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Park JS, Jung YJ.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Clinical and Serological Findings in Patients with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the Pohang Region: The Features of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Pohang. </w:t>
      </w:r>
      <w:r w:rsidRPr="002E6756">
        <w:rPr>
          <w:rFonts w:ascii="Book Antiqua" w:eastAsia="宋体" w:hAnsi="Book Antiqua" w:cs="宋体"/>
          <w:i/>
          <w:color w:val="000000"/>
          <w:kern w:val="0"/>
          <w:sz w:val="24"/>
          <w:szCs w:val="24"/>
          <w:lang w:eastAsia="zh-CN"/>
        </w:rPr>
        <w:t>Korean J Med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2013; </w:t>
      </w:r>
      <w:r w:rsidRPr="002E67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84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203-210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14 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Morris PD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Katerndahl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DA. Human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 Review with report of a probable case.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Postgrad Med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1987;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81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263-267 [PMID: 3543902]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15 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Jacquier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Gottstein B,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Stingelin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Eckert J.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Immunodiagnosis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of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toxocarosis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humans: evaluation of a new enzyme-linked immunosorbent assay kit.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Microbiol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1991;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29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1831-1835 [PMID: 1774303]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16 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Magnaval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JF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Glickman LT,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Dorchies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Morassin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B. Highlights of human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Korean 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Parasitol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39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1-11 [PMID: 11301585 DOI: 10.3347/kjp.2001.39.1.1]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17 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Fillaux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Magnaval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JF. </w:t>
      </w: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Laboratory diagnosis of human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Vet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Parasitol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193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327-336 [PMID: 23318165 DOI: 10.1016/j.vetpar.2012.12.028]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18 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Magnaval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JF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Berry A, Fabre R,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Morassin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B. Eosinophil cationic protein as a possible marker of active human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infection.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Allergy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56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1096-1099 [PMID: 11703226 DOI: 10.1034/j.1398-9995.2001.00284.x]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19 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Marx C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Lin J,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Masruha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MR, Rodrigues MG, da Rocha AJ,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Vilanova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LC,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Gabbai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AA.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of the CNS simulating acute disseminated encephalomyelitis.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Neurology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69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806-807 [PMID: 17709716 DOI: 10.1212/01.wnl.0000267664.53595.75]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Enko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K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Tada T,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Ohgo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KO, Nagase S, Nakamura K,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Ohta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Ichiba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Ujike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Nawa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Maruyama H,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Ohe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Kusano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KF. Fulminant eosinophilic myocarditis 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 xml:space="preserve">associated with visceral larva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migrans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caused by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canis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infection. 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</w:t>
      </w:r>
      <w:proofErr w:type="spellEnd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73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1344-1348 [PMID: 19122304 DOI: 10.1253/circj.CJ-08-0334]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21 </w:t>
      </w:r>
      <w:r w:rsidRPr="002E67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Lee S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Pathophysiology of hypersensitivity in human by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canis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larval infection.</w:t>
      </w:r>
      <w:proofErr w:type="gram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Chung-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Ang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University Doctoral Thesis, 2001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22 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Despommier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clinical aspects, epidemiology, medical ecology, and molecular aspects. 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Microbiol</w:t>
      </w:r>
      <w:proofErr w:type="spellEnd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Rev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265-272 [PMID: 12692098 DOI: 10.1128/CMR.16.2.265-272.2003]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23 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Chang S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Lim JH, Choi D, Park CK, Kwon NH, Cho SY, Choi DC. Hepatic visceral larva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migrans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of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canis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CT and sonographic findings.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AJR Am J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Roentgenol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187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W622-W629 [PMID: 17114516]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24 </w:t>
      </w:r>
      <w:proofErr w:type="spellStart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Stürchler</w:t>
      </w:r>
      <w:proofErr w:type="spellEnd"/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Schubarth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Gualzata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Gottstein B,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Oettli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Thiabendazole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vs.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albendazole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treatment of </w:t>
      </w:r>
      <w:proofErr w:type="spell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toxocariasis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a clinical trial. </w:t>
      </w:r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Ann Trop Med </w:t>
      </w:r>
      <w:proofErr w:type="spellStart"/>
      <w:r w:rsidRPr="002E675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Parasitol</w:t>
      </w:r>
      <w:proofErr w:type="spellEnd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1989; </w:t>
      </w:r>
      <w:r w:rsidRPr="002E675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83</w:t>
      </w:r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473-478 [PMID: 2694978]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2E675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25 </w:t>
      </w:r>
      <w:r w:rsidRPr="002E6756">
        <w:rPr>
          <w:rFonts w:ascii="Book Antiqua" w:eastAsia="한양신명조" w:hAnsi="Book Antiqua" w:cs="Arial"/>
          <w:b/>
          <w:kern w:val="0"/>
          <w:sz w:val="24"/>
          <w:szCs w:val="24"/>
          <w:lang w:val="fr-FR" w:eastAsia="fr-FR"/>
        </w:rPr>
        <w:t>Jeanneret JP.</w:t>
      </w:r>
      <w:proofErr w:type="gramEnd"/>
      <w:r w:rsidRPr="002E6756">
        <w:rPr>
          <w:rFonts w:ascii="Book Antiqua" w:eastAsia="한양신명조" w:hAnsi="Book Antiqua" w:cs="Arial"/>
          <w:kern w:val="0"/>
          <w:sz w:val="24"/>
          <w:szCs w:val="24"/>
          <w:lang w:val="fr-FR" w:eastAsia="fr-FR"/>
        </w:rPr>
        <w:t xml:space="preserve"> Epidémiologie de la toxocarose dans la région jurassienne: Université de Neuchâtel, 1991</w:t>
      </w:r>
    </w:p>
    <w:p w:rsidR="002E6756" w:rsidRPr="002E6756" w:rsidRDefault="002E6756" w:rsidP="002E6756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</w:p>
    <w:p w:rsidR="00397A31" w:rsidRDefault="002E6756" w:rsidP="002E6756">
      <w:pPr>
        <w:autoSpaceDE/>
        <w:autoSpaceDN/>
        <w:spacing w:after="0" w:line="360" w:lineRule="auto"/>
        <w:jc w:val="right"/>
        <w:rPr>
          <w:rFonts w:ascii="Book Antiqua" w:eastAsia="宋体" w:hAnsi="Book Antiqua" w:cs="Courier New"/>
          <w:sz w:val="24"/>
          <w:szCs w:val="24"/>
          <w:lang w:val="fr-FR" w:eastAsia="zh-CN"/>
        </w:rPr>
      </w:pPr>
      <w:r w:rsidRPr="002E6756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P-Reviewer: </w:t>
      </w:r>
      <w:proofErr w:type="spellStart"/>
      <w:r w:rsidRPr="002E6756">
        <w:rPr>
          <w:rFonts w:ascii="Book Antiqua" w:eastAsia="宋体" w:hAnsi="Book Antiqua" w:cs="Courier New"/>
          <w:sz w:val="24"/>
          <w:szCs w:val="24"/>
          <w:lang w:eastAsia="zh-CN"/>
        </w:rPr>
        <w:t>Akyuz</w:t>
      </w:r>
      <w:proofErr w:type="spellEnd"/>
      <w:r w:rsidRPr="002E6756">
        <w:rPr>
          <w:rFonts w:ascii="Book Antiqua" w:eastAsia="宋体" w:hAnsi="Book Antiqua" w:cs="Courier New"/>
          <w:sz w:val="24"/>
          <w:szCs w:val="24"/>
          <w:lang w:eastAsia="zh-CN"/>
        </w:rPr>
        <w:t xml:space="preserve"> U, </w:t>
      </w:r>
      <w:proofErr w:type="spellStart"/>
      <w:r w:rsidRPr="002E6756">
        <w:rPr>
          <w:rFonts w:ascii="Book Antiqua" w:eastAsia="宋体" w:hAnsi="Book Antiqua" w:cs="Courier New"/>
          <w:sz w:val="24"/>
          <w:szCs w:val="24"/>
          <w:lang w:eastAsia="zh-CN"/>
        </w:rPr>
        <w:t>Ferraioli</w:t>
      </w:r>
      <w:proofErr w:type="spellEnd"/>
      <w:r w:rsidRPr="002E6756">
        <w:rPr>
          <w:rFonts w:ascii="Book Antiqua" w:eastAsia="宋体" w:hAnsi="Book Antiqua" w:cs="Courier New"/>
          <w:sz w:val="24"/>
          <w:szCs w:val="24"/>
          <w:lang w:eastAsia="zh-CN"/>
        </w:rPr>
        <w:t xml:space="preserve"> G, He JY, Romero MR, Zielinski J</w:t>
      </w:r>
      <w:r w:rsidRPr="002E6756">
        <w:rPr>
          <w:rFonts w:ascii="Book Antiqua" w:eastAsia="宋体" w:hAnsi="Book Antiqua" w:cs="Courier New"/>
          <w:sz w:val="24"/>
          <w:szCs w:val="24"/>
          <w:lang w:val="fr-FR" w:eastAsia="zh-CN"/>
        </w:rPr>
        <w:t xml:space="preserve"> </w:t>
      </w:r>
    </w:p>
    <w:p w:rsidR="002E6756" w:rsidRPr="002E6756" w:rsidRDefault="002E6756" w:rsidP="002E6756">
      <w:pPr>
        <w:autoSpaceDE/>
        <w:autoSpaceDN/>
        <w:spacing w:after="0" w:line="360" w:lineRule="auto"/>
        <w:jc w:val="right"/>
        <w:rPr>
          <w:rFonts w:ascii="Book Antiqua" w:eastAsia="宋体" w:hAnsi="Book Antiqua" w:cs="Courier New"/>
          <w:b/>
          <w:sz w:val="24"/>
          <w:szCs w:val="24"/>
          <w:lang w:eastAsia="zh-CN"/>
        </w:rPr>
      </w:pPr>
      <w:r w:rsidRPr="002E6756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S-Editor: </w:t>
      </w:r>
      <w:proofErr w:type="spellStart"/>
      <w:r w:rsidRPr="002E6756">
        <w:rPr>
          <w:rFonts w:ascii="Book Antiqua" w:eastAsia="宋体" w:hAnsi="Book Antiqua" w:cs="Courier New"/>
          <w:sz w:val="24"/>
          <w:szCs w:val="24"/>
          <w:lang w:eastAsia="zh-CN"/>
        </w:rPr>
        <w:t>Qiu</w:t>
      </w:r>
      <w:proofErr w:type="spellEnd"/>
      <w:r w:rsidRPr="002E6756">
        <w:rPr>
          <w:rFonts w:ascii="Book Antiqua" w:eastAsia="宋体" w:hAnsi="Book Antiqua" w:cs="Courier New"/>
          <w:sz w:val="24"/>
          <w:szCs w:val="24"/>
          <w:lang w:eastAsia="zh-CN"/>
        </w:rPr>
        <w:t xml:space="preserve"> S</w:t>
      </w:r>
      <w:r w:rsidRPr="002E6756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L-Editor: E-Editor:</w:t>
      </w:r>
      <w:bookmarkEnd w:id="8"/>
      <w:bookmarkEnd w:id="9"/>
      <w:bookmarkEnd w:id="10"/>
      <w:bookmarkEnd w:id="11"/>
      <w:bookmarkEnd w:id="12"/>
      <w:bookmarkEnd w:id="13"/>
    </w:p>
    <w:p w:rsidR="002E6756" w:rsidRPr="00E531C0" w:rsidRDefault="002E6756" w:rsidP="002E675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D346C4" w:rsidRPr="00E531C0" w:rsidRDefault="00D346C4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F82F1B" w:rsidRPr="00E531C0" w:rsidRDefault="00F82F1B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F82F1B" w:rsidRPr="00E531C0" w:rsidRDefault="00F82F1B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F82F1B" w:rsidRPr="00E531C0" w:rsidRDefault="00F82F1B" w:rsidP="00DF4498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5A1E73" w:rsidRPr="00E531C0" w:rsidRDefault="005A1E73">
      <w:pPr>
        <w:widowControl/>
        <w:wordWrap/>
        <w:autoSpaceDE/>
        <w:autoSpaceDN/>
        <w:rPr>
          <w:rFonts w:ascii="Book Antiqua" w:eastAsia="한양신명조" w:hAnsi="Book Antiqua" w:cs="Arial"/>
          <w:b/>
          <w:kern w:val="0"/>
          <w:sz w:val="24"/>
          <w:szCs w:val="24"/>
        </w:rPr>
      </w:pPr>
      <w:r w:rsidRPr="00E531C0">
        <w:rPr>
          <w:rFonts w:ascii="Book Antiqua" w:eastAsia="한양신명조" w:hAnsi="Book Antiqua" w:cs="Arial"/>
          <w:b/>
          <w:kern w:val="0"/>
          <w:sz w:val="24"/>
          <w:szCs w:val="24"/>
        </w:rPr>
        <w:br w:type="page"/>
      </w:r>
    </w:p>
    <w:p w:rsidR="00E32875" w:rsidRPr="00E531C0" w:rsidRDefault="00E32875" w:rsidP="00DF4498">
      <w:pPr>
        <w:shd w:val="clear" w:color="auto" w:fill="FFFFFF"/>
        <w:wordWrap/>
        <w:snapToGrid w:val="0"/>
        <w:spacing w:after="0" w:line="360" w:lineRule="auto"/>
        <w:textAlignment w:val="baseline"/>
        <w:rPr>
          <w:rFonts w:ascii="Book Antiqua" w:eastAsia="Gulim" w:hAnsi="Book Antiqua" w:cs="Arial"/>
          <w:b/>
          <w:kern w:val="0"/>
          <w:sz w:val="24"/>
          <w:szCs w:val="24"/>
        </w:rPr>
      </w:pPr>
      <w:r w:rsidRPr="00E531C0">
        <w:rPr>
          <w:rFonts w:ascii="Book Antiqua" w:eastAsia="한양신명조" w:hAnsi="Book Antiqua" w:cs="Arial"/>
          <w:b/>
          <w:kern w:val="0"/>
          <w:sz w:val="24"/>
          <w:szCs w:val="24"/>
        </w:rPr>
        <w:lastRenderedPageBreak/>
        <w:t>Table 1</w:t>
      </w:r>
      <w:r w:rsidR="00B36ACB" w:rsidRPr="00E531C0">
        <w:rPr>
          <w:rFonts w:ascii="Book Antiqua" w:eastAsia="宋体" w:hAnsi="Book Antiqua" w:cs="Arial"/>
          <w:b/>
          <w:kern w:val="0"/>
          <w:sz w:val="24"/>
          <w:szCs w:val="24"/>
          <w:lang w:eastAsia="zh-CN"/>
        </w:rPr>
        <w:t xml:space="preserve"> </w:t>
      </w:r>
      <w:r w:rsidRPr="00E531C0">
        <w:rPr>
          <w:rFonts w:ascii="Book Antiqua" w:eastAsia="한양신명조" w:hAnsi="Book Antiqua" w:cs="Arial"/>
          <w:b/>
          <w:kern w:val="0"/>
          <w:sz w:val="24"/>
          <w:szCs w:val="24"/>
        </w:rPr>
        <w:t xml:space="preserve">Baseline characteristics of patients with liver abscess caused by </w:t>
      </w:r>
      <w:proofErr w:type="spellStart"/>
      <w:r w:rsidRPr="00E531C0">
        <w:rPr>
          <w:rFonts w:ascii="Book Antiqua" w:eastAsia="한양신명조" w:hAnsi="Book Antiqua" w:cs="Arial"/>
          <w:b/>
          <w:kern w:val="0"/>
          <w:sz w:val="24"/>
          <w:szCs w:val="24"/>
        </w:rPr>
        <w:t>toxocara</w:t>
      </w:r>
      <w:proofErr w:type="spellEnd"/>
    </w:p>
    <w:tbl>
      <w:tblPr>
        <w:tblpPr w:leftFromText="142" w:rightFromText="142" w:vertAnchor="text" w:tblpY="1"/>
        <w:tblOverlap w:val="never"/>
        <w:tblW w:w="7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3175"/>
      </w:tblGrid>
      <w:tr w:rsidR="00130167" w:rsidRPr="00E531C0" w:rsidTr="008639B9">
        <w:trPr>
          <w:trHeight w:val="319"/>
        </w:trPr>
        <w:tc>
          <w:tcPr>
            <w:tcW w:w="45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Patients, n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34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Mean age, </w:t>
            </w:r>
            <w:proofErr w:type="spellStart"/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y</w:t>
            </w:r>
            <w:r w:rsidR="006D7C04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>r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53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Male,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E26533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="00E26533"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26 (76.5)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Underlying disease,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E26533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="00E26533"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9 (26.5)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Diabetes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4 (11.8)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Tuberculosis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3 (8.8)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Liver cirrhosis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 (5.9)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Chronic viral hepatitis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 (5.9)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Cancer history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 (5.9)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None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9 (26.5)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Alcohol drinking,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E26533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="00E26533"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Heavy drinking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14 (41.2)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Moderate drinking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7 (20.6)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No drinking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9 (26.5)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Unknown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4 (11.8)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Transmission,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E26533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="00E26533"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Eating raw meat or liver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23 (67.6)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Keeping pet dogs or cats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6 (17.6)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No specific history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4 (11.8)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Unknown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7 (20.6)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Symptoms,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E26533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="00E26533"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Asymptomatic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18 (52.9)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RUQ pain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6 (17.6)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Fever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4 (11.8)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Fatigue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4 (11.8)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Anorexia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 (5.9)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Cough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 (5.9)</w:t>
            </w:r>
          </w:p>
        </w:tc>
      </w:tr>
      <w:tr w:rsidR="00130167" w:rsidRPr="00E531C0" w:rsidTr="008639B9">
        <w:trPr>
          <w:trHeight w:val="31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Weakness of legs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 (5.9)</w:t>
            </w:r>
          </w:p>
        </w:tc>
      </w:tr>
      <w:tr w:rsidR="00130167" w:rsidRPr="00E531C0" w:rsidTr="008639B9">
        <w:trPr>
          <w:trHeight w:val="26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Involvement of other organs,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E26533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="00E26533"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lastRenderedPageBreak/>
              <w:t>Lung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4 (11.8)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Muscle of legs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 (2.9)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CNS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 (2.9)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Mean AST/ALT, IU/L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31/31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Eosinophilia,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C814FF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="00C814FF"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Normal (&lt;</w:t>
            </w:r>
            <w:r w:rsidR="006D7C04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500/µL)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5 (14.7)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Mild (500-1500/µL)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17 (50.0)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Moderate (1500-5000/µL)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7 (20.6)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Severe (&gt;</w:t>
            </w:r>
            <w:r w:rsidR="002F24C8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5000/µL)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5 (14.7)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8C4A4B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Serum </w:t>
            </w:r>
            <w:proofErr w:type="spellStart"/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IgE</w:t>
            </w:r>
            <w:proofErr w:type="spellEnd"/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,</w:t>
            </w:r>
            <w:r w:rsidR="008C4A4B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="004E4D95"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Normal (&lt;</w:t>
            </w:r>
            <w:r w:rsidR="002F24C8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100 IU/Ml)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 (2.9)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Mild elevated (100-500 IU/mL)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10 (29.4)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Severe elevated (&gt;</w:t>
            </w:r>
            <w:r w:rsidR="0046587E"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500 IU/mL)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15 (44.1)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Unknown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8 (23.5)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Liver abscess,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 xml:space="preserve">n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Single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15 (44.1)</w:t>
            </w:r>
          </w:p>
        </w:tc>
      </w:tr>
      <w:tr w:rsidR="00130167" w:rsidRPr="00E531C0" w:rsidTr="008639B9">
        <w:trPr>
          <w:trHeight w:val="323"/>
        </w:trPr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Multiple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75" w:rsidRPr="00E531C0" w:rsidRDefault="00E32875" w:rsidP="00DF4498">
            <w:pPr>
              <w:shd w:val="clear" w:color="auto" w:fill="FFFFFF"/>
              <w:wordWrap/>
              <w:snapToGrid w:val="0"/>
              <w:spacing w:after="0"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19 (55.9)</w:t>
            </w:r>
          </w:p>
        </w:tc>
      </w:tr>
    </w:tbl>
    <w:p w:rsidR="00E32875" w:rsidRPr="00E531C0" w:rsidRDefault="00332B73" w:rsidP="00DF4498">
      <w:pPr>
        <w:shd w:val="clear" w:color="auto" w:fill="FFFFFF"/>
        <w:wordWrap/>
        <w:snapToGrid w:val="0"/>
        <w:spacing w:after="0" w:line="360" w:lineRule="auto"/>
        <w:textAlignment w:val="baseline"/>
        <w:rPr>
          <w:rFonts w:ascii="Book Antiqua" w:eastAsia="宋体" w:hAnsi="Book Antiqua" w:cs="Arial"/>
          <w:kern w:val="0"/>
          <w:sz w:val="24"/>
          <w:szCs w:val="24"/>
          <w:lang w:eastAsia="zh-CN"/>
        </w:rPr>
      </w:pPr>
      <w:r w:rsidRPr="00E531C0">
        <w:rPr>
          <w:rFonts w:ascii="Book Antiqua" w:eastAsia="한양신명조" w:hAnsi="Book Antiqua" w:cs="Arial"/>
          <w:kern w:val="0"/>
          <w:sz w:val="24"/>
          <w:szCs w:val="24"/>
        </w:rPr>
        <w:br w:type="textWrapping" w:clear="all"/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 xml:space="preserve">Liver abscess caused by </w:t>
      </w:r>
      <w:proofErr w:type="spellStart"/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>toxocara</w:t>
      </w:r>
      <w:proofErr w:type="spellEnd"/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 xml:space="preserve"> was related to sex (male), alcohol drinking, eating raw meat or liver. Laboratory characteristics showed normal liver enzymes, peripheral blood eosinophilia, and elevated level of serum </w:t>
      </w:r>
      <w:proofErr w:type="spellStart"/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>IgE</w:t>
      </w:r>
      <w:proofErr w:type="spellEnd"/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>. RUQ</w:t>
      </w:r>
      <w:r w:rsidR="009B0A20" w:rsidRPr="00E531C0">
        <w:rPr>
          <w:rFonts w:ascii="Book Antiqua" w:eastAsia="宋体" w:hAnsi="Book Antiqua" w:cs="Arial"/>
          <w:kern w:val="0"/>
          <w:sz w:val="24"/>
          <w:szCs w:val="24"/>
          <w:lang w:eastAsia="zh-CN"/>
        </w:rPr>
        <w:t>:</w:t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 xml:space="preserve"> </w:t>
      </w:r>
      <w:r w:rsidR="009B0A20" w:rsidRPr="00E531C0">
        <w:rPr>
          <w:rFonts w:ascii="Book Antiqua" w:eastAsia="한양신명조" w:hAnsi="Book Antiqua" w:cs="Arial"/>
          <w:kern w:val="0"/>
          <w:sz w:val="24"/>
          <w:szCs w:val="24"/>
        </w:rPr>
        <w:t>R</w:t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>ight upper quadrant; CNS</w:t>
      </w:r>
      <w:r w:rsidR="009B0A20" w:rsidRPr="00E531C0">
        <w:rPr>
          <w:rFonts w:ascii="Book Antiqua" w:eastAsia="宋体" w:hAnsi="Book Antiqua" w:cs="Arial"/>
          <w:kern w:val="0"/>
          <w:sz w:val="24"/>
          <w:szCs w:val="24"/>
          <w:lang w:eastAsia="zh-CN"/>
        </w:rPr>
        <w:t>:</w:t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 xml:space="preserve"> </w:t>
      </w:r>
      <w:r w:rsidR="009B0A20" w:rsidRPr="00E531C0">
        <w:rPr>
          <w:rFonts w:ascii="Book Antiqua" w:eastAsia="한양신명조" w:hAnsi="Book Antiqua" w:cs="Arial"/>
          <w:kern w:val="0"/>
          <w:sz w:val="24"/>
          <w:szCs w:val="24"/>
        </w:rPr>
        <w:t>C</w:t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>entral nervous system; AST</w:t>
      </w:r>
      <w:r w:rsidR="009B0A20" w:rsidRPr="00E531C0">
        <w:rPr>
          <w:rFonts w:ascii="Book Antiqua" w:eastAsia="宋体" w:hAnsi="Book Antiqua" w:cs="Arial"/>
          <w:kern w:val="0"/>
          <w:sz w:val="24"/>
          <w:szCs w:val="24"/>
          <w:lang w:eastAsia="zh-CN"/>
        </w:rPr>
        <w:t>:</w:t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 xml:space="preserve"> </w:t>
      </w:r>
      <w:r w:rsidR="009B0A20" w:rsidRPr="00E531C0">
        <w:rPr>
          <w:rFonts w:ascii="Book Antiqua" w:eastAsia="한양신명조" w:hAnsi="Book Antiqua" w:cs="Arial"/>
          <w:kern w:val="0"/>
          <w:sz w:val="24"/>
          <w:szCs w:val="24"/>
        </w:rPr>
        <w:t>A</w:t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>lanine aminotransferase; ALT</w:t>
      </w:r>
      <w:r w:rsidR="009B0A20" w:rsidRPr="00E531C0">
        <w:rPr>
          <w:rFonts w:ascii="Book Antiqua" w:eastAsia="宋体" w:hAnsi="Book Antiqua" w:cs="Arial"/>
          <w:kern w:val="0"/>
          <w:sz w:val="24"/>
          <w:szCs w:val="24"/>
          <w:lang w:eastAsia="zh-CN"/>
        </w:rPr>
        <w:t>:</w:t>
      </w:r>
      <w:r w:rsidR="00E32875" w:rsidRPr="00E531C0">
        <w:rPr>
          <w:rFonts w:ascii="Book Antiqua" w:eastAsia="한양신명조" w:hAnsi="Book Antiqua" w:cs="Arial"/>
          <w:kern w:val="0"/>
          <w:sz w:val="24"/>
          <w:szCs w:val="24"/>
        </w:rPr>
        <w:t xml:space="preserve"> </w:t>
      </w:r>
      <w:r w:rsidR="009B0A20" w:rsidRPr="00E531C0">
        <w:rPr>
          <w:rFonts w:ascii="Book Antiqua" w:eastAsia="한양신명조" w:hAnsi="Book Antiqua" w:cs="Arial"/>
          <w:kern w:val="0"/>
          <w:sz w:val="24"/>
          <w:szCs w:val="24"/>
        </w:rPr>
        <w:t>Aspartate aminotransferase</w:t>
      </w:r>
      <w:r w:rsidR="009B0A20" w:rsidRPr="00E531C0">
        <w:rPr>
          <w:rFonts w:ascii="Book Antiqua" w:eastAsia="宋体" w:hAnsi="Book Antiqua" w:cs="Arial"/>
          <w:kern w:val="0"/>
          <w:sz w:val="24"/>
          <w:szCs w:val="24"/>
          <w:lang w:eastAsia="zh-CN"/>
        </w:rPr>
        <w:t>.</w:t>
      </w:r>
    </w:p>
    <w:p w:rsidR="00E32875" w:rsidRPr="00E531C0" w:rsidRDefault="00E32875" w:rsidP="00DF4498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Gulim" w:hAnsi="Book Antiqua" w:cs="Arial"/>
          <w:b/>
          <w:kern w:val="0"/>
          <w:sz w:val="24"/>
          <w:szCs w:val="24"/>
        </w:rPr>
      </w:pPr>
      <w:r w:rsidRPr="00E531C0">
        <w:rPr>
          <w:rFonts w:ascii="Book Antiqua" w:eastAsia="Batang" w:hAnsi="Book Antiqua" w:cs="Arial"/>
          <w:kern w:val="0"/>
          <w:sz w:val="24"/>
          <w:szCs w:val="24"/>
        </w:rPr>
        <w:br w:type="page"/>
      </w:r>
      <w:r w:rsidRPr="00E531C0">
        <w:rPr>
          <w:rFonts w:ascii="Book Antiqua" w:eastAsia="Batang" w:hAnsi="Book Antiqua" w:cs="Arial"/>
          <w:b/>
          <w:kern w:val="0"/>
          <w:sz w:val="24"/>
          <w:szCs w:val="24"/>
        </w:rPr>
        <w:lastRenderedPageBreak/>
        <w:t>Table 2</w:t>
      </w:r>
      <w:r w:rsidR="002525C2" w:rsidRPr="00E531C0">
        <w:rPr>
          <w:rFonts w:ascii="Book Antiqua" w:eastAsia="宋体" w:hAnsi="Book Antiqua" w:cs="Arial"/>
          <w:b/>
          <w:kern w:val="0"/>
          <w:sz w:val="24"/>
          <w:szCs w:val="24"/>
          <w:lang w:eastAsia="zh-CN"/>
        </w:rPr>
        <w:t xml:space="preserve"> </w:t>
      </w:r>
      <w:r w:rsidRPr="00E531C0">
        <w:rPr>
          <w:rFonts w:ascii="Book Antiqua" w:eastAsia="Batang" w:hAnsi="Book Antiqua" w:cs="Arial"/>
          <w:b/>
          <w:kern w:val="0"/>
          <w:sz w:val="24"/>
          <w:szCs w:val="24"/>
        </w:rPr>
        <w:t xml:space="preserve">Therapeutic response after treatment with </w:t>
      </w:r>
      <w:proofErr w:type="spellStart"/>
      <w:r w:rsidRPr="00E531C0">
        <w:rPr>
          <w:rFonts w:ascii="Book Antiqua" w:eastAsia="Batang" w:hAnsi="Book Antiqua" w:cs="Arial"/>
          <w:b/>
          <w:kern w:val="0"/>
          <w:sz w:val="24"/>
          <w:szCs w:val="24"/>
        </w:rPr>
        <w:t>albendazole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3175"/>
      </w:tblGrid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Eosinophilia (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=</w:t>
            </w:r>
            <w:r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25)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Normalized,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16 (64)</w:t>
            </w: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Decreased,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8 (32)</w:t>
            </w: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No change,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 (4)</w:t>
            </w: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Serum </w:t>
            </w:r>
            <w:proofErr w:type="spellStart"/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IgE</w:t>
            </w:r>
            <w:proofErr w:type="spellEnd"/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=</w:t>
            </w:r>
            <w:r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18)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Increased,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7 (38.9)</w:t>
            </w: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Decreased,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8 (44.4)</w:t>
            </w: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No change,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3 (16.7)</w:t>
            </w: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Liver abscess (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=</w:t>
            </w:r>
            <w:r w:rsidRPr="00E531C0">
              <w:rPr>
                <w:rFonts w:ascii="Book Antiqua" w:eastAsia="宋体" w:hAnsi="Book Antiqua" w:cs="Arial"/>
                <w:kern w:val="0"/>
                <w:sz w:val="24"/>
                <w:szCs w:val="24"/>
                <w:lang w:eastAsia="zh-CN"/>
              </w:rPr>
              <w:t xml:space="preserve"> 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22)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Improved,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22 (100)</w:t>
            </w:r>
          </w:p>
        </w:tc>
      </w:tr>
      <w:tr w:rsidR="006A072D" w:rsidRPr="00E531C0" w:rsidTr="00723B20">
        <w:trPr>
          <w:trHeight w:val="380"/>
        </w:trPr>
        <w:tc>
          <w:tcPr>
            <w:tcW w:w="4534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ind w:firstLineChars="100" w:firstLine="240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Not improved, </w:t>
            </w:r>
            <w:r w:rsidRPr="00E531C0">
              <w:rPr>
                <w:rFonts w:ascii="Book Antiqua" w:eastAsia="한양신명조" w:hAnsi="Book Antiqua" w:cs="Arial"/>
                <w:i/>
                <w:kern w:val="0"/>
                <w:sz w:val="24"/>
                <w:szCs w:val="24"/>
              </w:rPr>
              <w:t>n</w:t>
            </w: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175" w:type="dxa"/>
            <w:shd w:val="clear" w:color="auto" w:fill="auto"/>
            <w:hideMark/>
          </w:tcPr>
          <w:p w:rsidR="006A072D" w:rsidRPr="00E531C0" w:rsidRDefault="006A072D" w:rsidP="00723B20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Book Antiqua" w:eastAsia="Gulim" w:hAnsi="Book Antiqua" w:cs="Arial"/>
                <w:kern w:val="0"/>
                <w:sz w:val="24"/>
                <w:szCs w:val="24"/>
              </w:rPr>
            </w:pPr>
            <w:r w:rsidRPr="00E531C0">
              <w:rPr>
                <w:rFonts w:ascii="Book Antiqua" w:eastAsia="한양신명조" w:hAnsi="Book Antiqua" w:cs="Arial"/>
                <w:kern w:val="0"/>
                <w:sz w:val="24"/>
                <w:szCs w:val="24"/>
              </w:rPr>
              <w:t>0</w:t>
            </w:r>
          </w:p>
        </w:tc>
      </w:tr>
    </w:tbl>
    <w:p w:rsidR="00DD34FC" w:rsidRPr="00E531C0" w:rsidRDefault="006A072D" w:rsidP="00397A31">
      <w:pPr>
        <w:shd w:val="clear" w:color="auto" w:fill="FFFFFF"/>
        <w:wordWrap/>
        <w:snapToGrid w:val="0"/>
        <w:spacing w:after="0" w:line="360" w:lineRule="auto"/>
        <w:textAlignment w:val="baseline"/>
        <w:rPr>
          <w:rFonts w:ascii="Book Antiqua" w:eastAsia="宋体" w:hAnsi="Book Antiqua"/>
          <w:sz w:val="24"/>
          <w:szCs w:val="24"/>
          <w:lang w:eastAsia="zh-CN"/>
        </w:rPr>
      </w:pPr>
      <w:r w:rsidRPr="00E531C0">
        <w:rPr>
          <w:rFonts w:ascii="Book Antiqua" w:eastAsia="Batang" w:hAnsi="Book Antiqua" w:cs="Arial"/>
          <w:kern w:val="0"/>
          <w:sz w:val="24"/>
          <w:szCs w:val="24"/>
        </w:rPr>
        <w:t xml:space="preserve">Most eosinophil counts were normalized or decreased and all of the abscesses were improved on CT after 1 year, but the levels of serum </w:t>
      </w:r>
      <w:proofErr w:type="spellStart"/>
      <w:r w:rsidRPr="00E531C0">
        <w:rPr>
          <w:rFonts w:ascii="Book Antiqua" w:eastAsia="Batang" w:hAnsi="Book Antiqua" w:cs="Arial"/>
          <w:kern w:val="0"/>
          <w:sz w:val="24"/>
          <w:szCs w:val="24"/>
        </w:rPr>
        <w:t>IgE</w:t>
      </w:r>
      <w:proofErr w:type="spellEnd"/>
      <w:r w:rsidRPr="00E531C0">
        <w:rPr>
          <w:rFonts w:ascii="Book Antiqua" w:eastAsia="Batang" w:hAnsi="Book Antiqua" w:cs="Arial"/>
          <w:kern w:val="0"/>
          <w:sz w:val="24"/>
          <w:szCs w:val="24"/>
        </w:rPr>
        <w:t xml:space="preserve"> showed variable response after 6 mo.</w:t>
      </w:r>
    </w:p>
    <w:sectPr w:rsidR="00DD34FC" w:rsidRPr="00E531C0" w:rsidSect="002D43BF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C" w:rsidRDefault="0028570C">
      <w:pPr>
        <w:spacing w:after="0" w:line="240" w:lineRule="auto"/>
      </w:pPr>
      <w:r>
        <w:separator/>
      </w:r>
    </w:p>
  </w:endnote>
  <w:endnote w:type="continuationSeparator" w:id="0">
    <w:p w:rsidR="0028570C" w:rsidRDefault="0028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591"/>
      <w:docPartObj>
        <w:docPartGallery w:val="Page Numbers (Bottom of Page)"/>
        <w:docPartUnique/>
      </w:docPartObj>
    </w:sdtPr>
    <w:sdtEndPr/>
    <w:sdtContent>
      <w:p w:rsidR="008D18D0" w:rsidRDefault="008D18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46" w:rsidRPr="00967146">
          <w:rPr>
            <w:noProof/>
            <w:lang w:val="ko-KR"/>
          </w:rPr>
          <w:t>17</w:t>
        </w:r>
        <w:r>
          <w:fldChar w:fldCharType="end"/>
        </w:r>
      </w:p>
    </w:sdtContent>
  </w:sdt>
  <w:p w:rsidR="008D18D0" w:rsidRDefault="008D18D0" w:rsidP="008D18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C" w:rsidRDefault="0028570C">
      <w:pPr>
        <w:spacing w:after="0" w:line="240" w:lineRule="auto"/>
      </w:pPr>
      <w:r>
        <w:separator/>
      </w:r>
    </w:p>
  </w:footnote>
  <w:footnote w:type="continuationSeparator" w:id="0">
    <w:p w:rsidR="0028570C" w:rsidRDefault="00285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9"/>
    <w:rsid w:val="00016847"/>
    <w:rsid w:val="00025E50"/>
    <w:rsid w:val="000279C1"/>
    <w:rsid w:val="00034A88"/>
    <w:rsid w:val="0003728D"/>
    <w:rsid w:val="000431ED"/>
    <w:rsid w:val="000636DC"/>
    <w:rsid w:val="00084EE1"/>
    <w:rsid w:val="00097F28"/>
    <w:rsid w:val="000A5535"/>
    <w:rsid w:val="000A6462"/>
    <w:rsid w:val="000B3085"/>
    <w:rsid w:val="000C43AB"/>
    <w:rsid w:val="000C767C"/>
    <w:rsid w:val="000D1A05"/>
    <w:rsid w:val="000D28D4"/>
    <w:rsid w:val="000D29F9"/>
    <w:rsid w:val="0010596B"/>
    <w:rsid w:val="00105E8C"/>
    <w:rsid w:val="00106C39"/>
    <w:rsid w:val="00114255"/>
    <w:rsid w:val="00130167"/>
    <w:rsid w:val="001417C7"/>
    <w:rsid w:val="0014342B"/>
    <w:rsid w:val="001466CF"/>
    <w:rsid w:val="001539B7"/>
    <w:rsid w:val="001548B0"/>
    <w:rsid w:val="00165AF5"/>
    <w:rsid w:val="00172DD3"/>
    <w:rsid w:val="00173A4F"/>
    <w:rsid w:val="00175E1F"/>
    <w:rsid w:val="00184963"/>
    <w:rsid w:val="00184A78"/>
    <w:rsid w:val="00190A7E"/>
    <w:rsid w:val="00193185"/>
    <w:rsid w:val="001B4ADF"/>
    <w:rsid w:val="001B6A5B"/>
    <w:rsid w:val="001D555C"/>
    <w:rsid w:val="002059B6"/>
    <w:rsid w:val="00227AC9"/>
    <w:rsid w:val="00231A73"/>
    <w:rsid w:val="00236917"/>
    <w:rsid w:val="002371C3"/>
    <w:rsid w:val="00240D1E"/>
    <w:rsid w:val="0024579C"/>
    <w:rsid w:val="0024796A"/>
    <w:rsid w:val="002525C2"/>
    <w:rsid w:val="002701A7"/>
    <w:rsid w:val="0028570C"/>
    <w:rsid w:val="00287299"/>
    <w:rsid w:val="00290185"/>
    <w:rsid w:val="002B1157"/>
    <w:rsid w:val="002B5C6E"/>
    <w:rsid w:val="002D43BF"/>
    <w:rsid w:val="002D4716"/>
    <w:rsid w:val="002E0796"/>
    <w:rsid w:val="002E2A82"/>
    <w:rsid w:val="002E3D3F"/>
    <w:rsid w:val="002E6756"/>
    <w:rsid w:val="002E7D10"/>
    <w:rsid w:val="002F24C8"/>
    <w:rsid w:val="002F75F4"/>
    <w:rsid w:val="002F7808"/>
    <w:rsid w:val="003101A9"/>
    <w:rsid w:val="00311EF0"/>
    <w:rsid w:val="00317C2D"/>
    <w:rsid w:val="00324B2D"/>
    <w:rsid w:val="00332B73"/>
    <w:rsid w:val="00342090"/>
    <w:rsid w:val="003678A2"/>
    <w:rsid w:val="003723FD"/>
    <w:rsid w:val="00391371"/>
    <w:rsid w:val="003944C0"/>
    <w:rsid w:val="00397069"/>
    <w:rsid w:val="00397A31"/>
    <w:rsid w:val="00397BFF"/>
    <w:rsid w:val="003B7693"/>
    <w:rsid w:val="003C4ADF"/>
    <w:rsid w:val="003E0184"/>
    <w:rsid w:val="003E01F1"/>
    <w:rsid w:val="003E6302"/>
    <w:rsid w:val="003F3D12"/>
    <w:rsid w:val="003F402B"/>
    <w:rsid w:val="00406AEF"/>
    <w:rsid w:val="00410464"/>
    <w:rsid w:val="00420A79"/>
    <w:rsid w:val="00434ED3"/>
    <w:rsid w:val="004412A3"/>
    <w:rsid w:val="0044473D"/>
    <w:rsid w:val="0046587E"/>
    <w:rsid w:val="00473556"/>
    <w:rsid w:val="004740B7"/>
    <w:rsid w:val="004774FB"/>
    <w:rsid w:val="00495714"/>
    <w:rsid w:val="004970DD"/>
    <w:rsid w:val="004B05CC"/>
    <w:rsid w:val="004B5B50"/>
    <w:rsid w:val="004C1ACE"/>
    <w:rsid w:val="004C1F67"/>
    <w:rsid w:val="004C2F28"/>
    <w:rsid w:val="004C450E"/>
    <w:rsid w:val="004C7598"/>
    <w:rsid w:val="004D5276"/>
    <w:rsid w:val="004E2B7D"/>
    <w:rsid w:val="004E4D95"/>
    <w:rsid w:val="004F6D7F"/>
    <w:rsid w:val="004F7DD9"/>
    <w:rsid w:val="005056FD"/>
    <w:rsid w:val="00524E2E"/>
    <w:rsid w:val="00524ED1"/>
    <w:rsid w:val="00525CE5"/>
    <w:rsid w:val="00532B69"/>
    <w:rsid w:val="0053461A"/>
    <w:rsid w:val="00546761"/>
    <w:rsid w:val="00554EA4"/>
    <w:rsid w:val="0057085C"/>
    <w:rsid w:val="005A1E73"/>
    <w:rsid w:val="005B6B09"/>
    <w:rsid w:val="005C1D72"/>
    <w:rsid w:val="005C250D"/>
    <w:rsid w:val="005C54C5"/>
    <w:rsid w:val="005C55DC"/>
    <w:rsid w:val="005C58F8"/>
    <w:rsid w:val="005C67C0"/>
    <w:rsid w:val="005F6FC8"/>
    <w:rsid w:val="0060175B"/>
    <w:rsid w:val="00617313"/>
    <w:rsid w:val="00620357"/>
    <w:rsid w:val="0062350F"/>
    <w:rsid w:val="006246D0"/>
    <w:rsid w:val="00634BC0"/>
    <w:rsid w:val="00647DF2"/>
    <w:rsid w:val="00651C75"/>
    <w:rsid w:val="0065751E"/>
    <w:rsid w:val="006671F4"/>
    <w:rsid w:val="006738E5"/>
    <w:rsid w:val="00674844"/>
    <w:rsid w:val="00691CBC"/>
    <w:rsid w:val="006A072D"/>
    <w:rsid w:val="006A3207"/>
    <w:rsid w:val="006B234E"/>
    <w:rsid w:val="006D0B60"/>
    <w:rsid w:val="006D7C04"/>
    <w:rsid w:val="006E02D3"/>
    <w:rsid w:val="006E2AE5"/>
    <w:rsid w:val="006E3AFC"/>
    <w:rsid w:val="0070339F"/>
    <w:rsid w:val="00723F75"/>
    <w:rsid w:val="007400CF"/>
    <w:rsid w:val="00742444"/>
    <w:rsid w:val="007505AC"/>
    <w:rsid w:val="007632CE"/>
    <w:rsid w:val="00765984"/>
    <w:rsid w:val="0076690A"/>
    <w:rsid w:val="00767DCE"/>
    <w:rsid w:val="00792123"/>
    <w:rsid w:val="00793CAD"/>
    <w:rsid w:val="007A6278"/>
    <w:rsid w:val="007B49AD"/>
    <w:rsid w:val="007C0523"/>
    <w:rsid w:val="007C5610"/>
    <w:rsid w:val="007D141C"/>
    <w:rsid w:val="007F7C51"/>
    <w:rsid w:val="00800849"/>
    <w:rsid w:val="00800B0F"/>
    <w:rsid w:val="00802056"/>
    <w:rsid w:val="00802A1B"/>
    <w:rsid w:val="008160C2"/>
    <w:rsid w:val="00816603"/>
    <w:rsid w:val="0083258E"/>
    <w:rsid w:val="00845FCB"/>
    <w:rsid w:val="008639B9"/>
    <w:rsid w:val="00865F04"/>
    <w:rsid w:val="008703F9"/>
    <w:rsid w:val="00871F4E"/>
    <w:rsid w:val="00886AF5"/>
    <w:rsid w:val="00891B7E"/>
    <w:rsid w:val="0089363B"/>
    <w:rsid w:val="00894E6A"/>
    <w:rsid w:val="00895EE8"/>
    <w:rsid w:val="008A1C32"/>
    <w:rsid w:val="008A573C"/>
    <w:rsid w:val="008B2977"/>
    <w:rsid w:val="008B7A14"/>
    <w:rsid w:val="008C4A4B"/>
    <w:rsid w:val="008D18D0"/>
    <w:rsid w:val="008D34A7"/>
    <w:rsid w:val="008D3644"/>
    <w:rsid w:val="008D402E"/>
    <w:rsid w:val="008D71EA"/>
    <w:rsid w:val="008E05CF"/>
    <w:rsid w:val="008E39ED"/>
    <w:rsid w:val="008E7B8B"/>
    <w:rsid w:val="00900EA9"/>
    <w:rsid w:val="00902AFE"/>
    <w:rsid w:val="00912E9B"/>
    <w:rsid w:val="00914BD2"/>
    <w:rsid w:val="0091534C"/>
    <w:rsid w:val="009214CF"/>
    <w:rsid w:val="00943F82"/>
    <w:rsid w:val="00953C52"/>
    <w:rsid w:val="00955C0F"/>
    <w:rsid w:val="00956353"/>
    <w:rsid w:val="00967146"/>
    <w:rsid w:val="009762A6"/>
    <w:rsid w:val="0098538D"/>
    <w:rsid w:val="00995A00"/>
    <w:rsid w:val="009A6D20"/>
    <w:rsid w:val="009B0A20"/>
    <w:rsid w:val="009B1EA4"/>
    <w:rsid w:val="009B3BD0"/>
    <w:rsid w:val="009B53E3"/>
    <w:rsid w:val="009B70B5"/>
    <w:rsid w:val="009C0C11"/>
    <w:rsid w:val="009D0C9C"/>
    <w:rsid w:val="009D45FC"/>
    <w:rsid w:val="009F4F41"/>
    <w:rsid w:val="00A02D76"/>
    <w:rsid w:val="00A06249"/>
    <w:rsid w:val="00A07920"/>
    <w:rsid w:val="00A11C70"/>
    <w:rsid w:val="00A14102"/>
    <w:rsid w:val="00A42A57"/>
    <w:rsid w:val="00A4344E"/>
    <w:rsid w:val="00A502CE"/>
    <w:rsid w:val="00A56288"/>
    <w:rsid w:val="00A64FF9"/>
    <w:rsid w:val="00A6569E"/>
    <w:rsid w:val="00A66074"/>
    <w:rsid w:val="00A66217"/>
    <w:rsid w:val="00A66EAA"/>
    <w:rsid w:val="00A716E1"/>
    <w:rsid w:val="00A82C2F"/>
    <w:rsid w:val="00A94563"/>
    <w:rsid w:val="00AA31C7"/>
    <w:rsid w:val="00AB1689"/>
    <w:rsid w:val="00AC1151"/>
    <w:rsid w:val="00AC1EF9"/>
    <w:rsid w:val="00AC3BB1"/>
    <w:rsid w:val="00AC3EF8"/>
    <w:rsid w:val="00AE4F5A"/>
    <w:rsid w:val="00AE6FB8"/>
    <w:rsid w:val="00AF3B74"/>
    <w:rsid w:val="00AF701F"/>
    <w:rsid w:val="00B133CB"/>
    <w:rsid w:val="00B36ACB"/>
    <w:rsid w:val="00B40BE9"/>
    <w:rsid w:val="00B445DE"/>
    <w:rsid w:val="00B516FA"/>
    <w:rsid w:val="00B54AFC"/>
    <w:rsid w:val="00B571FB"/>
    <w:rsid w:val="00B640F9"/>
    <w:rsid w:val="00B9047C"/>
    <w:rsid w:val="00B94779"/>
    <w:rsid w:val="00BB17BD"/>
    <w:rsid w:val="00BC0250"/>
    <w:rsid w:val="00BD37AE"/>
    <w:rsid w:val="00BF7F08"/>
    <w:rsid w:val="00C11F17"/>
    <w:rsid w:val="00C31780"/>
    <w:rsid w:val="00C40485"/>
    <w:rsid w:val="00C517BB"/>
    <w:rsid w:val="00C526A9"/>
    <w:rsid w:val="00C54E1F"/>
    <w:rsid w:val="00C76408"/>
    <w:rsid w:val="00C77BC0"/>
    <w:rsid w:val="00C814FF"/>
    <w:rsid w:val="00C831B3"/>
    <w:rsid w:val="00C91D19"/>
    <w:rsid w:val="00C95CFE"/>
    <w:rsid w:val="00CA3BA3"/>
    <w:rsid w:val="00CA546D"/>
    <w:rsid w:val="00CA62B1"/>
    <w:rsid w:val="00CB18EE"/>
    <w:rsid w:val="00CB62A5"/>
    <w:rsid w:val="00CD07AC"/>
    <w:rsid w:val="00CD47F5"/>
    <w:rsid w:val="00CE4368"/>
    <w:rsid w:val="00CF2582"/>
    <w:rsid w:val="00CF4125"/>
    <w:rsid w:val="00CF7799"/>
    <w:rsid w:val="00D02546"/>
    <w:rsid w:val="00D05E9B"/>
    <w:rsid w:val="00D1518C"/>
    <w:rsid w:val="00D346C4"/>
    <w:rsid w:val="00D42C90"/>
    <w:rsid w:val="00D44452"/>
    <w:rsid w:val="00D44C29"/>
    <w:rsid w:val="00D63108"/>
    <w:rsid w:val="00D63969"/>
    <w:rsid w:val="00D74FD5"/>
    <w:rsid w:val="00D76DCE"/>
    <w:rsid w:val="00D90A8B"/>
    <w:rsid w:val="00DB7BEF"/>
    <w:rsid w:val="00DD34FC"/>
    <w:rsid w:val="00DE40BE"/>
    <w:rsid w:val="00DE6F95"/>
    <w:rsid w:val="00DF4498"/>
    <w:rsid w:val="00E02D95"/>
    <w:rsid w:val="00E120C9"/>
    <w:rsid w:val="00E17BDF"/>
    <w:rsid w:val="00E26533"/>
    <w:rsid w:val="00E26D85"/>
    <w:rsid w:val="00E32875"/>
    <w:rsid w:val="00E3645A"/>
    <w:rsid w:val="00E401C4"/>
    <w:rsid w:val="00E405BD"/>
    <w:rsid w:val="00E501D7"/>
    <w:rsid w:val="00E531C0"/>
    <w:rsid w:val="00E536CF"/>
    <w:rsid w:val="00E60FD8"/>
    <w:rsid w:val="00E71D7B"/>
    <w:rsid w:val="00E90D8B"/>
    <w:rsid w:val="00E965C7"/>
    <w:rsid w:val="00EA2973"/>
    <w:rsid w:val="00EA5D1F"/>
    <w:rsid w:val="00ED0788"/>
    <w:rsid w:val="00ED4DD6"/>
    <w:rsid w:val="00ED7FBE"/>
    <w:rsid w:val="00EE7272"/>
    <w:rsid w:val="00EF05DF"/>
    <w:rsid w:val="00EF5657"/>
    <w:rsid w:val="00F0551D"/>
    <w:rsid w:val="00F11094"/>
    <w:rsid w:val="00F11CBE"/>
    <w:rsid w:val="00F25B8A"/>
    <w:rsid w:val="00F35C4F"/>
    <w:rsid w:val="00F47920"/>
    <w:rsid w:val="00F507AB"/>
    <w:rsid w:val="00F56C90"/>
    <w:rsid w:val="00F814D9"/>
    <w:rsid w:val="00F82F1B"/>
    <w:rsid w:val="00F91E46"/>
    <w:rsid w:val="00F9511A"/>
    <w:rsid w:val="00FA15AB"/>
    <w:rsid w:val="00FB4398"/>
    <w:rsid w:val="00FB4DE6"/>
    <w:rsid w:val="00FB5745"/>
    <w:rsid w:val="00FC675E"/>
    <w:rsid w:val="00FC6E48"/>
    <w:rsid w:val="00FD2A06"/>
    <w:rsid w:val="00FD319F"/>
    <w:rsid w:val="00FD362F"/>
    <w:rsid w:val="00FD513E"/>
    <w:rsid w:val="00FE14DC"/>
    <w:rsid w:val="00FE5289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A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E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7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E3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5"/>
  </w:style>
  <w:style w:type="paragraph" w:styleId="BalloonText">
    <w:name w:val="Balloon Text"/>
    <w:basedOn w:val="Normal"/>
    <w:link w:val="BalloonTextChar"/>
    <w:uiPriority w:val="99"/>
    <w:semiHidden/>
    <w:unhideWhenUsed/>
    <w:rsid w:val="00E328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DefaultParagraphFont"/>
    <w:rsid w:val="002E2A82"/>
  </w:style>
  <w:style w:type="paragraph" w:styleId="Header">
    <w:name w:val="header"/>
    <w:basedOn w:val="Normal"/>
    <w:link w:val="HeaderChar"/>
    <w:uiPriority w:val="99"/>
    <w:unhideWhenUsed/>
    <w:rsid w:val="00802A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02A1B"/>
  </w:style>
  <w:style w:type="paragraph" w:customStyle="1" w:styleId="Default">
    <w:name w:val="Default"/>
    <w:rsid w:val="00AE4F5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B60"/>
    <w:rPr>
      <w:i/>
      <w:iCs/>
    </w:rPr>
  </w:style>
  <w:style w:type="paragraph" w:styleId="PlainText">
    <w:name w:val="Plain Text"/>
    <w:basedOn w:val="Normal"/>
    <w:link w:val="PlainTextChar"/>
    <w:semiHidden/>
    <w:unhideWhenUsed/>
    <w:rsid w:val="00CA546D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CA546D"/>
    <w:rPr>
      <w:rFonts w:ascii="宋体" w:eastAsia="宋体" w:hAnsi="Courier New" w:cs="Courier New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2D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A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E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7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E3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5"/>
  </w:style>
  <w:style w:type="paragraph" w:styleId="BalloonText">
    <w:name w:val="Balloon Text"/>
    <w:basedOn w:val="Normal"/>
    <w:link w:val="BalloonTextChar"/>
    <w:uiPriority w:val="99"/>
    <w:semiHidden/>
    <w:unhideWhenUsed/>
    <w:rsid w:val="00E328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DefaultParagraphFont"/>
    <w:rsid w:val="002E2A82"/>
  </w:style>
  <w:style w:type="paragraph" w:styleId="Header">
    <w:name w:val="header"/>
    <w:basedOn w:val="Normal"/>
    <w:link w:val="HeaderChar"/>
    <w:uiPriority w:val="99"/>
    <w:unhideWhenUsed/>
    <w:rsid w:val="00802A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02A1B"/>
  </w:style>
  <w:style w:type="paragraph" w:customStyle="1" w:styleId="Default">
    <w:name w:val="Default"/>
    <w:rsid w:val="00AE4F5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B60"/>
    <w:rPr>
      <w:i/>
      <w:iCs/>
    </w:rPr>
  </w:style>
  <w:style w:type="paragraph" w:styleId="PlainText">
    <w:name w:val="Plain Text"/>
    <w:basedOn w:val="Normal"/>
    <w:link w:val="PlainTextChar"/>
    <w:semiHidden/>
    <w:unhideWhenUsed/>
    <w:rsid w:val="00CA546D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CA546D"/>
    <w:rPr>
      <w:rFonts w:ascii="宋体" w:eastAsia="宋体" w:hAnsi="Courier New" w:cs="Courier New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2D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44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3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9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67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7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0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7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5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8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7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chlee1@cu.ac.k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F5B4-1FE8-104A-AAA2-69D24E7C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4062</Words>
  <Characters>23157</Characters>
  <Application>Microsoft Macintosh Word</Application>
  <DocSecurity>0</DocSecurity>
  <Lines>192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UserNet</Company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Na Ma</cp:lastModifiedBy>
  <cp:revision>2</cp:revision>
  <cp:lastPrinted>2016-04-07T12:18:00Z</cp:lastPrinted>
  <dcterms:created xsi:type="dcterms:W3CDTF">2016-06-03T02:58:00Z</dcterms:created>
  <dcterms:modified xsi:type="dcterms:W3CDTF">2016-06-03T02:58:00Z</dcterms:modified>
</cp:coreProperties>
</file>