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31B" w:rsidRPr="00E82006" w:rsidRDefault="00BD531B" w:rsidP="00162A81">
      <w:pPr>
        <w:adjustRightInd w:val="0"/>
        <w:snapToGrid w:val="0"/>
        <w:spacing w:after="0" w:line="360" w:lineRule="auto"/>
        <w:jc w:val="both"/>
        <w:rPr>
          <w:rFonts w:ascii="Book Antiqua" w:hAnsi="Book Antiqua"/>
          <w:b/>
          <w:sz w:val="24"/>
          <w:szCs w:val="24"/>
        </w:rPr>
      </w:pPr>
      <w:r w:rsidRPr="00E82006">
        <w:rPr>
          <w:rFonts w:ascii="Book Antiqua" w:hAnsi="Book Antiqua"/>
          <w:b/>
          <w:sz w:val="24"/>
          <w:szCs w:val="24"/>
        </w:rPr>
        <w:t xml:space="preserve">Name of Journal: </w:t>
      </w:r>
      <w:r w:rsidRPr="00E82006">
        <w:rPr>
          <w:rFonts w:ascii="Book Antiqua" w:hAnsi="Book Antiqua" w:cs="Segoe UI"/>
          <w:b/>
          <w:color w:val="212121"/>
          <w:sz w:val="24"/>
          <w:szCs w:val="24"/>
          <w:shd w:val="clear" w:color="auto" w:fill="FFFFFF"/>
        </w:rPr>
        <w:t>World Journal of Gastroenterology</w:t>
      </w:r>
    </w:p>
    <w:p w:rsidR="00407DA1" w:rsidRPr="00E82006" w:rsidRDefault="008C5321" w:rsidP="00162A81">
      <w:pPr>
        <w:pStyle w:val="NoSpacing"/>
        <w:adjustRightInd w:val="0"/>
        <w:snapToGrid w:val="0"/>
        <w:spacing w:line="360" w:lineRule="auto"/>
        <w:jc w:val="both"/>
        <w:rPr>
          <w:rFonts w:ascii="Book Antiqua" w:hAnsi="Book Antiqua"/>
          <w:b/>
          <w:sz w:val="24"/>
          <w:szCs w:val="24"/>
        </w:rPr>
      </w:pPr>
      <w:r w:rsidRPr="00E82006">
        <w:rPr>
          <w:rFonts w:ascii="Book Antiqua" w:hAnsi="Book Antiqua"/>
          <w:b/>
          <w:sz w:val="24"/>
          <w:szCs w:val="24"/>
          <w:shd w:val="clear" w:color="auto" w:fill="FFFFFF"/>
        </w:rPr>
        <w:t xml:space="preserve">Manuscript </w:t>
      </w:r>
      <w:r w:rsidR="00407DA1" w:rsidRPr="00E82006">
        <w:rPr>
          <w:rFonts w:ascii="Book Antiqua" w:hAnsi="Book Antiqua"/>
          <w:b/>
          <w:sz w:val="24"/>
          <w:szCs w:val="24"/>
          <w:shd w:val="clear" w:color="auto" w:fill="FFFFFF"/>
        </w:rPr>
        <w:t xml:space="preserve">Number: </w:t>
      </w:r>
      <w:r w:rsidRPr="00E82006">
        <w:rPr>
          <w:rFonts w:ascii="Book Antiqua" w:hAnsi="Book Antiqua"/>
          <w:b/>
          <w:sz w:val="24"/>
          <w:szCs w:val="24"/>
          <w:shd w:val="clear" w:color="auto" w:fill="FFFFFF"/>
        </w:rPr>
        <w:t>25150</w:t>
      </w:r>
    </w:p>
    <w:p w:rsidR="00BD531B" w:rsidRPr="00E82006" w:rsidRDefault="00BD531B" w:rsidP="00162A81">
      <w:pPr>
        <w:adjustRightInd w:val="0"/>
        <w:snapToGrid w:val="0"/>
        <w:spacing w:after="0" w:line="360" w:lineRule="auto"/>
        <w:jc w:val="both"/>
        <w:rPr>
          <w:rFonts w:ascii="Book Antiqua" w:hAnsi="Book Antiqua"/>
          <w:b/>
          <w:sz w:val="24"/>
          <w:szCs w:val="24"/>
        </w:rPr>
      </w:pPr>
      <w:r w:rsidRPr="00E82006">
        <w:rPr>
          <w:rFonts w:ascii="Book Antiqua" w:hAnsi="Book Antiqua"/>
          <w:b/>
          <w:sz w:val="24"/>
          <w:szCs w:val="24"/>
        </w:rPr>
        <w:t xml:space="preserve">Manuscript Type: </w:t>
      </w:r>
      <w:r w:rsidRPr="00E82006">
        <w:rPr>
          <w:rFonts w:ascii="Book Antiqua" w:hAnsi="Book Antiqua"/>
          <w:b/>
          <w:caps/>
          <w:sz w:val="24"/>
          <w:szCs w:val="24"/>
        </w:rPr>
        <w:t>Review</w:t>
      </w:r>
      <w:r w:rsidRPr="00E82006">
        <w:rPr>
          <w:rFonts w:ascii="Book Antiqua" w:hAnsi="Book Antiqua"/>
          <w:b/>
          <w:sz w:val="24"/>
          <w:szCs w:val="24"/>
        </w:rPr>
        <w:t xml:space="preserve"> </w:t>
      </w:r>
    </w:p>
    <w:p w:rsidR="00CB598B" w:rsidRPr="00E82006" w:rsidRDefault="00CB598B" w:rsidP="00162A81">
      <w:pPr>
        <w:adjustRightInd w:val="0"/>
        <w:snapToGrid w:val="0"/>
        <w:spacing w:after="0" w:line="360" w:lineRule="auto"/>
        <w:jc w:val="both"/>
        <w:rPr>
          <w:rFonts w:ascii="Book Antiqua" w:hAnsi="Book Antiqua"/>
          <w:sz w:val="24"/>
          <w:szCs w:val="24"/>
          <w:lang w:eastAsia="zh-CN"/>
        </w:rPr>
      </w:pPr>
    </w:p>
    <w:p w:rsidR="00AA40B9" w:rsidRDefault="00AA40B9" w:rsidP="00162A81">
      <w:pPr>
        <w:adjustRightInd w:val="0"/>
        <w:snapToGrid w:val="0"/>
        <w:spacing w:after="0" w:line="360" w:lineRule="auto"/>
        <w:jc w:val="both"/>
        <w:rPr>
          <w:rFonts w:ascii="Book Antiqua" w:hAnsi="Book Antiqua"/>
          <w:b/>
          <w:sz w:val="24"/>
          <w:szCs w:val="24"/>
          <w:lang w:eastAsia="zh-CN"/>
        </w:rPr>
      </w:pPr>
      <w:r w:rsidRPr="00AA40B9">
        <w:rPr>
          <w:rFonts w:ascii="Book Antiqua" w:hAnsi="Book Antiqua"/>
          <w:b/>
          <w:sz w:val="24"/>
          <w:szCs w:val="24"/>
        </w:rPr>
        <w:t>Current and emerging therapies in unresectable and recurrent gastric cancer</w:t>
      </w:r>
    </w:p>
    <w:p w:rsidR="00AA40B9" w:rsidRPr="00E82006" w:rsidRDefault="00AA40B9" w:rsidP="00162A81">
      <w:pPr>
        <w:adjustRightInd w:val="0"/>
        <w:snapToGrid w:val="0"/>
        <w:spacing w:after="0" w:line="360" w:lineRule="auto"/>
        <w:jc w:val="both"/>
        <w:rPr>
          <w:rFonts w:ascii="Book Antiqua" w:hAnsi="Book Antiqua"/>
          <w:sz w:val="24"/>
          <w:szCs w:val="24"/>
          <w:lang w:eastAsia="zh-CN"/>
        </w:rPr>
      </w:pPr>
    </w:p>
    <w:p w:rsidR="00CB598B" w:rsidRPr="00E82006" w:rsidRDefault="004352E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 xml:space="preserve">Jou </w:t>
      </w:r>
      <w:r w:rsidRPr="00E82006">
        <w:rPr>
          <w:rFonts w:ascii="Book Antiqua" w:hAnsi="Book Antiqua"/>
          <w:sz w:val="24"/>
          <w:szCs w:val="24"/>
          <w:lang w:eastAsia="zh-CN"/>
        </w:rPr>
        <w:t xml:space="preserve">E </w:t>
      </w:r>
      <w:r w:rsidR="00EC2237" w:rsidRPr="00EC2237">
        <w:rPr>
          <w:rFonts w:ascii="Book Antiqua" w:hAnsi="Book Antiqua"/>
          <w:i/>
          <w:sz w:val="24"/>
          <w:szCs w:val="24"/>
          <w:lang w:eastAsia="zh-CN"/>
        </w:rPr>
        <w:t>et al</w:t>
      </w:r>
      <w:r w:rsidRPr="00E82006">
        <w:rPr>
          <w:rFonts w:ascii="Book Antiqua" w:hAnsi="Book Antiqua"/>
          <w:sz w:val="24"/>
          <w:szCs w:val="24"/>
          <w:lang w:eastAsia="zh-CN"/>
        </w:rPr>
        <w:t xml:space="preserve">. </w:t>
      </w:r>
      <w:r w:rsidR="00CB598B" w:rsidRPr="00E82006">
        <w:rPr>
          <w:rFonts w:ascii="Book Antiqua" w:hAnsi="Book Antiqua"/>
          <w:sz w:val="24"/>
          <w:szCs w:val="24"/>
        </w:rPr>
        <w:t>Therapie</w:t>
      </w:r>
      <w:r w:rsidRPr="00E82006">
        <w:rPr>
          <w:rFonts w:ascii="Book Antiqua" w:hAnsi="Book Antiqua"/>
          <w:sz w:val="24"/>
          <w:szCs w:val="24"/>
        </w:rPr>
        <w:t>s for advanced gastric can</w:t>
      </w:r>
      <w:r w:rsidR="00CB598B" w:rsidRPr="00E82006">
        <w:rPr>
          <w:rFonts w:ascii="Book Antiqua" w:hAnsi="Book Antiqua"/>
          <w:sz w:val="24"/>
          <w:szCs w:val="24"/>
        </w:rPr>
        <w:t>cer</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Erin Jou, Lakshmi Rajdev</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144C82" w:rsidP="00162A81">
      <w:pPr>
        <w:adjustRightInd w:val="0"/>
        <w:snapToGrid w:val="0"/>
        <w:spacing w:after="0" w:line="360" w:lineRule="auto"/>
        <w:jc w:val="both"/>
        <w:rPr>
          <w:rFonts w:ascii="Book Antiqua" w:hAnsi="Book Antiqua"/>
          <w:sz w:val="24"/>
          <w:szCs w:val="24"/>
          <w:lang w:eastAsia="zh-CN"/>
        </w:rPr>
      </w:pPr>
      <w:r w:rsidRPr="00E82006">
        <w:rPr>
          <w:rFonts w:ascii="Book Antiqua" w:hAnsi="Book Antiqua"/>
          <w:b/>
          <w:sz w:val="24"/>
          <w:szCs w:val="24"/>
        </w:rPr>
        <w:t>Erin Jou, Lakshmi Rajdev,</w:t>
      </w:r>
      <w:r w:rsidRPr="00E82006">
        <w:rPr>
          <w:rFonts w:ascii="Book Antiqua" w:hAnsi="Book Antiqua"/>
          <w:sz w:val="24"/>
          <w:szCs w:val="24"/>
        </w:rPr>
        <w:t xml:space="preserve"> Department of Oncology, Montefiore Medical Center/Albert Einstein College of</w:t>
      </w:r>
      <w:r w:rsidR="00501199" w:rsidRPr="00E82006">
        <w:rPr>
          <w:rFonts w:ascii="Book Antiqua" w:hAnsi="Book Antiqua"/>
          <w:sz w:val="24"/>
          <w:szCs w:val="24"/>
        </w:rPr>
        <w:t xml:space="preserve"> Medicine, Bronx, NY 10467, U</w:t>
      </w:r>
      <w:r w:rsidR="00501199" w:rsidRPr="00E82006">
        <w:rPr>
          <w:rFonts w:ascii="Book Antiqua" w:hAnsi="Book Antiqua"/>
          <w:sz w:val="24"/>
          <w:szCs w:val="24"/>
          <w:lang w:eastAsia="zh-CN"/>
        </w:rPr>
        <w:t>nited States</w:t>
      </w:r>
    </w:p>
    <w:p w:rsidR="00CB598B" w:rsidRPr="00E82006" w:rsidRDefault="00CB598B" w:rsidP="00162A81">
      <w:pPr>
        <w:adjustRightInd w:val="0"/>
        <w:snapToGrid w:val="0"/>
        <w:spacing w:after="0" w:line="360" w:lineRule="auto"/>
        <w:jc w:val="both"/>
        <w:rPr>
          <w:rFonts w:ascii="Book Antiqua" w:hAnsi="Book Antiqua"/>
          <w:sz w:val="24"/>
          <w:szCs w:val="24"/>
        </w:rPr>
      </w:pPr>
    </w:p>
    <w:p w:rsidR="00CB598B" w:rsidRPr="00E82006" w:rsidRDefault="00CB598B"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Author contributions:</w:t>
      </w:r>
      <w:r w:rsidRPr="00E82006">
        <w:rPr>
          <w:rFonts w:ascii="Book Antiqua" w:hAnsi="Book Antiqua"/>
          <w:sz w:val="24"/>
          <w:szCs w:val="24"/>
        </w:rPr>
        <w:t xml:space="preserve"> Jou E and Rajdev L contributed equally to this work. </w:t>
      </w:r>
    </w:p>
    <w:p w:rsidR="00CB598B" w:rsidRPr="00E82006" w:rsidRDefault="00CB598B" w:rsidP="00162A81">
      <w:pPr>
        <w:adjustRightInd w:val="0"/>
        <w:snapToGrid w:val="0"/>
        <w:spacing w:after="0" w:line="360" w:lineRule="auto"/>
        <w:jc w:val="both"/>
        <w:rPr>
          <w:rFonts w:ascii="Book Antiqua" w:hAnsi="Book Antiqua"/>
          <w:sz w:val="24"/>
          <w:szCs w:val="24"/>
        </w:rPr>
      </w:pPr>
    </w:p>
    <w:p w:rsidR="00EE752E" w:rsidRPr="00E82006" w:rsidRDefault="00CB598B"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Conflict-of-interest statement:</w:t>
      </w:r>
      <w:r w:rsidRPr="00E82006">
        <w:rPr>
          <w:rFonts w:ascii="Book Antiqua" w:hAnsi="Book Antiqua"/>
          <w:sz w:val="24"/>
          <w:szCs w:val="24"/>
        </w:rPr>
        <w:t xml:space="preserve"> The authors declare that they have no conflict of interest.</w:t>
      </w:r>
    </w:p>
    <w:p w:rsidR="00CB598B" w:rsidRPr="00E82006" w:rsidRDefault="00CB598B" w:rsidP="00162A81">
      <w:pPr>
        <w:adjustRightInd w:val="0"/>
        <w:snapToGrid w:val="0"/>
        <w:spacing w:after="0" w:line="360" w:lineRule="auto"/>
        <w:jc w:val="both"/>
        <w:rPr>
          <w:rFonts w:ascii="Book Antiqua" w:hAnsi="Book Antiqua"/>
          <w:sz w:val="24"/>
          <w:szCs w:val="24"/>
          <w:lang w:eastAsia="zh-CN"/>
        </w:rPr>
      </w:pPr>
    </w:p>
    <w:p w:rsidR="003C2B3E" w:rsidRPr="00E82006" w:rsidRDefault="003C2B3E" w:rsidP="00162A81">
      <w:pPr>
        <w:adjustRightInd w:val="0"/>
        <w:snapToGrid w:val="0"/>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82006">
        <w:rPr>
          <w:rFonts w:ascii="Book Antiqua" w:hAnsi="Book Antiqua"/>
          <w:b/>
          <w:sz w:val="24"/>
          <w:szCs w:val="24"/>
        </w:rPr>
        <w:t xml:space="preserve">Open-Access: </w:t>
      </w:r>
      <w:r w:rsidRPr="00E8200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C2B3E" w:rsidRPr="00E82006" w:rsidRDefault="003C2B3E" w:rsidP="00162A81">
      <w:pPr>
        <w:adjustRightInd w:val="0"/>
        <w:snapToGrid w:val="0"/>
        <w:spacing w:after="0" w:line="360" w:lineRule="auto"/>
        <w:jc w:val="both"/>
        <w:rPr>
          <w:rFonts w:ascii="Book Antiqua" w:hAnsi="Book Antiqua"/>
          <w:sz w:val="24"/>
          <w:szCs w:val="24"/>
          <w:lang w:eastAsia="zh-CN"/>
        </w:rPr>
      </w:pP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Correspondence to: Lakshmi Rajdev, MD</w:t>
      </w:r>
      <w:r w:rsidR="00D33279" w:rsidRPr="00E82006">
        <w:rPr>
          <w:rFonts w:ascii="Book Antiqua" w:hAnsi="Book Antiqua"/>
          <w:b/>
          <w:sz w:val="24"/>
          <w:szCs w:val="24"/>
          <w:lang w:eastAsia="zh-CN"/>
        </w:rPr>
        <w:t>,</w:t>
      </w:r>
      <w:r w:rsidRPr="00E82006">
        <w:rPr>
          <w:rFonts w:ascii="Book Antiqua" w:hAnsi="Book Antiqua"/>
          <w:sz w:val="24"/>
          <w:szCs w:val="24"/>
        </w:rPr>
        <w:t xml:space="preserve"> Department of Oncology, Montefiore Medical Center/Albert Einstein College of Medicine, 1695 Eastchester Road, Bronx, NY 10461, U</w:t>
      </w:r>
      <w:r w:rsidR="00D33279" w:rsidRPr="00E82006">
        <w:rPr>
          <w:rFonts w:ascii="Book Antiqua" w:hAnsi="Book Antiqua"/>
          <w:sz w:val="24"/>
          <w:szCs w:val="24"/>
          <w:lang w:eastAsia="zh-CN"/>
        </w:rPr>
        <w:t>nited States</w:t>
      </w:r>
      <w:r w:rsidRPr="00E82006">
        <w:rPr>
          <w:rFonts w:ascii="Book Antiqua" w:hAnsi="Book Antiqua"/>
          <w:sz w:val="24"/>
          <w:szCs w:val="24"/>
        </w:rPr>
        <w:t>. lrajdev@montefiore.org</w:t>
      </w: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lastRenderedPageBreak/>
        <w:t>Telephone:</w:t>
      </w:r>
      <w:r w:rsidR="00531892" w:rsidRPr="00E82006">
        <w:rPr>
          <w:rFonts w:ascii="Book Antiqua" w:hAnsi="Book Antiqua"/>
          <w:sz w:val="24"/>
          <w:szCs w:val="24"/>
        </w:rPr>
        <w:t xml:space="preserve"> +1-718-405</w:t>
      </w:r>
      <w:r w:rsidR="003E34AA" w:rsidRPr="00E82006">
        <w:rPr>
          <w:rFonts w:ascii="Book Antiqua" w:hAnsi="Book Antiqua"/>
          <w:sz w:val="24"/>
          <w:szCs w:val="24"/>
        </w:rPr>
        <w:t>8404</w:t>
      </w:r>
    </w:p>
    <w:p w:rsidR="00EE752E" w:rsidRPr="00E82006" w:rsidRDefault="00144C82" w:rsidP="00162A81">
      <w:pPr>
        <w:pStyle w:val="NoSpacing"/>
        <w:adjustRightInd w:val="0"/>
        <w:snapToGrid w:val="0"/>
        <w:spacing w:line="360" w:lineRule="auto"/>
        <w:jc w:val="both"/>
        <w:rPr>
          <w:rFonts w:ascii="Book Antiqua" w:hAnsi="Book Antiqua"/>
          <w:sz w:val="24"/>
          <w:szCs w:val="24"/>
        </w:rPr>
      </w:pPr>
      <w:r w:rsidRPr="00E82006">
        <w:rPr>
          <w:rFonts w:ascii="Book Antiqua" w:hAnsi="Book Antiqua"/>
          <w:b/>
          <w:sz w:val="24"/>
          <w:szCs w:val="24"/>
        </w:rPr>
        <w:t xml:space="preserve">Fax: </w:t>
      </w:r>
      <w:r w:rsidRPr="00E82006">
        <w:rPr>
          <w:rFonts w:ascii="Book Antiqua" w:hAnsi="Book Antiqua"/>
          <w:sz w:val="24"/>
          <w:szCs w:val="24"/>
        </w:rPr>
        <w:t>+1-</w:t>
      </w:r>
      <w:r w:rsidR="00531892" w:rsidRPr="00E82006">
        <w:rPr>
          <w:rFonts w:ascii="Book Antiqua" w:hAnsi="Book Antiqua"/>
          <w:sz w:val="24"/>
          <w:szCs w:val="24"/>
          <w:shd w:val="clear" w:color="auto" w:fill="FFFFFF"/>
        </w:rPr>
        <w:t>718-405</w:t>
      </w:r>
      <w:r w:rsidR="003E34AA" w:rsidRPr="00E82006">
        <w:rPr>
          <w:rFonts w:ascii="Book Antiqua" w:hAnsi="Book Antiqua"/>
          <w:sz w:val="24"/>
          <w:szCs w:val="24"/>
          <w:shd w:val="clear" w:color="auto" w:fill="FFFFFF"/>
        </w:rPr>
        <w:t>8433</w:t>
      </w:r>
      <w:r w:rsidRPr="00E82006">
        <w:rPr>
          <w:rFonts w:ascii="Book Antiqua" w:hAnsi="Book Antiqua"/>
          <w:sz w:val="24"/>
          <w:szCs w:val="24"/>
        </w:rPr>
        <w:t xml:space="preserve"> </w:t>
      </w:r>
    </w:p>
    <w:p w:rsidR="00EE752E" w:rsidRPr="00E82006" w:rsidRDefault="00EE752E" w:rsidP="00162A81">
      <w:pPr>
        <w:adjustRightInd w:val="0"/>
        <w:snapToGrid w:val="0"/>
        <w:spacing w:after="0" w:line="360" w:lineRule="auto"/>
        <w:jc w:val="both"/>
        <w:rPr>
          <w:rFonts w:ascii="Book Antiqua" w:hAnsi="Book Antiqua"/>
          <w:sz w:val="24"/>
          <w:szCs w:val="24"/>
        </w:rPr>
      </w:pPr>
    </w:p>
    <w:p w:rsidR="006E4D14" w:rsidRPr="00E82006" w:rsidRDefault="005A10D8" w:rsidP="00162A81">
      <w:pPr>
        <w:adjustRightInd w:val="0"/>
        <w:snapToGrid w:val="0"/>
        <w:spacing w:after="0" w:line="360" w:lineRule="auto"/>
        <w:jc w:val="both"/>
        <w:rPr>
          <w:rFonts w:ascii="Book Antiqua" w:hAnsi="Book Antiqua"/>
          <w:b/>
          <w:sz w:val="24"/>
          <w:szCs w:val="24"/>
          <w:lang w:eastAsia="zh-CN"/>
        </w:rPr>
      </w:pPr>
      <w:r w:rsidRPr="00E82006">
        <w:rPr>
          <w:rFonts w:ascii="Book Antiqua" w:hAnsi="Book Antiqua"/>
          <w:b/>
          <w:sz w:val="24"/>
          <w:szCs w:val="24"/>
        </w:rPr>
        <w:t>Received:</w:t>
      </w:r>
      <w:r w:rsidRPr="00E82006">
        <w:rPr>
          <w:rFonts w:ascii="Book Antiqua" w:hAnsi="Book Antiqua"/>
          <w:sz w:val="24"/>
          <w:szCs w:val="24"/>
        </w:rPr>
        <w:t xml:space="preserve"> </w:t>
      </w:r>
      <w:r w:rsidR="006E4D14" w:rsidRPr="00E82006">
        <w:rPr>
          <w:rFonts w:ascii="Book Antiqua" w:hAnsi="Book Antiqua"/>
          <w:sz w:val="24"/>
          <w:szCs w:val="24"/>
        </w:rPr>
        <w:t>February</w:t>
      </w:r>
      <w:r w:rsidR="006E4D14" w:rsidRPr="00E82006">
        <w:rPr>
          <w:rFonts w:ascii="Book Antiqua" w:hAnsi="Book Antiqua"/>
          <w:b/>
          <w:sz w:val="24"/>
          <w:szCs w:val="24"/>
        </w:rPr>
        <w:t xml:space="preserve"> </w:t>
      </w:r>
      <w:r w:rsidR="006E4D14" w:rsidRPr="00E82006">
        <w:rPr>
          <w:rFonts w:ascii="Book Antiqua" w:hAnsi="Book Antiqua"/>
          <w:sz w:val="24"/>
          <w:szCs w:val="24"/>
          <w:lang w:eastAsia="zh-CN"/>
        </w:rPr>
        <w:t>25, 2016</w:t>
      </w:r>
    </w:p>
    <w:p w:rsidR="005A10D8" w:rsidRPr="00E82006" w:rsidRDefault="005A10D8"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Peer-review started:</w:t>
      </w:r>
      <w:r w:rsidRPr="00E82006">
        <w:rPr>
          <w:rFonts w:ascii="Book Antiqua" w:hAnsi="Book Antiqua"/>
          <w:sz w:val="24"/>
          <w:szCs w:val="24"/>
        </w:rPr>
        <w:t xml:space="preserve"> </w:t>
      </w:r>
      <w:r w:rsidR="00126007" w:rsidRPr="00E82006">
        <w:rPr>
          <w:rFonts w:ascii="Book Antiqua" w:hAnsi="Book Antiqua"/>
          <w:sz w:val="24"/>
          <w:szCs w:val="24"/>
        </w:rPr>
        <w:t>February</w:t>
      </w:r>
      <w:r w:rsidR="00126007" w:rsidRPr="00E82006">
        <w:rPr>
          <w:rFonts w:ascii="Book Antiqua" w:hAnsi="Book Antiqua"/>
          <w:b/>
          <w:sz w:val="24"/>
          <w:szCs w:val="24"/>
        </w:rPr>
        <w:t xml:space="preserve"> </w:t>
      </w:r>
      <w:r w:rsidR="00126007" w:rsidRPr="00E82006">
        <w:rPr>
          <w:rFonts w:ascii="Book Antiqua" w:hAnsi="Book Antiqua"/>
          <w:sz w:val="24"/>
          <w:szCs w:val="24"/>
          <w:lang w:eastAsia="zh-CN"/>
        </w:rPr>
        <w:t>25, 2016</w:t>
      </w:r>
    </w:p>
    <w:p w:rsidR="005A10D8" w:rsidRPr="00E82006" w:rsidRDefault="005A10D8" w:rsidP="00162A81">
      <w:pPr>
        <w:adjustRightInd w:val="0"/>
        <w:snapToGrid w:val="0"/>
        <w:spacing w:after="0" w:line="360" w:lineRule="auto"/>
        <w:jc w:val="both"/>
        <w:rPr>
          <w:rFonts w:ascii="Book Antiqua" w:hAnsi="Book Antiqua"/>
          <w:sz w:val="24"/>
          <w:szCs w:val="24"/>
          <w:lang w:eastAsia="zh-CN"/>
        </w:rPr>
      </w:pPr>
      <w:r w:rsidRPr="00E82006">
        <w:rPr>
          <w:rFonts w:ascii="Book Antiqua" w:hAnsi="Book Antiqua"/>
          <w:b/>
          <w:sz w:val="24"/>
          <w:szCs w:val="24"/>
        </w:rPr>
        <w:t>First decision:</w:t>
      </w:r>
      <w:r w:rsidRPr="00E82006">
        <w:rPr>
          <w:rFonts w:ascii="Book Antiqua" w:hAnsi="Book Antiqua"/>
          <w:sz w:val="24"/>
          <w:szCs w:val="24"/>
        </w:rPr>
        <w:t xml:space="preserve"> </w:t>
      </w:r>
      <w:r w:rsidR="000D33D3" w:rsidRPr="00E82006">
        <w:rPr>
          <w:rFonts w:ascii="Book Antiqua" w:hAnsi="Book Antiqua"/>
          <w:sz w:val="24"/>
          <w:szCs w:val="24"/>
        </w:rPr>
        <w:t>March</w:t>
      </w:r>
      <w:r w:rsidR="000D33D3" w:rsidRPr="00E82006">
        <w:rPr>
          <w:rFonts w:ascii="Book Antiqua" w:hAnsi="Book Antiqua"/>
          <w:sz w:val="24"/>
          <w:szCs w:val="24"/>
          <w:lang w:eastAsia="zh-CN"/>
        </w:rPr>
        <w:t xml:space="preserve"> 31, 2016</w:t>
      </w:r>
    </w:p>
    <w:p w:rsidR="005A10D8" w:rsidRPr="00E82006" w:rsidRDefault="005A10D8" w:rsidP="00162A81">
      <w:pPr>
        <w:adjustRightInd w:val="0"/>
        <w:snapToGrid w:val="0"/>
        <w:spacing w:after="0" w:line="360" w:lineRule="auto"/>
        <w:jc w:val="both"/>
        <w:rPr>
          <w:rFonts w:ascii="Book Antiqua" w:hAnsi="Book Antiqua"/>
          <w:sz w:val="24"/>
          <w:szCs w:val="24"/>
          <w:lang w:eastAsia="zh-CN"/>
        </w:rPr>
      </w:pPr>
      <w:r w:rsidRPr="00E82006">
        <w:rPr>
          <w:rFonts w:ascii="Book Antiqua" w:hAnsi="Book Antiqua"/>
          <w:b/>
          <w:sz w:val="24"/>
          <w:szCs w:val="24"/>
        </w:rPr>
        <w:t>Revised:</w:t>
      </w:r>
      <w:r w:rsidRPr="00E82006">
        <w:rPr>
          <w:rFonts w:ascii="Book Antiqua" w:hAnsi="Book Antiqua"/>
          <w:sz w:val="24"/>
          <w:szCs w:val="24"/>
        </w:rPr>
        <w:t xml:space="preserve"> </w:t>
      </w:r>
      <w:r w:rsidR="00600500" w:rsidRPr="00E82006">
        <w:rPr>
          <w:rFonts w:ascii="Book Antiqua" w:hAnsi="Book Antiqua"/>
          <w:sz w:val="24"/>
          <w:szCs w:val="24"/>
        </w:rPr>
        <w:t>April</w:t>
      </w:r>
      <w:r w:rsidR="00600500" w:rsidRPr="00E82006">
        <w:rPr>
          <w:rFonts w:ascii="Book Antiqua" w:hAnsi="Book Antiqua"/>
          <w:sz w:val="24"/>
          <w:szCs w:val="24"/>
          <w:lang w:eastAsia="zh-CN"/>
        </w:rPr>
        <w:t xml:space="preserve"> 8, 2016</w:t>
      </w:r>
    </w:p>
    <w:p w:rsidR="00600500" w:rsidRPr="0096486F" w:rsidRDefault="00600500" w:rsidP="0096486F">
      <w:pPr>
        <w:spacing w:line="360" w:lineRule="auto"/>
        <w:rPr>
          <w:rFonts w:ascii="Book Antiqua" w:hAnsi="Book Antiqua"/>
          <w:sz w:val="24"/>
        </w:rPr>
      </w:pPr>
      <w:r w:rsidRPr="00E82006">
        <w:rPr>
          <w:rFonts w:ascii="Book Antiqua" w:hAnsi="Book Antiqua"/>
          <w:b/>
          <w:sz w:val="24"/>
          <w:szCs w:val="24"/>
        </w:rPr>
        <w:t>Accepted:</w:t>
      </w:r>
      <w:r w:rsidR="0096486F" w:rsidRPr="0096486F">
        <w:rPr>
          <w:rFonts w:ascii="Book Antiqua" w:hAnsi="Book Antiqua"/>
          <w:sz w:val="24"/>
        </w:rPr>
        <w:t xml:space="preserve"> </w:t>
      </w:r>
      <w:r w:rsidR="0096486F">
        <w:rPr>
          <w:rFonts w:ascii="Book Antiqua" w:hAnsi="Book Antiqua"/>
          <w:sz w:val="24"/>
        </w:rPr>
        <w:t>April 20</w:t>
      </w:r>
      <w:r w:rsidR="0096486F" w:rsidRPr="005E139A">
        <w:rPr>
          <w:rFonts w:ascii="Book Antiqua" w:hAnsi="Book Antiqua"/>
          <w:sz w:val="24"/>
        </w:rPr>
        <w:t>, 2016</w:t>
      </w:r>
      <w:bookmarkStart w:id="4" w:name="_GoBack"/>
      <w:bookmarkEnd w:id="4"/>
      <w:r w:rsidR="00E82006" w:rsidRPr="00E82006">
        <w:rPr>
          <w:rFonts w:ascii="Book Antiqua" w:hAnsi="Book Antiqua"/>
          <w:b/>
          <w:sz w:val="24"/>
          <w:szCs w:val="24"/>
        </w:rPr>
        <w:t xml:space="preserve"> </w:t>
      </w:r>
    </w:p>
    <w:p w:rsidR="00600500" w:rsidRPr="00E82006" w:rsidRDefault="00600500" w:rsidP="00162A81">
      <w:pPr>
        <w:adjustRightInd w:val="0"/>
        <w:snapToGrid w:val="0"/>
        <w:spacing w:after="0" w:line="360" w:lineRule="auto"/>
        <w:rPr>
          <w:rFonts w:ascii="Book Antiqua" w:hAnsi="Book Antiqua"/>
          <w:b/>
          <w:sz w:val="24"/>
          <w:szCs w:val="24"/>
        </w:rPr>
      </w:pPr>
      <w:r w:rsidRPr="00E82006">
        <w:rPr>
          <w:rFonts w:ascii="Book Antiqua" w:hAnsi="Book Antiqua"/>
          <w:b/>
          <w:sz w:val="24"/>
          <w:szCs w:val="24"/>
        </w:rPr>
        <w:t>Article in press:</w:t>
      </w:r>
    </w:p>
    <w:p w:rsidR="00600500" w:rsidRPr="00E82006" w:rsidRDefault="00600500" w:rsidP="00162A81">
      <w:pPr>
        <w:adjustRightInd w:val="0"/>
        <w:snapToGrid w:val="0"/>
        <w:spacing w:after="0" w:line="360" w:lineRule="auto"/>
        <w:rPr>
          <w:rFonts w:ascii="Book Antiqua" w:hAnsi="Book Antiqua"/>
          <w:sz w:val="24"/>
          <w:szCs w:val="24"/>
        </w:rPr>
      </w:pPr>
      <w:r w:rsidRPr="00E82006">
        <w:rPr>
          <w:rFonts w:ascii="Book Antiqua" w:hAnsi="Book Antiqua"/>
          <w:b/>
          <w:sz w:val="24"/>
          <w:szCs w:val="24"/>
        </w:rPr>
        <w:t>Published online:</w:t>
      </w:r>
    </w:p>
    <w:p w:rsidR="00600500" w:rsidRPr="00E82006" w:rsidRDefault="00600500" w:rsidP="00162A81">
      <w:pPr>
        <w:adjustRightInd w:val="0"/>
        <w:snapToGrid w:val="0"/>
        <w:spacing w:after="0" w:line="360" w:lineRule="auto"/>
        <w:jc w:val="both"/>
        <w:rPr>
          <w:rFonts w:ascii="Book Antiqua" w:hAnsi="Book Antiqua"/>
          <w:b/>
          <w:sz w:val="24"/>
          <w:szCs w:val="24"/>
          <w:u w:val="single"/>
          <w:lang w:eastAsia="zh-CN"/>
        </w:rPr>
      </w:pPr>
      <w:r w:rsidRPr="00E82006">
        <w:rPr>
          <w:rFonts w:ascii="Book Antiqua" w:hAnsi="Book Antiqua"/>
          <w:b/>
          <w:sz w:val="24"/>
          <w:szCs w:val="24"/>
          <w:u w:val="single"/>
          <w:lang w:eastAsia="zh-CN"/>
        </w:rPr>
        <w:br w:type="page"/>
      </w:r>
    </w:p>
    <w:p w:rsidR="00EE752E" w:rsidRPr="00E82006" w:rsidRDefault="00463878"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lastRenderedPageBreak/>
        <w:t>Abstract</w:t>
      </w:r>
      <w:r w:rsidR="00144C82" w:rsidRPr="00E82006">
        <w:rPr>
          <w:rFonts w:ascii="Book Antiqua" w:hAnsi="Book Antiqua"/>
          <w:b/>
          <w:sz w:val="24"/>
          <w:szCs w:val="24"/>
        </w:rPr>
        <w:t xml:space="preserve"> </w:t>
      </w:r>
    </w:p>
    <w:p w:rsidR="00F5289C" w:rsidRPr="00E82006" w:rsidRDefault="00F5289C"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 xml:space="preserve">Gastric cancer is one of the most lethal cancers worldwide despite many advances and options in therapy. As it is often diagnosed at an advanced stage, prognosis is poor with a median overall survival of less than twelve months. Chemotherapy remains the mainstay of treatment for these patients but it confers only a moderate survival advantage. </w:t>
      </w:r>
      <w:r w:rsidRPr="00E82006">
        <w:rPr>
          <w:rFonts w:ascii="Book Antiqua" w:eastAsia="Times New Roman" w:hAnsi="Book Antiqua" w:cs="Times New Roman"/>
          <w:sz w:val="24"/>
          <w:szCs w:val="24"/>
        </w:rPr>
        <w:t xml:space="preserve">There remains a need for new targeted treatment options and a way to </w:t>
      </w:r>
      <w:r w:rsidRPr="00E82006">
        <w:rPr>
          <w:rFonts w:ascii="Book Antiqua" w:hAnsi="Book Antiqua"/>
          <w:sz w:val="24"/>
          <w:szCs w:val="24"/>
          <w:highlight w:val="white"/>
        </w:rPr>
        <w:t>better define patient populations who will benefit</w:t>
      </w:r>
      <w:r w:rsidRPr="00E82006">
        <w:rPr>
          <w:rFonts w:ascii="Book Antiqua" w:hAnsi="Book Antiqua"/>
          <w:sz w:val="24"/>
          <w:szCs w:val="24"/>
        </w:rPr>
        <w:t xml:space="preserve"> from these agents</w:t>
      </w:r>
      <w:r w:rsidRPr="00E82006">
        <w:rPr>
          <w:rFonts w:ascii="Book Antiqua" w:eastAsia="Times New Roman" w:hAnsi="Book Antiqua" w:cs="Times New Roman"/>
          <w:sz w:val="24"/>
          <w:szCs w:val="24"/>
        </w:rPr>
        <w:t xml:space="preserve">. </w:t>
      </w:r>
      <w:r w:rsidRPr="00E82006">
        <w:rPr>
          <w:rFonts w:ascii="Book Antiqua" w:hAnsi="Book Antiqua"/>
          <w:sz w:val="24"/>
          <w:szCs w:val="24"/>
        </w:rPr>
        <w:t>In the past few years, there has been a better understanding of the biology, molecular profiling, and heterogeneity of gastric cancer. Our increased knowledge has led to the identification of gastric cancer subtypes and to the development of new targeted therapeutic agents. There are now two new targeted agents, trastuzumab and ramucirumab, that have recently been approved for the treatment of advanced and metastatic gastric cancer. There are also many other actively investigated targets, including epidermal growth factor receptor, th</w:t>
      </w:r>
      <w:r w:rsidR="00F05D14" w:rsidRPr="00E82006">
        <w:rPr>
          <w:rFonts w:ascii="Book Antiqua" w:hAnsi="Book Antiqua"/>
          <w:sz w:val="24"/>
          <w:szCs w:val="24"/>
        </w:rPr>
        <w:t>e phosphatadylinositol 3-kinase/protein kinase B/mammalian target of rapamyin</w:t>
      </w:r>
      <w:r w:rsidRPr="00E82006">
        <w:rPr>
          <w:rFonts w:ascii="Book Antiqua" w:hAnsi="Book Antiqua"/>
          <w:sz w:val="24"/>
          <w:szCs w:val="24"/>
        </w:rPr>
        <w:t xml:space="preserve"> pathway, c-Met, poly ADP-ribose polymerase, and immune checkpoint inhibition. In this review, we discuss the current management of advanced gastric cancer as well as emerging targeted therapies and immunotherapy. </w:t>
      </w:r>
    </w:p>
    <w:p w:rsidR="0054018B" w:rsidRPr="00E82006" w:rsidRDefault="0054018B" w:rsidP="00162A81">
      <w:pPr>
        <w:adjustRightInd w:val="0"/>
        <w:snapToGrid w:val="0"/>
        <w:spacing w:after="0" w:line="360" w:lineRule="auto"/>
        <w:jc w:val="both"/>
        <w:rPr>
          <w:rFonts w:ascii="Book Antiqua" w:hAnsi="Book Antiqua"/>
          <w:sz w:val="24"/>
          <w:szCs w:val="24"/>
        </w:rPr>
      </w:pPr>
    </w:p>
    <w:p w:rsidR="00463878" w:rsidRPr="00E82006" w:rsidRDefault="00463878"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Key words:</w:t>
      </w:r>
      <w:r w:rsidRPr="00E82006">
        <w:rPr>
          <w:rFonts w:ascii="Book Antiqua" w:hAnsi="Book Antiqua"/>
          <w:sz w:val="24"/>
          <w:szCs w:val="24"/>
        </w:rPr>
        <w:t xml:space="preserve"> </w:t>
      </w:r>
      <w:r w:rsidR="00201086" w:rsidRPr="00E82006">
        <w:rPr>
          <w:rFonts w:ascii="Book Antiqua" w:hAnsi="Book Antiqua"/>
          <w:sz w:val="24"/>
          <w:szCs w:val="24"/>
        </w:rPr>
        <w:t>Advanced g</w:t>
      </w:r>
      <w:r w:rsidRPr="00E82006">
        <w:rPr>
          <w:rFonts w:ascii="Book Antiqua" w:hAnsi="Book Antiqua"/>
          <w:sz w:val="24"/>
          <w:szCs w:val="24"/>
        </w:rPr>
        <w:t xml:space="preserve">astric cancer; </w:t>
      </w:r>
      <w:r w:rsidR="00201086" w:rsidRPr="00E82006">
        <w:rPr>
          <w:rFonts w:ascii="Book Antiqua" w:hAnsi="Book Antiqua"/>
          <w:sz w:val="24"/>
          <w:szCs w:val="24"/>
        </w:rPr>
        <w:t xml:space="preserve">Targeted therapy; </w:t>
      </w:r>
      <w:r w:rsidRPr="00E82006">
        <w:rPr>
          <w:rFonts w:ascii="Book Antiqua" w:hAnsi="Book Antiqua"/>
          <w:sz w:val="24"/>
          <w:szCs w:val="24"/>
        </w:rPr>
        <w:t xml:space="preserve">Human epidermal growth factor receptor type 2; Vascular endothelial growth factor receptor; Immunotherapy </w:t>
      </w:r>
    </w:p>
    <w:p w:rsidR="00CB598B" w:rsidRPr="00E82006" w:rsidRDefault="00CB598B" w:rsidP="00162A81">
      <w:pPr>
        <w:adjustRightInd w:val="0"/>
        <w:snapToGrid w:val="0"/>
        <w:spacing w:after="0" w:line="360" w:lineRule="auto"/>
        <w:jc w:val="both"/>
        <w:rPr>
          <w:rFonts w:ascii="Book Antiqua" w:hAnsi="Book Antiqua"/>
          <w:sz w:val="24"/>
          <w:szCs w:val="24"/>
          <w:lang w:eastAsia="zh-CN"/>
        </w:rPr>
      </w:pPr>
    </w:p>
    <w:p w:rsidR="00C058BF" w:rsidRPr="00E82006" w:rsidRDefault="00C058BF" w:rsidP="00162A81">
      <w:pPr>
        <w:autoSpaceDE w:val="0"/>
        <w:autoSpaceDN w:val="0"/>
        <w:adjustRightInd w:val="0"/>
        <w:snapToGrid w:val="0"/>
        <w:spacing w:after="0" w:line="360" w:lineRule="auto"/>
        <w:jc w:val="both"/>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E82006">
        <w:rPr>
          <w:rFonts w:ascii="Book Antiqua" w:hAnsi="Book Antiqua"/>
          <w:b/>
          <w:sz w:val="24"/>
          <w:szCs w:val="24"/>
          <w:lang w:val="en-GB"/>
        </w:rPr>
        <w:t xml:space="preserve">© </w:t>
      </w:r>
      <w:r w:rsidRPr="00E82006">
        <w:rPr>
          <w:rFonts w:ascii="Book Antiqua" w:eastAsia="AdvTimes" w:hAnsi="Book Antiqua" w:cs="AdvTimes"/>
          <w:b/>
          <w:sz w:val="24"/>
          <w:szCs w:val="24"/>
        </w:rPr>
        <w:t>The Author(s) 201</w:t>
      </w:r>
      <w:r w:rsidRPr="00E82006">
        <w:rPr>
          <w:rFonts w:ascii="Book Antiqua" w:hAnsi="Book Antiqua" w:cs="AdvTimes"/>
          <w:b/>
          <w:sz w:val="24"/>
          <w:szCs w:val="24"/>
        </w:rPr>
        <w:t>6</w:t>
      </w:r>
      <w:r w:rsidRPr="00E82006">
        <w:rPr>
          <w:rFonts w:ascii="Book Antiqua" w:eastAsia="AdvTimes" w:hAnsi="Book Antiqua" w:cs="AdvTimes"/>
          <w:b/>
          <w:sz w:val="24"/>
          <w:szCs w:val="24"/>
        </w:rPr>
        <w:t>.</w:t>
      </w:r>
      <w:r w:rsidRPr="00E82006">
        <w:rPr>
          <w:rFonts w:ascii="Book Antiqua" w:eastAsia="AdvTimes" w:hAnsi="Book Antiqua" w:cs="AdvTimes"/>
          <w:sz w:val="24"/>
          <w:szCs w:val="24"/>
        </w:rPr>
        <w:t xml:space="preserve"> Published by </w:t>
      </w:r>
      <w:r w:rsidRPr="00E82006">
        <w:rPr>
          <w:rFonts w:ascii="Book Antiqua" w:hAnsi="Book Antiqua" w:cs="Arial Unicode MS"/>
          <w:sz w:val="24"/>
          <w:szCs w:val="24"/>
          <w:lang w:val="en-GB"/>
        </w:rPr>
        <w:t>Baishideng Publishing Group Inc.</w:t>
      </w:r>
      <w:r w:rsidRPr="00E82006">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058BF" w:rsidRPr="00E82006" w:rsidRDefault="00C058BF" w:rsidP="00162A81">
      <w:pPr>
        <w:adjustRightInd w:val="0"/>
        <w:snapToGrid w:val="0"/>
        <w:spacing w:after="0" w:line="360" w:lineRule="auto"/>
        <w:jc w:val="both"/>
        <w:rPr>
          <w:rFonts w:ascii="Book Antiqua" w:hAnsi="Book Antiqua"/>
          <w:sz w:val="24"/>
          <w:szCs w:val="24"/>
          <w:lang w:eastAsia="zh-CN"/>
        </w:rPr>
      </w:pPr>
    </w:p>
    <w:p w:rsidR="00CB598B" w:rsidRPr="00E82006" w:rsidRDefault="00CB598B" w:rsidP="00162A81">
      <w:pPr>
        <w:adjustRightInd w:val="0"/>
        <w:snapToGrid w:val="0"/>
        <w:spacing w:after="0" w:line="360" w:lineRule="auto"/>
        <w:jc w:val="both"/>
        <w:rPr>
          <w:rFonts w:ascii="Book Antiqua" w:hAnsi="Book Antiqua"/>
          <w:sz w:val="24"/>
          <w:szCs w:val="24"/>
        </w:rPr>
      </w:pPr>
      <w:r w:rsidRPr="00E82006">
        <w:rPr>
          <w:rFonts w:ascii="Book Antiqua" w:hAnsi="Book Antiqua"/>
          <w:b/>
          <w:sz w:val="24"/>
          <w:szCs w:val="24"/>
        </w:rPr>
        <w:t>Core tip:</w:t>
      </w:r>
      <w:r w:rsidRPr="00E82006">
        <w:rPr>
          <w:rFonts w:ascii="Book Antiqua" w:hAnsi="Book Antiqua"/>
          <w:sz w:val="24"/>
          <w:szCs w:val="24"/>
        </w:rPr>
        <w:t xml:space="preserve"> Despite many advances in medical and surgical treatments, gastric cancer remains the second leading cause of cancer deaths. There is a greater understanding of the molecular heterogeneity of gastric cancer in recent years, resulting in the development and clinical investigation of different targeted agents. This review will </w:t>
      </w:r>
      <w:r w:rsidRPr="00E82006">
        <w:rPr>
          <w:rFonts w:ascii="Book Antiqua" w:hAnsi="Book Antiqua"/>
          <w:sz w:val="24"/>
          <w:szCs w:val="24"/>
        </w:rPr>
        <w:lastRenderedPageBreak/>
        <w:t xml:space="preserve">discuss </w:t>
      </w:r>
      <w:r w:rsidR="00F5289C" w:rsidRPr="00E82006">
        <w:rPr>
          <w:rFonts w:ascii="Book Antiqua" w:hAnsi="Book Antiqua"/>
          <w:sz w:val="24"/>
          <w:szCs w:val="24"/>
        </w:rPr>
        <w:t xml:space="preserve">current treatment strategies and highlight </w:t>
      </w:r>
      <w:r w:rsidRPr="00E82006">
        <w:rPr>
          <w:rFonts w:ascii="Book Antiqua" w:hAnsi="Book Antiqua"/>
          <w:sz w:val="24"/>
          <w:szCs w:val="24"/>
        </w:rPr>
        <w:t>targeted therapies and emerging drugs for advanced gastric cancer.</w:t>
      </w:r>
      <w:r w:rsidR="00E82006" w:rsidRPr="00E82006">
        <w:rPr>
          <w:rFonts w:ascii="Book Antiqua" w:hAnsi="Book Antiqua"/>
          <w:sz w:val="24"/>
          <w:szCs w:val="24"/>
        </w:rPr>
        <w:t xml:space="preserve"> </w:t>
      </w:r>
    </w:p>
    <w:p w:rsidR="00CB598B" w:rsidRPr="00E82006" w:rsidRDefault="00CB598B" w:rsidP="00162A81">
      <w:pPr>
        <w:adjustRightInd w:val="0"/>
        <w:snapToGrid w:val="0"/>
        <w:spacing w:after="0" w:line="360" w:lineRule="auto"/>
        <w:jc w:val="both"/>
        <w:rPr>
          <w:rFonts w:ascii="Book Antiqua" w:hAnsi="Book Antiqua"/>
          <w:sz w:val="24"/>
          <w:szCs w:val="24"/>
        </w:rPr>
      </w:pPr>
    </w:p>
    <w:p w:rsidR="0046542A" w:rsidRPr="00E82006" w:rsidRDefault="0046542A" w:rsidP="00162A81">
      <w:pPr>
        <w:adjustRightInd w:val="0"/>
        <w:snapToGrid w:val="0"/>
        <w:spacing w:after="0" w:line="360" w:lineRule="auto"/>
        <w:rPr>
          <w:rFonts w:ascii="Book Antiqua" w:hAnsi="Book Antiqua"/>
          <w:sz w:val="24"/>
          <w:szCs w:val="24"/>
        </w:rPr>
      </w:pPr>
      <w:r w:rsidRPr="00E82006">
        <w:rPr>
          <w:rFonts w:ascii="Book Antiqua" w:hAnsi="Book Antiqua"/>
          <w:sz w:val="24"/>
          <w:szCs w:val="24"/>
        </w:rPr>
        <w:t>Jou</w:t>
      </w:r>
      <w:r w:rsidRPr="00E82006">
        <w:rPr>
          <w:rFonts w:ascii="Book Antiqua" w:hAnsi="Book Antiqua"/>
          <w:sz w:val="24"/>
          <w:szCs w:val="24"/>
          <w:lang w:eastAsia="zh-CN"/>
        </w:rPr>
        <w:t xml:space="preserve"> E</w:t>
      </w:r>
      <w:r w:rsidRPr="00E82006">
        <w:rPr>
          <w:rFonts w:ascii="Book Antiqua" w:hAnsi="Book Antiqua"/>
          <w:sz w:val="24"/>
          <w:szCs w:val="24"/>
        </w:rPr>
        <w:t>, Rajdev</w:t>
      </w:r>
      <w:r w:rsidRPr="00E82006">
        <w:rPr>
          <w:rFonts w:ascii="Book Antiqua" w:hAnsi="Book Antiqua"/>
          <w:sz w:val="24"/>
          <w:szCs w:val="24"/>
          <w:lang w:eastAsia="zh-CN"/>
        </w:rPr>
        <w:t xml:space="preserve"> L. </w:t>
      </w:r>
      <w:r w:rsidR="00AA40B9" w:rsidRPr="00AA40B9">
        <w:rPr>
          <w:rFonts w:ascii="Book Antiqua" w:hAnsi="Book Antiqua"/>
          <w:sz w:val="24"/>
          <w:szCs w:val="24"/>
        </w:rPr>
        <w:t>Current and emerging therapies in unresectable and recurrent gastric cancer</w:t>
      </w:r>
      <w:r w:rsidRPr="00E82006">
        <w:rPr>
          <w:rFonts w:ascii="Book Antiqua" w:hAnsi="Book Antiqua"/>
          <w:sz w:val="24"/>
          <w:szCs w:val="24"/>
          <w:lang w:eastAsia="zh-CN"/>
        </w:rPr>
        <w:t xml:space="preserve">. </w:t>
      </w:r>
      <w:r w:rsidRPr="00E82006">
        <w:rPr>
          <w:rFonts w:ascii="Book Antiqua" w:hAnsi="Book Antiqua"/>
          <w:i/>
          <w:sz w:val="24"/>
          <w:szCs w:val="24"/>
        </w:rPr>
        <w:t>World J Gastroenterol</w:t>
      </w:r>
      <w:r w:rsidRPr="00E82006">
        <w:rPr>
          <w:rFonts w:ascii="Book Antiqua" w:hAnsi="Book Antiqua"/>
          <w:sz w:val="24"/>
          <w:szCs w:val="24"/>
        </w:rPr>
        <w:t xml:space="preserve"> 2016; In press</w:t>
      </w:r>
    </w:p>
    <w:p w:rsidR="00EE752E" w:rsidRPr="00E82006" w:rsidRDefault="0046542A" w:rsidP="00162A81">
      <w:pPr>
        <w:adjustRightInd w:val="0"/>
        <w:snapToGrid w:val="0"/>
        <w:spacing w:after="0" w:line="360" w:lineRule="auto"/>
        <w:jc w:val="both"/>
        <w:rPr>
          <w:rFonts w:ascii="Book Antiqua" w:hAnsi="Book Antiqua"/>
          <w:caps/>
          <w:sz w:val="24"/>
          <w:szCs w:val="24"/>
          <w:lang w:eastAsia="zh-CN"/>
        </w:rPr>
      </w:pPr>
      <w:r w:rsidRPr="00E82006">
        <w:rPr>
          <w:rFonts w:ascii="Book Antiqua" w:hAnsi="Book Antiqua"/>
          <w:sz w:val="24"/>
          <w:szCs w:val="24"/>
          <w:lang w:eastAsia="zh-CN"/>
        </w:rPr>
        <w:br w:type="page"/>
      </w:r>
      <w:r w:rsidR="00144C82" w:rsidRPr="00E82006">
        <w:rPr>
          <w:rFonts w:ascii="Book Antiqua" w:hAnsi="Book Antiqua"/>
          <w:b/>
          <w:caps/>
          <w:sz w:val="24"/>
          <w:szCs w:val="24"/>
        </w:rPr>
        <w:lastRenderedPageBreak/>
        <w:t>Introduction</w:t>
      </w: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Gastric cancer is the fourth most common cancer and second leading c</w:t>
      </w:r>
      <w:r w:rsidR="007F4147" w:rsidRPr="00E82006">
        <w:rPr>
          <w:rFonts w:ascii="Book Antiqua" w:hAnsi="Book Antiqua"/>
          <w:sz w:val="24"/>
          <w:szCs w:val="24"/>
        </w:rPr>
        <w:t>ause of cancer deaths worldwide</w:t>
      </w:r>
      <w:r w:rsidRPr="00E82006">
        <w:rPr>
          <w:rFonts w:ascii="Book Antiqua" w:hAnsi="Book Antiqua"/>
          <w:sz w:val="24"/>
          <w:szCs w:val="24"/>
          <w:vertAlign w:val="superscript"/>
        </w:rPr>
        <w:t>[1-3]</w:t>
      </w:r>
      <w:r w:rsidRPr="00E82006">
        <w:rPr>
          <w:rFonts w:ascii="Book Antiqua" w:hAnsi="Book Antiqua"/>
          <w:sz w:val="24"/>
          <w:szCs w:val="24"/>
        </w:rPr>
        <w:t xml:space="preserve">. Gastric cancer is commonly diagnosed at an advanced stage and </w:t>
      </w:r>
      <w:r w:rsidR="00945740" w:rsidRPr="00E82006">
        <w:rPr>
          <w:rFonts w:ascii="Book Antiqua" w:hAnsi="Book Antiqua"/>
          <w:sz w:val="24"/>
          <w:szCs w:val="24"/>
        </w:rPr>
        <w:t xml:space="preserve">those </w:t>
      </w:r>
      <w:r w:rsidRPr="00E82006">
        <w:rPr>
          <w:rFonts w:ascii="Book Antiqua" w:hAnsi="Book Antiqua"/>
          <w:sz w:val="24"/>
          <w:szCs w:val="24"/>
        </w:rPr>
        <w:t>patients</w:t>
      </w:r>
      <w:r w:rsidR="00945740" w:rsidRPr="00E82006">
        <w:rPr>
          <w:rFonts w:ascii="Book Antiqua" w:hAnsi="Book Antiqua"/>
          <w:sz w:val="24"/>
          <w:szCs w:val="24"/>
        </w:rPr>
        <w:t xml:space="preserve"> with advanced disease</w:t>
      </w:r>
      <w:r w:rsidRPr="00E82006">
        <w:rPr>
          <w:rFonts w:ascii="Book Antiqua" w:hAnsi="Book Antiqua"/>
          <w:sz w:val="24"/>
          <w:szCs w:val="24"/>
        </w:rPr>
        <w:t xml:space="preserve"> have a medi</w:t>
      </w:r>
      <w:r w:rsidR="007F4147" w:rsidRPr="00E82006">
        <w:rPr>
          <w:rFonts w:ascii="Book Antiqua" w:hAnsi="Book Antiqua"/>
          <w:sz w:val="24"/>
          <w:szCs w:val="24"/>
        </w:rPr>
        <w:t>an survival of less than 1 year</w:t>
      </w:r>
      <w:r w:rsidRPr="00E82006">
        <w:rPr>
          <w:rFonts w:ascii="Book Antiqua" w:hAnsi="Book Antiqua"/>
          <w:sz w:val="24"/>
          <w:szCs w:val="24"/>
          <w:vertAlign w:val="superscript"/>
        </w:rPr>
        <w:t>[4]</w:t>
      </w:r>
      <w:r w:rsidRPr="00E82006">
        <w:rPr>
          <w:rFonts w:ascii="Book Antiqua" w:hAnsi="Book Antiqua"/>
          <w:sz w:val="24"/>
          <w:szCs w:val="24"/>
        </w:rPr>
        <w:t xml:space="preserve">. Incidence rates and location of the tumor vary considerably between geographic regions. </w:t>
      </w:r>
      <w:r w:rsidR="00945740" w:rsidRPr="00E82006">
        <w:rPr>
          <w:rFonts w:ascii="Book Antiqua" w:hAnsi="Book Antiqua"/>
          <w:sz w:val="24"/>
          <w:szCs w:val="24"/>
        </w:rPr>
        <w:t>The h</w:t>
      </w:r>
      <w:r w:rsidRPr="00E82006">
        <w:rPr>
          <w:rFonts w:ascii="Book Antiqua" w:hAnsi="Book Antiqua"/>
          <w:sz w:val="24"/>
          <w:szCs w:val="24"/>
        </w:rPr>
        <w:t>ighest incidence is in East Asia, Eastern Europe and parts of South and Central America where adenocarcinomas of the distal stomach are more prevalent. Cancers located in the proximal stomach or at the gastroesophageal junction (GEJ) are more prevalent in W</w:t>
      </w:r>
      <w:r w:rsidR="007F4147" w:rsidRPr="00E82006">
        <w:rPr>
          <w:rFonts w:ascii="Book Antiqua" w:hAnsi="Book Antiqua"/>
          <w:sz w:val="24"/>
          <w:szCs w:val="24"/>
        </w:rPr>
        <w:t>estern Europe and North America</w:t>
      </w:r>
      <w:r w:rsidRPr="00E82006">
        <w:rPr>
          <w:rFonts w:ascii="Book Antiqua" w:hAnsi="Book Antiqua"/>
          <w:sz w:val="24"/>
          <w:szCs w:val="24"/>
          <w:vertAlign w:val="superscript"/>
        </w:rPr>
        <w:t>[5]</w:t>
      </w:r>
      <w:r w:rsidRPr="00E82006">
        <w:rPr>
          <w:rFonts w:ascii="Book Antiqua" w:hAnsi="Book Antiqua"/>
          <w:sz w:val="24"/>
          <w:szCs w:val="24"/>
        </w:rPr>
        <w:t xml:space="preserve">.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For patients with locally advanced and metastatic disease, chemotherapy remains the mainstay of treatment. Treatment options include platinums, irinotecan, epirubicin, fluoropyrimidines, and taxanes. The addition of a third drug to a two agent regimen increases the response rate with a modest survival improvement but at th</w:t>
      </w:r>
      <w:r w:rsidR="007F4147" w:rsidRPr="00E82006">
        <w:rPr>
          <w:rFonts w:ascii="Book Antiqua" w:hAnsi="Book Antiqua"/>
          <w:sz w:val="24"/>
          <w:szCs w:val="24"/>
        </w:rPr>
        <w:t>e expense of increased toxicity</w:t>
      </w:r>
      <w:r w:rsidRPr="00E82006">
        <w:rPr>
          <w:rFonts w:ascii="Book Antiqua" w:hAnsi="Book Antiqua"/>
          <w:sz w:val="24"/>
          <w:szCs w:val="24"/>
          <w:vertAlign w:val="superscript"/>
        </w:rPr>
        <w:t>[6]</w:t>
      </w:r>
      <w:r w:rsidRPr="00E82006">
        <w:rPr>
          <w:rFonts w:ascii="Book Antiqua" w:hAnsi="Book Antiqua"/>
          <w:sz w:val="24"/>
          <w:szCs w:val="24"/>
        </w:rPr>
        <w:t xml:space="preserve">.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In recent years, advances in the understanding of the biology and molecular profiling of gastric cancer have led to the development of targeted treatments and to a better survival in select patients with advanced disease. </w:t>
      </w:r>
      <w:r w:rsidR="003A62DB" w:rsidRPr="00E82006">
        <w:rPr>
          <w:rFonts w:ascii="Book Antiqua" w:hAnsi="Book Antiqua"/>
          <w:sz w:val="24"/>
          <w:szCs w:val="24"/>
        </w:rPr>
        <w:t>T</w:t>
      </w:r>
      <w:r w:rsidR="004C1D69" w:rsidRPr="00E82006">
        <w:rPr>
          <w:rFonts w:ascii="Book Antiqua" w:hAnsi="Book Antiqua"/>
          <w:sz w:val="24"/>
          <w:szCs w:val="24"/>
        </w:rPr>
        <w:t>here are now t</w:t>
      </w:r>
      <w:r w:rsidR="003A62DB" w:rsidRPr="00E82006">
        <w:rPr>
          <w:rFonts w:ascii="Book Antiqua" w:hAnsi="Book Antiqua"/>
          <w:sz w:val="24"/>
          <w:szCs w:val="24"/>
        </w:rPr>
        <w:t xml:space="preserve">wo new targeted agents, trastuzumab and ramucirumab, </w:t>
      </w:r>
      <w:r w:rsidR="004C1D69" w:rsidRPr="00E82006">
        <w:rPr>
          <w:rFonts w:ascii="Book Antiqua" w:hAnsi="Book Antiqua"/>
          <w:sz w:val="24"/>
          <w:szCs w:val="24"/>
        </w:rPr>
        <w:t xml:space="preserve">that </w:t>
      </w:r>
      <w:r w:rsidR="003A62DB" w:rsidRPr="00E82006">
        <w:rPr>
          <w:rFonts w:ascii="Book Antiqua" w:hAnsi="Book Antiqua"/>
          <w:sz w:val="24"/>
          <w:szCs w:val="24"/>
        </w:rPr>
        <w:t xml:space="preserve">have been approved in the last 5 years for the treatment of advanced or metastatic gastric cancer. </w:t>
      </w:r>
      <w:r w:rsidR="004C1D69" w:rsidRPr="00E82006">
        <w:rPr>
          <w:rFonts w:ascii="Book Antiqua" w:hAnsi="Book Antiqua"/>
          <w:sz w:val="24"/>
          <w:szCs w:val="24"/>
        </w:rPr>
        <w:t xml:space="preserve">Many more </w:t>
      </w:r>
      <w:r w:rsidR="00945740" w:rsidRPr="00E82006">
        <w:rPr>
          <w:rFonts w:ascii="Book Antiqua" w:hAnsi="Book Antiqua"/>
          <w:sz w:val="24"/>
          <w:szCs w:val="24"/>
        </w:rPr>
        <w:t>targeted therapies</w:t>
      </w:r>
      <w:r w:rsidR="004C1D69" w:rsidRPr="00E82006">
        <w:rPr>
          <w:rFonts w:ascii="Book Antiqua" w:hAnsi="Book Antiqua"/>
          <w:sz w:val="24"/>
          <w:szCs w:val="24"/>
        </w:rPr>
        <w:t xml:space="preserve"> are currently being actively investigated. </w:t>
      </w:r>
    </w:p>
    <w:p w:rsidR="003A62DB" w:rsidRPr="00E82006" w:rsidRDefault="003A62DB"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In this review, we discuss the management of advanced gastric cancer and the progress in recent years in targeted therapy and immunotherapy. </w:t>
      </w:r>
    </w:p>
    <w:p w:rsidR="003A62DB" w:rsidRPr="00E82006" w:rsidRDefault="003A62DB" w:rsidP="00162A81">
      <w:pPr>
        <w:adjustRightInd w:val="0"/>
        <w:snapToGrid w:val="0"/>
        <w:spacing w:after="0" w:line="360" w:lineRule="auto"/>
        <w:jc w:val="both"/>
        <w:rPr>
          <w:rFonts w:ascii="Book Antiqua" w:hAnsi="Book Antiqua"/>
          <w:sz w:val="24"/>
          <w:szCs w:val="24"/>
        </w:rPr>
      </w:pPr>
    </w:p>
    <w:p w:rsidR="003A62DB" w:rsidRPr="00E82006" w:rsidRDefault="003A62DB" w:rsidP="00162A81">
      <w:pPr>
        <w:adjustRightInd w:val="0"/>
        <w:snapToGrid w:val="0"/>
        <w:spacing w:after="0" w:line="360" w:lineRule="auto"/>
        <w:jc w:val="both"/>
        <w:rPr>
          <w:rFonts w:ascii="Book Antiqua" w:hAnsi="Book Antiqua"/>
          <w:caps/>
          <w:sz w:val="24"/>
          <w:szCs w:val="24"/>
        </w:rPr>
      </w:pPr>
      <w:r w:rsidRPr="00E82006">
        <w:rPr>
          <w:rFonts w:ascii="Book Antiqua" w:hAnsi="Book Antiqua"/>
          <w:b/>
          <w:caps/>
          <w:sz w:val="24"/>
          <w:szCs w:val="24"/>
        </w:rPr>
        <w:t>Chemotherapy</w:t>
      </w:r>
    </w:p>
    <w:p w:rsidR="003D6100" w:rsidRPr="00E82006" w:rsidRDefault="003D6100" w:rsidP="00162A81">
      <w:pPr>
        <w:adjustRightInd w:val="0"/>
        <w:snapToGrid w:val="0"/>
        <w:spacing w:after="0" w:line="360" w:lineRule="auto"/>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 xml:space="preserve">Gastric cancer is a chemotherapy-sensitive disease with multiple active agents, including fluoropyrimidines, anthracyclines, platinum agents, taxanes, and irinotecan. Treatment of advanced gastric cancer with chemotherapy confers a moderate survival advantage and is primarily palliative. Combination therapy is associated with a higher response rate and increased survival when compared to single agents. The combination </w:t>
      </w:r>
      <w:r w:rsidRPr="00E82006">
        <w:rPr>
          <w:rFonts w:ascii="Book Antiqua" w:eastAsia="Times New Roman" w:hAnsi="Book Antiqua" w:cs="Times New Roman"/>
          <w:sz w:val="24"/>
          <w:szCs w:val="24"/>
        </w:rPr>
        <w:lastRenderedPageBreak/>
        <w:t xml:space="preserve">of cisplatin and fluorouracil (CF), or with epirubicin in a triple-drug regimen (ECF), has been the most commonly used doublet and triplet regimens. Newer agents were added to these regimens to try to improve response rate (RR), time to progression (TTP) and overall survival (OS). These trials are listed in </w:t>
      </w:r>
      <w:r w:rsidRPr="00D01909">
        <w:rPr>
          <w:rFonts w:ascii="Book Antiqua" w:eastAsia="Times New Roman" w:hAnsi="Book Antiqua" w:cs="Times New Roman"/>
          <w:caps/>
          <w:sz w:val="24"/>
          <w:szCs w:val="24"/>
        </w:rPr>
        <w:t>t</w:t>
      </w:r>
      <w:r w:rsidRPr="00E82006">
        <w:rPr>
          <w:rFonts w:ascii="Book Antiqua" w:eastAsia="Times New Roman" w:hAnsi="Book Antiqua" w:cs="Times New Roman"/>
          <w:sz w:val="24"/>
          <w:szCs w:val="24"/>
        </w:rPr>
        <w:t>able 1.</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 xml:space="preserve">The addition of docetaxel to cisplatin and fluorouracil (DCF) was shown to be associated with improvement of RR (37% </w:t>
      </w:r>
      <w:r w:rsidR="005A0B67" w:rsidRPr="00E82006">
        <w:rPr>
          <w:rFonts w:ascii="Book Antiqua" w:eastAsia="Times New Roman" w:hAnsi="Book Antiqua" w:cs="Times New Roman"/>
          <w:i/>
          <w:sz w:val="24"/>
          <w:szCs w:val="24"/>
        </w:rPr>
        <w:t>vs</w:t>
      </w:r>
      <w:r w:rsidRPr="00E82006">
        <w:rPr>
          <w:rFonts w:ascii="Book Antiqua" w:eastAsia="Times New Roman" w:hAnsi="Book Antiqua" w:cs="Times New Roman"/>
          <w:sz w:val="24"/>
          <w:szCs w:val="24"/>
        </w:rPr>
        <w:t xml:space="preserve"> 25%, </w:t>
      </w:r>
      <w:r w:rsidR="0094373A" w:rsidRPr="00E82006">
        <w:rPr>
          <w:rFonts w:ascii="Book Antiqua" w:eastAsia="Times New Roman" w:hAnsi="Book Antiqua" w:cs="Times New Roman"/>
          <w:i/>
          <w:caps/>
          <w:sz w:val="24"/>
          <w:szCs w:val="24"/>
        </w:rPr>
        <w:t>p =</w:t>
      </w:r>
      <w:r w:rsidRPr="00E82006">
        <w:rPr>
          <w:rFonts w:ascii="Book Antiqua" w:eastAsia="Times New Roman" w:hAnsi="Book Antiqua" w:cs="Times New Roman"/>
          <w:sz w:val="24"/>
          <w:szCs w:val="24"/>
        </w:rPr>
        <w:t xml:space="preserve"> 0.01), TTP (5.6 </w:t>
      </w:r>
      <w:r w:rsidR="0094373A" w:rsidRPr="00E82006">
        <w:rPr>
          <w:rFonts w:ascii="Book Antiqua" w:eastAsia="Times New Roman" w:hAnsi="Book Antiqua" w:cs="Times New Roman"/>
          <w:sz w:val="24"/>
          <w:szCs w:val="24"/>
        </w:rPr>
        <w:t>mo</w:t>
      </w:r>
      <w:r w:rsidR="0094373A" w:rsidRPr="00E82006">
        <w:rPr>
          <w:rFonts w:ascii="Book Antiqua" w:eastAsia="Times New Roman" w:hAnsi="Book Antiqua" w:cs="Times New Roman"/>
          <w:i/>
          <w:sz w:val="24"/>
          <w:szCs w:val="24"/>
        </w:rPr>
        <w:t xml:space="preserve"> </w:t>
      </w:r>
      <w:r w:rsidR="005A0B67" w:rsidRPr="00E82006">
        <w:rPr>
          <w:rFonts w:ascii="Book Antiqua" w:eastAsia="Times New Roman" w:hAnsi="Book Antiqua" w:cs="Times New Roman"/>
          <w:i/>
          <w:sz w:val="24"/>
          <w:szCs w:val="24"/>
        </w:rPr>
        <w:t>vs</w:t>
      </w:r>
      <w:r w:rsidRPr="00E82006">
        <w:rPr>
          <w:rFonts w:ascii="Book Antiqua" w:eastAsia="Times New Roman" w:hAnsi="Book Antiqua" w:cs="Times New Roman"/>
          <w:sz w:val="24"/>
          <w:szCs w:val="24"/>
        </w:rPr>
        <w:t xml:space="preserve"> 3.7 mo, </w:t>
      </w:r>
      <w:r w:rsidR="0094373A" w:rsidRPr="00E82006">
        <w:rPr>
          <w:rFonts w:ascii="Book Antiqua" w:eastAsia="Times New Roman" w:hAnsi="Book Antiqua" w:cs="Times New Roman"/>
          <w:i/>
          <w:caps/>
          <w:sz w:val="24"/>
          <w:szCs w:val="24"/>
        </w:rPr>
        <w:t>p &lt;</w:t>
      </w:r>
      <w:r w:rsidRPr="00E82006">
        <w:rPr>
          <w:rFonts w:ascii="Book Antiqua" w:eastAsia="Times New Roman" w:hAnsi="Book Antiqua" w:cs="Times New Roman"/>
          <w:sz w:val="24"/>
          <w:szCs w:val="24"/>
        </w:rPr>
        <w:t xml:space="preserve"> 0.001), and OS (9.2 </w:t>
      </w:r>
      <w:r w:rsidR="0094373A" w:rsidRPr="00E82006">
        <w:rPr>
          <w:rFonts w:ascii="Book Antiqua" w:eastAsia="Times New Roman" w:hAnsi="Book Antiqua" w:cs="Times New Roman"/>
          <w:sz w:val="24"/>
          <w:szCs w:val="24"/>
        </w:rPr>
        <w:t>mo</w:t>
      </w:r>
      <w:r w:rsidR="0094373A" w:rsidRPr="00E82006">
        <w:rPr>
          <w:rFonts w:ascii="Book Antiqua" w:eastAsia="Times New Roman" w:hAnsi="Book Antiqua" w:cs="Times New Roman"/>
          <w:i/>
          <w:sz w:val="24"/>
          <w:szCs w:val="24"/>
        </w:rPr>
        <w:t xml:space="preserve"> </w:t>
      </w:r>
      <w:r w:rsidR="005A0B67" w:rsidRPr="00E82006">
        <w:rPr>
          <w:rFonts w:ascii="Book Antiqua" w:eastAsia="Times New Roman" w:hAnsi="Book Antiqua" w:cs="Times New Roman"/>
          <w:i/>
          <w:sz w:val="24"/>
          <w:szCs w:val="24"/>
        </w:rPr>
        <w:t>vs</w:t>
      </w:r>
      <w:r w:rsidRPr="00E82006">
        <w:rPr>
          <w:rFonts w:ascii="Book Antiqua" w:eastAsia="Times New Roman" w:hAnsi="Book Antiqua" w:cs="Times New Roman"/>
          <w:sz w:val="24"/>
          <w:szCs w:val="24"/>
        </w:rPr>
        <w:t xml:space="preserve"> 8.6 mo, </w:t>
      </w:r>
      <w:r w:rsidR="0094373A" w:rsidRPr="00E82006">
        <w:rPr>
          <w:rFonts w:ascii="Book Antiqua" w:eastAsia="Times New Roman" w:hAnsi="Book Antiqua" w:cs="Times New Roman"/>
          <w:i/>
          <w:caps/>
          <w:sz w:val="24"/>
          <w:szCs w:val="24"/>
        </w:rPr>
        <w:t>p =</w:t>
      </w:r>
      <w:r w:rsidRPr="00E82006">
        <w:rPr>
          <w:rFonts w:ascii="Book Antiqua" w:eastAsia="Times New Roman" w:hAnsi="Book Antiqua" w:cs="Times New Roman"/>
          <w:sz w:val="24"/>
          <w:szCs w:val="24"/>
        </w:rPr>
        <w:t xml:space="preserve"> 0.02); however there were significant</w:t>
      </w:r>
      <w:r w:rsidR="008D34A7" w:rsidRPr="00E82006">
        <w:rPr>
          <w:rFonts w:ascii="Book Antiqua" w:eastAsia="Times New Roman" w:hAnsi="Book Antiqua" w:cs="Times New Roman"/>
          <w:sz w:val="24"/>
          <w:szCs w:val="24"/>
        </w:rPr>
        <w:t xml:space="preserve"> grade 3 to </w:t>
      </w:r>
      <w:r w:rsidR="003E748A" w:rsidRPr="00E82006">
        <w:rPr>
          <w:rFonts w:ascii="Book Antiqua" w:eastAsia="Times New Roman" w:hAnsi="Book Antiqua" w:cs="Times New Roman"/>
          <w:sz w:val="24"/>
          <w:szCs w:val="24"/>
        </w:rPr>
        <w:t>4</w:t>
      </w:r>
      <w:r w:rsidRPr="00E82006">
        <w:rPr>
          <w:rFonts w:ascii="Book Antiqua" w:eastAsia="Times New Roman" w:hAnsi="Book Antiqua" w:cs="Times New Roman"/>
          <w:sz w:val="24"/>
          <w:szCs w:val="24"/>
        </w:rPr>
        <w:t xml:space="preserve"> toxicities, including a h</w:t>
      </w:r>
      <w:r w:rsidR="007F4147" w:rsidRPr="00E82006">
        <w:rPr>
          <w:rFonts w:ascii="Book Antiqua" w:eastAsia="Times New Roman" w:hAnsi="Book Antiqua" w:cs="Times New Roman"/>
          <w:sz w:val="24"/>
          <w:szCs w:val="24"/>
        </w:rPr>
        <w:t>igh rate of febrile neutropenia</w:t>
      </w:r>
      <w:r w:rsidRPr="00E82006">
        <w:rPr>
          <w:rFonts w:ascii="Book Antiqua" w:eastAsia="Times New Roman" w:hAnsi="Book Antiqua" w:cs="Times New Roman"/>
          <w:sz w:val="24"/>
          <w:szCs w:val="24"/>
          <w:vertAlign w:val="superscript"/>
        </w:rPr>
        <w:t>[7]</w:t>
      </w:r>
      <w:r w:rsidRPr="00E82006">
        <w:rPr>
          <w:rFonts w:ascii="Book Antiqua" w:eastAsia="Times New Roman" w:hAnsi="Book Antiqua" w:cs="Times New Roman"/>
          <w:sz w:val="24"/>
          <w:szCs w:val="24"/>
        </w:rPr>
        <w:t>.</w:t>
      </w:r>
      <w:r w:rsidR="003E748A" w:rsidRPr="00E82006">
        <w:rPr>
          <w:rFonts w:ascii="Book Antiqua" w:eastAsia="Times New Roman" w:hAnsi="Book Antiqua" w:cs="Times New Roman"/>
          <w:sz w:val="24"/>
          <w:szCs w:val="24"/>
        </w:rPr>
        <w:t xml:space="preserve"> </w:t>
      </w:r>
      <w:r w:rsidR="003E748A" w:rsidRPr="00E82006">
        <w:rPr>
          <w:rFonts w:ascii="Book Antiqua" w:eastAsia="Times New Roman" w:hAnsi="Book Antiqua" w:cs="Times New Roman"/>
          <w:color w:val="auto"/>
          <w:sz w:val="24"/>
          <w:szCs w:val="24"/>
        </w:rPr>
        <w:t xml:space="preserve">These </w:t>
      </w:r>
      <w:r w:rsidR="003E748A" w:rsidRPr="00E82006">
        <w:rPr>
          <w:rFonts w:ascii="Book Antiqua" w:hAnsi="Book Antiqua" w:cs="Segoe UI"/>
          <w:color w:val="auto"/>
          <w:sz w:val="24"/>
          <w:szCs w:val="24"/>
          <w:shd w:val="clear" w:color="auto" w:fill="FFFFFF"/>
        </w:rPr>
        <w:t>toxicities limited the adoption of this regimen into clinical practice.</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Oxaliplatin (O) and oral fluoropyrimidines - capecitabine (X) and S</w:t>
      </w:r>
      <w:r w:rsidR="00817BBA" w:rsidRPr="00E82006">
        <w:rPr>
          <w:rFonts w:ascii="Book Antiqua" w:eastAsia="Times New Roman" w:hAnsi="Book Antiqua" w:cs="Times New Roman"/>
          <w:sz w:val="24"/>
          <w:szCs w:val="24"/>
        </w:rPr>
        <w:t>-</w:t>
      </w:r>
      <w:r w:rsidRPr="00E82006">
        <w:rPr>
          <w:rFonts w:ascii="Book Antiqua" w:eastAsia="Times New Roman" w:hAnsi="Book Antiqua" w:cs="Times New Roman"/>
          <w:sz w:val="24"/>
          <w:szCs w:val="24"/>
        </w:rPr>
        <w:t xml:space="preserve">1 - have been substituted for cisplatin and fluorouracil (5-FU) respectively, and found to be </w:t>
      </w:r>
      <w:r w:rsidR="007F4147" w:rsidRPr="00E82006">
        <w:rPr>
          <w:rFonts w:ascii="Book Antiqua" w:eastAsia="Times New Roman" w:hAnsi="Book Antiqua" w:cs="Times New Roman"/>
          <w:sz w:val="24"/>
          <w:szCs w:val="24"/>
        </w:rPr>
        <w:t>noninferior and less toxic</w:t>
      </w:r>
      <w:r w:rsidR="00534B21" w:rsidRPr="00E82006">
        <w:rPr>
          <w:rFonts w:ascii="Book Antiqua" w:eastAsia="Times New Roman" w:hAnsi="Book Antiqua" w:cs="Times New Roman"/>
          <w:sz w:val="24"/>
          <w:szCs w:val="24"/>
          <w:vertAlign w:val="superscript"/>
        </w:rPr>
        <w:t>[8-10</w:t>
      </w:r>
      <w:r w:rsidRPr="00E82006">
        <w:rPr>
          <w:rFonts w:ascii="Book Antiqua" w:eastAsia="Times New Roman" w:hAnsi="Book Antiqua" w:cs="Times New Roman"/>
          <w:sz w:val="24"/>
          <w:szCs w:val="24"/>
          <w:vertAlign w:val="superscript"/>
        </w:rPr>
        <w:t>]</w:t>
      </w:r>
      <w:r w:rsidRPr="00E82006">
        <w:rPr>
          <w:rFonts w:ascii="Book Antiqua" w:eastAsia="Times New Roman" w:hAnsi="Book Antiqua" w:cs="Times New Roman"/>
          <w:sz w:val="24"/>
          <w:szCs w:val="24"/>
        </w:rPr>
        <w:t xml:space="preserve">. The phase III REAL-2 study evaluated the efficacy of oxaliplatin and capecitabine in a 2 x 2 noninferiority trial with four regimens: ECF (control arm), ECX, EOF, and EOX. The median survival times were 9.9 mo, 9.9 mo, </w:t>
      </w:r>
      <w:r w:rsidR="007F4147" w:rsidRPr="00E82006">
        <w:rPr>
          <w:rFonts w:ascii="Book Antiqua" w:eastAsia="Times New Roman" w:hAnsi="Book Antiqua" w:cs="Times New Roman"/>
          <w:sz w:val="24"/>
          <w:szCs w:val="24"/>
        </w:rPr>
        <w:t>9.3 mo and 11.2 mo respectively</w:t>
      </w:r>
      <w:r w:rsidRPr="00E82006">
        <w:rPr>
          <w:rFonts w:ascii="Book Antiqua" w:eastAsia="Times New Roman" w:hAnsi="Book Antiqua" w:cs="Times New Roman"/>
          <w:sz w:val="24"/>
          <w:szCs w:val="24"/>
          <w:vertAlign w:val="superscript"/>
        </w:rPr>
        <w:t>[9]</w:t>
      </w:r>
      <w:r w:rsidRPr="00E82006">
        <w:rPr>
          <w:rFonts w:ascii="Book Antiqua" w:eastAsia="Times New Roman" w:hAnsi="Book Antiqua" w:cs="Times New Roman"/>
          <w:sz w:val="24"/>
          <w:szCs w:val="24"/>
        </w:rPr>
        <w:t xml:space="preserve">. Progression free survival (PFS) and RR did not differ significantly between the different regimens. </w:t>
      </w:r>
      <w:r w:rsidR="003E748A" w:rsidRPr="00E82006">
        <w:rPr>
          <w:rFonts w:ascii="Book Antiqua" w:hAnsi="Book Antiqua" w:cs="Segoe UI"/>
          <w:color w:val="auto"/>
          <w:sz w:val="24"/>
          <w:szCs w:val="24"/>
          <w:shd w:val="clear" w:color="auto" w:fill="FFFFFF"/>
        </w:rPr>
        <w:t>This study has led to the widespread use of oxaliplatin-based regimens in the frontline treatment of advanced gastric and GEJ cancer.</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In Japan, the SPIRITS trial showed that the combination of cisplatin and S</w:t>
      </w:r>
      <w:r w:rsidR="00817BBA" w:rsidRPr="00E82006">
        <w:rPr>
          <w:rFonts w:ascii="Book Antiqua" w:eastAsia="Times New Roman" w:hAnsi="Book Antiqua" w:cs="Times New Roman"/>
          <w:sz w:val="24"/>
          <w:szCs w:val="24"/>
        </w:rPr>
        <w:t>-</w:t>
      </w:r>
      <w:r w:rsidRPr="00E82006">
        <w:rPr>
          <w:rFonts w:ascii="Book Antiqua" w:eastAsia="Times New Roman" w:hAnsi="Book Antiqua" w:cs="Times New Roman"/>
          <w:sz w:val="24"/>
          <w:szCs w:val="24"/>
        </w:rPr>
        <w:t>1 (CS) significantly improved OS when compared to S</w:t>
      </w:r>
      <w:r w:rsidR="00817BBA" w:rsidRPr="00E82006">
        <w:rPr>
          <w:rFonts w:ascii="Book Antiqua" w:eastAsia="Times New Roman" w:hAnsi="Book Antiqua" w:cs="Times New Roman"/>
          <w:sz w:val="24"/>
          <w:szCs w:val="24"/>
        </w:rPr>
        <w:t>-</w:t>
      </w:r>
      <w:r w:rsidRPr="00E82006">
        <w:rPr>
          <w:rFonts w:ascii="Book Antiqua" w:eastAsia="Times New Roman" w:hAnsi="Book Antiqua" w:cs="Times New Roman"/>
          <w:sz w:val="24"/>
          <w:szCs w:val="24"/>
        </w:rPr>
        <w:t xml:space="preserve">1 monotherapy (13 </w:t>
      </w:r>
      <w:r w:rsidR="005A0B67" w:rsidRPr="00E82006">
        <w:rPr>
          <w:rFonts w:ascii="Book Antiqua" w:eastAsia="Times New Roman" w:hAnsi="Book Antiqua" w:cs="Times New Roman"/>
          <w:i/>
          <w:sz w:val="24"/>
          <w:szCs w:val="24"/>
        </w:rPr>
        <w:t>vs</w:t>
      </w:r>
      <w:r w:rsidRPr="00E82006">
        <w:rPr>
          <w:rFonts w:ascii="Book Antiqua" w:eastAsia="Times New Roman" w:hAnsi="Book Antiqua" w:cs="Times New Roman"/>
          <w:sz w:val="24"/>
          <w:szCs w:val="24"/>
        </w:rPr>
        <w:t xml:space="preserve"> 11 mo), leading to this doublet </w:t>
      </w:r>
      <w:r w:rsidR="00356948" w:rsidRPr="00E82006">
        <w:rPr>
          <w:rFonts w:ascii="Book Antiqua" w:eastAsia="Times New Roman" w:hAnsi="Book Antiqua" w:cs="Times New Roman"/>
          <w:sz w:val="24"/>
          <w:szCs w:val="24"/>
        </w:rPr>
        <w:t>being considered</w:t>
      </w:r>
      <w:r w:rsidRPr="00E82006">
        <w:rPr>
          <w:rFonts w:ascii="Book Antiqua" w:eastAsia="Times New Roman" w:hAnsi="Book Antiqua" w:cs="Times New Roman"/>
          <w:sz w:val="24"/>
          <w:szCs w:val="24"/>
        </w:rPr>
        <w:t xml:space="preserve"> standard first-line in Japan</w:t>
      </w:r>
      <w:r w:rsidR="00534B21" w:rsidRPr="00E82006">
        <w:rPr>
          <w:rFonts w:ascii="Book Antiqua" w:eastAsia="Times New Roman" w:hAnsi="Book Antiqua" w:cs="Times New Roman"/>
          <w:sz w:val="24"/>
          <w:szCs w:val="24"/>
          <w:vertAlign w:val="superscript"/>
        </w:rPr>
        <w:t>[11]</w:t>
      </w:r>
      <w:r w:rsidRPr="00E82006">
        <w:rPr>
          <w:rFonts w:ascii="Book Antiqua" w:eastAsia="Times New Roman" w:hAnsi="Book Antiqua" w:cs="Times New Roman"/>
          <w:sz w:val="24"/>
          <w:szCs w:val="24"/>
        </w:rPr>
        <w:t>. However, in the United States and Europe, the FLAGS study showed no improvement in outcome when substituting S</w:t>
      </w:r>
      <w:r w:rsidR="00817BBA" w:rsidRPr="00E82006">
        <w:rPr>
          <w:rFonts w:ascii="Book Antiqua" w:eastAsia="Times New Roman" w:hAnsi="Book Antiqua" w:cs="Times New Roman"/>
          <w:sz w:val="24"/>
          <w:szCs w:val="24"/>
        </w:rPr>
        <w:t>-</w:t>
      </w:r>
      <w:r w:rsidRPr="00E82006">
        <w:rPr>
          <w:rFonts w:ascii="Book Antiqua" w:eastAsia="Times New Roman" w:hAnsi="Book Antiqua" w:cs="Times New Roman"/>
          <w:sz w:val="24"/>
          <w:szCs w:val="24"/>
        </w:rPr>
        <w:t>1 for 5-FU in combination with cisplatin, so S</w:t>
      </w:r>
      <w:r w:rsidR="00817BBA" w:rsidRPr="00E82006">
        <w:rPr>
          <w:rFonts w:ascii="Book Antiqua" w:eastAsia="Times New Roman" w:hAnsi="Book Antiqua" w:cs="Times New Roman"/>
          <w:sz w:val="24"/>
          <w:szCs w:val="24"/>
        </w:rPr>
        <w:t>-</w:t>
      </w:r>
      <w:r w:rsidRPr="00E82006">
        <w:rPr>
          <w:rFonts w:ascii="Book Antiqua" w:eastAsia="Times New Roman" w:hAnsi="Book Antiqua" w:cs="Times New Roman"/>
          <w:sz w:val="24"/>
          <w:szCs w:val="24"/>
        </w:rPr>
        <w:t>1 remains unlicensed in these areas</w:t>
      </w:r>
      <w:r w:rsidR="00534B21" w:rsidRPr="00E82006">
        <w:rPr>
          <w:rFonts w:ascii="Book Antiqua" w:eastAsia="Times New Roman" w:hAnsi="Book Antiqua" w:cs="Times New Roman"/>
          <w:sz w:val="24"/>
          <w:szCs w:val="24"/>
          <w:vertAlign w:val="superscript"/>
        </w:rPr>
        <w:t>[12]</w:t>
      </w:r>
      <w:r w:rsidRPr="00E82006">
        <w:rPr>
          <w:rFonts w:ascii="Book Antiqua" w:eastAsia="Times New Roman" w:hAnsi="Book Antiqua" w:cs="Times New Roman"/>
          <w:sz w:val="24"/>
          <w:szCs w:val="24"/>
        </w:rPr>
        <w:t>.</w:t>
      </w:r>
      <w:r w:rsidR="00E82006" w:rsidRPr="00E82006">
        <w:rPr>
          <w:rFonts w:ascii="Book Antiqua" w:eastAsia="Times New Roman" w:hAnsi="Book Antiqua" w:cs="Times New Roman"/>
          <w:sz w:val="24"/>
          <w:szCs w:val="24"/>
        </w:rPr>
        <w:t xml:space="preserve"> </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Irinotecan has also been evaluated in combination with fluorouracil in patients with advanced gastric cancer with no significant differences in response rate, progression free and overall survival compared to the stan</w:t>
      </w:r>
      <w:r w:rsidR="007F4147" w:rsidRPr="00E82006">
        <w:rPr>
          <w:rFonts w:ascii="Book Antiqua" w:eastAsia="Times New Roman" w:hAnsi="Book Antiqua" w:cs="Times New Roman"/>
          <w:sz w:val="24"/>
          <w:szCs w:val="24"/>
        </w:rPr>
        <w:t>dard care</w:t>
      </w:r>
      <w:r w:rsidR="005A0B67" w:rsidRPr="00E82006">
        <w:rPr>
          <w:rFonts w:ascii="Book Antiqua" w:eastAsia="Times New Roman" w:hAnsi="Book Antiqua" w:cs="Times New Roman"/>
          <w:sz w:val="24"/>
          <w:szCs w:val="24"/>
          <w:vertAlign w:val="superscript"/>
        </w:rPr>
        <w:t>[13,</w:t>
      </w:r>
      <w:r w:rsidR="00356948" w:rsidRPr="00E82006">
        <w:rPr>
          <w:rFonts w:ascii="Book Antiqua" w:eastAsia="Times New Roman" w:hAnsi="Book Antiqua" w:cs="Times New Roman"/>
          <w:sz w:val="24"/>
          <w:szCs w:val="24"/>
          <w:vertAlign w:val="superscript"/>
        </w:rPr>
        <w:t>14]</w:t>
      </w:r>
      <w:r w:rsidR="00356948" w:rsidRPr="00E82006">
        <w:rPr>
          <w:rFonts w:ascii="Book Antiqua" w:eastAsia="Times New Roman" w:hAnsi="Book Antiqua" w:cs="Times New Roman"/>
          <w:sz w:val="24"/>
          <w:szCs w:val="24"/>
        </w:rPr>
        <w:t>. This regimen</w:t>
      </w:r>
      <w:r w:rsidRPr="00E82006">
        <w:rPr>
          <w:rFonts w:ascii="Book Antiqua" w:eastAsia="Times New Roman" w:hAnsi="Book Antiqua" w:cs="Times New Roman"/>
          <w:sz w:val="24"/>
          <w:szCs w:val="24"/>
        </w:rPr>
        <w:t xml:space="preserve"> </w:t>
      </w:r>
      <w:r w:rsidR="00356948" w:rsidRPr="00E82006">
        <w:rPr>
          <w:rFonts w:ascii="Book Antiqua" w:eastAsia="Times New Roman" w:hAnsi="Book Antiqua" w:cs="Times New Roman"/>
          <w:sz w:val="24"/>
          <w:szCs w:val="24"/>
        </w:rPr>
        <w:t>was</w:t>
      </w:r>
      <w:r w:rsidRPr="00E82006">
        <w:rPr>
          <w:rFonts w:ascii="Book Antiqua" w:eastAsia="Times New Roman" w:hAnsi="Book Antiqua" w:cs="Times New Roman"/>
          <w:sz w:val="24"/>
          <w:szCs w:val="24"/>
        </w:rPr>
        <w:t xml:space="preserve"> found to be less toxic so irinotecan has now been incorporated into the treatment approach. </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lastRenderedPageBreak/>
        <w:t>Although most patients receive first-line chemotherapy, patients who progress after treatment usually have a worsened performance status, which limits treatment options. However, recent studies assessed the administration of irinotecan or docetaxel monotherapy as second-line therapy compared to best supportive care and demonstrated a survival adva</w:t>
      </w:r>
      <w:r w:rsidR="007F4147" w:rsidRPr="00E82006">
        <w:rPr>
          <w:rFonts w:ascii="Book Antiqua" w:eastAsia="Times New Roman" w:hAnsi="Book Antiqua" w:cs="Times New Roman"/>
          <w:sz w:val="24"/>
          <w:szCs w:val="24"/>
        </w:rPr>
        <w:t>ntage with chemotherapy</w:t>
      </w:r>
      <w:r w:rsidRPr="00E82006">
        <w:rPr>
          <w:rFonts w:ascii="Book Antiqua" w:eastAsia="Times New Roman" w:hAnsi="Book Antiqua" w:cs="Times New Roman"/>
          <w:sz w:val="24"/>
          <w:szCs w:val="24"/>
          <w:vertAlign w:val="superscript"/>
        </w:rPr>
        <w:t>[15-17]</w:t>
      </w:r>
      <w:r w:rsidRPr="00E82006">
        <w:rPr>
          <w:rFonts w:ascii="Book Antiqua" w:eastAsia="Times New Roman" w:hAnsi="Book Antiqua" w:cs="Times New Roman"/>
          <w:sz w:val="24"/>
          <w:szCs w:val="24"/>
        </w:rPr>
        <w:t xml:space="preserve">. Therefore, it is now considered standard of care for appropriate patients with a preserved performance status to receive second-line chemotherapy although no standard regimen has </w:t>
      </w:r>
      <w:r w:rsidR="00534B21" w:rsidRPr="00E82006">
        <w:rPr>
          <w:rFonts w:ascii="Book Antiqua" w:eastAsia="Times New Roman" w:hAnsi="Book Antiqua" w:cs="Times New Roman"/>
          <w:sz w:val="24"/>
          <w:szCs w:val="24"/>
        </w:rPr>
        <w:t>been established. A r</w:t>
      </w:r>
      <w:r w:rsidRPr="00E82006">
        <w:rPr>
          <w:rFonts w:ascii="Book Antiqua" w:eastAsia="Times New Roman" w:hAnsi="Book Antiqua" w:cs="Times New Roman"/>
          <w:sz w:val="24"/>
          <w:szCs w:val="24"/>
        </w:rPr>
        <w:t>ecent trial</w:t>
      </w:r>
      <w:r w:rsidR="00534B21" w:rsidRPr="00E82006">
        <w:rPr>
          <w:rFonts w:ascii="Book Antiqua" w:eastAsia="Times New Roman" w:hAnsi="Book Antiqua" w:cs="Times New Roman"/>
          <w:sz w:val="24"/>
          <w:szCs w:val="24"/>
        </w:rPr>
        <w:t xml:space="preserve"> </w:t>
      </w:r>
      <w:r w:rsidRPr="00E82006">
        <w:rPr>
          <w:rFonts w:ascii="Book Antiqua" w:eastAsia="Times New Roman" w:hAnsi="Book Antiqua" w:cs="Times New Roman"/>
          <w:sz w:val="24"/>
          <w:szCs w:val="24"/>
        </w:rPr>
        <w:t>reported that irinotecan and taxanes have similar survival outcomes</w:t>
      </w:r>
      <w:r w:rsidR="00E241D9" w:rsidRPr="00E82006">
        <w:rPr>
          <w:rFonts w:ascii="Book Antiqua" w:eastAsia="Times New Roman" w:hAnsi="Book Antiqua" w:cs="Times New Roman"/>
          <w:sz w:val="24"/>
          <w:szCs w:val="24"/>
          <w:vertAlign w:val="superscript"/>
        </w:rPr>
        <w:t>[18]</w:t>
      </w:r>
      <w:r w:rsidRPr="00E82006">
        <w:rPr>
          <w:rFonts w:ascii="Book Antiqua" w:eastAsia="Times New Roman" w:hAnsi="Book Antiqua" w:cs="Times New Roman"/>
          <w:sz w:val="24"/>
          <w:szCs w:val="24"/>
        </w:rPr>
        <w:t xml:space="preserve">. </w:t>
      </w:r>
    </w:p>
    <w:p w:rsidR="003D6100" w:rsidRPr="00E82006" w:rsidRDefault="003D6100" w:rsidP="00162A81">
      <w:pPr>
        <w:adjustRightInd w:val="0"/>
        <w:snapToGrid w:val="0"/>
        <w:spacing w:after="0" w:line="360" w:lineRule="auto"/>
        <w:ind w:firstLineChars="200" w:firstLine="480"/>
        <w:jc w:val="both"/>
        <w:rPr>
          <w:rFonts w:ascii="Book Antiqua" w:eastAsia="Times New Roman" w:hAnsi="Book Antiqua" w:cs="Times New Roman"/>
          <w:color w:val="auto"/>
          <w:sz w:val="24"/>
          <w:szCs w:val="24"/>
        </w:rPr>
      </w:pPr>
      <w:r w:rsidRPr="00E82006">
        <w:rPr>
          <w:rFonts w:ascii="Book Antiqua" w:eastAsia="Times New Roman" w:hAnsi="Book Antiqua" w:cs="Times New Roman"/>
          <w:sz w:val="24"/>
          <w:szCs w:val="24"/>
        </w:rPr>
        <w:t xml:space="preserve">Despite all these treatments, however, the median survival is less than 1 year. There remains a need for new treatment options with targeted therapy and a way to identify which patients would benefit from these new agents. </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144C82" w:rsidP="00162A81">
      <w:pPr>
        <w:adjustRightInd w:val="0"/>
        <w:snapToGrid w:val="0"/>
        <w:spacing w:after="0" w:line="360" w:lineRule="auto"/>
        <w:jc w:val="both"/>
        <w:rPr>
          <w:rFonts w:ascii="Book Antiqua" w:hAnsi="Book Antiqua"/>
          <w:caps/>
          <w:sz w:val="24"/>
          <w:szCs w:val="24"/>
        </w:rPr>
      </w:pPr>
      <w:r w:rsidRPr="00E82006">
        <w:rPr>
          <w:rFonts w:ascii="Book Antiqua" w:hAnsi="Book Antiqua"/>
          <w:b/>
          <w:caps/>
          <w:sz w:val="24"/>
          <w:szCs w:val="24"/>
        </w:rPr>
        <w:t>Molecular Classification</w:t>
      </w:r>
    </w:p>
    <w:p w:rsidR="00EE752E" w:rsidRPr="00E82006" w:rsidRDefault="003A62DB"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 xml:space="preserve">Gastric cancer is a heterogeneous disease; however, it wasn’t until recently that we developed a </w:t>
      </w:r>
      <w:r w:rsidR="00622540" w:rsidRPr="00E82006">
        <w:rPr>
          <w:rFonts w:ascii="Book Antiqua" w:hAnsi="Book Antiqua"/>
          <w:sz w:val="24"/>
          <w:szCs w:val="24"/>
        </w:rPr>
        <w:t xml:space="preserve">better </w:t>
      </w:r>
      <w:r w:rsidRPr="00E82006">
        <w:rPr>
          <w:rFonts w:ascii="Book Antiqua" w:hAnsi="Book Antiqua"/>
          <w:sz w:val="24"/>
          <w:szCs w:val="24"/>
        </w:rPr>
        <w:t>understanding of t</w:t>
      </w:r>
      <w:r w:rsidR="00372E69" w:rsidRPr="00E82006">
        <w:rPr>
          <w:rFonts w:ascii="Book Antiqua" w:hAnsi="Book Antiqua"/>
          <w:sz w:val="24"/>
          <w:szCs w:val="24"/>
        </w:rPr>
        <w:t>he molecular and genomic basis of gastric cancer</w:t>
      </w:r>
      <w:r w:rsidRPr="00E82006">
        <w:rPr>
          <w:rFonts w:ascii="Book Antiqua" w:hAnsi="Book Antiqua"/>
          <w:sz w:val="24"/>
          <w:szCs w:val="24"/>
        </w:rPr>
        <w:t>. T</w:t>
      </w:r>
      <w:r w:rsidR="00144C82" w:rsidRPr="00E82006">
        <w:rPr>
          <w:rFonts w:ascii="Book Antiqua" w:hAnsi="Book Antiqua"/>
          <w:sz w:val="24"/>
          <w:szCs w:val="24"/>
        </w:rPr>
        <w:t xml:space="preserve">he Cancer Genome Atlas (TCGA) proposed four </w:t>
      </w:r>
      <w:r w:rsidRPr="00E82006">
        <w:rPr>
          <w:rFonts w:ascii="Book Antiqua" w:hAnsi="Book Antiqua"/>
          <w:sz w:val="24"/>
          <w:szCs w:val="24"/>
        </w:rPr>
        <w:t xml:space="preserve">molecularly unique </w:t>
      </w:r>
      <w:r w:rsidR="00144C82" w:rsidRPr="00E82006">
        <w:rPr>
          <w:rFonts w:ascii="Book Antiqua" w:hAnsi="Book Antiqua"/>
          <w:sz w:val="24"/>
          <w:szCs w:val="24"/>
        </w:rPr>
        <w:t xml:space="preserve">subtypes </w:t>
      </w:r>
      <w:r w:rsidRPr="00E82006">
        <w:rPr>
          <w:rFonts w:ascii="Book Antiqua" w:hAnsi="Book Antiqua"/>
          <w:sz w:val="24"/>
          <w:szCs w:val="24"/>
        </w:rPr>
        <w:t>of gastric cancer</w:t>
      </w:r>
      <w:r w:rsidR="00144C82" w:rsidRPr="00E82006">
        <w:rPr>
          <w:rFonts w:ascii="Book Antiqua" w:hAnsi="Book Antiqua"/>
          <w:sz w:val="24"/>
          <w:szCs w:val="24"/>
        </w:rPr>
        <w:t>: tumors positive for Epstein-Barr virus (EBV), microsatellite unstable</w:t>
      </w:r>
      <w:r w:rsidR="00E82006" w:rsidRPr="00E82006">
        <w:rPr>
          <w:rFonts w:ascii="Book Antiqua" w:hAnsi="Book Antiqua"/>
          <w:sz w:val="24"/>
          <w:szCs w:val="24"/>
        </w:rPr>
        <w:t xml:space="preserve"> </w:t>
      </w:r>
      <w:r w:rsidR="00144C82" w:rsidRPr="00E82006">
        <w:rPr>
          <w:rFonts w:ascii="Book Antiqua" w:hAnsi="Book Antiqua"/>
          <w:sz w:val="24"/>
          <w:szCs w:val="24"/>
        </w:rPr>
        <w:t>(MSI) tumors, genomically stable tumors and tumors with chromosomal instability</w:t>
      </w:r>
      <w:r w:rsidR="00372E69" w:rsidRPr="00E82006">
        <w:rPr>
          <w:rFonts w:ascii="Book Antiqua" w:hAnsi="Book Antiqua"/>
          <w:sz w:val="24"/>
          <w:szCs w:val="24"/>
          <w:vertAlign w:val="superscript"/>
        </w:rPr>
        <w:t>[</w:t>
      </w:r>
      <w:r w:rsidR="00117F2C" w:rsidRPr="00E82006">
        <w:rPr>
          <w:rFonts w:ascii="Book Antiqua" w:hAnsi="Book Antiqua"/>
          <w:sz w:val="24"/>
          <w:szCs w:val="24"/>
          <w:vertAlign w:val="superscript"/>
        </w:rPr>
        <w:t>19</w:t>
      </w:r>
      <w:r w:rsidR="00372E69" w:rsidRPr="00E82006">
        <w:rPr>
          <w:rFonts w:ascii="Book Antiqua" w:hAnsi="Book Antiqua"/>
          <w:sz w:val="24"/>
          <w:szCs w:val="24"/>
          <w:vertAlign w:val="superscript"/>
        </w:rPr>
        <w:t>]</w:t>
      </w:r>
      <w:r w:rsidR="00372E69" w:rsidRPr="00E82006">
        <w:rPr>
          <w:rFonts w:ascii="Book Antiqua" w:hAnsi="Book Antiqua"/>
          <w:sz w:val="24"/>
          <w:szCs w:val="24"/>
        </w:rPr>
        <w:t>.</w:t>
      </w:r>
      <w:r w:rsidR="00E82006" w:rsidRPr="00E82006">
        <w:rPr>
          <w:rFonts w:ascii="Book Antiqua" w:hAnsi="Book Antiqua"/>
          <w:sz w:val="24"/>
          <w:szCs w:val="24"/>
        </w:rPr>
        <w:t xml:space="preserve">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Tumors associated with EBV were predominantly in the fundus or body and were shown to have a higher prevalence of mutations in </w:t>
      </w:r>
      <w:r w:rsidRPr="00E82006">
        <w:rPr>
          <w:rFonts w:ascii="Book Antiqua" w:hAnsi="Book Antiqua"/>
          <w:i/>
          <w:sz w:val="24"/>
          <w:szCs w:val="24"/>
        </w:rPr>
        <w:t>PIK3CA</w:t>
      </w:r>
      <w:r w:rsidR="00361616" w:rsidRPr="00E82006">
        <w:rPr>
          <w:rFonts w:ascii="Book Antiqua" w:hAnsi="Book Antiqua"/>
          <w:sz w:val="24"/>
          <w:szCs w:val="24"/>
        </w:rPr>
        <w:t xml:space="preserve"> (approximately 80%),</w:t>
      </w:r>
      <w:r w:rsidRPr="00E82006">
        <w:rPr>
          <w:rFonts w:ascii="Book Antiqua" w:hAnsi="Book Antiqua"/>
          <w:sz w:val="24"/>
          <w:szCs w:val="24"/>
        </w:rPr>
        <w:t xml:space="preserve"> extensive DNA hypermethylation, overexpression of PD-L1 and PD-L2, and EBV-CpG island methylator phenotype (CIMP) expression. MSI tumors </w:t>
      </w:r>
      <w:r w:rsidR="008A3F8D" w:rsidRPr="00E82006">
        <w:rPr>
          <w:rFonts w:ascii="Book Antiqua" w:hAnsi="Book Antiqua"/>
          <w:sz w:val="24"/>
          <w:szCs w:val="24"/>
        </w:rPr>
        <w:t xml:space="preserve">were diagnosed at a relatively older age (median age 72 years) and </w:t>
      </w:r>
      <w:r w:rsidRPr="00E82006">
        <w:rPr>
          <w:rFonts w:ascii="Book Antiqua" w:hAnsi="Book Antiqua"/>
          <w:sz w:val="24"/>
          <w:szCs w:val="24"/>
        </w:rPr>
        <w:t xml:space="preserve">showed elevated mutation rates, gastric CIMP and </w:t>
      </w:r>
      <w:r w:rsidRPr="00E82006">
        <w:rPr>
          <w:rFonts w:ascii="Book Antiqua" w:hAnsi="Book Antiqua"/>
          <w:i/>
          <w:sz w:val="24"/>
          <w:szCs w:val="24"/>
        </w:rPr>
        <w:t>MLH1</w:t>
      </w:r>
      <w:r w:rsidRPr="00E82006">
        <w:rPr>
          <w:rFonts w:ascii="Book Antiqua" w:hAnsi="Book Antiqua"/>
          <w:sz w:val="24"/>
          <w:szCs w:val="24"/>
        </w:rPr>
        <w:t xml:space="preserve"> silencing but generally lacked targetable amplifications. Unlike in colorectal cancer, BRAF mutations were not seen in </w:t>
      </w:r>
      <w:r w:rsidR="008A3F8D" w:rsidRPr="00E82006">
        <w:rPr>
          <w:rFonts w:ascii="Book Antiqua" w:hAnsi="Book Antiqua"/>
          <w:sz w:val="24"/>
          <w:szCs w:val="24"/>
        </w:rPr>
        <w:t>gastric MSI tumors</w:t>
      </w:r>
      <w:r w:rsidRPr="00E82006">
        <w:rPr>
          <w:rFonts w:ascii="Book Antiqua" w:hAnsi="Book Antiqua"/>
          <w:sz w:val="24"/>
          <w:szCs w:val="24"/>
        </w:rPr>
        <w:t xml:space="preserve">. Genomically stable tumors </w:t>
      </w:r>
      <w:r w:rsidR="008A3F8D" w:rsidRPr="00E82006">
        <w:rPr>
          <w:rFonts w:ascii="Book Antiqua" w:hAnsi="Book Antiqua"/>
          <w:sz w:val="24"/>
          <w:szCs w:val="24"/>
        </w:rPr>
        <w:t xml:space="preserve">tended to be diagnosed at an earlier age (median age 59 years) and </w:t>
      </w:r>
      <w:r w:rsidRPr="00E82006">
        <w:rPr>
          <w:rFonts w:ascii="Book Antiqua" w:hAnsi="Book Antiqua"/>
          <w:sz w:val="24"/>
          <w:szCs w:val="24"/>
        </w:rPr>
        <w:t xml:space="preserve">were enriched for diffuse histology, associated with </w:t>
      </w:r>
      <w:r w:rsidRPr="00E82006">
        <w:rPr>
          <w:rFonts w:ascii="Book Antiqua" w:hAnsi="Book Antiqua"/>
          <w:i/>
          <w:sz w:val="24"/>
          <w:szCs w:val="24"/>
        </w:rPr>
        <w:t>CDH1</w:t>
      </w:r>
      <w:r w:rsidRPr="00E82006">
        <w:rPr>
          <w:rFonts w:ascii="Book Antiqua" w:hAnsi="Book Antiqua"/>
          <w:sz w:val="24"/>
          <w:szCs w:val="24"/>
        </w:rPr>
        <w:t xml:space="preserve"> and </w:t>
      </w:r>
      <w:r w:rsidRPr="00E82006">
        <w:rPr>
          <w:rFonts w:ascii="Book Antiqua" w:hAnsi="Book Antiqua"/>
          <w:i/>
          <w:sz w:val="24"/>
          <w:szCs w:val="24"/>
        </w:rPr>
        <w:t>RHOA</w:t>
      </w:r>
      <w:r w:rsidRPr="00E82006">
        <w:rPr>
          <w:rFonts w:ascii="Book Antiqua" w:hAnsi="Book Antiqua"/>
          <w:sz w:val="24"/>
          <w:szCs w:val="24"/>
        </w:rPr>
        <w:t xml:space="preserve"> mutations and CLDN18-ARHGAP fusion</w:t>
      </w:r>
      <w:r w:rsidR="008A3F8D" w:rsidRPr="00E82006">
        <w:rPr>
          <w:rFonts w:ascii="Book Antiqua" w:hAnsi="Book Antiqua"/>
          <w:sz w:val="24"/>
          <w:szCs w:val="24"/>
        </w:rPr>
        <w:t>,</w:t>
      </w:r>
      <w:r w:rsidRPr="00E82006">
        <w:rPr>
          <w:rFonts w:ascii="Book Antiqua" w:hAnsi="Book Antiqua"/>
          <w:sz w:val="24"/>
          <w:szCs w:val="24"/>
        </w:rPr>
        <w:t xml:space="preserve"> which is implicate</w:t>
      </w:r>
      <w:r w:rsidR="008A3F8D" w:rsidRPr="00E82006">
        <w:rPr>
          <w:rFonts w:ascii="Book Antiqua" w:hAnsi="Book Antiqua"/>
          <w:sz w:val="24"/>
          <w:szCs w:val="24"/>
        </w:rPr>
        <w:t>d in cell motility</w:t>
      </w:r>
      <w:r w:rsidRPr="00E82006">
        <w:rPr>
          <w:rFonts w:ascii="Book Antiqua" w:hAnsi="Book Antiqua"/>
          <w:sz w:val="24"/>
          <w:szCs w:val="24"/>
        </w:rPr>
        <w:t xml:space="preserve">. Almost half of gastric </w:t>
      </w:r>
      <w:r w:rsidRPr="00E82006">
        <w:rPr>
          <w:rFonts w:ascii="Book Antiqua" w:hAnsi="Book Antiqua"/>
          <w:sz w:val="24"/>
          <w:szCs w:val="24"/>
        </w:rPr>
        <w:lastRenderedPageBreak/>
        <w:t xml:space="preserve">tumors demonstrated chromosomal instability, which was predominantly intestinal histology with an elevated frequency in the </w:t>
      </w:r>
      <w:r w:rsidR="00B31E2F" w:rsidRPr="00E82006">
        <w:rPr>
          <w:rFonts w:ascii="Book Antiqua" w:hAnsi="Book Antiqua"/>
          <w:sz w:val="24"/>
          <w:szCs w:val="24"/>
        </w:rPr>
        <w:t xml:space="preserve">gastroesophageal junction (GEJ) </w:t>
      </w:r>
      <w:r w:rsidRPr="00E82006">
        <w:rPr>
          <w:rFonts w:ascii="Book Antiqua" w:hAnsi="Book Antiqua"/>
          <w:sz w:val="24"/>
          <w:szCs w:val="24"/>
        </w:rPr>
        <w:t xml:space="preserve">and cardia and showed marked aneuploidy. They were associated with </w:t>
      </w:r>
      <w:r w:rsidRPr="00E82006">
        <w:rPr>
          <w:rFonts w:ascii="Book Antiqua" w:hAnsi="Book Antiqua"/>
          <w:i/>
          <w:sz w:val="24"/>
          <w:szCs w:val="24"/>
        </w:rPr>
        <w:t>TP53</w:t>
      </w:r>
      <w:r w:rsidRPr="00E82006">
        <w:rPr>
          <w:rFonts w:ascii="Book Antiqua" w:hAnsi="Book Antiqua"/>
          <w:sz w:val="24"/>
          <w:szCs w:val="24"/>
        </w:rPr>
        <w:t xml:space="preserve"> mutation with RTK-RAS activation.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This study showed distinct genomic features in the different molecular subtypes that provide a guide to targeted therapy and allow for development of clinical trials to explore therapies in defined sets of patients. </w:t>
      </w:r>
    </w:p>
    <w:p w:rsidR="00EE752E" w:rsidRPr="00E82006" w:rsidRDefault="00EE752E" w:rsidP="00162A81">
      <w:pPr>
        <w:adjustRightInd w:val="0"/>
        <w:snapToGrid w:val="0"/>
        <w:spacing w:after="0" w:line="360" w:lineRule="auto"/>
        <w:jc w:val="both"/>
        <w:rPr>
          <w:rFonts w:ascii="Book Antiqua" w:hAnsi="Book Antiqua"/>
          <w:caps/>
          <w:sz w:val="24"/>
          <w:szCs w:val="24"/>
        </w:rPr>
      </w:pPr>
    </w:p>
    <w:p w:rsidR="00EE752E" w:rsidRPr="00E82006" w:rsidRDefault="00144C82" w:rsidP="00162A81">
      <w:pPr>
        <w:adjustRightInd w:val="0"/>
        <w:snapToGrid w:val="0"/>
        <w:spacing w:after="0" w:line="360" w:lineRule="auto"/>
        <w:jc w:val="both"/>
        <w:rPr>
          <w:rFonts w:ascii="Book Antiqua" w:hAnsi="Book Antiqua"/>
          <w:caps/>
          <w:sz w:val="24"/>
          <w:szCs w:val="24"/>
        </w:rPr>
      </w:pPr>
      <w:r w:rsidRPr="00E82006">
        <w:rPr>
          <w:rFonts w:ascii="Book Antiqua" w:hAnsi="Book Antiqua"/>
          <w:b/>
          <w:caps/>
          <w:sz w:val="24"/>
          <w:szCs w:val="24"/>
        </w:rPr>
        <w:t>Targeted Therapies</w:t>
      </w:r>
    </w:p>
    <w:p w:rsidR="00EE752E" w:rsidRPr="00E82006" w:rsidRDefault="00144C82" w:rsidP="00162A81">
      <w:pPr>
        <w:adjustRightInd w:val="0"/>
        <w:snapToGrid w:val="0"/>
        <w:spacing w:after="0" w:line="360" w:lineRule="auto"/>
        <w:jc w:val="both"/>
        <w:rPr>
          <w:rFonts w:ascii="Book Antiqua" w:hAnsi="Book Antiqua"/>
          <w:i/>
          <w:sz w:val="24"/>
          <w:szCs w:val="24"/>
        </w:rPr>
      </w:pPr>
      <w:r w:rsidRPr="00E82006">
        <w:rPr>
          <w:rFonts w:ascii="Book Antiqua" w:hAnsi="Book Antiqua"/>
          <w:b/>
          <w:i/>
          <w:sz w:val="24"/>
          <w:szCs w:val="24"/>
        </w:rPr>
        <w:t>HER2 inhibitors</w:t>
      </w: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HER2</w:t>
      </w:r>
      <w:r w:rsidR="00173449" w:rsidRPr="00E82006">
        <w:rPr>
          <w:rFonts w:ascii="Book Antiqua" w:hAnsi="Book Antiqua"/>
          <w:sz w:val="24"/>
          <w:szCs w:val="24"/>
        </w:rPr>
        <w:t xml:space="preserve"> </w:t>
      </w:r>
      <w:r w:rsidRPr="00E82006">
        <w:rPr>
          <w:rFonts w:ascii="Book Antiqua" w:hAnsi="Book Antiqua"/>
          <w:sz w:val="24"/>
          <w:szCs w:val="24"/>
        </w:rPr>
        <w:t xml:space="preserve">is a transmembrane tyrosine kinase receptor belonging to the </w:t>
      </w:r>
      <w:r w:rsidR="00600500" w:rsidRPr="00E82006">
        <w:rPr>
          <w:rFonts w:ascii="Book Antiqua" w:hAnsi="Book Antiqua"/>
          <w:sz w:val="24"/>
          <w:szCs w:val="24"/>
        </w:rPr>
        <w:t>epidermal growth factor receptor (EGFR)</w:t>
      </w:r>
      <w:r w:rsidR="00600500" w:rsidRPr="00E82006">
        <w:rPr>
          <w:rFonts w:ascii="Book Antiqua" w:hAnsi="Book Antiqua"/>
          <w:sz w:val="24"/>
          <w:szCs w:val="24"/>
          <w:lang w:eastAsia="zh-CN"/>
        </w:rPr>
        <w:t xml:space="preserve"> </w:t>
      </w:r>
      <w:r w:rsidRPr="00E82006">
        <w:rPr>
          <w:rFonts w:ascii="Book Antiqua" w:hAnsi="Book Antiqua"/>
          <w:sz w:val="24"/>
          <w:szCs w:val="24"/>
        </w:rPr>
        <w:t xml:space="preserve">family. </w:t>
      </w:r>
      <w:r w:rsidR="00E971EB" w:rsidRPr="00E82006">
        <w:rPr>
          <w:rFonts w:ascii="Book Antiqua" w:hAnsi="Book Antiqua"/>
          <w:sz w:val="24"/>
          <w:szCs w:val="24"/>
        </w:rPr>
        <w:t>A</w:t>
      </w:r>
      <w:r w:rsidRPr="00E82006">
        <w:rPr>
          <w:rFonts w:ascii="Book Antiqua" w:hAnsi="Book Antiqua"/>
          <w:sz w:val="24"/>
          <w:szCs w:val="24"/>
        </w:rPr>
        <w:t>ctivation of the HER2 receptor</w:t>
      </w:r>
      <w:r w:rsidR="00E971EB" w:rsidRPr="00E82006">
        <w:rPr>
          <w:rFonts w:ascii="Book Antiqua" w:hAnsi="Book Antiqua"/>
          <w:sz w:val="24"/>
          <w:szCs w:val="24"/>
        </w:rPr>
        <w:t xml:space="preserve"> </w:t>
      </w:r>
      <w:r w:rsidRPr="00E82006">
        <w:rPr>
          <w:rFonts w:ascii="Book Antiqua" w:hAnsi="Book Antiqua"/>
          <w:sz w:val="24"/>
          <w:szCs w:val="24"/>
        </w:rPr>
        <w:t xml:space="preserve">activates downstream signals in the Ras/Raf/mitogen-activated protein kinase (MAPK) and </w:t>
      </w:r>
      <w:r w:rsidR="00F05D14" w:rsidRPr="00E82006">
        <w:rPr>
          <w:rFonts w:ascii="Book Antiqua" w:hAnsi="Book Antiqua"/>
          <w:sz w:val="24"/>
          <w:szCs w:val="24"/>
        </w:rPr>
        <w:t>phosphatadylinositol 3-kinase (PI3K)</w:t>
      </w:r>
      <w:r w:rsidRPr="00E82006">
        <w:rPr>
          <w:rFonts w:ascii="Book Antiqua" w:hAnsi="Book Antiqua"/>
          <w:sz w:val="24"/>
          <w:szCs w:val="24"/>
        </w:rPr>
        <w:t>/</w:t>
      </w:r>
      <w:r w:rsidR="00F05D14" w:rsidRPr="00E82006">
        <w:rPr>
          <w:rFonts w:ascii="Book Antiqua" w:hAnsi="Book Antiqua"/>
          <w:sz w:val="24"/>
          <w:szCs w:val="24"/>
        </w:rPr>
        <w:t xml:space="preserve"> protein kinase B </w:t>
      </w:r>
      <w:r w:rsidR="00F05D14" w:rsidRPr="00E82006">
        <w:rPr>
          <w:rFonts w:ascii="Book Antiqua" w:hAnsi="Book Antiqua"/>
          <w:sz w:val="24"/>
          <w:szCs w:val="24"/>
          <w:lang w:eastAsia="zh-CN"/>
        </w:rPr>
        <w:t>(</w:t>
      </w:r>
      <w:r w:rsidRPr="00E82006">
        <w:rPr>
          <w:rFonts w:ascii="Book Antiqua" w:hAnsi="Book Antiqua"/>
          <w:sz w:val="24"/>
          <w:szCs w:val="24"/>
        </w:rPr>
        <w:t>Akt</w:t>
      </w:r>
      <w:r w:rsidR="00F05D14" w:rsidRPr="00E82006">
        <w:rPr>
          <w:rFonts w:ascii="Book Antiqua" w:hAnsi="Book Antiqua"/>
          <w:sz w:val="24"/>
          <w:szCs w:val="24"/>
          <w:lang w:eastAsia="zh-CN"/>
        </w:rPr>
        <w:t>)</w:t>
      </w:r>
      <w:r w:rsidRPr="00E82006">
        <w:rPr>
          <w:rFonts w:ascii="Book Antiqua" w:hAnsi="Book Antiqua"/>
          <w:sz w:val="24"/>
          <w:szCs w:val="24"/>
        </w:rPr>
        <w:t>/</w:t>
      </w:r>
      <w:r w:rsidR="00F05D14" w:rsidRPr="00E82006">
        <w:rPr>
          <w:rFonts w:ascii="Book Antiqua" w:hAnsi="Book Antiqua"/>
          <w:sz w:val="24"/>
          <w:szCs w:val="24"/>
        </w:rPr>
        <w:t>mammalian target of rapamyin (mTOR)</w:t>
      </w:r>
      <w:r w:rsidR="00F05D14" w:rsidRPr="00E82006">
        <w:rPr>
          <w:rFonts w:ascii="Book Antiqua" w:hAnsi="Book Antiqua"/>
          <w:sz w:val="24"/>
          <w:szCs w:val="24"/>
          <w:lang w:eastAsia="zh-CN"/>
        </w:rPr>
        <w:t xml:space="preserve"> </w:t>
      </w:r>
      <w:r w:rsidRPr="00E82006">
        <w:rPr>
          <w:rFonts w:ascii="Book Antiqua" w:hAnsi="Book Antiqua"/>
          <w:sz w:val="24"/>
          <w:szCs w:val="24"/>
        </w:rPr>
        <w:t xml:space="preserve">pathways that are responsible for regulating a variety of tumor biology, such as cell growth, </w:t>
      </w:r>
      <w:r w:rsidR="007F4147" w:rsidRPr="00E82006">
        <w:rPr>
          <w:rFonts w:ascii="Book Antiqua" w:hAnsi="Book Antiqua"/>
          <w:sz w:val="24"/>
          <w:szCs w:val="24"/>
        </w:rPr>
        <w:t>differentiation, and survival</w:t>
      </w:r>
      <w:r w:rsidR="00117F2C" w:rsidRPr="00E82006">
        <w:rPr>
          <w:rFonts w:ascii="Book Antiqua" w:hAnsi="Book Antiqua"/>
          <w:sz w:val="24"/>
          <w:szCs w:val="24"/>
          <w:vertAlign w:val="superscript"/>
        </w:rPr>
        <w:t>[20</w:t>
      </w:r>
      <w:r w:rsidR="005B7309" w:rsidRPr="00E82006">
        <w:rPr>
          <w:rFonts w:ascii="Book Antiqua" w:hAnsi="Book Antiqua"/>
          <w:sz w:val="24"/>
          <w:szCs w:val="24"/>
          <w:vertAlign w:val="superscript"/>
        </w:rPr>
        <w:t>-</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2</w:t>
      </w:r>
      <w:r w:rsidRPr="00E82006">
        <w:rPr>
          <w:rFonts w:ascii="Book Antiqua" w:hAnsi="Book Antiqua"/>
          <w:sz w:val="24"/>
          <w:szCs w:val="24"/>
          <w:vertAlign w:val="superscript"/>
        </w:rPr>
        <w:t>]</w:t>
      </w:r>
      <w:r w:rsidRPr="00E82006">
        <w:rPr>
          <w:rFonts w:ascii="Book Antiqua" w:hAnsi="Book Antiqua"/>
          <w:sz w:val="24"/>
          <w:szCs w:val="24"/>
        </w:rPr>
        <w:t>. The reported HER2 positivity in patients with gastric cancer ranges widely from 6% to 34% depending on the histologic</w:t>
      </w:r>
      <w:r w:rsidR="007E17A9" w:rsidRPr="00E82006">
        <w:rPr>
          <w:rFonts w:ascii="Book Antiqua" w:hAnsi="Book Antiqua"/>
          <w:sz w:val="24"/>
          <w:szCs w:val="24"/>
        </w:rPr>
        <w:t xml:space="preserve"> subtype and location with t</w:t>
      </w:r>
      <w:r w:rsidRPr="00E82006">
        <w:rPr>
          <w:rFonts w:ascii="Book Antiqua" w:hAnsi="Book Antiqua"/>
          <w:sz w:val="24"/>
          <w:szCs w:val="24"/>
        </w:rPr>
        <w:t>he highest rates of expression observed in intestinal type tumors an</w:t>
      </w:r>
      <w:r w:rsidR="007F4147" w:rsidRPr="00E82006">
        <w:rPr>
          <w:rFonts w:ascii="Book Antiqua" w:hAnsi="Book Antiqua"/>
          <w:sz w:val="24"/>
          <w:szCs w:val="24"/>
        </w:rPr>
        <w:t>d in cancers located in the GEJ</w:t>
      </w:r>
      <w:r w:rsidR="007E17A9" w:rsidRPr="00E82006">
        <w:rPr>
          <w:rFonts w:ascii="Book Antiqua" w:hAnsi="Book Antiqua"/>
          <w:sz w:val="24"/>
          <w:szCs w:val="24"/>
          <w:vertAlign w:val="superscript"/>
        </w:rPr>
        <w:t>[</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3</w:t>
      </w:r>
      <w:r w:rsidR="007E17A9" w:rsidRPr="00E82006">
        <w:rPr>
          <w:rFonts w:ascii="Book Antiqua" w:hAnsi="Book Antiqua"/>
          <w:sz w:val="24"/>
          <w:szCs w:val="24"/>
          <w:vertAlign w:val="superscript"/>
        </w:rPr>
        <w:t>-</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5</w:t>
      </w:r>
      <w:r w:rsidR="007E17A9" w:rsidRPr="00E82006">
        <w:rPr>
          <w:rFonts w:ascii="Book Antiqua" w:hAnsi="Book Antiqua"/>
          <w:sz w:val="24"/>
          <w:szCs w:val="24"/>
          <w:vertAlign w:val="superscript"/>
        </w:rPr>
        <w:t>]</w:t>
      </w:r>
      <w:r w:rsidRPr="00E82006">
        <w:rPr>
          <w:rFonts w:ascii="Book Antiqua" w:hAnsi="Book Antiqua"/>
          <w:sz w:val="24"/>
          <w:szCs w:val="24"/>
        </w:rPr>
        <w:t xml:space="preserve">. Unlike in breast cancer where overexpression of HER2 associates </w:t>
      </w:r>
      <w:r w:rsidR="007F4147" w:rsidRPr="00E82006">
        <w:rPr>
          <w:rFonts w:ascii="Book Antiqua" w:hAnsi="Book Antiqua"/>
          <w:sz w:val="24"/>
          <w:szCs w:val="24"/>
        </w:rPr>
        <w:t>with a more aggressive tumor</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26</w:t>
      </w:r>
      <w:r w:rsidRPr="00E82006">
        <w:rPr>
          <w:rFonts w:ascii="Book Antiqua" w:hAnsi="Book Antiqua"/>
          <w:sz w:val="24"/>
          <w:szCs w:val="24"/>
          <w:vertAlign w:val="superscript"/>
        </w:rPr>
        <w:t>]</w:t>
      </w:r>
      <w:r w:rsidRPr="00E82006">
        <w:rPr>
          <w:rFonts w:ascii="Book Antiqua" w:hAnsi="Book Antiqua"/>
          <w:sz w:val="24"/>
          <w:szCs w:val="24"/>
        </w:rPr>
        <w:t>, the prognostic role of HER2 in gastric cancer is less clear. Also HER2 testing in gastric cancer differs from that in breast cancer because of inherent differences in tumor biology</w:t>
      </w:r>
      <w:r w:rsidR="008A3F8D" w:rsidRPr="00E82006">
        <w:rPr>
          <w:rFonts w:ascii="Book Antiqua" w:hAnsi="Book Antiqua"/>
          <w:sz w:val="24"/>
          <w:szCs w:val="24"/>
        </w:rPr>
        <w:t xml:space="preserve"> - g</w:t>
      </w:r>
      <w:r w:rsidRPr="00E82006">
        <w:rPr>
          <w:rFonts w:ascii="Book Antiqua" w:hAnsi="Book Antiqua"/>
          <w:sz w:val="24"/>
          <w:szCs w:val="24"/>
        </w:rPr>
        <w:t>astric cancer more frequently shows tumor heterogeneity and incomplete membrane staining due to its high f</w:t>
      </w:r>
      <w:r w:rsidR="003878F6" w:rsidRPr="00E82006">
        <w:rPr>
          <w:rFonts w:ascii="Book Antiqua" w:hAnsi="Book Antiqua"/>
          <w:sz w:val="24"/>
          <w:szCs w:val="24"/>
        </w:rPr>
        <w:t>requency of glandular formation</w:t>
      </w:r>
      <w:r w:rsidRPr="00E82006">
        <w:rPr>
          <w:rFonts w:ascii="Book Antiqua" w:hAnsi="Book Antiqua"/>
          <w:sz w:val="24"/>
          <w:szCs w:val="24"/>
          <w:vertAlign w:val="superscript"/>
        </w:rPr>
        <w:t>[</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7</w:t>
      </w:r>
      <w:r w:rsidRPr="00E82006">
        <w:rPr>
          <w:rFonts w:ascii="Book Antiqua" w:hAnsi="Book Antiqua"/>
          <w:sz w:val="24"/>
          <w:szCs w:val="24"/>
          <w:vertAlign w:val="superscript"/>
        </w:rPr>
        <w:t>]</w:t>
      </w:r>
      <w:r w:rsidRPr="00E82006">
        <w:rPr>
          <w:rFonts w:ascii="Book Antiqua" w:hAnsi="Book Antiqua"/>
          <w:sz w:val="24"/>
          <w:szCs w:val="24"/>
        </w:rPr>
        <w:t xml:space="preserve">. There are several different strategies for targeting HER2: anti-HER2 monoclonal antibodies or small-molecule tyrosine kinase inhibitors (TKIs). Table </w:t>
      </w:r>
      <w:r w:rsidR="00E417DB" w:rsidRPr="00E82006">
        <w:rPr>
          <w:rFonts w:ascii="Book Antiqua" w:hAnsi="Book Antiqua"/>
          <w:sz w:val="24"/>
          <w:szCs w:val="24"/>
        </w:rPr>
        <w:t>2</w:t>
      </w:r>
      <w:r w:rsidRPr="00E82006">
        <w:rPr>
          <w:rFonts w:ascii="Book Antiqua" w:hAnsi="Book Antiqua"/>
          <w:sz w:val="24"/>
          <w:szCs w:val="24"/>
        </w:rPr>
        <w:t xml:space="preserve"> summarizes the completed trials with </w:t>
      </w:r>
      <w:r w:rsidR="00356948" w:rsidRPr="00E82006">
        <w:rPr>
          <w:rFonts w:ascii="Book Antiqua" w:hAnsi="Book Antiqua"/>
          <w:sz w:val="24"/>
          <w:szCs w:val="24"/>
        </w:rPr>
        <w:t>targeted</w:t>
      </w:r>
      <w:r w:rsidRPr="00E82006">
        <w:rPr>
          <w:rFonts w:ascii="Book Antiqua" w:hAnsi="Book Antiqua"/>
          <w:sz w:val="24"/>
          <w:szCs w:val="24"/>
        </w:rPr>
        <w:t xml:space="preserve"> agents in advanced gastric cancer and</w:t>
      </w:r>
      <w:r w:rsidRPr="00D01909">
        <w:rPr>
          <w:rFonts w:ascii="Book Antiqua" w:hAnsi="Book Antiqua"/>
          <w:caps/>
          <w:sz w:val="24"/>
          <w:szCs w:val="24"/>
        </w:rPr>
        <w:t xml:space="preserve"> t</w:t>
      </w:r>
      <w:r w:rsidRPr="00E82006">
        <w:rPr>
          <w:rFonts w:ascii="Book Antiqua" w:hAnsi="Book Antiqua"/>
          <w:sz w:val="24"/>
          <w:szCs w:val="24"/>
        </w:rPr>
        <w:t xml:space="preserve">able </w:t>
      </w:r>
      <w:r w:rsidR="00E417DB" w:rsidRPr="00E82006">
        <w:rPr>
          <w:rFonts w:ascii="Book Antiqua" w:hAnsi="Book Antiqua"/>
          <w:sz w:val="24"/>
          <w:szCs w:val="24"/>
        </w:rPr>
        <w:t>3</w:t>
      </w:r>
      <w:r w:rsidRPr="00E82006">
        <w:rPr>
          <w:rFonts w:ascii="Book Antiqua" w:hAnsi="Book Antiqua"/>
          <w:sz w:val="24"/>
          <w:szCs w:val="24"/>
        </w:rPr>
        <w:t xml:space="preserve"> outlines the ongoing trials. </w:t>
      </w:r>
    </w:p>
    <w:p w:rsidR="00EE752E" w:rsidRPr="00E82006" w:rsidRDefault="00EA4915"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lastRenderedPageBreak/>
        <w:t>The first targeted agent approved in gastric cancer was t</w:t>
      </w:r>
      <w:r w:rsidR="00144C82" w:rsidRPr="00E82006">
        <w:rPr>
          <w:rFonts w:ascii="Book Antiqua" w:hAnsi="Book Antiqua"/>
          <w:sz w:val="24"/>
          <w:szCs w:val="24"/>
        </w:rPr>
        <w:t>rastuzumab</w:t>
      </w:r>
      <w:r w:rsidRPr="00E82006">
        <w:rPr>
          <w:rFonts w:ascii="Book Antiqua" w:hAnsi="Book Antiqua"/>
          <w:sz w:val="24"/>
          <w:szCs w:val="24"/>
        </w:rPr>
        <w:t>, which</w:t>
      </w:r>
      <w:r w:rsidR="00144C82" w:rsidRPr="00E82006">
        <w:rPr>
          <w:rFonts w:ascii="Book Antiqua" w:hAnsi="Book Antiqua"/>
          <w:sz w:val="24"/>
          <w:szCs w:val="24"/>
        </w:rPr>
        <w:t xml:space="preserve"> </w:t>
      </w:r>
      <w:r w:rsidRPr="00E82006">
        <w:rPr>
          <w:rFonts w:ascii="Book Antiqua" w:hAnsi="Book Antiqua"/>
          <w:sz w:val="24"/>
          <w:szCs w:val="24"/>
        </w:rPr>
        <w:t>acts on</w:t>
      </w:r>
      <w:r w:rsidR="00144C82" w:rsidRPr="00E82006">
        <w:rPr>
          <w:rFonts w:ascii="Book Antiqua" w:hAnsi="Book Antiqua"/>
          <w:sz w:val="24"/>
          <w:szCs w:val="24"/>
        </w:rPr>
        <w:t xml:space="preserve"> the extracellular domain of the HER2 receptor and inhibits HER2-mediated signaling</w:t>
      </w:r>
      <w:r w:rsidRPr="00E82006">
        <w:rPr>
          <w:rFonts w:ascii="Book Antiqua" w:hAnsi="Book Antiqua"/>
          <w:sz w:val="24"/>
          <w:szCs w:val="24"/>
        </w:rPr>
        <w:t xml:space="preserve">. </w:t>
      </w:r>
      <w:r w:rsidR="00815CEA" w:rsidRPr="00E82006">
        <w:rPr>
          <w:rFonts w:ascii="Book Antiqua" w:hAnsi="Book Antiqua"/>
          <w:sz w:val="24"/>
          <w:szCs w:val="24"/>
        </w:rPr>
        <w:t>T</w:t>
      </w:r>
      <w:r w:rsidR="0080539D" w:rsidRPr="00E82006">
        <w:rPr>
          <w:rFonts w:ascii="Book Antiqua" w:hAnsi="Book Antiqua"/>
          <w:sz w:val="24"/>
          <w:szCs w:val="24"/>
        </w:rPr>
        <w:t>rastuzumab for gastric c</w:t>
      </w:r>
      <w:r w:rsidR="00815CEA" w:rsidRPr="00E82006">
        <w:rPr>
          <w:rFonts w:ascii="Book Antiqua" w:hAnsi="Book Antiqua"/>
          <w:sz w:val="24"/>
          <w:szCs w:val="24"/>
        </w:rPr>
        <w:t>ancer</w:t>
      </w:r>
      <w:r w:rsidR="0080539D" w:rsidRPr="00E82006">
        <w:rPr>
          <w:rFonts w:ascii="Book Antiqua" w:hAnsi="Book Antiqua"/>
          <w:sz w:val="24"/>
          <w:szCs w:val="24"/>
        </w:rPr>
        <w:t xml:space="preserve"> (ToGA) </w:t>
      </w:r>
      <w:r w:rsidR="00144C82" w:rsidRPr="00E82006">
        <w:rPr>
          <w:rFonts w:ascii="Book Antiqua" w:hAnsi="Book Antiqua"/>
          <w:sz w:val="24"/>
          <w:szCs w:val="24"/>
        </w:rPr>
        <w:t xml:space="preserve">was </w:t>
      </w:r>
      <w:r w:rsidRPr="00E82006">
        <w:rPr>
          <w:rFonts w:ascii="Book Antiqua" w:hAnsi="Book Antiqua"/>
          <w:sz w:val="24"/>
          <w:szCs w:val="24"/>
        </w:rPr>
        <w:t>a</w:t>
      </w:r>
      <w:r w:rsidR="00144C82" w:rsidRPr="00E82006">
        <w:rPr>
          <w:rFonts w:ascii="Book Antiqua" w:hAnsi="Book Antiqua"/>
          <w:sz w:val="24"/>
          <w:szCs w:val="24"/>
        </w:rPr>
        <w:t xml:space="preserve"> phase III, randomized controlled trial involving </w:t>
      </w:r>
      <w:r w:rsidRPr="00E82006">
        <w:rPr>
          <w:rFonts w:ascii="Book Antiqua" w:hAnsi="Book Antiqua"/>
          <w:sz w:val="24"/>
          <w:szCs w:val="24"/>
        </w:rPr>
        <w:t xml:space="preserve">584 treatment naïve patients with metastatic or locally advanced unresectable HER2-overexpressing </w:t>
      </w:r>
      <w:r w:rsidR="00A2519D" w:rsidRPr="00E82006">
        <w:rPr>
          <w:rFonts w:ascii="Book Antiqua" w:hAnsi="Book Antiqua"/>
          <w:sz w:val="24"/>
          <w:szCs w:val="24"/>
        </w:rPr>
        <w:t xml:space="preserve">(defined as IHC3+ or FISH positive) </w:t>
      </w:r>
      <w:r w:rsidRPr="00E82006">
        <w:rPr>
          <w:rFonts w:ascii="Book Antiqua" w:hAnsi="Book Antiqua"/>
          <w:sz w:val="24"/>
          <w:szCs w:val="24"/>
        </w:rPr>
        <w:t xml:space="preserve">gastric or </w:t>
      </w:r>
      <w:r w:rsidR="00B31E2F" w:rsidRPr="00E82006">
        <w:rPr>
          <w:rFonts w:ascii="Book Antiqua" w:hAnsi="Book Antiqua"/>
          <w:sz w:val="24"/>
          <w:szCs w:val="24"/>
        </w:rPr>
        <w:t>GEJ</w:t>
      </w:r>
      <w:r w:rsidR="003878F6" w:rsidRPr="00E82006">
        <w:rPr>
          <w:rFonts w:ascii="Book Antiqua" w:hAnsi="Book Antiqua"/>
          <w:sz w:val="24"/>
          <w:szCs w:val="24"/>
        </w:rPr>
        <w:t xml:space="preserve"> adenocarcinoma</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8</w:t>
      </w:r>
      <w:r w:rsidR="00144C82" w:rsidRPr="00E82006">
        <w:rPr>
          <w:rFonts w:ascii="Book Antiqua" w:hAnsi="Book Antiqua"/>
          <w:sz w:val="24"/>
          <w:szCs w:val="24"/>
          <w:vertAlign w:val="superscript"/>
        </w:rPr>
        <w:t>]</w:t>
      </w:r>
      <w:r w:rsidR="00144C82" w:rsidRPr="00E82006">
        <w:rPr>
          <w:rFonts w:ascii="Book Antiqua" w:hAnsi="Book Antiqua"/>
          <w:sz w:val="24"/>
          <w:szCs w:val="24"/>
        </w:rPr>
        <w:t xml:space="preserve">. </w:t>
      </w:r>
      <w:r w:rsidR="00E971EB" w:rsidRPr="00E82006">
        <w:rPr>
          <w:rFonts w:ascii="Book Antiqua" w:hAnsi="Book Antiqua"/>
          <w:sz w:val="24"/>
          <w:szCs w:val="24"/>
        </w:rPr>
        <w:t>T</w:t>
      </w:r>
      <w:r w:rsidR="00144C82" w:rsidRPr="00E82006">
        <w:rPr>
          <w:rFonts w:ascii="Book Antiqua" w:hAnsi="Book Antiqua"/>
          <w:sz w:val="24"/>
          <w:szCs w:val="24"/>
        </w:rPr>
        <w:t xml:space="preserve">he addition of trastuzumab to standard chemotherapy demonstrated a </w:t>
      </w:r>
      <w:r w:rsidR="00E971EB" w:rsidRPr="00E82006">
        <w:rPr>
          <w:rFonts w:ascii="Book Antiqua" w:hAnsi="Book Antiqua"/>
          <w:sz w:val="24"/>
          <w:szCs w:val="24"/>
        </w:rPr>
        <w:t xml:space="preserve">significant </w:t>
      </w:r>
      <w:r w:rsidR="00144C82" w:rsidRPr="00E82006">
        <w:rPr>
          <w:rFonts w:ascii="Book Antiqua" w:hAnsi="Book Antiqua"/>
          <w:sz w:val="24"/>
          <w:szCs w:val="24"/>
        </w:rPr>
        <w:t xml:space="preserve">clinical benefit with higher response rate (47% </w:t>
      </w:r>
      <w:r w:rsidR="005A0B67" w:rsidRPr="00E82006">
        <w:rPr>
          <w:rFonts w:ascii="Book Antiqua" w:hAnsi="Book Antiqua"/>
          <w:i/>
          <w:sz w:val="24"/>
          <w:szCs w:val="24"/>
        </w:rPr>
        <w:t>vs</w:t>
      </w:r>
      <w:r w:rsidR="00144C82" w:rsidRPr="00E82006">
        <w:rPr>
          <w:rFonts w:ascii="Book Antiqua" w:hAnsi="Book Antiqua"/>
          <w:sz w:val="24"/>
          <w:szCs w:val="24"/>
        </w:rPr>
        <w:t xml:space="preserve"> 35%), improved progression-free survival (PFS) (6.7 </w:t>
      </w:r>
      <w:r w:rsidR="00D561BE" w:rsidRPr="00E82006">
        <w:rPr>
          <w:rFonts w:ascii="Book Antiqua" w:hAnsi="Book Antiqua"/>
          <w:sz w:val="24"/>
          <w:szCs w:val="24"/>
          <w:lang w:eastAsia="zh-CN"/>
        </w:rPr>
        <w:t xml:space="preserve">mo </w:t>
      </w:r>
      <w:r w:rsidR="005A0B67" w:rsidRPr="00E82006">
        <w:rPr>
          <w:rFonts w:ascii="Book Antiqua" w:hAnsi="Book Antiqua"/>
          <w:i/>
          <w:sz w:val="24"/>
          <w:szCs w:val="24"/>
        </w:rPr>
        <w:t>vs</w:t>
      </w:r>
      <w:r w:rsidR="00144C82" w:rsidRPr="00E82006">
        <w:rPr>
          <w:rFonts w:ascii="Book Antiqua" w:hAnsi="Book Antiqua"/>
          <w:sz w:val="24"/>
          <w:szCs w:val="24"/>
        </w:rPr>
        <w:t xml:space="preserve"> 5.5 mo) and improved overall survival (OS) (13.8 </w:t>
      </w:r>
      <w:r w:rsidR="0050725B" w:rsidRPr="00E82006">
        <w:rPr>
          <w:rFonts w:ascii="Book Antiqua" w:hAnsi="Book Antiqua"/>
          <w:sz w:val="24"/>
          <w:szCs w:val="24"/>
        </w:rPr>
        <w:t>mo</w:t>
      </w:r>
      <w:r w:rsidR="0050725B"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11.1 mo) compared to the chemotherapy alone arm. In a</w:t>
      </w:r>
      <w:r w:rsidR="00144C82" w:rsidRPr="00E82006">
        <w:rPr>
          <w:rFonts w:ascii="Book Antiqua" w:hAnsi="Book Antiqua"/>
          <w:sz w:val="24"/>
          <w:szCs w:val="24"/>
          <w:highlight w:val="white"/>
        </w:rPr>
        <w:t xml:space="preserve">n exploratory analysis, trastuzumab had the greatest survival benefit in patients with IHC3+ tumors, less in patients with IHC2+ tumors and ineffective in those with FISH positive but IHC 0 or 1+ tumors. </w:t>
      </w:r>
      <w:r w:rsidR="00144C82" w:rsidRPr="00E82006">
        <w:rPr>
          <w:rFonts w:ascii="Book Antiqua" w:hAnsi="Book Antiqua"/>
          <w:sz w:val="24"/>
          <w:szCs w:val="24"/>
        </w:rPr>
        <w:t xml:space="preserve">Based on this data, trastuzumab was approved in combination with </w:t>
      </w:r>
      <w:r w:rsidR="00815CEA" w:rsidRPr="00E82006">
        <w:rPr>
          <w:rFonts w:ascii="Book Antiqua" w:hAnsi="Book Antiqua"/>
          <w:sz w:val="24"/>
          <w:szCs w:val="24"/>
        </w:rPr>
        <w:t>chemotherapy</w:t>
      </w:r>
      <w:r w:rsidR="00144C82" w:rsidRPr="00E82006">
        <w:rPr>
          <w:rFonts w:ascii="Book Antiqua" w:hAnsi="Book Antiqua"/>
          <w:sz w:val="24"/>
          <w:szCs w:val="24"/>
        </w:rPr>
        <w:t xml:space="preserve"> for the treatment of patients with metastatic HER2-overexpressing gastric or GEJ adenocarcinoma who have not received prior treatment. The ongoing HELOISE trial is evaluating whether a higher dose of trastuzumab in patients with a high tumor burden will have improved OS compared to the standard dosing [NCT01450696].</w:t>
      </w:r>
    </w:p>
    <w:p w:rsidR="00EE752E" w:rsidRPr="00E82006" w:rsidRDefault="00E971EB"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Given these significant results from the ToGA study, other strategies to target HER2 have been evaluated. </w:t>
      </w:r>
      <w:r w:rsidR="00144C82" w:rsidRPr="00E82006">
        <w:rPr>
          <w:rFonts w:ascii="Book Antiqua" w:hAnsi="Book Antiqua"/>
          <w:sz w:val="24"/>
          <w:szCs w:val="24"/>
        </w:rPr>
        <w:t xml:space="preserve">Lapatinib is a tyrosine kinase inhibitor of EGFR and HER2 that binds to the intracellular ATP binding site of these kinases and interferes with their activation. </w:t>
      </w:r>
      <w:r w:rsidRPr="00E82006">
        <w:rPr>
          <w:rFonts w:ascii="Book Antiqua" w:hAnsi="Book Antiqua"/>
          <w:sz w:val="24"/>
          <w:szCs w:val="24"/>
        </w:rPr>
        <w:t>However, u</w:t>
      </w:r>
      <w:r w:rsidR="00815CEA" w:rsidRPr="00E82006">
        <w:rPr>
          <w:rFonts w:ascii="Book Antiqua" w:hAnsi="Book Antiqua"/>
          <w:sz w:val="24"/>
          <w:szCs w:val="24"/>
        </w:rPr>
        <w:t>nlike with trastuzumab, the trials with lapatinib failed to meet their primary endpoints.</w:t>
      </w:r>
      <w:r w:rsidR="00144C82" w:rsidRPr="00E82006">
        <w:rPr>
          <w:rFonts w:ascii="Book Antiqua" w:hAnsi="Book Antiqua"/>
          <w:sz w:val="24"/>
          <w:szCs w:val="24"/>
        </w:rPr>
        <w:t xml:space="preserve"> The phase III LOGiC trial evaluated the addition of lapatinib to capecitabine and oxaliplatin as first line therapy in </w:t>
      </w:r>
      <w:r w:rsidR="004E529F" w:rsidRPr="00E82006">
        <w:rPr>
          <w:rFonts w:ascii="Book Antiqua" w:hAnsi="Book Antiqua"/>
          <w:sz w:val="24"/>
          <w:szCs w:val="24"/>
        </w:rPr>
        <w:t xml:space="preserve">545 </w:t>
      </w:r>
      <w:r w:rsidR="00144C82" w:rsidRPr="00E82006">
        <w:rPr>
          <w:rFonts w:ascii="Book Antiqua" w:hAnsi="Book Antiqua"/>
          <w:sz w:val="24"/>
          <w:szCs w:val="24"/>
        </w:rPr>
        <w:t xml:space="preserve">patients with HER2 positive advanced </w:t>
      </w:r>
      <w:r w:rsidR="003878F6" w:rsidRPr="00E82006">
        <w:rPr>
          <w:rFonts w:ascii="Book Antiqua" w:hAnsi="Book Antiqua"/>
          <w:sz w:val="24"/>
          <w:szCs w:val="24"/>
        </w:rPr>
        <w:t>gastric and GEJ adenocarcinomas</w:t>
      </w:r>
      <w:r w:rsidR="00144C82" w:rsidRPr="00E82006">
        <w:rPr>
          <w:rFonts w:ascii="Book Antiqua" w:hAnsi="Book Antiqua"/>
          <w:sz w:val="24"/>
          <w:szCs w:val="24"/>
          <w:vertAlign w:val="superscript"/>
        </w:rPr>
        <w:t>[</w:t>
      </w:r>
      <w:r w:rsidR="00E417DB" w:rsidRPr="00E82006">
        <w:rPr>
          <w:rFonts w:ascii="Book Antiqua" w:hAnsi="Book Antiqua"/>
          <w:sz w:val="24"/>
          <w:szCs w:val="24"/>
          <w:vertAlign w:val="superscript"/>
        </w:rPr>
        <w:t>2</w:t>
      </w:r>
      <w:r w:rsidR="00117F2C" w:rsidRPr="00E82006">
        <w:rPr>
          <w:rFonts w:ascii="Book Antiqua" w:hAnsi="Book Antiqua"/>
          <w:sz w:val="24"/>
          <w:szCs w:val="24"/>
          <w:vertAlign w:val="superscript"/>
        </w:rPr>
        <w:t>9</w:t>
      </w:r>
      <w:r w:rsidR="00144C82" w:rsidRPr="00E82006">
        <w:rPr>
          <w:rFonts w:ascii="Book Antiqua" w:hAnsi="Book Antiqua"/>
          <w:sz w:val="24"/>
          <w:szCs w:val="24"/>
          <w:vertAlign w:val="superscript"/>
        </w:rPr>
        <w:t>]</w:t>
      </w:r>
      <w:r w:rsidR="00144C82" w:rsidRPr="00E82006">
        <w:rPr>
          <w:rFonts w:ascii="Book Antiqua" w:hAnsi="Book Antiqua"/>
          <w:sz w:val="24"/>
          <w:szCs w:val="24"/>
        </w:rPr>
        <w:t xml:space="preserve">. </w:t>
      </w:r>
      <w:r w:rsidR="00815CEA" w:rsidRPr="00E82006">
        <w:rPr>
          <w:rFonts w:ascii="Book Antiqua" w:hAnsi="Book Antiqua"/>
          <w:sz w:val="24"/>
          <w:szCs w:val="24"/>
        </w:rPr>
        <w:t>M</w:t>
      </w:r>
      <w:r w:rsidR="00144C82" w:rsidRPr="00E82006">
        <w:rPr>
          <w:rFonts w:ascii="Book Antiqua" w:hAnsi="Book Antiqua"/>
          <w:sz w:val="24"/>
          <w:szCs w:val="24"/>
        </w:rPr>
        <w:t xml:space="preserve">edian OS </w:t>
      </w:r>
      <w:r w:rsidR="00815CEA" w:rsidRPr="00E82006">
        <w:rPr>
          <w:rFonts w:ascii="Book Antiqua" w:hAnsi="Book Antiqua"/>
          <w:sz w:val="24"/>
          <w:szCs w:val="24"/>
        </w:rPr>
        <w:t>was</w:t>
      </w:r>
      <w:r w:rsidR="00144C82" w:rsidRPr="00E82006">
        <w:rPr>
          <w:rFonts w:ascii="Book Antiqua" w:hAnsi="Book Antiqua"/>
          <w:sz w:val="24"/>
          <w:szCs w:val="24"/>
        </w:rPr>
        <w:t xml:space="preserve"> 12.2 </w:t>
      </w:r>
      <w:r w:rsidR="005A0B67" w:rsidRPr="00E82006">
        <w:rPr>
          <w:rFonts w:ascii="Book Antiqua" w:hAnsi="Book Antiqua"/>
          <w:i/>
          <w:sz w:val="24"/>
          <w:szCs w:val="24"/>
        </w:rPr>
        <w:t>vs</w:t>
      </w:r>
      <w:r w:rsidR="00144C82" w:rsidRPr="00E82006">
        <w:rPr>
          <w:rFonts w:ascii="Book Antiqua" w:hAnsi="Book Antiqua"/>
          <w:sz w:val="24"/>
          <w:szCs w:val="24"/>
        </w:rPr>
        <w:t xml:space="preserve"> 10.5 mo in the lapatinib arm compared to the placebo arm </w:t>
      </w:r>
      <w:r w:rsidR="00AE3ABC" w:rsidRPr="00E82006">
        <w:rPr>
          <w:rFonts w:ascii="Book Antiqua" w:hAnsi="Book Antiqua"/>
          <w:sz w:val="24"/>
          <w:szCs w:val="24"/>
        </w:rPr>
        <w:t>with</w:t>
      </w:r>
      <w:r w:rsidR="00144C82" w:rsidRPr="00E82006">
        <w:rPr>
          <w:rFonts w:ascii="Book Antiqua" w:hAnsi="Book Antiqua"/>
          <w:sz w:val="24"/>
          <w:szCs w:val="24"/>
        </w:rPr>
        <w:t xml:space="preserve"> a hazard ratio (HR) of 0.91 (</w:t>
      </w:r>
      <w:r w:rsidR="00DE67BC" w:rsidRPr="00E82006">
        <w:rPr>
          <w:rFonts w:ascii="Book Antiqua" w:hAnsi="Book Antiqua"/>
          <w:sz w:val="24"/>
          <w:szCs w:val="24"/>
        </w:rPr>
        <w:t>95%CI:</w:t>
      </w:r>
      <w:r w:rsidR="00144C82" w:rsidRPr="00E82006">
        <w:rPr>
          <w:rFonts w:ascii="Book Antiqua" w:hAnsi="Book Antiqua"/>
          <w:sz w:val="24"/>
          <w:szCs w:val="24"/>
        </w:rPr>
        <w:t xml:space="preserve"> 0.73-1.12, </w:t>
      </w:r>
      <w:r w:rsidR="00DE67BC" w:rsidRPr="00E82006">
        <w:rPr>
          <w:rFonts w:ascii="Book Antiqua" w:hAnsi="Book Antiqua"/>
          <w:i/>
          <w:caps/>
          <w:sz w:val="24"/>
          <w:szCs w:val="24"/>
        </w:rPr>
        <w:t xml:space="preserve">p = </w:t>
      </w:r>
      <w:r w:rsidR="00144C82" w:rsidRPr="00E82006">
        <w:rPr>
          <w:rFonts w:ascii="Book Antiqua" w:hAnsi="Book Antiqua"/>
          <w:sz w:val="24"/>
          <w:szCs w:val="24"/>
        </w:rPr>
        <w:t xml:space="preserve">0.35). However, subgroup analysis showed that certain subgroups – Asian patients (median OS 16.5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10.9 mo, HR </w:t>
      </w:r>
      <w:r w:rsidR="00DE67BC" w:rsidRPr="00E82006">
        <w:rPr>
          <w:rFonts w:ascii="Book Antiqua" w:hAnsi="Book Antiqua"/>
          <w:sz w:val="24"/>
          <w:szCs w:val="24"/>
          <w:lang w:eastAsia="zh-CN"/>
        </w:rPr>
        <w:t xml:space="preserve">= </w:t>
      </w:r>
      <w:r w:rsidR="00144C82" w:rsidRPr="00E82006">
        <w:rPr>
          <w:rFonts w:ascii="Book Antiqua" w:hAnsi="Book Antiqua"/>
          <w:sz w:val="24"/>
          <w:szCs w:val="24"/>
        </w:rPr>
        <w:t xml:space="preserve">0.91) and those under 60 years (median OS 12.9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9 mo, HR </w:t>
      </w:r>
      <w:r w:rsidR="00DE67BC" w:rsidRPr="00E82006">
        <w:rPr>
          <w:rFonts w:ascii="Book Antiqua" w:hAnsi="Book Antiqua"/>
          <w:sz w:val="24"/>
          <w:szCs w:val="24"/>
          <w:lang w:eastAsia="zh-CN"/>
        </w:rPr>
        <w:t xml:space="preserve">= </w:t>
      </w:r>
      <w:r w:rsidR="00144C82" w:rsidRPr="00E82006">
        <w:rPr>
          <w:rFonts w:ascii="Book Antiqua" w:hAnsi="Book Antiqua"/>
          <w:sz w:val="24"/>
          <w:szCs w:val="24"/>
        </w:rPr>
        <w:t xml:space="preserve">0.69) – had significant improvements in OS. </w:t>
      </w:r>
      <w:r w:rsidR="00BF1284" w:rsidRPr="00E82006">
        <w:rPr>
          <w:rFonts w:ascii="Book Antiqua" w:hAnsi="Book Antiqua"/>
          <w:sz w:val="24"/>
          <w:szCs w:val="24"/>
        </w:rPr>
        <w:t>Similar negative results were seen in the second line setting</w:t>
      </w:r>
      <w:r w:rsidR="00701E90" w:rsidRPr="00E82006">
        <w:rPr>
          <w:rFonts w:ascii="Book Antiqua" w:hAnsi="Book Antiqua"/>
          <w:sz w:val="24"/>
          <w:szCs w:val="24"/>
        </w:rPr>
        <w:t>: t</w:t>
      </w:r>
      <w:r w:rsidR="00930742" w:rsidRPr="00E82006">
        <w:rPr>
          <w:rFonts w:ascii="Book Antiqua" w:hAnsi="Book Antiqua"/>
          <w:sz w:val="24"/>
          <w:szCs w:val="24"/>
        </w:rPr>
        <w:t xml:space="preserve">he </w:t>
      </w:r>
      <w:r w:rsidR="00144C82" w:rsidRPr="00E82006">
        <w:rPr>
          <w:rFonts w:ascii="Book Antiqua" w:hAnsi="Book Antiqua"/>
          <w:sz w:val="24"/>
          <w:szCs w:val="24"/>
        </w:rPr>
        <w:t xml:space="preserve">TyTAN trial compared weekly </w:t>
      </w:r>
      <w:r w:rsidR="00144C82" w:rsidRPr="00E82006">
        <w:rPr>
          <w:rFonts w:ascii="Book Antiqua" w:hAnsi="Book Antiqua"/>
          <w:sz w:val="24"/>
          <w:szCs w:val="24"/>
        </w:rPr>
        <w:lastRenderedPageBreak/>
        <w:t xml:space="preserve">paclitaxel with or without lapatinib </w:t>
      </w:r>
      <w:r w:rsidR="00BF1284" w:rsidRPr="00E82006">
        <w:rPr>
          <w:rFonts w:ascii="Book Antiqua" w:hAnsi="Book Antiqua"/>
          <w:sz w:val="24"/>
          <w:szCs w:val="24"/>
        </w:rPr>
        <w:t>and a</w:t>
      </w:r>
      <w:r w:rsidR="00144C82" w:rsidRPr="00E82006">
        <w:rPr>
          <w:rFonts w:ascii="Book Antiqua" w:hAnsi="Book Antiqua"/>
          <w:sz w:val="24"/>
          <w:szCs w:val="24"/>
        </w:rPr>
        <w:t xml:space="preserve">lthough the median OS was prolonged by two months (11.0 </w:t>
      </w:r>
      <w:r w:rsidR="00DE67BC" w:rsidRPr="00E82006">
        <w:rPr>
          <w:rFonts w:ascii="Book Antiqua" w:hAnsi="Book Antiqua"/>
          <w:sz w:val="24"/>
          <w:szCs w:val="24"/>
        </w:rPr>
        <w:t>mo</w:t>
      </w:r>
      <w:r w:rsidR="00DE67BC"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8.9 mo, HR </w:t>
      </w:r>
      <w:r w:rsidR="00DE67BC" w:rsidRPr="00E82006">
        <w:rPr>
          <w:rFonts w:ascii="Book Antiqua" w:hAnsi="Book Antiqua"/>
          <w:sz w:val="24"/>
          <w:szCs w:val="24"/>
          <w:lang w:eastAsia="zh-CN"/>
        </w:rPr>
        <w:t xml:space="preserve">= </w:t>
      </w:r>
      <w:r w:rsidR="00144C82" w:rsidRPr="00E82006">
        <w:rPr>
          <w:rFonts w:ascii="Book Antiqua" w:hAnsi="Book Antiqua"/>
          <w:sz w:val="24"/>
          <w:szCs w:val="24"/>
        </w:rPr>
        <w:t>0.84), it was not statistically significant</w:t>
      </w:r>
      <w:r w:rsidR="00815CEA" w:rsidRPr="00E82006">
        <w:rPr>
          <w:rFonts w:ascii="Book Antiqua" w:hAnsi="Book Antiqua"/>
          <w:sz w:val="24"/>
          <w:szCs w:val="24"/>
          <w:vertAlign w:val="superscript"/>
        </w:rPr>
        <w:t>[</w:t>
      </w:r>
      <w:r w:rsidR="00117F2C" w:rsidRPr="00E82006">
        <w:rPr>
          <w:rFonts w:ascii="Book Antiqua" w:hAnsi="Book Antiqua"/>
          <w:sz w:val="24"/>
          <w:szCs w:val="24"/>
          <w:vertAlign w:val="superscript"/>
        </w:rPr>
        <w:t>30</w:t>
      </w:r>
      <w:r w:rsidR="00815CEA" w:rsidRPr="00E82006">
        <w:rPr>
          <w:rFonts w:ascii="Book Antiqua" w:hAnsi="Book Antiqua"/>
          <w:sz w:val="24"/>
          <w:szCs w:val="24"/>
          <w:vertAlign w:val="superscript"/>
        </w:rPr>
        <w:t>]</w:t>
      </w:r>
      <w:r w:rsidR="00144C82" w:rsidRPr="00E82006">
        <w:rPr>
          <w:rFonts w:ascii="Book Antiqua" w:hAnsi="Book Antiqua"/>
          <w:sz w:val="24"/>
          <w:szCs w:val="24"/>
        </w:rPr>
        <w:t xml:space="preserve">. </w:t>
      </w:r>
      <w:r w:rsidR="00815CEA" w:rsidRPr="00E82006">
        <w:rPr>
          <w:rFonts w:ascii="Book Antiqua" w:hAnsi="Book Antiqua"/>
          <w:sz w:val="24"/>
          <w:szCs w:val="24"/>
        </w:rPr>
        <w:t>T</w:t>
      </w:r>
      <w:r w:rsidR="00BF1284" w:rsidRPr="00E82006">
        <w:rPr>
          <w:rFonts w:ascii="Book Antiqua" w:hAnsi="Book Antiqua"/>
          <w:sz w:val="24"/>
          <w:szCs w:val="24"/>
        </w:rPr>
        <w:t xml:space="preserve">he </w:t>
      </w:r>
      <w:r w:rsidR="00144C82" w:rsidRPr="00E82006">
        <w:rPr>
          <w:rFonts w:ascii="Book Antiqua" w:hAnsi="Book Antiqua"/>
          <w:sz w:val="24"/>
          <w:szCs w:val="24"/>
        </w:rPr>
        <w:t xml:space="preserve">subgroup </w:t>
      </w:r>
      <w:r w:rsidR="00BF1284" w:rsidRPr="00E82006">
        <w:rPr>
          <w:rFonts w:ascii="Book Antiqua" w:hAnsi="Book Antiqua"/>
          <w:sz w:val="24"/>
          <w:szCs w:val="24"/>
        </w:rPr>
        <w:t>of patients with IHC3+</w:t>
      </w:r>
      <w:r w:rsidR="00815CEA" w:rsidRPr="00E82006">
        <w:rPr>
          <w:rFonts w:ascii="Book Antiqua" w:hAnsi="Book Antiqua"/>
          <w:sz w:val="24"/>
          <w:szCs w:val="24"/>
        </w:rPr>
        <w:t>, however,</w:t>
      </w:r>
      <w:r w:rsidR="00144C82" w:rsidRPr="00E82006">
        <w:rPr>
          <w:rFonts w:ascii="Book Antiqua" w:hAnsi="Book Antiqua"/>
          <w:sz w:val="24"/>
          <w:szCs w:val="24"/>
        </w:rPr>
        <w:t xml:space="preserve"> did </w:t>
      </w:r>
      <w:r w:rsidR="00BF1284" w:rsidRPr="00E82006">
        <w:rPr>
          <w:rFonts w:ascii="Book Antiqua" w:hAnsi="Book Antiqua"/>
          <w:sz w:val="24"/>
          <w:szCs w:val="24"/>
        </w:rPr>
        <w:t>have</w:t>
      </w:r>
      <w:r w:rsidR="00144C82" w:rsidRPr="00E82006">
        <w:rPr>
          <w:rFonts w:ascii="Book Antiqua" w:hAnsi="Book Antiqua"/>
          <w:sz w:val="24"/>
          <w:szCs w:val="24"/>
        </w:rPr>
        <w:t xml:space="preserve"> a significant benefit in both PFS (5.6 </w:t>
      </w:r>
      <w:r w:rsidR="00DE67BC" w:rsidRPr="00E82006">
        <w:rPr>
          <w:rFonts w:ascii="Book Antiqua" w:hAnsi="Book Antiqua"/>
          <w:sz w:val="24"/>
          <w:szCs w:val="24"/>
        </w:rPr>
        <w:t>mo</w:t>
      </w:r>
      <w:r w:rsidR="00DE67BC"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4.2 mo) and OS (14 </w:t>
      </w:r>
      <w:r w:rsidR="00DE67BC" w:rsidRPr="00E82006">
        <w:rPr>
          <w:rFonts w:ascii="Book Antiqua" w:hAnsi="Book Antiqua"/>
          <w:sz w:val="24"/>
          <w:szCs w:val="24"/>
        </w:rPr>
        <w:t>mo</w:t>
      </w:r>
      <w:r w:rsidR="00DE67BC" w:rsidRPr="00E82006">
        <w:rPr>
          <w:rFonts w:ascii="Book Antiqua" w:hAnsi="Book Antiqua"/>
          <w:i/>
          <w:sz w:val="24"/>
          <w:szCs w:val="24"/>
        </w:rPr>
        <w:t xml:space="preserve"> </w:t>
      </w:r>
      <w:r w:rsidR="005A0B67" w:rsidRPr="00E82006">
        <w:rPr>
          <w:rFonts w:ascii="Book Antiqua" w:hAnsi="Book Antiqua"/>
          <w:i/>
          <w:sz w:val="24"/>
          <w:szCs w:val="24"/>
        </w:rPr>
        <w:t>vs</w:t>
      </w:r>
      <w:r w:rsidR="00144C82" w:rsidRPr="00E82006">
        <w:rPr>
          <w:rFonts w:ascii="Book Antiqua" w:hAnsi="Book Antiqua"/>
          <w:sz w:val="24"/>
          <w:szCs w:val="24"/>
        </w:rPr>
        <w:t xml:space="preserve"> 7.6 mo). </w:t>
      </w:r>
    </w:p>
    <w:p w:rsidR="00EE752E" w:rsidRPr="00E82006" w:rsidRDefault="0084097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T</w:t>
      </w:r>
      <w:r w:rsidR="004C1D69" w:rsidRPr="00E82006">
        <w:rPr>
          <w:rFonts w:ascii="Book Antiqua" w:hAnsi="Book Antiqua"/>
          <w:sz w:val="24"/>
          <w:szCs w:val="24"/>
        </w:rPr>
        <w:t xml:space="preserve">wo </w:t>
      </w:r>
      <w:r w:rsidR="002A3A4C" w:rsidRPr="00E82006">
        <w:rPr>
          <w:rFonts w:ascii="Book Antiqua" w:hAnsi="Book Antiqua"/>
          <w:sz w:val="24"/>
          <w:szCs w:val="24"/>
        </w:rPr>
        <w:t xml:space="preserve">other </w:t>
      </w:r>
      <w:r w:rsidR="004C1D69" w:rsidRPr="00E82006">
        <w:rPr>
          <w:rFonts w:ascii="Book Antiqua" w:hAnsi="Book Antiqua"/>
          <w:sz w:val="24"/>
          <w:szCs w:val="24"/>
        </w:rPr>
        <w:t xml:space="preserve">drugs that have been FDA approved for the treatment of patients with metastatic HER2 positive breast cancer are being investigated in HER2 positive gastric cancer. </w:t>
      </w:r>
      <w:r w:rsidR="00144C82" w:rsidRPr="00E82006">
        <w:rPr>
          <w:rFonts w:ascii="Book Antiqua" w:hAnsi="Book Antiqua"/>
          <w:sz w:val="24"/>
          <w:szCs w:val="24"/>
        </w:rPr>
        <w:t xml:space="preserve">Pertuzumab </w:t>
      </w:r>
      <w:r w:rsidR="002A3A4C" w:rsidRPr="00E82006">
        <w:rPr>
          <w:rFonts w:ascii="Book Antiqua" w:hAnsi="Book Antiqua"/>
          <w:sz w:val="24"/>
          <w:szCs w:val="24"/>
        </w:rPr>
        <w:t xml:space="preserve">is an antibody that </w:t>
      </w:r>
      <w:r w:rsidR="00144C82" w:rsidRPr="00E82006">
        <w:rPr>
          <w:rFonts w:ascii="Book Antiqua" w:hAnsi="Book Antiqua"/>
          <w:sz w:val="24"/>
          <w:szCs w:val="24"/>
        </w:rPr>
        <w:t>binds to a different site on HER2 than trastuzumab and inhibits the dimerization of HER2. The phase III JACOB trial</w:t>
      </w:r>
      <w:r w:rsidR="00A86091" w:rsidRPr="00E82006">
        <w:rPr>
          <w:rFonts w:ascii="Book Antiqua" w:hAnsi="Book Antiqua"/>
          <w:sz w:val="24"/>
          <w:szCs w:val="24"/>
        </w:rPr>
        <w:t xml:space="preserve"> </w:t>
      </w:r>
      <w:r w:rsidR="00A86091" w:rsidRPr="00E82006">
        <w:rPr>
          <w:rFonts w:ascii="Book Antiqua" w:hAnsi="Book Antiqua" w:cs="Arial"/>
          <w:sz w:val="24"/>
          <w:szCs w:val="24"/>
          <w:shd w:val="clear" w:color="auto" w:fill="FFFFFF"/>
        </w:rPr>
        <w:t xml:space="preserve">will evaluate </w:t>
      </w:r>
      <w:r w:rsidR="00B31E2F" w:rsidRPr="00E82006">
        <w:rPr>
          <w:rFonts w:ascii="Book Antiqua" w:hAnsi="Book Antiqua" w:cs="Arial"/>
          <w:sz w:val="24"/>
          <w:szCs w:val="24"/>
          <w:shd w:val="clear" w:color="auto" w:fill="FFFFFF"/>
        </w:rPr>
        <w:t xml:space="preserve">the efficacy and safety of </w:t>
      </w:r>
      <w:r w:rsidR="00A86091" w:rsidRPr="00E82006">
        <w:rPr>
          <w:rFonts w:ascii="Book Antiqua" w:hAnsi="Book Antiqua" w:cs="Arial"/>
          <w:sz w:val="24"/>
          <w:szCs w:val="24"/>
          <w:shd w:val="clear" w:color="auto" w:fill="FFFFFF"/>
        </w:rPr>
        <w:t>pertuzumab in combination with trastuzumab, fluoropyrimidine and cisplatin</w:t>
      </w:r>
      <w:r w:rsidR="00144C82" w:rsidRPr="00E82006">
        <w:rPr>
          <w:rFonts w:ascii="Book Antiqua" w:hAnsi="Book Antiqua"/>
          <w:sz w:val="24"/>
          <w:szCs w:val="24"/>
        </w:rPr>
        <w:t xml:space="preserve"> [NCT01774786]. TDM-1 is an antibody-drug conjugate of trastuzumab and a potent microtubule inhibitor DM1. </w:t>
      </w:r>
      <w:r w:rsidR="003B1C96" w:rsidRPr="00E82006">
        <w:rPr>
          <w:rFonts w:ascii="Book Antiqua" w:hAnsi="Book Antiqua"/>
          <w:sz w:val="24"/>
          <w:szCs w:val="24"/>
        </w:rPr>
        <w:t>The</w:t>
      </w:r>
      <w:r w:rsidR="00144C82" w:rsidRPr="00E82006">
        <w:rPr>
          <w:rFonts w:ascii="Book Antiqua" w:hAnsi="Book Antiqua"/>
          <w:sz w:val="24"/>
          <w:szCs w:val="24"/>
        </w:rPr>
        <w:t xml:space="preserve"> multicenter phase II/III GATSBY</w:t>
      </w:r>
      <w:r w:rsidR="003B1C96" w:rsidRPr="00E82006">
        <w:rPr>
          <w:rFonts w:ascii="Book Antiqua" w:hAnsi="Book Antiqua"/>
          <w:sz w:val="24"/>
          <w:szCs w:val="24"/>
        </w:rPr>
        <w:t xml:space="preserve"> trial</w:t>
      </w:r>
      <w:r w:rsidR="00144C82" w:rsidRPr="00E82006">
        <w:rPr>
          <w:rFonts w:ascii="Book Antiqua" w:hAnsi="Book Antiqua"/>
          <w:sz w:val="24"/>
          <w:szCs w:val="24"/>
        </w:rPr>
        <w:t xml:space="preserve"> </w:t>
      </w:r>
      <w:r w:rsidR="00A86091" w:rsidRPr="00E82006">
        <w:rPr>
          <w:rFonts w:ascii="Book Antiqua" w:hAnsi="Book Antiqua"/>
          <w:sz w:val="24"/>
          <w:szCs w:val="24"/>
        </w:rPr>
        <w:t xml:space="preserve">to evaluate </w:t>
      </w:r>
      <w:r w:rsidR="00A86091" w:rsidRPr="00E82006">
        <w:rPr>
          <w:rFonts w:ascii="Book Antiqua" w:hAnsi="Book Antiqua" w:cs="Arial"/>
          <w:sz w:val="24"/>
          <w:szCs w:val="24"/>
          <w:shd w:val="clear" w:color="auto" w:fill="FFFFFF"/>
        </w:rPr>
        <w:t>TDM-1 versus a taxane</w:t>
      </w:r>
      <w:r w:rsidR="00144C82" w:rsidRPr="00E82006">
        <w:rPr>
          <w:rFonts w:ascii="Book Antiqua" w:hAnsi="Book Antiqua"/>
          <w:sz w:val="24"/>
          <w:szCs w:val="24"/>
        </w:rPr>
        <w:t xml:space="preserve"> </w:t>
      </w:r>
      <w:r w:rsidR="003B1C96" w:rsidRPr="00E82006">
        <w:rPr>
          <w:rFonts w:ascii="Book Antiqua" w:hAnsi="Book Antiqua"/>
          <w:sz w:val="24"/>
          <w:szCs w:val="24"/>
        </w:rPr>
        <w:t xml:space="preserve">in advanced gastric cancer as second line </w:t>
      </w:r>
      <w:r w:rsidR="005A4666" w:rsidRPr="00E82006">
        <w:rPr>
          <w:rFonts w:ascii="Book Antiqua" w:hAnsi="Book Antiqua"/>
          <w:sz w:val="24"/>
          <w:szCs w:val="24"/>
        </w:rPr>
        <w:t>did not show an efficacy benefit of TDM-1 over taxane</w:t>
      </w:r>
      <w:r w:rsidR="00A90018" w:rsidRPr="00E82006">
        <w:rPr>
          <w:rFonts w:ascii="Book Antiqua" w:hAnsi="Book Antiqua"/>
          <w:sz w:val="24"/>
          <w:szCs w:val="24"/>
          <w:vertAlign w:val="superscript"/>
        </w:rPr>
        <w:t>[31]</w:t>
      </w:r>
      <w:r w:rsidR="00144C82" w:rsidRPr="00E82006">
        <w:rPr>
          <w:rFonts w:ascii="Book Antiqua" w:hAnsi="Book Antiqua"/>
          <w:sz w:val="24"/>
          <w:szCs w:val="24"/>
        </w:rPr>
        <w:t>.</w:t>
      </w:r>
      <w:r w:rsidR="00E82006" w:rsidRPr="00E82006">
        <w:rPr>
          <w:rFonts w:ascii="Book Antiqua" w:hAnsi="Book Antiqua"/>
          <w:sz w:val="24"/>
          <w:szCs w:val="24"/>
        </w:rPr>
        <w:t xml:space="preserve"> </w:t>
      </w:r>
    </w:p>
    <w:p w:rsidR="00EE752E" w:rsidRPr="00E82006" w:rsidRDefault="00EE752E" w:rsidP="00162A81">
      <w:pPr>
        <w:adjustRightInd w:val="0"/>
        <w:snapToGrid w:val="0"/>
        <w:spacing w:after="0" w:line="360" w:lineRule="auto"/>
        <w:jc w:val="both"/>
        <w:rPr>
          <w:rFonts w:ascii="Book Antiqua" w:hAnsi="Book Antiqua"/>
          <w:sz w:val="24"/>
          <w:szCs w:val="24"/>
        </w:rPr>
      </w:pPr>
    </w:p>
    <w:p w:rsidR="00372E69" w:rsidRPr="00E82006" w:rsidRDefault="00372E69" w:rsidP="00162A81">
      <w:pPr>
        <w:adjustRightInd w:val="0"/>
        <w:snapToGrid w:val="0"/>
        <w:spacing w:after="0" w:line="360" w:lineRule="auto"/>
        <w:jc w:val="both"/>
        <w:rPr>
          <w:rFonts w:ascii="Book Antiqua" w:hAnsi="Book Antiqua"/>
          <w:i/>
          <w:sz w:val="24"/>
          <w:szCs w:val="24"/>
        </w:rPr>
      </w:pPr>
      <w:r w:rsidRPr="00E82006">
        <w:rPr>
          <w:rFonts w:ascii="Book Antiqua" w:hAnsi="Book Antiqua"/>
          <w:b/>
          <w:i/>
          <w:sz w:val="24"/>
          <w:szCs w:val="24"/>
        </w:rPr>
        <w:t>EGFR inhibitors</w:t>
      </w:r>
    </w:p>
    <w:p w:rsidR="00372E69" w:rsidRPr="00E82006" w:rsidRDefault="00372E69"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EGFR (HER1) is a member of the same family of tyrosine kinase receptors as HER2 and it activates the same intracellular signaling pathways that are responsible for regulating cell growth</w:t>
      </w:r>
      <w:r w:rsidR="003878F6" w:rsidRPr="00E82006">
        <w:rPr>
          <w:rFonts w:ascii="Book Antiqua" w:hAnsi="Book Antiqua"/>
          <w:sz w:val="24"/>
          <w:szCs w:val="24"/>
        </w:rPr>
        <w:t>, differentiation, and survival</w:t>
      </w:r>
      <w:r w:rsidRPr="00E82006">
        <w:rPr>
          <w:rFonts w:ascii="Book Antiqua" w:hAnsi="Book Antiqua"/>
          <w:sz w:val="24"/>
          <w:szCs w:val="24"/>
          <w:vertAlign w:val="superscript"/>
        </w:rPr>
        <w:t>[3</w:t>
      </w:r>
      <w:r w:rsidR="00117F2C" w:rsidRPr="00E82006">
        <w:rPr>
          <w:rFonts w:ascii="Book Antiqua" w:hAnsi="Book Antiqua"/>
          <w:sz w:val="24"/>
          <w:szCs w:val="24"/>
          <w:vertAlign w:val="superscript"/>
        </w:rPr>
        <w:t>2</w:t>
      </w:r>
      <w:r w:rsidR="005A0B67" w:rsidRPr="00E82006">
        <w:rPr>
          <w:rFonts w:ascii="Book Antiqua" w:hAnsi="Book Antiqua"/>
          <w:sz w:val="24"/>
          <w:szCs w:val="24"/>
          <w:vertAlign w:val="superscript"/>
        </w:rPr>
        <w:t>,</w:t>
      </w:r>
      <w:r w:rsidRPr="00E82006">
        <w:rPr>
          <w:rFonts w:ascii="Book Antiqua" w:hAnsi="Book Antiqua"/>
          <w:sz w:val="24"/>
          <w:szCs w:val="24"/>
          <w:vertAlign w:val="superscript"/>
        </w:rPr>
        <w:t>3</w:t>
      </w:r>
      <w:r w:rsidR="00117F2C" w:rsidRPr="00E82006">
        <w:rPr>
          <w:rFonts w:ascii="Book Antiqua" w:hAnsi="Book Antiqua"/>
          <w:sz w:val="24"/>
          <w:szCs w:val="24"/>
          <w:vertAlign w:val="superscript"/>
        </w:rPr>
        <w:t>3</w:t>
      </w:r>
      <w:r w:rsidRPr="00E82006">
        <w:rPr>
          <w:rFonts w:ascii="Book Antiqua" w:hAnsi="Book Antiqua"/>
          <w:sz w:val="24"/>
          <w:szCs w:val="24"/>
          <w:vertAlign w:val="superscript"/>
        </w:rPr>
        <w:t>]</w:t>
      </w:r>
      <w:r w:rsidRPr="00E82006">
        <w:rPr>
          <w:rFonts w:ascii="Book Antiqua" w:hAnsi="Book Antiqua"/>
          <w:sz w:val="24"/>
          <w:szCs w:val="24"/>
        </w:rPr>
        <w:t>. EGFR overexpression occurs in 30</w:t>
      </w:r>
      <w:r w:rsidR="005A0B67" w:rsidRPr="00E82006">
        <w:rPr>
          <w:rFonts w:ascii="Book Antiqua" w:hAnsi="Book Antiqua"/>
          <w:sz w:val="24"/>
          <w:szCs w:val="24"/>
          <w:lang w:eastAsia="zh-CN"/>
        </w:rPr>
        <w:t>%</w:t>
      </w:r>
      <w:r w:rsidRPr="00E82006">
        <w:rPr>
          <w:rFonts w:ascii="Book Antiqua" w:hAnsi="Book Antiqua"/>
          <w:sz w:val="24"/>
          <w:szCs w:val="24"/>
        </w:rPr>
        <w:t>-60% of gastric cancer and is assoc</w:t>
      </w:r>
      <w:r w:rsidR="00117F2C" w:rsidRPr="00E82006">
        <w:rPr>
          <w:rFonts w:ascii="Book Antiqua" w:hAnsi="Book Antiqua"/>
          <w:sz w:val="24"/>
          <w:szCs w:val="24"/>
        </w:rPr>
        <w:t xml:space="preserve">iated with a worse </w:t>
      </w:r>
      <w:r w:rsidR="003878F6" w:rsidRPr="00E82006">
        <w:rPr>
          <w:rFonts w:ascii="Book Antiqua" w:hAnsi="Book Antiqua"/>
          <w:sz w:val="24"/>
          <w:szCs w:val="24"/>
        </w:rPr>
        <w:t>prognosis</w:t>
      </w:r>
      <w:r w:rsidR="00117F2C" w:rsidRPr="00E82006">
        <w:rPr>
          <w:rFonts w:ascii="Book Antiqua" w:hAnsi="Book Antiqua"/>
          <w:sz w:val="24"/>
          <w:szCs w:val="24"/>
          <w:vertAlign w:val="superscript"/>
        </w:rPr>
        <w:t>[34</w:t>
      </w:r>
      <w:r w:rsidR="005A0B67" w:rsidRPr="00E82006">
        <w:rPr>
          <w:rFonts w:ascii="Book Antiqua" w:hAnsi="Book Antiqua"/>
          <w:sz w:val="24"/>
          <w:szCs w:val="24"/>
          <w:vertAlign w:val="superscript"/>
        </w:rPr>
        <w:t>,</w:t>
      </w:r>
      <w:r w:rsidR="00E417DB" w:rsidRPr="00E82006">
        <w:rPr>
          <w:rFonts w:ascii="Book Antiqua" w:hAnsi="Book Antiqua"/>
          <w:sz w:val="24"/>
          <w:szCs w:val="24"/>
          <w:vertAlign w:val="superscript"/>
        </w:rPr>
        <w:t>3</w:t>
      </w:r>
      <w:r w:rsidR="00117F2C" w:rsidRPr="00E82006">
        <w:rPr>
          <w:rFonts w:ascii="Book Antiqua" w:hAnsi="Book Antiqua"/>
          <w:sz w:val="24"/>
          <w:szCs w:val="24"/>
          <w:vertAlign w:val="superscript"/>
        </w:rPr>
        <w:t>5</w:t>
      </w:r>
      <w:r w:rsidRPr="00E82006">
        <w:rPr>
          <w:rFonts w:ascii="Book Antiqua" w:hAnsi="Book Antiqua"/>
          <w:sz w:val="24"/>
          <w:szCs w:val="24"/>
          <w:vertAlign w:val="superscript"/>
        </w:rPr>
        <w:t>]</w:t>
      </w:r>
      <w:r w:rsidRPr="00E82006">
        <w:rPr>
          <w:rFonts w:ascii="Book Antiqua" w:hAnsi="Book Antiqua"/>
          <w:sz w:val="24"/>
          <w:szCs w:val="24"/>
        </w:rPr>
        <w:t xml:space="preserve">. </w:t>
      </w:r>
      <w:r w:rsidR="00E971EB" w:rsidRPr="00E82006">
        <w:rPr>
          <w:rFonts w:ascii="Book Antiqua" w:hAnsi="Book Antiqua"/>
          <w:sz w:val="24"/>
          <w:szCs w:val="24"/>
        </w:rPr>
        <w:t xml:space="preserve">However, studies evaluating antibody inhibitors of EGFR have failed to demonstrate a survival advantage. </w:t>
      </w:r>
    </w:p>
    <w:p w:rsidR="00372E69" w:rsidRPr="00E82006" w:rsidRDefault="00372E69"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 xml:space="preserve">Cetuximab is a chimeric monoclonal IgG1 antibody that binds to the extracellular domain of EGFR and competitively inhibits the binding of EGF and other ligands. The phase III trial EXPAND randomized 904 patients to capecitabine and cisplatin with or without cetuximab and did not find progression free or overall survival benefit for the cetuximab group (4.4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5.6 mo and 9.4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10.7 mo, respectively)</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36</w:t>
      </w:r>
      <w:r w:rsidRPr="00E82006">
        <w:rPr>
          <w:rFonts w:ascii="Book Antiqua" w:hAnsi="Book Antiqua"/>
          <w:sz w:val="24"/>
          <w:szCs w:val="24"/>
          <w:vertAlign w:val="superscript"/>
        </w:rPr>
        <w:t>]</w:t>
      </w:r>
      <w:r w:rsidRPr="00E82006">
        <w:rPr>
          <w:rFonts w:ascii="Book Antiqua" w:hAnsi="Book Antiqua"/>
          <w:sz w:val="24"/>
          <w:szCs w:val="24"/>
        </w:rPr>
        <w:t xml:space="preserve">. Response rates were comparable between the two arms (30% </w:t>
      </w:r>
      <w:r w:rsidR="005A0B67" w:rsidRPr="00E82006">
        <w:rPr>
          <w:rFonts w:ascii="Book Antiqua" w:hAnsi="Book Antiqua"/>
          <w:i/>
          <w:sz w:val="24"/>
          <w:szCs w:val="24"/>
        </w:rPr>
        <w:t>vs</w:t>
      </w:r>
      <w:r w:rsidRPr="00E82006">
        <w:rPr>
          <w:rFonts w:ascii="Book Antiqua" w:hAnsi="Book Antiqua"/>
          <w:sz w:val="24"/>
          <w:szCs w:val="24"/>
        </w:rPr>
        <w:t xml:space="preserve"> 29%) but the cetuximab arm resulted in a higher rate of grade 3 and 4 toxicity (88% </w:t>
      </w:r>
      <w:r w:rsidR="005A0B67" w:rsidRPr="00E82006">
        <w:rPr>
          <w:rFonts w:ascii="Book Antiqua" w:hAnsi="Book Antiqua"/>
          <w:i/>
          <w:sz w:val="24"/>
          <w:szCs w:val="24"/>
        </w:rPr>
        <w:t>vs</w:t>
      </w:r>
      <w:r w:rsidRPr="00E82006">
        <w:rPr>
          <w:rFonts w:ascii="Book Antiqua" w:hAnsi="Book Antiqua"/>
          <w:sz w:val="24"/>
          <w:szCs w:val="24"/>
        </w:rPr>
        <w:t xml:space="preserve"> 77%).</w:t>
      </w:r>
    </w:p>
    <w:p w:rsidR="00372E69" w:rsidRPr="00E82006" w:rsidRDefault="00372E69"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lastRenderedPageBreak/>
        <w:t>Panitumumab is a fully humanized monoclonal IgG2 antibody targeting EGFR. The phase II/III REAL3 trial evaluated the efficacy of epirubicin, oxaliplatin, and capecitabine with or without pa</w:t>
      </w:r>
      <w:r w:rsidR="003878F6" w:rsidRPr="00E82006">
        <w:rPr>
          <w:rFonts w:ascii="Book Antiqua" w:hAnsi="Book Antiqua"/>
          <w:sz w:val="24"/>
          <w:szCs w:val="24"/>
        </w:rPr>
        <w:t>nitumumab as first line therapy</w:t>
      </w:r>
      <w:r w:rsidRPr="00E82006">
        <w:rPr>
          <w:rFonts w:ascii="Book Antiqua" w:hAnsi="Book Antiqua"/>
          <w:sz w:val="24"/>
          <w:szCs w:val="24"/>
          <w:vertAlign w:val="superscript"/>
        </w:rPr>
        <w:t>[</w:t>
      </w:r>
      <w:r w:rsidR="00E417DB" w:rsidRPr="00E82006">
        <w:rPr>
          <w:rFonts w:ascii="Book Antiqua" w:hAnsi="Book Antiqua"/>
          <w:sz w:val="24"/>
          <w:szCs w:val="24"/>
          <w:vertAlign w:val="superscript"/>
        </w:rPr>
        <w:t>3</w:t>
      </w:r>
      <w:r w:rsidR="00117F2C" w:rsidRPr="00E82006">
        <w:rPr>
          <w:rFonts w:ascii="Book Antiqua" w:hAnsi="Book Antiqua"/>
          <w:sz w:val="24"/>
          <w:szCs w:val="24"/>
          <w:vertAlign w:val="superscript"/>
        </w:rPr>
        <w:t>7</w:t>
      </w:r>
      <w:r w:rsidRPr="00E82006">
        <w:rPr>
          <w:rFonts w:ascii="Book Antiqua" w:hAnsi="Book Antiqua"/>
          <w:sz w:val="24"/>
          <w:szCs w:val="24"/>
          <w:vertAlign w:val="superscript"/>
        </w:rPr>
        <w:t>]</w:t>
      </w:r>
      <w:r w:rsidRPr="00E82006">
        <w:rPr>
          <w:rFonts w:ascii="Book Antiqua" w:hAnsi="Book Antiqua"/>
          <w:sz w:val="24"/>
          <w:szCs w:val="24"/>
        </w:rPr>
        <w:t xml:space="preserve">. The phase III study did not show any benefit and actually showed a lower survival in the experimental arm at a preplanned interim analysis (median OS 8.8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11.3 mo) so it was discontinued prematurely. </w:t>
      </w:r>
    </w:p>
    <w:p w:rsidR="00372E69" w:rsidRPr="00E82006" w:rsidRDefault="00372E69" w:rsidP="00162A81">
      <w:pPr>
        <w:adjustRightInd w:val="0"/>
        <w:snapToGrid w:val="0"/>
        <w:spacing w:after="0" w:line="360" w:lineRule="auto"/>
        <w:jc w:val="both"/>
        <w:rPr>
          <w:rFonts w:ascii="Book Antiqua" w:hAnsi="Book Antiqua"/>
          <w:sz w:val="24"/>
          <w:szCs w:val="24"/>
        </w:rPr>
      </w:pPr>
    </w:p>
    <w:p w:rsidR="00EE752E" w:rsidRPr="00E82006" w:rsidRDefault="00144C82" w:rsidP="00162A81">
      <w:pPr>
        <w:adjustRightInd w:val="0"/>
        <w:snapToGrid w:val="0"/>
        <w:spacing w:after="0" w:line="360" w:lineRule="auto"/>
        <w:jc w:val="both"/>
        <w:rPr>
          <w:rFonts w:ascii="Book Antiqua" w:hAnsi="Book Antiqua"/>
          <w:i/>
          <w:sz w:val="24"/>
          <w:szCs w:val="24"/>
        </w:rPr>
      </w:pPr>
      <w:r w:rsidRPr="00E82006">
        <w:rPr>
          <w:rFonts w:ascii="Book Antiqua" w:hAnsi="Book Antiqua"/>
          <w:b/>
          <w:i/>
          <w:sz w:val="24"/>
          <w:szCs w:val="24"/>
        </w:rPr>
        <w:t>VEGFR inhibitors</w:t>
      </w: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Pathological angiogenesis is crucial for tumor growth, survival and metastases. VEGF is an important regulator of angiogenesis and acts on its tyrosine kinase receptors (VEGFR) to stimulate endothelial cells to divide and migrate to form new blood vessels or sprout from existing ones and to help newly formed blood vessels survive</w:t>
      </w:r>
      <w:r w:rsidRPr="00E82006">
        <w:rPr>
          <w:rFonts w:ascii="Book Antiqua" w:hAnsi="Book Antiqua"/>
          <w:sz w:val="24"/>
          <w:szCs w:val="24"/>
          <w:vertAlign w:val="superscript"/>
        </w:rPr>
        <w:t>[</w:t>
      </w:r>
      <w:r w:rsidR="00E417DB" w:rsidRPr="00E82006">
        <w:rPr>
          <w:rFonts w:ascii="Book Antiqua" w:hAnsi="Book Antiqua"/>
          <w:sz w:val="24"/>
          <w:szCs w:val="24"/>
          <w:vertAlign w:val="superscript"/>
        </w:rPr>
        <w:t>3</w:t>
      </w:r>
      <w:r w:rsidR="00117F2C" w:rsidRPr="00E82006">
        <w:rPr>
          <w:rFonts w:ascii="Book Antiqua" w:hAnsi="Book Antiqua"/>
          <w:sz w:val="24"/>
          <w:szCs w:val="24"/>
          <w:vertAlign w:val="superscript"/>
        </w:rPr>
        <w:t>8</w:t>
      </w:r>
      <w:r w:rsidRPr="00E82006">
        <w:rPr>
          <w:rFonts w:ascii="Book Antiqua" w:hAnsi="Book Antiqua"/>
          <w:sz w:val="24"/>
          <w:szCs w:val="24"/>
          <w:vertAlign w:val="superscript"/>
        </w:rPr>
        <w:t>]</w:t>
      </w:r>
      <w:r w:rsidRPr="00E82006">
        <w:rPr>
          <w:rFonts w:ascii="Book Antiqua" w:hAnsi="Book Antiqua"/>
          <w:sz w:val="24"/>
          <w:szCs w:val="24"/>
        </w:rPr>
        <w:t>.</w:t>
      </w:r>
      <w:r w:rsidR="00E82006" w:rsidRPr="00E82006">
        <w:rPr>
          <w:rFonts w:ascii="Book Antiqua" w:hAnsi="Book Antiqua"/>
          <w:sz w:val="24"/>
          <w:szCs w:val="24"/>
        </w:rPr>
        <w:t xml:space="preserve"> </w:t>
      </w:r>
      <w:r w:rsidRPr="00E82006">
        <w:rPr>
          <w:rFonts w:ascii="Book Antiqua" w:hAnsi="Book Antiqua"/>
          <w:sz w:val="24"/>
          <w:szCs w:val="24"/>
        </w:rPr>
        <w:t>VEGFR is overexpressed in 30</w:t>
      </w:r>
      <w:r w:rsidR="00E82006" w:rsidRPr="00E82006">
        <w:rPr>
          <w:rFonts w:ascii="Book Antiqua" w:hAnsi="Book Antiqua"/>
          <w:sz w:val="24"/>
          <w:szCs w:val="24"/>
          <w:lang w:eastAsia="zh-CN"/>
        </w:rPr>
        <w:t>%</w:t>
      </w:r>
      <w:r w:rsidRPr="00E82006">
        <w:rPr>
          <w:rFonts w:ascii="Book Antiqua" w:hAnsi="Book Antiqua"/>
          <w:sz w:val="24"/>
          <w:szCs w:val="24"/>
        </w:rPr>
        <w:t>–60% of gastric cancer and is a</w:t>
      </w:r>
      <w:r w:rsidR="0050400F" w:rsidRPr="00E82006">
        <w:rPr>
          <w:rFonts w:ascii="Book Antiqua" w:hAnsi="Book Antiqua"/>
          <w:sz w:val="24"/>
          <w:szCs w:val="24"/>
        </w:rPr>
        <w:t xml:space="preserve"> </w:t>
      </w:r>
      <w:r w:rsidR="003878F6" w:rsidRPr="00E82006">
        <w:rPr>
          <w:rFonts w:ascii="Book Antiqua" w:hAnsi="Book Antiqua"/>
          <w:sz w:val="24"/>
          <w:szCs w:val="24"/>
        </w:rPr>
        <w:t>predictor of poor prognosis</w:t>
      </w:r>
      <w:r w:rsidR="00E417DB" w:rsidRPr="00E82006">
        <w:rPr>
          <w:rFonts w:ascii="Book Antiqua" w:hAnsi="Book Antiqua"/>
          <w:sz w:val="24"/>
          <w:szCs w:val="24"/>
          <w:vertAlign w:val="superscript"/>
        </w:rPr>
        <w:t>[3</w:t>
      </w:r>
      <w:r w:rsidR="00117F2C" w:rsidRPr="00E82006">
        <w:rPr>
          <w:rFonts w:ascii="Book Antiqua" w:hAnsi="Book Antiqua"/>
          <w:sz w:val="24"/>
          <w:szCs w:val="24"/>
          <w:vertAlign w:val="superscript"/>
        </w:rPr>
        <w:t>9</w:t>
      </w:r>
      <w:r w:rsidR="005A0B67" w:rsidRPr="00E82006">
        <w:rPr>
          <w:rFonts w:ascii="Book Antiqua" w:hAnsi="Book Antiqua"/>
          <w:sz w:val="24"/>
          <w:szCs w:val="24"/>
          <w:vertAlign w:val="superscript"/>
        </w:rPr>
        <w:t>,</w:t>
      </w:r>
      <w:r w:rsidR="00117F2C" w:rsidRPr="00E82006">
        <w:rPr>
          <w:rFonts w:ascii="Book Antiqua" w:hAnsi="Book Antiqua"/>
          <w:sz w:val="24"/>
          <w:szCs w:val="24"/>
          <w:vertAlign w:val="superscript"/>
        </w:rPr>
        <w:t>40</w:t>
      </w:r>
      <w:r w:rsidRPr="00E82006">
        <w:rPr>
          <w:rFonts w:ascii="Book Antiqua" w:hAnsi="Book Antiqua"/>
          <w:sz w:val="24"/>
          <w:szCs w:val="24"/>
          <w:vertAlign w:val="superscript"/>
        </w:rPr>
        <w:t>]</w:t>
      </w:r>
      <w:r w:rsidRPr="00E82006">
        <w:rPr>
          <w:rFonts w:ascii="Book Antiqua" w:hAnsi="Book Antiqua"/>
          <w:sz w:val="24"/>
          <w:szCs w:val="24"/>
        </w:rPr>
        <w:t xml:space="preserve">. </w:t>
      </w:r>
      <w:r w:rsidR="000F5C9D" w:rsidRPr="00E82006">
        <w:rPr>
          <w:rFonts w:ascii="Book Antiqua" w:hAnsi="Book Antiqua"/>
          <w:sz w:val="24"/>
          <w:szCs w:val="24"/>
        </w:rPr>
        <w:t xml:space="preserve">Trials evaluating anti-VEGF agents are listed in </w:t>
      </w:r>
      <w:r w:rsidR="000F5C9D" w:rsidRPr="00D01909">
        <w:rPr>
          <w:rFonts w:ascii="Book Antiqua" w:hAnsi="Book Antiqua"/>
          <w:caps/>
          <w:sz w:val="24"/>
          <w:szCs w:val="24"/>
        </w:rPr>
        <w:t>t</w:t>
      </w:r>
      <w:r w:rsidR="000F5C9D" w:rsidRPr="00E82006">
        <w:rPr>
          <w:rFonts w:ascii="Book Antiqua" w:hAnsi="Book Antiqua"/>
          <w:sz w:val="24"/>
          <w:szCs w:val="24"/>
        </w:rPr>
        <w:t xml:space="preserve">able 2.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Bevacizumab is a recombinant humanized IgG1 monoclonal a</w:t>
      </w:r>
      <w:r w:rsidR="00AC3DAF" w:rsidRPr="00E82006">
        <w:rPr>
          <w:rFonts w:ascii="Book Antiqua" w:hAnsi="Book Antiqua"/>
          <w:sz w:val="24"/>
          <w:szCs w:val="24"/>
        </w:rPr>
        <w:t xml:space="preserve">ntibody against VEGF. AVAGAST </w:t>
      </w:r>
      <w:r w:rsidRPr="00E82006">
        <w:rPr>
          <w:rFonts w:ascii="Book Antiqua" w:hAnsi="Book Antiqua"/>
          <w:sz w:val="24"/>
          <w:szCs w:val="24"/>
        </w:rPr>
        <w:t>was a large randomized phase III study evaluating the addition of bevacizumab to capecitabine and cisplatin</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41</w:t>
      </w:r>
      <w:r w:rsidRPr="00E82006">
        <w:rPr>
          <w:rFonts w:ascii="Book Antiqua" w:hAnsi="Book Antiqua"/>
          <w:sz w:val="24"/>
          <w:szCs w:val="24"/>
          <w:vertAlign w:val="superscript"/>
        </w:rPr>
        <w:t>]</w:t>
      </w:r>
      <w:r w:rsidRPr="00E82006">
        <w:rPr>
          <w:rFonts w:ascii="Book Antiqua" w:hAnsi="Book Antiqua"/>
          <w:sz w:val="24"/>
          <w:szCs w:val="24"/>
        </w:rPr>
        <w:t xml:space="preserve">. </w:t>
      </w:r>
      <w:r w:rsidR="000F5C9D" w:rsidRPr="00E82006">
        <w:rPr>
          <w:rFonts w:ascii="Book Antiqua" w:hAnsi="Book Antiqua"/>
          <w:sz w:val="24"/>
          <w:szCs w:val="24"/>
        </w:rPr>
        <w:t>M</w:t>
      </w:r>
      <w:r w:rsidRPr="00E82006">
        <w:rPr>
          <w:rFonts w:ascii="Book Antiqua" w:hAnsi="Book Antiqua"/>
          <w:sz w:val="24"/>
          <w:szCs w:val="24"/>
        </w:rPr>
        <w:t xml:space="preserve">edian PFS (6.7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5.3 mo) and overall response rate (ORR) (46% </w:t>
      </w:r>
      <w:r w:rsidR="005A0B67" w:rsidRPr="00E82006">
        <w:rPr>
          <w:rFonts w:ascii="Book Antiqua" w:hAnsi="Book Antiqua"/>
          <w:i/>
          <w:sz w:val="24"/>
          <w:szCs w:val="24"/>
        </w:rPr>
        <w:t>vs</w:t>
      </w:r>
      <w:r w:rsidRPr="00E82006">
        <w:rPr>
          <w:rFonts w:ascii="Book Antiqua" w:hAnsi="Book Antiqua"/>
          <w:sz w:val="24"/>
          <w:szCs w:val="24"/>
        </w:rPr>
        <w:t xml:space="preserve"> 37.4%) was significantly improved in the bevacizumab arm but the primary endpoint of OS was not met (12.1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10.1 mo, </w:t>
      </w:r>
      <w:r w:rsidR="00DE67BC" w:rsidRPr="00E82006">
        <w:rPr>
          <w:rFonts w:ascii="Book Antiqua" w:hAnsi="Book Antiqua"/>
          <w:i/>
          <w:caps/>
          <w:sz w:val="24"/>
          <w:szCs w:val="24"/>
        </w:rPr>
        <w:t xml:space="preserve">p = </w:t>
      </w:r>
      <w:r w:rsidRPr="00E82006">
        <w:rPr>
          <w:rFonts w:ascii="Book Antiqua" w:hAnsi="Book Antiqua"/>
          <w:sz w:val="24"/>
          <w:szCs w:val="24"/>
        </w:rPr>
        <w:t xml:space="preserve">0.1002). In subgroup analysis, patients from North and South America showed survival benefit from the addition of bevacizumab (11.5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6.8 mo, HR </w:t>
      </w:r>
      <w:r w:rsidR="00E82006" w:rsidRPr="00E82006">
        <w:rPr>
          <w:rFonts w:ascii="Book Antiqua" w:hAnsi="Book Antiqua"/>
          <w:sz w:val="24"/>
          <w:szCs w:val="24"/>
          <w:lang w:eastAsia="zh-CN"/>
        </w:rPr>
        <w:t xml:space="preserve">= </w:t>
      </w:r>
      <w:r w:rsidRPr="00E82006">
        <w:rPr>
          <w:rFonts w:ascii="Book Antiqua" w:hAnsi="Book Antiqua"/>
          <w:sz w:val="24"/>
          <w:szCs w:val="24"/>
        </w:rPr>
        <w:t xml:space="preserve">0.63 </w:t>
      </w:r>
      <w:r w:rsidR="00DE67BC" w:rsidRPr="00E82006">
        <w:rPr>
          <w:rFonts w:ascii="Book Antiqua" w:hAnsi="Book Antiqua"/>
          <w:sz w:val="24"/>
          <w:szCs w:val="24"/>
        </w:rPr>
        <w:t>95%CI:</w:t>
      </w:r>
      <w:r w:rsidRPr="00E82006">
        <w:rPr>
          <w:rFonts w:ascii="Book Antiqua" w:hAnsi="Book Antiqua"/>
          <w:sz w:val="24"/>
          <w:szCs w:val="24"/>
        </w:rPr>
        <w:t xml:space="preserve"> 0.43-0.94), patients from Europe showed a trend toward benefit (HR </w:t>
      </w:r>
      <w:r w:rsidR="00E82006" w:rsidRPr="00E82006">
        <w:rPr>
          <w:rFonts w:ascii="Book Antiqua" w:hAnsi="Book Antiqua"/>
          <w:sz w:val="24"/>
          <w:szCs w:val="24"/>
          <w:lang w:eastAsia="zh-CN"/>
        </w:rPr>
        <w:t xml:space="preserve">= </w:t>
      </w:r>
      <w:r w:rsidRPr="00E82006">
        <w:rPr>
          <w:rFonts w:ascii="Book Antiqua" w:hAnsi="Book Antiqua"/>
          <w:sz w:val="24"/>
          <w:szCs w:val="24"/>
        </w:rPr>
        <w:t xml:space="preserve">0.85 </w:t>
      </w:r>
      <w:r w:rsidR="00DE67BC" w:rsidRPr="00E82006">
        <w:rPr>
          <w:rFonts w:ascii="Book Antiqua" w:hAnsi="Book Antiqua"/>
          <w:sz w:val="24"/>
          <w:szCs w:val="24"/>
        </w:rPr>
        <w:t>95%CI:</w:t>
      </w:r>
      <w:r w:rsidRPr="00E82006">
        <w:rPr>
          <w:rFonts w:ascii="Book Antiqua" w:hAnsi="Book Antiqua"/>
          <w:sz w:val="24"/>
          <w:szCs w:val="24"/>
        </w:rPr>
        <w:t xml:space="preserve"> 0.63-1.14), and patients from Asia had no benefit (HR </w:t>
      </w:r>
      <w:r w:rsidR="00E82006" w:rsidRPr="00E82006">
        <w:rPr>
          <w:rFonts w:ascii="Book Antiqua" w:hAnsi="Book Antiqua"/>
          <w:sz w:val="24"/>
          <w:szCs w:val="24"/>
          <w:lang w:eastAsia="zh-CN"/>
        </w:rPr>
        <w:t xml:space="preserve">= </w:t>
      </w:r>
      <w:r w:rsidRPr="00E82006">
        <w:rPr>
          <w:rFonts w:ascii="Book Antiqua" w:hAnsi="Book Antiqua"/>
          <w:sz w:val="24"/>
          <w:szCs w:val="24"/>
        </w:rPr>
        <w:t xml:space="preserve">0.97 </w:t>
      </w:r>
      <w:r w:rsidR="00DE67BC" w:rsidRPr="00E82006">
        <w:rPr>
          <w:rFonts w:ascii="Book Antiqua" w:hAnsi="Book Antiqua"/>
          <w:sz w:val="24"/>
          <w:szCs w:val="24"/>
        </w:rPr>
        <w:t>95%CI:</w:t>
      </w:r>
      <w:r w:rsidRPr="00E82006">
        <w:rPr>
          <w:rFonts w:ascii="Book Antiqua" w:hAnsi="Book Antiqua"/>
          <w:sz w:val="24"/>
          <w:szCs w:val="24"/>
        </w:rPr>
        <w:t xml:space="preserve"> 0.75-1.25)</w:t>
      </w:r>
      <w:r w:rsidR="00D2485E" w:rsidRPr="00E82006">
        <w:rPr>
          <w:rFonts w:ascii="Book Antiqua" w:hAnsi="Book Antiqua"/>
          <w:sz w:val="24"/>
          <w:szCs w:val="24"/>
        </w:rPr>
        <w:t>, further suggesting heterogeneity of this disease worldwide</w:t>
      </w:r>
      <w:r w:rsidRPr="00E82006">
        <w:rPr>
          <w:rFonts w:ascii="Book Antiqua" w:hAnsi="Book Antiqua"/>
          <w:sz w:val="24"/>
          <w:szCs w:val="24"/>
        </w:rPr>
        <w:t>. Similar negative results were seen in the AVATAR study where bevacizumab was added to capecitabine and cisplatin in Asian patien</w:t>
      </w:r>
      <w:r w:rsidR="003878F6" w:rsidRPr="00E82006">
        <w:rPr>
          <w:rFonts w:ascii="Book Antiqua" w:hAnsi="Book Antiqua"/>
          <w:sz w:val="24"/>
          <w:szCs w:val="24"/>
        </w:rPr>
        <w:t>ts with advanced gastric cancer</w:t>
      </w:r>
      <w:r w:rsidRPr="00E82006">
        <w:rPr>
          <w:rFonts w:ascii="Book Antiqua" w:hAnsi="Book Antiqua"/>
          <w:sz w:val="24"/>
          <w:szCs w:val="24"/>
          <w:vertAlign w:val="superscript"/>
        </w:rPr>
        <w:t>[</w:t>
      </w:r>
      <w:r w:rsidR="00E417DB" w:rsidRPr="00E82006">
        <w:rPr>
          <w:rFonts w:ascii="Book Antiqua" w:hAnsi="Book Antiqua"/>
          <w:sz w:val="24"/>
          <w:szCs w:val="24"/>
          <w:vertAlign w:val="superscript"/>
        </w:rPr>
        <w:t>4</w:t>
      </w:r>
      <w:r w:rsidR="00117F2C" w:rsidRPr="00E82006">
        <w:rPr>
          <w:rFonts w:ascii="Book Antiqua" w:hAnsi="Book Antiqua"/>
          <w:sz w:val="24"/>
          <w:szCs w:val="24"/>
          <w:vertAlign w:val="superscript"/>
        </w:rPr>
        <w:t>2</w:t>
      </w:r>
      <w:r w:rsidRPr="00E82006">
        <w:rPr>
          <w:rFonts w:ascii="Book Antiqua" w:hAnsi="Book Antiqua"/>
          <w:sz w:val="24"/>
          <w:szCs w:val="24"/>
          <w:vertAlign w:val="superscript"/>
        </w:rPr>
        <w:t>]</w:t>
      </w:r>
      <w:r w:rsidRPr="00E82006">
        <w:rPr>
          <w:rFonts w:ascii="Book Antiqua" w:hAnsi="Book Antiqua"/>
          <w:sz w:val="24"/>
          <w:szCs w:val="24"/>
        </w:rPr>
        <w:t xml:space="preserve">.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Ramucirumab is a fully humanized monoclonal antibody against VEGFR-2. The phase III REGARD trial compared ramucirumab monotherapy with best suppor</w:t>
      </w:r>
      <w:r w:rsidR="003878F6" w:rsidRPr="00E82006">
        <w:rPr>
          <w:rFonts w:ascii="Book Antiqua" w:hAnsi="Book Antiqua"/>
          <w:sz w:val="24"/>
          <w:szCs w:val="24"/>
        </w:rPr>
        <w:t>tive care in the second line</w:t>
      </w:r>
      <w:r w:rsidR="0050400F" w:rsidRPr="00E82006">
        <w:rPr>
          <w:rFonts w:ascii="Book Antiqua" w:hAnsi="Book Antiqua"/>
          <w:sz w:val="24"/>
          <w:szCs w:val="24"/>
          <w:vertAlign w:val="superscript"/>
        </w:rPr>
        <w:t>[</w:t>
      </w:r>
      <w:r w:rsidR="00E417DB" w:rsidRPr="00E82006">
        <w:rPr>
          <w:rFonts w:ascii="Book Antiqua" w:hAnsi="Book Antiqua"/>
          <w:sz w:val="24"/>
          <w:szCs w:val="24"/>
          <w:vertAlign w:val="superscript"/>
        </w:rPr>
        <w:t>4</w:t>
      </w:r>
      <w:r w:rsidR="00117F2C" w:rsidRPr="00E82006">
        <w:rPr>
          <w:rFonts w:ascii="Book Antiqua" w:hAnsi="Book Antiqua"/>
          <w:sz w:val="24"/>
          <w:szCs w:val="24"/>
          <w:vertAlign w:val="superscript"/>
        </w:rPr>
        <w:t>3</w:t>
      </w:r>
      <w:r w:rsidRPr="00E82006">
        <w:rPr>
          <w:rFonts w:ascii="Book Antiqua" w:hAnsi="Book Antiqua"/>
          <w:sz w:val="24"/>
          <w:szCs w:val="24"/>
          <w:vertAlign w:val="superscript"/>
        </w:rPr>
        <w:t>]</w:t>
      </w:r>
      <w:r w:rsidRPr="00E82006">
        <w:rPr>
          <w:rFonts w:ascii="Book Antiqua" w:hAnsi="Book Antiqua"/>
          <w:sz w:val="24"/>
          <w:szCs w:val="24"/>
        </w:rPr>
        <w:t xml:space="preserve">. The study showed improved median PFS (2.1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1.3 mo, </w:t>
      </w:r>
      <w:r w:rsidR="0094373A" w:rsidRPr="00E82006">
        <w:rPr>
          <w:rFonts w:ascii="Book Antiqua" w:hAnsi="Book Antiqua"/>
          <w:i/>
          <w:caps/>
          <w:sz w:val="24"/>
          <w:szCs w:val="24"/>
        </w:rPr>
        <w:t xml:space="preserve">p </w:t>
      </w:r>
      <w:r w:rsidR="0094373A" w:rsidRPr="00E82006">
        <w:rPr>
          <w:rFonts w:ascii="Book Antiqua" w:hAnsi="Book Antiqua"/>
          <w:i/>
          <w:caps/>
          <w:sz w:val="24"/>
          <w:szCs w:val="24"/>
        </w:rPr>
        <w:lastRenderedPageBreak/>
        <w:t>&lt;</w:t>
      </w:r>
      <w:r w:rsidR="00E82006" w:rsidRPr="00E82006">
        <w:rPr>
          <w:rFonts w:ascii="Book Antiqua" w:hAnsi="Book Antiqua"/>
          <w:i/>
          <w:caps/>
          <w:sz w:val="24"/>
          <w:szCs w:val="24"/>
          <w:lang w:eastAsia="zh-CN"/>
        </w:rPr>
        <w:t xml:space="preserve"> </w:t>
      </w:r>
      <w:r w:rsidRPr="00E82006">
        <w:rPr>
          <w:rFonts w:ascii="Book Antiqua" w:hAnsi="Book Antiqua"/>
          <w:sz w:val="24"/>
          <w:szCs w:val="24"/>
        </w:rPr>
        <w:t xml:space="preserve">0.001) and median OS (5.2 mo </w:t>
      </w:r>
      <w:r w:rsidR="005A0B67" w:rsidRPr="00E82006">
        <w:rPr>
          <w:rFonts w:ascii="Book Antiqua" w:hAnsi="Book Antiqua"/>
          <w:i/>
          <w:sz w:val="24"/>
          <w:szCs w:val="24"/>
        </w:rPr>
        <w:t>vs</w:t>
      </w:r>
      <w:r w:rsidRPr="00E82006">
        <w:rPr>
          <w:rFonts w:ascii="Book Antiqua" w:hAnsi="Book Antiqua"/>
          <w:sz w:val="24"/>
          <w:szCs w:val="24"/>
        </w:rPr>
        <w:t xml:space="preserve"> 3.8 mo, </w:t>
      </w:r>
      <w:r w:rsidR="0094373A" w:rsidRPr="00E82006">
        <w:rPr>
          <w:rFonts w:ascii="Book Antiqua" w:hAnsi="Book Antiqua"/>
          <w:i/>
          <w:caps/>
          <w:sz w:val="24"/>
          <w:szCs w:val="24"/>
        </w:rPr>
        <w:t>p =</w:t>
      </w:r>
      <w:r w:rsidRPr="00E82006">
        <w:rPr>
          <w:rFonts w:ascii="Book Antiqua" w:hAnsi="Book Antiqua"/>
          <w:sz w:val="24"/>
          <w:szCs w:val="24"/>
        </w:rPr>
        <w:t xml:space="preserve"> 0.047). In the phase III RAINBOW study, advanced gastric or GEJ adenocarcinoma patients were randomized to paclitaxel with or without ramucirumab in</w:t>
      </w:r>
      <w:r w:rsidR="003878F6" w:rsidRPr="00E82006">
        <w:rPr>
          <w:rFonts w:ascii="Book Antiqua" w:hAnsi="Book Antiqua"/>
          <w:sz w:val="24"/>
          <w:szCs w:val="24"/>
        </w:rPr>
        <w:t xml:space="preserve"> the second line setting</w:t>
      </w:r>
      <w:r w:rsidRPr="00E82006">
        <w:rPr>
          <w:rFonts w:ascii="Book Antiqua" w:hAnsi="Book Antiqua"/>
          <w:sz w:val="24"/>
          <w:szCs w:val="24"/>
          <w:vertAlign w:val="superscript"/>
        </w:rPr>
        <w:t>[</w:t>
      </w:r>
      <w:r w:rsidR="00806B16" w:rsidRPr="00E82006">
        <w:rPr>
          <w:rFonts w:ascii="Book Antiqua" w:hAnsi="Book Antiqua"/>
          <w:sz w:val="24"/>
          <w:szCs w:val="24"/>
          <w:vertAlign w:val="superscript"/>
        </w:rPr>
        <w:t>4</w:t>
      </w:r>
      <w:r w:rsidR="00117F2C" w:rsidRPr="00E82006">
        <w:rPr>
          <w:rFonts w:ascii="Book Antiqua" w:hAnsi="Book Antiqua"/>
          <w:sz w:val="24"/>
          <w:szCs w:val="24"/>
          <w:vertAlign w:val="superscript"/>
        </w:rPr>
        <w:t>4</w:t>
      </w:r>
      <w:r w:rsidR="005A0B67" w:rsidRPr="00E82006">
        <w:rPr>
          <w:rFonts w:ascii="Book Antiqua" w:hAnsi="Book Antiqua"/>
          <w:sz w:val="24"/>
          <w:szCs w:val="24"/>
          <w:vertAlign w:val="superscript"/>
        </w:rPr>
        <w:t>,</w:t>
      </w:r>
      <w:r w:rsidR="00806B16" w:rsidRPr="00E82006">
        <w:rPr>
          <w:rFonts w:ascii="Book Antiqua" w:hAnsi="Book Antiqua"/>
          <w:sz w:val="24"/>
          <w:szCs w:val="24"/>
          <w:vertAlign w:val="superscript"/>
        </w:rPr>
        <w:t>4</w:t>
      </w:r>
      <w:r w:rsidR="00117F2C" w:rsidRPr="00E82006">
        <w:rPr>
          <w:rFonts w:ascii="Book Antiqua" w:hAnsi="Book Antiqua"/>
          <w:sz w:val="24"/>
          <w:szCs w:val="24"/>
          <w:vertAlign w:val="superscript"/>
        </w:rPr>
        <w:t>5</w:t>
      </w:r>
      <w:r w:rsidRPr="00E82006">
        <w:rPr>
          <w:rFonts w:ascii="Book Antiqua" w:hAnsi="Book Antiqua"/>
          <w:sz w:val="24"/>
          <w:szCs w:val="24"/>
          <w:vertAlign w:val="superscript"/>
        </w:rPr>
        <w:t>]</w:t>
      </w:r>
      <w:r w:rsidRPr="00E82006">
        <w:rPr>
          <w:rFonts w:ascii="Book Antiqua" w:hAnsi="Book Antiqua"/>
          <w:sz w:val="24"/>
          <w:szCs w:val="24"/>
        </w:rPr>
        <w:t xml:space="preserve">. The addition of ramucirumab </w:t>
      </w:r>
      <w:r w:rsidR="00933E18" w:rsidRPr="00E82006">
        <w:rPr>
          <w:rFonts w:ascii="Book Antiqua" w:hAnsi="Book Antiqua"/>
          <w:sz w:val="24"/>
          <w:szCs w:val="24"/>
        </w:rPr>
        <w:t xml:space="preserve">showed </w:t>
      </w:r>
      <w:r w:rsidRPr="00E82006">
        <w:rPr>
          <w:rFonts w:ascii="Book Antiqua" w:hAnsi="Book Antiqua"/>
          <w:sz w:val="24"/>
          <w:szCs w:val="24"/>
        </w:rPr>
        <w:t xml:space="preserve">improved OS of 9.6 </w:t>
      </w:r>
      <w:r w:rsidR="00E82006" w:rsidRPr="00E82006">
        <w:rPr>
          <w:rFonts w:ascii="Book Antiqua" w:hAnsi="Book Antiqua"/>
          <w:sz w:val="24"/>
          <w:szCs w:val="24"/>
        </w:rPr>
        <w:t>mo</w:t>
      </w:r>
      <w:r w:rsidR="00E82006" w:rsidRPr="00E82006">
        <w:rPr>
          <w:rFonts w:ascii="Book Antiqua" w:hAnsi="Book Antiqua"/>
          <w:i/>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7.4 mo compared to paclitaxel alone (</w:t>
      </w:r>
      <w:r w:rsidR="00DE67BC" w:rsidRPr="00E82006">
        <w:rPr>
          <w:rFonts w:ascii="Book Antiqua" w:hAnsi="Book Antiqua"/>
          <w:i/>
          <w:caps/>
          <w:sz w:val="24"/>
          <w:szCs w:val="24"/>
        </w:rPr>
        <w:t xml:space="preserve">p = </w:t>
      </w:r>
      <w:r w:rsidRPr="00E82006">
        <w:rPr>
          <w:rFonts w:ascii="Book Antiqua" w:hAnsi="Book Antiqua"/>
          <w:sz w:val="24"/>
          <w:szCs w:val="24"/>
        </w:rPr>
        <w:t xml:space="preserve">0.0169) and improved PFS (4.4 </w:t>
      </w:r>
      <w:r w:rsidR="00E82006" w:rsidRPr="00E82006">
        <w:rPr>
          <w:rFonts w:ascii="Book Antiqua" w:hAnsi="Book Antiqua"/>
          <w:sz w:val="24"/>
          <w:szCs w:val="24"/>
        </w:rPr>
        <w:t>mo</w:t>
      </w:r>
      <w:r w:rsidR="00E82006" w:rsidRPr="00E82006">
        <w:rPr>
          <w:rFonts w:ascii="Book Antiqua" w:hAnsi="Book Antiqua"/>
          <w:i/>
          <w:sz w:val="24"/>
          <w:szCs w:val="24"/>
          <w:lang w:eastAsia="zh-CN"/>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2.9 mo). Based on these trial results, ramucirumab was approved as a single agent for treatment of patients with advanced gastric or GEJ cancer after progressing on prior treatment, as well as in combination with paclitaxel. This is the first approval of a biologic agent in an unselected population with gastric and GEJ cancers. </w:t>
      </w:r>
      <w:r w:rsidR="00BF1284" w:rsidRPr="00E82006">
        <w:rPr>
          <w:rFonts w:ascii="Book Antiqua" w:hAnsi="Book Antiqua"/>
          <w:sz w:val="24"/>
          <w:szCs w:val="24"/>
        </w:rPr>
        <w:t xml:space="preserve">Ramucirumab was also tested </w:t>
      </w:r>
      <w:r w:rsidRPr="00E82006">
        <w:rPr>
          <w:rFonts w:ascii="Book Antiqua" w:hAnsi="Book Antiqua"/>
          <w:sz w:val="24"/>
          <w:szCs w:val="24"/>
        </w:rPr>
        <w:t>in the first line setting</w:t>
      </w:r>
      <w:r w:rsidR="00BF1284" w:rsidRPr="00E82006">
        <w:rPr>
          <w:rFonts w:ascii="Book Antiqua" w:hAnsi="Book Antiqua"/>
          <w:sz w:val="24"/>
          <w:szCs w:val="24"/>
        </w:rPr>
        <w:t xml:space="preserve"> in combination with FOLFOX</w:t>
      </w:r>
      <w:r w:rsidRPr="00E82006">
        <w:rPr>
          <w:rFonts w:ascii="Book Antiqua" w:hAnsi="Book Antiqua"/>
          <w:sz w:val="24"/>
          <w:szCs w:val="24"/>
        </w:rPr>
        <w:t xml:space="preserve">, </w:t>
      </w:r>
      <w:r w:rsidR="00BF1284" w:rsidRPr="00E82006">
        <w:rPr>
          <w:rFonts w:ascii="Book Antiqua" w:hAnsi="Book Antiqua"/>
          <w:sz w:val="24"/>
          <w:szCs w:val="24"/>
        </w:rPr>
        <w:t>but it</w:t>
      </w:r>
      <w:r w:rsidRPr="00E82006">
        <w:rPr>
          <w:rFonts w:ascii="Book Antiqua" w:hAnsi="Book Antiqua"/>
          <w:sz w:val="24"/>
          <w:szCs w:val="24"/>
        </w:rPr>
        <w:t xml:space="preserve"> did not show an improvement </w:t>
      </w:r>
      <w:r w:rsidR="005A4666" w:rsidRPr="00E82006">
        <w:rPr>
          <w:rFonts w:ascii="Book Antiqua" w:hAnsi="Book Antiqua"/>
          <w:sz w:val="24"/>
          <w:szCs w:val="24"/>
        </w:rPr>
        <w:t xml:space="preserve">in the primary endpoint of PFS </w:t>
      </w:r>
      <w:r w:rsidR="003878F6" w:rsidRPr="00E82006">
        <w:rPr>
          <w:rFonts w:ascii="Book Antiqua" w:hAnsi="Book Antiqua"/>
          <w:sz w:val="24"/>
          <w:szCs w:val="24"/>
        </w:rPr>
        <w:t>or median</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46</w:t>
      </w:r>
      <w:r w:rsidRPr="00E82006">
        <w:rPr>
          <w:rFonts w:ascii="Book Antiqua" w:hAnsi="Book Antiqua"/>
          <w:sz w:val="24"/>
          <w:szCs w:val="24"/>
          <w:vertAlign w:val="superscript"/>
        </w:rPr>
        <w:t>]</w:t>
      </w:r>
      <w:r w:rsidRPr="00E82006">
        <w:rPr>
          <w:rFonts w:ascii="Book Antiqua" w:hAnsi="Book Antiqua"/>
          <w:sz w:val="24"/>
          <w:szCs w:val="24"/>
        </w:rPr>
        <w:t xml:space="preserve">. </w:t>
      </w:r>
      <w:r w:rsidR="005A4666" w:rsidRPr="00E82006">
        <w:rPr>
          <w:rFonts w:ascii="Book Antiqua" w:hAnsi="Book Antiqua"/>
          <w:sz w:val="24"/>
          <w:szCs w:val="24"/>
        </w:rPr>
        <w:t xml:space="preserve">It is also being studied in the </w:t>
      </w:r>
      <w:r w:rsidR="005A4666" w:rsidRPr="00E82006">
        <w:rPr>
          <w:rFonts w:ascii="Book Antiqua" w:hAnsi="Book Antiqua" w:cs="Helvetica"/>
          <w:color w:val="auto"/>
          <w:sz w:val="24"/>
          <w:szCs w:val="24"/>
          <w:shd w:val="clear" w:color="auto" w:fill="FFFFFF"/>
        </w:rPr>
        <w:t>phase III RAIN</w:t>
      </w:r>
      <w:r w:rsidR="00823B0D" w:rsidRPr="00E82006">
        <w:rPr>
          <w:rFonts w:ascii="Book Antiqua" w:hAnsi="Book Antiqua" w:cs="Helvetica"/>
          <w:color w:val="auto"/>
          <w:sz w:val="24"/>
          <w:szCs w:val="24"/>
          <w:shd w:val="clear" w:color="auto" w:fill="FFFFFF"/>
        </w:rPr>
        <w:t>FALL</w:t>
      </w:r>
      <w:r w:rsidR="005A4666" w:rsidRPr="00E82006">
        <w:rPr>
          <w:rFonts w:ascii="Book Antiqua" w:hAnsi="Book Antiqua" w:cs="Helvetica"/>
          <w:color w:val="auto"/>
          <w:sz w:val="24"/>
          <w:szCs w:val="24"/>
          <w:shd w:val="clear" w:color="auto" w:fill="FFFFFF"/>
        </w:rPr>
        <w:t xml:space="preserve"> </w:t>
      </w:r>
      <w:r w:rsidR="00840972" w:rsidRPr="00E82006">
        <w:rPr>
          <w:rFonts w:ascii="Book Antiqua" w:hAnsi="Book Antiqua" w:cs="Helvetica"/>
          <w:color w:val="auto"/>
          <w:sz w:val="24"/>
          <w:szCs w:val="24"/>
          <w:shd w:val="clear" w:color="auto" w:fill="FFFFFF"/>
        </w:rPr>
        <w:t xml:space="preserve">trial </w:t>
      </w:r>
      <w:r w:rsidR="005A4666" w:rsidRPr="00E82006">
        <w:rPr>
          <w:rFonts w:ascii="Book Antiqua" w:hAnsi="Book Antiqua" w:cs="Helvetica"/>
          <w:color w:val="auto"/>
          <w:sz w:val="24"/>
          <w:szCs w:val="24"/>
          <w:shd w:val="clear" w:color="auto" w:fill="FFFFFF"/>
        </w:rPr>
        <w:t>comparing PFS in patients with HER2-negative, metastatic gastric or GEJ adenocarcinoma recei</w:t>
      </w:r>
      <w:r w:rsidR="006462DA" w:rsidRPr="00E82006">
        <w:rPr>
          <w:rFonts w:ascii="Book Antiqua" w:hAnsi="Book Antiqua" w:cs="Helvetica"/>
          <w:color w:val="auto"/>
          <w:sz w:val="24"/>
          <w:szCs w:val="24"/>
          <w:shd w:val="clear" w:color="auto" w:fill="FFFFFF"/>
        </w:rPr>
        <w:t>ving ramucirumab with cisplatin and fluoropyrimidine</w:t>
      </w:r>
      <w:r w:rsidR="005A4666" w:rsidRPr="00E82006">
        <w:rPr>
          <w:rFonts w:ascii="Book Antiqua" w:hAnsi="Book Antiqua" w:cs="Helvetica"/>
          <w:color w:val="auto"/>
          <w:sz w:val="24"/>
          <w:szCs w:val="24"/>
          <w:shd w:val="clear" w:color="auto" w:fill="FFFFFF"/>
        </w:rPr>
        <w:t xml:space="preserve"> versus </w:t>
      </w:r>
      <w:r w:rsidR="006462DA" w:rsidRPr="00E82006">
        <w:rPr>
          <w:rFonts w:ascii="Book Antiqua" w:hAnsi="Book Antiqua" w:cs="Helvetica"/>
          <w:color w:val="auto"/>
          <w:sz w:val="24"/>
          <w:szCs w:val="24"/>
          <w:shd w:val="clear" w:color="auto" w:fill="FFFFFF"/>
        </w:rPr>
        <w:t>cisplatin and fluoropyrimidine</w:t>
      </w:r>
      <w:r w:rsidR="005A4666" w:rsidRPr="00E82006">
        <w:rPr>
          <w:rFonts w:ascii="Book Antiqua" w:hAnsi="Book Antiqua" w:cs="Helvetica"/>
          <w:color w:val="auto"/>
          <w:sz w:val="24"/>
          <w:szCs w:val="24"/>
          <w:shd w:val="clear" w:color="auto" w:fill="FFFFFF"/>
        </w:rPr>
        <w:t xml:space="preserve"> as first</w:t>
      </w:r>
      <w:r w:rsidR="00840972" w:rsidRPr="00E82006">
        <w:rPr>
          <w:rFonts w:ascii="Book Antiqua" w:hAnsi="Book Antiqua" w:cs="Helvetica"/>
          <w:color w:val="auto"/>
          <w:sz w:val="24"/>
          <w:szCs w:val="24"/>
          <w:shd w:val="clear" w:color="auto" w:fill="FFFFFF"/>
        </w:rPr>
        <w:t xml:space="preserve"> </w:t>
      </w:r>
      <w:r w:rsidR="005A4666" w:rsidRPr="00E82006">
        <w:rPr>
          <w:rFonts w:ascii="Book Antiqua" w:hAnsi="Book Antiqua" w:cs="Helvetica"/>
          <w:color w:val="auto"/>
          <w:sz w:val="24"/>
          <w:szCs w:val="24"/>
          <w:shd w:val="clear" w:color="auto" w:fill="FFFFFF"/>
        </w:rPr>
        <w:t>line treatment [</w:t>
      </w:r>
      <w:r w:rsidR="005A4666" w:rsidRPr="00E82006">
        <w:rPr>
          <w:rFonts w:ascii="Book Antiqua" w:hAnsi="Book Antiqua" w:cs="Arial"/>
          <w:sz w:val="24"/>
          <w:szCs w:val="24"/>
          <w:shd w:val="clear" w:color="auto" w:fill="FFFFFF"/>
        </w:rPr>
        <w:t xml:space="preserve">NCT02314117]. </w:t>
      </w:r>
    </w:p>
    <w:p w:rsidR="00EE752E" w:rsidRPr="00E82006" w:rsidRDefault="00930742" w:rsidP="00162A81">
      <w:pPr>
        <w:adjustRightInd w:val="0"/>
        <w:snapToGrid w:val="0"/>
        <w:spacing w:after="0" w:line="360" w:lineRule="auto"/>
        <w:ind w:firstLineChars="200" w:firstLine="480"/>
        <w:jc w:val="both"/>
        <w:rPr>
          <w:rFonts w:ascii="Book Antiqua" w:hAnsi="Book Antiqua"/>
          <w:sz w:val="24"/>
          <w:szCs w:val="24"/>
          <w:lang w:eastAsia="zh-CN"/>
        </w:rPr>
      </w:pPr>
      <w:r w:rsidRPr="00E82006">
        <w:rPr>
          <w:rFonts w:ascii="Book Antiqua" w:hAnsi="Book Antiqua"/>
          <w:sz w:val="24"/>
          <w:szCs w:val="24"/>
        </w:rPr>
        <w:t xml:space="preserve">A phase III trial assessing </w:t>
      </w:r>
      <w:r w:rsidR="00D2485E" w:rsidRPr="00E82006">
        <w:rPr>
          <w:rFonts w:ascii="Book Antiqua" w:hAnsi="Book Antiqua"/>
          <w:sz w:val="24"/>
          <w:szCs w:val="24"/>
        </w:rPr>
        <w:t>a</w:t>
      </w:r>
      <w:r w:rsidRPr="00E82006">
        <w:rPr>
          <w:rFonts w:ascii="Book Antiqua" w:hAnsi="Book Antiqua"/>
          <w:sz w:val="24"/>
          <w:szCs w:val="24"/>
        </w:rPr>
        <w:t xml:space="preserve"> TKI against VEGFR, </w:t>
      </w:r>
      <w:r w:rsidR="006B6E2C" w:rsidRPr="00E82006">
        <w:rPr>
          <w:rFonts w:ascii="Book Antiqua" w:hAnsi="Book Antiqua"/>
          <w:sz w:val="24"/>
          <w:szCs w:val="24"/>
        </w:rPr>
        <w:t xml:space="preserve">apatinib, </w:t>
      </w:r>
      <w:r w:rsidR="00D2485E" w:rsidRPr="00E82006">
        <w:rPr>
          <w:rFonts w:ascii="Book Antiqua" w:hAnsi="Book Antiqua"/>
          <w:sz w:val="24"/>
          <w:szCs w:val="24"/>
        </w:rPr>
        <w:t xml:space="preserve">with a two-to-one randomization to apatinib </w:t>
      </w:r>
      <w:r w:rsidR="005A0B67" w:rsidRPr="00E82006">
        <w:rPr>
          <w:rFonts w:ascii="Book Antiqua" w:hAnsi="Book Antiqua"/>
          <w:i/>
          <w:sz w:val="24"/>
          <w:szCs w:val="24"/>
        </w:rPr>
        <w:t>vs</w:t>
      </w:r>
      <w:r w:rsidR="00D2485E" w:rsidRPr="00E82006">
        <w:rPr>
          <w:rFonts w:ascii="Book Antiqua" w:hAnsi="Book Antiqua"/>
          <w:sz w:val="24"/>
          <w:szCs w:val="24"/>
        </w:rPr>
        <w:t xml:space="preserve"> placebo </w:t>
      </w:r>
      <w:r w:rsidR="006B6E2C" w:rsidRPr="00E82006">
        <w:rPr>
          <w:rFonts w:ascii="Book Antiqua" w:hAnsi="Book Antiqua"/>
          <w:sz w:val="24"/>
          <w:szCs w:val="24"/>
        </w:rPr>
        <w:t>in the</w:t>
      </w:r>
      <w:r w:rsidRPr="00E82006">
        <w:rPr>
          <w:rFonts w:ascii="Book Antiqua" w:hAnsi="Book Antiqua"/>
          <w:sz w:val="24"/>
          <w:szCs w:val="24"/>
        </w:rPr>
        <w:t xml:space="preserve"> third line setting in advanced gastric cancer showed that </w:t>
      </w:r>
      <w:r w:rsidR="00D2485E" w:rsidRPr="00E82006">
        <w:rPr>
          <w:rFonts w:ascii="Book Antiqua" w:hAnsi="Book Antiqua"/>
          <w:sz w:val="24"/>
          <w:szCs w:val="24"/>
        </w:rPr>
        <w:t>m</w:t>
      </w:r>
      <w:r w:rsidRPr="00E82006">
        <w:rPr>
          <w:rFonts w:ascii="Book Antiqua" w:hAnsi="Book Antiqua"/>
          <w:sz w:val="24"/>
          <w:szCs w:val="24"/>
        </w:rPr>
        <w:t>edian OS was significantly prolonged in the apatinib group of 195 d</w:t>
      </w:r>
      <w:r w:rsidR="00E82006" w:rsidRPr="00E82006">
        <w:rPr>
          <w:rFonts w:ascii="Book Antiqua" w:hAnsi="Book Antiqua"/>
          <w:sz w:val="24"/>
          <w:szCs w:val="24"/>
          <w:lang w:eastAsia="zh-CN"/>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140 d</w:t>
      </w:r>
      <w:r w:rsidR="00EF573C" w:rsidRPr="00E82006">
        <w:rPr>
          <w:rFonts w:ascii="Book Antiqua" w:hAnsi="Book Antiqua"/>
          <w:sz w:val="24"/>
          <w:szCs w:val="24"/>
        </w:rPr>
        <w:t xml:space="preserve"> (</w:t>
      </w:r>
      <w:r w:rsidR="00E82006" w:rsidRPr="00E82006">
        <w:rPr>
          <w:rFonts w:ascii="Book Antiqua" w:hAnsi="Book Antiqua"/>
          <w:i/>
          <w:caps/>
          <w:sz w:val="24"/>
          <w:szCs w:val="24"/>
        </w:rPr>
        <w:t xml:space="preserve">p &lt; </w:t>
      </w:r>
      <w:r w:rsidR="00EF573C" w:rsidRPr="00E82006">
        <w:rPr>
          <w:rFonts w:ascii="Book Antiqua" w:hAnsi="Book Antiqua"/>
          <w:sz w:val="24"/>
          <w:szCs w:val="24"/>
        </w:rPr>
        <w:t>0.016)</w:t>
      </w:r>
      <w:r w:rsidR="00933E18" w:rsidRPr="00E82006">
        <w:rPr>
          <w:rFonts w:ascii="Book Antiqua" w:hAnsi="Book Antiqua"/>
          <w:sz w:val="24"/>
          <w:szCs w:val="24"/>
        </w:rPr>
        <w:t>,</w:t>
      </w:r>
      <w:r w:rsidRPr="00E82006">
        <w:rPr>
          <w:rFonts w:ascii="Book Antiqua" w:hAnsi="Book Antiqua"/>
          <w:sz w:val="24"/>
          <w:szCs w:val="24"/>
        </w:rPr>
        <w:t xml:space="preserve"> as was median PFS of 78 d </w:t>
      </w:r>
      <w:r w:rsidR="005A0B67" w:rsidRPr="00E82006">
        <w:rPr>
          <w:rFonts w:ascii="Book Antiqua" w:hAnsi="Book Antiqua"/>
          <w:i/>
          <w:sz w:val="24"/>
          <w:szCs w:val="24"/>
        </w:rPr>
        <w:t>vs</w:t>
      </w:r>
      <w:r w:rsidRPr="00E82006">
        <w:rPr>
          <w:rFonts w:ascii="Book Antiqua" w:hAnsi="Book Antiqua"/>
          <w:sz w:val="24"/>
          <w:szCs w:val="24"/>
        </w:rPr>
        <w:t xml:space="preserve"> 53 d</w:t>
      </w:r>
      <w:r w:rsidR="00EF573C" w:rsidRPr="00E82006">
        <w:rPr>
          <w:rFonts w:ascii="Book Antiqua" w:hAnsi="Book Antiqua"/>
          <w:sz w:val="24"/>
          <w:szCs w:val="24"/>
        </w:rPr>
        <w:t xml:space="preserve"> (</w:t>
      </w:r>
      <w:r w:rsidR="00E82006" w:rsidRPr="00E82006">
        <w:rPr>
          <w:rFonts w:ascii="Book Antiqua" w:hAnsi="Book Antiqua"/>
          <w:i/>
          <w:caps/>
          <w:sz w:val="24"/>
          <w:szCs w:val="24"/>
        </w:rPr>
        <w:t xml:space="preserve">p &lt; </w:t>
      </w:r>
      <w:r w:rsidR="00EF573C" w:rsidRPr="00E82006">
        <w:rPr>
          <w:rFonts w:ascii="Book Antiqua" w:hAnsi="Book Antiqua"/>
          <w:sz w:val="24"/>
          <w:szCs w:val="24"/>
        </w:rPr>
        <w:t>0.0001)</w:t>
      </w:r>
      <w:r w:rsidRPr="00E82006">
        <w:rPr>
          <w:rFonts w:ascii="Book Antiqua" w:hAnsi="Book Antiqua"/>
          <w:sz w:val="24"/>
          <w:szCs w:val="24"/>
          <w:vertAlign w:val="superscript"/>
        </w:rPr>
        <w:t>[</w:t>
      </w:r>
      <w:r w:rsidR="00806B16" w:rsidRPr="00E82006">
        <w:rPr>
          <w:rFonts w:ascii="Book Antiqua" w:hAnsi="Book Antiqua"/>
          <w:sz w:val="24"/>
          <w:szCs w:val="24"/>
          <w:vertAlign w:val="superscript"/>
        </w:rPr>
        <w:t>4</w:t>
      </w:r>
      <w:r w:rsidR="00117F2C" w:rsidRPr="00E82006">
        <w:rPr>
          <w:rFonts w:ascii="Book Antiqua" w:hAnsi="Book Antiqua"/>
          <w:sz w:val="24"/>
          <w:szCs w:val="24"/>
          <w:vertAlign w:val="superscript"/>
        </w:rPr>
        <w:t>7</w:t>
      </w:r>
      <w:r w:rsidRPr="00E82006">
        <w:rPr>
          <w:rFonts w:ascii="Book Antiqua" w:hAnsi="Book Antiqua"/>
          <w:sz w:val="24"/>
          <w:szCs w:val="24"/>
          <w:vertAlign w:val="superscript"/>
        </w:rPr>
        <w:t>]</w:t>
      </w:r>
      <w:r w:rsidR="00E82006" w:rsidRPr="00E82006">
        <w:rPr>
          <w:rFonts w:ascii="Book Antiqua" w:hAnsi="Book Antiqua"/>
          <w:sz w:val="24"/>
          <w:szCs w:val="24"/>
        </w:rPr>
        <w:t>.</w:t>
      </w:r>
    </w:p>
    <w:p w:rsidR="002936CD" w:rsidRPr="00E82006" w:rsidRDefault="00D2485E"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Sunitinib and sorafenib are multitargeted TKIs that inhibit VEGFR as well as other kinases. Phase II trials have been conducted both as monotherapy and in combination with chemotherapy and have shown mixed results</w:t>
      </w:r>
      <w:r w:rsidRPr="00E82006">
        <w:rPr>
          <w:rFonts w:ascii="Book Antiqua" w:hAnsi="Book Antiqua"/>
          <w:sz w:val="24"/>
          <w:szCs w:val="24"/>
          <w:vertAlign w:val="superscript"/>
        </w:rPr>
        <w:t>[</w:t>
      </w:r>
      <w:r w:rsidR="00806B16" w:rsidRPr="00E82006">
        <w:rPr>
          <w:rFonts w:ascii="Book Antiqua" w:hAnsi="Book Antiqua"/>
          <w:sz w:val="24"/>
          <w:szCs w:val="24"/>
          <w:vertAlign w:val="superscript"/>
        </w:rPr>
        <w:t>4</w:t>
      </w:r>
      <w:r w:rsidR="00117F2C" w:rsidRPr="00E82006">
        <w:rPr>
          <w:rFonts w:ascii="Book Antiqua" w:hAnsi="Book Antiqua"/>
          <w:sz w:val="24"/>
          <w:szCs w:val="24"/>
          <w:vertAlign w:val="superscript"/>
        </w:rPr>
        <w:t>8</w:t>
      </w:r>
      <w:r w:rsidRPr="00E82006">
        <w:rPr>
          <w:rFonts w:ascii="Book Antiqua" w:hAnsi="Book Antiqua"/>
          <w:sz w:val="24"/>
          <w:szCs w:val="24"/>
          <w:vertAlign w:val="superscript"/>
        </w:rPr>
        <w:t>-</w:t>
      </w:r>
      <w:r w:rsidR="00806B16" w:rsidRPr="00E82006">
        <w:rPr>
          <w:rFonts w:ascii="Book Antiqua" w:hAnsi="Book Antiqua"/>
          <w:sz w:val="24"/>
          <w:szCs w:val="24"/>
          <w:vertAlign w:val="superscript"/>
        </w:rPr>
        <w:t>5</w:t>
      </w:r>
      <w:r w:rsidR="00117F2C" w:rsidRPr="00E82006">
        <w:rPr>
          <w:rFonts w:ascii="Book Antiqua" w:hAnsi="Book Antiqua"/>
          <w:sz w:val="24"/>
          <w:szCs w:val="24"/>
          <w:vertAlign w:val="superscript"/>
        </w:rPr>
        <w:t>1</w:t>
      </w:r>
      <w:r w:rsidRPr="00E82006">
        <w:rPr>
          <w:rFonts w:ascii="Book Antiqua" w:hAnsi="Book Antiqua"/>
          <w:sz w:val="24"/>
          <w:szCs w:val="24"/>
          <w:vertAlign w:val="superscript"/>
        </w:rPr>
        <w:t>]</w:t>
      </w:r>
      <w:r w:rsidRPr="00E82006">
        <w:rPr>
          <w:rFonts w:ascii="Book Antiqua" w:hAnsi="Book Antiqua"/>
          <w:sz w:val="24"/>
          <w:szCs w:val="24"/>
        </w:rPr>
        <w:t xml:space="preserve">. These results are summarized in </w:t>
      </w:r>
      <w:r w:rsidRPr="00E82006">
        <w:rPr>
          <w:rFonts w:ascii="Book Antiqua" w:hAnsi="Book Antiqua"/>
          <w:caps/>
          <w:sz w:val="24"/>
          <w:szCs w:val="24"/>
        </w:rPr>
        <w:t>t</w:t>
      </w:r>
      <w:r w:rsidRPr="00E82006">
        <w:rPr>
          <w:rFonts w:ascii="Book Antiqua" w:hAnsi="Book Antiqua"/>
          <w:sz w:val="24"/>
          <w:szCs w:val="24"/>
        </w:rPr>
        <w:t>able 2.</w:t>
      </w:r>
      <w:r w:rsidR="00E82006" w:rsidRPr="00E82006">
        <w:rPr>
          <w:rFonts w:ascii="Book Antiqua" w:hAnsi="Book Antiqua"/>
          <w:sz w:val="24"/>
          <w:szCs w:val="24"/>
        </w:rPr>
        <w:t xml:space="preserve"> </w:t>
      </w:r>
      <w:r w:rsidRPr="00E82006">
        <w:rPr>
          <w:rFonts w:ascii="Book Antiqua" w:hAnsi="Book Antiqua"/>
          <w:sz w:val="24"/>
          <w:szCs w:val="24"/>
        </w:rPr>
        <w:t xml:space="preserve">Pazopanib, another multitargeted TKI that inhibits angiogenesis, </w:t>
      </w:r>
      <w:r w:rsidRPr="00E82006">
        <w:rPr>
          <w:rFonts w:ascii="Book Antiqua" w:hAnsi="Book Antiqua"/>
          <w:sz w:val="24"/>
          <w:szCs w:val="24"/>
          <w:highlight w:val="white"/>
        </w:rPr>
        <w:t>showed marginal efficacy</w:t>
      </w:r>
      <w:r w:rsidRPr="00E82006">
        <w:rPr>
          <w:rFonts w:ascii="Book Antiqua" w:hAnsi="Book Antiqua"/>
          <w:sz w:val="24"/>
          <w:szCs w:val="24"/>
        </w:rPr>
        <w:t xml:space="preserve"> in a phase II trial as first line with </w:t>
      </w:r>
      <w:r w:rsidR="003878F6" w:rsidRPr="00E82006">
        <w:rPr>
          <w:rFonts w:ascii="Book Antiqua" w:hAnsi="Book Antiqua"/>
          <w:sz w:val="24"/>
          <w:szCs w:val="24"/>
          <w:highlight w:val="white"/>
        </w:rPr>
        <w:t>5-FU/oxaliplatin</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52</w:t>
      </w:r>
      <w:r w:rsidRPr="00E82006">
        <w:rPr>
          <w:rFonts w:ascii="Book Antiqua" w:hAnsi="Book Antiqua"/>
          <w:sz w:val="24"/>
          <w:szCs w:val="24"/>
          <w:vertAlign w:val="superscript"/>
        </w:rPr>
        <w:t>]</w:t>
      </w:r>
      <w:r w:rsidRPr="00E82006">
        <w:rPr>
          <w:rFonts w:ascii="Book Antiqua" w:hAnsi="Book Antiqua"/>
          <w:sz w:val="24"/>
          <w:szCs w:val="24"/>
        </w:rPr>
        <w:t xml:space="preserve">. </w:t>
      </w:r>
      <w:r w:rsidR="00144C82" w:rsidRPr="00E82006">
        <w:rPr>
          <w:rFonts w:ascii="Book Antiqua" w:hAnsi="Book Antiqua"/>
          <w:sz w:val="24"/>
          <w:szCs w:val="24"/>
        </w:rPr>
        <w:t xml:space="preserve">Data on a phase </w:t>
      </w:r>
      <w:r w:rsidR="00286C1F" w:rsidRPr="00E82006">
        <w:rPr>
          <w:rFonts w:ascii="Book Antiqua" w:hAnsi="Book Antiqua"/>
          <w:sz w:val="24"/>
          <w:szCs w:val="24"/>
        </w:rPr>
        <w:t>II trial of regorafenib, a</w:t>
      </w:r>
      <w:r w:rsidR="00144C82" w:rsidRPr="00E82006">
        <w:rPr>
          <w:rFonts w:ascii="Book Antiqua" w:hAnsi="Book Antiqua"/>
          <w:sz w:val="24"/>
          <w:szCs w:val="24"/>
        </w:rPr>
        <w:t xml:space="preserve"> multi-kinase inhibitor, following progression after 1</w:t>
      </w:r>
      <w:r w:rsidR="00144C82" w:rsidRPr="00E82006">
        <w:rPr>
          <w:rFonts w:ascii="Book Antiqua" w:hAnsi="Book Antiqua"/>
          <w:sz w:val="24"/>
          <w:szCs w:val="24"/>
          <w:vertAlign w:val="superscript"/>
        </w:rPr>
        <w:t>st</w:t>
      </w:r>
      <w:r w:rsidR="00144C82" w:rsidRPr="00E82006">
        <w:rPr>
          <w:rFonts w:ascii="Book Antiqua" w:hAnsi="Book Antiqua"/>
          <w:sz w:val="24"/>
          <w:szCs w:val="24"/>
        </w:rPr>
        <w:t xml:space="preserve"> or 2</w:t>
      </w:r>
      <w:r w:rsidR="00144C82" w:rsidRPr="00E82006">
        <w:rPr>
          <w:rFonts w:ascii="Book Antiqua" w:hAnsi="Book Antiqua"/>
          <w:sz w:val="24"/>
          <w:szCs w:val="24"/>
          <w:vertAlign w:val="superscript"/>
        </w:rPr>
        <w:t>nd</w:t>
      </w:r>
      <w:r w:rsidR="00144C82" w:rsidRPr="00E82006">
        <w:rPr>
          <w:rFonts w:ascii="Book Antiqua" w:hAnsi="Book Antiqua"/>
          <w:sz w:val="24"/>
          <w:szCs w:val="24"/>
        </w:rPr>
        <w:t xml:space="preserve"> line chemotherapy </w:t>
      </w:r>
      <w:r w:rsidR="000327DE" w:rsidRPr="00E82006">
        <w:rPr>
          <w:rFonts w:ascii="Book Antiqua" w:hAnsi="Book Antiqua"/>
          <w:sz w:val="24"/>
          <w:szCs w:val="24"/>
        </w:rPr>
        <w:t>demonstrated significantly improved</w:t>
      </w:r>
      <w:r w:rsidR="003878F6" w:rsidRPr="00E82006">
        <w:rPr>
          <w:rFonts w:ascii="Book Antiqua" w:hAnsi="Book Antiqua"/>
          <w:sz w:val="24"/>
          <w:szCs w:val="24"/>
        </w:rPr>
        <w:t xml:space="preserve"> PFS in the regorafenib arm</w:t>
      </w:r>
      <w:r w:rsidR="00144C82" w:rsidRPr="00E82006">
        <w:rPr>
          <w:rFonts w:ascii="Book Antiqua" w:hAnsi="Book Antiqua"/>
          <w:sz w:val="24"/>
          <w:szCs w:val="24"/>
          <w:vertAlign w:val="superscript"/>
        </w:rPr>
        <w:t>[</w:t>
      </w:r>
      <w:r w:rsidR="00117F2C" w:rsidRPr="00E82006">
        <w:rPr>
          <w:rFonts w:ascii="Book Antiqua" w:hAnsi="Book Antiqua"/>
          <w:sz w:val="24"/>
          <w:szCs w:val="24"/>
          <w:vertAlign w:val="superscript"/>
        </w:rPr>
        <w:t>53</w:t>
      </w:r>
      <w:r w:rsidR="00144C82" w:rsidRPr="00E82006">
        <w:rPr>
          <w:rFonts w:ascii="Book Antiqua" w:hAnsi="Book Antiqua"/>
          <w:sz w:val="24"/>
          <w:szCs w:val="24"/>
          <w:vertAlign w:val="superscript"/>
        </w:rPr>
        <w:t>]</w:t>
      </w:r>
      <w:r w:rsidR="00144C82" w:rsidRPr="00E82006">
        <w:rPr>
          <w:rFonts w:ascii="Book Antiqua" w:hAnsi="Book Antiqua"/>
          <w:sz w:val="24"/>
          <w:szCs w:val="24"/>
        </w:rPr>
        <w:t>. Pre-specified analyses found the effect of regorafenib to be greater in Korea than in Australia, New Zealand and Canada.</w:t>
      </w:r>
    </w:p>
    <w:p w:rsidR="00546A54" w:rsidRPr="00E82006" w:rsidRDefault="00546A54" w:rsidP="00162A81">
      <w:pPr>
        <w:adjustRightInd w:val="0"/>
        <w:snapToGrid w:val="0"/>
        <w:spacing w:after="0" w:line="360" w:lineRule="auto"/>
        <w:jc w:val="both"/>
        <w:rPr>
          <w:rFonts w:ascii="Book Antiqua" w:hAnsi="Book Antiqua"/>
          <w:b/>
          <w:sz w:val="24"/>
          <w:szCs w:val="24"/>
        </w:rPr>
      </w:pPr>
    </w:p>
    <w:p w:rsidR="003D6100" w:rsidRPr="00E82006" w:rsidRDefault="003D6100" w:rsidP="00162A81">
      <w:pPr>
        <w:adjustRightInd w:val="0"/>
        <w:snapToGrid w:val="0"/>
        <w:spacing w:after="0" w:line="360" w:lineRule="auto"/>
        <w:jc w:val="both"/>
        <w:rPr>
          <w:rFonts w:ascii="Book Antiqua" w:hAnsi="Book Antiqua"/>
          <w:i/>
          <w:sz w:val="24"/>
          <w:szCs w:val="24"/>
        </w:rPr>
      </w:pPr>
      <w:r w:rsidRPr="00E82006">
        <w:rPr>
          <w:rFonts w:ascii="Book Antiqua" w:hAnsi="Book Antiqua"/>
          <w:b/>
          <w:i/>
          <w:sz w:val="24"/>
          <w:szCs w:val="24"/>
        </w:rPr>
        <w:t>mTor inhibitors</w:t>
      </w:r>
    </w:p>
    <w:p w:rsidR="003D6100" w:rsidRPr="00E82006" w:rsidRDefault="003D6100"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lastRenderedPageBreak/>
        <w:t xml:space="preserve">PI3K/Akt/mTOR pathway is a major downstream cascade of tyrosine kinase signaling and one of the most frequently altered pathways in malignancies. </w:t>
      </w:r>
      <w:r w:rsidRPr="00E82006">
        <w:rPr>
          <w:rFonts w:ascii="Book Antiqua" w:hAnsi="Book Antiqua"/>
          <w:color w:val="231F20"/>
          <w:sz w:val="24"/>
          <w:szCs w:val="24"/>
        </w:rPr>
        <w:t>mTOR, an intracellular key serine/threonine protein kinase, regulates cell growth, motility, cellu</w:t>
      </w:r>
      <w:r w:rsidR="003878F6" w:rsidRPr="00E82006">
        <w:rPr>
          <w:rFonts w:ascii="Book Antiqua" w:hAnsi="Book Antiqua"/>
          <w:color w:val="231F20"/>
          <w:sz w:val="24"/>
          <w:szCs w:val="24"/>
        </w:rPr>
        <w:t>lar metabolism and angiogenesis</w:t>
      </w:r>
      <w:r w:rsidRPr="00E82006">
        <w:rPr>
          <w:rFonts w:ascii="Book Antiqua" w:hAnsi="Book Antiqua"/>
          <w:color w:val="231F20"/>
          <w:sz w:val="24"/>
          <w:szCs w:val="24"/>
          <w:vertAlign w:val="superscript"/>
        </w:rPr>
        <w:t>[</w:t>
      </w:r>
      <w:r w:rsidR="00117F2C" w:rsidRPr="00E82006">
        <w:rPr>
          <w:rFonts w:ascii="Book Antiqua" w:hAnsi="Book Antiqua"/>
          <w:color w:val="231F20"/>
          <w:sz w:val="24"/>
          <w:szCs w:val="24"/>
          <w:vertAlign w:val="superscript"/>
        </w:rPr>
        <w:t>54</w:t>
      </w:r>
      <w:r w:rsidR="005A0B67" w:rsidRPr="00E82006">
        <w:rPr>
          <w:rFonts w:ascii="Book Antiqua" w:hAnsi="Book Antiqua"/>
          <w:color w:val="231F20"/>
          <w:sz w:val="24"/>
          <w:szCs w:val="24"/>
          <w:vertAlign w:val="superscript"/>
        </w:rPr>
        <w:t>,</w:t>
      </w:r>
      <w:r w:rsidR="00117F2C" w:rsidRPr="00E82006">
        <w:rPr>
          <w:rFonts w:ascii="Book Antiqua" w:hAnsi="Book Antiqua"/>
          <w:color w:val="231F20"/>
          <w:sz w:val="24"/>
          <w:szCs w:val="24"/>
          <w:vertAlign w:val="superscript"/>
        </w:rPr>
        <w:t>5</w:t>
      </w:r>
      <w:r w:rsidRPr="00E82006">
        <w:rPr>
          <w:rFonts w:ascii="Book Antiqua" w:hAnsi="Book Antiqua"/>
          <w:color w:val="231F20"/>
          <w:sz w:val="24"/>
          <w:szCs w:val="24"/>
          <w:vertAlign w:val="superscript"/>
        </w:rPr>
        <w:t>5]</w:t>
      </w:r>
      <w:r w:rsidRPr="00E82006">
        <w:rPr>
          <w:rFonts w:ascii="Book Antiqua" w:hAnsi="Book Antiqua"/>
          <w:color w:val="231F20"/>
          <w:sz w:val="24"/>
          <w:szCs w:val="24"/>
        </w:rPr>
        <w:t xml:space="preserve">. </w:t>
      </w:r>
      <w:r w:rsidRPr="00E82006">
        <w:rPr>
          <w:rFonts w:ascii="Book Antiqua" w:hAnsi="Book Antiqua"/>
          <w:sz w:val="24"/>
          <w:szCs w:val="24"/>
        </w:rPr>
        <w:t>Dysregulation of this pathway is associated with poor survival and may contribut</w:t>
      </w:r>
      <w:r w:rsidR="003878F6" w:rsidRPr="00E82006">
        <w:rPr>
          <w:rFonts w:ascii="Book Antiqua" w:hAnsi="Book Antiqua"/>
          <w:sz w:val="24"/>
          <w:szCs w:val="24"/>
        </w:rPr>
        <w:t>e to resistance to chemotherapy</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5</w:t>
      </w:r>
      <w:r w:rsidR="005A0B67" w:rsidRPr="00E82006">
        <w:rPr>
          <w:rFonts w:ascii="Book Antiqua" w:hAnsi="Book Antiqua"/>
          <w:sz w:val="24"/>
          <w:szCs w:val="24"/>
          <w:vertAlign w:val="superscript"/>
        </w:rPr>
        <w:t>6,</w:t>
      </w:r>
      <w:r w:rsidR="00117F2C" w:rsidRPr="00E82006">
        <w:rPr>
          <w:rFonts w:ascii="Book Antiqua" w:hAnsi="Book Antiqua"/>
          <w:sz w:val="24"/>
          <w:szCs w:val="24"/>
          <w:vertAlign w:val="superscript"/>
        </w:rPr>
        <w:t>5</w:t>
      </w:r>
      <w:r w:rsidRPr="00E82006">
        <w:rPr>
          <w:rFonts w:ascii="Book Antiqua" w:hAnsi="Book Antiqua"/>
          <w:sz w:val="24"/>
          <w:szCs w:val="24"/>
          <w:vertAlign w:val="superscript"/>
        </w:rPr>
        <w:t>7]</w:t>
      </w:r>
      <w:r w:rsidRPr="00E82006">
        <w:rPr>
          <w:rFonts w:ascii="Book Antiqua" w:hAnsi="Book Antiqua"/>
          <w:sz w:val="24"/>
          <w:szCs w:val="24"/>
        </w:rPr>
        <w:t xml:space="preserve">. </w:t>
      </w:r>
    </w:p>
    <w:p w:rsidR="003D6100" w:rsidRPr="00E82006" w:rsidRDefault="003D6100"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Everolimus, an oral mTOR inhibitor, was evaluated in the phase III GRANITE-1 trial where it was compared to best supportive care in advanced gastric cancer that progres</w:t>
      </w:r>
      <w:r w:rsidR="003878F6" w:rsidRPr="00E82006">
        <w:rPr>
          <w:rFonts w:ascii="Book Antiqua" w:hAnsi="Book Antiqua"/>
          <w:sz w:val="24"/>
          <w:szCs w:val="24"/>
        </w:rPr>
        <w:t>sed after previous chemotherapy</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5</w:t>
      </w:r>
      <w:r w:rsidRPr="00E82006">
        <w:rPr>
          <w:rFonts w:ascii="Book Antiqua" w:hAnsi="Book Antiqua"/>
          <w:sz w:val="24"/>
          <w:szCs w:val="24"/>
          <w:vertAlign w:val="superscript"/>
        </w:rPr>
        <w:t>8]</w:t>
      </w:r>
      <w:r w:rsidRPr="00E82006">
        <w:rPr>
          <w:rFonts w:ascii="Book Antiqua" w:hAnsi="Book Antiqua"/>
          <w:sz w:val="24"/>
          <w:szCs w:val="24"/>
        </w:rPr>
        <w:t xml:space="preserve">. The trial randomly assigned 656 patients in a 2:1 ratio to everolimus or placebo. Although median PFS was improved (1.68 </w:t>
      </w:r>
      <w:r w:rsidR="00E82006" w:rsidRPr="00E82006">
        <w:rPr>
          <w:rFonts w:ascii="Book Antiqua" w:hAnsi="Book Antiqua"/>
          <w:sz w:val="24"/>
          <w:szCs w:val="24"/>
          <w:lang w:eastAsia="zh-CN"/>
        </w:rPr>
        <w:t>mo</w:t>
      </w:r>
      <w:r w:rsidR="00E82006" w:rsidRPr="00E82006">
        <w:rPr>
          <w:rFonts w:ascii="Book Antiqua" w:hAnsi="Book Antiqua"/>
          <w:sz w:val="24"/>
          <w:szCs w:val="24"/>
        </w:rPr>
        <w:t xml:space="preserve"> </w:t>
      </w:r>
      <w:r w:rsidR="005A0B67" w:rsidRPr="00E82006">
        <w:rPr>
          <w:rFonts w:ascii="Book Antiqua" w:hAnsi="Book Antiqua"/>
          <w:i/>
          <w:sz w:val="24"/>
          <w:szCs w:val="24"/>
        </w:rPr>
        <w:t>vs</w:t>
      </w:r>
      <w:r w:rsidRPr="00E82006">
        <w:rPr>
          <w:rFonts w:ascii="Book Antiqua" w:hAnsi="Book Antiqua"/>
          <w:sz w:val="24"/>
          <w:szCs w:val="24"/>
        </w:rPr>
        <w:t xml:space="preserve"> 1.41 mo, </w:t>
      </w:r>
      <w:r w:rsidR="0094373A" w:rsidRPr="00E82006">
        <w:rPr>
          <w:rFonts w:ascii="Book Antiqua" w:hAnsi="Book Antiqua"/>
          <w:i/>
          <w:caps/>
          <w:sz w:val="24"/>
          <w:szCs w:val="24"/>
        </w:rPr>
        <w:t>p &lt;</w:t>
      </w:r>
      <w:r w:rsidRPr="00E82006">
        <w:rPr>
          <w:rFonts w:ascii="Book Antiqua" w:hAnsi="Book Antiqua"/>
          <w:sz w:val="24"/>
          <w:szCs w:val="24"/>
        </w:rPr>
        <w:t xml:space="preserve"> 0.001), the trial did not meet its primary endpoint of improved OS (5.39 </w:t>
      </w:r>
      <w:r w:rsidR="005A0B67" w:rsidRPr="00E82006">
        <w:rPr>
          <w:rFonts w:ascii="Book Antiqua" w:hAnsi="Book Antiqua"/>
          <w:i/>
          <w:sz w:val="24"/>
          <w:szCs w:val="24"/>
        </w:rPr>
        <w:t>vs</w:t>
      </w:r>
      <w:r w:rsidRPr="00E82006">
        <w:rPr>
          <w:rFonts w:ascii="Book Antiqua" w:hAnsi="Book Antiqua"/>
          <w:sz w:val="24"/>
          <w:szCs w:val="24"/>
        </w:rPr>
        <w:t xml:space="preserve"> 4.3 mo, </w:t>
      </w:r>
      <w:r w:rsidR="00DE67BC" w:rsidRPr="00E82006">
        <w:rPr>
          <w:rFonts w:ascii="Book Antiqua" w:hAnsi="Book Antiqua"/>
          <w:i/>
          <w:caps/>
          <w:sz w:val="24"/>
          <w:szCs w:val="24"/>
        </w:rPr>
        <w:t xml:space="preserve">p = </w:t>
      </w:r>
      <w:r w:rsidRPr="00E82006">
        <w:rPr>
          <w:rFonts w:ascii="Book Antiqua" w:hAnsi="Book Antiqua"/>
          <w:sz w:val="24"/>
          <w:szCs w:val="24"/>
        </w:rPr>
        <w:t xml:space="preserve">0.124). Everolimus is currently being evaluated in combination with paclitaxel as second line treatment in a phase III trial [NCT01248403]. </w:t>
      </w:r>
    </w:p>
    <w:p w:rsidR="003D6100" w:rsidRPr="00E82006" w:rsidRDefault="003D6100" w:rsidP="00162A81">
      <w:pPr>
        <w:adjustRightInd w:val="0"/>
        <w:snapToGrid w:val="0"/>
        <w:spacing w:after="0" w:line="360" w:lineRule="auto"/>
        <w:jc w:val="both"/>
        <w:rPr>
          <w:rFonts w:ascii="Book Antiqua" w:hAnsi="Book Antiqua"/>
          <w:b/>
          <w:sz w:val="24"/>
          <w:szCs w:val="24"/>
        </w:rPr>
      </w:pPr>
    </w:p>
    <w:p w:rsidR="00EE752E" w:rsidRPr="00E82006" w:rsidRDefault="00144C82" w:rsidP="00162A81">
      <w:pPr>
        <w:adjustRightInd w:val="0"/>
        <w:snapToGrid w:val="0"/>
        <w:spacing w:after="0" w:line="360" w:lineRule="auto"/>
        <w:jc w:val="both"/>
        <w:rPr>
          <w:rFonts w:ascii="Book Antiqua" w:hAnsi="Book Antiqua"/>
          <w:i/>
          <w:sz w:val="24"/>
          <w:szCs w:val="24"/>
        </w:rPr>
      </w:pPr>
      <w:r w:rsidRPr="00E82006">
        <w:rPr>
          <w:rFonts w:ascii="Book Antiqua" w:hAnsi="Book Antiqua"/>
          <w:b/>
          <w:i/>
          <w:sz w:val="24"/>
          <w:szCs w:val="24"/>
        </w:rPr>
        <w:t>c-MET inhibitors</w:t>
      </w:r>
    </w:p>
    <w:p w:rsidR="00EE752E" w:rsidRPr="00E82006" w:rsidRDefault="00144C82"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 xml:space="preserve">MET is a tyrosine kinase receptor </w:t>
      </w:r>
      <w:r w:rsidR="004F08C7" w:rsidRPr="00E82006">
        <w:rPr>
          <w:rFonts w:ascii="Book Antiqua" w:hAnsi="Book Antiqua"/>
          <w:sz w:val="24"/>
          <w:szCs w:val="24"/>
        </w:rPr>
        <w:t>and</w:t>
      </w:r>
      <w:r w:rsidRPr="00E82006">
        <w:rPr>
          <w:rFonts w:ascii="Book Antiqua" w:hAnsi="Book Antiqua"/>
          <w:sz w:val="24"/>
          <w:szCs w:val="24"/>
        </w:rPr>
        <w:t xml:space="preserve"> signals through RAS-MAPK and PI3K-AKT pathways to mediate cell migration, survival, invasion and angiogenesis.</w:t>
      </w:r>
      <w:r w:rsidRPr="00E82006">
        <w:rPr>
          <w:rFonts w:ascii="Book Antiqua" w:hAnsi="Book Antiqua"/>
          <w:color w:val="231F20"/>
          <w:sz w:val="24"/>
          <w:szCs w:val="24"/>
        </w:rPr>
        <w:t xml:space="preserve"> Aberrant HGF/MET signaling triggers multiple intracellular signals that lead to tumor growth, proliferati</w:t>
      </w:r>
      <w:r w:rsidR="003878F6" w:rsidRPr="00E82006">
        <w:rPr>
          <w:rFonts w:ascii="Book Antiqua" w:hAnsi="Book Antiqua"/>
          <w:color w:val="231F20"/>
          <w:sz w:val="24"/>
          <w:szCs w:val="24"/>
        </w:rPr>
        <w:t>on and metastasis</w:t>
      </w:r>
      <w:r w:rsidR="0050400F" w:rsidRPr="00E82006">
        <w:rPr>
          <w:rFonts w:ascii="Book Antiqua" w:hAnsi="Book Antiqua"/>
          <w:color w:val="231F20"/>
          <w:sz w:val="24"/>
          <w:szCs w:val="24"/>
          <w:vertAlign w:val="superscript"/>
        </w:rPr>
        <w:t>[</w:t>
      </w:r>
      <w:r w:rsidR="00806B16" w:rsidRPr="00E82006">
        <w:rPr>
          <w:rFonts w:ascii="Book Antiqua" w:hAnsi="Book Antiqua"/>
          <w:color w:val="231F20"/>
          <w:sz w:val="24"/>
          <w:szCs w:val="24"/>
          <w:vertAlign w:val="superscript"/>
        </w:rPr>
        <w:t>5</w:t>
      </w:r>
      <w:r w:rsidR="00117F2C" w:rsidRPr="00E82006">
        <w:rPr>
          <w:rFonts w:ascii="Book Antiqua" w:hAnsi="Book Antiqua"/>
          <w:color w:val="231F20"/>
          <w:sz w:val="24"/>
          <w:szCs w:val="24"/>
          <w:vertAlign w:val="superscript"/>
        </w:rPr>
        <w:t>9</w:t>
      </w:r>
      <w:r w:rsidRPr="00E82006">
        <w:rPr>
          <w:rFonts w:ascii="Book Antiqua" w:hAnsi="Book Antiqua"/>
          <w:color w:val="231F20"/>
          <w:sz w:val="24"/>
          <w:szCs w:val="24"/>
          <w:vertAlign w:val="superscript"/>
        </w:rPr>
        <w:t>]</w:t>
      </w:r>
      <w:r w:rsidRPr="00E82006">
        <w:rPr>
          <w:rFonts w:ascii="Book Antiqua" w:hAnsi="Book Antiqua"/>
          <w:color w:val="231F20"/>
          <w:sz w:val="24"/>
          <w:szCs w:val="24"/>
        </w:rPr>
        <w:t xml:space="preserve">. </w:t>
      </w:r>
      <w:r w:rsidRPr="00E82006">
        <w:rPr>
          <w:rFonts w:ascii="Book Antiqua" w:hAnsi="Book Antiqua"/>
          <w:sz w:val="24"/>
          <w:szCs w:val="24"/>
        </w:rPr>
        <w:t xml:space="preserve">In addition to oncogenesis, aberrant MET signaling has been associated with </w:t>
      </w:r>
      <w:r w:rsidRPr="00E82006">
        <w:rPr>
          <w:rFonts w:ascii="Book Antiqua" w:hAnsi="Book Antiqua"/>
          <w:i/>
          <w:sz w:val="24"/>
          <w:szCs w:val="24"/>
        </w:rPr>
        <w:t xml:space="preserve">in vitro </w:t>
      </w:r>
      <w:r w:rsidR="003878F6" w:rsidRPr="00E82006">
        <w:rPr>
          <w:rFonts w:ascii="Book Antiqua" w:hAnsi="Book Antiqua"/>
          <w:sz w:val="24"/>
          <w:szCs w:val="24"/>
        </w:rPr>
        <w:t>resistance to cytotoxic agents</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60</w:t>
      </w:r>
      <w:r w:rsidRPr="00E82006">
        <w:rPr>
          <w:rFonts w:ascii="Book Antiqua" w:hAnsi="Book Antiqua"/>
          <w:sz w:val="24"/>
          <w:szCs w:val="24"/>
          <w:vertAlign w:val="superscript"/>
        </w:rPr>
        <w:t>]</w:t>
      </w:r>
      <w:r w:rsidRPr="00E82006">
        <w:rPr>
          <w:rFonts w:ascii="Book Antiqua" w:hAnsi="Book Antiqua"/>
          <w:sz w:val="24"/>
          <w:szCs w:val="24"/>
        </w:rPr>
        <w:t>. c-MET amplification is associated with a higher tumor stage, a more aggressive phenotype and a sign</w:t>
      </w:r>
      <w:r w:rsidR="003878F6" w:rsidRPr="00E82006">
        <w:rPr>
          <w:rFonts w:ascii="Book Antiqua" w:hAnsi="Book Antiqua"/>
          <w:sz w:val="24"/>
          <w:szCs w:val="24"/>
        </w:rPr>
        <w:t>ificantly diminished survival</w:t>
      </w:r>
      <w:r w:rsidR="00117F2C" w:rsidRPr="00E82006">
        <w:rPr>
          <w:rFonts w:ascii="Book Antiqua" w:hAnsi="Book Antiqua"/>
          <w:sz w:val="24"/>
          <w:szCs w:val="24"/>
          <w:vertAlign w:val="superscript"/>
        </w:rPr>
        <w:t>[61</w:t>
      </w:r>
      <w:r w:rsidR="005A0B67" w:rsidRPr="00E82006">
        <w:rPr>
          <w:rFonts w:ascii="Book Antiqua" w:hAnsi="Book Antiqua"/>
          <w:sz w:val="24"/>
          <w:szCs w:val="24"/>
          <w:vertAlign w:val="superscript"/>
        </w:rPr>
        <w:t>,</w:t>
      </w:r>
      <w:r w:rsidR="00806B16" w:rsidRPr="00E82006">
        <w:rPr>
          <w:rFonts w:ascii="Book Antiqua" w:hAnsi="Book Antiqua"/>
          <w:sz w:val="24"/>
          <w:szCs w:val="24"/>
          <w:vertAlign w:val="superscript"/>
        </w:rPr>
        <w:t>6</w:t>
      </w:r>
      <w:r w:rsidR="00117F2C" w:rsidRPr="00E82006">
        <w:rPr>
          <w:rFonts w:ascii="Book Antiqua" w:hAnsi="Book Antiqua"/>
          <w:sz w:val="24"/>
          <w:szCs w:val="24"/>
          <w:vertAlign w:val="superscript"/>
        </w:rPr>
        <w:t>2</w:t>
      </w:r>
      <w:r w:rsidRPr="00E82006">
        <w:rPr>
          <w:rFonts w:ascii="Book Antiqua" w:hAnsi="Book Antiqua"/>
          <w:sz w:val="24"/>
          <w:szCs w:val="24"/>
          <w:vertAlign w:val="superscript"/>
        </w:rPr>
        <w:t>]</w:t>
      </w:r>
      <w:r w:rsidRPr="00E82006">
        <w:rPr>
          <w:rFonts w:ascii="Book Antiqua" w:hAnsi="Book Antiqua"/>
          <w:sz w:val="24"/>
          <w:szCs w:val="24"/>
        </w:rPr>
        <w:t xml:space="preserve">. </w:t>
      </w:r>
    </w:p>
    <w:p w:rsidR="00701E90" w:rsidRPr="00E82006" w:rsidRDefault="00701E90"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eastAsia="Tahoma" w:hAnsi="Book Antiqua" w:cs="Tahoma"/>
          <w:sz w:val="24"/>
          <w:szCs w:val="24"/>
        </w:rPr>
        <w:t>Crizotinib is a small molecule inhibitor of anaplastic lymphoma kinase (ALK) and MET tyrosine kinase that is approved in non-small cell lung cancer. In a study of patients with gastroesophageal cancer, of the 489 tumors screened, 10 patients (2%) harbor</w:t>
      </w:r>
      <w:r w:rsidR="003878F6" w:rsidRPr="00E82006">
        <w:rPr>
          <w:rFonts w:ascii="Book Antiqua" w:eastAsia="Tahoma" w:hAnsi="Book Antiqua" w:cs="Tahoma"/>
          <w:sz w:val="24"/>
          <w:szCs w:val="24"/>
        </w:rPr>
        <w:t>ed MET ampliﬁcation (&gt;</w:t>
      </w:r>
      <w:r w:rsidR="005A0B67" w:rsidRPr="00E82006">
        <w:rPr>
          <w:rFonts w:ascii="Book Antiqua" w:hAnsi="Book Antiqua" w:cs="Tahoma"/>
          <w:sz w:val="24"/>
          <w:szCs w:val="24"/>
          <w:lang w:eastAsia="zh-CN"/>
        </w:rPr>
        <w:t xml:space="preserve"> </w:t>
      </w:r>
      <w:r w:rsidR="003878F6" w:rsidRPr="00E82006">
        <w:rPr>
          <w:rFonts w:ascii="Book Antiqua" w:eastAsia="Tahoma" w:hAnsi="Book Antiqua" w:cs="Tahoma"/>
          <w:sz w:val="24"/>
          <w:szCs w:val="24"/>
        </w:rPr>
        <w:t>5 copies)</w:t>
      </w:r>
      <w:r w:rsidRPr="00E82006">
        <w:rPr>
          <w:rFonts w:ascii="Book Antiqua" w:eastAsia="Tahoma" w:hAnsi="Book Antiqua" w:cs="Tahoma"/>
          <w:sz w:val="24"/>
          <w:szCs w:val="24"/>
          <w:vertAlign w:val="superscript"/>
        </w:rPr>
        <w:t>[</w:t>
      </w:r>
      <w:r w:rsidR="00117F2C" w:rsidRPr="00E82006">
        <w:rPr>
          <w:rFonts w:ascii="Book Antiqua" w:eastAsia="Tahoma" w:hAnsi="Book Antiqua" w:cs="Tahoma"/>
          <w:sz w:val="24"/>
          <w:szCs w:val="24"/>
          <w:vertAlign w:val="superscript"/>
        </w:rPr>
        <w:t>63</w:t>
      </w:r>
      <w:r w:rsidRPr="00E82006">
        <w:rPr>
          <w:rFonts w:ascii="Book Antiqua" w:eastAsia="Tahoma" w:hAnsi="Book Antiqua" w:cs="Tahoma"/>
          <w:sz w:val="24"/>
          <w:szCs w:val="24"/>
          <w:vertAlign w:val="superscript"/>
        </w:rPr>
        <w:t>]</w:t>
      </w:r>
      <w:r w:rsidRPr="00E82006">
        <w:rPr>
          <w:rFonts w:ascii="Book Antiqua" w:eastAsia="Tahoma" w:hAnsi="Book Antiqua" w:cs="Tahoma"/>
          <w:sz w:val="24"/>
          <w:szCs w:val="24"/>
        </w:rPr>
        <w:t>. These tumors were more likely to be high-grade and present at advanced stages. Two out of these four patients had a clinical response with a delay in tumor progression. However the responses were transient and time to progression in these two patients was 3.7 mo and 3.5 mo.</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eastAsia="Tahoma" w:hAnsi="Book Antiqua" w:cs="Tahoma"/>
          <w:sz w:val="24"/>
          <w:szCs w:val="24"/>
        </w:rPr>
        <w:lastRenderedPageBreak/>
        <w:t>Rilotumumab is a fully humanized monoclonal IgG2 against HGF that inhibits the binding of HGF to the MET rec</w:t>
      </w:r>
      <w:r w:rsidR="00021AFC" w:rsidRPr="00E82006">
        <w:rPr>
          <w:rFonts w:ascii="Book Antiqua" w:eastAsia="Tahoma" w:hAnsi="Book Antiqua" w:cs="Tahoma"/>
          <w:sz w:val="24"/>
          <w:szCs w:val="24"/>
        </w:rPr>
        <w:t>eptor. A phase II trial evaluating</w:t>
      </w:r>
      <w:r w:rsidRPr="00E82006">
        <w:rPr>
          <w:rFonts w:ascii="Book Antiqua" w:eastAsia="Tahoma" w:hAnsi="Book Antiqua" w:cs="Tahoma"/>
          <w:sz w:val="24"/>
          <w:szCs w:val="24"/>
        </w:rPr>
        <w:t xml:space="preserve"> rilotumumab in combination with </w:t>
      </w:r>
      <w:r w:rsidR="00356948" w:rsidRPr="00E82006">
        <w:rPr>
          <w:rFonts w:ascii="Book Antiqua" w:eastAsia="Tahoma" w:hAnsi="Book Antiqua" w:cs="Tahoma"/>
          <w:sz w:val="24"/>
          <w:szCs w:val="24"/>
        </w:rPr>
        <w:t>ECX</w:t>
      </w:r>
      <w:r w:rsidRPr="00E82006">
        <w:rPr>
          <w:rFonts w:ascii="Book Antiqua" w:eastAsia="Tahoma" w:hAnsi="Book Antiqua" w:cs="Tahoma"/>
          <w:sz w:val="24"/>
          <w:szCs w:val="24"/>
        </w:rPr>
        <w:t xml:space="preserve"> in patients with untreated advanced gastroesophageal cancer</w:t>
      </w:r>
      <w:r w:rsidR="00021AFC" w:rsidRPr="00E82006">
        <w:rPr>
          <w:rFonts w:ascii="Book Antiqua" w:eastAsia="Tahoma" w:hAnsi="Book Antiqua" w:cs="Tahoma"/>
          <w:sz w:val="24"/>
          <w:szCs w:val="24"/>
        </w:rPr>
        <w:t xml:space="preserve"> showed</w:t>
      </w:r>
      <w:r w:rsidRPr="00E82006">
        <w:rPr>
          <w:rFonts w:ascii="Book Antiqua" w:eastAsia="Tahoma" w:hAnsi="Book Antiqua" w:cs="Tahoma"/>
          <w:sz w:val="24"/>
          <w:szCs w:val="24"/>
        </w:rPr>
        <w:t xml:space="preserve"> minimally improved median PFS and median OS </w:t>
      </w:r>
      <w:r w:rsidR="00975312" w:rsidRPr="00E82006">
        <w:rPr>
          <w:rFonts w:ascii="Book Antiqua" w:eastAsia="Tahoma" w:hAnsi="Book Antiqua" w:cs="Tahoma"/>
          <w:sz w:val="24"/>
          <w:szCs w:val="24"/>
        </w:rPr>
        <w:t>but</w:t>
      </w:r>
      <w:r w:rsidRPr="00E82006">
        <w:rPr>
          <w:rFonts w:ascii="Book Antiqua" w:eastAsia="Tahoma" w:hAnsi="Book Antiqua" w:cs="Tahoma"/>
          <w:sz w:val="24"/>
          <w:szCs w:val="24"/>
        </w:rPr>
        <w:t xml:space="preserve"> </w:t>
      </w:r>
      <w:r w:rsidR="00975312" w:rsidRPr="00E82006">
        <w:rPr>
          <w:rFonts w:ascii="Book Antiqua" w:eastAsia="Tahoma" w:hAnsi="Book Antiqua" w:cs="Tahoma"/>
          <w:sz w:val="24"/>
          <w:szCs w:val="24"/>
        </w:rPr>
        <w:t>a</w:t>
      </w:r>
      <w:r w:rsidRPr="00E82006">
        <w:rPr>
          <w:rFonts w:ascii="Book Antiqua" w:eastAsia="Tahoma" w:hAnsi="Book Antiqua" w:cs="Tahoma"/>
          <w:sz w:val="24"/>
          <w:szCs w:val="24"/>
        </w:rPr>
        <w:t>n exploratory analysis showed that patients with high MET expression appeared to experience marked clinical benefit from addition of rilotumumab to ECX with improvement in median OS from 5.7 to 11.1 mo (HR</w:t>
      </w:r>
      <w:r w:rsidR="00E82006" w:rsidRPr="00E82006">
        <w:rPr>
          <w:rFonts w:ascii="Book Antiqua" w:hAnsi="Book Antiqua" w:cs="Tahoma"/>
          <w:sz w:val="24"/>
          <w:szCs w:val="24"/>
          <w:lang w:eastAsia="zh-CN"/>
        </w:rPr>
        <w:t xml:space="preserve"> </w:t>
      </w:r>
      <w:r w:rsidRPr="00E82006">
        <w:rPr>
          <w:rFonts w:ascii="Book Antiqua" w:eastAsia="Tahoma" w:hAnsi="Book Antiqua" w:cs="Tahoma"/>
          <w:sz w:val="24"/>
          <w:szCs w:val="24"/>
        </w:rPr>
        <w:t>=</w:t>
      </w:r>
      <w:r w:rsidR="00E82006" w:rsidRPr="00E82006">
        <w:rPr>
          <w:rFonts w:ascii="Book Antiqua" w:hAnsi="Book Antiqua" w:cs="Tahoma"/>
          <w:sz w:val="24"/>
          <w:szCs w:val="24"/>
          <w:lang w:eastAsia="zh-CN"/>
        </w:rPr>
        <w:t xml:space="preserve"> </w:t>
      </w:r>
      <w:r w:rsidRPr="00E82006">
        <w:rPr>
          <w:rFonts w:ascii="Book Antiqua" w:eastAsia="Tahoma" w:hAnsi="Book Antiqua" w:cs="Tahoma"/>
          <w:sz w:val="24"/>
          <w:szCs w:val="24"/>
        </w:rPr>
        <w:t>0.29)</w:t>
      </w:r>
      <w:r w:rsidR="00975312" w:rsidRPr="00E82006">
        <w:rPr>
          <w:rFonts w:ascii="Book Antiqua" w:eastAsia="Tahoma" w:hAnsi="Book Antiqua" w:cs="Tahoma"/>
          <w:sz w:val="24"/>
          <w:szCs w:val="24"/>
          <w:vertAlign w:val="superscript"/>
        </w:rPr>
        <w:t>[</w:t>
      </w:r>
      <w:r w:rsidR="00117F2C" w:rsidRPr="00E82006">
        <w:rPr>
          <w:rFonts w:ascii="Book Antiqua" w:eastAsia="Tahoma" w:hAnsi="Book Antiqua" w:cs="Tahoma"/>
          <w:sz w:val="24"/>
          <w:szCs w:val="24"/>
          <w:vertAlign w:val="superscript"/>
        </w:rPr>
        <w:t>64</w:t>
      </w:r>
      <w:r w:rsidR="005A0B67" w:rsidRPr="00E82006">
        <w:rPr>
          <w:rFonts w:ascii="Book Antiqua" w:eastAsia="Tahoma" w:hAnsi="Book Antiqua" w:cs="Tahoma"/>
          <w:sz w:val="24"/>
          <w:szCs w:val="24"/>
          <w:vertAlign w:val="superscript"/>
        </w:rPr>
        <w:t>,</w:t>
      </w:r>
      <w:r w:rsidR="00117F2C" w:rsidRPr="00E82006">
        <w:rPr>
          <w:rFonts w:ascii="Book Antiqua" w:eastAsia="Tahoma" w:hAnsi="Book Antiqua" w:cs="Tahoma"/>
          <w:sz w:val="24"/>
          <w:szCs w:val="24"/>
          <w:vertAlign w:val="superscript"/>
        </w:rPr>
        <w:t>65</w:t>
      </w:r>
      <w:r w:rsidR="00975312" w:rsidRPr="00E82006">
        <w:rPr>
          <w:rFonts w:ascii="Book Antiqua" w:eastAsia="Tahoma" w:hAnsi="Book Antiqua" w:cs="Tahoma"/>
          <w:sz w:val="24"/>
          <w:szCs w:val="24"/>
          <w:vertAlign w:val="superscript"/>
        </w:rPr>
        <w:t>]</w:t>
      </w:r>
      <w:r w:rsidRPr="00E82006">
        <w:rPr>
          <w:rFonts w:ascii="Book Antiqua" w:eastAsia="Tahoma" w:hAnsi="Book Antiqua" w:cs="Tahoma"/>
          <w:sz w:val="24"/>
          <w:szCs w:val="24"/>
        </w:rPr>
        <w:t xml:space="preserve">. These results led to 2 phase III studies: RILOMET-1 </w:t>
      </w:r>
      <w:r w:rsidR="00500946" w:rsidRPr="00E82006">
        <w:rPr>
          <w:rFonts w:ascii="Book Antiqua" w:eastAsia="Tahoma" w:hAnsi="Book Antiqua" w:cs="Tahoma"/>
          <w:sz w:val="24"/>
          <w:szCs w:val="24"/>
        </w:rPr>
        <w:t>(</w:t>
      </w:r>
      <w:r w:rsidRPr="00E82006">
        <w:rPr>
          <w:rFonts w:ascii="Book Antiqua" w:eastAsia="Tahoma" w:hAnsi="Book Antiqua" w:cs="Tahoma"/>
          <w:sz w:val="24"/>
          <w:szCs w:val="24"/>
        </w:rPr>
        <w:t>rilotumumab in combination with ECX as first-line treatment for advanced MET-positive gastroesophageal cancer</w:t>
      </w:r>
      <w:r w:rsidR="00500946" w:rsidRPr="00E82006">
        <w:rPr>
          <w:rFonts w:ascii="Book Antiqua" w:eastAsia="Tahoma" w:hAnsi="Book Antiqua" w:cs="Tahoma"/>
          <w:sz w:val="24"/>
          <w:szCs w:val="24"/>
        </w:rPr>
        <w:t>)</w:t>
      </w:r>
      <w:r w:rsidRPr="00E82006">
        <w:rPr>
          <w:rFonts w:ascii="Book Antiqua" w:eastAsia="Tahoma" w:hAnsi="Book Antiqua" w:cs="Tahoma"/>
          <w:sz w:val="24"/>
          <w:szCs w:val="24"/>
        </w:rPr>
        <w:t xml:space="preserve"> and RILOMET-2 </w:t>
      </w:r>
      <w:r w:rsidR="00500946" w:rsidRPr="00E82006">
        <w:rPr>
          <w:rFonts w:ascii="Book Antiqua" w:eastAsia="Tahoma" w:hAnsi="Book Antiqua" w:cs="Tahoma"/>
          <w:sz w:val="24"/>
          <w:szCs w:val="24"/>
        </w:rPr>
        <w:t>(</w:t>
      </w:r>
      <w:r w:rsidRPr="00E82006">
        <w:rPr>
          <w:rFonts w:ascii="Book Antiqua" w:eastAsia="Tahoma" w:hAnsi="Book Antiqua" w:cs="Tahoma"/>
          <w:sz w:val="24"/>
          <w:szCs w:val="24"/>
        </w:rPr>
        <w:t>rilotumumab with cisplatin and capecitabine as first-line therapy in gastric cancer</w:t>
      </w:r>
      <w:r w:rsidR="00500946" w:rsidRPr="00E82006">
        <w:rPr>
          <w:rFonts w:ascii="Book Antiqua" w:eastAsia="Tahoma" w:hAnsi="Book Antiqua" w:cs="Tahoma"/>
          <w:sz w:val="24"/>
          <w:szCs w:val="24"/>
        </w:rPr>
        <w:t>)</w:t>
      </w:r>
      <w:r w:rsidRPr="00E82006">
        <w:rPr>
          <w:rFonts w:ascii="Book Antiqua" w:eastAsia="Tahoma" w:hAnsi="Book Antiqua" w:cs="Tahoma"/>
          <w:sz w:val="24"/>
          <w:szCs w:val="24"/>
        </w:rPr>
        <w:t xml:space="preserve">. </w:t>
      </w:r>
      <w:r w:rsidR="00356948" w:rsidRPr="00E82006">
        <w:rPr>
          <w:rFonts w:ascii="Book Antiqua" w:eastAsia="Tahoma" w:hAnsi="Book Antiqua" w:cs="Tahoma"/>
          <w:sz w:val="24"/>
          <w:szCs w:val="24"/>
        </w:rPr>
        <w:t xml:space="preserve">However, data from </w:t>
      </w:r>
      <w:r w:rsidR="0050400F" w:rsidRPr="00E82006">
        <w:rPr>
          <w:rFonts w:ascii="Book Antiqua" w:eastAsia="Tahoma" w:hAnsi="Book Antiqua" w:cs="Tahoma"/>
          <w:sz w:val="24"/>
          <w:szCs w:val="24"/>
        </w:rPr>
        <w:t xml:space="preserve">RILOMET-1 </w:t>
      </w:r>
      <w:r w:rsidR="00500946" w:rsidRPr="00E82006">
        <w:rPr>
          <w:rFonts w:ascii="Book Antiqua" w:eastAsia="Tahoma" w:hAnsi="Book Antiqua" w:cs="Tahoma"/>
          <w:sz w:val="24"/>
          <w:szCs w:val="24"/>
        </w:rPr>
        <w:t xml:space="preserve">showed that </w:t>
      </w:r>
      <w:r w:rsidRPr="00E82006">
        <w:rPr>
          <w:rFonts w:ascii="Book Antiqua" w:eastAsia="Tahoma" w:hAnsi="Book Antiqua" w:cs="Tahoma"/>
          <w:sz w:val="24"/>
          <w:szCs w:val="24"/>
        </w:rPr>
        <w:t xml:space="preserve">OS, PFS and ORR </w:t>
      </w:r>
      <w:r w:rsidR="00500946" w:rsidRPr="00E82006">
        <w:rPr>
          <w:rFonts w:ascii="Book Antiqua" w:eastAsia="Tahoma" w:hAnsi="Book Antiqua" w:cs="Tahoma"/>
          <w:sz w:val="24"/>
          <w:szCs w:val="24"/>
        </w:rPr>
        <w:t xml:space="preserve">were statistically worse </w:t>
      </w:r>
      <w:r w:rsidR="003878F6" w:rsidRPr="00E82006">
        <w:rPr>
          <w:rFonts w:ascii="Book Antiqua" w:eastAsia="Tahoma" w:hAnsi="Book Antiqua" w:cs="Tahoma"/>
          <w:sz w:val="24"/>
          <w:szCs w:val="24"/>
        </w:rPr>
        <w:t>in the rilotumumab arm</w:t>
      </w:r>
      <w:r w:rsidRPr="00E82006">
        <w:rPr>
          <w:rFonts w:ascii="Book Antiqua" w:eastAsia="Tahoma" w:hAnsi="Book Antiqua" w:cs="Tahoma"/>
          <w:sz w:val="24"/>
          <w:szCs w:val="24"/>
          <w:vertAlign w:val="superscript"/>
        </w:rPr>
        <w:t>[</w:t>
      </w:r>
      <w:r w:rsidR="00117F2C" w:rsidRPr="00E82006">
        <w:rPr>
          <w:rFonts w:ascii="Book Antiqua" w:eastAsia="Tahoma" w:hAnsi="Book Antiqua" w:cs="Tahoma"/>
          <w:sz w:val="24"/>
          <w:szCs w:val="24"/>
          <w:vertAlign w:val="superscript"/>
        </w:rPr>
        <w:t>66</w:t>
      </w:r>
      <w:r w:rsidRPr="00E82006">
        <w:rPr>
          <w:rFonts w:ascii="Book Antiqua" w:eastAsia="Tahoma" w:hAnsi="Book Antiqua" w:cs="Tahoma"/>
          <w:sz w:val="24"/>
          <w:szCs w:val="24"/>
          <w:vertAlign w:val="superscript"/>
        </w:rPr>
        <w:t>]</w:t>
      </w:r>
      <w:r w:rsidRPr="00E82006">
        <w:rPr>
          <w:rFonts w:ascii="Book Antiqua" w:eastAsia="Tahoma" w:hAnsi="Book Antiqua" w:cs="Tahoma"/>
          <w:sz w:val="24"/>
          <w:szCs w:val="24"/>
        </w:rPr>
        <w:t>. No subgroups seemed to benefit with rilotumumab, including those with higher percentages of cells with ≥ 1+ MET expression.</w:t>
      </w:r>
      <w:r w:rsidRPr="00E82006">
        <w:rPr>
          <w:rFonts w:ascii="Book Antiqua" w:eastAsia="Helvetica Neue" w:hAnsi="Book Antiqua" w:cs="Helvetica Neue"/>
          <w:color w:val="333333"/>
          <w:sz w:val="24"/>
          <w:szCs w:val="24"/>
          <w:highlight w:val="white"/>
        </w:rPr>
        <w:t> </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Onartuzumab is a monovalent humanized monoclonal antibody against the MET receptor and prevents HGF binding to MET. </w:t>
      </w:r>
      <w:r w:rsidR="00840972" w:rsidRPr="00E82006">
        <w:rPr>
          <w:rFonts w:ascii="Book Antiqua" w:hAnsi="Book Antiqua"/>
          <w:sz w:val="24"/>
          <w:szCs w:val="24"/>
        </w:rPr>
        <w:t>O</w:t>
      </w:r>
      <w:r w:rsidRPr="00E82006">
        <w:rPr>
          <w:rFonts w:ascii="Book Antiqua" w:hAnsi="Book Antiqua"/>
          <w:sz w:val="24"/>
          <w:szCs w:val="24"/>
        </w:rPr>
        <w:t xml:space="preserve">nartuzumab in combination with mFOLFOX6 was evaluated in patients with untreated metastatic gastroesophageal cancer </w:t>
      </w:r>
      <w:r w:rsidR="00840972" w:rsidRPr="00E82006">
        <w:rPr>
          <w:rFonts w:ascii="Book Antiqua" w:hAnsi="Book Antiqua"/>
          <w:sz w:val="24"/>
          <w:szCs w:val="24"/>
        </w:rPr>
        <w:t>that were</w:t>
      </w:r>
      <w:r w:rsidRPr="00E82006">
        <w:rPr>
          <w:rFonts w:ascii="Book Antiqua" w:hAnsi="Book Antiqua"/>
          <w:sz w:val="24"/>
          <w:szCs w:val="24"/>
        </w:rPr>
        <w:t xml:space="preserve"> HER2-negative and MET-po</w:t>
      </w:r>
      <w:r w:rsidR="00021AFC" w:rsidRPr="00E82006">
        <w:rPr>
          <w:rFonts w:ascii="Book Antiqua" w:hAnsi="Book Antiqua"/>
          <w:sz w:val="24"/>
          <w:szCs w:val="24"/>
        </w:rPr>
        <w:t xml:space="preserve">sitive </w:t>
      </w:r>
      <w:r w:rsidR="00CA7025" w:rsidRPr="00E82006">
        <w:rPr>
          <w:rFonts w:ascii="Book Antiqua" w:eastAsia="Arial Unicode MS" w:hAnsi="Book Antiqua" w:cs="Arial Unicode MS"/>
          <w:sz w:val="24"/>
          <w:szCs w:val="24"/>
        </w:rPr>
        <w:t>(≥ 50% of tumor with moderate-strong intensity staining by IHC based on central review)</w:t>
      </w:r>
      <w:r w:rsidR="00286C1F" w:rsidRPr="00E82006">
        <w:rPr>
          <w:rFonts w:ascii="Book Antiqua" w:eastAsia="Arial Unicode MS" w:hAnsi="Book Antiqua" w:cs="Arial Unicode MS"/>
          <w:sz w:val="24"/>
          <w:szCs w:val="24"/>
        </w:rPr>
        <w:t xml:space="preserve"> </w:t>
      </w:r>
      <w:r w:rsidR="00286C1F" w:rsidRPr="00E82006">
        <w:rPr>
          <w:rFonts w:ascii="Book Antiqua" w:hAnsi="Book Antiqua"/>
          <w:sz w:val="24"/>
          <w:szCs w:val="24"/>
        </w:rPr>
        <w:t>in a phase III trial, MetGastric</w:t>
      </w:r>
      <w:r w:rsidR="00021AFC" w:rsidRPr="00E82006">
        <w:rPr>
          <w:rFonts w:ascii="Book Antiqua" w:hAnsi="Book Antiqua"/>
          <w:sz w:val="24"/>
          <w:szCs w:val="24"/>
        </w:rPr>
        <w:t xml:space="preserve">. </w:t>
      </w:r>
      <w:r w:rsidR="00500946" w:rsidRPr="00E82006">
        <w:rPr>
          <w:rFonts w:ascii="Book Antiqua" w:hAnsi="Book Antiqua"/>
          <w:sz w:val="24"/>
          <w:szCs w:val="24"/>
        </w:rPr>
        <w:t>The trial</w:t>
      </w:r>
      <w:r w:rsidR="00CA7025" w:rsidRPr="00E82006">
        <w:rPr>
          <w:rFonts w:ascii="Book Antiqua" w:eastAsia="Arial Unicode MS" w:hAnsi="Book Antiqua" w:cs="Arial Unicode MS"/>
          <w:sz w:val="24"/>
          <w:szCs w:val="24"/>
        </w:rPr>
        <w:t xml:space="preserve"> showed that the addition of onartuzumab to mFOLFOX6 did not improve PFS in the unselected population or in the MET-positive subgroup</w:t>
      </w:r>
      <w:r w:rsidRPr="00E82006">
        <w:rPr>
          <w:rFonts w:ascii="Book Antiqua" w:eastAsia="Arial Unicode MS" w:hAnsi="Book Antiqua" w:cs="Arial Unicode MS"/>
          <w:sz w:val="24"/>
          <w:szCs w:val="24"/>
          <w:vertAlign w:val="superscript"/>
        </w:rPr>
        <w:t>[</w:t>
      </w:r>
      <w:r w:rsidR="00117F2C" w:rsidRPr="00E82006">
        <w:rPr>
          <w:rFonts w:ascii="Book Antiqua" w:eastAsia="Arial Unicode MS" w:hAnsi="Book Antiqua" w:cs="Arial Unicode MS"/>
          <w:sz w:val="24"/>
          <w:szCs w:val="24"/>
          <w:vertAlign w:val="superscript"/>
        </w:rPr>
        <w:t>67</w:t>
      </w:r>
      <w:r w:rsidR="005A0B67" w:rsidRPr="00E82006">
        <w:rPr>
          <w:rFonts w:ascii="Book Antiqua" w:eastAsia="Arial Unicode MS" w:hAnsi="Book Antiqua" w:cs="Arial Unicode MS"/>
          <w:sz w:val="24"/>
          <w:szCs w:val="24"/>
          <w:vertAlign w:val="superscript"/>
        </w:rPr>
        <w:t>,</w:t>
      </w:r>
      <w:r w:rsidR="00806B16" w:rsidRPr="00E82006">
        <w:rPr>
          <w:rFonts w:ascii="Book Antiqua" w:eastAsia="Arial Unicode MS" w:hAnsi="Book Antiqua" w:cs="Arial Unicode MS"/>
          <w:sz w:val="24"/>
          <w:szCs w:val="24"/>
          <w:vertAlign w:val="superscript"/>
        </w:rPr>
        <w:t>6</w:t>
      </w:r>
      <w:r w:rsidR="00117F2C" w:rsidRPr="00E82006">
        <w:rPr>
          <w:rFonts w:ascii="Book Antiqua" w:eastAsia="Arial Unicode MS" w:hAnsi="Book Antiqua" w:cs="Arial Unicode MS"/>
          <w:sz w:val="24"/>
          <w:szCs w:val="24"/>
          <w:vertAlign w:val="superscript"/>
        </w:rPr>
        <w:t>8</w:t>
      </w:r>
      <w:r w:rsidRPr="00E82006">
        <w:rPr>
          <w:rFonts w:ascii="Book Antiqua" w:eastAsia="Arial Unicode MS" w:hAnsi="Book Antiqua" w:cs="Arial Unicode MS"/>
          <w:sz w:val="24"/>
          <w:szCs w:val="24"/>
          <w:vertAlign w:val="superscript"/>
        </w:rPr>
        <w:t>]</w:t>
      </w:r>
      <w:r w:rsidRPr="00E82006">
        <w:rPr>
          <w:rFonts w:ascii="Book Antiqua" w:eastAsia="Arial Unicode MS" w:hAnsi="Book Antiqua" w:cs="Arial Unicode MS"/>
          <w:sz w:val="24"/>
          <w:szCs w:val="24"/>
        </w:rPr>
        <w:t xml:space="preserve">. Monoclonal antibodies that target c-MET have limited activity as seen in the phase III trials with rilotumumab and onartuzumab, and better biomarkers are needed to select patients for trials with c-MET inhibitors. </w:t>
      </w:r>
    </w:p>
    <w:p w:rsidR="00D2485E" w:rsidRPr="00E82006" w:rsidRDefault="00D2485E" w:rsidP="00162A81">
      <w:pPr>
        <w:adjustRightInd w:val="0"/>
        <w:snapToGrid w:val="0"/>
        <w:spacing w:after="0" w:line="360" w:lineRule="auto"/>
        <w:jc w:val="both"/>
        <w:rPr>
          <w:rFonts w:ascii="Book Antiqua" w:hAnsi="Book Antiqua"/>
          <w:sz w:val="24"/>
          <w:szCs w:val="24"/>
        </w:rPr>
      </w:pPr>
    </w:p>
    <w:p w:rsidR="00EE752E" w:rsidRPr="00E82006" w:rsidRDefault="00F05D14" w:rsidP="00162A81">
      <w:pPr>
        <w:adjustRightInd w:val="0"/>
        <w:snapToGrid w:val="0"/>
        <w:spacing w:after="0" w:line="360" w:lineRule="auto"/>
        <w:jc w:val="both"/>
        <w:rPr>
          <w:rFonts w:ascii="Book Antiqua" w:hAnsi="Book Antiqua"/>
          <w:b/>
          <w:i/>
          <w:sz w:val="24"/>
          <w:szCs w:val="24"/>
        </w:rPr>
      </w:pPr>
      <w:r w:rsidRPr="00E82006">
        <w:rPr>
          <w:rFonts w:ascii="Book Antiqua" w:hAnsi="Book Antiqua"/>
          <w:b/>
          <w:i/>
          <w:caps/>
          <w:sz w:val="24"/>
          <w:szCs w:val="24"/>
        </w:rPr>
        <w:t>p</w:t>
      </w:r>
      <w:r w:rsidRPr="00E82006">
        <w:rPr>
          <w:rFonts w:ascii="Book Antiqua" w:hAnsi="Book Antiqua"/>
          <w:b/>
          <w:i/>
          <w:sz w:val="24"/>
          <w:szCs w:val="24"/>
        </w:rPr>
        <w:t xml:space="preserve">oly ADP-ribose polymerase </w:t>
      </w:r>
      <w:r w:rsidR="00144C82" w:rsidRPr="00E82006">
        <w:rPr>
          <w:rFonts w:ascii="Book Antiqua" w:hAnsi="Book Antiqua"/>
          <w:b/>
          <w:i/>
          <w:sz w:val="24"/>
          <w:szCs w:val="24"/>
        </w:rPr>
        <w:t>inhibitors</w:t>
      </w:r>
    </w:p>
    <w:p w:rsidR="00EE752E" w:rsidRPr="00E82006" w:rsidRDefault="00F05D14" w:rsidP="00162A81">
      <w:pPr>
        <w:adjustRightInd w:val="0"/>
        <w:snapToGrid w:val="0"/>
        <w:spacing w:after="0" w:line="360" w:lineRule="auto"/>
        <w:jc w:val="both"/>
        <w:rPr>
          <w:rFonts w:ascii="Book Antiqua" w:hAnsi="Book Antiqua"/>
          <w:sz w:val="24"/>
          <w:szCs w:val="24"/>
          <w:lang w:eastAsia="zh-CN"/>
        </w:rPr>
      </w:pPr>
      <w:r w:rsidRPr="00E82006">
        <w:rPr>
          <w:rFonts w:ascii="Book Antiqua" w:hAnsi="Book Antiqua"/>
          <w:caps/>
          <w:sz w:val="24"/>
          <w:szCs w:val="24"/>
        </w:rPr>
        <w:t>p</w:t>
      </w:r>
      <w:r w:rsidRPr="00E82006">
        <w:rPr>
          <w:rFonts w:ascii="Book Antiqua" w:hAnsi="Book Antiqua"/>
          <w:sz w:val="24"/>
          <w:szCs w:val="24"/>
        </w:rPr>
        <w:t>oly ADP-ribose polymerase (PARP)</w:t>
      </w:r>
      <w:r w:rsidRPr="00E82006">
        <w:rPr>
          <w:rFonts w:ascii="Book Antiqua" w:hAnsi="Book Antiqua"/>
          <w:sz w:val="24"/>
          <w:szCs w:val="24"/>
          <w:lang w:eastAsia="zh-CN"/>
        </w:rPr>
        <w:t xml:space="preserve"> </w:t>
      </w:r>
      <w:r w:rsidR="00144C82" w:rsidRPr="00E82006">
        <w:rPr>
          <w:rFonts w:ascii="Book Antiqua" w:hAnsi="Book Antiqua"/>
          <w:sz w:val="24"/>
          <w:szCs w:val="24"/>
          <w:highlight w:val="white"/>
        </w:rPr>
        <w:t>is a family of proteins that are critical for the function of base excision repair (BER). BER repairs single strand DNA breaks. If these single strand breaks are not repaired, they become double strand b</w:t>
      </w:r>
      <w:r w:rsidR="003878F6" w:rsidRPr="00E82006">
        <w:rPr>
          <w:rFonts w:ascii="Book Antiqua" w:hAnsi="Book Antiqua"/>
          <w:sz w:val="24"/>
          <w:szCs w:val="24"/>
          <w:highlight w:val="white"/>
        </w:rPr>
        <w:t xml:space="preserve">reaks which leads to </w:t>
      </w:r>
      <w:r w:rsidR="003878F6" w:rsidRPr="00E82006">
        <w:rPr>
          <w:rFonts w:ascii="Book Antiqua" w:hAnsi="Book Antiqua"/>
          <w:sz w:val="24"/>
          <w:szCs w:val="24"/>
          <w:highlight w:val="white"/>
        </w:rPr>
        <w:lastRenderedPageBreak/>
        <w:t>cell death</w:t>
      </w:r>
      <w:r w:rsidR="00144C82" w:rsidRPr="00E82006">
        <w:rPr>
          <w:rFonts w:ascii="Book Antiqua" w:hAnsi="Book Antiqua"/>
          <w:sz w:val="24"/>
          <w:szCs w:val="24"/>
          <w:highlight w:val="white"/>
          <w:vertAlign w:val="superscript"/>
        </w:rPr>
        <w:t>[</w:t>
      </w:r>
      <w:r w:rsidR="00975D3F" w:rsidRPr="00E82006">
        <w:rPr>
          <w:rFonts w:ascii="Book Antiqua" w:hAnsi="Book Antiqua"/>
          <w:sz w:val="24"/>
          <w:szCs w:val="24"/>
          <w:highlight w:val="white"/>
          <w:vertAlign w:val="superscript"/>
        </w:rPr>
        <w:t>6</w:t>
      </w:r>
      <w:r w:rsidR="00117F2C" w:rsidRPr="00E82006">
        <w:rPr>
          <w:rFonts w:ascii="Book Antiqua" w:hAnsi="Book Antiqua"/>
          <w:sz w:val="24"/>
          <w:szCs w:val="24"/>
          <w:highlight w:val="white"/>
          <w:vertAlign w:val="superscript"/>
        </w:rPr>
        <w:t>9</w:t>
      </w:r>
      <w:r w:rsidR="00144C82" w:rsidRPr="00E82006">
        <w:rPr>
          <w:rFonts w:ascii="Book Antiqua" w:hAnsi="Book Antiqua"/>
          <w:sz w:val="24"/>
          <w:szCs w:val="24"/>
          <w:highlight w:val="white"/>
          <w:vertAlign w:val="superscript"/>
        </w:rPr>
        <w:t>]</w:t>
      </w:r>
      <w:r w:rsidR="00144C82" w:rsidRPr="00E82006">
        <w:rPr>
          <w:rFonts w:ascii="Book Antiqua" w:hAnsi="Book Antiqua"/>
          <w:sz w:val="24"/>
          <w:szCs w:val="24"/>
          <w:highlight w:val="white"/>
        </w:rPr>
        <w:t>. PARP inhibitors interfere with BER and prevent this repair mechanism which may ultimate</w:t>
      </w:r>
      <w:r w:rsidR="003878F6" w:rsidRPr="00E82006">
        <w:rPr>
          <w:rFonts w:ascii="Book Antiqua" w:hAnsi="Book Antiqua"/>
          <w:sz w:val="24"/>
          <w:szCs w:val="24"/>
          <w:highlight w:val="white"/>
        </w:rPr>
        <w:t>ly lead to death of tumor cells</w:t>
      </w:r>
      <w:r w:rsidR="00144C82" w:rsidRPr="00E82006">
        <w:rPr>
          <w:rFonts w:ascii="Book Antiqua" w:hAnsi="Book Antiqua"/>
          <w:sz w:val="24"/>
          <w:szCs w:val="24"/>
          <w:highlight w:val="white"/>
          <w:vertAlign w:val="superscript"/>
        </w:rPr>
        <w:t>[</w:t>
      </w:r>
      <w:r w:rsidR="00117F2C" w:rsidRPr="00E82006">
        <w:rPr>
          <w:rFonts w:ascii="Book Antiqua" w:hAnsi="Book Antiqua"/>
          <w:sz w:val="24"/>
          <w:szCs w:val="24"/>
          <w:highlight w:val="white"/>
          <w:vertAlign w:val="superscript"/>
        </w:rPr>
        <w:t>70</w:t>
      </w:r>
      <w:r w:rsidR="00144C82" w:rsidRPr="00E82006">
        <w:rPr>
          <w:rFonts w:ascii="Book Antiqua" w:hAnsi="Book Antiqua"/>
          <w:sz w:val="24"/>
          <w:szCs w:val="24"/>
          <w:highlight w:val="white"/>
          <w:vertAlign w:val="superscript"/>
        </w:rPr>
        <w:t>]</w:t>
      </w:r>
      <w:r w:rsidR="005A0B67" w:rsidRPr="00E82006">
        <w:rPr>
          <w:rFonts w:ascii="Book Antiqua" w:hAnsi="Book Antiqua"/>
          <w:sz w:val="24"/>
          <w:szCs w:val="24"/>
          <w:highlight w:val="white"/>
        </w:rPr>
        <w:t>.</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Olaparib was studied in a second line phase II trial for metastatic or recurrent gastric cancer in combination with paclitaxel </w:t>
      </w:r>
      <w:r w:rsidR="005A0B67" w:rsidRPr="00E82006">
        <w:rPr>
          <w:rFonts w:ascii="Book Antiqua" w:hAnsi="Book Antiqua"/>
          <w:i/>
          <w:sz w:val="24"/>
          <w:szCs w:val="24"/>
        </w:rPr>
        <w:t>vs</w:t>
      </w:r>
      <w:r w:rsidRPr="00E82006">
        <w:rPr>
          <w:rFonts w:ascii="Book Antiqua" w:hAnsi="Book Antiqua"/>
          <w:sz w:val="24"/>
          <w:szCs w:val="24"/>
        </w:rPr>
        <w:t xml:space="preserve"> paclitaxel alo</w:t>
      </w:r>
      <w:r w:rsidR="003878F6" w:rsidRPr="00E82006">
        <w:rPr>
          <w:rFonts w:ascii="Book Antiqua" w:hAnsi="Book Antiqua"/>
          <w:sz w:val="24"/>
          <w:szCs w:val="24"/>
        </w:rPr>
        <w:t>ne</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71</w:t>
      </w:r>
      <w:r w:rsidRPr="00E82006">
        <w:rPr>
          <w:rFonts w:ascii="Book Antiqua" w:hAnsi="Book Antiqua"/>
          <w:sz w:val="24"/>
          <w:szCs w:val="24"/>
          <w:vertAlign w:val="superscript"/>
        </w:rPr>
        <w:t>]</w:t>
      </w:r>
      <w:r w:rsidRPr="00E82006">
        <w:rPr>
          <w:rFonts w:ascii="Book Antiqua" w:hAnsi="Book Antiqua"/>
          <w:sz w:val="24"/>
          <w:szCs w:val="24"/>
        </w:rPr>
        <w:t xml:space="preserve">. The trial found a statistically significant improvement in OS, but not PFS. </w:t>
      </w:r>
      <w:r w:rsidR="00606AD4" w:rsidRPr="00E82006">
        <w:rPr>
          <w:rFonts w:ascii="Book Antiqua" w:hAnsi="Book Antiqua"/>
          <w:sz w:val="24"/>
          <w:szCs w:val="24"/>
        </w:rPr>
        <w:t>I</w:t>
      </w:r>
      <w:r w:rsidRPr="00E82006">
        <w:rPr>
          <w:rFonts w:ascii="Book Antiqua" w:hAnsi="Book Antiqua"/>
          <w:sz w:val="24"/>
          <w:szCs w:val="24"/>
        </w:rPr>
        <w:t xml:space="preserve">nitial preclinical data suggested that responsiveness of gastric cancer cell lines to olaparib was associated with low ataxia telangiectasia mutated (ATM) protein levels, </w:t>
      </w:r>
      <w:r w:rsidR="00606AD4" w:rsidRPr="00E82006">
        <w:rPr>
          <w:rFonts w:ascii="Book Antiqua" w:hAnsi="Book Antiqua"/>
          <w:sz w:val="24"/>
          <w:szCs w:val="24"/>
        </w:rPr>
        <w:t xml:space="preserve">so </w:t>
      </w:r>
      <w:r w:rsidRPr="00E82006">
        <w:rPr>
          <w:rFonts w:ascii="Book Antiqua" w:hAnsi="Book Antiqua"/>
          <w:sz w:val="24"/>
          <w:szCs w:val="24"/>
        </w:rPr>
        <w:t xml:space="preserve">the study performed a subset analysis and found that patients with low ATM showed a larger improvement in OS with olaparib. These results led to a phase III trial of olaparib in combination with paclitaxel compared with paclitaxel monotherapy in patients with advanced gastric cancer who have progressed following first line therapy [NCT01924533]. Another PARP inhibitor, veliparib, is currently being studied in a phase I trial with FOLFIRI in patients with advanced gastric cancer [NCT01123876]. </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144C82" w:rsidP="00162A81">
      <w:pPr>
        <w:adjustRightInd w:val="0"/>
        <w:snapToGrid w:val="0"/>
        <w:spacing w:after="0" w:line="360" w:lineRule="auto"/>
        <w:jc w:val="both"/>
        <w:rPr>
          <w:rFonts w:ascii="Book Antiqua" w:hAnsi="Book Antiqua"/>
          <w:caps/>
          <w:sz w:val="24"/>
          <w:szCs w:val="24"/>
        </w:rPr>
      </w:pPr>
      <w:r w:rsidRPr="00E82006">
        <w:rPr>
          <w:rFonts w:ascii="Book Antiqua" w:hAnsi="Book Antiqua"/>
          <w:b/>
          <w:caps/>
          <w:sz w:val="24"/>
          <w:szCs w:val="24"/>
        </w:rPr>
        <w:t>Immunotherapy</w:t>
      </w:r>
    </w:p>
    <w:p w:rsidR="00436522" w:rsidRPr="00E82006" w:rsidRDefault="00375AAB"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T</w:t>
      </w:r>
      <w:r w:rsidR="00144C82" w:rsidRPr="00E82006">
        <w:rPr>
          <w:rFonts w:ascii="Book Antiqua" w:hAnsi="Book Antiqua"/>
          <w:sz w:val="24"/>
          <w:szCs w:val="24"/>
        </w:rPr>
        <w:t>umor cells have developed mechanisms in which they modulate the immune system, allowing them to escape the immune cells</w:t>
      </w:r>
      <w:r w:rsidR="00040BCD" w:rsidRPr="00E82006">
        <w:rPr>
          <w:rFonts w:ascii="Book Antiqua" w:hAnsi="Book Antiqua"/>
          <w:sz w:val="24"/>
          <w:szCs w:val="24"/>
        </w:rPr>
        <w:t xml:space="preserve"> and </w:t>
      </w:r>
      <w:r w:rsidR="00144C82" w:rsidRPr="00E82006">
        <w:rPr>
          <w:rFonts w:ascii="Book Antiqua" w:hAnsi="Book Antiqua"/>
          <w:sz w:val="24"/>
          <w:szCs w:val="24"/>
        </w:rPr>
        <w:t>provide a shield for which the tumor is ab</w:t>
      </w:r>
      <w:r w:rsidR="003878F6" w:rsidRPr="00E82006">
        <w:rPr>
          <w:rFonts w:ascii="Book Antiqua" w:hAnsi="Book Antiqua"/>
          <w:sz w:val="24"/>
          <w:szCs w:val="24"/>
        </w:rPr>
        <w:t>le to invade, migrate, and grow</w:t>
      </w:r>
      <w:r w:rsidR="00144C82" w:rsidRPr="00E82006">
        <w:rPr>
          <w:rFonts w:ascii="Book Antiqua" w:hAnsi="Book Antiqua"/>
          <w:sz w:val="24"/>
          <w:szCs w:val="24"/>
          <w:vertAlign w:val="superscript"/>
        </w:rPr>
        <w:t>[</w:t>
      </w:r>
      <w:r w:rsidR="00117F2C" w:rsidRPr="00E82006">
        <w:rPr>
          <w:rFonts w:ascii="Book Antiqua" w:hAnsi="Book Antiqua"/>
          <w:sz w:val="24"/>
          <w:szCs w:val="24"/>
          <w:vertAlign w:val="superscript"/>
        </w:rPr>
        <w:t>72</w:t>
      </w:r>
      <w:r w:rsidR="005A0B67" w:rsidRPr="00E82006">
        <w:rPr>
          <w:rFonts w:ascii="Book Antiqua" w:hAnsi="Book Antiqua"/>
          <w:sz w:val="24"/>
          <w:szCs w:val="24"/>
          <w:vertAlign w:val="superscript"/>
        </w:rPr>
        <w:t>,</w:t>
      </w:r>
      <w:r w:rsidR="00117F2C" w:rsidRPr="00E82006">
        <w:rPr>
          <w:rFonts w:ascii="Book Antiqua" w:hAnsi="Book Antiqua"/>
          <w:sz w:val="24"/>
          <w:szCs w:val="24"/>
          <w:vertAlign w:val="superscript"/>
        </w:rPr>
        <w:t>73</w:t>
      </w:r>
      <w:r w:rsidR="00144C82" w:rsidRPr="00E82006">
        <w:rPr>
          <w:rFonts w:ascii="Book Antiqua" w:hAnsi="Book Antiqua"/>
          <w:sz w:val="24"/>
          <w:szCs w:val="24"/>
          <w:vertAlign w:val="superscript"/>
        </w:rPr>
        <w:t>]</w:t>
      </w:r>
      <w:r w:rsidR="00144C82" w:rsidRPr="00E82006">
        <w:rPr>
          <w:rFonts w:ascii="Book Antiqua" w:hAnsi="Book Antiqua"/>
          <w:sz w:val="24"/>
          <w:szCs w:val="24"/>
        </w:rPr>
        <w:t xml:space="preserve">. </w:t>
      </w:r>
      <w:bookmarkStart w:id="140" w:name="h.gjdgxs" w:colFirst="0" w:colLast="0"/>
      <w:bookmarkEnd w:id="140"/>
      <w:r w:rsidR="00144C82" w:rsidRPr="00E82006">
        <w:rPr>
          <w:rFonts w:ascii="Book Antiqua" w:hAnsi="Book Antiqua"/>
          <w:sz w:val="24"/>
          <w:szCs w:val="24"/>
        </w:rPr>
        <w:t xml:space="preserve">Immune checkpoints are inhibitory pathways that maintain self-tolerance and protect tissues from damage when the immune system is </w:t>
      </w:r>
      <w:r w:rsidRPr="00E82006">
        <w:rPr>
          <w:rFonts w:ascii="Book Antiqua" w:hAnsi="Book Antiqua"/>
          <w:sz w:val="24"/>
          <w:szCs w:val="24"/>
        </w:rPr>
        <w:t>active</w:t>
      </w:r>
      <w:r w:rsidR="00144C82" w:rsidRPr="00E82006">
        <w:rPr>
          <w:rFonts w:ascii="Book Antiqua" w:hAnsi="Book Antiqua"/>
          <w:sz w:val="24"/>
          <w:szCs w:val="24"/>
        </w:rPr>
        <w:t>. The expression of immune-checkpoint proteins can be dysregulated by tumors, making this an important</w:t>
      </w:r>
      <w:r w:rsidR="003878F6" w:rsidRPr="00E82006">
        <w:rPr>
          <w:rFonts w:ascii="Book Antiqua" w:hAnsi="Book Antiqua"/>
          <w:sz w:val="24"/>
          <w:szCs w:val="24"/>
        </w:rPr>
        <w:t xml:space="preserve"> immune resistance mechanism</w:t>
      </w:r>
      <w:r w:rsidR="003A2E14" w:rsidRPr="00E82006">
        <w:rPr>
          <w:rFonts w:ascii="Book Antiqua" w:hAnsi="Book Antiqua"/>
          <w:sz w:val="24"/>
          <w:szCs w:val="24"/>
          <w:vertAlign w:val="superscript"/>
        </w:rPr>
        <w:t>[</w:t>
      </w:r>
      <w:r w:rsidR="00117F2C" w:rsidRPr="00E82006">
        <w:rPr>
          <w:rFonts w:ascii="Book Antiqua" w:hAnsi="Book Antiqua"/>
          <w:sz w:val="24"/>
          <w:szCs w:val="24"/>
          <w:vertAlign w:val="superscript"/>
        </w:rPr>
        <w:t>74</w:t>
      </w:r>
      <w:r w:rsidR="00144C82" w:rsidRPr="00E82006">
        <w:rPr>
          <w:rFonts w:ascii="Book Antiqua" w:hAnsi="Book Antiqua"/>
          <w:sz w:val="24"/>
          <w:szCs w:val="24"/>
          <w:vertAlign w:val="superscript"/>
        </w:rPr>
        <w:t>]</w:t>
      </w:r>
      <w:r w:rsidR="005A0B67" w:rsidRPr="00E82006">
        <w:rPr>
          <w:rFonts w:ascii="Book Antiqua" w:hAnsi="Book Antiqua"/>
          <w:sz w:val="24"/>
          <w:szCs w:val="24"/>
        </w:rPr>
        <w:t>.</w:t>
      </w:r>
      <w:r w:rsidR="00144C82" w:rsidRPr="00E82006">
        <w:rPr>
          <w:rFonts w:ascii="Book Antiqua" w:hAnsi="Book Antiqua"/>
          <w:sz w:val="24"/>
          <w:szCs w:val="24"/>
        </w:rPr>
        <w:t xml:space="preserve"> </w:t>
      </w:r>
      <w:r w:rsidR="00C35A69" w:rsidRPr="00E82006">
        <w:rPr>
          <w:rFonts w:ascii="Book Antiqua" w:hAnsi="Book Antiqua"/>
          <w:sz w:val="24"/>
          <w:szCs w:val="24"/>
        </w:rPr>
        <w:t>This has led to increasing interest in immunotherapy as a treatment option in multiple solid malignancies.</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Cytotoxic T-lymphocyte-associated antigen 4 (CTLA4) was the first immune checkpoint receptor to be clinically targeted. It is expressed exclusively on T cells and is a negative regulator of T-cell activation. There are two fully humanized CTLA4 antibodies, ipilimumab and tremelimumab. After ipilimumab became the first therapy to improve overall survival in </w:t>
      </w:r>
      <w:r w:rsidR="003878F6" w:rsidRPr="00E82006">
        <w:rPr>
          <w:rFonts w:ascii="Book Antiqua" w:hAnsi="Book Antiqua"/>
          <w:sz w:val="24"/>
          <w:szCs w:val="24"/>
        </w:rPr>
        <w:t>patients with advanced melanoma</w:t>
      </w:r>
      <w:r w:rsidRPr="00E82006">
        <w:rPr>
          <w:rFonts w:ascii="Book Antiqua" w:hAnsi="Book Antiqua"/>
          <w:sz w:val="24"/>
          <w:szCs w:val="24"/>
          <w:vertAlign w:val="superscript"/>
        </w:rPr>
        <w:t>[</w:t>
      </w:r>
      <w:r w:rsidR="00117F2C" w:rsidRPr="00E82006">
        <w:rPr>
          <w:rFonts w:ascii="Book Antiqua" w:hAnsi="Book Antiqua"/>
          <w:sz w:val="24"/>
          <w:szCs w:val="24"/>
          <w:vertAlign w:val="superscript"/>
        </w:rPr>
        <w:t>75</w:t>
      </w:r>
      <w:r w:rsidRPr="00E82006">
        <w:rPr>
          <w:rFonts w:ascii="Book Antiqua" w:hAnsi="Book Antiqua"/>
          <w:sz w:val="24"/>
          <w:szCs w:val="24"/>
          <w:vertAlign w:val="superscript"/>
        </w:rPr>
        <w:t>]</w:t>
      </w:r>
      <w:r w:rsidRPr="00E82006">
        <w:rPr>
          <w:rFonts w:ascii="Book Antiqua" w:hAnsi="Book Antiqua"/>
          <w:sz w:val="24"/>
          <w:szCs w:val="24"/>
        </w:rPr>
        <w:t xml:space="preserve">, it is now being evaluated in other advanced cancers including gastric cancer. A phase II trial to </w:t>
      </w:r>
      <w:r w:rsidRPr="00E82006">
        <w:rPr>
          <w:rFonts w:ascii="Book Antiqua" w:hAnsi="Book Antiqua"/>
          <w:sz w:val="24"/>
          <w:szCs w:val="24"/>
        </w:rPr>
        <w:lastRenderedPageBreak/>
        <w:t xml:space="preserve">evaluate the efficacy of ipilimumab after first-line chemotherapy in the treatment of unresectable or metastatic gastric or GEJ adenocarcinomas was just completed </w:t>
      </w:r>
      <w:r w:rsidR="00684EE5" w:rsidRPr="00E82006">
        <w:rPr>
          <w:rFonts w:ascii="Book Antiqua" w:hAnsi="Book Antiqua"/>
          <w:sz w:val="24"/>
          <w:szCs w:val="24"/>
        </w:rPr>
        <w:t>and awaiting results</w:t>
      </w:r>
      <w:r w:rsidR="007737EF" w:rsidRPr="00E82006">
        <w:rPr>
          <w:rFonts w:ascii="Book Antiqua" w:hAnsi="Book Antiqua"/>
          <w:sz w:val="24"/>
          <w:szCs w:val="24"/>
        </w:rPr>
        <w:t xml:space="preserve"> [NCT01585987]</w:t>
      </w:r>
      <w:r w:rsidRPr="00E82006">
        <w:rPr>
          <w:rFonts w:ascii="Book Antiqua" w:hAnsi="Book Antiqua"/>
          <w:sz w:val="24"/>
          <w:szCs w:val="24"/>
        </w:rPr>
        <w:t xml:space="preserve">. Tremelimumab was investigated in a phase II trial as second-line treatment for patients with metastatic gastric cancer </w:t>
      </w:r>
      <w:r w:rsidR="00684EE5" w:rsidRPr="00E82006">
        <w:rPr>
          <w:rFonts w:ascii="Book Antiqua" w:hAnsi="Book Antiqua"/>
          <w:sz w:val="24"/>
          <w:szCs w:val="24"/>
        </w:rPr>
        <w:t>but had</w:t>
      </w:r>
      <w:r w:rsidRPr="00E82006">
        <w:rPr>
          <w:rFonts w:ascii="Book Antiqua" w:hAnsi="Book Antiqua"/>
          <w:sz w:val="24"/>
          <w:szCs w:val="24"/>
        </w:rPr>
        <w:t xml:space="preserve"> an ORR of only 5% and median OS similar to t</w:t>
      </w:r>
      <w:r w:rsidR="003878F6" w:rsidRPr="00E82006">
        <w:rPr>
          <w:rFonts w:ascii="Book Antiqua" w:hAnsi="Book Antiqua"/>
          <w:sz w:val="24"/>
          <w:szCs w:val="24"/>
        </w:rPr>
        <w:t>hat of second-line chemotherapy</w:t>
      </w:r>
      <w:r w:rsidRPr="00E82006">
        <w:rPr>
          <w:rFonts w:ascii="Book Antiqua" w:hAnsi="Book Antiqua"/>
          <w:sz w:val="24"/>
          <w:szCs w:val="24"/>
          <w:vertAlign w:val="superscript"/>
        </w:rPr>
        <w:t>[</w:t>
      </w:r>
      <w:r w:rsidR="003A2E14" w:rsidRPr="00E82006">
        <w:rPr>
          <w:rFonts w:ascii="Book Antiqua" w:hAnsi="Book Antiqua"/>
          <w:sz w:val="24"/>
          <w:szCs w:val="24"/>
          <w:vertAlign w:val="superscript"/>
        </w:rPr>
        <w:t>7</w:t>
      </w:r>
      <w:r w:rsidR="00117F2C" w:rsidRPr="00E82006">
        <w:rPr>
          <w:rFonts w:ascii="Book Antiqua" w:hAnsi="Book Antiqua"/>
          <w:sz w:val="24"/>
          <w:szCs w:val="24"/>
          <w:vertAlign w:val="superscript"/>
        </w:rPr>
        <w:t>6</w:t>
      </w:r>
      <w:r w:rsidRPr="00E82006">
        <w:rPr>
          <w:rFonts w:ascii="Book Antiqua" w:hAnsi="Book Antiqua"/>
          <w:sz w:val="24"/>
          <w:szCs w:val="24"/>
          <w:vertAlign w:val="superscript"/>
        </w:rPr>
        <w:t>]</w:t>
      </w:r>
      <w:r w:rsidRPr="00E82006">
        <w:rPr>
          <w:rFonts w:ascii="Book Antiqua" w:hAnsi="Book Antiqua"/>
          <w:sz w:val="24"/>
          <w:szCs w:val="24"/>
        </w:rPr>
        <w:t xml:space="preserve">. </w:t>
      </w:r>
    </w:p>
    <w:p w:rsidR="007A3BFA" w:rsidRPr="00E82006" w:rsidRDefault="00144C82" w:rsidP="00162A81">
      <w:pPr>
        <w:adjustRightInd w:val="0"/>
        <w:snapToGrid w:val="0"/>
        <w:spacing w:after="0" w:line="360" w:lineRule="auto"/>
        <w:ind w:firstLineChars="200" w:firstLine="480"/>
        <w:jc w:val="both"/>
        <w:rPr>
          <w:rFonts w:ascii="Book Antiqua" w:hAnsi="Book Antiqua"/>
          <w:color w:val="auto"/>
          <w:sz w:val="24"/>
          <w:szCs w:val="24"/>
        </w:rPr>
      </w:pPr>
      <w:r w:rsidRPr="00E82006">
        <w:rPr>
          <w:rFonts w:ascii="Book Antiqua" w:hAnsi="Book Antiqua"/>
          <w:sz w:val="24"/>
          <w:szCs w:val="24"/>
        </w:rPr>
        <w:t>Another immune-checkpoint protein which is expressed on T cells, programmed cell death protein 1 (PD</w:t>
      </w:r>
      <w:r w:rsidR="00606AD4" w:rsidRPr="00E82006">
        <w:rPr>
          <w:rFonts w:ascii="Book Antiqua" w:hAnsi="Book Antiqua"/>
          <w:sz w:val="24"/>
          <w:szCs w:val="24"/>
        </w:rPr>
        <w:t>-</w:t>
      </w:r>
      <w:r w:rsidRPr="00E82006">
        <w:rPr>
          <w:rFonts w:ascii="Book Antiqua" w:hAnsi="Book Antiqua"/>
          <w:sz w:val="24"/>
          <w:szCs w:val="24"/>
        </w:rPr>
        <w:t xml:space="preserve">1), inhibits the activity of the T cell when bound to its ligands PD-L1 and PD-L2 on the surface of a cell. Tumor cells often overexpress PD-L1 or PD-L2 resulting in T cell anergy and escape from immunosurveillance. </w:t>
      </w:r>
      <w:r w:rsidR="004A32EE" w:rsidRPr="00E82006">
        <w:rPr>
          <w:rFonts w:ascii="Book Antiqua" w:hAnsi="Book Antiqua"/>
          <w:sz w:val="24"/>
          <w:szCs w:val="24"/>
        </w:rPr>
        <w:t xml:space="preserve">The KEYNOTE-012 </w:t>
      </w:r>
      <w:r w:rsidRPr="00E82006">
        <w:rPr>
          <w:rFonts w:ascii="Book Antiqua" w:hAnsi="Book Antiqua"/>
          <w:sz w:val="24"/>
          <w:szCs w:val="24"/>
        </w:rPr>
        <w:t xml:space="preserve">phase Ib study of pembrolizumab, a monoclonal antibody that blocks PD-1 interaction with its ligands, in patients with recurrent and metastatic gastric cancer with PD-L1 tumor positivity based on a prototype IHC assay </w:t>
      </w:r>
      <w:r w:rsidR="007F14CF" w:rsidRPr="00E82006">
        <w:rPr>
          <w:rFonts w:ascii="Book Antiqua" w:hAnsi="Book Antiqua"/>
          <w:sz w:val="24"/>
          <w:szCs w:val="24"/>
        </w:rPr>
        <w:t>showed an</w:t>
      </w:r>
      <w:r w:rsidRPr="00E82006">
        <w:rPr>
          <w:rFonts w:ascii="Book Antiqua" w:hAnsi="Book Antiqua"/>
          <w:sz w:val="24"/>
          <w:szCs w:val="24"/>
        </w:rPr>
        <w:t xml:space="preserve"> ORR </w:t>
      </w:r>
      <w:r w:rsidR="007F14CF" w:rsidRPr="00E82006">
        <w:rPr>
          <w:rFonts w:ascii="Book Antiqua" w:hAnsi="Book Antiqua"/>
          <w:sz w:val="24"/>
          <w:szCs w:val="24"/>
        </w:rPr>
        <w:t>of</w:t>
      </w:r>
      <w:r w:rsidRPr="00E82006">
        <w:rPr>
          <w:rFonts w:ascii="Book Antiqua" w:hAnsi="Book Antiqua"/>
          <w:sz w:val="24"/>
          <w:szCs w:val="24"/>
        </w:rPr>
        <w:t xml:space="preserve"> 31.6% in Asia Pacific and 30% in the rest of world</w:t>
      </w:r>
      <w:r w:rsidR="007F14CF" w:rsidRPr="00E82006">
        <w:rPr>
          <w:rFonts w:ascii="Book Antiqua" w:hAnsi="Book Antiqua"/>
          <w:sz w:val="24"/>
          <w:szCs w:val="24"/>
          <w:vertAlign w:val="superscript"/>
        </w:rPr>
        <w:t>[</w:t>
      </w:r>
      <w:r w:rsidR="003A2E14" w:rsidRPr="00E82006">
        <w:rPr>
          <w:rFonts w:ascii="Book Antiqua" w:hAnsi="Book Antiqua"/>
          <w:sz w:val="24"/>
          <w:szCs w:val="24"/>
          <w:vertAlign w:val="superscript"/>
        </w:rPr>
        <w:t>7</w:t>
      </w:r>
      <w:r w:rsidR="00117F2C" w:rsidRPr="00E82006">
        <w:rPr>
          <w:rFonts w:ascii="Book Antiqua" w:hAnsi="Book Antiqua"/>
          <w:sz w:val="24"/>
          <w:szCs w:val="24"/>
          <w:vertAlign w:val="superscript"/>
        </w:rPr>
        <w:t>7</w:t>
      </w:r>
      <w:r w:rsidR="007F14CF" w:rsidRPr="00E82006">
        <w:rPr>
          <w:rFonts w:ascii="Book Antiqua" w:hAnsi="Book Antiqua"/>
          <w:sz w:val="24"/>
          <w:szCs w:val="24"/>
          <w:vertAlign w:val="superscript"/>
        </w:rPr>
        <w:t>]</w:t>
      </w:r>
      <w:r w:rsidR="007F14CF" w:rsidRPr="00E82006">
        <w:rPr>
          <w:rFonts w:ascii="Book Antiqua" w:hAnsi="Book Antiqua"/>
          <w:sz w:val="24"/>
          <w:szCs w:val="24"/>
        </w:rPr>
        <w:t>.</w:t>
      </w:r>
      <w:r w:rsidR="005A0B67" w:rsidRPr="00E82006">
        <w:rPr>
          <w:rFonts w:ascii="Book Antiqua" w:hAnsi="Book Antiqua"/>
          <w:sz w:val="24"/>
          <w:szCs w:val="24"/>
          <w:lang w:eastAsia="zh-CN"/>
        </w:rPr>
        <w:t xml:space="preserve"> </w:t>
      </w:r>
      <w:r w:rsidR="00E37731" w:rsidRPr="00E82006">
        <w:rPr>
          <w:rFonts w:ascii="Book Antiqua" w:hAnsi="Book Antiqua"/>
          <w:sz w:val="24"/>
          <w:szCs w:val="24"/>
        </w:rPr>
        <w:t xml:space="preserve">These results present an exciting novel strategy in the treatment of advanced gastric cancer. </w:t>
      </w:r>
      <w:r w:rsidR="007A3BFA" w:rsidRPr="00E82006">
        <w:rPr>
          <w:rFonts w:ascii="Book Antiqua" w:hAnsi="Book Antiqua"/>
          <w:sz w:val="24"/>
          <w:szCs w:val="24"/>
        </w:rPr>
        <w:t xml:space="preserve">The phase II KEYNOTE-059 of pembrolizumab with cisplatin and 5-FU as first-line is currently enrolling [NCT02335411]. Also, two phase III trials, KEYNOTE-061 [NCT02370498] of pembrolizumab </w:t>
      </w:r>
      <w:r w:rsidR="005A0B67" w:rsidRPr="00E82006">
        <w:rPr>
          <w:rFonts w:ascii="Book Antiqua" w:hAnsi="Book Antiqua"/>
          <w:i/>
          <w:sz w:val="24"/>
          <w:szCs w:val="24"/>
        </w:rPr>
        <w:t>vs</w:t>
      </w:r>
      <w:r w:rsidR="007A3BFA" w:rsidRPr="00E82006">
        <w:rPr>
          <w:rFonts w:ascii="Book Antiqua" w:hAnsi="Book Antiqua"/>
          <w:sz w:val="24"/>
          <w:szCs w:val="24"/>
        </w:rPr>
        <w:t xml:space="preserve"> paclitaxel as second line therapy and KEYNOTE-062 [NCT02494583] of pembrolizumab alone or in combination with cisplatin and </w:t>
      </w:r>
      <w:r w:rsidR="007A3BFA" w:rsidRPr="00E82006">
        <w:rPr>
          <w:rFonts w:ascii="Book Antiqua" w:eastAsia="Times New Roman" w:hAnsi="Book Antiqua" w:cs="Times New Roman"/>
          <w:sz w:val="24"/>
          <w:szCs w:val="24"/>
        </w:rPr>
        <w:t>fluoropyrimidine</w:t>
      </w:r>
      <w:r w:rsidR="007A3BFA" w:rsidRPr="00E82006">
        <w:rPr>
          <w:rFonts w:ascii="Book Antiqua" w:hAnsi="Book Antiqua"/>
          <w:sz w:val="24"/>
          <w:szCs w:val="24"/>
        </w:rPr>
        <w:t xml:space="preserve"> </w:t>
      </w:r>
      <w:r w:rsidR="005A0B67" w:rsidRPr="00E82006">
        <w:rPr>
          <w:rFonts w:ascii="Book Antiqua" w:hAnsi="Book Antiqua"/>
          <w:i/>
          <w:sz w:val="24"/>
          <w:szCs w:val="24"/>
        </w:rPr>
        <w:t>vs</w:t>
      </w:r>
      <w:r w:rsidR="007A3BFA" w:rsidRPr="00E82006">
        <w:rPr>
          <w:rFonts w:ascii="Book Antiqua" w:hAnsi="Book Antiqua"/>
          <w:sz w:val="24"/>
          <w:szCs w:val="24"/>
        </w:rPr>
        <w:t xml:space="preserve"> chemotherapy as first line therapy, are currently ongoing.</w:t>
      </w:r>
    </w:p>
    <w:p w:rsidR="007A3BFA" w:rsidRPr="00E82006" w:rsidRDefault="00144C82" w:rsidP="00162A81">
      <w:pPr>
        <w:adjustRightInd w:val="0"/>
        <w:snapToGrid w:val="0"/>
        <w:spacing w:after="0" w:line="360" w:lineRule="auto"/>
        <w:ind w:firstLineChars="200" w:firstLine="480"/>
        <w:jc w:val="both"/>
        <w:rPr>
          <w:rFonts w:ascii="Book Antiqua" w:hAnsi="Book Antiqua"/>
          <w:color w:val="auto"/>
          <w:sz w:val="24"/>
          <w:szCs w:val="24"/>
          <w:shd w:val="clear" w:color="auto" w:fill="FFFFFF"/>
          <w:lang w:eastAsia="zh-CN"/>
        </w:rPr>
      </w:pPr>
      <w:r w:rsidRPr="00E82006">
        <w:rPr>
          <w:rFonts w:ascii="Book Antiqua" w:hAnsi="Book Antiqua"/>
          <w:sz w:val="24"/>
          <w:szCs w:val="24"/>
        </w:rPr>
        <w:t>There was preliminary evidence of an association between PD-L1 expression and PFS (</w:t>
      </w:r>
      <w:r w:rsidR="00DE67BC" w:rsidRPr="00E82006">
        <w:rPr>
          <w:rFonts w:ascii="Book Antiqua" w:hAnsi="Book Antiqua"/>
          <w:i/>
          <w:caps/>
          <w:sz w:val="24"/>
          <w:szCs w:val="24"/>
        </w:rPr>
        <w:t xml:space="preserve">p = </w:t>
      </w:r>
      <w:r w:rsidRPr="00E82006">
        <w:rPr>
          <w:rFonts w:ascii="Book Antiqua" w:hAnsi="Book Antiqua"/>
          <w:sz w:val="24"/>
          <w:szCs w:val="24"/>
        </w:rPr>
        <w:t>0.032) and ORR (</w:t>
      </w:r>
      <w:r w:rsidR="00DE67BC" w:rsidRPr="00E82006">
        <w:rPr>
          <w:rFonts w:ascii="Book Antiqua" w:hAnsi="Book Antiqua"/>
          <w:i/>
          <w:caps/>
          <w:sz w:val="24"/>
          <w:szCs w:val="24"/>
        </w:rPr>
        <w:t xml:space="preserve">p = </w:t>
      </w:r>
      <w:r w:rsidRPr="00E82006">
        <w:rPr>
          <w:rFonts w:ascii="Book Antiqua" w:hAnsi="Book Antiqua"/>
          <w:sz w:val="24"/>
          <w:szCs w:val="24"/>
        </w:rPr>
        <w:t>0.071)</w:t>
      </w:r>
      <w:r w:rsidR="000D1973" w:rsidRPr="00E82006">
        <w:rPr>
          <w:rFonts w:ascii="Book Antiqua" w:hAnsi="Book Antiqua"/>
          <w:sz w:val="24"/>
          <w:szCs w:val="24"/>
        </w:rPr>
        <w:t xml:space="preserve"> in the KEYNOTE-012 study</w:t>
      </w:r>
      <w:r w:rsidRPr="00E82006">
        <w:rPr>
          <w:rFonts w:ascii="Book Antiqua" w:hAnsi="Book Antiqua"/>
          <w:sz w:val="24"/>
          <w:szCs w:val="24"/>
        </w:rPr>
        <w:t xml:space="preserve">. This relationship between PD-L1 expression and clinical outcomes was </w:t>
      </w:r>
      <w:r w:rsidR="007F14CF" w:rsidRPr="00E82006">
        <w:rPr>
          <w:rFonts w:ascii="Book Antiqua" w:hAnsi="Book Antiqua"/>
          <w:sz w:val="24"/>
          <w:szCs w:val="24"/>
        </w:rPr>
        <w:t>further explored</w:t>
      </w:r>
      <w:r w:rsidR="00E74FCA" w:rsidRPr="00E82006">
        <w:rPr>
          <w:rFonts w:ascii="Book Antiqua" w:hAnsi="Book Antiqua"/>
          <w:sz w:val="24"/>
          <w:szCs w:val="24"/>
        </w:rPr>
        <w:t xml:space="preserve"> and</w:t>
      </w:r>
      <w:r w:rsidRPr="00E82006">
        <w:rPr>
          <w:rFonts w:ascii="Book Antiqua" w:hAnsi="Book Antiqua"/>
          <w:sz w:val="24"/>
          <w:szCs w:val="24"/>
        </w:rPr>
        <w:t xml:space="preserve"> </w:t>
      </w:r>
      <w:r w:rsidR="00356948" w:rsidRPr="00E82006">
        <w:rPr>
          <w:rFonts w:ascii="Book Antiqua" w:hAnsi="Book Antiqua"/>
          <w:sz w:val="24"/>
          <w:szCs w:val="24"/>
        </w:rPr>
        <w:t>found</w:t>
      </w:r>
      <w:r w:rsidR="00104060" w:rsidRPr="00E82006">
        <w:rPr>
          <w:rFonts w:ascii="Book Antiqua" w:hAnsi="Book Antiqua"/>
          <w:sz w:val="24"/>
          <w:szCs w:val="24"/>
        </w:rPr>
        <w:t xml:space="preserve"> that </w:t>
      </w:r>
      <w:r w:rsidR="00B40145" w:rsidRPr="00E82006">
        <w:rPr>
          <w:rFonts w:ascii="Book Antiqua" w:hAnsi="Book Antiqua"/>
          <w:sz w:val="24"/>
          <w:szCs w:val="24"/>
        </w:rPr>
        <w:t>PD-L1 expression level was associated with ORR (1-sided </w:t>
      </w:r>
      <w:r w:rsidR="0094373A" w:rsidRPr="00E82006">
        <w:rPr>
          <w:rFonts w:ascii="Book Antiqua" w:hAnsi="Book Antiqua"/>
          <w:i/>
          <w:caps/>
          <w:sz w:val="24"/>
          <w:szCs w:val="24"/>
        </w:rPr>
        <w:t>p =</w:t>
      </w:r>
      <w:r w:rsidR="00B40145" w:rsidRPr="00E82006">
        <w:rPr>
          <w:rFonts w:ascii="Book Antiqua" w:hAnsi="Book Antiqua"/>
          <w:sz w:val="24"/>
          <w:szCs w:val="24"/>
        </w:rPr>
        <w:t xml:space="preserve"> 0.10) and </w:t>
      </w:r>
      <w:r w:rsidRPr="00E82006">
        <w:rPr>
          <w:rFonts w:ascii="Book Antiqua" w:hAnsi="Book Antiqua"/>
          <w:sz w:val="24"/>
          <w:szCs w:val="24"/>
        </w:rPr>
        <w:t>ORR was 22% (</w:t>
      </w:r>
      <w:r w:rsidR="00DE67BC" w:rsidRPr="00E82006">
        <w:rPr>
          <w:rFonts w:ascii="Book Antiqua" w:hAnsi="Book Antiqua"/>
          <w:sz w:val="24"/>
          <w:szCs w:val="24"/>
        </w:rPr>
        <w:t>95%CI:</w:t>
      </w:r>
      <w:r w:rsidRPr="00E82006">
        <w:rPr>
          <w:rFonts w:ascii="Book Antiqua" w:hAnsi="Book Antiqua"/>
          <w:sz w:val="24"/>
          <w:szCs w:val="24"/>
        </w:rPr>
        <w:t xml:space="preserve"> 10-39) by central review and 33% (</w:t>
      </w:r>
      <w:r w:rsidR="00DE67BC" w:rsidRPr="00E82006">
        <w:rPr>
          <w:rFonts w:ascii="Book Antiqua" w:hAnsi="Book Antiqua"/>
          <w:sz w:val="24"/>
          <w:szCs w:val="24"/>
        </w:rPr>
        <w:t>95%CI:</w:t>
      </w:r>
      <w:r w:rsidR="007F14CF" w:rsidRPr="00E82006">
        <w:rPr>
          <w:rFonts w:ascii="Book Antiqua" w:hAnsi="Book Antiqua"/>
          <w:sz w:val="24"/>
          <w:szCs w:val="24"/>
        </w:rPr>
        <w:t xml:space="preserve"> 19-50) by investigator review</w:t>
      </w:r>
      <w:r w:rsidR="00E74FCA" w:rsidRPr="00E82006">
        <w:rPr>
          <w:rFonts w:ascii="Book Antiqua" w:hAnsi="Book Antiqua"/>
          <w:sz w:val="24"/>
          <w:szCs w:val="24"/>
          <w:vertAlign w:val="superscript"/>
        </w:rPr>
        <w:t>[78]</w:t>
      </w:r>
      <w:r w:rsidRPr="00E82006">
        <w:rPr>
          <w:rFonts w:ascii="Book Antiqua" w:hAnsi="Book Antiqua"/>
          <w:sz w:val="24"/>
          <w:szCs w:val="24"/>
        </w:rPr>
        <w:t xml:space="preserve">. The 6-month PFS rate was 24% and the 6-month OS rate was 69%. </w:t>
      </w:r>
      <w:r w:rsidR="00E37731" w:rsidRPr="00E82006">
        <w:rPr>
          <w:rFonts w:ascii="Book Antiqua" w:hAnsi="Book Antiqua"/>
          <w:sz w:val="24"/>
          <w:szCs w:val="24"/>
        </w:rPr>
        <w:t xml:space="preserve">Another </w:t>
      </w:r>
      <w:r w:rsidR="00553804" w:rsidRPr="00E82006">
        <w:rPr>
          <w:rFonts w:ascii="Book Antiqua" w:hAnsi="Book Antiqua"/>
          <w:sz w:val="24"/>
          <w:szCs w:val="24"/>
        </w:rPr>
        <w:t>bio</w:t>
      </w:r>
      <w:r w:rsidR="00E37731" w:rsidRPr="00E82006">
        <w:rPr>
          <w:rFonts w:ascii="Book Antiqua" w:hAnsi="Book Antiqua"/>
          <w:sz w:val="24"/>
          <w:szCs w:val="24"/>
        </w:rPr>
        <w:t xml:space="preserve">marker that may be </w:t>
      </w:r>
      <w:r w:rsidR="00E37731" w:rsidRPr="00E82006">
        <w:rPr>
          <w:rFonts w:ascii="Book Antiqua" w:hAnsi="Book Antiqua"/>
          <w:color w:val="auto"/>
          <w:sz w:val="24"/>
          <w:szCs w:val="24"/>
          <w:shd w:val="clear" w:color="auto" w:fill="FFFFFF"/>
        </w:rPr>
        <w:t>predictive of anti-PD-1 therapy</w:t>
      </w:r>
      <w:r w:rsidR="00E37731" w:rsidRPr="00E82006">
        <w:rPr>
          <w:rFonts w:ascii="Book Antiqua" w:hAnsi="Book Antiqua"/>
          <w:sz w:val="24"/>
          <w:szCs w:val="24"/>
        </w:rPr>
        <w:t xml:space="preserve"> is </w:t>
      </w:r>
      <w:r w:rsidR="00E5216F" w:rsidRPr="00E82006">
        <w:rPr>
          <w:rFonts w:ascii="Book Antiqua" w:hAnsi="Book Antiqua" w:cs="Arial"/>
          <w:color w:val="auto"/>
          <w:sz w:val="24"/>
          <w:szCs w:val="24"/>
          <w:shd w:val="clear" w:color="auto" w:fill="FFFFFF"/>
        </w:rPr>
        <w:t xml:space="preserve">mismatch </w:t>
      </w:r>
      <w:r w:rsidR="00E37731" w:rsidRPr="00E82006">
        <w:rPr>
          <w:rFonts w:ascii="Book Antiqua" w:hAnsi="Book Antiqua" w:cs="Arial"/>
          <w:color w:val="auto"/>
          <w:sz w:val="24"/>
          <w:szCs w:val="24"/>
          <w:shd w:val="clear" w:color="auto" w:fill="FFFFFF"/>
        </w:rPr>
        <w:t>repair</w:t>
      </w:r>
      <w:r w:rsidR="00E5216F" w:rsidRPr="00E82006">
        <w:rPr>
          <w:rFonts w:ascii="Book Antiqua" w:hAnsi="Book Antiqua" w:cs="Arial"/>
          <w:color w:val="auto"/>
          <w:sz w:val="24"/>
          <w:szCs w:val="24"/>
          <w:shd w:val="clear" w:color="auto" w:fill="FFFFFF"/>
        </w:rPr>
        <w:t>-</w:t>
      </w:r>
      <w:r w:rsidR="00E37731" w:rsidRPr="00E82006">
        <w:rPr>
          <w:rFonts w:ascii="Book Antiqua" w:hAnsi="Book Antiqua" w:cs="Arial"/>
          <w:color w:val="auto"/>
          <w:sz w:val="24"/>
          <w:szCs w:val="24"/>
          <w:shd w:val="clear" w:color="auto" w:fill="FFFFFF"/>
        </w:rPr>
        <w:t xml:space="preserve">deficiency. </w:t>
      </w:r>
      <w:r w:rsidR="00AB6C3F" w:rsidRPr="00E82006">
        <w:rPr>
          <w:rFonts w:ascii="Book Antiqua" w:hAnsi="Book Antiqua"/>
          <w:color w:val="auto"/>
          <w:sz w:val="24"/>
          <w:szCs w:val="24"/>
        </w:rPr>
        <w:t xml:space="preserve">A </w:t>
      </w:r>
      <w:r w:rsidR="007A3BFA" w:rsidRPr="00E82006">
        <w:rPr>
          <w:rFonts w:ascii="Book Antiqua" w:hAnsi="Book Antiqua" w:cs="Arial"/>
          <w:color w:val="auto"/>
          <w:sz w:val="24"/>
          <w:szCs w:val="24"/>
          <w:shd w:val="clear" w:color="auto" w:fill="FFFFFF"/>
        </w:rPr>
        <w:t>phase II</w:t>
      </w:r>
      <w:r w:rsidR="00AB6C3F" w:rsidRPr="00E82006">
        <w:rPr>
          <w:rFonts w:ascii="Book Antiqua" w:hAnsi="Book Antiqua" w:cs="Arial"/>
          <w:color w:val="auto"/>
          <w:sz w:val="24"/>
          <w:szCs w:val="24"/>
          <w:shd w:val="clear" w:color="auto" w:fill="FFFFFF"/>
        </w:rPr>
        <w:t xml:space="preserve"> trial of pembrolizumab for the treatment of </w:t>
      </w:r>
      <w:r w:rsidR="00E37731" w:rsidRPr="00E82006">
        <w:rPr>
          <w:rFonts w:ascii="Book Antiqua" w:hAnsi="Book Antiqua" w:cs="Arial"/>
          <w:color w:val="auto"/>
          <w:sz w:val="24"/>
          <w:szCs w:val="24"/>
          <w:shd w:val="clear" w:color="auto" w:fill="FFFFFF"/>
        </w:rPr>
        <w:t>colorectal and other GI tumors</w:t>
      </w:r>
      <w:r w:rsidR="00E5216F" w:rsidRPr="00E82006">
        <w:rPr>
          <w:rFonts w:ascii="Book Antiqua" w:hAnsi="Book Antiqua" w:cs="Arial"/>
          <w:color w:val="auto"/>
          <w:sz w:val="24"/>
          <w:szCs w:val="24"/>
          <w:shd w:val="clear" w:color="auto" w:fill="FFFFFF"/>
        </w:rPr>
        <w:t>, including gastric cancer,</w:t>
      </w:r>
      <w:r w:rsidR="00E37731" w:rsidRPr="00E82006">
        <w:rPr>
          <w:rFonts w:ascii="Book Antiqua" w:hAnsi="Book Antiqua" w:cs="Arial"/>
          <w:color w:val="auto"/>
          <w:sz w:val="24"/>
          <w:szCs w:val="24"/>
          <w:shd w:val="clear" w:color="auto" w:fill="FFFFFF"/>
        </w:rPr>
        <w:t xml:space="preserve"> with </w:t>
      </w:r>
      <w:r w:rsidR="00E5216F" w:rsidRPr="00E82006">
        <w:rPr>
          <w:rFonts w:ascii="Book Antiqua" w:hAnsi="Book Antiqua" w:cs="Arial"/>
          <w:color w:val="auto"/>
          <w:sz w:val="24"/>
          <w:szCs w:val="24"/>
          <w:shd w:val="clear" w:color="auto" w:fill="FFFFFF"/>
        </w:rPr>
        <w:t xml:space="preserve">mismatch </w:t>
      </w:r>
      <w:r w:rsidR="007A3BFA" w:rsidRPr="00E82006">
        <w:rPr>
          <w:rFonts w:ascii="Book Antiqua" w:hAnsi="Book Antiqua" w:cs="Arial"/>
          <w:color w:val="auto"/>
          <w:sz w:val="24"/>
          <w:szCs w:val="24"/>
          <w:shd w:val="clear" w:color="auto" w:fill="FFFFFF"/>
        </w:rPr>
        <w:t>repair</w:t>
      </w:r>
      <w:r w:rsidR="00E5216F" w:rsidRPr="00E82006">
        <w:rPr>
          <w:rFonts w:ascii="Book Antiqua" w:hAnsi="Book Antiqua" w:cs="Arial"/>
          <w:color w:val="auto"/>
          <w:sz w:val="24"/>
          <w:szCs w:val="24"/>
          <w:shd w:val="clear" w:color="auto" w:fill="FFFFFF"/>
        </w:rPr>
        <w:t>-</w:t>
      </w:r>
      <w:r w:rsidR="007A3BFA" w:rsidRPr="00E82006">
        <w:rPr>
          <w:rFonts w:ascii="Book Antiqua" w:hAnsi="Book Antiqua" w:cs="Arial"/>
          <w:color w:val="auto"/>
          <w:sz w:val="24"/>
          <w:szCs w:val="24"/>
          <w:shd w:val="clear" w:color="auto" w:fill="FFFFFF"/>
        </w:rPr>
        <w:t xml:space="preserve">deficiency, or </w:t>
      </w:r>
      <w:r w:rsidR="00E37731" w:rsidRPr="00E82006">
        <w:rPr>
          <w:rFonts w:ascii="Book Antiqua" w:hAnsi="Book Antiqua" w:cs="Arial"/>
          <w:color w:val="auto"/>
          <w:sz w:val="24"/>
          <w:szCs w:val="24"/>
          <w:shd w:val="clear" w:color="auto" w:fill="FFFFFF"/>
        </w:rPr>
        <w:t>high microsatellite instability (MSI-H)</w:t>
      </w:r>
      <w:r w:rsidR="007A3BFA" w:rsidRPr="00E82006">
        <w:rPr>
          <w:rFonts w:ascii="Book Antiqua" w:hAnsi="Book Antiqua" w:cs="Arial"/>
          <w:color w:val="auto"/>
          <w:sz w:val="24"/>
          <w:szCs w:val="24"/>
          <w:shd w:val="clear" w:color="auto" w:fill="FFFFFF"/>
        </w:rPr>
        <w:t>,</w:t>
      </w:r>
      <w:r w:rsidR="00E37731" w:rsidRPr="00E82006">
        <w:rPr>
          <w:rFonts w:ascii="Book Antiqua" w:hAnsi="Book Antiqua" w:cs="Arial"/>
          <w:color w:val="auto"/>
          <w:sz w:val="24"/>
          <w:szCs w:val="24"/>
          <w:shd w:val="clear" w:color="auto" w:fill="FFFFFF"/>
        </w:rPr>
        <w:t xml:space="preserve"> demonstrated high ORR and prolonged PFS</w:t>
      </w:r>
      <w:r w:rsidR="00EF4058" w:rsidRPr="00E82006">
        <w:rPr>
          <w:rFonts w:ascii="Book Antiqua" w:hAnsi="Book Antiqua" w:cs="Arial"/>
          <w:color w:val="auto"/>
          <w:sz w:val="24"/>
          <w:szCs w:val="24"/>
          <w:shd w:val="clear" w:color="auto" w:fill="FFFFFF"/>
        </w:rPr>
        <w:t xml:space="preserve"> </w:t>
      </w:r>
      <w:r w:rsidR="005A0B67" w:rsidRPr="00E82006">
        <w:rPr>
          <w:rFonts w:ascii="Book Antiqua" w:hAnsi="Book Antiqua" w:cs="Arial"/>
          <w:color w:val="auto"/>
          <w:sz w:val="24"/>
          <w:szCs w:val="24"/>
          <w:shd w:val="clear" w:color="auto" w:fill="FFFFFF"/>
          <w:lang w:eastAsia="zh-CN"/>
        </w:rPr>
        <w:t>[</w:t>
      </w:r>
      <w:r w:rsidR="00EF4058" w:rsidRPr="00E82006">
        <w:rPr>
          <w:rFonts w:ascii="Book Antiqua" w:hAnsi="Book Antiqua" w:cs="Arial"/>
          <w:color w:val="auto"/>
          <w:sz w:val="24"/>
          <w:szCs w:val="24"/>
          <w:shd w:val="clear" w:color="auto" w:fill="FFFFFF"/>
        </w:rPr>
        <w:t xml:space="preserve">immune-related </w:t>
      </w:r>
      <w:r w:rsidR="00E5216F" w:rsidRPr="00E82006">
        <w:rPr>
          <w:rFonts w:ascii="Book Antiqua" w:hAnsi="Book Antiqua" w:cs="Arial"/>
          <w:color w:val="auto"/>
          <w:sz w:val="24"/>
          <w:szCs w:val="24"/>
          <w:shd w:val="clear" w:color="auto" w:fill="FFFFFF"/>
        </w:rPr>
        <w:t>ORR</w:t>
      </w:r>
      <w:r w:rsidR="00EF4058" w:rsidRPr="00E82006">
        <w:rPr>
          <w:rFonts w:ascii="Book Antiqua" w:hAnsi="Book Antiqua" w:cs="Arial"/>
          <w:color w:val="auto"/>
          <w:sz w:val="24"/>
          <w:szCs w:val="24"/>
          <w:shd w:val="clear" w:color="auto" w:fill="FFFFFF"/>
        </w:rPr>
        <w:t xml:space="preserve"> 71% </w:t>
      </w:r>
      <w:r w:rsidR="005A0B67" w:rsidRPr="00E82006">
        <w:rPr>
          <w:rFonts w:ascii="Book Antiqua" w:hAnsi="Book Antiqua" w:cs="Arial"/>
          <w:color w:val="auto"/>
          <w:sz w:val="24"/>
          <w:szCs w:val="24"/>
          <w:shd w:val="clear" w:color="auto" w:fill="FFFFFF"/>
          <w:lang w:eastAsia="zh-CN"/>
        </w:rPr>
        <w:t>(</w:t>
      </w:r>
      <w:r w:rsidR="00EF4058" w:rsidRPr="00E82006">
        <w:rPr>
          <w:rFonts w:ascii="Book Antiqua" w:hAnsi="Book Antiqua" w:cs="Arial"/>
          <w:color w:val="auto"/>
          <w:sz w:val="24"/>
          <w:szCs w:val="24"/>
          <w:shd w:val="clear" w:color="auto" w:fill="FFFFFF"/>
        </w:rPr>
        <w:t xml:space="preserve">5 of 7 </w:t>
      </w:r>
      <w:r w:rsidR="00EF4058" w:rsidRPr="00E82006">
        <w:rPr>
          <w:rFonts w:ascii="Book Antiqua" w:hAnsi="Book Antiqua" w:cs="Arial"/>
          <w:color w:val="auto"/>
          <w:sz w:val="24"/>
          <w:szCs w:val="24"/>
          <w:shd w:val="clear" w:color="auto" w:fill="FFFFFF"/>
        </w:rPr>
        <w:lastRenderedPageBreak/>
        <w:t>patients</w:t>
      </w:r>
      <w:r w:rsidR="005A0B67" w:rsidRPr="00E82006">
        <w:rPr>
          <w:rFonts w:ascii="Book Antiqua" w:hAnsi="Book Antiqua" w:cs="Arial"/>
          <w:color w:val="auto"/>
          <w:sz w:val="24"/>
          <w:szCs w:val="24"/>
          <w:shd w:val="clear" w:color="auto" w:fill="FFFFFF"/>
          <w:lang w:eastAsia="zh-CN"/>
        </w:rPr>
        <w:t>)</w:t>
      </w:r>
      <w:r w:rsidR="00EF4058" w:rsidRPr="00E82006">
        <w:rPr>
          <w:rFonts w:ascii="Book Antiqua" w:hAnsi="Book Antiqua" w:cs="Arial"/>
          <w:color w:val="auto"/>
          <w:sz w:val="24"/>
          <w:szCs w:val="24"/>
          <w:shd w:val="clear" w:color="auto" w:fill="FFFFFF"/>
        </w:rPr>
        <w:t xml:space="preserve">; immune-related </w:t>
      </w:r>
      <w:r w:rsidR="00E5216F" w:rsidRPr="00E82006">
        <w:rPr>
          <w:rFonts w:ascii="Book Antiqua" w:hAnsi="Book Antiqua" w:cs="Arial"/>
          <w:color w:val="auto"/>
          <w:sz w:val="24"/>
          <w:szCs w:val="24"/>
          <w:shd w:val="clear" w:color="auto" w:fill="FFFFFF"/>
        </w:rPr>
        <w:t>PFS</w:t>
      </w:r>
      <w:r w:rsidR="00EF4058" w:rsidRPr="00E82006">
        <w:rPr>
          <w:rFonts w:ascii="Book Antiqua" w:hAnsi="Book Antiqua" w:cs="Arial"/>
          <w:color w:val="auto"/>
          <w:sz w:val="24"/>
          <w:szCs w:val="24"/>
          <w:shd w:val="clear" w:color="auto" w:fill="FFFFFF"/>
        </w:rPr>
        <w:t xml:space="preserve"> 67% </w:t>
      </w:r>
      <w:r w:rsidR="005A0B67" w:rsidRPr="00E82006">
        <w:rPr>
          <w:rFonts w:ascii="Book Antiqua" w:hAnsi="Book Antiqua" w:cs="Arial"/>
          <w:color w:val="auto"/>
          <w:sz w:val="24"/>
          <w:szCs w:val="24"/>
          <w:shd w:val="clear" w:color="auto" w:fill="FFFFFF"/>
          <w:lang w:eastAsia="zh-CN"/>
        </w:rPr>
        <w:t>(</w:t>
      </w:r>
      <w:r w:rsidR="00EF4058" w:rsidRPr="00E82006">
        <w:rPr>
          <w:rFonts w:ascii="Book Antiqua" w:hAnsi="Book Antiqua" w:cs="Arial"/>
          <w:color w:val="auto"/>
          <w:sz w:val="24"/>
          <w:szCs w:val="24"/>
          <w:shd w:val="clear" w:color="auto" w:fill="FFFFFF"/>
        </w:rPr>
        <w:t>4 of 6 patients</w:t>
      </w:r>
      <w:r w:rsidR="00EF4058" w:rsidRPr="00E82006">
        <w:rPr>
          <w:rFonts w:ascii="Book Antiqua" w:hAnsi="Book Antiqua" w:cs="Arial"/>
          <w:color w:val="333333"/>
          <w:sz w:val="24"/>
          <w:szCs w:val="24"/>
          <w:shd w:val="clear" w:color="auto" w:fill="FFFFFF"/>
        </w:rPr>
        <w:t>)</w:t>
      </w:r>
      <w:r w:rsidR="005A0B67" w:rsidRPr="00E82006">
        <w:rPr>
          <w:rFonts w:ascii="Book Antiqua" w:hAnsi="Book Antiqua" w:cs="Arial"/>
          <w:color w:val="auto"/>
          <w:sz w:val="24"/>
          <w:szCs w:val="24"/>
          <w:shd w:val="clear" w:color="auto" w:fill="FFFFFF"/>
        </w:rPr>
        <w:t>]</w:t>
      </w:r>
      <w:r w:rsidR="00E37731" w:rsidRPr="00E82006">
        <w:rPr>
          <w:rFonts w:ascii="Book Antiqua" w:hAnsi="Book Antiqua" w:cs="Arial"/>
          <w:color w:val="auto"/>
          <w:sz w:val="24"/>
          <w:szCs w:val="24"/>
          <w:shd w:val="clear" w:color="auto" w:fill="FFFFFF"/>
        </w:rPr>
        <w:t xml:space="preserve"> when treated with </w:t>
      </w:r>
      <w:r w:rsidR="007A3BFA" w:rsidRPr="00E82006">
        <w:rPr>
          <w:rFonts w:ascii="Book Antiqua" w:hAnsi="Book Antiqua" w:cs="Arial"/>
          <w:color w:val="auto"/>
          <w:sz w:val="24"/>
          <w:szCs w:val="24"/>
          <w:shd w:val="clear" w:color="auto" w:fill="FFFFFF"/>
        </w:rPr>
        <w:t>pembrolizumab,</w:t>
      </w:r>
      <w:r w:rsidR="00AB6C3F" w:rsidRPr="00E82006">
        <w:rPr>
          <w:rFonts w:ascii="Book Antiqua" w:hAnsi="Book Antiqua" w:cs="Arial"/>
          <w:color w:val="auto"/>
          <w:sz w:val="24"/>
          <w:szCs w:val="24"/>
          <w:shd w:val="clear" w:color="auto" w:fill="FFFFFF"/>
        </w:rPr>
        <w:t xml:space="preserve"> support</w:t>
      </w:r>
      <w:r w:rsidR="007A3BFA" w:rsidRPr="00E82006">
        <w:rPr>
          <w:rFonts w:ascii="Book Antiqua" w:hAnsi="Book Antiqua" w:cs="Arial"/>
          <w:color w:val="auto"/>
          <w:sz w:val="24"/>
          <w:szCs w:val="24"/>
          <w:shd w:val="clear" w:color="auto" w:fill="FFFFFF"/>
        </w:rPr>
        <w:t>ing</w:t>
      </w:r>
      <w:r w:rsidR="00AB6C3F" w:rsidRPr="00E82006">
        <w:rPr>
          <w:rFonts w:ascii="Book Antiqua" w:hAnsi="Book Antiqua" w:cs="Arial"/>
          <w:color w:val="auto"/>
          <w:sz w:val="24"/>
          <w:szCs w:val="24"/>
          <w:shd w:val="clear" w:color="auto" w:fill="FFFFFF"/>
        </w:rPr>
        <w:t xml:space="preserve"> the hypothesis that mismatch repair–deficient tumors are more responsive to PD-1 blockade than are mismatch repair–proficient tumors</w:t>
      </w:r>
      <w:r w:rsidR="00715377" w:rsidRPr="00E82006">
        <w:rPr>
          <w:rFonts w:ascii="Book Antiqua" w:hAnsi="Book Antiqua" w:cs="Arial"/>
          <w:color w:val="auto"/>
          <w:sz w:val="24"/>
          <w:szCs w:val="24"/>
          <w:shd w:val="clear" w:color="auto" w:fill="FFFFFF"/>
          <w:vertAlign w:val="superscript"/>
        </w:rPr>
        <w:t>[79]</w:t>
      </w:r>
      <w:r w:rsidR="00AB6C3F" w:rsidRPr="00E82006">
        <w:rPr>
          <w:rFonts w:ascii="Book Antiqua" w:hAnsi="Book Antiqua" w:cs="Arial"/>
          <w:color w:val="auto"/>
          <w:sz w:val="24"/>
          <w:szCs w:val="24"/>
          <w:shd w:val="clear" w:color="auto" w:fill="FFFFFF"/>
        </w:rPr>
        <w:t>.</w:t>
      </w:r>
    </w:p>
    <w:p w:rsidR="00EE752E" w:rsidRPr="00E82006" w:rsidRDefault="00144C82"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t xml:space="preserve">MEDI4736, a PD-L1 IgG1 antibody, is being studied in a phase I/II trial in patients with advanced solid tumors including gastric cancer and the results of the phase I </w:t>
      </w:r>
      <w:r w:rsidR="00386CA4" w:rsidRPr="00E82006">
        <w:rPr>
          <w:rFonts w:ascii="Book Antiqua" w:hAnsi="Book Antiqua"/>
          <w:sz w:val="24"/>
          <w:szCs w:val="24"/>
        </w:rPr>
        <w:t>showed</w:t>
      </w:r>
      <w:r w:rsidRPr="00E82006">
        <w:rPr>
          <w:rFonts w:ascii="Book Antiqua" w:hAnsi="Book Antiqua"/>
          <w:sz w:val="24"/>
          <w:szCs w:val="24"/>
        </w:rPr>
        <w:t xml:space="preserve"> good clinical activity with tumor </w:t>
      </w:r>
      <w:r w:rsidR="00DD406B" w:rsidRPr="00E82006">
        <w:rPr>
          <w:rFonts w:ascii="Book Antiqua" w:hAnsi="Book Antiqua"/>
          <w:sz w:val="24"/>
          <w:szCs w:val="24"/>
        </w:rPr>
        <w:t>shrinkage and durable responses</w:t>
      </w:r>
      <w:r w:rsidRPr="00E82006">
        <w:rPr>
          <w:rFonts w:ascii="Book Antiqua" w:hAnsi="Book Antiqua"/>
          <w:sz w:val="24"/>
          <w:szCs w:val="24"/>
          <w:vertAlign w:val="superscript"/>
        </w:rPr>
        <w:t>[</w:t>
      </w:r>
      <w:r w:rsidR="00715377" w:rsidRPr="00E82006">
        <w:rPr>
          <w:rFonts w:ascii="Book Antiqua" w:hAnsi="Book Antiqua"/>
          <w:sz w:val="24"/>
          <w:szCs w:val="24"/>
          <w:vertAlign w:val="superscript"/>
        </w:rPr>
        <w:t>80</w:t>
      </w:r>
      <w:r w:rsidRPr="00E82006">
        <w:rPr>
          <w:rFonts w:ascii="Book Antiqua" w:hAnsi="Book Antiqua"/>
          <w:sz w:val="24"/>
          <w:szCs w:val="24"/>
          <w:vertAlign w:val="superscript"/>
        </w:rPr>
        <w:t>]</w:t>
      </w:r>
      <w:r w:rsidRPr="00E82006">
        <w:rPr>
          <w:rFonts w:ascii="Book Antiqua" w:hAnsi="Book Antiqua"/>
          <w:sz w:val="24"/>
          <w:szCs w:val="24"/>
        </w:rPr>
        <w:t xml:space="preserve">. Expansion in multiple cancers is ongoing [NCT01693562]. </w:t>
      </w:r>
      <w:r w:rsidR="00A53A56" w:rsidRPr="00E82006">
        <w:rPr>
          <w:rFonts w:ascii="Book Antiqua" w:hAnsi="Book Antiqua"/>
          <w:sz w:val="24"/>
          <w:szCs w:val="24"/>
        </w:rPr>
        <w:t>Another</w:t>
      </w:r>
      <w:r w:rsidRPr="00E82006">
        <w:rPr>
          <w:rFonts w:ascii="Book Antiqua" w:hAnsi="Book Antiqua"/>
          <w:sz w:val="24"/>
          <w:szCs w:val="24"/>
        </w:rPr>
        <w:t xml:space="preserve"> PD-L1 inhibitor</w:t>
      </w:r>
      <w:r w:rsidR="00A53A56" w:rsidRPr="00E82006">
        <w:rPr>
          <w:rFonts w:ascii="Book Antiqua" w:hAnsi="Book Antiqua"/>
          <w:sz w:val="24"/>
          <w:szCs w:val="24"/>
        </w:rPr>
        <w:t>,</w:t>
      </w:r>
      <w:r w:rsidRPr="00E82006">
        <w:rPr>
          <w:rFonts w:ascii="Book Antiqua" w:hAnsi="Book Antiqua"/>
          <w:sz w:val="24"/>
          <w:szCs w:val="24"/>
        </w:rPr>
        <w:t xml:space="preserve"> Avelumab (MSB0010718C), </w:t>
      </w:r>
      <w:r w:rsidR="00A53A56" w:rsidRPr="00E82006">
        <w:rPr>
          <w:rFonts w:ascii="Book Antiqua" w:hAnsi="Book Antiqua"/>
          <w:sz w:val="24"/>
          <w:szCs w:val="24"/>
        </w:rPr>
        <w:t>is</w:t>
      </w:r>
      <w:r w:rsidRPr="00E82006">
        <w:rPr>
          <w:rFonts w:ascii="Book Antiqua" w:hAnsi="Book Antiqua"/>
          <w:sz w:val="24"/>
          <w:szCs w:val="24"/>
        </w:rPr>
        <w:t xml:space="preserve"> being investigated in phase I trials in advanced cancers [NCT01943461, NCT01772004</w:t>
      </w:r>
      <w:r w:rsidR="00AF0C97" w:rsidRPr="00E82006">
        <w:rPr>
          <w:rFonts w:ascii="Book Antiqua" w:hAnsi="Book Antiqua"/>
          <w:sz w:val="24"/>
          <w:szCs w:val="24"/>
        </w:rPr>
        <w:t>] and in phase III trials in the first</w:t>
      </w:r>
      <w:r w:rsidR="00A90018" w:rsidRPr="00E82006">
        <w:rPr>
          <w:rFonts w:ascii="Book Antiqua" w:hAnsi="Book Antiqua"/>
          <w:sz w:val="24"/>
          <w:szCs w:val="24"/>
        </w:rPr>
        <w:t xml:space="preserve"> </w:t>
      </w:r>
      <w:r w:rsidR="00AF0C97" w:rsidRPr="00E82006">
        <w:rPr>
          <w:rFonts w:ascii="Book Antiqua" w:hAnsi="Book Antiqua"/>
          <w:sz w:val="24"/>
          <w:szCs w:val="24"/>
        </w:rPr>
        <w:t>line</w:t>
      </w:r>
      <w:r w:rsidR="00A53A56" w:rsidRPr="00E82006">
        <w:rPr>
          <w:rFonts w:ascii="Book Antiqua" w:hAnsi="Book Antiqua"/>
          <w:sz w:val="24"/>
          <w:szCs w:val="24"/>
        </w:rPr>
        <w:t xml:space="preserve"> </w:t>
      </w:r>
      <w:r w:rsidR="00AF0C97" w:rsidRPr="00E82006">
        <w:rPr>
          <w:rFonts w:ascii="Book Antiqua" w:hAnsi="Book Antiqua"/>
          <w:sz w:val="24"/>
          <w:szCs w:val="24"/>
        </w:rPr>
        <w:t>[</w:t>
      </w:r>
      <w:r w:rsidR="00A53A56" w:rsidRPr="00E82006">
        <w:rPr>
          <w:rFonts w:ascii="Book Antiqua" w:hAnsi="Book Antiqua" w:cs="Arial"/>
          <w:sz w:val="24"/>
          <w:szCs w:val="24"/>
          <w:shd w:val="clear" w:color="auto" w:fill="FFFFFF"/>
        </w:rPr>
        <w:t>NCT02625610</w:t>
      </w:r>
      <w:r w:rsidRPr="00E82006">
        <w:rPr>
          <w:rFonts w:ascii="Book Antiqua" w:hAnsi="Book Antiqua"/>
          <w:sz w:val="24"/>
          <w:szCs w:val="24"/>
        </w:rPr>
        <w:t>]</w:t>
      </w:r>
      <w:r w:rsidR="00AF0C97" w:rsidRPr="00E82006">
        <w:rPr>
          <w:rFonts w:ascii="Book Antiqua" w:hAnsi="Book Antiqua"/>
          <w:sz w:val="24"/>
          <w:szCs w:val="24"/>
        </w:rPr>
        <w:t xml:space="preserve"> and third</w:t>
      </w:r>
      <w:r w:rsidR="00A90018" w:rsidRPr="00E82006">
        <w:rPr>
          <w:rFonts w:ascii="Book Antiqua" w:hAnsi="Book Antiqua"/>
          <w:sz w:val="24"/>
          <w:szCs w:val="24"/>
        </w:rPr>
        <w:t xml:space="preserve"> </w:t>
      </w:r>
      <w:r w:rsidR="00AF0C97" w:rsidRPr="00E82006">
        <w:rPr>
          <w:rFonts w:ascii="Book Antiqua" w:hAnsi="Book Antiqua"/>
          <w:sz w:val="24"/>
          <w:szCs w:val="24"/>
        </w:rPr>
        <w:t>line [</w:t>
      </w:r>
      <w:r w:rsidR="00AF0C97" w:rsidRPr="00E82006">
        <w:rPr>
          <w:rFonts w:ascii="Book Antiqua" w:hAnsi="Book Antiqua" w:cs="Arial"/>
          <w:sz w:val="24"/>
          <w:szCs w:val="24"/>
          <w:shd w:val="clear" w:color="auto" w:fill="FFFFFF"/>
        </w:rPr>
        <w:t>NCT02625623] settings</w:t>
      </w:r>
      <w:r w:rsidRPr="00E82006">
        <w:rPr>
          <w:rFonts w:ascii="Book Antiqua" w:hAnsi="Book Antiqua"/>
          <w:sz w:val="24"/>
          <w:szCs w:val="24"/>
        </w:rPr>
        <w:t>. The combination of CTLA-4 and PDL-1 inhibitors is also being evaluated</w:t>
      </w:r>
      <w:r w:rsidR="007737EF" w:rsidRPr="00E82006">
        <w:rPr>
          <w:rFonts w:ascii="Book Antiqua" w:hAnsi="Book Antiqua"/>
          <w:sz w:val="24"/>
          <w:szCs w:val="24"/>
        </w:rPr>
        <w:t xml:space="preserve"> </w:t>
      </w:r>
      <w:r w:rsidRPr="00E82006">
        <w:rPr>
          <w:rFonts w:ascii="Book Antiqua" w:hAnsi="Book Antiqua"/>
          <w:sz w:val="24"/>
          <w:szCs w:val="24"/>
        </w:rPr>
        <w:t>[NCT01975831, NCT02340975, NCT01928394]. The</w:t>
      </w:r>
      <w:r w:rsidR="00782B1C" w:rsidRPr="00E82006">
        <w:rPr>
          <w:rFonts w:ascii="Book Antiqua" w:hAnsi="Book Antiqua"/>
          <w:sz w:val="24"/>
          <w:szCs w:val="24"/>
        </w:rPr>
        <w:t>se</w:t>
      </w:r>
      <w:r w:rsidRPr="00E82006">
        <w:rPr>
          <w:rFonts w:ascii="Book Antiqua" w:hAnsi="Book Antiqua"/>
          <w:sz w:val="24"/>
          <w:szCs w:val="24"/>
        </w:rPr>
        <w:t xml:space="preserve"> ongoing trials are outlined in</w:t>
      </w:r>
      <w:r w:rsidRPr="00D01909">
        <w:rPr>
          <w:rFonts w:ascii="Book Antiqua" w:hAnsi="Book Antiqua"/>
          <w:caps/>
          <w:sz w:val="24"/>
          <w:szCs w:val="24"/>
        </w:rPr>
        <w:t xml:space="preserve"> t</w:t>
      </w:r>
      <w:r w:rsidRPr="00E82006">
        <w:rPr>
          <w:rFonts w:ascii="Book Antiqua" w:hAnsi="Book Antiqua"/>
          <w:sz w:val="24"/>
          <w:szCs w:val="24"/>
        </w:rPr>
        <w:t xml:space="preserve">able </w:t>
      </w:r>
      <w:r w:rsidR="00EB2E77" w:rsidRPr="00E82006">
        <w:rPr>
          <w:rFonts w:ascii="Book Antiqua" w:hAnsi="Book Antiqua"/>
          <w:sz w:val="24"/>
          <w:szCs w:val="24"/>
        </w:rPr>
        <w:t>3</w:t>
      </w:r>
      <w:r w:rsidRPr="00E82006">
        <w:rPr>
          <w:rFonts w:ascii="Book Antiqua" w:hAnsi="Book Antiqua"/>
          <w:sz w:val="24"/>
          <w:szCs w:val="24"/>
        </w:rPr>
        <w:t xml:space="preserve">. </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5A0B67" w:rsidP="00162A81">
      <w:pPr>
        <w:adjustRightInd w:val="0"/>
        <w:snapToGrid w:val="0"/>
        <w:spacing w:after="0" w:line="360" w:lineRule="auto"/>
        <w:jc w:val="both"/>
        <w:rPr>
          <w:rFonts w:ascii="Book Antiqua" w:hAnsi="Book Antiqua"/>
          <w:caps/>
          <w:sz w:val="24"/>
          <w:szCs w:val="24"/>
          <w:lang w:eastAsia="zh-CN"/>
        </w:rPr>
      </w:pPr>
      <w:r w:rsidRPr="00E82006">
        <w:rPr>
          <w:rFonts w:ascii="Book Antiqua" w:hAnsi="Book Antiqua"/>
          <w:b/>
          <w:caps/>
          <w:sz w:val="24"/>
          <w:szCs w:val="24"/>
          <w:highlight w:val="white"/>
        </w:rPr>
        <w:t>Conclusion</w:t>
      </w:r>
    </w:p>
    <w:p w:rsidR="00C31CEB" w:rsidRPr="00E82006" w:rsidRDefault="00C31CEB"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t>Chemotherapy has long been the standard treatment for advanced gastric cancer. Current combination cytotoxic regimens are associated with response rates of ≥</w:t>
      </w:r>
      <w:r w:rsidR="00E82006" w:rsidRPr="00E82006">
        <w:rPr>
          <w:rFonts w:ascii="Book Antiqua" w:hAnsi="Book Antiqua"/>
          <w:sz w:val="24"/>
          <w:szCs w:val="24"/>
          <w:lang w:eastAsia="zh-CN"/>
        </w:rPr>
        <w:t xml:space="preserve"> </w:t>
      </w:r>
      <w:r w:rsidRPr="00E82006">
        <w:rPr>
          <w:rFonts w:ascii="Book Antiqua" w:hAnsi="Book Antiqua"/>
          <w:sz w:val="24"/>
          <w:szCs w:val="24"/>
        </w:rPr>
        <w:t xml:space="preserve">40% but median survival is still less than one year. To improve on this outcome, we have made many advances in our knowledge of the molecular etiology and heterogeneity of gastric cancer, which has led to the development of </w:t>
      </w:r>
      <w:r w:rsidR="00387B3F" w:rsidRPr="00E82006">
        <w:rPr>
          <w:rFonts w:ascii="Book Antiqua" w:hAnsi="Book Antiqua"/>
          <w:sz w:val="24"/>
          <w:szCs w:val="24"/>
        </w:rPr>
        <w:t xml:space="preserve">different </w:t>
      </w:r>
      <w:r w:rsidRPr="00E82006">
        <w:rPr>
          <w:rFonts w:ascii="Book Antiqua" w:hAnsi="Book Antiqua"/>
          <w:sz w:val="24"/>
          <w:szCs w:val="24"/>
        </w:rPr>
        <w:t>targeted therapies. The ToGA trial has established trastuzumab as a new standard of care for patients with HER2 positive (IHC3+ or IHC2+/FISH positive) advanced or metastatic gastric cancer, but this benefit is limited to only approximately 20% of patients with advanced disease. Ramucirumab has also been approved recently for treatment in the second line setting and offers a valuable alternative or addition to chemotherapy. Despite these advances, standard therapy for advanced gastric cancer in the first line setting for patients who are not HER2 positive </w:t>
      </w:r>
      <w:r w:rsidR="00387B3F" w:rsidRPr="00E82006">
        <w:rPr>
          <w:rFonts w:ascii="Book Antiqua" w:hAnsi="Book Antiqua"/>
          <w:sz w:val="24"/>
          <w:szCs w:val="24"/>
        </w:rPr>
        <w:t xml:space="preserve">is </w:t>
      </w:r>
      <w:r w:rsidRPr="00E82006">
        <w:rPr>
          <w:rFonts w:ascii="Book Antiqua" w:hAnsi="Book Antiqua"/>
          <w:sz w:val="24"/>
          <w:szCs w:val="24"/>
        </w:rPr>
        <w:t>still combination chemotherapy with either a doublet or triplet of a platinum and a fluoropyrimidine. Second line options are still limited and include irinotecan, docetaxel, paclitaxel with or without ramucirumab or ramucirumab monotherapy. </w:t>
      </w:r>
    </w:p>
    <w:p w:rsidR="00C31CEB" w:rsidRPr="00E82006" w:rsidRDefault="00C31CEB" w:rsidP="00162A81">
      <w:pPr>
        <w:adjustRightInd w:val="0"/>
        <w:snapToGrid w:val="0"/>
        <w:spacing w:after="0" w:line="360" w:lineRule="auto"/>
        <w:ind w:firstLineChars="200" w:firstLine="480"/>
        <w:jc w:val="both"/>
        <w:rPr>
          <w:rFonts w:ascii="Book Antiqua" w:hAnsi="Book Antiqua"/>
          <w:sz w:val="24"/>
          <w:szCs w:val="24"/>
        </w:rPr>
      </w:pPr>
      <w:r w:rsidRPr="00E82006">
        <w:rPr>
          <w:rFonts w:ascii="Book Antiqua" w:hAnsi="Book Antiqua"/>
          <w:sz w:val="24"/>
          <w:szCs w:val="24"/>
        </w:rPr>
        <w:lastRenderedPageBreak/>
        <w:t>There remains a need to better define patient populations who will benefit from targeted therapy and predict the response to drugs. The Cancer Genome Atlas Research Network has recently classified four molecular subtypes of gastric cancer and identified other possible targets for future clinical research. This will allow for the development of clinical trials in the future to explore therapies in defined sets of patients. Better use of biomarkers to select these sets of patients to improve outcomes will be crucial. Also, as our understanding of the complex interplay between the tumor, the tumor microenvironment and the immune system expand, use of immunotherapy will continue to grow. Although the optimal use of these agents is not yet defined, they may provide an unmet need for patients who did not benefit or unable to tolerate traditional chemotherapy. Further work is necessary to determine the role of targeted therapy and the combination of targeted agents with cytotoxic agents that will translate into improved survival but the future looks optimistic. </w:t>
      </w:r>
    </w:p>
    <w:p w:rsidR="00EE752E" w:rsidRPr="00E82006" w:rsidRDefault="00EE752E" w:rsidP="00162A81">
      <w:pPr>
        <w:adjustRightInd w:val="0"/>
        <w:snapToGrid w:val="0"/>
        <w:spacing w:after="0" w:line="360" w:lineRule="auto"/>
        <w:jc w:val="both"/>
        <w:rPr>
          <w:rFonts w:ascii="Book Antiqua" w:hAnsi="Book Antiqua"/>
          <w:sz w:val="24"/>
          <w:szCs w:val="24"/>
        </w:rPr>
      </w:pPr>
    </w:p>
    <w:p w:rsidR="00EE752E" w:rsidRPr="00E82006" w:rsidRDefault="00EE752E" w:rsidP="00162A81">
      <w:pPr>
        <w:adjustRightInd w:val="0"/>
        <w:snapToGrid w:val="0"/>
        <w:spacing w:after="0" w:line="360" w:lineRule="auto"/>
        <w:jc w:val="both"/>
        <w:rPr>
          <w:rFonts w:ascii="Book Antiqua" w:hAnsi="Book Antiqua"/>
          <w:sz w:val="24"/>
          <w:szCs w:val="24"/>
        </w:rPr>
      </w:pPr>
    </w:p>
    <w:p w:rsidR="0025686A" w:rsidRPr="00E82006" w:rsidRDefault="0025686A" w:rsidP="00162A81">
      <w:pPr>
        <w:adjustRightInd w:val="0"/>
        <w:snapToGrid w:val="0"/>
        <w:spacing w:after="0" w:line="360" w:lineRule="auto"/>
        <w:jc w:val="both"/>
        <w:rPr>
          <w:rFonts w:ascii="Book Antiqua" w:hAnsi="Book Antiqua"/>
          <w:b/>
          <w:sz w:val="24"/>
          <w:szCs w:val="24"/>
          <w:highlight w:val="white"/>
          <w:u w:val="single"/>
        </w:rPr>
      </w:pPr>
      <w:r w:rsidRPr="00E82006">
        <w:rPr>
          <w:rFonts w:ascii="Book Antiqua" w:hAnsi="Book Antiqua"/>
          <w:b/>
          <w:sz w:val="24"/>
          <w:szCs w:val="24"/>
          <w:highlight w:val="white"/>
          <w:u w:val="single"/>
        </w:rPr>
        <w:br w:type="page"/>
      </w:r>
    </w:p>
    <w:p w:rsidR="00E82006" w:rsidRPr="00E82006" w:rsidRDefault="00E82006" w:rsidP="00162A81">
      <w:pPr>
        <w:adjustRightInd w:val="0"/>
        <w:snapToGrid w:val="0"/>
        <w:spacing w:after="0" w:line="360" w:lineRule="auto"/>
        <w:jc w:val="both"/>
        <w:rPr>
          <w:rFonts w:ascii="Book Antiqua" w:hAnsi="Book Antiqua"/>
          <w:b/>
          <w:bCs/>
          <w:caps/>
          <w:sz w:val="24"/>
          <w:szCs w:val="24"/>
          <w:lang w:eastAsia="zh-CN"/>
        </w:rPr>
      </w:pPr>
      <w:r w:rsidRPr="00E82006">
        <w:rPr>
          <w:rFonts w:ascii="Book Antiqua" w:hAnsi="Book Antiqua"/>
          <w:b/>
          <w:bCs/>
          <w:caps/>
          <w:sz w:val="24"/>
          <w:szCs w:val="24"/>
          <w:lang w:eastAsia="zh-CN"/>
        </w:rPr>
        <w:lastRenderedPageBreak/>
        <w:t>References</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Siegel R</w:t>
      </w:r>
      <w:r w:rsidRPr="00842DC6">
        <w:rPr>
          <w:rFonts w:ascii="Book Antiqua" w:eastAsia="SimSun" w:hAnsi="Book Antiqua" w:cs="SimSun"/>
          <w:sz w:val="24"/>
          <w:szCs w:val="24"/>
          <w:lang w:eastAsia="zh-CN"/>
        </w:rPr>
        <w:t>, Ma J, Zou Z, Jemal A. Cancer statistics, 2014.</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CA Cancer J Clin</w:t>
      </w:r>
      <w:r w:rsidRPr="008A2762">
        <w:rPr>
          <w:rFonts w:ascii="Book Antiqua" w:eastAsia="SimSun" w:hAnsi="Book Antiqua" w:cs="SimSun"/>
          <w:sz w:val="24"/>
          <w:szCs w:val="24"/>
          <w:lang w:eastAsia="zh-CN"/>
        </w:rPr>
        <w:t> 2014</w:t>
      </w:r>
      <w:r w:rsidRPr="00842DC6">
        <w:rPr>
          <w:rFonts w:ascii="Book Antiqua" w:eastAsia="SimSun" w:hAnsi="Book Antiqua" w:cs="SimSun"/>
          <w:sz w:val="24"/>
          <w:szCs w:val="24"/>
          <w:lang w:eastAsia="zh-CN"/>
        </w:rPr>
        <w:t>;</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64</w:t>
      </w:r>
      <w:r w:rsidRPr="00842DC6">
        <w:rPr>
          <w:rFonts w:ascii="Book Antiqua" w:eastAsia="SimSun" w:hAnsi="Book Antiqua" w:cs="SimSun"/>
          <w:sz w:val="24"/>
          <w:szCs w:val="24"/>
          <w:lang w:eastAsia="zh-CN"/>
        </w:rPr>
        <w:t>: 9-29 [PMID: 24399786 DOI: 10.3322/caac.21208]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Jemal A</w:t>
      </w:r>
      <w:r w:rsidRPr="00842DC6">
        <w:rPr>
          <w:rFonts w:ascii="Book Antiqua" w:eastAsia="SimSun" w:hAnsi="Book Antiqua" w:cs="SimSun"/>
          <w:sz w:val="24"/>
          <w:szCs w:val="24"/>
          <w:lang w:eastAsia="zh-CN"/>
        </w:rPr>
        <w:t>, Bray F, Center MM, Ferlay J, Ward E, Forman D. Global cancer statistics.</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CA Cancer J Clin</w:t>
      </w:r>
      <w:r w:rsidRPr="008A2762">
        <w:rPr>
          <w:rFonts w:ascii="Book Antiqua" w:eastAsia="SimSun" w:hAnsi="Book Antiqua" w:cs="SimSun"/>
          <w:sz w:val="24"/>
          <w:szCs w:val="24"/>
          <w:lang w:eastAsia="zh-CN"/>
        </w:rPr>
        <w:t> 2011</w:t>
      </w:r>
      <w:r w:rsidRPr="00842DC6">
        <w:rPr>
          <w:rFonts w:ascii="Book Antiqua" w:eastAsia="SimSun" w:hAnsi="Book Antiqua" w:cs="SimSun"/>
          <w:sz w:val="24"/>
          <w:szCs w:val="24"/>
          <w:lang w:eastAsia="zh-CN"/>
        </w:rPr>
        <w:t>;</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61</w:t>
      </w:r>
      <w:r w:rsidRPr="00842DC6">
        <w:rPr>
          <w:rFonts w:ascii="Book Antiqua" w:eastAsia="SimSun" w:hAnsi="Book Antiqua" w:cs="SimSun"/>
          <w:sz w:val="24"/>
          <w:szCs w:val="24"/>
          <w:lang w:eastAsia="zh-CN"/>
        </w:rPr>
        <w:t>: 69-90 [PMID: 21296855 DOI: 10.3322/caac.20107]</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Ferlay J</w:t>
      </w:r>
      <w:r w:rsidRPr="00842DC6">
        <w:rPr>
          <w:rFonts w:ascii="Book Antiqua" w:eastAsia="SimSun" w:hAnsi="Book Antiqua" w:cs="SimSun"/>
          <w:sz w:val="24"/>
          <w:szCs w:val="24"/>
          <w:lang w:eastAsia="zh-CN"/>
        </w:rPr>
        <w:t>, Shin HR, Bray F, Forman D, Mathers C, Parkin DM. Estimates of worldwide burden of cancer in 2008: GLOBOCAN 2008.</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Int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127</w:t>
      </w:r>
      <w:r w:rsidRPr="00842DC6">
        <w:rPr>
          <w:rFonts w:ascii="Book Antiqua" w:eastAsia="SimSun" w:hAnsi="Book Antiqua" w:cs="SimSun"/>
          <w:sz w:val="24"/>
          <w:szCs w:val="24"/>
          <w:lang w:eastAsia="zh-CN"/>
        </w:rPr>
        <w:t>: 2893-2917 [PMID: 21351269 DOI: 10.1002/ijc.25516]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Cunningham D</w:t>
      </w:r>
      <w:r w:rsidRPr="00842DC6">
        <w:rPr>
          <w:rFonts w:ascii="Book Antiqua" w:eastAsia="SimSun" w:hAnsi="Book Antiqua" w:cs="SimSun"/>
          <w:sz w:val="24"/>
          <w:szCs w:val="24"/>
          <w:lang w:eastAsia="zh-CN"/>
        </w:rPr>
        <w:t>, Okines AF, Ashley S. Capecitabine and oxaliplatin for advanced esophagogastric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 Engl J Med</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362</w:t>
      </w:r>
      <w:r w:rsidRPr="00842DC6">
        <w:rPr>
          <w:rFonts w:ascii="Book Antiqua" w:eastAsia="SimSun" w:hAnsi="Book Antiqua" w:cs="SimSun"/>
          <w:sz w:val="24"/>
          <w:szCs w:val="24"/>
          <w:lang w:eastAsia="zh-CN"/>
        </w:rPr>
        <w:t>: 858-859 [PMID: 20200397 DOI: 10.1056/NEJMc0911925]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Kamangar F</w:t>
      </w:r>
      <w:r w:rsidRPr="00842DC6">
        <w:rPr>
          <w:rFonts w:ascii="Book Antiqua" w:eastAsia="SimSun" w:hAnsi="Book Antiqua" w:cs="SimSun"/>
          <w:sz w:val="24"/>
          <w:szCs w:val="24"/>
          <w:lang w:eastAsia="zh-CN"/>
        </w:rPr>
        <w:t>, Dores GM, Anderson WF. Patterns of cancer incidence, mortality, and prevalence across five continents: defining priorities to reduce cancer disparities in different geographic regions of the world.</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24</w:t>
      </w:r>
      <w:r w:rsidRPr="00842DC6">
        <w:rPr>
          <w:rFonts w:ascii="Book Antiqua" w:eastAsia="SimSun" w:hAnsi="Book Antiqua" w:cs="SimSun"/>
          <w:sz w:val="24"/>
          <w:szCs w:val="24"/>
          <w:lang w:eastAsia="zh-CN"/>
        </w:rPr>
        <w:t>: 2137-2150 [PMID: 16682732 DOI: 10.1200/JCO.2005.05.2308]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Wagner AD</w:t>
      </w:r>
      <w:r w:rsidRPr="00842DC6">
        <w:rPr>
          <w:rFonts w:ascii="Book Antiqua" w:eastAsia="SimSun" w:hAnsi="Book Antiqua" w:cs="SimSun"/>
          <w:sz w:val="24"/>
          <w:szCs w:val="24"/>
          <w:lang w:eastAsia="zh-CN"/>
        </w:rPr>
        <w:t>, Grothe W, Haerting J, Kleber G, Grothey A, Fleig WE. Chemotherapy in advanced gastric cancer: a systematic review and meta-analysis based on aggregate data.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24</w:t>
      </w:r>
      <w:r w:rsidRPr="00842DC6">
        <w:rPr>
          <w:rFonts w:ascii="Book Antiqua" w:eastAsia="SimSun" w:hAnsi="Book Antiqua" w:cs="SimSun"/>
          <w:sz w:val="24"/>
          <w:szCs w:val="24"/>
          <w:lang w:eastAsia="zh-CN"/>
        </w:rPr>
        <w:t>: 2903-2909 [PMID: 16782930 DOI: 10.1200/JCO.2005.05.0245]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Van Cutsem E</w:t>
      </w:r>
      <w:r w:rsidRPr="00842DC6">
        <w:rPr>
          <w:rFonts w:ascii="Book Antiqua" w:eastAsia="SimSun" w:hAnsi="Book Antiqua" w:cs="SimSun"/>
          <w:sz w:val="24"/>
          <w:szCs w:val="24"/>
          <w:lang w:eastAsia="zh-CN"/>
        </w:rPr>
        <w:t>, Moiseyenko VM, Tjulandin S, Majlis A, Constenla M, Boni C, Rodrigues A, Fodor M, Chao Y, Voznyi E, Risse ML, Ajani JA</w:t>
      </w:r>
      <w:r w:rsidRPr="008A2762">
        <w:rPr>
          <w:rFonts w:ascii="Book Antiqua" w:eastAsia="SimSun" w:hAnsi="Book Antiqua" w:cs="SimSun"/>
          <w:sz w:val="24"/>
          <w:szCs w:val="24"/>
          <w:lang w:eastAsia="zh-CN"/>
        </w:rPr>
        <w:t>; V325 Study Group.</w:t>
      </w:r>
      <w:r w:rsidRPr="00842DC6">
        <w:rPr>
          <w:rFonts w:ascii="Book Antiqua" w:eastAsia="SimSun" w:hAnsi="Book Antiqua" w:cs="SimSun"/>
          <w:sz w:val="24"/>
          <w:szCs w:val="24"/>
          <w:lang w:eastAsia="zh-CN"/>
        </w:rPr>
        <w:t xml:space="preserve"> Phase III study of docetaxel and cisplatin plus fluorouracil compared with cisplatin and fluorouracil as first-line therapy for advanced gastric cancer: a report of the V325 Study Group.</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24</w:t>
      </w:r>
      <w:r w:rsidRPr="00842DC6">
        <w:rPr>
          <w:rFonts w:ascii="Book Antiqua" w:eastAsia="SimSun" w:hAnsi="Book Antiqua" w:cs="SimSun"/>
          <w:sz w:val="24"/>
          <w:szCs w:val="24"/>
          <w:lang w:eastAsia="zh-CN"/>
        </w:rPr>
        <w:t>: 4991-4997 [PMID: 17075117 DOI: 10.1200/JCO.2006.06.8429]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Al-Batran SE</w:t>
      </w:r>
      <w:r w:rsidRPr="00842DC6">
        <w:rPr>
          <w:rFonts w:ascii="Book Antiqua" w:eastAsia="SimSun" w:hAnsi="Book Antiqua" w:cs="SimSun"/>
          <w:sz w:val="24"/>
          <w:szCs w:val="24"/>
          <w:lang w:eastAsia="zh-CN"/>
        </w:rPr>
        <w:t xml:space="preserve">, Hartmann JT, Probst S, Schmalenberg H, Hollerbach S, Hofheinz R, Rethwisch V, Seipelt G, Homann N, Wilhelm G, Schuch G, Stoehlmacher J, Derigs HG, Hegewisch-Becker S, Grossmann J, Pauligk C, Atmaca A, Bokemeyer C, Knuth A, Jäger E. Phase III trial in metastatic gastroesophageal adenocarcinoma with fluorouracil, leucovorin plus either oxaliplatin or cisplatin: a study of the Arbeitsgemeinschaft </w:t>
      </w:r>
      <w:r w:rsidRPr="00842DC6">
        <w:rPr>
          <w:rFonts w:ascii="Book Antiqua" w:eastAsia="SimSun" w:hAnsi="Book Antiqua" w:cs="SimSun"/>
          <w:sz w:val="24"/>
          <w:szCs w:val="24"/>
          <w:lang w:eastAsia="zh-CN"/>
        </w:rPr>
        <w:lastRenderedPageBreak/>
        <w:t>Internistische Onkologie.</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26</w:t>
      </w:r>
      <w:r w:rsidRPr="00842DC6">
        <w:rPr>
          <w:rFonts w:ascii="Book Antiqua" w:eastAsia="SimSun" w:hAnsi="Book Antiqua" w:cs="SimSun"/>
          <w:sz w:val="24"/>
          <w:szCs w:val="24"/>
          <w:lang w:eastAsia="zh-CN"/>
        </w:rPr>
        <w:t>: 1435-1442 [PMID: 18349393 DOI: 10.1200/JCO.2007.13.9378]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Cunningham D</w:t>
      </w:r>
      <w:r w:rsidRPr="00842DC6">
        <w:rPr>
          <w:rFonts w:ascii="Book Antiqua" w:eastAsia="SimSun" w:hAnsi="Book Antiqua" w:cs="SimSun"/>
          <w:sz w:val="24"/>
          <w:szCs w:val="24"/>
          <w:lang w:eastAsia="zh-CN"/>
        </w:rPr>
        <w:t>, Starling N, Rao S, Iveson T, Nicolson M, Coxon F, Middleton G, Daniel F, Oates J, Norman AR. Capecitabine and oxaliplatin for advanced esophagogastric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 Engl J Med</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358</w:t>
      </w:r>
      <w:r w:rsidRPr="00842DC6">
        <w:rPr>
          <w:rFonts w:ascii="Book Antiqua" w:eastAsia="SimSun" w:hAnsi="Book Antiqua" w:cs="SimSun"/>
          <w:sz w:val="24"/>
          <w:szCs w:val="24"/>
          <w:lang w:eastAsia="zh-CN"/>
        </w:rPr>
        <w:t>: 36-46 [PMID: 18172173 DOI: 10.1056/NEJMoa073149]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Kang YK</w:t>
      </w:r>
      <w:r w:rsidRPr="00842DC6">
        <w:rPr>
          <w:rFonts w:ascii="Book Antiqua" w:eastAsia="SimSun" w:hAnsi="Book Antiqua" w:cs="SimSun"/>
          <w:sz w:val="24"/>
          <w:szCs w:val="24"/>
          <w:lang w:eastAsia="zh-CN"/>
        </w:rPr>
        <w:t>, Kang WK, Shin DB, Chen J, Xiong J, Wang J, Lichinitser M, Guan Z, Khasanov R, Zheng L, Philco-Salas M, Suarez T, Santamaria J, Forster G, McCloud PI. Capecitabine/cisplatin versus 5-fluorouracil/cisplatin as first-line therapy in patients with advanced gastric cancer: a randomised phase III noninferiority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Ann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20</w:t>
      </w:r>
      <w:r w:rsidRPr="00842DC6">
        <w:rPr>
          <w:rFonts w:ascii="Book Antiqua" w:eastAsia="SimSun" w:hAnsi="Book Antiqua" w:cs="SimSun"/>
          <w:sz w:val="24"/>
          <w:szCs w:val="24"/>
          <w:lang w:eastAsia="zh-CN"/>
        </w:rPr>
        <w:t>: 666-673 [PMID: 19153121 DOI: 10.1093/annonc/mdn717]</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Koizumi W</w:t>
      </w:r>
      <w:r w:rsidRPr="00842DC6">
        <w:rPr>
          <w:rFonts w:ascii="Book Antiqua" w:eastAsia="SimSun" w:hAnsi="Book Antiqua" w:cs="SimSun"/>
          <w:sz w:val="24"/>
          <w:szCs w:val="24"/>
          <w:lang w:eastAsia="zh-CN"/>
        </w:rPr>
        <w:t>, Narahara H, Hara T, Takagane A, Akiya T, Takagi M, Miyashita K, Nishizaki T, Kobayashi O, Takiyama W, Toh Y, Nagaie T, Takagi S, Yamamura Y, Yanaoka K, Orita H, Takeuchi M. S-1 plus cisplatin versus S-1 alone for first-line treatment of advanced gastric cancer (SPIRITS trial): a phase III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9</w:t>
      </w:r>
      <w:r w:rsidRPr="00842DC6">
        <w:rPr>
          <w:rFonts w:ascii="Book Antiqua" w:eastAsia="SimSun" w:hAnsi="Book Antiqua" w:cs="SimSun"/>
          <w:sz w:val="24"/>
          <w:szCs w:val="24"/>
          <w:lang w:eastAsia="zh-CN"/>
        </w:rPr>
        <w:t>: 215-221 [PMID: 18282805 DOI: 10.1016/S1470-2045(08)70035-4]</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Ajani JA</w:t>
      </w:r>
      <w:r w:rsidRPr="00842DC6">
        <w:rPr>
          <w:rFonts w:ascii="Book Antiqua" w:eastAsia="SimSun" w:hAnsi="Book Antiqua" w:cs="SimSun"/>
          <w:sz w:val="24"/>
          <w:szCs w:val="24"/>
          <w:lang w:eastAsia="zh-CN"/>
        </w:rPr>
        <w:t>, Rodriguez W, Bodoky G, Moiseyenko V, Lichinitser M, Gorbunova V, Vynnychenko I, Garin A, Lang I, Falcon S. Multicenter phase III comparison of cisplatin/S-1 with cisplatin/infusional fluorouracil in advanced gastric or gastroesophageal adenocarcinoma study: the FLAGS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28</w:t>
      </w:r>
      <w:r w:rsidRPr="00842DC6">
        <w:rPr>
          <w:rFonts w:ascii="Book Antiqua" w:eastAsia="SimSun" w:hAnsi="Book Antiqua" w:cs="SimSun"/>
          <w:sz w:val="24"/>
          <w:szCs w:val="24"/>
          <w:lang w:eastAsia="zh-CN"/>
        </w:rPr>
        <w:t>: 1547-1553 [PMID: 20159816 DOI: 10.1200/JCO.2009.25.4706]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Dank M</w:t>
      </w:r>
      <w:r w:rsidRPr="00842DC6">
        <w:rPr>
          <w:rFonts w:ascii="Book Antiqua" w:eastAsia="SimSun" w:hAnsi="Book Antiqua" w:cs="SimSun"/>
          <w:sz w:val="24"/>
          <w:szCs w:val="24"/>
          <w:lang w:eastAsia="zh-CN"/>
        </w:rPr>
        <w:t>, Zaluski J, Barone C, Valvere V, Yalcin S, Peschel C, Wenczl M, Goker E, Cisar L, Wang K, Bugat R. Randomized phase III study comparing irinotecan combined with 5-fluorouracil and folinic acid to cisplatin combined with 5-fluorouracil in chemotherapy naive patients with advanced adenocarcinoma of the stomach or esophagogastric junction.</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Ann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19</w:t>
      </w:r>
      <w:r w:rsidRPr="00842DC6">
        <w:rPr>
          <w:rFonts w:ascii="Book Antiqua" w:eastAsia="SimSun" w:hAnsi="Book Antiqua" w:cs="SimSun"/>
          <w:sz w:val="24"/>
          <w:szCs w:val="24"/>
          <w:lang w:eastAsia="zh-CN"/>
        </w:rPr>
        <w:t>: 1450-1457 [PMID: 18558665 DOI: 10.1093/annonc/</w:t>
      </w:r>
      <w:r w:rsidRPr="008A2762">
        <w:rPr>
          <w:rFonts w:ascii="Book Antiqua" w:eastAsia="SimSun" w:hAnsi="Book Antiqua" w:cs="SimSun"/>
          <w:sz w:val="24"/>
          <w:szCs w:val="24"/>
          <w:lang w:eastAsia="zh-CN"/>
        </w:rPr>
        <w:t>mdn166</w:t>
      </w:r>
      <w:r w:rsidRPr="00842DC6">
        <w:rPr>
          <w:rFonts w:ascii="Book Antiqua" w:eastAsia="SimSun" w:hAnsi="Book Antiqua" w:cs="SimSun"/>
          <w:sz w:val="24"/>
          <w:szCs w:val="24"/>
          <w:lang w:eastAsia="zh-CN"/>
        </w:rPr>
        <w:t>]</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Guimbaud R</w:t>
      </w:r>
      <w:r w:rsidRPr="00842DC6">
        <w:rPr>
          <w:rFonts w:ascii="Book Antiqua" w:eastAsia="SimSun" w:hAnsi="Book Antiqua" w:cs="SimSun"/>
          <w:sz w:val="24"/>
          <w:szCs w:val="24"/>
          <w:lang w:eastAsia="zh-CN"/>
        </w:rPr>
        <w:t xml:space="preserve">, Louvet C, Ries P, Ychou M, Maillard E, André T, Gornet JM, Aparicio T, Nguyen S, Azzedine A, Etienne PL, Boucher E, Rebischung C, Hammel P, Rougier P, </w:t>
      </w:r>
      <w:r w:rsidRPr="00842DC6">
        <w:rPr>
          <w:rFonts w:ascii="Book Antiqua" w:eastAsia="SimSun" w:hAnsi="Book Antiqua" w:cs="SimSun"/>
          <w:sz w:val="24"/>
          <w:szCs w:val="24"/>
          <w:lang w:eastAsia="zh-CN"/>
        </w:rPr>
        <w:lastRenderedPageBreak/>
        <w:t>Bedenne L, Bouché O. Prospective, randomized, multicenter, phase III study of fluorouracil, leucovorin, and irinotecan versus epirubicin, cisplatin, and capecitabine in advanced gastric adenocarcinoma: a French intergroup (Fédération Francophone de Cancérologie Digestive, Fédération Nationale des Centres de Lutte Contre le Cancer, and Groupe Coopérateur Multidisciplinaire en Oncologie)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32</w:t>
      </w:r>
      <w:r w:rsidRPr="00842DC6">
        <w:rPr>
          <w:rFonts w:ascii="Book Antiqua" w:eastAsia="SimSun" w:hAnsi="Book Antiqua" w:cs="SimSun"/>
          <w:sz w:val="24"/>
          <w:szCs w:val="24"/>
          <w:lang w:eastAsia="zh-CN"/>
        </w:rPr>
        <w:t>: 3520-3526 [PMID: 25287828 DOI: 10.1200/JCO.2013.54.1011]</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Ford HE</w:t>
      </w:r>
      <w:r w:rsidRPr="00842DC6">
        <w:rPr>
          <w:rFonts w:ascii="Book Antiqua" w:eastAsia="SimSun" w:hAnsi="Book Antiqua" w:cs="SimSun"/>
          <w:sz w:val="24"/>
          <w:szCs w:val="24"/>
          <w:lang w:eastAsia="zh-CN"/>
        </w:rPr>
        <w:t>, Marshall A, Bridgewater JA, Janowitz T, Coxon FY, Wadsley J, Mansoor W, Fyfe D, Madhusudan S, Middleton GW, Swinson D, Falk S, Chau I, Cunningham D, Kareclas P, Cook N, Blazeby JM, Dunn JA. Docetaxel versus active symptom control for refractory oesophagogastric adenocarcinoma (COUGAR-02): an open-label, phase 3 randomised controlled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15</w:t>
      </w:r>
      <w:r w:rsidRPr="00842DC6">
        <w:rPr>
          <w:rFonts w:ascii="Book Antiqua" w:eastAsia="SimSun" w:hAnsi="Book Antiqua" w:cs="SimSun"/>
          <w:sz w:val="24"/>
          <w:szCs w:val="24"/>
          <w:lang w:eastAsia="zh-CN"/>
        </w:rPr>
        <w:t>: 78-86 [PMID: 24332238 DOI: 10.1016/S1470-2045(13)70549-7]</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Kang JH</w:t>
      </w:r>
      <w:r w:rsidRPr="00842DC6">
        <w:rPr>
          <w:rFonts w:ascii="Book Antiqua" w:eastAsia="SimSun" w:hAnsi="Book Antiqua" w:cs="SimSun"/>
          <w:sz w:val="24"/>
          <w:szCs w:val="24"/>
          <w:lang w:eastAsia="zh-CN"/>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30</w:t>
      </w:r>
      <w:r w:rsidRPr="00842DC6">
        <w:rPr>
          <w:rFonts w:ascii="Book Antiqua" w:eastAsia="SimSun" w:hAnsi="Book Antiqua" w:cs="SimSun"/>
          <w:sz w:val="24"/>
          <w:szCs w:val="24"/>
          <w:lang w:eastAsia="zh-CN"/>
        </w:rPr>
        <w:t>: 1513-1518 [PMID: 22412140 DOI: 10.1200/JCO.2011.39.4585]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Thuss-Patience PC</w:t>
      </w:r>
      <w:r w:rsidRPr="00842DC6">
        <w:rPr>
          <w:rFonts w:ascii="Book Antiqua" w:eastAsia="SimSun" w:hAnsi="Book Antiqua" w:cs="SimSun"/>
          <w:sz w:val="24"/>
          <w:szCs w:val="24"/>
          <w:lang w:eastAsia="zh-CN"/>
        </w:rPr>
        <w:t>, Kretzschmar A, Bichev D, Deist T, Hinke A, Breithaupt K, Dogan Y, Gebauer B, Schumacher G, Reichardt P. Survival advantage for irinotecan versus best supportive care as second-line chemotherapy in gastric cancer--a randomised phase III study of the Arbeitsgemeinschaft Internistische Onkologie (AIO).</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Eur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47</w:t>
      </w:r>
      <w:r w:rsidRPr="00842DC6">
        <w:rPr>
          <w:rFonts w:ascii="Book Antiqua" w:eastAsia="SimSun" w:hAnsi="Book Antiqua" w:cs="SimSun"/>
          <w:sz w:val="24"/>
          <w:szCs w:val="24"/>
          <w:lang w:eastAsia="zh-CN"/>
        </w:rPr>
        <w:t>: 2306-2314 [PMID: 21742485 DOI: 10.1016/j.ejca.2011.06.002]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18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Hironaka S</w:t>
      </w:r>
      <w:r w:rsidRPr="00842DC6">
        <w:rPr>
          <w:rFonts w:ascii="Book Antiqua" w:eastAsia="SimSun" w:hAnsi="Book Antiqua" w:cs="SimSun"/>
          <w:sz w:val="24"/>
          <w:szCs w:val="24"/>
          <w:lang w:eastAsia="zh-CN"/>
        </w:rPr>
        <w:t>, Ueda S, Yasui H, Nishina T, Tsuda M, Tsumura T, Sugimoto N, Shimodaira H, Tokunaga S, Moriwaki T, Esaki T, Nagase M, Fujitani K, Yamaguchi K, Ura T, Hamamoto Y, Morita S, Okamoto I, Boku N, Hyodo I. Randomized, open-label, phase III study comparing irinotecan with paclitaxel in patients with advanced gastric cancer without severe peritoneal metastasis after failure of prior combination chemotherapy using fluoropyrimidine plus platinum: WJOG 4007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31</w:t>
      </w:r>
      <w:r w:rsidRPr="00842DC6">
        <w:rPr>
          <w:rFonts w:ascii="Book Antiqua" w:eastAsia="SimSun" w:hAnsi="Book Antiqua" w:cs="SimSun"/>
          <w:sz w:val="24"/>
          <w:szCs w:val="24"/>
          <w:lang w:eastAsia="zh-CN"/>
        </w:rPr>
        <w:t>: 4438-4444 [PMID: 24190112 DOI: 10.1200/JCO.2012.48.5805]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lastRenderedPageBreak/>
        <w:t xml:space="preserve">19 </w:t>
      </w:r>
      <w:r w:rsidRPr="008A2762">
        <w:rPr>
          <w:rFonts w:ascii="Book Antiqua" w:eastAsia="SimSun" w:hAnsi="Book Antiqua" w:cs="SimSun"/>
          <w:b/>
          <w:sz w:val="24"/>
          <w:szCs w:val="24"/>
          <w:lang w:eastAsia="zh-CN"/>
        </w:rPr>
        <w:t>The Cancer Genome Atlas Research Network</w:t>
      </w:r>
      <w:r w:rsidRPr="00842DC6">
        <w:rPr>
          <w:rFonts w:ascii="Book Antiqua" w:eastAsia="SimSun" w:hAnsi="Book Antiqua" w:cs="SimSun"/>
          <w:sz w:val="24"/>
          <w:szCs w:val="24"/>
          <w:lang w:eastAsia="zh-CN"/>
        </w:rPr>
        <w:t>. Comprehensive molecular characterization of gastric adenocarcinoma.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Nature</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513</w:t>
      </w:r>
      <w:r w:rsidRPr="00842DC6">
        <w:rPr>
          <w:rFonts w:ascii="Book Antiqua" w:eastAsia="SimSun" w:hAnsi="Book Antiqua" w:cs="SimSun"/>
          <w:sz w:val="24"/>
          <w:szCs w:val="24"/>
          <w:lang w:eastAsia="zh-CN"/>
        </w:rPr>
        <w:t>: 202-209 [PMID: 25079317 DOI: 10.1038/nature13480]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Hsieh AC</w:t>
      </w:r>
      <w:r w:rsidRPr="00842DC6">
        <w:rPr>
          <w:rFonts w:ascii="Book Antiqua" w:eastAsia="SimSun" w:hAnsi="Book Antiqua" w:cs="SimSun"/>
          <w:sz w:val="24"/>
          <w:szCs w:val="24"/>
          <w:lang w:eastAsia="zh-CN"/>
        </w:rPr>
        <w:t>, Moasser MM. Targeting HER proteins in cancer therapy and the role of the non-target HER3.</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Br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97</w:t>
      </w:r>
      <w:r w:rsidRPr="00842DC6">
        <w:rPr>
          <w:rFonts w:ascii="Book Antiqua" w:eastAsia="SimSun" w:hAnsi="Book Antiqua" w:cs="SimSun"/>
          <w:sz w:val="24"/>
          <w:szCs w:val="24"/>
          <w:lang w:eastAsia="zh-CN"/>
        </w:rPr>
        <w:t>: 453-457 [PMID: 17667926 DOI: 10.1038/sj.bjc.6603910]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Okines A</w:t>
      </w:r>
      <w:r w:rsidRPr="00842DC6">
        <w:rPr>
          <w:rFonts w:ascii="Book Antiqua" w:eastAsia="SimSun" w:hAnsi="Book Antiqua" w:cs="SimSun"/>
          <w:sz w:val="24"/>
          <w:szCs w:val="24"/>
          <w:lang w:eastAsia="zh-CN"/>
        </w:rPr>
        <w:t>, Cunningham D, Chau I. Targeting the human EGFR family in esophagogastric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Rev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8</w:t>
      </w:r>
      <w:r w:rsidRPr="00842DC6">
        <w:rPr>
          <w:rFonts w:ascii="Book Antiqua" w:eastAsia="SimSun" w:hAnsi="Book Antiqua" w:cs="SimSun"/>
          <w:sz w:val="24"/>
          <w:szCs w:val="24"/>
          <w:lang w:eastAsia="zh-CN"/>
        </w:rPr>
        <w:t>: 492-503 [PMID: 21468131 DOI: 10.1038/nrclinonc.2011.45]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 xml:space="preserve">22 </w:t>
      </w:r>
      <w:r w:rsidRPr="008A2762">
        <w:rPr>
          <w:rFonts w:ascii="Book Antiqua" w:eastAsia="SimSun" w:hAnsi="Book Antiqua" w:cs="SimSun"/>
          <w:b/>
          <w:sz w:val="24"/>
          <w:szCs w:val="24"/>
          <w:lang w:eastAsia="zh-CN"/>
        </w:rPr>
        <w:t>Li SG</w:t>
      </w:r>
      <w:r w:rsidRPr="008A2762">
        <w:rPr>
          <w:rFonts w:ascii="Book Antiqua" w:eastAsia="SimSun" w:hAnsi="Book Antiqua" w:cs="SimSun"/>
          <w:sz w:val="24"/>
          <w:szCs w:val="24"/>
          <w:lang w:eastAsia="zh-CN"/>
        </w:rPr>
        <w:t>, Li L</w:t>
      </w:r>
      <w:r w:rsidRPr="00842DC6">
        <w:rPr>
          <w:rFonts w:ascii="Book Antiqua" w:eastAsia="SimSun" w:hAnsi="Book Antiqua" w:cs="SimSun"/>
          <w:sz w:val="24"/>
          <w:szCs w:val="24"/>
          <w:lang w:eastAsia="zh-CN"/>
        </w:rPr>
        <w:t>. Targeted therapy in HER2-positive breast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Biomed Rep</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w:t>
      </w:r>
      <w:r w:rsidRPr="00842DC6">
        <w:rPr>
          <w:rFonts w:ascii="Book Antiqua" w:eastAsia="SimSun" w:hAnsi="Book Antiqua" w:cs="SimSun"/>
          <w:sz w:val="24"/>
          <w:szCs w:val="24"/>
          <w:lang w:eastAsia="zh-CN"/>
        </w:rPr>
        <w:t>: 499-505 [PMID: 24648975 DOI: 10.3892/br.2013.95]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Gravalos C</w:t>
      </w:r>
      <w:r w:rsidRPr="00842DC6">
        <w:rPr>
          <w:rFonts w:ascii="Book Antiqua" w:eastAsia="SimSun" w:hAnsi="Book Antiqua" w:cs="SimSun"/>
          <w:sz w:val="24"/>
          <w:szCs w:val="24"/>
          <w:lang w:eastAsia="zh-CN"/>
        </w:rPr>
        <w:t>, Jimeno A. HER2 in gastric cancer: a new prognostic factor and a novel therapeutic target.</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Ann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19</w:t>
      </w:r>
      <w:r w:rsidRPr="00842DC6">
        <w:rPr>
          <w:rFonts w:ascii="Book Antiqua" w:eastAsia="SimSun" w:hAnsi="Book Antiqua" w:cs="SimSun"/>
          <w:sz w:val="24"/>
          <w:szCs w:val="24"/>
          <w:lang w:eastAsia="zh-CN"/>
        </w:rPr>
        <w:t>: 1523-1529 [PMID: 18441328 DOI: 10.1093/annonc/mdn169]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Yano T</w:t>
      </w:r>
      <w:r w:rsidRPr="00842DC6">
        <w:rPr>
          <w:rFonts w:ascii="Book Antiqua" w:eastAsia="SimSun" w:hAnsi="Book Antiqua" w:cs="SimSun"/>
          <w:sz w:val="24"/>
          <w:szCs w:val="24"/>
          <w:lang w:eastAsia="zh-CN"/>
        </w:rPr>
        <w:t>, Doi T, Ohtsu A, Boku N, Hashizume K, Nakanishi M, Ochiai A. Comparison of HER2 gene amplification assessed by fluorescence in situ hybridization and HER2 protein expression assessed by immunohistochemistry in 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Oncol Rep</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15</w:t>
      </w:r>
      <w:r w:rsidRPr="00842DC6">
        <w:rPr>
          <w:rFonts w:ascii="Book Antiqua" w:eastAsia="SimSun" w:hAnsi="Book Antiqua" w:cs="SimSun"/>
          <w:sz w:val="24"/>
          <w:szCs w:val="24"/>
          <w:lang w:eastAsia="zh-CN"/>
        </w:rPr>
        <w:t>: 65-71 [PMID: 16328035 DOI: 10.3892/or.15.1.65]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Sheng WQ</w:t>
      </w:r>
      <w:r w:rsidRPr="00842DC6">
        <w:rPr>
          <w:rFonts w:ascii="Book Antiqua" w:eastAsia="SimSun" w:hAnsi="Book Antiqua" w:cs="SimSun"/>
          <w:sz w:val="24"/>
          <w:szCs w:val="24"/>
          <w:lang w:eastAsia="zh-CN"/>
        </w:rPr>
        <w:t>, Huang D, Ying JM, Lu N, Wu HM, Liu YH, Liu JP, Bu H, Zhou XY, Du X. HER2 status in gastric cancers: a retrospective analysis from four Chinese representative clinical centers and assessment of its prognostic significance.</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Ann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24</w:t>
      </w:r>
      <w:r w:rsidRPr="00842DC6">
        <w:rPr>
          <w:rFonts w:ascii="Book Antiqua" w:eastAsia="SimSun" w:hAnsi="Book Antiqua" w:cs="SimSun"/>
          <w:sz w:val="24"/>
          <w:szCs w:val="24"/>
          <w:lang w:eastAsia="zh-CN"/>
        </w:rPr>
        <w:t>: 2360-2364 [PMID: 23788757 DOI: 10.1093/annonc/mdt232]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Carey LA</w:t>
      </w:r>
      <w:r w:rsidRPr="00842DC6">
        <w:rPr>
          <w:rFonts w:ascii="Book Antiqua" w:eastAsia="SimSun" w:hAnsi="Book Antiqua" w:cs="SimSun"/>
          <w:sz w:val="24"/>
          <w:szCs w:val="24"/>
          <w:lang w:eastAsia="zh-CN"/>
        </w:rPr>
        <w:t>, Perou CM, Livasy CA, Dressler LG, Cowan D, Conway K, Karaca G, Troester MA, Tse CK, Edmiston S, Deming SL, Geradts J, Cheang MC, Nielsen TO, Moorman PG, Earp HS, Millikan RC. Race, breast cancer subtypes, and survival in the Carolina Breast Cancer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JAMA</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295</w:t>
      </w:r>
      <w:r w:rsidRPr="00842DC6">
        <w:rPr>
          <w:rFonts w:ascii="Book Antiqua" w:eastAsia="SimSun" w:hAnsi="Book Antiqua" w:cs="SimSun"/>
          <w:sz w:val="24"/>
          <w:szCs w:val="24"/>
          <w:lang w:eastAsia="zh-CN"/>
        </w:rPr>
        <w:t>: 2492-2502 [PMID: 16757721 DOI: 10.1001/jama.295.21.2492]</w:t>
      </w:r>
    </w:p>
    <w:p w:rsidR="00BB5CC2" w:rsidRPr="008A2762"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27</w:t>
      </w:r>
      <w:r w:rsidRPr="008A2762">
        <w:rPr>
          <w:rFonts w:ascii="Book Antiqua" w:eastAsia="SimSun" w:hAnsi="Book Antiqua" w:cs="SimSun"/>
          <w:sz w:val="24"/>
          <w:szCs w:val="24"/>
          <w:lang w:eastAsia="zh-CN"/>
        </w:rPr>
        <w:t> </w:t>
      </w:r>
      <w:r w:rsidRPr="008A2762">
        <w:rPr>
          <w:rFonts w:ascii="Book Antiqua" w:eastAsia="SimSun" w:hAnsi="Book Antiqua" w:cs="SimSun"/>
          <w:b/>
          <w:bCs/>
          <w:sz w:val="24"/>
          <w:szCs w:val="24"/>
          <w:lang w:eastAsia="zh-CN"/>
        </w:rPr>
        <w:t>Hofmann M</w:t>
      </w:r>
      <w:r w:rsidRPr="008A2762">
        <w:rPr>
          <w:rFonts w:ascii="Book Antiqua" w:eastAsia="SimSun" w:hAnsi="Book Antiqua" w:cs="SimSun"/>
          <w:sz w:val="24"/>
          <w:szCs w:val="24"/>
          <w:lang w:eastAsia="zh-CN"/>
        </w:rPr>
        <w:t xml:space="preserve">, Stoss O, Shi D, Büttner R, van de Vijver M, Kim W, Ochiai A, Rüschoff J, Henkel T. Assessment of a HER2 scoring system for gastric cancer: results from a </w:t>
      </w:r>
      <w:r w:rsidRPr="008A2762">
        <w:rPr>
          <w:rFonts w:ascii="Book Antiqua" w:eastAsia="SimSun" w:hAnsi="Book Antiqua" w:cs="SimSun"/>
          <w:sz w:val="24"/>
          <w:szCs w:val="24"/>
          <w:lang w:eastAsia="zh-CN"/>
        </w:rPr>
        <w:lastRenderedPageBreak/>
        <w:t>validation study. </w:t>
      </w:r>
      <w:r w:rsidRPr="008A2762">
        <w:rPr>
          <w:rFonts w:ascii="Book Antiqua" w:eastAsia="SimSun" w:hAnsi="Book Antiqua" w:cs="SimSun"/>
          <w:i/>
          <w:iCs/>
          <w:sz w:val="24"/>
          <w:szCs w:val="24"/>
          <w:lang w:eastAsia="zh-CN"/>
        </w:rPr>
        <w:t>Histopathology</w:t>
      </w:r>
      <w:r w:rsidRPr="008A2762">
        <w:rPr>
          <w:rFonts w:ascii="Book Antiqua" w:eastAsia="SimSun" w:hAnsi="Book Antiqua" w:cs="SimSun"/>
          <w:sz w:val="24"/>
          <w:szCs w:val="24"/>
          <w:lang w:eastAsia="zh-CN"/>
        </w:rPr>
        <w:t> 2008; </w:t>
      </w:r>
      <w:r w:rsidRPr="008A2762">
        <w:rPr>
          <w:rFonts w:ascii="Book Antiqua" w:eastAsia="SimSun" w:hAnsi="Book Antiqua" w:cs="SimSun"/>
          <w:b/>
          <w:bCs/>
          <w:sz w:val="24"/>
          <w:szCs w:val="24"/>
          <w:lang w:eastAsia="zh-CN"/>
        </w:rPr>
        <w:t>52</w:t>
      </w:r>
      <w:r w:rsidRPr="008A2762">
        <w:rPr>
          <w:rFonts w:ascii="Book Antiqua" w:eastAsia="SimSun" w:hAnsi="Book Antiqua" w:cs="SimSun"/>
          <w:sz w:val="24"/>
          <w:szCs w:val="24"/>
          <w:lang w:eastAsia="zh-CN"/>
        </w:rPr>
        <w:t>: 797-805 [PMID: 18422971 DOI: 10.1111/j.1365-2559.2008.03028.x]</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28</w:t>
      </w:r>
      <w:r w:rsidRPr="008A2762">
        <w:rPr>
          <w:rFonts w:ascii="Book Antiqua" w:eastAsia="SimSun" w:hAnsi="Book Antiqua" w:cs="SimSun"/>
          <w:sz w:val="24"/>
          <w:szCs w:val="24"/>
          <w:lang w:eastAsia="zh-CN"/>
        </w:rPr>
        <w:t> </w:t>
      </w:r>
      <w:r w:rsidRPr="008A2762">
        <w:rPr>
          <w:rFonts w:ascii="Book Antiqua" w:eastAsia="SimSun" w:hAnsi="Book Antiqua" w:cs="SimSun"/>
          <w:b/>
          <w:bCs/>
          <w:sz w:val="24"/>
          <w:szCs w:val="24"/>
          <w:lang w:eastAsia="zh-CN"/>
        </w:rPr>
        <w:t>Bang YJ</w:t>
      </w:r>
      <w:r w:rsidRPr="008A2762">
        <w:rPr>
          <w:rFonts w:ascii="Book Antiqua" w:eastAsia="SimSun" w:hAnsi="Book Antiqua" w:cs="SimSun"/>
          <w:sz w:val="24"/>
          <w:szCs w:val="24"/>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8A2762">
        <w:rPr>
          <w:rFonts w:ascii="Book Antiqua" w:eastAsia="SimSun" w:hAnsi="Book Antiqua" w:cs="SimSun"/>
          <w:i/>
          <w:iCs/>
          <w:sz w:val="24"/>
          <w:szCs w:val="24"/>
          <w:lang w:eastAsia="zh-CN"/>
        </w:rPr>
        <w:t>Lancet</w:t>
      </w:r>
      <w:r w:rsidRPr="008A2762">
        <w:rPr>
          <w:rFonts w:ascii="Book Antiqua" w:eastAsia="SimSun" w:hAnsi="Book Antiqua" w:cs="SimSun"/>
          <w:sz w:val="24"/>
          <w:szCs w:val="24"/>
          <w:lang w:eastAsia="zh-CN"/>
        </w:rPr>
        <w:t> 2010; </w:t>
      </w:r>
      <w:r w:rsidRPr="008A2762">
        <w:rPr>
          <w:rFonts w:ascii="Book Antiqua" w:eastAsia="SimSun" w:hAnsi="Book Antiqua" w:cs="SimSun"/>
          <w:b/>
          <w:bCs/>
          <w:sz w:val="24"/>
          <w:szCs w:val="24"/>
          <w:lang w:eastAsia="zh-CN"/>
        </w:rPr>
        <w:t>376</w:t>
      </w:r>
      <w:r w:rsidRPr="008A2762">
        <w:rPr>
          <w:rFonts w:ascii="Book Antiqua" w:eastAsia="SimSun" w:hAnsi="Book Antiqua" w:cs="SimSun"/>
          <w:sz w:val="24"/>
          <w:szCs w:val="24"/>
          <w:lang w:eastAsia="zh-CN"/>
        </w:rPr>
        <w:t>: 687-697 [PMID: 20728210 DOI: 10.1016/S0140-6736(10)61121-X]</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29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Hecht JR</w:t>
      </w:r>
      <w:r w:rsidRPr="00842DC6">
        <w:rPr>
          <w:rFonts w:ascii="Book Antiqua" w:eastAsia="SimSun" w:hAnsi="Book Antiqua" w:cs="SimSun"/>
          <w:sz w:val="24"/>
          <w:szCs w:val="24"/>
          <w:lang w:eastAsia="zh-CN"/>
        </w:rPr>
        <w:t>,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34</w:t>
      </w:r>
      <w:r w:rsidRPr="00842DC6">
        <w:rPr>
          <w:rFonts w:ascii="Book Antiqua" w:eastAsia="SimSun" w:hAnsi="Book Antiqua" w:cs="SimSun"/>
          <w:sz w:val="24"/>
          <w:szCs w:val="24"/>
          <w:lang w:eastAsia="zh-CN"/>
        </w:rPr>
        <w:t>: 443-451 [PMID: 26628478 DOI: 10.1200/JCO.2015.62.6598]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Satoh T</w:t>
      </w:r>
      <w:r w:rsidRPr="00842DC6">
        <w:rPr>
          <w:rFonts w:ascii="Book Antiqua" w:eastAsia="SimSun" w:hAnsi="Book Antiqua" w:cs="SimSun"/>
          <w:sz w:val="24"/>
          <w:szCs w:val="24"/>
          <w:lang w:eastAsia="zh-CN"/>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32</w:t>
      </w:r>
      <w:r w:rsidRPr="00842DC6">
        <w:rPr>
          <w:rFonts w:ascii="Book Antiqua" w:eastAsia="SimSun" w:hAnsi="Book Antiqua" w:cs="SimSun"/>
          <w:sz w:val="24"/>
          <w:szCs w:val="24"/>
          <w:lang w:eastAsia="zh-CN"/>
        </w:rPr>
        <w:t>: 2039-2049 [PMID: 24868024 DOI: 10.1200/JCO.2013.53.6136]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31 </w:t>
      </w:r>
      <w:r w:rsidRPr="00842DC6">
        <w:rPr>
          <w:rFonts w:ascii="Book Antiqua" w:eastAsia="SimSun" w:hAnsi="Book Antiqua" w:cs="SimSun"/>
          <w:b/>
          <w:sz w:val="24"/>
          <w:szCs w:val="24"/>
          <w:lang w:eastAsia="zh-CN"/>
        </w:rPr>
        <w:t>Kang YK</w:t>
      </w:r>
      <w:r w:rsidRPr="00842DC6">
        <w:rPr>
          <w:rFonts w:ascii="Book Antiqua" w:eastAsia="SimSun" w:hAnsi="Book Antiqua" w:cs="SimSun"/>
          <w:sz w:val="24"/>
          <w:szCs w:val="24"/>
          <w:lang w:eastAsia="zh-CN"/>
        </w:rPr>
        <w:t xml:space="preserve">, Shah MA, Ohtsu A, Van Cutsem E, Ajani JA, van der Horst T, </w:t>
      </w:r>
      <w:r w:rsidR="00EC2237" w:rsidRPr="00EC2237">
        <w:rPr>
          <w:rFonts w:ascii="Book Antiqua" w:eastAsia="SimSun" w:hAnsi="Book Antiqua" w:cs="SimSun"/>
          <w:i/>
          <w:sz w:val="24"/>
          <w:szCs w:val="24"/>
          <w:lang w:eastAsia="zh-CN"/>
        </w:rPr>
        <w:t>et al</w:t>
      </w:r>
      <w:r w:rsidRPr="00842DC6">
        <w:rPr>
          <w:rFonts w:ascii="Book Antiqua" w:eastAsia="SimSun" w:hAnsi="Book Antiqua" w:cs="SimSun"/>
          <w:sz w:val="24"/>
          <w:szCs w:val="24"/>
          <w:lang w:eastAsia="zh-CN"/>
        </w:rPr>
        <w:t xml:space="preserve">. A randomized, open-label, multicenter, adaptive phase 2/3 study of trastuzumab emtansine (T-DM1) versus a taxane (TAX) in patients (pts) with previously treated HER2-positive locally advanced or metastatic gastric/gastroesophageal junction adenocarcinoma (LA/MGC/GEJC).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2016; </w:t>
      </w:r>
      <w:r w:rsidRPr="00842DC6">
        <w:rPr>
          <w:rFonts w:ascii="Book Antiqua" w:eastAsia="SimSun" w:hAnsi="Book Antiqua" w:cs="SimSun"/>
          <w:b/>
          <w:sz w:val="24"/>
          <w:szCs w:val="24"/>
          <w:lang w:eastAsia="zh-CN"/>
        </w:rPr>
        <w:t>34</w:t>
      </w:r>
      <w:r w:rsidRPr="00842DC6">
        <w:rPr>
          <w:rFonts w:ascii="Book Antiqua" w:eastAsia="SimSun" w:hAnsi="Book Antiqua" w:cs="SimSun"/>
          <w:sz w:val="24"/>
          <w:szCs w:val="24"/>
          <w:lang w:eastAsia="zh-CN"/>
        </w:rPr>
        <w:t>: abstr 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Herbst RS</w:t>
      </w:r>
      <w:r w:rsidRPr="00842DC6">
        <w:rPr>
          <w:rFonts w:ascii="Book Antiqua" w:eastAsia="SimSun" w:hAnsi="Book Antiqua" w:cs="SimSun"/>
          <w:sz w:val="24"/>
          <w:szCs w:val="24"/>
          <w:lang w:eastAsia="zh-CN"/>
        </w:rPr>
        <w:t>. Review of epidermal growth factor receptor biology.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Int J Radiat Oncol Biol Phys</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59</w:t>
      </w:r>
      <w:r w:rsidRPr="00842DC6">
        <w:rPr>
          <w:rFonts w:ascii="Book Antiqua" w:eastAsia="SimSun" w:hAnsi="Book Antiqua" w:cs="SimSun"/>
          <w:sz w:val="24"/>
          <w:szCs w:val="24"/>
          <w:lang w:eastAsia="zh-CN"/>
        </w:rPr>
        <w:t>: 21-26 [PMID: 15142631]</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lastRenderedPageBreak/>
        <w:t>33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Oda K</w:t>
      </w:r>
      <w:r w:rsidRPr="00842DC6">
        <w:rPr>
          <w:rFonts w:ascii="Book Antiqua" w:eastAsia="SimSun" w:hAnsi="Book Antiqua" w:cs="SimSun"/>
          <w:sz w:val="24"/>
          <w:szCs w:val="24"/>
          <w:lang w:eastAsia="zh-CN"/>
        </w:rPr>
        <w:t>, Matsuoka Y, Funahashi A, Kitano H. A comprehensive pathway map of epidermal growth factor receptor signaling.</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Mol Syst Biol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w:t>
      </w:r>
      <w:r w:rsidRPr="00842DC6">
        <w:rPr>
          <w:rFonts w:ascii="Book Antiqua" w:eastAsia="SimSun" w:hAnsi="Book Antiqua" w:cs="SimSun"/>
          <w:sz w:val="24"/>
          <w:szCs w:val="24"/>
          <w:lang w:eastAsia="zh-CN"/>
        </w:rPr>
        <w:t>: 2005.0010 [PMID: 16729045 DOI: 10.1038/msb4100014]</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Wang KL</w:t>
      </w:r>
      <w:r w:rsidRPr="00842DC6">
        <w:rPr>
          <w:rFonts w:ascii="Book Antiqua" w:eastAsia="SimSun" w:hAnsi="Book Antiqua" w:cs="SimSun"/>
          <w:sz w:val="24"/>
          <w:szCs w:val="24"/>
          <w:lang w:eastAsia="zh-CN"/>
        </w:rPr>
        <w:t>, Wu TT, Choi IS, Wang H, Resetkova E, Correa AM, Hofstetter WL, Swisher SG, Ajani JA, Rashid A, Albarracin CT. Expression of epidermal growth factor receptor in esophageal and esophagogastric junction adenocarcinomas: association with poor outcome.</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109</w:t>
      </w:r>
      <w:r w:rsidRPr="00842DC6">
        <w:rPr>
          <w:rFonts w:ascii="Book Antiqua" w:eastAsia="SimSun" w:hAnsi="Book Antiqua" w:cs="SimSun"/>
          <w:sz w:val="24"/>
          <w:szCs w:val="24"/>
          <w:lang w:eastAsia="zh-CN"/>
        </w:rPr>
        <w:t>: 658-667 [PMID: 17211865 DOI: 10.1002/cncr.22445]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Lieto E</w:t>
      </w:r>
      <w:r w:rsidRPr="00842DC6">
        <w:rPr>
          <w:rFonts w:ascii="Book Antiqua" w:eastAsia="SimSun" w:hAnsi="Book Antiqua" w:cs="SimSun"/>
          <w:sz w:val="24"/>
          <w:szCs w:val="24"/>
          <w:lang w:eastAsia="zh-CN"/>
        </w:rPr>
        <w:t>, Ferraraccio F, Orditura M, Castellano P, Mura AL, Pinto M, Zamboli A, De Vita F, Galizia G. Expression of vascular endothelial growth factor (VEGF) and epidermal growth factor receptor (EGFR) is an independent prognostic indicator of worse outcome in gastric cancer patients.</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Ann Surg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15</w:t>
      </w:r>
      <w:r w:rsidRPr="00842DC6">
        <w:rPr>
          <w:rFonts w:ascii="Book Antiqua" w:eastAsia="SimSun" w:hAnsi="Book Antiqua" w:cs="SimSun"/>
          <w:sz w:val="24"/>
          <w:szCs w:val="24"/>
          <w:lang w:eastAsia="zh-CN"/>
        </w:rPr>
        <w:t>: 69-79 [PMID: 17896140 DOI: 10.1245/s10434-007-9596-0]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Lordick F</w:t>
      </w:r>
      <w:r w:rsidRPr="00842DC6">
        <w:rPr>
          <w:rFonts w:ascii="Book Antiqua" w:eastAsia="SimSun" w:hAnsi="Book Antiqua" w:cs="SimSun"/>
          <w:sz w:val="24"/>
          <w:szCs w:val="24"/>
          <w:lang w:eastAsia="zh-CN"/>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14</w:t>
      </w:r>
      <w:r w:rsidRPr="00842DC6">
        <w:rPr>
          <w:rFonts w:ascii="Book Antiqua" w:eastAsia="SimSun" w:hAnsi="Book Antiqua" w:cs="SimSun"/>
          <w:sz w:val="24"/>
          <w:szCs w:val="24"/>
          <w:lang w:eastAsia="zh-CN"/>
        </w:rPr>
        <w:t>: 490-499 [PMID: 23594786 DOI: 10.1016/]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Waddell T</w:t>
      </w:r>
      <w:r w:rsidRPr="00842DC6">
        <w:rPr>
          <w:rFonts w:ascii="Book Antiqua" w:eastAsia="SimSun" w:hAnsi="Book Antiqua" w:cs="SimSun"/>
          <w:sz w:val="24"/>
          <w:szCs w:val="24"/>
          <w:lang w:eastAsia="zh-CN"/>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14</w:t>
      </w:r>
      <w:r w:rsidRPr="00842DC6">
        <w:rPr>
          <w:rFonts w:ascii="Book Antiqua" w:eastAsia="SimSun" w:hAnsi="Book Antiqua" w:cs="SimSun"/>
          <w:sz w:val="24"/>
          <w:szCs w:val="24"/>
          <w:lang w:eastAsia="zh-CN"/>
        </w:rPr>
        <w:t>: 481-489 [PMID: 23594787 DOI: 10.1016/S1470-2045(13)70096-2]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Ferrara N</w:t>
      </w:r>
      <w:r w:rsidRPr="00842DC6">
        <w:rPr>
          <w:rFonts w:ascii="Book Antiqua" w:eastAsia="SimSun" w:hAnsi="Book Antiqua" w:cs="SimSun"/>
          <w:sz w:val="24"/>
          <w:szCs w:val="24"/>
          <w:lang w:eastAsia="zh-CN"/>
        </w:rPr>
        <w:t>, Gerber HP, LeCouter J. The biology of VEGF and its receptors.</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Med</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9</w:t>
      </w:r>
      <w:r w:rsidRPr="00842DC6">
        <w:rPr>
          <w:rFonts w:ascii="Book Antiqua" w:eastAsia="SimSun" w:hAnsi="Book Antiqua" w:cs="SimSun"/>
          <w:sz w:val="24"/>
          <w:szCs w:val="24"/>
          <w:lang w:eastAsia="zh-CN"/>
        </w:rPr>
        <w:t>: 669-676 [PMID: 12778165 DOI: 10.1038/nm0603-669]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39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Prins MJ</w:t>
      </w:r>
      <w:r w:rsidRPr="00842DC6">
        <w:rPr>
          <w:rFonts w:ascii="Book Antiqua" w:eastAsia="SimSun" w:hAnsi="Book Antiqua" w:cs="SimSun"/>
          <w:sz w:val="24"/>
          <w:szCs w:val="24"/>
          <w:lang w:eastAsia="zh-CN"/>
        </w:rPr>
        <w:t xml:space="preserve">, Verhage RJ, ten Kate FJ, van Hillegersberg R. Cyclooxygenase isoenzyme-2 and vascular endothelial growth factor are associated with poor prognosis in </w:t>
      </w:r>
      <w:r w:rsidRPr="00842DC6">
        <w:rPr>
          <w:rFonts w:ascii="Book Antiqua" w:eastAsia="SimSun" w:hAnsi="Book Antiqua" w:cs="SimSun"/>
          <w:sz w:val="24"/>
          <w:szCs w:val="24"/>
          <w:lang w:eastAsia="zh-CN"/>
        </w:rPr>
        <w:lastRenderedPageBreak/>
        <w:t>esophageal adenocarcinoma.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Gastrointest Surg</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16</w:t>
      </w:r>
      <w:r w:rsidRPr="00842DC6">
        <w:rPr>
          <w:rFonts w:ascii="Book Antiqua" w:eastAsia="SimSun" w:hAnsi="Book Antiqua" w:cs="SimSun"/>
          <w:sz w:val="24"/>
          <w:szCs w:val="24"/>
          <w:lang w:eastAsia="zh-CN"/>
        </w:rPr>
        <w:t>: 956-966 [PMID: 22258871 DOI: 10.1007/s11605-011-1814-1]</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Shi H</w:t>
      </w:r>
      <w:r w:rsidRPr="00842DC6">
        <w:rPr>
          <w:rFonts w:ascii="Book Antiqua" w:eastAsia="SimSun" w:hAnsi="Book Antiqua" w:cs="SimSun"/>
          <w:sz w:val="24"/>
          <w:szCs w:val="24"/>
          <w:lang w:eastAsia="zh-CN"/>
        </w:rPr>
        <w:t>, Xu JM, Hu NZ, Xie HJ. Prognostic significance of expression of cyclooxygenase-2 and vascular endothelial growth factor in human gastric carcinoma.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World J Gastroenterol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9</w:t>
      </w:r>
      <w:r w:rsidRPr="00842DC6">
        <w:rPr>
          <w:rFonts w:ascii="Book Antiqua" w:eastAsia="SimSun" w:hAnsi="Book Antiqua" w:cs="SimSun"/>
          <w:sz w:val="24"/>
          <w:szCs w:val="24"/>
          <w:lang w:eastAsia="zh-CN"/>
        </w:rPr>
        <w:t>: 1421-1426 [PMID: 12854133 DOI: 10.3748/wjg.v9.i7.1421]</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Ohtsu A</w:t>
      </w:r>
      <w:r w:rsidRPr="00842DC6">
        <w:rPr>
          <w:rFonts w:ascii="Book Antiqua" w:eastAsia="SimSun" w:hAnsi="Book Antiqua" w:cs="SimSun"/>
          <w:sz w:val="24"/>
          <w:szCs w:val="24"/>
          <w:lang w:eastAsia="zh-CN"/>
        </w:rPr>
        <w:t>, Shah MA, Van Cutsem E, Rha SY, Sawaki A, Park SR, Lim HY, Yamada Y, Wu J, Langer B, Starnawski M, Kang YK. Bevacizumab in combination with chemotherapy as first-line therapy in advanced gastric cancer: a randomized, double-blind, placebo-controlled phase III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29</w:t>
      </w:r>
      <w:r w:rsidRPr="00842DC6">
        <w:rPr>
          <w:rFonts w:ascii="Book Antiqua" w:eastAsia="SimSun" w:hAnsi="Book Antiqua" w:cs="SimSun"/>
          <w:sz w:val="24"/>
          <w:szCs w:val="24"/>
          <w:lang w:eastAsia="zh-CN"/>
        </w:rPr>
        <w:t>: 3968-3976 [PMID: 21844504 DOI: 10.1200/]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Shen L</w:t>
      </w:r>
      <w:r w:rsidRPr="00842DC6">
        <w:rPr>
          <w:rFonts w:ascii="Book Antiqua" w:eastAsia="SimSun" w:hAnsi="Book Antiqua" w:cs="SimSun"/>
          <w:sz w:val="24"/>
          <w:szCs w:val="24"/>
          <w:lang w:eastAsia="zh-CN"/>
        </w:rPr>
        <w:t>,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Gastric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18</w:t>
      </w:r>
      <w:r w:rsidRPr="00842DC6">
        <w:rPr>
          <w:rFonts w:ascii="Book Antiqua" w:eastAsia="SimSun" w:hAnsi="Book Antiqua" w:cs="SimSun"/>
          <w:sz w:val="24"/>
          <w:szCs w:val="24"/>
          <w:lang w:eastAsia="zh-CN"/>
        </w:rPr>
        <w:t>: 168-176 [PMID: 24557418 DOI: 10.1007/s10120-014-0351-5]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Fuchs CS</w:t>
      </w:r>
      <w:r w:rsidRPr="00842DC6">
        <w:rPr>
          <w:rFonts w:ascii="Book Antiqua" w:eastAsia="SimSun" w:hAnsi="Book Antiqua" w:cs="SimSun"/>
          <w:sz w:val="24"/>
          <w:szCs w:val="24"/>
          <w:lang w:eastAsia="zh-CN"/>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383</w:t>
      </w:r>
      <w:r w:rsidRPr="00842DC6">
        <w:rPr>
          <w:rFonts w:ascii="Book Antiqua" w:eastAsia="SimSun" w:hAnsi="Book Antiqua" w:cs="SimSun"/>
          <w:sz w:val="24"/>
          <w:szCs w:val="24"/>
          <w:lang w:eastAsia="zh-CN"/>
        </w:rPr>
        <w:t>: 31-39 [PMID: 24094768</w:t>
      </w:r>
      <w:r w:rsidRPr="008A2762">
        <w:rPr>
          <w:rFonts w:ascii="Book Antiqua" w:eastAsia="SimSun" w:hAnsi="Book Antiqua" w:cs="SimSun"/>
          <w:sz w:val="24"/>
          <w:szCs w:val="24"/>
          <w:lang w:eastAsia="zh-CN"/>
        </w:rPr>
        <w:t xml:space="preserve"> DOI: 10.1016/S0140-6736(13)61719-5</w:t>
      </w:r>
      <w:r w:rsidRPr="00842DC6">
        <w:rPr>
          <w:rFonts w:ascii="Book Antiqua" w:eastAsia="SimSun" w:hAnsi="Book Antiqua" w:cs="SimSun"/>
          <w:sz w:val="24"/>
          <w:szCs w:val="24"/>
          <w:lang w:eastAsia="zh-CN"/>
        </w:rPr>
        <w:t>]</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44 </w:t>
      </w:r>
      <w:r w:rsidRPr="00842DC6">
        <w:rPr>
          <w:rFonts w:ascii="Book Antiqua" w:eastAsia="SimSun" w:hAnsi="Book Antiqua" w:cs="SimSun"/>
          <w:b/>
          <w:sz w:val="24"/>
          <w:szCs w:val="24"/>
          <w:lang w:eastAsia="zh-CN"/>
        </w:rPr>
        <w:t>Wilke H</w:t>
      </w:r>
      <w:r w:rsidRPr="00842DC6">
        <w:rPr>
          <w:rFonts w:ascii="Book Antiqua" w:eastAsia="SimSun" w:hAnsi="Book Antiqua" w:cs="SimSun"/>
          <w:sz w:val="24"/>
          <w:szCs w:val="24"/>
          <w:lang w:eastAsia="zh-CN"/>
        </w:rPr>
        <w:t xml:space="preserve">, Van Cutsem E, Oh SC, Bodoky G, Shimada Y, Hironaka S, Sugimoto N, Lipatov ON, Kim TY, Cunningham D, Ohtsu A, Rougier P, Emig M, Carlesi R, Chandrawansa K, Muro K. RAINBOW: A global, phase 3, randomized, double-blind study of ramucirumab plus paclitaxel versus placebo plus paclitaxel in the treatment of metastatic gastric adenocarcinoma following disease progression on first-line platinum- </w:t>
      </w:r>
      <w:r w:rsidRPr="00842DC6">
        <w:rPr>
          <w:rFonts w:ascii="Book Antiqua" w:eastAsia="SimSun" w:hAnsi="Book Antiqua" w:cs="SimSun"/>
          <w:sz w:val="24"/>
          <w:szCs w:val="24"/>
          <w:lang w:eastAsia="zh-CN"/>
        </w:rPr>
        <w:lastRenderedPageBreak/>
        <w:t xml:space="preserve">and fluoropyrimidine-containing combination therapy: Results of a multiple Cox regression analysis adjusting for prognostic factors. </w:t>
      </w:r>
      <w:r w:rsidRPr="00842DC6">
        <w:rPr>
          <w:rFonts w:ascii="Book Antiqua" w:eastAsia="SimSun" w:hAnsi="Book Antiqua" w:cs="SimSun"/>
          <w:i/>
          <w:sz w:val="24"/>
          <w:szCs w:val="24"/>
          <w:lang w:eastAsia="zh-CN"/>
        </w:rPr>
        <w:t>J Clin Oncol</w:t>
      </w:r>
      <w:r w:rsidRPr="00842DC6">
        <w:rPr>
          <w:rFonts w:ascii="Book Antiqua" w:eastAsia="SimSun" w:hAnsi="Book Antiqua" w:cs="SimSun"/>
          <w:sz w:val="24"/>
          <w:szCs w:val="24"/>
          <w:lang w:eastAsia="zh-CN"/>
        </w:rPr>
        <w:t xml:space="preserve"> 2014; </w:t>
      </w:r>
      <w:r w:rsidRPr="00842DC6">
        <w:rPr>
          <w:rFonts w:ascii="Book Antiqua" w:eastAsia="SimSun" w:hAnsi="Book Antiqua" w:cs="SimSun"/>
          <w:b/>
          <w:sz w:val="24"/>
          <w:szCs w:val="24"/>
          <w:lang w:eastAsia="zh-CN"/>
        </w:rPr>
        <w:t>32</w:t>
      </w:r>
      <w:r w:rsidRPr="00842DC6">
        <w:rPr>
          <w:rFonts w:ascii="Book Antiqua" w:eastAsia="SimSun" w:hAnsi="Book Antiqua" w:cs="SimSun"/>
          <w:sz w:val="24"/>
          <w:szCs w:val="24"/>
          <w:lang w:eastAsia="zh-CN"/>
        </w:rPr>
        <w:t>: abstr 4076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Wilke H</w:t>
      </w:r>
      <w:r w:rsidRPr="00842DC6">
        <w:rPr>
          <w:rFonts w:ascii="Book Antiqua" w:eastAsia="SimSun" w:hAnsi="Book Antiqua" w:cs="SimSun"/>
          <w:sz w:val="24"/>
          <w:szCs w:val="24"/>
          <w:lang w:eastAsia="zh-CN"/>
        </w:rPr>
        <w:t>,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15</w:t>
      </w:r>
      <w:r w:rsidRPr="00842DC6">
        <w:rPr>
          <w:rFonts w:ascii="Book Antiqua" w:eastAsia="SimSun" w:hAnsi="Book Antiqua" w:cs="SimSun"/>
          <w:sz w:val="24"/>
          <w:szCs w:val="24"/>
          <w:lang w:eastAsia="zh-CN"/>
        </w:rPr>
        <w:t>: 1224-1235 [PMID: 25240821 DOI: 10.1016/S1470-2045(14)70420-6]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46 </w:t>
      </w:r>
      <w:r w:rsidRPr="00842DC6">
        <w:rPr>
          <w:rFonts w:ascii="Book Antiqua" w:eastAsia="SimSun" w:hAnsi="Book Antiqua" w:cs="SimSun"/>
          <w:b/>
          <w:sz w:val="24"/>
          <w:szCs w:val="24"/>
          <w:lang w:eastAsia="zh-CN"/>
        </w:rPr>
        <w:t>Yoon HH</w:t>
      </w:r>
      <w:r w:rsidRPr="00842DC6">
        <w:rPr>
          <w:rFonts w:ascii="Book Antiqua" w:eastAsia="SimSun" w:hAnsi="Book Antiqua" w:cs="SimSun"/>
          <w:sz w:val="24"/>
          <w:szCs w:val="24"/>
          <w:lang w:eastAsia="zh-CN"/>
        </w:rPr>
        <w:t xml:space="preserve">, Bendell JC, Braiteh FS, Firdaus I, Philip PA, Cohn AL, Lewis N, Anderson DM, Arrowsmith E, Schwartz JD, Xu Y, Koshiji M, Alberts SR, Wainberg ZA. Ramucirumab (RAM) plus FOLFOX as front-line therapy (Rx) for advanced gastric or esophageal adenocarcinoma (GE-AC): Randomized, double-blind, multicenter phase 2 trial.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2014; </w:t>
      </w:r>
      <w:r w:rsidRPr="00842DC6">
        <w:rPr>
          <w:rFonts w:ascii="Book Antiqua" w:eastAsia="SimSun" w:hAnsi="Book Antiqua" w:cs="SimSun"/>
          <w:b/>
          <w:sz w:val="24"/>
          <w:szCs w:val="24"/>
          <w:lang w:eastAsia="zh-CN"/>
        </w:rPr>
        <w:t>32</w:t>
      </w:r>
      <w:r w:rsidRPr="00842DC6">
        <w:rPr>
          <w:rFonts w:ascii="Book Antiqua" w:eastAsia="SimSun" w:hAnsi="Book Antiqua" w:cs="SimSun"/>
          <w:sz w:val="24"/>
          <w:szCs w:val="24"/>
          <w:lang w:eastAsia="zh-CN"/>
        </w:rPr>
        <w:t>: abstr 4004</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47 </w:t>
      </w:r>
      <w:r w:rsidRPr="00842DC6">
        <w:rPr>
          <w:rFonts w:ascii="Book Antiqua" w:eastAsia="SimSun" w:hAnsi="Book Antiqua" w:cs="SimSun"/>
          <w:b/>
          <w:sz w:val="24"/>
          <w:szCs w:val="24"/>
          <w:lang w:eastAsia="zh-CN"/>
        </w:rPr>
        <w:t>Qin S</w:t>
      </w:r>
      <w:r w:rsidRPr="00842DC6">
        <w:rPr>
          <w:rFonts w:ascii="Book Antiqua" w:eastAsia="SimSun" w:hAnsi="Book Antiqua" w:cs="SimSun"/>
          <w:sz w:val="24"/>
          <w:szCs w:val="24"/>
          <w:lang w:eastAsia="zh-CN"/>
        </w:rPr>
        <w:t xml:space="preserve">. Phase III study of apatinib in advanced gastric cancer: A randomized, double-blind, placebo-controlled trial. </w:t>
      </w:r>
      <w:r w:rsidRPr="00842DC6">
        <w:rPr>
          <w:rFonts w:ascii="Book Antiqua" w:eastAsia="SimSun" w:hAnsi="Book Antiqua" w:cs="SimSun"/>
          <w:i/>
          <w:sz w:val="24"/>
          <w:szCs w:val="24"/>
          <w:lang w:eastAsia="zh-CN"/>
        </w:rPr>
        <w:t>J Clin Oncol</w:t>
      </w:r>
      <w:r w:rsidRPr="00842DC6">
        <w:rPr>
          <w:rFonts w:ascii="Book Antiqua" w:eastAsia="SimSun" w:hAnsi="Book Antiqua" w:cs="SimSun"/>
          <w:sz w:val="24"/>
          <w:szCs w:val="24"/>
          <w:lang w:eastAsia="zh-CN"/>
        </w:rPr>
        <w:t xml:space="preserve"> 2014; </w:t>
      </w:r>
      <w:r w:rsidRPr="00842DC6">
        <w:rPr>
          <w:rFonts w:ascii="Book Antiqua" w:eastAsia="SimSun" w:hAnsi="Book Antiqua" w:cs="SimSun"/>
          <w:b/>
          <w:sz w:val="24"/>
          <w:szCs w:val="24"/>
          <w:lang w:eastAsia="zh-CN"/>
        </w:rPr>
        <w:t>32</w:t>
      </w:r>
      <w:r w:rsidRPr="00842DC6">
        <w:rPr>
          <w:rFonts w:ascii="Book Antiqua" w:eastAsia="SimSun" w:hAnsi="Book Antiqua" w:cs="SimSun"/>
          <w:sz w:val="24"/>
          <w:szCs w:val="24"/>
          <w:lang w:eastAsia="zh-CN"/>
        </w:rPr>
        <w:t>: abstr 4003</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48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Bang YJ</w:t>
      </w:r>
      <w:r w:rsidRPr="00842DC6">
        <w:rPr>
          <w:rFonts w:ascii="Book Antiqua" w:eastAsia="SimSun" w:hAnsi="Book Antiqua" w:cs="SimSun"/>
          <w:sz w:val="24"/>
          <w:szCs w:val="24"/>
          <w:lang w:eastAsia="zh-CN"/>
        </w:rPr>
        <w:t>, Kang YK, Kang WK, Boku N, Chung HC, Chen JS, Doi T, Sun Y, Shen L, Qin S, Ng WT, Tursi JM, Lechuga MJ, Lu DR, Ruiz-Garcia A, Sobrero A. Phase II study of sunitinib as second-line treatment for advanced 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Invest New Drugs</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29</w:t>
      </w:r>
      <w:r w:rsidRPr="00842DC6">
        <w:rPr>
          <w:rFonts w:ascii="Book Antiqua" w:eastAsia="SimSun" w:hAnsi="Book Antiqua" w:cs="SimSun"/>
          <w:sz w:val="24"/>
          <w:szCs w:val="24"/>
          <w:lang w:eastAsia="zh-CN"/>
        </w:rPr>
        <w:t>: 1449-1458 [PMID: 20461441 DOI: 10.1007/s10637-010-9438-y]</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49</w:t>
      </w:r>
      <w:r w:rsidRPr="00842DC6">
        <w:rPr>
          <w:rFonts w:ascii="Book Antiqua" w:eastAsia="SimSun" w:hAnsi="Book Antiqua" w:cs="SimSun"/>
          <w:sz w:val="24"/>
          <w:szCs w:val="24"/>
          <w:lang w:eastAsia="zh-CN"/>
        </w:rPr>
        <w:t xml:space="preserve"> </w:t>
      </w:r>
      <w:r w:rsidRPr="00842DC6">
        <w:rPr>
          <w:rFonts w:ascii="Book Antiqua" w:eastAsia="SimSun" w:hAnsi="Book Antiqua" w:cs="SimSun"/>
          <w:b/>
          <w:sz w:val="24"/>
          <w:szCs w:val="24"/>
          <w:lang w:eastAsia="zh-CN"/>
        </w:rPr>
        <w:t>Moehler MH</w:t>
      </w:r>
      <w:r w:rsidRPr="00842DC6">
        <w:rPr>
          <w:rFonts w:ascii="Book Antiqua" w:eastAsia="SimSun" w:hAnsi="Book Antiqua" w:cs="SimSun"/>
          <w:sz w:val="24"/>
          <w:szCs w:val="24"/>
          <w:lang w:eastAsia="zh-CN"/>
        </w:rPr>
        <w:t>, Thuss-Patience PC, Schmoll HJ, Hegewisch-Becker S, Wilke H, Al-Batran SE, Weissinger F, Kullmann F, Fischer Von Weikersthal L, Siveke JT, Kanzler S, Schimanski CC, Otte M, Schollenberger L, Koenig J, Galle PR. FOLFIRI plus sunitinib versus FOLFIRI alone in advanced chemorefractory esophagogastric cancer patients: a randomized placebo-controlled multicentric AIO phase II trial.</w:t>
      </w:r>
      <w:r w:rsidRPr="00842DC6">
        <w:rPr>
          <w:rFonts w:ascii="Book Antiqua" w:eastAsia="SimSun" w:hAnsi="Book Antiqua" w:cs="SimSun"/>
          <w:i/>
          <w:sz w:val="24"/>
          <w:szCs w:val="24"/>
          <w:lang w:eastAsia="zh-CN"/>
        </w:rPr>
        <w:t xml:space="preserve"> J Clin Oncol</w:t>
      </w:r>
      <w:r w:rsidRPr="00842DC6">
        <w:rPr>
          <w:rFonts w:ascii="Book Antiqua" w:eastAsia="SimSun" w:hAnsi="Book Antiqua" w:cs="SimSun"/>
          <w:sz w:val="24"/>
          <w:szCs w:val="24"/>
          <w:lang w:eastAsia="zh-CN"/>
        </w:rPr>
        <w:t xml:space="preserve"> 2013; </w:t>
      </w:r>
      <w:r w:rsidRPr="00842DC6">
        <w:rPr>
          <w:rFonts w:ascii="Book Antiqua" w:eastAsia="SimSun" w:hAnsi="Book Antiqua" w:cs="SimSun"/>
          <w:b/>
          <w:sz w:val="24"/>
          <w:szCs w:val="24"/>
          <w:lang w:eastAsia="zh-CN"/>
        </w:rPr>
        <w:t>31</w:t>
      </w:r>
      <w:r w:rsidRPr="00842DC6">
        <w:rPr>
          <w:rFonts w:ascii="Book Antiqua" w:eastAsia="SimSun" w:hAnsi="Book Antiqua" w:cs="SimSun"/>
          <w:sz w:val="24"/>
          <w:szCs w:val="24"/>
          <w:lang w:eastAsia="zh-CN"/>
        </w:rPr>
        <w:t>: abstr 4086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Sun W</w:t>
      </w:r>
      <w:r w:rsidRPr="00842DC6">
        <w:rPr>
          <w:rFonts w:ascii="Book Antiqua" w:eastAsia="SimSun" w:hAnsi="Book Antiqua" w:cs="SimSun"/>
          <w:sz w:val="24"/>
          <w:szCs w:val="24"/>
          <w:lang w:eastAsia="zh-CN"/>
        </w:rPr>
        <w:t xml:space="preserve">, Powell M, O'Dwyer PJ, Catalano P, Ansari RH, Benson AB. Phase II study of sorafenib in combination with docetaxel and cisplatin in the treatment of metastatic or </w:t>
      </w:r>
      <w:r w:rsidRPr="00842DC6">
        <w:rPr>
          <w:rFonts w:ascii="Book Antiqua" w:eastAsia="SimSun" w:hAnsi="Book Antiqua" w:cs="SimSun"/>
          <w:sz w:val="24"/>
          <w:szCs w:val="24"/>
          <w:lang w:eastAsia="zh-CN"/>
        </w:rPr>
        <w:lastRenderedPageBreak/>
        <w:t>advanced gastric and gastroesophageal junction adenocarcinoma: ECOG 5203.</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28</w:t>
      </w:r>
      <w:r w:rsidRPr="00842DC6">
        <w:rPr>
          <w:rFonts w:ascii="Book Antiqua" w:eastAsia="SimSun" w:hAnsi="Book Antiqua" w:cs="SimSun"/>
          <w:sz w:val="24"/>
          <w:szCs w:val="24"/>
          <w:lang w:eastAsia="zh-CN"/>
        </w:rPr>
        <w:t>: 2947-2951 [PMID: 20458043 DOI: 10.1200/JCO.2009.27.7988]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Martin-Richard M</w:t>
      </w:r>
      <w:r w:rsidRPr="00842DC6">
        <w:rPr>
          <w:rFonts w:ascii="Book Antiqua" w:eastAsia="SimSun" w:hAnsi="Book Antiqua" w:cs="SimSun"/>
          <w:sz w:val="24"/>
          <w:szCs w:val="24"/>
          <w:lang w:eastAsia="zh-CN"/>
        </w:rPr>
        <w:t>, Gallego R, Pericay C, Garcia Foncillas J, Queralt B, Casado E, Barriuso J, Iranzo V, Juez I, Visa L, Saigi E, Barnadas A, Garcia-Albeniz X, Maurel J. Multicenter phase II study of oxaliplatin and sorafenib in advanced gastric adenocarcinoma after failure of cisplatin and fluoropyrimidine treatment. A GEMCAD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Invest New Drugs</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31</w:t>
      </w:r>
      <w:r w:rsidRPr="00842DC6">
        <w:rPr>
          <w:rFonts w:ascii="Book Antiqua" w:eastAsia="SimSun" w:hAnsi="Book Antiqua" w:cs="SimSun"/>
          <w:sz w:val="24"/>
          <w:szCs w:val="24"/>
          <w:lang w:eastAsia="zh-CN"/>
        </w:rPr>
        <w:t>: 1573-1579 [PMID: 24077981 DOI: 10.1007/s10637-013-0020-2]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52 </w:t>
      </w:r>
      <w:r w:rsidRPr="00842DC6">
        <w:rPr>
          <w:rFonts w:ascii="Book Antiqua" w:eastAsia="SimSun" w:hAnsi="Book Antiqua" w:cs="SimSun"/>
          <w:b/>
          <w:sz w:val="24"/>
          <w:szCs w:val="24"/>
          <w:lang w:eastAsia="zh-CN"/>
        </w:rPr>
        <w:t>Thuss-Patience PC</w:t>
      </w:r>
      <w:r w:rsidRPr="00842DC6">
        <w:rPr>
          <w:rFonts w:ascii="Book Antiqua" w:eastAsia="SimSun" w:hAnsi="Book Antiqua" w:cs="SimSun"/>
          <w:sz w:val="24"/>
          <w:szCs w:val="24"/>
          <w:lang w:eastAsia="zh-CN"/>
        </w:rPr>
        <w:t xml:space="preserve">, Al-Batran SE, Siveke JT, Homann N, Malfertheiner P, Glaeser D, </w:t>
      </w:r>
      <w:r w:rsidR="00EC2237" w:rsidRPr="00EC2237">
        <w:rPr>
          <w:rFonts w:ascii="Book Antiqua" w:eastAsia="SimSun" w:hAnsi="Book Antiqua" w:cs="SimSun"/>
          <w:i/>
          <w:sz w:val="24"/>
          <w:szCs w:val="24"/>
          <w:lang w:eastAsia="zh-CN"/>
        </w:rPr>
        <w:t>et al</w:t>
      </w:r>
      <w:r w:rsidRPr="00842DC6">
        <w:rPr>
          <w:rFonts w:ascii="Book Antiqua" w:eastAsia="SimSun" w:hAnsi="Book Antiqua" w:cs="SimSun"/>
          <w:sz w:val="24"/>
          <w:szCs w:val="24"/>
          <w:lang w:eastAsia="zh-CN"/>
        </w:rPr>
        <w:t xml:space="preserve">. Pazopanib and 5-FU/oxaliplatin as first-line treatment in advanced gastric cancer: PaFLO, a randomized phase II study from the AIO (Arbeitsgemeinschaft Internistische Onkologie).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4033</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53 </w:t>
      </w:r>
      <w:r w:rsidRPr="00842DC6">
        <w:rPr>
          <w:rFonts w:ascii="Book Antiqua" w:eastAsia="SimSun" w:hAnsi="Book Antiqua" w:cs="SimSun"/>
          <w:b/>
          <w:sz w:val="24"/>
          <w:szCs w:val="24"/>
          <w:lang w:eastAsia="zh-CN"/>
        </w:rPr>
        <w:t>Pavlakis N</w:t>
      </w:r>
      <w:r w:rsidRPr="00842DC6">
        <w:rPr>
          <w:rFonts w:ascii="Book Antiqua" w:eastAsia="SimSun" w:hAnsi="Book Antiqua" w:cs="SimSun"/>
          <w:sz w:val="24"/>
          <w:szCs w:val="24"/>
          <w:lang w:eastAsia="zh-CN"/>
        </w:rPr>
        <w:t xml:space="preserve">, Sjoquist KM, Tsobanis E, Martin AJ, Kang YK, Bang YJ, O'Callaghan CJ, Tebbutt NC, Rha SY, Lee J, Cho JY, Lipton LR, Burnell MJ, Alcindor T, Strickland A, Kim JW, Yip S, Simes J, Zalcberg JR, Goldstein D. INTEGRATE: A randomized, phase II, double-blind, placebo-controlled study of regorafenib in refractory advanced oesophagogastric cancer (AOGC): A study by the Australasian Gastrointestinal Trials Group (AGITG)—Final overall and subgroup results.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4003</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Guertin DA</w:t>
      </w:r>
      <w:r w:rsidRPr="00842DC6">
        <w:rPr>
          <w:rFonts w:ascii="Book Antiqua" w:eastAsia="SimSun" w:hAnsi="Book Antiqua" w:cs="SimSun"/>
          <w:sz w:val="24"/>
          <w:szCs w:val="24"/>
          <w:lang w:eastAsia="zh-CN"/>
        </w:rPr>
        <w:t>, Sabatini DM. Defining the role of mTOR in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Cancer Cell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12</w:t>
      </w:r>
      <w:r w:rsidRPr="00842DC6">
        <w:rPr>
          <w:rFonts w:ascii="Book Antiqua" w:eastAsia="SimSun" w:hAnsi="Book Antiqua" w:cs="SimSun"/>
          <w:sz w:val="24"/>
          <w:szCs w:val="24"/>
          <w:lang w:eastAsia="zh-CN"/>
        </w:rPr>
        <w:t>: 9-22 [PMID: 17613433 DOI: 10.1016/j.ccr.2007.05.008]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Bjornsti MA</w:t>
      </w:r>
      <w:r w:rsidRPr="00842DC6">
        <w:rPr>
          <w:rFonts w:ascii="Book Antiqua" w:eastAsia="SimSun" w:hAnsi="Book Antiqua" w:cs="SimSun"/>
          <w:sz w:val="24"/>
          <w:szCs w:val="24"/>
          <w:lang w:eastAsia="zh-CN"/>
        </w:rPr>
        <w:t>, Houghton PJ. The TOR pathway: a target for cancer therapy.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Rev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4</w:t>
      </w:r>
      <w:r w:rsidRPr="00842DC6">
        <w:rPr>
          <w:rFonts w:ascii="Book Antiqua" w:eastAsia="SimSun" w:hAnsi="Book Antiqua" w:cs="SimSun"/>
          <w:sz w:val="24"/>
          <w:szCs w:val="24"/>
          <w:lang w:eastAsia="zh-CN"/>
        </w:rPr>
        <w:t>: 335-348 [PMID: 15122205 DOI: 10.1038/nrc1362]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56</w:t>
      </w:r>
      <w:r w:rsidRPr="008A2762">
        <w:rPr>
          <w:rFonts w:ascii="Book Antiqua" w:eastAsia="SimSun" w:hAnsi="Book Antiqua" w:cs="SimSun"/>
          <w:sz w:val="24"/>
          <w:szCs w:val="24"/>
          <w:lang w:eastAsia="zh-CN"/>
        </w:rPr>
        <w:t> </w:t>
      </w:r>
      <w:r w:rsidRPr="008A2762">
        <w:rPr>
          <w:rFonts w:ascii="Book Antiqua" w:hAnsi="Book Antiqua"/>
          <w:b/>
          <w:bCs/>
          <w:sz w:val="24"/>
          <w:szCs w:val="24"/>
        </w:rPr>
        <w:t>Shi J</w:t>
      </w:r>
      <w:r w:rsidRPr="008A2762">
        <w:rPr>
          <w:rFonts w:ascii="Book Antiqua" w:hAnsi="Book Antiqua"/>
          <w:sz w:val="24"/>
          <w:szCs w:val="24"/>
        </w:rPr>
        <w:t>, Yao D, Liu W, Wang N, Lv H, He N, Shi B, Hou P, Ji M. Frequent gene amplification predicts poor prognosis in gastric cancer.</w:t>
      </w:r>
      <w:r w:rsidRPr="008A2762">
        <w:rPr>
          <w:rStyle w:val="apple-converted-space"/>
          <w:rFonts w:ascii="Book Antiqua" w:hAnsi="Book Antiqua"/>
          <w:sz w:val="24"/>
          <w:szCs w:val="24"/>
        </w:rPr>
        <w:t> </w:t>
      </w:r>
      <w:r w:rsidRPr="008A2762">
        <w:rPr>
          <w:rFonts w:ascii="Book Antiqua" w:hAnsi="Book Antiqua"/>
          <w:i/>
          <w:iCs/>
          <w:sz w:val="24"/>
          <w:szCs w:val="24"/>
        </w:rPr>
        <w:t>Int J Mol Sci</w:t>
      </w:r>
      <w:r w:rsidRPr="008A2762">
        <w:rPr>
          <w:rStyle w:val="apple-converted-space"/>
          <w:rFonts w:ascii="Book Antiqua" w:hAnsi="Book Antiqua"/>
          <w:sz w:val="24"/>
          <w:szCs w:val="24"/>
        </w:rPr>
        <w:t> </w:t>
      </w:r>
      <w:r w:rsidRPr="008A2762">
        <w:rPr>
          <w:rFonts w:ascii="Book Antiqua" w:hAnsi="Book Antiqua"/>
          <w:sz w:val="24"/>
          <w:szCs w:val="24"/>
        </w:rPr>
        <w:t>2012;</w:t>
      </w:r>
      <w:r w:rsidRPr="008A2762">
        <w:rPr>
          <w:rStyle w:val="apple-converted-space"/>
          <w:rFonts w:ascii="Book Antiqua" w:hAnsi="Book Antiqua"/>
          <w:sz w:val="24"/>
          <w:szCs w:val="24"/>
        </w:rPr>
        <w:t> </w:t>
      </w:r>
      <w:r w:rsidRPr="008A2762">
        <w:rPr>
          <w:rFonts w:ascii="Book Antiqua" w:hAnsi="Book Antiqua"/>
          <w:b/>
          <w:bCs/>
          <w:sz w:val="24"/>
          <w:szCs w:val="24"/>
        </w:rPr>
        <w:t>13</w:t>
      </w:r>
      <w:r w:rsidRPr="008A2762">
        <w:rPr>
          <w:rFonts w:ascii="Book Antiqua" w:hAnsi="Book Antiqua"/>
          <w:sz w:val="24"/>
          <w:szCs w:val="24"/>
        </w:rPr>
        <w:t>: 4714-4726 [PMID: 22606006 DOI: 10.3390/ijms13044714]</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57</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Yu HG</w:t>
      </w:r>
      <w:r w:rsidRPr="00842DC6">
        <w:rPr>
          <w:rFonts w:ascii="Book Antiqua" w:eastAsia="SimSun" w:hAnsi="Book Antiqua" w:cs="SimSun"/>
          <w:sz w:val="24"/>
          <w:szCs w:val="24"/>
          <w:lang w:eastAsia="zh-CN"/>
        </w:rPr>
        <w:t xml:space="preserve">, Ai YW, Yu LL, Zhou XD, Liu J, Li JH, Xu XM, Liu S, Chen J, Liu F, Qi YL, Deng Q, Cao J, Liu SQ, Luo HS, Yu JP. Phosphoinositide 3-kinase/Akt pathway plays an important role in chemoresistance of gastric cancer cells against etoposide and </w:t>
      </w:r>
      <w:r w:rsidRPr="00842DC6">
        <w:rPr>
          <w:rFonts w:ascii="Book Antiqua" w:eastAsia="SimSun" w:hAnsi="Book Antiqua" w:cs="SimSun"/>
          <w:sz w:val="24"/>
          <w:szCs w:val="24"/>
          <w:lang w:eastAsia="zh-CN"/>
        </w:rPr>
        <w:lastRenderedPageBreak/>
        <w:t>doxorubicin induced cell death.</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Int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122</w:t>
      </w:r>
      <w:r w:rsidRPr="00842DC6">
        <w:rPr>
          <w:rFonts w:ascii="Book Antiqua" w:eastAsia="SimSun" w:hAnsi="Book Antiqua" w:cs="SimSun"/>
          <w:sz w:val="24"/>
          <w:szCs w:val="24"/>
          <w:lang w:eastAsia="zh-CN"/>
        </w:rPr>
        <w:t>: 433-443 [PMID: 17935137 DOI: 10.1002/ijc.23049]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58</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Ohtsu A</w:t>
      </w:r>
      <w:r w:rsidRPr="00842DC6">
        <w:rPr>
          <w:rFonts w:ascii="Book Antiqua" w:eastAsia="SimSun" w:hAnsi="Book Antiqua" w:cs="SimSun"/>
          <w:sz w:val="24"/>
          <w:szCs w:val="24"/>
          <w:lang w:eastAsia="zh-CN"/>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31</w:t>
      </w:r>
      <w:r w:rsidRPr="00842DC6">
        <w:rPr>
          <w:rFonts w:ascii="Book Antiqua" w:eastAsia="SimSun" w:hAnsi="Book Antiqua" w:cs="SimSun"/>
          <w:sz w:val="24"/>
          <w:szCs w:val="24"/>
          <w:lang w:eastAsia="zh-CN"/>
        </w:rPr>
        <w:t>: 3935-3943 [PMID: 24043745 DOI: 10.1200/JCO.2012.48.3552]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59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Gherardi E</w:t>
      </w:r>
      <w:r w:rsidRPr="00842DC6">
        <w:rPr>
          <w:rFonts w:ascii="Book Antiqua" w:eastAsia="SimSun" w:hAnsi="Book Antiqua" w:cs="SimSun"/>
          <w:sz w:val="24"/>
          <w:szCs w:val="24"/>
          <w:lang w:eastAsia="zh-CN"/>
        </w:rPr>
        <w:t>, Birchmeier W, Birchmeier C, Vande Woude G. Targeting MET in cancer: rationale and progress.</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Rev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12</w:t>
      </w:r>
      <w:r w:rsidRPr="00842DC6">
        <w:rPr>
          <w:rFonts w:ascii="Book Antiqua" w:eastAsia="SimSun" w:hAnsi="Book Antiqua" w:cs="SimSun"/>
          <w:sz w:val="24"/>
          <w:szCs w:val="24"/>
          <w:lang w:eastAsia="zh-CN"/>
        </w:rPr>
        <w:t>: 89-103 [PMID: 22270953 DOI: 10.1038/nrc3205]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Yashiro M</w:t>
      </w:r>
      <w:r w:rsidRPr="00842DC6">
        <w:rPr>
          <w:rFonts w:ascii="Book Antiqua" w:eastAsia="SimSun" w:hAnsi="Book Antiqua" w:cs="SimSun"/>
          <w:sz w:val="24"/>
          <w:szCs w:val="24"/>
          <w:lang w:eastAsia="zh-CN"/>
        </w:rPr>
        <w:t>, Nishii T, Hasegawa T, Matsuzaki T, Morisaki T, Fukuoka T, Hirakawa K. A c-Met inhibitor increases the chemosensitivity of cancer stem cells to the irinotecan in gastric carcinoma.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Br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109</w:t>
      </w:r>
      <w:r w:rsidRPr="00842DC6">
        <w:rPr>
          <w:rFonts w:ascii="Book Antiqua" w:eastAsia="SimSun" w:hAnsi="Book Antiqua" w:cs="SimSun"/>
          <w:sz w:val="24"/>
          <w:szCs w:val="24"/>
          <w:lang w:eastAsia="zh-CN"/>
        </w:rPr>
        <w:t>: 2619-2628 [PMID: 24129235 DOI: 10.1038/bjc.2013.638]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Nakajima M</w:t>
      </w:r>
      <w:r w:rsidRPr="00842DC6">
        <w:rPr>
          <w:rFonts w:ascii="Book Antiqua" w:eastAsia="SimSun" w:hAnsi="Book Antiqua" w:cs="SimSun"/>
          <w:sz w:val="24"/>
          <w:szCs w:val="24"/>
          <w:lang w:eastAsia="zh-CN"/>
        </w:rPr>
        <w:t>, Sawada H, Yamada Y, Watanabe A, Tatsumi M, Yamashita J, Matsuda M, Sakaguchi T, Hirao T, Nakano H. The prognostic significance of amplification and overexpression of c-met and c-erb B-2 in human gastric carcinomas.</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1999;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85</w:t>
      </w:r>
      <w:r w:rsidRPr="00842DC6">
        <w:rPr>
          <w:rFonts w:ascii="Book Antiqua" w:eastAsia="SimSun" w:hAnsi="Book Antiqua" w:cs="SimSun"/>
          <w:sz w:val="24"/>
          <w:szCs w:val="24"/>
          <w:lang w:eastAsia="zh-CN"/>
        </w:rPr>
        <w:t>: 1894-1902 [PMID: 10223227 DOI: 10.1002/(SICI)1097-0142(19990501)85: 9&lt;1894: : AID-CNCR3&gt;3.0.CO; 2-J]</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Graziano F</w:t>
      </w:r>
      <w:r w:rsidRPr="00842DC6">
        <w:rPr>
          <w:rFonts w:ascii="Book Antiqua" w:eastAsia="SimSun" w:hAnsi="Book Antiqua" w:cs="SimSun"/>
          <w:sz w:val="24"/>
          <w:szCs w:val="24"/>
          <w:lang w:eastAsia="zh-CN"/>
        </w:rPr>
        <w:t>, Galluccio N, Lorenzini P, Ruzzo A, Canestrari E, D'Emidio S, Catalano V, Sisti V, Ligorio C, Andreoni F, Rulli E, Di Oto E, Fiorentini G, Zingaretti C, De Nictolis M, Cappuzzo F, Magnani M. Genetic activation of the MET pathway and prognosis of patients with high-risk, radically resected 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29</w:t>
      </w:r>
      <w:r w:rsidRPr="00842DC6">
        <w:rPr>
          <w:rFonts w:ascii="Book Antiqua" w:eastAsia="SimSun" w:hAnsi="Book Antiqua" w:cs="SimSun"/>
          <w:sz w:val="24"/>
          <w:szCs w:val="24"/>
          <w:lang w:eastAsia="zh-CN"/>
        </w:rPr>
        <w:t>: 4789-4795 [PMID: 22042954 DOI: 10.1200/JCO.2011.36.7706]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Lennerz JK</w:t>
      </w:r>
      <w:r w:rsidRPr="00842DC6">
        <w:rPr>
          <w:rFonts w:ascii="Book Antiqua" w:eastAsia="SimSun" w:hAnsi="Book Antiqua" w:cs="SimSun"/>
          <w:sz w:val="24"/>
          <w:szCs w:val="24"/>
          <w:lang w:eastAsia="zh-CN"/>
        </w:rPr>
        <w:t>, Kwak EL, Ackerman A, Michael M, Fox SB, Bergethon K, Lauwers GY, Christensen JG, Wilner KD, Haber DA, Salgia R, Bang YJ, Clark JW, Solomon BJ, Iafrate AJ. MET amplification identifies a small and aggressive subgroup of esophagogastric adenocarcinoma with evidence of responsiveness to crizotinib.</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29</w:t>
      </w:r>
      <w:r w:rsidRPr="00842DC6">
        <w:rPr>
          <w:rFonts w:ascii="Book Antiqua" w:eastAsia="SimSun" w:hAnsi="Book Antiqua" w:cs="SimSun"/>
          <w:sz w:val="24"/>
          <w:szCs w:val="24"/>
          <w:lang w:eastAsia="zh-CN"/>
        </w:rPr>
        <w:t>: 4803-4810 [PMID: 22042947 DOI: 10.1200/JCO.2011.35.4928]</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lastRenderedPageBreak/>
        <w:t xml:space="preserve">64 </w:t>
      </w:r>
      <w:r w:rsidRPr="00842DC6">
        <w:rPr>
          <w:rFonts w:ascii="Book Antiqua" w:eastAsia="SimSun" w:hAnsi="Book Antiqua" w:cs="SimSun"/>
          <w:b/>
          <w:sz w:val="24"/>
          <w:szCs w:val="24"/>
          <w:lang w:eastAsia="zh-CN"/>
        </w:rPr>
        <w:t>Oliner KS</w:t>
      </w:r>
      <w:r w:rsidRPr="00842DC6">
        <w:rPr>
          <w:rFonts w:ascii="Book Antiqua" w:eastAsia="SimSun" w:hAnsi="Book Antiqua" w:cs="SimSun"/>
          <w:sz w:val="24"/>
          <w:szCs w:val="24"/>
          <w:lang w:eastAsia="zh-CN"/>
        </w:rPr>
        <w:t xml:space="preserve">, Tang R, Anderson A, Lan Y, Iveson T, Donehower RC, Jiang Y, Dubey S, Loh E. Evaluation of MET pathway biomarkers in a phase II study of rilotumumab (R, AMG 102) or placebo (P) in combination with epirubicin, cisplatin, and capecitabine (ECX) in patients (pts) with locally advanced or metastatic gastric (G) or esophagogastric junction (EGJ) cancer. </w:t>
      </w:r>
      <w:r w:rsidRPr="00842DC6">
        <w:rPr>
          <w:rFonts w:ascii="Book Antiqua" w:eastAsia="SimSun" w:hAnsi="Book Antiqua" w:cs="SimSun"/>
          <w:i/>
          <w:sz w:val="24"/>
          <w:szCs w:val="24"/>
          <w:lang w:eastAsia="zh-CN"/>
        </w:rPr>
        <w:t>J Clin Oncol</w:t>
      </w:r>
      <w:r w:rsidRPr="00842DC6">
        <w:rPr>
          <w:rFonts w:ascii="Book Antiqua" w:eastAsia="SimSun" w:hAnsi="Book Antiqua" w:cs="SimSun"/>
          <w:sz w:val="24"/>
          <w:szCs w:val="24"/>
          <w:lang w:eastAsia="zh-CN"/>
        </w:rPr>
        <w:t xml:space="preserve"> 2012; </w:t>
      </w:r>
      <w:r w:rsidRPr="00842DC6">
        <w:rPr>
          <w:rFonts w:ascii="Book Antiqua" w:eastAsia="SimSun" w:hAnsi="Book Antiqua" w:cs="SimSun"/>
          <w:b/>
          <w:sz w:val="24"/>
          <w:szCs w:val="24"/>
          <w:lang w:eastAsia="zh-CN"/>
        </w:rPr>
        <w:t>30</w:t>
      </w:r>
      <w:r w:rsidRPr="00842DC6">
        <w:rPr>
          <w:rFonts w:ascii="Book Antiqua" w:eastAsia="SimSun" w:hAnsi="Book Antiqua" w:cs="SimSun"/>
          <w:sz w:val="24"/>
          <w:szCs w:val="24"/>
          <w:lang w:eastAsia="zh-CN"/>
        </w:rPr>
        <w:t>: abstr 4005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65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Iveson T</w:t>
      </w:r>
      <w:r w:rsidRPr="00842DC6">
        <w:rPr>
          <w:rFonts w:ascii="Book Antiqua" w:eastAsia="SimSun" w:hAnsi="Book Antiqua" w:cs="SimSun"/>
          <w:sz w:val="24"/>
          <w:szCs w:val="24"/>
          <w:lang w:eastAsia="zh-CN"/>
        </w:rPr>
        <w:t>, Donehower RC, Davidenko I, Tjulandin S, Deptala A, Harrison M, Nirni S, Lakshmaiah K, Thomas A, Jiang Y, Zhu M, Tang R, Anderson A, Dubey S, Oliner KS, Loh E. Rilotumumab in combination with epirubicin, cisplatin, and capecitabine as first-line treatment for gastric or oesophagogastric junction adenocarcinoma: an open-label, dose de-escalation phase 1b study and a double-blind, randomised phase 2 study.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Lancet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15</w:t>
      </w:r>
      <w:r w:rsidRPr="00842DC6">
        <w:rPr>
          <w:rFonts w:ascii="Book Antiqua" w:eastAsia="SimSun" w:hAnsi="Book Antiqua" w:cs="SimSun"/>
          <w:sz w:val="24"/>
          <w:szCs w:val="24"/>
          <w:lang w:eastAsia="zh-CN"/>
        </w:rPr>
        <w:t>: 1007-1018 [PMID: 24965569 DOI: 10.1016/S1470-2045(14)70023-3]</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66 </w:t>
      </w:r>
      <w:r w:rsidRPr="00842DC6">
        <w:rPr>
          <w:rFonts w:ascii="Book Antiqua" w:eastAsia="SimSun" w:hAnsi="Book Antiqua" w:cs="SimSun"/>
          <w:b/>
          <w:sz w:val="24"/>
          <w:szCs w:val="24"/>
          <w:lang w:eastAsia="zh-CN"/>
        </w:rPr>
        <w:t>Cunningham D</w:t>
      </w:r>
      <w:r w:rsidRPr="00842DC6">
        <w:rPr>
          <w:rFonts w:ascii="Book Antiqua" w:eastAsia="SimSun" w:hAnsi="Book Antiqua" w:cs="SimSun"/>
          <w:sz w:val="24"/>
          <w:szCs w:val="24"/>
          <w:lang w:eastAsia="zh-CN"/>
        </w:rPr>
        <w:t xml:space="preserve">, Tebbutt NC, Davidenko I, Murad AM, Al-Batran SE, Ilson DH, Tjulandin S, Gotovkin E, Karaszewska B, Bondarenko I, Tejani MA, Udrea AA, Tehfe MA, Baker N, Oliner KS, Zhang Y, Hoang T, Sidhu R, Catenacci DVT. Phase III, randomized, double-blind, multicenter, placebo (P)-controlled trial of rilotumumab (R) plus epirubicin, cisplatin and capecitabine (ECX) as first-line therapy in patients (pts) with advanced MET-positive (pos) gastric or gastroesophageal junction (G/GEJ) cancer: RILOMET-1 study.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4000.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67</w:t>
      </w:r>
      <w:r w:rsidRPr="008A2762">
        <w:rPr>
          <w:rFonts w:ascii="Book Antiqua" w:eastAsia="SimSun" w:hAnsi="Book Antiqua" w:cs="SimSun"/>
          <w:b/>
          <w:sz w:val="24"/>
          <w:szCs w:val="24"/>
          <w:lang w:eastAsia="zh-CN"/>
        </w:rPr>
        <w:t xml:space="preserve"> </w:t>
      </w:r>
      <w:r w:rsidRPr="00842DC6">
        <w:rPr>
          <w:rFonts w:ascii="Book Antiqua" w:eastAsia="SimSun" w:hAnsi="Book Antiqua" w:cs="SimSun"/>
          <w:b/>
          <w:sz w:val="24"/>
          <w:szCs w:val="24"/>
          <w:lang w:eastAsia="zh-CN"/>
        </w:rPr>
        <w:t>Shah MA</w:t>
      </w:r>
      <w:r w:rsidRPr="00842DC6">
        <w:rPr>
          <w:rFonts w:ascii="Book Antiqua" w:eastAsia="SimSun" w:hAnsi="Book Antiqua" w:cs="SimSun"/>
          <w:sz w:val="24"/>
          <w:szCs w:val="24"/>
          <w:lang w:eastAsia="zh-CN"/>
        </w:rPr>
        <w:t xml:space="preserve">, Cho JY, Huat ITB, Tebbutt NC, Yen CJ, Kang A, Shames DS, Bu L, Kang YK. Randomized Phase II Study of FOLFOX /- MET Inhibitor, Onartuzumab (O), in Advanced Gastroesophageal Adenocarcinoma (GEC).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68 </w:t>
      </w:r>
      <w:r w:rsidRPr="00842DC6">
        <w:rPr>
          <w:rFonts w:ascii="Book Antiqua" w:eastAsia="SimSun" w:hAnsi="Book Antiqua" w:cs="SimSun"/>
          <w:b/>
          <w:sz w:val="24"/>
          <w:szCs w:val="24"/>
          <w:lang w:eastAsia="zh-CN"/>
        </w:rPr>
        <w:t>Shah MA</w:t>
      </w:r>
      <w:r w:rsidRPr="00842DC6">
        <w:rPr>
          <w:rFonts w:ascii="Book Antiqua" w:eastAsia="SimSun" w:hAnsi="Book Antiqua" w:cs="SimSun"/>
          <w:sz w:val="24"/>
          <w:szCs w:val="24"/>
          <w:lang w:eastAsia="zh-CN"/>
        </w:rPr>
        <w:t xml:space="preserve">, Bang YJ, Lordick F, Tabernero J, Chen M, Hack SP, Phan SC, Shames DS, Cunningham D. METGastric: A phase III study of onartuzumab plus mFOLFOX6 in patients with metastatic HER2-negative (HER2-) and MET-positive (MET ) adenocarcinoma of the stomach or gastroesophageal junction (GEC).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4012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lastRenderedPageBreak/>
        <w:t>69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Javle M</w:t>
      </w:r>
      <w:r w:rsidRPr="00842DC6">
        <w:rPr>
          <w:rFonts w:ascii="Book Antiqua" w:eastAsia="SimSun" w:hAnsi="Book Antiqua" w:cs="SimSun"/>
          <w:sz w:val="24"/>
          <w:szCs w:val="24"/>
          <w:lang w:eastAsia="zh-CN"/>
        </w:rPr>
        <w:t>, Curtin NJ. The role of PARP in DNA repair and its therapeutic exploitation.</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Br J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105</w:t>
      </w:r>
      <w:r w:rsidRPr="00842DC6">
        <w:rPr>
          <w:rFonts w:ascii="Book Antiqua" w:eastAsia="SimSun" w:hAnsi="Book Antiqua" w:cs="SimSun"/>
          <w:sz w:val="24"/>
          <w:szCs w:val="24"/>
          <w:lang w:eastAsia="zh-CN"/>
        </w:rPr>
        <w:t>: 1114-1122 [PMID: 21989215 DOI: 10.1038/bjc.2011.382]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Rouleau M</w:t>
      </w:r>
      <w:r w:rsidRPr="00842DC6">
        <w:rPr>
          <w:rFonts w:ascii="Book Antiqua" w:eastAsia="SimSun" w:hAnsi="Book Antiqua" w:cs="SimSun"/>
          <w:sz w:val="24"/>
          <w:szCs w:val="24"/>
          <w:lang w:eastAsia="zh-CN"/>
        </w:rPr>
        <w:t>, Patel A, Hendzel MJ, Kaufmann SH, Poirier GG. PARP inhibition: PARP1 and beyond.</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Rev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10</w:t>
      </w:r>
      <w:r w:rsidRPr="00842DC6">
        <w:rPr>
          <w:rFonts w:ascii="Book Antiqua" w:eastAsia="SimSun" w:hAnsi="Book Antiqua" w:cs="SimSun"/>
          <w:sz w:val="24"/>
          <w:szCs w:val="24"/>
          <w:lang w:eastAsia="zh-CN"/>
        </w:rPr>
        <w:t>: 293-301 [PMID: 20200537 DOI: 10.1038/nrc2812]</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Bang YJ</w:t>
      </w:r>
      <w:r w:rsidRPr="00842DC6">
        <w:rPr>
          <w:rFonts w:ascii="Book Antiqua" w:eastAsia="SimSun" w:hAnsi="Book Antiqua" w:cs="SimSun"/>
          <w:sz w:val="24"/>
          <w:szCs w:val="24"/>
          <w:lang w:eastAsia="zh-CN"/>
        </w:rPr>
        <w:t>, Im SA, Lee KW, Cho JY, Song EK, Lee KH, Kim YH, Park JO, Chun HG, Zang DY, Fielding A, Rowbottom J, Hodgson D, O'Connor MJ, Yin X, Kim WH. Randomized, Double-Blind Phase II Trial With Prospective Classification by ATM Protein Level to Evaluate the Efficacy and Tolerability of Olaparib Plus Paclitaxel in Patients With Recurrent or Metastatic Gastric Cancer.</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J Clin Oncol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33</w:t>
      </w:r>
      <w:r w:rsidRPr="00842DC6">
        <w:rPr>
          <w:rFonts w:ascii="Book Antiqua" w:eastAsia="SimSun" w:hAnsi="Book Antiqua" w:cs="SimSun"/>
          <w:sz w:val="24"/>
          <w:szCs w:val="24"/>
          <w:lang w:eastAsia="zh-CN"/>
        </w:rPr>
        <w:t>: 3858-3865 [PMID: 26282658 DOI: 10.1200/JCO.2014.60.0320]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Dunn GP</w:t>
      </w:r>
      <w:r w:rsidRPr="00842DC6">
        <w:rPr>
          <w:rFonts w:ascii="Book Antiqua" w:eastAsia="SimSun" w:hAnsi="Book Antiqua" w:cs="SimSun"/>
          <w:sz w:val="24"/>
          <w:szCs w:val="24"/>
          <w:lang w:eastAsia="zh-CN"/>
        </w:rPr>
        <w:t>, Bruce AT, Ikeda H, Old LJ, Schreiber RD. Cancer immunoediting: from immunosurveillance to tumor escape.</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Immunol</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2002;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w:t>
      </w:r>
      <w:r w:rsidRPr="00842DC6">
        <w:rPr>
          <w:rFonts w:ascii="Book Antiqua" w:eastAsia="SimSun" w:hAnsi="Book Antiqua" w:cs="SimSun"/>
          <w:sz w:val="24"/>
          <w:szCs w:val="24"/>
          <w:lang w:eastAsia="zh-CN"/>
        </w:rPr>
        <w:t>: 991-998 [PMID: 12407406 DOI: 10.1038/ni1102-991]</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73</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Schreiber RD</w:t>
      </w:r>
      <w:r w:rsidRPr="00842DC6">
        <w:rPr>
          <w:rFonts w:ascii="Book Antiqua" w:eastAsia="SimSun" w:hAnsi="Book Antiqua" w:cs="SimSun"/>
          <w:sz w:val="24"/>
          <w:szCs w:val="24"/>
          <w:lang w:eastAsia="zh-CN"/>
        </w:rPr>
        <w:t>, Old LJ, Smyth MJ. Cancer immunoediting: integrating immunity's roles in cancer suppression and promotion.</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Science</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2011;</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331</w:t>
      </w:r>
      <w:r w:rsidRPr="00842DC6">
        <w:rPr>
          <w:rFonts w:ascii="Book Antiqua" w:eastAsia="SimSun" w:hAnsi="Book Antiqua" w:cs="SimSun"/>
          <w:sz w:val="24"/>
          <w:szCs w:val="24"/>
          <w:lang w:eastAsia="zh-CN"/>
        </w:rPr>
        <w:t>: 1565-1570 [PMID: 21436444 DOI: 10.1126/science.1203486]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74</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Pardoll DM</w:t>
      </w:r>
      <w:r w:rsidRPr="00842DC6">
        <w:rPr>
          <w:rFonts w:ascii="Book Antiqua" w:eastAsia="SimSun" w:hAnsi="Book Antiqua" w:cs="SimSun"/>
          <w:sz w:val="24"/>
          <w:szCs w:val="24"/>
          <w:lang w:eastAsia="zh-CN"/>
        </w:rPr>
        <w:t>. The blockade of immune checkpoints in cancer immunotherapy.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Nat Rev Cancer</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2012;</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12</w:t>
      </w:r>
      <w:r w:rsidRPr="00842DC6">
        <w:rPr>
          <w:rFonts w:ascii="Book Antiqua" w:eastAsia="SimSun" w:hAnsi="Book Antiqua" w:cs="SimSun"/>
          <w:sz w:val="24"/>
          <w:szCs w:val="24"/>
          <w:lang w:eastAsia="zh-CN"/>
        </w:rPr>
        <w:t>: 252-264 [PMID: 22437870 DOI: 10.1038/nrc3239]</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Hodi FS</w:t>
      </w:r>
      <w:r w:rsidRPr="00842DC6">
        <w:rPr>
          <w:rFonts w:ascii="Book Antiqua" w:eastAsia="SimSun" w:hAnsi="Book Antiqua" w:cs="SimSun"/>
          <w:sz w:val="24"/>
          <w:szCs w:val="24"/>
          <w:lang w:eastAsia="zh-CN"/>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 Engl J Med</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363</w:t>
      </w:r>
      <w:r w:rsidRPr="00842DC6">
        <w:rPr>
          <w:rFonts w:ascii="Book Antiqua" w:eastAsia="SimSun" w:hAnsi="Book Antiqua" w:cs="SimSun"/>
          <w:sz w:val="24"/>
          <w:szCs w:val="24"/>
          <w:lang w:eastAsia="zh-CN"/>
        </w:rPr>
        <w:t>: 711-723 [PMID: 20525992 DOI: 10.1056/NEJMoa1003466]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76</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Ralph C</w:t>
      </w:r>
      <w:r w:rsidRPr="00842DC6">
        <w:rPr>
          <w:rFonts w:ascii="Book Antiqua" w:eastAsia="SimSun" w:hAnsi="Book Antiqua" w:cs="SimSun"/>
          <w:sz w:val="24"/>
          <w:szCs w:val="24"/>
          <w:lang w:eastAsia="zh-CN"/>
        </w:rPr>
        <w:t xml:space="preserve">, Elkord E, Burt DJ, O'Dwyer JF, Austin EB, Stern PL, Hawkins RE, Thistlethwaite FC. Modulation of lymphocyte regulation for cancer therapy: a phase II </w:t>
      </w:r>
      <w:r w:rsidRPr="00842DC6">
        <w:rPr>
          <w:rFonts w:ascii="Book Antiqua" w:eastAsia="SimSun" w:hAnsi="Book Antiqua" w:cs="SimSun"/>
          <w:sz w:val="24"/>
          <w:szCs w:val="24"/>
          <w:lang w:eastAsia="zh-CN"/>
        </w:rPr>
        <w:lastRenderedPageBreak/>
        <w:t>trial of tremelimumab in advanced gastric and esophageal adenocarcinoma.</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Clin Cancer Res</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2010;</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16</w:t>
      </w:r>
      <w:r w:rsidRPr="00842DC6">
        <w:rPr>
          <w:rFonts w:ascii="Book Antiqua" w:eastAsia="SimSun" w:hAnsi="Book Antiqua" w:cs="SimSun"/>
          <w:sz w:val="24"/>
          <w:szCs w:val="24"/>
          <w:lang w:eastAsia="zh-CN"/>
        </w:rPr>
        <w:t>: 1662-1672 [PMID: 20179239 DOI: 10.1158/1078-0432.CCR-09-2870]</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77 </w:t>
      </w:r>
      <w:r w:rsidRPr="00842DC6">
        <w:rPr>
          <w:rFonts w:ascii="Book Antiqua" w:eastAsia="SimSun" w:hAnsi="Book Antiqua" w:cs="SimSun"/>
          <w:b/>
          <w:sz w:val="24"/>
          <w:szCs w:val="24"/>
          <w:lang w:eastAsia="zh-CN"/>
        </w:rPr>
        <w:t>Muro K</w:t>
      </w:r>
      <w:r w:rsidRPr="00842DC6">
        <w:rPr>
          <w:rFonts w:ascii="Book Antiqua" w:eastAsia="SimSun" w:hAnsi="Book Antiqua" w:cs="SimSun"/>
          <w:sz w:val="24"/>
          <w:szCs w:val="24"/>
          <w:lang w:eastAsia="zh-CN"/>
        </w:rPr>
        <w:t xml:space="preserve">, Bang Y, Shankaran V, Geva R, Catenacci DVT, Gupta S, Eder JP, Berger R, Gonzalez EJ, Pulini J, Ray AB, Dolled-Filhart M, Emancipator K, Pathiraja K, Shu X, Koshiji MR, Cheng J, Chung HC. LBA15 A phase 1b study of pembrolizumab (PEMBRO; MK-3475) in patients (PTS) with advanced gastric cancer. </w:t>
      </w:r>
      <w:r w:rsidRPr="00842DC6">
        <w:rPr>
          <w:rFonts w:ascii="Book Antiqua" w:eastAsia="SimSun" w:hAnsi="Book Antiqua" w:cs="SimSun"/>
          <w:i/>
          <w:sz w:val="24"/>
          <w:szCs w:val="24"/>
          <w:lang w:eastAsia="zh-CN"/>
        </w:rPr>
        <w:t xml:space="preserve">Ann Oncol </w:t>
      </w:r>
      <w:r w:rsidRPr="00842DC6">
        <w:rPr>
          <w:rFonts w:ascii="Book Antiqua" w:eastAsia="SimSun" w:hAnsi="Book Antiqua" w:cs="SimSun"/>
          <w:sz w:val="24"/>
          <w:szCs w:val="24"/>
          <w:lang w:eastAsia="zh-CN"/>
        </w:rPr>
        <w:t xml:space="preserve">2014; </w:t>
      </w:r>
      <w:r w:rsidRPr="00842DC6">
        <w:rPr>
          <w:rFonts w:ascii="Book Antiqua" w:eastAsia="SimSun" w:hAnsi="Book Antiqua" w:cs="SimSun"/>
          <w:b/>
          <w:sz w:val="24"/>
          <w:szCs w:val="24"/>
          <w:lang w:eastAsia="zh-CN"/>
        </w:rPr>
        <w:t>25</w:t>
      </w:r>
      <w:r w:rsidRPr="00842DC6">
        <w:rPr>
          <w:rFonts w:ascii="Book Antiqua" w:eastAsia="SimSun" w:hAnsi="Book Antiqua" w:cs="SimSun"/>
          <w:sz w:val="24"/>
          <w:szCs w:val="24"/>
          <w:lang w:eastAsia="zh-CN"/>
        </w:rPr>
        <w:t>: v1-v41 [DOI: 10.1093/annonc/mdu438.15]</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78 </w:t>
      </w:r>
      <w:r w:rsidRPr="00842DC6">
        <w:rPr>
          <w:rFonts w:ascii="Book Antiqua" w:eastAsia="SimSun" w:hAnsi="Book Antiqua" w:cs="SimSun"/>
          <w:b/>
          <w:sz w:val="24"/>
          <w:szCs w:val="24"/>
          <w:lang w:eastAsia="zh-CN"/>
        </w:rPr>
        <w:t>Muro K</w:t>
      </w:r>
      <w:r w:rsidRPr="00842DC6">
        <w:rPr>
          <w:rFonts w:ascii="Book Antiqua" w:eastAsia="SimSun" w:hAnsi="Book Antiqua" w:cs="SimSun"/>
          <w:sz w:val="24"/>
          <w:szCs w:val="24"/>
          <w:lang w:eastAsia="zh-CN"/>
        </w:rPr>
        <w:t xml:space="preserve">, Bang YJ, Shankaran V, Geva R, Catenacci DVT, Gupta S, Eder JP, Berger R, Gonzalez EJ, Ray A, Dolled-Filhart M, Emancipator K, Pathiraja K, Lunceford JK, Cheng JD, Koshiji M, Chung HC. Relationship between PD-L1 expression and clinical outcomes in patients (Pts) with advanced gastric cancer treated with the anti-PD-1 monoclonal antibody pembrolizumab (Pembro; MK-3475) in KEYNOTE-012. </w:t>
      </w:r>
      <w:r w:rsidRPr="00842DC6">
        <w:rPr>
          <w:rFonts w:ascii="Book Antiqua" w:eastAsia="SimSun" w:hAnsi="Book Antiqua" w:cs="SimSun"/>
          <w:i/>
          <w:sz w:val="24"/>
          <w:szCs w:val="24"/>
          <w:lang w:eastAsia="zh-CN"/>
        </w:rPr>
        <w:t xml:space="preserve">J Clin Oncol </w:t>
      </w:r>
      <w:r w:rsidRPr="00842DC6">
        <w:rPr>
          <w:rFonts w:ascii="Book Antiqua" w:eastAsia="SimSun" w:hAnsi="Book Antiqua" w:cs="SimSun"/>
          <w:sz w:val="24"/>
          <w:szCs w:val="24"/>
          <w:lang w:eastAsia="zh-CN"/>
        </w:rPr>
        <w:t xml:space="preserve">2015; </w:t>
      </w:r>
      <w:r w:rsidRPr="00842DC6">
        <w:rPr>
          <w:rFonts w:ascii="Book Antiqua" w:eastAsia="SimSun" w:hAnsi="Book Antiqua" w:cs="SimSun"/>
          <w:b/>
          <w:sz w:val="24"/>
          <w:szCs w:val="24"/>
          <w:lang w:eastAsia="zh-CN"/>
        </w:rPr>
        <w:t>33</w:t>
      </w:r>
      <w:r w:rsidRPr="00842DC6">
        <w:rPr>
          <w:rFonts w:ascii="Book Antiqua" w:eastAsia="SimSun" w:hAnsi="Book Antiqua" w:cs="SimSun"/>
          <w:sz w:val="24"/>
          <w:szCs w:val="24"/>
          <w:lang w:eastAsia="zh-CN"/>
        </w:rPr>
        <w:t>: abstr 3</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42DC6">
        <w:rPr>
          <w:rFonts w:ascii="Book Antiqua" w:eastAsia="SimSun" w:hAnsi="Book Antiqua" w:cs="SimSun"/>
          <w:sz w:val="24"/>
          <w:szCs w:val="24"/>
          <w:lang w:eastAsia="zh-CN"/>
        </w:rPr>
        <w:t>79</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Le DT</w:t>
      </w:r>
      <w:r w:rsidRPr="00842DC6">
        <w:rPr>
          <w:rFonts w:ascii="Book Antiqua" w:eastAsia="SimSun" w:hAnsi="Book Antiqua" w:cs="SimSun"/>
          <w:sz w:val="24"/>
          <w:szCs w:val="24"/>
          <w:lang w:eastAsia="zh-CN"/>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w:t>
      </w:r>
      <w:r w:rsidRPr="008A2762">
        <w:rPr>
          <w:rFonts w:ascii="Book Antiqua" w:eastAsia="SimSun" w:hAnsi="Book Antiqua" w:cs="SimSun"/>
          <w:sz w:val="24"/>
          <w:szCs w:val="24"/>
          <w:lang w:eastAsia="zh-CN"/>
        </w:rPr>
        <w:t> </w:t>
      </w:r>
      <w:r w:rsidRPr="00842DC6">
        <w:rPr>
          <w:rFonts w:ascii="Book Antiqua" w:eastAsia="SimSun" w:hAnsi="Book Antiqua" w:cs="SimSun"/>
          <w:i/>
          <w:iCs/>
          <w:sz w:val="24"/>
          <w:szCs w:val="24"/>
          <w:lang w:eastAsia="zh-CN"/>
        </w:rPr>
        <w:t>N Engl J Med</w:t>
      </w:r>
      <w:r w:rsidRPr="008A2762">
        <w:rPr>
          <w:rFonts w:ascii="Book Antiqua" w:eastAsia="SimSun" w:hAnsi="Book Antiqua" w:cs="SimSun"/>
          <w:sz w:val="24"/>
          <w:szCs w:val="24"/>
          <w:lang w:eastAsia="zh-CN"/>
        </w:rPr>
        <w:t> </w:t>
      </w:r>
      <w:r w:rsidRPr="00842DC6">
        <w:rPr>
          <w:rFonts w:ascii="Book Antiqua" w:eastAsia="SimSun" w:hAnsi="Book Antiqua" w:cs="SimSun"/>
          <w:sz w:val="24"/>
          <w:szCs w:val="24"/>
          <w:lang w:eastAsia="zh-CN"/>
        </w:rPr>
        <w:t>2015;</w:t>
      </w:r>
      <w:r w:rsidRPr="008A2762">
        <w:rPr>
          <w:rFonts w:ascii="Book Antiqua" w:eastAsia="SimSun" w:hAnsi="Book Antiqua" w:cs="SimSun"/>
          <w:sz w:val="24"/>
          <w:szCs w:val="24"/>
          <w:lang w:eastAsia="zh-CN"/>
        </w:rPr>
        <w:t> </w:t>
      </w:r>
      <w:r w:rsidRPr="00842DC6">
        <w:rPr>
          <w:rFonts w:ascii="Book Antiqua" w:eastAsia="SimSun" w:hAnsi="Book Antiqua" w:cs="SimSun"/>
          <w:b/>
          <w:bCs/>
          <w:sz w:val="24"/>
          <w:szCs w:val="24"/>
          <w:lang w:eastAsia="zh-CN"/>
        </w:rPr>
        <w:t>372</w:t>
      </w:r>
      <w:r w:rsidRPr="00842DC6">
        <w:rPr>
          <w:rFonts w:ascii="Book Antiqua" w:eastAsia="SimSun" w:hAnsi="Book Antiqua" w:cs="SimSun"/>
          <w:sz w:val="24"/>
          <w:szCs w:val="24"/>
          <w:lang w:eastAsia="zh-CN"/>
        </w:rPr>
        <w:t>: 2509-2520 [PMID: 26028255 DOI: 10.1056/NEJMoa1500596]</w:t>
      </w:r>
    </w:p>
    <w:p w:rsidR="00BB5CC2" w:rsidRPr="00842DC6" w:rsidRDefault="00BB5CC2" w:rsidP="00162A81">
      <w:pPr>
        <w:adjustRightInd w:val="0"/>
        <w:snapToGrid w:val="0"/>
        <w:spacing w:after="0" w:line="360" w:lineRule="auto"/>
        <w:jc w:val="both"/>
        <w:rPr>
          <w:rFonts w:ascii="Book Antiqua" w:eastAsia="SimSun" w:hAnsi="Book Antiqua" w:cs="SimSun"/>
          <w:sz w:val="24"/>
          <w:szCs w:val="24"/>
          <w:lang w:eastAsia="zh-CN"/>
        </w:rPr>
      </w:pPr>
      <w:r w:rsidRPr="008A2762">
        <w:rPr>
          <w:rFonts w:ascii="Book Antiqua" w:eastAsia="SimSun" w:hAnsi="Book Antiqua" w:cs="SimSun"/>
          <w:sz w:val="24"/>
          <w:szCs w:val="24"/>
          <w:lang w:eastAsia="zh-CN"/>
        </w:rPr>
        <w:t xml:space="preserve">80 </w:t>
      </w:r>
      <w:r w:rsidRPr="00842DC6">
        <w:rPr>
          <w:rFonts w:ascii="Book Antiqua" w:eastAsia="SimSun" w:hAnsi="Book Antiqua" w:cs="SimSun"/>
          <w:b/>
          <w:sz w:val="24"/>
          <w:szCs w:val="24"/>
          <w:lang w:eastAsia="zh-CN"/>
        </w:rPr>
        <w:t>Lutzky J</w:t>
      </w:r>
      <w:r w:rsidRPr="00842DC6">
        <w:rPr>
          <w:rFonts w:ascii="Book Antiqua" w:eastAsia="SimSun" w:hAnsi="Book Antiqua" w:cs="SimSun"/>
          <w:sz w:val="24"/>
          <w:szCs w:val="24"/>
          <w:lang w:eastAsia="zh-CN"/>
        </w:rPr>
        <w:t xml:space="preserve">, Antonia SJ, Blake-Haskins A, Li X, Robbins PB, Shalabi AM, Vasselli J, Ibrahim RA, Khleif S, Segal NH. A phase 1 study of MEDI4736, an anti–PD-L1 antibody, in patients with advanced solid tumors. </w:t>
      </w:r>
      <w:r w:rsidRPr="00842DC6">
        <w:rPr>
          <w:rFonts w:ascii="Book Antiqua" w:eastAsia="SimSun" w:hAnsi="Book Antiqua" w:cs="SimSun"/>
          <w:i/>
          <w:sz w:val="24"/>
          <w:szCs w:val="24"/>
          <w:lang w:eastAsia="zh-CN"/>
        </w:rPr>
        <w:t>J Clin Oncol</w:t>
      </w:r>
      <w:r w:rsidRPr="00842DC6">
        <w:rPr>
          <w:rFonts w:ascii="Book Antiqua" w:eastAsia="SimSun" w:hAnsi="Book Antiqua" w:cs="SimSun"/>
          <w:sz w:val="24"/>
          <w:szCs w:val="24"/>
          <w:lang w:eastAsia="zh-CN"/>
        </w:rPr>
        <w:t xml:space="preserve"> 2014; </w:t>
      </w:r>
      <w:r w:rsidRPr="00842DC6">
        <w:rPr>
          <w:rFonts w:ascii="Book Antiqua" w:eastAsia="SimSun" w:hAnsi="Book Antiqua" w:cs="SimSun"/>
          <w:b/>
          <w:sz w:val="24"/>
          <w:szCs w:val="24"/>
          <w:lang w:eastAsia="zh-CN"/>
        </w:rPr>
        <w:t>32</w:t>
      </w:r>
      <w:r w:rsidRPr="00842DC6">
        <w:rPr>
          <w:rFonts w:ascii="Book Antiqua" w:eastAsia="SimSun" w:hAnsi="Book Antiqua" w:cs="SimSun"/>
          <w:sz w:val="24"/>
          <w:szCs w:val="24"/>
          <w:lang w:eastAsia="zh-CN"/>
        </w:rPr>
        <w:t>: abstr 3001</w:t>
      </w:r>
    </w:p>
    <w:p w:rsidR="00BB5CC2" w:rsidRPr="008A2762" w:rsidRDefault="00BB5CC2" w:rsidP="00162A81">
      <w:pPr>
        <w:adjustRightInd w:val="0"/>
        <w:snapToGrid w:val="0"/>
        <w:spacing w:after="0" w:line="360" w:lineRule="auto"/>
        <w:jc w:val="both"/>
        <w:rPr>
          <w:rFonts w:ascii="Book Antiqua" w:hAnsi="Book Antiqua"/>
          <w:sz w:val="24"/>
          <w:szCs w:val="24"/>
        </w:rPr>
      </w:pPr>
    </w:p>
    <w:p w:rsidR="00BB5CC2" w:rsidRDefault="00BB5CC2" w:rsidP="00162A81">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BB5CC2">
        <w:rPr>
          <w:rFonts w:ascii="Book Antiqua" w:hAnsi="Book Antiqua"/>
          <w:bCs/>
          <w:sz w:val="24"/>
        </w:rPr>
        <w:t>Gu</w:t>
      </w:r>
      <w:r w:rsidRPr="00BB5CC2">
        <w:rPr>
          <w:rFonts w:ascii="Book Antiqua" w:hAnsi="Book Antiqua" w:hint="eastAsia"/>
          <w:bCs/>
          <w:sz w:val="24"/>
          <w:lang w:eastAsia="zh-CN"/>
        </w:rPr>
        <w:t xml:space="preserve"> GL, </w:t>
      </w:r>
      <w:r w:rsidRPr="00BB5CC2">
        <w:rPr>
          <w:rFonts w:ascii="Book Antiqua" w:hAnsi="Book Antiqua"/>
          <w:bCs/>
          <w:sz w:val="24"/>
          <w:lang w:eastAsia="zh-CN"/>
        </w:rPr>
        <w:t>Korkeila</w:t>
      </w:r>
      <w:r w:rsidRPr="00BB5CC2">
        <w:rPr>
          <w:rFonts w:ascii="Book Antiqua" w:hAnsi="Book Antiqua" w:hint="eastAsia"/>
          <w:bCs/>
          <w:sz w:val="24"/>
          <w:lang w:eastAsia="zh-CN"/>
        </w:rPr>
        <w:t xml:space="preserve"> E, </w:t>
      </w:r>
      <w:r w:rsidRPr="00BB5CC2">
        <w:rPr>
          <w:rFonts w:ascii="Book Antiqua" w:hAnsi="Book Antiqua"/>
          <w:bCs/>
          <w:sz w:val="24"/>
          <w:lang w:eastAsia="zh-CN"/>
        </w:rPr>
        <w:t>Luo</w:t>
      </w:r>
      <w:r w:rsidRPr="00BB5CC2">
        <w:rPr>
          <w:rFonts w:ascii="Book Antiqua" w:hAnsi="Book Antiqua" w:hint="eastAsia"/>
          <w:bCs/>
          <w:sz w:val="24"/>
          <w:lang w:eastAsia="zh-CN"/>
        </w:rPr>
        <w:t xml:space="preserve"> HS, </w:t>
      </w:r>
      <w:r w:rsidRPr="00BB5CC2">
        <w:rPr>
          <w:rFonts w:ascii="Book Antiqua" w:hAnsi="Book Antiqua"/>
          <w:bCs/>
          <w:sz w:val="24"/>
          <w:lang w:eastAsia="zh-CN"/>
        </w:rPr>
        <w:t>Nomura</w:t>
      </w:r>
      <w:r w:rsidRPr="00BB5CC2">
        <w:rPr>
          <w:rFonts w:ascii="Book Antiqua" w:hAnsi="Book Antiqua" w:hint="eastAsia"/>
          <w:bCs/>
          <w:sz w:val="24"/>
          <w:lang w:eastAsia="zh-CN"/>
        </w:rPr>
        <w:t xml:space="preserve"> S</w:t>
      </w:r>
      <w:r w:rsidRPr="00BB5CC2">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31292A">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E82006" w:rsidRPr="00BB5CC2" w:rsidRDefault="00E82006" w:rsidP="00162A81">
      <w:pPr>
        <w:adjustRightInd w:val="0"/>
        <w:snapToGrid w:val="0"/>
        <w:spacing w:after="0" w:line="360" w:lineRule="auto"/>
        <w:jc w:val="both"/>
        <w:rPr>
          <w:rFonts w:ascii="Book Antiqua" w:hAnsi="Book Antiqua"/>
          <w:b/>
          <w:bCs/>
          <w:sz w:val="24"/>
          <w:szCs w:val="24"/>
          <w:lang w:eastAsia="zh-CN"/>
        </w:rPr>
      </w:pPr>
    </w:p>
    <w:p w:rsidR="00E82006" w:rsidRPr="00E82006" w:rsidRDefault="00E82006" w:rsidP="00162A81">
      <w:pPr>
        <w:adjustRightInd w:val="0"/>
        <w:snapToGrid w:val="0"/>
        <w:spacing w:after="0" w:line="360" w:lineRule="auto"/>
        <w:jc w:val="both"/>
        <w:rPr>
          <w:rFonts w:ascii="Book Antiqua" w:hAnsi="Book Antiqua"/>
          <w:b/>
          <w:bCs/>
          <w:sz w:val="24"/>
          <w:szCs w:val="24"/>
          <w:lang w:eastAsia="zh-CN"/>
        </w:rPr>
      </w:pPr>
      <w:r w:rsidRPr="00E82006">
        <w:rPr>
          <w:rFonts w:ascii="Book Antiqua" w:hAnsi="Book Antiqua"/>
          <w:b/>
          <w:bCs/>
          <w:sz w:val="24"/>
          <w:szCs w:val="24"/>
          <w:lang w:eastAsia="zh-CN"/>
        </w:rPr>
        <w:br w:type="page"/>
      </w:r>
    </w:p>
    <w:p w:rsidR="00E82006" w:rsidRPr="00E82006" w:rsidRDefault="00BB5CC2" w:rsidP="00162A81">
      <w:pPr>
        <w:adjustRightInd w:val="0"/>
        <w:snapToGrid w:val="0"/>
        <w:spacing w:after="0" w:line="360" w:lineRule="auto"/>
        <w:jc w:val="both"/>
        <w:rPr>
          <w:rFonts w:ascii="Book Antiqua" w:hAnsi="Book Antiqua"/>
          <w:b/>
          <w:bCs/>
          <w:sz w:val="24"/>
          <w:szCs w:val="24"/>
          <w:lang w:eastAsia="zh-CN"/>
        </w:rPr>
      </w:pPr>
      <w:r w:rsidRPr="00BB5CC2">
        <w:rPr>
          <w:rFonts w:ascii="Book Antiqua" w:hAnsi="Book Antiqua"/>
          <w:b/>
          <w:sz w:val="24"/>
          <w:szCs w:val="24"/>
        </w:rPr>
        <w:lastRenderedPageBreak/>
        <w:t>Table 1 First line chemotherapy completed trials</w:t>
      </w:r>
    </w:p>
    <w:tbl>
      <w:tblPr>
        <w:tblStyle w:val="LightList-Accent1"/>
        <w:tblW w:w="0" w:type="auto"/>
        <w:tblBorders>
          <w:left w:val="none" w:sz="0" w:space="0" w:color="auto"/>
          <w:right w:val="none" w:sz="0" w:space="0" w:color="auto"/>
        </w:tblBorders>
        <w:tblLayout w:type="fixed"/>
        <w:tblLook w:val="04A0" w:firstRow="1" w:lastRow="0" w:firstColumn="1" w:lastColumn="0" w:noHBand="0" w:noVBand="1"/>
      </w:tblPr>
      <w:tblGrid>
        <w:gridCol w:w="1800"/>
        <w:gridCol w:w="2070"/>
        <w:gridCol w:w="720"/>
        <w:gridCol w:w="1980"/>
        <w:gridCol w:w="2340"/>
      </w:tblGrid>
      <w:tr w:rsidR="00EC2237" w:rsidRPr="00502006" w:rsidTr="00EC2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8" w:space="0" w:color="4F81BD" w:themeColor="accent1"/>
              <w:bottom w:val="single" w:sz="8" w:space="0" w:color="4F81BD" w:themeColor="accent1"/>
            </w:tcBorders>
            <w:shd w:val="clear" w:color="auto" w:fill="auto"/>
            <w:vAlign w:val="center"/>
          </w:tcPr>
          <w:p w:rsidR="00EC2237" w:rsidRPr="00502006" w:rsidRDefault="00EC2237" w:rsidP="00162A81">
            <w:pPr>
              <w:adjustRightInd w:val="0"/>
              <w:snapToGrid w:val="0"/>
              <w:spacing w:line="360" w:lineRule="auto"/>
              <w:jc w:val="both"/>
              <w:rPr>
                <w:rFonts w:ascii="Book Antiqua" w:eastAsiaTheme="minorEastAsia" w:hAnsi="Book Antiqua"/>
                <w:color w:val="000000" w:themeColor="text1"/>
                <w:sz w:val="24"/>
                <w:szCs w:val="24"/>
                <w:lang w:eastAsia="zh-CN"/>
              </w:rPr>
            </w:pPr>
            <w:r w:rsidRPr="00502006">
              <w:rPr>
                <w:rFonts w:ascii="Book Antiqua" w:eastAsiaTheme="minorEastAsia" w:hAnsi="Book Antiqua" w:hint="eastAsia"/>
                <w:color w:val="000000" w:themeColor="text1"/>
                <w:sz w:val="24"/>
                <w:szCs w:val="24"/>
                <w:lang w:eastAsia="zh-CN"/>
              </w:rPr>
              <w:t>Ref.</w:t>
            </w:r>
          </w:p>
        </w:tc>
        <w:tc>
          <w:tcPr>
            <w:tcW w:w="2070" w:type="dxa"/>
            <w:tcBorders>
              <w:top w:val="single" w:sz="8" w:space="0" w:color="4F81BD" w:themeColor="accent1"/>
              <w:bottom w:val="single" w:sz="8" w:space="0" w:color="4F81BD" w:themeColor="accent1"/>
            </w:tcBorders>
            <w:shd w:val="clear" w:color="auto" w:fill="auto"/>
            <w:vAlign w:val="center"/>
          </w:tcPr>
          <w:p w:rsidR="00EC2237" w:rsidRPr="00502006" w:rsidRDefault="00EC2237"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Arms</w:t>
            </w:r>
          </w:p>
        </w:tc>
        <w:tc>
          <w:tcPr>
            <w:tcW w:w="720" w:type="dxa"/>
            <w:tcBorders>
              <w:top w:val="single" w:sz="8" w:space="0" w:color="4F81BD" w:themeColor="accent1"/>
              <w:bottom w:val="single" w:sz="8" w:space="0" w:color="4F81BD" w:themeColor="accent1"/>
            </w:tcBorders>
            <w:shd w:val="clear" w:color="auto" w:fill="auto"/>
            <w:vAlign w:val="center"/>
          </w:tcPr>
          <w:p w:rsidR="00EC2237" w:rsidRPr="00502006" w:rsidRDefault="00EC2237"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502006">
              <w:rPr>
                <w:rFonts w:ascii="Book Antiqua" w:hAnsi="Book Antiqua"/>
                <w:i/>
                <w:color w:val="000000" w:themeColor="text1"/>
                <w:sz w:val="24"/>
                <w:szCs w:val="24"/>
              </w:rPr>
              <w:t>n</w:t>
            </w:r>
          </w:p>
        </w:tc>
        <w:tc>
          <w:tcPr>
            <w:tcW w:w="1980" w:type="dxa"/>
            <w:tcBorders>
              <w:top w:val="single" w:sz="8" w:space="0" w:color="4F81BD" w:themeColor="accent1"/>
              <w:bottom w:val="single" w:sz="8" w:space="0" w:color="4F81BD" w:themeColor="accent1"/>
            </w:tcBorders>
            <w:shd w:val="clear" w:color="auto" w:fill="auto"/>
            <w:vAlign w:val="center"/>
          </w:tcPr>
          <w:p w:rsidR="00EC2237" w:rsidRPr="00502006" w:rsidRDefault="00EC2237"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TTP/PFS (mo)</w:t>
            </w:r>
          </w:p>
        </w:tc>
        <w:tc>
          <w:tcPr>
            <w:tcW w:w="2340" w:type="dxa"/>
            <w:tcBorders>
              <w:top w:val="single" w:sz="8" w:space="0" w:color="4F81BD" w:themeColor="accent1"/>
              <w:bottom w:val="single" w:sz="8" w:space="0" w:color="4F81BD" w:themeColor="accent1"/>
            </w:tcBorders>
            <w:shd w:val="clear" w:color="auto" w:fill="auto"/>
            <w:vAlign w:val="center"/>
          </w:tcPr>
          <w:p w:rsidR="00EC2237" w:rsidRPr="00502006" w:rsidRDefault="00EC2237"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OS (mo)</w:t>
            </w:r>
          </w:p>
        </w:tc>
      </w:tr>
      <w:tr w:rsidR="00EC2237" w:rsidRPr="00BB5CC2" w:rsidTr="00EC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bottom w:val="none" w:sz="0" w:space="0" w:color="auto"/>
            </w:tcBorders>
            <w:shd w:val="clear" w:color="auto" w:fill="auto"/>
            <w:vAlign w:val="center"/>
          </w:tcPr>
          <w:p w:rsidR="00EC2237" w:rsidRPr="00502006" w:rsidRDefault="00EC2237"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sidRPr="00502006">
              <w:rPr>
                <w:rFonts w:ascii="Book Antiqua" w:hAnsi="Book Antiqua"/>
                <w:b w:val="0"/>
                <w:color w:val="000000" w:themeColor="text1"/>
                <w:sz w:val="24"/>
                <w:szCs w:val="24"/>
              </w:rPr>
              <w:t xml:space="preserve">Van Cutsem </w:t>
            </w:r>
            <w:r w:rsidRPr="00502006">
              <w:rPr>
                <w:rFonts w:ascii="Book Antiqua" w:hAnsi="Book Antiqua"/>
                <w:b w:val="0"/>
                <w:i/>
                <w:color w:val="000000" w:themeColor="text1"/>
                <w:sz w:val="24"/>
                <w:szCs w:val="24"/>
              </w:rPr>
              <w:t>et al</w:t>
            </w:r>
            <w:r w:rsidRPr="00502006">
              <w:rPr>
                <w:rFonts w:ascii="Book Antiqua" w:eastAsiaTheme="minorEastAsia" w:hAnsi="Book Antiqua" w:hint="eastAsia"/>
                <w:b w:val="0"/>
                <w:color w:val="000000" w:themeColor="text1"/>
                <w:sz w:val="24"/>
                <w:szCs w:val="24"/>
                <w:vertAlign w:val="superscript"/>
                <w:lang w:eastAsia="zh-CN"/>
              </w:rPr>
              <w:t>[</w:t>
            </w:r>
            <w:r w:rsidRPr="00502006">
              <w:rPr>
                <w:rFonts w:ascii="Book Antiqua" w:hAnsi="Book Antiqua"/>
                <w:b w:val="0"/>
                <w:color w:val="000000" w:themeColor="text1"/>
                <w:sz w:val="24"/>
                <w:szCs w:val="24"/>
                <w:vertAlign w:val="superscript"/>
              </w:rPr>
              <w:t>7</w:t>
            </w:r>
            <w:r w:rsidRPr="00502006">
              <w:rPr>
                <w:rFonts w:ascii="Book Antiqua" w:eastAsiaTheme="minorEastAsia" w:hAnsi="Book Antiqua" w:hint="eastAsia"/>
                <w:b w:val="0"/>
                <w:color w:val="000000" w:themeColor="text1"/>
                <w:sz w:val="24"/>
                <w:szCs w:val="24"/>
                <w:vertAlign w:val="superscript"/>
                <w:lang w:eastAsia="zh-CN"/>
              </w:rPr>
              <w:t>]</w:t>
            </w:r>
          </w:p>
        </w:tc>
        <w:tc>
          <w:tcPr>
            <w:tcW w:w="2070" w:type="dxa"/>
            <w:tcBorders>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DCF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CF</w:t>
            </w:r>
          </w:p>
        </w:tc>
        <w:tc>
          <w:tcPr>
            <w:tcW w:w="720" w:type="dxa"/>
            <w:tcBorders>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445</w:t>
            </w:r>
          </w:p>
        </w:tc>
        <w:tc>
          <w:tcPr>
            <w:tcW w:w="1980" w:type="dxa"/>
            <w:tcBorders>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TTP: 5.6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3.7</w:t>
            </w:r>
          </w:p>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&lt; </w:t>
            </w:r>
            <w:r w:rsidRPr="00BB5CC2">
              <w:rPr>
                <w:rFonts w:ascii="Book Antiqua" w:hAnsi="Book Antiqua"/>
                <w:color w:val="000000" w:themeColor="text1"/>
                <w:sz w:val="24"/>
                <w:szCs w:val="24"/>
              </w:rPr>
              <w:t>0.001</w:t>
            </w:r>
          </w:p>
        </w:tc>
        <w:tc>
          <w:tcPr>
            <w:tcW w:w="2340" w:type="dxa"/>
            <w:tcBorders>
              <w:bottom w:val="none" w:sz="0" w:space="0" w:color="auto"/>
              <w:right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9.2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8.6</w:t>
            </w:r>
          </w:p>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0.02</w:t>
            </w:r>
          </w:p>
        </w:tc>
      </w:tr>
      <w:tr w:rsidR="00EC2237" w:rsidRPr="00BB5CC2" w:rsidTr="00EC2237">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 xml:space="preserve">Al-Batran </w:t>
            </w:r>
            <w:r w:rsidRPr="00502006">
              <w:rPr>
                <w:rFonts w:ascii="Book Antiqua" w:hAnsi="Book Antiqua"/>
                <w:b w:val="0"/>
                <w:i/>
                <w:color w:val="000000" w:themeColor="text1"/>
                <w:sz w:val="24"/>
                <w:szCs w:val="24"/>
              </w:rPr>
              <w:t>et al</w:t>
            </w:r>
            <w:r w:rsidRPr="00502006">
              <w:rPr>
                <w:rFonts w:ascii="Book Antiqua" w:eastAsiaTheme="minorEastAsia" w:hAnsi="Book Antiqua" w:hint="eastAsia"/>
                <w:b w:val="0"/>
                <w:color w:val="000000" w:themeColor="text1"/>
                <w:sz w:val="24"/>
                <w:szCs w:val="24"/>
                <w:vertAlign w:val="superscript"/>
                <w:lang w:eastAsia="zh-CN"/>
              </w:rPr>
              <w:t>[8]</w:t>
            </w:r>
          </w:p>
        </w:tc>
        <w:tc>
          <w:tcPr>
            <w:tcW w:w="207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FLO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FLP</w:t>
            </w:r>
          </w:p>
        </w:tc>
        <w:tc>
          <w:tcPr>
            <w:tcW w:w="72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220</w:t>
            </w:r>
          </w:p>
        </w:tc>
        <w:tc>
          <w:tcPr>
            <w:tcW w:w="198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5.8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3.9</w:t>
            </w:r>
          </w:p>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0.077</w:t>
            </w:r>
          </w:p>
        </w:tc>
        <w:tc>
          <w:tcPr>
            <w:tcW w:w="234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10.7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8.8</w:t>
            </w:r>
          </w:p>
        </w:tc>
      </w:tr>
      <w:tr w:rsidR="00EC2237" w:rsidRPr="00BB5CC2" w:rsidTr="00EC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tcBorders>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REAL-2</w:t>
            </w:r>
            <w:r w:rsidRPr="00502006">
              <w:rPr>
                <w:rFonts w:ascii="Book Antiqua" w:eastAsiaTheme="minorEastAsia" w:hAnsi="Book Antiqua" w:hint="eastAsia"/>
                <w:b w:val="0"/>
                <w:color w:val="000000" w:themeColor="text1"/>
                <w:sz w:val="24"/>
                <w:szCs w:val="24"/>
                <w:vertAlign w:val="superscript"/>
                <w:lang w:eastAsia="zh-CN"/>
              </w:rPr>
              <w:t>[9]</w:t>
            </w:r>
            <w:r w:rsidRPr="00502006">
              <w:rPr>
                <w:rFonts w:ascii="Book Antiqua" w:hAnsi="Book Antiqua"/>
                <w:b w:val="0"/>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ECF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ECX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EOF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EOX</w:t>
            </w:r>
          </w:p>
        </w:tc>
        <w:tc>
          <w:tcPr>
            <w:tcW w:w="72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1002</w:t>
            </w:r>
          </w:p>
        </w:tc>
        <w:tc>
          <w:tcPr>
            <w:tcW w:w="198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6.2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6.7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6.5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7.0</w:t>
            </w:r>
          </w:p>
        </w:tc>
        <w:tc>
          <w:tcPr>
            <w:tcW w:w="2340" w:type="dxa"/>
            <w:tcBorders>
              <w:top w:val="none" w:sz="0" w:space="0" w:color="auto"/>
              <w:bottom w:val="none" w:sz="0" w:space="0" w:color="auto"/>
              <w:right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9.9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9.9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9.3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11.2</w:t>
            </w:r>
          </w:p>
        </w:tc>
      </w:tr>
      <w:tr w:rsidR="00EC2237" w:rsidRPr="00BB5CC2" w:rsidTr="00EC2237">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 xml:space="preserve">Kang </w:t>
            </w:r>
            <w:r w:rsidRPr="00502006">
              <w:rPr>
                <w:rFonts w:ascii="Book Antiqua" w:hAnsi="Book Antiqua"/>
                <w:b w:val="0"/>
                <w:i/>
                <w:color w:val="000000" w:themeColor="text1"/>
                <w:sz w:val="24"/>
                <w:szCs w:val="24"/>
              </w:rPr>
              <w:t>et al</w:t>
            </w:r>
            <w:r w:rsidRPr="00502006">
              <w:rPr>
                <w:rFonts w:ascii="Book Antiqua" w:eastAsiaTheme="minorEastAsia" w:hAnsi="Book Antiqua" w:hint="eastAsia"/>
                <w:b w:val="0"/>
                <w:color w:val="000000" w:themeColor="text1"/>
                <w:sz w:val="24"/>
                <w:szCs w:val="24"/>
                <w:vertAlign w:val="superscript"/>
                <w:lang w:eastAsia="zh-CN"/>
              </w:rPr>
              <w:t>[10]</w:t>
            </w:r>
          </w:p>
        </w:tc>
        <w:tc>
          <w:tcPr>
            <w:tcW w:w="207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XP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FP</w:t>
            </w:r>
          </w:p>
        </w:tc>
        <w:tc>
          <w:tcPr>
            <w:tcW w:w="72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316</w:t>
            </w:r>
          </w:p>
        </w:tc>
        <w:tc>
          <w:tcPr>
            <w:tcW w:w="198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5.6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5.0</w:t>
            </w:r>
          </w:p>
        </w:tc>
        <w:tc>
          <w:tcPr>
            <w:tcW w:w="234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10.5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9.3</w:t>
            </w:r>
          </w:p>
        </w:tc>
      </w:tr>
      <w:tr w:rsidR="00EC2237" w:rsidRPr="00BB5CC2" w:rsidTr="00EC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tcBorders>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SPIRITS</w:t>
            </w:r>
            <w:r w:rsidRPr="00502006">
              <w:rPr>
                <w:rFonts w:ascii="Book Antiqua" w:eastAsiaTheme="minorEastAsia" w:hAnsi="Book Antiqua" w:hint="eastAsia"/>
                <w:b w:val="0"/>
                <w:color w:val="000000" w:themeColor="text1"/>
                <w:sz w:val="24"/>
                <w:szCs w:val="24"/>
                <w:vertAlign w:val="superscript"/>
                <w:lang w:eastAsia="zh-CN"/>
              </w:rPr>
              <w:t>[11]</w:t>
            </w:r>
          </w:p>
        </w:tc>
        <w:tc>
          <w:tcPr>
            <w:tcW w:w="207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CS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S-1</w:t>
            </w:r>
          </w:p>
        </w:tc>
        <w:tc>
          <w:tcPr>
            <w:tcW w:w="72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298</w:t>
            </w:r>
          </w:p>
        </w:tc>
        <w:tc>
          <w:tcPr>
            <w:tcW w:w="198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6.0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4.0</w:t>
            </w:r>
          </w:p>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&lt; </w:t>
            </w:r>
            <w:r w:rsidRPr="00BB5CC2">
              <w:rPr>
                <w:rFonts w:ascii="Book Antiqua" w:hAnsi="Book Antiqua"/>
                <w:color w:val="000000" w:themeColor="text1"/>
                <w:sz w:val="24"/>
                <w:szCs w:val="24"/>
              </w:rPr>
              <w:t>0.0001</w:t>
            </w:r>
          </w:p>
        </w:tc>
        <w:tc>
          <w:tcPr>
            <w:tcW w:w="2340" w:type="dxa"/>
            <w:tcBorders>
              <w:top w:val="none" w:sz="0" w:space="0" w:color="auto"/>
              <w:bottom w:val="none" w:sz="0" w:space="0" w:color="auto"/>
              <w:right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13.0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11.0</w:t>
            </w:r>
          </w:p>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0.04</w:t>
            </w:r>
          </w:p>
        </w:tc>
      </w:tr>
      <w:tr w:rsidR="00EC2237" w:rsidRPr="00BB5CC2" w:rsidTr="00EC2237">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FLAGS</w:t>
            </w:r>
            <w:r w:rsidRPr="00502006">
              <w:rPr>
                <w:rFonts w:ascii="Book Antiqua" w:eastAsiaTheme="minorEastAsia" w:hAnsi="Book Antiqua" w:hint="eastAsia"/>
                <w:b w:val="0"/>
                <w:color w:val="000000" w:themeColor="text1"/>
                <w:sz w:val="24"/>
                <w:szCs w:val="24"/>
                <w:vertAlign w:val="superscript"/>
                <w:lang w:eastAsia="zh-CN"/>
              </w:rPr>
              <w:t>[12]</w:t>
            </w:r>
            <w:r w:rsidRPr="00502006">
              <w:rPr>
                <w:rFonts w:ascii="Book Antiqua" w:hAnsi="Book Antiqua"/>
                <w:b w:val="0"/>
                <w:color w:val="000000" w:themeColor="text1"/>
                <w:sz w:val="24"/>
                <w:szCs w:val="24"/>
              </w:rPr>
              <w:t xml:space="preserve"> </w:t>
            </w:r>
          </w:p>
        </w:tc>
        <w:tc>
          <w:tcPr>
            <w:tcW w:w="207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CS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CF</w:t>
            </w:r>
          </w:p>
        </w:tc>
        <w:tc>
          <w:tcPr>
            <w:tcW w:w="72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1053</w:t>
            </w:r>
          </w:p>
        </w:tc>
        <w:tc>
          <w:tcPr>
            <w:tcW w:w="198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4.8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5.5</w:t>
            </w:r>
          </w:p>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0.92</w:t>
            </w:r>
          </w:p>
        </w:tc>
        <w:tc>
          <w:tcPr>
            <w:tcW w:w="234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8.6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7.9</w:t>
            </w:r>
          </w:p>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0.2</w:t>
            </w:r>
          </w:p>
        </w:tc>
      </w:tr>
      <w:tr w:rsidR="00EC2237" w:rsidRPr="00BB5CC2" w:rsidTr="00EC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tcBorders>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 xml:space="preserve">Dank </w:t>
            </w:r>
            <w:r w:rsidRPr="00502006">
              <w:rPr>
                <w:rFonts w:ascii="Book Antiqua" w:hAnsi="Book Antiqua"/>
                <w:b w:val="0"/>
                <w:i/>
                <w:color w:val="000000" w:themeColor="text1"/>
                <w:sz w:val="24"/>
                <w:szCs w:val="24"/>
              </w:rPr>
              <w:t>et al</w:t>
            </w:r>
            <w:r w:rsidRPr="00502006">
              <w:rPr>
                <w:rFonts w:ascii="Book Antiqua" w:eastAsiaTheme="minorEastAsia" w:hAnsi="Book Antiqua" w:hint="eastAsia"/>
                <w:b w:val="0"/>
                <w:color w:val="000000" w:themeColor="text1"/>
                <w:sz w:val="24"/>
                <w:szCs w:val="24"/>
                <w:lang w:eastAsia="zh-CN"/>
              </w:rPr>
              <w:t>13</w:t>
            </w:r>
            <w:r w:rsidRPr="00502006">
              <w:rPr>
                <w:rFonts w:ascii="Book Antiqua" w:eastAsiaTheme="minorEastAsia" w:hAnsi="Book Antiqua" w:hint="eastAsia"/>
                <w:b w:val="0"/>
                <w:color w:val="000000" w:themeColor="text1"/>
                <w:sz w:val="24"/>
                <w:szCs w:val="24"/>
                <w:vertAlign w:val="superscript"/>
                <w:lang w:eastAsia="zh-CN"/>
              </w:rPr>
              <w:t>[]</w:t>
            </w:r>
          </w:p>
        </w:tc>
        <w:tc>
          <w:tcPr>
            <w:tcW w:w="207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IF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CF</w:t>
            </w:r>
          </w:p>
        </w:tc>
        <w:tc>
          <w:tcPr>
            <w:tcW w:w="72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333</w:t>
            </w:r>
          </w:p>
        </w:tc>
        <w:tc>
          <w:tcPr>
            <w:tcW w:w="1980" w:type="dxa"/>
            <w:tcBorders>
              <w:top w:val="none" w:sz="0" w:space="0" w:color="auto"/>
              <w:bottom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TTP: 5.0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4.2 </w:t>
            </w:r>
          </w:p>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0.088</w:t>
            </w:r>
          </w:p>
        </w:tc>
        <w:tc>
          <w:tcPr>
            <w:tcW w:w="2340" w:type="dxa"/>
            <w:tcBorders>
              <w:top w:val="none" w:sz="0" w:space="0" w:color="auto"/>
              <w:bottom w:val="none" w:sz="0" w:space="0" w:color="auto"/>
              <w:right w:val="none" w:sz="0" w:space="0" w:color="auto"/>
            </w:tcBorders>
            <w:shd w:val="clear" w:color="auto" w:fill="auto"/>
            <w:vAlign w:val="center"/>
          </w:tcPr>
          <w:p w:rsidR="00EC2237" w:rsidRPr="00BB5CC2" w:rsidRDefault="00EC2237"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9.0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8.7</w:t>
            </w:r>
          </w:p>
        </w:tc>
      </w:tr>
      <w:tr w:rsidR="00EC2237" w:rsidRPr="00BB5CC2" w:rsidTr="00EC2237">
        <w:tc>
          <w:tcPr>
            <w:cnfStyle w:val="001000000000" w:firstRow="0" w:lastRow="0" w:firstColumn="1" w:lastColumn="0" w:oddVBand="0" w:evenVBand="0" w:oddHBand="0" w:evenHBand="0" w:firstRowFirstColumn="0" w:firstRowLastColumn="0" w:lastRowFirstColumn="0" w:lastRowLastColumn="0"/>
            <w:tcW w:w="1800" w:type="dxa"/>
            <w:shd w:val="clear" w:color="auto" w:fill="auto"/>
            <w:vAlign w:val="center"/>
          </w:tcPr>
          <w:p w:rsidR="00EC2237" w:rsidRPr="00502006" w:rsidRDefault="00EC2237" w:rsidP="00162A81">
            <w:pPr>
              <w:adjustRightInd w:val="0"/>
              <w:snapToGrid w:val="0"/>
              <w:spacing w:line="360" w:lineRule="auto"/>
              <w:jc w:val="both"/>
              <w:rPr>
                <w:rFonts w:ascii="Book Antiqua" w:hAnsi="Book Antiqua"/>
                <w:b w:val="0"/>
                <w:color w:val="000000" w:themeColor="text1"/>
                <w:sz w:val="24"/>
                <w:szCs w:val="24"/>
              </w:rPr>
            </w:pPr>
            <w:r w:rsidRPr="00502006">
              <w:rPr>
                <w:rFonts w:ascii="Book Antiqua" w:hAnsi="Book Antiqua"/>
                <w:b w:val="0"/>
                <w:color w:val="000000" w:themeColor="text1"/>
                <w:sz w:val="24"/>
                <w:szCs w:val="24"/>
              </w:rPr>
              <w:t xml:space="preserve">Guimbaud </w:t>
            </w:r>
            <w:r w:rsidRPr="00502006">
              <w:rPr>
                <w:rFonts w:ascii="Book Antiqua" w:hAnsi="Book Antiqua"/>
                <w:b w:val="0"/>
                <w:i/>
                <w:color w:val="000000" w:themeColor="text1"/>
                <w:sz w:val="24"/>
                <w:szCs w:val="24"/>
              </w:rPr>
              <w:t>et al</w:t>
            </w:r>
            <w:r w:rsidRPr="00502006">
              <w:rPr>
                <w:rFonts w:ascii="Book Antiqua" w:eastAsiaTheme="minorEastAsia" w:hAnsi="Book Antiqua" w:hint="eastAsia"/>
                <w:b w:val="0"/>
                <w:color w:val="000000" w:themeColor="text1"/>
                <w:sz w:val="24"/>
                <w:szCs w:val="24"/>
                <w:vertAlign w:val="superscript"/>
                <w:lang w:eastAsia="zh-CN"/>
              </w:rPr>
              <w:t>[14]</w:t>
            </w:r>
          </w:p>
        </w:tc>
        <w:tc>
          <w:tcPr>
            <w:tcW w:w="207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FOLFIRI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ECX</w:t>
            </w:r>
          </w:p>
        </w:tc>
        <w:tc>
          <w:tcPr>
            <w:tcW w:w="72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416</w:t>
            </w:r>
          </w:p>
        </w:tc>
        <w:tc>
          <w:tcPr>
            <w:tcW w:w="198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PFS: 5.3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5.8 </w:t>
            </w:r>
          </w:p>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0.96</w:t>
            </w:r>
          </w:p>
        </w:tc>
        <w:tc>
          <w:tcPr>
            <w:tcW w:w="2340" w:type="dxa"/>
            <w:shd w:val="clear" w:color="auto" w:fill="auto"/>
            <w:vAlign w:val="center"/>
          </w:tcPr>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color w:val="000000" w:themeColor="text1"/>
                <w:sz w:val="24"/>
                <w:szCs w:val="24"/>
              </w:rPr>
              <w:t xml:space="preserve">9.5 </w:t>
            </w:r>
            <w:r w:rsidRPr="00BB5CC2">
              <w:rPr>
                <w:rFonts w:ascii="Book Antiqua" w:hAnsi="Book Antiqua"/>
                <w:i/>
                <w:color w:val="000000" w:themeColor="text1"/>
                <w:sz w:val="24"/>
                <w:szCs w:val="24"/>
              </w:rPr>
              <w:t>vs</w:t>
            </w:r>
            <w:r w:rsidRPr="00BB5CC2">
              <w:rPr>
                <w:rFonts w:ascii="Book Antiqua" w:hAnsi="Book Antiqua"/>
                <w:color w:val="000000" w:themeColor="text1"/>
                <w:sz w:val="24"/>
                <w:szCs w:val="24"/>
              </w:rPr>
              <w:t xml:space="preserve"> 9.7</w:t>
            </w:r>
          </w:p>
          <w:p w:rsidR="00EC2237" w:rsidRPr="00BB5CC2" w:rsidRDefault="00EC2237"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BB5CC2">
              <w:rPr>
                <w:rFonts w:ascii="Book Antiqua" w:hAnsi="Book Antiqua"/>
                <w:i/>
                <w:caps/>
                <w:color w:val="000000" w:themeColor="text1"/>
                <w:sz w:val="24"/>
                <w:szCs w:val="24"/>
              </w:rPr>
              <w:t xml:space="preserve">p = </w:t>
            </w:r>
            <w:r w:rsidRPr="00BB5CC2">
              <w:rPr>
                <w:rFonts w:ascii="Book Antiqua" w:hAnsi="Book Antiqua"/>
                <w:color w:val="000000" w:themeColor="text1"/>
                <w:sz w:val="24"/>
                <w:szCs w:val="24"/>
              </w:rPr>
              <w:t>0.95</w:t>
            </w:r>
          </w:p>
        </w:tc>
      </w:tr>
    </w:tbl>
    <w:p w:rsidR="00E82006" w:rsidRPr="00EC2237" w:rsidRDefault="00EC2237" w:rsidP="00162A81">
      <w:pPr>
        <w:adjustRightInd w:val="0"/>
        <w:snapToGrid w:val="0"/>
        <w:spacing w:after="0" w:line="360" w:lineRule="auto"/>
        <w:jc w:val="both"/>
        <w:rPr>
          <w:rFonts w:ascii="Book Antiqua" w:hAnsi="Book Antiqua"/>
          <w:bCs/>
          <w:sz w:val="24"/>
          <w:szCs w:val="24"/>
          <w:lang w:eastAsia="zh-CN"/>
        </w:rPr>
      </w:pPr>
      <w:r w:rsidRPr="00EC2237">
        <w:rPr>
          <w:rFonts w:ascii="Book Antiqua" w:hAnsi="Book Antiqua"/>
          <w:bCs/>
          <w:sz w:val="24"/>
          <w:szCs w:val="24"/>
          <w:lang w:eastAsia="zh-CN"/>
        </w:rPr>
        <w:t>DCF: Docetaxel/cisplatin/fluorouracil; CF: Cisplatin/fluorouracil; FLO: Fluorouracil/leucovorin/oxaliplatin; FLP: Fluorouracil/leucovorin/cisplatin; ECF: Epirubicin/cisplatin/fluorouracil; ECX: Epirubicin/cisplatin/capecitabine; EOF: Epirubicin/oxaliplatin/fluorouracil; EOX: Epirubicin/oxaliplatin/capecitabine; XP: Cisplatin/capecitabine; FP: Cisplatin/fluorouracil; CS: Cisplatin/S-1; SOX: S-1/oxaliplatin; IF: Irinotecan/fluorouracil; FOLFIRI: Fluorouracil/leucovorin/irinotecan</w:t>
      </w:r>
      <w:r>
        <w:rPr>
          <w:rFonts w:ascii="Book Antiqua" w:hAnsi="Book Antiqua" w:hint="eastAsia"/>
          <w:bCs/>
          <w:sz w:val="24"/>
          <w:szCs w:val="24"/>
          <w:lang w:eastAsia="zh-CN"/>
        </w:rPr>
        <w:t>.</w:t>
      </w:r>
    </w:p>
    <w:p w:rsidR="00E82006" w:rsidRPr="00EC2237" w:rsidRDefault="00E82006" w:rsidP="00162A81">
      <w:pPr>
        <w:adjustRightInd w:val="0"/>
        <w:snapToGrid w:val="0"/>
        <w:spacing w:after="0" w:line="360" w:lineRule="auto"/>
        <w:jc w:val="both"/>
        <w:rPr>
          <w:rFonts w:ascii="Book Antiqua" w:hAnsi="Book Antiqua"/>
          <w:b/>
          <w:bCs/>
          <w:sz w:val="24"/>
          <w:szCs w:val="24"/>
          <w:lang w:eastAsia="zh-CN"/>
        </w:rPr>
      </w:pPr>
    </w:p>
    <w:p w:rsidR="0025686A" w:rsidRPr="00E82006" w:rsidRDefault="0025686A" w:rsidP="00162A81">
      <w:pPr>
        <w:adjustRightInd w:val="0"/>
        <w:snapToGrid w:val="0"/>
        <w:spacing w:after="0" w:line="360" w:lineRule="auto"/>
        <w:jc w:val="both"/>
        <w:rPr>
          <w:rFonts w:ascii="Book Antiqua" w:hAnsi="Book Antiqua"/>
          <w:b/>
          <w:bCs/>
          <w:sz w:val="24"/>
          <w:szCs w:val="24"/>
        </w:rPr>
      </w:pPr>
      <w:r w:rsidRPr="00E82006">
        <w:rPr>
          <w:rFonts w:ascii="Book Antiqua" w:hAnsi="Book Antiqua"/>
          <w:b/>
          <w:bCs/>
          <w:sz w:val="24"/>
          <w:szCs w:val="24"/>
        </w:rPr>
        <w:br w:type="page"/>
      </w:r>
    </w:p>
    <w:p w:rsidR="00043501" w:rsidRPr="00502006" w:rsidRDefault="00502006" w:rsidP="00162A81">
      <w:pPr>
        <w:adjustRightInd w:val="0"/>
        <w:snapToGrid w:val="0"/>
        <w:spacing w:after="0" w:line="360" w:lineRule="auto"/>
        <w:jc w:val="both"/>
        <w:rPr>
          <w:rFonts w:ascii="Book Antiqua" w:hAnsi="Book Antiqua"/>
          <w:b/>
          <w:sz w:val="24"/>
          <w:szCs w:val="24"/>
          <w:lang w:eastAsia="zh-CN"/>
        </w:rPr>
      </w:pPr>
      <w:r w:rsidRPr="00502006">
        <w:rPr>
          <w:rFonts w:ascii="Book Antiqua" w:hAnsi="Book Antiqua"/>
          <w:b/>
          <w:sz w:val="24"/>
          <w:szCs w:val="24"/>
        </w:rPr>
        <w:lastRenderedPageBreak/>
        <w:t>Table 2 Targeted therapy completed trials</w:t>
      </w:r>
    </w:p>
    <w:tbl>
      <w:tblPr>
        <w:tblStyle w:val="LightList-Accent1"/>
        <w:tblW w:w="9611" w:type="dxa"/>
        <w:tblInd w:w="-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38"/>
        <w:gridCol w:w="1363"/>
        <w:gridCol w:w="1280"/>
        <w:gridCol w:w="694"/>
        <w:gridCol w:w="2116"/>
        <w:gridCol w:w="611"/>
        <w:gridCol w:w="1196"/>
        <w:gridCol w:w="1213"/>
      </w:tblGrid>
      <w:tr w:rsidR="00162A81" w:rsidRPr="007B7AB0" w:rsidTr="007B7AB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8"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rPr>
                <w:rFonts w:ascii="Book Antiqua" w:eastAsiaTheme="minorEastAsia" w:hAnsi="Book Antiqua"/>
                <w:color w:val="000000" w:themeColor="text1"/>
                <w:sz w:val="24"/>
                <w:szCs w:val="24"/>
                <w:lang w:eastAsia="zh-CN"/>
              </w:rPr>
            </w:pPr>
            <w:r w:rsidRPr="007B7AB0">
              <w:rPr>
                <w:rFonts w:ascii="Book Antiqua" w:hAnsi="Book Antiqua"/>
                <w:color w:val="000000" w:themeColor="text1"/>
                <w:sz w:val="24"/>
                <w:szCs w:val="24"/>
              </w:rPr>
              <w:t>Ref</w:t>
            </w:r>
            <w:r w:rsidR="007B7AB0" w:rsidRPr="007B7AB0">
              <w:rPr>
                <w:rFonts w:ascii="Book Antiqua" w:eastAsiaTheme="minorEastAsia" w:hAnsi="Book Antiqua" w:hint="eastAsia"/>
                <w:color w:val="000000" w:themeColor="text1"/>
                <w:sz w:val="24"/>
                <w:szCs w:val="24"/>
                <w:lang w:eastAsia="zh-CN"/>
              </w:rPr>
              <w:t>.</w:t>
            </w:r>
          </w:p>
        </w:tc>
        <w:tc>
          <w:tcPr>
            <w:tcW w:w="1363"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Name</w:t>
            </w:r>
          </w:p>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Phase</w:t>
            </w:r>
          </w:p>
        </w:tc>
        <w:tc>
          <w:tcPr>
            <w:tcW w:w="1280"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Indication</w:t>
            </w:r>
          </w:p>
        </w:tc>
        <w:tc>
          <w:tcPr>
            <w:tcW w:w="694"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Line</w:t>
            </w:r>
          </w:p>
        </w:tc>
        <w:tc>
          <w:tcPr>
            <w:tcW w:w="2116"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Arms</w:t>
            </w:r>
          </w:p>
        </w:tc>
        <w:tc>
          <w:tcPr>
            <w:tcW w:w="611"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7B7AB0">
              <w:rPr>
                <w:rFonts w:ascii="Book Antiqua" w:hAnsi="Book Antiqua"/>
                <w:i/>
                <w:color w:val="000000" w:themeColor="text1"/>
                <w:sz w:val="24"/>
                <w:szCs w:val="24"/>
              </w:rPr>
              <w:t>n</w:t>
            </w:r>
          </w:p>
        </w:tc>
        <w:tc>
          <w:tcPr>
            <w:tcW w:w="1196"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PFS (mo)</w:t>
            </w:r>
          </w:p>
        </w:tc>
        <w:tc>
          <w:tcPr>
            <w:tcW w:w="1213" w:type="dxa"/>
            <w:tcBorders>
              <w:top w:val="single" w:sz="8" w:space="0" w:color="4F81BD" w:themeColor="accent1"/>
              <w:bottom w:val="single" w:sz="8" w:space="0" w:color="4F81BD" w:themeColor="accent1"/>
            </w:tcBorders>
            <w:shd w:val="clear" w:color="auto" w:fill="auto"/>
            <w:vAlign w:val="center"/>
          </w:tcPr>
          <w:p w:rsidR="00502006" w:rsidRPr="007B7AB0" w:rsidRDefault="00502006"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B7AB0">
              <w:rPr>
                <w:rFonts w:ascii="Book Antiqua" w:hAnsi="Book Antiqua"/>
                <w:color w:val="000000" w:themeColor="text1"/>
                <w:sz w:val="24"/>
                <w:szCs w:val="24"/>
              </w:rPr>
              <w:t>OS (mo)</w:t>
            </w:r>
          </w:p>
        </w:tc>
      </w:tr>
      <w:tr w:rsidR="00502006" w:rsidRPr="00502006" w:rsidTr="007B7AB0">
        <w:trPr>
          <w:gridAfter w:val="7"/>
          <w:cnfStyle w:val="000000100000" w:firstRow="0" w:lastRow="0" w:firstColumn="0" w:lastColumn="0" w:oddVBand="0" w:evenVBand="0" w:oddHBand="1" w:evenHBand="0" w:firstRowFirstColumn="0" w:firstRowLastColumn="0" w:lastRowFirstColumn="0" w:lastRowLastColumn="0"/>
          <w:wAfter w:w="8473" w:type="dxa"/>
          <w:cantSplit/>
          <w:trHeight w:val="295"/>
        </w:trPr>
        <w:tc>
          <w:tcPr>
            <w:cnfStyle w:val="001000000000" w:firstRow="0" w:lastRow="0" w:firstColumn="1" w:lastColumn="0" w:oddVBand="0" w:evenVBand="0" w:oddHBand="0" w:evenHBand="0" w:firstRowFirstColumn="0" w:firstRowLastColumn="0" w:lastRowFirstColumn="0" w:lastRowLastColumn="0"/>
            <w:tcW w:w="1138" w:type="dxa"/>
            <w:tcBorders>
              <w:left w:val="none" w:sz="0" w:space="0" w:color="auto"/>
              <w:bottom w:val="none" w:sz="0" w:space="0" w:color="auto"/>
              <w:right w:val="none" w:sz="0" w:space="0" w:color="auto"/>
            </w:tcBorders>
            <w:shd w:val="clear" w:color="auto" w:fill="auto"/>
          </w:tcPr>
          <w:p w:rsidR="00502006" w:rsidRPr="00502006" w:rsidRDefault="00502006" w:rsidP="00162A81">
            <w:pPr>
              <w:adjustRightInd w:val="0"/>
              <w:snapToGrid w:val="0"/>
              <w:spacing w:line="360" w:lineRule="auto"/>
              <w:jc w:val="both"/>
              <w:rPr>
                <w:rFonts w:ascii="Book Antiqua" w:hAnsi="Book Antiqua"/>
                <w:color w:val="000000" w:themeColor="text1"/>
                <w:sz w:val="24"/>
                <w:szCs w:val="24"/>
              </w:rPr>
            </w:pPr>
            <w:r w:rsidRPr="00502006">
              <w:rPr>
                <w:rFonts w:ascii="Book Antiqua" w:hAnsi="Book Antiqua"/>
                <w:i/>
                <w:color w:val="000000" w:themeColor="text1"/>
                <w:sz w:val="24"/>
                <w:szCs w:val="24"/>
              </w:rPr>
              <w:t>HER2</w:t>
            </w:r>
          </w:p>
        </w:tc>
      </w:tr>
      <w:tr w:rsidR="00502006" w:rsidRPr="00502006" w:rsidTr="007B7AB0">
        <w:trPr>
          <w:cantSplit/>
          <w:trHeight w:val="72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28</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ToGA</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r w:rsidR="00AC6C6B">
              <w:rPr>
                <w:rFonts w:ascii="Book Antiqua" w:eastAsiaTheme="minorEastAsia" w:hAnsi="Book Antiqua" w:hint="eastAsia"/>
                <w:b/>
                <w:color w:val="000000" w:themeColor="text1"/>
                <w:sz w:val="24"/>
                <w:szCs w:val="24"/>
                <w:vertAlign w:val="superscript"/>
                <w:lang w:eastAsia="zh-CN"/>
              </w:rPr>
              <w:t>[</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HER2(+) Adv/Met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Fluoropyrimidine/ cisplatin +/- trastuzumab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594</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6.7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5.5</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0.0002</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13.8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11.1</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0.005</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29</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LOGiC</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HER2(+) Adv/Met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CapeOx +/- lapatinib</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545</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6.4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5.4</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0.10</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12.2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10.5</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0.3492</w:t>
            </w:r>
          </w:p>
        </w:tc>
      </w:tr>
      <w:tr w:rsidR="00502006" w:rsidRPr="00502006" w:rsidTr="007B7AB0">
        <w:trPr>
          <w:cantSplit/>
          <w:trHeight w:val="72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30</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TyTAN</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HER2(+) Adv/Met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Paclitaxel +/- lapatinib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261</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5.4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4.4</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0.2441</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11.0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8.9</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0.2088</w:t>
            </w:r>
          </w:p>
        </w:tc>
      </w:tr>
      <w:tr w:rsidR="00502006" w:rsidRPr="00502006" w:rsidTr="007B7AB0">
        <w:trPr>
          <w:gridAfter w:val="7"/>
          <w:cnfStyle w:val="000000100000" w:firstRow="0" w:lastRow="0" w:firstColumn="0" w:lastColumn="0" w:oddVBand="0" w:evenVBand="0" w:oddHBand="1" w:evenHBand="0" w:firstRowFirstColumn="0" w:firstRowLastColumn="0" w:lastRowFirstColumn="0" w:lastRowLastColumn="0"/>
          <w:wAfter w:w="8473" w:type="dxa"/>
          <w:cantSplit/>
          <w:trHeight w:val="277"/>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cBorders>
            <w:shd w:val="clear" w:color="auto" w:fill="auto"/>
          </w:tcPr>
          <w:p w:rsidR="00502006" w:rsidRPr="00502006" w:rsidRDefault="00502006" w:rsidP="00162A81">
            <w:pPr>
              <w:adjustRightInd w:val="0"/>
              <w:snapToGrid w:val="0"/>
              <w:spacing w:line="360" w:lineRule="auto"/>
              <w:jc w:val="both"/>
              <w:rPr>
                <w:rFonts w:ascii="Book Antiqua" w:hAnsi="Book Antiqua"/>
                <w:color w:val="000000" w:themeColor="text1"/>
                <w:sz w:val="24"/>
                <w:szCs w:val="24"/>
              </w:rPr>
            </w:pPr>
            <w:r w:rsidRPr="00502006">
              <w:rPr>
                <w:rFonts w:ascii="Book Antiqua" w:hAnsi="Book Antiqua"/>
                <w:i/>
                <w:color w:val="000000" w:themeColor="text1"/>
                <w:sz w:val="24"/>
                <w:szCs w:val="24"/>
              </w:rPr>
              <w:t>EGFR</w:t>
            </w:r>
          </w:p>
        </w:tc>
      </w:tr>
      <w:tr w:rsidR="00502006" w:rsidRPr="00502006" w:rsidTr="007B7AB0">
        <w:trPr>
          <w:cantSplit/>
          <w:trHeight w:val="538"/>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36</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EXPAND</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Adv/Met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Capecitabine/ cisplatin +/- cetuximab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904</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4.4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5.9</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0.32</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9.4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10.7</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0.95</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529"/>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37</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REAL3</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Adv/Met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EOX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modified EOX + panitumumab</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553</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6.0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7.4</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0.068</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8.8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11.3</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0.013</w:t>
            </w:r>
          </w:p>
        </w:tc>
      </w:tr>
      <w:tr w:rsidR="00502006" w:rsidRPr="00502006" w:rsidTr="007B7AB0">
        <w:trPr>
          <w:gridAfter w:val="7"/>
          <w:wAfter w:w="8473" w:type="dxa"/>
          <w:cantSplit/>
          <w:trHeight w:val="313"/>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vAlign w:val="center"/>
          </w:tcPr>
          <w:p w:rsidR="00502006" w:rsidRPr="00502006" w:rsidRDefault="00502006" w:rsidP="00162A81">
            <w:pPr>
              <w:adjustRightInd w:val="0"/>
              <w:snapToGrid w:val="0"/>
              <w:spacing w:line="360" w:lineRule="auto"/>
              <w:jc w:val="both"/>
              <w:rPr>
                <w:rFonts w:ascii="Book Antiqua" w:hAnsi="Book Antiqua"/>
                <w:color w:val="000000" w:themeColor="text1"/>
                <w:sz w:val="24"/>
                <w:szCs w:val="24"/>
              </w:rPr>
            </w:pPr>
            <w:r w:rsidRPr="00502006">
              <w:rPr>
                <w:rFonts w:ascii="Book Antiqua" w:hAnsi="Book Antiqua"/>
                <w:i/>
                <w:color w:val="000000" w:themeColor="text1"/>
                <w:sz w:val="24"/>
                <w:szCs w:val="24"/>
              </w:rPr>
              <w:t>VEGFR</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48</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Sunitinib</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Sunitinib</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78</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2.3</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6.8</w:t>
            </w:r>
          </w:p>
        </w:tc>
      </w:tr>
      <w:tr w:rsidR="00502006" w:rsidRPr="00502006" w:rsidTr="007B7AB0">
        <w:trPr>
          <w:cantSplit/>
          <w:trHeight w:val="52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49</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Sunitinib</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or 3</w:t>
            </w:r>
            <w:r w:rsidRPr="00502006">
              <w:rPr>
                <w:rFonts w:ascii="Book Antiqua" w:hAnsi="Book Antiqua"/>
                <w:color w:val="000000" w:themeColor="text1"/>
                <w:sz w:val="24"/>
                <w:szCs w:val="24"/>
                <w:vertAlign w:val="superscript"/>
              </w:rPr>
              <w:t>rd</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FOLFIRI +/-Sunitinib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91</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3.6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3.3</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0.66</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10.5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9.0</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0.21</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lastRenderedPageBreak/>
              <w:t>[</w:t>
            </w:r>
            <w:r w:rsidR="00502006" w:rsidRPr="00502006">
              <w:rPr>
                <w:rFonts w:ascii="Book Antiqua" w:hAnsi="Book Antiqua"/>
                <w:b w:val="0"/>
                <w:color w:val="000000" w:themeColor="text1"/>
                <w:sz w:val="24"/>
                <w:szCs w:val="24"/>
              </w:rPr>
              <w:t>50</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Sorafenib</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Adv/Met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Docetaxel/cisplatin + sorafenib</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44</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5.8</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13.6</w:t>
            </w:r>
          </w:p>
        </w:tc>
      </w:tr>
      <w:tr w:rsidR="00502006" w:rsidRPr="00502006" w:rsidTr="007B7AB0">
        <w:trPr>
          <w:cantSplit/>
          <w:trHeight w:val="52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51</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Sorafenib</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Oxaliplatin + sorafenib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40</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3</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6.5</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53</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Regorafenib</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or 3</w:t>
            </w:r>
            <w:r w:rsidRPr="00502006">
              <w:rPr>
                <w:rFonts w:ascii="Book Antiqua" w:hAnsi="Book Antiqua"/>
                <w:color w:val="000000" w:themeColor="text1"/>
                <w:sz w:val="24"/>
                <w:szCs w:val="24"/>
                <w:vertAlign w:val="superscript"/>
              </w:rPr>
              <w:t>rd</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Regorafenib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placebo</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152</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11.1wks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3.9wks</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p &lt;</w:t>
            </w:r>
            <w:r w:rsidRPr="00502006">
              <w:rPr>
                <w:rFonts w:ascii="Book Antiqua" w:hAnsi="Book Antiqua"/>
                <w:color w:val="000000" w:themeColor="text1"/>
                <w:sz w:val="24"/>
                <w:szCs w:val="24"/>
              </w:rPr>
              <w:t xml:space="preserve"> 0.0001</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25wks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19.4wks</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0.11</w:t>
            </w:r>
          </w:p>
        </w:tc>
      </w:tr>
      <w:tr w:rsidR="00502006" w:rsidRPr="00502006" w:rsidTr="007B7AB0">
        <w:trPr>
          <w:cantSplit/>
          <w:trHeight w:val="538"/>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41</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AVAGAST</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1</w:t>
            </w:r>
            <w:r w:rsidRPr="00502006">
              <w:rPr>
                <w:rFonts w:ascii="Book Antiqua" w:hAnsi="Book Antiqua"/>
                <w:color w:val="000000" w:themeColor="text1"/>
                <w:sz w:val="24"/>
                <w:szCs w:val="24"/>
                <w:vertAlign w:val="superscript"/>
              </w:rPr>
              <w:t>st</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Capecitabine/cisplatin +/- bevacizumab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774</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6.7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5.3</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0.0037</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12.1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10.1</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0.1002</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529"/>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43</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REGARD</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Met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BSC +/- ramucirumab</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355</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2.1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1.3</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&lt; </w:t>
            </w:r>
            <w:r w:rsidRPr="00502006">
              <w:rPr>
                <w:rFonts w:ascii="Book Antiqua" w:hAnsi="Book Antiqua"/>
                <w:color w:val="000000" w:themeColor="text1"/>
                <w:sz w:val="24"/>
                <w:szCs w:val="24"/>
              </w:rPr>
              <w:t>0.0001</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5.2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3.8</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0.0473</w:t>
            </w:r>
          </w:p>
        </w:tc>
      </w:tr>
      <w:tr w:rsidR="00502006" w:rsidRPr="00502006" w:rsidTr="007B7AB0">
        <w:trPr>
          <w:cantSplit/>
          <w:trHeight w:val="592"/>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Pr>
                <w:rFonts w:ascii="Book Antiqua" w:hAnsi="Book Antiqua"/>
                <w:b w:val="0"/>
                <w:color w:val="000000" w:themeColor="text1"/>
                <w:sz w:val="24"/>
                <w:szCs w:val="24"/>
              </w:rPr>
              <w:t>44</w:t>
            </w: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45</w:t>
            </w:r>
            <w:r>
              <w:rPr>
                <w:rFonts w:ascii="Book Antiqua" w:eastAsiaTheme="minorEastAsia" w:hAnsi="Book Antiqua" w:hint="eastAsia"/>
                <w:b w:val="0"/>
                <w:color w:val="000000" w:themeColor="text1"/>
                <w:sz w:val="24"/>
                <w:szCs w:val="24"/>
                <w:lang w:eastAsia="zh-CN"/>
              </w:rPr>
              <w:t>]</w:t>
            </w:r>
          </w:p>
        </w:tc>
        <w:tc>
          <w:tcPr>
            <w:tcW w:w="136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RAINBOW</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Met GC and GEJ</w:t>
            </w:r>
          </w:p>
        </w:tc>
        <w:tc>
          <w:tcPr>
            <w:tcW w:w="694"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w:t>
            </w:r>
          </w:p>
        </w:tc>
        <w:tc>
          <w:tcPr>
            <w:tcW w:w="211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Paclitaxel +/- ramucirumab</w:t>
            </w:r>
          </w:p>
        </w:tc>
        <w:tc>
          <w:tcPr>
            <w:tcW w:w="611"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665</w:t>
            </w:r>
          </w:p>
        </w:tc>
        <w:tc>
          <w:tcPr>
            <w:tcW w:w="1196"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4.4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2.86</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&lt; </w:t>
            </w:r>
            <w:r w:rsidRPr="00502006">
              <w:rPr>
                <w:rFonts w:ascii="Book Antiqua" w:hAnsi="Book Antiqua"/>
                <w:color w:val="000000" w:themeColor="text1"/>
                <w:sz w:val="24"/>
                <w:szCs w:val="24"/>
              </w:rPr>
              <w:t>0.0001</w:t>
            </w:r>
          </w:p>
        </w:tc>
        <w:tc>
          <w:tcPr>
            <w:tcW w:w="1213" w:type="dxa"/>
            <w:shd w:val="clear" w:color="auto" w:fill="auto"/>
            <w:vAlign w:val="center"/>
          </w:tcPr>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9.63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7.36</w:t>
            </w:r>
          </w:p>
          <w:p w:rsidR="00502006" w:rsidRPr="00502006" w:rsidRDefault="00502006"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0.0169</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619"/>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47</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Apatinib</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3</w:t>
            </w:r>
            <w:r w:rsidRPr="00502006">
              <w:rPr>
                <w:rFonts w:ascii="Book Antiqua" w:hAnsi="Book Antiqua"/>
                <w:color w:val="000000" w:themeColor="text1"/>
                <w:sz w:val="24"/>
                <w:szCs w:val="24"/>
                <w:vertAlign w:val="superscript"/>
              </w:rPr>
              <w:t>rd</w:t>
            </w:r>
            <w:r w:rsidRPr="00502006">
              <w:rPr>
                <w:rFonts w:ascii="Book Antiqua" w:hAnsi="Book Antiqua"/>
                <w:color w:val="000000" w:themeColor="text1"/>
                <w:sz w:val="24"/>
                <w:szCs w:val="24"/>
              </w:rPr>
              <w:t xml:space="preserve"> </w:t>
            </w:r>
          </w:p>
        </w:tc>
        <w:tc>
          <w:tcPr>
            <w:tcW w:w="211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Apatinib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placebo</w:t>
            </w:r>
          </w:p>
        </w:tc>
        <w:tc>
          <w:tcPr>
            <w:tcW w:w="611"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270</w:t>
            </w:r>
          </w:p>
        </w:tc>
        <w:tc>
          <w:tcPr>
            <w:tcW w:w="1196" w:type="dxa"/>
            <w:tcBorders>
              <w:top w:val="none" w:sz="0" w:space="0" w:color="auto"/>
              <w:bottom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78d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53d</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&lt; </w:t>
            </w:r>
            <w:r w:rsidRPr="00502006">
              <w:rPr>
                <w:rFonts w:ascii="Book Antiqua" w:hAnsi="Book Antiqua"/>
                <w:color w:val="000000" w:themeColor="text1"/>
                <w:sz w:val="24"/>
                <w:szCs w:val="24"/>
              </w:rPr>
              <w:t>0.0001</w:t>
            </w:r>
          </w:p>
        </w:tc>
        <w:tc>
          <w:tcPr>
            <w:tcW w:w="1213" w:type="dxa"/>
            <w:tcBorders>
              <w:top w:val="none" w:sz="0" w:space="0" w:color="auto"/>
              <w:bottom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195d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140d</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&lt; </w:t>
            </w:r>
            <w:r w:rsidRPr="00502006">
              <w:rPr>
                <w:rFonts w:ascii="Book Antiqua" w:hAnsi="Book Antiqua"/>
                <w:color w:val="000000" w:themeColor="text1"/>
                <w:sz w:val="24"/>
                <w:szCs w:val="24"/>
              </w:rPr>
              <w:t>0.016</w:t>
            </w:r>
          </w:p>
        </w:tc>
      </w:tr>
      <w:tr w:rsidR="00502006" w:rsidRPr="00502006" w:rsidTr="007B7AB0">
        <w:trPr>
          <w:gridAfter w:val="7"/>
          <w:wAfter w:w="8473" w:type="dxa"/>
          <w:cantSplit/>
          <w:trHeight w:val="349"/>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vAlign w:val="center"/>
          </w:tcPr>
          <w:p w:rsidR="00502006" w:rsidRPr="00502006" w:rsidRDefault="00502006" w:rsidP="00162A81">
            <w:pPr>
              <w:adjustRightInd w:val="0"/>
              <w:snapToGrid w:val="0"/>
              <w:spacing w:line="360" w:lineRule="auto"/>
              <w:jc w:val="both"/>
              <w:rPr>
                <w:rFonts w:ascii="Book Antiqua" w:hAnsi="Book Antiqua"/>
                <w:color w:val="000000" w:themeColor="text1"/>
                <w:sz w:val="24"/>
                <w:szCs w:val="24"/>
              </w:rPr>
            </w:pPr>
            <w:r w:rsidRPr="00502006">
              <w:rPr>
                <w:rFonts w:ascii="Book Antiqua" w:hAnsi="Book Antiqua"/>
                <w:i/>
                <w:color w:val="000000" w:themeColor="text1"/>
                <w:sz w:val="24"/>
                <w:szCs w:val="24"/>
              </w:rPr>
              <w:t>mTOR</w:t>
            </w:r>
          </w:p>
        </w:tc>
      </w:tr>
      <w:tr w:rsidR="00502006" w:rsidRPr="00502006" w:rsidTr="007B7AB0">
        <w:trPr>
          <w:cnfStyle w:val="000000100000" w:firstRow="0" w:lastRow="0" w:firstColumn="0" w:lastColumn="0" w:oddVBand="0" w:evenVBand="0" w:oddHBand="1" w:evenHBand="0" w:firstRowFirstColumn="0" w:firstRowLastColumn="0" w:lastRowFirstColumn="0" w:lastRowLastColumn="0"/>
          <w:cantSplit/>
          <w:trHeight w:val="502"/>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tcBorders>
            <w:shd w:val="clear" w:color="auto" w:fill="auto"/>
          </w:tcPr>
          <w:p w:rsidR="00502006" w:rsidRPr="00AC6C6B" w:rsidRDefault="00AC6C6B" w:rsidP="00162A81">
            <w:pPr>
              <w:adjustRightInd w:val="0"/>
              <w:snapToGrid w:val="0"/>
              <w:spacing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w:t>
            </w:r>
            <w:r w:rsidR="00502006" w:rsidRPr="00502006">
              <w:rPr>
                <w:rFonts w:ascii="Book Antiqua" w:hAnsi="Book Antiqua"/>
                <w:b w:val="0"/>
                <w:color w:val="000000" w:themeColor="text1"/>
                <w:sz w:val="24"/>
                <w:szCs w:val="24"/>
              </w:rPr>
              <w:t>58</w:t>
            </w:r>
            <w:r>
              <w:rPr>
                <w:rFonts w:ascii="Book Antiqua" w:eastAsiaTheme="minorEastAsia" w:hAnsi="Book Antiqua" w:hint="eastAsia"/>
                <w:b w:val="0"/>
                <w:color w:val="000000" w:themeColor="text1"/>
                <w:sz w:val="24"/>
                <w:szCs w:val="24"/>
                <w:lang w:eastAsia="zh-CN"/>
              </w:rPr>
              <w:t>]</w:t>
            </w:r>
          </w:p>
        </w:tc>
        <w:tc>
          <w:tcPr>
            <w:tcW w:w="1363"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GRANITE-1</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Phase III</w:t>
            </w:r>
          </w:p>
        </w:tc>
        <w:tc>
          <w:tcPr>
            <w:tcW w:w="1280"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Adv GC and GEJ</w:t>
            </w:r>
          </w:p>
        </w:tc>
        <w:tc>
          <w:tcPr>
            <w:tcW w:w="694"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2</w:t>
            </w:r>
            <w:r w:rsidRPr="00502006">
              <w:rPr>
                <w:rFonts w:ascii="Book Antiqua" w:hAnsi="Book Antiqua"/>
                <w:color w:val="000000" w:themeColor="text1"/>
                <w:sz w:val="24"/>
                <w:szCs w:val="24"/>
                <w:vertAlign w:val="superscript"/>
              </w:rPr>
              <w:t>nd</w:t>
            </w:r>
            <w:r w:rsidRPr="00502006">
              <w:rPr>
                <w:rFonts w:ascii="Book Antiqua" w:hAnsi="Book Antiqua"/>
                <w:color w:val="000000" w:themeColor="text1"/>
                <w:sz w:val="24"/>
                <w:szCs w:val="24"/>
              </w:rPr>
              <w:t xml:space="preserve"> or 3</w:t>
            </w:r>
            <w:r w:rsidRPr="00502006">
              <w:rPr>
                <w:rFonts w:ascii="Book Antiqua" w:hAnsi="Book Antiqua"/>
                <w:color w:val="000000" w:themeColor="text1"/>
                <w:sz w:val="24"/>
                <w:szCs w:val="24"/>
                <w:vertAlign w:val="superscript"/>
              </w:rPr>
              <w:t>rd</w:t>
            </w:r>
          </w:p>
        </w:tc>
        <w:tc>
          <w:tcPr>
            <w:tcW w:w="2116"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BSC +/- Everolimus</w:t>
            </w:r>
          </w:p>
        </w:tc>
        <w:tc>
          <w:tcPr>
            <w:tcW w:w="611"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656</w:t>
            </w:r>
          </w:p>
        </w:tc>
        <w:tc>
          <w:tcPr>
            <w:tcW w:w="1196" w:type="dxa"/>
            <w:tcBorders>
              <w:top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1.7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1.4</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0.001</w:t>
            </w:r>
          </w:p>
        </w:tc>
        <w:tc>
          <w:tcPr>
            <w:tcW w:w="1213" w:type="dxa"/>
            <w:tcBorders>
              <w:top w:val="none" w:sz="0" w:space="0" w:color="auto"/>
              <w:right w:val="none" w:sz="0" w:space="0" w:color="auto"/>
            </w:tcBorders>
            <w:shd w:val="clear" w:color="auto" w:fill="auto"/>
            <w:vAlign w:val="center"/>
          </w:tcPr>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color w:val="000000" w:themeColor="text1"/>
                <w:sz w:val="24"/>
                <w:szCs w:val="24"/>
              </w:rPr>
              <w:t xml:space="preserve">5.4 </w:t>
            </w:r>
            <w:r w:rsidRPr="00502006">
              <w:rPr>
                <w:rFonts w:ascii="Book Antiqua" w:hAnsi="Book Antiqua"/>
                <w:i/>
                <w:color w:val="000000" w:themeColor="text1"/>
                <w:sz w:val="24"/>
                <w:szCs w:val="24"/>
              </w:rPr>
              <w:t>vs</w:t>
            </w:r>
            <w:r w:rsidRPr="00502006">
              <w:rPr>
                <w:rFonts w:ascii="Book Antiqua" w:hAnsi="Book Antiqua"/>
                <w:color w:val="000000" w:themeColor="text1"/>
                <w:sz w:val="24"/>
                <w:szCs w:val="24"/>
              </w:rPr>
              <w:t xml:space="preserve"> 4.3</w:t>
            </w:r>
          </w:p>
          <w:p w:rsidR="00502006" w:rsidRPr="00502006" w:rsidRDefault="00502006"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502006">
              <w:rPr>
                <w:rFonts w:ascii="Book Antiqua" w:hAnsi="Book Antiqua"/>
                <w:i/>
                <w:caps/>
                <w:color w:val="000000" w:themeColor="text1"/>
                <w:sz w:val="24"/>
                <w:szCs w:val="24"/>
              </w:rPr>
              <w:t xml:space="preserve">p = </w:t>
            </w:r>
            <w:r w:rsidRPr="00502006">
              <w:rPr>
                <w:rFonts w:ascii="Book Antiqua" w:hAnsi="Book Antiqua"/>
                <w:color w:val="000000" w:themeColor="text1"/>
                <w:sz w:val="24"/>
                <w:szCs w:val="24"/>
              </w:rPr>
              <w:t>0.124</w:t>
            </w:r>
          </w:p>
        </w:tc>
      </w:tr>
    </w:tbl>
    <w:p w:rsidR="00502006" w:rsidRPr="00E82006" w:rsidRDefault="00502006" w:rsidP="00162A81">
      <w:pPr>
        <w:adjustRightInd w:val="0"/>
        <w:snapToGrid w:val="0"/>
        <w:spacing w:after="0" w:line="360" w:lineRule="auto"/>
        <w:jc w:val="both"/>
        <w:rPr>
          <w:rFonts w:ascii="Book Antiqua" w:hAnsi="Book Antiqua"/>
          <w:sz w:val="24"/>
          <w:szCs w:val="24"/>
          <w:lang w:eastAsia="zh-CN"/>
        </w:rPr>
      </w:pPr>
      <w:r w:rsidRPr="00502006">
        <w:rPr>
          <w:rFonts w:ascii="Book Antiqua" w:hAnsi="Book Antiqua"/>
          <w:sz w:val="24"/>
          <w:szCs w:val="24"/>
          <w:lang w:eastAsia="zh-CN"/>
        </w:rPr>
        <w:lastRenderedPageBreak/>
        <w:t xml:space="preserve">Adv: </w:t>
      </w:r>
      <w:r w:rsidR="00AC6C6B" w:rsidRPr="00502006">
        <w:rPr>
          <w:rFonts w:ascii="Book Antiqua" w:hAnsi="Book Antiqua"/>
          <w:sz w:val="24"/>
          <w:szCs w:val="24"/>
          <w:lang w:eastAsia="zh-CN"/>
        </w:rPr>
        <w:t>Advanced</w:t>
      </w:r>
      <w:r w:rsidRPr="00502006">
        <w:rPr>
          <w:rFonts w:ascii="Book Antiqua" w:hAnsi="Book Antiqua"/>
          <w:sz w:val="24"/>
          <w:szCs w:val="24"/>
          <w:lang w:eastAsia="zh-CN"/>
        </w:rPr>
        <w:t xml:space="preserve">; Met: </w:t>
      </w:r>
      <w:r w:rsidR="00AC6C6B" w:rsidRPr="00502006">
        <w:rPr>
          <w:rFonts w:ascii="Book Antiqua" w:hAnsi="Book Antiqua"/>
          <w:sz w:val="24"/>
          <w:szCs w:val="24"/>
          <w:lang w:eastAsia="zh-CN"/>
        </w:rPr>
        <w:t>Metastatic</w:t>
      </w:r>
      <w:r w:rsidRPr="00502006">
        <w:rPr>
          <w:rFonts w:ascii="Book Antiqua" w:hAnsi="Book Antiqua"/>
          <w:sz w:val="24"/>
          <w:szCs w:val="24"/>
          <w:lang w:eastAsia="zh-CN"/>
        </w:rPr>
        <w:t xml:space="preserve">; GC: </w:t>
      </w:r>
      <w:r w:rsidR="00AC6C6B" w:rsidRPr="00502006">
        <w:rPr>
          <w:rFonts w:ascii="Book Antiqua" w:hAnsi="Book Antiqua"/>
          <w:sz w:val="24"/>
          <w:szCs w:val="24"/>
          <w:lang w:eastAsia="zh-CN"/>
        </w:rPr>
        <w:t xml:space="preserve">Gastric </w:t>
      </w:r>
      <w:r w:rsidRPr="00502006">
        <w:rPr>
          <w:rFonts w:ascii="Book Antiqua" w:hAnsi="Book Antiqua"/>
          <w:sz w:val="24"/>
          <w:szCs w:val="24"/>
          <w:lang w:eastAsia="zh-CN"/>
        </w:rPr>
        <w:t xml:space="preserve">cancer; GEJ: </w:t>
      </w:r>
      <w:r w:rsidR="00AC6C6B" w:rsidRPr="00502006">
        <w:rPr>
          <w:rFonts w:ascii="Book Antiqua" w:hAnsi="Book Antiqua"/>
          <w:sz w:val="24"/>
          <w:szCs w:val="24"/>
          <w:lang w:eastAsia="zh-CN"/>
        </w:rPr>
        <w:t xml:space="preserve">Gastroesophageal </w:t>
      </w:r>
      <w:r w:rsidRPr="00502006">
        <w:rPr>
          <w:rFonts w:ascii="Book Antiqua" w:hAnsi="Book Antiqua"/>
          <w:sz w:val="24"/>
          <w:szCs w:val="24"/>
          <w:lang w:eastAsia="zh-CN"/>
        </w:rPr>
        <w:t xml:space="preserve">junction; CapeOx: </w:t>
      </w:r>
      <w:r w:rsidR="00AC6C6B" w:rsidRPr="00502006">
        <w:rPr>
          <w:rFonts w:ascii="Book Antiqua" w:hAnsi="Book Antiqua"/>
          <w:sz w:val="24"/>
          <w:szCs w:val="24"/>
          <w:lang w:eastAsia="zh-CN"/>
        </w:rPr>
        <w:t>Capecitabine</w:t>
      </w:r>
      <w:r w:rsidRPr="00502006">
        <w:rPr>
          <w:rFonts w:ascii="Book Antiqua" w:hAnsi="Book Antiqua"/>
          <w:sz w:val="24"/>
          <w:szCs w:val="24"/>
          <w:lang w:eastAsia="zh-CN"/>
        </w:rPr>
        <w:t xml:space="preserve">/oxaliplatin; EOX: </w:t>
      </w:r>
      <w:r w:rsidR="00AC6C6B" w:rsidRPr="00502006">
        <w:rPr>
          <w:rFonts w:ascii="Book Antiqua" w:hAnsi="Book Antiqua"/>
          <w:sz w:val="24"/>
          <w:szCs w:val="24"/>
          <w:lang w:eastAsia="zh-CN"/>
        </w:rPr>
        <w:t>Epirubicin</w:t>
      </w:r>
      <w:r w:rsidRPr="00502006">
        <w:rPr>
          <w:rFonts w:ascii="Book Antiqua" w:hAnsi="Book Antiqua"/>
          <w:sz w:val="24"/>
          <w:szCs w:val="24"/>
          <w:lang w:eastAsia="zh-CN"/>
        </w:rPr>
        <w:t xml:space="preserve">/oxaliplatin/capecitabine; FOLFIRI: </w:t>
      </w:r>
      <w:r w:rsidR="00AC6C6B" w:rsidRPr="00502006">
        <w:rPr>
          <w:rFonts w:ascii="Book Antiqua" w:hAnsi="Book Antiqua"/>
          <w:sz w:val="24"/>
          <w:szCs w:val="24"/>
          <w:lang w:eastAsia="zh-CN"/>
        </w:rPr>
        <w:t>Fluorouracil</w:t>
      </w:r>
      <w:r w:rsidRPr="00502006">
        <w:rPr>
          <w:rFonts w:ascii="Book Antiqua" w:hAnsi="Book Antiqua"/>
          <w:sz w:val="24"/>
          <w:szCs w:val="24"/>
          <w:lang w:eastAsia="zh-CN"/>
        </w:rPr>
        <w:t xml:space="preserve">/leucovorin/irinotecan; BSC: </w:t>
      </w:r>
      <w:r w:rsidR="00AC6C6B" w:rsidRPr="00502006">
        <w:rPr>
          <w:rFonts w:ascii="Book Antiqua" w:hAnsi="Book Antiqua"/>
          <w:sz w:val="24"/>
          <w:szCs w:val="24"/>
          <w:lang w:eastAsia="zh-CN"/>
        </w:rPr>
        <w:t xml:space="preserve">Best </w:t>
      </w:r>
      <w:r w:rsidRPr="00502006">
        <w:rPr>
          <w:rFonts w:ascii="Book Antiqua" w:hAnsi="Book Antiqua"/>
          <w:sz w:val="24"/>
          <w:szCs w:val="24"/>
          <w:lang w:eastAsia="zh-CN"/>
        </w:rPr>
        <w:t>supportive care</w:t>
      </w:r>
      <w:r w:rsidR="00AC6C6B">
        <w:rPr>
          <w:rFonts w:ascii="Book Antiqua" w:hAnsi="Book Antiqua" w:hint="eastAsia"/>
          <w:sz w:val="24"/>
          <w:szCs w:val="24"/>
          <w:lang w:eastAsia="zh-CN"/>
        </w:rPr>
        <w:t>.</w:t>
      </w:r>
    </w:p>
    <w:p w:rsidR="00043501" w:rsidRPr="00E82006" w:rsidRDefault="00043501" w:rsidP="00162A81">
      <w:pPr>
        <w:adjustRightInd w:val="0"/>
        <w:snapToGrid w:val="0"/>
        <w:spacing w:after="0" w:line="360" w:lineRule="auto"/>
        <w:jc w:val="both"/>
        <w:rPr>
          <w:rFonts w:ascii="Book Antiqua" w:hAnsi="Book Antiqua"/>
          <w:sz w:val="24"/>
          <w:szCs w:val="24"/>
        </w:rPr>
      </w:pPr>
      <w:r w:rsidRPr="00E82006">
        <w:rPr>
          <w:rFonts w:ascii="Book Antiqua" w:hAnsi="Book Antiqua"/>
          <w:sz w:val="24"/>
          <w:szCs w:val="24"/>
        </w:rPr>
        <w:br w:type="page"/>
      </w:r>
    </w:p>
    <w:p w:rsidR="0025686A" w:rsidRPr="00EC32C1" w:rsidRDefault="00EC32C1" w:rsidP="00162A81">
      <w:pPr>
        <w:adjustRightInd w:val="0"/>
        <w:snapToGrid w:val="0"/>
        <w:spacing w:after="0" w:line="360" w:lineRule="auto"/>
        <w:jc w:val="both"/>
        <w:rPr>
          <w:rFonts w:ascii="Book Antiqua" w:hAnsi="Book Antiqua"/>
          <w:b/>
          <w:sz w:val="24"/>
          <w:szCs w:val="24"/>
          <w:lang w:eastAsia="zh-CN"/>
        </w:rPr>
      </w:pPr>
      <w:r w:rsidRPr="00EC32C1">
        <w:rPr>
          <w:rFonts w:ascii="Book Antiqua" w:hAnsi="Book Antiqua"/>
          <w:b/>
          <w:sz w:val="24"/>
          <w:szCs w:val="24"/>
        </w:rPr>
        <w:lastRenderedPageBreak/>
        <w:t>Table 3 Ongoing trials</w:t>
      </w:r>
    </w:p>
    <w:tbl>
      <w:tblPr>
        <w:tblStyle w:val="LightList-Accent1"/>
        <w:tblW w:w="9558" w:type="dxa"/>
        <w:tblBorders>
          <w:left w:val="none" w:sz="0" w:space="0" w:color="auto"/>
          <w:right w:val="none" w:sz="0" w:space="0" w:color="auto"/>
        </w:tblBorders>
        <w:tblLayout w:type="fixed"/>
        <w:tblLook w:val="04A0" w:firstRow="1" w:lastRow="0" w:firstColumn="1" w:lastColumn="0" w:noHBand="0" w:noVBand="1"/>
      </w:tblPr>
      <w:tblGrid>
        <w:gridCol w:w="1998"/>
        <w:gridCol w:w="1890"/>
        <w:gridCol w:w="720"/>
        <w:gridCol w:w="2070"/>
        <w:gridCol w:w="1080"/>
        <w:gridCol w:w="1800"/>
      </w:tblGrid>
      <w:tr w:rsidR="00EC32C1" w:rsidRPr="00EC32C1" w:rsidTr="00EC3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color w:val="000000" w:themeColor="text1"/>
                <w:sz w:val="24"/>
                <w:szCs w:val="24"/>
              </w:rPr>
            </w:pPr>
            <w:r w:rsidRPr="00EC32C1">
              <w:rPr>
                <w:rFonts w:ascii="Book Antiqua" w:hAnsi="Book Antiqua"/>
                <w:color w:val="000000" w:themeColor="text1"/>
                <w:sz w:val="24"/>
                <w:szCs w:val="24"/>
              </w:rPr>
              <w:t>Name</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color w:val="000000" w:themeColor="text1"/>
                <w:sz w:val="24"/>
                <w:szCs w:val="24"/>
              </w:rPr>
              <w:t>Phase</w:t>
            </w:r>
          </w:p>
        </w:tc>
        <w:tc>
          <w:tcPr>
            <w:tcW w:w="1890"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Indication</w:t>
            </w:r>
          </w:p>
        </w:tc>
        <w:tc>
          <w:tcPr>
            <w:tcW w:w="720"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Line</w:t>
            </w:r>
          </w:p>
        </w:tc>
        <w:tc>
          <w:tcPr>
            <w:tcW w:w="2070"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Agent</w:t>
            </w:r>
          </w:p>
        </w:tc>
        <w:tc>
          <w:tcPr>
            <w:tcW w:w="1080"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800" w:type="dxa"/>
            <w:tcBorders>
              <w:top w:val="single" w:sz="8" w:space="0" w:color="4F81BD" w:themeColor="accent1"/>
              <w:bottom w:val="single" w:sz="8" w:space="0" w:color="4F81BD" w:themeColor="accent1"/>
            </w:tcBorders>
            <w:shd w:val="clear" w:color="auto" w:fill="auto"/>
            <w:vAlign w:val="center"/>
          </w:tcPr>
          <w:p w:rsidR="00EC32C1" w:rsidRPr="00EC32C1" w:rsidRDefault="00EC32C1" w:rsidP="00162A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ClinicalTrials.gov Identifier</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6"/>
            <w:tcBorders>
              <w:left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i/>
                <w:color w:val="000000" w:themeColor="text1"/>
                <w:sz w:val="24"/>
                <w:szCs w:val="24"/>
              </w:rPr>
            </w:pPr>
            <w:r w:rsidRPr="00EC32C1">
              <w:rPr>
                <w:rFonts w:ascii="Book Antiqua" w:hAnsi="Book Antiqua"/>
                <w:i/>
                <w:color w:val="000000" w:themeColor="text1"/>
                <w:sz w:val="24"/>
                <w:szCs w:val="24"/>
              </w:rPr>
              <w:t>HER2</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HELOISE</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HER2(+) Met GC and GEJ</w:t>
            </w:r>
          </w:p>
        </w:tc>
        <w:tc>
          <w:tcPr>
            <w:tcW w:w="72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1</w:t>
            </w:r>
            <w:r w:rsidRPr="00EC32C1">
              <w:rPr>
                <w:rFonts w:ascii="Book Antiqua" w:hAnsi="Book Antiqua"/>
                <w:color w:val="000000" w:themeColor="text1"/>
                <w:sz w:val="24"/>
                <w:szCs w:val="24"/>
                <w:vertAlign w:val="superscript"/>
              </w:rPr>
              <w:t>st</w:t>
            </w:r>
            <w:r w:rsidRPr="00EC32C1">
              <w:rPr>
                <w:rFonts w:ascii="Book Antiqua" w:hAnsi="Book Antiqua"/>
                <w:color w:val="000000" w:themeColor="text1"/>
                <w:sz w:val="24"/>
                <w:szCs w:val="24"/>
              </w:rPr>
              <w:t xml:space="preserve"> </w:t>
            </w:r>
          </w:p>
        </w:tc>
        <w:tc>
          <w:tcPr>
            <w:tcW w:w="207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Trastuzumab</w:t>
            </w:r>
          </w:p>
        </w:tc>
        <w:tc>
          <w:tcPr>
            <w:tcW w:w="108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80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NCT01450696</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JACOB</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HER2(+) Met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1</w:t>
            </w:r>
            <w:r w:rsidRPr="00EC32C1">
              <w:rPr>
                <w:rFonts w:ascii="Book Antiqua" w:hAnsi="Book Antiqua"/>
                <w:color w:val="000000" w:themeColor="text1"/>
                <w:sz w:val="24"/>
                <w:szCs w:val="24"/>
                <w:vertAlign w:val="superscript"/>
              </w:rPr>
              <w:t>st</w:t>
            </w:r>
            <w:r w:rsidRPr="00EC32C1">
              <w:rPr>
                <w:rFonts w:ascii="Book Antiqua" w:hAnsi="Book Antiqua"/>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Pertuzumab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NCT01774786</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9558" w:type="dxa"/>
            <w:gridSpan w:val="6"/>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i/>
                <w:color w:val="000000" w:themeColor="text1"/>
                <w:sz w:val="24"/>
                <w:szCs w:val="24"/>
              </w:rPr>
            </w:pPr>
            <w:r w:rsidRPr="00EC32C1">
              <w:rPr>
                <w:rFonts w:ascii="Book Antiqua" w:hAnsi="Book Antiqua"/>
                <w:i/>
                <w:color w:val="000000" w:themeColor="text1"/>
                <w:sz w:val="24"/>
                <w:szCs w:val="24"/>
              </w:rPr>
              <w:t>VEGFR</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RAINFALL</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s="Helvetica"/>
                <w:color w:val="000000" w:themeColor="text1"/>
                <w:sz w:val="24"/>
                <w:szCs w:val="24"/>
                <w:shd w:val="clear" w:color="auto" w:fill="FFFFFF"/>
              </w:rPr>
              <w:t>HER2(-)</w:t>
            </w:r>
            <w:r w:rsidRPr="00EC32C1">
              <w:rPr>
                <w:rFonts w:ascii="Book Antiqua" w:hAnsi="Book Antiqua"/>
                <w:color w:val="000000" w:themeColor="text1"/>
                <w:sz w:val="24"/>
                <w:szCs w:val="24"/>
              </w:rPr>
              <w:t xml:space="preserve"> Met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1</w:t>
            </w:r>
            <w:r w:rsidRPr="00EC32C1">
              <w:rPr>
                <w:rFonts w:ascii="Book Antiqua" w:hAnsi="Book Antiqua"/>
                <w:color w:val="000000" w:themeColor="text1"/>
                <w:sz w:val="24"/>
                <w:szCs w:val="24"/>
                <w:vertAlign w:val="superscript"/>
              </w:rPr>
              <w:t>st</w:t>
            </w:r>
            <w:r w:rsidRPr="00EC32C1">
              <w:rPr>
                <w:rFonts w:ascii="Book Antiqua" w:hAnsi="Book Antiqua"/>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Ramucirumab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s="Arial"/>
                <w:color w:val="000000" w:themeColor="text1"/>
                <w:sz w:val="24"/>
                <w:szCs w:val="24"/>
                <w:shd w:val="clear" w:color="auto" w:fill="FFFFFF"/>
              </w:rPr>
              <w:t>NCT02314117</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9558" w:type="dxa"/>
            <w:gridSpan w:val="6"/>
            <w:shd w:val="clear" w:color="auto" w:fill="auto"/>
            <w:vAlign w:val="center"/>
          </w:tcPr>
          <w:p w:rsidR="00EC32C1" w:rsidRPr="00EC32C1" w:rsidRDefault="00EC32C1" w:rsidP="00162A81">
            <w:pPr>
              <w:adjustRightInd w:val="0"/>
              <w:snapToGrid w:val="0"/>
              <w:spacing w:line="360" w:lineRule="auto"/>
              <w:jc w:val="both"/>
              <w:rPr>
                <w:rFonts w:ascii="Book Antiqua" w:hAnsi="Book Antiqua"/>
                <w:color w:val="000000" w:themeColor="text1"/>
                <w:sz w:val="24"/>
                <w:szCs w:val="24"/>
              </w:rPr>
            </w:pPr>
            <w:r w:rsidRPr="00EC32C1">
              <w:rPr>
                <w:rFonts w:ascii="Book Antiqua" w:hAnsi="Book Antiqua"/>
                <w:i/>
                <w:color w:val="000000" w:themeColor="text1"/>
                <w:sz w:val="24"/>
                <w:szCs w:val="24"/>
              </w:rPr>
              <w:t>PARP</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Olaparib</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2</w:t>
            </w:r>
            <w:r w:rsidRPr="00EC32C1">
              <w:rPr>
                <w:rFonts w:ascii="Book Antiqua" w:hAnsi="Book Antiqua"/>
                <w:color w:val="000000" w:themeColor="text1"/>
                <w:sz w:val="24"/>
                <w:szCs w:val="24"/>
                <w:vertAlign w:val="superscript"/>
              </w:rPr>
              <w:t>nd</w:t>
            </w:r>
            <w:r w:rsidRPr="00EC32C1">
              <w:rPr>
                <w:rFonts w:ascii="Book Antiqua" w:hAnsi="Book Antiqua"/>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Olaparib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NCT01924533</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9558" w:type="dxa"/>
            <w:gridSpan w:val="6"/>
            <w:shd w:val="clear" w:color="auto" w:fill="auto"/>
            <w:vAlign w:val="center"/>
          </w:tcPr>
          <w:p w:rsidR="00EC32C1" w:rsidRPr="00EC32C1" w:rsidRDefault="00EC32C1" w:rsidP="00162A81">
            <w:pPr>
              <w:adjustRightInd w:val="0"/>
              <w:snapToGrid w:val="0"/>
              <w:spacing w:line="360" w:lineRule="auto"/>
              <w:jc w:val="both"/>
              <w:rPr>
                <w:rFonts w:ascii="Book Antiqua" w:hAnsi="Book Antiqua"/>
                <w:i/>
                <w:color w:val="000000" w:themeColor="text1"/>
                <w:sz w:val="24"/>
                <w:szCs w:val="24"/>
              </w:rPr>
            </w:pPr>
            <w:r w:rsidRPr="00EC32C1">
              <w:rPr>
                <w:rFonts w:ascii="Book Antiqua" w:hAnsi="Book Antiqua"/>
                <w:i/>
                <w:color w:val="000000" w:themeColor="text1"/>
                <w:sz w:val="24"/>
                <w:szCs w:val="24"/>
              </w:rPr>
              <w:t>Immune Checkpoints</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KEYNOTE-059</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Pembrolizumab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NCT02335411</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KEYNOTE-061</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 GC and GEJ</w:t>
            </w:r>
          </w:p>
        </w:tc>
        <w:tc>
          <w:tcPr>
            <w:tcW w:w="72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2</w:t>
            </w:r>
            <w:r w:rsidRPr="00EC32C1">
              <w:rPr>
                <w:rFonts w:ascii="Book Antiqua" w:hAnsi="Book Antiqua"/>
                <w:color w:val="000000" w:themeColor="text1"/>
                <w:sz w:val="24"/>
                <w:szCs w:val="24"/>
                <w:vertAlign w:val="superscript"/>
              </w:rPr>
              <w:t>nd</w:t>
            </w:r>
            <w:r w:rsidRPr="00EC32C1">
              <w:rPr>
                <w:rFonts w:ascii="Book Antiqua" w:hAnsi="Book Antiqua"/>
                <w:color w:val="000000" w:themeColor="text1"/>
                <w:sz w:val="24"/>
                <w:szCs w:val="24"/>
              </w:rPr>
              <w:t xml:space="preserve"> </w:t>
            </w:r>
          </w:p>
        </w:tc>
        <w:tc>
          <w:tcPr>
            <w:tcW w:w="207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 xml:space="preserve">Pembrolizumab </w:t>
            </w:r>
          </w:p>
        </w:tc>
        <w:tc>
          <w:tcPr>
            <w:tcW w:w="108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80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NCT02370498</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KEYNOTE-062</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1</w:t>
            </w:r>
            <w:r w:rsidRPr="00EC32C1">
              <w:rPr>
                <w:rFonts w:ascii="Book Antiqua" w:hAnsi="Book Antiqua"/>
                <w:color w:val="000000" w:themeColor="text1"/>
                <w:sz w:val="24"/>
                <w:szCs w:val="24"/>
                <w:vertAlign w:val="superscript"/>
              </w:rPr>
              <w:t>st</w:t>
            </w:r>
            <w:r w:rsidRPr="00EC32C1">
              <w:rPr>
                <w:rFonts w:ascii="Book Antiqua" w:hAnsi="Book Antiqua"/>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Pembrolizumab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w:t>
            </w:r>
            <w:r w:rsidRPr="00EC32C1">
              <w:rPr>
                <w:rFonts w:ascii="Book Antiqua" w:hAnsi="Book Antiqua" w:cs="Arial"/>
                <w:color w:val="000000" w:themeColor="text1"/>
                <w:sz w:val="24"/>
                <w:szCs w:val="24"/>
                <w:shd w:val="clear" w:color="auto" w:fill="FFFFFF"/>
              </w:rPr>
              <w:t>02494583</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MEDI4736</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Advanced solid tumors</w:t>
            </w:r>
          </w:p>
        </w:tc>
        <w:tc>
          <w:tcPr>
            <w:tcW w:w="72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207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MEDI4736</w:t>
            </w:r>
          </w:p>
        </w:tc>
        <w:tc>
          <w:tcPr>
            <w:tcW w:w="108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80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NCT01693562</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JAVELIN Gastric 100</w:t>
            </w:r>
          </w:p>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Adv/Met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1</w:t>
            </w:r>
            <w:r w:rsidRPr="00EC32C1">
              <w:rPr>
                <w:rFonts w:ascii="Book Antiqua" w:hAnsi="Book Antiqua"/>
                <w:color w:val="000000" w:themeColor="text1"/>
                <w:sz w:val="24"/>
                <w:szCs w:val="24"/>
                <w:vertAlign w:val="superscript"/>
              </w:rPr>
              <w:t>st</w:t>
            </w:r>
            <w:r w:rsidRPr="00EC32C1">
              <w:rPr>
                <w:rFonts w:ascii="Book Antiqua" w:hAnsi="Book Antiqua"/>
                <w:color w:val="000000" w:themeColor="text1"/>
                <w:sz w:val="24"/>
                <w:szCs w:val="24"/>
              </w:rPr>
              <w:t xml:space="preserve"> </w:t>
            </w:r>
          </w:p>
        </w:tc>
        <w:tc>
          <w:tcPr>
            <w:tcW w:w="207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Avelumab</w:t>
            </w:r>
          </w:p>
        </w:tc>
        <w:tc>
          <w:tcPr>
            <w:tcW w:w="108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s="Arial"/>
                <w:color w:val="000000" w:themeColor="text1"/>
                <w:sz w:val="24"/>
                <w:szCs w:val="24"/>
                <w:shd w:val="clear" w:color="auto" w:fill="FFFFFF"/>
              </w:rPr>
              <w:t>NCT02625610</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rsidR="00EC32C1" w:rsidRPr="00EC32C1" w:rsidRDefault="00EC32C1" w:rsidP="00162A81">
            <w:pPr>
              <w:adjustRightInd w:val="0"/>
              <w:snapToGrid w:val="0"/>
              <w:spacing w:line="360" w:lineRule="auto"/>
              <w:jc w:val="both"/>
              <w:rPr>
                <w:rFonts w:ascii="Book Antiqua" w:hAnsi="Book Antiqua"/>
                <w:b w:val="0"/>
                <w:color w:val="000000" w:themeColor="text1"/>
                <w:sz w:val="24"/>
                <w:szCs w:val="24"/>
              </w:rPr>
            </w:pPr>
            <w:r w:rsidRPr="00EC32C1">
              <w:rPr>
                <w:rFonts w:ascii="Book Antiqua" w:hAnsi="Book Antiqua"/>
                <w:b w:val="0"/>
                <w:color w:val="000000" w:themeColor="text1"/>
                <w:sz w:val="24"/>
                <w:szCs w:val="24"/>
              </w:rPr>
              <w:t>JAVELIN Gastric 300</w:t>
            </w:r>
          </w:p>
          <w:p w:rsidR="00EC32C1" w:rsidRPr="00EC32C1" w:rsidRDefault="00EC32C1" w:rsidP="00162A81">
            <w:pPr>
              <w:adjustRightInd w:val="0"/>
              <w:snapToGrid w:val="0"/>
              <w:spacing w:line="360" w:lineRule="auto"/>
              <w:jc w:val="both"/>
              <w:rPr>
                <w:rFonts w:ascii="Book Antiqua" w:hAnsi="Book Antiqua"/>
                <w:color w:val="000000" w:themeColor="text1"/>
                <w:sz w:val="24"/>
                <w:szCs w:val="24"/>
              </w:rPr>
            </w:pPr>
            <w:r w:rsidRPr="00EC32C1">
              <w:rPr>
                <w:rFonts w:ascii="Book Antiqua" w:hAnsi="Book Antiqua"/>
                <w:b w:val="0"/>
                <w:color w:val="000000" w:themeColor="text1"/>
                <w:sz w:val="24"/>
                <w:szCs w:val="24"/>
              </w:rPr>
              <w:t>Phase III</w:t>
            </w:r>
          </w:p>
        </w:tc>
        <w:tc>
          <w:tcPr>
            <w:tcW w:w="189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Met/recurrent GC and GEJ</w:t>
            </w:r>
          </w:p>
        </w:tc>
        <w:tc>
          <w:tcPr>
            <w:tcW w:w="72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3</w:t>
            </w:r>
            <w:r w:rsidRPr="00EC32C1">
              <w:rPr>
                <w:rFonts w:ascii="Book Antiqua" w:hAnsi="Book Antiqua"/>
                <w:color w:val="000000" w:themeColor="text1"/>
                <w:sz w:val="24"/>
                <w:szCs w:val="24"/>
                <w:vertAlign w:val="superscript"/>
              </w:rPr>
              <w:t>rd</w:t>
            </w:r>
            <w:r w:rsidRPr="00EC32C1">
              <w:rPr>
                <w:rFonts w:ascii="Book Antiqua" w:hAnsi="Book Antiqua"/>
                <w:color w:val="000000" w:themeColor="text1"/>
                <w:sz w:val="24"/>
                <w:szCs w:val="24"/>
              </w:rPr>
              <w:t xml:space="preserve"> </w:t>
            </w:r>
          </w:p>
        </w:tc>
        <w:tc>
          <w:tcPr>
            <w:tcW w:w="207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Avelumab</w:t>
            </w:r>
          </w:p>
        </w:tc>
        <w:tc>
          <w:tcPr>
            <w:tcW w:w="108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80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s="Arial"/>
                <w:color w:val="000000" w:themeColor="text1"/>
                <w:sz w:val="24"/>
                <w:szCs w:val="24"/>
                <w:shd w:val="clear" w:color="auto" w:fill="FFFFFF"/>
              </w:rPr>
              <w:t>NCT02625623</w:t>
            </w:r>
          </w:p>
        </w:tc>
      </w:tr>
      <w:tr w:rsidR="00EC32C1" w:rsidRPr="00EC32C1" w:rsidTr="00EC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rPr>
                <w:rFonts w:ascii="Book Antiqua" w:hAnsi="Book Antiqua"/>
                <w:color w:val="000000" w:themeColor="text1"/>
                <w:sz w:val="24"/>
                <w:szCs w:val="24"/>
              </w:rPr>
            </w:pPr>
            <w:r w:rsidRPr="00EC32C1">
              <w:rPr>
                <w:rFonts w:ascii="Book Antiqua" w:hAnsi="Book Antiqua"/>
                <w:b w:val="0"/>
                <w:color w:val="000000" w:themeColor="text1"/>
                <w:sz w:val="24"/>
                <w:szCs w:val="24"/>
              </w:rPr>
              <w:lastRenderedPageBreak/>
              <w:t>Phase I/II</w:t>
            </w:r>
          </w:p>
        </w:tc>
        <w:tc>
          <w:tcPr>
            <w:tcW w:w="189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Met/recurrent GC and GEJ</w:t>
            </w:r>
          </w:p>
        </w:tc>
        <w:tc>
          <w:tcPr>
            <w:tcW w:w="720" w:type="dxa"/>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3150" w:type="dxa"/>
            <w:gridSpan w:val="2"/>
            <w:tcBorders>
              <w:top w:val="none" w:sz="0" w:space="0" w:color="auto"/>
              <w:bottom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 xml:space="preserve">MEDI4736 + Tremelimumab </w:t>
            </w:r>
            <w:r w:rsidRPr="00EC32C1">
              <w:rPr>
                <w:rFonts w:ascii="Book Antiqua" w:hAnsi="Book Antiqua"/>
                <w:i/>
                <w:color w:val="000000" w:themeColor="text1"/>
                <w:sz w:val="24"/>
                <w:szCs w:val="24"/>
              </w:rPr>
              <w:t>vs</w:t>
            </w:r>
            <w:r w:rsidRPr="00EC32C1">
              <w:rPr>
                <w:rFonts w:ascii="Book Antiqua" w:hAnsi="Book Antiqua"/>
                <w:color w:val="000000" w:themeColor="text1"/>
                <w:sz w:val="24"/>
                <w:szCs w:val="24"/>
              </w:rPr>
              <w:t xml:space="preserve"> MEDI4736 </w:t>
            </w:r>
            <w:r w:rsidRPr="00EC32C1">
              <w:rPr>
                <w:rFonts w:ascii="Book Antiqua" w:hAnsi="Book Antiqua"/>
                <w:i/>
                <w:color w:val="000000" w:themeColor="text1"/>
                <w:sz w:val="24"/>
                <w:szCs w:val="24"/>
              </w:rPr>
              <w:t>vs</w:t>
            </w:r>
            <w:r w:rsidRPr="00EC32C1">
              <w:rPr>
                <w:rFonts w:ascii="Book Antiqua" w:hAnsi="Book Antiqua"/>
                <w:color w:val="000000" w:themeColor="text1"/>
                <w:sz w:val="24"/>
                <w:szCs w:val="24"/>
              </w:rPr>
              <w:t xml:space="preserve"> Tremelimumab</w:t>
            </w:r>
          </w:p>
        </w:tc>
        <w:tc>
          <w:tcPr>
            <w:tcW w:w="1800" w:type="dxa"/>
            <w:tcBorders>
              <w:top w:val="none" w:sz="0" w:space="0" w:color="auto"/>
              <w:bottom w:val="none" w:sz="0" w:space="0" w:color="auto"/>
              <w:right w:val="none" w:sz="0" w:space="0" w:color="auto"/>
            </w:tcBorders>
            <w:shd w:val="clear" w:color="auto" w:fill="auto"/>
            <w:vAlign w:val="center"/>
          </w:tcPr>
          <w:p w:rsidR="00EC32C1" w:rsidRPr="00EC32C1" w:rsidRDefault="00EC32C1" w:rsidP="00162A8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NCT02340975</w:t>
            </w:r>
          </w:p>
        </w:tc>
      </w:tr>
      <w:tr w:rsidR="00EC32C1" w:rsidRPr="00EC32C1" w:rsidTr="00EC32C1">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rsidR="00EC32C1" w:rsidRPr="00EC32C1" w:rsidRDefault="00EC32C1" w:rsidP="00162A81">
            <w:pPr>
              <w:adjustRightInd w:val="0"/>
              <w:snapToGrid w:val="0"/>
              <w:spacing w:line="360" w:lineRule="auto"/>
              <w:jc w:val="both"/>
              <w:rPr>
                <w:rFonts w:ascii="Book Antiqua" w:hAnsi="Book Antiqua"/>
                <w:color w:val="000000" w:themeColor="text1"/>
                <w:sz w:val="24"/>
                <w:szCs w:val="24"/>
              </w:rPr>
            </w:pPr>
            <w:r w:rsidRPr="00EC32C1">
              <w:rPr>
                <w:rFonts w:ascii="Book Antiqua" w:hAnsi="Book Antiqua"/>
                <w:b w:val="0"/>
                <w:color w:val="000000" w:themeColor="text1"/>
                <w:sz w:val="24"/>
                <w:szCs w:val="24"/>
              </w:rPr>
              <w:t>Phase I/II</w:t>
            </w:r>
          </w:p>
        </w:tc>
        <w:tc>
          <w:tcPr>
            <w:tcW w:w="189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Advanced solid tumors</w:t>
            </w:r>
          </w:p>
        </w:tc>
        <w:tc>
          <w:tcPr>
            <w:tcW w:w="72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3150" w:type="dxa"/>
            <w:gridSpan w:val="2"/>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Nivolumab +/- Ipilimumab</w:t>
            </w:r>
          </w:p>
        </w:tc>
        <w:tc>
          <w:tcPr>
            <w:tcW w:w="1800" w:type="dxa"/>
            <w:shd w:val="clear" w:color="auto" w:fill="auto"/>
            <w:vAlign w:val="center"/>
          </w:tcPr>
          <w:p w:rsidR="00EC32C1" w:rsidRPr="00EC32C1" w:rsidRDefault="00EC32C1" w:rsidP="00162A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C32C1">
              <w:rPr>
                <w:rFonts w:ascii="Book Antiqua" w:hAnsi="Book Antiqua"/>
                <w:color w:val="000000" w:themeColor="text1"/>
                <w:sz w:val="24"/>
                <w:szCs w:val="24"/>
              </w:rPr>
              <w:t>NCT01928394</w:t>
            </w:r>
          </w:p>
        </w:tc>
      </w:tr>
    </w:tbl>
    <w:p w:rsidR="00EC32C1" w:rsidRPr="00EC32C1" w:rsidRDefault="00EC32C1" w:rsidP="00162A81">
      <w:pPr>
        <w:adjustRightInd w:val="0"/>
        <w:snapToGrid w:val="0"/>
        <w:spacing w:after="0" w:line="360" w:lineRule="auto"/>
        <w:jc w:val="both"/>
        <w:rPr>
          <w:rFonts w:ascii="Book Antiqua" w:hAnsi="Book Antiqua"/>
          <w:sz w:val="24"/>
          <w:szCs w:val="24"/>
          <w:lang w:eastAsia="zh-CN"/>
        </w:rPr>
      </w:pPr>
      <w:r w:rsidRPr="00EC32C1">
        <w:rPr>
          <w:rFonts w:ascii="Book Antiqua" w:hAnsi="Book Antiqua"/>
          <w:sz w:val="24"/>
          <w:szCs w:val="24"/>
          <w:lang w:eastAsia="zh-CN"/>
        </w:rPr>
        <w:t xml:space="preserve">Adv: </w:t>
      </w:r>
      <w:r w:rsidRPr="00EC32C1">
        <w:rPr>
          <w:rFonts w:ascii="Book Antiqua" w:hAnsi="Book Antiqua"/>
          <w:caps/>
          <w:sz w:val="24"/>
          <w:szCs w:val="24"/>
          <w:lang w:eastAsia="zh-CN"/>
        </w:rPr>
        <w:t>a</w:t>
      </w:r>
      <w:r w:rsidRPr="00EC32C1">
        <w:rPr>
          <w:rFonts w:ascii="Book Antiqua" w:hAnsi="Book Antiqua"/>
          <w:sz w:val="24"/>
          <w:szCs w:val="24"/>
          <w:lang w:eastAsia="zh-CN"/>
        </w:rPr>
        <w:t xml:space="preserve">dvanced; Met: </w:t>
      </w:r>
      <w:r w:rsidRPr="00EC32C1">
        <w:rPr>
          <w:rFonts w:ascii="Book Antiqua" w:hAnsi="Book Antiqua"/>
          <w:caps/>
          <w:sz w:val="24"/>
          <w:szCs w:val="24"/>
          <w:lang w:eastAsia="zh-CN"/>
        </w:rPr>
        <w:t>m</w:t>
      </w:r>
      <w:r w:rsidRPr="00EC32C1">
        <w:rPr>
          <w:rFonts w:ascii="Book Antiqua" w:hAnsi="Book Antiqua"/>
          <w:sz w:val="24"/>
          <w:szCs w:val="24"/>
          <w:lang w:eastAsia="zh-CN"/>
        </w:rPr>
        <w:t xml:space="preserve">etastatic; GC: </w:t>
      </w:r>
      <w:r w:rsidRPr="00EC32C1">
        <w:rPr>
          <w:rFonts w:ascii="Book Antiqua" w:hAnsi="Book Antiqua"/>
          <w:caps/>
          <w:sz w:val="24"/>
          <w:szCs w:val="24"/>
          <w:lang w:eastAsia="zh-CN"/>
        </w:rPr>
        <w:t>g</w:t>
      </w:r>
      <w:r w:rsidRPr="00EC32C1">
        <w:rPr>
          <w:rFonts w:ascii="Book Antiqua" w:hAnsi="Book Antiqua"/>
          <w:sz w:val="24"/>
          <w:szCs w:val="24"/>
          <w:lang w:eastAsia="zh-CN"/>
        </w:rPr>
        <w:t xml:space="preserve">astric cancer; GEJ: </w:t>
      </w:r>
      <w:r w:rsidRPr="00EC32C1">
        <w:rPr>
          <w:rFonts w:ascii="Book Antiqua" w:hAnsi="Book Antiqua"/>
          <w:caps/>
          <w:sz w:val="24"/>
          <w:szCs w:val="24"/>
          <w:lang w:eastAsia="zh-CN"/>
        </w:rPr>
        <w:t>g</w:t>
      </w:r>
      <w:r w:rsidRPr="00EC32C1">
        <w:rPr>
          <w:rFonts w:ascii="Book Antiqua" w:hAnsi="Book Antiqua"/>
          <w:sz w:val="24"/>
          <w:szCs w:val="24"/>
          <w:lang w:eastAsia="zh-CN"/>
        </w:rPr>
        <w:t>astroesophageal junction</w:t>
      </w:r>
      <w:r>
        <w:rPr>
          <w:rFonts w:ascii="Book Antiqua" w:hAnsi="Book Antiqua" w:hint="eastAsia"/>
          <w:sz w:val="24"/>
          <w:szCs w:val="24"/>
          <w:lang w:eastAsia="zh-CN"/>
        </w:rPr>
        <w:t>.</w:t>
      </w:r>
    </w:p>
    <w:p w:rsidR="00EE752E" w:rsidRPr="00E82006" w:rsidRDefault="00EE752E" w:rsidP="00162A81">
      <w:pPr>
        <w:adjustRightInd w:val="0"/>
        <w:snapToGrid w:val="0"/>
        <w:spacing w:after="0" w:line="360" w:lineRule="auto"/>
        <w:jc w:val="both"/>
        <w:rPr>
          <w:rFonts w:ascii="Book Antiqua" w:hAnsi="Book Antiqua"/>
          <w:b/>
          <w:sz w:val="24"/>
          <w:szCs w:val="24"/>
          <w:highlight w:val="white"/>
          <w:u w:val="single"/>
          <w:lang w:eastAsia="zh-CN"/>
        </w:rPr>
      </w:pPr>
    </w:p>
    <w:sectPr w:rsidR="00EE752E" w:rsidRPr="00E82006" w:rsidSect="00130501">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54" w:rsidRDefault="007E3854" w:rsidP="00130501">
      <w:pPr>
        <w:spacing w:after="0" w:line="240" w:lineRule="auto"/>
      </w:pPr>
      <w:r>
        <w:separator/>
      </w:r>
    </w:p>
  </w:endnote>
  <w:endnote w:type="continuationSeparator" w:id="0">
    <w:p w:rsidR="007E3854" w:rsidRDefault="007E3854" w:rsidP="0013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54" w:rsidRDefault="007E3854" w:rsidP="00130501">
      <w:pPr>
        <w:spacing w:after="0" w:line="240" w:lineRule="auto"/>
      </w:pPr>
      <w:r>
        <w:separator/>
      </w:r>
    </w:p>
  </w:footnote>
  <w:footnote w:type="continuationSeparator" w:id="0">
    <w:p w:rsidR="007E3854" w:rsidRDefault="007E3854" w:rsidP="0013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70798"/>
      <w:docPartObj>
        <w:docPartGallery w:val="Page Numbers (Top of Page)"/>
        <w:docPartUnique/>
      </w:docPartObj>
    </w:sdtPr>
    <w:sdtEndPr>
      <w:rPr>
        <w:noProof/>
      </w:rPr>
    </w:sdtEndPr>
    <w:sdtContent>
      <w:p w:rsidR="00BB5CC2" w:rsidRDefault="00BB5CC2">
        <w:pPr>
          <w:pStyle w:val="Header"/>
          <w:jc w:val="right"/>
        </w:pPr>
        <w:r>
          <w:fldChar w:fldCharType="begin"/>
        </w:r>
        <w:r>
          <w:instrText xml:space="preserve"> PAGE   \* MERGEFORMAT </w:instrText>
        </w:r>
        <w:r>
          <w:fldChar w:fldCharType="separate"/>
        </w:r>
        <w:r w:rsidR="007C2F5D">
          <w:rPr>
            <w:noProof/>
          </w:rPr>
          <w:t>37</w:t>
        </w:r>
        <w:r>
          <w:rPr>
            <w:noProof/>
          </w:rPr>
          <w:fldChar w:fldCharType="end"/>
        </w:r>
      </w:p>
    </w:sdtContent>
  </w:sdt>
  <w:p w:rsidR="00BB5CC2" w:rsidRPr="00130501" w:rsidRDefault="00BB5CC2" w:rsidP="0013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C2" w:rsidRDefault="00BB5CC2">
    <w:pPr>
      <w:pStyle w:val="Header"/>
    </w:pP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112"/>
    <w:multiLevelType w:val="multilevel"/>
    <w:tmpl w:val="ACB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86819"/>
    <w:multiLevelType w:val="multilevel"/>
    <w:tmpl w:val="A79C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60F24"/>
    <w:multiLevelType w:val="multilevel"/>
    <w:tmpl w:val="3A42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E"/>
    <w:rsid w:val="000117DA"/>
    <w:rsid w:val="0001216E"/>
    <w:rsid w:val="00012679"/>
    <w:rsid w:val="00021AFC"/>
    <w:rsid w:val="00026387"/>
    <w:rsid w:val="000327DE"/>
    <w:rsid w:val="00040BCD"/>
    <w:rsid w:val="00043501"/>
    <w:rsid w:val="00044701"/>
    <w:rsid w:val="00050C68"/>
    <w:rsid w:val="000531CA"/>
    <w:rsid w:val="000812A2"/>
    <w:rsid w:val="00081315"/>
    <w:rsid w:val="000814E8"/>
    <w:rsid w:val="000A4F13"/>
    <w:rsid w:val="000B5AAA"/>
    <w:rsid w:val="000C7CFE"/>
    <w:rsid w:val="000C7D2E"/>
    <w:rsid w:val="000D1973"/>
    <w:rsid w:val="000D33D3"/>
    <w:rsid w:val="000D7C68"/>
    <w:rsid w:val="000F5C9D"/>
    <w:rsid w:val="00104060"/>
    <w:rsid w:val="001133CD"/>
    <w:rsid w:val="00117F2C"/>
    <w:rsid w:val="00123B7E"/>
    <w:rsid w:val="00125AC4"/>
    <w:rsid w:val="00126007"/>
    <w:rsid w:val="00130501"/>
    <w:rsid w:val="0013501B"/>
    <w:rsid w:val="00140F7C"/>
    <w:rsid w:val="00144C82"/>
    <w:rsid w:val="00162A81"/>
    <w:rsid w:val="00173449"/>
    <w:rsid w:val="00192A6F"/>
    <w:rsid w:val="001A195F"/>
    <w:rsid w:val="001D376F"/>
    <w:rsid w:val="00201086"/>
    <w:rsid w:val="00214722"/>
    <w:rsid w:val="0022242A"/>
    <w:rsid w:val="0022615D"/>
    <w:rsid w:val="002566E2"/>
    <w:rsid w:val="0025686A"/>
    <w:rsid w:val="002710BB"/>
    <w:rsid w:val="00283DAD"/>
    <w:rsid w:val="00285187"/>
    <w:rsid w:val="00286C1F"/>
    <w:rsid w:val="002936CD"/>
    <w:rsid w:val="002A30C2"/>
    <w:rsid w:val="002A3A4C"/>
    <w:rsid w:val="002B1B50"/>
    <w:rsid w:val="002B7822"/>
    <w:rsid w:val="002D0184"/>
    <w:rsid w:val="0031292A"/>
    <w:rsid w:val="00344732"/>
    <w:rsid w:val="003536B6"/>
    <w:rsid w:val="00356948"/>
    <w:rsid w:val="00361616"/>
    <w:rsid w:val="00366D49"/>
    <w:rsid w:val="00372E69"/>
    <w:rsid w:val="00375AAB"/>
    <w:rsid w:val="00386CA4"/>
    <w:rsid w:val="003878F6"/>
    <w:rsid w:val="00387B3F"/>
    <w:rsid w:val="00387FDC"/>
    <w:rsid w:val="00395910"/>
    <w:rsid w:val="003A2E14"/>
    <w:rsid w:val="003A5796"/>
    <w:rsid w:val="003A62DB"/>
    <w:rsid w:val="003B1AEF"/>
    <w:rsid w:val="003B1C96"/>
    <w:rsid w:val="003C2B3E"/>
    <w:rsid w:val="003D6100"/>
    <w:rsid w:val="003E34AA"/>
    <w:rsid w:val="003E748A"/>
    <w:rsid w:val="003F4505"/>
    <w:rsid w:val="00407DA1"/>
    <w:rsid w:val="00423F65"/>
    <w:rsid w:val="00432403"/>
    <w:rsid w:val="004352E2"/>
    <w:rsid w:val="00436522"/>
    <w:rsid w:val="00463878"/>
    <w:rsid w:val="0046542A"/>
    <w:rsid w:val="00475E78"/>
    <w:rsid w:val="00490E65"/>
    <w:rsid w:val="00491362"/>
    <w:rsid w:val="004A1990"/>
    <w:rsid w:val="004A32EE"/>
    <w:rsid w:val="004B1B36"/>
    <w:rsid w:val="004C1D69"/>
    <w:rsid w:val="004C21DA"/>
    <w:rsid w:val="004C401A"/>
    <w:rsid w:val="004E529F"/>
    <w:rsid w:val="004E5AF0"/>
    <w:rsid w:val="004F08C7"/>
    <w:rsid w:val="004F775C"/>
    <w:rsid w:val="00500946"/>
    <w:rsid w:val="00501199"/>
    <w:rsid w:val="00502006"/>
    <w:rsid w:val="0050400F"/>
    <w:rsid w:val="0050725B"/>
    <w:rsid w:val="0052447D"/>
    <w:rsid w:val="00530559"/>
    <w:rsid w:val="00531892"/>
    <w:rsid w:val="00534B21"/>
    <w:rsid w:val="0054018B"/>
    <w:rsid w:val="00540955"/>
    <w:rsid w:val="0054423E"/>
    <w:rsid w:val="00546A54"/>
    <w:rsid w:val="00553804"/>
    <w:rsid w:val="005968E7"/>
    <w:rsid w:val="005A0B67"/>
    <w:rsid w:val="005A10D8"/>
    <w:rsid w:val="005A43B1"/>
    <w:rsid w:val="005A4666"/>
    <w:rsid w:val="005B7309"/>
    <w:rsid w:val="005F6836"/>
    <w:rsid w:val="00600500"/>
    <w:rsid w:val="00606AD4"/>
    <w:rsid w:val="0061394F"/>
    <w:rsid w:val="00614B90"/>
    <w:rsid w:val="00622540"/>
    <w:rsid w:val="00625D1C"/>
    <w:rsid w:val="006462DA"/>
    <w:rsid w:val="0065774D"/>
    <w:rsid w:val="006715D9"/>
    <w:rsid w:val="00676D57"/>
    <w:rsid w:val="00684EE5"/>
    <w:rsid w:val="006B6E2C"/>
    <w:rsid w:val="006E145B"/>
    <w:rsid w:val="006E4659"/>
    <w:rsid w:val="006E4D14"/>
    <w:rsid w:val="006E555F"/>
    <w:rsid w:val="006F13C4"/>
    <w:rsid w:val="006F1F40"/>
    <w:rsid w:val="00700B90"/>
    <w:rsid w:val="00701E90"/>
    <w:rsid w:val="00715377"/>
    <w:rsid w:val="00750081"/>
    <w:rsid w:val="00754449"/>
    <w:rsid w:val="00772897"/>
    <w:rsid w:val="007737EF"/>
    <w:rsid w:val="0077468F"/>
    <w:rsid w:val="0077485B"/>
    <w:rsid w:val="00774BC9"/>
    <w:rsid w:val="00782B1C"/>
    <w:rsid w:val="007A3BFA"/>
    <w:rsid w:val="007B6E6C"/>
    <w:rsid w:val="007B7AB0"/>
    <w:rsid w:val="007C2F5D"/>
    <w:rsid w:val="007E1594"/>
    <w:rsid w:val="007E17A9"/>
    <w:rsid w:val="007E3854"/>
    <w:rsid w:val="007E52CF"/>
    <w:rsid w:val="007F14CF"/>
    <w:rsid w:val="007F4147"/>
    <w:rsid w:val="007F784A"/>
    <w:rsid w:val="0080539D"/>
    <w:rsid w:val="00806B16"/>
    <w:rsid w:val="008101EA"/>
    <w:rsid w:val="00815287"/>
    <w:rsid w:val="00815CEA"/>
    <w:rsid w:val="00817BBA"/>
    <w:rsid w:val="00823B0D"/>
    <w:rsid w:val="00832778"/>
    <w:rsid w:val="00840972"/>
    <w:rsid w:val="008540B0"/>
    <w:rsid w:val="0085695A"/>
    <w:rsid w:val="008655DF"/>
    <w:rsid w:val="0089539C"/>
    <w:rsid w:val="008A3F8D"/>
    <w:rsid w:val="008C5321"/>
    <w:rsid w:val="008D34A7"/>
    <w:rsid w:val="008D6A9D"/>
    <w:rsid w:val="008F07AE"/>
    <w:rsid w:val="00907EFD"/>
    <w:rsid w:val="00930742"/>
    <w:rsid w:val="00933E18"/>
    <w:rsid w:val="009359D3"/>
    <w:rsid w:val="00936D55"/>
    <w:rsid w:val="00937EDC"/>
    <w:rsid w:val="0094373A"/>
    <w:rsid w:val="00945740"/>
    <w:rsid w:val="00956DD7"/>
    <w:rsid w:val="00960A10"/>
    <w:rsid w:val="0096486F"/>
    <w:rsid w:val="00975312"/>
    <w:rsid w:val="00975D3F"/>
    <w:rsid w:val="009A02E8"/>
    <w:rsid w:val="009B1526"/>
    <w:rsid w:val="00A03CFF"/>
    <w:rsid w:val="00A2519D"/>
    <w:rsid w:val="00A30223"/>
    <w:rsid w:val="00A366C6"/>
    <w:rsid w:val="00A4120D"/>
    <w:rsid w:val="00A4191F"/>
    <w:rsid w:val="00A53A56"/>
    <w:rsid w:val="00A77B6D"/>
    <w:rsid w:val="00A8215B"/>
    <w:rsid w:val="00A8342F"/>
    <w:rsid w:val="00A86091"/>
    <w:rsid w:val="00A87D65"/>
    <w:rsid w:val="00A90018"/>
    <w:rsid w:val="00A921D4"/>
    <w:rsid w:val="00A9316D"/>
    <w:rsid w:val="00AA40B9"/>
    <w:rsid w:val="00AB665B"/>
    <w:rsid w:val="00AB6C3F"/>
    <w:rsid w:val="00AC2C73"/>
    <w:rsid w:val="00AC3DAF"/>
    <w:rsid w:val="00AC6C6B"/>
    <w:rsid w:val="00AC73A3"/>
    <w:rsid w:val="00AE3ABC"/>
    <w:rsid w:val="00AF0C97"/>
    <w:rsid w:val="00AF3A38"/>
    <w:rsid w:val="00B10292"/>
    <w:rsid w:val="00B31E2F"/>
    <w:rsid w:val="00B40145"/>
    <w:rsid w:val="00B4234A"/>
    <w:rsid w:val="00B955DC"/>
    <w:rsid w:val="00BB5CC2"/>
    <w:rsid w:val="00BD531B"/>
    <w:rsid w:val="00BD74D9"/>
    <w:rsid w:val="00BF1284"/>
    <w:rsid w:val="00C058BF"/>
    <w:rsid w:val="00C121AA"/>
    <w:rsid w:val="00C204F9"/>
    <w:rsid w:val="00C31CEB"/>
    <w:rsid w:val="00C35A69"/>
    <w:rsid w:val="00C5740D"/>
    <w:rsid w:val="00C741C6"/>
    <w:rsid w:val="00CA7025"/>
    <w:rsid w:val="00CB598B"/>
    <w:rsid w:val="00CC1DB4"/>
    <w:rsid w:val="00D01909"/>
    <w:rsid w:val="00D124F3"/>
    <w:rsid w:val="00D171F5"/>
    <w:rsid w:val="00D2485E"/>
    <w:rsid w:val="00D33279"/>
    <w:rsid w:val="00D47F65"/>
    <w:rsid w:val="00D561BE"/>
    <w:rsid w:val="00D56E11"/>
    <w:rsid w:val="00D64F90"/>
    <w:rsid w:val="00D71C64"/>
    <w:rsid w:val="00D73411"/>
    <w:rsid w:val="00D93FDC"/>
    <w:rsid w:val="00DA7C82"/>
    <w:rsid w:val="00DD406B"/>
    <w:rsid w:val="00DE67BC"/>
    <w:rsid w:val="00DF112A"/>
    <w:rsid w:val="00E12710"/>
    <w:rsid w:val="00E12FE6"/>
    <w:rsid w:val="00E241D9"/>
    <w:rsid w:val="00E2615A"/>
    <w:rsid w:val="00E37731"/>
    <w:rsid w:val="00E417DB"/>
    <w:rsid w:val="00E5216F"/>
    <w:rsid w:val="00E74FCA"/>
    <w:rsid w:val="00E82006"/>
    <w:rsid w:val="00E96C47"/>
    <w:rsid w:val="00E971EB"/>
    <w:rsid w:val="00EA4915"/>
    <w:rsid w:val="00EB2E77"/>
    <w:rsid w:val="00EC2237"/>
    <w:rsid w:val="00EC32C1"/>
    <w:rsid w:val="00ED7120"/>
    <w:rsid w:val="00EE752E"/>
    <w:rsid w:val="00EF4058"/>
    <w:rsid w:val="00EF573C"/>
    <w:rsid w:val="00F05D14"/>
    <w:rsid w:val="00F30553"/>
    <w:rsid w:val="00F3582F"/>
    <w:rsid w:val="00F41AED"/>
    <w:rsid w:val="00F5289C"/>
    <w:rsid w:val="00F5459B"/>
    <w:rsid w:val="00F7001B"/>
    <w:rsid w:val="00F739F4"/>
    <w:rsid w:val="00F74EBC"/>
    <w:rsid w:val="00F77357"/>
    <w:rsid w:val="00F96F71"/>
    <w:rsid w:val="00FF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808AC-32D1-4E33-8734-B5C9F8B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qFormat/>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2">
    <w:name w:val="2"/>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1">
    <w:name w:val="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NoSpacing">
    <w:name w:val="No Spacing"/>
    <w:uiPriority w:val="1"/>
    <w:qFormat/>
    <w:rsid w:val="00750081"/>
    <w:pPr>
      <w:spacing w:after="0" w:line="240" w:lineRule="auto"/>
    </w:pPr>
  </w:style>
  <w:style w:type="character" w:styleId="CommentReference">
    <w:name w:val="annotation reference"/>
    <w:basedOn w:val="DefaultParagraphFont"/>
    <w:uiPriority w:val="99"/>
    <w:semiHidden/>
    <w:unhideWhenUsed/>
    <w:rsid w:val="00815CEA"/>
    <w:rPr>
      <w:sz w:val="16"/>
      <w:szCs w:val="16"/>
    </w:rPr>
  </w:style>
  <w:style w:type="paragraph" w:styleId="CommentText">
    <w:name w:val="annotation text"/>
    <w:basedOn w:val="Normal"/>
    <w:link w:val="CommentTextChar"/>
    <w:uiPriority w:val="99"/>
    <w:semiHidden/>
    <w:unhideWhenUsed/>
    <w:rsid w:val="00815CEA"/>
    <w:pPr>
      <w:spacing w:line="240" w:lineRule="auto"/>
    </w:pPr>
    <w:rPr>
      <w:sz w:val="20"/>
      <w:szCs w:val="20"/>
    </w:rPr>
  </w:style>
  <w:style w:type="character" w:customStyle="1" w:styleId="CommentTextChar">
    <w:name w:val="Comment Text Char"/>
    <w:basedOn w:val="DefaultParagraphFont"/>
    <w:link w:val="CommentText"/>
    <w:uiPriority w:val="99"/>
    <w:semiHidden/>
    <w:rsid w:val="00815CEA"/>
    <w:rPr>
      <w:sz w:val="20"/>
      <w:szCs w:val="20"/>
    </w:rPr>
  </w:style>
  <w:style w:type="paragraph" w:styleId="CommentSubject">
    <w:name w:val="annotation subject"/>
    <w:basedOn w:val="CommentText"/>
    <w:next w:val="CommentText"/>
    <w:link w:val="CommentSubjectChar"/>
    <w:uiPriority w:val="99"/>
    <w:semiHidden/>
    <w:unhideWhenUsed/>
    <w:rsid w:val="00815CEA"/>
    <w:rPr>
      <w:b/>
      <w:bCs/>
    </w:rPr>
  </w:style>
  <w:style w:type="character" w:customStyle="1" w:styleId="CommentSubjectChar">
    <w:name w:val="Comment Subject Char"/>
    <w:basedOn w:val="CommentTextChar"/>
    <w:link w:val="CommentSubject"/>
    <w:uiPriority w:val="99"/>
    <w:semiHidden/>
    <w:rsid w:val="00815CEA"/>
    <w:rPr>
      <w:b/>
      <w:bCs/>
      <w:sz w:val="20"/>
      <w:szCs w:val="20"/>
    </w:rPr>
  </w:style>
  <w:style w:type="paragraph" w:styleId="BalloonText">
    <w:name w:val="Balloon Text"/>
    <w:basedOn w:val="Normal"/>
    <w:link w:val="BalloonTextChar"/>
    <w:uiPriority w:val="99"/>
    <w:semiHidden/>
    <w:unhideWhenUsed/>
    <w:rsid w:val="0081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EA"/>
    <w:rPr>
      <w:rFonts w:ascii="Tahoma" w:hAnsi="Tahoma" w:cs="Tahoma"/>
      <w:sz w:val="16"/>
      <w:szCs w:val="16"/>
    </w:rPr>
  </w:style>
  <w:style w:type="character" w:customStyle="1" w:styleId="mb">
    <w:name w:val="mb"/>
    <w:basedOn w:val="DefaultParagraphFont"/>
    <w:rsid w:val="00A366C6"/>
  </w:style>
  <w:style w:type="character" w:customStyle="1" w:styleId="apple-converted-space">
    <w:name w:val="apple-converted-space"/>
    <w:basedOn w:val="DefaultParagraphFont"/>
    <w:rsid w:val="00040BCD"/>
  </w:style>
  <w:style w:type="paragraph" w:styleId="Header">
    <w:name w:val="header"/>
    <w:basedOn w:val="Normal"/>
    <w:link w:val="HeaderChar"/>
    <w:uiPriority w:val="99"/>
    <w:unhideWhenUsed/>
    <w:rsid w:val="0013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01"/>
  </w:style>
  <w:style w:type="paragraph" w:styleId="Footer">
    <w:name w:val="footer"/>
    <w:basedOn w:val="Normal"/>
    <w:link w:val="FooterChar"/>
    <w:uiPriority w:val="99"/>
    <w:unhideWhenUsed/>
    <w:rsid w:val="0013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01"/>
  </w:style>
  <w:style w:type="paragraph" w:styleId="NormalWeb">
    <w:name w:val="Normal (Web)"/>
    <w:basedOn w:val="Normal"/>
    <w:uiPriority w:val="99"/>
    <w:unhideWhenUsed/>
    <w:rsid w:val="004A199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5686A"/>
    <w:pPr>
      <w:ind w:left="720"/>
      <w:contextualSpacing/>
    </w:pPr>
    <w:rPr>
      <w:rFonts w:asciiTheme="minorHAnsi" w:eastAsiaTheme="minorHAnsi" w:hAnsiTheme="minorHAnsi" w:cstheme="minorBidi"/>
      <w:color w:val="auto"/>
    </w:rPr>
  </w:style>
  <w:style w:type="table" w:styleId="LightList-Accent1">
    <w:name w:val="Light List Accent 1"/>
    <w:basedOn w:val="TableNormal"/>
    <w:uiPriority w:val="61"/>
    <w:rsid w:val="0025686A"/>
    <w:pPr>
      <w:spacing w:after="0" w:line="240" w:lineRule="auto"/>
    </w:pPr>
    <w:rPr>
      <w:rFonts w:asciiTheme="minorHAnsi" w:eastAsiaTheme="minorHAnsi"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D64F90"/>
    <w:rPr>
      <w:rFonts w:ascii="Times New Roman" w:eastAsia="Times New Roman" w:hAnsi="Times New Roman" w:cs="Times New Roman"/>
      <w:b/>
      <w:sz w:val="27"/>
      <w:szCs w:val="27"/>
    </w:rPr>
  </w:style>
  <w:style w:type="character" w:customStyle="1" w:styleId="cit-name-surname">
    <w:name w:val="cit-name-surname"/>
    <w:basedOn w:val="DefaultParagraphFont"/>
    <w:rsid w:val="00D64F90"/>
  </w:style>
  <w:style w:type="character" w:customStyle="1" w:styleId="cit-name-given-names">
    <w:name w:val="cit-name-given-names"/>
    <w:basedOn w:val="DefaultParagraphFont"/>
    <w:rsid w:val="00D64F90"/>
  </w:style>
  <w:style w:type="character" w:customStyle="1" w:styleId="cit-etal">
    <w:name w:val="cit-etal"/>
    <w:basedOn w:val="DefaultParagraphFont"/>
    <w:rsid w:val="00D64F90"/>
  </w:style>
  <w:style w:type="character" w:styleId="HTMLCite">
    <w:name w:val="HTML Cite"/>
    <w:basedOn w:val="DefaultParagraphFont"/>
    <w:uiPriority w:val="99"/>
    <w:semiHidden/>
    <w:unhideWhenUsed/>
    <w:rsid w:val="00D64F90"/>
    <w:rPr>
      <w:i/>
      <w:iCs/>
    </w:rPr>
  </w:style>
  <w:style w:type="character" w:customStyle="1" w:styleId="cit-article-title">
    <w:name w:val="cit-article-title"/>
    <w:basedOn w:val="DefaultParagraphFont"/>
    <w:rsid w:val="00D64F90"/>
  </w:style>
  <w:style w:type="character" w:customStyle="1" w:styleId="cit-pub-date">
    <w:name w:val="cit-pub-date"/>
    <w:basedOn w:val="DefaultParagraphFont"/>
    <w:rsid w:val="00D64F90"/>
  </w:style>
  <w:style w:type="character" w:customStyle="1" w:styleId="cit-vol">
    <w:name w:val="cit-vol"/>
    <w:basedOn w:val="DefaultParagraphFont"/>
    <w:rsid w:val="00D64F90"/>
  </w:style>
  <w:style w:type="character" w:customStyle="1" w:styleId="cit-fpage">
    <w:name w:val="cit-fpage"/>
    <w:basedOn w:val="DefaultParagraphFont"/>
    <w:rsid w:val="00D64F90"/>
  </w:style>
  <w:style w:type="character" w:customStyle="1" w:styleId="cit-lpage">
    <w:name w:val="cit-lpage"/>
    <w:basedOn w:val="DefaultParagraphFont"/>
    <w:rsid w:val="00D64F90"/>
  </w:style>
  <w:style w:type="character" w:styleId="Hyperlink">
    <w:name w:val="Hyperlink"/>
    <w:basedOn w:val="DefaultParagraphFont"/>
    <w:uiPriority w:val="99"/>
    <w:semiHidden/>
    <w:unhideWhenUsed/>
    <w:rsid w:val="00D64F90"/>
    <w:rPr>
      <w:color w:val="0000FF"/>
      <w:u w:val="single"/>
    </w:rPr>
  </w:style>
  <w:style w:type="character" w:customStyle="1" w:styleId="A2">
    <w:name w:val="A2"/>
    <w:uiPriority w:val="99"/>
    <w:rsid w:val="00D64F90"/>
    <w:rPr>
      <w:rFonts w:cs="Janson Text LT"/>
      <w:color w:val="000000"/>
    </w:rPr>
  </w:style>
  <w:style w:type="character" w:customStyle="1" w:styleId="highlight">
    <w:name w:val="highlight"/>
    <w:basedOn w:val="DefaultParagraphFont"/>
    <w:rsid w:val="00D64F90"/>
  </w:style>
  <w:style w:type="character" w:customStyle="1" w:styleId="slug-doi">
    <w:name w:val="slug-doi"/>
    <w:basedOn w:val="DefaultParagraphFont"/>
    <w:rsid w:val="00D64F90"/>
  </w:style>
  <w:style w:type="character" w:styleId="Emphasis">
    <w:name w:val="Emphasis"/>
    <w:basedOn w:val="DefaultParagraphFont"/>
    <w:uiPriority w:val="20"/>
    <w:qFormat/>
    <w:rsid w:val="00D64F90"/>
    <w:rPr>
      <w:i/>
      <w:iCs/>
    </w:rPr>
  </w:style>
  <w:style w:type="character" w:customStyle="1" w:styleId="previewtxt">
    <w:name w:val="previewtxt"/>
    <w:basedOn w:val="DefaultParagraphFont"/>
    <w:rsid w:val="00D64F90"/>
  </w:style>
  <w:style w:type="character" w:customStyle="1" w:styleId="emaildisabled">
    <w:name w:val="emaildisabled"/>
    <w:basedOn w:val="DefaultParagraphFont"/>
    <w:rsid w:val="00D64F90"/>
  </w:style>
  <w:style w:type="character" w:customStyle="1" w:styleId="bold">
    <w:name w:val="bold"/>
    <w:basedOn w:val="DefaultParagraphFont"/>
    <w:rsid w:val="00D64F90"/>
  </w:style>
  <w:style w:type="character" w:customStyle="1" w:styleId="Heading2Char">
    <w:name w:val="Heading 2 Char"/>
    <w:basedOn w:val="DefaultParagraphFont"/>
    <w:link w:val="Heading2"/>
    <w:uiPriority w:val="9"/>
    <w:rsid w:val="00D64F90"/>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07">
      <w:bodyDiv w:val="1"/>
      <w:marLeft w:val="0"/>
      <w:marRight w:val="0"/>
      <w:marTop w:val="0"/>
      <w:marBottom w:val="0"/>
      <w:divBdr>
        <w:top w:val="none" w:sz="0" w:space="0" w:color="auto"/>
        <w:left w:val="none" w:sz="0" w:space="0" w:color="auto"/>
        <w:bottom w:val="none" w:sz="0" w:space="0" w:color="auto"/>
        <w:right w:val="none" w:sz="0" w:space="0" w:color="auto"/>
      </w:divBdr>
    </w:div>
    <w:div w:id="576329160">
      <w:bodyDiv w:val="1"/>
      <w:marLeft w:val="0"/>
      <w:marRight w:val="0"/>
      <w:marTop w:val="0"/>
      <w:marBottom w:val="0"/>
      <w:divBdr>
        <w:top w:val="none" w:sz="0" w:space="0" w:color="auto"/>
        <w:left w:val="none" w:sz="0" w:space="0" w:color="auto"/>
        <w:bottom w:val="none" w:sz="0" w:space="0" w:color="auto"/>
        <w:right w:val="none" w:sz="0" w:space="0" w:color="auto"/>
      </w:divBdr>
      <w:divsChild>
        <w:div w:id="756054468">
          <w:marLeft w:val="0"/>
          <w:marRight w:val="0"/>
          <w:marTop w:val="0"/>
          <w:marBottom w:val="0"/>
          <w:divBdr>
            <w:top w:val="none" w:sz="0" w:space="0" w:color="auto"/>
            <w:left w:val="none" w:sz="0" w:space="0" w:color="auto"/>
            <w:bottom w:val="none" w:sz="0" w:space="0" w:color="auto"/>
            <w:right w:val="none" w:sz="0" w:space="0" w:color="auto"/>
          </w:divBdr>
        </w:div>
        <w:div w:id="1904412003">
          <w:marLeft w:val="0"/>
          <w:marRight w:val="0"/>
          <w:marTop w:val="0"/>
          <w:marBottom w:val="0"/>
          <w:divBdr>
            <w:top w:val="none" w:sz="0" w:space="0" w:color="auto"/>
            <w:left w:val="none" w:sz="0" w:space="0" w:color="auto"/>
            <w:bottom w:val="none" w:sz="0" w:space="0" w:color="auto"/>
            <w:right w:val="none" w:sz="0" w:space="0" w:color="auto"/>
          </w:divBdr>
        </w:div>
      </w:divsChild>
    </w:div>
    <w:div w:id="755596677">
      <w:bodyDiv w:val="1"/>
      <w:marLeft w:val="0"/>
      <w:marRight w:val="0"/>
      <w:marTop w:val="0"/>
      <w:marBottom w:val="0"/>
      <w:divBdr>
        <w:top w:val="none" w:sz="0" w:space="0" w:color="auto"/>
        <w:left w:val="none" w:sz="0" w:space="0" w:color="auto"/>
        <w:bottom w:val="none" w:sz="0" w:space="0" w:color="auto"/>
        <w:right w:val="none" w:sz="0" w:space="0" w:color="auto"/>
      </w:divBdr>
    </w:div>
    <w:div w:id="1834832066">
      <w:bodyDiv w:val="1"/>
      <w:marLeft w:val="0"/>
      <w:marRight w:val="0"/>
      <w:marTop w:val="0"/>
      <w:marBottom w:val="0"/>
      <w:divBdr>
        <w:top w:val="none" w:sz="0" w:space="0" w:color="auto"/>
        <w:left w:val="none" w:sz="0" w:space="0" w:color="auto"/>
        <w:bottom w:val="none" w:sz="0" w:space="0" w:color="auto"/>
        <w:right w:val="none" w:sz="0" w:space="0" w:color="auto"/>
      </w:divBdr>
    </w:div>
    <w:div w:id="206976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59D2F3-5080-492F-8FA9-0DF592B3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9503</Words>
  <Characters>54168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63544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dc:creator>
  <cp:lastModifiedBy>LS Ma</cp:lastModifiedBy>
  <cp:revision>2</cp:revision>
  <dcterms:created xsi:type="dcterms:W3CDTF">2016-04-19T20:22:00Z</dcterms:created>
  <dcterms:modified xsi:type="dcterms:W3CDTF">2016-04-19T20:22:00Z</dcterms:modified>
</cp:coreProperties>
</file>