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73FE0" w14:textId="77777777" w:rsidR="00FE560D" w:rsidRPr="004F297D" w:rsidRDefault="00FE560D" w:rsidP="00FE560D">
      <w:pPr>
        <w:spacing w:after="0" w:line="360" w:lineRule="auto"/>
        <w:jc w:val="right"/>
        <w:rPr>
          <w:rFonts w:ascii="Book Antiqua" w:hAnsi="Book Antiqua"/>
          <w:b/>
          <w:sz w:val="24"/>
          <w:szCs w:val="24"/>
        </w:rPr>
      </w:pPr>
      <w:r w:rsidRPr="004F297D">
        <w:rPr>
          <w:rFonts w:ascii="Book Antiqua" w:hAnsi="Book Antiqua"/>
          <w:b/>
          <w:sz w:val="24"/>
          <w:szCs w:val="24"/>
        </w:rPr>
        <w:t>Name of Journal:</w:t>
      </w:r>
      <w:r w:rsidRPr="004F297D">
        <w:rPr>
          <w:rFonts w:ascii="Book Antiqua" w:hAnsi="Book Antiqua"/>
          <w:b/>
          <w:sz w:val="24"/>
          <w:szCs w:val="24"/>
          <w:lang w:eastAsia="zh-CN"/>
        </w:rPr>
        <w:t xml:space="preserve"> </w:t>
      </w:r>
      <w:r w:rsidRPr="004F297D">
        <w:rPr>
          <w:rFonts w:ascii="Book Antiqua" w:hAnsi="Book Antiqua"/>
          <w:b/>
          <w:i/>
          <w:iCs/>
          <w:sz w:val="24"/>
          <w:szCs w:val="24"/>
        </w:rPr>
        <w:t>World Journal of Hepatology</w:t>
      </w:r>
      <w:r w:rsidRPr="004F297D">
        <w:rPr>
          <w:rFonts w:ascii="Book Antiqua" w:hAnsi="Book Antiqua"/>
          <w:b/>
          <w:sz w:val="24"/>
          <w:szCs w:val="24"/>
        </w:rPr>
        <w:t xml:space="preserve"> </w:t>
      </w:r>
    </w:p>
    <w:p w14:paraId="50FCC098" w14:textId="77777777" w:rsidR="00FE560D" w:rsidRPr="00FE560D" w:rsidRDefault="00FE560D" w:rsidP="00FE560D">
      <w:pPr>
        <w:spacing w:after="0" w:line="360" w:lineRule="auto"/>
        <w:jc w:val="right"/>
        <w:rPr>
          <w:rFonts w:ascii="Book Antiqua" w:hAnsi="Book Antiqua"/>
          <w:b/>
          <w:sz w:val="24"/>
          <w:szCs w:val="24"/>
          <w:lang w:eastAsia="zh-CN"/>
        </w:rPr>
      </w:pPr>
      <w:r w:rsidRPr="00FE560D">
        <w:rPr>
          <w:rFonts w:ascii="Book Antiqua" w:hAnsi="Book Antiqua"/>
          <w:b/>
          <w:sz w:val="24"/>
          <w:szCs w:val="24"/>
        </w:rPr>
        <w:t xml:space="preserve">ESPS Manuscript NO: </w:t>
      </w:r>
      <w:r w:rsidRPr="00FE560D">
        <w:rPr>
          <w:rFonts w:ascii="Book Antiqua" w:hAnsi="Book Antiqua"/>
          <w:b/>
          <w:sz w:val="24"/>
          <w:szCs w:val="24"/>
          <w:lang w:eastAsia="zh-CN"/>
        </w:rPr>
        <w:t>25214</w:t>
      </w:r>
    </w:p>
    <w:p w14:paraId="0B757A50" w14:textId="5680B1AB" w:rsidR="00FE560D" w:rsidRPr="00FE560D" w:rsidRDefault="00FE560D" w:rsidP="00FE560D">
      <w:pPr>
        <w:bidi w:val="0"/>
        <w:spacing w:after="0" w:line="360" w:lineRule="auto"/>
        <w:jc w:val="both"/>
        <w:rPr>
          <w:rFonts w:ascii="Book Antiqua" w:hAnsi="Book Antiqua"/>
          <w:b/>
          <w:sz w:val="24"/>
          <w:szCs w:val="24"/>
          <w:lang w:eastAsia="zh-CN"/>
        </w:rPr>
      </w:pPr>
      <w:r w:rsidRPr="00FE560D">
        <w:rPr>
          <w:rFonts w:ascii="Book Antiqua" w:hAnsi="Book Antiqua"/>
          <w:b/>
          <w:sz w:val="24"/>
          <w:szCs w:val="24"/>
        </w:rPr>
        <w:t>Manuscript Type:</w:t>
      </w:r>
      <w:r w:rsidRPr="00FE560D">
        <w:rPr>
          <w:rFonts w:ascii="Book Antiqua" w:hAnsi="Book Antiqua"/>
          <w:b/>
          <w:sz w:val="24"/>
          <w:szCs w:val="24"/>
          <w:lang w:eastAsia="zh-CN"/>
        </w:rPr>
        <w:t xml:space="preserve"> </w:t>
      </w:r>
      <w:r w:rsidR="0004760F" w:rsidRPr="00FE560D">
        <w:rPr>
          <w:rFonts w:ascii="Book Antiqua" w:hAnsi="Book Antiqua"/>
          <w:b/>
          <w:sz w:val="24"/>
          <w:szCs w:val="24"/>
          <w:lang w:eastAsia="zh-CN"/>
        </w:rPr>
        <w:t>Case Report</w:t>
      </w:r>
    </w:p>
    <w:p w14:paraId="34E2028A" w14:textId="77777777" w:rsidR="00FE560D" w:rsidRPr="00FE560D" w:rsidRDefault="00FE560D" w:rsidP="00FE560D">
      <w:pPr>
        <w:bidi w:val="0"/>
        <w:spacing w:after="0" w:line="360" w:lineRule="auto"/>
        <w:jc w:val="both"/>
        <w:rPr>
          <w:rFonts w:ascii="Book Antiqua" w:hAnsi="Book Antiqua"/>
          <w:b/>
          <w:sz w:val="24"/>
          <w:szCs w:val="24"/>
          <w:lang w:eastAsia="zh-CN"/>
        </w:rPr>
      </w:pPr>
    </w:p>
    <w:p w14:paraId="5D8839CE" w14:textId="77777777" w:rsidR="00FE560D" w:rsidRPr="00FE560D" w:rsidRDefault="00FE560D" w:rsidP="00FE560D">
      <w:pPr>
        <w:bidi w:val="0"/>
        <w:spacing w:after="0" w:line="360" w:lineRule="auto"/>
        <w:jc w:val="both"/>
        <w:rPr>
          <w:rFonts w:ascii="Book Antiqua" w:hAnsi="Book Antiqua"/>
          <w:b/>
          <w:bCs/>
          <w:sz w:val="24"/>
          <w:szCs w:val="24"/>
          <w:lang w:eastAsia="zh-CN"/>
        </w:rPr>
      </w:pPr>
      <w:r w:rsidRPr="00FE560D">
        <w:rPr>
          <w:rFonts w:ascii="Book Antiqua" w:hAnsi="Book Antiqua" w:cs="Times New Roman"/>
          <w:b/>
          <w:sz w:val="24"/>
          <w:szCs w:val="24"/>
        </w:rPr>
        <w:t>Hepatitis C virus</w:t>
      </w:r>
      <w:r w:rsidRPr="00FE560D">
        <w:rPr>
          <w:rFonts w:ascii="Book Antiqua" w:hAnsi="Book Antiqua"/>
          <w:b/>
          <w:bCs/>
          <w:sz w:val="24"/>
          <w:szCs w:val="24"/>
        </w:rPr>
        <w:t xml:space="preserve"> cure</w:t>
      </w:r>
      <w:r w:rsidRPr="00FE560D">
        <w:rPr>
          <w:rFonts w:ascii="Book Antiqua" w:hAnsi="Book Antiqua"/>
          <w:b/>
          <w:bCs/>
          <w:sz w:val="24"/>
          <w:szCs w:val="24"/>
          <w:lang w:eastAsia="zh-CN"/>
        </w:rPr>
        <w:t>s</w:t>
      </w:r>
      <w:r w:rsidRPr="00FE560D">
        <w:rPr>
          <w:rFonts w:ascii="Book Antiqua" w:hAnsi="Book Antiqua"/>
          <w:b/>
          <w:bCs/>
          <w:sz w:val="24"/>
          <w:szCs w:val="24"/>
        </w:rPr>
        <w:t xml:space="preserve"> after </w:t>
      </w:r>
      <w:r w:rsidRPr="00FE560D">
        <w:rPr>
          <w:rFonts w:ascii="Book Antiqua" w:hAnsi="Book Antiqua" w:cs="Times New Roman"/>
          <w:b/>
          <w:sz w:val="24"/>
          <w:szCs w:val="24"/>
        </w:rPr>
        <w:t>direct acting antiviral</w:t>
      </w:r>
      <w:r w:rsidRPr="00FE560D">
        <w:rPr>
          <w:rFonts w:ascii="Book Antiqua" w:hAnsi="Book Antiqua"/>
          <w:b/>
          <w:bCs/>
          <w:sz w:val="24"/>
          <w:szCs w:val="24"/>
        </w:rPr>
        <w:t>-related drug-induced liver injury: Case report</w:t>
      </w:r>
    </w:p>
    <w:p w14:paraId="4E1E6D3A" w14:textId="77777777" w:rsidR="00FE560D" w:rsidRPr="00FE560D" w:rsidRDefault="00FE560D" w:rsidP="00FE560D">
      <w:pPr>
        <w:bidi w:val="0"/>
        <w:spacing w:after="0" w:line="360" w:lineRule="auto"/>
        <w:jc w:val="both"/>
        <w:rPr>
          <w:rFonts w:ascii="Book Antiqua" w:hAnsi="Book Antiqua"/>
          <w:b/>
          <w:bCs/>
          <w:sz w:val="24"/>
          <w:szCs w:val="24"/>
          <w:lang w:eastAsia="zh-CN"/>
        </w:rPr>
      </w:pPr>
    </w:p>
    <w:p w14:paraId="0051184D" w14:textId="77777777" w:rsidR="00FE560D" w:rsidRPr="00FE560D" w:rsidRDefault="00FE560D" w:rsidP="00FE560D">
      <w:pPr>
        <w:bidi w:val="0"/>
        <w:spacing w:after="0" w:line="360" w:lineRule="auto"/>
        <w:jc w:val="both"/>
        <w:rPr>
          <w:rFonts w:ascii="Book Antiqua" w:hAnsi="Book Antiqua" w:cs="Times New Roman"/>
          <w:i/>
          <w:sz w:val="24"/>
          <w:szCs w:val="24"/>
          <w:lang w:eastAsia="zh-CN"/>
        </w:rPr>
      </w:pPr>
      <w:proofErr w:type="spellStart"/>
      <w:r w:rsidRPr="00FE560D">
        <w:rPr>
          <w:rFonts w:ascii="Book Antiqua" w:hAnsi="Book Antiqua" w:cs="Times New Roman"/>
          <w:sz w:val="24"/>
          <w:szCs w:val="24"/>
        </w:rPr>
        <w:t>Hasin</w:t>
      </w:r>
      <w:proofErr w:type="spellEnd"/>
      <w:r w:rsidRPr="00FE560D">
        <w:rPr>
          <w:rFonts w:ascii="Book Antiqua" w:hAnsi="Book Antiqua" w:cs="Times New Roman"/>
          <w:sz w:val="24"/>
          <w:szCs w:val="24"/>
          <w:lang w:eastAsia="zh-CN"/>
        </w:rPr>
        <w:t xml:space="preserve"> Y </w:t>
      </w:r>
      <w:r w:rsidRPr="00FE560D">
        <w:rPr>
          <w:rFonts w:ascii="Book Antiqua" w:hAnsi="Book Antiqua" w:cs="Times New Roman"/>
          <w:i/>
          <w:sz w:val="24"/>
          <w:szCs w:val="24"/>
          <w:lang w:eastAsia="zh-CN"/>
        </w:rPr>
        <w:t xml:space="preserve">et al. </w:t>
      </w:r>
      <w:r w:rsidRPr="00FE560D">
        <w:rPr>
          <w:rFonts w:ascii="Book Antiqua" w:hAnsi="Book Antiqua" w:cs="Times New Roman"/>
          <w:sz w:val="24"/>
          <w:szCs w:val="24"/>
          <w:lang w:eastAsia="zh-CN"/>
        </w:rPr>
        <w:t>HCV</w:t>
      </w:r>
      <w:r w:rsidRPr="00FE560D">
        <w:rPr>
          <w:rFonts w:ascii="Book Antiqua" w:hAnsi="Book Antiqua"/>
          <w:bCs/>
          <w:sz w:val="24"/>
          <w:szCs w:val="24"/>
        </w:rPr>
        <w:t xml:space="preserve"> cure</w:t>
      </w:r>
      <w:r w:rsidRPr="00FE560D">
        <w:rPr>
          <w:rFonts w:ascii="Book Antiqua" w:hAnsi="Book Antiqua"/>
          <w:bCs/>
          <w:sz w:val="24"/>
          <w:szCs w:val="24"/>
          <w:lang w:eastAsia="zh-CN"/>
        </w:rPr>
        <w:t>s</w:t>
      </w:r>
      <w:r w:rsidRPr="00FE560D">
        <w:rPr>
          <w:rFonts w:ascii="Book Antiqua" w:hAnsi="Book Antiqua"/>
          <w:bCs/>
          <w:sz w:val="24"/>
          <w:szCs w:val="24"/>
        </w:rPr>
        <w:t xml:space="preserve"> after </w:t>
      </w:r>
      <w:r w:rsidRPr="00FE560D">
        <w:rPr>
          <w:rFonts w:ascii="Book Antiqua" w:hAnsi="Book Antiqua" w:cs="Times New Roman"/>
          <w:sz w:val="24"/>
          <w:szCs w:val="24"/>
        </w:rPr>
        <w:t>DAA</w:t>
      </w:r>
      <w:r w:rsidRPr="00FE560D">
        <w:rPr>
          <w:rFonts w:ascii="Book Antiqua" w:hAnsi="Book Antiqua"/>
          <w:bCs/>
          <w:sz w:val="24"/>
          <w:szCs w:val="24"/>
        </w:rPr>
        <w:t>-related drug-induced liver injury</w:t>
      </w:r>
    </w:p>
    <w:p w14:paraId="421DE75D" w14:textId="77777777" w:rsidR="00FE560D" w:rsidRPr="00FE560D" w:rsidRDefault="00FE560D" w:rsidP="00FE560D">
      <w:pPr>
        <w:bidi w:val="0"/>
        <w:spacing w:after="0" w:line="360" w:lineRule="auto"/>
        <w:jc w:val="both"/>
        <w:rPr>
          <w:rFonts w:ascii="Book Antiqua" w:hAnsi="Book Antiqua"/>
          <w:b/>
          <w:bCs/>
          <w:i/>
          <w:sz w:val="24"/>
          <w:szCs w:val="24"/>
          <w:lang w:eastAsia="zh-CN"/>
        </w:rPr>
      </w:pPr>
    </w:p>
    <w:p w14:paraId="1041A6C4" w14:textId="77777777" w:rsidR="00FE560D" w:rsidRPr="00FE560D" w:rsidRDefault="00FE560D" w:rsidP="00FE560D">
      <w:pPr>
        <w:bidi w:val="0"/>
        <w:spacing w:after="0" w:line="360" w:lineRule="auto"/>
        <w:jc w:val="both"/>
        <w:rPr>
          <w:rFonts w:ascii="Book Antiqua" w:hAnsi="Book Antiqua" w:cs="Times New Roman"/>
          <w:b/>
          <w:sz w:val="24"/>
          <w:szCs w:val="24"/>
          <w:lang w:eastAsia="zh-CN"/>
        </w:rPr>
      </w:pPr>
      <w:r w:rsidRPr="00FE560D">
        <w:rPr>
          <w:rFonts w:ascii="Book Antiqua" w:hAnsi="Book Antiqua" w:cs="Times New Roman"/>
          <w:b/>
          <w:sz w:val="24"/>
          <w:szCs w:val="24"/>
        </w:rPr>
        <w:t xml:space="preserve">Yaakov </w:t>
      </w:r>
      <w:proofErr w:type="spellStart"/>
      <w:r w:rsidRPr="00FE560D">
        <w:rPr>
          <w:rFonts w:ascii="Book Antiqua" w:hAnsi="Book Antiqua" w:cs="Times New Roman"/>
          <w:b/>
          <w:sz w:val="24"/>
          <w:szCs w:val="24"/>
        </w:rPr>
        <w:t>Hasin</w:t>
      </w:r>
      <w:proofErr w:type="spellEnd"/>
      <w:r w:rsidRPr="00FE560D">
        <w:rPr>
          <w:rFonts w:ascii="Book Antiqua" w:hAnsi="Book Antiqua" w:cs="Times New Roman"/>
          <w:b/>
          <w:sz w:val="24"/>
          <w:szCs w:val="24"/>
        </w:rPr>
        <w:t xml:space="preserve">, Shimon </w:t>
      </w:r>
      <w:proofErr w:type="spellStart"/>
      <w:r w:rsidRPr="00FE560D">
        <w:rPr>
          <w:rFonts w:ascii="Book Antiqua" w:hAnsi="Book Antiqua" w:cs="Times New Roman"/>
          <w:b/>
          <w:sz w:val="24"/>
          <w:szCs w:val="24"/>
        </w:rPr>
        <w:t>Shteingart</w:t>
      </w:r>
      <w:proofErr w:type="spellEnd"/>
      <w:r w:rsidRPr="00FE560D">
        <w:rPr>
          <w:rFonts w:ascii="Book Antiqua" w:hAnsi="Book Antiqua" w:cs="Times New Roman"/>
          <w:b/>
          <w:sz w:val="24"/>
          <w:szCs w:val="24"/>
        </w:rPr>
        <w:t xml:space="preserve">, </w:t>
      </w:r>
      <w:proofErr w:type="spellStart"/>
      <w:r w:rsidRPr="00FE560D">
        <w:rPr>
          <w:rFonts w:ascii="Book Antiqua" w:hAnsi="Book Antiqua" w:cs="Times New Roman"/>
          <w:b/>
          <w:sz w:val="24"/>
          <w:szCs w:val="24"/>
        </w:rPr>
        <w:t>Harel</w:t>
      </w:r>
      <w:proofErr w:type="spellEnd"/>
      <w:r w:rsidRPr="00FE560D">
        <w:rPr>
          <w:rFonts w:ascii="Book Antiqua" w:hAnsi="Book Antiqua" w:cs="Times New Roman"/>
          <w:b/>
          <w:sz w:val="24"/>
          <w:szCs w:val="24"/>
        </w:rPr>
        <w:t xml:space="preserve"> </w:t>
      </w:r>
      <w:proofErr w:type="spellStart"/>
      <w:r w:rsidRPr="00FE560D">
        <w:rPr>
          <w:rFonts w:ascii="Book Antiqua" w:hAnsi="Book Antiqua" w:cs="Times New Roman"/>
          <w:b/>
          <w:sz w:val="24"/>
          <w:szCs w:val="24"/>
        </w:rPr>
        <w:t>Dahari</w:t>
      </w:r>
      <w:proofErr w:type="spellEnd"/>
      <w:r w:rsidRPr="00FE560D">
        <w:rPr>
          <w:rFonts w:ascii="Book Antiqua" w:hAnsi="Book Antiqua" w:cs="Times New Roman"/>
          <w:b/>
          <w:sz w:val="24"/>
          <w:szCs w:val="24"/>
        </w:rPr>
        <w:t xml:space="preserve">, Inna </w:t>
      </w:r>
      <w:proofErr w:type="spellStart"/>
      <w:r w:rsidRPr="00FE560D">
        <w:rPr>
          <w:rFonts w:ascii="Book Antiqua" w:hAnsi="Book Antiqua" w:cs="Times New Roman"/>
          <w:b/>
          <w:sz w:val="24"/>
          <w:szCs w:val="24"/>
        </w:rPr>
        <w:t>Gafanovich</w:t>
      </w:r>
      <w:proofErr w:type="spellEnd"/>
      <w:r w:rsidRPr="00FE560D">
        <w:rPr>
          <w:rFonts w:ascii="Book Antiqua" w:hAnsi="Book Antiqua" w:cs="Times New Roman"/>
          <w:b/>
          <w:sz w:val="24"/>
          <w:szCs w:val="24"/>
        </w:rPr>
        <w:t xml:space="preserve">, Sharon </w:t>
      </w:r>
      <w:proofErr w:type="spellStart"/>
      <w:r w:rsidRPr="00FE560D">
        <w:rPr>
          <w:rFonts w:ascii="Book Antiqua" w:hAnsi="Book Antiqua" w:cs="Times New Roman"/>
          <w:b/>
          <w:sz w:val="24"/>
          <w:szCs w:val="24"/>
        </w:rPr>
        <w:t>Floru</w:t>
      </w:r>
      <w:proofErr w:type="spellEnd"/>
      <w:r w:rsidRPr="00FE560D">
        <w:rPr>
          <w:rFonts w:ascii="Book Antiqua" w:hAnsi="Book Antiqua" w:cs="Times New Roman"/>
          <w:b/>
          <w:sz w:val="24"/>
          <w:szCs w:val="24"/>
        </w:rPr>
        <w:t xml:space="preserve">, Marius Braun, Amir </w:t>
      </w:r>
      <w:proofErr w:type="spellStart"/>
      <w:r w:rsidRPr="00FE560D">
        <w:rPr>
          <w:rFonts w:ascii="Book Antiqua" w:hAnsi="Book Antiqua" w:cs="Times New Roman"/>
          <w:b/>
          <w:sz w:val="24"/>
          <w:szCs w:val="24"/>
        </w:rPr>
        <w:t>Shlomai</w:t>
      </w:r>
      <w:proofErr w:type="spellEnd"/>
      <w:r w:rsidRPr="00FE560D">
        <w:rPr>
          <w:rFonts w:ascii="Book Antiqua" w:hAnsi="Book Antiqua" w:cs="Times New Roman"/>
          <w:b/>
          <w:sz w:val="24"/>
          <w:szCs w:val="24"/>
        </w:rPr>
        <w:t>, Anthony</w:t>
      </w:r>
      <w:r w:rsidRPr="00FE560D">
        <w:rPr>
          <w:rFonts w:ascii="Book Antiqua" w:hAnsi="Book Antiqua" w:cs="Times New Roman"/>
          <w:b/>
          <w:sz w:val="24"/>
          <w:szCs w:val="24"/>
          <w:rtl/>
        </w:rPr>
        <w:t xml:space="preserve"> </w:t>
      </w:r>
      <w:proofErr w:type="spellStart"/>
      <w:r w:rsidRPr="00FE560D">
        <w:rPr>
          <w:rFonts w:ascii="Book Antiqua" w:hAnsi="Book Antiqua" w:cs="Times New Roman"/>
          <w:b/>
          <w:sz w:val="24"/>
          <w:szCs w:val="24"/>
        </w:rPr>
        <w:t>Verstanding</w:t>
      </w:r>
      <w:proofErr w:type="spellEnd"/>
      <w:r w:rsidRPr="00FE560D">
        <w:rPr>
          <w:rFonts w:ascii="Book Antiqua" w:hAnsi="Book Antiqua" w:cs="Times New Roman"/>
          <w:b/>
          <w:sz w:val="24"/>
          <w:szCs w:val="24"/>
        </w:rPr>
        <w:t xml:space="preserve">, </w:t>
      </w:r>
      <w:proofErr w:type="spellStart"/>
      <w:r w:rsidRPr="00FE560D">
        <w:rPr>
          <w:rFonts w:ascii="Book Antiqua" w:hAnsi="Book Antiqua" w:cs="Times New Roman"/>
          <w:b/>
          <w:sz w:val="24"/>
          <w:szCs w:val="24"/>
        </w:rPr>
        <w:t>Ilana</w:t>
      </w:r>
      <w:proofErr w:type="spellEnd"/>
      <w:r w:rsidRPr="00FE560D">
        <w:rPr>
          <w:rFonts w:ascii="Book Antiqua" w:hAnsi="Book Antiqua" w:cs="Times New Roman"/>
          <w:b/>
          <w:sz w:val="24"/>
          <w:szCs w:val="24"/>
        </w:rPr>
        <w:t xml:space="preserve"> </w:t>
      </w:r>
      <w:proofErr w:type="spellStart"/>
      <w:r w:rsidRPr="00FE560D">
        <w:rPr>
          <w:rFonts w:ascii="Book Antiqua" w:hAnsi="Book Antiqua" w:cs="Times New Roman"/>
          <w:b/>
          <w:sz w:val="24"/>
          <w:szCs w:val="24"/>
        </w:rPr>
        <w:t>Deri</w:t>
      </w:r>
      <w:proofErr w:type="spellEnd"/>
      <w:r w:rsidRPr="00FE560D">
        <w:rPr>
          <w:rFonts w:ascii="Book Antiqua" w:hAnsi="Book Antiqua" w:cs="Times New Roman"/>
          <w:b/>
          <w:sz w:val="24"/>
          <w:szCs w:val="24"/>
        </w:rPr>
        <w:t xml:space="preserve">, Susan L </w:t>
      </w:r>
      <w:proofErr w:type="spellStart"/>
      <w:r w:rsidRPr="00FE560D">
        <w:rPr>
          <w:rFonts w:ascii="Book Antiqua" w:hAnsi="Book Antiqua" w:cs="Times New Roman"/>
          <w:b/>
          <w:sz w:val="24"/>
          <w:szCs w:val="24"/>
        </w:rPr>
        <w:t>Uprichard</w:t>
      </w:r>
      <w:proofErr w:type="spellEnd"/>
      <w:r w:rsidRPr="00FE560D">
        <w:rPr>
          <w:rFonts w:ascii="Book Antiqua" w:hAnsi="Book Antiqua" w:cs="Times New Roman"/>
          <w:b/>
          <w:sz w:val="24"/>
          <w:szCs w:val="24"/>
        </w:rPr>
        <w:t>,</w:t>
      </w:r>
      <w:r w:rsidRPr="00FE560D">
        <w:rPr>
          <w:rFonts w:ascii="Book Antiqua" w:hAnsi="Book Antiqua" w:cs="Times New Roman"/>
          <w:b/>
          <w:sz w:val="24"/>
          <w:szCs w:val="24"/>
          <w:vertAlign w:val="superscript"/>
        </w:rPr>
        <w:t xml:space="preserve"> </w:t>
      </w:r>
      <w:r w:rsidRPr="00FE560D">
        <w:rPr>
          <w:rFonts w:ascii="Book Antiqua" w:hAnsi="Book Antiqua" w:cs="Times New Roman"/>
          <w:b/>
          <w:sz w:val="24"/>
          <w:szCs w:val="24"/>
        </w:rPr>
        <w:t xml:space="preserve">Scott J </w:t>
      </w:r>
      <w:proofErr w:type="spellStart"/>
      <w:r w:rsidRPr="00FE560D">
        <w:rPr>
          <w:rFonts w:ascii="Book Antiqua" w:hAnsi="Book Antiqua" w:cs="Times New Roman"/>
          <w:b/>
          <w:sz w:val="24"/>
          <w:szCs w:val="24"/>
        </w:rPr>
        <w:t>Cotler</w:t>
      </w:r>
      <w:proofErr w:type="spellEnd"/>
      <w:r w:rsidRPr="00FE560D">
        <w:rPr>
          <w:rFonts w:ascii="Book Antiqua" w:hAnsi="Book Antiqua" w:cs="Times New Roman"/>
          <w:b/>
          <w:sz w:val="24"/>
          <w:szCs w:val="24"/>
        </w:rPr>
        <w:t xml:space="preserve">, </w:t>
      </w:r>
      <w:proofErr w:type="spellStart"/>
      <w:r w:rsidRPr="00FE560D">
        <w:rPr>
          <w:rFonts w:ascii="Book Antiqua" w:hAnsi="Book Antiqua" w:cs="Times New Roman"/>
          <w:b/>
          <w:sz w:val="24"/>
          <w:szCs w:val="24"/>
        </w:rPr>
        <w:t>Yoav</w:t>
      </w:r>
      <w:proofErr w:type="spellEnd"/>
      <w:r w:rsidRPr="00FE560D">
        <w:rPr>
          <w:rFonts w:ascii="Book Antiqua" w:hAnsi="Book Antiqua" w:cs="Times New Roman"/>
          <w:b/>
          <w:sz w:val="24"/>
          <w:szCs w:val="24"/>
        </w:rPr>
        <w:t xml:space="preserve"> Lurie</w:t>
      </w:r>
    </w:p>
    <w:p w14:paraId="41A7761C"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
    <w:p w14:paraId="506ADFE5"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b/>
          <w:bCs/>
          <w:sz w:val="24"/>
          <w:szCs w:val="24"/>
        </w:rPr>
        <w:t xml:space="preserve">Yaakov </w:t>
      </w:r>
      <w:proofErr w:type="spellStart"/>
      <w:r w:rsidRPr="00FE560D">
        <w:rPr>
          <w:rFonts w:ascii="Book Antiqua" w:hAnsi="Book Antiqua" w:cs="Times New Roman"/>
          <w:b/>
          <w:bCs/>
          <w:sz w:val="24"/>
          <w:szCs w:val="24"/>
        </w:rPr>
        <w:t>Hasin</w:t>
      </w:r>
      <w:proofErr w:type="spellEnd"/>
      <w:r w:rsidRPr="00FE560D">
        <w:rPr>
          <w:rFonts w:ascii="Book Antiqua" w:hAnsi="Book Antiqua" w:cs="Times New Roman"/>
          <w:b/>
          <w:bCs/>
          <w:sz w:val="24"/>
          <w:szCs w:val="24"/>
        </w:rPr>
        <w:t xml:space="preserve">, Shimon </w:t>
      </w:r>
      <w:proofErr w:type="spellStart"/>
      <w:r w:rsidRPr="00FE560D">
        <w:rPr>
          <w:rFonts w:ascii="Book Antiqua" w:hAnsi="Book Antiqua" w:cs="Times New Roman"/>
          <w:b/>
          <w:bCs/>
          <w:sz w:val="24"/>
          <w:szCs w:val="24"/>
        </w:rPr>
        <w:t>Shteingart</w:t>
      </w:r>
      <w:proofErr w:type="spellEnd"/>
      <w:r w:rsidRPr="00FE560D">
        <w:rPr>
          <w:rFonts w:ascii="Book Antiqua" w:hAnsi="Book Antiqua" w:cs="Times New Roman"/>
          <w:b/>
          <w:bCs/>
          <w:sz w:val="24"/>
          <w:szCs w:val="24"/>
        </w:rPr>
        <w:t xml:space="preserve">, Inna </w:t>
      </w:r>
      <w:proofErr w:type="spellStart"/>
      <w:r w:rsidRPr="00FE560D">
        <w:rPr>
          <w:rFonts w:ascii="Book Antiqua" w:hAnsi="Book Antiqua" w:cs="Times New Roman"/>
          <w:b/>
          <w:bCs/>
          <w:sz w:val="24"/>
          <w:szCs w:val="24"/>
        </w:rPr>
        <w:t>Gafanovich</w:t>
      </w:r>
      <w:proofErr w:type="spellEnd"/>
      <w:r w:rsidRPr="00FE560D">
        <w:rPr>
          <w:rFonts w:ascii="Book Antiqua" w:hAnsi="Book Antiqua" w:cs="Times New Roman"/>
          <w:b/>
          <w:bCs/>
          <w:sz w:val="24"/>
          <w:szCs w:val="24"/>
        </w:rPr>
        <w:t xml:space="preserve">, </w:t>
      </w:r>
      <w:proofErr w:type="spellStart"/>
      <w:r w:rsidRPr="00FE560D">
        <w:rPr>
          <w:rFonts w:ascii="Book Antiqua" w:hAnsi="Book Antiqua" w:cs="Times New Roman"/>
          <w:b/>
          <w:bCs/>
          <w:sz w:val="24"/>
          <w:szCs w:val="24"/>
        </w:rPr>
        <w:t>Ilana</w:t>
      </w:r>
      <w:proofErr w:type="spellEnd"/>
      <w:r w:rsidRPr="00FE560D">
        <w:rPr>
          <w:rFonts w:ascii="Book Antiqua" w:hAnsi="Book Antiqua" w:cs="Times New Roman"/>
          <w:b/>
          <w:bCs/>
          <w:sz w:val="24"/>
          <w:szCs w:val="24"/>
        </w:rPr>
        <w:t xml:space="preserve"> </w:t>
      </w:r>
      <w:proofErr w:type="spellStart"/>
      <w:r w:rsidRPr="00FE560D">
        <w:rPr>
          <w:rFonts w:ascii="Book Antiqua" w:hAnsi="Book Antiqua" w:cs="Times New Roman"/>
          <w:b/>
          <w:bCs/>
          <w:sz w:val="24"/>
          <w:szCs w:val="24"/>
        </w:rPr>
        <w:t>Deri</w:t>
      </w:r>
      <w:proofErr w:type="spellEnd"/>
      <w:r w:rsidRPr="00FE560D">
        <w:rPr>
          <w:rFonts w:ascii="Book Antiqua" w:hAnsi="Book Antiqua" w:cs="Times New Roman"/>
          <w:b/>
          <w:bCs/>
          <w:sz w:val="24"/>
          <w:szCs w:val="24"/>
        </w:rPr>
        <w:t xml:space="preserve">, </w:t>
      </w:r>
      <w:proofErr w:type="spellStart"/>
      <w:r w:rsidRPr="00FE560D">
        <w:rPr>
          <w:rFonts w:ascii="Book Antiqua" w:hAnsi="Book Antiqua" w:cs="Times New Roman"/>
          <w:b/>
          <w:bCs/>
          <w:sz w:val="24"/>
          <w:szCs w:val="24"/>
        </w:rPr>
        <w:t>Yoav</w:t>
      </w:r>
      <w:proofErr w:type="spellEnd"/>
      <w:r w:rsidRPr="00FE560D">
        <w:rPr>
          <w:rFonts w:ascii="Book Antiqua" w:hAnsi="Book Antiqua" w:cs="Times New Roman"/>
          <w:b/>
          <w:bCs/>
          <w:sz w:val="24"/>
          <w:szCs w:val="24"/>
        </w:rPr>
        <w:t xml:space="preserve"> Luria</w:t>
      </w:r>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 Liver Unit, Digestive Disease Institute, </w:t>
      </w:r>
      <w:proofErr w:type="spellStart"/>
      <w:r w:rsidRPr="00FE560D">
        <w:rPr>
          <w:rFonts w:ascii="Book Antiqua" w:hAnsi="Book Antiqua" w:cs="Times New Roman"/>
          <w:sz w:val="24"/>
          <w:szCs w:val="24"/>
        </w:rPr>
        <w:t>Sha</w:t>
      </w:r>
      <w:r w:rsidRPr="00FE560D">
        <w:rPr>
          <w:rFonts w:ascii="Book Antiqua" w:hAnsi="Book Antiqua" w:cs="Times New Roman"/>
          <w:sz w:val="24"/>
          <w:szCs w:val="24"/>
          <w:lang w:eastAsia="zh-CN"/>
        </w:rPr>
        <w:t>’</w:t>
      </w:r>
      <w:r w:rsidRPr="00FE560D">
        <w:rPr>
          <w:rFonts w:ascii="Book Antiqua" w:hAnsi="Book Antiqua" w:cs="Times New Roman"/>
          <w:sz w:val="24"/>
          <w:szCs w:val="24"/>
        </w:rPr>
        <w:t>are</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Zedek</w:t>
      </w:r>
      <w:proofErr w:type="spellEnd"/>
      <w:r w:rsidRPr="00FE560D">
        <w:rPr>
          <w:rFonts w:ascii="Book Antiqua" w:hAnsi="Book Antiqua" w:cs="Times New Roman"/>
          <w:sz w:val="24"/>
          <w:szCs w:val="24"/>
        </w:rPr>
        <w:t xml:space="preserve"> Medical Center, Jerusalem</w:t>
      </w:r>
      <w:r w:rsidRPr="00FE560D">
        <w:rPr>
          <w:rFonts w:ascii="Book Antiqua" w:hAnsi="Book Antiqua" w:cs="Times New Roman"/>
          <w:sz w:val="24"/>
          <w:szCs w:val="24"/>
          <w:lang w:eastAsia="zh-CN"/>
        </w:rPr>
        <w:t xml:space="preserve"> </w:t>
      </w:r>
      <w:r w:rsidRPr="00FE560D">
        <w:rPr>
          <w:rStyle w:val="xbe"/>
          <w:rFonts w:ascii="Book Antiqua" w:hAnsi="Book Antiqua"/>
          <w:sz w:val="24"/>
          <w:szCs w:val="24"/>
        </w:rPr>
        <w:t>9103102</w:t>
      </w:r>
      <w:r w:rsidRPr="00FE560D">
        <w:rPr>
          <w:rFonts w:ascii="Book Antiqua" w:hAnsi="Book Antiqua" w:cs="Times New Roman"/>
          <w:sz w:val="24"/>
          <w:szCs w:val="24"/>
        </w:rPr>
        <w:t xml:space="preserve">, Israel </w:t>
      </w:r>
    </w:p>
    <w:p w14:paraId="2F1C3839"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
    <w:p w14:paraId="68A5A8FD"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roofErr w:type="spellStart"/>
      <w:r w:rsidRPr="00FE560D">
        <w:rPr>
          <w:rFonts w:ascii="Book Antiqua" w:hAnsi="Book Antiqua" w:cs="Times New Roman"/>
          <w:b/>
          <w:bCs/>
          <w:sz w:val="24"/>
          <w:szCs w:val="24"/>
        </w:rPr>
        <w:t>Harel</w:t>
      </w:r>
      <w:proofErr w:type="spellEnd"/>
      <w:r w:rsidRPr="00FE560D">
        <w:rPr>
          <w:rFonts w:ascii="Book Antiqua" w:hAnsi="Book Antiqua" w:cs="Times New Roman"/>
          <w:b/>
          <w:bCs/>
          <w:sz w:val="24"/>
          <w:szCs w:val="24"/>
        </w:rPr>
        <w:t xml:space="preserve"> </w:t>
      </w:r>
      <w:proofErr w:type="spellStart"/>
      <w:r w:rsidRPr="00FE560D">
        <w:rPr>
          <w:rFonts w:ascii="Book Antiqua" w:hAnsi="Book Antiqua" w:cs="Times New Roman"/>
          <w:b/>
          <w:bCs/>
          <w:sz w:val="24"/>
          <w:szCs w:val="24"/>
        </w:rPr>
        <w:t>Dahari</w:t>
      </w:r>
      <w:proofErr w:type="spellEnd"/>
      <w:r w:rsidRPr="00FE560D">
        <w:rPr>
          <w:rFonts w:ascii="Book Antiqua" w:hAnsi="Book Antiqua" w:cs="Times New Roman"/>
          <w:b/>
          <w:bCs/>
          <w:sz w:val="24"/>
          <w:szCs w:val="24"/>
        </w:rPr>
        <w:t xml:space="preserve">, Susan L </w:t>
      </w:r>
      <w:proofErr w:type="spellStart"/>
      <w:r w:rsidRPr="00FE560D">
        <w:rPr>
          <w:rFonts w:ascii="Book Antiqua" w:hAnsi="Book Antiqua" w:cs="Times New Roman"/>
          <w:b/>
          <w:bCs/>
          <w:sz w:val="24"/>
          <w:szCs w:val="24"/>
        </w:rPr>
        <w:t>Uprichard</w:t>
      </w:r>
      <w:proofErr w:type="spellEnd"/>
      <w:r w:rsidRPr="00FE560D">
        <w:rPr>
          <w:rFonts w:ascii="Book Antiqua" w:hAnsi="Book Antiqua" w:cs="Times New Roman"/>
          <w:b/>
          <w:bCs/>
          <w:sz w:val="24"/>
          <w:szCs w:val="24"/>
        </w:rPr>
        <w:t xml:space="preserve">, Scott J </w:t>
      </w:r>
      <w:proofErr w:type="spellStart"/>
      <w:r w:rsidRPr="00FE560D">
        <w:rPr>
          <w:rFonts w:ascii="Book Antiqua" w:hAnsi="Book Antiqua" w:cs="Times New Roman"/>
          <w:b/>
          <w:bCs/>
          <w:sz w:val="24"/>
          <w:szCs w:val="24"/>
        </w:rPr>
        <w:t>Cotler</w:t>
      </w:r>
      <w:proofErr w:type="spellEnd"/>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 the Program for Experimental and Theoretical Modeling, Division of Hepatology, Department of Medicine, Loyola University Medical Center, Maywood, IL</w:t>
      </w:r>
      <w:r w:rsidRPr="00FE560D">
        <w:rPr>
          <w:rFonts w:ascii="Book Antiqua" w:hAnsi="Book Antiqua" w:cs="Times New Roman"/>
          <w:sz w:val="24"/>
          <w:szCs w:val="24"/>
          <w:lang w:eastAsia="zh-CN"/>
        </w:rPr>
        <w:t xml:space="preserve"> </w:t>
      </w:r>
      <w:r w:rsidRPr="00FE560D">
        <w:rPr>
          <w:rStyle w:val="xbe"/>
          <w:rFonts w:ascii="Book Antiqua" w:hAnsi="Book Antiqua"/>
          <w:sz w:val="24"/>
          <w:szCs w:val="24"/>
        </w:rPr>
        <w:t>60153</w:t>
      </w:r>
      <w:r w:rsidRPr="00FE560D">
        <w:rPr>
          <w:rFonts w:ascii="Book Antiqua" w:hAnsi="Book Antiqua" w:cs="Times New Roman"/>
          <w:sz w:val="24"/>
          <w:szCs w:val="24"/>
        </w:rPr>
        <w:t>, U</w:t>
      </w:r>
      <w:r w:rsidRPr="00FE560D">
        <w:rPr>
          <w:rFonts w:ascii="Book Antiqua" w:hAnsi="Book Antiqua" w:cs="Times New Roman"/>
          <w:sz w:val="24"/>
          <w:szCs w:val="24"/>
          <w:lang w:eastAsia="zh-CN"/>
        </w:rPr>
        <w:t xml:space="preserve">nited </w:t>
      </w:r>
      <w:r w:rsidRPr="00FE560D">
        <w:rPr>
          <w:rFonts w:ascii="Book Antiqua" w:hAnsi="Book Antiqua" w:cs="Times New Roman"/>
          <w:sz w:val="24"/>
          <w:szCs w:val="24"/>
        </w:rPr>
        <w:t>S</w:t>
      </w:r>
      <w:r w:rsidRPr="00FE560D">
        <w:rPr>
          <w:rFonts w:ascii="Book Antiqua" w:hAnsi="Book Antiqua" w:cs="Times New Roman"/>
          <w:sz w:val="24"/>
          <w:szCs w:val="24"/>
          <w:lang w:eastAsia="zh-CN"/>
        </w:rPr>
        <w:t>tates</w:t>
      </w:r>
    </w:p>
    <w:p w14:paraId="3650DA49" w14:textId="77777777" w:rsidR="00FE560D" w:rsidRPr="00FE560D" w:rsidRDefault="00FE560D" w:rsidP="00FE560D">
      <w:pPr>
        <w:bidi w:val="0"/>
        <w:spacing w:after="0" w:line="360" w:lineRule="auto"/>
        <w:jc w:val="both"/>
        <w:rPr>
          <w:rFonts w:ascii="Book Antiqua" w:hAnsi="Book Antiqua" w:cs="Times New Roman"/>
          <w:sz w:val="24"/>
          <w:szCs w:val="24"/>
        </w:rPr>
      </w:pPr>
      <w:r w:rsidRPr="00FE560D">
        <w:rPr>
          <w:rFonts w:ascii="Book Antiqua" w:hAnsi="Book Antiqua" w:cs="Times New Roman"/>
          <w:sz w:val="24"/>
          <w:szCs w:val="24"/>
        </w:rPr>
        <w:t xml:space="preserve"> </w:t>
      </w:r>
    </w:p>
    <w:p w14:paraId="56D2FD55"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b/>
          <w:bCs/>
          <w:sz w:val="24"/>
          <w:szCs w:val="24"/>
        </w:rPr>
        <w:t xml:space="preserve">Sharon </w:t>
      </w:r>
      <w:proofErr w:type="spellStart"/>
      <w:r w:rsidRPr="00FE560D">
        <w:rPr>
          <w:rFonts w:ascii="Book Antiqua" w:hAnsi="Book Antiqua" w:cs="Times New Roman"/>
          <w:b/>
          <w:bCs/>
          <w:sz w:val="24"/>
          <w:szCs w:val="24"/>
        </w:rPr>
        <w:t>Floru</w:t>
      </w:r>
      <w:proofErr w:type="spellEnd"/>
      <w:r w:rsidRPr="00FE560D">
        <w:rPr>
          <w:rFonts w:ascii="Book Antiqua" w:hAnsi="Book Antiqua" w:cs="Times New Roman"/>
          <w:b/>
          <w:bCs/>
          <w:sz w:val="24"/>
          <w:szCs w:val="24"/>
          <w:lang w:eastAsia="zh-CN"/>
        </w:rPr>
        <w:t>,</w:t>
      </w:r>
      <w:r w:rsidRPr="00FE560D">
        <w:rPr>
          <w:rFonts w:ascii="Book Antiqua" w:hAnsi="Book Antiqua" w:cs="Times New Roman"/>
          <w:sz w:val="24"/>
          <w:szCs w:val="24"/>
        </w:rPr>
        <w:t xml:space="preserve"> </w:t>
      </w:r>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Bat </w:t>
      </w:r>
      <w:proofErr w:type="spellStart"/>
      <w:r w:rsidRPr="00FE560D">
        <w:rPr>
          <w:rFonts w:ascii="Book Antiqua" w:hAnsi="Book Antiqua" w:cs="Times New Roman"/>
          <w:sz w:val="24"/>
          <w:szCs w:val="24"/>
        </w:rPr>
        <w:t>Yamon</w:t>
      </w:r>
      <w:proofErr w:type="spellEnd"/>
      <w:r w:rsidRPr="00FE560D">
        <w:rPr>
          <w:rFonts w:ascii="Book Antiqua" w:hAnsi="Book Antiqua" w:cs="Times New Roman"/>
          <w:sz w:val="24"/>
          <w:szCs w:val="24"/>
          <w:lang w:eastAsia="zh-CN"/>
        </w:rPr>
        <w:t>”</w:t>
      </w:r>
      <w:r w:rsidRPr="00FE560D">
        <w:rPr>
          <w:rFonts w:ascii="Book Antiqua" w:hAnsi="Book Antiqua" w:cs="Times New Roman"/>
          <w:sz w:val="24"/>
          <w:szCs w:val="24"/>
          <w:vertAlign w:val="superscript"/>
        </w:rPr>
        <w:t xml:space="preserve"> </w:t>
      </w:r>
      <w:r w:rsidRPr="00FE560D">
        <w:rPr>
          <w:rFonts w:ascii="Book Antiqua" w:hAnsi="Book Antiqua" w:cs="Times New Roman"/>
          <w:sz w:val="24"/>
          <w:szCs w:val="24"/>
        </w:rPr>
        <w:t xml:space="preserve">Internal Medicine Day Care, </w:t>
      </w:r>
      <w:proofErr w:type="spellStart"/>
      <w:r w:rsidRPr="00FE560D">
        <w:rPr>
          <w:rFonts w:ascii="Book Antiqua" w:hAnsi="Book Antiqua" w:cs="Times New Roman"/>
          <w:sz w:val="24"/>
          <w:szCs w:val="24"/>
        </w:rPr>
        <w:t>Clalit</w:t>
      </w:r>
      <w:proofErr w:type="spellEnd"/>
      <w:r w:rsidRPr="00FE560D">
        <w:rPr>
          <w:rFonts w:ascii="Book Antiqua" w:hAnsi="Book Antiqua" w:cs="Times New Roman"/>
          <w:sz w:val="24"/>
          <w:szCs w:val="24"/>
        </w:rPr>
        <w:t xml:space="preserve"> Health Care Organization, Bat Yam</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5962025, Israel</w:t>
      </w:r>
    </w:p>
    <w:p w14:paraId="774D8569" w14:textId="77777777" w:rsidR="00FE560D" w:rsidRPr="00FE560D" w:rsidRDefault="00FE560D" w:rsidP="00FE560D">
      <w:pPr>
        <w:bidi w:val="0"/>
        <w:spacing w:after="0" w:line="360" w:lineRule="auto"/>
        <w:jc w:val="both"/>
        <w:rPr>
          <w:rFonts w:ascii="Book Antiqua" w:hAnsi="Book Antiqua" w:cs="Times New Roman"/>
          <w:sz w:val="24"/>
          <w:szCs w:val="24"/>
        </w:rPr>
      </w:pPr>
      <w:r w:rsidRPr="00FE560D">
        <w:rPr>
          <w:rFonts w:ascii="Book Antiqua" w:hAnsi="Book Antiqua"/>
          <w:sz w:val="24"/>
          <w:szCs w:val="24"/>
        </w:rPr>
        <w:t xml:space="preserve"> </w:t>
      </w:r>
    </w:p>
    <w:p w14:paraId="7403FDAF"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b/>
          <w:bCs/>
          <w:sz w:val="24"/>
          <w:szCs w:val="24"/>
        </w:rPr>
        <w:t xml:space="preserve">Marius Braun, Amir </w:t>
      </w:r>
      <w:proofErr w:type="spellStart"/>
      <w:r w:rsidRPr="00FE560D">
        <w:rPr>
          <w:rFonts w:ascii="Book Antiqua" w:hAnsi="Book Antiqua" w:cs="Times New Roman"/>
          <w:b/>
          <w:bCs/>
          <w:sz w:val="24"/>
          <w:szCs w:val="24"/>
        </w:rPr>
        <w:t>shlomai</w:t>
      </w:r>
      <w:proofErr w:type="spellEnd"/>
      <w:r w:rsidRPr="00FE560D">
        <w:rPr>
          <w:rFonts w:ascii="Book Antiqua" w:hAnsi="Book Antiqua" w:cs="Times New Roman"/>
          <w:b/>
          <w:bCs/>
          <w:sz w:val="24"/>
          <w:szCs w:val="24"/>
          <w:lang w:eastAsia="zh-CN"/>
        </w:rPr>
        <w:t>,</w:t>
      </w:r>
      <w:r w:rsidRPr="00FE560D">
        <w:rPr>
          <w:rFonts w:ascii="Book Antiqua" w:hAnsi="Book Antiqua" w:cs="Times New Roman"/>
          <w:sz w:val="24"/>
          <w:szCs w:val="24"/>
        </w:rPr>
        <w:t xml:space="preserve"> Liver Institute, Rabin Medical Center, </w:t>
      </w:r>
      <w:proofErr w:type="spellStart"/>
      <w:r w:rsidRPr="00FE560D">
        <w:rPr>
          <w:rFonts w:ascii="Book Antiqua" w:hAnsi="Book Antiqua" w:cs="Times New Roman"/>
          <w:sz w:val="24"/>
          <w:szCs w:val="24"/>
        </w:rPr>
        <w:t>Beilinson</w:t>
      </w:r>
      <w:proofErr w:type="spellEnd"/>
      <w:r w:rsidRPr="00FE560D">
        <w:rPr>
          <w:rFonts w:ascii="Book Antiqua" w:hAnsi="Book Antiqua" w:cs="Times New Roman"/>
          <w:sz w:val="24"/>
          <w:szCs w:val="24"/>
        </w:rPr>
        <w:t xml:space="preserve"> Hospital, Petah-Tiqwa, Affiliated with the </w:t>
      </w:r>
      <w:proofErr w:type="spellStart"/>
      <w:r w:rsidRPr="00FE560D">
        <w:rPr>
          <w:rFonts w:ascii="Book Antiqua" w:hAnsi="Book Antiqua" w:cs="Times New Roman"/>
          <w:sz w:val="24"/>
          <w:szCs w:val="24"/>
        </w:rPr>
        <w:t>Sackler</w:t>
      </w:r>
      <w:proofErr w:type="spellEnd"/>
      <w:r w:rsidRPr="00FE560D">
        <w:rPr>
          <w:rFonts w:ascii="Book Antiqua" w:hAnsi="Book Antiqua" w:cs="Times New Roman"/>
          <w:sz w:val="24"/>
          <w:szCs w:val="24"/>
        </w:rPr>
        <w:t xml:space="preserve"> Faculty of Medicine, Tel Aviv</w:t>
      </w:r>
      <w:r w:rsidRPr="00FE560D">
        <w:rPr>
          <w:rFonts w:ascii="Book Antiqua" w:hAnsi="Book Antiqua" w:cs="Times New Roman"/>
          <w:sz w:val="24"/>
          <w:szCs w:val="24"/>
          <w:lang w:eastAsia="zh-CN"/>
        </w:rPr>
        <w:t xml:space="preserve"> </w:t>
      </w:r>
      <w:r w:rsidRPr="00FE560D">
        <w:rPr>
          <w:rStyle w:val="xbe"/>
          <w:rFonts w:ascii="Book Antiqua" w:hAnsi="Book Antiqua"/>
          <w:sz w:val="24"/>
          <w:szCs w:val="24"/>
        </w:rPr>
        <w:t>4941492</w:t>
      </w:r>
      <w:r w:rsidRPr="00FE560D">
        <w:rPr>
          <w:rFonts w:ascii="Book Antiqua" w:hAnsi="Book Antiqua" w:cs="Times New Roman"/>
          <w:sz w:val="24"/>
          <w:szCs w:val="24"/>
        </w:rPr>
        <w:t>, Israel</w:t>
      </w:r>
    </w:p>
    <w:p w14:paraId="58281C08" w14:textId="77777777" w:rsidR="00FE560D" w:rsidRPr="00FE560D" w:rsidRDefault="00FE560D" w:rsidP="00FE560D">
      <w:pPr>
        <w:bidi w:val="0"/>
        <w:spacing w:after="0" w:line="360" w:lineRule="auto"/>
        <w:jc w:val="both"/>
        <w:rPr>
          <w:rFonts w:ascii="Book Antiqua" w:hAnsi="Book Antiqua" w:cs="Times New Roman"/>
          <w:sz w:val="24"/>
          <w:szCs w:val="24"/>
          <w:vertAlign w:val="superscript"/>
        </w:rPr>
      </w:pPr>
      <w:r w:rsidRPr="00FE560D">
        <w:rPr>
          <w:rFonts w:ascii="Book Antiqua" w:hAnsi="Book Antiqua" w:cs="Times New Roman"/>
          <w:sz w:val="24"/>
          <w:szCs w:val="24"/>
        </w:rPr>
        <w:t xml:space="preserve"> </w:t>
      </w:r>
    </w:p>
    <w:p w14:paraId="15C849AF" w14:textId="77777777" w:rsidR="00FE560D" w:rsidRPr="00FE560D" w:rsidRDefault="00FE560D" w:rsidP="00FE560D">
      <w:pPr>
        <w:bidi w:val="0"/>
        <w:spacing w:after="0" w:line="360" w:lineRule="auto"/>
        <w:jc w:val="both"/>
        <w:rPr>
          <w:rFonts w:ascii="Book Antiqua" w:hAnsi="Book Antiqua" w:cstheme="majorBidi"/>
          <w:sz w:val="24"/>
          <w:szCs w:val="24"/>
        </w:rPr>
      </w:pPr>
      <w:r w:rsidRPr="00FE560D">
        <w:rPr>
          <w:rFonts w:ascii="Book Antiqua" w:hAnsi="Book Antiqua" w:cstheme="majorBidi"/>
          <w:b/>
          <w:bCs/>
          <w:sz w:val="24"/>
          <w:szCs w:val="24"/>
        </w:rPr>
        <w:t xml:space="preserve">Anthony </w:t>
      </w:r>
      <w:proofErr w:type="spellStart"/>
      <w:r w:rsidRPr="00FE560D">
        <w:rPr>
          <w:rFonts w:ascii="Book Antiqua" w:hAnsi="Book Antiqua" w:cstheme="majorBidi"/>
          <w:b/>
          <w:bCs/>
          <w:sz w:val="24"/>
          <w:szCs w:val="24"/>
        </w:rPr>
        <w:t>Verstanding</w:t>
      </w:r>
      <w:proofErr w:type="spellEnd"/>
      <w:r w:rsidRPr="00FE560D">
        <w:rPr>
          <w:rFonts w:ascii="Book Antiqua" w:hAnsi="Book Antiqua" w:cstheme="majorBidi"/>
          <w:b/>
          <w:bCs/>
          <w:sz w:val="24"/>
          <w:szCs w:val="24"/>
          <w:lang w:eastAsia="zh-CN"/>
        </w:rPr>
        <w:t>,</w:t>
      </w:r>
      <w:r w:rsidRPr="00FE560D">
        <w:rPr>
          <w:rFonts w:ascii="Book Antiqua" w:hAnsi="Book Antiqua" w:cstheme="majorBidi"/>
          <w:sz w:val="24"/>
          <w:szCs w:val="24"/>
        </w:rPr>
        <w:t xml:space="preserve"> Invasive Radiology Unit, </w:t>
      </w:r>
      <w:proofErr w:type="spellStart"/>
      <w:r w:rsidRPr="00FE560D">
        <w:rPr>
          <w:rFonts w:ascii="Book Antiqua" w:hAnsi="Book Antiqua" w:cstheme="majorBidi"/>
          <w:sz w:val="24"/>
          <w:szCs w:val="24"/>
        </w:rPr>
        <w:t>Sha</w:t>
      </w:r>
      <w:r w:rsidRPr="00FE560D">
        <w:rPr>
          <w:rFonts w:ascii="Book Antiqua" w:hAnsi="Book Antiqua" w:cstheme="majorBidi"/>
          <w:sz w:val="24"/>
          <w:szCs w:val="24"/>
          <w:lang w:eastAsia="zh-CN"/>
        </w:rPr>
        <w:t>’</w:t>
      </w:r>
      <w:r w:rsidRPr="00FE560D">
        <w:rPr>
          <w:rFonts w:ascii="Book Antiqua" w:hAnsi="Book Antiqua" w:cstheme="majorBidi"/>
          <w:sz w:val="24"/>
          <w:szCs w:val="24"/>
        </w:rPr>
        <w:t>are</w:t>
      </w:r>
      <w:proofErr w:type="spellEnd"/>
      <w:r w:rsidRPr="00FE560D">
        <w:rPr>
          <w:rFonts w:ascii="Book Antiqua" w:hAnsi="Book Antiqua" w:cstheme="majorBidi"/>
          <w:sz w:val="24"/>
          <w:szCs w:val="24"/>
        </w:rPr>
        <w:t xml:space="preserve"> </w:t>
      </w:r>
      <w:proofErr w:type="spellStart"/>
      <w:r w:rsidRPr="00FE560D">
        <w:rPr>
          <w:rFonts w:ascii="Book Antiqua" w:hAnsi="Book Antiqua" w:cstheme="majorBidi"/>
          <w:sz w:val="24"/>
          <w:szCs w:val="24"/>
        </w:rPr>
        <w:t>Zedek</w:t>
      </w:r>
      <w:proofErr w:type="spellEnd"/>
      <w:r w:rsidRPr="00FE560D">
        <w:rPr>
          <w:rFonts w:ascii="Book Antiqua" w:hAnsi="Book Antiqua" w:cstheme="majorBidi"/>
          <w:sz w:val="24"/>
          <w:szCs w:val="24"/>
        </w:rPr>
        <w:t xml:space="preserve"> medical center, Jerusalem</w:t>
      </w:r>
      <w:r w:rsidRPr="00FE560D">
        <w:rPr>
          <w:rFonts w:ascii="Book Antiqua" w:hAnsi="Book Antiqua" w:cstheme="majorBidi"/>
          <w:sz w:val="24"/>
          <w:szCs w:val="24"/>
          <w:lang w:eastAsia="zh-CN"/>
        </w:rPr>
        <w:t xml:space="preserve"> </w:t>
      </w:r>
      <w:r w:rsidRPr="00FE560D">
        <w:rPr>
          <w:rStyle w:val="xbe"/>
          <w:rFonts w:ascii="Book Antiqua" w:hAnsi="Book Antiqua"/>
          <w:sz w:val="24"/>
          <w:szCs w:val="24"/>
        </w:rPr>
        <w:t>9103102</w:t>
      </w:r>
      <w:r w:rsidRPr="00FE560D">
        <w:rPr>
          <w:rFonts w:ascii="Book Antiqua" w:hAnsi="Book Antiqua" w:cstheme="majorBidi"/>
          <w:sz w:val="24"/>
          <w:szCs w:val="24"/>
        </w:rPr>
        <w:t xml:space="preserve">, Israel </w:t>
      </w:r>
    </w:p>
    <w:p w14:paraId="3FBF6BD5" w14:textId="77777777" w:rsidR="00FE560D" w:rsidRPr="00FE560D" w:rsidRDefault="00FE560D" w:rsidP="00FE560D">
      <w:pPr>
        <w:bidi w:val="0"/>
        <w:spacing w:after="0" w:line="360" w:lineRule="auto"/>
        <w:jc w:val="both"/>
        <w:rPr>
          <w:rFonts w:ascii="Book Antiqua" w:hAnsi="Book Antiqua" w:cstheme="majorBidi"/>
          <w:sz w:val="24"/>
          <w:szCs w:val="24"/>
        </w:rPr>
      </w:pPr>
    </w:p>
    <w:p w14:paraId="2D989921" w14:textId="77777777" w:rsidR="00FE560D" w:rsidRPr="00FE560D" w:rsidRDefault="00FE560D" w:rsidP="00FE560D">
      <w:pPr>
        <w:autoSpaceDE w:val="0"/>
        <w:autoSpaceDN w:val="0"/>
        <w:bidi w:val="0"/>
        <w:adjustRightInd w:val="0"/>
        <w:spacing w:after="0" w:line="360" w:lineRule="auto"/>
        <w:jc w:val="both"/>
        <w:rPr>
          <w:rFonts w:ascii="Book Antiqua" w:hAnsi="Book Antiqua" w:cs="Book Antiqua"/>
          <w:sz w:val="24"/>
          <w:szCs w:val="24"/>
          <w:lang w:eastAsia="zh-CN"/>
        </w:rPr>
      </w:pPr>
      <w:r w:rsidRPr="00FE560D">
        <w:rPr>
          <w:rFonts w:ascii="Book Antiqua" w:hAnsi="Book Antiqua" w:cs="Book Antiqua"/>
          <w:b/>
          <w:bCs/>
          <w:sz w:val="24"/>
          <w:szCs w:val="24"/>
        </w:rPr>
        <w:t>Author contributions</w:t>
      </w:r>
      <w:r w:rsidRPr="00FE560D">
        <w:rPr>
          <w:rFonts w:ascii="Book Antiqua" w:hAnsi="Book Antiqua" w:cs="Book Antiqua"/>
          <w:sz w:val="24"/>
          <w:szCs w:val="24"/>
        </w:rPr>
        <w:t>: All authors contributed to the acquisition of data, writing, and revision of this manuscript.</w:t>
      </w:r>
    </w:p>
    <w:p w14:paraId="52375D28" w14:textId="77777777" w:rsidR="00FE560D" w:rsidRPr="00FE560D" w:rsidRDefault="00FE560D" w:rsidP="00FE560D">
      <w:pPr>
        <w:autoSpaceDE w:val="0"/>
        <w:autoSpaceDN w:val="0"/>
        <w:bidi w:val="0"/>
        <w:adjustRightInd w:val="0"/>
        <w:spacing w:after="0" w:line="360" w:lineRule="auto"/>
        <w:jc w:val="both"/>
        <w:rPr>
          <w:rFonts w:ascii="Book Antiqua" w:hAnsi="Book Antiqua" w:cs="Book Antiqua"/>
          <w:sz w:val="24"/>
          <w:szCs w:val="24"/>
          <w:lang w:eastAsia="zh-CN"/>
        </w:rPr>
      </w:pPr>
    </w:p>
    <w:p w14:paraId="30FD9D07" w14:textId="364AC8C2" w:rsidR="00FE560D" w:rsidRPr="00FE560D" w:rsidRDefault="00FE560D" w:rsidP="00FE560D">
      <w:pPr>
        <w:autoSpaceDE w:val="0"/>
        <w:autoSpaceDN w:val="0"/>
        <w:bidi w:val="0"/>
        <w:adjustRightInd w:val="0"/>
        <w:spacing w:after="0" w:line="360" w:lineRule="auto"/>
        <w:jc w:val="both"/>
        <w:rPr>
          <w:rFonts w:ascii="Book Antiqua" w:hAnsi="Book Antiqua" w:cstheme="majorBidi"/>
          <w:sz w:val="24"/>
          <w:szCs w:val="24"/>
          <w:lang w:eastAsia="zh-CN"/>
        </w:rPr>
      </w:pPr>
      <w:r w:rsidRPr="00FE560D">
        <w:rPr>
          <w:rFonts w:ascii="Book Antiqua" w:hAnsi="Book Antiqua" w:cs="Book Antiqua"/>
          <w:b/>
          <w:sz w:val="24"/>
          <w:szCs w:val="24"/>
          <w:lang w:eastAsia="zh-CN"/>
        </w:rPr>
        <w:t>Supported by</w:t>
      </w:r>
      <w:r w:rsidRPr="00FE560D">
        <w:rPr>
          <w:rFonts w:ascii="Book Antiqua" w:hAnsi="Book Antiqua" w:cs="Book Antiqua"/>
          <w:sz w:val="24"/>
          <w:szCs w:val="24"/>
          <w:lang w:eastAsia="zh-CN"/>
        </w:rPr>
        <w:t xml:space="preserve"> </w:t>
      </w:r>
      <w:r w:rsidRPr="00FE560D">
        <w:rPr>
          <w:rFonts w:ascii="Book Antiqua" w:hAnsi="Book Antiqua" w:cstheme="majorBidi"/>
          <w:sz w:val="24"/>
          <w:szCs w:val="24"/>
        </w:rPr>
        <w:t>NIH</w:t>
      </w:r>
      <w:r w:rsidR="0004760F">
        <w:rPr>
          <w:rFonts w:ascii="Book Antiqua" w:hAnsi="Book Antiqua" w:cstheme="majorBidi" w:hint="eastAsia"/>
          <w:sz w:val="24"/>
          <w:szCs w:val="24"/>
          <w:lang w:eastAsia="zh-CN"/>
        </w:rPr>
        <w:t>,</w:t>
      </w:r>
      <w:r w:rsidRPr="00FE560D">
        <w:rPr>
          <w:rFonts w:ascii="Book Antiqua" w:hAnsi="Book Antiqua" w:cstheme="majorBidi"/>
          <w:sz w:val="24"/>
          <w:szCs w:val="24"/>
        </w:rPr>
        <w:t xml:space="preserve"> </w:t>
      </w:r>
      <w:r w:rsidRPr="00FE560D">
        <w:rPr>
          <w:rFonts w:ascii="Book Antiqua" w:hAnsi="Book Antiqua" w:cstheme="majorBidi"/>
          <w:sz w:val="24"/>
          <w:szCs w:val="24"/>
          <w:lang w:eastAsia="zh-CN"/>
        </w:rPr>
        <w:t xml:space="preserve">No. </w:t>
      </w:r>
      <w:r w:rsidRPr="00FE560D">
        <w:rPr>
          <w:rFonts w:ascii="Book Antiqua" w:hAnsi="Book Antiqua" w:cstheme="majorBidi"/>
          <w:sz w:val="24"/>
          <w:szCs w:val="24"/>
        </w:rPr>
        <w:t>R01-AI078881</w:t>
      </w:r>
      <w:r w:rsidRPr="00FE560D">
        <w:rPr>
          <w:rFonts w:ascii="Book Antiqua" w:hAnsi="Book Antiqua" w:cstheme="majorBidi"/>
          <w:sz w:val="24"/>
          <w:szCs w:val="24"/>
          <w:lang w:eastAsia="zh-CN"/>
        </w:rPr>
        <w:t>.</w:t>
      </w:r>
    </w:p>
    <w:p w14:paraId="0C7DD2B0" w14:textId="77777777" w:rsidR="00FE560D" w:rsidRPr="00FE560D" w:rsidRDefault="00FE560D" w:rsidP="00FE560D">
      <w:pPr>
        <w:spacing w:after="0" w:line="360" w:lineRule="auto"/>
        <w:jc w:val="both"/>
        <w:rPr>
          <w:rFonts w:ascii="Book Antiqua" w:hAnsi="Book Antiqua" w:cs="Times New Roman"/>
          <w:bCs/>
          <w:sz w:val="24"/>
          <w:szCs w:val="24"/>
          <w:rtl/>
        </w:rPr>
      </w:pPr>
    </w:p>
    <w:p w14:paraId="520865CE" w14:textId="45A7DADE" w:rsidR="00FE560D" w:rsidRPr="00FE560D" w:rsidRDefault="00FE560D" w:rsidP="00FE560D">
      <w:pPr>
        <w:spacing w:after="0" w:line="360" w:lineRule="auto"/>
        <w:jc w:val="both"/>
        <w:rPr>
          <w:rFonts w:ascii="Book Antiqua" w:hAnsi="Book Antiqua" w:cstheme="majorBidi"/>
          <w:sz w:val="24"/>
          <w:szCs w:val="24"/>
          <w:lang w:eastAsia="zh-CN"/>
        </w:rPr>
      </w:pPr>
      <w:r w:rsidRPr="00FE560D">
        <w:rPr>
          <w:rFonts w:ascii="Book Antiqua" w:eastAsia="Times New Roman" w:hAnsi="Book Antiqua"/>
          <w:b/>
          <w:bCs/>
          <w:iCs/>
          <w:sz w:val="24"/>
          <w:szCs w:val="24"/>
        </w:rPr>
        <w:t>Institutional review board statement</w:t>
      </w:r>
      <w:r w:rsidRPr="00FE560D">
        <w:rPr>
          <w:rFonts w:ascii="Book Antiqua" w:hAnsi="Book Antiqua"/>
          <w:b/>
          <w:sz w:val="24"/>
          <w:szCs w:val="24"/>
        </w:rPr>
        <w:t>:</w:t>
      </w:r>
      <w:r w:rsidRPr="00FE560D">
        <w:rPr>
          <w:rFonts w:ascii="Book Antiqua" w:hAnsi="Book Antiqua" w:cs="Book Antiqua"/>
          <w:sz w:val="24"/>
          <w:szCs w:val="24"/>
        </w:rPr>
        <w:t xml:space="preserve"> This case report was exempt from the Institutional Review Board standards and from </w:t>
      </w:r>
      <w:r w:rsidR="00780CD6" w:rsidRPr="00FE560D">
        <w:rPr>
          <w:rFonts w:ascii="Book Antiqua" w:hAnsi="Book Antiqua" w:cs="Book Antiqua"/>
          <w:sz w:val="24"/>
          <w:szCs w:val="24"/>
        </w:rPr>
        <w:t>informed consent</w:t>
      </w:r>
      <w:r w:rsidRPr="00FE560D">
        <w:rPr>
          <w:rFonts w:ascii="Book Antiqua" w:hAnsi="Book Antiqua" w:cs="Book Antiqua"/>
          <w:sz w:val="24"/>
          <w:szCs w:val="24"/>
        </w:rPr>
        <w:t xml:space="preserve"> by the</w:t>
      </w:r>
      <w:r w:rsidR="00780CD6" w:rsidRPr="00FE560D">
        <w:rPr>
          <w:rFonts w:ascii="Book Antiqua" w:hAnsi="Book Antiqua" w:cs="Book Antiqua"/>
          <w:sz w:val="24"/>
          <w:szCs w:val="24"/>
        </w:rPr>
        <w:t xml:space="preserve"> institutional review board</w:t>
      </w:r>
      <w:r w:rsidRPr="00FE560D">
        <w:rPr>
          <w:rFonts w:ascii="Book Antiqua" w:hAnsi="Book Antiqua" w:cs="Book Antiqua"/>
          <w:sz w:val="24"/>
          <w:szCs w:val="24"/>
        </w:rPr>
        <w:t xml:space="preserve"> in </w:t>
      </w:r>
      <w:r w:rsidRPr="00FE560D">
        <w:rPr>
          <w:rFonts w:ascii="Book Antiqua" w:hAnsi="Book Antiqua" w:cs="Book Antiqua"/>
          <w:sz w:val="24"/>
          <w:szCs w:val="24"/>
          <w:lang w:eastAsia="zh-CN"/>
        </w:rPr>
        <w:t>“</w:t>
      </w:r>
      <w:proofErr w:type="spellStart"/>
      <w:r w:rsidRPr="00FE560D">
        <w:rPr>
          <w:rFonts w:ascii="Book Antiqua" w:hAnsi="Book Antiqua" w:cs="Book Antiqua"/>
          <w:sz w:val="24"/>
          <w:szCs w:val="24"/>
        </w:rPr>
        <w:t>Shaarei</w:t>
      </w:r>
      <w:proofErr w:type="spellEnd"/>
      <w:r w:rsidRPr="00FE560D">
        <w:rPr>
          <w:rFonts w:ascii="Book Antiqua" w:hAnsi="Book Antiqua" w:cs="Book Antiqua"/>
          <w:sz w:val="24"/>
          <w:szCs w:val="24"/>
        </w:rPr>
        <w:t xml:space="preserve"> </w:t>
      </w:r>
      <w:proofErr w:type="spellStart"/>
      <w:r w:rsidRPr="00FE560D">
        <w:rPr>
          <w:rFonts w:ascii="Book Antiqua" w:hAnsi="Book Antiqua" w:cs="Book Antiqua"/>
          <w:sz w:val="24"/>
          <w:szCs w:val="24"/>
        </w:rPr>
        <w:t>Tzedek</w:t>
      </w:r>
      <w:proofErr w:type="spellEnd"/>
      <w:r w:rsidRPr="00FE560D">
        <w:rPr>
          <w:rFonts w:ascii="Book Antiqua" w:hAnsi="Book Antiqua" w:cs="Book Antiqua"/>
          <w:sz w:val="24"/>
          <w:szCs w:val="24"/>
          <w:lang w:eastAsia="zh-CN"/>
        </w:rPr>
        <w:t>”</w:t>
      </w:r>
      <w:r w:rsidRPr="00FE560D">
        <w:rPr>
          <w:rFonts w:ascii="Book Antiqua" w:hAnsi="Book Antiqua" w:cs="Book Antiqua"/>
          <w:sz w:val="24"/>
          <w:szCs w:val="24"/>
        </w:rPr>
        <w:t xml:space="preserve"> medical center</w:t>
      </w:r>
      <w:r w:rsidRPr="00FE560D">
        <w:rPr>
          <w:rFonts w:ascii="Book Antiqua" w:hAnsi="Book Antiqua" w:cs="Book Antiqua"/>
          <w:sz w:val="24"/>
          <w:szCs w:val="24"/>
          <w:lang w:eastAsia="zh-CN"/>
        </w:rPr>
        <w:t>.</w:t>
      </w:r>
    </w:p>
    <w:p w14:paraId="27366EB2" w14:textId="77777777" w:rsidR="00FE560D" w:rsidRPr="00FE560D" w:rsidRDefault="00FE560D" w:rsidP="00FE560D">
      <w:pPr>
        <w:autoSpaceDE w:val="0"/>
        <w:autoSpaceDN w:val="0"/>
        <w:bidi w:val="0"/>
        <w:adjustRightInd w:val="0"/>
        <w:spacing w:after="0" w:line="360" w:lineRule="auto"/>
        <w:jc w:val="both"/>
        <w:rPr>
          <w:rFonts w:ascii="Book Antiqua" w:hAnsi="Book Antiqua" w:cstheme="majorBidi"/>
          <w:sz w:val="24"/>
          <w:szCs w:val="24"/>
          <w:lang w:eastAsia="zh-CN"/>
        </w:rPr>
      </w:pPr>
    </w:p>
    <w:p w14:paraId="6E417ADA" w14:textId="77777777" w:rsidR="00FE560D" w:rsidRPr="00FE560D" w:rsidRDefault="00FE560D" w:rsidP="00FE560D">
      <w:pPr>
        <w:autoSpaceDE w:val="0"/>
        <w:autoSpaceDN w:val="0"/>
        <w:bidi w:val="0"/>
        <w:adjustRightInd w:val="0"/>
        <w:spacing w:after="0" w:line="360" w:lineRule="auto"/>
        <w:jc w:val="both"/>
        <w:rPr>
          <w:rFonts w:ascii="Book Antiqua" w:hAnsi="Book Antiqua" w:cs="Book Antiqua"/>
          <w:sz w:val="24"/>
          <w:szCs w:val="24"/>
          <w:rtl/>
          <w:lang w:eastAsia="zh-CN"/>
        </w:rPr>
      </w:pPr>
      <w:r w:rsidRPr="00FE560D">
        <w:rPr>
          <w:rFonts w:ascii="Book Antiqua" w:eastAsia="Times New Roman" w:hAnsi="Book Antiqua"/>
          <w:b/>
          <w:bCs/>
          <w:iCs/>
          <w:sz w:val="24"/>
          <w:szCs w:val="24"/>
        </w:rPr>
        <w:t>Informed consent statement</w:t>
      </w:r>
      <w:r w:rsidRPr="00FE560D">
        <w:rPr>
          <w:rFonts w:ascii="Book Antiqua" w:hAnsi="Book Antiqua"/>
          <w:b/>
          <w:sz w:val="24"/>
          <w:szCs w:val="24"/>
        </w:rPr>
        <w:t>:</w:t>
      </w:r>
      <w:r w:rsidRPr="00FE560D">
        <w:rPr>
          <w:rFonts w:ascii="Book Antiqua" w:hAnsi="Book Antiqua" w:cs="Book Antiqua"/>
          <w:b/>
          <w:bCs/>
          <w:sz w:val="24"/>
          <w:szCs w:val="24"/>
        </w:rPr>
        <w:t xml:space="preserve"> </w:t>
      </w:r>
      <w:r w:rsidRPr="00FE560D">
        <w:rPr>
          <w:rFonts w:ascii="Book Antiqua" w:hAnsi="Book Antiqua" w:cs="Book Antiqua"/>
          <w:sz w:val="24"/>
          <w:szCs w:val="24"/>
        </w:rPr>
        <w:t xml:space="preserve">This case report was exempt from providing informed consent by the institutional review board in </w:t>
      </w:r>
      <w:r w:rsidRPr="00FE560D">
        <w:rPr>
          <w:rFonts w:ascii="Book Antiqua" w:hAnsi="Book Antiqua" w:cs="Book Antiqua"/>
          <w:sz w:val="24"/>
          <w:szCs w:val="24"/>
          <w:lang w:eastAsia="zh-CN"/>
        </w:rPr>
        <w:t>“</w:t>
      </w:r>
      <w:proofErr w:type="spellStart"/>
      <w:r w:rsidRPr="00FE560D">
        <w:rPr>
          <w:rFonts w:ascii="Book Antiqua" w:hAnsi="Book Antiqua" w:cs="Book Antiqua"/>
          <w:sz w:val="24"/>
          <w:szCs w:val="24"/>
        </w:rPr>
        <w:t>Shaarei</w:t>
      </w:r>
      <w:proofErr w:type="spellEnd"/>
      <w:r w:rsidRPr="00FE560D">
        <w:rPr>
          <w:rFonts w:ascii="Book Antiqua" w:hAnsi="Book Antiqua" w:cs="Book Antiqua"/>
          <w:sz w:val="24"/>
          <w:szCs w:val="24"/>
        </w:rPr>
        <w:t xml:space="preserve"> </w:t>
      </w:r>
      <w:proofErr w:type="spellStart"/>
      <w:r w:rsidRPr="00FE560D">
        <w:rPr>
          <w:rFonts w:ascii="Book Antiqua" w:hAnsi="Book Antiqua" w:cs="Book Antiqua"/>
          <w:sz w:val="24"/>
          <w:szCs w:val="24"/>
        </w:rPr>
        <w:t>Tzedek</w:t>
      </w:r>
      <w:proofErr w:type="spellEnd"/>
      <w:r w:rsidRPr="00FE560D">
        <w:rPr>
          <w:rFonts w:ascii="Book Antiqua" w:hAnsi="Book Antiqua" w:cs="Book Antiqua"/>
          <w:sz w:val="24"/>
          <w:szCs w:val="24"/>
          <w:lang w:eastAsia="zh-CN"/>
        </w:rPr>
        <w:t>”</w:t>
      </w:r>
      <w:r w:rsidRPr="00FE560D">
        <w:rPr>
          <w:rFonts w:ascii="Book Antiqua" w:hAnsi="Book Antiqua" w:cs="Book Antiqua"/>
          <w:sz w:val="24"/>
          <w:szCs w:val="24"/>
        </w:rPr>
        <w:t xml:space="preserve"> medical center</w:t>
      </w:r>
      <w:r w:rsidRPr="00FE560D">
        <w:rPr>
          <w:rFonts w:ascii="Book Antiqua" w:hAnsi="Book Antiqua" w:cs="Book Antiqua"/>
          <w:sz w:val="24"/>
          <w:szCs w:val="24"/>
          <w:lang w:eastAsia="zh-CN"/>
        </w:rPr>
        <w:t>.</w:t>
      </w:r>
    </w:p>
    <w:p w14:paraId="6112F561" w14:textId="77777777" w:rsidR="00FE560D" w:rsidRPr="00FE560D" w:rsidRDefault="00FE560D" w:rsidP="00FE560D">
      <w:pPr>
        <w:autoSpaceDE w:val="0"/>
        <w:autoSpaceDN w:val="0"/>
        <w:bidi w:val="0"/>
        <w:adjustRightInd w:val="0"/>
        <w:spacing w:after="0" w:line="360" w:lineRule="auto"/>
        <w:jc w:val="both"/>
        <w:rPr>
          <w:rFonts w:ascii="Book Antiqua" w:hAnsi="Book Antiqua" w:cstheme="majorBidi"/>
          <w:sz w:val="24"/>
          <w:szCs w:val="24"/>
          <w:rtl/>
          <w:lang w:eastAsia="zh-CN"/>
        </w:rPr>
      </w:pPr>
    </w:p>
    <w:p w14:paraId="2F770A3C" w14:textId="77777777" w:rsidR="00923BC9" w:rsidRDefault="00FE560D" w:rsidP="00923BC9">
      <w:pPr>
        <w:spacing w:after="0" w:line="360" w:lineRule="auto"/>
        <w:jc w:val="right"/>
        <w:rPr>
          <w:rFonts w:ascii="Book Antiqua" w:hAnsi="Book Antiqua" w:cs="Book Antiqua"/>
          <w:sz w:val="24"/>
          <w:szCs w:val="24"/>
          <w:lang w:eastAsia="zh-CN"/>
        </w:rPr>
      </w:pPr>
      <w:r w:rsidRPr="00FE560D">
        <w:rPr>
          <w:rFonts w:ascii="Book Antiqua" w:eastAsia="Times New Roman" w:hAnsi="Book Antiqua" w:cs="TimesNewRomanPS-BoldItalicMT"/>
          <w:b/>
          <w:bCs/>
          <w:iCs/>
          <w:sz w:val="24"/>
          <w:szCs w:val="24"/>
        </w:rPr>
        <w:t>Conflict-of-interest statement</w:t>
      </w:r>
      <w:r w:rsidRPr="00FE560D">
        <w:rPr>
          <w:rFonts w:ascii="Book Antiqua" w:hAnsi="Book Antiqua"/>
          <w:b/>
          <w:sz w:val="24"/>
          <w:szCs w:val="24"/>
        </w:rPr>
        <w:t>:</w:t>
      </w:r>
      <w:r w:rsidRPr="00FE560D">
        <w:rPr>
          <w:rFonts w:ascii="Book Antiqua" w:hAnsi="Book Antiqua" w:cs="Book Antiqua"/>
          <w:sz w:val="24"/>
          <w:szCs w:val="24"/>
        </w:rPr>
        <w:t xml:space="preserve"> All the authors have no conflicts of interests to declare.</w:t>
      </w:r>
    </w:p>
    <w:p w14:paraId="087D8DAA" w14:textId="04D06B41" w:rsidR="00FE560D" w:rsidRPr="00FE560D" w:rsidRDefault="00923BC9" w:rsidP="00FE560D">
      <w:pPr>
        <w:spacing w:after="0" w:line="360" w:lineRule="auto"/>
        <w:jc w:val="both"/>
        <w:rPr>
          <w:rFonts w:ascii="Book Antiqua" w:hAnsi="Book Antiqua" w:cs="Book Antiqua"/>
          <w:sz w:val="24"/>
          <w:szCs w:val="24"/>
          <w:lang w:eastAsia="zh-CN"/>
        </w:rPr>
      </w:pPr>
      <w:r w:rsidRPr="00FE560D">
        <w:rPr>
          <w:rFonts w:ascii="Book Antiqua" w:hAnsi="Book Antiqua" w:cs="Book Antiqua"/>
          <w:sz w:val="24"/>
          <w:szCs w:val="24"/>
          <w:lang w:eastAsia="zh-CN"/>
        </w:rPr>
        <w:t xml:space="preserve"> </w:t>
      </w:r>
    </w:p>
    <w:p w14:paraId="53B058E5" w14:textId="77777777" w:rsidR="00FE560D" w:rsidRPr="00FE560D" w:rsidRDefault="00FE560D" w:rsidP="00FE560D">
      <w:pPr>
        <w:spacing w:after="0" w:line="360" w:lineRule="auto"/>
        <w:jc w:val="both"/>
        <w:rPr>
          <w:rFonts w:ascii="Book Antiqua" w:hAnsi="Book Antiqua" w:cs="宋体"/>
          <w:sz w:val="24"/>
          <w:szCs w:val="24"/>
        </w:rPr>
      </w:pPr>
      <w:r w:rsidRPr="00FE560D">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FE560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F4F347D" w14:textId="77777777" w:rsidR="00FE560D" w:rsidRPr="00FE560D" w:rsidRDefault="00FE560D" w:rsidP="00FE560D">
      <w:pPr>
        <w:spacing w:after="0" w:line="360" w:lineRule="auto"/>
        <w:jc w:val="both"/>
        <w:rPr>
          <w:rFonts w:ascii="Book Antiqua" w:hAnsi="Book Antiqua" w:cstheme="majorBidi"/>
          <w:sz w:val="24"/>
          <w:szCs w:val="24"/>
          <w:rtl/>
          <w:lang w:eastAsia="zh-CN"/>
        </w:rPr>
      </w:pPr>
    </w:p>
    <w:p w14:paraId="0C9D7D73" w14:textId="77777777" w:rsidR="00FE560D" w:rsidRPr="00FE560D" w:rsidRDefault="00FE560D" w:rsidP="00923BC9">
      <w:pPr>
        <w:spacing w:after="0" w:line="360" w:lineRule="auto"/>
        <w:jc w:val="right"/>
        <w:rPr>
          <w:rFonts w:ascii="Book Antiqua" w:eastAsia="宋体" w:hAnsi="Book Antiqua" w:cs="宋体"/>
          <w:sz w:val="24"/>
          <w:szCs w:val="24"/>
          <w:lang w:eastAsia="zh-CN"/>
        </w:rPr>
      </w:pPr>
      <w:r w:rsidRPr="00FE560D">
        <w:rPr>
          <w:rFonts w:ascii="Book Antiqua" w:eastAsia="宋体" w:hAnsi="Book Antiqua" w:cs="宋体"/>
          <w:b/>
          <w:sz w:val="24"/>
          <w:szCs w:val="24"/>
        </w:rPr>
        <w:t>Manuscript source:</w:t>
      </w:r>
      <w:r w:rsidRPr="00FE560D">
        <w:rPr>
          <w:rFonts w:ascii="Book Antiqua" w:eastAsia="宋体" w:hAnsi="Book Antiqua" w:cs="宋体"/>
          <w:sz w:val="24"/>
          <w:szCs w:val="24"/>
        </w:rPr>
        <w:t> Unsolicited manuscript</w:t>
      </w:r>
    </w:p>
    <w:p w14:paraId="10E256AF" w14:textId="77777777" w:rsidR="00FE560D" w:rsidRPr="00FE560D" w:rsidRDefault="00FE560D" w:rsidP="00FE560D">
      <w:pPr>
        <w:spacing w:after="0" w:line="360" w:lineRule="auto"/>
        <w:jc w:val="both"/>
        <w:rPr>
          <w:rFonts w:ascii="Book Antiqua" w:hAnsi="Book Antiqua" w:cstheme="majorBidi"/>
          <w:sz w:val="24"/>
          <w:szCs w:val="24"/>
          <w:lang w:eastAsia="zh-CN"/>
        </w:rPr>
      </w:pPr>
    </w:p>
    <w:p w14:paraId="56242A00" w14:textId="1BD5C5D7" w:rsidR="00FE560D" w:rsidRPr="006F2167" w:rsidRDefault="00FE560D" w:rsidP="006F2167">
      <w:pPr>
        <w:bidi w:val="0"/>
        <w:spacing w:after="0" w:line="360" w:lineRule="auto"/>
        <w:jc w:val="both"/>
        <w:rPr>
          <w:rStyle w:val="a3"/>
          <w:rFonts w:ascii="Book Antiqua" w:hAnsi="Book Antiqua" w:cs="Times New Roman"/>
          <w:color w:val="auto"/>
          <w:sz w:val="24"/>
          <w:szCs w:val="24"/>
          <w:u w:val="none"/>
          <w:lang w:eastAsia="zh-CN"/>
        </w:rPr>
      </w:pPr>
      <w:r w:rsidRPr="00FE560D">
        <w:rPr>
          <w:rFonts w:ascii="Book Antiqua" w:hAnsi="Book Antiqua" w:cs="Book Antiqua"/>
          <w:b/>
          <w:bCs/>
          <w:sz w:val="24"/>
          <w:szCs w:val="24"/>
        </w:rPr>
        <w:t>Correspondence to</w:t>
      </w:r>
      <w:r w:rsidRPr="00FE560D">
        <w:rPr>
          <w:rFonts w:ascii="Book Antiqua" w:hAnsi="Book Antiqua" w:cs="Book Antiqua"/>
          <w:sz w:val="24"/>
          <w:szCs w:val="24"/>
        </w:rPr>
        <w:t>:</w:t>
      </w:r>
      <w:r w:rsidRPr="00FE560D">
        <w:rPr>
          <w:rFonts w:ascii="Book Antiqua" w:hAnsi="Book Antiqua" w:cs="Times New Roman"/>
          <w:bCs/>
          <w:sz w:val="24"/>
          <w:szCs w:val="24"/>
        </w:rPr>
        <w:t xml:space="preserve"> Dr. </w:t>
      </w:r>
      <w:proofErr w:type="spellStart"/>
      <w:r w:rsidRPr="00FE560D">
        <w:rPr>
          <w:rFonts w:ascii="Book Antiqua" w:hAnsi="Book Antiqua" w:cs="Times New Roman"/>
          <w:b/>
          <w:bCs/>
          <w:sz w:val="24"/>
          <w:szCs w:val="24"/>
        </w:rPr>
        <w:t>Yoav</w:t>
      </w:r>
      <w:proofErr w:type="spellEnd"/>
      <w:r w:rsidRPr="00FE560D">
        <w:rPr>
          <w:rFonts w:ascii="Book Antiqua" w:hAnsi="Book Antiqua" w:cs="Times New Roman"/>
          <w:b/>
          <w:bCs/>
          <w:sz w:val="24"/>
          <w:szCs w:val="24"/>
        </w:rPr>
        <w:t xml:space="preserve"> Luria</w:t>
      </w:r>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 Liver Unit, Digestive Disease Institute, </w:t>
      </w:r>
      <w:proofErr w:type="spellStart"/>
      <w:r w:rsidRPr="00FE560D">
        <w:rPr>
          <w:rFonts w:ascii="Book Antiqua" w:hAnsi="Book Antiqua" w:cs="Times New Roman"/>
          <w:sz w:val="24"/>
          <w:szCs w:val="24"/>
        </w:rPr>
        <w:t>Sha</w:t>
      </w:r>
      <w:r w:rsidRPr="00FE560D">
        <w:rPr>
          <w:rFonts w:ascii="Book Antiqua" w:hAnsi="Book Antiqua" w:cs="Times New Roman"/>
          <w:sz w:val="24"/>
          <w:szCs w:val="24"/>
          <w:lang w:eastAsia="zh-CN"/>
        </w:rPr>
        <w:t>’</w:t>
      </w:r>
      <w:r w:rsidRPr="00FE560D">
        <w:rPr>
          <w:rFonts w:ascii="Book Antiqua" w:hAnsi="Book Antiqua" w:cs="Times New Roman"/>
          <w:sz w:val="24"/>
          <w:szCs w:val="24"/>
        </w:rPr>
        <w:t>are</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Zedek</w:t>
      </w:r>
      <w:proofErr w:type="spellEnd"/>
      <w:r w:rsidRPr="00FE560D">
        <w:rPr>
          <w:rFonts w:ascii="Book Antiqua" w:hAnsi="Book Antiqua" w:cs="Times New Roman"/>
          <w:sz w:val="24"/>
          <w:szCs w:val="24"/>
        </w:rPr>
        <w:t xml:space="preserve"> Medical Center, </w:t>
      </w:r>
      <w:proofErr w:type="spellStart"/>
      <w:r w:rsidRPr="00FE560D">
        <w:rPr>
          <w:rFonts w:ascii="Book Antiqua" w:hAnsi="Book Antiqua" w:cs="Times New Roman"/>
          <w:sz w:val="24"/>
          <w:szCs w:val="24"/>
        </w:rPr>
        <w:t>Shmu</w:t>
      </w:r>
      <w:r w:rsidRPr="00FE560D">
        <w:rPr>
          <w:rFonts w:ascii="Book Antiqua" w:hAnsi="Book Antiqua" w:cs="Times New Roman"/>
          <w:sz w:val="24"/>
          <w:szCs w:val="24"/>
          <w:lang w:eastAsia="zh-CN"/>
        </w:rPr>
        <w:t>’</w:t>
      </w:r>
      <w:r w:rsidRPr="00FE560D">
        <w:rPr>
          <w:rFonts w:ascii="Book Antiqua" w:hAnsi="Book Antiqua" w:cs="Times New Roman"/>
          <w:sz w:val="24"/>
          <w:szCs w:val="24"/>
        </w:rPr>
        <w:t>el</w:t>
      </w:r>
      <w:proofErr w:type="spellEnd"/>
      <w:r w:rsidRPr="00FE560D">
        <w:rPr>
          <w:rFonts w:ascii="Book Antiqua" w:hAnsi="Book Antiqua" w:cs="Times New Roman"/>
          <w:sz w:val="24"/>
          <w:szCs w:val="24"/>
        </w:rPr>
        <w:t xml:space="preserve"> Bait St 12,</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Jerusalem</w:t>
      </w:r>
      <w:r w:rsidRPr="00FE560D">
        <w:rPr>
          <w:rFonts w:ascii="Book Antiqua" w:hAnsi="Book Antiqua" w:cs="Times New Roman"/>
          <w:sz w:val="24"/>
          <w:szCs w:val="24"/>
          <w:lang w:eastAsia="zh-CN"/>
        </w:rPr>
        <w:t xml:space="preserve"> </w:t>
      </w:r>
      <w:r w:rsidRPr="00FE560D">
        <w:rPr>
          <w:rStyle w:val="xbe"/>
          <w:rFonts w:ascii="Book Antiqua" w:hAnsi="Book Antiqua"/>
          <w:sz w:val="24"/>
          <w:szCs w:val="24"/>
        </w:rPr>
        <w:t>9103102</w:t>
      </w:r>
      <w:r w:rsidRPr="00FE560D">
        <w:rPr>
          <w:rFonts w:ascii="Book Antiqua" w:hAnsi="Book Antiqua" w:cs="Times New Roman"/>
          <w:sz w:val="24"/>
          <w:szCs w:val="24"/>
        </w:rPr>
        <w:t>, Israel</w:t>
      </w:r>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 </w:t>
      </w:r>
      <w:hyperlink r:id="rId8" w:history="1">
        <w:r w:rsidRPr="00FE560D">
          <w:rPr>
            <w:rStyle w:val="a3"/>
            <w:rFonts w:ascii="Book Antiqua" w:hAnsi="Book Antiqua"/>
            <w:bCs/>
            <w:color w:val="auto"/>
            <w:sz w:val="24"/>
            <w:szCs w:val="24"/>
            <w:u w:val="none"/>
          </w:rPr>
          <w:t>yoavtalitami@gmail.com</w:t>
        </w:r>
      </w:hyperlink>
    </w:p>
    <w:p w14:paraId="446C2535" w14:textId="77777777" w:rsidR="00FE560D" w:rsidRPr="00FE560D" w:rsidRDefault="00FE560D" w:rsidP="00923BC9">
      <w:pPr>
        <w:spacing w:after="0" w:line="360" w:lineRule="auto"/>
        <w:jc w:val="right"/>
        <w:rPr>
          <w:rFonts w:ascii="Book Antiqua" w:hAnsi="Book Antiqua"/>
          <w:b/>
          <w:sz w:val="24"/>
          <w:szCs w:val="24"/>
        </w:rPr>
      </w:pPr>
      <w:r w:rsidRPr="00FE560D">
        <w:rPr>
          <w:rFonts w:ascii="Book Antiqua" w:hAnsi="Book Antiqua"/>
          <w:b/>
          <w:sz w:val="24"/>
          <w:szCs w:val="24"/>
        </w:rPr>
        <w:t xml:space="preserve">Telephone: </w:t>
      </w:r>
      <w:r w:rsidRPr="00FE560D">
        <w:rPr>
          <w:rFonts w:ascii="Book Antiqua" w:hAnsi="Book Antiqua" w:cs="Times New Roman"/>
          <w:bCs/>
          <w:sz w:val="24"/>
          <w:szCs w:val="24"/>
        </w:rPr>
        <w:t>+972-2-6555035</w:t>
      </w:r>
    </w:p>
    <w:p w14:paraId="03DC289E" w14:textId="77777777" w:rsidR="00FE560D" w:rsidRPr="00FE560D" w:rsidRDefault="00FE560D" w:rsidP="00923BC9">
      <w:pPr>
        <w:spacing w:after="0" w:line="360" w:lineRule="auto"/>
        <w:jc w:val="right"/>
        <w:rPr>
          <w:rFonts w:ascii="Book Antiqua" w:hAnsi="Book Antiqua"/>
          <w:b/>
          <w:sz w:val="24"/>
          <w:szCs w:val="24"/>
          <w:lang w:eastAsia="zh-CN"/>
        </w:rPr>
      </w:pPr>
      <w:r w:rsidRPr="00FE560D">
        <w:rPr>
          <w:rFonts w:ascii="Book Antiqua" w:hAnsi="Book Antiqua"/>
          <w:b/>
          <w:sz w:val="24"/>
          <w:szCs w:val="24"/>
        </w:rPr>
        <w:lastRenderedPageBreak/>
        <w:t>Fax:</w:t>
      </w:r>
      <w:r w:rsidRPr="00FE560D">
        <w:rPr>
          <w:rFonts w:ascii="Book Antiqua" w:hAnsi="Book Antiqua" w:cs="Times New Roman"/>
          <w:bCs/>
          <w:sz w:val="24"/>
          <w:szCs w:val="24"/>
        </w:rPr>
        <w:t xml:space="preserve"> +972-2-6555359</w:t>
      </w:r>
    </w:p>
    <w:p w14:paraId="300ED804" w14:textId="77777777" w:rsidR="00FE560D" w:rsidRPr="00FE560D" w:rsidRDefault="00FE560D" w:rsidP="00923BC9">
      <w:pPr>
        <w:bidi w:val="0"/>
        <w:spacing w:after="0" w:line="360" w:lineRule="auto"/>
        <w:jc w:val="right"/>
        <w:rPr>
          <w:rFonts w:ascii="Book Antiqua" w:hAnsi="Book Antiqua" w:cs="Times New Roman"/>
          <w:b/>
          <w:bCs/>
          <w:sz w:val="24"/>
          <w:szCs w:val="24"/>
          <w:lang w:eastAsia="zh-CN"/>
        </w:rPr>
      </w:pPr>
    </w:p>
    <w:p w14:paraId="4481E825" w14:textId="77777777" w:rsidR="00FE560D" w:rsidRPr="00FE560D" w:rsidRDefault="00FE560D" w:rsidP="00923BC9">
      <w:pPr>
        <w:spacing w:after="0" w:line="360" w:lineRule="auto"/>
        <w:jc w:val="right"/>
        <w:rPr>
          <w:rFonts w:ascii="Book Antiqua" w:hAnsi="Book Antiqua"/>
          <w:sz w:val="24"/>
          <w:szCs w:val="24"/>
          <w:lang w:eastAsia="zh-CN"/>
        </w:rPr>
      </w:pPr>
      <w:r w:rsidRPr="00FE560D">
        <w:rPr>
          <w:rFonts w:ascii="Book Antiqua" w:hAnsi="Book Antiqua"/>
          <w:b/>
          <w:sz w:val="24"/>
          <w:szCs w:val="24"/>
        </w:rPr>
        <w:t xml:space="preserve">Received: </w:t>
      </w:r>
      <w:r w:rsidRPr="00FE560D">
        <w:rPr>
          <w:rFonts w:ascii="Book Antiqua" w:hAnsi="Book Antiqua"/>
          <w:sz w:val="24"/>
          <w:szCs w:val="24"/>
          <w:lang w:eastAsia="zh-CN"/>
        </w:rPr>
        <w:t>February 28, 2016</w:t>
      </w:r>
    </w:p>
    <w:p w14:paraId="46B3B359" w14:textId="77777777" w:rsidR="00FE560D" w:rsidRPr="00FE560D" w:rsidRDefault="00FE560D" w:rsidP="00923BC9">
      <w:pPr>
        <w:spacing w:after="0" w:line="360" w:lineRule="auto"/>
        <w:jc w:val="right"/>
        <w:rPr>
          <w:rFonts w:ascii="Book Antiqua" w:hAnsi="Book Antiqua"/>
          <w:sz w:val="24"/>
          <w:szCs w:val="24"/>
          <w:lang w:eastAsia="zh-CN"/>
        </w:rPr>
      </w:pPr>
      <w:r w:rsidRPr="00FE560D">
        <w:rPr>
          <w:rFonts w:ascii="Book Antiqua" w:hAnsi="Book Antiqua"/>
          <w:b/>
          <w:sz w:val="24"/>
          <w:szCs w:val="24"/>
        </w:rPr>
        <w:t>Peer-review started:</w:t>
      </w:r>
      <w:r w:rsidRPr="00FE560D">
        <w:rPr>
          <w:rFonts w:ascii="Book Antiqua" w:hAnsi="Book Antiqua"/>
          <w:sz w:val="24"/>
          <w:szCs w:val="24"/>
          <w:lang w:eastAsia="zh-CN"/>
        </w:rPr>
        <w:t xml:space="preserve"> February 29, 2016</w:t>
      </w:r>
    </w:p>
    <w:p w14:paraId="76F44A5A" w14:textId="77777777" w:rsidR="00FE560D" w:rsidRPr="00FE560D" w:rsidRDefault="00FE560D" w:rsidP="00923BC9">
      <w:pPr>
        <w:spacing w:after="0" w:line="360" w:lineRule="auto"/>
        <w:jc w:val="right"/>
        <w:rPr>
          <w:rFonts w:ascii="Book Antiqua" w:hAnsi="Book Antiqua"/>
          <w:b/>
          <w:sz w:val="24"/>
          <w:szCs w:val="24"/>
          <w:lang w:eastAsia="zh-CN"/>
        </w:rPr>
      </w:pPr>
      <w:r w:rsidRPr="00FE560D">
        <w:rPr>
          <w:rFonts w:ascii="Book Antiqua" w:hAnsi="Book Antiqua"/>
          <w:b/>
          <w:sz w:val="24"/>
          <w:szCs w:val="24"/>
        </w:rPr>
        <w:t>First decision:</w:t>
      </w:r>
      <w:r w:rsidRPr="00FE560D">
        <w:rPr>
          <w:rFonts w:ascii="Book Antiqua" w:hAnsi="Book Antiqua"/>
          <w:b/>
          <w:sz w:val="24"/>
          <w:szCs w:val="24"/>
          <w:lang w:eastAsia="zh-CN"/>
        </w:rPr>
        <w:t xml:space="preserve"> </w:t>
      </w:r>
      <w:r w:rsidRPr="00FE560D">
        <w:rPr>
          <w:rFonts w:ascii="Book Antiqua" w:hAnsi="Book Antiqua"/>
          <w:sz w:val="24"/>
          <w:szCs w:val="24"/>
          <w:lang w:eastAsia="zh-CN"/>
        </w:rPr>
        <w:t>April 15, 2016</w:t>
      </w:r>
    </w:p>
    <w:p w14:paraId="14D5438D" w14:textId="3963CCDA" w:rsidR="00FE560D" w:rsidRPr="00FE560D" w:rsidRDefault="00FE560D" w:rsidP="00923BC9">
      <w:pPr>
        <w:wordWrap w:val="0"/>
        <w:spacing w:after="0" w:line="360" w:lineRule="auto"/>
        <w:jc w:val="right"/>
        <w:rPr>
          <w:rFonts w:ascii="Book Antiqua" w:hAnsi="Book Antiqua"/>
          <w:b/>
          <w:sz w:val="24"/>
          <w:szCs w:val="24"/>
          <w:lang w:eastAsia="zh-CN"/>
        </w:rPr>
      </w:pPr>
      <w:r w:rsidRPr="00FE560D">
        <w:rPr>
          <w:rFonts w:ascii="Book Antiqua" w:hAnsi="Book Antiqua"/>
          <w:b/>
          <w:sz w:val="24"/>
          <w:szCs w:val="24"/>
        </w:rPr>
        <w:t xml:space="preserve">Revised: </w:t>
      </w:r>
      <w:r w:rsidR="00923BC9">
        <w:rPr>
          <w:rFonts w:ascii="Book Antiqua" w:hAnsi="Book Antiqua" w:hint="eastAsia"/>
          <w:sz w:val="24"/>
          <w:szCs w:val="24"/>
          <w:lang w:eastAsia="zh-CN"/>
        </w:rPr>
        <w:t>June 1</w:t>
      </w:r>
      <w:r w:rsidRPr="00FE560D">
        <w:rPr>
          <w:rFonts w:ascii="Book Antiqua" w:hAnsi="Book Antiqua"/>
          <w:sz w:val="24"/>
          <w:szCs w:val="24"/>
          <w:lang w:eastAsia="zh-CN"/>
        </w:rPr>
        <w:t>, 2016</w:t>
      </w:r>
    </w:p>
    <w:p w14:paraId="24F145C8" w14:textId="77777777" w:rsidR="009F12A4" w:rsidRPr="009F12A4" w:rsidRDefault="00FE560D" w:rsidP="009F12A4">
      <w:pPr>
        <w:jc w:val="right"/>
        <w:rPr>
          <w:rStyle w:val="aa"/>
        </w:rPr>
      </w:pPr>
      <w:r w:rsidRPr="009F12A4">
        <w:rPr>
          <w:rFonts w:ascii="Book Antiqua" w:hAnsi="Book Antiqua"/>
          <w:b/>
          <w:sz w:val="24"/>
          <w:szCs w:val="24"/>
        </w:rPr>
        <w:t xml:space="preserve">Accepted: </w:t>
      </w:r>
      <w:r w:rsidR="009F12A4" w:rsidRPr="009F12A4">
        <w:rPr>
          <w:rStyle w:val="aa"/>
          <w:i w:val="0"/>
        </w:rPr>
        <w:t>June 27, 2016</w:t>
      </w:r>
    </w:p>
    <w:p w14:paraId="3A1CFC5B" w14:textId="77777777" w:rsidR="00753778" w:rsidRDefault="00FE560D" w:rsidP="00753778">
      <w:pPr>
        <w:spacing w:after="0" w:line="360" w:lineRule="auto"/>
        <w:ind w:right="120"/>
        <w:jc w:val="right"/>
        <w:rPr>
          <w:rFonts w:ascii="Book Antiqua" w:hAnsi="Book Antiqua" w:hint="eastAsia"/>
          <w:b/>
          <w:sz w:val="24"/>
          <w:szCs w:val="24"/>
          <w:lang w:eastAsia="zh-CN"/>
        </w:rPr>
      </w:pPr>
      <w:bookmarkStart w:id="4" w:name="_GoBack"/>
      <w:bookmarkEnd w:id="4"/>
      <w:r w:rsidRPr="00FE560D">
        <w:rPr>
          <w:rFonts w:ascii="Book Antiqua" w:hAnsi="Book Antiqua"/>
          <w:b/>
          <w:sz w:val="24"/>
          <w:szCs w:val="24"/>
        </w:rPr>
        <w:t>Article in press:</w:t>
      </w:r>
      <w:r w:rsidRPr="00FE560D">
        <w:rPr>
          <w:rFonts w:ascii="Book Antiqua" w:hAnsi="Book Antiqua"/>
          <w:sz w:val="24"/>
          <w:szCs w:val="24"/>
        </w:rPr>
        <w:t xml:space="preserve"> </w:t>
      </w:r>
    </w:p>
    <w:p w14:paraId="3C3F6C15" w14:textId="050A138B" w:rsidR="00FE560D" w:rsidRPr="00FE560D" w:rsidRDefault="00FE560D" w:rsidP="00753778">
      <w:pPr>
        <w:spacing w:after="0" w:line="360" w:lineRule="auto"/>
        <w:ind w:right="120"/>
        <w:jc w:val="right"/>
        <w:rPr>
          <w:rFonts w:ascii="Book Antiqua" w:hAnsi="Book Antiqua" w:cs="Times New Roman"/>
          <w:b/>
          <w:bCs/>
          <w:sz w:val="24"/>
          <w:szCs w:val="24"/>
          <w:lang w:eastAsia="zh-CN"/>
        </w:rPr>
      </w:pPr>
      <w:r w:rsidRPr="00FE560D">
        <w:rPr>
          <w:rFonts w:ascii="Book Antiqua" w:hAnsi="Book Antiqua"/>
          <w:b/>
          <w:sz w:val="24"/>
          <w:szCs w:val="24"/>
        </w:rPr>
        <w:t>Published online:</w:t>
      </w:r>
    </w:p>
    <w:p w14:paraId="682240C9" w14:textId="77777777" w:rsidR="00FE560D" w:rsidRPr="00FE560D" w:rsidRDefault="00FE560D" w:rsidP="00FE560D">
      <w:pPr>
        <w:bidi w:val="0"/>
        <w:spacing w:after="0" w:line="360" w:lineRule="auto"/>
        <w:jc w:val="both"/>
        <w:rPr>
          <w:rFonts w:ascii="Book Antiqua" w:hAnsi="Book Antiqua" w:cs="Times New Roman"/>
          <w:b/>
          <w:bCs/>
          <w:sz w:val="24"/>
          <w:szCs w:val="24"/>
        </w:rPr>
      </w:pPr>
      <w:r w:rsidRPr="00FE560D">
        <w:rPr>
          <w:rFonts w:ascii="Book Antiqua" w:hAnsi="Book Antiqua" w:cs="Times New Roman"/>
          <w:b/>
          <w:bCs/>
          <w:sz w:val="24"/>
          <w:szCs w:val="24"/>
        </w:rPr>
        <w:br w:type="page"/>
      </w:r>
    </w:p>
    <w:p w14:paraId="051C5316" w14:textId="77777777" w:rsidR="00FE560D" w:rsidRPr="00FE560D" w:rsidRDefault="00FE560D" w:rsidP="00FE560D">
      <w:pPr>
        <w:bidi w:val="0"/>
        <w:spacing w:after="0" w:line="360" w:lineRule="auto"/>
        <w:jc w:val="both"/>
        <w:rPr>
          <w:rFonts w:ascii="Book Antiqua" w:hAnsi="Book Antiqua" w:cs="Times New Roman"/>
          <w:b/>
          <w:bCs/>
          <w:sz w:val="24"/>
          <w:szCs w:val="24"/>
        </w:rPr>
      </w:pPr>
      <w:r w:rsidRPr="00FE560D">
        <w:rPr>
          <w:rFonts w:ascii="Book Antiqua" w:hAnsi="Book Antiqua" w:cs="Times New Roman"/>
          <w:b/>
          <w:bCs/>
          <w:sz w:val="24"/>
          <w:szCs w:val="24"/>
        </w:rPr>
        <w:lastRenderedPageBreak/>
        <w:t xml:space="preserve">Abstract </w:t>
      </w:r>
    </w:p>
    <w:p w14:paraId="2AAC3455"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sz w:val="24"/>
          <w:szCs w:val="24"/>
        </w:rPr>
        <w:t xml:space="preserve">The United States Food and Drug Administration (FDA) recently warned that the direct acting antiviral (DAA) combination hepatitis C virus (HCV) treatment of </w:t>
      </w:r>
      <w:proofErr w:type="spellStart"/>
      <w:r w:rsidRPr="00FE560D">
        <w:rPr>
          <w:rFonts w:ascii="Book Antiqua" w:hAnsi="Book Antiqua" w:cs="Times New Roman"/>
          <w:sz w:val="24"/>
          <w:szCs w:val="24"/>
        </w:rPr>
        <w:t>Paritaprevir</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Ombitasvir</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Dasabuvir</w:t>
      </w:r>
      <w:proofErr w:type="spellEnd"/>
      <w:r w:rsidRPr="00FE560D">
        <w:rPr>
          <w:rFonts w:ascii="Book Antiqua" w:hAnsi="Book Antiqua" w:cs="Times New Roman"/>
          <w:sz w:val="24"/>
          <w:szCs w:val="24"/>
        </w:rPr>
        <w:t>, Ritonavir, and Ribavirin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R) can cause severe liver injury in patients with advanced liver disease. Drug induced liver injury was observed in a small number of patients with decompensated cirrhosis treated with other DAAs, but has not been reported in patients with compensated cirrhosis. We report a case of a 74-year</w:t>
      </w:r>
      <w:r w:rsidRPr="00FE560D">
        <w:rPr>
          <w:rFonts w:ascii="Book Antiqua" w:hAnsi="Book Antiqua" w:cs="Times New Roman"/>
          <w:sz w:val="24"/>
          <w:szCs w:val="24"/>
          <w:lang w:eastAsia="zh-CN"/>
        </w:rPr>
        <w:t>-</w:t>
      </w:r>
      <w:r w:rsidRPr="00FE560D">
        <w:rPr>
          <w:rFonts w:ascii="Book Antiqua" w:hAnsi="Book Antiqua" w:cs="Times New Roman"/>
          <w:sz w:val="24"/>
          <w:szCs w:val="24"/>
        </w:rPr>
        <w:t xml:space="preserve">old woman with chronic HCV and Child-Pugh class A cirrhosis treated with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 xml:space="preserve">R. The patient presented on day 14 of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 xml:space="preserve">R therapy with jaundice and new-onset ascites. </w:t>
      </w:r>
      <w:r w:rsidRPr="00FE560D">
        <w:rPr>
          <w:rFonts w:ascii="Book Antiqua" w:eastAsia="Times New Roman" w:hAnsi="Book Antiqua" w:cs="Times New Roman"/>
          <w:sz w:val="24"/>
          <w:szCs w:val="24"/>
        </w:rPr>
        <w:t>Her total bilirubin level increased to 23 mg/</w:t>
      </w:r>
      <w:proofErr w:type="spellStart"/>
      <w:r w:rsidRPr="00FE560D">
        <w:rPr>
          <w:rFonts w:ascii="Book Antiqua" w:eastAsia="Times New Roman" w:hAnsi="Book Antiqua" w:cs="Times New Roman"/>
          <w:sz w:val="24"/>
          <w:szCs w:val="24"/>
        </w:rPr>
        <w:t>dL</w:t>
      </w:r>
      <w:proofErr w:type="spellEnd"/>
      <w:r w:rsidRPr="00FE560D">
        <w:rPr>
          <w:rFonts w:ascii="Book Antiqua" w:eastAsia="Times New Roman" w:hAnsi="Book Antiqua" w:cs="Times New Roman"/>
          <w:sz w:val="24"/>
          <w:szCs w:val="24"/>
        </w:rPr>
        <w:t xml:space="preserve"> and international normalized ratio rose to 1.65, while aminotransferase levels remained relatively stable. Hepatitis C treatment was discontinued on day 24 and she gradually recovered. Follow-up testing showed that she achieved a sustained </w:t>
      </w:r>
      <w:proofErr w:type="spellStart"/>
      <w:r w:rsidRPr="00FE560D">
        <w:rPr>
          <w:rFonts w:ascii="Book Antiqua" w:eastAsia="Times New Roman" w:hAnsi="Book Antiqua" w:cs="Times New Roman"/>
          <w:sz w:val="24"/>
          <w:szCs w:val="24"/>
        </w:rPr>
        <w:t>virologic</w:t>
      </w:r>
      <w:proofErr w:type="spellEnd"/>
      <w:r w:rsidRPr="00FE560D">
        <w:rPr>
          <w:rFonts w:ascii="Book Antiqua" w:eastAsia="Times New Roman" w:hAnsi="Book Antiqua" w:cs="Times New Roman"/>
          <w:sz w:val="24"/>
          <w:szCs w:val="24"/>
        </w:rPr>
        <w:t xml:space="preserve"> response. A new mathematical model that includes infectious and non-infectious virus was developed to retrospectively predict the time to cure Mathematical modeling suggests that infectious virus was cleared prior to discontinuation of </w:t>
      </w:r>
      <w:proofErr w:type="spellStart"/>
      <w:r w:rsidRPr="00FE560D">
        <w:rPr>
          <w:rFonts w:ascii="Book Antiqua" w:eastAsia="Times New Roman"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eastAsia="Times New Roman"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eastAsia="Times New Roman" w:hAnsi="Book Antiqua" w:cs="Times New Roman"/>
          <w:sz w:val="24"/>
          <w:szCs w:val="24"/>
        </w:rPr>
        <w:t>R, despite the short treatment course.</w:t>
      </w:r>
      <w:r w:rsidRPr="00FE560D">
        <w:rPr>
          <w:rFonts w:ascii="Book Antiqua" w:hAnsi="Book Antiqua" w:cs="Times New Roman"/>
          <w:sz w:val="24"/>
          <w:szCs w:val="24"/>
          <w:lang w:eastAsia="zh-CN"/>
        </w:rPr>
        <w:t xml:space="preserve"> </w:t>
      </w:r>
      <w:r w:rsidRPr="00FE560D">
        <w:rPr>
          <w:rFonts w:ascii="Book Antiqua" w:eastAsia="Times New Roman" w:hAnsi="Book Antiqua" w:cs="Times New Roman"/>
          <w:sz w:val="24"/>
          <w:szCs w:val="24"/>
        </w:rPr>
        <w:t xml:space="preserve">In conclusion, </w:t>
      </w:r>
      <w:r w:rsidRPr="00FE560D">
        <w:rPr>
          <w:rFonts w:ascii="Book Antiqua" w:hAnsi="Book Antiqua" w:cs="Times New Roman"/>
          <w:sz w:val="24"/>
          <w:szCs w:val="24"/>
        </w:rPr>
        <w:t xml:space="preserve">hepatic decompensation developed within two weeks of starting treatment with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 xml:space="preserve">R in a patient with Child-Pugh class A cirrhosis and was characterized by jaundice and ascites with stable aminotransferase levels. </w:t>
      </w:r>
      <w:r w:rsidRPr="00FE560D">
        <w:rPr>
          <w:rFonts w:ascii="Book Antiqua" w:eastAsia="Times New Roman" w:hAnsi="Book Antiqua" w:cs="Times New Roman"/>
          <w:sz w:val="24"/>
          <w:szCs w:val="24"/>
        </w:rPr>
        <w:t xml:space="preserve">Careful monitoring is warranted in patients with HCV-related cirrhosis treated with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R.</w:t>
      </w:r>
      <w:r w:rsidRPr="00FE560D" w:rsidDel="00856404">
        <w:rPr>
          <w:rFonts w:ascii="Book Antiqua" w:hAnsi="Book Antiqua" w:cs="Times New Roman"/>
          <w:sz w:val="24"/>
          <w:szCs w:val="24"/>
        </w:rPr>
        <w:t xml:space="preserve"> </w:t>
      </w:r>
    </w:p>
    <w:p w14:paraId="2B606358"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
    <w:p w14:paraId="2BCFDEDE"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b/>
          <w:bCs/>
          <w:sz w:val="24"/>
          <w:szCs w:val="24"/>
        </w:rPr>
        <w:t xml:space="preserve">Key words: </w:t>
      </w:r>
      <w:r w:rsidRPr="00FE560D">
        <w:rPr>
          <w:rFonts w:ascii="Book Antiqua" w:hAnsi="Book Antiqua" w:cs="Times New Roman"/>
          <w:sz w:val="24"/>
          <w:szCs w:val="24"/>
        </w:rPr>
        <w:t>Hepatitis C; Direct antiviral agent; Drug-induced liver injury</w:t>
      </w:r>
      <w:r w:rsidRPr="0022337F">
        <w:rPr>
          <w:rFonts w:ascii="Book Antiqua" w:hAnsi="Book Antiqua" w:cs="Times New Roman"/>
          <w:bCs/>
          <w:sz w:val="24"/>
          <w:szCs w:val="24"/>
        </w:rPr>
        <w:t>;</w:t>
      </w:r>
      <w:r w:rsidRPr="00FE560D">
        <w:rPr>
          <w:rFonts w:ascii="Book Antiqua" w:hAnsi="Book Antiqua" w:cs="Times New Roman"/>
          <w:b/>
          <w:bCs/>
          <w:sz w:val="24"/>
          <w:szCs w:val="24"/>
        </w:rPr>
        <w:t xml:space="preserve"> </w:t>
      </w:r>
      <w:r w:rsidRPr="00FE560D">
        <w:rPr>
          <w:rFonts w:ascii="Book Antiqua" w:hAnsi="Book Antiqua" w:cs="Times New Roman"/>
          <w:sz w:val="24"/>
          <w:szCs w:val="24"/>
        </w:rPr>
        <w:t>Mathematical modeling; Viral kinetic</w:t>
      </w:r>
      <w:r w:rsidRPr="0022337F">
        <w:rPr>
          <w:rFonts w:ascii="Book Antiqua" w:hAnsi="Book Antiqua" w:cs="Times New Roman"/>
          <w:sz w:val="24"/>
          <w:szCs w:val="24"/>
        </w:rPr>
        <w:t>s</w:t>
      </w:r>
      <w:r w:rsidRPr="0022337F">
        <w:rPr>
          <w:rFonts w:ascii="Book Antiqua" w:hAnsi="Book Antiqua" w:cs="Times New Roman"/>
          <w:bCs/>
          <w:sz w:val="24"/>
          <w:szCs w:val="24"/>
        </w:rPr>
        <w:t>;</w:t>
      </w:r>
      <w:r w:rsidRPr="00FE560D">
        <w:rPr>
          <w:rFonts w:ascii="Book Antiqua" w:hAnsi="Book Antiqua" w:cs="Times New Roman"/>
          <w:b/>
          <w:bCs/>
          <w:sz w:val="24"/>
          <w:szCs w:val="24"/>
        </w:rPr>
        <w:t xml:space="preserve"> </w:t>
      </w:r>
      <w:r w:rsidRPr="00FE560D">
        <w:rPr>
          <w:rFonts w:ascii="Book Antiqua" w:hAnsi="Book Antiqua" w:cs="Times New Roman"/>
          <w:sz w:val="24"/>
          <w:szCs w:val="24"/>
        </w:rPr>
        <w:t xml:space="preserve">Sustained </w:t>
      </w:r>
      <w:proofErr w:type="spellStart"/>
      <w:r w:rsidRPr="00FE560D">
        <w:rPr>
          <w:rFonts w:ascii="Book Antiqua" w:hAnsi="Book Antiqua" w:cs="Times New Roman"/>
          <w:sz w:val="24"/>
          <w:szCs w:val="24"/>
        </w:rPr>
        <w:t>virological</w:t>
      </w:r>
      <w:proofErr w:type="spellEnd"/>
      <w:r w:rsidRPr="00FE560D">
        <w:rPr>
          <w:rFonts w:ascii="Book Antiqua" w:hAnsi="Book Antiqua" w:cs="Times New Roman"/>
          <w:sz w:val="24"/>
          <w:szCs w:val="24"/>
        </w:rPr>
        <w:t xml:space="preserve"> response</w:t>
      </w:r>
    </w:p>
    <w:p w14:paraId="60A5B174"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
    <w:p w14:paraId="4F95A1EE" w14:textId="77777777" w:rsidR="00FE560D" w:rsidRPr="00FE560D" w:rsidRDefault="00FE560D" w:rsidP="00FE560D">
      <w:pPr>
        <w:spacing w:after="0" w:line="360" w:lineRule="auto"/>
        <w:jc w:val="both"/>
        <w:rPr>
          <w:rFonts w:ascii="Book Antiqua" w:hAnsi="Book Antiqua" w:cs="Arial"/>
          <w:sz w:val="24"/>
          <w:szCs w:val="24"/>
        </w:rPr>
      </w:pPr>
      <w:r w:rsidRPr="00FE560D">
        <w:rPr>
          <w:rFonts w:ascii="Book Antiqua" w:hAnsi="Book Antiqua"/>
          <w:b/>
          <w:sz w:val="24"/>
          <w:szCs w:val="24"/>
        </w:rPr>
        <w:t xml:space="preserve">© </w:t>
      </w:r>
      <w:r w:rsidRPr="00FE560D">
        <w:rPr>
          <w:rFonts w:ascii="Book Antiqua" w:hAnsi="Book Antiqua" w:cs="Arial"/>
          <w:b/>
          <w:sz w:val="24"/>
          <w:szCs w:val="24"/>
        </w:rPr>
        <w:t>The Author(s) 2016.</w:t>
      </w:r>
      <w:r w:rsidRPr="00FE560D">
        <w:rPr>
          <w:rFonts w:ascii="Book Antiqua" w:hAnsi="Book Antiqua" w:cs="Arial"/>
          <w:sz w:val="24"/>
          <w:szCs w:val="24"/>
        </w:rPr>
        <w:t xml:space="preserve"> Published by </w:t>
      </w:r>
      <w:proofErr w:type="spellStart"/>
      <w:r w:rsidRPr="00FE560D">
        <w:rPr>
          <w:rFonts w:ascii="Book Antiqua" w:hAnsi="Book Antiqua" w:cs="Arial"/>
          <w:sz w:val="24"/>
          <w:szCs w:val="24"/>
        </w:rPr>
        <w:t>Baishideng</w:t>
      </w:r>
      <w:proofErr w:type="spellEnd"/>
      <w:r w:rsidRPr="00FE560D">
        <w:rPr>
          <w:rFonts w:ascii="Book Antiqua" w:hAnsi="Book Antiqua" w:cs="Arial"/>
          <w:sz w:val="24"/>
          <w:szCs w:val="24"/>
        </w:rPr>
        <w:t xml:space="preserve"> Publishing Group Inc. All rights reserved.</w:t>
      </w:r>
    </w:p>
    <w:p w14:paraId="3A720BCA" w14:textId="77777777" w:rsidR="00FE560D" w:rsidRPr="00FE560D" w:rsidRDefault="00FE560D" w:rsidP="00FE560D">
      <w:pPr>
        <w:bidi w:val="0"/>
        <w:spacing w:after="0" w:line="360" w:lineRule="auto"/>
        <w:jc w:val="both"/>
        <w:rPr>
          <w:rFonts w:ascii="Book Antiqua" w:hAnsi="Book Antiqua" w:cs="Times New Roman"/>
          <w:sz w:val="24"/>
          <w:szCs w:val="24"/>
          <w:lang w:eastAsia="zh-CN"/>
        </w:rPr>
      </w:pPr>
    </w:p>
    <w:p w14:paraId="443B268A" w14:textId="4F963B2B" w:rsidR="00FE560D" w:rsidRPr="00FE560D" w:rsidRDefault="00FE560D" w:rsidP="00FE560D">
      <w:pPr>
        <w:bidi w:val="0"/>
        <w:spacing w:after="0" w:line="360" w:lineRule="auto"/>
        <w:jc w:val="both"/>
        <w:rPr>
          <w:rFonts w:ascii="Book Antiqua" w:hAnsi="Book Antiqua" w:cs="Times New Roman"/>
          <w:b/>
          <w:bCs/>
          <w:sz w:val="24"/>
          <w:szCs w:val="24"/>
        </w:rPr>
      </w:pPr>
      <w:r w:rsidRPr="00FE560D">
        <w:rPr>
          <w:rFonts w:ascii="Book Antiqua" w:hAnsi="Book Antiqua" w:cs="Times New Roman"/>
          <w:b/>
          <w:bCs/>
          <w:sz w:val="24"/>
          <w:szCs w:val="24"/>
        </w:rPr>
        <w:t xml:space="preserve">Core tip: </w:t>
      </w:r>
      <w:r w:rsidRPr="00FE560D">
        <w:rPr>
          <w:rFonts w:ascii="Book Antiqua" w:hAnsi="Book Antiqua" w:cstheme="majorBidi"/>
          <w:sz w:val="24"/>
          <w:szCs w:val="24"/>
        </w:rPr>
        <w:t xml:space="preserve">To the best of our knowledge, this is the first report of hepatic decompensation in a hepatitis C patient with CTP class A cirrhosis due to treatment </w:t>
      </w:r>
      <w:r w:rsidRPr="00FE560D">
        <w:rPr>
          <w:rFonts w:ascii="Book Antiqua" w:hAnsi="Book Antiqua" w:cstheme="majorBidi"/>
          <w:sz w:val="24"/>
          <w:szCs w:val="24"/>
        </w:rPr>
        <w:lastRenderedPageBreak/>
        <w:t xml:space="preserve">with </w:t>
      </w:r>
      <w:proofErr w:type="spellStart"/>
      <w:r w:rsidRPr="00FE560D">
        <w:rPr>
          <w:rFonts w:ascii="Book Antiqua" w:hAnsi="Book Antiqua" w:cs="Times New Roman"/>
          <w:sz w:val="24"/>
          <w:szCs w:val="24"/>
        </w:rPr>
        <w:t>Paritaprevir</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Ombitasvir</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Dasabuvir</w:t>
      </w:r>
      <w:proofErr w:type="spellEnd"/>
      <w:r w:rsidRPr="00FE560D">
        <w:rPr>
          <w:rFonts w:ascii="Book Antiqua" w:hAnsi="Book Antiqua" w:cs="Times New Roman"/>
          <w:sz w:val="24"/>
          <w:szCs w:val="24"/>
        </w:rPr>
        <w:t>, Ritonavir and Ribavirin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 xml:space="preserve">R). </w:t>
      </w:r>
      <w:r w:rsidRPr="00FE560D">
        <w:rPr>
          <w:rFonts w:ascii="Book Antiqua" w:hAnsi="Book Antiqua" w:cstheme="majorBidi"/>
          <w:sz w:val="24"/>
          <w:szCs w:val="24"/>
        </w:rPr>
        <w:t xml:space="preserve">Liver aminotransferase levels did not increase prior to decompensation, depriving us of our usual alarm signs heralding hepatic decompensation. The patient achieved sustained </w:t>
      </w:r>
      <w:proofErr w:type="spellStart"/>
      <w:r w:rsidRPr="00FE560D">
        <w:rPr>
          <w:rFonts w:ascii="Book Antiqua" w:hAnsi="Book Antiqua" w:cstheme="majorBidi"/>
          <w:sz w:val="24"/>
          <w:szCs w:val="24"/>
        </w:rPr>
        <w:t>virologic</w:t>
      </w:r>
      <w:proofErr w:type="spellEnd"/>
      <w:r w:rsidRPr="00FE560D">
        <w:rPr>
          <w:rFonts w:ascii="Book Antiqua" w:hAnsi="Book Antiqua" w:cstheme="majorBidi"/>
          <w:sz w:val="24"/>
          <w:szCs w:val="24"/>
        </w:rPr>
        <w:t xml:space="preserve"> response despite very early discontinuation of therapy (</w:t>
      </w:r>
      <w:r w:rsidR="006F2167" w:rsidRPr="00FE560D">
        <w:rPr>
          <w:rFonts w:ascii="Book Antiqua" w:hAnsi="Book Antiqua" w:cstheme="majorBidi"/>
          <w:sz w:val="24"/>
          <w:szCs w:val="24"/>
        </w:rPr>
        <w:t>d</w:t>
      </w:r>
      <w:r w:rsidRPr="00FE560D">
        <w:rPr>
          <w:rFonts w:ascii="Book Antiqua" w:hAnsi="Book Antiqua" w:cstheme="majorBidi"/>
          <w:sz w:val="24"/>
          <w:szCs w:val="24"/>
        </w:rPr>
        <w:t xml:space="preserve">ay 24). Viral kinetic modeling suggests that infectious virus was </w:t>
      </w:r>
      <w:r w:rsidRPr="00FE560D">
        <w:rPr>
          <w:rFonts w:ascii="Book Antiqua" w:hAnsi="Book Antiqua" w:cs="Times New Roman"/>
          <w:sz w:val="24"/>
          <w:szCs w:val="24"/>
        </w:rPr>
        <w:t xml:space="preserve">cleared prior to discontinuation of </w:t>
      </w:r>
      <w:proofErr w:type="spellStart"/>
      <w:r w:rsidRPr="00FE560D">
        <w:rPr>
          <w:rFonts w:ascii="Book Antiqua" w:hAnsi="Book Antiqua" w:cs="Times New Roman"/>
          <w:sz w:val="24"/>
          <w:szCs w:val="24"/>
        </w:rPr>
        <w:t>PODr</w:t>
      </w:r>
      <w:proofErr w:type="spellEnd"/>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R therapy, while total viral eradication may have occurred later</w:t>
      </w:r>
      <w:r w:rsidRPr="00FE560D">
        <w:rPr>
          <w:rFonts w:ascii="Book Antiqua" w:hAnsi="Book Antiqua" w:cstheme="majorBidi"/>
          <w:sz w:val="24"/>
          <w:szCs w:val="24"/>
        </w:rPr>
        <w:t>.</w:t>
      </w:r>
    </w:p>
    <w:p w14:paraId="2C425406" w14:textId="77777777" w:rsidR="00FE560D" w:rsidRPr="00FE560D" w:rsidRDefault="00FE560D" w:rsidP="00FE560D">
      <w:pPr>
        <w:bidi w:val="0"/>
        <w:spacing w:after="0" w:line="360" w:lineRule="auto"/>
        <w:jc w:val="both"/>
        <w:rPr>
          <w:rFonts w:ascii="Book Antiqua" w:hAnsi="Book Antiqua" w:cs="Times New Roman"/>
          <w:sz w:val="24"/>
          <w:szCs w:val="24"/>
        </w:rPr>
      </w:pPr>
    </w:p>
    <w:p w14:paraId="079E467F" w14:textId="77777777" w:rsidR="00FE560D" w:rsidRPr="00FE560D" w:rsidRDefault="00FE560D" w:rsidP="00FE560D">
      <w:pPr>
        <w:bidi w:val="0"/>
        <w:spacing w:after="0" w:line="360" w:lineRule="auto"/>
        <w:jc w:val="both"/>
        <w:rPr>
          <w:rFonts w:ascii="Book Antiqua" w:hAnsi="Book Antiqua"/>
          <w:bCs/>
          <w:sz w:val="24"/>
          <w:szCs w:val="24"/>
          <w:lang w:eastAsia="zh-CN"/>
        </w:rPr>
      </w:pPr>
      <w:proofErr w:type="spellStart"/>
      <w:r w:rsidRPr="00FE560D">
        <w:rPr>
          <w:rFonts w:ascii="Book Antiqua" w:hAnsi="Book Antiqua" w:cs="Times New Roman"/>
          <w:sz w:val="24"/>
          <w:szCs w:val="24"/>
        </w:rPr>
        <w:t>Hasin</w:t>
      </w:r>
      <w:proofErr w:type="spellEnd"/>
      <w:r w:rsidRPr="00FE560D">
        <w:rPr>
          <w:rFonts w:ascii="Book Antiqua" w:hAnsi="Book Antiqua" w:cs="Times New Roman"/>
          <w:sz w:val="24"/>
          <w:szCs w:val="24"/>
        </w:rPr>
        <w:t xml:space="preserve"> Y, </w:t>
      </w:r>
      <w:proofErr w:type="spellStart"/>
      <w:r w:rsidRPr="00FE560D">
        <w:rPr>
          <w:rFonts w:ascii="Book Antiqua" w:hAnsi="Book Antiqua" w:cs="Times New Roman"/>
          <w:sz w:val="24"/>
          <w:szCs w:val="24"/>
        </w:rPr>
        <w:t>Shteingart</w:t>
      </w:r>
      <w:proofErr w:type="spellEnd"/>
      <w:r w:rsidRPr="00FE560D">
        <w:rPr>
          <w:rFonts w:ascii="Book Antiqua" w:hAnsi="Book Antiqua" w:cs="Times New Roman"/>
          <w:sz w:val="24"/>
          <w:szCs w:val="24"/>
        </w:rPr>
        <w:t xml:space="preserve"> S, </w:t>
      </w:r>
      <w:proofErr w:type="spellStart"/>
      <w:r w:rsidRPr="00FE560D">
        <w:rPr>
          <w:rFonts w:ascii="Book Antiqua" w:hAnsi="Book Antiqua" w:cs="Times New Roman"/>
          <w:sz w:val="24"/>
          <w:szCs w:val="24"/>
        </w:rPr>
        <w:t>Dahari</w:t>
      </w:r>
      <w:proofErr w:type="spellEnd"/>
      <w:r w:rsidRPr="00FE560D">
        <w:rPr>
          <w:rFonts w:ascii="Book Antiqua" w:hAnsi="Book Antiqua" w:cs="Times New Roman"/>
          <w:sz w:val="24"/>
          <w:szCs w:val="24"/>
        </w:rPr>
        <w:t xml:space="preserve"> H, </w:t>
      </w:r>
      <w:proofErr w:type="spellStart"/>
      <w:r w:rsidRPr="00FE560D">
        <w:rPr>
          <w:rFonts w:ascii="Book Antiqua" w:hAnsi="Book Antiqua" w:cs="Times New Roman"/>
          <w:sz w:val="24"/>
          <w:szCs w:val="24"/>
        </w:rPr>
        <w:t>Gafanovich</w:t>
      </w:r>
      <w:proofErr w:type="spellEnd"/>
      <w:r w:rsidRPr="00FE560D">
        <w:rPr>
          <w:rFonts w:ascii="Book Antiqua" w:hAnsi="Book Antiqua" w:cs="Times New Roman"/>
          <w:sz w:val="24"/>
          <w:szCs w:val="24"/>
        </w:rPr>
        <w:t xml:space="preserve"> I, </w:t>
      </w:r>
      <w:proofErr w:type="spellStart"/>
      <w:r w:rsidRPr="00FE560D">
        <w:rPr>
          <w:rFonts w:ascii="Book Antiqua" w:hAnsi="Book Antiqua" w:cs="Times New Roman"/>
          <w:sz w:val="24"/>
          <w:szCs w:val="24"/>
        </w:rPr>
        <w:t>Floru</w:t>
      </w:r>
      <w:proofErr w:type="spellEnd"/>
      <w:r w:rsidRPr="00FE560D">
        <w:rPr>
          <w:rFonts w:ascii="Book Antiqua" w:hAnsi="Book Antiqua" w:cs="Times New Roman"/>
          <w:sz w:val="24"/>
          <w:szCs w:val="24"/>
        </w:rPr>
        <w:t xml:space="preserve"> S, Braun M, </w:t>
      </w:r>
      <w:proofErr w:type="spellStart"/>
      <w:r w:rsidRPr="00FE560D">
        <w:rPr>
          <w:rFonts w:ascii="Book Antiqua" w:hAnsi="Book Antiqua" w:cs="Times New Roman"/>
          <w:sz w:val="24"/>
          <w:szCs w:val="24"/>
        </w:rPr>
        <w:t>Shlomai</w:t>
      </w:r>
      <w:proofErr w:type="spellEnd"/>
      <w:r w:rsidRPr="00FE560D">
        <w:rPr>
          <w:rFonts w:ascii="Book Antiqua" w:hAnsi="Book Antiqua" w:cs="Times New Roman"/>
          <w:sz w:val="24"/>
          <w:szCs w:val="24"/>
        </w:rPr>
        <w:t xml:space="preserve"> A, </w:t>
      </w:r>
      <w:proofErr w:type="spellStart"/>
      <w:r w:rsidRPr="00FE560D">
        <w:rPr>
          <w:rFonts w:ascii="Book Antiqua" w:hAnsi="Book Antiqua" w:cs="Times New Roman"/>
          <w:sz w:val="24"/>
          <w:szCs w:val="24"/>
        </w:rPr>
        <w:t>Verstanding</w:t>
      </w:r>
      <w:proofErr w:type="spellEnd"/>
      <w:r w:rsidRPr="00FE560D">
        <w:rPr>
          <w:rFonts w:ascii="Book Antiqua" w:hAnsi="Book Antiqua" w:cs="Times New Roman"/>
          <w:sz w:val="24"/>
          <w:szCs w:val="24"/>
        </w:rPr>
        <w:t xml:space="preserve"> A, </w:t>
      </w:r>
      <w:proofErr w:type="spellStart"/>
      <w:r w:rsidRPr="00FE560D">
        <w:rPr>
          <w:rFonts w:ascii="Book Antiqua" w:hAnsi="Book Antiqua" w:cs="Times New Roman"/>
          <w:sz w:val="24"/>
          <w:szCs w:val="24"/>
        </w:rPr>
        <w:t>Deri</w:t>
      </w:r>
      <w:proofErr w:type="spellEnd"/>
      <w:r w:rsidRPr="00FE560D">
        <w:rPr>
          <w:rFonts w:ascii="Book Antiqua" w:hAnsi="Book Antiqua" w:cs="Times New Roman"/>
          <w:sz w:val="24"/>
          <w:szCs w:val="24"/>
        </w:rPr>
        <w:t xml:space="preserve"> I, </w:t>
      </w:r>
      <w:proofErr w:type="spellStart"/>
      <w:r w:rsidRPr="00FE560D">
        <w:rPr>
          <w:rFonts w:ascii="Book Antiqua" w:hAnsi="Book Antiqua" w:cs="Times New Roman"/>
          <w:sz w:val="24"/>
          <w:szCs w:val="24"/>
        </w:rPr>
        <w:t>Uprichard</w:t>
      </w:r>
      <w:proofErr w:type="spellEnd"/>
      <w:r w:rsidRPr="00FE560D">
        <w:rPr>
          <w:rFonts w:ascii="Book Antiqua" w:hAnsi="Book Antiqua" w:cs="Times New Roman"/>
          <w:sz w:val="24"/>
          <w:szCs w:val="24"/>
        </w:rPr>
        <w:t xml:space="preserve"> SL, </w:t>
      </w:r>
      <w:proofErr w:type="spellStart"/>
      <w:r w:rsidRPr="00FE560D">
        <w:rPr>
          <w:rFonts w:ascii="Book Antiqua" w:hAnsi="Book Antiqua" w:cs="Times New Roman"/>
          <w:sz w:val="24"/>
          <w:szCs w:val="24"/>
        </w:rPr>
        <w:t>Cotler</w:t>
      </w:r>
      <w:proofErr w:type="spellEnd"/>
      <w:r w:rsidRPr="00FE560D">
        <w:rPr>
          <w:rFonts w:ascii="Book Antiqua" w:hAnsi="Book Antiqua" w:cs="Times New Roman"/>
          <w:sz w:val="24"/>
          <w:szCs w:val="24"/>
        </w:rPr>
        <w:t xml:space="preserve"> SJ, Lurie Y</w:t>
      </w:r>
      <w:r w:rsidRPr="00FE560D">
        <w:rPr>
          <w:rFonts w:ascii="Book Antiqua" w:hAnsi="Book Antiqua" w:cs="Times New Roman"/>
          <w:sz w:val="24"/>
          <w:szCs w:val="24"/>
          <w:lang w:eastAsia="zh-CN"/>
        </w:rPr>
        <w:t xml:space="preserve">. </w:t>
      </w:r>
      <w:r w:rsidRPr="00FE560D">
        <w:rPr>
          <w:rFonts w:ascii="Book Antiqua" w:hAnsi="Book Antiqua" w:cs="Times New Roman"/>
          <w:sz w:val="24"/>
          <w:szCs w:val="24"/>
        </w:rPr>
        <w:t>Hepatitis C virus</w:t>
      </w:r>
      <w:r w:rsidRPr="00FE560D">
        <w:rPr>
          <w:rFonts w:ascii="Book Antiqua" w:hAnsi="Book Antiqua"/>
          <w:bCs/>
          <w:sz w:val="24"/>
          <w:szCs w:val="24"/>
        </w:rPr>
        <w:t xml:space="preserve"> cure</w:t>
      </w:r>
      <w:r w:rsidRPr="00FE560D">
        <w:rPr>
          <w:rFonts w:ascii="Book Antiqua" w:hAnsi="Book Antiqua"/>
          <w:bCs/>
          <w:sz w:val="24"/>
          <w:szCs w:val="24"/>
          <w:lang w:eastAsia="zh-CN"/>
        </w:rPr>
        <w:t>s</w:t>
      </w:r>
      <w:r w:rsidRPr="00FE560D">
        <w:rPr>
          <w:rFonts w:ascii="Book Antiqua" w:hAnsi="Book Antiqua"/>
          <w:bCs/>
          <w:sz w:val="24"/>
          <w:szCs w:val="24"/>
        </w:rPr>
        <w:t xml:space="preserve"> after </w:t>
      </w:r>
      <w:r w:rsidRPr="00FE560D">
        <w:rPr>
          <w:rFonts w:ascii="Book Antiqua" w:hAnsi="Book Antiqua" w:cs="Times New Roman"/>
          <w:sz w:val="24"/>
          <w:szCs w:val="24"/>
        </w:rPr>
        <w:t>direct acting antiviral</w:t>
      </w:r>
      <w:r w:rsidRPr="00FE560D">
        <w:rPr>
          <w:rFonts w:ascii="Book Antiqua" w:hAnsi="Book Antiqua"/>
          <w:bCs/>
          <w:sz w:val="24"/>
          <w:szCs w:val="24"/>
        </w:rPr>
        <w:t>-related drug-induced liver injury: Case report</w:t>
      </w:r>
      <w:r w:rsidRPr="00FE560D">
        <w:rPr>
          <w:rFonts w:ascii="Book Antiqua" w:hAnsi="Book Antiqua"/>
          <w:bCs/>
          <w:sz w:val="24"/>
          <w:szCs w:val="24"/>
          <w:lang w:eastAsia="zh-CN"/>
        </w:rPr>
        <w:t xml:space="preserve">. </w:t>
      </w:r>
      <w:r w:rsidRPr="00FE560D">
        <w:rPr>
          <w:rFonts w:ascii="Book Antiqua" w:hAnsi="Book Antiqua"/>
          <w:i/>
          <w:iCs/>
          <w:sz w:val="24"/>
          <w:szCs w:val="24"/>
        </w:rPr>
        <w:t xml:space="preserve">World J </w:t>
      </w:r>
      <w:proofErr w:type="spellStart"/>
      <w:r w:rsidRPr="00FE560D">
        <w:rPr>
          <w:rFonts w:ascii="Book Antiqua" w:hAnsi="Book Antiqua"/>
          <w:i/>
          <w:iCs/>
          <w:sz w:val="24"/>
          <w:szCs w:val="24"/>
        </w:rPr>
        <w:t>Hepatol</w:t>
      </w:r>
      <w:proofErr w:type="spellEnd"/>
      <w:r w:rsidRPr="00FE560D">
        <w:rPr>
          <w:rFonts w:ascii="Book Antiqua" w:hAnsi="Book Antiqua"/>
          <w:i/>
          <w:iCs/>
          <w:sz w:val="24"/>
          <w:szCs w:val="24"/>
          <w:lang w:eastAsia="zh-CN"/>
        </w:rPr>
        <w:t xml:space="preserve"> </w:t>
      </w:r>
      <w:r w:rsidRPr="00FE560D">
        <w:rPr>
          <w:rFonts w:ascii="Book Antiqua" w:hAnsi="Book Antiqua"/>
          <w:iCs/>
          <w:sz w:val="24"/>
          <w:szCs w:val="24"/>
          <w:lang w:eastAsia="zh-CN"/>
        </w:rPr>
        <w:t>2016; In press</w:t>
      </w:r>
    </w:p>
    <w:p w14:paraId="613E35E4" w14:textId="77777777" w:rsidR="0067635A" w:rsidRPr="00FE560D" w:rsidRDefault="0067635A" w:rsidP="00FE560D">
      <w:pPr>
        <w:pStyle w:val="a8"/>
        <w:bidi w:val="0"/>
        <w:spacing w:after="0" w:line="360" w:lineRule="auto"/>
        <w:jc w:val="both"/>
        <w:rPr>
          <w:rFonts w:ascii="Book Antiqua" w:hAnsi="Book Antiqua" w:cs="Times New Roman"/>
          <w:b/>
          <w:bCs/>
          <w:sz w:val="24"/>
          <w:szCs w:val="24"/>
          <w:lang w:eastAsia="zh-CN"/>
        </w:rPr>
      </w:pPr>
    </w:p>
    <w:p w14:paraId="278857EB" w14:textId="77777777" w:rsidR="00A92E71" w:rsidRDefault="00A92E71">
      <w:pPr>
        <w:bidi w:val="0"/>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2AA657CD" w14:textId="555B3836" w:rsidR="0067635A" w:rsidRPr="00FE560D" w:rsidRDefault="00FE560D" w:rsidP="00FE560D">
      <w:pPr>
        <w:bidi w:val="0"/>
        <w:spacing w:after="0" w:line="360" w:lineRule="auto"/>
        <w:jc w:val="both"/>
        <w:rPr>
          <w:rFonts w:ascii="Book Antiqua" w:hAnsi="Book Antiqua" w:cs="Times New Roman"/>
          <w:b/>
          <w:bCs/>
          <w:sz w:val="24"/>
          <w:szCs w:val="24"/>
        </w:rPr>
      </w:pPr>
      <w:r w:rsidRPr="00FE560D">
        <w:rPr>
          <w:rFonts w:ascii="Book Antiqua" w:hAnsi="Book Antiqua" w:cs="Times New Roman"/>
          <w:b/>
          <w:bCs/>
          <w:sz w:val="24"/>
          <w:szCs w:val="24"/>
        </w:rPr>
        <w:lastRenderedPageBreak/>
        <w:t>INTRODUCTION</w:t>
      </w:r>
    </w:p>
    <w:p w14:paraId="4A83237F" w14:textId="0A4451E0" w:rsidR="0067635A" w:rsidRPr="00FE560D" w:rsidRDefault="0067635A" w:rsidP="00FE560D">
      <w:pPr>
        <w:bidi w:val="0"/>
        <w:spacing w:after="0" w:line="360" w:lineRule="auto"/>
        <w:jc w:val="both"/>
        <w:rPr>
          <w:rFonts w:ascii="Book Antiqua" w:hAnsi="Book Antiqua" w:cs="Times New Roman"/>
          <w:sz w:val="24"/>
          <w:szCs w:val="24"/>
          <w:lang w:eastAsia="zh-CN"/>
        </w:rPr>
      </w:pPr>
      <w:r w:rsidRPr="00FE560D">
        <w:rPr>
          <w:rFonts w:ascii="Book Antiqua" w:hAnsi="Book Antiqua" w:cs="Times New Roman"/>
          <w:color w:val="000000"/>
          <w:sz w:val="24"/>
          <w:szCs w:val="24"/>
        </w:rPr>
        <w:t>Globally, it was estimated that in 2005, more than 185 million people were anti-HCV seropositive (prevalence 2.8%)</w:t>
      </w:r>
      <w:r w:rsidRPr="00FE560D">
        <w:rPr>
          <w:rStyle w:val="apple-converted-space"/>
          <w:rFonts w:ascii="Book Antiqua" w:hAnsi="Book Antiqua" w:cs="Times New Roman"/>
          <w:noProof/>
          <w:color w:val="000000"/>
          <w:sz w:val="24"/>
          <w:szCs w:val="24"/>
          <w:vertAlign w:val="superscript"/>
        </w:rPr>
        <w:t>[1]</w:t>
      </w:r>
      <w:r w:rsidRPr="00FE560D">
        <w:rPr>
          <w:rStyle w:val="apple-converted-space"/>
          <w:rFonts w:ascii="Book Antiqua" w:hAnsi="Book Antiqua" w:cs="Times New Roman"/>
          <w:color w:val="000000"/>
          <w:sz w:val="24"/>
          <w:szCs w:val="24"/>
        </w:rPr>
        <w:t>.</w:t>
      </w:r>
      <w:r w:rsidRPr="00FE560D">
        <w:rPr>
          <w:rFonts w:ascii="Book Antiqua" w:hAnsi="Book Antiqua" w:cs="Times New Roman"/>
          <w:color w:val="000000"/>
          <w:sz w:val="24"/>
          <w:szCs w:val="24"/>
        </w:rPr>
        <w:t xml:space="preserve"> End-stage liver disease due to HCV is a leading indication for liver transplantat</w:t>
      </w:r>
      <w:r w:rsidR="002918BC">
        <w:rPr>
          <w:rFonts w:ascii="Book Antiqua" w:hAnsi="Book Antiqua" w:cs="Times New Roman"/>
          <w:color w:val="000000"/>
          <w:sz w:val="24"/>
          <w:szCs w:val="24"/>
        </w:rPr>
        <w:t>ion and accounts for almost 500000 deaths annually</w:t>
      </w:r>
      <w:r w:rsidRPr="00FE560D">
        <w:rPr>
          <w:rFonts w:ascii="Book Antiqua" w:hAnsi="Book Antiqua" w:cs="Times New Roman"/>
          <w:noProof/>
          <w:color w:val="000000"/>
          <w:sz w:val="24"/>
          <w:szCs w:val="24"/>
          <w:vertAlign w:val="superscript"/>
        </w:rPr>
        <w:t>[2]</w:t>
      </w:r>
      <w:r w:rsidRPr="00FE560D">
        <w:rPr>
          <w:rFonts w:ascii="Book Antiqua" w:hAnsi="Book Antiqua" w:cs="Times New Roman"/>
          <w:color w:val="000000"/>
          <w:sz w:val="24"/>
          <w:szCs w:val="24"/>
        </w:rPr>
        <w:t>. The growing proportion of patients with chronic hepatitis C virus (HCV) infection and cirrhosis has the highest priority for treatment, but are at risk for</w:t>
      </w:r>
      <w:r w:rsidR="002918BC">
        <w:rPr>
          <w:rFonts w:ascii="Book Antiqua" w:hAnsi="Book Antiqua" w:cs="Times New Roman"/>
          <w:color w:val="000000"/>
          <w:sz w:val="24"/>
          <w:szCs w:val="24"/>
        </w:rPr>
        <w:t xml:space="preserve"> complications of liver disease</w:t>
      </w:r>
      <w:r w:rsidRPr="00FE560D">
        <w:rPr>
          <w:rFonts w:ascii="Book Antiqua" w:hAnsi="Book Antiqua" w:cs="Times New Roman"/>
          <w:noProof/>
          <w:color w:val="000000"/>
          <w:sz w:val="24"/>
          <w:szCs w:val="24"/>
          <w:vertAlign w:val="superscript"/>
        </w:rPr>
        <w:t>[3]</w:t>
      </w:r>
      <w:r w:rsidR="00030940">
        <w:rPr>
          <w:rFonts w:ascii="Book Antiqua" w:hAnsi="Book Antiqua" w:cs="Times New Roman"/>
          <w:color w:val="000000"/>
          <w:sz w:val="24"/>
          <w:szCs w:val="24"/>
        </w:rPr>
        <w:t xml:space="preserve">. </w:t>
      </w:r>
    </w:p>
    <w:p w14:paraId="1FEF0103" w14:textId="47036FB0" w:rsidR="0067635A" w:rsidRPr="00FE560D" w:rsidRDefault="0029036C" w:rsidP="002918BC">
      <w:pPr>
        <w:bidi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The interferon-free, 12-w</w:t>
      </w:r>
      <w:r w:rsidR="0067635A" w:rsidRPr="00FE560D">
        <w:rPr>
          <w:rFonts w:ascii="Book Antiqua" w:hAnsi="Book Antiqua" w:cs="Times New Roman"/>
          <w:sz w:val="24"/>
          <w:szCs w:val="24"/>
        </w:rPr>
        <w:t xml:space="preserve">k </w:t>
      </w:r>
      <w:proofErr w:type="spellStart"/>
      <w:r w:rsidR="0067635A" w:rsidRPr="00FE560D">
        <w:rPr>
          <w:rFonts w:ascii="Book Antiqua" w:hAnsi="Book Antiqua" w:cs="Times New Roman"/>
          <w:sz w:val="24"/>
          <w:szCs w:val="24"/>
        </w:rPr>
        <w:t>Paritaprevir</w:t>
      </w:r>
      <w:proofErr w:type="spellEnd"/>
      <w:r w:rsidR="0067635A" w:rsidRPr="00FE560D">
        <w:rPr>
          <w:rFonts w:ascii="Book Antiqua" w:hAnsi="Book Antiqua" w:cs="Times New Roman"/>
          <w:sz w:val="24"/>
          <w:szCs w:val="24"/>
        </w:rPr>
        <w:t>,</w:t>
      </w:r>
      <w:r>
        <w:rPr>
          <w:rFonts w:ascii="Book Antiqua" w:hAnsi="Book Antiqua" w:cs="Times New Roman" w:hint="eastAsia"/>
          <w:sz w:val="24"/>
          <w:szCs w:val="24"/>
          <w:lang w:eastAsia="zh-CN"/>
        </w:rPr>
        <w:t xml:space="preserve"> </w:t>
      </w:r>
      <w:proofErr w:type="spellStart"/>
      <w:r w:rsidR="0067635A" w:rsidRPr="00FE560D">
        <w:rPr>
          <w:rFonts w:ascii="Book Antiqua" w:hAnsi="Book Antiqua" w:cs="Times New Roman"/>
          <w:sz w:val="24"/>
          <w:szCs w:val="24"/>
        </w:rPr>
        <w:t>Ombitasvir</w:t>
      </w:r>
      <w:proofErr w:type="spellEnd"/>
      <w:r w:rsidR="0067635A" w:rsidRPr="00FE560D">
        <w:rPr>
          <w:rFonts w:ascii="Book Antiqua" w:hAnsi="Book Antiqua" w:cs="Times New Roman"/>
          <w:sz w:val="24"/>
          <w:szCs w:val="24"/>
        </w:rPr>
        <w:t xml:space="preserve">, </w:t>
      </w:r>
      <w:proofErr w:type="spellStart"/>
      <w:r w:rsidR="0067635A" w:rsidRPr="00FE560D">
        <w:rPr>
          <w:rFonts w:ascii="Book Antiqua" w:hAnsi="Book Antiqua" w:cs="Times New Roman"/>
          <w:sz w:val="24"/>
          <w:szCs w:val="24"/>
        </w:rPr>
        <w:t>Dasabuvir</w:t>
      </w:r>
      <w:proofErr w:type="spellEnd"/>
      <w:r w:rsidR="0067635A" w:rsidRPr="00FE560D">
        <w:rPr>
          <w:rFonts w:ascii="Book Antiqua" w:hAnsi="Book Antiqua" w:cs="Times New Roman"/>
          <w:sz w:val="24"/>
          <w:szCs w:val="24"/>
        </w:rPr>
        <w:t>, Ritonavir and Ribavirin (</w:t>
      </w:r>
      <w:proofErr w:type="spellStart"/>
      <w:r w:rsidR="0067635A" w:rsidRPr="00FE560D">
        <w:rPr>
          <w:rFonts w:ascii="Book Antiqua" w:hAnsi="Book Antiqua" w:cs="Times New Roman"/>
          <w:sz w:val="24"/>
          <w:szCs w:val="24"/>
        </w:rPr>
        <w:t>PODr</w:t>
      </w:r>
      <w:proofErr w:type="spellEnd"/>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 xml:space="preserve">R) regimen is approved for the treatment of patients with Child’s-Pugh class A cirrhosis and was shown to achieve a sustained </w:t>
      </w:r>
      <w:proofErr w:type="spellStart"/>
      <w:r w:rsidR="0067635A" w:rsidRPr="00FE560D">
        <w:rPr>
          <w:rFonts w:ascii="Book Antiqua" w:hAnsi="Book Antiqua" w:cs="Times New Roman"/>
          <w:sz w:val="24"/>
          <w:szCs w:val="24"/>
        </w:rPr>
        <w:t>virologic</w:t>
      </w:r>
      <w:proofErr w:type="spellEnd"/>
      <w:r w:rsidR="0067635A" w:rsidRPr="00FE560D">
        <w:rPr>
          <w:rFonts w:ascii="Book Antiqua" w:hAnsi="Book Antiqua" w:cs="Times New Roman"/>
          <w:sz w:val="24"/>
          <w:szCs w:val="24"/>
        </w:rPr>
        <w:t xml:space="preserve"> response (SVR) rate</w:t>
      </w:r>
      <w:r>
        <w:rPr>
          <w:rFonts w:ascii="Book Antiqua" w:hAnsi="Book Antiqua" w:cs="Times New Roman"/>
          <w:sz w:val="24"/>
          <w:szCs w:val="24"/>
        </w:rPr>
        <w:t xml:space="preserve"> exceeding 90% in such patients</w:t>
      </w:r>
      <w:r w:rsidR="0067635A" w:rsidRPr="00FE560D">
        <w:rPr>
          <w:rFonts w:ascii="Book Antiqua" w:hAnsi="Book Antiqua" w:cs="Times New Roman"/>
          <w:noProof/>
          <w:sz w:val="24"/>
          <w:szCs w:val="24"/>
          <w:vertAlign w:val="superscript"/>
        </w:rPr>
        <w:t>[4]</w:t>
      </w:r>
      <w:r w:rsidR="0067635A" w:rsidRPr="00FE560D">
        <w:rPr>
          <w:rFonts w:ascii="Book Antiqua" w:hAnsi="Book Antiqua" w:cs="Times New Roman"/>
          <w:sz w:val="24"/>
          <w:szCs w:val="24"/>
        </w:rPr>
        <w:t xml:space="preserve">. However, on 10/22/15, an FDA Drug Safety Communication warned that </w:t>
      </w:r>
      <w:proofErr w:type="spellStart"/>
      <w:r w:rsidR="0067635A" w:rsidRPr="00FE560D">
        <w:rPr>
          <w:rFonts w:ascii="Book Antiqua" w:hAnsi="Book Antiqua" w:cs="Times New Roman"/>
          <w:sz w:val="24"/>
          <w:szCs w:val="24"/>
        </w:rPr>
        <w:t>PODr</w:t>
      </w:r>
      <w:proofErr w:type="spellEnd"/>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R can cause severe drug-induced liver injury (DILI) in patients with advanc</w:t>
      </w:r>
      <w:r>
        <w:rPr>
          <w:rFonts w:ascii="Book Antiqua" w:hAnsi="Book Antiqua" w:cs="Times New Roman"/>
          <w:sz w:val="24"/>
          <w:szCs w:val="24"/>
        </w:rPr>
        <w:t>ed liver disease</w:t>
      </w:r>
      <w:r w:rsidR="0067635A" w:rsidRPr="00FE560D">
        <w:rPr>
          <w:rFonts w:ascii="Book Antiqua" w:hAnsi="Book Antiqua" w:cs="Times New Roman"/>
          <w:noProof/>
          <w:sz w:val="24"/>
          <w:szCs w:val="24"/>
          <w:vertAlign w:val="superscript"/>
        </w:rPr>
        <w:t>[5]</w:t>
      </w:r>
      <w:r w:rsidR="0067635A" w:rsidRPr="00FE560D">
        <w:rPr>
          <w:rFonts w:ascii="Book Antiqua" w:hAnsi="Book Antiqua" w:cs="Times New Roman"/>
          <w:sz w:val="24"/>
          <w:szCs w:val="24"/>
        </w:rPr>
        <w:t xml:space="preserve">. Since December 2014, 26 cases of severe liver injury in patients with advanced liver disease were reported to the FDA Adverse Event Reporting System (FAERS) database that were considered probably or possibly related to </w:t>
      </w:r>
      <w:proofErr w:type="spellStart"/>
      <w:r w:rsidR="0067635A" w:rsidRPr="00FE560D">
        <w:rPr>
          <w:rFonts w:ascii="Book Antiqua" w:hAnsi="Book Antiqua" w:cs="Times New Roman"/>
          <w:sz w:val="24"/>
          <w:szCs w:val="24"/>
        </w:rPr>
        <w:t>PODr</w:t>
      </w:r>
      <w:proofErr w:type="spellEnd"/>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R</w:t>
      </w:r>
      <w:r w:rsidR="0067635A" w:rsidRPr="00FE560D">
        <w:rPr>
          <w:rFonts w:ascii="Book Antiqua" w:eastAsia="Times New Roman" w:hAnsi="Book Antiqua" w:cs="Times New Roman"/>
          <w:color w:val="333333"/>
          <w:sz w:val="24"/>
          <w:szCs w:val="24"/>
          <w:lang w:val="en"/>
        </w:rPr>
        <w:t>.</w:t>
      </w:r>
      <w:r w:rsidR="0067635A" w:rsidRPr="00FE560D">
        <w:rPr>
          <w:rFonts w:ascii="Book Antiqua" w:hAnsi="Book Antiqua" w:cs="Times New Roman"/>
          <w:sz w:val="24"/>
          <w:szCs w:val="24"/>
        </w:rPr>
        <w:t xml:space="preserve"> Ten patients developed liver failure resulting in death or liver transplantation. The pattern of liver injury consisted of an acute increase in bilirubin level without ALT elevations. The FDA Drug Safety Communication emphasized that </w:t>
      </w:r>
      <w:proofErr w:type="spellStart"/>
      <w:r w:rsidR="0067635A" w:rsidRPr="00FE560D">
        <w:rPr>
          <w:rFonts w:ascii="Book Antiqua" w:hAnsi="Book Antiqua" w:cs="Times New Roman"/>
          <w:sz w:val="24"/>
          <w:szCs w:val="24"/>
        </w:rPr>
        <w:t>PODr</w:t>
      </w:r>
      <w:proofErr w:type="spellEnd"/>
      <w:r w:rsidR="005D5D2B">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w:t>
      </w:r>
      <w:r w:rsidR="005D5D2B">
        <w:rPr>
          <w:rFonts w:ascii="Book Antiqua" w:hAnsi="Book Antiqua" w:cs="Times New Roman" w:hint="eastAsia"/>
          <w:sz w:val="24"/>
          <w:szCs w:val="24"/>
          <w:lang w:eastAsia="zh-CN"/>
        </w:rPr>
        <w:t xml:space="preserve"> </w:t>
      </w:r>
      <w:r w:rsidR="0067635A" w:rsidRPr="00FE560D">
        <w:rPr>
          <w:rFonts w:ascii="Book Antiqua" w:hAnsi="Book Antiqua" w:cs="Times New Roman"/>
          <w:sz w:val="24"/>
          <w:szCs w:val="24"/>
        </w:rPr>
        <w:t xml:space="preserve">R is contraindicated in patients with Child’s class B and C cirrhosis. More recently, four cases of severe DILI were identified in patients who had decompensated cirrhosis at pre-treatment baseline who were treated with </w:t>
      </w:r>
      <w:proofErr w:type="spellStart"/>
      <w:r w:rsidR="0067635A" w:rsidRPr="00FE560D">
        <w:rPr>
          <w:rFonts w:ascii="Book Antiqua" w:hAnsi="Book Antiqua" w:cs="Times New Roman"/>
          <w:sz w:val="24"/>
          <w:szCs w:val="24"/>
        </w:rPr>
        <w:t>sofosbuvir</w:t>
      </w:r>
      <w:proofErr w:type="spellEnd"/>
      <w:r w:rsidR="0067635A" w:rsidRPr="00FE560D">
        <w:rPr>
          <w:rFonts w:ascii="Book Antiqua" w:hAnsi="Book Antiqua" w:cs="Times New Roman"/>
          <w:sz w:val="24"/>
          <w:szCs w:val="24"/>
        </w:rPr>
        <w:t xml:space="preserve"> and a NS5A inhibitor, with or without Ribavirin</w:t>
      </w:r>
      <w:r w:rsidR="0067635A" w:rsidRPr="00FE560D">
        <w:rPr>
          <w:rFonts w:ascii="Book Antiqua" w:hAnsi="Book Antiqua" w:cs="Times New Roman"/>
          <w:noProof/>
          <w:sz w:val="24"/>
          <w:szCs w:val="24"/>
          <w:vertAlign w:val="superscript"/>
        </w:rPr>
        <w:t>[6-8]</w:t>
      </w:r>
      <w:r w:rsidR="0067635A" w:rsidRPr="00FE560D">
        <w:rPr>
          <w:rFonts w:ascii="Book Antiqua" w:hAnsi="Book Antiqua" w:cs="Times New Roman"/>
          <w:sz w:val="24"/>
          <w:szCs w:val="24"/>
        </w:rPr>
        <w:t xml:space="preserve">. Three of the patients were HIV-co-infected and were receiving antiretroviral therapy. To date, severe DILI has not been reported in patients with compensated cirrhosis who receive DAA. </w:t>
      </w:r>
    </w:p>
    <w:p w14:paraId="2F06939A" w14:textId="77777777" w:rsidR="0067635A" w:rsidRPr="00FE560D" w:rsidRDefault="0067635A" w:rsidP="00FE560D">
      <w:pPr>
        <w:bidi w:val="0"/>
        <w:spacing w:after="0" w:line="360" w:lineRule="auto"/>
        <w:jc w:val="both"/>
        <w:rPr>
          <w:rFonts w:ascii="Book Antiqua" w:hAnsi="Book Antiqua" w:cs="Times New Roman"/>
          <w:sz w:val="24"/>
          <w:szCs w:val="24"/>
        </w:rPr>
      </w:pPr>
    </w:p>
    <w:p w14:paraId="2A5947AC" w14:textId="47B8BC60" w:rsidR="0067635A" w:rsidRPr="0029036C" w:rsidRDefault="0029036C" w:rsidP="00FE560D">
      <w:pPr>
        <w:pStyle w:val="a8"/>
        <w:bidi w:val="0"/>
        <w:spacing w:after="0" w:line="360" w:lineRule="auto"/>
        <w:jc w:val="both"/>
        <w:rPr>
          <w:rFonts w:ascii="Book Antiqua" w:hAnsi="Book Antiqua" w:cs="Times New Roman"/>
          <w:b/>
          <w:color w:val="auto"/>
          <w:spacing w:val="0"/>
          <w:sz w:val="24"/>
          <w:szCs w:val="24"/>
        </w:rPr>
      </w:pPr>
      <w:r w:rsidRPr="0029036C">
        <w:rPr>
          <w:rFonts w:ascii="Book Antiqua" w:hAnsi="Book Antiqua" w:cs="Times New Roman"/>
          <w:b/>
          <w:color w:val="auto"/>
          <w:spacing w:val="0"/>
          <w:sz w:val="24"/>
          <w:szCs w:val="24"/>
        </w:rPr>
        <w:t xml:space="preserve">CASE REPORT </w:t>
      </w:r>
    </w:p>
    <w:p w14:paraId="3E1F6B53" w14:textId="6582CB9A" w:rsidR="0067635A" w:rsidRPr="00FE560D" w:rsidRDefault="0067635A" w:rsidP="00FE560D">
      <w:pPr>
        <w:bidi w:val="0"/>
        <w:spacing w:after="0" w:line="360" w:lineRule="auto"/>
        <w:jc w:val="both"/>
        <w:rPr>
          <w:rFonts w:ascii="Book Antiqua" w:hAnsi="Book Antiqua" w:cs="Times New Roman"/>
          <w:sz w:val="24"/>
          <w:szCs w:val="24"/>
        </w:rPr>
      </w:pPr>
      <w:r w:rsidRPr="00FE560D">
        <w:rPr>
          <w:rFonts w:ascii="Book Antiqua" w:hAnsi="Book Antiqua" w:cs="Times New Roman"/>
          <w:sz w:val="24"/>
          <w:szCs w:val="24"/>
        </w:rPr>
        <w:t xml:space="preserve">A 74 years old woman presented to </w:t>
      </w:r>
      <w:proofErr w:type="spellStart"/>
      <w:r w:rsidRPr="00FE560D">
        <w:rPr>
          <w:rFonts w:ascii="Book Antiqua" w:hAnsi="Book Antiqua" w:cs="Times New Roman"/>
          <w:sz w:val="24"/>
          <w:szCs w:val="24"/>
        </w:rPr>
        <w:t>Sha</w:t>
      </w:r>
      <w:r w:rsidR="00A63BDD">
        <w:rPr>
          <w:rFonts w:ascii="Book Antiqua" w:hAnsi="Book Antiqua" w:cs="Times New Roman"/>
          <w:sz w:val="24"/>
          <w:szCs w:val="24"/>
          <w:lang w:eastAsia="zh-CN"/>
        </w:rPr>
        <w:t>’</w:t>
      </w:r>
      <w:r w:rsidRPr="00FE560D">
        <w:rPr>
          <w:rFonts w:ascii="Book Antiqua" w:hAnsi="Book Antiqua" w:cs="Times New Roman"/>
          <w:sz w:val="24"/>
          <w:szCs w:val="24"/>
        </w:rPr>
        <w:t>are</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Zedek</w:t>
      </w:r>
      <w:proofErr w:type="spellEnd"/>
      <w:r w:rsidRPr="00FE560D">
        <w:rPr>
          <w:rFonts w:ascii="Book Antiqua" w:hAnsi="Book Antiqua" w:cs="Times New Roman"/>
          <w:sz w:val="24"/>
          <w:szCs w:val="24"/>
        </w:rPr>
        <w:t xml:space="preserve"> Medical Center in Jerusalem on 12/30/14 for management of HCV genotype 1b infection with compensated cirrhosis (Child’s Pugh</w:t>
      </w:r>
      <w:r w:rsidR="00030940">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class A</w:t>
      </w:r>
      <w:r w:rsidR="00A63BDD">
        <w:rPr>
          <w:rFonts w:ascii="Book Antiqua" w:hAnsi="Book Antiqua" w:cs="Times New Roman" w:hint="eastAsia"/>
          <w:sz w:val="24"/>
          <w:szCs w:val="24"/>
          <w:lang w:eastAsia="zh-CN"/>
        </w:rPr>
        <w:t>-</w:t>
      </w:r>
      <w:r w:rsidRPr="00FE560D">
        <w:rPr>
          <w:rFonts w:ascii="Book Antiqua" w:hAnsi="Book Antiqua" w:cs="Times New Roman"/>
          <w:sz w:val="24"/>
          <w:szCs w:val="24"/>
        </w:rPr>
        <w:t xml:space="preserve">score 6, MELD score 7), and a 5.6 </w:t>
      </w:r>
      <w:r w:rsidR="00A63BDD">
        <w:rPr>
          <w:rFonts w:ascii="Book Antiqua" w:hAnsi="Book Antiqua" w:cs="Times New Roman" w:hint="eastAsia"/>
          <w:sz w:val="24"/>
          <w:szCs w:val="24"/>
          <w:lang w:eastAsia="zh-CN"/>
        </w:rPr>
        <w:t xml:space="preserve">cm </w:t>
      </w:r>
      <w:r w:rsidR="00A63BDD" w:rsidRPr="009D014F">
        <w:rPr>
          <w:rFonts w:ascii="Book Antiqua" w:hAnsi="Book Antiqua" w:cs="Times New Roman"/>
          <w:color w:val="000000"/>
          <w:sz w:val="24"/>
          <w:szCs w:val="24"/>
        </w:rPr>
        <w:t>×</w:t>
      </w:r>
      <w:r w:rsidRPr="00FE560D">
        <w:rPr>
          <w:rFonts w:ascii="Book Antiqua" w:hAnsi="Book Antiqua" w:cs="Times New Roman"/>
          <w:sz w:val="24"/>
          <w:szCs w:val="24"/>
        </w:rPr>
        <w:t xml:space="preserve"> 6.8 cm right lobe liver </w:t>
      </w:r>
      <w:r w:rsidRPr="00FE560D">
        <w:rPr>
          <w:rFonts w:ascii="Book Antiqua" w:hAnsi="Book Antiqua" w:cs="Times New Roman"/>
          <w:sz w:val="24"/>
          <w:szCs w:val="24"/>
        </w:rPr>
        <w:lastRenderedPageBreak/>
        <w:t>lesion with diagnostic features of hepatocellular carcinoma (HCC) on ultrasonography and contrast-enhanced CT. Her baseline laboratory data are shown in Fig</w:t>
      </w:r>
      <w:r w:rsidR="00A63BDD">
        <w:rPr>
          <w:rFonts w:ascii="Book Antiqua" w:hAnsi="Book Antiqua" w:cs="Times New Roman" w:hint="eastAsia"/>
          <w:sz w:val="24"/>
          <w:szCs w:val="24"/>
          <w:lang w:eastAsia="zh-CN"/>
        </w:rPr>
        <w:t>ure</w:t>
      </w:r>
      <w:r w:rsidRPr="00FE560D">
        <w:rPr>
          <w:rFonts w:ascii="Book Antiqua" w:hAnsi="Book Antiqua" w:cs="Times New Roman"/>
          <w:sz w:val="24"/>
          <w:szCs w:val="24"/>
        </w:rPr>
        <w:t xml:space="preserve"> 1. </w:t>
      </w:r>
    </w:p>
    <w:p w14:paraId="566520D3" w14:textId="65C9C5F5" w:rsidR="0067635A" w:rsidRPr="00FE560D" w:rsidRDefault="0067635A" w:rsidP="00A63BDD">
      <w:pPr>
        <w:bidi w:val="0"/>
        <w:spacing w:after="0" w:line="360" w:lineRule="auto"/>
        <w:ind w:firstLineChars="100" w:firstLine="240"/>
        <w:jc w:val="both"/>
        <w:rPr>
          <w:rFonts w:ascii="Book Antiqua" w:eastAsia="Times New Roman" w:hAnsi="Book Antiqua" w:cs="Times New Roman"/>
          <w:color w:val="000000"/>
          <w:sz w:val="24"/>
          <w:szCs w:val="24"/>
        </w:rPr>
      </w:pPr>
      <w:r w:rsidRPr="00FE560D">
        <w:rPr>
          <w:rFonts w:ascii="Book Antiqua" w:hAnsi="Book Antiqua" w:cs="Times New Roman"/>
          <w:sz w:val="24"/>
          <w:szCs w:val="24"/>
        </w:rPr>
        <w:t xml:space="preserve">On 1/1/15 she underwent </w:t>
      </w:r>
      <w:proofErr w:type="spellStart"/>
      <w:r w:rsidRPr="00FE560D">
        <w:rPr>
          <w:rFonts w:ascii="Book Antiqua" w:hAnsi="Book Antiqua" w:cs="Times New Roman"/>
          <w:sz w:val="24"/>
          <w:szCs w:val="24"/>
        </w:rPr>
        <w:t>transcatheter</w:t>
      </w:r>
      <w:proofErr w:type="spellEnd"/>
      <w:r w:rsidRPr="00FE560D">
        <w:rPr>
          <w:rFonts w:ascii="Book Antiqua" w:hAnsi="Book Antiqua" w:cs="Times New Roman"/>
          <w:sz w:val="24"/>
          <w:szCs w:val="24"/>
        </w:rPr>
        <w:t xml:space="preserve"> arterial chemoembolization (TACE) as treatment for HCC. Her ALT and AST levels increased transiently and then declined to baseline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hAnsi="Book Antiqua" w:cs="Times New Roman"/>
          <w:sz w:val="24"/>
          <w:szCs w:val="24"/>
        </w:rPr>
        <w:t xml:space="preserve"> 1</w:t>
      </w:r>
      <w:r w:rsidR="00A63BDD" w:rsidRPr="00FE560D">
        <w:rPr>
          <w:rFonts w:ascii="Book Antiqua" w:hAnsi="Book Antiqua" w:cs="Times New Roman"/>
          <w:sz w:val="24"/>
          <w:szCs w:val="24"/>
        </w:rPr>
        <w:t>B</w:t>
      </w:r>
      <w:r w:rsidRPr="00FE560D">
        <w:rPr>
          <w:rFonts w:ascii="Book Antiqua" w:hAnsi="Book Antiqua" w:cs="Times New Roman"/>
          <w:sz w:val="24"/>
          <w:szCs w:val="24"/>
        </w:rPr>
        <w:t xml:space="preserve">). She showed no signs of hepatic decompensation before or after the procedure. Treatment with </w:t>
      </w:r>
      <w:proofErr w:type="spellStart"/>
      <w:r w:rsidRPr="00FE560D">
        <w:rPr>
          <w:rFonts w:ascii="Book Antiqua" w:hAnsi="Book Antiqua" w:cs="Times New Roman"/>
          <w:sz w:val="24"/>
          <w:szCs w:val="24"/>
        </w:rPr>
        <w:t>Ombitasvir</w:t>
      </w:r>
      <w:proofErr w:type="spellEnd"/>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Paritaprevir</w:t>
      </w:r>
      <w:proofErr w:type="spellEnd"/>
      <w:r w:rsidRPr="00FE560D">
        <w:rPr>
          <w:rFonts w:ascii="Book Antiqua" w:hAnsi="Book Antiqua" w:cs="Times New Roman"/>
          <w:sz w:val="24"/>
          <w:szCs w:val="24"/>
        </w:rPr>
        <w:t xml:space="preserve">, Ritonavir (2 tablets daily), </w:t>
      </w:r>
      <w:proofErr w:type="spellStart"/>
      <w:r w:rsidRPr="00FE560D">
        <w:rPr>
          <w:rFonts w:ascii="Book Antiqua" w:hAnsi="Book Antiqua" w:cs="Times New Roman"/>
          <w:sz w:val="24"/>
          <w:szCs w:val="24"/>
        </w:rPr>
        <w:t>Dasabuvir</w:t>
      </w:r>
      <w:proofErr w:type="spellEnd"/>
      <w:r w:rsidRPr="00FE560D">
        <w:rPr>
          <w:rFonts w:ascii="Book Antiqua" w:hAnsi="Book Antiqua" w:cs="Times New Roman"/>
          <w:sz w:val="24"/>
          <w:szCs w:val="24"/>
        </w:rPr>
        <w:t xml:space="preserve"> (250</w:t>
      </w:r>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mg twice daily, and Ribavirin (400</w:t>
      </w:r>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 xml:space="preserve">mg, twice daily) was initiated on 3/1/15, two months after TACE. </w:t>
      </w:r>
      <w:r w:rsidRPr="00FE560D">
        <w:rPr>
          <w:rFonts w:ascii="Book Antiqua" w:eastAsia="Times New Roman" w:hAnsi="Book Antiqua" w:cs="Times New Roman"/>
          <w:color w:val="000000"/>
          <w:sz w:val="24"/>
          <w:szCs w:val="24"/>
        </w:rPr>
        <w:t xml:space="preserve">The HCV RNA level declined from a </w:t>
      </w:r>
      <w:r w:rsidR="00A63BDD">
        <w:rPr>
          <w:rFonts w:ascii="Book Antiqua" w:eastAsia="Times New Roman" w:hAnsi="Book Antiqua" w:cs="Times New Roman"/>
          <w:color w:val="000000"/>
          <w:sz w:val="24"/>
          <w:szCs w:val="24"/>
        </w:rPr>
        <w:t>pre-treatment baseline of 2000</w:t>
      </w:r>
      <w:r w:rsidRPr="00FE560D">
        <w:rPr>
          <w:rFonts w:ascii="Book Antiqua" w:eastAsia="Times New Roman" w:hAnsi="Book Antiqua" w:cs="Times New Roman"/>
          <w:color w:val="000000"/>
          <w:sz w:val="24"/>
          <w:szCs w:val="24"/>
        </w:rPr>
        <w:t>000 IU/m</w:t>
      </w:r>
      <w:r w:rsidR="00A63BDD" w:rsidRPr="00FE560D">
        <w:rPr>
          <w:rFonts w:ascii="Book Antiqua" w:eastAsia="Times New Roman" w:hAnsi="Book Antiqua" w:cs="Times New Roman"/>
          <w:color w:val="000000"/>
          <w:sz w:val="24"/>
          <w:szCs w:val="24"/>
        </w:rPr>
        <w:t>L</w:t>
      </w:r>
      <w:r w:rsidRPr="00FE560D">
        <w:rPr>
          <w:rFonts w:ascii="Book Antiqua" w:eastAsia="Times New Roman" w:hAnsi="Book Antiqua" w:cs="Times New Roman"/>
          <w:color w:val="000000"/>
          <w:sz w:val="24"/>
          <w:szCs w:val="24"/>
        </w:rPr>
        <w:t xml:space="preserve"> to 474 IU/m</w:t>
      </w:r>
      <w:r w:rsidR="00A63BDD" w:rsidRPr="00FE560D">
        <w:rPr>
          <w:rFonts w:ascii="Book Antiqua" w:eastAsia="Times New Roman" w:hAnsi="Book Antiqua" w:cs="Times New Roman"/>
          <w:color w:val="000000"/>
          <w:sz w:val="24"/>
          <w:szCs w:val="24"/>
        </w:rPr>
        <w:t>L</w:t>
      </w:r>
      <w:r w:rsidRPr="00FE560D">
        <w:rPr>
          <w:rFonts w:ascii="Book Antiqua" w:eastAsia="Times New Roman" w:hAnsi="Book Antiqua" w:cs="Times New Roman"/>
          <w:color w:val="000000"/>
          <w:sz w:val="24"/>
          <w:szCs w:val="24"/>
        </w:rPr>
        <w:t xml:space="preserve"> in 7 d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eastAsia="Times New Roman" w:hAnsi="Book Antiqua" w:cs="Times New Roman"/>
          <w:color w:val="000000"/>
          <w:sz w:val="24"/>
          <w:szCs w:val="24"/>
        </w:rPr>
        <w:t xml:space="preserve"> 2). However, on day 14 of treatment, she presented with nausea and increased abdominal girth. Her medications were limited to </w:t>
      </w:r>
      <w:proofErr w:type="spellStart"/>
      <w:r w:rsidRPr="00FE560D">
        <w:rPr>
          <w:rFonts w:ascii="Book Antiqua" w:hAnsi="Book Antiqua" w:cs="Times New Roman"/>
          <w:sz w:val="24"/>
          <w:szCs w:val="24"/>
        </w:rPr>
        <w:t>PODr</w:t>
      </w:r>
      <w:proofErr w:type="spellEnd"/>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 xml:space="preserve"> and Ramipril for hypertension, which she had taken for four months</w:t>
      </w:r>
      <w:r w:rsidRPr="00FE560D">
        <w:rPr>
          <w:rFonts w:ascii="Book Antiqua" w:hAnsi="Book Antiqua" w:cs="Times New Roman"/>
          <w:sz w:val="24"/>
          <w:szCs w:val="24"/>
        </w:rPr>
        <w:t>. She reported taking no other prescription, over the counter, or alternative medications during the four months prior to the onset of liver injury.</w:t>
      </w:r>
      <w:r w:rsidRPr="00FE560D">
        <w:rPr>
          <w:rFonts w:ascii="Book Antiqua" w:eastAsia="Times New Roman" w:hAnsi="Book Antiqua" w:cs="Times New Roman"/>
          <w:color w:val="000000"/>
          <w:sz w:val="24"/>
          <w:szCs w:val="24"/>
        </w:rPr>
        <w:t xml:space="preserve"> She did not drink alcohol. On physical examination, she had icteric sclera and moderate ascites. She developed vomiting and anorexia. Serial laboratories showed a rising total bilirubin (maximum 23 mg/</w:t>
      </w:r>
      <w:proofErr w:type="spellStart"/>
      <w:r w:rsidRPr="00FE560D">
        <w:rPr>
          <w:rFonts w:ascii="Book Antiqua" w:eastAsia="Times New Roman" w:hAnsi="Book Antiqua" w:cs="Times New Roman"/>
          <w:color w:val="000000"/>
          <w:sz w:val="24"/>
          <w:szCs w:val="24"/>
        </w:rPr>
        <w:t>d</w:t>
      </w:r>
      <w:r w:rsidR="00A63BDD" w:rsidRPr="00FE560D">
        <w:rPr>
          <w:rFonts w:ascii="Book Antiqua" w:eastAsia="Times New Roman" w:hAnsi="Book Antiqua" w:cs="Times New Roman"/>
          <w:color w:val="000000"/>
          <w:sz w:val="24"/>
          <w:szCs w:val="24"/>
        </w:rPr>
        <w:t>L</w:t>
      </w:r>
      <w:proofErr w:type="spellEnd"/>
      <w:r w:rsidRPr="00FE560D">
        <w:rPr>
          <w:rFonts w:ascii="Book Antiqua" w:eastAsia="Times New Roman" w:hAnsi="Book Antiqua" w:cs="Times New Roman"/>
          <w:color w:val="000000"/>
          <w:sz w:val="24"/>
          <w:szCs w:val="24"/>
        </w:rPr>
        <w:t>) and international normalized ratio, INR (maximum 1.65) levels and her albumin level decreased to 2.5 g/</w:t>
      </w:r>
      <w:proofErr w:type="spellStart"/>
      <w:r w:rsidRPr="00FE560D">
        <w:rPr>
          <w:rFonts w:ascii="Book Antiqua" w:eastAsia="Times New Roman" w:hAnsi="Book Antiqua" w:cs="Times New Roman"/>
          <w:color w:val="000000"/>
          <w:sz w:val="24"/>
          <w:szCs w:val="24"/>
        </w:rPr>
        <w:t>d</w:t>
      </w:r>
      <w:r w:rsidR="00A63BDD" w:rsidRPr="00FE560D">
        <w:rPr>
          <w:rFonts w:ascii="Book Antiqua" w:eastAsia="Times New Roman" w:hAnsi="Book Antiqua" w:cs="Times New Roman"/>
          <w:color w:val="000000"/>
          <w:sz w:val="24"/>
          <w:szCs w:val="24"/>
        </w:rPr>
        <w:t>L</w:t>
      </w:r>
      <w:proofErr w:type="spellEnd"/>
      <w:r w:rsidRPr="00FE560D">
        <w:rPr>
          <w:rFonts w:ascii="Book Antiqua" w:eastAsia="Times New Roman" w:hAnsi="Book Antiqua" w:cs="Times New Roman"/>
          <w:color w:val="000000"/>
          <w:sz w:val="24"/>
          <w:szCs w:val="24"/>
        </w:rPr>
        <w:t xml:space="preserve">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eastAsia="Times New Roman" w:hAnsi="Book Antiqua" w:cs="Times New Roman"/>
          <w:color w:val="000000"/>
          <w:sz w:val="24"/>
          <w:szCs w:val="24"/>
        </w:rPr>
        <w:t xml:space="preserve"> 1</w:t>
      </w:r>
      <w:r w:rsidR="00A63BDD" w:rsidRPr="00FE560D">
        <w:rPr>
          <w:rFonts w:ascii="Book Antiqua" w:eastAsia="Times New Roman" w:hAnsi="Book Antiqua" w:cs="Times New Roman"/>
          <w:color w:val="000000"/>
          <w:sz w:val="24"/>
          <w:szCs w:val="24"/>
        </w:rPr>
        <w:t>A</w:t>
      </w:r>
      <w:r w:rsidRPr="00FE560D">
        <w:rPr>
          <w:rFonts w:ascii="Book Antiqua" w:eastAsia="Times New Roman" w:hAnsi="Book Antiqua" w:cs="Times New Roman"/>
          <w:color w:val="000000"/>
          <w:sz w:val="24"/>
          <w:szCs w:val="24"/>
        </w:rPr>
        <w:t>). Of note, her aminotransferase levels remained stable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eastAsia="Times New Roman" w:hAnsi="Book Antiqua" w:cs="Times New Roman"/>
          <w:color w:val="000000"/>
          <w:sz w:val="24"/>
          <w:szCs w:val="24"/>
        </w:rPr>
        <w:t xml:space="preserve"> 1</w:t>
      </w:r>
      <w:r w:rsidR="00A63BDD" w:rsidRPr="00FE560D">
        <w:rPr>
          <w:rFonts w:ascii="Book Antiqua" w:eastAsia="Times New Roman" w:hAnsi="Book Antiqua" w:cs="Times New Roman"/>
          <w:color w:val="000000"/>
          <w:sz w:val="24"/>
          <w:szCs w:val="24"/>
        </w:rPr>
        <w:t>B</w:t>
      </w:r>
      <w:r w:rsidRPr="00FE560D">
        <w:rPr>
          <w:rFonts w:ascii="Book Antiqua" w:eastAsia="Times New Roman" w:hAnsi="Book Antiqua" w:cs="Times New Roman"/>
          <w:color w:val="000000"/>
          <w:sz w:val="24"/>
          <w:szCs w:val="24"/>
        </w:rPr>
        <w:t xml:space="preserve">). An abdominal ultrasound with Doppler study showed flow in the portal and hepatic veins and no new mass lesions in the liver. </w:t>
      </w:r>
    </w:p>
    <w:p w14:paraId="67C4FDB5" w14:textId="77777777" w:rsidR="00A63BDD" w:rsidRDefault="0067635A" w:rsidP="00A63BDD">
      <w:pPr>
        <w:bidi w:val="0"/>
        <w:spacing w:after="0" w:line="360" w:lineRule="auto"/>
        <w:ind w:firstLineChars="100" w:firstLine="240"/>
        <w:jc w:val="both"/>
        <w:rPr>
          <w:rFonts w:ascii="Book Antiqua" w:hAnsi="Book Antiqua" w:cs="Times New Roman"/>
          <w:color w:val="000000"/>
          <w:sz w:val="24"/>
          <w:szCs w:val="24"/>
          <w:lang w:eastAsia="zh-CN"/>
        </w:rPr>
      </w:pPr>
      <w:r w:rsidRPr="00FE560D">
        <w:rPr>
          <w:rFonts w:ascii="Book Antiqua" w:eastAsia="Times New Roman" w:hAnsi="Book Antiqua" w:cs="Times New Roman"/>
          <w:color w:val="000000"/>
          <w:sz w:val="24"/>
          <w:szCs w:val="24"/>
        </w:rPr>
        <w:t>Antiviral therapy was discontinued on treatment day 24 (3/24/15) for suspected DILI. The patient was hospitalized on 4/1/15 for management of ascites. After hospital discharge, she was treated with weekly intravenous albumin and Furosemide until November 2015. Her ascites slowly improved and her liver biochemistries normalized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eastAsia="Times New Roman" w:hAnsi="Book Antiqua" w:cs="Times New Roman"/>
          <w:color w:val="000000"/>
          <w:sz w:val="24"/>
          <w:szCs w:val="24"/>
        </w:rPr>
        <w:t xml:space="preserve"> 1). Seven months after discontinuation of antiviral therapy, she has recovered and her HCV RNA remains undetectable (</w:t>
      </w:r>
      <w:r w:rsidR="00A63BDD" w:rsidRPr="00FE560D">
        <w:rPr>
          <w:rFonts w:ascii="Book Antiqua" w:hAnsi="Book Antiqua" w:cs="Times New Roman"/>
          <w:sz w:val="24"/>
          <w:szCs w:val="24"/>
        </w:rPr>
        <w:t>Fig</w:t>
      </w:r>
      <w:r w:rsidR="00A63BDD">
        <w:rPr>
          <w:rFonts w:ascii="Book Antiqua" w:hAnsi="Book Antiqua" w:cs="Times New Roman" w:hint="eastAsia"/>
          <w:sz w:val="24"/>
          <w:szCs w:val="24"/>
          <w:lang w:eastAsia="zh-CN"/>
        </w:rPr>
        <w:t>ure</w:t>
      </w:r>
      <w:r w:rsidRPr="00FE560D">
        <w:rPr>
          <w:rFonts w:ascii="Book Antiqua" w:eastAsia="Times New Roman" w:hAnsi="Book Antiqua" w:cs="Times New Roman"/>
          <w:color w:val="000000"/>
          <w:sz w:val="24"/>
          <w:szCs w:val="24"/>
        </w:rPr>
        <w:t xml:space="preserve"> 2). She has no evidence of viable HCC by MRI.</w:t>
      </w:r>
    </w:p>
    <w:p w14:paraId="720C2C38" w14:textId="08BC413E" w:rsidR="0067635A" w:rsidRPr="00A63BDD" w:rsidRDefault="0067635A" w:rsidP="00A63BDD">
      <w:pPr>
        <w:bidi w:val="0"/>
        <w:spacing w:after="0" w:line="360" w:lineRule="auto"/>
        <w:ind w:firstLineChars="100" w:firstLine="240"/>
        <w:jc w:val="both"/>
        <w:rPr>
          <w:rFonts w:ascii="Book Antiqua" w:eastAsia="Times New Roman" w:hAnsi="Book Antiqua" w:cs="Times New Roman"/>
          <w:color w:val="000000"/>
          <w:sz w:val="24"/>
          <w:szCs w:val="24"/>
        </w:rPr>
      </w:pPr>
      <w:r w:rsidRPr="00FE560D">
        <w:rPr>
          <w:rFonts w:ascii="Book Antiqua" w:eastAsia="Times New Roman" w:hAnsi="Book Antiqua" w:cs="Times New Roman"/>
          <w:color w:val="000000"/>
          <w:sz w:val="24"/>
          <w:szCs w:val="24"/>
        </w:rPr>
        <w:t xml:space="preserve">The time to reach cure, or SVR, was previously defined as the time to reach less than one hepatitis C </w:t>
      </w:r>
      <w:proofErr w:type="spellStart"/>
      <w:r w:rsidRPr="00FE560D">
        <w:rPr>
          <w:rFonts w:ascii="Book Antiqua" w:eastAsia="Times New Roman" w:hAnsi="Book Antiqua" w:cs="Times New Roman"/>
          <w:color w:val="000000"/>
          <w:sz w:val="24"/>
          <w:szCs w:val="24"/>
        </w:rPr>
        <w:t>virion</w:t>
      </w:r>
      <w:proofErr w:type="spellEnd"/>
      <w:r w:rsidRPr="00FE560D">
        <w:rPr>
          <w:rFonts w:ascii="Book Antiqua" w:eastAsia="Times New Roman" w:hAnsi="Book Antiqua" w:cs="Times New Roman"/>
          <w:color w:val="000000"/>
          <w:sz w:val="24"/>
          <w:szCs w:val="24"/>
        </w:rPr>
        <w:t xml:space="preserve"> in the extracellular fluid volume (</w:t>
      </w:r>
      <w:r w:rsidR="00A63BDD">
        <w:rPr>
          <w:rFonts w:ascii="Book Antiqua" w:hAnsi="Book Antiqua" w:cs="Times New Roman" w:hint="eastAsia"/>
          <w:color w:val="000000"/>
          <w:sz w:val="24"/>
          <w:szCs w:val="24"/>
          <w:lang w:eastAsia="zh-CN"/>
        </w:rPr>
        <w:t xml:space="preserve">approximately </w:t>
      </w:r>
      <w:r w:rsidRPr="00FE560D">
        <w:rPr>
          <w:rFonts w:ascii="Book Antiqua" w:eastAsia="Times New Roman" w:hAnsi="Book Antiqua" w:cs="Times New Roman"/>
          <w:color w:val="000000"/>
          <w:sz w:val="24"/>
          <w:szCs w:val="24"/>
        </w:rPr>
        <w:t>13.5</w:t>
      </w:r>
      <w:r w:rsidR="00A63BDD">
        <w:rPr>
          <w:rFonts w:ascii="Book Antiqua" w:hAnsi="Book Antiqua" w:cs="Times New Roman" w:hint="eastAsia"/>
          <w:color w:val="000000"/>
          <w:sz w:val="24"/>
          <w:szCs w:val="24"/>
          <w:lang w:eastAsia="zh-CN"/>
        </w:rPr>
        <w:t>-</w:t>
      </w:r>
      <w:r w:rsidRPr="00FE560D">
        <w:rPr>
          <w:rFonts w:ascii="Book Antiqua" w:eastAsia="Times New Roman" w:hAnsi="Book Antiqua" w:cs="Times New Roman"/>
          <w:color w:val="000000"/>
          <w:sz w:val="24"/>
          <w:szCs w:val="24"/>
        </w:rPr>
        <w:t>15</w:t>
      </w:r>
      <w:r w:rsidR="00A63BDD">
        <w:rPr>
          <w:rFonts w:ascii="Book Antiqua" w:hAnsi="Book Antiqua" w:cs="Times New Roman" w:hint="eastAsia"/>
          <w:color w:val="000000"/>
          <w:sz w:val="24"/>
          <w:szCs w:val="24"/>
          <w:lang w:eastAsia="zh-CN"/>
        </w:rPr>
        <w:t xml:space="preserve"> </w:t>
      </w:r>
      <w:r w:rsidR="00A63BDD">
        <w:rPr>
          <w:rFonts w:ascii="Book Antiqua" w:eastAsia="Times New Roman" w:hAnsi="Book Antiqua" w:cs="Times New Roman"/>
          <w:color w:val="000000"/>
          <w:sz w:val="24"/>
          <w:szCs w:val="24"/>
        </w:rPr>
        <w:t>L)</w:t>
      </w:r>
      <w:r w:rsidRPr="00FE560D">
        <w:rPr>
          <w:rFonts w:ascii="Book Antiqua" w:hAnsi="Book Antiqua"/>
          <w:noProof/>
          <w:sz w:val="24"/>
          <w:szCs w:val="24"/>
          <w:vertAlign w:val="superscript"/>
        </w:rPr>
        <w:t>[9-12]</w:t>
      </w:r>
      <w:r w:rsidRPr="00FE560D">
        <w:rPr>
          <w:rFonts w:ascii="Book Antiqua" w:hAnsi="Book Antiqua"/>
          <w:sz w:val="24"/>
          <w:szCs w:val="24"/>
        </w:rPr>
        <w:t xml:space="preserve">. </w:t>
      </w:r>
      <w:r w:rsidRPr="00FE560D">
        <w:rPr>
          <w:rFonts w:ascii="Book Antiqua" w:eastAsia="Times New Roman" w:hAnsi="Book Antiqua" w:cs="Times New Roman"/>
          <w:color w:val="000000"/>
          <w:sz w:val="24"/>
          <w:szCs w:val="24"/>
        </w:rPr>
        <w:t xml:space="preserve">Thus a value of </w:t>
      </w:r>
      <w:r w:rsidR="00A63BDD">
        <w:rPr>
          <w:rFonts w:ascii="Book Antiqua" w:hAnsi="Book Antiqua" w:cs="Times New Roman" w:hint="eastAsia"/>
          <w:color w:val="000000"/>
          <w:sz w:val="24"/>
          <w:szCs w:val="24"/>
          <w:lang w:eastAsia="zh-CN"/>
        </w:rPr>
        <w:t>approximately</w:t>
      </w:r>
      <w:r w:rsidR="00A63BDD" w:rsidRPr="00FE560D">
        <w:rPr>
          <w:rFonts w:ascii="Book Antiqua" w:eastAsia="Times New Roman" w:hAnsi="Book Antiqua" w:cs="Times New Roman"/>
          <w:color w:val="000000"/>
          <w:sz w:val="24"/>
          <w:szCs w:val="24"/>
        </w:rPr>
        <w:t xml:space="preserve"> </w:t>
      </w:r>
      <w:r w:rsidRPr="00FE560D">
        <w:rPr>
          <w:rFonts w:ascii="Book Antiqua" w:eastAsia="Times New Roman" w:hAnsi="Book Antiqua" w:cs="Times New Roman"/>
          <w:color w:val="000000"/>
          <w:sz w:val="24"/>
          <w:szCs w:val="24"/>
        </w:rPr>
        <w:t>3</w:t>
      </w:r>
      <w:r w:rsidR="00A63BDD">
        <w:rPr>
          <w:rFonts w:ascii="Book Antiqua" w:hAnsi="Book Antiqua" w:cs="Times New Roman" w:hint="eastAsia"/>
          <w:color w:val="000000"/>
          <w:sz w:val="24"/>
          <w:szCs w:val="24"/>
          <w:lang w:eastAsia="zh-CN"/>
        </w:rPr>
        <w:t xml:space="preserve"> </w:t>
      </w:r>
      <w:r w:rsidRPr="00FE560D">
        <w:rPr>
          <w:rFonts w:ascii="Book Antiqua" w:eastAsia="Times New Roman" w:hAnsi="Book Antiqua" w:cs="Times New Roman"/>
          <w:color w:val="000000"/>
          <w:sz w:val="24"/>
          <w:szCs w:val="24"/>
        </w:rPr>
        <w:t>×</w:t>
      </w:r>
      <w:r w:rsidR="00A63BDD">
        <w:rPr>
          <w:rFonts w:ascii="Book Antiqua" w:hAnsi="Book Antiqua" w:cs="Times New Roman" w:hint="eastAsia"/>
          <w:color w:val="000000"/>
          <w:sz w:val="24"/>
          <w:szCs w:val="24"/>
          <w:lang w:eastAsia="zh-CN"/>
        </w:rPr>
        <w:t xml:space="preserve"> </w:t>
      </w:r>
      <w:r w:rsidRPr="00FE560D">
        <w:rPr>
          <w:rFonts w:ascii="Book Antiqua" w:eastAsia="Times New Roman" w:hAnsi="Book Antiqua" w:cs="Times New Roman"/>
          <w:color w:val="000000"/>
          <w:sz w:val="24"/>
          <w:szCs w:val="24"/>
        </w:rPr>
        <w:t>10</w:t>
      </w:r>
      <w:r w:rsidRPr="00FE560D">
        <w:rPr>
          <w:rFonts w:ascii="Book Antiqua" w:eastAsia="Times New Roman" w:hAnsi="Book Antiqua" w:cs="Times New Roman"/>
          <w:color w:val="000000"/>
          <w:sz w:val="24"/>
          <w:szCs w:val="24"/>
          <w:vertAlign w:val="superscript"/>
        </w:rPr>
        <w:t>-5</w:t>
      </w:r>
      <w:r w:rsidRPr="00FE560D">
        <w:rPr>
          <w:rFonts w:ascii="Book Antiqua" w:eastAsia="Times New Roman" w:hAnsi="Book Antiqua" w:cs="Times New Roman"/>
          <w:color w:val="000000"/>
          <w:sz w:val="24"/>
          <w:szCs w:val="24"/>
        </w:rPr>
        <w:t xml:space="preserve"> IU/m</w:t>
      </w:r>
      <w:r w:rsidR="00A63BDD" w:rsidRPr="00FE560D">
        <w:rPr>
          <w:rFonts w:ascii="Book Antiqua" w:eastAsia="Times New Roman" w:hAnsi="Book Antiqua" w:cs="Times New Roman"/>
          <w:color w:val="000000"/>
          <w:sz w:val="24"/>
          <w:szCs w:val="24"/>
        </w:rPr>
        <w:t>L</w:t>
      </w:r>
      <w:r w:rsidRPr="00FE560D">
        <w:rPr>
          <w:rFonts w:ascii="Book Antiqua" w:eastAsia="Times New Roman" w:hAnsi="Book Antiqua" w:cs="Times New Roman"/>
          <w:color w:val="000000"/>
          <w:sz w:val="24"/>
          <w:szCs w:val="24"/>
        </w:rPr>
        <w:t xml:space="preserve"> </w:t>
      </w:r>
      <w:r w:rsidR="002870E4" w:rsidRPr="00FE560D">
        <w:rPr>
          <w:rFonts w:ascii="Book Antiqua" w:eastAsia="Times New Roman" w:hAnsi="Book Antiqua" w:cs="Times New Roman"/>
          <w:color w:val="000000"/>
          <w:sz w:val="24"/>
          <w:szCs w:val="24"/>
        </w:rPr>
        <w:t>is</w:t>
      </w:r>
      <w:r w:rsidRPr="00FE560D">
        <w:rPr>
          <w:rFonts w:ascii="Book Antiqua" w:eastAsia="Times New Roman" w:hAnsi="Book Antiqua" w:cs="Times New Roman"/>
          <w:color w:val="000000"/>
          <w:sz w:val="24"/>
          <w:szCs w:val="24"/>
        </w:rPr>
        <w:t xml:space="preserve"> the threshold for viral clearance </w:t>
      </w:r>
      <w:r w:rsidRPr="00FE560D">
        <w:rPr>
          <w:rFonts w:ascii="Book Antiqua" w:eastAsia="Times New Roman" w:hAnsi="Book Antiqua" w:cs="Times New Roman"/>
          <w:color w:val="000000"/>
          <w:sz w:val="24"/>
          <w:szCs w:val="24"/>
        </w:rPr>
        <w:lastRenderedPageBreak/>
        <w:t xml:space="preserve">(termed here cure boundary). </w:t>
      </w:r>
      <w:r w:rsidRPr="00FE560D">
        <w:rPr>
          <w:rFonts w:ascii="Book Antiqua" w:hAnsi="Book Antiqua" w:cs="Times New Roman"/>
          <w:sz w:val="24"/>
          <w:szCs w:val="24"/>
          <w:lang w:bidi="ar-SA"/>
        </w:rPr>
        <w:t>The fact that the patient achieved SVR despite a very short course of therapy (24 d) was striking since her viral load level 10 d before DAA therapy stopped (3/15/15) was 97 IU/m</w:t>
      </w:r>
      <w:r w:rsidR="00A63BDD" w:rsidRPr="00FE560D">
        <w:rPr>
          <w:rFonts w:ascii="Book Antiqua" w:hAnsi="Book Antiqua" w:cs="Times New Roman"/>
          <w:sz w:val="24"/>
          <w:szCs w:val="24"/>
          <w:lang w:bidi="ar-SA"/>
        </w:rPr>
        <w:t>L</w:t>
      </w:r>
      <w:r w:rsidRPr="00FE560D">
        <w:rPr>
          <w:rFonts w:ascii="Book Antiqua" w:hAnsi="Book Antiqua" w:cs="Times New Roman"/>
          <w:sz w:val="24"/>
          <w:szCs w:val="24"/>
          <w:lang w:bidi="ar-SA"/>
        </w:rPr>
        <w:t xml:space="preserve">, </w:t>
      </w:r>
      <w:r w:rsidR="002870E4" w:rsidRPr="00FE560D">
        <w:rPr>
          <w:rFonts w:ascii="Book Antiqua" w:hAnsi="Book Antiqua" w:cs="Times New Roman"/>
          <w:sz w:val="24"/>
          <w:szCs w:val="24"/>
          <w:lang w:bidi="ar-SA"/>
        </w:rPr>
        <w:t>which is</w:t>
      </w:r>
      <w:r w:rsidRPr="00FE560D">
        <w:rPr>
          <w:rFonts w:ascii="Book Antiqua" w:hAnsi="Book Antiqua" w:cs="Times New Roman"/>
          <w:sz w:val="24"/>
          <w:szCs w:val="24"/>
          <w:lang w:bidi="ar-SA"/>
        </w:rPr>
        <w:t xml:space="preserve"> several log IU/m</w:t>
      </w:r>
      <w:r w:rsidR="00A63BDD" w:rsidRPr="00FE560D">
        <w:rPr>
          <w:rFonts w:ascii="Book Antiqua" w:hAnsi="Book Antiqua" w:cs="Times New Roman"/>
          <w:sz w:val="24"/>
          <w:szCs w:val="24"/>
          <w:lang w:bidi="ar-SA"/>
        </w:rPr>
        <w:t>L</w:t>
      </w:r>
      <w:r w:rsidRPr="00FE560D">
        <w:rPr>
          <w:rFonts w:ascii="Book Antiqua" w:hAnsi="Book Antiqua" w:cs="Times New Roman"/>
          <w:sz w:val="24"/>
          <w:szCs w:val="24"/>
          <w:lang w:bidi="ar-SA"/>
        </w:rPr>
        <w:t xml:space="preserve"> higher than the cure boundary. To estimate, retrospectively, when the patient reached cure we used </w:t>
      </w:r>
      <w:r w:rsidR="006D1A61" w:rsidRPr="00FE560D">
        <w:rPr>
          <w:rFonts w:ascii="Book Antiqua" w:hAnsi="Book Antiqua" w:cs="Times New Roman"/>
          <w:sz w:val="24"/>
          <w:szCs w:val="24"/>
          <w:lang w:bidi="ar-SA"/>
        </w:rPr>
        <w:t>t</w:t>
      </w:r>
      <w:r w:rsidRPr="00FE560D">
        <w:rPr>
          <w:rFonts w:ascii="Book Antiqua" w:hAnsi="Book Antiqua" w:cs="Times New Roman"/>
          <w:sz w:val="24"/>
          <w:szCs w:val="24"/>
          <w:lang w:bidi="ar-SA"/>
        </w:rPr>
        <w:t xml:space="preserve">he standard biphasic </w:t>
      </w:r>
      <w:r w:rsidR="001279EA" w:rsidRPr="00FE560D">
        <w:rPr>
          <w:rFonts w:ascii="Book Antiqua" w:hAnsi="Book Antiqua" w:cs="Times New Roman"/>
          <w:sz w:val="24"/>
          <w:szCs w:val="24"/>
          <w:lang w:bidi="ar-SA"/>
        </w:rPr>
        <w:t xml:space="preserve">HCV treatment </w:t>
      </w:r>
      <w:r w:rsidR="00A63BDD">
        <w:rPr>
          <w:rFonts w:ascii="Book Antiqua" w:eastAsia="Times New Roman" w:hAnsi="Book Antiqua" w:cs="Times New Roman"/>
          <w:color w:val="000000"/>
          <w:sz w:val="24"/>
          <w:szCs w:val="24"/>
        </w:rPr>
        <w:t>model</w:t>
      </w:r>
      <w:r w:rsidRPr="00FE560D">
        <w:rPr>
          <w:rFonts w:ascii="Book Antiqua" w:eastAsia="Times New Roman" w:hAnsi="Book Antiqua" w:cs="Times New Roman"/>
          <w:noProof/>
          <w:color w:val="000000"/>
          <w:sz w:val="24"/>
          <w:szCs w:val="24"/>
          <w:vertAlign w:val="superscript"/>
        </w:rPr>
        <w:t>[11</w:t>
      </w:r>
      <w:r w:rsidR="00BB50F2" w:rsidRPr="00FE560D">
        <w:rPr>
          <w:rFonts w:ascii="Book Antiqua" w:eastAsia="Times New Roman" w:hAnsi="Book Antiqua" w:cs="Times New Roman"/>
          <w:noProof/>
          <w:color w:val="000000"/>
          <w:sz w:val="24"/>
          <w:szCs w:val="24"/>
          <w:vertAlign w:val="superscript"/>
        </w:rPr>
        <w:t>,12</w:t>
      </w:r>
      <w:r w:rsidRPr="00FE560D">
        <w:rPr>
          <w:rFonts w:ascii="Book Antiqua" w:eastAsia="Times New Roman" w:hAnsi="Book Antiqua" w:cs="Times New Roman"/>
          <w:noProof/>
          <w:color w:val="000000"/>
          <w:sz w:val="24"/>
          <w:szCs w:val="24"/>
          <w:vertAlign w:val="superscript"/>
        </w:rPr>
        <w:t>]</w:t>
      </w:r>
      <w:r w:rsidRPr="00FE560D">
        <w:rPr>
          <w:rFonts w:ascii="Book Antiqua" w:eastAsia="Times New Roman" w:hAnsi="Book Antiqua" w:cs="Times New Roman"/>
          <w:color w:val="000000"/>
          <w:sz w:val="24"/>
          <w:szCs w:val="24"/>
        </w:rPr>
        <w:t xml:space="preserve"> and the multiscale </w:t>
      </w:r>
      <w:r w:rsidR="001279EA" w:rsidRPr="00FE560D">
        <w:rPr>
          <w:rFonts w:ascii="Book Antiqua" w:hAnsi="Book Antiqua" w:cs="Times New Roman"/>
          <w:sz w:val="24"/>
          <w:szCs w:val="24"/>
          <w:lang w:bidi="ar-SA"/>
        </w:rPr>
        <w:t xml:space="preserve">HCV treatment </w:t>
      </w:r>
      <w:r w:rsidR="00A63BDD">
        <w:rPr>
          <w:rFonts w:ascii="Book Antiqua" w:eastAsia="Times New Roman" w:hAnsi="Book Antiqua" w:cs="Times New Roman"/>
          <w:color w:val="000000"/>
          <w:sz w:val="24"/>
          <w:szCs w:val="24"/>
        </w:rPr>
        <w:t>model</w:t>
      </w:r>
      <w:r w:rsidRPr="00FE560D">
        <w:rPr>
          <w:rFonts w:ascii="Book Antiqua" w:eastAsia="Times New Roman" w:hAnsi="Book Antiqua" w:cs="Times New Roman"/>
          <w:noProof/>
          <w:color w:val="000000"/>
          <w:sz w:val="24"/>
          <w:szCs w:val="24"/>
          <w:vertAlign w:val="superscript"/>
        </w:rPr>
        <w:t>[13,14]</w:t>
      </w:r>
      <w:r w:rsidR="002870E4" w:rsidRPr="00FE560D">
        <w:rPr>
          <w:rFonts w:ascii="Book Antiqua" w:eastAsia="Times New Roman" w:hAnsi="Book Antiqua" w:cs="Times New Roman"/>
          <w:color w:val="000000"/>
          <w:sz w:val="24"/>
          <w:szCs w:val="24"/>
        </w:rPr>
        <w:t>. B</w:t>
      </w:r>
      <w:r w:rsidR="001279EA" w:rsidRPr="00FE560D">
        <w:rPr>
          <w:rFonts w:ascii="Book Antiqua" w:eastAsia="Times New Roman" w:hAnsi="Book Antiqua" w:cs="Times New Roman"/>
          <w:color w:val="000000"/>
          <w:sz w:val="24"/>
          <w:szCs w:val="24"/>
        </w:rPr>
        <w:t>oth</w:t>
      </w:r>
      <w:r w:rsidR="006D1A61" w:rsidRPr="00FE560D">
        <w:rPr>
          <w:rFonts w:ascii="Book Antiqua" w:eastAsia="Times New Roman" w:hAnsi="Book Antiqua" w:cs="Times New Roman"/>
          <w:color w:val="000000"/>
          <w:sz w:val="24"/>
          <w:szCs w:val="24"/>
        </w:rPr>
        <w:t xml:space="preserve"> </w:t>
      </w:r>
      <w:r w:rsidR="002870E4" w:rsidRPr="00FE560D">
        <w:rPr>
          <w:rFonts w:ascii="Book Antiqua" w:eastAsia="Times New Roman" w:hAnsi="Book Antiqua" w:cs="Times New Roman"/>
          <w:color w:val="000000"/>
          <w:sz w:val="24"/>
          <w:szCs w:val="24"/>
        </w:rPr>
        <w:t xml:space="preserve">these </w:t>
      </w:r>
      <w:r w:rsidR="006D1A61" w:rsidRPr="00FE560D">
        <w:rPr>
          <w:rFonts w:ascii="Book Antiqua" w:eastAsia="Times New Roman" w:hAnsi="Book Antiqua" w:cs="Times New Roman"/>
          <w:color w:val="000000"/>
          <w:sz w:val="24"/>
          <w:szCs w:val="24"/>
        </w:rPr>
        <w:t xml:space="preserve">models </w:t>
      </w:r>
      <w:r w:rsidR="002870E4" w:rsidRPr="00FE560D">
        <w:rPr>
          <w:rFonts w:ascii="Book Antiqua" w:eastAsia="Times New Roman" w:hAnsi="Book Antiqua" w:cs="Times New Roman"/>
          <w:color w:val="000000"/>
          <w:sz w:val="24"/>
          <w:szCs w:val="24"/>
        </w:rPr>
        <w:t>predicted</w:t>
      </w:r>
      <w:r w:rsidRPr="00FE560D">
        <w:rPr>
          <w:rFonts w:ascii="Book Antiqua" w:eastAsia="Times New Roman" w:hAnsi="Book Antiqua" w:cs="Times New Roman"/>
          <w:color w:val="000000"/>
          <w:sz w:val="24"/>
          <w:szCs w:val="24"/>
        </w:rPr>
        <w:t xml:space="preserve"> that cure </w:t>
      </w:r>
      <w:r w:rsidR="00A63BDD">
        <w:rPr>
          <w:rFonts w:ascii="Book Antiqua" w:eastAsia="Times New Roman" w:hAnsi="Book Antiqua" w:cs="Times New Roman"/>
          <w:color w:val="000000"/>
          <w:sz w:val="24"/>
          <w:szCs w:val="24"/>
        </w:rPr>
        <w:t xml:space="preserve">occurred 3 to 6 </w:t>
      </w:r>
      <w:proofErr w:type="spellStart"/>
      <w:r w:rsidR="00A63BDD">
        <w:rPr>
          <w:rFonts w:ascii="Book Antiqua" w:eastAsia="Times New Roman" w:hAnsi="Book Antiqua" w:cs="Times New Roman"/>
          <w:color w:val="000000"/>
          <w:sz w:val="24"/>
          <w:szCs w:val="24"/>
        </w:rPr>
        <w:t>wk</w:t>
      </w:r>
      <w:proofErr w:type="spellEnd"/>
      <w:r w:rsidRPr="00FE560D">
        <w:rPr>
          <w:rFonts w:ascii="Book Antiqua" w:eastAsia="Times New Roman" w:hAnsi="Book Antiqua" w:cs="Times New Roman"/>
          <w:color w:val="000000"/>
          <w:sz w:val="24"/>
          <w:szCs w:val="24"/>
        </w:rPr>
        <w:t xml:space="preserve"> after therapy was stopped</w:t>
      </w:r>
      <w:r w:rsidR="00B06B8A" w:rsidRPr="00FE560D">
        <w:rPr>
          <w:rFonts w:ascii="Book Antiqua" w:eastAsia="Times New Roman" w:hAnsi="Book Antiqua" w:cs="Times New Roman"/>
          <w:color w:val="000000"/>
          <w:sz w:val="24"/>
          <w:szCs w:val="24"/>
        </w:rPr>
        <w:t xml:space="preserve"> (not shown)</w:t>
      </w:r>
      <w:r w:rsidRPr="00FE560D">
        <w:rPr>
          <w:rFonts w:ascii="Book Antiqua" w:eastAsia="Times New Roman" w:hAnsi="Book Antiqua" w:cs="Times New Roman"/>
          <w:color w:val="000000"/>
          <w:sz w:val="24"/>
          <w:szCs w:val="24"/>
        </w:rPr>
        <w:t xml:space="preserve">. </w:t>
      </w:r>
    </w:p>
    <w:p w14:paraId="16C80D29" w14:textId="77777777" w:rsidR="001279EA" w:rsidRPr="00FE560D" w:rsidRDefault="001279EA" w:rsidP="00FE560D">
      <w:pPr>
        <w:pStyle w:val="a8"/>
        <w:bidi w:val="0"/>
        <w:spacing w:after="0" w:line="360" w:lineRule="auto"/>
        <w:jc w:val="both"/>
        <w:rPr>
          <w:rFonts w:ascii="Book Antiqua" w:hAnsi="Book Antiqua" w:cs="Times New Roman"/>
          <w:b/>
          <w:bCs/>
          <w:sz w:val="24"/>
          <w:szCs w:val="24"/>
        </w:rPr>
      </w:pPr>
    </w:p>
    <w:p w14:paraId="58095276" w14:textId="50E141A4" w:rsidR="0067635A" w:rsidRPr="00A63BDD" w:rsidRDefault="00A63BDD" w:rsidP="00FE560D">
      <w:pPr>
        <w:pStyle w:val="a8"/>
        <w:bidi w:val="0"/>
        <w:spacing w:after="0" w:line="360" w:lineRule="auto"/>
        <w:jc w:val="both"/>
        <w:rPr>
          <w:rFonts w:ascii="Book Antiqua" w:eastAsia="Times New Roman" w:hAnsi="Book Antiqua" w:cs="Times New Roman"/>
          <w:b/>
          <w:color w:val="000000"/>
          <w:spacing w:val="0"/>
          <w:sz w:val="24"/>
          <w:szCs w:val="24"/>
        </w:rPr>
      </w:pPr>
      <w:r w:rsidRPr="00A63BDD">
        <w:rPr>
          <w:rFonts w:ascii="Book Antiqua" w:eastAsia="Times New Roman" w:hAnsi="Book Antiqua" w:cs="Times New Roman"/>
          <w:b/>
          <w:color w:val="000000"/>
          <w:spacing w:val="0"/>
          <w:sz w:val="24"/>
          <w:szCs w:val="24"/>
        </w:rPr>
        <w:t>DISCUSSION</w:t>
      </w:r>
    </w:p>
    <w:p w14:paraId="78AD5075" w14:textId="0BEEE7A9" w:rsidR="0067635A" w:rsidRPr="00FE560D" w:rsidRDefault="0067635A" w:rsidP="00FE560D">
      <w:pPr>
        <w:bidi w:val="0"/>
        <w:spacing w:after="0" w:line="360" w:lineRule="auto"/>
        <w:jc w:val="both"/>
        <w:rPr>
          <w:rFonts w:ascii="Book Antiqua" w:eastAsia="Times New Roman" w:hAnsi="Book Antiqua" w:cs="Times New Roman"/>
          <w:color w:val="000000"/>
          <w:sz w:val="24"/>
          <w:szCs w:val="24"/>
        </w:rPr>
      </w:pPr>
      <w:r w:rsidRPr="00FE560D">
        <w:rPr>
          <w:rFonts w:ascii="Book Antiqua" w:eastAsia="Times New Roman" w:hAnsi="Book Antiqua" w:cs="Times New Roman"/>
          <w:color w:val="000000"/>
          <w:sz w:val="24"/>
          <w:szCs w:val="24"/>
        </w:rPr>
        <w:t xml:space="preserve">Herein we detail hepatic decompensation in a patient treated with </w:t>
      </w:r>
      <w:proofErr w:type="spellStart"/>
      <w:r w:rsidRPr="00FE560D">
        <w:rPr>
          <w:rFonts w:ascii="Book Antiqua" w:hAnsi="Book Antiqua" w:cs="Times New Roman"/>
          <w:sz w:val="24"/>
          <w:szCs w:val="24"/>
        </w:rPr>
        <w:t>PODr</w:t>
      </w:r>
      <w:proofErr w:type="spellEnd"/>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A63BDD">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 xml:space="preserve">. The patient had Child’s-Pugh class A cirrhosis prior to initiation of treatment and presented with jaundice and ascites 14 d after DAA therapy was started. Treatment was discontinued on day 24. She had a prolonged recovery and gradually returned to her baseline condition. She achieved SVR despite a truncated course of therapy. </w:t>
      </w:r>
      <w:r w:rsidRPr="00FE560D">
        <w:rPr>
          <w:rFonts w:ascii="Book Antiqua" w:hAnsi="Book Antiqua" w:cs="Times New Roman"/>
          <w:sz w:val="24"/>
          <w:szCs w:val="24"/>
        </w:rPr>
        <w:t>No causes of liver injury other than DAA were identified in the present case and the available data are consistent with the mini</w:t>
      </w:r>
      <w:r w:rsidR="004907D9">
        <w:rPr>
          <w:rFonts w:ascii="Book Antiqua" w:hAnsi="Book Antiqua" w:cs="Times New Roman"/>
          <w:sz w:val="24"/>
          <w:szCs w:val="24"/>
        </w:rPr>
        <w:t>mal elements for reporting DILI</w:t>
      </w:r>
      <w:r w:rsidRPr="00FE560D">
        <w:rPr>
          <w:rFonts w:ascii="Book Antiqua" w:hAnsi="Book Antiqua" w:cs="Times New Roman"/>
          <w:noProof/>
          <w:sz w:val="24"/>
          <w:szCs w:val="24"/>
          <w:vertAlign w:val="superscript"/>
        </w:rPr>
        <w:t>[1</w:t>
      </w:r>
      <w:r w:rsidR="00952CB3">
        <w:rPr>
          <w:rFonts w:ascii="Book Antiqua" w:hAnsi="Book Antiqua" w:cs="Times New Roman" w:hint="eastAsia"/>
          <w:noProof/>
          <w:sz w:val="24"/>
          <w:szCs w:val="24"/>
          <w:vertAlign w:val="superscript"/>
          <w:lang w:eastAsia="zh-CN"/>
        </w:rPr>
        <w:t>5</w:t>
      </w:r>
      <w:r w:rsidRPr="00FE560D">
        <w:rPr>
          <w:rFonts w:ascii="Book Antiqua" w:hAnsi="Book Antiqua" w:cs="Times New Roman"/>
          <w:noProof/>
          <w:sz w:val="24"/>
          <w:szCs w:val="24"/>
          <w:vertAlign w:val="superscript"/>
        </w:rPr>
        <w:t>]</w:t>
      </w:r>
      <w:r w:rsidRPr="00FE560D">
        <w:rPr>
          <w:rFonts w:ascii="Book Antiqua" w:hAnsi="Book Antiqua" w:cs="Times New Roman"/>
          <w:sz w:val="24"/>
          <w:szCs w:val="24"/>
        </w:rPr>
        <w:t>.</w:t>
      </w:r>
    </w:p>
    <w:p w14:paraId="2BF47F4F" w14:textId="6739E9C7" w:rsidR="0067635A" w:rsidRPr="00FE560D" w:rsidRDefault="0067635A" w:rsidP="004907D9">
      <w:pPr>
        <w:bidi w:val="0"/>
        <w:spacing w:after="0" w:line="360" w:lineRule="auto"/>
        <w:ind w:firstLineChars="100" w:firstLine="240"/>
        <w:jc w:val="both"/>
        <w:rPr>
          <w:rFonts w:ascii="Book Antiqua" w:hAnsi="Book Antiqua" w:cs="Times New Roman"/>
          <w:sz w:val="24"/>
          <w:szCs w:val="24"/>
          <w:lang w:bidi="ar-SA"/>
        </w:rPr>
      </w:pPr>
      <w:r w:rsidRPr="00FE560D">
        <w:rPr>
          <w:rFonts w:ascii="Book Antiqua" w:eastAsia="Times New Roman" w:hAnsi="Book Antiqua" w:cs="Times New Roman"/>
          <w:color w:val="000000"/>
          <w:sz w:val="24"/>
          <w:szCs w:val="24"/>
        </w:rPr>
        <w:t xml:space="preserve">The patient’s presentation is consistent with the pattern of </w:t>
      </w:r>
      <w:proofErr w:type="spellStart"/>
      <w:r w:rsidRPr="00FE560D">
        <w:rPr>
          <w:rFonts w:ascii="Book Antiqua" w:hAnsi="Book Antiqua" w:cs="Times New Roman"/>
          <w:sz w:val="24"/>
          <w:szCs w:val="24"/>
        </w:rPr>
        <w:t>PODr</w:t>
      </w:r>
      <w:proofErr w:type="spellEnd"/>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-related liver injury reported by the FDA with an early onset of hyperbilirubine</w:t>
      </w:r>
      <w:r w:rsidR="004907D9">
        <w:rPr>
          <w:rFonts w:ascii="Book Antiqua" w:eastAsia="Times New Roman" w:hAnsi="Book Antiqua" w:cs="Times New Roman"/>
          <w:color w:val="000000"/>
          <w:sz w:val="24"/>
          <w:szCs w:val="24"/>
        </w:rPr>
        <w:t>mia without a rise in ALT level</w:t>
      </w:r>
      <w:r w:rsidRPr="00FE560D">
        <w:rPr>
          <w:rFonts w:ascii="Book Antiqua" w:eastAsia="Times New Roman" w:hAnsi="Book Antiqua" w:cs="Times New Roman"/>
          <w:noProof/>
          <w:color w:val="000000"/>
          <w:sz w:val="24"/>
          <w:szCs w:val="24"/>
          <w:vertAlign w:val="superscript"/>
        </w:rPr>
        <w:t>[5]</w:t>
      </w:r>
      <w:r w:rsidRPr="00FE560D">
        <w:rPr>
          <w:rFonts w:ascii="Book Antiqua" w:hAnsi="Book Antiqua" w:cs="Times New Roman"/>
          <w:sz w:val="24"/>
          <w:szCs w:val="24"/>
        </w:rPr>
        <w:t xml:space="preserve">. Similarly, two cases of severe liver injury in patients with decompensated cirrhosis treated with </w:t>
      </w:r>
      <w:proofErr w:type="spellStart"/>
      <w:r w:rsidRPr="00FE560D">
        <w:rPr>
          <w:rFonts w:ascii="Book Antiqua" w:hAnsi="Book Antiqua" w:cs="Times New Roman"/>
          <w:sz w:val="24"/>
          <w:szCs w:val="24"/>
        </w:rPr>
        <w:t>sofosbuvir</w:t>
      </w:r>
      <w:proofErr w:type="spellEnd"/>
      <w:r w:rsidRPr="00FE560D">
        <w:rPr>
          <w:rFonts w:ascii="Book Antiqua" w:hAnsi="Book Antiqua" w:cs="Times New Roman"/>
          <w:sz w:val="24"/>
          <w:szCs w:val="24"/>
        </w:rPr>
        <w:t xml:space="preserve"> and a NS5A inhibitor were characterized by a rising bilirub</w:t>
      </w:r>
      <w:r w:rsidR="004907D9">
        <w:rPr>
          <w:rFonts w:ascii="Book Antiqua" w:hAnsi="Book Antiqua" w:cs="Times New Roman"/>
          <w:sz w:val="24"/>
          <w:szCs w:val="24"/>
        </w:rPr>
        <w:t>in level with stable ALT levels</w:t>
      </w:r>
      <w:r w:rsidRPr="00FE560D">
        <w:rPr>
          <w:rFonts w:ascii="Book Antiqua" w:hAnsi="Book Antiqua" w:cs="Times New Roman"/>
          <w:noProof/>
          <w:sz w:val="24"/>
          <w:szCs w:val="24"/>
          <w:vertAlign w:val="superscript"/>
        </w:rPr>
        <w:t>[6]</w:t>
      </w:r>
      <w:r w:rsidRPr="00FE560D">
        <w:rPr>
          <w:rFonts w:ascii="Book Antiqua" w:hAnsi="Book Antiqua" w:cs="Times New Roman"/>
          <w:sz w:val="24"/>
          <w:szCs w:val="24"/>
        </w:rPr>
        <w:t xml:space="preserve">. Aminotransferase levels were not reported in the other two </w:t>
      </w:r>
      <w:proofErr w:type="spellStart"/>
      <w:r w:rsidRPr="00FE560D">
        <w:rPr>
          <w:rFonts w:ascii="Book Antiqua" w:hAnsi="Book Antiqua" w:cs="Times New Roman"/>
          <w:sz w:val="24"/>
          <w:szCs w:val="24"/>
        </w:rPr>
        <w:t>sofos</w:t>
      </w:r>
      <w:r w:rsidR="004907D9">
        <w:rPr>
          <w:rFonts w:ascii="Book Antiqua" w:hAnsi="Book Antiqua" w:cs="Times New Roman"/>
          <w:sz w:val="24"/>
          <w:szCs w:val="24"/>
        </w:rPr>
        <w:t>buvir</w:t>
      </w:r>
      <w:proofErr w:type="spellEnd"/>
      <w:r w:rsidR="004907D9">
        <w:rPr>
          <w:rFonts w:ascii="Book Antiqua" w:hAnsi="Book Antiqua" w:cs="Times New Roman"/>
          <w:sz w:val="24"/>
          <w:szCs w:val="24"/>
        </w:rPr>
        <w:t>/NS5A inhibitor DILI cases</w:t>
      </w:r>
      <w:r w:rsidRPr="00FE560D">
        <w:rPr>
          <w:rFonts w:ascii="Book Antiqua" w:hAnsi="Book Antiqua" w:cs="Times New Roman"/>
          <w:noProof/>
          <w:sz w:val="24"/>
          <w:szCs w:val="24"/>
          <w:vertAlign w:val="superscript"/>
        </w:rPr>
        <w:t>[7,8]</w:t>
      </w:r>
      <w:r w:rsidRPr="00FE560D">
        <w:rPr>
          <w:rFonts w:ascii="Book Antiqua" w:hAnsi="Book Antiqua" w:cs="Times New Roman"/>
          <w:sz w:val="24"/>
          <w:szCs w:val="24"/>
        </w:rPr>
        <w:t>. It is critical that clinicians be aware that aminotransferase levels do not tend to rise prior to, or in parallel with bilirubin levels in patients with DAA-related DILI, as failure to recognize this pattern could delay recognition of severe liver injury and discontinuation of therapy.</w:t>
      </w:r>
      <w:r w:rsidRPr="00FE560D">
        <w:rPr>
          <w:rFonts w:ascii="Book Antiqua" w:hAnsi="Book Antiqua" w:cs="Times New Roman"/>
          <w:sz w:val="24"/>
          <w:szCs w:val="24"/>
          <w:lang w:bidi="ar-SA"/>
        </w:rPr>
        <w:t xml:space="preserve"> </w:t>
      </w:r>
    </w:p>
    <w:p w14:paraId="5DC4B544" w14:textId="11E056CA" w:rsidR="0067635A" w:rsidRPr="00FE560D" w:rsidRDefault="0067635A" w:rsidP="004907D9">
      <w:pPr>
        <w:bidi w:val="0"/>
        <w:spacing w:after="0" w:line="360" w:lineRule="auto"/>
        <w:ind w:firstLineChars="100" w:firstLine="240"/>
        <w:jc w:val="both"/>
        <w:rPr>
          <w:rFonts w:ascii="Book Antiqua" w:eastAsia="Times New Roman" w:hAnsi="Book Antiqua" w:cs="Times New Roman"/>
          <w:color w:val="000000"/>
          <w:sz w:val="24"/>
          <w:szCs w:val="24"/>
        </w:rPr>
      </w:pPr>
      <w:r w:rsidRPr="00FE560D">
        <w:rPr>
          <w:rFonts w:ascii="Book Antiqua" w:eastAsia="Times New Roman" w:hAnsi="Book Antiqua" w:cs="Times New Roman"/>
          <w:color w:val="000000"/>
          <w:sz w:val="24"/>
          <w:szCs w:val="24"/>
        </w:rPr>
        <w:t xml:space="preserve">The most novel and important feature of the present case is that the patient had well compensated liver disease before starting treatment with a CTP score of 6 and a MELD score of 7. In contrast, the FDA Drug Safety Communication emphasized that </w:t>
      </w:r>
      <w:proofErr w:type="spellStart"/>
      <w:r w:rsidRPr="00FE560D">
        <w:rPr>
          <w:rFonts w:ascii="Book Antiqua" w:hAnsi="Book Antiqua" w:cs="Times New Roman"/>
          <w:sz w:val="24"/>
          <w:szCs w:val="24"/>
        </w:rPr>
        <w:t>PODr</w:t>
      </w:r>
      <w:proofErr w:type="spellEnd"/>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 xml:space="preserve"> is contraindicated in patients with Child’s Pugh class B and C cirrhosis. The current case </w:t>
      </w:r>
      <w:r w:rsidRPr="00FE560D">
        <w:rPr>
          <w:rFonts w:ascii="Book Antiqua" w:eastAsia="Times New Roman" w:hAnsi="Book Antiqua" w:cs="Times New Roman"/>
          <w:color w:val="000000"/>
          <w:sz w:val="24"/>
          <w:szCs w:val="24"/>
        </w:rPr>
        <w:lastRenderedPageBreak/>
        <w:t xml:space="preserve">provides evidence that patients with Child’s Pugh class A cirrhosis are at risk for severe DILI with </w:t>
      </w:r>
      <w:proofErr w:type="spellStart"/>
      <w:r w:rsidRPr="00FE560D">
        <w:rPr>
          <w:rFonts w:ascii="Book Antiqua" w:hAnsi="Book Antiqua" w:cs="Times New Roman"/>
          <w:sz w:val="24"/>
          <w:szCs w:val="24"/>
        </w:rPr>
        <w:t>PODr</w:t>
      </w:r>
      <w:proofErr w:type="spellEnd"/>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 xml:space="preserve">. </w:t>
      </w:r>
    </w:p>
    <w:p w14:paraId="5E6ADB0D" w14:textId="33CA57A7" w:rsidR="0067635A" w:rsidRPr="00FE560D" w:rsidRDefault="0067635A" w:rsidP="004907D9">
      <w:pPr>
        <w:bidi w:val="0"/>
        <w:spacing w:after="0" w:line="360" w:lineRule="auto"/>
        <w:ind w:firstLineChars="100" w:firstLine="240"/>
        <w:jc w:val="both"/>
        <w:rPr>
          <w:rFonts w:ascii="Book Antiqua" w:eastAsia="Times New Roman" w:hAnsi="Book Antiqua" w:cs="Times New Roman"/>
          <w:color w:val="000000"/>
          <w:sz w:val="24"/>
          <w:szCs w:val="24"/>
        </w:rPr>
      </w:pPr>
      <w:r w:rsidRPr="00FE560D">
        <w:rPr>
          <w:rFonts w:ascii="Book Antiqua" w:eastAsia="Times New Roman" w:hAnsi="Book Antiqua" w:cs="Times New Roman"/>
          <w:color w:val="000000"/>
          <w:sz w:val="24"/>
          <w:szCs w:val="24"/>
        </w:rPr>
        <w:t>Of interest, HCV was eradicated with only 24 d of treatment.</w:t>
      </w:r>
      <w:r w:rsidR="002870E4" w:rsidRPr="00FE560D">
        <w:rPr>
          <w:rFonts w:ascii="Book Antiqua" w:eastAsia="Times New Roman" w:hAnsi="Book Antiqua" w:cs="Times New Roman"/>
          <w:color w:val="000000"/>
          <w:sz w:val="24"/>
          <w:szCs w:val="24"/>
        </w:rPr>
        <w:t xml:space="preserve"> </w:t>
      </w:r>
      <w:r w:rsidR="009F5219" w:rsidRPr="00FE560D">
        <w:rPr>
          <w:rFonts w:ascii="Book Antiqua" w:eastAsia="Times New Roman" w:hAnsi="Book Antiqua" w:cs="Times New Roman"/>
          <w:color w:val="000000"/>
          <w:sz w:val="24"/>
          <w:szCs w:val="24"/>
        </w:rPr>
        <w:t>B</w:t>
      </w:r>
      <w:r w:rsidRPr="00FE560D">
        <w:rPr>
          <w:rFonts w:ascii="Book Antiqua" w:eastAsia="Times New Roman" w:hAnsi="Book Antiqua" w:cs="Times New Roman"/>
          <w:color w:val="000000"/>
          <w:sz w:val="24"/>
          <w:szCs w:val="24"/>
        </w:rPr>
        <w:t>oth the standard biphasic and the multiscale models of HCV kinetics during therapy suggest that cure might ha</w:t>
      </w:r>
      <w:r w:rsidR="004907D9">
        <w:rPr>
          <w:rFonts w:ascii="Book Antiqua" w:eastAsia="Times New Roman" w:hAnsi="Book Antiqua" w:cs="Times New Roman"/>
          <w:color w:val="000000"/>
          <w:sz w:val="24"/>
          <w:szCs w:val="24"/>
        </w:rPr>
        <w:t xml:space="preserve">ve occurred between 3 to 6 </w:t>
      </w:r>
      <w:proofErr w:type="spellStart"/>
      <w:r w:rsidR="004907D9">
        <w:rPr>
          <w:rFonts w:ascii="Book Antiqua" w:eastAsia="Times New Roman" w:hAnsi="Book Antiqua" w:cs="Times New Roman"/>
          <w:color w:val="000000"/>
          <w:sz w:val="24"/>
          <w:szCs w:val="24"/>
        </w:rPr>
        <w:t>wk</w:t>
      </w:r>
      <w:proofErr w:type="spellEnd"/>
      <w:r w:rsidRPr="00FE560D">
        <w:rPr>
          <w:rFonts w:ascii="Book Antiqua" w:eastAsia="Times New Roman" w:hAnsi="Book Antiqua" w:cs="Times New Roman"/>
          <w:color w:val="000000"/>
          <w:sz w:val="24"/>
          <w:szCs w:val="24"/>
        </w:rPr>
        <w:t xml:space="preserve"> after therapy was stopped</w:t>
      </w:r>
      <w:r w:rsidR="009F5219" w:rsidRPr="00FE560D">
        <w:rPr>
          <w:rFonts w:ascii="Book Antiqua" w:eastAsia="Times New Roman" w:hAnsi="Book Antiqua" w:cs="Times New Roman"/>
          <w:color w:val="000000"/>
          <w:sz w:val="24"/>
          <w:szCs w:val="24"/>
        </w:rPr>
        <w:t xml:space="preserve">. While it is not feasible that the drugs had a prolonged direct antiviral effect, in theory the ongoing liver injury </w:t>
      </w:r>
      <w:r w:rsidR="008A3806" w:rsidRPr="00FE560D">
        <w:rPr>
          <w:rFonts w:ascii="Book Antiqua" w:eastAsia="Times New Roman" w:hAnsi="Book Antiqua" w:cs="Times New Roman"/>
          <w:color w:val="000000"/>
          <w:sz w:val="24"/>
          <w:szCs w:val="24"/>
        </w:rPr>
        <w:t>(</w:t>
      </w:r>
      <w:r w:rsidR="008A3806" w:rsidRPr="004907D9">
        <w:rPr>
          <w:rFonts w:ascii="Book Antiqua" w:eastAsia="Times New Roman" w:hAnsi="Book Antiqua" w:cs="Times New Roman"/>
          <w:i/>
          <w:color w:val="000000"/>
          <w:sz w:val="24"/>
          <w:szCs w:val="24"/>
        </w:rPr>
        <w:t>i.e.</w:t>
      </w:r>
      <w:r w:rsidR="004907D9">
        <w:rPr>
          <w:rFonts w:ascii="Book Antiqua" w:hAnsi="Book Antiqua" w:cs="Times New Roman" w:hint="eastAsia"/>
          <w:color w:val="000000"/>
          <w:sz w:val="24"/>
          <w:szCs w:val="24"/>
          <w:lang w:eastAsia="zh-CN"/>
        </w:rPr>
        <w:t>,</w:t>
      </w:r>
      <w:r w:rsidR="008A3806" w:rsidRPr="00FE560D">
        <w:rPr>
          <w:rFonts w:ascii="Book Antiqua" w:eastAsia="Times New Roman" w:hAnsi="Book Antiqua" w:cs="Times New Roman"/>
          <w:color w:val="000000"/>
          <w:sz w:val="24"/>
          <w:szCs w:val="24"/>
        </w:rPr>
        <w:t xml:space="preserve"> cell loss) </w:t>
      </w:r>
      <w:r w:rsidR="009F5219" w:rsidRPr="00FE560D">
        <w:rPr>
          <w:rFonts w:ascii="Book Antiqua" w:eastAsia="Times New Roman" w:hAnsi="Book Antiqua" w:cs="Times New Roman"/>
          <w:color w:val="000000"/>
          <w:sz w:val="24"/>
          <w:szCs w:val="24"/>
        </w:rPr>
        <w:t>and</w:t>
      </w:r>
      <w:r w:rsidR="008A3806" w:rsidRPr="00FE560D">
        <w:rPr>
          <w:rFonts w:ascii="Book Antiqua" w:eastAsia="Times New Roman" w:hAnsi="Book Antiqua" w:cs="Times New Roman"/>
          <w:color w:val="000000"/>
          <w:sz w:val="24"/>
          <w:szCs w:val="24"/>
        </w:rPr>
        <w:t>/or</w:t>
      </w:r>
      <w:r w:rsidR="009F5219" w:rsidRPr="00FE560D">
        <w:rPr>
          <w:rFonts w:ascii="Book Antiqua" w:eastAsia="Times New Roman" w:hAnsi="Book Antiqua" w:cs="Times New Roman"/>
          <w:color w:val="000000"/>
          <w:sz w:val="24"/>
          <w:szCs w:val="24"/>
        </w:rPr>
        <w:t xml:space="preserve"> </w:t>
      </w:r>
      <w:r w:rsidR="008A3806" w:rsidRPr="00FE560D">
        <w:rPr>
          <w:rFonts w:ascii="Book Antiqua" w:eastAsia="Times New Roman" w:hAnsi="Book Antiqua" w:cs="Times New Roman"/>
          <w:color w:val="000000"/>
          <w:sz w:val="24"/>
          <w:szCs w:val="24"/>
        </w:rPr>
        <w:t xml:space="preserve">resulting </w:t>
      </w:r>
      <w:r w:rsidR="009F5219" w:rsidRPr="00FE560D">
        <w:rPr>
          <w:rFonts w:ascii="Book Antiqua" w:eastAsia="Times New Roman" w:hAnsi="Book Antiqua" w:cs="Times New Roman"/>
          <w:color w:val="000000"/>
          <w:sz w:val="24"/>
          <w:szCs w:val="24"/>
        </w:rPr>
        <w:t>inflammation might have exerted</w:t>
      </w:r>
      <w:r w:rsidR="008A3806" w:rsidRPr="00FE560D">
        <w:rPr>
          <w:rFonts w:ascii="Book Antiqua" w:eastAsia="Times New Roman" w:hAnsi="Book Antiqua" w:cs="Times New Roman"/>
          <w:color w:val="000000"/>
          <w:sz w:val="24"/>
          <w:szCs w:val="24"/>
        </w:rPr>
        <w:t xml:space="preserve"> an </w:t>
      </w:r>
      <w:r w:rsidR="009F5219" w:rsidRPr="00FE560D">
        <w:rPr>
          <w:rFonts w:ascii="Book Antiqua" w:eastAsia="Times New Roman" w:hAnsi="Book Antiqua" w:cs="Times New Roman"/>
          <w:color w:val="000000"/>
          <w:sz w:val="24"/>
          <w:szCs w:val="24"/>
        </w:rPr>
        <w:t>immune mediated antiviral effect.</w:t>
      </w:r>
      <w:r w:rsidRPr="00FE560D">
        <w:rPr>
          <w:rFonts w:ascii="Book Antiqua" w:eastAsia="Times New Roman" w:hAnsi="Book Antiqua" w:cs="Times New Roman"/>
          <w:color w:val="000000"/>
          <w:sz w:val="24"/>
          <w:szCs w:val="24"/>
        </w:rPr>
        <w:t xml:space="preserve"> </w:t>
      </w:r>
      <w:r w:rsidR="003577DB" w:rsidRPr="00FE560D">
        <w:rPr>
          <w:rFonts w:ascii="Book Antiqua" w:eastAsia="Times New Roman" w:hAnsi="Book Antiqua" w:cstheme="majorBidi"/>
          <w:color w:val="000000"/>
          <w:sz w:val="24"/>
          <w:szCs w:val="24"/>
        </w:rPr>
        <w:t xml:space="preserve">Alternatively, cure might have occurred by the end of DAA therapy </w:t>
      </w:r>
      <w:r w:rsidR="009F5219" w:rsidRPr="00FE560D">
        <w:rPr>
          <w:rFonts w:ascii="Book Antiqua" w:eastAsia="Times New Roman" w:hAnsi="Book Antiqua" w:cstheme="majorBidi"/>
          <w:color w:val="000000"/>
          <w:sz w:val="24"/>
          <w:szCs w:val="24"/>
        </w:rPr>
        <w:t>if the</w:t>
      </w:r>
      <w:r w:rsidR="003577DB" w:rsidRPr="00FE560D">
        <w:rPr>
          <w:rFonts w:ascii="Book Antiqua" w:eastAsia="Times New Roman" w:hAnsi="Book Antiqua" w:cstheme="majorBidi"/>
          <w:color w:val="000000"/>
          <w:sz w:val="24"/>
          <w:szCs w:val="24"/>
        </w:rPr>
        <w:t xml:space="preserve"> DAAs affect</w:t>
      </w:r>
      <w:r w:rsidR="009F5219" w:rsidRPr="00FE560D">
        <w:rPr>
          <w:rFonts w:ascii="Book Antiqua" w:eastAsia="Times New Roman" w:hAnsi="Book Antiqua" w:cstheme="majorBidi"/>
          <w:color w:val="000000"/>
          <w:sz w:val="24"/>
          <w:szCs w:val="24"/>
        </w:rPr>
        <w:t>ed</w:t>
      </w:r>
      <w:r w:rsidR="003577DB" w:rsidRPr="00FE560D">
        <w:rPr>
          <w:rFonts w:ascii="Book Antiqua" w:eastAsia="Times New Roman" w:hAnsi="Book Antiqua" w:cstheme="majorBidi"/>
          <w:color w:val="000000"/>
          <w:sz w:val="24"/>
          <w:szCs w:val="24"/>
        </w:rPr>
        <w:t xml:space="preserve"> the ratio between non-infectious and infectious viral particles</w:t>
      </w:r>
      <w:r w:rsidR="009F5219" w:rsidRPr="00FE560D">
        <w:rPr>
          <w:rFonts w:ascii="Book Antiqua" w:eastAsia="Times New Roman" w:hAnsi="Book Antiqua" w:cstheme="majorBidi"/>
          <w:color w:val="000000"/>
          <w:sz w:val="24"/>
          <w:szCs w:val="24"/>
        </w:rPr>
        <w:t xml:space="preserve"> (</w:t>
      </w:r>
      <w:r w:rsidR="009F5219" w:rsidRPr="004907D9">
        <w:rPr>
          <w:rFonts w:ascii="Book Antiqua" w:eastAsia="Times New Roman" w:hAnsi="Book Antiqua" w:cstheme="majorBidi"/>
          <w:i/>
          <w:color w:val="000000"/>
          <w:sz w:val="24"/>
          <w:szCs w:val="24"/>
        </w:rPr>
        <w:t>i.e.</w:t>
      </w:r>
      <w:r w:rsidR="004907D9">
        <w:rPr>
          <w:rFonts w:ascii="Book Antiqua" w:hAnsi="Book Antiqua" w:cstheme="majorBidi" w:hint="eastAsia"/>
          <w:color w:val="000000"/>
          <w:sz w:val="24"/>
          <w:szCs w:val="24"/>
          <w:lang w:eastAsia="zh-CN"/>
        </w:rPr>
        <w:t>,</w:t>
      </w:r>
      <w:r w:rsidR="009F5219" w:rsidRPr="00FE560D">
        <w:rPr>
          <w:rFonts w:ascii="Book Antiqua" w:eastAsia="Times New Roman" w:hAnsi="Book Antiqua" w:cstheme="majorBidi"/>
          <w:color w:val="000000"/>
          <w:sz w:val="24"/>
          <w:szCs w:val="24"/>
        </w:rPr>
        <w:t xml:space="preserve"> viral infectivity) as previously observed during HCV DAA treatment in cell culture</w:t>
      </w:r>
      <w:r w:rsidR="003577DB" w:rsidRPr="00FE560D">
        <w:rPr>
          <w:rFonts w:ascii="Book Antiqua" w:eastAsia="Times New Roman" w:hAnsi="Book Antiqua" w:cstheme="majorBidi"/>
          <w:noProof/>
          <w:color w:val="000000"/>
          <w:sz w:val="24"/>
          <w:szCs w:val="24"/>
          <w:vertAlign w:val="superscript"/>
        </w:rPr>
        <w:t>[1</w:t>
      </w:r>
      <w:r w:rsidR="00952CB3">
        <w:rPr>
          <w:rFonts w:ascii="Book Antiqua" w:hAnsi="Book Antiqua" w:cstheme="majorBidi" w:hint="eastAsia"/>
          <w:noProof/>
          <w:color w:val="000000"/>
          <w:sz w:val="24"/>
          <w:szCs w:val="24"/>
          <w:vertAlign w:val="superscript"/>
          <w:lang w:eastAsia="zh-CN"/>
        </w:rPr>
        <w:t>6</w:t>
      </w:r>
      <w:r w:rsidR="003577DB" w:rsidRPr="00FE560D">
        <w:rPr>
          <w:rFonts w:ascii="Book Antiqua" w:eastAsia="Times New Roman" w:hAnsi="Book Antiqua" w:cstheme="majorBidi"/>
          <w:noProof/>
          <w:color w:val="000000"/>
          <w:sz w:val="24"/>
          <w:szCs w:val="24"/>
          <w:vertAlign w:val="superscript"/>
        </w:rPr>
        <w:t>]</w:t>
      </w:r>
      <w:r w:rsidR="003577DB" w:rsidRPr="00FE560D">
        <w:rPr>
          <w:rFonts w:ascii="Book Antiqua" w:hAnsi="Book Antiqua" w:cstheme="majorBidi"/>
          <w:bCs/>
          <w:sz w:val="24"/>
          <w:szCs w:val="24"/>
        </w:rPr>
        <w:t xml:space="preserve">. That is, DAAs may reduce the infectivity of the virus particles produced such that </w:t>
      </w:r>
      <w:r w:rsidR="008A3806" w:rsidRPr="00FE560D">
        <w:rPr>
          <w:rFonts w:ascii="Book Antiqua" w:hAnsi="Book Antiqua" w:cstheme="majorBidi"/>
          <w:bCs/>
          <w:sz w:val="24"/>
          <w:szCs w:val="24"/>
        </w:rPr>
        <w:t>only a small fraction of the viral RNA detected 10 d before drug cessation was infectious</w:t>
      </w:r>
      <w:r w:rsidR="003577DB" w:rsidRPr="00FE560D">
        <w:rPr>
          <w:rFonts w:ascii="Book Antiqua" w:hAnsi="Book Antiqua" w:cstheme="majorBidi"/>
          <w:sz w:val="24"/>
          <w:szCs w:val="24"/>
          <w:lang w:bidi="ar-SA"/>
        </w:rPr>
        <w:t xml:space="preserve">. </w:t>
      </w:r>
      <w:r w:rsidRPr="00FE560D">
        <w:rPr>
          <w:rFonts w:ascii="Book Antiqua" w:eastAsia="Times New Roman" w:hAnsi="Book Antiqua" w:cs="Times New Roman"/>
          <w:color w:val="000000"/>
          <w:sz w:val="24"/>
          <w:szCs w:val="24"/>
        </w:rPr>
        <w:t xml:space="preserve">This alternative explanation </w:t>
      </w:r>
      <w:r w:rsidR="008A3806" w:rsidRPr="00FE560D">
        <w:rPr>
          <w:rFonts w:ascii="Book Antiqua" w:eastAsia="Times New Roman" w:hAnsi="Book Antiqua" w:cs="Times New Roman"/>
          <w:color w:val="000000"/>
          <w:sz w:val="24"/>
          <w:szCs w:val="24"/>
        </w:rPr>
        <w:t xml:space="preserve">is also consistent with reports </w:t>
      </w:r>
      <w:r w:rsidRPr="00FE560D">
        <w:rPr>
          <w:rFonts w:ascii="Book Antiqua" w:eastAsia="Times New Roman" w:hAnsi="Book Antiqua" w:cs="Times New Roman"/>
          <w:color w:val="000000"/>
          <w:sz w:val="24"/>
          <w:szCs w:val="24"/>
        </w:rPr>
        <w:t xml:space="preserve">in which some patients treated with DAAs were documented to achieve SVR despite having detectable </w:t>
      </w:r>
      <w:r w:rsidR="008A3806" w:rsidRPr="00FE560D">
        <w:rPr>
          <w:rFonts w:ascii="Book Antiqua" w:eastAsia="Times New Roman" w:hAnsi="Book Antiqua" w:cs="Times New Roman"/>
          <w:color w:val="000000"/>
          <w:sz w:val="24"/>
          <w:szCs w:val="24"/>
        </w:rPr>
        <w:t xml:space="preserve">HCV RNA </w:t>
      </w:r>
      <w:r w:rsidRPr="00FE560D">
        <w:rPr>
          <w:rFonts w:ascii="Book Antiqua" w:eastAsia="Times New Roman" w:hAnsi="Book Antiqua" w:cs="Times New Roman"/>
          <w:color w:val="000000"/>
          <w:sz w:val="24"/>
          <w:szCs w:val="24"/>
        </w:rPr>
        <w:t>at end of treatment</w:t>
      </w:r>
      <w:r w:rsidR="008A3806" w:rsidRPr="00FE560D">
        <w:rPr>
          <w:rFonts w:ascii="Book Antiqua" w:hAnsi="Book Antiqua" w:cstheme="majorBidi"/>
          <w:noProof/>
          <w:sz w:val="24"/>
          <w:szCs w:val="24"/>
          <w:vertAlign w:val="superscript"/>
        </w:rPr>
        <w:t>[17,18]</w:t>
      </w:r>
      <w:r w:rsidRPr="00FE560D">
        <w:rPr>
          <w:rFonts w:ascii="Book Antiqua" w:eastAsia="Times New Roman" w:hAnsi="Book Antiqua" w:cs="Times New Roman"/>
          <w:color w:val="000000"/>
          <w:sz w:val="24"/>
          <w:szCs w:val="24"/>
        </w:rPr>
        <w:t>. Further experimental and modeling efforts are needed to provide insights into the biological and/or immunological aspects that gave rise to HCV cure after such</w:t>
      </w:r>
      <w:r w:rsidR="004907D9">
        <w:rPr>
          <w:rFonts w:ascii="Book Antiqua" w:eastAsia="Times New Roman" w:hAnsi="Book Antiqua" w:cs="Times New Roman"/>
          <w:color w:val="000000"/>
          <w:sz w:val="24"/>
          <w:szCs w:val="24"/>
        </w:rPr>
        <w:t xml:space="preserve"> short durations of DAA therapy</w:t>
      </w:r>
      <w:r w:rsidRPr="00FE560D">
        <w:rPr>
          <w:rFonts w:ascii="Book Antiqua" w:eastAsia="Times New Roman" w:hAnsi="Book Antiqua" w:cs="Times New Roman"/>
          <w:noProof/>
          <w:color w:val="000000"/>
          <w:sz w:val="24"/>
          <w:szCs w:val="24"/>
          <w:vertAlign w:val="superscript"/>
        </w:rPr>
        <w:t>[19]</w:t>
      </w:r>
      <w:r w:rsidRPr="00FE560D">
        <w:rPr>
          <w:rFonts w:ascii="Book Antiqua" w:eastAsia="Times New Roman" w:hAnsi="Book Antiqua" w:cs="Times New Roman"/>
          <w:color w:val="000000"/>
          <w:sz w:val="24"/>
          <w:szCs w:val="24"/>
        </w:rPr>
        <w:t xml:space="preserve">. </w:t>
      </w:r>
    </w:p>
    <w:p w14:paraId="44626A66" w14:textId="6ED190D2" w:rsidR="0067635A" w:rsidRPr="00FE560D" w:rsidRDefault="0067635A" w:rsidP="004907D9">
      <w:pPr>
        <w:bidi w:val="0"/>
        <w:spacing w:after="0" w:line="360" w:lineRule="auto"/>
        <w:ind w:firstLineChars="100" w:firstLine="240"/>
        <w:jc w:val="both"/>
        <w:rPr>
          <w:rFonts w:ascii="Book Antiqua" w:eastAsia="Times New Roman" w:hAnsi="Book Antiqua" w:cs="Times New Roman"/>
          <w:color w:val="000000"/>
          <w:sz w:val="24"/>
          <w:szCs w:val="24"/>
          <w:rtl/>
        </w:rPr>
      </w:pPr>
      <w:r w:rsidRPr="00FE560D">
        <w:rPr>
          <w:rFonts w:ascii="Book Antiqua" w:eastAsia="Times New Roman" w:hAnsi="Book Antiqua" w:cs="Times New Roman"/>
          <w:color w:val="000000"/>
          <w:sz w:val="24"/>
          <w:szCs w:val="24"/>
        </w:rPr>
        <w:t xml:space="preserve">Our study has several limitations. Blood samples during therapy are not available for further measurements to test for superimposed acute viral infections such as hepatitis A or B or to measure </w:t>
      </w:r>
      <w:proofErr w:type="spellStart"/>
      <w:r w:rsidRPr="00FE560D">
        <w:rPr>
          <w:rFonts w:ascii="Book Antiqua" w:eastAsia="Times New Roman" w:hAnsi="Book Antiqua" w:cs="Times New Roman"/>
          <w:color w:val="000000"/>
          <w:sz w:val="24"/>
          <w:szCs w:val="24"/>
        </w:rPr>
        <w:t>paritaprevir</w:t>
      </w:r>
      <w:proofErr w:type="spellEnd"/>
      <w:r w:rsidRPr="00FE560D">
        <w:rPr>
          <w:rFonts w:ascii="Book Antiqua" w:eastAsia="Times New Roman" w:hAnsi="Book Antiqua" w:cs="Times New Roman"/>
          <w:color w:val="000000"/>
          <w:sz w:val="24"/>
          <w:szCs w:val="24"/>
        </w:rPr>
        <w:t xml:space="preserve"> concentration at the time of the rise in bilirubin. However, the temporal relation between</w:t>
      </w:r>
      <w:r w:rsidRPr="00FE560D">
        <w:rPr>
          <w:rFonts w:ascii="Book Antiqua" w:hAnsi="Book Antiqua" w:cs="Times New Roman"/>
          <w:sz w:val="24"/>
          <w:szCs w:val="24"/>
        </w:rPr>
        <w:t xml:space="preserve"> </w:t>
      </w:r>
      <w:proofErr w:type="spellStart"/>
      <w:r w:rsidRPr="00FE560D">
        <w:rPr>
          <w:rFonts w:ascii="Book Antiqua" w:hAnsi="Book Antiqua" w:cs="Times New Roman"/>
          <w:sz w:val="24"/>
          <w:szCs w:val="24"/>
        </w:rPr>
        <w:t>PODr</w:t>
      </w:r>
      <w:proofErr w:type="spellEnd"/>
      <w:r w:rsidR="005D5D2B">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5D5D2B">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 therapy and hepatic decompensation and recovery following discontinuation of therapy provides strong evidence for DILI.</w:t>
      </w:r>
    </w:p>
    <w:p w14:paraId="0F8DA74A" w14:textId="387035C4" w:rsidR="0067635A" w:rsidRPr="00FE560D" w:rsidRDefault="0067635A" w:rsidP="004907D9">
      <w:pPr>
        <w:bidi w:val="0"/>
        <w:spacing w:after="0" w:line="360" w:lineRule="auto"/>
        <w:ind w:firstLineChars="100" w:firstLine="240"/>
        <w:jc w:val="both"/>
        <w:rPr>
          <w:rFonts w:ascii="Book Antiqua" w:eastAsia="Times New Roman" w:hAnsi="Book Antiqua" w:cs="Times New Roman"/>
          <w:color w:val="000000"/>
          <w:sz w:val="24"/>
          <w:szCs w:val="24"/>
        </w:rPr>
      </w:pPr>
      <w:r w:rsidRPr="00FE560D">
        <w:rPr>
          <w:rFonts w:ascii="Book Antiqua" w:eastAsia="Times New Roman" w:hAnsi="Book Antiqua" w:cs="Times New Roman"/>
          <w:color w:val="000000"/>
          <w:sz w:val="24"/>
          <w:szCs w:val="24"/>
        </w:rPr>
        <w:t xml:space="preserve">Careful laboratory and clinical monitoring, beginning early in the course of therapy, is prudent in patients with compensated cirrhosis treated with </w:t>
      </w:r>
      <w:proofErr w:type="spellStart"/>
      <w:r w:rsidRPr="00FE560D">
        <w:rPr>
          <w:rFonts w:ascii="Book Antiqua" w:hAnsi="Book Antiqua" w:cs="Times New Roman"/>
          <w:sz w:val="24"/>
          <w:szCs w:val="24"/>
        </w:rPr>
        <w:t>PODr</w:t>
      </w:r>
      <w:proofErr w:type="spellEnd"/>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w:t>
      </w:r>
      <w:r w:rsidR="004907D9">
        <w:rPr>
          <w:rFonts w:ascii="Book Antiqua" w:hAnsi="Book Antiqua" w:cs="Times New Roman" w:hint="eastAsia"/>
          <w:sz w:val="24"/>
          <w:szCs w:val="24"/>
          <w:lang w:eastAsia="zh-CN"/>
        </w:rPr>
        <w:t xml:space="preserve"> </w:t>
      </w:r>
      <w:r w:rsidRPr="00FE560D">
        <w:rPr>
          <w:rFonts w:ascii="Book Antiqua" w:hAnsi="Book Antiqua" w:cs="Times New Roman"/>
          <w:sz w:val="24"/>
          <w:szCs w:val="24"/>
        </w:rPr>
        <w:t>R</w:t>
      </w:r>
      <w:r w:rsidRPr="00FE560D">
        <w:rPr>
          <w:rFonts w:ascii="Book Antiqua" w:eastAsia="Times New Roman" w:hAnsi="Book Antiqua" w:cs="Times New Roman"/>
          <w:color w:val="000000"/>
          <w:sz w:val="24"/>
          <w:szCs w:val="24"/>
        </w:rPr>
        <w:t>.</w:t>
      </w:r>
    </w:p>
    <w:p w14:paraId="48578D8F" w14:textId="77777777" w:rsidR="0067635A" w:rsidRPr="00FE560D" w:rsidRDefault="0067635A" w:rsidP="00FE560D">
      <w:pPr>
        <w:bidi w:val="0"/>
        <w:spacing w:after="0" w:line="360" w:lineRule="auto"/>
        <w:jc w:val="both"/>
        <w:rPr>
          <w:rFonts w:ascii="Book Antiqua" w:hAnsi="Book Antiqua" w:cs="Times New Roman"/>
          <w:sz w:val="24"/>
          <w:szCs w:val="24"/>
        </w:rPr>
      </w:pPr>
    </w:p>
    <w:p w14:paraId="61DE9252" w14:textId="77777777" w:rsidR="0067635A" w:rsidRPr="00B165DD" w:rsidRDefault="0067635A" w:rsidP="00FE560D">
      <w:pPr>
        <w:autoSpaceDE w:val="0"/>
        <w:autoSpaceDN w:val="0"/>
        <w:bidi w:val="0"/>
        <w:adjustRightInd w:val="0"/>
        <w:spacing w:after="0" w:line="360" w:lineRule="auto"/>
        <w:jc w:val="both"/>
        <w:rPr>
          <w:rFonts w:ascii="Book Antiqua" w:hAnsi="Book Antiqua"/>
          <w:sz w:val="24"/>
          <w:szCs w:val="24"/>
        </w:rPr>
      </w:pPr>
      <w:r w:rsidRPr="00FE560D">
        <w:rPr>
          <w:rFonts w:ascii="Book Antiqua" w:hAnsi="Book Antiqua"/>
          <w:b/>
          <w:sz w:val="24"/>
          <w:szCs w:val="24"/>
        </w:rPr>
        <w:t>COMMENTS</w:t>
      </w:r>
    </w:p>
    <w:p w14:paraId="17F69396" w14:textId="77777777" w:rsidR="00B165DD" w:rsidRPr="00B165DD" w:rsidRDefault="00B165DD" w:rsidP="00B165DD">
      <w:pPr>
        <w:pStyle w:val="a9"/>
        <w:autoSpaceDE w:val="0"/>
        <w:autoSpaceDN w:val="0"/>
        <w:adjustRightInd w:val="0"/>
        <w:spacing w:line="360" w:lineRule="auto"/>
        <w:ind w:left="0"/>
        <w:jc w:val="both"/>
        <w:rPr>
          <w:rFonts w:ascii="Book Antiqua" w:eastAsiaTheme="minorEastAsia" w:hAnsi="Book Antiqua"/>
          <w:b/>
          <w:i/>
          <w:lang w:eastAsia="zh-CN"/>
        </w:rPr>
      </w:pPr>
      <w:r w:rsidRPr="00B165DD">
        <w:rPr>
          <w:rFonts w:ascii="Book Antiqua" w:hAnsi="Book Antiqua"/>
          <w:b/>
          <w:i/>
        </w:rPr>
        <w:t>Case characteristics</w:t>
      </w:r>
    </w:p>
    <w:p w14:paraId="32A038CB" w14:textId="3873EA41" w:rsidR="0067635A" w:rsidRDefault="00B165DD" w:rsidP="00B165DD">
      <w:pPr>
        <w:pStyle w:val="a9"/>
        <w:autoSpaceDE w:val="0"/>
        <w:autoSpaceDN w:val="0"/>
        <w:adjustRightInd w:val="0"/>
        <w:spacing w:line="360" w:lineRule="auto"/>
        <w:ind w:left="0"/>
        <w:jc w:val="both"/>
        <w:rPr>
          <w:rFonts w:ascii="Book Antiqua" w:eastAsiaTheme="minorEastAsia" w:hAnsi="Book Antiqua" w:cs="Times New Roman"/>
          <w:lang w:eastAsia="zh-CN"/>
        </w:rPr>
      </w:pPr>
      <w:r w:rsidRPr="00B165DD">
        <w:rPr>
          <w:rFonts w:ascii="Book Antiqua" w:hAnsi="Book Antiqua"/>
        </w:rPr>
        <w:lastRenderedPageBreak/>
        <w:t>P</w:t>
      </w:r>
      <w:r w:rsidR="0067635A" w:rsidRPr="00B165DD">
        <w:rPr>
          <w:rFonts w:ascii="Book Antiqua" w:hAnsi="Book Antiqua"/>
        </w:rPr>
        <w:t xml:space="preserve">atient suffered from jaundice, nausea and vomiting 14 d following treatment with </w:t>
      </w:r>
      <w:proofErr w:type="spellStart"/>
      <w:r w:rsidRPr="00FE560D">
        <w:rPr>
          <w:rFonts w:ascii="Book Antiqua" w:hAnsi="Book Antiqua" w:cs="Times New Roman"/>
        </w:rPr>
        <w:t>Paritaprevir</w:t>
      </w:r>
      <w:proofErr w:type="spellEnd"/>
      <w:r w:rsidRPr="00FE560D">
        <w:rPr>
          <w:rFonts w:ascii="Book Antiqua" w:hAnsi="Book Antiqua" w:cs="Times New Roman"/>
        </w:rPr>
        <w:t xml:space="preserve">, </w:t>
      </w:r>
      <w:proofErr w:type="spellStart"/>
      <w:r w:rsidRPr="00FE560D">
        <w:rPr>
          <w:rFonts w:ascii="Book Antiqua" w:hAnsi="Book Antiqua" w:cs="Times New Roman"/>
        </w:rPr>
        <w:t>Ombitasvir</w:t>
      </w:r>
      <w:proofErr w:type="spellEnd"/>
      <w:r w:rsidRPr="00FE560D">
        <w:rPr>
          <w:rFonts w:ascii="Book Antiqua" w:hAnsi="Book Antiqua" w:cs="Times New Roman"/>
        </w:rPr>
        <w:t xml:space="preserve">, </w:t>
      </w:r>
      <w:proofErr w:type="spellStart"/>
      <w:r w:rsidRPr="00FE560D">
        <w:rPr>
          <w:rFonts w:ascii="Book Antiqua" w:hAnsi="Book Antiqua" w:cs="Times New Roman"/>
        </w:rPr>
        <w:t>Dasabuvir</w:t>
      </w:r>
      <w:proofErr w:type="spellEnd"/>
      <w:r w:rsidRPr="00FE560D">
        <w:rPr>
          <w:rFonts w:ascii="Book Antiqua" w:hAnsi="Book Antiqua" w:cs="Times New Roman"/>
        </w:rPr>
        <w:t>, Ritonavir, and Ribavirin (</w:t>
      </w:r>
      <w:proofErr w:type="spellStart"/>
      <w:r w:rsidRPr="00FE560D">
        <w:rPr>
          <w:rFonts w:ascii="Book Antiqua" w:hAnsi="Book Antiqua" w:cs="Times New Roman"/>
        </w:rPr>
        <w:t>PODr</w:t>
      </w:r>
      <w:proofErr w:type="spellEnd"/>
      <w:r w:rsidRPr="00FE560D">
        <w:rPr>
          <w:rFonts w:ascii="Book Antiqua" w:hAnsi="Book Antiqua" w:cs="Times New Roman"/>
          <w:lang w:eastAsia="zh-CN"/>
        </w:rPr>
        <w:t xml:space="preserve"> </w:t>
      </w:r>
      <w:r w:rsidRPr="00FE560D">
        <w:rPr>
          <w:rFonts w:ascii="Book Antiqua" w:hAnsi="Book Antiqua" w:cs="Times New Roman"/>
        </w:rPr>
        <w:t>+</w:t>
      </w:r>
      <w:r w:rsidRPr="00FE560D">
        <w:rPr>
          <w:rFonts w:ascii="Book Antiqua" w:hAnsi="Book Antiqua" w:cs="Times New Roman"/>
          <w:lang w:eastAsia="zh-CN"/>
        </w:rPr>
        <w:t xml:space="preserve"> </w:t>
      </w:r>
      <w:r w:rsidRPr="00FE560D">
        <w:rPr>
          <w:rFonts w:ascii="Book Antiqua" w:hAnsi="Book Antiqua" w:cs="Times New Roman"/>
        </w:rPr>
        <w:t>R)</w:t>
      </w:r>
      <w:r>
        <w:rPr>
          <w:rFonts w:ascii="Book Antiqua" w:eastAsiaTheme="minorEastAsia" w:hAnsi="Book Antiqua" w:cs="Times New Roman" w:hint="eastAsia"/>
          <w:lang w:eastAsia="zh-CN"/>
        </w:rPr>
        <w:t>.</w:t>
      </w:r>
    </w:p>
    <w:p w14:paraId="4D365551" w14:textId="77777777" w:rsidR="00B165DD" w:rsidRPr="00B165DD" w:rsidRDefault="00B165DD" w:rsidP="00B165DD">
      <w:pPr>
        <w:pStyle w:val="a9"/>
        <w:autoSpaceDE w:val="0"/>
        <w:autoSpaceDN w:val="0"/>
        <w:adjustRightInd w:val="0"/>
        <w:spacing w:line="360" w:lineRule="auto"/>
        <w:ind w:left="0"/>
        <w:jc w:val="both"/>
        <w:rPr>
          <w:rFonts w:ascii="Book Antiqua" w:eastAsiaTheme="minorEastAsia" w:hAnsi="Book Antiqua"/>
          <w:lang w:eastAsia="zh-CN"/>
        </w:rPr>
      </w:pPr>
    </w:p>
    <w:p w14:paraId="6A071599" w14:textId="77777777" w:rsidR="00B165DD" w:rsidRPr="00B165DD" w:rsidRDefault="00B165DD" w:rsidP="00B165DD">
      <w:pPr>
        <w:pStyle w:val="a9"/>
        <w:autoSpaceDE w:val="0"/>
        <w:autoSpaceDN w:val="0"/>
        <w:adjustRightInd w:val="0"/>
        <w:spacing w:line="360" w:lineRule="auto"/>
        <w:ind w:left="0"/>
        <w:jc w:val="both"/>
        <w:rPr>
          <w:rFonts w:ascii="Book Antiqua" w:eastAsiaTheme="minorEastAsia" w:hAnsi="Book Antiqua"/>
          <w:b/>
          <w:i/>
          <w:lang w:eastAsia="zh-CN"/>
        </w:rPr>
      </w:pPr>
      <w:r w:rsidRPr="00B165DD">
        <w:rPr>
          <w:rFonts w:ascii="Book Antiqua" w:hAnsi="Book Antiqua"/>
          <w:b/>
          <w:i/>
        </w:rPr>
        <w:t>Clinical diagnosis</w:t>
      </w:r>
    </w:p>
    <w:p w14:paraId="47AF97E4" w14:textId="2CD478AF" w:rsidR="0067635A" w:rsidRDefault="00B165DD" w:rsidP="00B165DD">
      <w:pPr>
        <w:pStyle w:val="a9"/>
        <w:autoSpaceDE w:val="0"/>
        <w:autoSpaceDN w:val="0"/>
        <w:adjustRightInd w:val="0"/>
        <w:spacing w:line="360" w:lineRule="auto"/>
        <w:ind w:left="0"/>
        <w:jc w:val="both"/>
        <w:rPr>
          <w:rFonts w:ascii="Book Antiqua" w:eastAsiaTheme="minorEastAsia" w:hAnsi="Book Antiqua"/>
          <w:lang w:eastAsia="zh-CN"/>
        </w:rPr>
      </w:pPr>
      <w:r w:rsidRPr="00B165DD">
        <w:rPr>
          <w:rFonts w:ascii="Book Antiqua" w:hAnsi="Book Antiqua"/>
        </w:rPr>
        <w:t>A</w:t>
      </w:r>
      <w:r w:rsidR="0067635A" w:rsidRPr="00B165DD">
        <w:rPr>
          <w:rFonts w:ascii="Book Antiqua" w:hAnsi="Book Antiqua"/>
        </w:rPr>
        <w:t>minotransferase levels did not increase. Despite that, Nausea, Vomiting, Ascites, Jaundice, hypoalbuminemia and coagulopathy occurred.</w:t>
      </w:r>
    </w:p>
    <w:p w14:paraId="6E268CD7" w14:textId="77777777" w:rsidR="00B165DD" w:rsidRPr="00B165DD" w:rsidRDefault="00B165DD" w:rsidP="00B165DD">
      <w:pPr>
        <w:pStyle w:val="a9"/>
        <w:autoSpaceDE w:val="0"/>
        <w:autoSpaceDN w:val="0"/>
        <w:adjustRightInd w:val="0"/>
        <w:spacing w:line="360" w:lineRule="auto"/>
        <w:ind w:left="0"/>
        <w:jc w:val="both"/>
        <w:rPr>
          <w:rFonts w:ascii="Book Antiqua" w:eastAsiaTheme="minorEastAsia" w:hAnsi="Book Antiqua"/>
          <w:lang w:eastAsia="zh-CN"/>
        </w:rPr>
      </w:pPr>
    </w:p>
    <w:p w14:paraId="60065A79" w14:textId="77777777" w:rsidR="00B165DD" w:rsidRPr="00B165DD" w:rsidRDefault="00B165DD" w:rsidP="00B165DD">
      <w:pPr>
        <w:pStyle w:val="a9"/>
        <w:autoSpaceDE w:val="0"/>
        <w:autoSpaceDN w:val="0"/>
        <w:adjustRightInd w:val="0"/>
        <w:spacing w:line="360" w:lineRule="auto"/>
        <w:ind w:left="0"/>
        <w:jc w:val="both"/>
        <w:rPr>
          <w:rFonts w:ascii="Book Antiqua" w:eastAsiaTheme="minorEastAsia" w:hAnsi="Book Antiqua"/>
          <w:b/>
          <w:i/>
          <w:lang w:eastAsia="zh-CN"/>
        </w:rPr>
      </w:pPr>
      <w:r w:rsidRPr="00B165DD">
        <w:rPr>
          <w:rFonts w:ascii="Book Antiqua" w:hAnsi="Book Antiqua"/>
          <w:b/>
          <w:i/>
        </w:rPr>
        <w:t>Differential diagnosis</w:t>
      </w:r>
    </w:p>
    <w:p w14:paraId="3662DEFE" w14:textId="74916BC5" w:rsidR="0067635A" w:rsidRDefault="0067635A" w:rsidP="00B165DD">
      <w:pPr>
        <w:pStyle w:val="a9"/>
        <w:autoSpaceDE w:val="0"/>
        <w:autoSpaceDN w:val="0"/>
        <w:adjustRightInd w:val="0"/>
        <w:spacing w:line="360" w:lineRule="auto"/>
        <w:ind w:left="0"/>
        <w:jc w:val="both"/>
        <w:rPr>
          <w:rFonts w:ascii="Book Antiqua" w:eastAsiaTheme="minorEastAsia" w:hAnsi="Book Antiqua"/>
          <w:lang w:eastAsia="zh-CN"/>
        </w:rPr>
      </w:pPr>
      <w:r w:rsidRPr="00B165DD">
        <w:rPr>
          <w:rFonts w:ascii="Book Antiqua" w:hAnsi="Book Antiqua"/>
        </w:rPr>
        <w:t xml:space="preserve">Ribavirin induced hemolysis, possible </w:t>
      </w:r>
      <w:r w:rsidR="009017AB" w:rsidRPr="00B165DD">
        <w:rPr>
          <w:rFonts w:ascii="Book Antiqua" w:hAnsi="Book Antiqua"/>
        </w:rPr>
        <w:t>drug induced liver injury, recurre</w:t>
      </w:r>
      <w:r w:rsidRPr="00B165DD">
        <w:rPr>
          <w:rFonts w:ascii="Book Antiqua" w:hAnsi="Book Antiqua"/>
        </w:rPr>
        <w:t xml:space="preserve">nce of </w:t>
      </w:r>
      <w:r w:rsidR="009017AB" w:rsidRPr="00FE560D">
        <w:rPr>
          <w:rFonts w:ascii="Book Antiqua" w:hAnsi="Book Antiqua" w:cs="Times New Roman"/>
        </w:rPr>
        <w:t>hepatocellular carcinoma (HCC)</w:t>
      </w:r>
      <w:r w:rsidRPr="00B165DD">
        <w:rPr>
          <w:rFonts w:ascii="Book Antiqua" w:hAnsi="Book Antiqua"/>
        </w:rPr>
        <w:t xml:space="preserve">, or vascular causes for hepatic failure. </w:t>
      </w:r>
      <w:r w:rsidR="009017AB">
        <w:rPr>
          <w:rFonts w:ascii="Book Antiqua" w:eastAsiaTheme="minorEastAsia" w:hAnsi="Book Antiqua" w:hint="eastAsia"/>
          <w:lang w:eastAsia="zh-CN"/>
        </w:rPr>
        <w:t>The authors</w:t>
      </w:r>
      <w:r w:rsidRPr="00B165DD">
        <w:rPr>
          <w:rFonts w:ascii="Book Antiqua" w:hAnsi="Book Antiqua"/>
        </w:rPr>
        <w:t xml:space="preserve"> performed liver ultrasonography to exclude Recurrence of HCC and vascular causes. Blood tests to exclude hemolysis as cause for jaundice were performed.</w:t>
      </w:r>
    </w:p>
    <w:p w14:paraId="6D8A59B9" w14:textId="77777777" w:rsidR="00D03BF3" w:rsidRPr="00D03BF3" w:rsidRDefault="00D03BF3" w:rsidP="00B165DD">
      <w:pPr>
        <w:pStyle w:val="a9"/>
        <w:autoSpaceDE w:val="0"/>
        <w:autoSpaceDN w:val="0"/>
        <w:adjustRightInd w:val="0"/>
        <w:spacing w:line="360" w:lineRule="auto"/>
        <w:ind w:left="0"/>
        <w:jc w:val="both"/>
        <w:rPr>
          <w:rFonts w:ascii="Book Antiqua" w:eastAsiaTheme="minorEastAsia" w:hAnsi="Book Antiqua"/>
          <w:lang w:eastAsia="zh-CN"/>
        </w:rPr>
      </w:pPr>
    </w:p>
    <w:p w14:paraId="039F8FE6"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b/>
          <w:i/>
          <w:lang w:eastAsia="zh-CN"/>
        </w:rPr>
      </w:pPr>
      <w:r w:rsidRPr="00D03BF3">
        <w:rPr>
          <w:rFonts w:ascii="Book Antiqua" w:hAnsi="Book Antiqua"/>
          <w:b/>
          <w:i/>
        </w:rPr>
        <w:t>Laboratory diagnosis</w:t>
      </w:r>
    </w:p>
    <w:p w14:paraId="0A1195F6" w14:textId="78ADB6E1" w:rsidR="0067635A" w:rsidRPr="00D03BF3"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r>
        <w:rPr>
          <w:rFonts w:ascii="Book Antiqua" w:eastAsiaTheme="minorEastAsia" w:hAnsi="Book Antiqua" w:hint="eastAsia"/>
          <w:lang w:eastAsia="zh-CN"/>
        </w:rPr>
        <w:t>The authors</w:t>
      </w:r>
      <w:r w:rsidR="0067635A" w:rsidRPr="00B165DD">
        <w:rPr>
          <w:rFonts w:ascii="Book Antiqua" w:hAnsi="Book Antiqua"/>
        </w:rPr>
        <w:t xml:space="preserve"> witnessed increase in bilirubin levels, decrease in albumin levels and impaired coagulation tests with no increase in aminotransferase levels. Despite the above, eradication of </w:t>
      </w:r>
      <w:r w:rsidR="009017AB" w:rsidRPr="00FE560D">
        <w:rPr>
          <w:rFonts w:ascii="Book Antiqua" w:hAnsi="Book Antiqua" w:cs="Times New Roman"/>
        </w:rPr>
        <w:t>hepatitis C</w:t>
      </w:r>
      <w:r w:rsidR="009017AB" w:rsidRPr="00B165DD">
        <w:rPr>
          <w:rFonts w:ascii="Book Antiqua" w:hAnsi="Book Antiqua"/>
        </w:rPr>
        <w:t xml:space="preserve"> </w:t>
      </w:r>
      <w:r w:rsidR="0067635A" w:rsidRPr="00B165DD">
        <w:rPr>
          <w:rFonts w:ascii="Book Antiqua" w:hAnsi="Book Antiqua"/>
        </w:rPr>
        <w:t xml:space="preserve">virus was achieved (seen in </w:t>
      </w:r>
      <w:r w:rsidRPr="00B165DD">
        <w:rPr>
          <w:rFonts w:ascii="Book Antiqua" w:hAnsi="Book Antiqua"/>
        </w:rPr>
        <w:t>F</w:t>
      </w:r>
      <w:r w:rsidR="0067635A" w:rsidRPr="00B165DD">
        <w:rPr>
          <w:rFonts w:ascii="Book Antiqua" w:hAnsi="Book Antiqua"/>
        </w:rPr>
        <w:t>igures 1</w:t>
      </w:r>
      <w:r>
        <w:rPr>
          <w:rFonts w:ascii="Book Antiqua" w:eastAsiaTheme="minorEastAsia" w:hAnsi="Book Antiqua" w:hint="eastAsia"/>
          <w:lang w:eastAsia="zh-CN"/>
        </w:rPr>
        <w:t xml:space="preserve"> and</w:t>
      </w:r>
      <w:r w:rsidR="0067635A" w:rsidRPr="00B165DD">
        <w:rPr>
          <w:rFonts w:ascii="Book Antiqua" w:hAnsi="Book Antiqua"/>
        </w:rPr>
        <w:t xml:space="preserve"> 2)</w:t>
      </w:r>
      <w:r>
        <w:rPr>
          <w:rFonts w:ascii="Book Antiqua" w:eastAsiaTheme="minorEastAsia" w:hAnsi="Book Antiqua" w:hint="eastAsia"/>
          <w:lang w:eastAsia="zh-CN"/>
        </w:rPr>
        <w:t>.</w:t>
      </w:r>
    </w:p>
    <w:p w14:paraId="5A7DFE4A" w14:textId="77777777" w:rsidR="00D03BF3" w:rsidRPr="005D5D2B"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p>
    <w:p w14:paraId="694ACA7F"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b/>
          <w:i/>
          <w:lang w:eastAsia="zh-CN"/>
        </w:rPr>
      </w:pPr>
      <w:r w:rsidRPr="00D03BF3">
        <w:rPr>
          <w:rFonts w:ascii="Book Antiqua" w:hAnsi="Book Antiqua"/>
          <w:b/>
          <w:i/>
        </w:rPr>
        <w:t>Imaging diagnosis</w:t>
      </w:r>
    </w:p>
    <w:p w14:paraId="5FB2B01E" w14:textId="12097340" w:rsidR="0067635A"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r>
        <w:rPr>
          <w:rFonts w:ascii="Book Antiqua" w:eastAsiaTheme="minorEastAsia" w:hAnsi="Book Antiqua" w:hint="eastAsia"/>
          <w:lang w:eastAsia="zh-CN"/>
        </w:rPr>
        <w:t>The authors</w:t>
      </w:r>
      <w:r w:rsidRPr="00B165DD">
        <w:rPr>
          <w:rFonts w:ascii="Book Antiqua" w:hAnsi="Book Antiqua"/>
        </w:rPr>
        <w:t xml:space="preserve"> </w:t>
      </w:r>
      <w:r w:rsidR="0067635A" w:rsidRPr="00B165DD">
        <w:rPr>
          <w:rFonts w:ascii="Book Antiqua" w:hAnsi="Book Antiqua"/>
        </w:rPr>
        <w:t>performed liver ultrasonography to rule out Recurrence of HCC or vascular causes as the cause of decompensation. Eventually MRI scan was also performed as follow-up on HCC</w:t>
      </w:r>
      <w:r>
        <w:rPr>
          <w:rFonts w:ascii="Book Antiqua" w:eastAsiaTheme="minorEastAsia" w:hAnsi="Book Antiqua" w:hint="eastAsia"/>
          <w:lang w:eastAsia="zh-CN"/>
        </w:rPr>
        <w:t>.</w:t>
      </w:r>
    </w:p>
    <w:p w14:paraId="296B3CD5"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p>
    <w:p w14:paraId="664D6989"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b/>
          <w:i/>
          <w:lang w:eastAsia="zh-CN"/>
        </w:rPr>
      </w:pPr>
      <w:r w:rsidRPr="00D03BF3">
        <w:rPr>
          <w:rFonts w:ascii="Book Antiqua" w:hAnsi="Book Antiqua"/>
          <w:b/>
          <w:i/>
        </w:rPr>
        <w:t>Treatment</w:t>
      </w:r>
    </w:p>
    <w:p w14:paraId="664323FB" w14:textId="2782FFDA" w:rsidR="0067635A" w:rsidRDefault="0067635A" w:rsidP="00D03BF3">
      <w:pPr>
        <w:pStyle w:val="a9"/>
        <w:autoSpaceDE w:val="0"/>
        <w:autoSpaceDN w:val="0"/>
        <w:adjustRightInd w:val="0"/>
        <w:spacing w:line="360" w:lineRule="auto"/>
        <w:ind w:left="0"/>
        <w:jc w:val="both"/>
        <w:rPr>
          <w:rFonts w:ascii="Book Antiqua" w:eastAsiaTheme="minorEastAsia" w:hAnsi="Book Antiqua"/>
          <w:lang w:eastAsia="zh-CN"/>
        </w:rPr>
      </w:pPr>
      <w:r w:rsidRPr="00B165DD">
        <w:rPr>
          <w:rFonts w:ascii="Book Antiqua" w:hAnsi="Book Antiqua"/>
        </w:rPr>
        <w:t xml:space="preserve">The main treatment in this case was discontinuation of </w:t>
      </w:r>
      <w:proofErr w:type="spellStart"/>
      <w:r w:rsidRPr="00B165DD">
        <w:rPr>
          <w:rFonts w:ascii="Book Antiqua" w:hAnsi="Book Antiqua"/>
        </w:rPr>
        <w:t>PODr</w:t>
      </w:r>
      <w:proofErr w:type="spellEnd"/>
      <w:r w:rsidR="00D03BF3">
        <w:rPr>
          <w:rFonts w:ascii="Book Antiqua" w:eastAsiaTheme="minorEastAsia" w:hAnsi="Book Antiqua" w:hint="eastAsia"/>
          <w:lang w:eastAsia="zh-CN"/>
        </w:rPr>
        <w:t xml:space="preserve"> </w:t>
      </w:r>
      <w:r w:rsidRPr="00B165DD">
        <w:rPr>
          <w:rFonts w:ascii="Book Antiqua" w:hAnsi="Book Antiqua"/>
        </w:rPr>
        <w:t>+</w:t>
      </w:r>
      <w:r w:rsidR="00D03BF3">
        <w:rPr>
          <w:rFonts w:ascii="Book Antiqua" w:eastAsiaTheme="minorEastAsia" w:hAnsi="Book Antiqua" w:hint="eastAsia"/>
          <w:lang w:eastAsia="zh-CN"/>
        </w:rPr>
        <w:t xml:space="preserve"> </w:t>
      </w:r>
      <w:r w:rsidRPr="00B165DD">
        <w:rPr>
          <w:rFonts w:ascii="Book Antiqua" w:hAnsi="Book Antiqua"/>
        </w:rPr>
        <w:t>R treatment. Albumin infusions and IV</w:t>
      </w:r>
      <w:r w:rsidR="00D03BF3">
        <w:rPr>
          <w:rFonts w:ascii="Book Antiqua" w:eastAsiaTheme="minorEastAsia" w:hAnsi="Book Antiqua" w:hint="eastAsia"/>
          <w:lang w:eastAsia="zh-CN"/>
        </w:rPr>
        <w:t xml:space="preserve"> </w:t>
      </w:r>
      <w:r w:rsidRPr="00B165DD">
        <w:rPr>
          <w:rFonts w:ascii="Book Antiqua" w:hAnsi="Book Antiqua"/>
        </w:rPr>
        <w:t>furosemide were administered</w:t>
      </w:r>
      <w:r w:rsidR="00D03BF3">
        <w:rPr>
          <w:rFonts w:ascii="Book Antiqua" w:eastAsiaTheme="minorEastAsia" w:hAnsi="Book Antiqua" w:hint="eastAsia"/>
          <w:lang w:eastAsia="zh-CN"/>
        </w:rPr>
        <w:t>.</w:t>
      </w:r>
    </w:p>
    <w:p w14:paraId="3F3AAFBF"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p>
    <w:p w14:paraId="679E1467" w14:textId="56A327EC"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b/>
          <w:i/>
          <w:lang w:eastAsia="zh-CN"/>
        </w:rPr>
      </w:pPr>
      <w:r w:rsidRPr="00D03BF3">
        <w:rPr>
          <w:rFonts w:ascii="Book Antiqua" w:hAnsi="Book Antiqua"/>
          <w:b/>
          <w:i/>
        </w:rPr>
        <w:t>Term explanation</w:t>
      </w:r>
    </w:p>
    <w:p w14:paraId="75520E8D" w14:textId="453A1C16" w:rsidR="0067635A" w:rsidRDefault="00D03BF3" w:rsidP="00D03BF3">
      <w:pPr>
        <w:pStyle w:val="a9"/>
        <w:autoSpaceDE w:val="0"/>
        <w:autoSpaceDN w:val="0"/>
        <w:adjustRightInd w:val="0"/>
        <w:spacing w:line="360" w:lineRule="auto"/>
        <w:ind w:left="0"/>
        <w:jc w:val="both"/>
        <w:rPr>
          <w:rFonts w:ascii="Book Antiqua" w:eastAsiaTheme="minorEastAsia" w:hAnsi="Book Antiqua" w:cstheme="minorBidi"/>
          <w:lang w:eastAsia="zh-CN" w:bidi="he-IL"/>
        </w:rPr>
      </w:pPr>
      <w:r w:rsidRPr="00B165DD">
        <w:rPr>
          <w:rFonts w:ascii="Book Antiqua" w:hAnsi="Book Antiqua"/>
        </w:rPr>
        <w:t>A</w:t>
      </w:r>
      <w:r w:rsidR="0067635A" w:rsidRPr="00B165DD">
        <w:rPr>
          <w:rFonts w:ascii="Book Antiqua" w:hAnsi="Book Antiqua"/>
        </w:rPr>
        <w:t xml:space="preserve">ll </w:t>
      </w:r>
      <w:r w:rsidR="0067635A" w:rsidRPr="00B165DD">
        <w:rPr>
          <w:rFonts w:ascii="Book Antiqua" w:hAnsi="Book Antiqua" w:cstheme="minorBidi"/>
          <w:lang w:bidi="he-IL"/>
        </w:rPr>
        <w:t>acronyms</w:t>
      </w:r>
      <w:r w:rsidR="0067635A" w:rsidRPr="00B165DD">
        <w:rPr>
          <w:rFonts w:ascii="Book Antiqua" w:hAnsi="Book Antiqua"/>
        </w:rPr>
        <w:t xml:space="preserve"> </w:t>
      </w:r>
      <w:r w:rsidR="0067635A" w:rsidRPr="00B165DD">
        <w:rPr>
          <w:rFonts w:ascii="Book Antiqua" w:hAnsi="Book Antiqua" w:cstheme="minorBidi"/>
          <w:lang w:bidi="he-IL"/>
        </w:rPr>
        <w:t>are explained in the main text</w:t>
      </w:r>
      <w:r>
        <w:rPr>
          <w:rFonts w:ascii="Book Antiqua" w:eastAsiaTheme="minorEastAsia" w:hAnsi="Book Antiqua" w:cstheme="minorBidi" w:hint="eastAsia"/>
          <w:lang w:eastAsia="zh-CN" w:bidi="he-IL"/>
        </w:rPr>
        <w:t>.</w:t>
      </w:r>
    </w:p>
    <w:p w14:paraId="0EEA1526" w14:textId="77777777" w:rsidR="00D03BF3" w:rsidRPr="00D03BF3" w:rsidRDefault="00D03BF3" w:rsidP="00D03BF3">
      <w:pPr>
        <w:pStyle w:val="a9"/>
        <w:autoSpaceDE w:val="0"/>
        <w:autoSpaceDN w:val="0"/>
        <w:adjustRightInd w:val="0"/>
        <w:spacing w:line="360" w:lineRule="auto"/>
        <w:ind w:left="0"/>
        <w:jc w:val="both"/>
        <w:rPr>
          <w:rFonts w:ascii="Book Antiqua" w:eastAsiaTheme="minorEastAsia" w:hAnsi="Book Antiqua"/>
          <w:lang w:eastAsia="zh-CN"/>
        </w:rPr>
      </w:pPr>
    </w:p>
    <w:p w14:paraId="69E1934E" w14:textId="77777777" w:rsidR="00D03BF3" w:rsidRPr="00D03BF3" w:rsidRDefault="00D03BF3" w:rsidP="00FE560D">
      <w:pPr>
        <w:pStyle w:val="a9"/>
        <w:autoSpaceDE w:val="0"/>
        <w:autoSpaceDN w:val="0"/>
        <w:adjustRightInd w:val="0"/>
        <w:spacing w:line="360" w:lineRule="auto"/>
        <w:ind w:left="0"/>
        <w:jc w:val="both"/>
        <w:rPr>
          <w:rFonts w:ascii="Book Antiqua" w:eastAsiaTheme="minorEastAsia" w:hAnsi="Book Antiqua"/>
          <w:b/>
          <w:i/>
          <w:lang w:eastAsia="zh-CN"/>
        </w:rPr>
      </w:pPr>
      <w:r w:rsidRPr="00D03BF3">
        <w:rPr>
          <w:rFonts w:ascii="Book Antiqua" w:hAnsi="Book Antiqua"/>
          <w:b/>
          <w:i/>
        </w:rPr>
        <w:t>Experiences and lessons</w:t>
      </w:r>
    </w:p>
    <w:p w14:paraId="68053720" w14:textId="7E78A2E7" w:rsidR="0067635A" w:rsidRPr="00B165DD" w:rsidRDefault="0067635A" w:rsidP="00FE560D">
      <w:pPr>
        <w:pStyle w:val="a9"/>
        <w:autoSpaceDE w:val="0"/>
        <w:autoSpaceDN w:val="0"/>
        <w:adjustRightInd w:val="0"/>
        <w:spacing w:line="360" w:lineRule="auto"/>
        <w:ind w:left="0"/>
        <w:jc w:val="both"/>
        <w:rPr>
          <w:rFonts w:ascii="Book Antiqua" w:hAnsi="Book Antiqua"/>
          <w:rtl/>
        </w:rPr>
      </w:pPr>
      <w:r w:rsidRPr="00B165DD">
        <w:rPr>
          <w:rFonts w:ascii="Book Antiqua" w:hAnsi="Book Antiqua"/>
        </w:rPr>
        <w:t xml:space="preserve">The new DAA have an excellent safety record. Still, </w:t>
      </w:r>
      <w:r w:rsidR="00A708FA" w:rsidRPr="00B165DD">
        <w:rPr>
          <w:rFonts w:ascii="Book Antiqua" w:hAnsi="Book Antiqua" w:cs="Times New Roman"/>
          <w:color w:val="000000"/>
        </w:rPr>
        <w:t>c</w:t>
      </w:r>
      <w:r w:rsidRPr="00B165DD">
        <w:rPr>
          <w:rFonts w:ascii="Book Antiqua" w:hAnsi="Book Antiqua" w:cs="Times New Roman"/>
          <w:color w:val="000000"/>
        </w:rPr>
        <w:t>areful</w:t>
      </w:r>
      <w:r w:rsidRPr="00B165DD">
        <w:rPr>
          <w:rFonts w:ascii="Book Antiqua" w:hAnsi="Book Antiqua"/>
        </w:rPr>
        <w:t xml:space="preserve"> </w:t>
      </w:r>
      <w:r w:rsidR="00030940">
        <w:rPr>
          <w:rFonts w:ascii="Book Antiqua" w:hAnsi="Book Antiqua" w:cs="Times New Roman"/>
          <w:color w:val="000000"/>
        </w:rPr>
        <w:t xml:space="preserve">clinical and laboratory </w:t>
      </w:r>
      <w:r w:rsidRPr="00B165DD">
        <w:rPr>
          <w:rFonts w:ascii="Book Antiqua" w:hAnsi="Book Antiqua" w:cs="Times New Roman"/>
          <w:color w:val="000000"/>
        </w:rPr>
        <w:t xml:space="preserve">monitoring, beginning early in the course of therapy, is warranted especially in compensated cirrhotic patients treated with </w:t>
      </w:r>
      <w:proofErr w:type="spellStart"/>
      <w:r w:rsidRPr="00B165DD">
        <w:rPr>
          <w:rFonts w:ascii="Book Antiqua" w:hAnsi="Book Antiqua" w:cs="Times New Roman"/>
        </w:rPr>
        <w:t>PODr</w:t>
      </w:r>
      <w:proofErr w:type="spellEnd"/>
      <w:r w:rsidR="00902CEF">
        <w:rPr>
          <w:rFonts w:ascii="Book Antiqua" w:eastAsiaTheme="minorEastAsia" w:hAnsi="Book Antiqua" w:cs="Times New Roman" w:hint="eastAsia"/>
          <w:lang w:eastAsia="zh-CN"/>
        </w:rPr>
        <w:t xml:space="preserve"> </w:t>
      </w:r>
      <w:r w:rsidRPr="00B165DD">
        <w:rPr>
          <w:rFonts w:ascii="Book Antiqua" w:hAnsi="Book Antiqua" w:cs="Times New Roman"/>
        </w:rPr>
        <w:t>+</w:t>
      </w:r>
      <w:r w:rsidR="00902CEF">
        <w:rPr>
          <w:rFonts w:ascii="Book Antiqua" w:eastAsiaTheme="minorEastAsia" w:hAnsi="Book Antiqua" w:cs="Times New Roman" w:hint="eastAsia"/>
          <w:lang w:eastAsia="zh-CN"/>
        </w:rPr>
        <w:t xml:space="preserve"> </w:t>
      </w:r>
      <w:r w:rsidRPr="00B165DD">
        <w:rPr>
          <w:rFonts w:ascii="Book Antiqua" w:hAnsi="Book Antiqua" w:cs="Times New Roman"/>
        </w:rPr>
        <w:t>R</w:t>
      </w:r>
      <w:r w:rsidRPr="00B165DD">
        <w:rPr>
          <w:rFonts w:ascii="Book Antiqua" w:hAnsi="Book Antiqua" w:cs="Times New Roman"/>
          <w:color w:val="000000"/>
        </w:rPr>
        <w:t xml:space="preserve"> because decompensation can occur</w:t>
      </w:r>
      <w:r w:rsidR="00030940">
        <w:rPr>
          <w:rFonts w:ascii="Book Antiqua" w:eastAsiaTheme="minorEastAsia" w:hAnsi="Book Antiqua" w:cs="Times New Roman" w:hint="eastAsia"/>
          <w:color w:val="000000"/>
          <w:lang w:eastAsia="zh-CN"/>
        </w:rPr>
        <w:t xml:space="preserve"> </w:t>
      </w:r>
      <w:r w:rsidRPr="00B165DD">
        <w:rPr>
          <w:rFonts w:ascii="Book Antiqua" w:hAnsi="Book Antiqua" w:cs="Times New Roman"/>
          <w:color w:val="000000"/>
        </w:rPr>
        <w:t>w</w:t>
      </w:r>
      <w:r w:rsidR="0091248A">
        <w:rPr>
          <w:rFonts w:ascii="Book Antiqua" w:hAnsi="Book Antiqua" w:cs="Times New Roman"/>
          <w:color w:val="000000"/>
        </w:rPr>
        <w:t xml:space="preserve">ithout aminotransferase </w:t>
      </w:r>
      <w:proofErr w:type="spellStart"/>
      <w:r w:rsidR="0091248A">
        <w:rPr>
          <w:rFonts w:ascii="Book Antiqua" w:hAnsi="Book Antiqua" w:cs="Times New Roman"/>
          <w:color w:val="000000"/>
        </w:rPr>
        <w:t>flareup</w:t>
      </w:r>
      <w:proofErr w:type="spellEnd"/>
      <w:r w:rsidRPr="00B165DD">
        <w:rPr>
          <w:rFonts w:ascii="Book Antiqua" w:hAnsi="Book Antiqua" w:cs="Times New Roman"/>
          <w:color w:val="000000"/>
        </w:rPr>
        <w:t>.</w:t>
      </w:r>
    </w:p>
    <w:p w14:paraId="2B20A2DD" w14:textId="77777777" w:rsidR="0067635A" w:rsidRPr="00952CB3" w:rsidRDefault="0067635A" w:rsidP="00952CB3">
      <w:pPr>
        <w:bidi w:val="0"/>
        <w:spacing w:after="0" w:line="360" w:lineRule="auto"/>
        <w:jc w:val="both"/>
        <w:rPr>
          <w:rFonts w:ascii="Book Antiqua" w:hAnsi="Book Antiqua" w:cs="Times New Roman"/>
          <w:sz w:val="24"/>
          <w:szCs w:val="24"/>
          <w:lang w:eastAsia="zh-CN"/>
        </w:rPr>
      </w:pPr>
    </w:p>
    <w:p w14:paraId="584325BD" w14:textId="2BAA176B" w:rsidR="004D2D59" w:rsidRPr="00952CB3" w:rsidRDefault="004D2D59" w:rsidP="00952CB3">
      <w:pPr>
        <w:bidi w:val="0"/>
        <w:spacing w:after="0" w:line="360" w:lineRule="auto"/>
        <w:jc w:val="both"/>
        <w:rPr>
          <w:rFonts w:ascii="Book Antiqua" w:hAnsi="Book Antiqua" w:cs="Times New Roman"/>
          <w:b/>
          <w:i/>
          <w:sz w:val="24"/>
          <w:szCs w:val="24"/>
          <w:lang w:eastAsia="zh-CN"/>
        </w:rPr>
      </w:pPr>
      <w:r w:rsidRPr="00952CB3">
        <w:rPr>
          <w:rFonts w:ascii="Book Antiqua" w:hAnsi="Book Antiqua" w:cs="Times New Roman"/>
          <w:b/>
          <w:i/>
          <w:sz w:val="24"/>
          <w:szCs w:val="24"/>
          <w:lang w:eastAsia="zh-CN"/>
        </w:rPr>
        <w:t>Peer-review</w:t>
      </w:r>
    </w:p>
    <w:p w14:paraId="50717533" w14:textId="4CCDC5FA" w:rsidR="004D2D59" w:rsidRPr="00952CB3" w:rsidRDefault="00952CB3" w:rsidP="00952CB3">
      <w:pPr>
        <w:bidi w:val="0"/>
        <w:spacing w:after="0" w:line="360" w:lineRule="auto"/>
        <w:jc w:val="both"/>
        <w:rPr>
          <w:rFonts w:ascii="Book Antiqua" w:hAnsi="Book Antiqua" w:cs="Times New Roman"/>
          <w:sz w:val="24"/>
          <w:szCs w:val="24"/>
          <w:lang w:eastAsia="zh-CN"/>
        </w:rPr>
      </w:pPr>
      <w:r w:rsidRPr="00952CB3">
        <w:rPr>
          <w:rFonts w:ascii="Book Antiqua" w:hAnsi="Book Antiqua"/>
          <w:sz w:val="24"/>
          <w:szCs w:val="24"/>
        </w:rPr>
        <w:t>The author presents an interesting and valuable case report.</w:t>
      </w:r>
    </w:p>
    <w:p w14:paraId="58F9B5E9" w14:textId="77777777" w:rsidR="00952CB3" w:rsidRDefault="00952CB3">
      <w:pPr>
        <w:bidi w:val="0"/>
        <w:spacing w:after="160" w:line="259" w:lineRule="auto"/>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3751414F" w14:textId="647433F2" w:rsidR="004D2D59" w:rsidRPr="00952CB3" w:rsidRDefault="004D2D59" w:rsidP="00952CB3">
      <w:pPr>
        <w:bidi w:val="0"/>
        <w:spacing w:after="0" w:line="360" w:lineRule="auto"/>
        <w:jc w:val="both"/>
        <w:rPr>
          <w:rFonts w:ascii="Book Antiqua" w:hAnsi="Book Antiqua" w:cs="Times New Roman"/>
          <w:b/>
          <w:sz w:val="24"/>
          <w:szCs w:val="24"/>
          <w:lang w:eastAsia="zh-CN"/>
        </w:rPr>
      </w:pPr>
      <w:r w:rsidRPr="00952CB3">
        <w:rPr>
          <w:rFonts w:ascii="Book Antiqua" w:hAnsi="Book Antiqua" w:cs="Times New Roman"/>
          <w:b/>
          <w:sz w:val="24"/>
          <w:szCs w:val="24"/>
          <w:lang w:eastAsia="zh-CN"/>
        </w:rPr>
        <w:lastRenderedPageBreak/>
        <w:t>REFERENCES</w:t>
      </w:r>
    </w:p>
    <w:p w14:paraId="6A76766B" w14:textId="536C5E92"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 </w:t>
      </w:r>
      <w:proofErr w:type="spellStart"/>
      <w:r w:rsidRPr="00952CB3">
        <w:rPr>
          <w:rFonts w:ascii="Book Antiqua" w:eastAsia="宋体" w:hAnsi="Book Antiqua" w:cs="宋体"/>
          <w:b/>
          <w:bCs/>
          <w:sz w:val="24"/>
          <w:szCs w:val="24"/>
          <w:lang w:eastAsia="zh-CN" w:bidi="ar-SA"/>
        </w:rPr>
        <w:t>Mohd</w:t>
      </w:r>
      <w:proofErr w:type="spellEnd"/>
      <w:r w:rsidRPr="00952CB3">
        <w:rPr>
          <w:rFonts w:ascii="Book Antiqua" w:eastAsia="宋体" w:hAnsi="Book Antiqua" w:cs="宋体"/>
          <w:b/>
          <w:bCs/>
          <w:sz w:val="24"/>
          <w:szCs w:val="24"/>
          <w:lang w:eastAsia="zh-CN" w:bidi="ar-SA"/>
        </w:rPr>
        <w:t xml:space="preserve"> </w:t>
      </w:r>
      <w:proofErr w:type="spellStart"/>
      <w:r w:rsidRPr="00952CB3">
        <w:rPr>
          <w:rFonts w:ascii="Book Antiqua" w:eastAsia="宋体" w:hAnsi="Book Antiqua" w:cs="宋体"/>
          <w:b/>
          <w:bCs/>
          <w:sz w:val="24"/>
          <w:szCs w:val="24"/>
          <w:lang w:eastAsia="zh-CN" w:bidi="ar-SA"/>
        </w:rPr>
        <w:t>Hanafiah</w:t>
      </w:r>
      <w:proofErr w:type="spellEnd"/>
      <w:r w:rsidRPr="00952CB3">
        <w:rPr>
          <w:rFonts w:ascii="Book Antiqua" w:eastAsia="宋体" w:hAnsi="Book Antiqua" w:cs="宋体"/>
          <w:b/>
          <w:bCs/>
          <w:sz w:val="24"/>
          <w:szCs w:val="24"/>
          <w:lang w:eastAsia="zh-CN" w:bidi="ar-SA"/>
        </w:rPr>
        <w:t xml:space="preserve"> K</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Groeger</w:t>
      </w:r>
      <w:proofErr w:type="spellEnd"/>
      <w:r w:rsidRPr="00952CB3">
        <w:rPr>
          <w:rFonts w:ascii="Book Antiqua" w:eastAsia="宋体" w:hAnsi="Book Antiqua" w:cs="宋体"/>
          <w:sz w:val="24"/>
          <w:szCs w:val="24"/>
          <w:lang w:eastAsia="zh-CN" w:bidi="ar-SA"/>
        </w:rPr>
        <w:t xml:space="preserve"> J, Flaxman AD, </w:t>
      </w:r>
      <w:proofErr w:type="spellStart"/>
      <w:r w:rsidRPr="00952CB3">
        <w:rPr>
          <w:rFonts w:ascii="Book Antiqua" w:eastAsia="宋体" w:hAnsi="Book Antiqua" w:cs="宋体"/>
          <w:sz w:val="24"/>
          <w:szCs w:val="24"/>
          <w:lang w:eastAsia="zh-CN" w:bidi="ar-SA"/>
        </w:rPr>
        <w:t>Wiersma</w:t>
      </w:r>
      <w:proofErr w:type="spellEnd"/>
      <w:r w:rsidRPr="00952CB3">
        <w:rPr>
          <w:rFonts w:ascii="Book Antiqua" w:eastAsia="宋体" w:hAnsi="Book Antiqua" w:cs="宋体"/>
          <w:sz w:val="24"/>
          <w:szCs w:val="24"/>
          <w:lang w:eastAsia="zh-CN" w:bidi="ar-SA"/>
        </w:rPr>
        <w:t xml:space="preserve"> ST. Global epidemiology of hepatitis C virus infection: new estimates of age-specific antibody to HCV </w:t>
      </w:r>
      <w:proofErr w:type="spellStart"/>
      <w:r w:rsidRPr="00952CB3">
        <w:rPr>
          <w:rFonts w:ascii="Book Antiqua" w:eastAsia="宋体" w:hAnsi="Book Antiqua" w:cs="宋体"/>
          <w:sz w:val="24"/>
          <w:szCs w:val="24"/>
          <w:lang w:eastAsia="zh-CN" w:bidi="ar-SA"/>
        </w:rPr>
        <w:t>seroprevalence</w:t>
      </w:r>
      <w:proofErr w:type="spellEnd"/>
      <w:r w:rsidRPr="00952CB3">
        <w:rPr>
          <w:rFonts w:ascii="Book Antiqua" w:eastAsia="宋体" w:hAnsi="Book Antiqua" w:cs="宋体"/>
          <w:sz w:val="24"/>
          <w:szCs w:val="24"/>
          <w:lang w:eastAsia="zh-CN" w:bidi="ar-SA"/>
        </w:rPr>
        <w:t xml:space="preserve">. </w:t>
      </w:r>
      <w:r w:rsidRPr="00952CB3">
        <w:rPr>
          <w:rFonts w:ascii="Book Antiqua" w:eastAsia="宋体" w:hAnsi="Book Antiqua" w:cs="宋体"/>
          <w:i/>
          <w:iCs/>
          <w:sz w:val="24"/>
          <w:szCs w:val="24"/>
          <w:lang w:eastAsia="zh-CN" w:bidi="ar-SA"/>
        </w:rPr>
        <w:t>Hepatology</w:t>
      </w:r>
      <w:r w:rsidRPr="00952CB3">
        <w:rPr>
          <w:rFonts w:ascii="Book Antiqua" w:eastAsia="宋体" w:hAnsi="Book Antiqua" w:cs="宋体"/>
          <w:sz w:val="24"/>
          <w:szCs w:val="24"/>
          <w:lang w:eastAsia="zh-CN" w:bidi="ar-SA"/>
        </w:rPr>
        <w:t xml:space="preserve"> 2013; </w:t>
      </w:r>
      <w:r w:rsidRPr="00952CB3">
        <w:rPr>
          <w:rFonts w:ascii="Book Antiqua" w:eastAsia="宋体" w:hAnsi="Book Antiqua" w:cs="宋体"/>
          <w:b/>
          <w:bCs/>
          <w:sz w:val="24"/>
          <w:szCs w:val="24"/>
          <w:lang w:eastAsia="zh-CN" w:bidi="ar-SA"/>
        </w:rPr>
        <w:t>57</w:t>
      </w:r>
      <w:r w:rsidRPr="00952CB3">
        <w:rPr>
          <w:rFonts w:ascii="Book Antiqua" w:eastAsia="宋体" w:hAnsi="Book Antiqua" w:cs="宋体"/>
          <w:sz w:val="24"/>
          <w:szCs w:val="24"/>
          <w:lang w:eastAsia="zh-CN" w:bidi="ar-SA"/>
        </w:rPr>
        <w:t xml:space="preserve">: 1333-1342 [PMID: </w:t>
      </w:r>
      <w:r w:rsidR="0091248A">
        <w:rPr>
          <w:rFonts w:ascii="Book Antiqua" w:eastAsia="宋体" w:hAnsi="Book Antiqua" w:cs="宋体"/>
          <w:sz w:val="24"/>
          <w:szCs w:val="24"/>
          <w:lang w:eastAsia="zh-CN" w:bidi="ar-SA"/>
        </w:rPr>
        <w:t>23172780 DOI: 10.1002/hep.26141</w:t>
      </w:r>
      <w:r w:rsidRPr="00952CB3">
        <w:rPr>
          <w:rFonts w:ascii="Book Antiqua" w:eastAsia="宋体" w:hAnsi="Book Antiqua" w:cs="宋体"/>
          <w:sz w:val="24"/>
          <w:szCs w:val="24"/>
          <w:lang w:eastAsia="zh-CN" w:bidi="ar-SA"/>
        </w:rPr>
        <w:t>]</w:t>
      </w:r>
    </w:p>
    <w:p w14:paraId="5DA9C966" w14:textId="3C566F54"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2</w:t>
      </w:r>
      <w:proofErr w:type="gramEnd"/>
      <w:r>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b/>
          <w:sz w:val="24"/>
          <w:szCs w:val="24"/>
          <w:lang w:eastAsia="zh-CN" w:bidi="ar-SA"/>
        </w:rPr>
        <w:t>Holtzman</w:t>
      </w:r>
      <w:proofErr w:type="spellEnd"/>
      <w:r w:rsidRPr="00952CB3">
        <w:rPr>
          <w:rFonts w:ascii="Book Antiqua" w:eastAsia="宋体" w:hAnsi="Book Antiqua" w:cs="宋体"/>
          <w:b/>
          <w:sz w:val="24"/>
          <w:szCs w:val="24"/>
          <w:lang w:eastAsia="zh-CN" w:bidi="ar-SA"/>
        </w:rPr>
        <w:t xml:space="preserve"> D</w:t>
      </w:r>
      <w:r w:rsidRPr="00952CB3">
        <w:rPr>
          <w:rFonts w:ascii="Book Antiqua" w:eastAsia="宋体" w:hAnsi="Book Antiqua" w:cs="宋体"/>
          <w:sz w:val="24"/>
          <w:szCs w:val="24"/>
          <w:lang w:eastAsia="zh-CN" w:bidi="ar-SA"/>
        </w:rPr>
        <w:t>. Hepatitis C 2</w:t>
      </w:r>
      <w:r>
        <w:rPr>
          <w:rFonts w:ascii="Book Antiqua" w:eastAsia="宋体" w:hAnsi="Book Antiqua" w:cs="宋体"/>
          <w:sz w:val="24"/>
          <w:szCs w:val="24"/>
          <w:lang w:eastAsia="zh-CN" w:bidi="ar-SA"/>
        </w:rPr>
        <w:t>016.</w:t>
      </w:r>
      <w:r w:rsidR="009F12A4">
        <w:rPr>
          <w:rFonts w:ascii="Book Antiqua" w:eastAsia="宋体" w:hAnsi="Book Antiqua" w:cs="宋体"/>
          <w:sz w:val="24"/>
          <w:szCs w:val="24"/>
          <w:lang w:eastAsia="zh-CN" w:bidi="ar-SA"/>
        </w:rPr>
        <w:t xml:space="preserve"> </w:t>
      </w:r>
      <w:proofErr w:type="gramStart"/>
      <w:r w:rsidR="009F12A4" w:rsidRPr="009F12A4">
        <w:rPr>
          <w:rFonts w:ascii="Book Antiqua" w:eastAsia="宋体" w:hAnsi="Book Antiqua" w:cs="宋体"/>
          <w:sz w:val="24"/>
          <w:szCs w:val="24"/>
          <w:lang w:eastAsia="zh-CN" w:bidi="ar-SA"/>
        </w:rPr>
        <w:t>CDC Health Infor</w:t>
      </w:r>
      <w:r w:rsidR="009F12A4">
        <w:rPr>
          <w:rFonts w:ascii="Book Antiqua" w:eastAsia="宋体" w:hAnsi="Book Antiqua" w:cs="宋体"/>
          <w:sz w:val="24"/>
          <w:szCs w:val="24"/>
          <w:lang w:eastAsia="zh-CN" w:bidi="ar-SA"/>
        </w:rPr>
        <w:t>mation for International Travel.</w:t>
      </w:r>
      <w:proofErr w:type="gramEnd"/>
      <w:r w:rsidR="009F12A4">
        <w:rPr>
          <w:rFonts w:ascii="Book Antiqua" w:eastAsia="宋体" w:hAnsi="Book Antiqua" w:cs="宋体"/>
          <w:sz w:val="24"/>
          <w:szCs w:val="24"/>
          <w:lang w:eastAsia="zh-CN" w:bidi="ar-SA"/>
        </w:rPr>
        <w:t xml:space="preserve"> [updated 2015 Jul 10].</w:t>
      </w:r>
      <w:r>
        <w:rPr>
          <w:rFonts w:ascii="Book Antiqua" w:eastAsia="宋体" w:hAnsi="Book Antiqua" w:cs="宋体"/>
          <w:sz w:val="24"/>
          <w:szCs w:val="24"/>
          <w:lang w:eastAsia="zh-CN" w:bidi="ar-SA"/>
        </w:rPr>
        <w:t xml:space="preserve"> Available from: URL: http:</w:t>
      </w:r>
      <w:r w:rsidRPr="00952CB3">
        <w:rPr>
          <w:rFonts w:ascii="Book Antiqua" w:eastAsia="宋体" w:hAnsi="Book Antiqua" w:cs="宋体"/>
          <w:sz w:val="24"/>
          <w:szCs w:val="24"/>
          <w:lang w:eastAsia="zh-CN" w:bidi="ar-SA"/>
        </w:rPr>
        <w:t>//wwwnc.cdc.gov/travel/yellowbook/2016/infectious-diseases-rel</w:t>
      </w:r>
      <w:r w:rsidR="00030940">
        <w:rPr>
          <w:rFonts w:ascii="Book Antiqua" w:eastAsia="宋体" w:hAnsi="Book Antiqua" w:cs="宋体"/>
          <w:sz w:val="24"/>
          <w:szCs w:val="24"/>
          <w:lang w:eastAsia="zh-CN" w:bidi="ar-SA"/>
        </w:rPr>
        <w:t>ated-to-travel/hepatitis-c#4627</w:t>
      </w:r>
    </w:p>
    <w:p w14:paraId="55A048C9" w14:textId="49D1BEB8"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 </w:t>
      </w:r>
      <w:r w:rsidRPr="00952CB3">
        <w:rPr>
          <w:rFonts w:ascii="Book Antiqua" w:hAnsi="Book Antiqua" w:cs="Arial"/>
          <w:b/>
          <w:sz w:val="24"/>
          <w:szCs w:val="24"/>
        </w:rPr>
        <w:t>Panel AIHG</w:t>
      </w:r>
      <w:r>
        <w:rPr>
          <w:rFonts w:ascii="Book Antiqua" w:hAnsi="Book Antiqua" w:cs="Arial" w:hint="eastAsia"/>
          <w:sz w:val="24"/>
          <w:szCs w:val="24"/>
          <w:lang w:eastAsia="zh-CN"/>
        </w:rPr>
        <w:t>.</w:t>
      </w:r>
      <w:r w:rsidRPr="00952CB3">
        <w:rPr>
          <w:rFonts w:ascii="Book Antiqua" w:eastAsia="宋体" w:hAnsi="Book Antiqua" w:cs="宋体"/>
          <w:sz w:val="24"/>
          <w:szCs w:val="24"/>
          <w:lang w:eastAsia="zh-CN" w:bidi="ar-SA"/>
        </w:rPr>
        <w:t xml:space="preserve"> Hepatitis C guidance: AASLD-IDSA recommendations for testing, managing, and treating adults infected with hepatitis C virus. </w:t>
      </w:r>
      <w:r w:rsidRPr="00952CB3">
        <w:rPr>
          <w:rFonts w:ascii="Book Antiqua" w:eastAsia="宋体" w:hAnsi="Book Antiqua" w:cs="宋体"/>
          <w:i/>
          <w:iCs/>
          <w:sz w:val="24"/>
          <w:szCs w:val="24"/>
          <w:lang w:eastAsia="zh-CN" w:bidi="ar-SA"/>
        </w:rPr>
        <w:t>Hepatology</w:t>
      </w:r>
      <w:r w:rsidRPr="00952CB3">
        <w:rPr>
          <w:rFonts w:ascii="Book Antiqua" w:eastAsia="宋体" w:hAnsi="Book Antiqua" w:cs="宋体"/>
          <w:sz w:val="24"/>
          <w:szCs w:val="24"/>
          <w:lang w:eastAsia="zh-CN" w:bidi="ar-SA"/>
        </w:rPr>
        <w:t xml:space="preserve"> 2015; </w:t>
      </w:r>
      <w:r w:rsidRPr="00952CB3">
        <w:rPr>
          <w:rFonts w:ascii="Book Antiqua" w:eastAsia="宋体" w:hAnsi="Book Antiqua" w:cs="宋体"/>
          <w:b/>
          <w:bCs/>
          <w:sz w:val="24"/>
          <w:szCs w:val="24"/>
          <w:lang w:eastAsia="zh-CN" w:bidi="ar-SA"/>
        </w:rPr>
        <w:t>62</w:t>
      </w:r>
      <w:r w:rsidRPr="00952CB3">
        <w:rPr>
          <w:rFonts w:ascii="Book Antiqua" w:eastAsia="宋体" w:hAnsi="Book Antiqua" w:cs="宋体"/>
          <w:sz w:val="24"/>
          <w:szCs w:val="24"/>
          <w:lang w:eastAsia="zh-CN" w:bidi="ar-SA"/>
        </w:rPr>
        <w:t xml:space="preserve">: 932-954 [PMID: </w:t>
      </w:r>
      <w:r>
        <w:rPr>
          <w:rFonts w:ascii="Book Antiqua" w:eastAsia="宋体" w:hAnsi="Book Antiqua" w:cs="宋体"/>
          <w:sz w:val="24"/>
          <w:szCs w:val="24"/>
          <w:lang w:eastAsia="zh-CN" w:bidi="ar-SA"/>
        </w:rPr>
        <w:t>26111063 DOI: 10.1002/hep.27950</w:t>
      </w:r>
      <w:r w:rsidRPr="00952CB3">
        <w:rPr>
          <w:rFonts w:ascii="Book Antiqua" w:eastAsia="宋体" w:hAnsi="Book Antiqua" w:cs="宋体"/>
          <w:sz w:val="24"/>
          <w:szCs w:val="24"/>
          <w:lang w:eastAsia="zh-CN" w:bidi="ar-SA"/>
        </w:rPr>
        <w:t>]</w:t>
      </w:r>
    </w:p>
    <w:p w14:paraId="01153518" w14:textId="082068C7"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4 </w:t>
      </w:r>
      <w:proofErr w:type="spellStart"/>
      <w:r w:rsidRPr="00952CB3">
        <w:rPr>
          <w:rFonts w:ascii="Book Antiqua" w:eastAsia="宋体" w:hAnsi="Book Antiqua" w:cs="宋体"/>
          <w:b/>
          <w:bCs/>
          <w:sz w:val="24"/>
          <w:szCs w:val="24"/>
          <w:lang w:eastAsia="zh-CN" w:bidi="ar-SA"/>
        </w:rPr>
        <w:t>Poordad</w:t>
      </w:r>
      <w:proofErr w:type="spellEnd"/>
      <w:r w:rsidRPr="00952CB3">
        <w:rPr>
          <w:rFonts w:ascii="Book Antiqua" w:eastAsia="宋体" w:hAnsi="Book Antiqua" w:cs="宋体"/>
          <w:b/>
          <w:bCs/>
          <w:sz w:val="24"/>
          <w:szCs w:val="24"/>
          <w:lang w:eastAsia="zh-CN" w:bidi="ar-SA"/>
        </w:rPr>
        <w:t xml:space="preserve"> F</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Hezode</w:t>
      </w:r>
      <w:proofErr w:type="spellEnd"/>
      <w:r w:rsidRPr="00952CB3">
        <w:rPr>
          <w:rFonts w:ascii="Book Antiqua" w:eastAsia="宋体" w:hAnsi="Book Antiqua" w:cs="宋体"/>
          <w:sz w:val="24"/>
          <w:szCs w:val="24"/>
          <w:lang w:eastAsia="zh-CN" w:bidi="ar-SA"/>
        </w:rPr>
        <w:t xml:space="preserve"> C, Trinh R, </w:t>
      </w:r>
      <w:proofErr w:type="spellStart"/>
      <w:r w:rsidRPr="00952CB3">
        <w:rPr>
          <w:rFonts w:ascii="Book Antiqua" w:eastAsia="宋体" w:hAnsi="Book Antiqua" w:cs="宋体"/>
          <w:sz w:val="24"/>
          <w:szCs w:val="24"/>
          <w:lang w:eastAsia="zh-CN" w:bidi="ar-SA"/>
        </w:rPr>
        <w:t>Kowdley</w:t>
      </w:r>
      <w:proofErr w:type="spellEnd"/>
      <w:r w:rsidRPr="00952CB3">
        <w:rPr>
          <w:rFonts w:ascii="Book Antiqua" w:eastAsia="宋体" w:hAnsi="Book Antiqua" w:cs="宋体"/>
          <w:sz w:val="24"/>
          <w:szCs w:val="24"/>
          <w:lang w:eastAsia="zh-CN" w:bidi="ar-SA"/>
        </w:rPr>
        <w:t xml:space="preserve"> KV, </w:t>
      </w:r>
      <w:proofErr w:type="spellStart"/>
      <w:r w:rsidRPr="00952CB3">
        <w:rPr>
          <w:rFonts w:ascii="Book Antiqua" w:eastAsia="宋体" w:hAnsi="Book Antiqua" w:cs="宋体"/>
          <w:sz w:val="24"/>
          <w:szCs w:val="24"/>
          <w:lang w:eastAsia="zh-CN" w:bidi="ar-SA"/>
        </w:rPr>
        <w:t>Zeuzem</w:t>
      </w:r>
      <w:proofErr w:type="spellEnd"/>
      <w:r w:rsidRPr="00952CB3">
        <w:rPr>
          <w:rFonts w:ascii="Book Antiqua" w:eastAsia="宋体" w:hAnsi="Book Antiqua" w:cs="宋体"/>
          <w:sz w:val="24"/>
          <w:szCs w:val="24"/>
          <w:lang w:eastAsia="zh-CN" w:bidi="ar-SA"/>
        </w:rPr>
        <w:t xml:space="preserve"> S, </w:t>
      </w:r>
      <w:proofErr w:type="spellStart"/>
      <w:r w:rsidRPr="00952CB3">
        <w:rPr>
          <w:rFonts w:ascii="Book Antiqua" w:eastAsia="宋体" w:hAnsi="Book Antiqua" w:cs="宋体"/>
          <w:sz w:val="24"/>
          <w:szCs w:val="24"/>
          <w:lang w:eastAsia="zh-CN" w:bidi="ar-SA"/>
        </w:rPr>
        <w:t>Agarwal</w:t>
      </w:r>
      <w:proofErr w:type="spellEnd"/>
      <w:r w:rsidRPr="00952CB3">
        <w:rPr>
          <w:rFonts w:ascii="Book Antiqua" w:eastAsia="宋体" w:hAnsi="Book Antiqua" w:cs="宋体"/>
          <w:sz w:val="24"/>
          <w:szCs w:val="24"/>
          <w:lang w:eastAsia="zh-CN" w:bidi="ar-SA"/>
        </w:rPr>
        <w:t xml:space="preserve"> K, </w:t>
      </w:r>
      <w:proofErr w:type="spellStart"/>
      <w:r w:rsidRPr="00952CB3">
        <w:rPr>
          <w:rFonts w:ascii="Book Antiqua" w:eastAsia="宋体" w:hAnsi="Book Antiqua" w:cs="宋体"/>
          <w:sz w:val="24"/>
          <w:szCs w:val="24"/>
          <w:lang w:eastAsia="zh-CN" w:bidi="ar-SA"/>
        </w:rPr>
        <w:t>Shiffman</w:t>
      </w:r>
      <w:proofErr w:type="spellEnd"/>
      <w:r w:rsidRPr="00952CB3">
        <w:rPr>
          <w:rFonts w:ascii="Book Antiqua" w:eastAsia="宋体" w:hAnsi="Book Antiqua" w:cs="宋体"/>
          <w:sz w:val="24"/>
          <w:szCs w:val="24"/>
          <w:lang w:eastAsia="zh-CN" w:bidi="ar-SA"/>
        </w:rPr>
        <w:t xml:space="preserve"> ML, </w:t>
      </w:r>
      <w:proofErr w:type="spellStart"/>
      <w:r w:rsidRPr="00952CB3">
        <w:rPr>
          <w:rFonts w:ascii="Book Antiqua" w:eastAsia="宋体" w:hAnsi="Book Antiqua" w:cs="宋体"/>
          <w:sz w:val="24"/>
          <w:szCs w:val="24"/>
          <w:lang w:eastAsia="zh-CN" w:bidi="ar-SA"/>
        </w:rPr>
        <w:t>Wedemeyer</w:t>
      </w:r>
      <w:proofErr w:type="spellEnd"/>
      <w:r w:rsidRPr="00952CB3">
        <w:rPr>
          <w:rFonts w:ascii="Book Antiqua" w:eastAsia="宋体" w:hAnsi="Book Antiqua" w:cs="宋体"/>
          <w:sz w:val="24"/>
          <w:szCs w:val="24"/>
          <w:lang w:eastAsia="zh-CN" w:bidi="ar-SA"/>
        </w:rPr>
        <w:t xml:space="preserve"> H, Berg T, Yoshida EM, </w:t>
      </w:r>
      <w:proofErr w:type="spellStart"/>
      <w:r w:rsidRPr="00952CB3">
        <w:rPr>
          <w:rFonts w:ascii="Book Antiqua" w:eastAsia="宋体" w:hAnsi="Book Antiqua" w:cs="宋体"/>
          <w:sz w:val="24"/>
          <w:szCs w:val="24"/>
          <w:lang w:eastAsia="zh-CN" w:bidi="ar-SA"/>
        </w:rPr>
        <w:t>Forns</w:t>
      </w:r>
      <w:proofErr w:type="spellEnd"/>
      <w:r w:rsidRPr="00952CB3">
        <w:rPr>
          <w:rFonts w:ascii="Book Antiqua" w:eastAsia="宋体" w:hAnsi="Book Antiqua" w:cs="宋体"/>
          <w:sz w:val="24"/>
          <w:szCs w:val="24"/>
          <w:lang w:eastAsia="zh-CN" w:bidi="ar-SA"/>
        </w:rPr>
        <w:t xml:space="preserve"> X, Lovell SS, Da Silva-</w:t>
      </w:r>
      <w:proofErr w:type="spellStart"/>
      <w:r w:rsidRPr="00952CB3">
        <w:rPr>
          <w:rFonts w:ascii="Book Antiqua" w:eastAsia="宋体" w:hAnsi="Book Antiqua" w:cs="宋体"/>
          <w:sz w:val="24"/>
          <w:szCs w:val="24"/>
          <w:lang w:eastAsia="zh-CN" w:bidi="ar-SA"/>
        </w:rPr>
        <w:t>Tillmann</w:t>
      </w:r>
      <w:proofErr w:type="spellEnd"/>
      <w:r w:rsidRPr="00952CB3">
        <w:rPr>
          <w:rFonts w:ascii="Book Antiqua" w:eastAsia="宋体" w:hAnsi="Book Antiqua" w:cs="宋体"/>
          <w:sz w:val="24"/>
          <w:szCs w:val="24"/>
          <w:lang w:eastAsia="zh-CN" w:bidi="ar-SA"/>
        </w:rPr>
        <w:t xml:space="preserve"> B, Collins CA, Campbell AL, </w:t>
      </w:r>
      <w:proofErr w:type="spellStart"/>
      <w:r w:rsidRPr="00952CB3">
        <w:rPr>
          <w:rFonts w:ascii="Book Antiqua" w:eastAsia="宋体" w:hAnsi="Book Antiqua" w:cs="宋体"/>
          <w:sz w:val="24"/>
          <w:szCs w:val="24"/>
          <w:lang w:eastAsia="zh-CN" w:bidi="ar-SA"/>
        </w:rPr>
        <w:t>Podsadecki</w:t>
      </w:r>
      <w:proofErr w:type="spellEnd"/>
      <w:r w:rsidRPr="00952CB3">
        <w:rPr>
          <w:rFonts w:ascii="Book Antiqua" w:eastAsia="宋体" w:hAnsi="Book Antiqua" w:cs="宋体"/>
          <w:sz w:val="24"/>
          <w:szCs w:val="24"/>
          <w:lang w:eastAsia="zh-CN" w:bidi="ar-SA"/>
        </w:rPr>
        <w:t xml:space="preserve"> T, Bernstein B. ABT-450/r-</w:t>
      </w:r>
      <w:proofErr w:type="spellStart"/>
      <w:r w:rsidRPr="00952CB3">
        <w:rPr>
          <w:rFonts w:ascii="Book Antiqua" w:eastAsia="宋体" w:hAnsi="Book Antiqua" w:cs="宋体"/>
          <w:sz w:val="24"/>
          <w:szCs w:val="24"/>
          <w:lang w:eastAsia="zh-CN" w:bidi="ar-SA"/>
        </w:rPr>
        <w:t>ombitasvir</w:t>
      </w:r>
      <w:proofErr w:type="spellEnd"/>
      <w:r w:rsidRPr="00952CB3">
        <w:rPr>
          <w:rFonts w:ascii="Book Antiqua" w:eastAsia="宋体" w:hAnsi="Book Antiqua" w:cs="宋体"/>
          <w:sz w:val="24"/>
          <w:szCs w:val="24"/>
          <w:lang w:eastAsia="zh-CN" w:bidi="ar-SA"/>
        </w:rPr>
        <w:t xml:space="preserve"> and </w:t>
      </w:r>
      <w:proofErr w:type="spellStart"/>
      <w:r w:rsidRPr="00952CB3">
        <w:rPr>
          <w:rFonts w:ascii="Book Antiqua" w:eastAsia="宋体" w:hAnsi="Book Antiqua" w:cs="宋体"/>
          <w:sz w:val="24"/>
          <w:szCs w:val="24"/>
          <w:lang w:eastAsia="zh-CN" w:bidi="ar-SA"/>
        </w:rPr>
        <w:t>dasabuvir</w:t>
      </w:r>
      <w:proofErr w:type="spellEnd"/>
      <w:r w:rsidRPr="00952CB3">
        <w:rPr>
          <w:rFonts w:ascii="Book Antiqua" w:eastAsia="宋体" w:hAnsi="Book Antiqua" w:cs="宋体"/>
          <w:sz w:val="24"/>
          <w:szCs w:val="24"/>
          <w:lang w:eastAsia="zh-CN" w:bidi="ar-SA"/>
        </w:rPr>
        <w:t xml:space="preserve"> with ribavirin for hepatitis C with cirrhosis. </w:t>
      </w:r>
      <w:r w:rsidRPr="00952CB3">
        <w:rPr>
          <w:rFonts w:ascii="Book Antiqua" w:eastAsia="宋体" w:hAnsi="Book Antiqua" w:cs="宋体"/>
          <w:i/>
          <w:iCs/>
          <w:sz w:val="24"/>
          <w:szCs w:val="24"/>
          <w:lang w:eastAsia="zh-CN" w:bidi="ar-SA"/>
        </w:rPr>
        <w:t xml:space="preserve">N </w:t>
      </w:r>
      <w:proofErr w:type="spellStart"/>
      <w:r w:rsidRPr="00952CB3">
        <w:rPr>
          <w:rFonts w:ascii="Book Antiqua" w:eastAsia="宋体" w:hAnsi="Book Antiqua" w:cs="宋体"/>
          <w:i/>
          <w:iCs/>
          <w:sz w:val="24"/>
          <w:szCs w:val="24"/>
          <w:lang w:eastAsia="zh-CN" w:bidi="ar-SA"/>
        </w:rPr>
        <w:t>Engl</w:t>
      </w:r>
      <w:proofErr w:type="spellEnd"/>
      <w:r w:rsidRPr="00952CB3">
        <w:rPr>
          <w:rFonts w:ascii="Book Antiqua" w:eastAsia="宋体" w:hAnsi="Book Antiqua" w:cs="宋体"/>
          <w:i/>
          <w:iCs/>
          <w:sz w:val="24"/>
          <w:szCs w:val="24"/>
          <w:lang w:eastAsia="zh-CN" w:bidi="ar-SA"/>
        </w:rPr>
        <w:t xml:space="preserve"> J Med</w:t>
      </w:r>
      <w:r w:rsidRPr="00952CB3">
        <w:rPr>
          <w:rFonts w:ascii="Book Antiqua" w:eastAsia="宋体" w:hAnsi="Book Antiqua" w:cs="宋体"/>
          <w:sz w:val="24"/>
          <w:szCs w:val="24"/>
          <w:lang w:eastAsia="zh-CN" w:bidi="ar-SA"/>
        </w:rPr>
        <w:t xml:space="preserve"> 2014; </w:t>
      </w:r>
      <w:r w:rsidRPr="00952CB3">
        <w:rPr>
          <w:rFonts w:ascii="Book Antiqua" w:eastAsia="宋体" w:hAnsi="Book Antiqua" w:cs="宋体"/>
          <w:b/>
          <w:bCs/>
          <w:sz w:val="24"/>
          <w:szCs w:val="24"/>
          <w:lang w:eastAsia="zh-CN" w:bidi="ar-SA"/>
        </w:rPr>
        <w:t>370</w:t>
      </w:r>
      <w:r w:rsidRPr="00952CB3">
        <w:rPr>
          <w:rFonts w:ascii="Book Antiqua" w:eastAsia="宋体" w:hAnsi="Book Antiqua" w:cs="宋体"/>
          <w:sz w:val="24"/>
          <w:szCs w:val="24"/>
          <w:lang w:eastAsia="zh-CN" w:bidi="ar-SA"/>
        </w:rPr>
        <w:t>: 1973-1982 [PMID: 2472</w:t>
      </w:r>
      <w:r>
        <w:rPr>
          <w:rFonts w:ascii="Book Antiqua" w:eastAsia="宋体" w:hAnsi="Book Antiqua" w:cs="宋体"/>
          <w:sz w:val="24"/>
          <w:szCs w:val="24"/>
          <w:lang w:eastAsia="zh-CN" w:bidi="ar-SA"/>
        </w:rPr>
        <w:t>5237 DOI: 10.1056/NEJMoa1402869</w:t>
      </w:r>
      <w:r w:rsidRPr="00952CB3">
        <w:rPr>
          <w:rFonts w:ascii="Book Antiqua" w:eastAsia="宋体" w:hAnsi="Book Antiqua" w:cs="宋体"/>
          <w:sz w:val="24"/>
          <w:szCs w:val="24"/>
          <w:lang w:eastAsia="zh-CN" w:bidi="ar-SA"/>
        </w:rPr>
        <w:t>]</w:t>
      </w:r>
    </w:p>
    <w:p w14:paraId="25A286AD" w14:textId="222FF08B"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5 </w:t>
      </w:r>
      <w:r w:rsidRPr="00952CB3">
        <w:rPr>
          <w:rFonts w:ascii="Book Antiqua" w:eastAsia="宋体" w:hAnsi="Book Antiqua" w:cs="宋体"/>
          <w:b/>
          <w:sz w:val="24"/>
          <w:szCs w:val="24"/>
          <w:lang w:eastAsia="zh-CN" w:bidi="ar-SA"/>
        </w:rPr>
        <w:t>FDA Drug Safety Communication</w:t>
      </w:r>
      <w:r>
        <w:rPr>
          <w:rFonts w:ascii="Book Antiqua" w:eastAsia="宋体" w:hAnsi="Book Antiqua" w:cs="宋体" w:hint="eastAsia"/>
          <w:sz w:val="24"/>
          <w:szCs w:val="24"/>
          <w:lang w:eastAsia="zh-CN" w:bidi="ar-SA"/>
        </w:rPr>
        <w:t>.</w:t>
      </w:r>
      <w:r w:rsidRPr="00952CB3">
        <w:rPr>
          <w:rFonts w:ascii="Book Antiqua" w:eastAsia="宋体" w:hAnsi="Book Antiqua" w:cs="宋体"/>
          <w:sz w:val="24"/>
          <w:szCs w:val="24"/>
          <w:lang w:eastAsia="zh-CN" w:bidi="ar-SA"/>
        </w:rPr>
        <w:t xml:space="preserve"> FDA warns of serious liver injury risk with hepatitis C treatments </w:t>
      </w:r>
      <w:proofErr w:type="spellStart"/>
      <w:r w:rsidRPr="00952CB3">
        <w:rPr>
          <w:rFonts w:ascii="Book Antiqua" w:eastAsia="宋体" w:hAnsi="Book Antiqua" w:cs="宋体"/>
          <w:sz w:val="24"/>
          <w:szCs w:val="24"/>
          <w:lang w:eastAsia="zh-CN" w:bidi="ar-SA"/>
        </w:rPr>
        <w:t>Viekira</w:t>
      </w:r>
      <w:proofErr w:type="spellEnd"/>
      <w:r w:rsidRPr="00952CB3">
        <w:rPr>
          <w:rFonts w:ascii="Book Antiqua" w:eastAsia="宋体" w:hAnsi="Book Antiqua" w:cs="宋体"/>
          <w:sz w:val="24"/>
          <w:szCs w:val="24"/>
          <w:lang w:eastAsia="zh-CN" w:bidi="ar-SA"/>
        </w:rPr>
        <w:t xml:space="preserve"> Pak and </w:t>
      </w:r>
      <w:proofErr w:type="spellStart"/>
      <w:r w:rsidRPr="00952CB3">
        <w:rPr>
          <w:rFonts w:ascii="Book Antiqua" w:eastAsia="宋体" w:hAnsi="Book Antiqua" w:cs="宋体"/>
          <w:sz w:val="24"/>
          <w:szCs w:val="24"/>
          <w:lang w:eastAsia="zh-CN" w:bidi="ar-SA"/>
        </w:rPr>
        <w:t>Technivie</w:t>
      </w:r>
      <w:proofErr w:type="spellEnd"/>
      <w:r w:rsidRPr="00952CB3">
        <w:rPr>
          <w:rFonts w:ascii="Book Antiqua" w:eastAsia="宋体" w:hAnsi="Book Antiqua" w:cs="宋体"/>
          <w:sz w:val="24"/>
          <w:szCs w:val="24"/>
          <w:lang w:eastAsia="zh-CN" w:bidi="ar-SA"/>
        </w:rPr>
        <w:t>. 2</w:t>
      </w:r>
      <w:r>
        <w:rPr>
          <w:rFonts w:ascii="Book Antiqua" w:eastAsia="宋体" w:hAnsi="Book Antiqua" w:cs="宋体"/>
          <w:sz w:val="24"/>
          <w:szCs w:val="24"/>
          <w:lang w:eastAsia="zh-CN" w:bidi="ar-SA"/>
        </w:rPr>
        <w:t>015. Available from: URL: http:</w:t>
      </w:r>
      <w:r w:rsidRPr="00952CB3">
        <w:rPr>
          <w:rFonts w:ascii="Book Antiqua" w:eastAsia="宋体" w:hAnsi="Book Antiqua" w:cs="宋体"/>
          <w:sz w:val="24"/>
          <w:szCs w:val="24"/>
          <w:lang w:eastAsia="zh-CN" w:bidi="ar-SA"/>
        </w:rPr>
        <w:t>//www.fda.gov/Drugs/DrugSafety/ucm468634.htm</w:t>
      </w:r>
    </w:p>
    <w:p w14:paraId="67157416" w14:textId="3ECCFFA5"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6 </w:t>
      </w:r>
      <w:r w:rsidRPr="00952CB3">
        <w:rPr>
          <w:rFonts w:ascii="Book Antiqua" w:eastAsia="宋体" w:hAnsi="Book Antiqua" w:cs="宋体"/>
          <w:b/>
          <w:bCs/>
          <w:sz w:val="24"/>
          <w:szCs w:val="24"/>
          <w:lang w:eastAsia="zh-CN" w:bidi="ar-SA"/>
        </w:rPr>
        <w:t>Dyson JK</w:t>
      </w:r>
      <w:r w:rsidRPr="00952CB3">
        <w:rPr>
          <w:rFonts w:ascii="Book Antiqua" w:eastAsia="宋体" w:hAnsi="Book Antiqua" w:cs="宋体"/>
          <w:sz w:val="24"/>
          <w:szCs w:val="24"/>
          <w:lang w:eastAsia="zh-CN" w:bidi="ar-SA"/>
        </w:rPr>
        <w:t xml:space="preserve">, Hutchinson J, Harrison L, </w:t>
      </w:r>
      <w:proofErr w:type="spellStart"/>
      <w:r w:rsidRPr="00952CB3">
        <w:rPr>
          <w:rFonts w:ascii="Book Antiqua" w:eastAsia="宋体" w:hAnsi="Book Antiqua" w:cs="宋体"/>
          <w:sz w:val="24"/>
          <w:szCs w:val="24"/>
          <w:lang w:eastAsia="zh-CN" w:bidi="ar-SA"/>
        </w:rPr>
        <w:t>Rotimi</w:t>
      </w:r>
      <w:proofErr w:type="spellEnd"/>
      <w:r w:rsidRPr="00952CB3">
        <w:rPr>
          <w:rFonts w:ascii="Book Antiqua" w:eastAsia="宋体" w:hAnsi="Book Antiqua" w:cs="宋体"/>
          <w:sz w:val="24"/>
          <w:szCs w:val="24"/>
          <w:lang w:eastAsia="zh-CN" w:bidi="ar-SA"/>
        </w:rPr>
        <w:t xml:space="preserve"> O, </w:t>
      </w:r>
      <w:proofErr w:type="spellStart"/>
      <w:r w:rsidRPr="00952CB3">
        <w:rPr>
          <w:rFonts w:ascii="Book Antiqua" w:eastAsia="宋体" w:hAnsi="Book Antiqua" w:cs="宋体"/>
          <w:sz w:val="24"/>
          <w:szCs w:val="24"/>
          <w:lang w:eastAsia="zh-CN" w:bidi="ar-SA"/>
        </w:rPr>
        <w:t>Tiniakos</w:t>
      </w:r>
      <w:proofErr w:type="spellEnd"/>
      <w:r w:rsidRPr="00952CB3">
        <w:rPr>
          <w:rFonts w:ascii="Book Antiqua" w:eastAsia="宋体" w:hAnsi="Book Antiqua" w:cs="宋体"/>
          <w:sz w:val="24"/>
          <w:szCs w:val="24"/>
          <w:lang w:eastAsia="zh-CN" w:bidi="ar-SA"/>
        </w:rPr>
        <w:t xml:space="preserve"> D, Foster GR, </w:t>
      </w:r>
      <w:proofErr w:type="spellStart"/>
      <w:r w:rsidRPr="00952CB3">
        <w:rPr>
          <w:rFonts w:ascii="Book Antiqua" w:eastAsia="宋体" w:hAnsi="Book Antiqua" w:cs="宋体"/>
          <w:sz w:val="24"/>
          <w:szCs w:val="24"/>
          <w:lang w:eastAsia="zh-CN" w:bidi="ar-SA"/>
        </w:rPr>
        <w:t>Aldersley</w:t>
      </w:r>
      <w:proofErr w:type="spellEnd"/>
      <w:r w:rsidRPr="00952CB3">
        <w:rPr>
          <w:rFonts w:ascii="Book Antiqua" w:eastAsia="宋体" w:hAnsi="Book Antiqua" w:cs="宋体"/>
          <w:sz w:val="24"/>
          <w:szCs w:val="24"/>
          <w:lang w:eastAsia="zh-CN" w:bidi="ar-SA"/>
        </w:rPr>
        <w:t xml:space="preserve"> MA, McPherson S. Liver toxicity associated with </w:t>
      </w:r>
      <w:proofErr w:type="spellStart"/>
      <w:r w:rsidRPr="00952CB3">
        <w:rPr>
          <w:rFonts w:ascii="Book Antiqua" w:eastAsia="宋体" w:hAnsi="Book Antiqua" w:cs="宋体"/>
          <w:sz w:val="24"/>
          <w:szCs w:val="24"/>
          <w:lang w:eastAsia="zh-CN" w:bidi="ar-SA"/>
        </w:rPr>
        <w:t>sofosbuvir</w:t>
      </w:r>
      <w:proofErr w:type="spellEnd"/>
      <w:r w:rsidRPr="00952CB3">
        <w:rPr>
          <w:rFonts w:ascii="Book Antiqua" w:eastAsia="宋体" w:hAnsi="Book Antiqua" w:cs="宋体"/>
          <w:sz w:val="24"/>
          <w:szCs w:val="24"/>
          <w:lang w:eastAsia="zh-CN" w:bidi="ar-SA"/>
        </w:rPr>
        <w:t xml:space="preserve">, an NS5A inhibitor and ribavirin use. </w:t>
      </w:r>
      <w:r w:rsidRPr="00952CB3">
        <w:rPr>
          <w:rFonts w:ascii="Book Antiqua" w:eastAsia="宋体" w:hAnsi="Book Antiqua" w:cs="宋体"/>
          <w:i/>
          <w:iCs/>
          <w:sz w:val="24"/>
          <w:szCs w:val="24"/>
          <w:lang w:eastAsia="zh-CN" w:bidi="ar-SA"/>
        </w:rPr>
        <w:t xml:space="preserve">J </w:t>
      </w:r>
      <w:proofErr w:type="spellStart"/>
      <w:r w:rsidRPr="00952CB3">
        <w:rPr>
          <w:rFonts w:ascii="Book Antiqua" w:eastAsia="宋体" w:hAnsi="Book Antiqua" w:cs="宋体"/>
          <w:i/>
          <w:iCs/>
          <w:sz w:val="24"/>
          <w:szCs w:val="24"/>
          <w:lang w:eastAsia="zh-CN" w:bidi="ar-SA"/>
        </w:rPr>
        <w:t>Hepatol</w:t>
      </w:r>
      <w:proofErr w:type="spellEnd"/>
      <w:r w:rsidRPr="00952CB3">
        <w:rPr>
          <w:rFonts w:ascii="Book Antiqua" w:eastAsia="宋体" w:hAnsi="Book Antiqua" w:cs="宋体"/>
          <w:sz w:val="24"/>
          <w:szCs w:val="24"/>
          <w:lang w:eastAsia="zh-CN" w:bidi="ar-SA"/>
        </w:rPr>
        <w:t xml:space="preserve"> 2016; </w:t>
      </w:r>
      <w:r w:rsidRPr="00952CB3">
        <w:rPr>
          <w:rFonts w:ascii="Book Antiqua" w:eastAsia="宋体" w:hAnsi="Book Antiqua" w:cs="宋体"/>
          <w:b/>
          <w:bCs/>
          <w:sz w:val="24"/>
          <w:szCs w:val="24"/>
          <w:lang w:eastAsia="zh-CN" w:bidi="ar-SA"/>
        </w:rPr>
        <w:t>64</w:t>
      </w:r>
      <w:r w:rsidRPr="00952CB3">
        <w:rPr>
          <w:rFonts w:ascii="Book Antiqua" w:eastAsia="宋体" w:hAnsi="Book Antiqua" w:cs="宋体"/>
          <w:sz w:val="24"/>
          <w:szCs w:val="24"/>
          <w:lang w:eastAsia="zh-CN" w:bidi="ar-SA"/>
        </w:rPr>
        <w:t xml:space="preserve">: 234-238 [PMID: 26325535 </w:t>
      </w:r>
      <w:r>
        <w:rPr>
          <w:rFonts w:ascii="Book Antiqua" w:eastAsia="宋体" w:hAnsi="Book Antiqua" w:cs="宋体"/>
          <w:sz w:val="24"/>
          <w:szCs w:val="24"/>
          <w:lang w:eastAsia="zh-CN" w:bidi="ar-SA"/>
        </w:rPr>
        <w:t>DOI: 10.1016/j.jhep.2015.07.041</w:t>
      </w:r>
      <w:r w:rsidRPr="00952CB3">
        <w:rPr>
          <w:rFonts w:ascii="Book Antiqua" w:eastAsia="宋体" w:hAnsi="Book Antiqua" w:cs="宋体"/>
          <w:sz w:val="24"/>
          <w:szCs w:val="24"/>
          <w:lang w:eastAsia="zh-CN" w:bidi="ar-SA"/>
        </w:rPr>
        <w:t>]</w:t>
      </w:r>
    </w:p>
    <w:p w14:paraId="3D136225" w14:textId="70F4C9B1"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7 </w:t>
      </w:r>
      <w:r w:rsidRPr="00952CB3">
        <w:rPr>
          <w:rFonts w:ascii="Book Antiqua" w:eastAsia="宋体" w:hAnsi="Book Antiqua" w:cs="宋体"/>
          <w:b/>
          <w:bCs/>
          <w:sz w:val="24"/>
          <w:szCs w:val="24"/>
          <w:lang w:eastAsia="zh-CN" w:bidi="ar-SA"/>
        </w:rPr>
        <w:t>Dyson JK</w:t>
      </w:r>
      <w:r w:rsidRPr="00952CB3">
        <w:rPr>
          <w:rFonts w:ascii="Book Antiqua" w:eastAsia="宋体" w:hAnsi="Book Antiqua" w:cs="宋体"/>
          <w:sz w:val="24"/>
          <w:szCs w:val="24"/>
          <w:lang w:eastAsia="zh-CN" w:bidi="ar-SA"/>
        </w:rPr>
        <w:t xml:space="preserve">, McPherson S. Reply to "Liver failure in human immunodeficiency virus - Hepatitis C virus </w:t>
      </w:r>
      <w:proofErr w:type="spellStart"/>
      <w:r w:rsidRPr="00952CB3">
        <w:rPr>
          <w:rFonts w:ascii="Book Antiqua" w:eastAsia="宋体" w:hAnsi="Book Antiqua" w:cs="宋体"/>
          <w:sz w:val="24"/>
          <w:szCs w:val="24"/>
          <w:lang w:eastAsia="zh-CN" w:bidi="ar-SA"/>
        </w:rPr>
        <w:t>coinfection</w:t>
      </w:r>
      <w:proofErr w:type="spellEnd"/>
      <w:r w:rsidRPr="00952CB3">
        <w:rPr>
          <w:rFonts w:ascii="Book Antiqua" w:eastAsia="宋体" w:hAnsi="Book Antiqua" w:cs="宋体"/>
          <w:sz w:val="24"/>
          <w:szCs w:val="24"/>
          <w:lang w:eastAsia="zh-CN" w:bidi="ar-SA"/>
        </w:rPr>
        <w:t xml:space="preserve"> treated with </w:t>
      </w:r>
      <w:proofErr w:type="spellStart"/>
      <w:r w:rsidRPr="00952CB3">
        <w:rPr>
          <w:rFonts w:ascii="Book Antiqua" w:eastAsia="宋体" w:hAnsi="Book Antiqua" w:cs="宋体"/>
          <w:sz w:val="24"/>
          <w:szCs w:val="24"/>
          <w:lang w:eastAsia="zh-CN" w:bidi="ar-SA"/>
        </w:rPr>
        <w:t>sofosbuvir</w:t>
      </w:r>
      <w:proofErr w:type="spellEnd"/>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ledipasvir</w:t>
      </w:r>
      <w:proofErr w:type="spellEnd"/>
      <w:r w:rsidRPr="00952CB3">
        <w:rPr>
          <w:rFonts w:ascii="Book Antiqua" w:eastAsia="宋体" w:hAnsi="Book Antiqua" w:cs="宋体"/>
          <w:sz w:val="24"/>
          <w:szCs w:val="24"/>
          <w:lang w:eastAsia="zh-CN" w:bidi="ar-SA"/>
        </w:rPr>
        <w:t xml:space="preserve"> and antiretroviral therapy". </w:t>
      </w:r>
      <w:r w:rsidRPr="00952CB3">
        <w:rPr>
          <w:rFonts w:ascii="Book Antiqua" w:eastAsia="宋体" w:hAnsi="Book Antiqua" w:cs="宋体"/>
          <w:i/>
          <w:iCs/>
          <w:sz w:val="24"/>
          <w:szCs w:val="24"/>
          <w:lang w:eastAsia="zh-CN" w:bidi="ar-SA"/>
        </w:rPr>
        <w:t xml:space="preserve">J </w:t>
      </w:r>
      <w:proofErr w:type="spellStart"/>
      <w:r w:rsidRPr="00952CB3">
        <w:rPr>
          <w:rFonts w:ascii="Book Antiqua" w:eastAsia="宋体" w:hAnsi="Book Antiqua" w:cs="宋体"/>
          <w:i/>
          <w:iCs/>
          <w:sz w:val="24"/>
          <w:szCs w:val="24"/>
          <w:lang w:eastAsia="zh-CN" w:bidi="ar-SA"/>
        </w:rPr>
        <w:t>Hepatol</w:t>
      </w:r>
      <w:proofErr w:type="spellEnd"/>
      <w:r w:rsidRPr="00952CB3">
        <w:rPr>
          <w:rFonts w:ascii="Book Antiqua" w:eastAsia="宋体" w:hAnsi="Book Antiqua" w:cs="宋体"/>
          <w:sz w:val="24"/>
          <w:szCs w:val="24"/>
          <w:lang w:eastAsia="zh-CN" w:bidi="ar-SA"/>
        </w:rPr>
        <w:t xml:space="preserve"> 2016; </w:t>
      </w:r>
      <w:r w:rsidRPr="00952CB3">
        <w:rPr>
          <w:rFonts w:ascii="Book Antiqua" w:eastAsia="宋体" w:hAnsi="Book Antiqua" w:cs="宋体"/>
          <w:b/>
          <w:bCs/>
          <w:sz w:val="24"/>
          <w:szCs w:val="24"/>
          <w:lang w:eastAsia="zh-CN" w:bidi="ar-SA"/>
        </w:rPr>
        <w:t>64</w:t>
      </w:r>
      <w:r w:rsidRPr="00952CB3">
        <w:rPr>
          <w:rFonts w:ascii="Book Antiqua" w:eastAsia="宋体" w:hAnsi="Book Antiqua" w:cs="宋体"/>
          <w:sz w:val="24"/>
          <w:szCs w:val="24"/>
          <w:lang w:eastAsia="zh-CN" w:bidi="ar-SA"/>
        </w:rPr>
        <w:t xml:space="preserve">: 753-754 [PMID: 26682725 </w:t>
      </w:r>
      <w:r>
        <w:rPr>
          <w:rFonts w:ascii="Book Antiqua" w:eastAsia="宋体" w:hAnsi="Book Antiqua" w:cs="宋体"/>
          <w:sz w:val="24"/>
          <w:szCs w:val="24"/>
          <w:lang w:eastAsia="zh-CN" w:bidi="ar-SA"/>
        </w:rPr>
        <w:t>DOI: 10.1016/j.jhep.2015.11.038</w:t>
      </w:r>
      <w:r w:rsidRPr="00952CB3">
        <w:rPr>
          <w:rFonts w:ascii="Book Antiqua" w:eastAsia="宋体" w:hAnsi="Book Antiqua" w:cs="宋体"/>
          <w:sz w:val="24"/>
          <w:szCs w:val="24"/>
          <w:lang w:eastAsia="zh-CN" w:bidi="ar-SA"/>
        </w:rPr>
        <w:t>]</w:t>
      </w:r>
    </w:p>
    <w:p w14:paraId="2BA90820" w14:textId="3441B945"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8 </w:t>
      </w:r>
      <w:proofErr w:type="spellStart"/>
      <w:r w:rsidRPr="00952CB3">
        <w:rPr>
          <w:rFonts w:ascii="Book Antiqua" w:eastAsia="宋体" w:hAnsi="Book Antiqua" w:cs="宋体"/>
          <w:b/>
          <w:bCs/>
          <w:sz w:val="24"/>
          <w:szCs w:val="24"/>
          <w:lang w:eastAsia="zh-CN" w:bidi="ar-SA"/>
        </w:rPr>
        <w:t>Marchan</w:t>
      </w:r>
      <w:proofErr w:type="spellEnd"/>
      <w:r w:rsidRPr="00952CB3">
        <w:rPr>
          <w:rFonts w:ascii="Book Antiqua" w:eastAsia="宋体" w:hAnsi="Book Antiqua" w:cs="宋体"/>
          <w:b/>
          <w:bCs/>
          <w:sz w:val="24"/>
          <w:szCs w:val="24"/>
          <w:lang w:eastAsia="zh-CN" w:bidi="ar-SA"/>
        </w:rPr>
        <w:t>-Lopez A</w:t>
      </w:r>
      <w:r w:rsidRPr="00952CB3">
        <w:rPr>
          <w:rFonts w:ascii="Book Antiqua" w:eastAsia="宋体" w:hAnsi="Book Antiqua" w:cs="宋体"/>
          <w:sz w:val="24"/>
          <w:szCs w:val="24"/>
          <w:lang w:eastAsia="zh-CN" w:bidi="ar-SA"/>
        </w:rPr>
        <w:t>, Dominguez-Dominguez L, Kessler-</w:t>
      </w:r>
      <w:proofErr w:type="spellStart"/>
      <w:r w:rsidRPr="00952CB3">
        <w:rPr>
          <w:rFonts w:ascii="Book Antiqua" w:eastAsia="宋体" w:hAnsi="Book Antiqua" w:cs="宋体"/>
          <w:sz w:val="24"/>
          <w:szCs w:val="24"/>
          <w:lang w:eastAsia="zh-CN" w:bidi="ar-SA"/>
        </w:rPr>
        <w:t>Saiz</w:t>
      </w:r>
      <w:proofErr w:type="spellEnd"/>
      <w:r w:rsidRPr="00952CB3">
        <w:rPr>
          <w:rFonts w:ascii="Book Antiqua" w:eastAsia="宋体" w:hAnsi="Book Antiqua" w:cs="宋体"/>
          <w:sz w:val="24"/>
          <w:szCs w:val="24"/>
          <w:lang w:eastAsia="zh-CN" w:bidi="ar-SA"/>
        </w:rPr>
        <w:t xml:space="preserve"> P, </w:t>
      </w:r>
      <w:proofErr w:type="spellStart"/>
      <w:r w:rsidRPr="00952CB3">
        <w:rPr>
          <w:rFonts w:ascii="Book Antiqua" w:eastAsia="宋体" w:hAnsi="Book Antiqua" w:cs="宋体"/>
          <w:sz w:val="24"/>
          <w:szCs w:val="24"/>
          <w:lang w:eastAsia="zh-CN" w:bidi="ar-SA"/>
        </w:rPr>
        <w:t>Jarrin-Estupiñan</w:t>
      </w:r>
      <w:proofErr w:type="spellEnd"/>
      <w:r w:rsidRPr="00952CB3">
        <w:rPr>
          <w:rFonts w:ascii="Book Antiqua" w:eastAsia="宋体" w:hAnsi="Book Antiqua" w:cs="宋体"/>
          <w:sz w:val="24"/>
          <w:szCs w:val="24"/>
          <w:lang w:eastAsia="zh-CN" w:bidi="ar-SA"/>
        </w:rPr>
        <w:t xml:space="preserve"> ME. Liver failure in human immunodeficiency virus - Hepatitis C virus </w:t>
      </w:r>
      <w:proofErr w:type="spellStart"/>
      <w:r w:rsidRPr="00952CB3">
        <w:rPr>
          <w:rFonts w:ascii="Book Antiqua" w:eastAsia="宋体" w:hAnsi="Book Antiqua" w:cs="宋体"/>
          <w:sz w:val="24"/>
          <w:szCs w:val="24"/>
          <w:lang w:eastAsia="zh-CN" w:bidi="ar-SA"/>
        </w:rPr>
        <w:t>coinfection</w:t>
      </w:r>
      <w:proofErr w:type="spellEnd"/>
      <w:r w:rsidRPr="00952CB3">
        <w:rPr>
          <w:rFonts w:ascii="Book Antiqua" w:eastAsia="宋体" w:hAnsi="Book Antiqua" w:cs="宋体"/>
          <w:sz w:val="24"/>
          <w:szCs w:val="24"/>
          <w:lang w:eastAsia="zh-CN" w:bidi="ar-SA"/>
        </w:rPr>
        <w:t xml:space="preserve"> treated </w:t>
      </w:r>
      <w:r w:rsidRPr="00952CB3">
        <w:rPr>
          <w:rFonts w:ascii="Book Antiqua" w:eastAsia="宋体" w:hAnsi="Book Antiqua" w:cs="宋体"/>
          <w:sz w:val="24"/>
          <w:szCs w:val="24"/>
          <w:lang w:eastAsia="zh-CN" w:bidi="ar-SA"/>
        </w:rPr>
        <w:lastRenderedPageBreak/>
        <w:t xml:space="preserve">with </w:t>
      </w:r>
      <w:proofErr w:type="spellStart"/>
      <w:r w:rsidRPr="00952CB3">
        <w:rPr>
          <w:rFonts w:ascii="Book Antiqua" w:eastAsia="宋体" w:hAnsi="Book Antiqua" w:cs="宋体"/>
          <w:sz w:val="24"/>
          <w:szCs w:val="24"/>
          <w:lang w:eastAsia="zh-CN" w:bidi="ar-SA"/>
        </w:rPr>
        <w:t>sofosbuvir</w:t>
      </w:r>
      <w:proofErr w:type="spellEnd"/>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ledipasvir</w:t>
      </w:r>
      <w:proofErr w:type="spellEnd"/>
      <w:r w:rsidRPr="00952CB3">
        <w:rPr>
          <w:rFonts w:ascii="Book Antiqua" w:eastAsia="宋体" w:hAnsi="Book Antiqua" w:cs="宋体"/>
          <w:sz w:val="24"/>
          <w:szCs w:val="24"/>
          <w:lang w:eastAsia="zh-CN" w:bidi="ar-SA"/>
        </w:rPr>
        <w:t xml:space="preserve"> and antiretroviral therapy. </w:t>
      </w:r>
      <w:r w:rsidRPr="00952CB3">
        <w:rPr>
          <w:rFonts w:ascii="Book Antiqua" w:eastAsia="宋体" w:hAnsi="Book Antiqua" w:cs="宋体"/>
          <w:i/>
          <w:iCs/>
          <w:sz w:val="24"/>
          <w:szCs w:val="24"/>
          <w:lang w:eastAsia="zh-CN" w:bidi="ar-SA"/>
        </w:rPr>
        <w:t xml:space="preserve">J </w:t>
      </w:r>
      <w:proofErr w:type="spellStart"/>
      <w:r w:rsidRPr="00952CB3">
        <w:rPr>
          <w:rFonts w:ascii="Book Antiqua" w:eastAsia="宋体" w:hAnsi="Book Antiqua" w:cs="宋体"/>
          <w:i/>
          <w:iCs/>
          <w:sz w:val="24"/>
          <w:szCs w:val="24"/>
          <w:lang w:eastAsia="zh-CN" w:bidi="ar-SA"/>
        </w:rPr>
        <w:t>Hepatol</w:t>
      </w:r>
      <w:proofErr w:type="spellEnd"/>
      <w:r w:rsidRPr="00952CB3">
        <w:rPr>
          <w:rFonts w:ascii="Book Antiqua" w:eastAsia="宋体" w:hAnsi="Book Antiqua" w:cs="宋体"/>
          <w:sz w:val="24"/>
          <w:szCs w:val="24"/>
          <w:lang w:eastAsia="zh-CN" w:bidi="ar-SA"/>
        </w:rPr>
        <w:t xml:space="preserve"> 2016; </w:t>
      </w:r>
      <w:r w:rsidRPr="00952CB3">
        <w:rPr>
          <w:rFonts w:ascii="Book Antiqua" w:eastAsia="宋体" w:hAnsi="Book Antiqua" w:cs="宋体"/>
          <w:b/>
          <w:bCs/>
          <w:sz w:val="24"/>
          <w:szCs w:val="24"/>
          <w:lang w:eastAsia="zh-CN" w:bidi="ar-SA"/>
        </w:rPr>
        <w:t>64</w:t>
      </w:r>
      <w:r w:rsidRPr="00952CB3">
        <w:rPr>
          <w:rFonts w:ascii="Book Antiqua" w:eastAsia="宋体" w:hAnsi="Book Antiqua" w:cs="宋体"/>
          <w:sz w:val="24"/>
          <w:szCs w:val="24"/>
          <w:lang w:eastAsia="zh-CN" w:bidi="ar-SA"/>
        </w:rPr>
        <w:t xml:space="preserve">: 752-753 [PMID: 26682727 </w:t>
      </w:r>
      <w:r>
        <w:rPr>
          <w:rFonts w:ascii="Book Antiqua" w:eastAsia="宋体" w:hAnsi="Book Antiqua" w:cs="宋体"/>
          <w:sz w:val="24"/>
          <w:szCs w:val="24"/>
          <w:lang w:eastAsia="zh-CN" w:bidi="ar-SA"/>
        </w:rPr>
        <w:t>DOI: 10.1016/j.jhep.2015.10.033</w:t>
      </w:r>
      <w:r w:rsidRPr="00952CB3">
        <w:rPr>
          <w:rFonts w:ascii="Book Antiqua" w:eastAsia="宋体" w:hAnsi="Book Antiqua" w:cs="宋体"/>
          <w:sz w:val="24"/>
          <w:szCs w:val="24"/>
          <w:lang w:eastAsia="zh-CN" w:bidi="ar-SA"/>
        </w:rPr>
        <w:t>]</w:t>
      </w:r>
    </w:p>
    <w:p w14:paraId="0EA96F92" w14:textId="750B680F"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9 </w:t>
      </w:r>
      <w:proofErr w:type="spellStart"/>
      <w:r w:rsidRPr="00952CB3">
        <w:rPr>
          <w:rFonts w:ascii="Book Antiqua" w:eastAsia="宋体" w:hAnsi="Book Antiqua" w:cs="宋体"/>
          <w:b/>
          <w:bCs/>
          <w:sz w:val="24"/>
          <w:szCs w:val="24"/>
          <w:lang w:eastAsia="zh-CN" w:bidi="ar-SA"/>
        </w:rPr>
        <w:t>Snoeck</w:t>
      </w:r>
      <w:proofErr w:type="spellEnd"/>
      <w:r w:rsidRPr="00952CB3">
        <w:rPr>
          <w:rFonts w:ascii="Book Antiqua" w:eastAsia="宋体" w:hAnsi="Book Antiqua" w:cs="宋体"/>
          <w:b/>
          <w:bCs/>
          <w:sz w:val="24"/>
          <w:szCs w:val="24"/>
          <w:lang w:eastAsia="zh-CN" w:bidi="ar-SA"/>
        </w:rPr>
        <w:t xml:space="preserve"> E</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Chanu</w:t>
      </w:r>
      <w:proofErr w:type="spellEnd"/>
      <w:r w:rsidRPr="00952CB3">
        <w:rPr>
          <w:rFonts w:ascii="Book Antiqua" w:eastAsia="宋体" w:hAnsi="Book Antiqua" w:cs="宋体"/>
          <w:sz w:val="24"/>
          <w:szCs w:val="24"/>
          <w:lang w:eastAsia="zh-CN" w:bidi="ar-SA"/>
        </w:rPr>
        <w:t xml:space="preserve"> P, </w:t>
      </w:r>
      <w:proofErr w:type="spellStart"/>
      <w:r w:rsidRPr="00952CB3">
        <w:rPr>
          <w:rFonts w:ascii="Book Antiqua" w:eastAsia="宋体" w:hAnsi="Book Antiqua" w:cs="宋体"/>
          <w:sz w:val="24"/>
          <w:szCs w:val="24"/>
          <w:lang w:eastAsia="zh-CN" w:bidi="ar-SA"/>
        </w:rPr>
        <w:t>Lavielle</w:t>
      </w:r>
      <w:proofErr w:type="spellEnd"/>
      <w:r w:rsidRPr="00952CB3">
        <w:rPr>
          <w:rFonts w:ascii="Book Antiqua" w:eastAsia="宋体" w:hAnsi="Book Antiqua" w:cs="宋体"/>
          <w:sz w:val="24"/>
          <w:szCs w:val="24"/>
          <w:lang w:eastAsia="zh-CN" w:bidi="ar-SA"/>
        </w:rPr>
        <w:t xml:space="preserve"> M, </w:t>
      </w:r>
      <w:proofErr w:type="spellStart"/>
      <w:r w:rsidRPr="00952CB3">
        <w:rPr>
          <w:rFonts w:ascii="Book Antiqua" w:eastAsia="宋体" w:hAnsi="Book Antiqua" w:cs="宋体"/>
          <w:sz w:val="24"/>
          <w:szCs w:val="24"/>
          <w:lang w:eastAsia="zh-CN" w:bidi="ar-SA"/>
        </w:rPr>
        <w:t>Jacqmin</w:t>
      </w:r>
      <w:proofErr w:type="spellEnd"/>
      <w:r w:rsidRPr="00952CB3">
        <w:rPr>
          <w:rFonts w:ascii="Book Antiqua" w:eastAsia="宋体" w:hAnsi="Book Antiqua" w:cs="宋体"/>
          <w:sz w:val="24"/>
          <w:szCs w:val="24"/>
          <w:lang w:eastAsia="zh-CN" w:bidi="ar-SA"/>
        </w:rPr>
        <w:t xml:space="preserve"> P, </w:t>
      </w:r>
      <w:proofErr w:type="spellStart"/>
      <w:r w:rsidRPr="00952CB3">
        <w:rPr>
          <w:rFonts w:ascii="Book Antiqua" w:eastAsia="宋体" w:hAnsi="Book Antiqua" w:cs="宋体"/>
          <w:sz w:val="24"/>
          <w:szCs w:val="24"/>
          <w:lang w:eastAsia="zh-CN" w:bidi="ar-SA"/>
        </w:rPr>
        <w:t>Jonsson</w:t>
      </w:r>
      <w:proofErr w:type="spellEnd"/>
      <w:r w:rsidRPr="00952CB3">
        <w:rPr>
          <w:rFonts w:ascii="Book Antiqua" w:eastAsia="宋体" w:hAnsi="Book Antiqua" w:cs="宋体"/>
          <w:sz w:val="24"/>
          <w:szCs w:val="24"/>
          <w:lang w:eastAsia="zh-CN" w:bidi="ar-SA"/>
        </w:rPr>
        <w:t xml:space="preserve"> EN, </w:t>
      </w:r>
      <w:proofErr w:type="spellStart"/>
      <w:r w:rsidRPr="00952CB3">
        <w:rPr>
          <w:rFonts w:ascii="Book Antiqua" w:eastAsia="宋体" w:hAnsi="Book Antiqua" w:cs="宋体"/>
          <w:sz w:val="24"/>
          <w:szCs w:val="24"/>
          <w:lang w:eastAsia="zh-CN" w:bidi="ar-SA"/>
        </w:rPr>
        <w:t>Jorga</w:t>
      </w:r>
      <w:proofErr w:type="spellEnd"/>
      <w:r w:rsidRPr="00952CB3">
        <w:rPr>
          <w:rFonts w:ascii="Book Antiqua" w:eastAsia="宋体" w:hAnsi="Book Antiqua" w:cs="宋体"/>
          <w:sz w:val="24"/>
          <w:szCs w:val="24"/>
          <w:lang w:eastAsia="zh-CN" w:bidi="ar-SA"/>
        </w:rPr>
        <w:t xml:space="preserve"> K, </w:t>
      </w:r>
      <w:proofErr w:type="spellStart"/>
      <w:r w:rsidRPr="00952CB3">
        <w:rPr>
          <w:rFonts w:ascii="Book Antiqua" w:eastAsia="宋体" w:hAnsi="Book Antiqua" w:cs="宋体"/>
          <w:sz w:val="24"/>
          <w:szCs w:val="24"/>
          <w:lang w:eastAsia="zh-CN" w:bidi="ar-SA"/>
        </w:rPr>
        <w:t>Goggin</w:t>
      </w:r>
      <w:proofErr w:type="spellEnd"/>
      <w:r w:rsidRPr="00952CB3">
        <w:rPr>
          <w:rFonts w:ascii="Book Antiqua" w:eastAsia="宋体" w:hAnsi="Book Antiqua" w:cs="宋体"/>
          <w:sz w:val="24"/>
          <w:szCs w:val="24"/>
          <w:lang w:eastAsia="zh-CN" w:bidi="ar-SA"/>
        </w:rPr>
        <w:t xml:space="preserve"> T, </w:t>
      </w:r>
      <w:proofErr w:type="spellStart"/>
      <w:r w:rsidRPr="00952CB3">
        <w:rPr>
          <w:rFonts w:ascii="Book Antiqua" w:eastAsia="宋体" w:hAnsi="Book Antiqua" w:cs="宋体"/>
          <w:sz w:val="24"/>
          <w:szCs w:val="24"/>
          <w:lang w:eastAsia="zh-CN" w:bidi="ar-SA"/>
        </w:rPr>
        <w:t>Grippo</w:t>
      </w:r>
      <w:proofErr w:type="spellEnd"/>
      <w:r w:rsidRPr="00952CB3">
        <w:rPr>
          <w:rFonts w:ascii="Book Antiqua" w:eastAsia="宋体" w:hAnsi="Book Antiqua" w:cs="宋体"/>
          <w:sz w:val="24"/>
          <w:szCs w:val="24"/>
          <w:lang w:eastAsia="zh-CN" w:bidi="ar-SA"/>
        </w:rPr>
        <w:t xml:space="preserve"> J, </w:t>
      </w:r>
      <w:proofErr w:type="spellStart"/>
      <w:r w:rsidRPr="00952CB3">
        <w:rPr>
          <w:rFonts w:ascii="Book Antiqua" w:eastAsia="宋体" w:hAnsi="Book Antiqua" w:cs="宋体"/>
          <w:sz w:val="24"/>
          <w:szCs w:val="24"/>
          <w:lang w:eastAsia="zh-CN" w:bidi="ar-SA"/>
        </w:rPr>
        <w:t>Jumbe</w:t>
      </w:r>
      <w:proofErr w:type="spellEnd"/>
      <w:r w:rsidRPr="00952CB3">
        <w:rPr>
          <w:rFonts w:ascii="Book Antiqua" w:eastAsia="宋体" w:hAnsi="Book Antiqua" w:cs="宋体"/>
          <w:sz w:val="24"/>
          <w:szCs w:val="24"/>
          <w:lang w:eastAsia="zh-CN" w:bidi="ar-SA"/>
        </w:rPr>
        <w:t xml:space="preserve"> NL, Frey N. A comprehensive hepatitis C viral kinetic </w:t>
      </w:r>
      <w:proofErr w:type="gramStart"/>
      <w:r w:rsidRPr="00952CB3">
        <w:rPr>
          <w:rFonts w:ascii="Book Antiqua" w:eastAsia="宋体" w:hAnsi="Book Antiqua" w:cs="宋体"/>
          <w:sz w:val="24"/>
          <w:szCs w:val="24"/>
          <w:lang w:eastAsia="zh-CN" w:bidi="ar-SA"/>
        </w:rPr>
        <w:t>model explaining</w:t>
      </w:r>
      <w:proofErr w:type="gramEnd"/>
      <w:r w:rsidRPr="00952CB3">
        <w:rPr>
          <w:rFonts w:ascii="Book Antiqua" w:eastAsia="宋体" w:hAnsi="Book Antiqua" w:cs="宋体"/>
          <w:sz w:val="24"/>
          <w:szCs w:val="24"/>
          <w:lang w:eastAsia="zh-CN" w:bidi="ar-SA"/>
        </w:rPr>
        <w:t xml:space="preserve"> cure. </w:t>
      </w:r>
      <w:proofErr w:type="spellStart"/>
      <w:r w:rsidRPr="00952CB3">
        <w:rPr>
          <w:rFonts w:ascii="Book Antiqua" w:eastAsia="宋体" w:hAnsi="Book Antiqua" w:cs="宋体"/>
          <w:i/>
          <w:iCs/>
          <w:sz w:val="24"/>
          <w:szCs w:val="24"/>
          <w:lang w:eastAsia="zh-CN" w:bidi="ar-SA"/>
        </w:rPr>
        <w:t>Clin</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Pharmacol</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Ther</w:t>
      </w:r>
      <w:proofErr w:type="spellEnd"/>
      <w:r w:rsidRPr="00952CB3">
        <w:rPr>
          <w:rFonts w:ascii="Book Antiqua" w:eastAsia="宋体" w:hAnsi="Book Antiqua" w:cs="宋体"/>
          <w:sz w:val="24"/>
          <w:szCs w:val="24"/>
          <w:lang w:eastAsia="zh-CN" w:bidi="ar-SA"/>
        </w:rPr>
        <w:t xml:space="preserve"> 2010; </w:t>
      </w:r>
      <w:r w:rsidRPr="00952CB3">
        <w:rPr>
          <w:rFonts w:ascii="Book Antiqua" w:eastAsia="宋体" w:hAnsi="Book Antiqua" w:cs="宋体"/>
          <w:b/>
          <w:bCs/>
          <w:sz w:val="24"/>
          <w:szCs w:val="24"/>
          <w:lang w:eastAsia="zh-CN" w:bidi="ar-SA"/>
        </w:rPr>
        <w:t>87</w:t>
      </w:r>
      <w:r w:rsidRPr="00952CB3">
        <w:rPr>
          <w:rFonts w:ascii="Book Antiqua" w:eastAsia="宋体" w:hAnsi="Book Antiqua" w:cs="宋体"/>
          <w:sz w:val="24"/>
          <w:szCs w:val="24"/>
          <w:lang w:eastAsia="zh-CN" w:bidi="ar-SA"/>
        </w:rPr>
        <w:t>: 706-713 [PMID: 204</w:t>
      </w:r>
      <w:r>
        <w:rPr>
          <w:rFonts w:ascii="Book Antiqua" w:eastAsia="宋体" w:hAnsi="Book Antiqua" w:cs="宋体"/>
          <w:sz w:val="24"/>
          <w:szCs w:val="24"/>
          <w:lang w:eastAsia="zh-CN" w:bidi="ar-SA"/>
        </w:rPr>
        <w:t>63660 DOI: 10.1038/clpt.2010.35</w:t>
      </w:r>
      <w:r w:rsidRPr="00952CB3">
        <w:rPr>
          <w:rFonts w:ascii="Book Antiqua" w:eastAsia="宋体" w:hAnsi="Book Antiqua" w:cs="宋体"/>
          <w:sz w:val="24"/>
          <w:szCs w:val="24"/>
          <w:lang w:eastAsia="zh-CN" w:bidi="ar-SA"/>
        </w:rPr>
        <w:t>]</w:t>
      </w:r>
    </w:p>
    <w:p w14:paraId="1529F382" w14:textId="19D5454D"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10 </w:t>
      </w:r>
      <w:proofErr w:type="spellStart"/>
      <w:r w:rsidRPr="00952CB3">
        <w:rPr>
          <w:rFonts w:ascii="Book Antiqua" w:eastAsia="宋体" w:hAnsi="Book Antiqua" w:cs="宋体"/>
          <w:b/>
          <w:bCs/>
          <w:sz w:val="24"/>
          <w:szCs w:val="24"/>
          <w:lang w:eastAsia="zh-CN" w:bidi="ar-SA"/>
        </w:rPr>
        <w:t>Guedj</w:t>
      </w:r>
      <w:proofErr w:type="spellEnd"/>
      <w:r w:rsidRPr="00952CB3">
        <w:rPr>
          <w:rFonts w:ascii="Book Antiqua" w:eastAsia="宋体" w:hAnsi="Book Antiqua" w:cs="宋体"/>
          <w:b/>
          <w:bCs/>
          <w:sz w:val="24"/>
          <w:szCs w:val="24"/>
          <w:lang w:eastAsia="zh-CN" w:bidi="ar-SA"/>
        </w:rPr>
        <w:t xml:space="preserve"> J</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Perelson</w:t>
      </w:r>
      <w:proofErr w:type="spellEnd"/>
      <w:r w:rsidRPr="00952CB3">
        <w:rPr>
          <w:rFonts w:ascii="Book Antiqua" w:eastAsia="宋体" w:hAnsi="Book Antiqua" w:cs="宋体"/>
          <w:sz w:val="24"/>
          <w:szCs w:val="24"/>
          <w:lang w:eastAsia="zh-CN" w:bidi="ar-SA"/>
        </w:rPr>
        <w:t xml:space="preserve"> AS. Second-phase hepatitis C virus RNA decline during </w:t>
      </w:r>
      <w:proofErr w:type="spellStart"/>
      <w:r w:rsidRPr="00952CB3">
        <w:rPr>
          <w:rFonts w:ascii="Book Antiqua" w:eastAsia="宋体" w:hAnsi="Book Antiqua" w:cs="宋体"/>
          <w:sz w:val="24"/>
          <w:szCs w:val="24"/>
          <w:lang w:eastAsia="zh-CN" w:bidi="ar-SA"/>
        </w:rPr>
        <w:t>telaprevir</w:t>
      </w:r>
      <w:proofErr w:type="spellEnd"/>
      <w:r w:rsidRPr="00952CB3">
        <w:rPr>
          <w:rFonts w:ascii="Book Antiqua" w:eastAsia="宋体" w:hAnsi="Book Antiqua" w:cs="宋体"/>
          <w:sz w:val="24"/>
          <w:szCs w:val="24"/>
          <w:lang w:eastAsia="zh-CN" w:bidi="ar-SA"/>
        </w:rPr>
        <w:t xml:space="preserve">-based therapy increases with drug effectiveness: implications for treatment duration. </w:t>
      </w:r>
      <w:r w:rsidRPr="00952CB3">
        <w:rPr>
          <w:rFonts w:ascii="Book Antiqua" w:eastAsia="宋体" w:hAnsi="Book Antiqua" w:cs="宋体"/>
          <w:i/>
          <w:iCs/>
          <w:sz w:val="24"/>
          <w:szCs w:val="24"/>
          <w:lang w:eastAsia="zh-CN" w:bidi="ar-SA"/>
        </w:rPr>
        <w:t>Hepatology</w:t>
      </w:r>
      <w:r w:rsidRPr="00952CB3">
        <w:rPr>
          <w:rFonts w:ascii="Book Antiqua" w:eastAsia="宋体" w:hAnsi="Book Antiqua" w:cs="宋体"/>
          <w:sz w:val="24"/>
          <w:szCs w:val="24"/>
          <w:lang w:eastAsia="zh-CN" w:bidi="ar-SA"/>
        </w:rPr>
        <w:t xml:space="preserve"> 2011; </w:t>
      </w:r>
      <w:r w:rsidRPr="00952CB3">
        <w:rPr>
          <w:rFonts w:ascii="Book Antiqua" w:eastAsia="宋体" w:hAnsi="Book Antiqua" w:cs="宋体"/>
          <w:b/>
          <w:bCs/>
          <w:sz w:val="24"/>
          <w:szCs w:val="24"/>
          <w:lang w:eastAsia="zh-CN" w:bidi="ar-SA"/>
        </w:rPr>
        <w:t>53</w:t>
      </w:r>
      <w:r w:rsidRPr="00952CB3">
        <w:rPr>
          <w:rFonts w:ascii="Book Antiqua" w:eastAsia="宋体" w:hAnsi="Book Antiqua" w:cs="宋体"/>
          <w:sz w:val="24"/>
          <w:szCs w:val="24"/>
          <w:lang w:eastAsia="zh-CN" w:bidi="ar-SA"/>
        </w:rPr>
        <w:t xml:space="preserve">: 1801-1808 [PMID: </w:t>
      </w:r>
      <w:r>
        <w:rPr>
          <w:rFonts w:ascii="Book Antiqua" w:eastAsia="宋体" w:hAnsi="Book Antiqua" w:cs="宋体"/>
          <w:sz w:val="24"/>
          <w:szCs w:val="24"/>
          <w:lang w:eastAsia="zh-CN" w:bidi="ar-SA"/>
        </w:rPr>
        <w:t>21384401 DOI: 10.1002/hep.24272</w:t>
      </w:r>
      <w:r w:rsidRPr="00952CB3">
        <w:rPr>
          <w:rFonts w:ascii="Book Antiqua" w:eastAsia="宋体" w:hAnsi="Book Antiqua" w:cs="宋体"/>
          <w:sz w:val="24"/>
          <w:szCs w:val="24"/>
          <w:lang w:eastAsia="zh-CN" w:bidi="ar-SA"/>
        </w:rPr>
        <w:t>]</w:t>
      </w:r>
    </w:p>
    <w:p w14:paraId="056F6FF0" w14:textId="452D2EA1"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11 </w:t>
      </w:r>
      <w:proofErr w:type="spellStart"/>
      <w:r w:rsidRPr="00952CB3">
        <w:rPr>
          <w:rFonts w:ascii="Book Antiqua" w:eastAsia="宋体" w:hAnsi="Book Antiqua" w:cs="宋体"/>
          <w:b/>
          <w:bCs/>
          <w:sz w:val="24"/>
          <w:szCs w:val="24"/>
          <w:lang w:eastAsia="zh-CN" w:bidi="ar-SA"/>
        </w:rPr>
        <w:t>Dahari</w:t>
      </w:r>
      <w:proofErr w:type="spellEnd"/>
      <w:r w:rsidRPr="00952CB3">
        <w:rPr>
          <w:rFonts w:ascii="Book Antiqua" w:eastAsia="宋体" w:hAnsi="Book Antiqua" w:cs="宋体"/>
          <w:b/>
          <w:bCs/>
          <w:sz w:val="24"/>
          <w:szCs w:val="24"/>
          <w:lang w:eastAsia="zh-CN" w:bidi="ar-SA"/>
        </w:rPr>
        <w:t xml:space="preserve"> H</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Shteingart</w:t>
      </w:r>
      <w:proofErr w:type="spellEnd"/>
      <w:r w:rsidRPr="00952CB3">
        <w:rPr>
          <w:rFonts w:ascii="Book Antiqua" w:eastAsia="宋体" w:hAnsi="Book Antiqua" w:cs="宋体"/>
          <w:sz w:val="24"/>
          <w:szCs w:val="24"/>
          <w:lang w:eastAsia="zh-CN" w:bidi="ar-SA"/>
        </w:rPr>
        <w:t xml:space="preserve"> S, </w:t>
      </w:r>
      <w:proofErr w:type="spellStart"/>
      <w:r w:rsidRPr="00952CB3">
        <w:rPr>
          <w:rFonts w:ascii="Book Antiqua" w:eastAsia="宋体" w:hAnsi="Book Antiqua" w:cs="宋体"/>
          <w:sz w:val="24"/>
          <w:szCs w:val="24"/>
          <w:lang w:eastAsia="zh-CN" w:bidi="ar-SA"/>
        </w:rPr>
        <w:t>Gafanovich</w:t>
      </w:r>
      <w:proofErr w:type="spellEnd"/>
      <w:r w:rsidRPr="00952CB3">
        <w:rPr>
          <w:rFonts w:ascii="Book Antiqua" w:eastAsia="宋体" w:hAnsi="Book Antiqua" w:cs="宋体"/>
          <w:sz w:val="24"/>
          <w:szCs w:val="24"/>
          <w:lang w:eastAsia="zh-CN" w:bidi="ar-SA"/>
        </w:rPr>
        <w:t xml:space="preserve"> I, Cotler SJ, D'Amato M, Pohl RT, Weiss G, Ashkenazi YJ, </w:t>
      </w:r>
      <w:proofErr w:type="spellStart"/>
      <w:r w:rsidRPr="00952CB3">
        <w:rPr>
          <w:rFonts w:ascii="Book Antiqua" w:eastAsia="宋体" w:hAnsi="Book Antiqua" w:cs="宋体"/>
          <w:sz w:val="24"/>
          <w:szCs w:val="24"/>
          <w:lang w:eastAsia="zh-CN" w:bidi="ar-SA"/>
        </w:rPr>
        <w:t>Tichler</w:t>
      </w:r>
      <w:proofErr w:type="spellEnd"/>
      <w:r w:rsidRPr="00952CB3">
        <w:rPr>
          <w:rFonts w:ascii="Book Antiqua" w:eastAsia="宋体" w:hAnsi="Book Antiqua" w:cs="宋体"/>
          <w:sz w:val="24"/>
          <w:szCs w:val="24"/>
          <w:lang w:eastAsia="zh-CN" w:bidi="ar-SA"/>
        </w:rPr>
        <w:t xml:space="preserve"> T, </w:t>
      </w:r>
      <w:proofErr w:type="spellStart"/>
      <w:r w:rsidRPr="00952CB3">
        <w:rPr>
          <w:rFonts w:ascii="Book Antiqua" w:eastAsia="宋体" w:hAnsi="Book Antiqua" w:cs="宋体"/>
          <w:sz w:val="24"/>
          <w:szCs w:val="24"/>
          <w:lang w:eastAsia="zh-CN" w:bidi="ar-SA"/>
        </w:rPr>
        <w:t>Goldin</w:t>
      </w:r>
      <w:proofErr w:type="spellEnd"/>
      <w:r w:rsidRPr="00952CB3">
        <w:rPr>
          <w:rFonts w:ascii="Book Antiqua" w:eastAsia="宋体" w:hAnsi="Book Antiqua" w:cs="宋体"/>
          <w:sz w:val="24"/>
          <w:szCs w:val="24"/>
          <w:lang w:eastAsia="zh-CN" w:bidi="ar-SA"/>
        </w:rPr>
        <w:t xml:space="preserve"> E, Lurie Y. Sustained </w:t>
      </w:r>
      <w:proofErr w:type="spellStart"/>
      <w:r w:rsidRPr="00952CB3">
        <w:rPr>
          <w:rFonts w:ascii="Book Antiqua" w:eastAsia="宋体" w:hAnsi="Book Antiqua" w:cs="宋体"/>
          <w:sz w:val="24"/>
          <w:szCs w:val="24"/>
          <w:lang w:eastAsia="zh-CN" w:bidi="ar-SA"/>
        </w:rPr>
        <w:t>virological</w:t>
      </w:r>
      <w:proofErr w:type="spellEnd"/>
      <w:r w:rsidRPr="00952CB3">
        <w:rPr>
          <w:rFonts w:ascii="Book Antiqua" w:eastAsia="宋体" w:hAnsi="Book Antiqua" w:cs="宋体"/>
          <w:sz w:val="24"/>
          <w:szCs w:val="24"/>
          <w:lang w:eastAsia="zh-CN" w:bidi="ar-SA"/>
        </w:rPr>
        <w:t xml:space="preserve"> response with intravenous </w:t>
      </w:r>
      <w:proofErr w:type="spellStart"/>
      <w:r w:rsidRPr="00952CB3">
        <w:rPr>
          <w:rFonts w:ascii="Book Antiqua" w:eastAsia="宋体" w:hAnsi="Book Antiqua" w:cs="宋体"/>
          <w:sz w:val="24"/>
          <w:szCs w:val="24"/>
          <w:lang w:eastAsia="zh-CN" w:bidi="ar-SA"/>
        </w:rPr>
        <w:t>silibinin</w:t>
      </w:r>
      <w:proofErr w:type="spellEnd"/>
      <w:r w:rsidRPr="00952CB3">
        <w:rPr>
          <w:rFonts w:ascii="Book Antiqua" w:eastAsia="宋体" w:hAnsi="Book Antiqua" w:cs="宋体"/>
          <w:sz w:val="24"/>
          <w:szCs w:val="24"/>
          <w:lang w:eastAsia="zh-CN" w:bidi="ar-SA"/>
        </w:rPr>
        <w:t xml:space="preserve">: individualized IFN-free therapy via real-time modelling of HCV kinetics. </w:t>
      </w:r>
      <w:r w:rsidRPr="00952CB3">
        <w:rPr>
          <w:rFonts w:ascii="Book Antiqua" w:eastAsia="宋体" w:hAnsi="Book Antiqua" w:cs="宋体"/>
          <w:i/>
          <w:iCs/>
          <w:sz w:val="24"/>
          <w:szCs w:val="24"/>
          <w:lang w:eastAsia="zh-CN" w:bidi="ar-SA"/>
        </w:rPr>
        <w:t xml:space="preserve">Liver </w:t>
      </w:r>
      <w:proofErr w:type="spellStart"/>
      <w:r w:rsidRPr="00952CB3">
        <w:rPr>
          <w:rFonts w:ascii="Book Antiqua" w:eastAsia="宋体" w:hAnsi="Book Antiqua" w:cs="宋体"/>
          <w:i/>
          <w:iCs/>
          <w:sz w:val="24"/>
          <w:szCs w:val="24"/>
          <w:lang w:eastAsia="zh-CN" w:bidi="ar-SA"/>
        </w:rPr>
        <w:t>Int</w:t>
      </w:r>
      <w:proofErr w:type="spellEnd"/>
      <w:r w:rsidRPr="00952CB3">
        <w:rPr>
          <w:rFonts w:ascii="Book Antiqua" w:eastAsia="宋体" w:hAnsi="Book Antiqua" w:cs="宋体"/>
          <w:sz w:val="24"/>
          <w:szCs w:val="24"/>
          <w:lang w:eastAsia="zh-CN" w:bidi="ar-SA"/>
        </w:rPr>
        <w:t xml:space="preserve"> 2015; </w:t>
      </w:r>
      <w:r w:rsidRPr="00952CB3">
        <w:rPr>
          <w:rFonts w:ascii="Book Antiqua" w:eastAsia="宋体" w:hAnsi="Book Antiqua" w:cs="宋体"/>
          <w:b/>
          <w:bCs/>
          <w:sz w:val="24"/>
          <w:szCs w:val="24"/>
          <w:lang w:eastAsia="zh-CN" w:bidi="ar-SA"/>
        </w:rPr>
        <w:t>35</w:t>
      </w:r>
      <w:r w:rsidRPr="00952CB3">
        <w:rPr>
          <w:rFonts w:ascii="Book Antiqua" w:eastAsia="宋体" w:hAnsi="Book Antiqua" w:cs="宋体"/>
          <w:sz w:val="24"/>
          <w:szCs w:val="24"/>
          <w:lang w:eastAsia="zh-CN" w:bidi="ar-SA"/>
        </w:rPr>
        <w:t xml:space="preserve">: 289-294 [PMID: </w:t>
      </w:r>
      <w:r>
        <w:rPr>
          <w:rFonts w:ascii="Book Antiqua" w:eastAsia="宋体" w:hAnsi="Book Antiqua" w:cs="宋体"/>
          <w:sz w:val="24"/>
          <w:szCs w:val="24"/>
          <w:lang w:eastAsia="zh-CN" w:bidi="ar-SA"/>
        </w:rPr>
        <w:t>25251042 DOI: 10.1111/liv.12692</w:t>
      </w:r>
      <w:r w:rsidRPr="00952CB3">
        <w:rPr>
          <w:rFonts w:ascii="Book Antiqua" w:eastAsia="宋体" w:hAnsi="Book Antiqua" w:cs="宋体"/>
          <w:sz w:val="24"/>
          <w:szCs w:val="24"/>
          <w:lang w:eastAsia="zh-CN" w:bidi="ar-SA"/>
        </w:rPr>
        <w:t>]</w:t>
      </w:r>
    </w:p>
    <w:p w14:paraId="1F25F606" w14:textId="70500C7D"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12 </w:t>
      </w:r>
      <w:proofErr w:type="spellStart"/>
      <w:r w:rsidRPr="00952CB3">
        <w:rPr>
          <w:rFonts w:ascii="Book Antiqua" w:eastAsia="宋体" w:hAnsi="Book Antiqua" w:cs="宋体"/>
          <w:b/>
          <w:bCs/>
          <w:sz w:val="24"/>
          <w:szCs w:val="24"/>
          <w:lang w:eastAsia="zh-CN" w:bidi="ar-SA"/>
        </w:rPr>
        <w:t>Dahari</w:t>
      </w:r>
      <w:proofErr w:type="spellEnd"/>
      <w:r w:rsidRPr="00952CB3">
        <w:rPr>
          <w:rFonts w:ascii="Book Antiqua" w:eastAsia="宋体" w:hAnsi="Book Antiqua" w:cs="宋体"/>
          <w:b/>
          <w:bCs/>
          <w:sz w:val="24"/>
          <w:szCs w:val="24"/>
          <w:lang w:eastAsia="zh-CN" w:bidi="ar-SA"/>
        </w:rPr>
        <w:t xml:space="preserve"> H</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Canini</w:t>
      </w:r>
      <w:proofErr w:type="spellEnd"/>
      <w:r w:rsidRPr="00952CB3">
        <w:rPr>
          <w:rFonts w:ascii="Book Antiqua" w:eastAsia="宋体" w:hAnsi="Book Antiqua" w:cs="宋体"/>
          <w:sz w:val="24"/>
          <w:szCs w:val="24"/>
          <w:lang w:eastAsia="zh-CN" w:bidi="ar-SA"/>
        </w:rPr>
        <w:t xml:space="preserve"> L, </w:t>
      </w:r>
      <w:proofErr w:type="spellStart"/>
      <w:r w:rsidRPr="00952CB3">
        <w:rPr>
          <w:rFonts w:ascii="Book Antiqua" w:eastAsia="宋体" w:hAnsi="Book Antiqua" w:cs="宋体"/>
          <w:sz w:val="24"/>
          <w:szCs w:val="24"/>
          <w:lang w:eastAsia="zh-CN" w:bidi="ar-SA"/>
        </w:rPr>
        <w:t>Graw</w:t>
      </w:r>
      <w:proofErr w:type="spellEnd"/>
      <w:r w:rsidRPr="00952CB3">
        <w:rPr>
          <w:rFonts w:ascii="Book Antiqua" w:eastAsia="宋体" w:hAnsi="Book Antiqua" w:cs="宋体"/>
          <w:sz w:val="24"/>
          <w:szCs w:val="24"/>
          <w:lang w:eastAsia="zh-CN" w:bidi="ar-SA"/>
        </w:rPr>
        <w:t xml:space="preserve"> F, </w:t>
      </w:r>
      <w:proofErr w:type="spellStart"/>
      <w:r w:rsidRPr="00952CB3">
        <w:rPr>
          <w:rFonts w:ascii="Book Antiqua" w:eastAsia="宋体" w:hAnsi="Book Antiqua" w:cs="宋体"/>
          <w:sz w:val="24"/>
          <w:szCs w:val="24"/>
          <w:lang w:eastAsia="zh-CN" w:bidi="ar-SA"/>
        </w:rPr>
        <w:t>Uprichard</w:t>
      </w:r>
      <w:proofErr w:type="spellEnd"/>
      <w:r w:rsidRPr="00952CB3">
        <w:rPr>
          <w:rFonts w:ascii="Book Antiqua" w:eastAsia="宋体" w:hAnsi="Book Antiqua" w:cs="宋体"/>
          <w:sz w:val="24"/>
          <w:szCs w:val="24"/>
          <w:lang w:eastAsia="zh-CN" w:bidi="ar-SA"/>
        </w:rPr>
        <w:t xml:space="preserve"> SL, </w:t>
      </w:r>
      <w:proofErr w:type="spellStart"/>
      <w:r w:rsidRPr="00952CB3">
        <w:rPr>
          <w:rFonts w:ascii="Book Antiqua" w:eastAsia="宋体" w:hAnsi="Book Antiqua" w:cs="宋体"/>
          <w:sz w:val="24"/>
          <w:szCs w:val="24"/>
          <w:lang w:eastAsia="zh-CN" w:bidi="ar-SA"/>
        </w:rPr>
        <w:t>Araújo</w:t>
      </w:r>
      <w:proofErr w:type="spellEnd"/>
      <w:r w:rsidRPr="00952CB3">
        <w:rPr>
          <w:rFonts w:ascii="Book Antiqua" w:eastAsia="宋体" w:hAnsi="Book Antiqua" w:cs="宋体"/>
          <w:sz w:val="24"/>
          <w:szCs w:val="24"/>
          <w:lang w:eastAsia="zh-CN" w:bidi="ar-SA"/>
        </w:rPr>
        <w:t xml:space="preserve"> ES, </w:t>
      </w:r>
      <w:proofErr w:type="spellStart"/>
      <w:r w:rsidRPr="00952CB3">
        <w:rPr>
          <w:rFonts w:ascii="Book Antiqua" w:eastAsia="宋体" w:hAnsi="Book Antiqua" w:cs="宋体"/>
          <w:sz w:val="24"/>
          <w:szCs w:val="24"/>
          <w:lang w:eastAsia="zh-CN" w:bidi="ar-SA"/>
        </w:rPr>
        <w:t>Penaranda</w:t>
      </w:r>
      <w:proofErr w:type="spellEnd"/>
      <w:r w:rsidRPr="00952CB3">
        <w:rPr>
          <w:rFonts w:ascii="Book Antiqua" w:eastAsia="宋体" w:hAnsi="Book Antiqua" w:cs="宋体"/>
          <w:sz w:val="24"/>
          <w:szCs w:val="24"/>
          <w:lang w:eastAsia="zh-CN" w:bidi="ar-SA"/>
        </w:rPr>
        <w:t xml:space="preserve"> G, Coquet E, </w:t>
      </w:r>
      <w:proofErr w:type="spellStart"/>
      <w:r w:rsidRPr="00952CB3">
        <w:rPr>
          <w:rFonts w:ascii="Book Antiqua" w:eastAsia="宋体" w:hAnsi="Book Antiqua" w:cs="宋体"/>
          <w:sz w:val="24"/>
          <w:szCs w:val="24"/>
          <w:lang w:eastAsia="zh-CN" w:bidi="ar-SA"/>
        </w:rPr>
        <w:t>Chiche</w:t>
      </w:r>
      <w:proofErr w:type="spellEnd"/>
      <w:r w:rsidRPr="00952CB3">
        <w:rPr>
          <w:rFonts w:ascii="Book Antiqua" w:eastAsia="宋体" w:hAnsi="Book Antiqua" w:cs="宋体"/>
          <w:sz w:val="24"/>
          <w:szCs w:val="24"/>
          <w:lang w:eastAsia="zh-CN" w:bidi="ar-SA"/>
        </w:rPr>
        <w:t xml:space="preserve"> L, </w:t>
      </w:r>
      <w:proofErr w:type="spellStart"/>
      <w:r w:rsidRPr="00952CB3">
        <w:rPr>
          <w:rFonts w:ascii="Book Antiqua" w:eastAsia="宋体" w:hAnsi="Book Antiqua" w:cs="宋体"/>
          <w:sz w:val="24"/>
          <w:szCs w:val="24"/>
          <w:lang w:eastAsia="zh-CN" w:bidi="ar-SA"/>
        </w:rPr>
        <w:t>Riso</w:t>
      </w:r>
      <w:proofErr w:type="spellEnd"/>
      <w:r w:rsidRPr="00952CB3">
        <w:rPr>
          <w:rFonts w:ascii="Book Antiqua" w:eastAsia="宋体" w:hAnsi="Book Antiqua" w:cs="宋体"/>
          <w:sz w:val="24"/>
          <w:szCs w:val="24"/>
          <w:lang w:eastAsia="zh-CN" w:bidi="ar-SA"/>
        </w:rPr>
        <w:t xml:space="preserve"> A, </w:t>
      </w:r>
      <w:proofErr w:type="spellStart"/>
      <w:r w:rsidRPr="00952CB3">
        <w:rPr>
          <w:rFonts w:ascii="Book Antiqua" w:eastAsia="宋体" w:hAnsi="Book Antiqua" w:cs="宋体"/>
          <w:sz w:val="24"/>
          <w:szCs w:val="24"/>
          <w:lang w:eastAsia="zh-CN" w:bidi="ar-SA"/>
        </w:rPr>
        <w:t>Renou</w:t>
      </w:r>
      <w:proofErr w:type="spellEnd"/>
      <w:r w:rsidRPr="00952CB3">
        <w:rPr>
          <w:rFonts w:ascii="Book Antiqua" w:eastAsia="宋体" w:hAnsi="Book Antiqua" w:cs="宋体"/>
          <w:sz w:val="24"/>
          <w:szCs w:val="24"/>
          <w:lang w:eastAsia="zh-CN" w:bidi="ar-SA"/>
        </w:rPr>
        <w:t xml:space="preserve"> C, </w:t>
      </w:r>
      <w:proofErr w:type="spellStart"/>
      <w:r w:rsidRPr="00952CB3">
        <w:rPr>
          <w:rFonts w:ascii="Book Antiqua" w:eastAsia="宋体" w:hAnsi="Book Antiqua" w:cs="宋体"/>
          <w:sz w:val="24"/>
          <w:szCs w:val="24"/>
          <w:lang w:eastAsia="zh-CN" w:bidi="ar-SA"/>
        </w:rPr>
        <w:t>Bourliere</w:t>
      </w:r>
      <w:proofErr w:type="spellEnd"/>
      <w:r w:rsidRPr="00952CB3">
        <w:rPr>
          <w:rFonts w:ascii="Book Antiqua" w:eastAsia="宋体" w:hAnsi="Book Antiqua" w:cs="宋体"/>
          <w:sz w:val="24"/>
          <w:szCs w:val="24"/>
          <w:lang w:eastAsia="zh-CN" w:bidi="ar-SA"/>
        </w:rPr>
        <w:t xml:space="preserve"> M, </w:t>
      </w:r>
      <w:proofErr w:type="spellStart"/>
      <w:r w:rsidRPr="00952CB3">
        <w:rPr>
          <w:rFonts w:ascii="Book Antiqua" w:eastAsia="宋体" w:hAnsi="Book Antiqua" w:cs="宋体"/>
          <w:sz w:val="24"/>
          <w:szCs w:val="24"/>
          <w:lang w:eastAsia="zh-CN" w:bidi="ar-SA"/>
        </w:rPr>
        <w:t>Cotler</w:t>
      </w:r>
      <w:proofErr w:type="spellEnd"/>
      <w:r w:rsidRPr="00952CB3">
        <w:rPr>
          <w:rFonts w:ascii="Book Antiqua" w:eastAsia="宋体" w:hAnsi="Book Antiqua" w:cs="宋体"/>
          <w:sz w:val="24"/>
          <w:szCs w:val="24"/>
          <w:lang w:eastAsia="zh-CN" w:bidi="ar-SA"/>
        </w:rPr>
        <w:t xml:space="preserve"> SJ, </w:t>
      </w:r>
      <w:proofErr w:type="spellStart"/>
      <w:r w:rsidRPr="00952CB3">
        <w:rPr>
          <w:rFonts w:ascii="Book Antiqua" w:eastAsia="宋体" w:hAnsi="Book Antiqua" w:cs="宋体"/>
          <w:sz w:val="24"/>
          <w:szCs w:val="24"/>
          <w:lang w:eastAsia="zh-CN" w:bidi="ar-SA"/>
        </w:rPr>
        <w:t>Halfon</w:t>
      </w:r>
      <w:proofErr w:type="spellEnd"/>
      <w:r w:rsidRPr="00952CB3">
        <w:rPr>
          <w:rFonts w:ascii="Book Antiqua" w:eastAsia="宋体" w:hAnsi="Book Antiqua" w:cs="宋体"/>
          <w:sz w:val="24"/>
          <w:szCs w:val="24"/>
          <w:lang w:eastAsia="zh-CN" w:bidi="ar-SA"/>
        </w:rPr>
        <w:t xml:space="preserve"> P. HCV kinetic and modeling analyses indicate similar time to cure among </w:t>
      </w:r>
      <w:proofErr w:type="spellStart"/>
      <w:r w:rsidRPr="00952CB3">
        <w:rPr>
          <w:rFonts w:ascii="Book Antiqua" w:eastAsia="宋体" w:hAnsi="Book Antiqua" w:cs="宋体"/>
          <w:sz w:val="24"/>
          <w:szCs w:val="24"/>
          <w:lang w:eastAsia="zh-CN" w:bidi="ar-SA"/>
        </w:rPr>
        <w:t>sofosbuvir</w:t>
      </w:r>
      <w:proofErr w:type="spellEnd"/>
      <w:r w:rsidRPr="00952CB3">
        <w:rPr>
          <w:rFonts w:ascii="Book Antiqua" w:eastAsia="宋体" w:hAnsi="Book Antiqua" w:cs="宋体"/>
          <w:sz w:val="24"/>
          <w:szCs w:val="24"/>
          <w:lang w:eastAsia="zh-CN" w:bidi="ar-SA"/>
        </w:rPr>
        <w:t xml:space="preserve"> combination regimens with </w:t>
      </w:r>
      <w:proofErr w:type="spellStart"/>
      <w:r w:rsidRPr="00952CB3">
        <w:rPr>
          <w:rFonts w:ascii="Book Antiqua" w:eastAsia="宋体" w:hAnsi="Book Antiqua" w:cs="宋体"/>
          <w:sz w:val="24"/>
          <w:szCs w:val="24"/>
          <w:lang w:eastAsia="zh-CN" w:bidi="ar-SA"/>
        </w:rPr>
        <w:t>daclatasvir</w:t>
      </w:r>
      <w:proofErr w:type="spellEnd"/>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simeprevir</w:t>
      </w:r>
      <w:proofErr w:type="spellEnd"/>
      <w:r w:rsidRPr="00952CB3">
        <w:rPr>
          <w:rFonts w:ascii="Book Antiqua" w:eastAsia="宋体" w:hAnsi="Book Antiqua" w:cs="宋体"/>
          <w:sz w:val="24"/>
          <w:szCs w:val="24"/>
          <w:lang w:eastAsia="zh-CN" w:bidi="ar-SA"/>
        </w:rPr>
        <w:t xml:space="preserve"> or </w:t>
      </w:r>
      <w:proofErr w:type="spellStart"/>
      <w:r w:rsidRPr="00952CB3">
        <w:rPr>
          <w:rFonts w:ascii="Book Antiqua" w:eastAsia="宋体" w:hAnsi="Book Antiqua" w:cs="宋体"/>
          <w:sz w:val="24"/>
          <w:szCs w:val="24"/>
          <w:lang w:eastAsia="zh-CN" w:bidi="ar-SA"/>
        </w:rPr>
        <w:t>ledipasvir</w:t>
      </w:r>
      <w:proofErr w:type="spellEnd"/>
      <w:r w:rsidRPr="00952CB3">
        <w:rPr>
          <w:rFonts w:ascii="Book Antiqua" w:eastAsia="宋体" w:hAnsi="Book Antiqua" w:cs="宋体"/>
          <w:sz w:val="24"/>
          <w:szCs w:val="24"/>
          <w:lang w:eastAsia="zh-CN" w:bidi="ar-SA"/>
        </w:rPr>
        <w:t xml:space="preserve">. </w:t>
      </w:r>
      <w:r w:rsidRPr="00952CB3">
        <w:rPr>
          <w:rFonts w:ascii="Book Antiqua" w:eastAsia="宋体" w:hAnsi="Book Antiqua" w:cs="宋体"/>
          <w:i/>
          <w:iCs/>
          <w:sz w:val="24"/>
          <w:szCs w:val="24"/>
          <w:lang w:eastAsia="zh-CN" w:bidi="ar-SA"/>
        </w:rPr>
        <w:t xml:space="preserve">J </w:t>
      </w:r>
      <w:proofErr w:type="spellStart"/>
      <w:r w:rsidRPr="00952CB3">
        <w:rPr>
          <w:rFonts w:ascii="Book Antiqua" w:eastAsia="宋体" w:hAnsi="Book Antiqua" w:cs="宋体"/>
          <w:i/>
          <w:iCs/>
          <w:sz w:val="24"/>
          <w:szCs w:val="24"/>
          <w:lang w:eastAsia="zh-CN" w:bidi="ar-SA"/>
        </w:rPr>
        <w:t>Hepatol</w:t>
      </w:r>
      <w:proofErr w:type="spellEnd"/>
      <w:r w:rsidRPr="00952CB3">
        <w:rPr>
          <w:rFonts w:ascii="Book Antiqua" w:eastAsia="宋体" w:hAnsi="Book Antiqua" w:cs="宋体"/>
          <w:sz w:val="24"/>
          <w:szCs w:val="24"/>
          <w:lang w:eastAsia="zh-CN" w:bidi="ar-SA"/>
        </w:rPr>
        <w:t xml:space="preserve"> 2016; </w:t>
      </w:r>
      <w:r w:rsidRPr="00952CB3">
        <w:rPr>
          <w:rFonts w:ascii="Book Antiqua" w:eastAsia="宋体" w:hAnsi="Book Antiqua" w:cs="宋体"/>
          <w:b/>
          <w:bCs/>
          <w:sz w:val="24"/>
          <w:szCs w:val="24"/>
          <w:lang w:eastAsia="zh-CN" w:bidi="ar-SA"/>
        </w:rPr>
        <w:t>64</w:t>
      </w:r>
      <w:r w:rsidRPr="00952CB3">
        <w:rPr>
          <w:rFonts w:ascii="Book Antiqua" w:eastAsia="宋体" w:hAnsi="Book Antiqua" w:cs="宋体"/>
          <w:sz w:val="24"/>
          <w:szCs w:val="24"/>
          <w:lang w:eastAsia="zh-CN" w:bidi="ar-SA"/>
        </w:rPr>
        <w:t xml:space="preserve">: 1232-1239 [PMID: 26907973 </w:t>
      </w:r>
      <w:r>
        <w:rPr>
          <w:rFonts w:ascii="Book Antiqua" w:eastAsia="宋体" w:hAnsi="Book Antiqua" w:cs="宋体"/>
          <w:sz w:val="24"/>
          <w:szCs w:val="24"/>
          <w:lang w:eastAsia="zh-CN" w:bidi="ar-SA"/>
        </w:rPr>
        <w:t>DOI: 10.1016/j.jhep.2016.02.022</w:t>
      </w:r>
      <w:r w:rsidRPr="00952CB3">
        <w:rPr>
          <w:rFonts w:ascii="Book Antiqua" w:eastAsia="宋体" w:hAnsi="Book Antiqua" w:cs="宋体"/>
          <w:sz w:val="24"/>
          <w:szCs w:val="24"/>
          <w:lang w:eastAsia="zh-CN" w:bidi="ar-SA"/>
        </w:rPr>
        <w:t>]</w:t>
      </w:r>
    </w:p>
    <w:p w14:paraId="0E5C01A0" w14:textId="664DFD5A"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13 </w:t>
      </w:r>
      <w:proofErr w:type="spellStart"/>
      <w:r w:rsidRPr="00952CB3">
        <w:rPr>
          <w:rFonts w:ascii="Book Antiqua" w:eastAsia="宋体" w:hAnsi="Book Antiqua" w:cs="宋体"/>
          <w:b/>
          <w:bCs/>
          <w:sz w:val="24"/>
          <w:szCs w:val="24"/>
          <w:lang w:eastAsia="zh-CN" w:bidi="ar-SA"/>
        </w:rPr>
        <w:t>Rong</w:t>
      </w:r>
      <w:proofErr w:type="spellEnd"/>
      <w:r w:rsidRPr="00952CB3">
        <w:rPr>
          <w:rFonts w:ascii="Book Antiqua" w:eastAsia="宋体" w:hAnsi="Book Antiqua" w:cs="宋体"/>
          <w:b/>
          <w:bCs/>
          <w:sz w:val="24"/>
          <w:szCs w:val="24"/>
          <w:lang w:eastAsia="zh-CN" w:bidi="ar-SA"/>
        </w:rPr>
        <w:t xml:space="preserve"> L</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Guedj</w:t>
      </w:r>
      <w:proofErr w:type="spellEnd"/>
      <w:r w:rsidRPr="00952CB3">
        <w:rPr>
          <w:rFonts w:ascii="Book Antiqua" w:eastAsia="宋体" w:hAnsi="Book Antiqua" w:cs="宋体"/>
          <w:sz w:val="24"/>
          <w:szCs w:val="24"/>
          <w:lang w:eastAsia="zh-CN" w:bidi="ar-SA"/>
        </w:rPr>
        <w:t xml:space="preserve"> J, </w:t>
      </w:r>
      <w:proofErr w:type="spellStart"/>
      <w:r w:rsidRPr="00952CB3">
        <w:rPr>
          <w:rFonts w:ascii="Book Antiqua" w:eastAsia="宋体" w:hAnsi="Book Antiqua" w:cs="宋体"/>
          <w:sz w:val="24"/>
          <w:szCs w:val="24"/>
          <w:lang w:eastAsia="zh-CN" w:bidi="ar-SA"/>
        </w:rPr>
        <w:t>Dahari</w:t>
      </w:r>
      <w:proofErr w:type="spellEnd"/>
      <w:r w:rsidRPr="00952CB3">
        <w:rPr>
          <w:rFonts w:ascii="Book Antiqua" w:eastAsia="宋体" w:hAnsi="Book Antiqua" w:cs="宋体"/>
          <w:sz w:val="24"/>
          <w:szCs w:val="24"/>
          <w:lang w:eastAsia="zh-CN" w:bidi="ar-SA"/>
        </w:rPr>
        <w:t xml:space="preserve"> H, </w:t>
      </w:r>
      <w:proofErr w:type="spellStart"/>
      <w:r w:rsidRPr="00952CB3">
        <w:rPr>
          <w:rFonts w:ascii="Book Antiqua" w:eastAsia="宋体" w:hAnsi="Book Antiqua" w:cs="宋体"/>
          <w:sz w:val="24"/>
          <w:szCs w:val="24"/>
          <w:lang w:eastAsia="zh-CN" w:bidi="ar-SA"/>
        </w:rPr>
        <w:t>Coffield</w:t>
      </w:r>
      <w:proofErr w:type="spellEnd"/>
      <w:r w:rsidRPr="00952CB3">
        <w:rPr>
          <w:rFonts w:ascii="Book Antiqua" w:eastAsia="宋体" w:hAnsi="Book Antiqua" w:cs="宋体"/>
          <w:sz w:val="24"/>
          <w:szCs w:val="24"/>
          <w:lang w:eastAsia="zh-CN" w:bidi="ar-SA"/>
        </w:rPr>
        <w:t xml:space="preserve"> DJ, Levi M, Smith P, </w:t>
      </w:r>
      <w:proofErr w:type="spellStart"/>
      <w:r w:rsidRPr="00952CB3">
        <w:rPr>
          <w:rFonts w:ascii="Book Antiqua" w:eastAsia="宋体" w:hAnsi="Book Antiqua" w:cs="宋体"/>
          <w:sz w:val="24"/>
          <w:szCs w:val="24"/>
          <w:lang w:eastAsia="zh-CN" w:bidi="ar-SA"/>
        </w:rPr>
        <w:t>Perelson</w:t>
      </w:r>
      <w:proofErr w:type="spellEnd"/>
      <w:r w:rsidRPr="00952CB3">
        <w:rPr>
          <w:rFonts w:ascii="Book Antiqua" w:eastAsia="宋体" w:hAnsi="Book Antiqua" w:cs="宋体"/>
          <w:sz w:val="24"/>
          <w:szCs w:val="24"/>
          <w:lang w:eastAsia="zh-CN" w:bidi="ar-SA"/>
        </w:rPr>
        <w:t xml:space="preserve"> AS. Analysis of hepatitis C virus decline during treatment with the protease inhibitor </w:t>
      </w:r>
      <w:proofErr w:type="spellStart"/>
      <w:r w:rsidRPr="00952CB3">
        <w:rPr>
          <w:rFonts w:ascii="Book Antiqua" w:eastAsia="宋体" w:hAnsi="Book Antiqua" w:cs="宋体"/>
          <w:sz w:val="24"/>
          <w:szCs w:val="24"/>
          <w:lang w:eastAsia="zh-CN" w:bidi="ar-SA"/>
        </w:rPr>
        <w:t>danoprevir</w:t>
      </w:r>
      <w:proofErr w:type="spellEnd"/>
      <w:r w:rsidRPr="00952CB3">
        <w:rPr>
          <w:rFonts w:ascii="Book Antiqua" w:eastAsia="宋体" w:hAnsi="Book Antiqua" w:cs="宋体"/>
          <w:sz w:val="24"/>
          <w:szCs w:val="24"/>
          <w:lang w:eastAsia="zh-CN" w:bidi="ar-SA"/>
        </w:rPr>
        <w:t xml:space="preserve"> using a </w:t>
      </w:r>
      <w:proofErr w:type="spellStart"/>
      <w:r w:rsidRPr="00952CB3">
        <w:rPr>
          <w:rFonts w:ascii="Book Antiqua" w:eastAsia="宋体" w:hAnsi="Book Antiqua" w:cs="宋体"/>
          <w:sz w:val="24"/>
          <w:szCs w:val="24"/>
          <w:lang w:eastAsia="zh-CN" w:bidi="ar-SA"/>
        </w:rPr>
        <w:t>multiscale</w:t>
      </w:r>
      <w:proofErr w:type="spellEnd"/>
      <w:r w:rsidRPr="00952CB3">
        <w:rPr>
          <w:rFonts w:ascii="Book Antiqua" w:eastAsia="宋体" w:hAnsi="Book Antiqua" w:cs="宋体"/>
          <w:sz w:val="24"/>
          <w:szCs w:val="24"/>
          <w:lang w:eastAsia="zh-CN" w:bidi="ar-SA"/>
        </w:rPr>
        <w:t xml:space="preserve"> model. </w:t>
      </w:r>
      <w:proofErr w:type="spellStart"/>
      <w:r w:rsidRPr="00952CB3">
        <w:rPr>
          <w:rFonts w:ascii="Book Antiqua" w:eastAsia="宋体" w:hAnsi="Book Antiqua" w:cs="宋体"/>
          <w:i/>
          <w:iCs/>
          <w:sz w:val="24"/>
          <w:szCs w:val="24"/>
          <w:lang w:eastAsia="zh-CN" w:bidi="ar-SA"/>
        </w:rPr>
        <w:t>PLoS</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Comput</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Biol</w:t>
      </w:r>
      <w:proofErr w:type="spellEnd"/>
      <w:r w:rsidRPr="00952CB3">
        <w:rPr>
          <w:rFonts w:ascii="Book Antiqua" w:eastAsia="宋体" w:hAnsi="Book Antiqua" w:cs="宋体"/>
          <w:sz w:val="24"/>
          <w:szCs w:val="24"/>
          <w:lang w:eastAsia="zh-CN" w:bidi="ar-SA"/>
        </w:rPr>
        <w:t xml:space="preserve"> 2013; </w:t>
      </w:r>
      <w:r w:rsidRPr="00952CB3">
        <w:rPr>
          <w:rFonts w:ascii="Book Antiqua" w:eastAsia="宋体" w:hAnsi="Book Antiqua" w:cs="宋体"/>
          <w:b/>
          <w:bCs/>
          <w:sz w:val="24"/>
          <w:szCs w:val="24"/>
          <w:lang w:eastAsia="zh-CN" w:bidi="ar-SA"/>
        </w:rPr>
        <w:t>9</w:t>
      </w:r>
      <w:r w:rsidRPr="00952CB3">
        <w:rPr>
          <w:rFonts w:ascii="Book Antiqua" w:eastAsia="宋体" w:hAnsi="Book Antiqua" w:cs="宋体"/>
          <w:sz w:val="24"/>
          <w:szCs w:val="24"/>
          <w:lang w:eastAsia="zh-CN" w:bidi="ar-SA"/>
        </w:rPr>
        <w:t>: e1002959 [PMID: 23516348 DO</w:t>
      </w:r>
      <w:r>
        <w:rPr>
          <w:rFonts w:ascii="Book Antiqua" w:eastAsia="宋体" w:hAnsi="Book Antiqua" w:cs="宋体"/>
          <w:sz w:val="24"/>
          <w:szCs w:val="24"/>
          <w:lang w:eastAsia="zh-CN" w:bidi="ar-SA"/>
        </w:rPr>
        <w:t>I: 10.1371/journal.pcbi.1002959</w:t>
      </w:r>
      <w:r w:rsidRPr="00952CB3">
        <w:rPr>
          <w:rFonts w:ascii="Book Antiqua" w:eastAsia="宋体" w:hAnsi="Book Antiqua" w:cs="宋体"/>
          <w:sz w:val="24"/>
          <w:szCs w:val="24"/>
          <w:lang w:eastAsia="zh-CN" w:bidi="ar-SA"/>
        </w:rPr>
        <w:t>]</w:t>
      </w:r>
    </w:p>
    <w:p w14:paraId="7AB70880" w14:textId="072A948E"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14 </w:t>
      </w:r>
      <w:proofErr w:type="spellStart"/>
      <w:r w:rsidRPr="00952CB3">
        <w:rPr>
          <w:rFonts w:ascii="Book Antiqua" w:eastAsia="宋体" w:hAnsi="Book Antiqua" w:cs="宋体"/>
          <w:b/>
          <w:bCs/>
          <w:sz w:val="24"/>
          <w:szCs w:val="24"/>
          <w:lang w:eastAsia="zh-CN" w:bidi="ar-SA"/>
        </w:rPr>
        <w:t>Guedj</w:t>
      </w:r>
      <w:proofErr w:type="spellEnd"/>
      <w:r w:rsidRPr="00952CB3">
        <w:rPr>
          <w:rFonts w:ascii="Book Antiqua" w:eastAsia="宋体" w:hAnsi="Book Antiqua" w:cs="宋体"/>
          <w:b/>
          <w:bCs/>
          <w:sz w:val="24"/>
          <w:szCs w:val="24"/>
          <w:lang w:eastAsia="zh-CN" w:bidi="ar-SA"/>
        </w:rPr>
        <w:t xml:space="preserve"> J</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Dahari</w:t>
      </w:r>
      <w:proofErr w:type="spellEnd"/>
      <w:r w:rsidRPr="00952CB3">
        <w:rPr>
          <w:rFonts w:ascii="Book Antiqua" w:eastAsia="宋体" w:hAnsi="Book Antiqua" w:cs="宋体"/>
          <w:sz w:val="24"/>
          <w:szCs w:val="24"/>
          <w:lang w:eastAsia="zh-CN" w:bidi="ar-SA"/>
        </w:rPr>
        <w:t xml:space="preserve"> H, </w:t>
      </w:r>
      <w:proofErr w:type="spellStart"/>
      <w:r w:rsidRPr="00952CB3">
        <w:rPr>
          <w:rFonts w:ascii="Book Antiqua" w:eastAsia="宋体" w:hAnsi="Book Antiqua" w:cs="宋体"/>
          <w:sz w:val="24"/>
          <w:szCs w:val="24"/>
          <w:lang w:eastAsia="zh-CN" w:bidi="ar-SA"/>
        </w:rPr>
        <w:t>Rong</w:t>
      </w:r>
      <w:proofErr w:type="spellEnd"/>
      <w:r w:rsidRPr="00952CB3">
        <w:rPr>
          <w:rFonts w:ascii="Book Antiqua" w:eastAsia="宋体" w:hAnsi="Book Antiqua" w:cs="宋体"/>
          <w:sz w:val="24"/>
          <w:szCs w:val="24"/>
          <w:lang w:eastAsia="zh-CN" w:bidi="ar-SA"/>
        </w:rPr>
        <w:t xml:space="preserve"> L, </w:t>
      </w:r>
      <w:proofErr w:type="spellStart"/>
      <w:r w:rsidRPr="00952CB3">
        <w:rPr>
          <w:rFonts w:ascii="Book Antiqua" w:eastAsia="宋体" w:hAnsi="Book Antiqua" w:cs="宋体"/>
          <w:sz w:val="24"/>
          <w:szCs w:val="24"/>
          <w:lang w:eastAsia="zh-CN" w:bidi="ar-SA"/>
        </w:rPr>
        <w:t>Sansone</w:t>
      </w:r>
      <w:proofErr w:type="spellEnd"/>
      <w:r w:rsidRPr="00952CB3">
        <w:rPr>
          <w:rFonts w:ascii="Book Antiqua" w:eastAsia="宋体" w:hAnsi="Book Antiqua" w:cs="宋体"/>
          <w:sz w:val="24"/>
          <w:szCs w:val="24"/>
          <w:lang w:eastAsia="zh-CN" w:bidi="ar-SA"/>
        </w:rPr>
        <w:t xml:space="preserve"> ND, Nettles RE, </w:t>
      </w:r>
      <w:proofErr w:type="spellStart"/>
      <w:r w:rsidRPr="00952CB3">
        <w:rPr>
          <w:rFonts w:ascii="Book Antiqua" w:eastAsia="宋体" w:hAnsi="Book Antiqua" w:cs="宋体"/>
          <w:sz w:val="24"/>
          <w:szCs w:val="24"/>
          <w:lang w:eastAsia="zh-CN" w:bidi="ar-SA"/>
        </w:rPr>
        <w:t>Cotler</w:t>
      </w:r>
      <w:proofErr w:type="spellEnd"/>
      <w:r w:rsidRPr="00952CB3">
        <w:rPr>
          <w:rFonts w:ascii="Book Antiqua" w:eastAsia="宋体" w:hAnsi="Book Antiqua" w:cs="宋体"/>
          <w:sz w:val="24"/>
          <w:szCs w:val="24"/>
          <w:lang w:eastAsia="zh-CN" w:bidi="ar-SA"/>
        </w:rPr>
        <w:t xml:space="preserve"> SJ, </w:t>
      </w:r>
      <w:proofErr w:type="spellStart"/>
      <w:r w:rsidRPr="00952CB3">
        <w:rPr>
          <w:rFonts w:ascii="Book Antiqua" w:eastAsia="宋体" w:hAnsi="Book Antiqua" w:cs="宋体"/>
          <w:sz w:val="24"/>
          <w:szCs w:val="24"/>
          <w:lang w:eastAsia="zh-CN" w:bidi="ar-SA"/>
        </w:rPr>
        <w:t>Layden</w:t>
      </w:r>
      <w:proofErr w:type="spellEnd"/>
      <w:r w:rsidRPr="00952CB3">
        <w:rPr>
          <w:rFonts w:ascii="Book Antiqua" w:eastAsia="宋体" w:hAnsi="Book Antiqua" w:cs="宋体"/>
          <w:sz w:val="24"/>
          <w:szCs w:val="24"/>
          <w:lang w:eastAsia="zh-CN" w:bidi="ar-SA"/>
        </w:rPr>
        <w:t xml:space="preserve"> TJ, </w:t>
      </w:r>
      <w:proofErr w:type="spellStart"/>
      <w:r w:rsidRPr="00952CB3">
        <w:rPr>
          <w:rFonts w:ascii="Book Antiqua" w:eastAsia="宋体" w:hAnsi="Book Antiqua" w:cs="宋体"/>
          <w:sz w:val="24"/>
          <w:szCs w:val="24"/>
          <w:lang w:eastAsia="zh-CN" w:bidi="ar-SA"/>
        </w:rPr>
        <w:t>Uprichard</w:t>
      </w:r>
      <w:proofErr w:type="spellEnd"/>
      <w:r w:rsidRPr="00952CB3">
        <w:rPr>
          <w:rFonts w:ascii="Book Antiqua" w:eastAsia="宋体" w:hAnsi="Book Antiqua" w:cs="宋体"/>
          <w:sz w:val="24"/>
          <w:szCs w:val="24"/>
          <w:lang w:eastAsia="zh-CN" w:bidi="ar-SA"/>
        </w:rPr>
        <w:t xml:space="preserve"> SL, </w:t>
      </w:r>
      <w:proofErr w:type="spellStart"/>
      <w:r w:rsidRPr="00952CB3">
        <w:rPr>
          <w:rFonts w:ascii="Book Antiqua" w:eastAsia="宋体" w:hAnsi="Book Antiqua" w:cs="宋体"/>
          <w:sz w:val="24"/>
          <w:szCs w:val="24"/>
          <w:lang w:eastAsia="zh-CN" w:bidi="ar-SA"/>
        </w:rPr>
        <w:t>Perelson</w:t>
      </w:r>
      <w:proofErr w:type="spellEnd"/>
      <w:r w:rsidRPr="00952CB3">
        <w:rPr>
          <w:rFonts w:ascii="Book Antiqua" w:eastAsia="宋体" w:hAnsi="Book Antiqua" w:cs="宋体"/>
          <w:sz w:val="24"/>
          <w:szCs w:val="24"/>
          <w:lang w:eastAsia="zh-CN" w:bidi="ar-SA"/>
        </w:rPr>
        <w:t xml:space="preserve"> AS. Modeling shows that the NS5A inhibitor </w:t>
      </w:r>
      <w:proofErr w:type="spellStart"/>
      <w:r w:rsidRPr="00952CB3">
        <w:rPr>
          <w:rFonts w:ascii="Book Antiqua" w:eastAsia="宋体" w:hAnsi="Book Antiqua" w:cs="宋体"/>
          <w:sz w:val="24"/>
          <w:szCs w:val="24"/>
          <w:lang w:eastAsia="zh-CN" w:bidi="ar-SA"/>
        </w:rPr>
        <w:t>daclatasvir</w:t>
      </w:r>
      <w:proofErr w:type="spellEnd"/>
      <w:r w:rsidRPr="00952CB3">
        <w:rPr>
          <w:rFonts w:ascii="Book Antiqua" w:eastAsia="宋体" w:hAnsi="Book Antiqua" w:cs="宋体"/>
          <w:sz w:val="24"/>
          <w:szCs w:val="24"/>
          <w:lang w:eastAsia="zh-CN" w:bidi="ar-SA"/>
        </w:rPr>
        <w:t xml:space="preserve"> has two modes of action and yields a shorter estimate of the hepatitis C virus half-life. </w:t>
      </w:r>
      <w:proofErr w:type="spellStart"/>
      <w:r w:rsidRPr="00952CB3">
        <w:rPr>
          <w:rFonts w:ascii="Book Antiqua" w:eastAsia="宋体" w:hAnsi="Book Antiqua" w:cs="宋体"/>
          <w:i/>
          <w:iCs/>
          <w:sz w:val="24"/>
          <w:szCs w:val="24"/>
          <w:lang w:eastAsia="zh-CN" w:bidi="ar-SA"/>
        </w:rPr>
        <w:t>Proc</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Natl</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Acad</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Sci</w:t>
      </w:r>
      <w:proofErr w:type="spellEnd"/>
      <w:r w:rsidRPr="00952CB3">
        <w:rPr>
          <w:rFonts w:ascii="Book Antiqua" w:eastAsia="宋体" w:hAnsi="Book Antiqua" w:cs="宋体"/>
          <w:i/>
          <w:iCs/>
          <w:sz w:val="24"/>
          <w:szCs w:val="24"/>
          <w:lang w:eastAsia="zh-CN" w:bidi="ar-SA"/>
        </w:rPr>
        <w:t xml:space="preserve"> U S A</w:t>
      </w:r>
      <w:r w:rsidRPr="00952CB3">
        <w:rPr>
          <w:rFonts w:ascii="Book Antiqua" w:eastAsia="宋体" w:hAnsi="Book Antiqua" w:cs="宋体"/>
          <w:sz w:val="24"/>
          <w:szCs w:val="24"/>
          <w:lang w:eastAsia="zh-CN" w:bidi="ar-SA"/>
        </w:rPr>
        <w:t xml:space="preserve"> 2013; </w:t>
      </w:r>
      <w:r w:rsidRPr="00952CB3">
        <w:rPr>
          <w:rFonts w:ascii="Book Antiqua" w:eastAsia="宋体" w:hAnsi="Book Antiqua" w:cs="宋体"/>
          <w:b/>
          <w:bCs/>
          <w:sz w:val="24"/>
          <w:szCs w:val="24"/>
          <w:lang w:eastAsia="zh-CN" w:bidi="ar-SA"/>
        </w:rPr>
        <w:t>110</w:t>
      </w:r>
      <w:r w:rsidRPr="00952CB3">
        <w:rPr>
          <w:rFonts w:ascii="Book Antiqua" w:eastAsia="宋体" w:hAnsi="Book Antiqua" w:cs="宋体"/>
          <w:sz w:val="24"/>
          <w:szCs w:val="24"/>
          <w:lang w:eastAsia="zh-CN" w:bidi="ar-SA"/>
        </w:rPr>
        <w:t>: 3991-3996 [PMID: 234311</w:t>
      </w:r>
      <w:r>
        <w:rPr>
          <w:rFonts w:ascii="Book Antiqua" w:eastAsia="宋体" w:hAnsi="Book Antiqua" w:cs="宋体"/>
          <w:sz w:val="24"/>
          <w:szCs w:val="24"/>
          <w:lang w:eastAsia="zh-CN" w:bidi="ar-SA"/>
        </w:rPr>
        <w:t>63 DOI: 10.1073/pnas.1203110110</w:t>
      </w:r>
      <w:r w:rsidRPr="00952CB3">
        <w:rPr>
          <w:rFonts w:ascii="Book Antiqua" w:eastAsia="宋体" w:hAnsi="Book Antiqua" w:cs="宋体"/>
          <w:sz w:val="24"/>
          <w:szCs w:val="24"/>
          <w:lang w:eastAsia="zh-CN" w:bidi="ar-SA"/>
        </w:rPr>
        <w:t>]</w:t>
      </w:r>
    </w:p>
    <w:p w14:paraId="5ACE0B3D" w14:textId="7FDC9DA4"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15 </w:t>
      </w:r>
      <w:proofErr w:type="spellStart"/>
      <w:r w:rsidRPr="00952CB3">
        <w:rPr>
          <w:rFonts w:ascii="Book Antiqua" w:eastAsia="宋体" w:hAnsi="Book Antiqua" w:cs="宋体"/>
          <w:b/>
          <w:bCs/>
          <w:sz w:val="24"/>
          <w:szCs w:val="24"/>
          <w:lang w:eastAsia="zh-CN" w:bidi="ar-SA"/>
        </w:rPr>
        <w:t>Barritt</w:t>
      </w:r>
      <w:proofErr w:type="spellEnd"/>
      <w:r w:rsidRPr="00952CB3">
        <w:rPr>
          <w:rFonts w:ascii="Book Antiqua" w:eastAsia="宋体" w:hAnsi="Book Antiqua" w:cs="宋体"/>
          <w:b/>
          <w:bCs/>
          <w:sz w:val="24"/>
          <w:szCs w:val="24"/>
          <w:lang w:eastAsia="zh-CN" w:bidi="ar-SA"/>
        </w:rPr>
        <w:t xml:space="preserve"> AS</w:t>
      </w:r>
      <w:r w:rsidRPr="00952CB3">
        <w:rPr>
          <w:rFonts w:ascii="Book Antiqua" w:eastAsia="宋体" w:hAnsi="Book Antiqua" w:cs="宋体"/>
          <w:sz w:val="24"/>
          <w:szCs w:val="24"/>
          <w:lang w:eastAsia="zh-CN" w:bidi="ar-SA"/>
        </w:rPr>
        <w:t xml:space="preserve">, Lee J, Hayashi PH. Detective work in drug-induced liver injury: sometimes it is all about interviewing the right witness. </w:t>
      </w:r>
      <w:proofErr w:type="spellStart"/>
      <w:r w:rsidRPr="00952CB3">
        <w:rPr>
          <w:rFonts w:ascii="Book Antiqua" w:eastAsia="宋体" w:hAnsi="Book Antiqua" w:cs="宋体"/>
          <w:i/>
          <w:iCs/>
          <w:sz w:val="24"/>
          <w:szCs w:val="24"/>
          <w:lang w:eastAsia="zh-CN" w:bidi="ar-SA"/>
        </w:rPr>
        <w:t>Clin</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Gastroenterol</w:t>
      </w:r>
      <w:proofErr w:type="spellEnd"/>
      <w:r w:rsidRPr="00952CB3">
        <w:rPr>
          <w:rFonts w:ascii="Book Antiqua" w:eastAsia="宋体" w:hAnsi="Book Antiqua" w:cs="宋体"/>
          <w:i/>
          <w:iCs/>
          <w:sz w:val="24"/>
          <w:szCs w:val="24"/>
          <w:lang w:eastAsia="zh-CN" w:bidi="ar-SA"/>
        </w:rPr>
        <w:t xml:space="preserve"> </w:t>
      </w:r>
      <w:proofErr w:type="spellStart"/>
      <w:r w:rsidRPr="00952CB3">
        <w:rPr>
          <w:rFonts w:ascii="Book Antiqua" w:eastAsia="宋体" w:hAnsi="Book Antiqua" w:cs="宋体"/>
          <w:i/>
          <w:iCs/>
          <w:sz w:val="24"/>
          <w:szCs w:val="24"/>
          <w:lang w:eastAsia="zh-CN" w:bidi="ar-SA"/>
        </w:rPr>
        <w:t>Hepatol</w:t>
      </w:r>
      <w:proofErr w:type="spellEnd"/>
      <w:r w:rsidRPr="00952CB3">
        <w:rPr>
          <w:rFonts w:ascii="Book Antiqua" w:eastAsia="宋体" w:hAnsi="Book Antiqua" w:cs="宋体"/>
          <w:sz w:val="24"/>
          <w:szCs w:val="24"/>
          <w:lang w:eastAsia="zh-CN" w:bidi="ar-SA"/>
        </w:rPr>
        <w:t xml:space="preserve"> 2010; </w:t>
      </w:r>
      <w:r w:rsidRPr="00952CB3">
        <w:rPr>
          <w:rFonts w:ascii="Book Antiqua" w:eastAsia="宋体" w:hAnsi="Book Antiqua" w:cs="宋体"/>
          <w:b/>
          <w:bCs/>
          <w:sz w:val="24"/>
          <w:szCs w:val="24"/>
          <w:lang w:eastAsia="zh-CN" w:bidi="ar-SA"/>
        </w:rPr>
        <w:t>8</w:t>
      </w:r>
      <w:r w:rsidRPr="00952CB3">
        <w:rPr>
          <w:rFonts w:ascii="Book Antiqua" w:eastAsia="宋体" w:hAnsi="Book Antiqua" w:cs="宋体"/>
          <w:sz w:val="24"/>
          <w:szCs w:val="24"/>
          <w:lang w:eastAsia="zh-CN" w:bidi="ar-SA"/>
        </w:rPr>
        <w:t>: 635-637 [PMID: 20363371</w:t>
      </w:r>
      <w:r>
        <w:rPr>
          <w:rFonts w:ascii="Book Antiqua" w:eastAsia="宋体" w:hAnsi="Book Antiqua" w:cs="宋体"/>
          <w:sz w:val="24"/>
          <w:szCs w:val="24"/>
          <w:lang w:eastAsia="zh-CN" w:bidi="ar-SA"/>
        </w:rPr>
        <w:t xml:space="preserve"> DOI: 10.1016/j.cgh.2010.03.020</w:t>
      </w:r>
      <w:r w:rsidRPr="00952CB3">
        <w:rPr>
          <w:rFonts w:ascii="Book Antiqua" w:eastAsia="宋体" w:hAnsi="Book Antiqua" w:cs="宋体"/>
          <w:sz w:val="24"/>
          <w:szCs w:val="24"/>
          <w:lang w:eastAsia="zh-CN" w:bidi="ar-SA"/>
        </w:rPr>
        <w:t>]</w:t>
      </w:r>
    </w:p>
    <w:p w14:paraId="2D91FCDA" w14:textId="658DDEF4"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16 </w:t>
      </w:r>
      <w:proofErr w:type="spellStart"/>
      <w:r w:rsidRPr="00952CB3">
        <w:rPr>
          <w:rFonts w:ascii="Book Antiqua" w:eastAsia="宋体" w:hAnsi="Book Antiqua" w:cs="宋体"/>
          <w:b/>
          <w:sz w:val="24"/>
          <w:szCs w:val="24"/>
          <w:lang w:eastAsia="zh-CN" w:bidi="ar-SA"/>
        </w:rPr>
        <w:t>Sansone</w:t>
      </w:r>
      <w:proofErr w:type="spellEnd"/>
      <w:r w:rsidRPr="00952CB3">
        <w:rPr>
          <w:rFonts w:ascii="Book Antiqua" w:eastAsia="宋体" w:hAnsi="Book Antiqua" w:cs="宋体"/>
          <w:b/>
          <w:sz w:val="24"/>
          <w:szCs w:val="24"/>
          <w:lang w:eastAsia="zh-CN" w:bidi="ar-SA"/>
        </w:rPr>
        <w:t xml:space="preserve"> N</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Dahari</w:t>
      </w:r>
      <w:proofErr w:type="spellEnd"/>
      <w:r w:rsidRPr="00952CB3">
        <w:rPr>
          <w:rFonts w:ascii="Book Antiqua" w:eastAsia="宋体" w:hAnsi="Book Antiqua" w:cs="宋体"/>
          <w:sz w:val="24"/>
          <w:szCs w:val="24"/>
          <w:lang w:eastAsia="zh-CN" w:bidi="ar-SA"/>
        </w:rPr>
        <w:t xml:space="preserve"> H, </w:t>
      </w:r>
      <w:proofErr w:type="spellStart"/>
      <w:r w:rsidRPr="00952CB3">
        <w:rPr>
          <w:rFonts w:ascii="Book Antiqua" w:eastAsia="宋体" w:hAnsi="Book Antiqua" w:cs="宋体"/>
          <w:sz w:val="24"/>
          <w:szCs w:val="24"/>
          <w:lang w:eastAsia="zh-CN" w:bidi="ar-SA"/>
        </w:rPr>
        <w:t>Subramanya</w:t>
      </w:r>
      <w:proofErr w:type="spellEnd"/>
      <w:r w:rsidRPr="00952CB3">
        <w:rPr>
          <w:rFonts w:ascii="Book Antiqua" w:eastAsia="宋体" w:hAnsi="Book Antiqua" w:cs="宋体"/>
          <w:sz w:val="24"/>
          <w:szCs w:val="24"/>
          <w:lang w:eastAsia="zh-CN" w:bidi="ar-SA"/>
        </w:rPr>
        <w:t xml:space="preserve"> G, </w:t>
      </w:r>
      <w:proofErr w:type="spellStart"/>
      <w:r w:rsidRPr="00952CB3">
        <w:rPr>
          <w:rFonts w:ascii="Book Antiqua" w:eastAsia="宋体" w:hAnsi="Book Antiqua" w:cs="宋体"/>
          <w:sz w:val="24"/>
          <w:szCs w:val="24"/>
          <w:lang w:eastAsia="zh-CN" w:bidi="ar-SA"/>
        </w:rPr>
        <w:t>Perelson</w:t>
      </w:r>
      <w:proofErr w:type="spellEnd"/>
      <w:r w:rsidRPr="00952CB3">
        <w:rPr>
          <w:rFonts w:ascii="Book Antiqua" w:eastAsia="宋体" w:hAnsi="Book Antiqua" w:cs="宋体"/>
          <w:sz w:val="24"/>
          <w:szCs w:val="24"/>
          <w:lang w:eastAsia="zh-CN" w:bidi="ar-SA"/>
        </w:rPr>
        <w:t xml:space="preserve"> AS, </w:t>
      </w:r>
      <w:proofErr w:type="spellStart"/>
      <w:r w:rsidRPr="00952CB3">
        <w:rPr>
          <w:rFonts w:ascii="Book Antiqua" w:eastAsia="宋体" w:hAnsi="Book Antiqua" w:cs="宋体"/>
          <w:sz w:val="24"/>
          <w:szCs w:val="24"/>
          <w:lang w:eastAsia="zh-CN" w:bidi="ar-SA"/>
        </w:rPr>
        <w:t>Uprichard</w:t>
      </w:r>
      <w:proofErr w:type="spellEnd"/>
      <w:r w:rsidRPr="00952CB3">
        <w:rPr>
          <w:rFonts w:ascii="Book Antiqua" w:eastAsia="宋体" w:hAnsi="Book Antiqua" w:cs="宋体"/>
          <w:sz w:val="24"/>
          <w:szCs w:val="24"/>
          <w:lang w:eastAsia="zh-CN" w:bidi="ar-SA"/>
        </w:rPr>
        <w:t xml:space="preserve"> SL. Modeling </w:t>
      </w:r>
      <w:proofErr w:type="spellStart"/>
      <w:r w:rsidRPr="00952CB3">
        <w:rPr>
          <w:rFonts w:ascii="Book Antiqua" w:eastAsia="宋体" w:hAnsi="Book Antiqua" w:cs="宋体"/>
          <w:sz w:val="24"/>
          <w:szCs w:val="24"/>
          <w:lang w:eastAsia="zh-CN" w:bidi="ar-SA"/>
        </w:rPr>
        <w:t>HCVcc</w:t>
      </w:r>
      <w:proofErr w:type="spellEnd"/>
      <w:r w:rsidRPr="00952CB3">
        <w:rPr>
          <w:rFonts w:ascii="Book Antiqua" w:eastAsia="宋体" w:hAnsi="Book Antiqua" w:cs="宋体"/>
          <w:sz w:val="24"/>
          <w:szCs w:val="24"/>
          <w:lang w:eastAsia="zh-CN" w:bidi="ar-SA"/>
        </w:rPr>
        <w:t xml:space="preserve"> infection reveals new insights into the dynamics that maintain the in vitro HCV steady state and the mechanisms of action of the NS5A inhibitor </w:t>
      </w:r>
      <w:proofErr w:type="spellStart"/>
      <w:r w:rsidRPr="00952CB3">
        <w:rPr>
          <w:rFonts w:ascii="Book Antiqua" w:eastAsia="宋体" w:hAnsi="Book Antiqua" w:cs="宋体"/>
          <w:sz w:val="24"/>
          <w:szCs w:val="24"/>
          <w:lang w:eastAsia="zh-CN" w:bidi="ar-SA"/>
        </w:rPr>
        <w:t>daclatasvir</w:t>
      </w:r>
      <w:proofErr w:type="spellEnd"/>
      <w:r w:rsidRPr="00952CB3">
        <w:rPr>
          <w:rFonts w:ascii="Book Antiqua" w:eastAsia="宋体" w:hAnsi="Book Antiqua" w:cs="宋体"/>
          <w:sz w:val="24"/>
          <w:szCs w:val="24"/>
          <w:lang w:eastAsia="zh-CN" w:bidi="ar-SA"/>
        </w:rPr>
        <w:t xml:space="preserve">. </w:t>
      </w:r>
      <w:r w:rsidRPr="00952CB3">
        <w:rPr>
          <w:rFonts w:ascii="Book Antiqua" w:eastAsia="宋体" w:hAnsi="Book Antiqua" w:cs="宋体"/>
          <w:i/>
          <w:sz w:val="24"/>
          <w:szCs w:val="24"/>
          <w:lang w:eastAsia="zh-CN" w:bidi="ar-SA"/>
        </w:rPr>
        <w:t>Hepatology</w:t>
      </w:r>
      <w:r w:rsidRPr="00952CB3">
        <w:rPr>
          <w:rFonts w:ascii="Book Antiqua" w:eastAsia="宋体" w:hAnsi="Book Antiqua" w:cs="宋体"/>
          <w:sz w:val="24"/>
          <w:szCs w:val="24"/>
          <w:lang w:eastAsia="zh-CN" w:bidi="ar-SA"/>
        </w:rPr>
        <w:t xml:space="preserve"> 2014; 60: </w:t>
      </w:r>
      <w:r w:rsidRPr="00952CB3">
        <w:rPr>
          <w:rFonts w:ascii="Book Antiqua" w:eastAsia="宋体" w:hAnsi="Book Antiqua" w:cs="宋体"/>
          <w:b/>
          <w:sz w:val="24"/>
          <w:szCs w:val="24"/>
          <w:lang w:eastAsia="zh-CN" w:bidi="ar-SA"/>
        </w:rPr>
        <w:t>4</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Suppl</w:t>
      </w:r>
      <w:proofErr w:type="spellEnd"/>
      <w:r w:rsidRPr="00952CB3">
        <w:rPr>
          <w:rFonts w:ascii="Book Antiqua" w:eastAsia="宋体" w:hAnsi="Book Antiqua" w:cs="宋体"/>
          <w:sz w:val="24"/>
          <w:szCs w:val="24"/>
          <w:lang w:eastAsia="zh-CN" w:bidi="ar-SA"/>
        </w:rPr>
        <w:t>): 1165A</w:t>
      </w:r>
    </w:p>
    <w:p w14:paraId="549DFAEE" w14:textId="6D826B91"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17 </w:t>
      </w:r>
      <w:proofErr w:type="spellStart"/>
      <w:r w:rsidRPr="00952CB3">
        <w:rPr>
          <w:rFonts w:ascii="Book Antiqua" w:eastAsia="宋体" w:hAnsi="Book Antiqua" w:cs="宋体"/>
          <w:b/>
          <w:bCs/>
          <w:sz w:val="24"/>
          <w:szCs w:val="24"/>
          <w:lang w:eastAsia="zh-CN" w:bidi="ar-SA"/>
        </w:rPr>
        <w:t>Kohli</w:t>
      </w:r>
      <w:proofErr w:type="spellEnd"/>
      <w:r w:rsidRPr="00952CB3">
        <w:rPr>
          <w:rFonts w:ascii="Book Antiqua" w:eastAsia="宋体" w:hAnsi="Book Antiqua" w:cs="宋体"/>
          <w:b/>
          <w:bCs/>
          <w:sz w:val="24"/>
          <w:szCs w:val="24"/>
          <w:lang w:eastAsia="zh-CN" w:bidi="ar-SA"/>
        </w:rPr>
        <w:t xml:space="preserve"> A</w:t>
      </w:r>
      <w:r w:rsidRPr="00952CB3">
        <w:rPr>
          <w:rFonts w:ascii="Book Antiqua" w:eastAsia="宋体" w:hAnsi="Book Antiqua" w:cs="宋体"/>
          <w:sz w:val="24"/>
          <w:szCs w:val="24"/>
          <w:lang w:eastAsia="zh-CN" w:bidi="ar-SA"/>
        </w:rPr>
        <w:t xml:space="preserve">, </w:t>
      </w:r>
      <w:proofErr w:type="spellStart"/>
      <w:r w:rsidRPr="00952CB3">
        <w:rPr>
          <w:rFonts w:ascii="Book Antiqua" w:eastAsia="宋体" w:hAnsi="Book Antiqua" w:cs="宋体"/>
          <w:sz w:val="24"/>
          <w:szCs w:val="24"/>
          <w:lang w:eastAsia="zh-CN" w:bidi="ar-SA"/>
        </w:rPr>
        <w:t>Osinusi</w:t>
      </w:r>
      <w:proofErr w:type="spellEnd"/>
      <w:r w:rsidRPr="00952CB3">
        <w:rPr>
          <w:rFonts w:ascii="Book Antiqua" w:eastAsia="宋体" w:hAnsi="Book Antiqua" w:cs="宋体"/>
          <w:sz w:val="24"/>
          <w:szCs w:val="24"/>
          <w:lang w:eastAsia="zh-CN" w:bidi="ar-SA"/>
        </w:rPr>
        <w:t xml:space="preserve"> A, Sims Z, Nelson A, Meissner EG, Barrett LL, Bon D, Marti MM, Silk R, </w:t>
      </w:r>
      <w:proofErr w:type="spellStart"/>
      <w:r w:rsidRPr="00952CB3">
        <w:rPr>
          <w:rFonts w:ascii="Book Antiqua" w:eastAsia="宋体" w:hAnsi="Book Antiqua" w:cs="宋体"/>
          <w:sz w:val="24"/>
          <w:szCs w:val="24"/>
          <w:lang w:eastAsia="zh-CN" w:bidi="ar-SA"/>
        </w:rPr>
        <w:t>Kotb</w:t>
      </w:r>
      <w:proofErr w:type="spellEnd"/>
      <w:r w:rsidRPr="00952CB3">
        <w:rPr>
          <w:rFonts w:ascii="Book Antiqua" w:eastAsia="宋体" w:hAnsi="Book Antiqua" w:cs="宋体"/>
          <w:sz w:val="24"/>
          <w:szCs w:val="24"/>
          <w:lang w:eastAsia="zh-CN" w:bidi="ar-SA"/>
        </w:rPr>
        <w:t xml:space="preserve"> C, Gross C, </w:t>
      </w:r>
      <w:proofErr w:type="spellStart"/>
      <w:r w:rsidRPr="00952CB3">
        <w:rPr>
          <w:rFonts w:ascii="Book Antiqua" w:eastAsia="宋体" w:hAnsi="Book Antiqua" w:cs="宋体"/>
          <w:sz w:val="24"/>
          <w:szCs w:val="24"/>
          <w:lang w:eastAsia="zh-CN" w:bidi="ar-SA"/>
        </w:rPr>
        <w:t>Jolley</w:t>
      </w:r>
      <w:proofErr w:type="spellEnd"/>
      <w:r w:rsidRPr="00952CB3">
        <w:rPr>
          <w:rFonts w:ascii="Book Antiqua" w:eastAsia="宋体" w:hAnsi="Book Antiqua" w:cs="宋体"/>
          <w:sz w:val="24"/>
          <w:szCs w:val="24"/>
          <w:lang w:eastAsia="zh-CN" w:bidi="ar-SA"/>
        </w:rPr>
        <w:t xml:space="preserve"> TA, </w:t>
      </w:r>
      <w:proofErr w:type="spellStart"/>
      <w:r w:rsidRPr="00952CB3">
        <w:rPr>
          <w:rFonts w:ascii="Book Antiqua" w:eastAsia="宋体" w:hAnsi="Book Antiqua" w:cs="宋体"/>
          <w:sz w:val="24"/>
          <w:szCs w:val="24"/>
          <w:lang w:eastAsia="zh-CN" w:bidi="ar-SA"/>
        </w:rPr>
        <w:t>Sidharthan</w:t>
      </w:r>
      <w:proofErr w:type="spellEnd"/>
      <w:r w:rsidRPr="00952CB3">
        <w:rPr>
          <w:rFonts w:ascii="Book Antiqua" w:eastAsia="宋体" w:hAnsi="Book Antiqua" w:cs="宋体"/>
          <w:sz w:val="24"/>
          <w:szCs w:val="24"/>
          <w:lang w:eastAsia="zh-CN" w:bidi="ar-SA"/>
        </w:rPr>
        <w:t xml:space="preserve"> S, Petersen T, Townsend K, </w:t>
      </w:r>
      <w:proofErr w:type="spellStart"/>
      <w:r w:rsidRPr="00952CB3">
        <w:rPr>
          <w:rFonts w:ascii="Book Antiqua" w:eastAsia="宋体" w:hAnsi="Book Antiqua" w:cs="宋体"/>
          <w:sz w:val="24"/>
          <w:szCs w:val="24"/>
          <w:lang w:eastAsia="zh-CN" w:bidi="ar-SA"/>
        </w:rPr>
        <w:t>Egerson</w:t>
      </w:r>
      <w:proofErr w:type="spellEnd"/>
      <w:r w:rsidRPr="00952CB3">
        <w:rPr>
          <w:rFonts w:ascii="Book Antiqua" w:eastAsia="宋体" w:hAnsi="Book Antiqua" w:cs="宋体"/>
          <w:sz w:val="24"/>
          <w:szCs w:val="24"/>
          <w:lang w:eastAsia="zh-CN" w:bidi="ar-SA"/>
        </w:rPr>
        <w:t xml:space="preserve"> D, </w:t>
      </w:r>
      <w:proofErr w:type="spellStart"/>
      <w:r w:rsidRPr="00952CB3">
        <w:rPr>
          <w:rFonts w:ascii="Book Antiqua" w:eastAsia="宋体" w:hAnsi="Book Antiqua" w:cs="宋体"/>
          <w:sz w:val="24"/>
          <w:szCs w:val="24"/>
          <w:lang w:eastAsia="zh-CN" w:bidi="ar-SA"/>
        </w:rPr>
        <w:t>Kapoor</w:t>
      </w:r>
      <w:proofErr w:type="spellEnd"/>
      <w:r w:rsidRPr="00952CB3">
        <w:rPr>
          <w:rFonts w:ascii="Book Antiqua" w:eastAsia="宋体" w:hAnsi="Book Antiqua" w:cs="宋体"/>
          <w:sz w:val="24"/>
          <w:szCs w:val="24"/>
          <w:lang w:eastAsia="zh-CN" w:bidi="ar-SA"/>
        </w:rPr>
        <w:t xml:space="preserve"> R, </w:t>
      </w:r>
      <w:proofErr w:type="spellStart"/>
      <w:r w:rsidRPr="00952CB3">
        <w:rPr>
          <w:rFonts w:ascii="Book Antiqua" w:eastAsia="宋体" w:hAnsi="Book Antiqua" w:cs="宋体"/>
          <w:sz w:val="24"/>
          <w:szCs w:val="24"/>
          <w:lang w:eastAsia="zh-CN" w:bidi="ar-SA"/>
        </w:rPr>
        <w:t>Spurlin</w:t>
      </w:r>
      <w:proofErr w:type="spellEnd"/>
      <w:r w:rsidRPr="00952CB3">
        <w:rPr>
          <w:rFonts w:ascii="Book Antiqua" w:eastAsia="宋体" w:hAnsi="Book Antiqua" w:cs="宋体"/>
          <w:sz w:val="24"/>
          <w:szCs w:val="24"/>
          <w:lang w:eastAsia="zh-CN" w:bidi="ar-SA"/>
        </w:rPr>
        <w:t xml:space="preserve"> E, </w:t>
      </w:r>
      <w:proofErr w:type="spellStart"/>
      <w:r w:rsidRPr="00952CB3">
        <w:rPr>
          <w:rFonts w:ascii="Book Antiqua" w:eastAsia="宋体" w:hAnsi="Book Antiqua" w:cs="宋体"/>
          <w:sz w:val="24"/>
          <w:szCs w:val="24"/>
          <w:lang w:eastAsia="zh-CN" w:bidi="ar-SA"/>
        </w:rPr>
        <w:t>Sneller</w:t>
      </w:r>
      <w:proofErr w:type="spellEnd"/>
      <w:r w:rsidRPr="00952CB3">
        <w:rPr>
          <w:rFonts w:ascii="Book Antiqua" w:eastAsia="宋体" w:hAnsi="Book Antiqua" w:cs="宋体"/>
          <w:sz w:val="24"/>
          <w:szCs w:val="24"/>
          <w:lang w:eastAsia="zh-CN" w:bidi="ar-SA"/>
        </w:rPr>
        <w:t xml:space="preserve"> M, </w:t>
      </w:r>
      <w:proofErr w:type="spellStart"/>
      <w:r w:rsidRPr="00952CB3">
        <w:rPr>
          <w:rFonts w:ascii="Book Antiqua" w:eastAsia="宋体" w:hAnsi="Book Antiqua" w:cs="宋体"/>
          <w:sz w:val="24"/>
          <w:szCs w:val="24"/>
          <w:lang w:eastAsia="zh-CN" w:bidi="ar-SA"/>
        </w:rPr>
        <w:t>Proschan</w:t>
      </w:r>
      <w:proofErr w:type="spellEnd"/>
      <w:r w:rsidRPr="00952CB3">
        <w:rPr>
          <w:rFonts w:ascii="Book Antiqua" w:eastAsia="宋体" w:hAnsi="Book Antiqua" w:cs="宋体"/>
          <w:sz w:val="24"/>
          <w:szCs w:val="24"/>
          <w:lang w:eastAsia="zh-CN" w:bidi="ar-SA"/>
        </w:rPr>
        <w:t xml:space="preserve"> M, Herrmann E, Kwan R, </w:t>
      </w:r>
      <w:proofErr w:type="spellStart"/>
      <w:r w:rsidRPr="00952CB3">
        <w:rPr>
          <w:rFonts w:ascii="Book Antiqua" w:eastAsia="宋体" w:hAnsi="Book Antiqua" w:cs="宋体"/>
          <w:sz w:val="24"/>
          <w:szCs w:val="24"/>
          <w:lang w:eastAsia="zh-CN" w:bidi="ar-SA"/>
        </w:rPr>
        <w:t>Teferi</w:t>
      </w:r>
      <w:proofErr w:type="spellEnd"/>
      <w:r w:rsidRPr="00952CB3">
        <w:rPr>
          <w:rFonts w:ascii="Book Antiqua" w:eastAsia="宋体" w:hAnsi="Book Antiqua" w:cs="宋体"/>
          <w:sz w:val="24"/>
          <w:szCs w:val="24"/>
          <w:lang w:eastAsia="zh-CN" w:bidi="ar-SA"/>
        </w:rPr>
        <w:t xml:space="preserve"> G, </w:t>
      </w:r>
      <w:proofErr w:type="spellStart"/>
      <w:r w:rsidRPr="00952CB3">
        <w:rPr>
          <w:rFonts w:ascii="Book Antiqua" w:eastAsia="宋体" w:hAnsi="Book Antiqua" w:cs="宋体"/>
          <w:sz w:val="24"/>
          <w:szCs w:val="24"/>
          <w:lang w:eastAsia="zh-CN" w:bidi="ar-SA"/>
        </w:rPr>
        <w:t>Talwani</w:t>
      </w:r>
      <w:proofErr w:type="spellEnd"/>
      <w:r w:rsidRPr="00952CB3">
        <w:rPr>
          <w:rFonts w:ascii="Book Antiqua" w:eastAsia="宋体" w:hAnsi="Book Antiqua" w:cs="宋体"/>
          <w:sz w:val="24"/>
          <w:szCs w:val="24"/>
          <w:lang w:eastAsia="zh-CN" w:bidi="ar-SA"/>
        </w:rPr>
        <w:t xml:space="preserve"> R, Diaz G, </w:t>
      </w:r>
      <w:proofErr w:type="spellStart"/>
      <w:r w:rsidRPr="00952CB3">
        <w:rPr>
          <w:rFonts w:ascii="Book Antiqua" w:eastAsia="宋体" w:hAnsi="Book Antiqua" w:cs="宋体"/>
          <w:sz w:val="24"/>
          <w:szCs w:val="24"/>
          <w:lang w:eastAsia="zh-CN" w:bidi="ar-SA"/>
        </w:rPr>
        <w:t>Kleiner</w:t>
      </w:r>
      <w:proofErr w:type="spellEnd"/>
      <w:r w:rsidRPr="00952CB3">
        <w:rPr>
          <w:rFonts w:ascii="Book Antiqua" w:eastAsia="宋体" w:hAnsi="Book Antiqua" w:cs="宋体"/>
          <w:sz w:val="24"/>
          <w:szCs w:val="24"/>
          <w:lang w:eastAsia="zh-CN" w:bidi="ar-SA"/>
        </w:rPr>
        <w:t xml:space="preserve"> DE, Wood BJ, Chavez J, Abbott S, Symonds WT, Subramanian GM, Pang PS, </w:t>
      </w:r>
      <w:proofErr w:type="spellStart"/>
      <w:r w:rsidRPr="00952CB3">
        <w:rPr>
          <w:rFonts w:ascii="Book Antiqua" w:eastAsia="宋体" w:hAnsi="Book Antiqua" w:cs="宋体"/>
          <w:sz w:val="24"/>
          <w:szCs w:val="24"/>
          <w:lang w:eastAsia="zh-CN" w:bidi="ar-SA"/>
        </w:rPr>
        <w:t>McHutchison</w:t>
      </w:r>
      <w:proofErr w:type="spellEnd"/>
      <w:r w:rsidRPr="00952CB3">
        <w:rPr>
          <w:rFonts w:ascii="Book Antiqua" w:eastAsia="宋体" w:hAnsi="Book Antiqua" w:cs="宋体"/>
          <w:sz w:val="24"/>
          <w:szCs w:val="24"/>
          <w:lang w:eastAsia="zh-CN" w:bidi="ar-SA"/>
        </w:rPr>
        <w:t xml:space="preserve"> J, Polis MA, </w:t>
      </w:r>
      <w:proofErr w:type="spellStart"/>
      <w:r w:rsidRPr="00952CB3">
        <w:rPr>
          <w:rFonts w:ascii="Book Antiqua" w:eastAsia="宋体" w:hAnsi="Book Antiqua" w:cs="宋体"/>
          <w:sz w:val="24"/>
          <w:szCs w:val="24"/>
          <w:lang w:eastAsia="zh-CN" w:bidi="ar-SA"/>
        </w:rPr>
        <w:t>Fauci</w:t>
      </w:r>
      <w:proofErr w:type="spellEnd"/>
      <w:r w:rsidRPr="00952CB3">
        <w:rPr>
          <w:rFonts w:ascii="Book Antiqua" w:eastAsia="宋体" w:hAnsi="Book Antiqua" w:cs="宋体"/>
          <w:sz w:val="24"/>
          <w:szCs w:val="24"/>
          <w:lang w:eastAsia="zh-CN" w:bidi="ar-SA"/>
        </w:rPr>
        <w:t xml:space="preserve"> AS, </w:t>
      </w:r>
      <w:proofErr w:type="spellStart"/>
      <w:r w:rsidRPr="00952CB3">
        <w:rPr>
          <w:rFonts w:ascii="Book Antiqua" w:eastAsia="宋体" w:hAnsi="Book Antiqua" w:cs="宋体"/>
          <w:sz w:val="24"/>
          <w:szCs w:val="24"/>
          <w:lang w:eastAsia="zh-CN" w:bidi="ar-SA"/>
        </w:rPr>
        <w:t>Masur</w:t>
      </w:r>
      <w:proofErr w:type="spellEnd"/>
      <w:r w:rsidRPr="00952CB3">
        <w:rPr>
          <w:rFonts w:ascii="Book Antiqua" w:eastAsia="宋体" w:hAnsi="Book Antiqua" w:cs="宋体"/>
          <w:sz w:val="24"/>
          <w:szCs w:val="24"/>
          <w:lang w:eastAsia="zh-CN" w:bidi="ar-SA"/>
        </w:rPr>
        <w:t xml:space="preserve"> H, </w:t>
      </w:r>
      <w:proofErr w:type="spellStart"/>
      <w:r w:rsidRPr="00952CB3">
        <w:rPr>
          <w:rFonts w:ascii="Book Antiqua" w:eastAsia="宋体" w:hAnsi="Book Antiqua" w:cs="宋体"/>
          <w:sz w:val="24"/>
          <w:szCs w:val="24"/>
          <w:lang w:eastAsia="zh-CN" w:bidi="ar-SA"/>
        </w:rPr>
        <w:t>Kottilil</w:t>
      </w:r>
      <w:proofErr w:type="spellEnd"/>
      <w:r w:rsidRPr="00952CB3">
        <w:rPr>
          <w:rFonts w:ascii="Book Antiqua" w:eastAsia="宋体" w:hAnsi="Book Antiqua" w:cs="宋体"/>
          <w:sz w:val="24"/>
          <w:szCs w:val="24"/>
          <w:lang w:eastAsia="zh-CN" w:bidi="ar-SA"/>
        </w:rPr>
        <w:t xml:space="preserve"> S. </w:t>
      </w:r>
      <w:proofErr w:type="spellStart"/>
      <w:r w:rsidRPr="00952CB3">
        <w:rPr>
          <w:rFonts w:ascii="Book Antiqua" w:eastAsia="宋体" w:hAnsi="Book Antiqua" w:cs="宋体"/>
          <w:sz w:val="24"/>
          <w:szCs w:val="24"/>
          <w:lang w:eastAsia="zh-CN" w:bidi="ar-SA"/>
        </w:rPr>
        <w:t>Virological</w:t>
      </w:r>
      <w:proofErr w:type="spellEnd"/>
      <w:r w:rsidRPr="00952CB3">
        <w:rPr>
          <w:rFonts w:ascii="Book Antiqua" w:eastAsia="宋体" w:hAnsi="Book Antiqua" w:cs="宋体"/>
          <w:sz w:val="24"/>
          <w:szCs w:val="24"/>
          <w:lang w:eastAsia="zh-CN" w:bidi="ar-SA"/>
        </w:rPr>
        <w:t xml:space="preserve"> response after 6 week triple-drug regimens for hepatitis C: a proof-of-concept phase 2A cohort study. </w:t>
      </w:r>
      <w:r w:rsidRPr="00952CB3">
        <w:rPr>
          <w:rFonts w:ascii="Book Antiqua" w:eastAsia="宋体" w:hAnsi="Book Antiqua" w:cs="宋体"/>
          <w:i/>
          <w:iCs/>
          <w:sz w:val="24"/>
          <w:szCs w:val="24"/>
          <w:lang w:eastAsia="zh-CN" w:bidi="ar-SA"/>
        </w:rPr>
        <w:t>Lancet</w:t>
      </w:r>
      <w:r w:rsidRPr="00952CB3">
        <w:rPr>
          <w:rFonts w:ascii="Book Antiqua" w:eastAsia="宋体" w:hAnsi="Book Antiqua" w:cs="宋体"/>
          <w:sz w:val="24"/>
          <w:szCs w:val="24"/>
          <w:lang w:eastAsia="zh-CN" w:bidi="ar-SA"/>
        </w:rPr>
        <w:t xml:space="preserve"> 2015; </w:t>
      </w:r>
      <w:r w:rsidRPr="00952CB3">
        <w:rPr>
          <w:rFonts w:ascii="Book Antiqua" w:eastAsia="宋体" w:hAnsi="Book Antiqua" w:cs="宋体"/>
          <w:b/>
          <w:bCs/>
          <w:sz w:val="24"/>
          <w:szCs w:val="24"/>
          <w:lang w:eastAsia="zh-CN" w:bidi="ar-SA"/>
        </w:rPr>
        <w:t>385</w:t>
      </w:r>
      <w:r w:rsidRPr="00952CB3">
        <w:rPr>
          <w:rFonts w:ascii="Book Antiqua" w:eastAsia="宋体" w:hAnsi="Book Antiqua" w:cs="宋体"/>
          <w:sz w:val="24"/>
          <w:szCs w:val="24"/>
          <w:lang w:eastAsia="zh-CN" w:bidi="ar-SA"/>
        </w:rPr>
        <w:t>: 1107-1113 [PMID: 25591505 DOI</w:t>
      </w:r>
      <w:r>
        <w:rPr>
          <w:rFonts w:ascii="Book Antiqua" w:eastAsia="宋体" w:hAnsi="Book Antiqua" w:cs="宋体"/>
          <w:sz w:val="24"/>
          <w:szCs w:val="24"/>
          <w:lang w:eastAsia="zh-CN" w:bidi="ar-SA"/>
        </w:rPr>
        <w:t>: 10.1016/S0140-6736(14)61228-9</w:t>
      </w:r>
      <w:r w:rsidRPr="00952CB3">
        <w:rPr>
          <w:rFonts w:ascii="Book Antiqua" w:eastAsia="宋体" w:hAnsi="Book Antiqua" w:cs="宋体"/>
          <w:sz w:val="24"/>
          <w:szCs w:val="24"/>
          <w:lang w:eastAsia="zh-CN" w:bidi="ar-SA"/>
        </w:rPr>
        <w:t>]</w:t>
      </w:r>
    </w:p>
    <w:p w14:paraId="4BB05E18" w14:textId="37E13D81"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18 </w:t>
      </w:r>
      <w:r w:rsidRPr="00952CB3">
        <w:rPr>
          <w:rFonts w:ascii="Book Antiqua" w:eastAsia="宋体" w:hAnsi="Book Antiqua" w:cs="宋体"/>
          <w:b/>
          <w:bCs/>
          <w:sz w:val="24"/>
          <w:szCs w:val="24"/>
          <w:lang w:eastAsia="zh-CN" w:bidi="ar-SA"/>
        </w:rPr>
        <w:t>Harrington PR</w:t>
      </w:r>
      <w:r w:rsidRPr="00952CB3">
        <w:rPr>
          <w:rFonts w:ascii="Book Antiqua" w:eastAsia="宋体" w:hAnsi="Book Antiqua" w:cs="宋体"/>
          <w:sz w:val="24"/>
          <w:szCs w:val="24"/>
          <w:lang w:eastAsia="zh-CN" w:bidi="ar-SA"/>
        </w:rPr>
        <w:t xml:space="preserve">, Deming DJ, Komatsu TE, </w:t>
      </w:r>
      <w:proofErr w:type="spellStart"/>
      <w:r w:rsidRPr="00952CB3">
        <w:rPr>
          <w:rFonts w:ascii="Book Antiqua" w:eastAsia="宋体" w:hAnsi="Book Antiqua" w:cs="宋体"/>
          <w:sz w:val="24"/>
          <w:szCs w:val="24"/>
          <w:lang w:eastAsia="zh-CN" w:bidi="ar-SA"/>
        </w:rPr>
        <w:t>Naeger</w:t>
      </w:r>
      <w:proofErr w:type="spellEnd"/>
      <w:r w:rsidRPr="00952CB3">
        <w:rPr>
          <w:rFonts w:ascii="Book Antiqua" w:eastAsia="宋体" w:hAnsi="Book Antiqua" w:cs="宋体"/>
          <w:sz w:val="24"/>
          <w:szCs w:val="24"/>
          <w:lang w:eastAsia="zh-CN" w:bidi="ar-SA"/>
        </w:rPr>
        <w:t xml:space="preserve"> LK. Hepatitis C Virus RNA Levels During Interferon-Free Combination Direct-Acting Antiviral Treatment in </w:t>
      </w:r>
      <w:proofErr w:type="spellStart"/>
      <w:r w:rsidRPr="00952CB3">
        <w:rPr>
          <w:rFonts w:ascii="Book Antiqua" w:eastAsia="宋体" w:hAnsi="Book Antiqua" w:cs="宋体"/>
          <w:sz w:val="24"/>
          <w:szCs w:val="24"/>
          <w:lang w:eastAsia="zh-CN" w:bidi="ar-SA"/>
        </w:rPr>
        <w:t>Registrational</w:t>
      </w:r>
      <w:proofErr w:type="spellEnd"/>
      <w:r w:rsidRPr="00952CB3">
        <w:rPr>
          <w:rFonts w:ascii="Book Antiqua" w:eastAsia="宋体" w:hAnsi="Book Antiqua" w:cs="宋体"/>
          <w:sz w:val="24"/>
          <w:szCs w:val="24"/>
          <w:lang w:eastAsia="zh-CN" w:bidi="ar-SA"/>
        </w:rPr>
        <w:t xml:space="preserve"> Trials. </w:t>
      </w:r>
      <w:proofErr w:type="spellStart"/>
      <w:r w:rsidRPr="00952CB3">
        <w:rPr>
          <w:rFonts w:ascii="Book Antiqua" w:eastAsia="宋体" w:hAnsi="Book Antiqua" w:cs="宋体"/>
          <w:i/>
          <w:iCs/>
          <w:sz w:val="24"/>
          <w:szCs w:val="24"/>
          <w:lang w:eastAsia="zh-CN" w:bidi="ar-SA"/>
        </w:rPr>
        <w:t>Clin</w:t>
      </w:r>
      <w:proofErr w:type="spellEnd"/>
      <w:r w:rsidRPr="00952CB3">
        <w:rPr>
          <w:rFonts w:ascii="Book Antiqua" w:eastAsia="宋体" w:hAnsi="Book Antiqua" w:cs="宋体"/>
          <w:i/>
          <w:iCs/>
          <w:sz w:val="24"/>
          <w:szCs w:val="24"/>
          <w:lang w:eastAsia="zh-CN" w:bidi="ar-SA"/>
        </w:rPr>
        <w:t xml:space="preserve"> Infect Dis</w:t>
      </w:r>
      <w:r w:rsidRPr="00952CB3">
        <w:rPr>
          <w:rFonts w:ascii="Book Antiqua" w:eastAsia="宋体" w:hAnsi="Book Antiqua" w:cs="宋体"/>
          <w:sz w:val="24"/>
          <w:szCs w:val="24"/>
          <w:lang w:eastAsia="zh-CN" w:bidi="ar-SA"/>
        </w:rPr>
        <w:t xml:space="preserve"> 2015; </w:t>
      </w:r>
      <w:r w:rsidRPr="00952CB3">
        <w:rPr>
          <w:rFonts w:ascii="Book Antiqua" w:eastAsia="宋体" w:hAnsi="Book Antiqua" w:cs="宋体"/>
          <w:b/>
          <w:bCs/>
          <w:sz w:val="24"/>
          <w:szCs w:val="24"/>
          <w:lang w:eastAsia="zh-CN" w:bidi="ar-SA"/>
        </w:rPr>
        <w:t>61</w:t>
      </w:r>
      <w:r w:rsidRPr="00952CB3">
        <w:rPr>
          <w:rFonts w:ascii="Book Antiqua" w:eastAsia="宋体" w:hAnsi="Book Antiqua" w:cs="宋体"/>
          <w:sz w:val="24"/>
          <w:szCs w:val="24"/>
          <w:lang w:eastAsia="zh-CN" w:bidi="ar-SA"/>
        </w:rPr>
        <w:t>: 666-667 [PMID: 2</w:t>
      </w:r>
      <w:r>
        <w:rPr>
          <w:rFonts w:ascii="Book Antiqua" w:eastAsia="宋体" w:hAnsi="Book Antiqua" w:cs="宋体"/>
          <w:sz w:val="24"/>
          <w:szCs w:val="24"/>
          <w:lang w:eastAsia="zh-CN" w:bidi="ar-SA"/>
        </w:rPr>
        <w:t>6002846 DOI: 10.1093/</w:t>
      </w:r>
      <w:proofErr w:type="spellStart"/>
      <w:r>
        <w:rPr>
          <w:rFonts w:ascii="Book Antiqua" w:eastAsia="宋体" w:hAnsi="Book Antiqua" w:cs="宋体"/>
          <w:sz w:val="24"/>
          <w:szCs w:val="24"/>
          <w:lang w:eastAsia="zh-CN" w:bidi="ar-SA"/>
        </w:rPr>
        <w:t>cid</w:t>
      </w:r>
      <w:proofErr w:type="spellEnd"/>
      <w:r>
        <w:rPr>
          <w:rFonts w:ascii="Book Antiqua" w:eastAsia="宋体" w:hAnsi="Book Antiqua" w:cs="宋体"/>
          <w:sz w:val="24"/>
          <w:szCs w:val="24"/>
          <w:lang w:eastAsia="zh-CN" w:bidi="ar-SA"/>
        </w:rPr>
        <w:t>/civ402</w:t>
      </w:r>
      <w:r w:rsidRPr="00952CB3">
        <w:rPr>
          <w:rFonts w:ascii="Book Antiqua" w:eastAsia="宋体" w:hAnsi="Book Antiqua" w:cs="宋体"/>
          <w:sz w:val="24"/>
          <w:szCs w:val="24"/>
          <w:lang w:eastAsia="zh-CN" w:bidi="ar-SA"/>
        </w:rPr>
        <w:t>]</w:t>
      </w:r>
    </w:p>
    <w:p w14:paraId="48168C32" w14:textId="053C204E" w:rsidR="00952CB3" w:rsidRPr="00952CB3" w:rsidRDefault="00952CB3" w:rsidP="00952CB3">
      <w:pPr>
        <w:bidi w:val="0"/>
        <w:spacing w:after="0" w:line="360" w:lineRule="auto"/>
        <w:jc w:val="both"/>
        <w:rPr>
          <w:rFonts w:ascii="Book Antiqua" w:eastAsia="宋体" w:hAnsi="Book Antiqua" w:cs="宋体"/>
          <w:sz w:val="24"/>
          <w:szCs w:val="24"/>
          <w:lang w:eastAsia="zh-CN" w:bidi="ar-SA"/>
        </w:rPr>
      </w:pPr>
      <w:r w:rsidRPr="00952CB3">
        <w:rPr>
          <w:rFonts w:ascii="Book Antiqua" w:eastAsia="宋体" w:hAnsi="Book Antiqua" w:cs="宋体"/>
          <w:sz w:val="24"/>
          <w:szCs w:val="24"/>
          <w:lang w:eastAsia="zh-CN" w:bidi="ar-SA"/>
        </w:rPr>
        <w:t xml:space="preserve">19 </w:t>
      </w:r>
      <w:r w:rsidRPr="00FE560D">
        <w:rPr>
          <w:rFonts w:ascii="Book Antiqua" w:hAnsi="Book Antiqua" w:cs="Arial"/>
          <w:b/>
          <w:bCs/>
          <w:sz w:val="24"/>
          <w:szCs w:val="24"/>
        </w:rPr>
        <w:t>Meissner EG</w:t>
      </w:r>
      <w:r w:rsidRPr="00FE560D">
        <w:rPr>
          <w:rFonts w:ascii="Book Antiqua" w:hAnsi="Book Antiqua" w:cs="Arial"/>
          <w:sz w:val="24"/>
          <w:szCs w:val="24"/>
        </w:rPr>
        <w:t xml:space="preserve">, Nelson A, Marti M, </w:t>
      </w:r>
      <w:proofErr w:type="spellStart"/>
      <w:r w:rsidRPr="00FE560D">
        <w:rPr>
          <w:rFonts w:ascii="Book Antiqua" w:hAnsi="Book Antiqua" w:cs="Arial"/>
          <w:sz w:val="24"/>
          <w:szCs w:val="24"/>
        </w:rPr>
        <w:t>Masur</w:t>
      </w:r>
      <w:proofErr w:type="spellEnd"/>
      <w:r w:rsidRPr="00FE560D">
        <w:rPr>
          <w:rFonts w:ascii="Book Antiqua" w:hAnsi="Book Antiqua" w:cs="Arial"/>
          <w:sz w:val="24"/>
          <w:szCs w:val="24"/>
        </w:rPr>
        <w:t xml:space="preserve"> H, </w:t>
      </w:r>
      <w:proofErr w:type="spellStart"/>
      <w:r w:rsidRPr="00FE560D">
        <w:rPr>
          <w:rFonts w:ascii="Book Antiqua" w:hAnsi="Book Antiqua" w:cs="Arial"/>
          <w:sz w:val="24"/>
          <w:szCs w:val="24"/>
        </w:rPr>
        <w:t>Osinusi</w:t>
      </w:r>
      <w:proofErr w:type="spellEnd"/>
      <w:r w:rsidRPr="00FE560D">
        <w:rPr>
          <w:rFonts w:ascii="Book Antiqua" w:hAnsi="Book Antiqua" w:cs="Arial"/>
          <w:sz w:val="24"/>
          <w:szCs w:val="24"/>
        </w:rPr>
        <w:t xml:space="preserve"> A, </w:t>
      </w:r>
      <w:proofErr w:type="spellStart"/>
      <w:r w:rsidRPr="00FE560D">
        <w:rPr>
          <w:rFonts w:ascii="Book Antiqua" w:hAnsi="Book Antiqua" w:cs="Arial"/>
          <w:sz w:val="24"/>
          <w:szCs w:val="24"/>
        </w:rPr>
        <w:t>Kottilil</w:t>
      </w:r>
      <w:proofErr w:type="spellEnd"/>
      <w:r w:rsidRPr="00FE560D">
        <w:rPr>
          <w:rFonts w:ascii="Book Antiqua" w:hAnsi="Book Antiqua" w:cs="Arial"/>
          <w:sz w:val="24"/>
          <w:szCs w:val="24"/>
        </w:rPr>
        <w:t xml:space="preserve"> S</w:t>
      </w:r>
      <w:r w:rsidRPr="00952CB3">
        <w:rPr>
          <w:rFonts w:ascii="Book Antiqua" w:eastAsia="宋体" w:hAnsi="Book Antiqua" w:cs="宋体"/>
          <w:sz w:val="24"/>
          <w:szCs w:val="24"/>
          <w:lang w:eastAsia="zh-CN" w:bidi="ar-SA"/>
        </w:rPr>
        <w:t xml:space="preserve">. Sustained </w:t>
      </w:r>
      <w:proofErr w:type="spellStart"/>
      <w:r w:rsidRPr="00952CB3">
        <w:rPr>
          <w:rFonts w:ascii="Book Antiqua" w:eastAsia="宋体" w:hAnsi="Book Antiqua" w:cs="宋体"/>
          <w:sz w:val="24"/>
          <w:szCs w:val="24"/>
          <w:lang w:eastAsia="zh-CN" w:bidi="ar-SA"/>
        </w:rPr>
        <w:t>Virologic</w:t>
      </w:r>
      <w:proofErr w:type="spellEnd"/>
      <w:r w:rsidRPr="00952CB3">
        <w:rPr>
          <w:rFonts w:ascii="Book Antiqua" w:eastAsia="宋体" w:hAnsi="Book Antiqua" w:cs="宋体"/>
          <w:sz w:val="24"/>
          <w:szCs w:val="24"/>
          <w:lang w:eastAsia="zh-CN" w:bidi="ar-SA"/>
        </w:rPr>
        <w:t xml:space="preserve"> Response for Chronic Hepatitis C Infection after 27 Days of Treatment with </w:t>
      </w:r>
      <w:proofErr w:type="spellStart"/>
      <w:r w:rsidRPr="00952CB3">
        <w:rPr>
          <w:rFonts w:ascii="Book Antiqua" w:eastAsia="宋体" w:hAnsi="Book Antiqua" w:cs="宋体"/>
          <w:sz w:val="24"/>
          <w:szCs w:val="24"/>
          <w:lang w:eastAsia="zh-CN" w:bidi="ar-SA"/>
        </w:rPr>
        <w:t>Sofosbuvir</w:t>
      </w:r>
      <w:proofErr w:type="spellEnd"/>
      <w:r w:rsidRPr="00952CB3">
        <w:rPr>
          <w:rFonts w:ascii="Book Antiqua" w:eastAsia="宋体" w:hAnsi="Book Antiqua" w:cs="宋体"/>
          <w:sz w:val="24"/>
          <w:szCs w:val="24"/>
          <w:lang w:eastAsia="zh-CN" w:bidi="ar-SA"/>
        </w:rPr>
        <w:t xml:space="preserve"> and Ribavirin. </w:t>
      </w:r>
      <w:r w:rsidRPr="00952CB3">
        <w:rPr>
          <w:rFonts w:ascii="Book Antiqua" w:eastAsia="宋体" w:hAnsi="Book Antiqua" w:cs="宋体"/>
          <w:i/>
          <w:iCs/>
          <w:sz w:val="24"/>
          <w:szCs w:val="24"/>
          <w:lang w:eastAsia="zh-CN" w:bidi="ar-SA"/>
        </w:rPr>
        <w:t>Open Forum Infect Dis</w:t>
      </w:r>
      <w:r w:rsidRPr="00952CB3">
        <w:rPr>
          <w:rFonts w:ascii="Book Antiqua" w:eastAsia="宋体" w:hAnsi="Book Antiqua" w:cs="宋体"/>
          <w:sz w:val="24"/>
          <w:szCs w:val="24"/>
          <w:lang w:eastAsia="zh-CN" w:bidi="ar-SA"/>
        </w:rPr>
        <w:t xml:space="preserve"> 2014; </w:t>
      </w:r>
      <w:r w:rsidRPr="00952CB3">
        <w:rPr>
          <w:rFonts w:ascii="Book Antiqua" w:eastAsia="宋体" w:hAnsi="Book Antiqua" w:cs="宋体"/>
          <w:b/>
          <w:bCs/>
          <w:sz w:val="24"/>
          <w:szCs w:val="24"/>
          <w:lang w:eastAsia="zh-CN" w:bidi="ar-SA"/>
        </w:rPr>
        <w:t>1</w:t>
      </w:r>
      <w:r w:rsidRPr="00952CB3">
        <w:rPr>
          <w:rFonts w:ascii="Book Antiqua" w:eastAsia="宋体" w:hAnsi="Book Antiqua" w:cs="宋体"/>
          <w:sz w:val="24"/>
          <w:szCs w:val="24"/>
          <w:lang w:eastAsia="zh-CN" w:bidi="ar-SA"/>
        </w:rPr>
        <w:t>: 013 [PMID: 25411655 DOI: 10.1</w:t>
      </w:r>
      <w:r>
        <w:rPr>
          <w:rFonts w:ascii="Book Antiqua" w:eastAsia="宋体" w:hAnsi="Book Antiqua" w:cs="宋体"/>
          <w:sz w:val="24"/>
          <w:szCs w:val="24"/>
          <w:lang w:eastAsia="zh-CN" w:bidi="ar-SA"/>
        </w:rPr>
        <w:t>093/</w:t>
      </w:r>
      <w:proofErr w:type="spellStart"/>
      <w:r>
        <w:rPr>
          <w:rFonts w:ascii="Book Antiqua" w:eastAsia="宋体" w:hAnsi="Book Antiqua" w:cs="宋体"/>
          <w:sz w:val="24"/>
          <w:szCs w:val="24"/>
          <w:lang w:eastAsia="zh-CN" w:bidi="ar-SA"/>
        </w:rPr>
        <w:t>ofid</w:t>
      </w:r>
      <w:proofErr w:type="spellEnd"/>
      <w:r>
        <w:rPr>
          <w:rFonts w:ascii="Book Antiqua" w:eastAsia="宋体" w:hAnsi="Book Antiqua" w:cs="宋体"/>
          <w:sz w:val="24"/>
          <w:szCs w:val="24"/>
          <w:lang w:eastAsia="zh-CN" w:bidi="ar-SA"/>
        </w:rPr>
        <w:t>/ofu013</w:t>
      </w:r>
      <w:r w:rsidRPr="00952CB3">
        <w:rPr>
          <w:rFonts w:ascii="Book Antiqua" w:eastAsia="宋体" w:hAnsi="Book Antiqua" w:cs="宋体"/>
          <w:sz w:val="24"/>
          <w:szCs w:val="24"/>
          <w:lang w:eastAsia="zh-CN" w:bidi="ar-SA"/>
        </w:rPr>
        <w:t>]</w:t>
      </w:r>
    </w:p>
    <w:p w14:paraId="77C44A01" w14:textId="77777777" w:rsidR="004D2D59" w:rsidRPr="00952CB3" w:rsidRDefault="004D2D59" w:rsidP="00952CB3">
      <w:pPr>
        <w:bidi w:val="0"/>
        <w:spacing w:after="0" w:line="360" w:lineRule="auto"/>
        <w:jc w:val="both"/>
        <w:rPr>
          <w:rFonts w:ascii="Book Antiqua" w:hAnsi="Book Antiqua" w:cs="Times New Roman"/>
          <w:sz w:val="24"/>
          <w:szCs w:val="24"/>
          <w:lang w:eastAsia="zh-CN"/>
        </w:rPr>
      </w:pPr>
    </w:p>
    <w:p w14:paraId="5390E910" w14:textId="2A17DA3D" w:rsidR="004D2D59" w:rsidRPr="00952CB3" w:rsidRDefault="004D2D59" w:rsidP="00952CB3">
      <w:pPr>
        <w:bidi w:val="0"/>
        <w:spacing w:after="0" w:line="360" w:lineRule="auto"/>
        <w:jc w:val="right"/>
        <w:rPr>
          <w:rFonts w:ascii="Book Antiqua" w:hAnsi="Book Antiqua" w:cs="Times New Roman"/>
          <w:sz w:val="24"/>
          <w:szCs w:val="24"/>
          <w:lang w:eastAsia="zh-CN"/>
        </w:rPr>
      </w:pPr>
      <w:r w:rsidRPr="00952CB3">
        <w:rPr>
          <w:rFonts w:ascii="Book Antiqua" w:hAnsi="Book Antiqua"/>
          <w:b/>
          <w:sz w:val="24"/>
          <w:szCs w:val="24"/>
        </w:rPr>
        <w:t>P-Reviewer:</w:t>
      </w:r>
      <w:r w:rsidR="00CB42B6" w:rsidRPr="00952CB3">
        <w:rPr>
          <w:rFonts w:ascii="Book Antiqua" w:hAnsi="Book Antiqua"/>
          <w:color w:val="000000"/>
          <w:sz w:val="24"/>
          <w:szCs w:val="24"/>
        </w:rPr>
        <w:t xml:space="preserve"> Jiang</w:t>
      </w:r>
      <w:r w:rsidR="00CB42B6" w:rsidRPr="00952CB3">
        <w:rPr>
          <w:rFonts w:ascii="Book Antiqua" w:hAnsi="Book Antiqua"/>
          <w:color w:val="000000"/>
          <w:sz w:val="24"/>
          <w:szCs w:val="24"/>
          <w:lang w:eastAsia="zh-CN"/>
        </w:rPr>
        <w:t xml:space="preserve"> W, </w:t>
      </w:r>
      <w:proofErr w:type="spellStart"/>
      <w:r w:rsidR="00CB42B6" w:rsidRPr="00952CB3">
        <w:rPr>
          <w:rFonts w:ascii="Book Antiqua" w:hAnsi="Book Antiqua"/>
          <w:color w:val="000000"/>
          <w:sz w:val="24"/>
          <w:szCs w:val="24"/>
        </w:rPr>
        <w:t>Preda</w:t>
      </w:r>
      <w:proofErr w:type="spellEnd"/>
      <w:r w:rsidR="00CB42B6" w:rsidRPr="00952CB3">
        <w:rPr>
          <w:rFonts w:ascii="Book Antiqua" w:hAnsi="Book Antiqua"/>
          <w:color w:val="000000"/>
          <w:sz w:val="24"/>
          <w:szCs w:val="24"/>
          <w:lang w:eastAsia="zh-CN"/>
        </w:rPr>
        <w:t xml:space="preserve"> CM, </w:t>
      </w:r>
      <w:proofErr w:type="spellStart"/>
      <w:r w:rsidR="00CB42B6" w:rsidRPr="00952CB3">
        <w:rPr>
          <w:rFonts w:ascii="Book Antiqua" w:hAnsi="Book Antiqua"/>
          <w:color w:val="000000"/>
          <w:sz w:val="24"/>
          <w:szCs w:val="24"/>
        </w:rPr>
        <w:t>Sirin</w:t>
      </w:r>
      <w:proofErr w:type="spellEnd"/>
      <w:r w:rsidR="00CB42B6" w:rsidRPr="00952CB3">
        <w:rPr>
          <w:rFonts w:ascii="Book Antiqua" w:hAnsi="Book Antiqua"/>
          <w:color w:val="000000"/>
          <w:sz w:val="24"/>
          <w:szCs w:val="24"/>
          <w:lang w:eastAsia="zh-CN"/>
        </w:rPr>
        <w:t xml:space="preserve"> G, </w:t>
      </w:r>
      <w:r w:rsidR="00CB42B6" w:rsidRPr="00952CB3">
        <w:rPr>
          <w:rFonts w:ascii="Book Antiqua" w:hAnsi="Book Antiqua"/>
          <w:color w:val="000000"/>
          <w:sz w:val="24"/>
          <w:szCs w:val="24"/>
        </w:rPr>
        <w:t>Silva</w:t>
      </w:r>
      <w:r w:rsidR="00CB42B6" w:rsidRPr="00952CB3">
        <w:rPr>
          <w:rFonts w:ascii="Book Antiqua" w:hAnsi="Book Antiqua"/>
          <w:color w:val="000000"/>
          <w:sz w:val="24"/>
          <w:szCs w:val="24"/>
          <w:lang w:eastAsia="zh-CN"/>
        </w:rPr>
        <w:t xml:space="preserve"> LD</w:t>
      </w:r>
      <w:r w:rsidRPr="00952CB3">
        <w:rPr>
          <w:rFonts w:ascii="Book Antiqua" w:hAnsi="Book Antiqua"/>
          <w:b/>
          <w:sz w:val="24"/>
          <w:szCs w:val="24"/>
        </w:rPr>
        <w:t xml:space="preserve"> S-Editor: </w:t>
      </w:r>
      <w:r w:rsidRPr="00952CB3">
        <w:rPr>
          <w:rFonts w:ascii="Book Antiqua" w:hAnsi="Book Antiqua"/>
          <w:sz w:val="24"/>
          <w:szCs w:val="24"/>
        </w:rPr>
        <w:t>Ji FF</w:t>
      </w:r>
      <w:r w:rsidRPr="00952CB3">
        <w:rPr>
          <w:rFonts w:ascii="Book Antiqua" w:hAnsi="Book Antiqua"/>
          <w:b/>
          <w:sz w:val="24"/>
          <w:szCs w:val="24"/>
        </w:rPr>
        <w:t xml:space="preserve"> L-Editor: E-Editor:</w:t>
      </w:r>
    </w:p>
    <w:p w14:paraId="3F29BE61" w14:textId="2B04B8DA" w:rsidR="00793A38" w:rsidRPr="00952CB3" w:rsidRDefault="00793A38" w:rsidP="00952CB3">
      <w:pPr>
        <w:bidi w:val="0"/>
        <w:spacing w:after="0" w:line="360" w:lineRule="auto"/>
        <w:jc w:val="both"/>
        <w:rPr>
          <w:rFonts w:ascii="Book Antiqua" w:hAnsi="Book Antiqua" w:cs="Times New Roman"/>
          <w:color w:val="222222"/>
          <w:sz w:val="24"/>
          <w:szCs w:val="24"/>
          <w:shd w:val="clear" w:color="auto" w:fill="FFFFFF"/>
          <w:lang w:eastAsia="zh-CN"/>
        </w:rPr>
      </w:pPr>
      <w:r w:rsidRPr="00952CB3">
        <w:rPr>
          <w:rFonts w:ascii="Book Antiqua" w:hAnsi="Book Antiqua" w:cs="Times New Roman"/>
          <w:color w:val="222222"/>
          <w:sz w:val="24"/>
          <w:szCs w:val="24"/>
          <w:shd w:val="clear" w:color="auto" w:fill="FFFFFF"/>
          <w:lang w:eastAsia="zh-CN"/>
        </w:rPr>
        <w:br w:type="page"/>
      </w:r>
    </w:p>
    <w:p w14:paraId="17E1F33F" w14:textId="03B86451" w:rsidR="00793A38" w:rsidRDefault="00793A38" w:rsidP="00793A38">
      <w:pPr>
        <w:widowControl w:val="0"/>
        <w:autoSpaceDE w:val="0"/>
        <w:autoSpaceDN w:val="0"/>
        <w:bidi w:val="0"/>
        <w:adjustRightInd w:val="0"/>
        <w:spacing w:after="0" w:line="240" w:lineRule="auto"/>
        <w:rPr>
          <w:rFonts w:ascii="Calibri,Bold" w:hAnsi="Calibri,Bold" w:cs="Calibri,Bold"/>
          <w:b/>
          <w:bCs/>
          <w:sz w:val="28"/>
          <w:szCs w:val="28"/>
          <w:lang w:eastAsia="zh-CN" w:bidi="ar-SA"/>
        </w:rPr>
      </w:pPr>
      <w:r>
        <w:rPr>
          <w:noProof/>
          <w:lang w:eastAsia="zh-CN" w:bidi="ar-SA"/>
        </w:rPr>
        <w:lastRenderedPageBreak/>
        <w:drawing>
          <wp:inline distT="0" distB="0" distL="0" distR="0" wp14:anchorId="53ED21FC" wp14:editId="0685A455">
            <wp:extent cx="3099460" cy="17240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0728" cy="1724780"/>
                    </a:xfrm>
                    <a:prstGeom prst="rect">
                      <a:avLst/>
                    </a:prstGeom>
                  </pic:spPr>
                </pic:pic>
              </a:graphicData>
            </a:graphic>
          </wp:inline>
        </w:drawing>
      </w:r>
    </w:p>
    <w:p w14:paraId="16558E42" w14:textId="5F8ECF4E" w:rsidR="00793A38" w:rsidRDefault="00793A38" w:rsidP="00793A38">
      <w:pPr>
        <w:widowControl w:val="0"/>
        <w:autoSpaceDE w:val="0"/>
        <w:autoSpaceDN w:val="0"/>
        <w:bidi w:val="0"/>
        <w:adjustRightInd w:val="0"/>
        <w:spacing w:after="0" w:line="240" w:lineRule="auto"/>
        <w:rPr>
          <w:rFonts w:ascii="Calibri,Bold" w:hAnsi="Calibri,Bold" w:cs="Calibri,Bold"/>
          <w:b/>
          <w:bCs/>
          <w:sz w:val="28"/>
          <w:szCs w:val="28"/>
          <w:lang w:eastAsia="zh-CN" w:bidi="ar-SA"/>
        </w:rPr>
      </w:pPr>
      <w:r>
        <w:rPr>
          <w:noProof/>
          <w:lang w:eastAsia="zh-CN" w:bidi="ar-SA"/>
        </w:rPr>
        <w:drawing>
          <wp:inline distT="0" distB="0" distL="0" distR="0" wp14:anchorId="04B3D634" wp14:editId="6D9AEBFD">
            <wp:extent cx="3099685" cy="1704109"/>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02119" cy="1705447"/>
                    </a:xfrm>
                    <a:prstGeom prst="rect">
                      <a:avLst/>
                    </a:prstGeom>
                  </pic:spPr>
                </pic:pic>
              </a:graphicData>
            </a:graphic>
          </wp:inline>
        </w:drawing>
      </w:r>
    </w:p>
    <w:p w14:paraId="74D32960" w14:textId="4C9DC089" w:rsidR="004B2C25" w:rsidRPr="004B2C25" w:rsidRDefault="00793A38" w:rsidP="004B2C25">
      <w:pPr>
        <w:widowControl w:val="0"/>
        <w:autoSpaceDE w:val="0"/>
        <w:autoSpaceDN w:val="0"/>
        <w:bidi w:val="0"/>
        <w:adjustRightInd w:val="0"/>
        <w:spacing w:after="0" w:line="360" w:lineRule="auto"/>
        <w:jc w:val="both"/>
        <w:rPr>
          <w:rFonts w:ascii="Book Antiqua" w:hAnsi="Book Antiqua" w:cs="Calibri"/>
          <w:sz w:val="24"/>
          <w:szCs w:val="24"/>
          <w:lang w:eastAsia="zh-CN" w:bidi="ar-SA"/>
        </w:rPr>
      </w:pPr>
      <w:r w:rsidRPr="004B2C25">
        <w:rPr>
          <w:rFonts w:ascii="Book Antiqua" w:hAnsi="Book Antiqua" w:cs="Calibri,Bold"/>
          <w:b/>
          <w:bCs/>
          <w:sz w:val="24"/>
          <w:szCs w:val="24"/>
          <w:lang w:bidi="ar-SA"/>
        </w:rPr>
        <w:t>Figure 1 Change in laboratories in relation to antiviral therapy</w:t>
      </w:r>
      <w:r w:rsidRPr="004B2C25">
        <w:rPr>
          <w:rFonts w:ascii="Book Antiqua" w:hAnsi="Book Antiqua" w:cs="Calibri,Bold"/>
          <w:b/>
          <w:bCs/>
          <w:sz w:val="24"/>
          <w:szCs w:val="24"/>
          <w:lang w:eastAsia="zh-CN" w:bidi="ar-SA"/>
        </w:rPr>
        <w:t xml:space="preserve"> (A) and in </w:t>
      </w:r>
      <w:r w:rsidRPr="004B2C25">
        <w:rPr>
          <w:rFonts w:ascii="Book Antiqua" w:hAnsi="Book Antiqua" w:cs="Calibri,Bold"/>
          <w:b/>
          <w:bCs/>
          <w:sz w:val="24"/>
          <w:szCs w:val="24"/>
          <w:lang w:bidi="ar-SA"/>
        </w:rPr>
        <w:t>aminotransferase and Alkaline Phosphate levels over time</w:t>
      </w:r>
      <w:r w:rsidRPr="004B2C25">
        <w:rPr>
          <w:rFonts w:ascii="Book Antiqua" w:hAnsi="Book Antiqua" w:cs="Calibri,Bold"/>
          <w:b/>
          <w:bCs/>
          <w:sz w:val="24"/>
          <w:szCs w:val="24"/>
          <w:lang w:eastAsia="zh-CN" w:bidi="ar-SA"/>
        </w:rPr>
        <w:t xml:space="preserve"> (B)</w:t>
      </w:r>
      <w:r w:rsidRPr="004B2C25">
        <w:rPr>
          <w:rFonts w:ascii="Book Antiqua" w:hAnsi="Book Antiqua" w:cs="Calibri"/>
          <w:sz w:val="24"/>
          <w:szCs w:val="24"/>
          <w:lang w:bidi="ar-SA"/>
        </w:rPr>
        <w:t xml:space="preserve">. </w:t>
      </w:r>
      <w:r w:rsidRPr="004B2C25">
        <w:rPr>
          <w:rFonts w:ascii="Book Antiqua" w:hAnsi="Book Antiqua" w:cs="Calibri"/>
          <w:sz w:val="24"/>
          <w:szCs w:val="24"/>
          <w:lang w:eastAsia="zh-CN" w:bidi="ar-SA"/>
        </w:rPr>
        <w:t xml:space="preserve">A: </w:t>
      </w:r>
      <w:r w:rsidRPr="004B2C25">
        <w:rPr>
          <w:rFonts w:ascii="Book Antiqua" w:hAnsi="Book Antiqua" w:cs="Calibri,Bold"/>
          <w:bCs/>
          <w:sz w:val="24"/>
          <w:szCs w:val="24"/>
          <w:lang w:bidi="ar-SA"/>
        </w:rPr>
        <w:t>Change in laboratories in relation to antiviral therapy</w:t>
      </w:r>
      <w:r w:rsidRPr="004B2C25">
        <w:rPr>
          <w:rFonts w:ascii="Book Antiqua" w:hAnsi="Book Antiqua" w:cs="Calibri"/>
          <w:sz w:val="24"/>
          <w:szCs w:val="24"/>
          <w:lang w:bidi="ar-SA"/>
        </w:rPr>
        <w:t xml:space="preserve">. Shortly after initiation of </w:t>
      </w:r>
      <w:proofErr w:type="spellStart"/>
      <w:r w:rsidRPr="004B2C25">
        <w:rPr>
          <w:rFonts w:ascii="Book Antiqua" w:hAnsi="Book Antiqua" w:cs="Calibri"/>
          <w:sz w:val="24"/>
          <w:szCs w:val="24"/>
          <w:lang w:bidi="ar-SA"/>
        </w:rPr>
        <w:t>hepatitisC</w:t>
      </w:r>
      <w:proofErr w:type="spellEnd"/>
      <w:r w:rsidRPr="004B2C25">
        <w:rPr>
          <w:rFonts w:ascii="Book Antiqua" w:hAnsi="Book Antiqua" w:cs="Calibri"/>
          <w:sz w:val="24"/>
          <w:szCs w:val="24"/>
          <w:lang w:bidi="ar-SA"/>
        </w:rPr>
        <w:t xml:space="preserve"> treatment, and after 4 </w:t>
      </w:r>
      <w:proofErr w:type="spellStart"/>
      <w:r w:rsidRPr="004B2C25">
        <w:rPr>
          <w:rFonts w:ascii="Book Antiqua" w:hAnsi="Book Antiqua" w:cs="Calibri"/>
          <w:sz w:val="24"/>
          <w:szCs w:val="24"/>
          <w:lang w:bidi="ar-SA"/>
        </w:rPr>
        <w:t>mo</w:t>
      </w:r>
      <w:proofErr w:type="spellEnd"/>
      <w:r w:rsidRPr="004B2C25">
        <w:rPr>
          <w:rFonts w:ascii="Book Antiqua" w:hAnsi="Book Antiqua" w:cs="Calibri"/>
          <w:sz w:val="24"/>
          <w:szCs w:val="24"/>
          <w:lang w:bidi="ar-SA"/>
        </w:rPr>
        <w:t xml:space="preserve"> of stable levels, laboratory values de</w:t>
      </w:r>
      <w:r w:rsidR="004B2C25" w:rsidRPr="004B2C25">
        <w:rPr>
          <w:rFonts w:ascii="Book Antiqua" w:hAnsi="Book Antiqua" w:cs="Calibri"/>
          <w:sz w:val="24"/>
          <w:szCs w:val="24"/>
          <w:lang w:bidi="ar-SA"/>
        </w:rPr>
        <w:t>teriorated indicating a decline</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 xml:space="preserve">in hepatic synthetic function; peak bilirubin </w:t>
      </w:r>
      <w:r w:rsidR="004B2C25" w:rsidRPr="004B2C25">
        <w:rPr>
          <w:rFonts w:ascii="Book Antiqua" w:hAnsi="Book Antiqua" w:cs="Calibri" w:hint="eastAsia"/>
          <w:sz w:val="24"/>
          <w:szCs w:val="24"/>
          <w:lang w:eastAsia="zh-CN" w:bidi="ar-SA"/>
        </w:rPr>
        <w:t>-</w:t>
      </w:r>
      <w:r w:rsidRPr="004B2C25">
        <w:rPr>
          <w:rFonts w:ascii="Book Antiqua" w:hAnsi="Book Antiqua" w:cs="Calibri"/>
          <w:sz w:val="24"/>
          <w:szCs w:val="24"/>
          <w:lang w:bidi="ar-SA"/>
        </w:rPr>
        <w:t xml:space="preserve"> 23 mg/</w:t>
      </w:r>
      <w:proofErr w:type="spellStart"/>
      <w:r w:rsidRPr="004B2C25">
        <w:rPr>
          <w:rFonts w:ascii="Book Antiqua" w:hAnsi="Book Antiqua" w:cs="Calibri"/>
          <w:sz w:val="24"/>
          <w:szCs w:val="24"/>
          <w:lang w:bidi="ar-SA"/>
        </w:rPr>
        <w:t>d</w:t>
      </w:r>
      <w:r w:rsidR="004B2C25" w:rsidRPr="004B2C25">
        <w:rPr>
          <w:rFonts w:ascii="Book Antiqua" w:hAnsi="Book Antiqua" w:cs="Calibri"/>
          <w:sz w:val="24"/>
          <w:szCs w:val="24"/>
          <w:lang w:bidi="ar-SA"/>
        </w:rPr>
        <w:t>L</w:t>
      </w:r>
      <w:proofErr w:type="spellEnd"/>
      <w:r w:rsidRPr="004B2C25">
        <w:rPr>
          <w:rFonts w:ascii="Book Antiqua" w:hAnsi="Book Antiqua" w:cs="Calibri"/>
          <w:sz w:val="24"/>
          <w:szCs w:val="24"/>
          <w:lang w:bidi="ar-SA"/>
        </w:rPr>
        <w:t xml:space="preserve">, PT/INR </w:t>
      </w:r>
      <w:r w:rsidR="004B2C25" w:rsidRPr="004B2C25">
        <w:rPr>
          <w:rFonts w:ascii="Book Antiqua" w:hAnsi="Book Antiqua" w:cs="Calibri" w:hint="eastAsia"/>
          <w:sz w:val="24"/>
          <w:szCs w:val="24"/>
          <w:lang w:eastAsia="zh-CN" w:bidi="ar-SA"/>
        </w:rPr>
        <w:t>-</w:t>
      </w:r>
      <w:r w:rsidRPr="004B2C25">
        <w:rPr>
          <w:rFonts w:ascii="Book Antiqua" w:hAnsi="Book Antiqua" w:cs="Calibri"/>
          <w:sz w:val="24"/>
          <w:szCs w:val="24"/>
          <w:lang w:bidi="ar-SA"/>
        </w:rPr>
        <w:t xml:space="preserve"> 1</w:t>
      </w:r>
      <w:r w:rsidR="004B2C25" w:rsidRPr="004B2C25">
        <w:rPr>
          <w:rFonts w:ascii="Book Antiqua" w:hAnsi="Book Antiqua" w:cs="Calibri"/>
          <w:sz w:val="24"/>
          <w:szCs w:val="24"/>
          <w:lang w:bidi="ar-SA"/>
        </w:rPr>
        <w:t>.65, lactate-2.44 mg/</w:t>
      </w:r>
      <w:proofErr w:type="spellStart"/>
      <w:r w:rsidR="004B2C25" w:rsidRPr="004B2C25">
        <w:rPr>
          <w:rFonts w:ascii="Book Antiqua" w:hAnsi="Book Antiqua" w:cs="Calibri"/>
          <w:sz w:val="24"/>
          <w:szCs w:val="24"/>
          <w:lang w:bidi="ar-SA"/>
        </w:rPr>
        <w:t>dL</w:t>
      </w:r>
      <w:proofErr w:type="spellEnd"/>
      <w:r w:rsidR="004B2C25" w:rsidRPr="004B2C25">
        <w:rPr>
          <w:rFonts w:ascii="Book Antiqua" w:hAnsi="Book Antiqua" w:cs="Calibri"/>
          <w:sz w:val="24"/>
          <w:szCs w:val="24"/>
          <w:lang w:bidi="ar-SA"/>
        </w:rPr>
        <w:t>, lowest</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albumin</w:t>
      </w:r>
      <w:r w:rsidR="007524AE">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w:t>
      </w:r>
      <w:r w:rsidR="007524AE">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2.5 g/L. Shortly after treatment discontinuation, labor</w:t>
      </w:r>
      <w:r w:rsidR="004B2C25" w:rsidRPr="004B2C25">
        <w:rPr>
          <w:rFonts w:ascii="Book Antiqua" w:hAnsi="Book Antiqua" w:cs="Calibri"/>
          <w:sz w:val="24"/>
          <w:szCs w:val="24"/>
          <w:lang w:bidi="ar-SA"/>
        </w:rPr>
        <w:t>atory values slowly returned to</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baseline</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Bold"/>
          <w:bCs/>
          <w:sz w:val="24"/>
          <w:szCs w:val="24"/>
          <w:lang w:bidi="ar-SA"/>
        </w:rPr>
        <w:t xml:space="preserve">B: Change in aminotransferase and </w:t>
      </w:r>
      <w:r w:rsidR="004B2C25" w:rsidRPr="004B2C25">
        <w:rPr>
          <w:rFonts w:ascii="Book Antiqua" w:hAnsi="Book Antiqua" w:cs="Calibri,Bold"/>
          <w:bCs/>
          <w:sz w:val="24"/>
          <w:szCs w:val="24"/>
          <w:lang w:bidi="ar-SA"/>
        </w:rPr>
        <w:t>alkaline phosphate</w:t>
      </w:r>
      <w:r w:rsidRPr="004B2C25">
        <w:rPr>
          <w:rFonts w:ascii="Book Antiqua" w:hAnsi="Book Antiqua" w:cs="Calibri,Bold"/>
          <w:bCs/>
          <w:sz w:val="24"/>
          <w:szCs w:val="24"/>
          <w:lang w:bidi="ar-SA"/>
        </w:rPr>
        <w:t xml:space="preserve"> levels over time. </w:t>
      </w:r>
      <w:r w:rsidRPr="004B2C25">
        <w:rPr>
          <w:rFonts w:ascii="Book Antiqua" w:hAnsi="Book Antiqua" w:cs="Calibri"/>
          <w:sz w:val="24"/>
          <w:szCs w:val="24"/>
          <w:lang w:bidi="ar-SA"/>
        </w:rPr>
        <w:t>There was a spike</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in aminotransferase levels after the TACE procedure. Following HCV treatment initiation,</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aminotransferase levels declined over time, reaching plateau levels of AST = 40 U/L and ALT = 25 U/L.</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Aminotransferase levels remained stable when total bilirubin and PT/INR levels increased (shown in</w:t>
      </w:r>
      <w:r w:rsidR="004B2C25" w:rsidRPr="004B2C25">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Figure 1</w:t>
      </w:r>
      <w:r w:rsidR="004B2C25" w:rsidRPr="004B2C25">
        <w:rPr>
          <w:rFonts w:ascii="Book Antiqua" w:hAnsi="Book Antiqua" w:cs="Calibri"/>
          <w:sz w:val="24"/>
          <w:szCs w:val="24"/>
          <w:lang w:bidi="ar-SA"/>
        </w:rPr>
        <w:t>A</w:t>
      </w:r>
      <w:r w:rsidRPr="004B2C25">
        <w:rPr>
          <w:rFonts w:ascii="Book Antiqua" w:hAnsi="Book Antiqua" w:cs="Calibri"/>
          <w:sz w:val="24"/>
          <w:szCs w:val="24"/>
          <w:lang w:bidi="ar-SA"/>
        </w:rPr>
        <w:t xml:space="preserve"> above).</w:t>
      </w:r>
      <w:r w:rsidR="00495DF8">
        <w:rPr>
          <w:rFonts w:ascii="Book Antiqua" w:hAnsi="Book Antiqua" w:cs="Calibri" w:hint="eastAsia"/>
          <w:sz w:val="24"/>
          <w:szCs w:val="24"/>
          <w:lang w:eastAsia="zh-CN" w:bidi="ar-SA"/>
        </w:rPr>
        <w:t xml:space="preserve"> AST: </w:t>
      </w:r>
      <w:r w:rsidR="00497F5C" w:rsidRPr="00497F5C">
        <w:rPr>
          <w:rFonts w:ascii="Book Antiqua" w:hAnsi="Book Antiqua" w:cs="Times New Roman"/>
          <w:sz w:val="24"/>
          <w:szCs w:val="24"/>
        </w:rPr>
        <w:t>Aspartate transaminase</w:t>
      </w:r>
      <w:r w:rsidR="00497F5C" w:rsidRPr="00497F5C">
        <w:rPr>
          <w:rFonts w:ascii="Book Antiqua" w:hAnsi="Book Antiqua" w:cs="Times New Roman" w:hint="eastAsia"/>
          <w:sz w:val="24"/>
          <w:szCs w:val="24"/>
        </w:rPr>
        <w:t xml:space="preserve">; </w:t>
      </w:r>
      <w:r w:rsidR="00495DF8" w:rsidRPr="00497F5C">
        <w:rPr>
          <w:rFonts w:ascii="Book Antiqua" w:hAnsi="Book Antiqua" w:cs="Times New Roman" w:hint="eastAsia"/>
          <w:sz w:val="24"/>
          <w:szCs w:val="24"/>
        </w:rPr>
        <w:t>ALT:</w:t>
      </w:r>
      <w:r w:rsidR="00497F5C" w:rsidRPr="00497F5C">
        <w:rPr>
          <w:rFonts w:ascii="Book Antiqua" w:hAnsi="Book Antiqua" w:cs="Times New Roman"/>
          <w:sz w:val="24"/>
          <w:szCs w:val="24"/>
        </w:rPr>
        <w:t xml:space="preserve"> Alanine aminotransferase</w:t>
      </w:r>
      <w:r w:rsidR="00497F5C" w:rsidRPr="00497F5C">
        <w:rPr>
          <w:rFonts w:ascii="Book Antiqua" w:hAnsi="Book Antiqua" w:cs="Times New Roman" w:hint="eastAsia"/>
          <w:sz w:val="24"/>
          <w:szCs w:val="24"/>
        </w:rPr>
        <w:t>;</w:t>
      </w:r>
      <w:r w:rsidR="00495DF8" w:rsidRPr="00497F5C">
        <w:rPr>
          <w:rFonts w:ascii="Book Antiqua" w:hAnsi="Book Antiqua" w:cs="Times New Roman" w:hint="eastAsia"/>
          <w:sz w:val="24"/>
          <w:szCs w:val="24"/>
        </w:rPr>
        <w:t xml:space="preserve"> </w:t>
      </w:r>
      <w:r w:rsidR="00495DF8">
        <w:rPr>
          <w:rFonts w:ascii="Book Antiqua" w:hAnsi="Book Antiqua" w:cs="Calibri" w:hint="eastAsia"/>
          <w:sz w:val="24"/>
          <w:szCs w:val="24"/>
          <w:lang w:eastAsia="zh-CN" w:bidi="ar-SA"/>
        </w:rPr>
        <w:t>TACE:</w:t>
      </w:r>
      <w:r w:rsidR="00F46D90" w:rsidRPr="00F46D90">
        <w:rPr>
          <w:rFonts w:ascii="Book Antiqua" w:hAnsi="Book Antiqua" w:cs="Times New Roman"/>
          <w:sz w:val="24"/>
          <w:szCs w:val="24"/>
        </w:rPr>
        <w:t xml:space="preserve"> </w:t>
      </w:r>
      <w:proofErr w:type="spellStart"/>
      <w:r w:rsidR="00F46D90" w:rsidRPr="004F297D">
        <w:rPr>
          <w:rFonts w:ascii="Book Antiqua" w:hAnsi="Book Antiqua" w:cs="Times New Roman"/>
          <w:sz w:val="24"/>
          <w:szCs w:val="24"/>
        </w:rPr>
        <w:t>Transcatheter</w:t>
      </w:r>
      <w:proofErr w:type="spellEnd"/>
      <w:r w:rsidR="00F46D90" w:rsidRPr="004F297D">
        <w:rPr>
          <w:rFonts w:ascii="Book Antiqua" w:hAnsi="Book Antiqua" w:cs="Times New Roman"/>
          <w:sz w:val="24"/>
          <w:szCs w:val="24"/>
        </w:rPr>
        <w:t xml:space="preserve"> arterial chemoembolization</w:t>
      </w:r>
      <w:r w:rsidR="00F46D90">
        <w:rPr>
          <w:rFonts w:ascii="Book Antiqua" w:hAnsi="Book Antiqua" w:cs="Times New Roman" w:hint="eastAsia"/>
          <w:sz w:val="24"/>
          <w:szCs w:val="24"/>
          <w:lang w:eastAsia="zh-CN"/>
        </w:rPr>
        <w:t>;</w:t>
      </w:r>
      <w:r w:rsidR="00495DF8">
        <w:rPr>
          <w:rFonts w:ascii="Book Antiqua" w:hAnsi="Book Antiqua" w:cs="Calibri" w:hint="eastAsia"/>
          <w:sz w:val="24"/>
          <w:szCs w:val="24"/>
          <w:lang w:eastAsia="zh-CN" w:bidi="ar-SA"/>
        </w:rPr>
        <w:t xml:space="preserve"> INR: </w:t>
      </w:r>
      <w:r w:rsidR="00F46D90" w:rsidRPr="004F297D">
        <w:rPr>
          <w:rFonts w:ascii="Book Antiqua" w:eastAsia="Times New Roman" w:hAnsi="Book Antiqua" w:cs="Times New Roman"/>
          <w:sz w:val="24"/>
          <w:szCs w:val="24"/>
        </w:rPr>
        <w:t>International normalized ratio</w:t>
      </w:r>
      <w:r w:rsidR="00F46D90">
        <w:rPr>
          <w:rFonts w:ascii="Book Antiqua" w:hAnsi="Book Antiqua" w:cs="Times New Roman" w:hint="eastAsia"/>
          <w:sz w:val="24"/>
          <w:szCs w:val="24"/>
          <w:lang w:eastAsia="zh-CN"/>
        </w:rPr>
        <w:t>.</w:t>
      </w:r>
      <w:r w:rsidR="00F46D90">
        <w:rPr>
          <w:rFonts w:ascii="Book Antiqua" w:hAnsi="Book Antiqua" w:cs="Calibri" w:hint="eastAsia"/>
          <w:sz w:val="24"/>
          <w:szCs w:val="24"/>
          <w:lang w:eastAsia="zh-CN" w:bidi="ar-SA"/>
        </w:rPr>
        <w:t xml:space="preserve"> </w:t>
      </w:r>
    </w:p>
    <w:p w14:paraId="2A1634D4" w14:textId="77777777" w:rsidR="004B2C25" w:rsidRPr="004B2C25" w:rsidRDefault="004B2C25" w:rsidP="004B2C25">
      <w:pPr>
        <w:bidi w:val="0"/>
        <w:spacing w:after="0" w:line="360" w:lineRule="auto"/>
        <w:jc w:val="both"/>
        <w:rPr>
          <w:rFonts w:ascii="Book Antiqua" w:hAnsi="Book Antiqua" w:cs="Calibri"/>
          <w:sz w:val="24"/>
          <w:szCs w:val="24"/>
          <w:lang w:bidi="ar-SA"/>
        </w:rPr>
      </w:pPr>
      <w:r w:rsidRPr="004B2C25">
        <w:rPr>
          <w:rFonts w:ascii="Book Antiqua" w:hAnsi="Book Antiqua" w:cs="Calibri"/>
          <w:sz w:val="24"/>
          <w:szCs w:val="24"/>
          <w:lang w:bidi="ar-SA"/>
        </w:rPr>
        <w:br w:type="page"/>
      </w:r>
    </w:p>
    <w:p w14:paraId="79B46A25" w14:textId="6F67AFA5" w:rsidR="004B2C25" w:rsidRPr="004B2C25" w:rsidRDefault="004B2C25" w:rsidP="004B2C25">
      <w:pPr>
        <w:widowControl w:val="0"/>
        <w:autoSpaceDE w:val="0"/>
        <w:autoSpaceDN w:val="0"/>
        <w:bidi w:val="0"/>
        <w:adjustRightInd w:val="0"/>
        <w:spacing w:after="0" w:line="360" w:lineRule="auto"/>
        <w:jc w:val="both"/>
        <w:rPr>
          <w:rFonts w:ascii="Book Antiqua" w:hAnsi="Book Antiqua" w:cs="Calibri"/>
          <w:sz w:val="24"/>
          <w:szCs w:val="24"/>
          <w:lang w:eastAsia="zh-CN" w:bidi="ar-SA"/>
        </w:rPr>
      </w:pPr>
      <w:r w:rsidRPr="004B2C25">
        <w:rPr>
          <w:rFonts w:ascii="Book Antiqua" w:hAnsi="Book Antiqua"/>
          <w:noProof/>
          <w:sz w:val="24"/>
          <w:szCs w:val="24"/>
          <w:lang w:eastAsia="zh-CN" w:bidi="ar-SA"/>
        </w:rPr>
        <w:lastRenderedPageBreak/>
        <w:drawing>
          <wp:inline distT="0" distB="0" distL="0" distR="0" wp14:anchorId="77CA4366" wp14:editId="2588A701">
            <wp:extent cx="5486400" cy="25387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38730"/>
                    </a:xfrm>
                    <a:prstGeom prst="rect">
                      <a:avLst/>
                    </a:prstGeom>
                  </pic:spPr>
                </pic:pic>
              </a:graphicData>
            </a:graphic>
          </wp:inline>
        </w:drawing>
      </w:r>
    </w:p>
    <w:p w14:paraId="52B32186" w14:textId="3A69BD5E" w:rsidR="00793A38" w:rsidRPr="00CD01C8" w:rsidRDefault="00CD01C8" w:rsidP="00CD01C8">
      <w:pPr>
        <w:widowControl w:val="0"/>
        <w:autoSpaceDE w:val="0"/>
        <w:autoSpaceDN w:val="0"/>
        <w:bidi w:val="0"/>
        <w:adjustRightInd w:val="0"/>
        <w:spacing w:after="0" w:line="360" w:lineRule="auto"/>
        <w:jc w:val="both"/>
        <w:rPr>
          <w:rFonts w:ascii="Book Antiqua" w:hAnsi="Book Antiqua" w:cs="Calibri"/>
          <w:sz w:val="24"/>
          <w:szCs w:val="24"/>
          <w:lang w:eastAsia="zh-CN" w:bidi="ar-SA"/>
        </w:rPr>
      </w:pPr>
      <w:r w:rsidRPr="00CD01C8">
        <w:rPr>
          <w:rFonts w:ascii="Book Antiqua" w:hAnsi="Book Antiqua" w:cs="Calibri"/>
          <w:b/>
          <w:sz w:val="24"/>
          <w:szCs w:val="24"/>
          <w:lang w:bidi="ar-SA"/>
        </w:rPr>
        <w:t>Figure 2</w:t>
      </w:r>
      <w:r w:rsidR="004B2C25" w:rsidRPr="00CD01C8">
        <w:rPr>
          <w:rFonts w:ascii="Book Antiqua" w:hAnsi="Book Antiqua" w:cs="Calibri"/>
          <w:b/>
          <w:sz w:val="24"/>
          <w:szCs w:val="24"/>
          <w:lang w:bidi="ar-SA"/>
        </w:rPr>
        <w:t xml:space="preserve"> </w:t>
      </w:r>
      <w:r w:rsidRPr="00CD01C8">
        <w:rPr>
          <w:rFonts w:ascii="Book Antiqua" w:hAnsi="Book Antiqua" w:cs="Times New Roman"/>
          <w:b/>
          <w:sz w:val="24"/>
          <w:szCs w:val="24"/>
        </w:rPr>
        <w:t>Hepatitis C virus</w:t>
      </w:r>
      <w:r w:rsidR="004B2C25" w:rsidRPr="00CD01C8">
        <w:rPr>
          <w:rFonts w:ascii="Book Antiqua" w:hAnsi="Book Antiqua" w:cs="Calibri"/>
          <w:b/>
          <w:sz w:val="24"/>
          <w:szCs w:val="24"/>
          <w:lang w:bidi="ar-SA"/>
        </w:rPr>
        <w:t xml:space="preserve"> RNA measurements over time.</w:t>
      </w:r>
      <w:r w:rsidR="004B2C25" w:rsidRPr="004B2C25">
        <w:rPr>
          <w:rFonts w:ascii="Book Antiqua" w:hAnsi="Book Antiqua" w:cs="Calibri"/>
          <w:sz w:val="24"/>
          <w:szCs w:val="24"/>
          <w:lang w:bidi="ar-SA"/>
        </w:rPr>
        <w:t xml:space="preserve"> HC</w:t>
      </w:r>
      <w:r>
        <w:rPr>
          <w:rFonts w:ascii="Book Antiqua" w:hAnsi="Book Antiqua" w:cs="Calibri"/>
          <w:sz w:val="24"/>
          <w:szCs w:val="24"/>
          <w:lang w:bidi="ar-SA"/>
        </w:rPr>
        <w:t>V RNA levels (circles) declined</w:t>
      </w:r>
      <w:r>
        <w:rPr>
          <w:rFonts w:ascii="Book Antiqua" w:hAnsi="Book Antiqua" w:cs="Calibri" w:hint="eastAsia"/>
          <w:sz w:val="24"/>
          <w:szCs w:val="24"/>
          <w:lang w:eastAsia="zh-CN" w:bidi="ar-SA"/>
        </w:rPr>
        <w:t xml:space="preserve"> </w:t>
      </w:r>
      <w:r w:rsidR="004B2C25" w:rsidRPr="004B2C25">
        <w:rPr>
          <w:rFonts w:ascii="Book Antiqua" w:hAnsi="Book Antiqua" w:cs="Calibri"/>
          <w:sz w:val="24"/>
          <w:szCs w:val="24"/>
          <w:lang w:bidi="ar-SA"/>
        </w:rPr>
        <w:t>rapidly during treatment reaching n</w:t>
      </w:r>
      <w:r>
        <w:rPr>
          <w:rFonts w:ascii="Book Antiqua" w:hAnsi="Book Antiqua" w:cs="Calibri"/>
          <w:sz w:val="24"/>
          <w:szCs w:val="24"/>
          <w:lang w:bidi="ar-SA"/>
        </w:rPr>
        <w:t>ot detected levels by the first</w:t>
      </w:r>
      <w:r>
        <w:rPr>
          <w:rFonts w:ascii="Book Antiqua" w:hAnsi="Book Antiqua" w:cs="Calibri" w:hint="eastAsia"/>
          <w:sz w:val="24"/>
          <w:szCs w:val="24"/>
          <w:lang w:eastAsia="zh-CN" w:bidi="ar-SA"/>
        </w:rPr>
        <w:t xml:space="preserve"> </w:t>
      </w:r>
      <w:r w:rsidR="004B2C25" w:rsidRPr="004B2C25">
        <w:rPr>
          <w:rFonts w:ascii="Book Antiqua" w:hAnsi="Book Antiqua" w:cs="Calibri"/>
          <w:sz w:val="24"/>
          <w:szCs w:val="24"/>
          <w:lang w:bidi="ar-SA"/>
        </w:rPr>
        <w:t>measurement after treatment discontinua</w:t>
      </w:r>
      <w:r>
        <w:rPr>
          <w:rFonts w:ascii="Book Antiqua" w:hAnsi="Book Antiqua" w:cs="Calibri"/>
          <w:sz w:val="24"/>
          <w:szCs w:val="24"/>
          <w:lang w:bidi="ar-SA"/>
        </w:rPr>
        <w:t>tion and the patient achieved a</w:t>
      </w:r>
      <w:r>
        <w:rPr>
          <w:rFonts w:ascii="Book Antiqua" w:hAnsi="Book Antiqua" w:cs="Calibri" w:hint="eastAsia"/>
          <w:sz w:val="24"/>
          <w:szCs w:val="24"/>
          <w:lang w:eastAsia="zh-CN" w:bidi="ar-SA"/>
        </w:rPr>
        <w:t xml:space="preserve"> </w:t>
      </w:r>
      <w:r w:rsidR="004B2C25" w:rsidRPr="004B2C25">
        <w:rPr>
          <w:rFonts w:ascii="Book Antiqua" w:hAnsi="Book Antiqua" w:cs="Calibri"/>
          <w:sz w:val="24"/>
          <w:szCs w:val="24"/>
          <w:lang w:bidi="ar-SA"/>
        </w:rPr>
        <w:t xml:space="preserve">sustained </w:t>
      </w:r>
      <w:proofErr w:type="spellStart"/>
      <w:r w:rsidR="004B2C25" w:rsidRPr="004B2C25">
        <w:rPr>
          <w:rFonts w:ascii="Book Antiqua" w:hAnsi="Book Antiqua" w:cs="Calibri"/>
          <w:sz w:val="24"/>
          <w:szCs w:val="24"/>
          <w:lang w:bidi="ar-SA"/>
        </w:rPr>
        <w:t>virologic</w:t>
      </w:r>
      <w:proofErr w:type="spellEnd"/>
      <w:r w:rsidR="004B2C25" w:rsidRPr="004B2C25">
        <w:rPr>
          <w:rFonts w:ascii="Book Antiqua" w:hAnsi="Book Antiqua" w:cs="Calibri"/>
          <w:sz w:val="24"/>
          <w:szCs w:val="24"/>
          <w:lang w:bidi="ar-SA"/>
        </w:rPr>
        <w:t xml:space="preserve"> response (SVR) Define</w:t>
      </w:r>
      <w:r>
        <w:rPr>
          <w:rFonts w:ascii="Book Antiqua" w:hAnsi="Book Antiqua" w:cs="Calibri"/>
          <w:sz w:val="24"/>
          <w:szCs w:val="24"/>
          <w:lang w:bidi="ar-SA"/>
        </w:rPr>
        <w:t>d as no detectable viral RNA 12</w:t>
      </w:r>
      <w:r>
        <w:rPr>
          <w:rFonts w:ascii="Book Antiqua" w:hAnsi="Book Antiqua" w:cs="Calibri" w:hint="eastAsia"/>
          <w:sz w:val="24"/>
          <w:szCs w:val="24"/>
          <w:lang w:eastAsia="zh-CN" w:bidi="ar-SA"/>
        </w:rPr>
        <w:t xml:space="preserve"> </w:t>
      </w:r>
      <w:proofErr w:type="spellStart"/>
      <w:r>
        <w:rPr>
          <w:rFonts w:ascii="Book Antiqua" w:hAnsi="Book Antiqua" w:cs="Calibri"/>
          <w:sz w:val="24"/>
          <w:szCs w:val="24"/>
          <w:lang w:bidi="ar-SA"/>
        </w:rPr>
        <w:t>wk</w:t>
      </w:r>
      <w:proofErr w:type="spellEnd"/>
      <w:r w:rsidR="004B2C25" w:rsidRPr="004B2C25">
        <w:rPr>
          <w:rFonts w:ascii="Book Antiqua" w:hAnsi="Book Antiqua" w:cs="Calibri"/>
          <w:sz w:val="24"/>
          <w:szCs w:val="24"/>
          <w:lang w:bidi="ar-SA"/>
        </w:rPr>
        <w:t xml:space="preserve"> post treatment (purple line)</w:t>
      </w:r>
      <w:r>
        <w:rPr>
          <w:rFonts w:ascii="Book Antiqua" w:hAnsi="Book Antiqua" w:cs="Calibri" w:hint="eastAsia"/>
          <w:sz w:val="24"/>
          <w:szCs w:val="24"/>
          <w:lang w:eastAsia="zh-CN" w:bidi="ar-SA"/>
        </w:rPr>
        <w:t xml:space="preserve">. </w:t>
      </w:r>
      <w:r w:rsidRPr="004B2C25">
        <w:rPr>
          <w:rFonts w:ascii="Book Antiqua" w:hAnsi="Book Antiqua" w:cs="Calibri"/>
          <w:sz w:val="24"/>
          <w:szCs w:val="24"/>
          <w:lang w:bidi="ar-SA"/>
        </w:rPr>
        <w:t>HC</w:t>
      </w:r>
      <w:r>
        <w:rPr>
          <w:rFonts w:ascii="Book Antiqua" w:hAnsi="Book Antiqua" w:cs="Calibri"/>
          <w:sz w:val="24"/>
          <w:szCs w:val="24"/>
          <w:lang w:bidi="ar-SA"/>
        </w:rPr>
        <w:t>V</w:t>
      </w:r>
      <w:r>
        <w:rPr>
          <w:rFonts w:ascii="Book Antiqua" w:hAnsi="Book Antiqua" w:cs="Calibri" w:hint="eastAsia"/>
          <w:sz w:val="24"/>
          <w:szCs w:val="24"/>
          <w:lang w:eastAsia="zh-CN" w:bidi="ar-SA"/>
        </w:rPr>
        <w:t>:</w:t>
      </w:r>
      <w:r w:rsidRPr="00FE560D">
        <w:rPr>
          <w:rFonts w:ascii="Book Antiqua" w:hAnsi="Book Antiqua" w:cs="Times New Roman"/>
          <w:sz w:val="24"/>
          <w:szCs w:val="24"/>
        </w:rPr>
        <w:t xml:space="preserve"> Hepatitis C virus</w:t>
      </w:r>
      <w:r w:rsidR="003B34F5">
        <w:rPr>
          <w:rFonts w:ascii="Book Antiqua" w:hAnsi="Book Antiqua" w:cs="Times New Roman" w:hint="eastAsia"/>
          <w:sz w:val="24"/>
          <w:szCs w:val="24"/>
          <w:lang w:eastAsia="zh-CN"/>
        </w:rPr>
        <w:t xml:space="preserve">; </w:t>
      </w:r>
      <w:proofErr w:type="spellStart"/>
      <w:r w:rsidR="003B34F5" w:rsidRPr="00FE560D">
        <w:rPr>
          <w:rFonts w:ascii="Book Antiqua" w:hAnsi="Book Antiqua" w:cs="Times New Roman"/>
          <w:sz w:val="24"/>
          <w:szCs w:val="24"/>
        </w:rPr>
        <w:t>PODr</w:t>
      </w:r>
      <w:proofErr w:type="spellEnd"/>
      <w:r w:rsidR="003B34F5" w:rsidRPr="00FE560D">
        <w:rPr>
          <w:rFonts w:ascii="Book Antiqua" w:hAnsi="Book Antiqua" w:cs="Times New Roman"/>
          <w:sz w:val="24"/>
          <w:szCs w:val="24"/>
          <w:lang w:eastAsia="zh-CN"/>
        </w:rPr>
        <w:t xml:space="preserve"> </w:t>
      </w:r>
      <w:r w:rsidR="003B34F5" w:rsidRPr="00FE560D">
        <w:rPr>
          <w:rFonts w:ascii="Book Antiqua" w:hAnsi="Book Antiqua" w:cs="Times New Roman"/>
          <w:sz w:val="24"/>
          <w:szCs w:val="24"/>
        </w:rPr>
        <w:t>+</w:t>
      </w:r>
      <w:r w:rsidR="003B34F5" w:rsidRPr="00FE560D">
        <w:rPr>
          <w:rFonts w:ascii="Book Antiqua" w:hAnsi="Book Antiqua" w:cs="Times New Roman"/>
          <w:sz w:val="24"/>
          <w:szCs w:val="24"/>
          <w:lang w:eastAsia="zh-CN"/>
        </w:rPr>
        <w:t xml:space="preserve"> </w:t>
      </w:r>
      <w:r w:rsidR="003B34F5" w:rsidRPr="00FE560D">
        <w:rPr>
          <w:rFonts w:ascii="Book Antiqua" w:hAnsi="Book Antiqua" w:cs="Times New Roman"/>
          <w:sz w:val="24"/>
          <w:szCs w:val="24"/>
        </w:rPr>
        <w:t>R</w:t>
      </w:r>
      <w:r w:rsidR="003B34F5">
        <w:rPr>
          <w:rFonts w:ascii="Book Antiqua" w:hAnsi="Book Antiqua" w:cs="Times New Roman" w:hint="eastAsia"/>
          <w:sz w:val="24"/>
          <w:szCs w:val="24"/>
          <w:lang w:eastAsia="zh-CN"/>
        </w:rPr>
        <w:t xml:space="preserve">: </w:t>
      </w:r>
      <w:proofErr w:type="spellStart"/>
      <w:r w:rsidR="003B34F5" w:rsidRPr="00FE560D">
        <w:rPr>
          <w:rFonts w:ascii="Book Antiqua" w:hAnsi="Book Antiqua" w:cs="Times New Roman"/>
          <w:sz w:val="24"/>
          <w:szCs w:val="24"/>
        </w:rPr>
        <w:t>Paritaprevir</w:t>
      </w:r>
      <w:proofErr w:type="spellEnd"/>
      <w:r w:rsidR="003B34F5" w:rsidRPr="00FE560D">
        <w:rPr>
          <w:rFonts w:ascii="Book Antiqua" w:hAnsi="Book Antiqua" w:cs="Times New Roman"/>
          <w:sz w:val="24"/>
          <w:szCs w:val="24"/>
        </w:rPr>
        <w:t xml:space="preserve">, </w:t>
      </w:r>
      <w:proofErr w:type="spellStart"/>
      <w:r w:rsidR="003B34F5" w:rsidRPr="00FE560D">
        <w:rPr>
          <w:rFonts w:ascii="Book Antiqua" w:hAnsi="Book Antiqua" w:cs="Times New Roman"/>
          <w:sz w:val="24"/>
          <w:szCs w:val="24"/>
        </w:rPr>
        <w:t>Ombitasvir</w:t>
      </w:r>
      <w:proofErr w:type="spellEnd"/>
      <w:r w:rsidR="003B34F5" w:rsidRPr="00FE560D">
        <w:rPr>
          <w:rFonts w:ascii="Book Antiqua" w:hAnsi="Book Antiqua" w:cs="Times New Roman"/>
          <w:sz w:val="24"/>
          <w:szCs w:val="24"/>
        </w:rPr>
        <w:t xml:space="preserve">, </w:t>
      </w:r>
      <w:proofErr w:type="spellStart"/>
      <w:r w:rsidR="003B34F5" w:rsidRPr="00FE560D">
        <w:rPr>
          <w:rFonts w:ascii="Book Antiqua" w:hAnsi="Book Antiqua" w:cs="Times New Roman"/>
          <w:sz w:val="24"/>
          <w:szCs w:val="24"/>
        </w:rPr>
        <w:t>Dasabuvir</w:t>
      </w:r>
      <w:proofErr w:type="spellEnd"/>
      <w:r w:rsidR="003B34F5" w:rsidRPr="00FE560D">
        <w:rPr>
          <w:rFonts w:ascii="Book Antiqua" w:hAnsi="Book Antiqua" w:cs="Times New Roman"/>
          <w:sz w:val="24"/>
          <w:szCs w:val="24"/>
        </w:rPr>
        <w:t>, Ritonavir, and R</w:t>
      </w:r>
      <w:r w:rsidR="003B34F5">
        <w:rPr>
          <w:rFonts w:ascii="Book Antiqua" w:hAnsi="Book Antiqua" w:cs="Times New Roman"/>
          <w:sz w:val="24"/>
          <w:szCs w:val="24"/>
        </w:rPr>
        <w:t>ibavirin</w:t>
      </w:r>
      <w:r w:rsidR="003B34F5">
        <w:rPr>
          <w:rFonts w:ascii="Book Antiqua" w:hAnsi="Book Antiqua" w:cs="Times New Roman" w:hint="eastAsia"/>
          <w:sz w:val="24"/>
          <w:szCs w:val="24"/>
          <w:lang w:eastAsia="zh-CN"/>
        </w:rPr>
        <w:t>.</w:t>
      </w:r>
    </w:p>
    <w:sectPr w:rsidR="00793A38" w:rsidRPr="00CD01C8" w:rsidSect="00DB578C">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A25BE" w15:done="0"/>
  <w15:commentEx w15:paraId="735330B6" w15:done="0"/>
  <w15:commentEx w15:paraId="5980A396" w15:done="0"/>
  <w15:commentEx w15:paraId="12EBB477" w15:done="0"/>
  <w15:commentEx w15:paraId="293E2399" w15:done="0"/>
  <w15:commentEx w15:paraId="2449D24A" w15:done="0"/>
  <w15:commentEx w15:paraId="294481DE" w15:done="0"/>
  <w15:commentEx w15:paraId="4436F066" w15:done="0"/>
  <w15:commentEx w15:paraId="0AB14F3A" w15:done="0"/>
  <w15:commentEx w15:paraId="1D791099" w15:done="0"/>
  <w15:commentEx w15:paraId="7F2288C0" w15:paraIdParent="1D791099" w15:done="0"/>
  <w15:commentEx w15:paraId="08D443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4C41" w14:textId="77777777" w:rsidR="0049579F" w:rsidRDefault="0049579F">
      <w:pPr>
        <w:spacing w:after="0" w:line="240" w:lineRule="auto"/>
      </w:pPr>
      <w:r>
        <w:separator/>
      </w:r>
    </w:p>
  </w:endnote>
  <w:endnote w:type="continuationSeparator" w:id="0">
    <w:p w14:paraId="0F664293" w14:textId="77777777" w:rsidR="0049579F" w:rsidRDefault="004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2708" w14:textId="3C434677" w:rsidR="00A24CA6" w:rsidRDefault="0049579F" w:rsidP="0004760F">
    <w:pPr>
      <w:pStyle w:val="ac"/>
      <w:tabs>
        <w:tab w:val="clear" w:pos="4153"/>
        <w:tab w:val="clear" w:pos="8306"/>
        <w:tab w:val="right" w:pos="8640"/>
      </w:tabs>
    </w:pPr>
    <w:sdt>
      <w:sdtPr>
        <w:rPr>
          <w:rtl/>
        </w:rPr>
        <w:id w:val="-1423256927"/>
        <w:docPartObj>
          <w:docPartGallery w:val="Page Numbers (Bottom of Page)"/>
          <w:docPartUnique/>
        </w:docPartObj>
      </w:sdtPr>
      <w:sdtEndPr>
        <w:rPr>
          <w:noProof/>
        </w:rPr>
      </w:sdtEndPr>
      <w:sdtContent>
        <w:r w:rsidR="006D1A61">
          <w:fldChar w:fldCharType="begin"/>
        </w:r>
        <w:r w:rsidR="006D1A61">
          <w:instrText xml:space="preserve"> PAGE   \* MERGEFORMAT </w:instrText>
        </w:r>
        <w:r w:rsidR="006D1A61">
          <w:fldChar w:fldCharType="separate"/>
        </w:r>
        <w:r w:rsidR="00753778">
          <w:rPr>
            <w:noProof/>
          </w:rPr>
          <w:t>3</w:t>
        </w:r>
        <w:r w:rsidR="006D1A61">
          <w:rPr>
            <w:noProof/>
          </w:rPr>
          <w:fldChar w:fldCharType="end"/>
        </w:r>
      </w:sdtContent>
    </w:sdt>
  </w:p>
  <w:p w14:paraId="33F93220" w14:textId="77777777" w:rsidR="00294B40" w:rsidRDefault="00495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22F6" w14:textId="77777777" w:rsidR="0049579F" w:rsidRDefault="0049579F">
      <w:pPr>
        <w:spacing w:after="0" w:line="240" w:lineRule="auto"/>
      </w:pPr>
      <w:r>
        <w:separator/>
      </w:r>
    </w:p>
  </w:footnote>
  <w:footnote w:type="continuationSeparator" w:id="0">
    <w:p w14:paraId="6FF6E153" w14:textId="77777777" w:rsidR="0049579F" w:rsidRDefault="00495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9A7"/>
    <w:multiLevelType w:val="hybridMultilevel"/>
    <w:tmpl w:val="043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904AC4"/>
    <w:multiLevelType w:val="hybridMultilevel"/>
    <w:tmpl w:val="BAF4A3A2"/>
    <w:lvl w:ilvl="0" w:tplc="4CAA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527EA"/>
    <w:multiLevelType w:val="multilevel"/>
    <w:tmpl w:val="04B26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uprichard">
    <w15:presenceInfo w15:providerId="Windows Live" w15:userId="cb8a1b79bcb61ccf"/>
  </w15:person>
  <w15:person w15:author="Harel.Dahari">
    <w15:presenceInfo w15:providerId="None" w15:userId="Harel.Dahari"/>
  </w15:person>
  <w15:person w15:author="yanki hasin">
    <w15:presenceInfo w15:providerId="None" w15:userId="yanki hasin"/>
  </w15:person>
  <w15:person w15:author="suprichard">
    <w15:presenceInfo w15:providerId="AD" w15:userId="S-1-5-21-3174648199-1136027729-3137010939-58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635A"/>
    <w:rsid w:val="00030940"/>
    <w:rsid w:val="0004760F"/>
    <w:rsid w:val="00092B3D"/>
    <w:rsid w:val="001279EA"/>
    <w:rsid w:val="00203F78"/>
    <w:rsid w:val="0022337F"/>
    <w:rsid w:val="00271924"/>
    <w:rsid w:val="002870E4"/>
    <w:rsid w:val="0029036C"/>
    <w:rsid w:val="002918BC"/>
    <w:rsid w:val="003577DB"/>
    <w:rsid w:val="003B34F5"/>
    <w:rsid w:val="003C0B9A"/>
    <w:rsid w:val="004907D9"/>
    <w:rsid w:val="0049579F"/>
    <w:rsid w:val="00495DF8"/>
    <w:rsid w:val="00497F5C"/>
    <w:rsid w:val="004B2C25"/>
    <w:rsid w:val="004D2D59"/>
    <w:rsid w:val="00586230"/>
    <w:rsid w:val="005904D6"/>
    <w:rsid w:val="005D5D2B"/>
    <w:rsid w:val="005F6BB6"/>
    <w:rsid w:val="0067635A"/>
    <w:rsid w:val="006D1A61"/>
    <w:rsid w:val="006F2167"/>
    <w:rsid w:val="007524AE"/>
    <w:rsid w:val="00753778"/>
    <w:rsid w:val="00780CD6"/>
    <w:rsid w:val="00793A38"/>
    <w:rsid w:val="007D436B"/>
    <w:rsid w:val="008A3806"/>
    <w:rsid w:val="009011CE"/>
    <w:rsid w:val="009017AB"/>
    <w:rsid w:val="00902CEF"/>
    <w:rsid w:val="0091248A"/>
    <w:rsid w:val="00923BC9"/>
    <w:rsid w:val="00952CB3"/>
    <w:rsid w:val="00963261"/>
    <w:rsid w:val="009F12A4"/>
    <w:rsid w:val="009F5219"/>
    <w:rsid w:val="00A63BDD"/>
    <w:rsid w:val="00A708FA"/>
    <w:rsid w:val="00A80B76"/>
    <w:rsid w:val="00A92E71"/>
    <w:rsid w:val="00AA4F55"/>
    <w:rsid w:val="00AD33CC"/>
    <w:rsid w:val="00AE3967"/>
    <w:rsid w:val="00B06B8A"/>
    <w:rsid w:val="00B165DD"/>
    <w:rsid w:val="00B20817"/>
    <w:rsid w:val="00B43F6B"/>
    <w:rsid w:val="00B55D4F"/>
    <w:rsid w:val="00BB50F2"/>
    <w:rsid w:val="00CB1E56"/>
    <w:rsid w:val="00CB42B6"/>
    <w:rsid w:val="00CD01C8"/>
    <w:rsid w:val="00D03BF3"/>
    <w:rsid w:val="00E257F2"/>
    <w:rsid w:val="00F4498B"/>
    <w:rsid w:val="00F46D90"/>
    <w:rsid w:val="00F80D2B"/>
    <w:rsid w:val="00FD37B2"/>
    <w:rsid w:val="00FE560D"/>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5A"/>
    <w:pPr>
      <w:bidi/>
      <w:spacing w:after="200" w:line="276"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635A"/>
  </w:style>
  <w:style w:type="character" w:styleId="a3">
    <w:name w:val="Hyperlink"/>
    <w:basedOn w:val="a0"/>
    <w:uiPriority w:val="99"/>
    <w:unhideWhenUsed/>
    <w:rsid w:val="0067635A"/>
    <w:rPr>
      <w:color w:val="0000FF"/>
      <w:u w:val="single"/>
    </w:rPr>
  </w:style>
  <w:style w:type="character" w:customStyle="1" w:styleId="headingendmark">
    <w:name w:val="headingendmark"/>
    <w:basedOn w:val="a0"/>
    <w:rsid w:val="0067635A"/>
  </w:style>
  <w:style w:type="character" w:customStyle="1" w:styleId="nowrap">
    <w:name w:val="nowrap"/>
    <w:basedOn w:val="a0"/>
    <w:rsid w:val="0067635A"/>
  </w:style>
  <w:style w:type="character" w:styleId="a4">
    <w:name w:val="annotation reference"/>
    <w:basedOn w:val="a0"/>
    <w:uiPriority w:val="99"/>
    <w:semiHidden/>
    <w:unhideWhenUsed/>
    <w:rsid w:val="0067635A"/>
    <w:rPr>
      <w:sz w:val="16"/>
      <w:szCs w:val="16"/>
    </w:rPr>
  </w:style>
  <w:style w:type="paragraph" w:styleId="a5">
    <w:name w:val="annotation text"/>
    <w:basedOn w:val="a"/>
    <w:link w:val="Char"/>
    <w:uiPriority w:val="99"/>
    <w:unhideWhenUsed/>
    <w:rsid w:val="0067635A"/>
    <w:pPr>
      <w:spacing w:line="240" w:lineRule="auto"/>
    </w:pPr>
    <w:rPr>
      <w:sz w:val="20"/>
      <w:szCs w:val="20"/>
    </w:rPr>
  </w:style>
  <w:style w:type="character" w:customStyle="1" w:styleId="Char">
    <w:name w:val="批注文字 Char"/>
    <w:basedOn w:val="a0"/>
    <w:link w:val="a5"/>
    <w:uiPriority w:val="99"/>
    <w:rsid w:val="0067635A"/>
    <w:rPr>
      <w:rFonts w:eastAsiaTheme="minorEastAsia"/>
      <w:sz w:val="20"/>
      <w:szCs w:val="20"/>
      <w:lang w:bidi="he-IL"/>
    </w:rPr>
  </w:style>
  <w:style w:type="paragraph" w:styleId="a6">
    <w:name w:val="annotation subject"/>
    <w:basedOn w:val="a5"/>
    <w:next w:val="a5"/>
    <w:link w:val="Char0"/>
    <w:uiPriority w:val="99"/>
    <w:semiHidden/>
    <w:unhideWhenUsed/>
    <w:rsid w:val="0067635A"/>
    <w:rPr>
      <w:b/>
      <w:bCs/>
    </w:rPr>
  </w:style>
  <w:style w:type="character" w:customStyle="1" w:styleId="Char0">
    <w:name w:val="批注主题 Char"/>
    <w:basedOn w:val="Char"/>
    <w:link w:val="a6"/>
    <w:uiPriority w:val="99"/>
    <w:semiHidden/>
    <w:rsid w:val="0067635A"/>
    <w:rPr>
      <w:rFonts w:eastAsiaTheme="minorEastAsia"/>
      <w:b/>
      <w:bCs/>
      <w:sz w:val="20"/>
      <w:szCs w:val="20"/>
      <w:lang w:bidi="he-IL"/>
    </w:rPr>
  </w:style>
  <w:style w:type="paragraph" w:styleId="a7">
    <w:name w:val="Balloon Text"/>
    <w:basedOn w:val="a"/>
    <w:link w:val="Char1"/>
    <w:uiPriority w:val="99"/>
    <w:semiHidden/>
    <w:unhideWhenUsed/>
    <w:rsid w:val="0067635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7635A"/>
    <w:rPr>
      <w:rFonts w:ascii="Tahoma" w:eastAsiaTheme="minorEastAsia" w:hAnsi="Tahoma" w:cs="Tahoma"/>
      <w:sz w:val="16"/>
      <w:szCs w:val="16"/>
      <w:lang w:bidi="he-IL"/>
    </w:rPr>
  </w:style>
  <w:style w:type="paragraph" w:styleId="a8">
    <w:name w:val="Subtitle"/>
    <w:basedOn w:val="a"/>
    <w:next w:val="a"/>
    <w:link w:val="Char2"/>
    <w:uiPriority w:val="11"/>
    <w:qFormat/>
    <w:rsid w:val="0067635A"/>
    <w:pPr>
      <w:numPr>
        <w:ilvl w:val="1"/>
      </w:numPr>
      <w:spacing w:after="160"/>
    </w:pPr>
    <w:rPr>
      <w:color w:val="5A5A5A" w:themeColor="text1" w:themeTint="A5"/>
      <w:spacing w:val="15"/>
    </w:rPr>
  </w:style>
  <w:style w:type="character" w:customStyle="1" w:styleId="Char2">
    <w:name w:val="副标题 Char"/>
    <w:basedOn w:val="a0"/>
    <w:link w:val="a8"/>
    <w:uiPriority w:val="11"/>
    <w:rsid w:val="0067635A"/>
    <w:rPr>
      <w:rFonts w:eastAsiaTheme="minorEastAsia"/>
      <w:color w:val="5A5A5A" w:themeColor="text1" w:themeTint="A5"/>
      <w:spacing w:val="15"/>
      <w:lang w:bidi="he-IL"/>
    </w:rPr>
  </w:style>
  <w:style w:type="paragraph" w:styleId="a9">
    <w:name w:val="List Paragraph"/>
    <w:basedOn w:val="a"/>
    <w:uiPriority w:val="34"/>
    <w:qFormat/>
    <w:rsid w:val="0067635A"/>
    <w:pPr>
      <w:bidi w:val="0"/>
      <w:spacing w:after="0" w:line="240" w:lineRule="auto"/>
      <w:ind w:left="720"/>
    </w:pPr>
    <w:rPr>
      <w:rFonts w:ascii="Cambria" w:eastAsia="Times New Roman" w:hAnsi="Cambria" w:cs="Cambria"/>
      <w:sz w:val="24"/>
      <w:szCs w:val="24"/>
      <w:lang w:eastAsia="de-DE" w:bidi="ar-SA"/>
    </w:rPr>
  </w:style>
  <w:style w:type="paragraph" w:customStyle="1" w:styleId="EndNoteBibliographyTitle">
    <w:name w:val="EndNote Bibliography Title"/>
    <w:basedOn w:val="a"/>
    <w:link w:val="EndNoteBibliographyTitleChar"/>
    <w:rsid w:val="0067635A"/>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7635A"/>
    <w:rPr>
      <w:rFonts w:ascii="Calibri" w:eastAsiaTheme="minorEastAsia" w:hAnsi="Calibri"/>
      <w:noProof/>
      <w:lang w:bidi="he-IL"/>
    </w:rPr>
  </w:style>
  <w:style w:type="paragraph" w:customStyle="1" w:styleId="EndNoteBibliography">
    <w:name w:val="EndNote Bibliography"/>
    <w:basedOn w:val="a"/>
    <w:link w:val="EndNoteBibliographyChar"/>
    <w:rsid w:val="0067635A"/>
    <w:pPr>
      <w:spacing w:line="240" w:lineRule="auto"/>
    </w:pPr>
    <w:rPr>
      <w:rFonts w:ascii="Calibri" w:hAnsi="Calibri"/>
      <w:noProof/>
    </w:rPr>
  </w:style>
  <w:style w:type="character" w:customStyle="1" w:styleId="EndNoteBibliographyChar">
    <w:name w:val="EndNote Bibliography Char"/>
    <w:basedOn w:val="a0"/>
    <w:link w:val="EndNoteBibliography"/>
    <w:rsid w:val="0067635A"/>
    <w:rPr>
      <w:rFonts w:ascii="Calibri" w:eastAsiaTheme="minorEastAsia" w:hAnsi="Calibri"/>
      <w:noProof/>
      <w:lang w:bidi="he-IL"/>
    </w:rPr>
  </w:style>
  <w:style w:type="character" w:styleId="aa">
    <w:name w:val="Emphasis"/>
    <w:basedOn w:val="a0"/>
    <w:qFormat/>
    <w:rsid w:val="0067635A"/>
    <w:rPr>
      <w:i/>
      <w:iCs/>
    </w:rPr>
  </w:style>
  <w:style w:type="paragraph" w:styleId="ab">
    <w:name w:val="header"/>
    <w:basedOn w:val="a"/>
    <w:link w:val="Char3"/>
    <w:uiPriority w:val="99"/>
    <w:unhideWhenUsed/>
    <w:rsid w:val="0067635A"/>
    <w:pPr>
      <w:tabs>
        <w:tab w:val="center" w:pos="4153"/>
        <w:tab w:val="right" w:pos="8306"/>
      </w:tabs>
      <w:spacing w:after="0" w:line="240" w:lineRule="auto"/>
    </w:pPr>
  </w:style>
  <w:style w:type="character" w:customStyle="1" w:styleId="Char3">
    <w:name w:val="页眉 Char"/>
    <w:basedOn w:val="a0"/>
    <w:link w:val="ab"/>
    <w:uiPriority w:val="99"/>
    <w:rsid w:val="0067635A"/>
    <w:rPr>
      <w:rFonts w:eastAsiaTheme="minorEastAsia"/>
      <w:lang w:bidi="he-IL"/>
    </w:rPr>
  </w:style>
  <w:style w:type="paragraph" w:styleId="ac">
    <w:name w:val="footer"/>
    <w:basedOn w:val="a"/>
    <w:link w:val="Char4"/>
    <w:uiPriority w:val="99"/>
    <w:unhideWhenUsed/>
    <w:rsid w:val="0067635A"/>
    <w:pPr>
      <w:tabs>
        <w:tab w:val="center" w:pos="4153"/>
        <w:tab w:val="right" w:pos="8306"/>
      </w:tabs>
      <w:spacing w:after="0" w:line="240" w:lineRule="auto"/>
    </w:pPr>
  </w:style>
  <w:style w:type="character" w:customStyle="1" w:styleId="Char4">
    <w:name w:val="页脚 Char"/>
    <w:basedOn w:val="a0"/>
    <w:link w:val="ac"/>
    <w:uiPriority w:val="99"/>
    <w:rsid w:val="0067635A"/>
    <w:rPr>
      <w:rFonts w:eastAsiaTheme="minorEastAsia"/>
      <w:lang w:bidi="he-IL"/>
    </w:rPr>
  </w:style>
  <w:style w:type="character" w:styleId="ad">
    <w:name w:val="FollowedHyperlink"/>
    <w:basedOn w:val="a0"/>
    <w:uiPriority w:val="99"/>
    <w:semiHidden/>
    <w:unhideWhenUsed/>
    <w:rsid w:val="0067635A"/>
    <w:rPr>
      <w:color w:val="954F72" w:themeColor="followedHyperlink"/>
      <w:u w:val="single"/>
    </w:rPr>
  </w:style>
  <w:style w:type="paragraph" w:styleId="ae">
    <w:name w:val="Revision"/>
    <w:hidden/>
    <w:uiPriority w:val="99"/>
    <w:semiHidden/>
    <w:rsid w:val="0067635A"/>
    <w:pPr>
      <w:spacing w:after="0" w:line="240" w:lineRule="auto"/>
    </w:pPr>
    <w:rPr>
      <w:lang w:bidi="he-IL"/>
    </w:rPr>
  </w:style>
  <w:style w:type="character" w:customStyle="1" w:styleId="xbe">
    <w:name w:val="_xbe"/>
    <w:basedOn w:val="a0"/>
    <w:rsid w:val="0067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5A"/>
    <w:pPr>
      <w:bidi/>
      <w:spacing w:after="200" w:line="276"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635A"/>
  </w:style>
  <w:style w:type="character" w:styleId="a3">
    <w:name w:val="Hyperlink"/>
    <w:basedOn w:val="a0"/>
    <w:uiPriority w:val="99"/>
    <w:unhideWhenUsed/>
    <w:rsid w:val="0067635A"/>
    <w:rPr>
      <w:color w:val="0000FF"/>
      <w:u w:val="single"/>
    </w:rPr>
  </w:style>
  <w:style w:type="character" w:customStyle="1" w:styleId="headingendmark">
    <w:name w:val="headingendmark"/>
    <w:basedOn w:val="a0"/>
    <w:rsid w:val="0067635A"/>
  </w:style>
  <w:style w:type="character" w:customStyle="1" w:styleId="nowrap">
    <w:name w:val="nowrap"/>
    <w:basedOn w:val="a0"/>
    <w:rsid w:val="0067635A"/>
  </w:style>
  <w:style w:type="character" w:styleId="a4">
    <w:name w:val="annotation reference"/>
    <w:basedOn w:val="a0"/>
    <w:uiPriority w:val="99"/>
    <w:semiHidden/>
    <w:unhideWhenUsed/>
    <w:rsid w:val="0067635A"/>
    <w:rPr>
      <w:sz w:val="16"/>
      <w:szCs w:val="16"/>
    </w:rPr>
  </w:style>
  <w:style w:type="paragraph" w:styleId="a5">
    <w:name w:val="annotation text"/>
    <w:basedOn w:val="a"/>
    <w:link w:val="Char"/>
    <w:uiPriority w:val="99"/>
    <w:unhideWhenUsed/>
    <w:rsid w:val="0067635A"/>
    <w:pPr>
      <w:spacing w:line="240" w:lineRule="auto"/>
    </w:pPr>
    <w:rPr>
      <w:sz w:val="20"/>
      <w:szCs w:val="20"/>
    </w:rPr>
  </w:style>
  <w:style w:type="character" w:customStyle="1" w:styleId="Char">
    <w:name w:val="批注文字 Char"/>
    <w:basedOn w:val="a0"/>
    <w:link w:val="a5"/>
    <w:uiPriority w:val="99"/>
    <w:rsid w:val="0067635A"/>
    <w:rPr>
      <w:rFonts w:eastAsiaTheme="minorEastAsia"/>
      <w:sz w:val="20"/>
      <w:szCs w:val="20"/>
      <w:lang w:bidi="he-IL"/>
    </w:rPr>
  </w:style>
  <w:style w:type="paragraph" w:styleId="a6">
    <w:name w:val="annotation subject"/>
    <w:basedOn w:val="a5"/>
    <w:next w:val="a5"/>
    <w:link w:val="Char0"/>
    <w:uiPriority w:val="99"/>
    <w:semiHidden/>
    <w:unhideWhenUsed/>
    <w:rsid w:val="0067635A"/>
    <w:rPr>
      <w:b/>
      <w:bCs/>
    </w:rPr>
  </w:style>
  <w:style w:type="character" w:customStyle="1" w:styleId="Char0">
    <w:name w:val="批注主题 Char"/>
    <w:basedOn w:val="Char"/>
    <w:link w:val="a6"/>
    <w:uiPriority w:val="99"/>
    <w:semiHidden/>
    <w:rsid w:val="0067635A"/>
    <w:rPr>
      <w:rFonts w:eastAsiaTheme="minorEastAsia"/>
      <w:b/>
      <w:bCs/>
      <w:sz w:val="20"/>
      <w:szCs w:val="20"/>
      <w:lang w:bidi="he-IL"/>
    </w:rPr>
  </w:style>
  <w:style w:type="paragraph" w:styleId="a7">
    <w:name w:val="Balloon Text"/>
    <w:basedOn w:val="a"/>
    <w:link w:val="Char1"/>
    <w:uiPriority w:val="99"/>
    <w:semiHidden/>
    <w:unhideWhenUsed/>
    <w:rsid w:val="0067635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7635A"/>
    <w:rPr>
      <w:rFonts w:ascii="Tahoma" w:eastAsiaTheme="minorEastAsia" w:hAnsi="Tahoma" w:cs="Tahoma"/>
      <w:sz w:val="16"/>
      <w:szCs w:val="16"/>
      <w:lang w:bidi="he-IL"/>
    </w:rPr>
  </w:style>
  <w:style w:type="paragraph" w:styleId="a8">
    <w:name w:val="Subtitle"/>
    <w:basedOn w:val="a"/>
    <w:next w:val="a"/>
    <w:link w:val="Char2"/>
    <w:uiPriority w:val="11"/>
    <w:qFormat/>
    <w:rsid w:val="0067635A"/>
    <w:pPr>
      <w:numPr>
        <w:ilvl w:val="1"/>
      </w:numPr>
      <w:spacing w:after="160"/>
    </w:pPr>
    <w:rPr>
      <w:color w:val="5A5A5A" w:themeColor="text1" w:themeTint="A5"/>
      <w:spacing w:val="15"/>
    </w:rPr>
  </w:style>
  <w:style w:type="character" w:customStyle="1" w:styleId="Char2">
    <w:name w:val="副标题 Char"/>
    <w:basedOn w:val="a0"/>
    <w:link w:val="a8"/>
    <w:uiPriority w:val="11"/>
    <w:rsid w:val="0067635A"/>
    <w:rPr>
      <w:rFonts w:eastAsiaTheme="minorEastAsia"/>
      <w:color w:val="5A5A5A" w:themeColor="text1" w:themeTint="A5"/>
      <w:spacing w:val="15"/>
      <w:lang w:bidi="he-IL"/>
    </w:rPr>
  </w:style>
  <w:style w:type="paragraph" w:styleId="a9">
    <w:name w:val="List Paragraph"/>
    <w:basedOn w:val="a"/>
    <w:uiPriority w:val="34"/>
    <w:qFormat/>
    <w:rsid w:val="0067635A"/>
    <w:pPr>
      <w:bidi w:val="0"/>
      <w:spacing w:after="0" w:line="240" w:lineRule="auto"/>
      <w:ind w:left="720"/>
    </w:pPr>
    <w:rPr>
      <w:rFonts w:ascii="Cambria" w:eastAsia="Times New Roman" w:hAnsi="Cambria" w:cs="Cambria"/>
      <w:sz w:val="24"/>
      <w:szCs w:val="24"/>
      <w:lang w:eastAsia="de-DE" w:bidi="ar-SA"/>
    </w:rPr>
  </w:style>
  <w:style w:type="paragraph" w:customStyle="1" w:styleId="EndNoteBibliographyTitle">
    <w:name w:val="EndNote Bibliography Title"/>
    <w:basedOn w:val="a"/>
    <w:link w:val="EndNoteBibliographyTitleChar"/>
    <w:rsid w:val="0067635A"/>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7635A"/>
    <w:rPr>
      <w:rFonts w:ascii="Calibri" w:eastAsiaTheme="minorEastAsia" w:hAnsi="Calibri"/>
      <w:noProof/>
      <w:lang w:bidi="he-IL"/>
    </w:rPr>
  </w:style>
  <w:style w:type="paragraph" w:customStyle="1" w:styleId="EndNoteBibliography">
    <w:name w:val="EndNote Bibliography"/>
    <w:basedOn w:val="a"/>
    <w:link w:val="EndNoteBibliographyChar"/>
    <w:rsid w:val="0067635A"/>
    <w:pPr>
      <w:spacing w:line="240" w:lineRule="auto"/>
    </w:pPr>
    <w:rPr>
      <w:rFonts w:ascii="Calibri" w:hAnsi="Calibri"/>
      <w:noProof/>
    </w:rPr>
  </w:style>
  <w:style w:type="character" w:customStyle="1" w:styleId="EndNoteBibliographyChar">
    <w:name w:val="EndNote Bibliography Char"/>
    <w:basedOn w:val="a0"/>
    <w:link w:val="EndNoteBibliography"/>
    <w:rsid w:val="0067635A"/>
    <w:rPr>
      <w:rFonts w:ascii="Calibri" w:eastAsiaTheme="minorEastAsia" w:hAnsi="Calibri"/>
      <w:noProof/>
      <w:lang w:bidi="he-IL"/>
    </w:rPr>
  </w:style>
  <w:style w:type="character" w:styleId="aa">
    <w:name w:val="Emphasis"/>
    <w:basedOn w:val="a0"/>
    <w:qFormat/>
    <w:rsid w:val="0067635A"/>
    <w:rPr>
      <w:i/>
      <w:iCs/>
    </w:rPr>
  </w:style>
  <w:style w:type="paragraph" w:styleId="ab">
    <w:name w:val="header"/>
    <w:basedOn w:val="a"/>
    <w:link w:val="Char3"/>
    <w:uiPriority w:val="99"/>
    <w:unhideWhenUsed/>
    <w:rsid w:val="0067635A"/>
    <w:pPr>
      <w:tabs>
        <w:tab w:val="center" w:pos="4153"/>
        <w:tab w:val="right" w:pos="8306"/>
      </w:tabs>
      <w:spacing w:after="0" w:line="240" w:lineRule="auto"/>
    </w:pPr>
  </w:style>
  <w:style w:type="character" w:customStyle="1" w:styleId="Char3">
    <w:name w:val="页眉 Char"/>
    <w:basedOn w:val="a0"/>
    <w:link w:val="ab"/>
    <w:uiPriority w:val="99"/>
    <w:rsid w:val="0067635A"/>
    <w:rPr>
      <w:rFonts w:eastAsiaTheme="minorEastAsia"/>
      <w:lang w:bidi="he-IL"/>
    </w:rPr>
  </w:style>
  <w:style w:type="paragraph" w:styleId="ac">
    <w:name w:val="footer"/>
    <w:basedOn w:val="a"/>
    <w:link w:val="Char4"/>
    <w:uiPriority w:val="99"/>
    <w:unhideWhenUsed/>
    <w:rsid w:val="0067635A"/>
    <w:pPr>
      <w:tabs>
        <w:tab w:val="center" w:pos="4153"/>
        <w:tab w:val="right" w:pos="8306"/>
      </w:tabs>
      <w:spacing w:after="0" w:line="240" w:lineRule="auto"/>
    </w:pPr>
  </w:style>
  <w:style w:type="character" w:customStyle="1" w:styleId="Char4">
    <w:name w:val="页脚 Char"/>
    <w:basedOn w:val="a0"/>
    <w:link w:val="ac"/>
    <w:uiPriority w:val="99"/>
    <w:rsid w:val="0067635A"/>
    <w:rPr>
      <w:rFonts w:eastAsiaTheme="minorEastAsia"/>
      <w:lang w:bidi="he-IL"/>
    </w:rPr>
  </w:style>
  <w:style w:type="character" w:styleId="ad">
    <w:name w:val="FollowedHyperlink"/>
    <w:basedOn w:val="a0"/>
    <w:uiPriority w:val="99"/>
    <w:semiHidden/>
    <w:unhideWhenUsed/>
    <w:rsid w:val="0067635A"/>
    <w:rPr>
      <w:color w:val="954F72" w:themeColor="followedHyperlink"/>
      <w:u w:val="single"/>
    </w:rPr>
  </w:style>
  <w:style w:type="paragraph" w:styleId="ae">
    <w:name w:val="Revision"/>
    <w:hidden/>
    <w:uiPriority w:val="99"/>
    <w:semiHidden/>
    <w:rsid w:val="0067635A"/>
    <w:pPr>
      <w:spacing w:after="0" w:line="240" w:lineRule="auto"/>
    </w:pPr>
    <w:rPr>
      <w:lang w:bidi="he-IL"/>
    </w:rPr>
  </w:style>
  <w:style w:type="character" w:customStyle="1" w:styleId="xbe">
    <w:name w:val="_xbe"/>
    <w:basedOn w:val="a0"/>
    <w:rsid w:val="0067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8372">
      <w:bodyDiv w:val="1"/>
      <w:marLeft w:val="0"/>
      <w:marRight w:val="0"/>
      <w:marTop w:val="0"/>
      <w:marBottom w:val="0"/>
      <w:divBdr>
        <w:top w:val="none" w:sz="0" w:space="0" w:color="auto"/>
        <w:left w:val="none" w:sz="0" w:space="0" w:color="auto"/>
        <w:bottom w:val="none" w:sz="0" w:space="0" w:color="auto"/>
        <w:right w:val="none" w:sz="0" w:space="0" w:color="auto"/>
      </w:divBdr>
      <w:divsChild>
        <w:div w:id="718867119">
          <w:marLeft w:val="0"/>
          <w:marRight w:val="0"/>
          <w:marTop w:val="0"/>
          <w:marBottom w:val="0"/>
          <w:divBdr>
            <w:top w:val="none" w:sz="0" w:space="0" w:color="auto"/>
            <w:left w:val="none" w:sz="0" w:space="0" w:color="auto"/>
            <w:bottom w:val="none" w:sz="0" w:space="0" w:color="auto"/>
            <w:right w:val="none" w:sz="0" w:space="0" w:color="auto"/>
          </w:divBdr>
          <w:divsChild>
            <w:div w:id="1402867518">
              <w:marLeft w:val="0"/>
              <w:marRight w:val="0"/>
              <w:marTop w:val="0"/>
              <w:marBottom w:val="0"/>
              <w:divBdr>
                <w:top w:val="none" w:sz="0" w:space="0" w:color="auto"/>
                <w:left w:val="none" w:sz="0" w:space="0" w:color="auto"/>
                <w:bottom w:val="none" w:sz="0" w:space="0" w:color="auto"/>
                <w:right w:val="none" w:sz="0" w:space="0" w:color="auto"/>
              </w:divBdr>
            </w:div>
            <w:div w:id="1326861179">
              <w:marLeft w:val="0"/>
              <w:marRight w:val="0"/>
              <w:marTop w:val="0"/>
              <w:marBottom w:val="0"/>
              <w:divBdr>
                <w:top w:val="none" w:sz="0" w:space="0" w:color="auto"/>
                <w:left w:val="none" w:sz="0" w:space="0" w:color="auto"/>
                <w:bottom w:val="none" w:sz="0" w:space="0" w:color="auto"/>
                <w:right w:val="none" w:sz="0" w:space="0" w:color="auto"/>
              </w:divBdr>
            </w:div>
            <w:div w:id="1272515337">
              <w:marLeft w:val="0"/>
              <w:marRight w:val="0"/>
              <w:marTop w:val="0"/>
              <w:marBottom w:val="0"/>
              <w:divBdr>
                <w:top w:val="none" w:sz="0" w:space="0" w:color="auto"/>
                <w:left w:val="none" w:sz="0" w:space="0" w:color="auto"/>
                <w:bottom w:val="none" w:sz="0" w:space="0" w:color="auto"/>
                <w:right w:val="none" w:sz="0" w:space="0" w:color="auto"/>
              </w:divBdr>
            </w:div>
            <w:div w:id="1939944541">
              <w:marLeft w:val="0"/>
              <w:marRight w:val="0"/>
              <w:marTop w:val="0"/>
              <w:marBottom w:val="0"/>
              <w:divBdr>
                <w:top w:val="none" w:sz="0" w:space="0" w:color="auto"/>
                <w:left w:val="none" w:sz="0" w:space="0" w:color="auto"/>
                <w:bottom w:val="none" w:sz="0" w:space="0" w:color="auto"/>
                <w:right w:val="none" w:sz="0" w:space="0" w:color="auto"/>
              </w:divBdr>
            </w:div>
            <w:div w:id="1709913602">
              <w:marLeft w:val="0"/>
              <w:marRight w:val="0"/>
              <w:marTop w:val="0"/>
              <w:marBottom w:val="0"/>
              <w:divBdr>
                <w:top w:val="none" w:sz="0" w:space="0" w:color="auto"/>
                <w:left w:val="none" w:sz="0" w:space="0" w:color="auto"/>
                <w:bottom w:val="none" w:sz="0" w:space="0" w:color="auto"/>
                <w:right w:val="none" w:sz="0" w:space="0" w:color="auto"/>
              </w:divBdr>
            </w:div>
            <w:div w:id="279844246">
              <w:marLeft w:val="0"/>
              <w:marRight w:val="0"/>
              <w:marTop w:val="0"/>
              <w:marBottom w:val="0"/>
              <w:divBdr>
                <w:top w:val="none" w:sz="0" w:space="0" w:color="auto"/>
                <w:left w:val="none" w:sz="0" w:space="0" w:color="auto"/>
                <w:bottom w:val="none" w:sz="0" w:space="0" w:color="auto"/>
                <w:right w:val="none" w:sz="0" w:space="0" w:color="auto"/>
              </w:divBdr>
            </w:div>
            <w:div w:id="632322195">
              <w:marLeft w:val="0"/>
              <w:marRight w:val="0"/>
              <w:marTop w:val="0"/>
              <w:marBottom w:val="0"/>
              <w:divBdr>
                <w:top w:val="none" w:sz="0" w:space="0" w:color="auto"/>
                <w:left w:val="none" w:sz="0" w:space="0" w:color="auto"/>
                <w:bottom w:val="none" w:sz="0" w:space="0" w:color="auto"/>
                <w:right w:val="none" w:sz="0" w:space="0" w:color="auto"/>
              </w:divBdr>
            </w:div>
            <w:div w:id="1441679082">
              <w:marLeft w:val="0"/>
              <w:marRight w:val="0"/>
              <w:marTop w:val="0"/>
              <w:marBottom w:val="0"/>
              <w:divBdr>
                <w:top w:val="none" w:sz="0" w:space="0" w:color="auto"/>
                <w:left w:val="none" w:sz="0" w:space="0" w:color="auto"/>
                <w:bottom w:val="none" w:sz="0" w:space="0" w:color="auto"/>
                <w:right w:val="none" w:sz="0" w:space="0" w:color="auto"/>
              </w:divBdr>
            </w:div>
            <w:div w:id="600836314">
              <w:marLeft w:val="0"/>
              <w:marRight w:val="0"/>
              <w:marTop w:val="0"/>
              <w:marBottom w:val="0"/>
              <w:divBdr>
                <w:top w:val="none" w:sz="0" w:space="0" w:color="auto"/>
                <w:left w:val="none" w:sz="0" w:space="0" w:color="auto"/>
                <w:bottom w:val="none" w:sz="0" w:space="0" w:color="auto"/>
                <w:right w:val="none" w:sz="0" w:space="0" w:color="auto"/>
              </w:divBdr>
            </w:div>
            <w:div w:id="243028903">
              <w:marLeft w:val="0"/>
              <w:marRight w:val="0"/>
              <w:marTop w:val="0"/>
              <w:marBottom w:val="0"/>
              <w:divBdr>
                <w:top w:val="none" w:sz="0" w:space="0" w:color="auto"/>
                <w:left w:val="none" w:sz="0" w:space="0" w:color="auto"/>
                <w:bottom w:val="none" w:sz="0" w:space="0" w:color="auto"/>
                <w:right w:val="none" w:sz="0" w:space="0" w:color="auto"/>
              </w:divBdr>
            </w:div>
            <w:div w:id="1024358238">
              <w:marLeft w:val="0"/>
              <w:marRight w:val="0"/>
              <w:marTop w:val="0"/>
              <w:marBottom w:val="0"/>
              <w:divBdr>
                <w:top w:val="none" w:sz="0" w:space="0" w:color="auto"/>
                <w:left w:val="none" w:sz="0" w:space="0" w:color="auto"/>
                <w:bottom w:val="none" w:sz="0" w:space="0" w:color="auto"/>
                <w:right w:val="none" w:sz="0" w:space="0" w:color="auto"/>
              </w:divBdr>
            </w:div>
            <w:div w:id="73019613">
              <w:marLeft w:val="0"/>
              <w:marRight w:val="0"/>
              <w:marTop w:val="0"/>
              <w:marBottom w:val="0"/>
              <w:divBdr>
                <w:top w:val="none" w:sz="0" w:space="0" w:color="auto"/>
                <w:left w:val="none" w:sz="0" w:space="0" w:color="auto"/>
                <w:bottom w:val="none" w:sz="0" w:space="0" w:color="auto"/>
                <w:right w:val="none" w:sz="0" w:space="0" w:color="auto"/>
              </w:divBdr>
            </w:div>
            <w:div w:id="847213876">
              <w:marLeft w:val="0"/>
              <w:marRight w:val="0"/>
              <w:marTop w:val="0"/>
              <w:marBottom w:val="0"/>
              <w:divBdr>
                <w:top w:val="none" w:sz="0" w:space="0" w:color="auto"/>
                <w:left w:val="none" w:sz="0" w:space="0" w:color="auto"/>
                <w:bottom w:val="none" w:sz="0" w:space="0" w:color="auto"/>
                <w:right w:val="none" w:sz="0" w:space="0" w:color="auto"/>
              </w:divBdr>
            </w:div>
            <w:div w:id="1874072193">
              <w:marLeft w:val="0"/>
              <w:marRight w:val="0"/>
              <w:marTop w:val="0"/>
              <w:marBottom w:val="0"/>
              <w:divBdr>
                <w:top w:val="none" w:sz="0" w:space="0" w:color="auto"/>
                <w:left w:val="none" w:sz="0" w:space="0" w:color="auto"/>
                <w:bottom w:val="none" w:sz="0" w:space="0" w:color="auto"/>
                <w:right w:val="none" w:sz="0" w:space="0" w:color="auto"/>
              </w:divBdr>
            </w:div>
            <w:div w:id="1976444924">
              <w:marLeft w:val="0"/>
              <w:marRight w:val="0"/>
              <w:marTop w:val="0"/>
              <w:marBottom w:val="0"/>
              <w:divBdr>
                <w:top w:val="none" w:sz="0" w:space="0" w:color="auto"/>
                <w:left w:val="none" w:sz="0" w:space="0" w:color="auto"/>
                <w:bottom w:val="none" w:sz="0" w:space="0" w:color="auto"/>
                <w:right w:val="none" w:sz="0" w:space="0" w:color="auto"/>
              </w:divBdr>
            </w:div>
            <w:div w:id="2038774671">
              <w:marLeft w:val="0"/>
              <w:marRight w:val="0"/>
              <w:marTop w:val="0"/>
              <w:marBottom w:val="0"/>
              <w:divBdr>
                <w:top w:val="none" w:sz="0" w:space="0" w:color="auto"/>
                <w:left w:val="none" w:sz="0" w:space="0" w:color="auto"/>
                <w:bottom w:val="none" w:sz="0" w:space="0" w:color="auto"/>
                <w:right w:val="none" w:sz="0" w:space="0" w:color="auto"/>
              </w:divBdr>
            </w:div>
            <w:div w:id="2049601260">
              <w:marLeft w:val="0"/>
              <w:marRight w:val="0"/>
              <w:marTop w:val="0"/>
              <w:marBottom w:val="0"/>
              <w:divBdr>
                <w:top w:val="none" w:sz="0" w:space="0" w:color="auto"/>
                <w:left w:val="none" w:sz="0" w:space="0" w:color="auto"/>
                <w:bottom w:val="none" w:sz="0" w:space="0" w:color="auto"/>
                <w:right w:val="none" w:sz="0" w:space="0" w:color="auto"/>
              </w:divBdr>
            </w:div>
            <w:div w:id="164442307">
              <w:marLeft w:val="0"/>
              <w:marRight w:val="0"/>
              <w:marTop w:val="0"/>
              <w:marBottom w:val="0"/>
              <w:divBdr>
                <w:top w:val="none" w:sz="0" w:space="0" w:color="auto"/>
                <w:left w:val="none" w:sz="0" w:space="0" w:color="auto"/>
                <w:bottom w:val="none" w:sz="0" w:space="0" w:color="auto"/>
                <w:right w:val="none" w:sz="0" w:space="0" w:color="auto"/>
              </w:divBdr>
            </w:div>
            <w:div w:id="1164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vtalitam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Harel.Dahari</dc:creator>
  <cp:keywords/>
  <dc:description/>
  <cp:lastModifiedBy>Windows 用户</cp:lastModifiedBy>
  <cp:revision>3</cp:revision>
  <dcterms:created xsi:type="dcterms:W3CDTF">2016-06-28T01:08:00Z</dcterms:created>
  <dcterms:modified xsi:type="dcterms:W3CDTF">2016-06-28T02:29:00Z</dcterms:modified>
</cp:coreProperties>
</file>