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12645" w14:textId="50EB1A3B" w:rsidR="006C0998" w:rsidRPr="00682AA9" w:rsidRDefault="006C0998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82AA9">
        <w:rPr>
          <w:rFonts w:ascii="Book Antiqua" w:hAnsi="Book Antiqua"/>
          <w:b/>
          <w:sz w:val="24"/>
          <w:szCs w:val="24"/>
        </w:rPr>
        <w:t xml:space="preserve">Name of Journal: </w:t>
      </w:r>
      <w:r w:rsidRPr="00682AA9">
        <w:rPr>
          <w:rFonts w:ascii="Book Antiqua" w:hAnsi="Book Antiqua"/>
          <w:b/>
          <w:i/>
          <w:iCs/>
          <w:sz w:val="24"/>
          <w:szCs w:val="24"/>
        </w:rPr>
        <w:t>World Journal of Clinical Cases</w:t>
      </w:r>
    </w:p>
    <w:p w14:paraId="5EA628B7" w14:textId="7CEA4BC1" w:rsidR="006C0998" w:rsidRPr="00682AA9" w:rsidRDefault="006C0998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82AA9">
        <w:rPr>
          <w:rFonts w:ascii="Book Antiqua" w:hAnsi="Book Antiqua"/>
          <w:b/>
          <w:sz w:val="24"/>
          <w:szCs w:val="24"/>
        </w:rPr>
        <w:t xml:space="preserve">ESPS Manuscript NO: </w:t>
      </w:r>
      <w:r w:rsidRPr="00682AA9">
        <w:rPr>
          <w:rFonts w:ascii="Book Antiqua" w:hAnsi="Book Antiqua"/>
          <w:b/>
          <w:sz w:val="24"/>
          <w:szCs w:val="24"/>
          <w:lang w:eastAsia="zh-CN"/>
        </w:rPr>
        <w:t>25276</w:t>
      </w:r>
    </w:p>
    <w:p w14:paraId="5EEB7AEC" w14:textId="236548AE" w:rsidR="006C0998" w:rsidRPr="00682AA9" w:rsidRDefault="006C0998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82AA9">
        <w:rPr>
          <w:rFonts w:ascii="Book Antiqua" w:hAnsi="Book Antiqua"/>
          <w:b/>
          <w:sz w:val="24"/>
          <w:szCs w:val="24"/>
        </w:rPr>
        <w:t>Manuscript Type: Case Report</w:t>
      </w:r>
    </w:p>
    <w:p w14:paraId="2088B68A" w14:textId="77777777" w:rsidR="006C0998" w:rsidRPr="00682AA9" w:rsidRDefault="006C0998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C305213" w14:textId="20B689FC" w:rsidR="00080F1B" w:rsidRPr="00682AA9" w:rsidRDefault="00E74ECA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t xml:space="preserve">Neuromuscular </w:t>
      </w:r>
      <w:r w:rsidR="00BD7934" w:rsidRPr="00682AA9">
        <w:rPr>
          <w:rFonts w:ascii="Book Antiqua" w:hAnsi="Book Antiqua" w:cs="Times New Roman"/>
          <w:b/>
          <w:sz w:val="24"/>
          <w:szCs w:val="24"/>
        </w:rPr>
        <w:t>electrical stimulation and testosterone did not influence heterotopic ossification size after spinal cord i</w:t>
      </w:r>
      <w:r w:rsidRPr="00682AA9">
        <w:rPr>
          <w:rFonts w:ascii="Book Antiqua" w:hAnsi="Book Antiqua" w:cs="Times New Roman"/>
          <w:b/>
          <w:sz w:val="24"/>
          <w:szCs w:val="24"/>
        </w:rPr>
        <w:t>njury</w:t>
      </w:r>
      <w:r w:rsidR="00BD7934" w:rsidRPr="00682AA9">
        <w:rPr>
          <w:rFonts w:ascii="Book Antiqua" w:hAnsi="Book Antiqua" w:cs="Times New Roman"/>
          <w:b/>
          <w:sz w:val="24"/>
          <w:szCs w:val="24"/>
          <w:lang w:eastAsia="zh-CN"/>
        </w:rPr>
        <w:t xml:space="preserve">: </w:t>
      </w:r>
      <w:r w:rsidR="00623BD6" w:rsidRPr="00682AA9">
        <w:rPr>
          <w:rFonts w:ascii="Book Antiqua" w:hAnsi="Book Antiqua" w:cs="Times New Roman"/>
          <w:b/>
          <w:sz w:val="24"/>
          <w:szCs w:val="24"/>
        </w:rPr>
        <w:t>A case series</w:t>
      </w:r>
    </w:p>
    <w:p w14:paraId="055B405F" w14:textId="77777777" w:rsidR="002C50AB" w:rsidRPr="00682AA9" w:rsidRDefault="002C50AB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CCECCBB" w14:textId="33895DD6" w:rsidR="006C0998" w:rsidRPr="00682AA9" w:rsidRDefault="002C50AB" w:rsidP="008C5647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Cs/>
          <w:sz w:val="24"/>
          <w:szCs w:val="24"/>
        </w:rPr>
        <w:t xml:space="preserve">Moore </w:t>
      </w:r>
      <w:r w:rsidRPr="00682AA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PD </w:t>
      </w:r>
      <w:r w:rsidRPr="00682AA9">
        <w:rPr>
          <w:rFonts w:ascii="Book Antiqua" w:hAnsi="Book Antiqua" w:cs="Times New Roman"/>
          <w:bCs/>
          <w:i/>
          <w:sz w:val="24"/>
          <w:szCs w:val="24"/>
          <w:lang w:eastAsia="zh-CN"/>
        </w:rPr>
        <w:t xml:space="preserve">et al. </w:t>
      </w:r>
      <w:r w:rsidRPr="00682AA9">
        <w:rPr>
          <w:rFonts w:ascii="Book Antiqua" w:hAnsi="Book Antiqua" w:cs="Times New Roman"/>
          <w:bCs/>
          <w:sz w:val="24"/>
          <w:szCs w:val="24"/>
        </w:rPr>
        <w:t xml:space="preserve">HO </w:t>
      </w:r>
      <w:r w:rsidR="00682AA9" w:rsidRPr="00682AA9">
        <w:rPr>
          <w:rFonts w:ascii="Book Antiqua" w:hAnsi="Book Antiqua" w:cs="Times New Roman"/>
          <w:bCs/>
          <w:sz w:val="24"/>
          <w:szCs w:val="24"/>
        </w:rPr>
        <w:t>s</w:t>
      </w:r>
      <w:r w:rsidRPr="00682AA9">
        <w:rPr>
          <w:rFonts w:ascii="Book Antiqua" w:hAnsi="Book Antiqua" w:cs="Times New Roman"/>
          <w:bCs/>
          <w:sz w:val="24"/>
          <w:szCs w:val="24"/>
        </w:rPr>
        <w:t>ize and SCI</w:t>
      </w:r>
    </w:p>
    <w:p w14:paraId="3D01FC86" w14:textId="77777777" w:rsidR="002C50AB" w:rsidRPr="00682AA9" w:rsidRDefault="002C50AB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4718CA2C" w14:textId="24508EB9" w:rsidR="006C0998" w:rsidRPr="00682AA9" w:rsidRDefault="006C0998" w:rsidP="008C5647">
      <w:pPr>
        <w:pStyle w:val="Default"/>
        <w:spacing w:line="360" w:lineRule="auto"/>
        <w:jc w:val="both"/>
        <w:rPr>
          <w:rFonts w:ascii="Book Antiqua" w:hAnsi="Book Antiqua" w:cs="Times New Roman"/>
          <w:b/>
          <w:bCs/>
          <w:color w:val="auto"/>
          <w:lang w:eastAsia="zh-CN"/>
        </w:rPr>
      </w:pPr>
      <w:r w:rsidRPr="00682AA9">
        <w:rPr>
          <w:rFonts w:ascii="Book Antiqua" w:hAnsi="Book Antiqua" w:cs="Times New Roman"/>
          <w:b/>
          <w:bCs/>
          <w:color w:val="auto"/>
        </w:rPr>
        <w:t xml:space="preserve">Pamela D Moore, Ashraf S </w:t>
      </w: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Gorgey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 xml:space="preserve">, Rodney C Wade, </w:t>
      </w: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Refka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 xml:space="preserve"> E Khalil, Timothy R </w:t>
      </w: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Lavis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 xml:space="preserve">, </w:t>
      </w: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Rehan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 xml:space="preserve"> Khan, Robert A Adler</w:t>
      </w:r>
    </w:p>
    <w:p w14:paraId="2962EF26" w14:textId="77777777" w:rsidR="008A1CF1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iCs/>
          <w:color w:val="auto"/>
          <w:lang w:eastAsia="zh-CN"/>
        </w:rPr>
      </w:pPr>
    </w:p>
    <w:p w14:paraId="674EF48D" w14:textId="44486BF8" w:rsidR="004B4DED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color w:val="auto"/>
          <w:lang w:eastAsia="zh-CN"/>
        </w:rPr>
      </w:pPr>
      <w:r w:rsidRPr="00682AA9">
        <w:rPr>
          <w:rFonts w:ascii="Book Antiqua" w:hAnsi="Book Antiqua" w:cs="Times New Roman"/>
          <w:b/>
          <w:bCs/>
          <w:color w:val="auto"/>
        </w:rPr>
        <w:t xml:space="preserve">Pamela D Moore, Ashraf S </w:t>
      </w: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Gorgey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 xml:space="preserve">, Rodney C Wade, </w:t>
      </w: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Refka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 xml:space="preserve"> E Khalil, Timothy R </w:t>
      </w: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Lavis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>,</w:t>
      </w:r>
      <w:r w:rsidRPr="00682AA9">
        <w:rPr>
          <w:rFonts w:ascii="Book Antiqua" w:hAnsi="Book Antiqua" w:cs="Times New Roman"/>
          <w:b/>
          <w:bCs/>
          <w:color w:val="auto"/>
          <w:lang w:eastAsia="zh-CN"/>
        </w:rPr>
        <w:t xml:space="preserve"> </w:t>
      </w:r>
      <w:r w:rsidR="004B4DED" w:rsidRPr="00682AA9">
        <w:rPr>
          <w:rFonts w:ascii="Book Antiqua" w:hAnsi="Book Antiqua" w:cs="Times New Roman"/>
          <w:iCs/>
          <w:color w:val="auto"/>
        </w:rPr>
        <w:t>Spinal Cord Injury Service and Disorders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</w:t>
      </w:r>
      <w:r w:rsidR="004B4DED" w:rsidRPr="00682AA9">
        <w:rPr>
          <w:rFonts w:ascii="Book Antiqua" w:hAnsi="Book Antiqua" w:cs="Times New Roman"/>
          <w:iCs/>
          <w:color w:val="auto"/>
        </w:rPr>
        <w:t xml:space="preserve"> Hunter Holmes McGuire VA Medical Center</w:t>
      </w:r>
      <w:r w:rsidR="002C50AB" w:rsidRPr="00682AA9">
        <w:rPr>
          <w:rFonts w:ascii="Book Antiqua" w:hAnsi="Book Antiqua" w:cs="Times New Roman"/>
          <w:iCs/>
          <w:color w:val="auto"/>
        </w:rPr>
        <w:t>, Richmond, VA</w:t>
      </w:r>
      <w:r w:rsidR="00E87728" w:rsidRPr="00682AA9">
        <w:rPr>
          <w:rFonts w:ascii="Book Antiqua" w:hAnsi="Book Antiqua" w:cs="Times New Roman"/>
          <w:iCs/>
          <w:color w:val="auto"/>
        </w:rPr>
        <w:t xml:space="preserve"> 23249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 United States</w:t>
      </w:r>
    </w:p>
    <w:p w14:paraId="52411712" w14:textId="77777777" w:rsidR="008A1CF1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iCs/>
          <w:color w:val="auto"/>
          <w:lang w:eastAsia="zh-CN"/>
        </w:rPr>
      </w:pPr>
    </w:p>
    <w:p w14:paraId="5B08C56C" w14:textId="48ED4A1D" w:rsidR="004B4DED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iCs/>
          <w:color w:val="auto"/>
        </w:rPr>
      </w:pPr>
      <w:r w:rsidRPr="00682AA9">
        <w:rPr>
          <w:rFonts w:ascii="Book Antiqua" w:hAnsi="Book Antiqua" w:cs="Times New Roman"/>
          <w:b/>
          <w:bCs/>
          <w:color w:val="auto"/>
        </w:rPr>
        <w:t xml:space="preserve">Ashraf S </w:t>
      </w: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Gorgey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 xml:space="preserve">, Timothy R </w:t>
      </w: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Lavis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 xml:space="preserve">, </w:t>
      </w:r>
      <w:r w:rsidR="004B4DED" w:rsidRPr="00682AA9">
        <w:rPr>
          <w:rFonts w:ascii="Book Antiqua" w:hAnsi="Book Antiqua" w:cs="Times New Roman"/>
          <w:iCs/>
          <w:color w:val="auto"/>
        </w:rPr>
        <w:t>Physical Medicine and Rehabilitation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</w:t>
      </w:r>
      <w:r w:rsidR="004B4DED" w:rsidRPr="00682AA9">
        <w:rPr>
          <w:rFonts w:ascii="Book Antiqua" w:hAnsi="Book Antiqua" w:cs="Times New Roman"/>
          <w:iCs/>
          <w:color w:val="auto"/>
        </w:rPr>
        <w:t xml:space="preserve"> Virginia Commonwealth University</w:t>
      </w:r>
      <w:r w:rsidR="002C50AB" w:rsidRPr="00682AA9">
        <w:rPr>
          <w:rFonts w:ascii="Book Antiqua" w:hAnsi="Book Antiqua" w:cs="Times New Roman"/>
          <w:iCs/>
          <w:color w:val="auto"/>
        </w:rPr>
        <w:t>, Richmond, VA</w:t>
      </w:r>
      <w:r w:rsidR="00EC2609" w:rsidRPr="00682AA9">
        <w:rPr>
          <w:rFonts w:ascii="Book Antiqua" w:hAnsi="Book Antiqua" w:cs="Times New Roman"/>
          <w:iCs/>
          <w:color w:val="auto"/>
        </w:rPr>
        <w:t xml:space="preserve"> 23284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 United States</w:t>
      </w:r>
    </w:p>
    <w:p w14:paraId="41824A2E" w14:textId="77777777" w:rsidR="008A1CF1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iCs/>
          <w:color w:val="auto"/>
          <w:lang w:eastAsia="zh-CN"/>
        </w:rPr>
      </w:pPr>
    </w:p>
    <w:p w14:paraId="7A8AB844" w14:textId="0743723D" w:rsidR="004B4DED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iCs/>
          <w:color w:val="auto"/>
        </w:rPr>
      </w:pPr>
      <w:proofErr w:type="spellStart"/>
      <w:r w:rsidRPr="00682AA9">
        <w:rPr>
          <w:rFonts w:ascii="Book Antiqua" w:hAnsi="Book Antiqua" w:cs="Times New Roman"/>
          <w:b/>
          <w:bCs/>
          <w:color w:val="auto"/>
        </w:rPr>
        <w:t>Rehan</w:t>
      </w:r>
      <w:proofErr w:type="spellEnd"/>
      <w:r w:rsidRPr="00682AA9">
        <w:rPr>
          <w:rFonts w:ascii="Book Antiqua" w:hAnsi="Book Antiqua" w:cs="Times New Roman"/>
          <w:b/>
          <w:bCs/>
          <w:color w:val="auto"/>
        </w:rPr>
        <w:t xml:space="preserve"> Khan,</w:t>
      </w:r>
      <w:r w:rsidRPr="00682AA9">
        <w:rPr>
          <w:rFonts w:ascii="Book Antiqua" w:hAnsi="Book Antiqua" w:cs="Times New Roman"/>
          <w:b/>
          <w:bCs/>
          <w:color w:val="auto"/>
          <w:lang w:eastAsia="zh-CN"/>
        </w:rPr>
        <w:t xml:space="preserve"> </w:t>
      </w:r>
      <w:r w:rsidR="004B4DED" w:rsidRPr="00682AA9">
        <w:rPr>
          <w:rFonts w:ascii="Book Antiqua" w:hAnsi="Book Antiqua" w:cs="Times New Roman"/>
          <w:iCs/>
          <w:color w:val="auto"/>
        </w:rPr>
        <w:t>Radiology Service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</w:t>
      </w:r>
      <w:r w:rsidR="004B4DED" w:rsidRPr="00682AA9">
        <w:rPr>
          <w:rFonts w:ascii="Book Antiqua" w:hAnsi="Book Antiqua" w:cs="Times New Roman"/>
          <w:iCs/>
          <w:color w:val="auto"/>
        </w:rPr>
        <w:t xml:space="preserve"> Hunter Holmes McGuire VA Medical Center</w:t>
      </w:r>
      <w:r w:rsidR="002C50AB" w:rsidRPr="00682AA9">
        <w:rPr>
          <w:rFonts w:ascii="Book Antiqua" w:hAnsi="Book Antiqua" w:cs="Times New Roman"/>
          <w:iCs/>
          <w:color w:val="auto"/>
        </w:rPr>
        <w:t>, Richmond, VA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 xml:space="preserve"> </w:t>
      </w:r>
      <w:r w:rsidR="00E87728" w:rsidRPr="00682AA9">
        <w:rPr>
          <w:rFonts w:ascii="Book Antiqua" w:hAnsi="Book Antiqua" w:cs="Times New Roman"/>
          <w:iCs/>
          <w:color w:val="auto"/>
        </w:rPr>
        <w:t>23249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 United States</w:t>
      </w:r>
    </w:p>
    <w:p w14:paraId="0E1247B0" w14:textId="77777777" w:rsidR="008A1CF1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iCs/>
          <w:color w:val="auto"/>
          <w:lang w:eastAsia="zh-CN"/>
        </w:rPr>
      </w:pPr>
    </w:p>
    <w:p w14:paraId="36CC0875" w14:textId="41CDC52E" w:rsidR="004B4DED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iCs/>
          <w:color w:val="auto"/>
        </w:rPr>
      </w:pPr>
      <w:r w:rsidRPr="00682AA9">
        <w:rPr>
          <w:rFonts w:ascii="Book Antiqua" w:hAnsi="Book Antiqua" w:cs="Times New Roman"/>
          <w:b/>
          <w:bCs/>
          <w:color w:val="auto"/>
        </w:rPr>
        <w:t>Robert A Adler</w:t>
      </w:r>
      <w:r w:rsidRPr="00682AA9">
        <w:rPr>
          <w:rFonts w:ascii="Book Antiqua" w:hAnsi="Book Antiqua" w:cs="Times New Roman"/>
          <w:b/>
          <w:bCs/>
          <w:color w:val="auto"/>
          <w:lang w:eastAsia="zh-CN"/>
        </w:rPr>
        <w:t>,</w:t>
      </w:r>
      <w:r w:rsidRPr="00682AA9">
        <w:rPr>
          <w:rFonts w:ascii="Book Antiqua" w:hAnsi="Book Antiqua" w:cs="Times New Roman"/>
          <w:iCs/>
          <w:color w:val="auto"/>
        </w:rPr>
        <w:t xml:space="preserve"> </w:t>
      </w:r>
      <w:r w:rsidR="004B4DED" w:rsidRPr="00682AA9">
        <w:rPr>
          <w:rFonts w:ascii="Book Antiqua" w:hAnsi="Book Antiqua" w:cs="Times New Roman"/>
          <w:iCs/>
          <w:color w:val="auto"/>
        </w:rPr>
        <w:t>Endocrinology Service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</w:t>
      </w:r>
      <w:r w:rsidR="004B4DED" w:rsidRPr="00682AA9">
        <w:rPr>
          <w:rFonts w:ascii="Book Antiqua" w:hAnsi="Book Antiqua" w:cs="Times New Roman"/>
          <w:iCs/>
          <w:color w:val="auto"/>
        </w:rPr>
        <w:t xml:space="preserve"> Hunter Holmes McGuire VA Medical Center</w:t>
      </w:r>
      <w:r w:rsidR="002C50AB" w:rsidRPr="00682AA9">
        <w:rPr>
          <w:rFonts w:ascii="Book Antiqua" w:hAnsi="Book Antiqua" w:cs="Times New Roman"/>
          <w:iCs/>
          <w:color w:val="auto"/>
        </w:rPr>
        <w:t>, Richmond, VA</w:t>
      </w:r>
      <w:r w:rsidR="00EC2609" w:rsidRPr="00682AA9">
        <w:rPr>
          <w:rFonts w:ascii="Book Antiqua" w:hAnsi="Book Antiqua" w:cs="Times New Roman"/>
          <w:iCs/>
          <w:color w:val="auto"/>
        </w:rPr>
        <w:t xml:space="preserve"> 23249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 United States</w:t>
      </w:r>
    </w:p>
    <w:p w14:paraId="3966717F" w14:textId="77777777" w:rsidR="008A1CF1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iCs/>
          <w:color w:val="auto"/>
          <w:lang w:eastAsia="zh-CN"/>
        </w:rPr>
      </w:pPr>
    </w:p>
    <w:p w14:paraId="4C6D3ECE" w14:textId="753CD28D" w:rsidR="004B4DED" w:rsidRPr="00682AA9" w:rsidRDefault="008A1CF1" w:rsidP="008C5647">
      <w:pPr>
        <w:pStyle w:val="Default"/>
        <w:spacing w:line="360" w:lineRule="auto"/>
        <w:jc w:val="both"/>
        <w:rPr>
          <w:rFonts w:ascii="Book Antiqua" w:hAnsi="Book Antiqua" w:cs="Times New Roman"/>
          <w:iCs/>
          <w:color w:val="auto"/>
        </w:rPr>
      </w:pPr>
      <w:r w:rsidRPr="00682AA9">
        <w:rPr>
          <w:rFonts w:ascii="Book Antiqua" w:hAnsi="Book Antiqua" w:cs="Times New Roman"/>
          <w:b/>
          <w:bCs/>
          <w:color w:val="auto"/>
        </w:rPr>
        <w:t>Robert A Adler</w:t>
      </w:r>
      <w:r w:rsidRPr="00682AA9">
        <w:rPr>
          <w:rFonts w:ascii="Book Antiqua" w:hAnsi="Book Antiqua" w:cs="Times New Roman"/>
          <w:b/>
          <w:bCs/>
          <w:color w:val="auto"/>
          <w:lang w:eastAsia="zh-CN"/>
        </w:rPr>
        <w:t xml:space="preserve">, </w:t>
      </w:r>
      <w:r w:rsidR="004B4DED" w:rsidRPr="00682AA9">
        <w:rPr>
          <w:rFonts w:ascii="Book Antiqua" w:hAnsi="Book Antiqua" w:cs="Times New Roman"/>
          <w:iCs/>
          <w:color w:val="auto"/>
        </w:rPr>
        <w:t>Endocrine Division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</w:t>
      </w:r>
      <w:r w:rsidR="004B4DED" w:rsidRPr="00682AA9">
        <w:rPr>
          <w:rFonts w:ascii="Book Antiqua" w:hAnsi="Book Antiqua" w:cs="Times New Roman"/>
          <w:iCs/>
          <w:color w:val="auto"/>
        </w:rPr>
        <w:t xml:space="preserve"> Virginia Commonwealth University School of Medicine</w:t>
      </w:r>
      <w:r w:rsidR="002C50AB" w:rsidRPr="00682AA9">
        <w:rPr>
          <w:rFonts w:ascii="Book Antiqua" w:hAnsi="Book Antiqua" w:cs="Times New Roman"/>
          <w:iCs/>
          <w:color w:val="auto"/>
        </w:rPr>
        <w:t>, Richmond, VA</w:t>
      </w:r>
      <w:r w:rsidR="00EC2609" w:rsidRPr="00682AA9">
        <w:rPr>
          <w:rFonts w:ascii="Book Antiqua" w:hAnsi="Book Antiqua" w:cs="Times New Roman"/>
          <w:iCs/>
          <w:color w:val="auto"/>
        </w:rPr>
        <w:t xml:space="preserve"> 23284</w:t>
      </w:r>
      <w:r w:rsidR="002C50AB" w:rsidRPr="00682AA9">
        <w:rPr>
          <w:rFonts w:ascii="Book Antiqua" w:hAnsi="Book Antiqua" w:cs="Times New Roman"/>
          <w:iCs/>
          <w:color w:val="auto"/>
          <w:lang w:eastAsia="zh-CN"/>
        </w:rPr>
        <w:t>, United States</w:t>
      </w:r>
    </w:p>
    <w:p w14:paraId="160F378F" w14:textId="77777777" w:rsidR="004B4DED" w:rsidRPr="00682AA9" w:rsidRDefault="004B4DED" w:rsidP="008C5647">
      <w:pPr>
        <w:pStyle w:val="Default"/>
        <w:spacing w:line="360" w:lineRule="auto"/>
        <w:jc w:val="both"/>
        <w:rPr>
          <w:rFonts w:ascii="Book Antiqua" w:hAnsi="Book Antiqua" w:cs="Times New Roman"/>
          <w:b/>
          <w:bCs/>
          <w:color w:val="auto"/>
        </w:rPr>
      </w:pPr>
    </w:p>
    <w:p w14:paraId="5EAFB219" w14:textId="5F437B1A" w:rsidR="008A1CF1" w:rsidRPr="00682AA9" w:rsidRDefault="008A1CF1" w:rsidP="008C5647">
      <w:pPr>
        <w:pStyle w:val="BodyTextIndent3"/>
        <w:spacing w:after="0" w:line="360" w:lineRule="auto"/>
        <w:ind w:left="0"/>
        <w:jc w:val="both"/>
        <w:rPr>
          <w:rFonts w:ascii="Book Antiqua" w:hAnsi="Book Antiqua"/>
          <w:sz w:val="24"/>
          <w:szCs w:val="24"/>
          <w:lang w:eastAsia="zh-CN"/>
        </w:rPr>
      </w:pPr>
      <w:r w:rsidRPr="00682AA9">
        <w:rPr>
          <w:rFonts w:ascii="Book Antiqua" w:hAnsi="Book Antiqua"/>
          <w:b/>
          <w:sz w:val="24"/>
          <w:szCs w:val="24"/>
        </w:rPr>
        <w:t>Author contributions:</w:t>
      </w:r>
      <w:r w:rsidRPr="00682AA9">
        <w:rPr>
          <w:rFonts w:ascii="Book Antiqua" w:hAnsi="Book Antiqua"/>
          <w:sz w:val="24"/>
          <w:szCs w:val="24"/>
        </w:rPr>
        <w:t xml:space="preserve"> All</w:t>
      </w:r>
      <w:r w:rsidRPr="00682AA9">
        <w:rPr>
          <w:rFonts w:ascii="Book Antiqua" w:hAnsi="Book Antiqua"/>
          <w:sz w:val="24"/>
          <w:szCs w:val="24"/>
          <w:lang w:eastAsia="zh-CN"/>
        </w:rPr>
        <w:t xml:space="preserve"> authors contributed to this paper.</w:t>
      </w:r>
    </w:p>
    <w:p w14:paraId="2423330E" w14:textId="77777777" w:rsidR="004B4DED" w:rsidRPr="00682AA9" w:rsidRDefault="004B4DED" w:rsidP="008C5647">
      <w:pPr>
        <w:pStyle w:val="BodyTextIndent3"/>
        <w:spacing w:after="0" w:line="360" w:lineRule="auto"/>
        <w:ind w:left="0"/>
        <w:jc w:val="both"/>
        <w:rPr>
          <w:rStyle w:val="Strong"/>
          <w:rFonts w:ascii="Book Antiqua" w:hAnsi="Book Antiqua" w:cstheme="majorBidi"/>
          <w:sz w:val="24"/>
          <w:szCs w:val="24"/>
          <w:lang w:eastAsia="zh-CN"/>
        </w:rPr>
      </w:pPr>
    </w:p>
    <w:p w14:paraId="77F4402E" w14:textId="6BED63F2" w:rsidR="00CE54E6" w:rsidRPr="00682AA9" w:rsidRDefault="007C6DC6" w:rsidP="008C56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eastAsia="Times New Roman" w:hAnsi="Book Antiqua"/>
          <w:b/>
          <w:bCs/>
          <w:iCs/>
          <w:sz w:val="24"/>
          <w:szCs w:val="24"/>
        </w:rPr>
        <w:lastRenderedPageBreak/>
        <w:t>Institutional review board statement</w:t>
      </w:r>
      <w:r w:rsidRPr="00682AA9">
        <w:rPr>
          <w:rFonts w:ascii="Book Antiqua" w:hAnsi="Book Antiqua"/>
          <w:b/>
          <w:sz w:val="24"/>
          <w:szCs w:val="24"/>
        </w:rPr>
        <w:t>:</w:t>
      </w:r>
      <w:r w:rsidRPr="00682AA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gramStart"/>
      <w:r w:rsidR="00CE54E6" w:rsidRPr="00682AA9">
        <w:rPr>
          <w:rFonts w:ascii="Book Antiqua" w:hAnsi="Book Antiqua" w:cs="Times New Roman"/>
          <w:sz w:val="24"/>
          <w:szCs w:val="24"/>
        </w:rPr>
        <w:t>The study was approved by the local Institutional Review Boards of Hunter Holmes McGuire VA Medical Center and Virginia Commonwealth University</w:t>
      </w:r>
      <w:proofErr w:type="gramEnd"/>
      <w:r w:rsidR="00CE54E6" w:rsidRPr="00682AA9">
        <w:rPr>
          <w:rFonts w:ascii="Book Antiqua" w:hAnsi="Book Antiqua" w:cs="Times New Roman"/>
          <w:sz w:val="24"/>
          <w:szCs w:val="24"/>
        </w:rPr>
        <w:t xml:space="preserve">. </w:t>
      </w:r>
    </w:p>
    <w:p w14:paraId="53CA09BC" w14:textId="77777777" w:rsidR="007C6DC6" w:rsidRPr="00682AA9" w:rsidRDefault="007C6DC6" w:rsidP="008C56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  <w:lang w:eastAsia="zh-CN"/>
        </w:rPr>
      </w:pPr>
    </w:p>
    <w:p w14:paraId="2CB7CE01" w14:textId="365953B7" w:rsidR="007C6DC6" w:rsidRPr="00682AA9" w:rsidRDefault="007C6DC6" w:rsidP="008C56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eastAsia="Times New Roman" w:hAnsi="Book Antiqua"/>
          <w:b/>
          <w:bCs/>
          <w:iCs/>
          <w:sz w:val="24"/>
          <w:szCs w:val="24"/>
        </w:rPr>
        <w:t>Informed consent statement</w:t>
      </w:r>
      <w:r w:rsidRPr="00682AA9">
        <w:rPr>
          <w:rFonts w:ascii="Book Antiqua" w:hAnsi="Book Antiqua"/>
          <w:b/>
          <w:sz w:val="24"/>
          <w:szCs w:val="24"/>
        </w:rPr>
        <w:t>:</w:t>
      </w:r>
      <w:r w:rsidRPr="00682AA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A2933" w:rsidRPr="00682AA9">
        <w:rPr>
          <w:rFonts w:ascii="Book Antiqua" w:hAnsi="Book Antiqua" w:cs="Times New Roman"/>
          <w:sz w:val="24"/>
          <w:szCs w:val="24"/>
        </w:rPr>
        <w:t>Both</w:t>
      </w:r>
      <w:r w:rsidR="00CE54E6" w:rsidRPr="00682AA9">
        <w:rPr>
          <w:rFonts w:ascii="Book Antiqua" w:hAnsi="Book Antiqua" w:cs="Times New Roman"/>
          <w:sz w:val="24"/>
          <w:szCs w:val="24"/>
        </w:rPr>
        <w:t xml:space="preserve"> participants enrolled in the study after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CE54E6" w:rsidRPr="00682AA9">
        <w:rPr>
          <w:rFonts w:ascii="Book Antiqua" w:hAnsi="Book Antiqua" w:cs="Times New Roman"/>
          <w:sz w:val="24"/>
          <w:szCs w:val="24"/>
        </w:rPr>
        <w:t>reading and signing consent forms that were approved by local ethical committee.</w:t>
      </w:r>
    </w:p>
    <w:p w14:paraId="50B005E4" w14:textId="5076BEAC" w:rsidR="00CE54E6" w:rsidRPr="00682AA9" w:rsidRDefault="00CE54E6" w:rsidP="008C56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  <w:lang w:eastAsia="zh-CN"/>
        </w:rPr>
      </w:pPr>
    </w:p>
    <w:p w14:paraId="110320FB" w14:textId="7CCBD87C" w:rsidR="003F45E2" w:rsidRPr="00682AA9" w:rsidRDefault="007C6DC6" w:rsidP="008C56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Cs/>
          <w:iCs/>
          <w:sz w:val="24"/>
          <w:szCs w:val="24"/>
          <w:lang w:eastAsia="zh-CN"/>
        </w:rPr>
      </w:pPr>
      <w:r w:rsidRPr="00682AA9">
        <w:rPr>
          <w:rFonts w:ascii="Book Antiqua" w:eastAsia="Times New Roman" w:hAnsi="Book Antiqua" w:cs="TimesNewRomanPS-BoldItalicMT"/>
          <w:b/>
          <w:bCs/>
          <w:iCs/>
          <w:sz w:val="24"/>
          <w:szCs w:val="24"/>
        </w:rPr>
        <w:t>Conflict-of-interest statement</w:t>
      </w:r>
      <w:r w:rsidRPr="00682AA9">
        <w:rPr>
          <w:rFonts w:ascii="Book Antiqua" w:hAnsi="Book Antiqua"/>
          <w:b/>
          <w:sz w:val="24"/>
          <w:szCs w:val="24"/>
        </w:rPr>
        <w:t>:</w:t>
      </w:r>
      <w:r w:rsidR="003F45E2" w:rsidRPr="00682AA9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 xml:space="preserve"> </w:t>
      </w:r>
      <w:r w:rsidR="003F45E2" w:rsidRPr="00682AA9">
        <w:rPr>
          <w:rFonts w:ascii="Book Antiqua" w:hAnsi="Book Antiqua" w:cs="TimesNewRomanPS-BoldItalicMT"/>
          <w:bCs/>
          <w:iCs/>
          <w:sz w:val="24"/>
          <w:szCs w:val="24"/>
        </w:rPr>
        <w:t>None of the authors have any conflict of interest to disclose</w:t>
      </w:r>
      <w:r w:rsidRPr="00682AA9">
        <w:rPr>
          <w:rFonts w:ascii="Book Antiqua" w:hAnsi="Book Antiqua" w:cs="TimesNewRomanPS-BoldItalicMT"/>
          <w:bCs/>
          <w:iCs/>
          <w:sz w:val="24"/>
          <w:szCs w:val="24"/>
          <w:lang w:eastAsia="zh-CN"/>
        </w:rPr>
        <w:t>.</w:t>
      </w:r>
    </w:p>
    <w:p w14:paraId="7EBF1001" w14:textId="77777777" w:rsidR="007C6DC6" w:rsidRPr="00682AA9" w:rsidRDefault="007C6DC6" w:rsidP="008C56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Cs/>
          <w:iCs/>
          <w:sz w:val="24"/>
          <w:szCs w:val="24"/>
          <w:lang w:eastAsia="zh-CN"/>
        </w:rPr>
      </w:pPr>
    </w:p>
    <w:p w14:paraId="4608990E" w14:textId="77777777" w:rsidR="007C6DC6" w:rsidRPr="00682AA9" w:rsidRDefault="007C6DC6" w:rsidP="008C5647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682AA9">
        <w:rPr>
          <w:rFonts w:ascii="Book Antiqua" w:hAnsi="Book Antiqua"/>
          <w:b/>
          <w:sz w:val="24"/>
          <w:szCs w:val="24"/>
        </w:rPr>
        <w:t xml:space="preserve">Open-Access: </w:t>
      </w:r>
      <w:bookmarkStart w:id="0" w:name="OLE_LINK479"/>
      <w:bookmarkStart w:id="1" w:name="OLE_LINK496"/>
      <w:bookmarkStart w:id="2" w:name="OLE_LINK506"/>
      <w:bookmarkStart w:id="3" w:name="OLE_LINK507"/>
      <w:r w:rsidRPr="00682AA9">
        <w:rPr>
          <w:rFonts w:ascii="Book Antiqua" w:hAnsi="Book Antiqua"/>
          <w:sz w:val="24"/>
          <w:szCs w:val="24"/>
        </w:rPr>
        <w:t>This article is an open-access article</w:t>
      </w:r>
      <w:proofErr w:type="gramStart"/>
      <w:r w:rsidRPr="00682AA9">
        <w:rPr>
          <w:rFonts w:ascii="Book Antiqua" w:hAnsi="Book Antiqua"/>
          <w:sz w:val="24"/>
          <w:szCs w:val="24"/>
        </w:rPr>
        <w:t> which</w:t>
      </w:r>
      <w:proofErr w:type="gramEnd"/>
      <w:r w:rsidRPr="00682AA9">
        <w:rPr>
          <w:rFonts w:ascii="Book Antiqua" w:hAnsi="Book Antiqua"/>
          <w:sz w:val="24"/>
          <w:szCs w:val="24"/>
        </w:rPr>
        <w:t xml:space="preserve">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2C09936D" w14:textId="77777777" w:rsidR="00A30002" w:rsidRDefault="00A30002" w:rsidP="008C5647">
      <w:pPr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  <w:lang w:eastAsia="zh-CN"/>
        </w:rPr>
      </w:pPr>
    </w:p>
    <w:p w14:paraId="6242CAE9" w14:textId="376F3206" w:rsidR="006D4D0A" w:rsidRDefault="006D4D0A" w:rsidP="008C5647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2B3222">
        <w:rPr>
          <w:rFonts w:ascii="Book Antiqua" w:hAnsi="Book Antiqua" w:cs="宋体"/>
          <w:b/>
          <w:sz w:val="24"/>
          <w:szCs w:val="24"/>
        </w:rPr>
        <w:t>Manuscript source:</w:t>
      </w:r>
      <w:r w:rsidRPr="002B3222">
        <w:rPr>
          <w:rFonts w:ascii="Book Antiqua" w:hAnsi="Book Antiqua" w:cs="宋体"/>
          <w:sz w:val="24"/>
          <w:szCs w:val="24"/>
        </w:rPr>
        <w:t> Invited manuscript</w:t>
      </w:r>
    </w:p>
    <w:p w14:paraId="3FDEE0CE" w14:textId="77777777" w:rsidR="006D4D0A" w:rsidRPr="006D4D0A" w:rsidRDefault="006D4D0A" w:rsidP="008C5647">
      <w:pPr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  <w:lang w:eastAsia="zh-CN"/>
        </w:rPr>
      </w:pPr>
    </w:p>
    <w:p w14:paraId="3FD600DA" w14:textId="458E2D7E" w:rsidR="00A30002" w:rsidRPr="00682AA9" w:rsidRDefault="007C6DC6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/>
          <w:b/>
          <w:sz w:val="24"/>
          <w:szCs w:val="24"/>
        </w:rPr>
        <w:t>Correspondence to:</w:t>
      </w:r>
      <w:r w:rsidRPr="00682AA9">
        <w:rPr>
          <w:rStyle w:val="Strong"/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CC40E6" w:rsidRPr="00682AA9">
        <w:rPr>
          <w:rStyle w:val="Strong"/>
          <w:rFonts w:ascii="Book Antiqua" w:hAnsi="Book Antiqua" w:cstheme="majorBidi"/>
          <w:sz w:val="24"/>
          <w:szCs w:val="24"/>
        </w:rPr>
        <w:t>Ashraf S</w:t>
      </w:r>
      <w:r w:rsidR="004B4DED" w:rsidRPr="00682AA9">
        <w:rPr>
          <w:rStyle w:val="Strong"/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4B4DED" w:rsidRPr="00682AA9">
        <w:rPr>
          <w:rStyle w:val="Strong"/>
          <w:rFonts w:ascii="Book Antiqua" w:hAnsi="Book Antiqua" w:cstheme="majorBidi"/>
          <w:sz w:val="24"/>
          <w:szCs w:val="24"/>
        </w:rPr>
        <w:t>Gorgey</w:t>
      </w:r>
      <w:proofErr w:type="spellEnd"/>
      <w:r w:rsidR="004B4DED" w:rsidRPr="00682AA9">
        <w:rPr>
          <w:rStyle w:val="Strong"/>
          <w:rFonts w:ascii="Book Antiqua" w:hAnsi="Book Antiqua" w:cstheme="majorBidi"/>
          <w:sz w:val="24"/>
          <w:szCs w:val="24"/>
        </w:rPr>
        <w:t>, MPT, PhD, FACSM</w:t>
      </w:r>
      <w:r w:rsidRPr="00682AA9">
        <w:rPr>
          <w:rStyle w:val="Strong"/>
          <w:rFonts w:ascii="Book Antiqua" w:hAnsi="Book Antiqua" w:cstheme="majorBidi"/>
          <w:sz w:val="24"/>
          <w:szCs w:val="24"/>
          <w:lang w:eastAsia="zh-CN"/>
        </w:rPr>
        <w:t>,</w:t>
      </w:r>
      <w:r w:rsidR="00A30002" w:rsidRPr="00682AA9">
        <w:rPr>
          <w:rStyle w:val="Strong"/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4B4DED" w:rsidRPr="00682AA9">
        <w:rPr>
          <w:rFonts w:ascii="Book Antiqua" w:hAnsi="Book Antiqua" w:cs="Times New Roman"/>
          <w:b/>
          <w:sz w:val="24"/>
          <w:szCs w:val="24"/>
        </w:rPr>
        <w:t xml:space="preserve">Director </w:t>
      </w:r>
      <w:r w:rsidR="004B4DED" w:rsidRPr="00682AA9">
        <w:rPr>
          <w:rFonts w:ascii="Book Antiqua" w:hAnsi="Book Antiqua" w:cs="Times New Roman"/>
          <w:sz w:val="24"/>
          <w:szCs w:val="24"/>
        </w:rPr>
        <w:t>of Spinal Cord Injury Research</w:t>
      </w:r>
      <w:r w:rsidR="00A30002"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4B4DED" w:rsidRPr="00682AA9">
        <w:rPr>
          <w:rFonts w:ascii="Book Antiqua" w:hAnsi="Book Antiqua" w:cs="Times New Roman"/>
          <w:sz w:val="24"/>
          <w:szCs w:val="24"/>
        </w:rPr>
        <w:t>Department of Veterans Affairs</w:t>
      </w:r>
      <w:r w:rsidR="00A30002" w:rsidRPr="00682AA9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A30002" w:rsidRPr="00682AA9">
        <w:rPr>
          <w:rFonts w:ascii="Book Antiqua" w:hAnsi="Book Antiqua" w:cs="Times New Roman"/>
          <w:iCs/>
          <w:sz w:val="24"/>
          <w:szCs w:val="24"/>
        </w:rPr>
        <w:t xml:space="preserve"> Spinal Cord Injury Service and Disorders</w:t>
      </w:r>
      <w:r w:rsidR="00A30002" w:rsidRPr="00682AA9">
        <w:rPr>
          <w:rFonts w:ascii="Book Antiqua" w:hAnsi="Book Antiqua" w:cs="Times New Roman"/>
          <w:iCs/>
          <w:sz w:val="24"/>
          <w:szCs w:val="24"/>
          <w:lang w:eastAsia="zh-CN"/>
        </w:rPr>
        <w:t>,</w:t>
      </w:r>
      <w:r w:rsidR="00A30002" w:rsidRPr="00682AA9">
        <w:rPr>
          <w:rFonts w:ascii="Book Antiqua" w:hAnsi="Book Antiqua" w:cs="Times New Roman"/>
          <w:iCs/>
          <w:sz w:val="24"/>
          <w:szCs w:val="24"/>
        </w:rPr>
        <w:t xml:space="preserve"> Hunter Holmes McGuire VA Medical Center, </w:t>
      </w:r>
      <w:r w:rsidR="00A30002" w:rsidRPr="00682AA9">
        <w:rPr>
          <w:rFonts w:ascii="Book Antiqua" w:hAnsi="Book Antiqua" w:cs="Times New Roman"/>
          <w:sz w:val="24"/>
          <w:szCs w:val="24"/>
        </w:rPr>
        <w:t>1201 Broad Rock Boulevard</w:t>
      </w:r>
      <w:r w:rsidR="00A30002"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A30002" w:rsidRPr="00682AA9">
        <w:rPr>
          <w:rFonts w:ascii="Book Antiqua" w:hAnsi="Book Antiqua" w:cs="Times New Roman"/>
          <w:iCs/>
          <w:sz w:val="24"/>
          <w:szCs w:val="24"/>
        </w:rPr>
        <w:t>Richmond, VA 23249</w:t>
      </w:r>
      <w:r w:rsidR="00A30002" w:rsidRPr="00682AA9">
        <w:rPr>
          <w:rFonts w:ascii="Book Antiqua" w:hAnsi="Book Antiqua" w:cs="Times New Roman"/>
          <w:iCs/>
          <w:sz w:val="24"/>
          <w:szCs w:val="24"/>
          <w:lang w:eastAsia="zh-CN"/>
        </w:rPr>
        <w:t>, United States.</w:t>
      </w:r>
      <w:r w:rsidR="00A30002" w:rsidRPr="00682AA9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A30002" w:rsidRPr="00682AA9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ashraf.gorgey@va.gov</w:t>
        </w:r>
      </w:hyperlink>
    </w:p>
    <w:p w14:paraId="6E1F6750" w14:textId="7C3772E1" w:rsidR="00A30002" w:rsidRPr="00682AA9" w:rsidRDefault="00A30002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82AA9">
        <w:rPr>
          <w:rFonts w:ascii="Book Antiqua" w:hAnsi="Book Antiqua"/>
          <w:b/>
          <w:sz w:val="24"/>
          <w:szCs w:val="24"/>
        </w:rPr>
        <w:t xml:space="preserve">Telephone: </w:t>
      </w:r>
      <w:r w:rsidRPr="00682AA9">
        <w:rPr>
          <w:rFonts w:ascii="Book Antiqua" w:hAnsi="Book Antiqua"/>
          <w:sz w:val="24"/>
          <w:szCs w:val="24"/>
          <w:lang w:eastAsia="zh-CN"/>
        </w:rPr>
        <w:t>+1-</w:t>
      </w:r>
      <w:r w:rsidRPr="00682AA9">
        <w:rPr>
          <w:rFonts w:ascii="Book Antiqua" w:hAnsi="Book Antiqua" w:cs="Times New Roman"/>
          <w:sz w:val="24"/>
          <w:szCs w:val="24"/>
          <w:lang w:val="fr-FR"/>
        </w:rPr>
        <w:t>804-6755000</w:t>
      </w:r>
      <w:r w:rsidRPr="00682AA9">
        <w:rPr>
          <w:rFonts w:ascii="Book Antiqua" w:hAnsi="Book Antiqua" w:cs="Times New Roman"/>
          <w:sz w:val="24"/>
          <w:szCs w:val="24"/>
          <w:lang w:val="fr-FR" w:eastAsia="zh-CN"/>
        </w:rPr>
        <w:t>-</w:t>
      </w:r>
      <w:r w:rsidRPr="00682AA9">
        <w:rPr>
          <w:rFonts w:ascii="Book Antiqua" w:hAnsi="Book Antiqua" w:cs="Times New Roman"/>
          <w:sz w:val="24"/>
          <w:szCs w:val="24"/>
          <w:lang w:val="fr-FR"/>
        </w:rPr>
        <w:t>33386</w:t>
      </w:r>
    </w:p>
    <w:p w14:paraId="45CB6485" w14:textId="6CE362F1" w:rsidR="00A30002" w:rsidRPr="00682AA9" w:rsidRDefault="00A30002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82AA9">
        <w:rPr>
          <w:rFonts w:ascii="Book Antiqua" w:hAnsi="Book Antiqua"/>
          <w:b/>
          <w:sz w:val="24"/>
          <w:szCs w:val="24"/>
        </w:rPr>
        <w:t>Fax:</w:t>
      </w:r>
      <w:r w:rsidRPr="00682AA9">
        <w:rPr>
          <w:rFonts w:ascii="Book Antiqua" w:hAnsi="Book Antiqua" w:cs="Times New Roman"/>
          <w:sz w:val="24"/>
          <w:szCs w:val="24"/>
          <w:lang w:val="fr-FR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  <w:lang w:val="fr-FR" w:eastAsia="zh-CN"/>
        </w:rPr>
        <w:t>+1-</w:t>
      </w:r>
      <w:r w:rsidRPr="00682AA9">
        <w:rPr>
          <w:rFonts w:ascii="Book Antiqua" w:hAnsi="Book Antiqua" w:cs="Times New Roman"/>
          <w:sz w:val="24"/>
          <w:szCs w:val="24"/>
          <w:lang w:val="fr-FR"/>
        </w:rPr>
        <w:t>804-6755223</w:t>
      </w:r>
    </w:p>
    <w:p w14:paraId="6CC84C6A" w14:textId="56D31343" w:rsidR="004B4DED" w:rsidRPr="00682AA9" w:rsidRDefault="004B4DED" w:rsidP="008C5647">
      <w:pPr>
        <w:pStyle w:val="BodyTextIndent3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540D667" w14:textId="3FA497A7" w:rsidR="00A30002" w:rsidRPr="00682AA9" w:rsidRDefault="00A30002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82AA9">
        <w:rPr>
          <w:rFonts w:ascii="Book Antiqua" w:hAnsi="Book Antiqua"/>
          <w:b/>
          <w:sz w:val="24"/>
          <w:szCs w:val="24"/>
        </w:rPr>
        <w:t xml:space="preserve">Received: </w:t>
      </w:r>
      <w:r w:rsidR="00BE33AA" w:rsidRPr="00682AA9">
        <w:rPr>
          <w:rFonts w:ascii="Book Antiqua" w:hAnsi="Book Antiqua"/>
          <w:sz w:val="24"/>
          <w:szCs w:val="24"/>
          <w:lang w:eastAsia="zh-CN"/>
        </w:rPr>
        <w:t>March 2, 2016</w:t>
      </w:r>
      <w:r w:rsidR="00E231E2" w:rsidRPr="00682AA9">
        <w:rPr>
          <w:rFonts w:ascii="Book Antiqua" w:hAnsi="Book Antiqua"/>
          <w:sz w:val="24"/>
          <w:szCs w:val="24"/>
        </w:rPr>
        <w:t xml:space="preserve"> </w:t>
      </w:r>
    </w:p>
    <w:p w14:paraId="136DEAA3" w14:textId="3CA45E2E" w:rsidR="00A30002" w:rsidRPr="00682AA9" w:rsidRDefault="00A30002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82AA9">
        <w:rPr>
          <w:rFonts w:ascii="Book Antiqua" w:hAnsi="Book Antiqua"/>
          <w:b/>
          <w:sz w:val="24"/>
          <w:szCs w:val="24"/>
        </w:rPr>
        <w:t>Peer-review started:</w:t>
      </w:r>
      <w:r w:rsidR="00BE33AA" w:rsidRPr="00682AA9">
        <w:rPr>
          <w:rFonts w:ascii="Book Antiqua" w:hAnsi="Book Antiqua"/>
          <w:sz w:val="24"/>
          <w:szCs w:val="24"/>
          <w:lang w:eastAsia="zh-CN"/>
        </w:rPr>
        <w:t xml:space="preserve"> March 2, 2016</w:t>
      </w:r>
      <w:r w:rsidR="00E231E2" w:rsidRPr="00682AA9">
        <w:rPr>
          <w:rFonts w:ascii="Book Antiqua" w:hAnsi="Book Antiqua"/>
          <w:sz w:val="24"/>
          <w:szCs w:val="24"/>
        </w:rPr>
        <w:t xml:space="preserve"> </w:t>
      </w:r>
    </w:p>
    <w:p w14:paraId="7ACF320C" w14:textId="78D5FCCE" w:rsidR="00A30002" w:rsidRPr="00682AA9" w:rsidRDefault="00A30002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82AA9">
        <w:rPr>
          <w:rFonts w:ascii="Book Antiqua" w:hAnsi="Book Antiqua"/>
          <w:b/>
          <w:sz w:val="24"/>
          <w:szCs w:val="24"/>
        </w:rPr>
        <w:t>First decision:</w:t>
      </w:r>
      <w:r w:rsidR="00BE33AA" w:rsidRPr="00682AA9">
        <w:rPr>
          <w:rFonts w:ascii="Book Antiqua" w:hAnsi="Book Antiqua"/>
          <w:sz w:val="24"/>
          <w:szCs w:val="24"/>
          <w:lang w:eastAsia="zh-CN"/>
        </w:rPr>
        <w:t xml:space="preserve"> March 22, 2016</w:t>
      </w:r>
      <w:r w:rsidR="00E231E2" w:rsidRPr="00682AA9">
        <w:rPr>
          <w:rFonts w:ascii="Book Antiqua" w:hAnsi="Book Antiqua"/>
          <w:sz w:val="24"/>
          <w:szCs w:val="24"/>
        </w:rPr>
        <w:t xml:space="preserve"> </w:t>
      </w:r>
    </w:p>
    <w:p w14:paraId="79BFF775" w14:textId="1D2BA813" w:rsidR="00A30002" w:rsidRPr="00682AA9" w:rsidRDefault="00A30002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82AA9">
        <w:rPr>
          <w:rFonts w:ascii="Book Antiqua" w:hAnsi="Book Antiqua"/>
          <w:b/>
          <w:sz w:val="24"/>
          <w:szCs w:val="24"/>
        </w:rPr>
        <w:lastRenderedPageBreak/>
        <w:t xml:space="preserve">Revised: </w:t>
      </w:r>
      <w:r w:rsidR="00BE33AA" w:rsidRPr="00682AA9">
        <w:rPr>
          <w:rFonts w:ascii="Book Antiqua" w:hAnsi="Book Antiqua"/>
          <w:sz w:val="24"/>
          <w:szCs w:val="24"/>
          <w:lang w:eastAsia="zh-CN"/>
        </w:rPr>
        <w:t>April 1</w:t>
      </w:r>
      <w:r w:rsidR="00A76A6D" w:rsidRPr="00682AA9">
        <w:rPr>
          <w:rFonts w:ascii="Book Antiqua" w:hAnsi="Book Antiqua" w:hint="eastAsia"/>
          <w:sz w:val="24"/>
          <w:szCs w:val="24"/>
          <w:lang w:eastAsia="zh-CN"/>
        </w:rPr>
        <w:t>4</w:t>
      </w:r>
      <w:r w:rsidR="00BE33AA" w:rsidRPr="00682AA9">
        <w:rPr>
          <w:rFonts w:ascii="Book Antiqua" w:hAnsi="Book Antiqua"/>
          <w:sz w:val="24"/>
          <w:szCs w:val="24"/>
          <w:lang w:eastAsia="zh-CN"/>
        </w:rPr>
        <w:t>, 2016</w:t>
      </w:r>
      <w:r w:rsidRPr="00682AA9">
        <w:rPr>
          <w:rFonts w:ascii="Book Antiqua" w:hAnsi="Book Antiqua"/>
          <w:sz w:val="24"/>
          <w:szCs w:val="24"/>
        </w:rPr>
        <w:t xml:space="preserve"> </w:t>
      </w:r>
    </w:p>
    <w:p w14:paraId="54854282" w14:textId="7328A607" w:rsidR="00A30002" w:rsidRPr="009A6BC1" w:rsidRDefault="00A30002" w:rsidP="009A6BC1">
      <w:pPr>
        <w:rPr>
          <w:rFonts w:ascii="Book Antiqua" w:hAnsi="Book Antiqua"/>
          <w:iCs/>
          <w:sz w:val="24"/>
        </w:rPr>
      </w:pPr>
      <w:r w:rsidRPr="00682AA9">
        <w:rPr>
          <w:rFonts w:ascii="Book Antiqua" w:hAnsi="Book Antiqua"/>
          <w:b/>
          <w:sz w:val="24"/>
          <w:szCs w:val="24"/>
        </w:rPr>
        <w:t>Accepted:</w:t>
      </w:r>
      <w:r w:rsidR="00E231E2" w:rsidRPr="00682AA9">
        <w:rPr>
          <w:rFonts w:ascii="Book Antiqua" w:hAnsi="Book Antiqua"/>
          <w:b/>
          <w:sz w:val="24"/>
          <w:szCs w:val="24"/>
        </w:rPr>
        <w:t xml:space="preserve"> </w:t>
      </w:r>
      <w:r w:rsidR="009A6BC1">
        <w:rPr>
          <w:rStyle w:val="Emphasis"/>
        </w:rPr>
        <w:t>May 7</w:t>
      </w:r>
      <w:r w:rsidR="009A6BC1" w:rsidRPr="00235CD4">
        <w:rPr>
          <w:rStyle w:val="Emphasis"/>
        </w:rPr>
        <w:t>,</w:t>
      </w:r>
      <w:r w:rsidR="009A6BC1">
        <w:rPr>
          <w:rStyle w:val="Emphasis"/>
        </w:rPr>
        <w:t xml:space="preserve"> 2016</w:t>
      </w:r>
    </w:p>
    <w:p w14:paraId="17554A93" w14:textId="14D53E9D" w:rsidR="00A30002" w:rsidRPr="00682AA9" w:rsidRDefault="00A30002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82AA9">
        <w:rPr>
          <w:rFonts w:ascii="Book Antiqua" w:hAnsi="Book Antiqua"/>
          <w:b/>
          <w:sz w:val="24"/>
          <w:szCs w:val="24"/>
        </w:rPr>
        <w:t>Article in press:</w:t>
      </w:r>
      <w:r w:rsidR="00E231E2" w:rsidRPr="00682AA9">
        <w:rPr>
          <w:rFonts w:ascii="Book Antiqua" w:hAnsi="Book Antiqua"/>
          <w:sz w:val="24"/>
          <w:szCs w:val="24"/>
        </w:rPr>
        <w:t xml:space="preserve"> </w:t>
      </w:r>
    </w:p>
    <w:p w14:paraId="3E1A989C" w14:textId="77777777" w:rsidR="00A30002" w:rsidRPr="00682AA9" w:rsidRDefault="00A30002" w:rsidP="008C564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82AA9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743CEE5D" w14:textId="77777777" w:rsidR="00A27C18" w:rsidRPr="00682AA9" w:rsidRDefault="00A27C18">
      <w:pPr>
        <w:rPr>
          <w:rFonts w:ascii="Book Antiqua" w:hAnsi="Book Antiqua" w:cs="Times New Roman"/>
          <w:b/>
          <w:sz w:val="24"/>
          <w:szCs w:val="24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8517FDC" w14:textId="1D17FE1E" w:rsidR="00EA5E2E" w:rsidRPr="00682AA9" w:rsidRDefault="00120CC4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  <w:r w:rsidRPr="00682AA9">
        <w:rPr>
          <w:rFonts w:ascii="Book Antiqua" w:hAnsi="Book Antiqua" w:cs="Times New Roman"/>
          <w:b/>
          <w:sz w:val="24"/>
          <w:szCs w:val="24"/>
        </w:rPr>
        <w:br/>
      </w:r>
      <w:r w:rsidRPr="00682AA9">
        <w:rPr>
          <w:rFonts w:ascii="Book Antiqua" w:hAnsi="Book Antiqua" w:cs="Times New Roman"/>
          <w:sz w:val="24"/>
          <w:szCs w:val="24"/>
        </w:rPr>
        <w:t>Neuromuscular electrical stimulation (NMES) and testosterone replacement therapy (TR</w:t>
      </w:r>
      <w:r w:rsidR="00E3724F" w:rsidRPr="00682AA9">
        <w:rPr>
          <w:rFonts w:ascii="Book Antiqua" w:hAnsi="Book Antiqua" w:cs="Times New Roman"/>
          <w:sz w:val="24"/>
          <w:szCs w:val="24"/>
        </w:rPr>
        <w:t>T) are effective rehabilitation</w:t>
      </w:r>
      <w:r w:rsidR="00163888" w:rsidRPr="00682AA9">
        <w:rPr>
          <w:rFonts w:ascii="Book Antiqua" w:hAnsi="Book Antiqua" w:cs="Times New Roman"/>
          <w:sz w:val="24"/>
          <w:szCs w:val="24"/>
        </w:rPr>
        <w:t xml:space="preserve"> strategies</w:t>
      </w:r>
      <w:r w:rsidRPr="00682AA9">
        <w:rPr>
          <w:rFonts w:ascii="Book Antiqua" w:hAnsi="Book Antiqua" w:cs="Times New Roman"/>
          <w:sz w:val="24"/>
          <w:szCs w:val="24"/>
        </w:rPr>
        <w:t xml:space="preserve"> to attenuate muscle atrophy and evoke hypertrophy in persons with spinal cord injury (SCI). However both interventions might in</w:t>
      </w:r>
      <w:r w:rsidR="00163888" w:rsidRPr="00682AA9">
        <w:rPr>
          <w:rFonts w:ascii="Book Antiqua" w:hAnsi="Book Antiqua" w:cs="Times New Roman"/>
          <w:sz w:val="24"/>
          <w:szCs w:val="24"/>
        </w:rPr>
        <w:t>crease heterotopic ossification</w:t>
      </w:r>
      <w:r w:rsidRPr="00682AA9">
        <w:rPr>
          <w:rFonts w:ascii="Book Antiqua" w:hAnsi="Book Antiqua" w:cs="Times New Roman"/>
          <w:sz w:val="24"/>
          <w:szCs w:val="24"/>
        </w:rPr>
        <w:t xml:space="preserve"> (HO)</w:t>
      </w:r>
      <w:r w:rsidR="00163888" w:rsidRPr="00682AA9">
        <w:rPr>
          <w:rFonts w:ascii="Book Antiqua" w:hAnsi="Book Antiqua" w:cs="Times New Roman"/>
          <w:sz w:val="24"/>
          <w:szCs w:val="24"/>
        </w:rPr>
        <w:t xml:space="preserve"> size</w:t>
      </w:r>
      <w:r w:rsidRPr="00682AA9">
        <w:rPr>
          <w:rFonts w:ascii="Book Antiqua" w:hAnsi="Book Antiqua" w:cs="Times New Roman"/>
          <w:sz w:val="24"/>
          <w:szCs w:val="24"/>
        </w:rPr>
        <w:t xml:space="preserve"> in SCI patients.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5B169C" w:rsidRPr="00682AA9">
        <w:rPr>
          <w:rFonts w:ascii="Book Antiqua" w:hAnsi="Book Antiqua" w:cs="Times New Roman"/>
          <w:sz w:val="24"/>
          <w:szCs w:val="24"/>
        </w:rPr>
        <w:t>We present the results of two men with chronic traumatic motor complete SCI who also had pre-existing HO and participated in a study investigating the effects of TRT or TRT plus NMES resistance training on body composition. The 49-year-old male, Subject A, has un</w:t>
      </w:r>
      <w:r w:rsidR="00E3724F" w:rsidRPr="00682AA9">
        <w:rPr>
          <w:rFonts w:ascii="Book Antiqua" w:hAnsi="Book Antiqua" w:cs="Times New Roman"/>
          <w:sz w:val="24"/>
          <w:szCs w:val="24"/>
        </w:rPr>
        <w:t>ilateral HO in his right thigh.</w:t>
      </w:r>
      <w:r w:rsidR="005B169C" w:rsidRPr="00682AA9">
        <w:rPr>
          <w:rFonts w:ascii="Book Antiqua" w:hAnsi="Book Antiqua" w:cs="Times New Roman"/>
          <w:sz w:val="24"/>
          <w:szCs w:val="24"/>
        </w:rPr>
        <w:t xml:space="preserve"> The 31-year-old male, Subject B, has bilateral HO in both thighs.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Both participants wore transdermal </w:t>
      </w:r>
      <w:r w:rsidR="00E3724F" w:rsidRPr="00682AA9">
        <w:rPr>
          <w:rFonts w:ascii="Book Antiqua" w:hAnsi="Book Antiqua" w:cs="Times New Roman"/>
          <w:sz w:val="24"/>
          <w:szCs w:val="24"/>
        </w:rPr>
        <w:t>testosterone patches (4-6 mg/d) daily for 16 wk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Subject A also underwent progressive NMES-RT twice weekly for 16 w</w:t>
      </w:r>
      <w:r w:rsidR="00CB44B4">
        <w:rPr>
          <w:rFonts w:ascii="Book Antiqua" w:hAnsi="Book Antiqua" w:cs="Times New Roman" w:hint="eastAsia"/>
          <w:sz w:val="24"/>
          <w:szCs w:val="24"/>
          <w:lang w:eastAsia="zh-CN"/>
        </w:rPr>
        <w:t>k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7D2A95" w:rsidRPr="00682AA9">
        <w:rPr>
          <w:rFonts w:ascii="Book Antiqua" w:hAnsi="Book Antiqua" w:cs="Times New Roman"/>
          <w:sz w:val="24"/>
          <w:szCs w:val="24"/>
        </w:rPr>
        <w:t xml:space="preserve">Magnetic resonance imaging </w:t>
      </w:r>
      <w:r w:rsidR="007D2A95" w:rsidRPr="00682AA9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Pr="00682AA9">
        <w:rPr>
          <w:rFonts w:ascii="Book Antiqua" w:hAnsi="Book Antiqua" w:cs="Times New Roman"/>
          <w:sz w:val="24"/>
          <w:szCs w:val="24"/>
        </w:rPr>
        <w:t>MRI</w:t>
      </w:r>
      <w:r w:rsidR="007D2A95" w:rsidRPr="00682AA9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Pr="00682AA9">
        <w:rPr>
          <w:rFonts w:ascii="Book Antiqua" w:hAnsi="Book Antiqua" w:cs="Times New Roman"/>
          <w:sz w:val="24"/>
          <w:szCs w:val="24"/>
        </w:rPr>
        <w:t xml:space="preserve"> scans were acquired prior to and post intervention.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Cross-sectional areas (CSA) of the whole thigh</w:t>
      </w:r>
      <w:r w:rsidR="00163888" w:rsidRPr="00682AA9">
        <w:rPr>
          <w:rFonts w:ascii="Book Antiqua" w:hAnsi="Book Antiqua" w:cs="Times New Roman"/>
          <w:sz w:val="24"/>
          <w:szCs w:val="24"/>
        </w:rPr>
        <w:t xml:space="preserve"> and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163888" w:rsidRPr="00682AA9">
        <w:rPr>
          <w:rFonts w:ascii="Book Antiqua" w:hAnsi="Book Antiqua" w:cs="Times New Roman"/>
          <w:sz w:val="24"/>
          <w:szCs w:val="24"/>
        </w:rPr>
        <w:t>knee extensor skeletal muscles</w:t>
      </w:r>
      <w:r w:rsidRPr="00682AA9">
        <w:rPr>
          <w:rFonts w:ascii="Book Antiqua" w:hAnsi="Book Antiqua" w:cs="Times New Roman"/>
          <w:sz w:val="24"/>
          <w:szCs w:val="24"/>
        </w:rPr>
        <w:t>, femoral bone, and HO were measured.</w:t>
      </w:r>
      <w:r w:rsidR="005B169C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In Subject A (NMES-RT</w:t>
      </w:r>
      <w:r w:rsidR="00E3724F"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+</w:t>
      </w:r>
      <w:r w:rsidR="00E3724F"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TRT), the whole thigh skeletal muscle CSA increased by 10%, the knee extensor CSA increased by 17%, and the HO + femoral bone CSA did not change.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In Subject B (TRT), the whole thigh skeletal muscle CSA increased by 13% in the right thigh and 6% in the left thigh. The knee extensor CSA increased by 7% in the right thigh and did not change in the left thigh.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The femoral bone and HO CSAs in both thighs did not change.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Both the TRT and NMES-RT</w:t>
      </w:r>
      <w:r w:rsidR="00E3724F"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+</w:t>
      </w:r>
      <w:r w:rsidR="00E3724F"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TRT protocols evoked muscle hypertrophy without stimulating the growth of pre-existing HO.</w:t>
      </w:r>
    </w:p>
    <w:p w14:paraId="19C9C5E0" w14:textId="77777777" w:rsidR="00E3724F" w:rsidRPr="00682AA9" w:rsidRDefault="00E3724F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CDAF0C3" w14:textId="68FDBA03" w:rsidR="00E3724F" w:rsidRPr="00682AA9" w:rsidRDefault="00EA5E2E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t>Key</w:t>
      </w:r>
      <w:r w:rsidR="00E3724F" w:rsidRPr="00682AA9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Times New Roman"/>
          <w:b/>
          <w:sz w:val="24"/>
          <w:szCs w:val="24"/>
        </w:rPr>
        <w:t>words:</w:t>
      </w:r>
      <w:r w:rsidRPr="00682AA9">
        <w:rPr>
          <w:rFonts w:ascii="Book Antiqua" w:hAnsi="Book Antiqua" w:cs="Times New Roman"/>
          <w:sz w:val="24"/>
          <w:szCs w:val="24"/>
        </w:rPr>
        <w:t xml:space="preserve"> Heterotopic ossification; </w:t>
      </w:r>
      <w:proofErr w:type="gramStart"/>
      <w:r w:rsidR="00E3724F" w:rsidRPr="00682AA9">
        <w:rPr>
          <w:rFonts w:ascii="Book Antiqua" w:hAnsi="Book Antiqua" w:cs="Times New Roman"/>
          <w:sz w:val="24"/>
          <w:szCs w:val="24"/>
        </w:rPr>
        <w:t>N</w:t>
      </w:r>
      <w:r w:rsidRPr="00682AA9">
        <w:rPr>
          <w:rFonts w:ascii="Book Antiqua" w:hAnsi="Book Antiqua" w:cs="Times New Roman"/>
          <w:sz w:val="24"/>
          <w:szCs w:val="24"/>
        </w:rPr>
        <w:t>euromuscular</w:t>
      </w:r>
      <w:proofErr w:type="gramEnd"/>
      <w:r w:rsidRPr="00682AA9">
        <w:rPr>
          <w:rFonts w:ascii="Book Antiqua" w:hAnsi="Book Antiqua" w:cs="Times New Roman"/>
          <w:sz w:val="24"/>
          <w:szCs w:val="24"/>
        </w:rPr>
        <w:t xml:space="preserve"> electrical stimulation; </w:t>
      </w:r>
      <w:r w:rsidR="00E3724F" w:rsidRPr="00682AA9">
        <w:rPr>
          <w:rFonts w:ascii="Book Antiqua" w:hAnsi="Book Antiqua" w:cs="Times New Roman"/>
          <w:sz w:val="24"/>
          <w:szCs w:val="24"/>
        </w:rPr>
        <w:t>T</w:t>
      </w:r>
      <w:r w:rsidRPr="00682AA9">
        <w:rPr>
          <w:rFonts w:ascii="Book Antiqua" w:hAnsi="Book Antiqua" w:cs="Times New Roman"/>
          <w:sz w:val="24"/>
          <w:szCs w:val="24"/>
        </w:rPr>
        <w:t xml:space="preserve">estosterone; </w:t>
      </w:r>
      <w:r w:rsidR="00E3724F" w:rsidRPr="00682AA9">
        <w:rPr>
          <w:rFonts w:ascii="Book Antiqua" w:hAnsi="Book Antiqua" w:cs="Times New Roman"/>
          <w:sz w:val="24"/>
          <w:szCs w:val="24"/>
        </w:rPr>
        <w:t>R</w:t>
      </w:r>
      <w:r w:rsidRPr="00682AA9">
        <w:rPr>
          <w:rFonts w:ascii="Book Antiqua" w:hAnsi="Book Antiqua" w:cs="Times New Roman"/>
          <w:sz w:val="24"/>
          <w:szCs w:val="24"/>
        </w:rPr>
        <w:t xml:space="preserve">esistance training; </w:t>
      </w:r>
      <w:r w:rsidR="00E3724F" w:rsidRPr="00682AA9">
        <w:rPr>
          <w:rFonts w:ascii="Book Antiqua" w:hAnsi="Book Antiqua" w:cs="Times New Roman"/>
          <w:sz w:val="24"/>
          <w:szCs w:val="24"/>
        </w:rPr>
        <w:t>S</w:t>
      </w:r>
      <w:r w:rsidRPr="00682AA9">
        <w:rPr>
          <w:rFonts w:ascii="Book Antiqua" w:hAnsi="Book Antiqua" w:cs="Times New Roman"/>
          <w:sz w:val="24"/>
          <w:szCs w:val="24"/>
        </w:rPr>
        <w:t xml:space="preserve">pinal cord injury </w:t>
      </w:r>
    </w:p>
    <w:p w14:paraId="0FCF69B0" w14:textId="77777777" w:rsidR="00E3724F" w:rsidRPr="00682AA9" w:rsidRDefault="00E3724F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09186B1" w14:textId="77777777" w:rsidR="00E3724F" w:rsidRPr="00682AA9" w:rsidRDefault="00E3724F" w:rsidP="008C564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682AA9">
        <w:rPr>
          <w:rFonts w:ascii="Book Antiqua" w:hAnsi="Book Antiqua"/>
          <w:b/>
          <w:sz w:val="24"/>
          <w:szCs w:val="24"/>
        </w:rPr>
        <w:t xml:space="preserve">© </w:t>
      </w:r>
      <w:r w:rsidRPr="00682AA9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682AA9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682AA9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682AA9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7370257F" w14:textId="67BB6D5E" w:rsidR="00EF1CBF" w:rsidRPr="00682AA9" w:rsidRDefault="00EF1CBF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AF3D22C" w14:textId="1D2DD146" w:rsidR="008B5D69" w:rsidRPr="00682AA9" w:rsidRDefault="006C0998" w:rsidP="008C5647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  <w:r w:rsidRPr="00682AA9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E3724F" w:rsidRPr="00682AA9">
        <w:rPr>
          <w:rFonts w:ascii="Book Antiqua" w:eastAsia="Arial Unicode MS" w:hAnsi="Book Antiqua" w:cs="Arial Unicode MS"/>
          <w:b/>
          <w:sz w:val="24"/>
          <w:szCs w:val="24"/>
        </w:rPr>
        <w:t>ore tip</w:t>
      </w:r>
      <w:r w:rsidR="00E3724F" w:rsidRPr="00682AA9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: </w:t>
      </w:r>
      <w:r w:rsidR="008B5D69" w:rsidRPr="00682AA9">
        <w:rPr>
          <w:rFonts w:ascii="Book Antiqua" w:hAnsi="Book Antiqua" w:cs="Times New Roman"/>
          <w:sz w:val="24"/>
          <w:szCs w:val="24"/>
        </w:rPr>
        <w:t xml:space="preserve">Neuromuscular electrical stimulation (NMES) and testosterone replacement therapy (TRT) are effective rehabilitation strategies in restoring muscle size and lean </w:t>
      </w:r>
      <w:r w:rsidR="008B5D69" w:rsidRPr="00682AA9">
        <w:rPr>
          <w:rFonts w:ascii="Book Antiqua" w:hAnsi="Book Antiqua" w:cs="Times New Roman"/>
          <w:sz w:val="24"/>
          <w:szCs w:val="24"/>
        </w:rPr>
        <w:lastRenderedPageBreak/>
        <w:t>mass in persons with spinal cord injury (SCI).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8B5D69" w:rsidRPr="00682AA9">
        <w:rPr>
          <w:rFonts w:ascii="Book Antiqua" w:hAnsi="Book Antiqua" w:cs="Times New Roman"/>
          <w:sz w:val="24"/>
          <w:szCs w:val="24"/>
        </w:rPr>
        <w:t>However, the effects on ectopic bony growth similar to heterotopic ossification (HO) ha</w:t>
      </w:r>
      <w:r w:rsidR="005B420B" w:rsidRPr="00682AA9">
        <w:rPr>
          <w:rFonts w:ascii="Book Antiqua" w:hAnsi="Book Antiqua" w:cs="Times New Roman"/>
          <w:sz w:val="24"/>
          <w:szCs w:val="24"/>
        </w:rPr>
        <w:t>ve</w:t>
      </w:r>
      <w:r w:rsidR="008B5D69" w:rsidRPr="00682AA9">
        <w:rPr>
          <w:rFonts w:ascii="Book Antiqua" w:hAnsi="Book Antiqua" w:cs="Times New Roman"/>
          <w:sz w:val="24"/>
          <w:szCs w:val="24"/>
        </w:rPr>
        <w:t xml:space="preserve"> yet to be determined. The current two case reports demonstrated that TRT with or withou</w:t>
      </w:r>
      <w:r w:rsidR="00CA2933" w:rsidRPr="00682AA9">
        <w:rPr>
          <w:rFonts w:ascii="Book Antiqua" w:hAnsi="Book Antiqua" w:cs="Times New Roman"/>
          <w:sz w:val="24"/>
          <w:szCs w:val="24"/>
        </w:rPr>
        <w:t xml:space="preserve">t NMES applications for 16 </w:t>
      </w:r>
      <w:proofErr w:type="spellStart"/>
      <w:r w:rsidR="00CA2933" w:rsidRPr="00682AA9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8B5D69" w:rsidRPr="00682AA9">
        <w:rPr>
          <w:rFonts w:ascii="Book Antiqua" w:hAnsi="Book Antiqua" w:cs="Times New Roman"/>
          <w:sz w:val="24"/>
          <w:szCs w:val="24"/>
        </w:rPr>
        <w:t xml:space="preserve"> are considered safe rehabilitation strategies in persons with SCI who have HO formation.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8B5D69" w:rsidRPr="00682AA9">
        <w:rPr>
          <w:rFonts w:ascii="Book Antiqua" w:hAnsi="Book Antiqua" w:cs="Times New Roman"/>
          <w:sz w:val="24"/>
          <w:szCs w:val="24"/>
        </w:rPr>
        <w:t>Both the TRT and NMES</w:t>
      </w:r>
      <w:r w:rsidR="00CA2933"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8B5D69" w:rsidRPr="00682AA9">
        <w:rPr>
          <w:rFonts w:ascii="Book Antiqua" w:hAnsi="Book Antiqua" w:cs="Times New Roman"/>
          <w:sz w:val="24"/>
          <w:szCs w:val="24"/>
        </w:rPr>
        <w:t>+</w:t>
      </w:r>
      <w:r w:rsidR="00CA2933"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8B5D69" w:rsidRPr="00682AA9">
        <w:rPr>
          <w:rFonts w:ascii="Book Antiqua" w:hAnsi="Book Antiqua" w:cs="Times New Roman"/>
          <w:sz w:val="24"/>
          <w:szCs w:val="24"/>
        </w:rPr>
        <w:t>TRT protocols evoked muscle hypertrophy without stimulating the growth of pre-existing HO.</w:t>
      </w:r>
    </w:p>
    <w:p w14:paraId="32978F0E" w14:textId="77777777" w:rsidR="00CA2933" w:rsidRPr="00682AA9" w:rsidRDefault="00CA2933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06F69228" w14:textId="3282FDC0" w:rsidR="00EF1CBF" w:rsidRPr="00682AA9" w:rsidRDefault="00CA2933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Cs/>
          <w:sz w:val="24"/>
          <w:szCs w:val="24"/>
        </w:rPr>
        <w:t>Moore</w:t>
      </w:r>
      <w:r w:rsidRPr="00682AA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PD</w:t>
      </w:r>
      <w:r w:rsidRPr="00682AA9">
        <w:rPr>
          <w:rFonts w:ascii="Book Antiqua" w:hAnsi="Book Antiqua" w:cs="Times New Roman"/>
          <w:bCs/>
          <w:sz w:val="24"/>
          <w:szCs w:val="24"/>
        </w:rPr>
        <w:t xml:space="preserve">, </w:t>
      </w:r>
      <w:proofErr w:type="spellStart"/>
      <w:r w:rsidRPr="00682AA9">
        <w:rPr>
          <w:rFonts w:ascii="Book Antiqua" w:hAnsi="Book Antiqua" w:cs="Times New Roman"/>
          <w:bCs/>
          <w:sz w:val="24"/>
          <w:szCs w:val="24"/>
        </w:rPr>
        <w:t>Gorgey</w:t>
      </w:r>
      <w:proofErr w:type="spellEnd"/>
      <w:r w:rsidRPr="00682AA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AS</w:t>
      </w:r>
      <w:r w:rsidRPr="00682AA9">
        <w:rPr>
          <w:rFonts w:ascii="Book Antiqua" w:hAnsi="Book Antiqua" w:cs="Times New Roman"/>
          <w:bCs/>
          <w:sz w:val="24"/>
          <w:szCs w:val="24"/>
        </w:rPr>
        <w:t>, Wade</w:t>
      </w:r>
      <w:r w:rsidRPr="00682AA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RC</w:t>
      </w:r>
      <w:r w:rsidRPr="00682AA9">
        <w:rPr>
          <w:rFonts w:ascii="Book Antiqua" w:hAnsi="Book Antiqua" w:cs="Times New Roman"/>
          <w:bCs/>
          <w:sz w:val="24"/>
          <w:szCs w:val="24"/>
        </w:rPr>
        <w:t>, Khalil</w:t>
      </w:r>
      <w:r w:rsidRPr="00682AA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RE</w:t>
      </w:r>
      <w:r w:rsidRPr="00682AA9">
        <w:rPr>
          <w:rFonts w:ascii="Book Antiqua" w:hAnsi="Book Antiqua" w:cs="Times New Roman"/>
          <w:bCs/>
          <w:sz w:val="24"/>
          <w:szCs w:val="24"/>
        </w:rPr>
        <w:t xml:space="preserve">, </w:t>
      </w:r>
      <w:proofErr w:type="spellStart"/>
      <w:r w:rsidRPr="00682AA9">
        <w:rPr>
          <w:rFonts w:ascii="Book Antiqua" w:hAnsi="Book Antiqua" w:cs="Times New Roman"/>
          <w:bCs/>
          <w:sz w:val="24"/>
          <w:szCs w:val="24"/>
        </w:rPr>
        <w:t>Lavis</w:t>
      </w:r>
      <w:proofErr w:type="spellEnd"/>
      <w:r w:rsidRPr="00682AA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TR</w:t>
      </w:r>
      <w:r w:rsidRPr="00682AA9">
        <w:rPr>
          <w:rFonts w:ascii="Book Antiqua" w:hAnsi="Book Antiqua" w:cs="Times New Roman"/>
          <w:bCs/>
          <w:sz w:val="24"/>
          <w:szCs w:val="24"/>
        </w:rPr>
        <w:t>, Khan</w:t>
      </w:r>
      <w:r w:rsidRPr="00682AA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R</w:t>
      </w:r>
      <w:r w:rsidRPr="00682AA9">
        <w:rPr>
          <w:rFonts w:ascii="Book Antiqua" w:hAnsi="Book Antiqua" w:cs="Times New Roman"/>
          <w:bCs/>
          <w:sz w:val="24"/>
          <w:szCs w:val="24"/>
        </w:rPr>
        <w:t>, Adler</w:t>
      </w:r>
      <w:r w:rsidRPr="00682AA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RA.</w:t>
      </w:r>
      <w:r w:rsidRPr="00682AA9">
        <w:rPr>
          <w:rFonts w:ascii="Book Antiqua" w:hAnsi="Book Antiqua" w:cs="Times New Roman"/>
          <w:sz w:val="24"/>
          <w:szCs w:val="24"/>
        </w:rPr>
        <w:t xml:space="preserve"> Neuromuscular electrical stimulation and testosterone did not influence heterotopic ossification size after spinal cord injury</w:t>
      </w:r>
      <w:r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: </w:t>
      </w:r>
      <w:r w:rsidRPr="00682AA9">
        <w:rPr>
          <w:rFonts w:ascii="Book Antiqua" w:hAnsi="Book Antiqua" w:cs="Times New Roman"/>
          <w:sz w:val="24"/>
          <w:szCs w:val="24"/>
        </w:rPr>
        <w:t>A case series</w:t>
      </w:r>
      <w:r w:rsidRPr="00682AA9">
        <w:rPr>
          <w:rFonts w:ascii="Book Antiqua" w:hAnsi="Book Antiqua" w:cs="Times New Roman"/>
          <w:sz w:val="24"/>
          <w:szCs w:val="24"/>
          <w:lang w:eastAsia="zh-CN"/>
        </w:rPr>
        <w:t>.</w:t>
      </w:r>
      <w:r w:rsidRPr="00682AA9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682AA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682AA9">
        <w:rPr>
          <w:rFonts w:ascii="Book Antiqua" w:hAnsi="Book Antiqua"/>
          <w:i/>
          <w:iCs/>
          <w:sz w:val="24"/>
          <w:szCs w:val="24"/>
        </w:rPr>
        <w:t xml:space="preserve"> Cases</w:t>
      </w:r>
      <w:r w:rsidRPr="00682AA9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/>
          <w:iCs/>
          <w:sz w:val="24"/>
          <w:szCs w:val="24"/>
          <w:lang w:eastAsia="zh-CN"/>
        </w:rPr>
        <w:t xml:space="preserve">2016; </w:t>
      </w:r>
      <w:proofErr w:type="gramStart"/>
      <w:r w:rsidRPr="00682AA9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682AA9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3FB9FBB0" w14:textId="77777777" w:rsidR="00163888" w:rsidRPr="00682AA9" w:rsidRDefault="00163888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82AA9">
        <w:rPr>
          <w:rFonts w:ascii="Book Antiqua" w:hAnsi="Book Antiqua" w:cs="Times New Roman"/>
          <w:sz w:val="24"/>
          <w:szCs w:val="24"/>
        </w:rPr>
        <w:br w:type="page"/>
      </w:r>
    </w:p>
    <w:p w14:paraId="40235688" w14:textId="595D52E2" w:rsidR="00CA2933" w:rsidRPr="00682AA9" w:rsidRDefault="00CA2933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sz w:val="24"/>
          <w:szCs w:val="24"/>
          <w:lang w:eastAsia="zh-CN"/>
        </w:rPr>
        <w:lastRenderedPageBreak/>
        <w:t>INTRODUCTION</w:t>
      </w:r>
    </w:p>
    <w:p w14:paraId="4A8FF562" w14:textId="77777777" w:rsidR="00E231E2" w:rsidRPr="00682AA9" w:rsidRDefault="00120CC4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 xml:space="preserve">Great attention is currently directed towards developing rehabilitation strategies to offset the negative consequences of spinal cord injury (SCI) on the musculoskeletal, metabolic and cardiovascular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systems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Both electro-therapeutic and pharmaceutical interventions have been successful in reversing skeletal muscle atrophy following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SCI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2-6]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Moreover, persons with SCI suffer decreased levels of anabolic hormones such as testosterone (T)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[7,8]</w:t>
      </w:r>
      <w:r w:rsidR="001D3B72"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Sixty percent of m</w:t>
      </w:r>
      <w:r w:rsidR="003D1360" w:rsidRPr="00682AA9">
        <w:rPr>
          <w:rFonts w:ascii="Book Antiqua" w:hAnsi="Book Antiqua" w:cs="Times New Roman"/>
          <w:sz w:val="24"/>
          <w:szCs w:val="24"/>
        </w:rPr>
        <w:t>en with SCI have low T levels beginning</w:t>
      </w:r>
      <w:r w:rsidRPr="00682AA9">
        <w:rPr>
          <w:rFonts w:ascii="Book Antiqua" w:hAnsi="Book Antiqua" w:cs="Times New Roman"/>
          <w:sz w:val="24"/>
          <w:szCs w:val="24"/>
        </w:rPr>
        <w:t xml:space="preserve"> within 6 months after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SCI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Testosterone replacement therapy (TRT) has been shown to promote lean</w:t>
      </w:r>
      <w:r w:rsidR="00EF1CBF" w:rsidRPr="00682AA9">
        <w:rPr>
          <w:rFonts w:ascii="Book Antiqua" w:hAnsi="Book Antiqua" w:cs="Times New Roman"/>
          <w:sz w:val="24"/>
          <w:szCs w:val="24"/>
        </w:rPr>
        <w:t xml:space="preserve"> mass, reduce fat mass</w:t>
      </w:r>
      <w:r w:rsidRPr="00682AA9">
        <w:rPr>
          <w:rFonts w:ascii="Book Antiqua" w:hAnsi="Book Antiqua" w:cs="Times New Roman"/>
          <w:sz w:val="24"/>
          <w:szCs w:val="24"/>
        </w:rPr>
        <w:t xml:space="preserve"> and increase basal metabolic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rate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</w:p>
    <w:p w14:paraId="5B299DC8" w14:textId="77777777" w:rsidR="00E231E2" w:rsidRPr="00682AA9" w:rsidRDefault="00120CC4" w:rsidP="008C564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>Surface neuromuscular electrical stimulation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resistance training (NMES-RT) has induced muscle hypertrophy up to 30</w:t>
      </w:r>
      <w:r w:rsidR="00E231E2" w:rsidRPr="00682AA9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682AA9">
        <w:rPr>
          <w:rFonts w:ascii="Book Antiqua" w:hAnsi="Book Antiqua" w:cs="Times New Roman"/>
          <w:sz w:val="24"/>
          <w:szCs w:val="24"/>
        </w:rPr>
        <w:t>-40%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[3-5]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Previously, significant muscle hypertrophy of the thigh muscles was accompanied by decreased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int</w:t>
      </w:r>
      <w:r w:rsidR="00EF1CBF" w:rsidRPr="00682AA9">
        <w:rPr>
          <w:rFonts w:ascii="Book Antiqua" w:hAnsi="Book Antiqua" w:cs="Times New Roman"/>
          <w:sz w:val="24"/>
          <w:szCs w:val="24"/>
        </w:rPr>
        <w:t>ramuscular fat, increased leg lean mass</w:t>
      </w:r>
      <w:r w:rsidRPr="00682AA9">
        <w:rPr>
          <w:rFonts w:ascii="Book Antiqua" w:hAnsi="Book Antiqua" w:cs="Times New Roman"/>
          <w:sz w:val="24"/>
          <w:szCs w:val="24"/>
        </w:rPr>
        <w:t xml:space="preserve"> and fatigue resistance, and improved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metabolic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profile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4,5]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Combining TRT with NMES-RT may prove beneficial in promoting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positive changes in body composition in persons with SCI.</w:t>
      </w:r>
    </w:p>
    <w:p w14:paraId="67AC9551" w14:textId="77777777" w:rsidR="00E231E2" w:rsidRPr="00682AA9" w:rsidRDefault="00120CC4" w:rsidP="008C564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A common problem impacting the quality of life following SCI is the development of </w:t>
      </w:r>
      <w:r w:rsidR="00E3724F" w:rsidRPr="00682AA9">
        <w:rPr>
          <w:rFonts w:ascii="Book Antiqua" w:hAnsi="Book Antiqua" w:cs="Times New Roman"/>
          <w:sz w:val="24"/>
          <w:szCs w:val="24"/>
        </w:rPr>
        <w:t>HO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HO is estimated to affect </w:t>
      </w:r>
      <w:r w:rsidR="004A0B41" w:rsidRPr="00682AA9">
        <w:rPr>
          <w:rFonts w:ascii="Book Antiqua" w:hAnsi="Book Antiqua" w:cs="Times New Roman"/>
          <w:sz w:val="24"/>
          <w:szCs w:val="24"/>
        </w:rPr>
        <w:t xml:space="preserve">up to </w:t>
      </w:r>
      <w:r w:rsidRPr="00682AA9">
        <w:rPr>
          <w:rFonts w:ascii="Book Antiqua" w:hAnsi="Book Antiqua" w:cs="Times New Roman"/>
          <w:sz w:val="24"/>
          <w:szCs w:val="24"/>
        </w:rPr>
        <w:t xml:space="preserve">53% of the SCI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population</w:t>
      </w:r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231E2" w:rsidRPr="00682AA9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HO grows in non-bony areas near large joints below the level of injury and contributes to reduction in range of motion and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pain resulting from compression of vascular and peripheral nerve structures.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The purpose of this report was to determine if the anabolic effects of TRT with or without NMES-RT would trigger the growth of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pre-existing HO in two persons with motor complete SCI.</w:t>
      </w:r>
    </w:p>
    <w:p w14:paraId="4340BFA8" w14:textId="5E62B12A" w:rsidR="00E231E2" w:rsidRPr="00682AA9" w:rsidRDefault="00163888" w:rsidP="008C5647">
      <w:pPr>
        <w:spacing w:after="0" w:line="360" w:lineRule="auto"/>
        <w:jc w:val="both"/>
        <w:rPr>
          <w:rStyle w:val="apple-converted-space"/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br/>
      </w:r>
      <w:r w:rsidR="00E231E2" w:rsidRPr="00682AA9">
        <w:rPr>
          <w:rStyle w:val="apple-converted-space"/>
          <w:rFonts w:ascii="Book Antiqua" w:hAnsi="Book Antiqua" w:cs="Times New Roman"/>
          <w:b/>
          <w:sz w:val="24"/>
          <w:szCs w:val="24"/>
        </w:rPr>
        <w:t>CASE REPORT</w:t>
      </w:r>
    </w:p>
    <w:p w14:paraId="54845DE7" w14:textId="77777777" w:rsidR="00DD147B" w:rsidRPr="00682AA9" w:rsidRDefault="00120CC4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>Two men with chronic traumatic motor complete SCI participated in a clinical trial (NCT01652040) addressing the effects of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NMES-RT</w:t>
      </w:r>
      <w:r w:rsidR="00E231E2"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+</w:t>
      </w:r>
      <w:r w:rsidR="00E231E2"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TRT </w:t>
      </w:r>
      <w:proofErr w:type="spellStart"/>
      <w:r w:rsidR="00E231E2" w:rsidRPr="00682AA9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TRT on parameters of body composition and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metabolic profile.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The physical characteristics of both participants are listed in </w:t>
      </w:r>
      <w:r w:rsidR="00462544" w:rsidRPr="00682AA9">
        <w:rPr>
          <w:rFonts w:ascii="Book Antiqua" w:hAnsi="Book Antiqua" w:cs="Times New Roman"/>
          <w:sz w:val="24"/>
          <w:szCs w:val="24"/>
        </w:rPr>
        <w:t xml:space="preserve">Table 1. </w:t>
      </w:r>
      <w:r w:rsidRPr="00682AA9">
        <w:rPr>
          <w:rFonts w:ascii="Book Antiqua" w:hAnsi="Book Antiqua" w:cs="Times New Roman"/>
          <w:sz w:val="24"/>
          <w:szCs w:val="24"/>
        </w:rPr>
        <w:t>Both participants reported a past history of HO.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X-ray records confirmed the presence of HO in subjects A and B.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Both participants had functional range of motion of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their hip, knee, and ankle joints during their initial </w:t>
      </w:r>
      <w:r w:rsidRPr="00682AA9">
        <w:rPr>
          <w:rFonts w:ascii="Book Antiqua" w:hAnsi="Book Antiqua" w:cs="Times New Roman"/>
          <w:sz w:val="24"/>
          <w:szCs w:val="24"/>
        </w:rPr>
        <w:lastRenderedPageBreak/>
        <w:t>physical exam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before starting the study. The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 xml:space="preserve">study was approved by the </w:t>
      </w:r>
      <w:r w:rsidR="00462544" w:rsidRPr="00682AA9">
        <w:rPr>
          <w:rFonts w:ascii="Book Antiqua" w:hAnsi="Book Antiqua" w:cs="Times New Roman"/>
          <w:sz w:val="24"/>
          <w:szCs w:val="24"/>
        </w:rPr>
        <w:t xml:space="preserve">local </w:t>
      </w:r>
      <w:r w:rsidRPr="00682AA9">
        <w:rPr>
          <w:rFonts w:ascii="Book Antiqua" w:hAnsi="Book Antiqua" w:cs="Times New Roman"/>
          <w:sz w:val="24"/>
          <w:szCs w:val="24"/>
        </w:rPr>
        <w:t>Institutional Review Board</w:t>
      </w:r>
      <w:r w:rsidR="00462544" w:rsidRPr="00682AA9">
        <w:rPr>
          <w:rFonts w:ascii="Book Antiqua" w:hAnsi="Book Antiqua" w:cs="Times New Roman"/>
          <w:sz w:val="24"/>
          <w:szCs w:val="24"/>
        </w:rPr>
        <w:t>s</w:t>
      </w:r>
      <w:proofErr w:type="gramEnd"/>
      <w:r w:rsidR="00462544" w:rsidRPr="00682AA9">
        <w:rPr>
          <w:rFonts w:ascii="Book Antiqua" w:hAnsi="Book Antiqua" w:cs="Times New Roman"/>
          <w:sz w:val="24"/>
          <w:szCs w:val="24"/>
        </w:rPr>
        <w:t>,</w:t>
      </w:r>
      <w:r w:rsidRPr="00682AA9">
        <w:rPr>
          <w:rFonts w:ascii="Book Antiqua" w:hAnsi="Book Antiqua" w:cs="Times New Roman"/>
          <w:sz w:val="24"/>
          <w:szCs w:val="24"/>
        </w:rPr>
        <w:t xml:space="preserve"> and both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participants enrolled in the study after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462544" w:rsidRPr="00682AA9">
        <w:rPr>
          <w:rFonts w:ascii="Book Antiqua" w:hAnsi="Book Antiqua" w:cs="Times New Roman"/>
          <w:sz w:val="24"/>
          <w:szCs w:val="24"/>
        </w:rPr>
        <w:t>rea</w:t>
      </w:r>
      <w:r w:rsidRPr="00682AA9">
        <w:rPr>
          <w:rFonts w:ascii="Book Antiqua" w:hAnsi="Book Antiqua" w:cs="Times New Roman"/>
          <w:sz w:val="24"/>
          <w:szCs w:val="24"/>
        </w:rPr>
        <w:t>ding and signing consent forms</w:t>
      </w:r>
      <w:r w:rsidR="00163888" w:rsidRPr="00682AA9">
        <w:rPr>
          <w:rFonts w:ascii="Book Antiqua" w:hAnsi="Book Antiqua" w:cs="Times New Roman"/>
          <w:sz w:val="24"/>
          <w:szCs w:val="24"/>
        </w:rPr>
        <w:t>.</w:t>
      </w:r>
    </w:p>
    <w:p w14:paraId="1C3E8648" w14:textId="77777777" w:rsidR="00DD147B" w:rsidRPr="00682AA9" w:rsidRDefault="00120CC4" w:rsidP="008C5647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br/>
      </w:r>
      <w:r w:rsidRPr="00682AA9">
        <w:rPr>
          <w:rFonts w:ascii="Book Antiqua" w:hAnsi="Book Antiqua" w:cs="Times New Roman"/>
          <w:b/>
          <w:bCs/>
          <w:i/>
          <w:iCs/>
          <w:sz w:val="24"/>
          <w:szCs w:val="24"/>
        </w:rPr>
        <w:t>NMES-RT for Subject A</w:t>
      </w:r>
    </w:p>
    <w:p w14:paraId="1B977C0D" w14:textId="2F9EE256" w:rsidR="009A3BF7" w:rsidRPr="00682AA9" w:rsidRDefault="00120CC4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 xml:space="preserve">A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Theratouch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NMES unit</w:t>
      </w:r>
      <w:r w:rsidRPr="00682AA9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5526EB" w:rsidRPr="00682AA9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5526EB" w:rsidRPr="00682AA9">
        <w:rPr>
          <w:rFonts w:ascii="Book Antiqua" w:hAnsi="Book Antiqua" w:cs="Times New Roman"/>
          <w:sz w:val="24"/>
          <w:szCs w:val="24"/>
        </w:rPr>
        <w:t>NMES unit: Rich-Mar Corp, 4120 S Creek Rd, Chattanooga, TN 37406</w:t>
      </w:r>
      <w:r w:rsidR="005526EB"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) </w:t>
      </w:r>
      <w:r w:rsidRPr="00682AA9">
        <w:rPr>
          <w:rFonts w:ascii="Book Antiqua" w:hAnsi="Book Antiqua" w:cs="Times New Roman"/>
          <w:sz w:val="24"/>
          <w:szCs w:val="24"/>
        </w:rPr>
        <w:t>was used along with two conductive adhesive gel electrodes (8</w:t>
      </w:r>
      <w:r w:rsidR="009A3BF7" w:rsidRPr="00682AA9">
        <w:rPr>
          <w:rFonts w:ascii="Book Antiqua" w:hAnsi="Book Antiqua" w:cs="Times New Roman"/>
          <w:sz w:val="24"/>
          <w:szCs w:val="24"/>
        </w:rPr>
        <w:t>-cm</w:t>
      </w:r>
      <w:r w:rsidRPr="00682AA9">
        <w:rPr>
          <w:rFonts w:ascii="Book Antiqua" w:hAnsi="Book Antiqua" w:cs="Times New Roman"/>
          <w:sz w:val="24"/>
          <w:szCs w:val="24"/>
        </w:rPr>
        <w:t xml:space="preserve"> × 10-cm).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39202B" w:rsidRPr="00682AA9">
        <w:rPr>
          <w:rFonts w:ascii="Book Antiqua" w:hAnsi="Book Antiqua" w:cs="Times New Roman"/>
          <w:sz w:val="24"/>
          <w:szCs w:val="24"/>
        </w:rPr>
        <w:t xml:space="preserve">A single </w:t>
      </w:r>
      <w:r w:rsidRPr="00682AA9">
        <w:rPr>
          <w:rFonts w:ascii="Book Antiqua" w:hAnsi="Book Antiqua" w:cs="Times New Roman"/>
          <w:sz w:val="24"/>
          <w:szCs w:val="24"/>
        </w:rPr>
        <w:t xml:space="preserve">electrode was placed 2-3 cm above the superior aspect of the patella over the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vastus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medialis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muscle; the other was placed lateral to and 30 cm above the patella over the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vastus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lateralis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muscle.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39202B" w:rsidRPr="00682AA9">
        <w:rPr>
          <w:rFonts w:ascii="Book Antiqua" w:hAnsi="Book Antiqua" w:cs="Times New Roman"/>
          <w:sz w:val="24"/>
          <w:szCs w:val="24"/>
        </w:rPr>
        <w:t xml:space="preserve">Stimulation parameters </w:t>
      </w:r>
      <w:r w:rsidRPr="00682AA9">
        <w:rPr>
          <w:rFonts w:ascii="Book Antiqua" w:hAnsi="Book Antiqua" w:cs="Times New Roman"/>
          <w:sz w:val="24"/>
          <w:szCs w:val="24"/>
        </w:rPr>
        <w:t xml:space="preserve">were set at </w:t>
      </w:r>
      <w:r w:rsidR="0039202B" w:rsidRPr="00682AA9">
        <w:rPr>
          <w:rFonts w:ascii="Book Antiqua" w:hAnsi="Book Antiqua" w:cs="Times New Roman"/>
          <w:sz w:val="24"/>
          <w:szCs w:val="24"/>
        </w:rPr>
        <w:t xml:space="preserve">a frequency of </w:t>
      </w:r>
      <w:r w:rsidRPr="00682AA9">
        <w:rPr>
          <w:rFonts w:ascii="Book Antiqua" w:hAnsi="Book Antiqua" w:cs="Times New Roman"/>
          <w:sz w:val="24"/>
          <w:szCs w:val="24"/>
        </w:rPr>
        <w:t>30 Hz</w:t>
      </w:r>
      <w:r w:rsidR="0039202B" w:rsidRPr="00682AA9">
        <w:rPr>
          <w:rFonts w:ascii="Book Antiqua" w:hAnsi="Book Antiqua" w:cs="Times New Roman"/>
          <w:sz w:val="24"/>
          <w:szCs w:val="24"/>
        </w:rPr>
        <w:t>,</w:t>
      </w:r>
      <w:r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39202B" w:rsidRPr="00682AA9">
        <w:rPr>
          <w:rFonts w:ascii="Book Antiqua" w:hAnsi="Book Antiqua" w:cs="Times New Roman"/>
          <w:sz w:val="24"/>
          <w:szCs w:val="24"/>
        </w:rPr>
        <w:t xml:space="preserve">a </w:t>
      </w:r>
      <w:r w:rsidRPr="00682AA9">
        <w:rPr>
          <w:rFonts w:ascii="Book Antiqua" w:hAnsi="Book Antiqua" w:cs="Times New Roman"/>
          <w:sz w:val="24"/>
          <w:szCs w:val="24"/>
        </w:rPr>
        <w:t>pulse duration</w:t>
      </w:r>
      <w:r w:rsidR="0039202B" w:rsidRPr="00682AA9">
        <w:rPr>
          <w:rFonts w:ascii="Book Antiqua" w:hAnsi="Book Antiqua" w:cs="Times New Roman"/>
          <w:sz w:val="24"/>
          <w:szCs w:val="24"/>
        </w:rPr>
        <w:t xml:space="preserve"> of 450-µs and an amplitude of current (mA) reasonable to evoke full knee extension from a sitting position in the participant’s </w:t>
      </w:r>
      <w:proofErr w:type="gramStart"/>
      <w:r w:rsidR="0039202B" w:rsidRPr="00682AA9">
        <w:rPr>
          <w:rFonts w:ascii="Book Antiqua" w:hAnsi="Book Antiqua" w:cs="Times New Roman"/>
          <w:sz w:val="24"/>
          <w:szCs w:val="24"/>
        </w:rPr>
        <w:t>wheelchair</w:t>
      </w:r>
      <w:r w:rsidR="009A3BF7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A3BF7" w:rsidRPr="00682AA9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Pr="00682AA9">
        <w:rPr>
          <w:rFonts w:ascii="Book Antiqua" w:hAnsi="Book Antiqua" w:cs="Times New Roman"/>
          <w:sz w:val="24"/>
          <w:szCs w:val="24"/>
        </w:rPr>
        <w:t>.</w:t>
      </w:r>
    </w:p>
    <w:p w14:paraId="2B499854" w14:textId="6B1FF557" w:rsidR="009A3BF7" w:rsidRPr="00682AA9" w:rsidRDefault="00120CC4" w:rsidP="008C564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>The training protocol was con</w:t>
      </w:r>
      <w:r w:rsidR="009A3BF7" w:rsidRPr="00682AA9">
        <w:rPr>
          <w:rFonts w:ascii="Book Antiqua" w:hAnsi="Book Antiqua" w:cs="Times New Roman"/>
          <w:sz w:val="24"/>
          <w:szCs w:val="24"/>
        </w:rPr>
        <w:t>ducted twice weekly for 16 w</w:t>
      </w:r>
      <w:r w:rsidR="0039202B" w:rsidRPr="00682AA9">
        <w:rPr>
          <w:rFonts w:ascii="Book Antiqua" w:hAnsi="Book Antiqua" w:cs="Times New Roman"/>
          <w:sz w:val="24"/>
          <w:szCs w:val="24"/>
        </w:rPr>
        <w:t>ee</w:t>
      </w:r>
      <w:r w:rsidR="009A3BF7" w:rsidRPr="00682AA9">
        <w:rPr>
          <w:rFonts w:ascii="Book Antiqua" w:hAnsi="Book Antiqua" w:cs="Times New Roman"/>
          <w:sz w:val="24"/>
          <w:szCs w:val="24"/>
        </w:rPr>
        <w:t>k</w:t>
      </w:r>
      <w:r w:rsidR="0039202B" w:rsidRPr="00682AA9">
        <w:rPr>
          <w:rFonts w:ascii="Book Antiqua" w:hAnsi="Book Antiqua" w:cs="Times New Roman"/>
          <w:sz w:val="24"/>
          <w:szCs w:val="24"/>
        </w:rPr>
        <w:t>s</w:t>
      </w:r>
      <w:r w:rsidRPr="00682AA9">
        <w:rPr>
          <w:rFonts w:ascii="Book Antiqua" w:hAnsi="Book Antiqua" w:cs="Times New Roman"/>
          <w:sz w:val="24"/>
          <w:szCs w:val="24"/>
        </w:rPr>
        <w:t xml:space="preserve"> using surface NMES and ankle weights while sitting in the wheelchair.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9A3BF7" w:rsidRPr="00682AA9">
        <w:rPr>
          <w:rFonts w:ascii="Book Antiqua" w:hAnsi="Book Antiqua" w:cs="Times New Roman"/>
          <w:sz w:val="24"/>
          <w:szCs w:val="24"/>
        </w:rPr>
        <w:t xml:space="preserve">The first 2 </w:t>
      </w:r>
      <w:proofErr w:type="spellStart"/>
      <w:r w:rsidR="009A3BF7" w:rsidRPr="00682AA9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, </w:t>
      </w:r>
      <w:r w:rsidR="0039202B" w:rsidRPr="00682AA9">
        <w:rPr>
          <w:rFonts w:ascii="Book Antiqua" w:hAnsi="Book Antiqua" w:cs="Times New Roman"/>
          <w:sz w:val="24"/>
          <w:szCs w:val="24"/>
        </w:rPr>
        <w:t xml:space="preserve">exercise was performed without </w:t>
      </w:r>
      <w:r w:rsidRPr="00682AA9">
        <w:rPr>
          <w:rFonts w:ascii="Book Antiqua" w:hAnsi="Book Antiqua" w:cs="Times New Roman"/>
          <w:sz w:val="24"/>
          <w:szCs w:val="24"/>
        </w:rPr>
        <w:t xml:space="preserve">ankle weights to condition the paralyzed knee extensors; weights were then progressively increased by 2 lbs. weekly after 40 repetitions (4 sets </w:t>
      </w:r>
      <w:r w:rsidR="00A27C18" w:rsidRPr="00682AA9">
        <w:rPr>
          <w:rFonts w:ascii="Book Antiqua" w:hAnsi="Book Antiqua" w:cs="Times New Roman"/>
          <w:sz w:val="24"/>
          <w:szCs w:val="24"/>
        </w:rPr>
        <w:t>×</w:t>
      </w:r>
      <w:r w:rsidRPr="00682AA9">
        <w:rPr>
          <w:rFonts w:ascii="Book Antiqua" w:hAnsi="Book Antiqua" w:cs="Times New Roman"/>
          <w:sz w:val="24"/>
          <w:szCs w:val="24"/>
        </w:rPr>
        <w:t xml:space="preserve"> 10) of full knee extension were achieved in one session.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39202B" w:rsidRPr="00682AA9">
        <w:rPr>
          <w:rFonts w:ascii="Book Antiqua" w:hAnsi="Book Antiqua" w:cs="Times New Roman"/>
          <w:sz w:val="24"/>
          <w:szCs w:val="24"/>
        </w:rPr>
        <w:t>A rest period of 2-min was allowed between exercising sets.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Increasing the current amplitude caused the knee extensors to contract and dynamically move the leg and weights against gravity.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After full </w:t>
      </w:r>
      <w:r w:rsidR="00494729" w:rsidRPr="00682AA9">
        <w:rPr>
          <w:rFonts w:ascii="Book Antiqua" w:hAnsi="Book Antiqua" w:cs="Times New Roman"/>
          <w:sz w:val="24"/>
          <w:szCs w:val="24"/>
        </w:rPr>
        <w:t xml:space="preserve">knee </w:t>
      </w:r>
      <w:r w:rsidRPr="00682AA9">
        <w:rPr>
          <w:rFonts w:ascii="Book Antiqua" w:hAnsi="Book Antiqua" w:cs="Times New Roman"/>
          <w:sz w:val="24"/>
          <w:szCs w:val="24"/>
        </w:rPr>
        <w:t>extension was maintained for 3</w:t>
      </w:r>
      <w:r w:rsidR="00494729" w:rsidRPr="00682AA9">
        <w:rPr>
          <w:rFonts w:ascii="Book Antiqua" w:hAnsi="Book Antiqua" w:cs="Times New Roman"/>
          <w:sz w:val="24"/>
          <w:szCs w:val="24"/>
        </w:rPr>
        <w:t>-5</w:t>
      </w:r>
      <w:r w:rsidRPr="00682AA9">
        <w:rPr>
          <w:rFonts w:ascii="Book Antiqua" w:hAnsi="Book Antiqua" w:cs="Times New Roman"/>
          <w:sz w:val="24"/>
          <w:szCs w:val="24"/>
        </w:rPr>
        <w:t xml:space="preserve"> s, the current was </w:t>
      </w:r>
      <w:r w:rsidR="00494729" w:rsidRPr="00682AA9">
        <w:rPr>
          <w:rFonts w:ascii="Book Antiqua" w:hAnsi="Book Antiqua" w:cs="Times New Roman"/>
          <w:sz w:val="24"/>
          <w:szCs w:val="24"/>
        </w:rPr>
        <w:t xml:space="preserve">gradually </w:t>
      </w:r>
      <w:r w:rsidRPr="00682AA9">
        <w:rPr>
          <w:rFonts w:ascii="Book Antiqua" w:hAnsi="Book Antiqua" w:cs="Times New Roman"/>
          <w:sz w:val="24"/>
          <w:szCs w:val="24"/>
        </w:rPr>
        <w:t xml:space="preserve">decreased </w:t>
      </w:r>
      <w:r w:rsidR="00494729" w:rsidRPr="00682AA9">
        <w:rPr>
          <w:rFonts w:ascii="Book Antiqua" w:hAnsi="Book Antiqua" w:cs="Times New Roman"/>
          <w:sz w:val="24"/>
          <w:szCs w:val="24"/>
        </w:rPr>
        <w:t xml:space="preserve">to allow </w:t>
      </w:r>
      <w:r w:rsidRPr="00682AA9">
        <w:rPr>
          <w:rFonts w:ascii="Book Antiqua" w:hAnsi="Book Antiqua" w:cs="Times New Roman"/>
          <w:sz w:val="24"/>
          <w:szCs w:val="24"/>
        </w:rPr>
        <w:t xml:space="preserve">the </w:t>
      </w:r>
      <w:r w:rsidR="00494729" w:rsidRPr="00682AA9">
        <w:rPr>
          <w:rFonts w:ascii="Book Antiqua" w:hAnsi="Book Antiqua" w:cs="Times New Roman"/>
          <w:sz w:val="24"/>
          <w:szCs w:val="24"/>
        </w:rPr>
        <w:t xml:space="preserve">exercising </w:t>
      </w:r>
      <w:r w:rsidRPr="00682AA9">
        <w:rPr>
          <w:rFonts w:ascii="Book Antiqua" w:hAnsi="Book Antiqua" w:cs="Times New Roman"/>
          <w:sz w:val="24"/>
          <w:szCs w:val="24"/>
        </w:rPr>
        <w:t xml:space="preserve">leg to </w:t>
      </w:r>
      <w:r w:rsidR="00494729" w:rsidRPr="00682AA9">
        <w:rPr>
          <w:rFonts w:ascii="Book Antiqua" w:hAnsi="Book Antiqua" w:cs="Times New Roman"/>
          <w:sz w:val="24"/>
          <w:szCs w:val="24"/>
        </w:rPr>
        <w:t xml:space="preserve">slowly drop to </w:t>
      </w:r>
      <w:r w:rsidRPr="00682AA9">
        <w:rPr>
          <w:rFonts w:ascii="Book Antiqua" w:hAnsi="Book Antiqua" w:cs="Times New Roman"/>
          <w:sz w:val="24"/>
          <w:szCs w:val="24"/>
        </w:rPr>
        <w:t xml:space="preserve">the </w:t>
      </w:r>
      <w:r w:rsidR="00494729" w:rsidRPr="00682AA9">
        <w:rPr>
          <w:rFonts w:ascii="Book Antiqua" w:hAnsi="Book Antiqua" w:cs="Times New Roman"/>
          <w:sz w:val="24"/>
          <w:szCs w:val="24"/>
        </w:rPr>
        <w:t xml:space="preserve">initial </w:t>
      </w:r>
      <w:r w:rsidRPr="00682AA9">
        <w:rPr>
          <w:rFonts w:ascii="Book Antiqua" w:hAnsi="Book Antiqua" w:cs="Times New Roman"/>
          <w:sz w:val="24"/>
          <w:szCs w:val="24"/>
        </w:rPr>
        <w:t>position.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8B3A2C" w:rsidRPr="00682AA9">
        <w:rPr>
          <w:rFonts w:ascii="Book Antiqua" w:hAnsi="Book Antiqua" w:cs="Times New Roman"/>
          <w:sz w:val="24"/>
          <w:szCs w:val="24"/>
        </w:rPr>
        <w:t>Th</w:t>
      </w:r>
      <w:r w:rsidR="00BD6F8E" w:rsidRPr="00682AA9">
        <w:rPr>
          <w:rFonts w:ascii="Book Antiqua" w:hAnsi="Book Antiqua" w:cs="Times New Roman"/>
          <w:sz w:val="24"/>
          <w:szCs w:val="24"/>
        </w:rPr>
        <w:t xml:space="preserve">ese methods have been previously published in detail </w:t>
      </w:r>
      <w:proofErr w:type="gramStart"/>
      <w:r w:rsidR="00BD6F8E" w:rsidRPr="00682AA9">
        <w:rPr>
          <w:rFonts w:ascii="Book Antiqua" w:hAnsi="Book Antiqua" w:cs="Times New Roman"/>
          <w:sz w:val="24"/>
          <w:szCs w:val="24"/>
        </w:rPr>
        <w:t>elsewhere</w:t>
      </w:r>
      <w:r w:rsidR="009A3BF7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A3BF7" w:rsidRPr="00682AA9">
        <w:rPr>
          <w:rFonts w:ascii="Book Antiqua" w:hAnsi="Book Antiqua" w:cs="Times New Roman"/>
          <w:sz w:val="24"/>
          <w:szCs w:val="24"/>
          <w:vertAlign w:val="superscript"/>
        </w:rPr>
        <w:t>3-5,10,11]</w:t>
      </w:r>
      <w:r w:rsidR="008B3A2C" w:rsidRPr="00682AA9">
        <w:rPr>
          <w:rFonts w:ascii="Book Antiqua" w:hAnsi="Book Antiqua" w:cs="Times New Roman"/>
          <w:sz w:val="24"/>
          <w:szCs w:val="24"/>
        </w:rPr>
        <w:t>.</w:t>
      </w:r>
      <w:r w:rsidR="009A3BF7" w:rsidRPr="00682AA9">
        <w:rPr>
          <w:rFonts w:ascii="Book Antiqua" w:hAnsi="Book Antiqua" w:cs="Times New Roman"/>
          <w:sz w:val="24"/>
          <w:szCs w:val="24"/>
        </w:rPr>
        <w:t xml:space="preserve"> </w:t>
      </w:r>
    </w:p>
    <w:p w14:paraId="053B0301" w14:textId="19D1F14F" w:rsidR="009A3BF7" w:rsidRPr="00682AA9" w:rsidRDefault="00120CC4" w:rsidP="008C564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 xml:space="preserve">TRT was administered </w:t>
      </w:r>
      <w:r w:rsidRPr="00682AA9">
        <w:rPr>
          <w:rFonts w:ascii="Book Antiqua" w:hAnsi="Book Antiqua" w:cs="Times New Roman"/>
          <w:i/>
          <w:sz w:val="24"/>
          <w:szCs w:val="24"/>
        </w:rPr>
        <w:t>v</w:t>
      </w:r>
      <w:r w:rsidR="00CF77D0" w:rsidRPr="00682AA9">
        <w:rPr>
          <w:rFonts w:ascii="Book Antiqua" w:hAnsi="Book Antiqua" w:cs="Times New Roman"/>
          <w:i/>
          <w:sz w:val="24"/>
          <w:szCs w:val="24"/>
        </w:rPr>
        <w:t>ia</w:t>
      </w:r>
      <w:r w:rsidR="00CF77D0" w:rsidRPr="00682AA9">
        <w:rPr>
          <w:rFonts w:ascii="Book Antiqua" w:hAnsi="Book Antiqua" w:cs="Times New Roman"/>
          <w:sz w:val="24"/>
          <w:szCs w:val="24"/>
        </w:rPr>
        <w:t xml:space="preserve"> transdermal shoulder patches</w:t>
      </w:r>
      <w:r w:rsidR="005526EB" w:rsidRPr="00682AA9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r w:rsidR="005526EB" w:rsidRPr="00682AA9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CC40E6" w:rsidRPr="00682AA9">
        <w:rPr>
          <w:rFonts w:ascii="Book Antiqua" w:hAnsi="Book Antiqua" w:cs="Times New Roman"/>
          <w:sz w:val="24"/>
          <w:szCs w:val="24"/>
        </w:rPr>
        <w:t>TRT</w:t>
      </w:r>
      <w:r w:rsidR="005526EB" w:rsidRPr="00682AA9">
        <w:rPr>
          <w:rFonts w:ascii="Book Antiqua" w:hAnsi="Book Antiqua" w:cs="Times New Roman"/>
          <w:sz w:val="24"/>
          <w:szCs w:val="24"/>
        </w:rPr>
        <w:t xml:space="preserve">: Watson </w:t>
      </w:r>
      <w:proofErr w:type="spellStart"/>
      <w:r w:rsidR="005526EB" w:rsidRPr="00682AA9">
        <w:rPr>
          <w:rFonts w:ascii="Book Antiqua" w:hAnsi="Book Antiqua" w:cs="Times New Roman"/>
          <w:sz w:val="24"/>
          <w:szCs w:val="24"/>
        </w:rPr>
        <w:t>Pharma</w:t>
      </w:r>
      <w:proofErr w:type="spellEnd"/>
      <w:r w:rsidR="005526EB" w:rsidRPr="00682AA9">
        <w:rPr>
          <w:rFonts w:ascii="Book Antiqua" w:hAnsi="Book Antiqua" w:cs="Times New Roman"/>
          <w:sz w:val="24"/>
          <w:szCs w:val="24"/>
        </w:rPr>
        <w:t>, Inc. A subsidiary of Watson Pharmaceuticals, Inc. Corona, CA 92880</w:t>
      </w:r>
      <w:r w:rsidR="005526EB" w:rsidRPr="00682AA9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5526EB" w:rsidRPr="00682AA9">
        <w:rPr>
          <w:rFonts w:ascii="Book Antiqua" w:hAnsi="Book Antiqua" w:cs="Times New Roman"/>
          <w:sz w:val="24"/>
          <w:szCs w:val="24"/>
        </w:rPr>
        <w:t xml:space="preserve"> U</w:t>
      </w:r>
      <w:r w:rsidR="005526EB"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nited </w:t>
      </w:r>
      <w:r w:rsidR="005526EB" w:rsidRPr="00682AA9">
        <w:rPr>
          <w:rFonts w:ascii="Book Antiqua" w:hAnsi="Book Antiqua" w:cs="Times New Roman"/>
          <w:sz w:val="24"/>
          <w:szCs w:val="24"/>
        </w:rPr>
        <w:t>S</w:t>
      </w:r>
      <w:r w:rsidR="005526EB" w:rsidRPr="00682AA9">
        <w:rPr>
          <w:rFonts w:ascii="Book Antiqua" w:hAnsi="Book Antiqua" w:cs="Times New Roman" w:hint="eastAsia"/>
          <w:sz w:val="24"/>
          <w:szCs w:val="24"/>
          <w:lang w:eastAsia="zh-CN"/>
        </w:rPr>
        <w:t>tates)</w:t>
      </w:r>
      <w:r w:rsidR="009A3BF7" w:rsidRPr="00682AA9">
        <w:rPr>
          <w:rFonts w:ascii="Book Antiqua" w:hAnsi="Book Antiqua" w:cs="Times New Roman"/>
          <w:sz w:val="24"/>
          <w:szCs w:val="24"/>
        </w:rPr>
        <w:t xml:space="preserve"> that delivered 4-6 mg/d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Patches were worn daily, </w:t>
      </w:r>
      <w:r w:rsidR="009A3BF7" w:rsidRPr="00682AA9">
        <w:rPr>
          <w:rFonts w:ascii="Book Antiqua" w:hAnsi="Book Antiqua" w:cs="Times New Roman"/>
          <w:sz w:val="24"/>
          <w:szCs w:val="24"/>
        </w:rPr>
        <w:t xml:space="preserve">including weekends, for 16 </w:t>
      </w:r>
      <w:proofErr w:type="spellStart"/>
      <w:r w:rsidR="009A3BF7" w:rsidRPr="00682AA9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on dry skin, alternating daily between shoulders.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Before post-intervention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testing</w:t>
      </w:r>
      <w:r w:rsidR="00462544" w:rsidRPr="00682AA9">
        <w:rPr>
          <w:rFonts w:ascii="Book Antiqua" w:hAnsi="Book Antiqua" w:cs="Times New Roman"/>
          <w:sz w:val="24"/>
          <w:szCs w:val="24"/>
        </w:rPr>
        <w:t xml:space="preserve"> (week 17)</w:t>
      </w:r>
      <w:r w:rsidRPr="00682AA9">
        <w:rPr>
          <w:rFonts w:ascii="Book Antiqua" w:hAnsi="Book Antiqua" w:cs="Times New Roman"/>
          <w:sz w:val="24"/>
          <w:szCs w:val="24"/>
        </w:rPr>
        <w:t>, both participants were asked to remove the patches on the last day of week 16 to avoid acute effects from the TRT patches.</w:t>
      </w:r>
    </w:p>
    <w:p w14:paraId="6012EFA0" w14:textId="5D4CDCB0" w:rsidR="009A3BF7" w:rsidRPr="00682AA9" w:rsidRDefault="00120CC4" w:rsidP="008C5647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br/>
      </w:r>
      <w:r w:rsidRPr="00682AA9">
        <w:rPr>
          <w:rFonts w:ascii="Book Antiqua" w:hAnsi="Book Antiqua" w:cs="Times New Roman"/>
          <w:b/>
          <w:i/>
          <w:sz w:val="24"/>
          <w:szCs w:val="24"/>
        </w:rPr>
        <w:t xml:space="preserve">Magnetic </w:t>
      </w:r>
      <w:r w:rsidR="009A3BF7" w:rsidRPr="00682AA9">
        <w:rPr>
          <w:rFonts w:ascii="Book Antiqua" w:hAnsi="Book Antiqua" w:cs="Times New Roman"/>
          <w:b/>
          <w:i/>
          <w:sz w:val="24"/>
          <w:szCs w:val="24"/>
        </w:rPr>
        <w:t>resonance imagin</w:t>
      </w:r>
      <w:r w:rsidRPr="00682AA9">
        <w:rPr>
          <w:rFonts w:ascii="Book Antiqua" w:hAnsi="Book Antiqua" w:cs="Times New Roman"/>
          <w:b/>
          <w:i/>
          <w:sz w:val="24"/>
          <w:szCs w:val="24"/>
        </w:rPr>
        <w:t>g</w:t>
      </w:r>
    </w:p>
    <w:p w14:paraId="7FF3A8B6" w14:textId="5D3C5D57" w:rsidR="0057482B" w:rsidRPr="00682AA9" w:rsidRDefault="00120CC4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lastRenderedPageBreak/>
        <w:t xml:space="preserve">Whole thigh MRI scans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were</w:t>
      </w:r>
      <w:proofErr w:type="gramEnd"/>
      <w:r w:rsidRPr="00682AA9">
        <w:rPr>
          <w:rFonts w:ascii="Book Antiqua" w:hAnsi="Book Antiqua" w:cs="Times New Roman"/>
          <w:sz w:val="24"/>
          <w:szCs w:val="24"/>
        </w:rPr>
        <w:t xml:space="preserve"> conducted at baseline and </w:t>
      </w:r>
      <w:r w:rsidR="00462544" w:rsidRPr="00682AA9">
        <w:rPr>
          <w:rFonts w:ascii="Book Antiqua" w:hAnsi="Book Antiqua" w:cs="Times New Roman"/>
          <w:sz w:val="24"/>
          <w:szCs w:val="24"/>
        </w:rPr>
        <w:t>one</w:t>
      </w:r>
      <w:r w:rsidRPr="00682AA9">
        <w:rPr>
          <w:rFonts w:ascii="Book Antiqua" w:hAnsi="Book Antiqua" w:cs="Times New Roman"/>
          <w:sz w:val="24"/>
          <w:szCs w:val="24"/>
        </w:rPr>
        <w:t xml:space="preserve"> week post-intervention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to measure skeletal muscle cross-sectional areas (CSA</w:t>
      </w:r>
      <w:r w:rsidR="00C52E92" w:rsidRPr="00682AA9">
        <w:rPr>
          <w:rFonts w:ascii="Book Antiqua" w:hAnsi="Book Antiqua" w:cs="Times New Roman"/>
          <w:sz w:val="24"/>
          <w:szCs w:val="24"/>
        </w:rPr>
        <w:t>; Figure 1</w:t>
      </w:r>
      <w:r w:rsidRPr="00682AA9">
        <w:rPr>
          <w:rFonts w:ascii="Book Antiqua" w:hAnsi="Book Antiqua" w:cs="Times New Roman"/>
          <w:sz w:val="24"/>
          <w:szCs w:val="24"/>
        </w:rPr>
        <w:t>)</w:t>
      </w:r>
      <w:r w:rsidR="0057482B" w:rsidRPr="00682AA9">
        <w:rPr>
          <w:rFonts w:ascii="Book Antiqua" w:hAnsi="Book Antiqua" w:cs="Times New Roman"/>
          <w:sz w:val="24"/>
          <w:szCs w:val="24"/>
          <w:vertAlign w:val="superscript"/>
        </w:rPr>
        <w:t>[2,4]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Transaxial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images, 8mm thick and 4mm apart, were obtained from the hip to the knee joint</w:t>
      </w:r>
      <w:r w:rsidR="00462544" w:rsidRPr="00682AA9">
        <w:rPr>
          <w:rFonts w:ascii="Book Antiqua" w:hAnsi="Book Antiqua" w:cs="Times New Roman"/>
          <w:sz w:val="24"/>
          <w:szCs w:val="24"/>
        </w:rPr>
        <w:t>s</w:t>
      </w:r>
      <w:r w:rsidRPr="00682AA9">
        <w:rPr>
          <w:rFonts w:ascii="Book Antiqua" w:hAnsi="Book Antiqua" w:cs="Times New Roman"/>
          <w:sz w:val="24"/>
          <w:szCs w:val="24"/>
        </w:rPr>
        <w:t xml:space="preserve"> using </w:t>
      </w:r>
      <w:r w:rsidR="00462544" w:rsidRPr="00682AA9">
        <w:rPr>
          <w:rFonts w:ascii="Book Antiqua" w:hAnsi="Book Antiqua" w:cs="Times New Roman"/>
          <w:sz w:val="24"/>
          <w:szCs w:val="24"/>
        </w:rPr>
        <w:t>a</w:t>
      </w:r>
      <w:r w:rsidRPr="00682AA9">
        <w:rPr>
          <w:rFonts w:ascii="Book Antiqua" w:hAnsi="Book Antiqua" w:cs="Times New Roman"/>
          <w:sz w:val="24"/>
          <w:szCs w:val="24"/>
        </w:rPr>
        <w:t xml:space="preserve"> regional body coil with a 1.5-T magnet (repetition time 550</w:t>
      </w:r>
      <w:r w:rsidR="00462544" w:rsidRPr="00682AA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ms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>, ech</w:t>
      </w:r>
      <w:r w:rsidR="005B3F09" w:rsidRPr="00682AA9">
        <w:rPr>
          <w:rFonts w:ascii="Book Antiqua" w:hAnsi="Book Antiqua" w:cs="Times New Roman"/>
          <w:sz w:val="24"/>
          <w:szCs w:val="24"/>
        </w:rPr>
        <w:t>o time 14</w:t>
      </w:r>
      <w:r w:rsidR="0057482B"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5B3F09" w:rsidRPr="00682AA9">
        <w:rPr>
          <w:rFonts w:ascii="Book Antiqua" w:hAnsi="Book Antiqua" w:cs="Times New Roman"/>
          <w:sz w:val="24"/>
          <w:szCs w:val="24"/>
        </w:rPr>
        <w:t>ms</w:t>
      </w:r>
      <w:proofErr w:type="spellEnd"/>
      <w:r w:rsidR="005B3F09" w:rsidRPr="00682AA9">
        <w:rPr>
          <w:rFonts w:ascii="Book Antiqua" w:hAnsi="Book Antiqua" w:cs="Times New Roman"/>
          <w:sz w:val="24"/>
          <w:szCs w:val="24"/>
        </w:rPr>
        <w:t>, field of view</w:t>
      </w:r>
      <w:r w:rsidRPr="00682AA9">
        <w:rPr>
          <w:rFonts w:ascii="Book Antiqua" w:hAnsi="Book Antiqua" w:cs="Times New Roman"/>
          <w:sz w:val="24"/>
          <w:szCs w:val="24"/>
        </w:rPr>
        <w:t xml:space="preserve"> 20</w:t>
      </w:r>
      <w:r w:rsidR="0057482B"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cm, matrix size 256</w:t>
      </w:r>
      <w:r w:rsidR="0057482B"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×</w:t>
      </w:r>
      <w:r w:rsidR="0057482B"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256)</w:t>
      </w:r>
      <w:r w:rsidR="0057482B" w:rsidRPr="00682AA9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the</w:t>
      </w:r>
      <w:proofErr w:type="gramEnd"/>
      <w:r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4F4D1B" w:rsidRPr="00682AA9">
        <w:rPr>
          <w:rFonts w:ascii="Book Antiqua" w:hAnsi="Book Antiqua" w:cs="Times New Roman"/>
          <w:sz w:val="24"/>
          <w:szCs w:val="24"/>
        </w:rPr>
        <w:t>Anatomical boundaries</w:t>
      </w:r>
      <w:r w:rsidRPr="00682AA9">
        <w:rPr>
          <w:rFonts w:ascii="Book Antiqua" w:hAnsi="Book Antiqua" w:cs="Times New Roman"/>
          <w:sz w:val="24"/>
          <w:szCs w:val="24"/>
        </w:rPr>
        <w:t xml:space="preserve"> of the thigh muscle groups and HO </w:t>
      </w:r>
      <w:r w:rsidR="0039202B" w:rsidRPr="00682AA9">
        <w:rPr>
          <w:rFonts w:ascii="Book Antiqua" w:hAnsi="Book Antiqua" w:cs="Times New Roman"/>
          <w:sz w:val="24"/>
          <w:szCs w:val="24"/>
        </w:rPr>
        <w:t xml:space="preserve">were traced and analyzed </w:t>
      </w:r>
      <w:r w:rsidRPr="00682AA9">
        <w:rPr>
          <w:rFonts w:ascii="Book Antiqua" w:hAnsi="Book Antiqua" w:cs="Times New Roman"/>
          <w:sz w:val="24"/>
          <w:szCs w:val="24"/>
        </w:rPr>
        <w:t xml:space="preserve">using the computer program </w:t>
      </w:r>
      <w:proofErr w:type="spellStart"/>
      <w:r w:rsidR="004F4D1B" w:rsidRPr="00682AA9">
        <w:rPr>
          <w:rFonts w:ascii="Book Antiqua" w:hAnsi="Book Antiqua" w:cs="Times New Roman"/>
          <w:sz w:val="24"/>
          <w:szCs w:val="24"/>
        </w:rPr>
        <w:t>Winvessel</w:t>
      </w:r>
      <w:proofErr w:type="spellEnd"/>
      <w:r w:rsidR="004F4D1B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(</w:t>
      </w:r>
      <w:r w:rsidR="004F4D1B" w:rsidRPr="00682AA9">
        <w:rPr>
          <w:rFonts w:ascii="Book Antiqua" w:hAnsi="Book Antiqua" w:cs="Times New Roman"/>
          <w:sz w:val="24"/>
          <w:szCs w:val="24"/>
        </w:rPr>
        <w:t xml:space="preserve">Dr. </w:t>
      </w:r>
      <w:r w:rsidRPr="00682AA9">
        <w:rPr>
          <w:rFonts w:ascii="Book Antiqua" w:hAnsi="Book Antiqua" w:cs="Times New Roman"/>
          <w:sz w:val="24"/>
          <w:szCs w:val="24"/>
        </w:rPr>
        <w:t>Ronald Meyer, Michigan State University)</w:t>
      </w:r>
      <w:r w:rsidR="0057482B" w:rsidRPr="00682AA9">
        <w:rPr>
          <w:rFonts w:ascii="Book Antiqua" w:hAnsi="Book Antiqua" w:cs="Times New Roman"/>
          <w:sz w:val="24"/>
          <w:szCs w:val="24"/>
          <w:vertAlign w:val="superscript"/>
        </w:rPr>
        <w:t>[2,4]</w:t>
      </w:r>
      <w:r w:rsidRPr="00682AA9">
        <w:rPr>
          <w:rFonts w:ascii="Book Antiqua" w:hAnsi="Book Antiqua" w:cs="Times New Roman"/>
          <w:sz w:val="24"/>
          <w:szCs w:val="24"/>
        </w:rPr>
        <w:t>.</w:t>
      </w:r>
    </w:p>
    <w:p w14:paraId="2974CC7C" w14:textId="36BC9165" w:rsidR="00120CC4" w:rsidRPr="00682AA9" w:rsidRDefault="00120CC4" w:rsidP="008C5647">
      <w:pPr>
        <w:spacing w:after="0" w:line="360" w:lineRule="auto"/>
        <w:ind w:firstLineChars="100" w:firstLine="240"/>
        <w:jc w:val="both"/>
        <w:rPr>
          <w:rStyle w:val="apple-converted-space"/>
          <w:rFonts w:ascii="Book Antiqua" w:hAnsi="Book Antiqua" w:cs="Times New Roman"/>
          <w:sz w:val="24"/>
          <w:szCs w:val="24"/>
        </w:rPr>
      </w:pPr>
      <w:r w:rsidRPr="00682AA9">
        <w:rPr>
          <w:rStyle w:val="apple-converted-space"/>
          <w:rFonts w:ascii="Book Antiqua" w:hAnsi="Book Antiqua" w:cs="Times New Roman"/>
          <w:sz w:val="24"/>
          <w:szCs w:val="24"/>
        </w:rPr>
        <w:t>Both participants completed the assigned protocols without any study-related serious adverse events.</w:t>
      </w:r>
    </w:p>
    <w:p w14:paraId="713D1EAD" w14:textId="77777777" w:rsidR="00D250C9" w:rsidRPr="00682AA9" w:rsidRDefault="00D250C9" w:rsidP="008C5647">
      <w:pPr>
        <w:spacing w:after="0" w:line="360" w:lineRule="auto"/>
        <w:jc w:val="both"/>
        <w:rPr>
          <w:rStyle w:val="apple-converted-space"/>
          <w:rFonts w:ascii="Book Antiqua" w:hAnsi="Book Antiqua" w:cs="Times New Roman"/>
          <w:sz w:val="24"/>
          <w:szCs w:val="24"/>
          <w:lang w:eastAsia="zh-CN"/>
        </w:rPr>
      </w:pPr>
    </w:p>
    <w:p w14:paraId="00D58CC3" w14:textId="547DE6E4" w:rsidR="00120CC4" w:rsidRPr="00682AA9" w:rsidRDefault="00120CC4" w:rsidP="008C5647">
      <w:pPr>
        <w:spacing w:after="0" w:line="360" w:lineRule="auto"/>
        <w:jc w:val="both"/>
        <w:rPr>
          <w:rStyle w:val="apple-converted-space"/>
          <w:rFonts w:ascii="Book Antiqua" w:hAnsi="Book Antiqua" w:cs="Times New Roman"/>
          <w:b/>
          <w:i/>
          <w:sz w:val="24"/>
          <w:szCs w:val="24"/>
        </w:rPr>
      </w:pPr>
      <w:r w:rsidRPr="00682AA9">
        <w:rPr>
          <w:rStyle w:val="apple-converted-space"/>
          <w:rFonts w:ascii="Book Antiqua" w:hAnsi="Book Antiqua" w:cs="Times New Roman"/>
          <w:b/>
          <w:i/>
          <w:sz w:val="24"/>
          <w:szCs w:val="24"/>
        </w:rPr>
        <w:t>Subject A (NMES-RT</w:t>
      </w:r>
      <w:r w:rsidR="0057482B" w:rsidRPr="00682AA9">
        <w:rPr>
          <w:rStyle w:val="apple-converted-space"/>
          <w:rFonts w:ascii="Book Antiqua" w:hAnsi="Book Antiqua" w:cs="Times New Roman" w:hint="eastAsia"/>
          <w:b/>
          <w:i/>
          <w:sz w:val="24"/>
          <w:szCs w:val="24"/>
          <w:lang w:eastAsia="zh-CN"/>
        </w:rPr>
        <w:t xml:space="preserve"> </w:t>
      </w:r>
      <w:r w:rsidRPr="00682AA9">
        <w:rPr>
          <w:rStyle w:val="apple-converted-space"/>
          <w:rFonts w:ascii="Book Antiqua" w:hAnsi="Book Antiqua" w:cs="Times New Roman"/>
          <w:b/>
          <w:i/>
          <w:sz w:val="24"/>
          <w:szCs w:val="24"/>
        </w:rPr>
        <w:t>+</w:t>
      </w:r>
      <w:r w:rsidR="0057482B" w:rsidRPr="00682AA9">
        <w:rPr>
          <w:rStyle w:val="apple-converted-space"/>
          <w:rFonts w:ascii="Book Antiqua" w:hAnsi="Book Antiqua" w:cs="Times New Roman" w:hint="eastAsia"/>
          <w:b/>
          <w:i/>
          <w:sz w:val="24"/>
          <w:szCs w:val="24"/>
          <w:lang w:eastAsia="zh-CN"/>
        </w:rPr>
        <w:t xml:space="preserve"> </w:t>
      </w:r>
      <w:r w:rsidRPr="00682AA9">
        <w:rPr>
          <w:rStyle w:val="apple-converted-space"/>
          <w:rFonts w:ascii="Book Antiqua" w:hAnsi="Book Antiqua" w:cs="Times New Roman"/>
          <w:b/>
          <w:i/>
          <w:sz w:val="24"/>
          <w:szCs w:val="24"/>
        </w:rPr>
        <w:t>TRT)</w:t>
      </w:r>
    </w:p>
    <w:p w14:paraId="1B85D4E8" w14:textId="3792D5C9" w:rsidR="00120CC4" w:rsidRPr="00682AA9" w:rsidRDefault="00462544" w:rsidP="008C5647">
      <w:pPr>
        <w:spacing w:after="0" w:line="360" w:lineRule="auto"/>
        <w:jc w:val="both"/>
        <w:rPr>
          <w:rStyle w:val="apple-converted-space"/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Style w:val="apple-converted-space"/>
          <w:rFonts w:ascii="Book Antiqua" w:hAnsi="Book Antiqua" w:cs="Times New Roman"/>
          <w:sz w:val="24"/>
          <w:szCs w:val="24"/>
        </w:rPr>
        <w:t>Eight</w:t>
      </w:r>
      <w:r w:rsidR="00120CC4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weeks after beginning the trial, patch placement resulted in skin irritation that was completely resolved using topical hydrocortisone cream.</w:t>
      </w:r>
      <w:r w:rsidR="00E231E2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</w:t>
      </w:r>
      <w:r w:rsidR="00120CC4" w:rsidRPr="00682AA9">
        <w:rPr>
          <w:rStyle w:val="apple-converted-space"/>
          <w:rFonts w:ascii="Book Antiqua" w:hAnsi="Book Antiqua" w:cs="Times New Roman"/>
          <w:sz w:val="24"/>
          <w:szCs w:val="24"/>
        </w:rPr>
        <w:t>Subject A showed an adherence of 97% (31 visits of the assigned 32 visits) and 100% compliance with his TRT protocol.</w:t>
      </w:r>
      <w:r w:rsidR="00E231E2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</w:t>
      </w:r>
      <w:r w:rsidR="00120CC4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The whole thigh skeletal muscle and knee extensor CSAs increased by 10% and 17%, respectively from baseline to post-intervention (Table </w:t>
      </w:r>
      <w:r w:rsidR="000700C2" w:rsidRPr="00682AA9">
        <w:rPr>
          <w:rStyle w:val="apple-converted-space"/>
          <w:rFonts w:ascii="Book Antiqua" w:hAnsi="Book Antiqua" w:cs="Times New Roman"/>
          <w:sz w:val="24"/>
          <w:szCs w:val="24"/>
        </w:rPr>
        <w:t>2</w:t>
      </w:r>
      <w:r w:rsidR="00120CC4" w:rsidRPr="00682AA9">
        <w:rPr>
          <w:rStyle w:val="apple-converted-space"/>
          <w:rFonts w:ascii="Book Antiqua" w:hAnsi="Book Antiqua" w:cs="Times New Roman"/>
          <w:sz w:val="24"/>
          <w:szCs w:val="24"/>
        </w:rPr>
        <w:t>).</w:t>
      </w:r>
      <w:r w:rsidR="00E231E2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</w:t>
      </w:r>
      <w:r w:rsidR="00120CC4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Because it was difficult to separate the HO region from the </w:t>
      </w:r>
      <w:proofErr w:type="spellStart"/>
      <w:r w:rsidRPr="00682AA9">
        <w:rPr>
          <w:rStyle w:val="apple-converted-space"/>
          <w:rFonts w:ascii="Book Antiqua" w:hAnsi="Book Antiqua" w:cs="Times New Roman"/>
          <w:sz w:val="24"/>
          <w:szCs w:val="24"/>
        </w:rPr>
        <w:t>subperiosteal</w:t>
      </w:r>
      <w:proofErr w:type="spellEnd"/>
      <w:r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</w:t>
      </w:r>
      <w:r w:rsidR="00120CC4" w:rsidRPr="00682AA9">
        <w:rPr>
          <w:rStyle w:val="apple-converted-space"/>
          <w:rFonts w:ascii="Book Antiqua" w:hAnsi="Book Antiqua" w:cs="Times New Roman"/>
          <w:sz w:val="24"/>
          <w:szCs w:val="24"/>
        </w:rPr>
        <w:t>femoral bone, analysis was done to present the results of HO + femoral bone CSA which did n</w:t>
      </w:r>
      <w:r w:rsidR="008C5647" w:rsidRPr="00682AA9">
        <w:rPr>
          <w:rStyle w:val="apple-converted-space"/>
          <w:rFonts w:ascii="Book Antiqua" w:hAnsi="Book Antiqua" w:cs="Times New Roman"/>
          <w:sz w:val="24"/>
          <w:szCs w:val="24"/>
        </w:rPr>
        <w:t>ot change in size after 16 w</w:t>
      </w:r>
      <w:r w:rsidR="000700C2" w:rsidRPr="00682AA9">
        <w:rPr>
          <w:rStyle w:val="apple-converted-space"/>
          <w:rFonts w:ascii="Book Antiqua" w:hAnsi="Book Antiqua" w:cs="Times New Roman"/>
          <w:sz w:val="24"/>
          <w:szCs w:val="24"/>
        </w:rPr>
        <w:t>ee</w:t>
      </w:r>
      <w:r w:rsidR="008C5647" w:rsidRPr="00682AA9">
        <w:rPr>
          <w:rStyle w:val="apple-converted-space"/>
          <w:rFonts w:ascii="Book Antiqua" w:hAnsi="Book Antiqua" w:cs="Times New Roman"/>
          <w:sz w:val="24"/>
          <w:szCs w:val="24"/>
        </w:rPr>
        <w:t>k</w:t>
      </w:r>
      <w:r w:rsidR="000700C2" w:rsidRPr="00682AA9">
        <w:rPr>
          <w:rStyle w:val="apple-converted-space"/>
          <w:rFonts w:ascii="Book Antiqua" w:hAnsi="Book Antiqua" w:cs="Times New Roman"/>
          <w:sz w:val="24"/>
          <w:szCs w:val="24"/>
        </w:rPr>
        <w:t>s</w:t>
      </w:r>
      <w:r w:rsidR="00120CC4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(Table </w:t>
      </w:r>
      <w:r w:rsidR="000700C2" w:rsidRPr="00682AA9">
        <w:rPr>
          <w:rStyle w:val="apple-converted-space"/>
          <w:rFonts w:ascii="Book Antiqua" w:hAnsi="Book Antiqua" w:cs="Times New Roman"/>
          <w:sz w:val="24"/>
          <w:szCs w:val="24"/>
        </w:rPr>
        <w:t>2</w:t>
      </w:r>
      <w:r w:rsidR="00C52E92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and Figure 2</w:t>
      </w:r>
      <w:r w:rsidR="00120CC4" w:rsidRPr="00682AA9">
        <w:rPr>
          <w:rStyle w:val="apple-converted-space"/>
          <w:rFonts w:ascii="Book Antiqua" w:hAnsi="Book Antiqua" w:cs="Times New Roman"/>
          <w:sz w:val="24"/>
          <w:szCs w:val="24"/>
        </w:rPr>
        <w:t>).</w:t>
      </w:r>
    </w:p>
    <w:p w14:paraId="07DCB4F2" w14:textId="77777777" w:rsidR="008C5647" w:rsidRPr="00682AA9" w:rsidRDefault="008C5647" w:rsidP="008C5647">
      <w:pPr>
        <w:spacing w:after="0" w:line="360" w:lineRule="auto"/>
        <w:jc w:val="both"/>
        <w:rPr>
          <w:rStyle w:val="apple-converted-space"/>
          <w:rFonts w:ascii="Book Antiqua" w:hAnsi="Book Antiqua" w:cs="Times New Roman"/>
          <w:sz w:val="24"/>
          <w:szCs w:val="24"/>
          <w:lang w:eastAsia="zh-CN"/>
        </w:rPr>
      </w:pPr>
    </w:p>
    <w:p w14:paraId="7845875E" w14:textId="77777777" w:rsidR="00120CC4" w:rsidRPr="00682AA9" w:rsidRDefault="00120CC4" w:rsidP="008C5647">
      <w:pPr>
        <w:spacing w:after="0" w:line="360" w:lineRule="auto"/>
        <w:jc w:val="both"/>
        <w:rPr>
          <w:rStyle w:val="apple-converted-space"/>
          <w:rFonts w:ascii="Book Antiqua" w:hAnsi="Book Antiqua" w:cs="Times New Roman"/>
          <w:b/>
          <w:i/>
          <w:sz w:val="24"/>
          <w:szCs w:val="24"/>
        </w:rPr>
      </w:pPr>
      <w:r w:rsidRPr="00682AA9">
        <w:rPr>
          <w:rStyle w:val="apple-converted-space"/>
          <w:rFonts w:ascii="Book Antiqua" w:hAnsi="Book Antiqua" w:cs="Times New Roman"/>
          <w:b/>
          <w:i/>
          <w:sz w:val="24"/>
          <w:szCs w:val="24"/>
        </w:rPr>
        <w:t>Subject B (TRT only)</w:t>
      </w:r>
    </w:p>
    <w:p w14:paraId="7188C2B6" w14:textId="44BE3589" w:rsidR="008C5647" w:rsidRPr="00682AA9" w:rsidRDefault="00120CC4" w:rsidP="008C5647">
      <w:pPr>
        <w:spacing w:after="0" w:line="360" w:lineRule="auto"/>
        <w:jc w:val="both"/>
        <w:rPr>
          <w:rStyle w:val="mixed-citation"/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Style w:val="mixed-citation"/>
          <w:rFonts w:ascii="Book Antiqua" w:hAnsi="Book Antiqua" w:cs="Times New Roman"/>
          <w:sz w:val="24"/>
          <w:szCs w:val="24"/>
        </w:rPr>
        <w:t>Subject B showed 100% compliance with his TRT program.</w:t>
      </w:r>
      <w:r w:rsidR="00E231E2"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During the last </w:t>
      </w:r>
      <w:r w:rsidR="00462544" w:rsidRPr="00682AA9">
        <w:rPr>
          <w:rStyle w:val="mixed-citation"/>
          <w:rFonts w:ascii="Book Antiqua" w:hAnsi="Book Antiqua" w:cs="Times New Roman"/>
          <w:sz w:val="24"/>
          <w:szCs w:val="24"/>
        </w:rPr>
        <w:t>two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weeks, he developed cell cellulitis in his right lower extremity and received antibiotics (Bactrim).</w:t>
      </w:r>
      <w:r w:rsidR="00E231E2"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>For the right thigh, the whole thigh skeletal muscle and knee extensor CSAs increased by 13% and 7%, respectively from baseline to post-intervention.</w:t>
      </w:r>
      <w:r w:rsidR="00E231E2"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462544" w:rsidRPr="00682AA9">
        <w:rPr>
          <w:rStyle w:val="apple-converted-space"/>
          <w:rFonts w:ascii="Book Antiqua" w:hAnsi="Book Antiqua" w:cs="Times New Roman"/>
          <w:sz w:val="24"/>
          <w:szCs w:val="24"/>
        </w:rPr>
        <w:t>subperiosteal</w:t>
      </w:r>
      <w:proofErr w:type="spellEnd"/>
      <w:r w:rsidR="00462544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>femoral bone and HO CSAs remained unchanged.</w:t>
      </w:r>
      <w:r w:rsidR="00E231E2"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>For the left thigh, the whole thigh skeletal muscle CSA increased by 6% from baseline to post-intervention, with no changes in the knee extensor CSA.</w:t>
      </w:r>
      <w:r w:rsidR="00E231E2"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462544" w:rsidRPr="00682AA9">
        <w:rPr>
          <w:rStyle w:val="apple-converted-space"/>
          <w:rFonts w:ascii="Book Antiqua" w:hAnsi="Book Antiqua" w:cs="Times New Roman"/>
          <w:sz w:val="24"/>
          <w:szCs w:val="24"/>
        </w:rPr>
        <w:t>subperiosteal</w:t>
      </w:r>
      <w:proofErr w:type="spellEnd"/>
      <w:r w:rsidR="00462544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femoral bone and HO CSAs </w:t>
      </w:r>
      <w:r w:rsidR="00CC40E6" w:rsidRPr="00682AA9">
        <w:rPr>
          <w:rStyle w:val="mixed-citation"/>
          <w:rFonts w:ascii="Book Antiqua" w:hAnsi="Book Antiqua" w:cs="Times New Roman"/>
          <w:sz w:val="24"/>
          <w:szCs w:val="24"/>
        </w:rPr>
        <w:t>did not change after 16 w</w:t>
      </w:r>
      <w:r w:rsidR="000700C2" w:rsidRPr="00682AA9">
        <w:rPr>
          <w:rStyle w:val="mixed-citation"/>
          <w:rFonts w:ascii="Book Antiqua" w:hAnsi="Book Antiqua" w:cs="Times New Roman"/>
          <w:sz w:val="24"/>
          <w:szCs w:val="24"/>
        </w:rPr>
        <w:t>ee</w:t>
      </w:r>
      <w:r w:rsidR="00CC40E6" w:rsidRPr="00682AA9">
        <w:rPr>
          <w:rStyle w:val="mixed-citation"/>
          <w:rFonts w:ascii="Book Antiqua" w:hAnsi="Book Antiqua" w:cs="Times New Roman"/>
          <w:sz w:val="24"/>
          <w:szCs w:val="24"/>
        </w:rPr>
        <w:t>k</w:t>
      </w:r>
      <w:r w:rsidR="000700C2" w:rsidRPr="00682AA9">
        <w:rPr>
          <w:rStyle w:val="mixed-citation"/>
          <w:rFonts w:ascii="Book Antiqua" w:hAnsi="Book Antiqua" w:cs="Times New Roman"/>
          <w:sz w:val="24"/>
          <w:szCs w:val="24"/>
        </w:rPr>
        <w:t>s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(Table </w:t>
      </w:r>
      <w:r w:rsidR="000700C2" w:rsidRPr="00682AA9">
        <w:rPr>
          <w:rStyle w:val="mixed-citation"/>
          <w:rFonts w:ascii="Book Antiqua" w:hAnsi="Book Antiqua" w:cs="Times New Roman"/>
          <w:sz w:val="24"/>
          <w:szCs w:val="24"/>
        </w:rPr>
        <w:t>2</w:t>
      </w:r>
      <w:r w:rsidR="00C52E92"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and Figure 2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>).</w:t>
      </w:r>
    </w:p>
    <w:p w14:paraId="44807E34" w14:textId="77777777" w:rsidR="008C5647" w:rsidRPr="00682AA9" w:rsidRDefault="00120CC4" w:rsidP="008C5647">
      <w:pPr>
        <w:spacing w:after="0" w:line="360" w:lineRule="auto"/>
        <w:jc w:val="both"/>
        <w:rPr>
          <w:rStyle w:val="mixed-citation"/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Style w:val="mixed-citation"/>
          <w:rFonts w:ascii="Book Antiqua" w:hAnsi="Book Antiqua" w:cs="Times New Roman"/>
          <w:sz w:val="24"/>
          <w:szCs w:val="24"/>
        </w:rPr>
        <w:lastRenderedPageBreak/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br/>
      </w:r>
      <w:r w:rsidR="008C5647" w:rsidRPr="00682AA9">
        <w:rPr>
          <w:rStyle w:val="mixed-citation"/>
          <w:rFonts w:ascii="Book Antiqua" w:hAnsi="Book Antiqua" w:cs="Times New Roman"/>
          <w:b/>
          <w:sz w:val="24"/>
          <w:szCs w:val="24"/>
        </w:rPr>
        <w:t>DISCUSSION</w:t>
      </w:r>
      <w:r w:rsidRPr="00682AA9">
        <w:rPr>
          <w:rStyle w:val="mixed-citation"/>
          <w:rFonts w:ascii="Book Antiqua" w:hAnsi="Book Antiqua" w:cs="Times New Roman"/>
          <w:b/>
          <w:sz w:val="24"/>
          <w:szCs w:val="24"/>
        </w:rPr>
        <w:br/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>The primary purpose of this report was to determine whether NMES-RT</w:t>
      </w:r>
      <w:r w:rsidR="008C5647" w:rsidRPr="00682AA9">
        <w:rPr>
          <w:rStyle w:val="mixed-citation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>+</w:t>
      </w:r>
      <w:r w:rsidR="008C5647" w:rsidRPr="00682AA9">
        <w:rPr>
          <w:rStyle w:val="mixed-citation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>TRT or TRT would increase the size of pre-existing HO in persons with SCI.</w:t>
      </w:r>
      <w:r w:rsidR="00E231E2"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>The results clearly demonstrate that TRT with or without NMES-RT did not impact the size of HO, suggesting that both interventions are safe in persons with motor complete SCI.</w:t>
      </w:r>
    </w:p>
    <w:p w14:paraId="067B03A6" w14:textId="08FAF71D" w:rsidR="008C5647" w:rsidRPr="00682AA9" w:rsidRDefault="00120CC4" w:rsidP="008C564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 xml:space="preserve">Both TRT and RT stimulate muscle growth which can induce bone growth through the hypertrophied muscles placing additional strain on the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bone</w:t>
      </w:r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12-14]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TRT can also affect bone development directly through the androgen receptor.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TRT protects against bone loss in the male skeleton and has been associated with increased bone thickness and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volume</w:t>
      </w:r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12-14]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NMES-RT may cause micro-trauma in the paralyzed limbs of SCI patients which could aggravate existing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HO</w:t>
      </w:r>
      <w:r w:rsidR="00F20EF6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20EF6" w:rsidRPr="00682AA9">
        <w:rPr>
          <w:rFonts w:ascii="Book Antiqua" w:hAnsi="Book Antiqua" w:cs="Times New Roman"/>
          <w:sz w:val="24"/>
          <w:szCs w:val="24"/>
          <w:vertAlign w:val="superscript"/>
        </w:rPr>
        <w:t>9,15]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After immobilization, passive range of motion exercises can cause soft muscle tissue to tear causing micro-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trauma</w:t>
      </w:r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9,15]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This micro-trauma triggers a local inflammatory response</w:t>
      </w:r>
      <w:r w:rsidR="00A1345C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releasing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osteogenic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cytokines into the surrounding tissues which can induce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mesenchymal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stem cell differentiation stimulating the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osteogenesis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needed for HO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growth</w:t>
      </w:r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9,15,16]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</w:p>
    <w:p w14:paraId="500881CB" w14:textId="77777777" w:rsidR="00F20EF6" w:rsidRPr="00682AA9" w:rsidRDefault="00120CC4" w:rsidP="008C564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>Fortunately, despite the T and possible inflammation from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micro-trauma, the HO size in these two patients did not in</w:t>
      </w:r>
      <w:r w:rsidR="008C5647" w:rsidRPr="00682AA9">
        <w:rPr>
          <w:rFonts w:ascii="Book Antiqua" w:hAnsi="Book Antiqua" w:cs="Times New Roman"/>
          <w:sz w:val="24"/>
          <w:szCs w:val="24"/>
        </w:rPr>
        <w:t>crease. The T dosage (4-6 mg/d</w:t>
      </w:r>
      <w:r w:rsidRPr="00682AA9">
        <w:rPr>
          <w:rFonts w:ascii="Book Antiqua" w:hAnsi="Book Antiqua" w:cs="Times New Roman"/>
          <w:sz w:val="24"/>
          <w:szCs w:val="24"/>
        </w:rPr>
        <w:t xml:space="preserve">) is consistent with other studies using transdermal patch delivery, but T dose-dependently affects bone with only higher doses of T producing significant skeletal benefits in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men</w:t>
      </w:r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="008C5647" w:rsidRPr="00682AA9">
        <w:rPr>
          <w:rFonts w:ascii="Book Antiqua" w:hAnsi="Book Antiqua" w:cs="Times New Roman"/>
          <w:sz w:val="24"/>
          <w:szCs w:val="24"/>
        </w:rPr>
        <w:t xml:space="preserve">The trial duration (16 </w:t>
      </w:r>
      <w:proofErr w:type="spellStart"/>
      <w:r w:rsidR="008C5647" w:rsidRPr="00682AA9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>) also limits the likelihood of detecting changes in bone structure.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Furthermore, in male mice, T attenuated the benefits to bone structure usually induced by mechanical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loading</w:t>
      </w:r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C5647" w:rsidRPr="00682AA9">
        <w:rPr>
          <w:rFonts w:ascii="Book Antiqua" w:hAnsi="Book Antiqua" w:cs="Times New Roman"/>
          <w:sz w:val="24"/>
          <w:szCs w:val="24"/>
          <w:vertAlign w:val="superscript"/>
        </w:rPr>
        <w:t>12]</w:t>
      </w:r>
      <w:r w:rsidRPr="00682AA9">
        <w:rPr>
          <w:rFonts w:ascii="Book Antiqua" w:hAnsi="Book Antiqua" w:cs="Times New Roman"/>
          <w:sz w:val="24"/>
          <w:szCs w:val="24"/>
        </w:rPr>
        <w:t>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 xml:space="preserve">In this study, muscle hypertrophy was </w:t>
      </w:r>
      <w:r w:rsidR="009E730C" w:rsidRPr="00682AA9">
        <w:rPr>
          <w:rFonts w:ascii="Book Antiqua" w:hAnsi="Book Antiqua" w:cs="Times New Roman"/>
          <w:sz w:val="24"/>
          <w:szCs w:val="24"/>
        </w:rPr>
        <w:t xml:space="preserve">detected </w:t>
      </w:r>
      <w:r w:rsidRPr="00682AA9">
        <w:rPr>
          <w:rFonts w:ascii="Book Antiqua" w:hAnsi="Book Antiqua" w:cs="Times New Roman"/>
          <w:sz w:val="24"/>
          <w:szCs w:val="24"/>
        </w:rPr>
        <w:t>without evidence of HO growth.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In future studies, it would be advisable to identify patients with existing HO prior to entrance in clinical trials and monitor the size of their HO.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For longitudinal studies, periodic x-rays throughout the trial may be needed.</w:t>
      </w:r>
    </w:p>
    <w:p w14:paraId="69A0FEF0" w14:textId="43290434" w:rsidR="008C5647" w:rsidRPr="00682AA9" w:rsidRDefault="00120CC4" w:rsidP="008C5647">
      <w:pPr>
        <w:spacing w:after="0" w:line="360" w:lineRule="auto"/>
        <w:ind w:firstLineChars="100" w:firstLine="240"/>
        <w:jc w:val="both"/>
        <w:rPr>
          <w:rStyle w:val="mixed-citation"/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Style w:val="mixed-citation"/>
          <w:rFonts w:ascii="Book Antiqua" w:hAnsi="Book Antiqua" w:cs="Times New Roman"/>
          <w:sz w:val="24"/>
          <w:szCs w:val="24"/>
        </w:rPr>
        <w:t>Replacement dose TRT with and without NMES-RT did not aggravate HO in two men with chronic SCI.</w:t>
      </w:r>
      <w:r w:rsidR="00E231E2"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 </w:t>
      </w:r>
      <w:r w:rsidR="008C5647"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After 16 </w:t>
      </w:r>
      <w:proofErr w:type="spellStart"/>
      <w:r w:rsidR="008C5647" w:rsidRPr="00682AA9">
        <w:rPr>
          <w:rStyle w:val="mixed-citation"/>
          <w:rFonts w:ascii="Book Antiqua" w:hAnsi="Book Antiqua" w:cs="Times New Roman"/>
          <w:sz w:val="24"/>
          <w:szCs w:val="24"/>
        </w:rPr>
        <w:t>wk</w:t>
      </w:r>
      <w:proofErr w:type="spellEnd"/>
      <w:r w:rsidRPr="00682AA9">
        <w:rPr>
          <w:rStyle w:val="mixed-citation"/>
          <w:rFonts w:ascii="Book Antiqua" w:hAnsi="Book Antiqua" w:cs="Times New Roman"/>
          <w:sz w:val="24"/>
          <w:szCs w:val="24"/>
        </w:rPr>
        <w:t xml:space="preserve">, notable increases were measured in the skeletal muscle CSAs of the whole thigh and the knee extensors without changes in the </w:t>
      </w:r>
      <w:proofErr w:type="spellStart"/>
      <w:r w:rsidR="009E730C" w:rsidRPr="00682AA9">
        <w:rPr>
          <w:rStyle w:val="apple-converted-space"/>
          <w:rFonts w:ascii="Book Antiqua" w:hAnsi="Book Antiqua" w:cs="Times New Roman"/>
          <w:sz w:val="24"/>
          <w:szCs w:val="24"/>
        </w:rPr>
        <w:t>subperiosteal</w:t>
      </w:r>
      <w:proofErr w:type="spellEnd"/>
      <w:r w:rsidR="009E730C" w:rsidRPr="00682AA9">
        <w:rPr>
          <w:rStyle w:val="apple-converted-space"/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Style w:val="mixed-citation"/>
          <w:rFonts w:ascii="Book Antiqua" w:hAnsi="Book Antiqua" w:cs="Times New Roman"/>
          <w:sz w:val="24"/>
          <w:szCs w:val="24"/>
        </w:rPr>
        <w:t>femoral bone or HO CSAs.</w:t>
      </w:r>
    </w:p>
    <w:p w14:paraId="1A254C53" w14:textId="77777777" w:rsidR="008C5647" w:rsidRPr="00682AA9" w:rsidRDefault="008C5647" w:rsidP="008C5647">
      <w:pPr>
        <w:spacing w:after="0" w:line="360" w:lineRule="auto"/>
        <w:jc w:val="both"/>
        <w:rPr>
          <w:rStyle w:val="mixed-citation"/>
          <w:rFonts w:ascii="Book Antiqua" w:hAnsi="Book Antiqua" w:cs="Times New Roman"/>
          <w:sz w:val="24"/>
          <w:szCs w:val="24"/>
          <w:lang w:eastAsia="zh-CN"/>
        </w:rPr>
      </w:pPr>
    </w:p>
    <w:p w14:paraId="33E52E6A" w14:textId="694C6FE4" w:rsidR="00A30002" w:rsidRPr="00682AA9" w:rsidRDefault="00A30002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t>ACKNOWLEDGEMENT</w:t>
      </w:r>
      <w:r w:rsidRPr="00682AA9">
        <w:rPr>
          <w:rFonts w:ascii="Book Antiqua" w:hAnsi="Book Antiqua" w:cs="Times New Roman"/>
          <w:b/>
          <w:sz w:val="24"/>
          <w:szCs w:val="24"/>
          <w:lang w:eastAsia="zh-CN"/>
        </w:rPr>
        <w:t>S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7A325832" w14:textId="17574E6F" w:rsidR="00A30002" w:rsidRPr="00682AA9" w:rsidRDefault="00A30002" w:rsidP="008C56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82AA9">
        <w:rPr>
          <w:rFonts w:ascii="Book Antiqua" w:hAnsi="Book Antiqua" w:cs="Times New Roman"/>
          <w:sz w:val="24"/>
          <w:szCs w:val="24"/>
        </w:rPr>
        <w:t>We would like to thank Hunter Holmes McGuire Research Institute and Spinal Cord Injury Services and Disorders for providing the environment to conduct clinical human research</w:t>
      </w:r>
      <w:r w:rsidR="00E231E2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trials. The project described was supported by VHA RR&amp;D# B7867-W.</w:t>
      </w:r>
    </w:p>
    <w:p w14:paraId="161D3CCC" w14:textId="04016230" w:rsidR="006C0998" w:rsidRPr="00682AA9" w:rsidRDefault="00120CC4" w:rsidP="008C5647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682AA9">
        <w:rPr>
          <w:rFonts w:ascii="Book Antiqua" w:hAnsi="Book Antiqua" w:cs="Arial"/>
          <w:sz w:val="24"/>
          <w:szCs w:val="24"/>
        </w:rPr>
        <w:br/>
      </w:r>
      <w:r w:rsidR="006C0998" w:rsidRPr="00682AA9">
        <w:rPr>
          <w:rFonts w:ascii="Book Antiqua" w:hAnsi="Book Antiqua"/>
          <w:b/>
          <w:sz w:val="24"/>
          <w:szCs w:val="24"/>
        </w:rPr>
        <w:t>COMMENTS</w:t>
      </w:r>
    </w:p>
    <w:p w14:paraId="44AEFB7A" w14:textId="77777777" w:rsidR="008C5647" w:rsidRPr="00682AA9" w:rsidRDefault="008C5647" w:rsidP="008C5647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i/>
          <w:sz w:val="24"/>
          <w:szCs w:val="24"/>
        </w:rPr>
        <w:t>Case characteristics</w:t>
      </w:r>
    </w:p>
    <w:p w14:paraId="2165EC39" w14:textId="77777777" w:rsidR="008C5647" w:rsidRPr="00682AA9" w:rsidRDefault="00410971" w:rsidP="008C5647">
      <w:pPr>
        <w:spacing w:after="0"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 xml:space="preserve">Both subjects had pre-existing </w:t>
      </w:r>
      <w:r w:rsidR="00106DEA" w:rsidRPr="00682AA9">
        <w:rPr>
          <w:rFonts w:ascii="Book Antiqua" w:hAnsi="Book Antiqua" w:cs="Times New Roman"/>
          <w:sz w:val="24"/>
          <w:szCs w:val="24"/>
        </w:rPr>
        <w:t>heterotopic ossification</w:t>
      </w:r>
      <w:r w:rsidR="00E3724F" w:rsidRPr="00682AA9">
        <w:rPr>
          <w:rFonts w:ascii="Book Antiqua" w:hAnsi="Book Antiqua" w:cs="Times New Roman"/>
          <w:sz w:val="24"/>
          <w:szCs w:val="24"/>
          <w:lang w:eastAsia="zh-CN"/>
        </w:rPr>
        <w:t xml:space="preserve"> (</w:t>
      </w:r>
      <w:r w:rsidR="00E3724F" w:rsidRPr="00682AA9">
        <w:rPr>
          <w:rFonts w:ascii="Book Antiqua" w:hAnsi="Book Antiqua" w:cs="Times New Roman"/>
          <w:sz w:val="24"/>
          <w:szCs w:val="24"/>
        </w:rPr>
        <w:t>HO</w:t>
      </w:r>
      <w:r w:rsidR="00E3724F" w:rsidRPr="00682AA9">
        <w:rPr>
          <w:rFonts w:ascii="Book Antiqua" w:hAnsi="Book Antiqua" w:cs="Times New Roman"/>
          <w:sz w:val="24"/>
          <w:szCs w:val="24"/>
          <w:lang w:eastAsia="zh-CN"/>
        </w:rPr>
        <w:t>)</w:t>
      </w:r>
      <w:r w:rsidRPr="00682AA9">
        <w:rPr>
          <w:rFonts w:ascii="Book Antiqua" w:hAnsi="Book Antiqua" w:cs="Times New Roman"/>
          <w:sz w:val="24"/>
          <w:szCs w:val="24"/>
        </w:rPr>
        <w:t>.</w:t>
      </w:r>
    </w:p>
    <w:p w14:paraId="1442D004" w14:textId="184F79CD" w:rsidR="008C5647" w:rsidRPr="00682AA9" w:rsidRDefault="00410971" w:rsidP="008C5647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br/>
      </w:r>
      <w:r w:rsidR="008C5647" w:rsidRPr="00682AA9">
        <w:rPr>
          <w:rFonts w:ascii="Book Antiqua" w:hAnsi="Book Antiqua" w:cs="Times New Roman"/>
          <w:b/>
          <w:i/>
          <w:sz w:val="24"/>
          <w:szCs w:val="24"/>
        </w:rPr>
        <w:t>Clinical diagnosis</w:t>
      </w:r>
    </w:p>
    <w:p w14:paraId="55FE8A25" w14:textId="77777777" w:rsidR="008C5647" w:rsidRPr="00682AA9" w:rsidRDefault="00106DEA" w:rsidP="008C5647">
      <w:pPr>
        <w:spacing w:after="0"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>P</w:t>
      </w:r>
      <w:r w:rsidR="00410971" w:rsidRPr="00682AA9">
        <w:rPr>
          <w:rFonts w:ascii="Book Antiqua" w:hAnsi="Book Antiqua" w:cs="Times New Roman"/>
          <w:sz w:val="24"/>
          <w:szCs w:val="24"/>
        </w:rPr>
        <w:t xml:space="preserve">re-existing </w:t>
      </w:r>
      <w:r w:rsidR="00E3724F" w:rsidRPr="00682AA9">
        <w:rPr>
          <w:rFonts w:ascii="Book Antiqua" w:hAnsi="Book Antiqua" w:cs="Times New Roman"/>
          <w:sz w:val="24"/>
          <w:szCs w:val="24"/>
        </w:rPr>
        <w:t>HO</w:t>
      </w:r>
      <w:r w:rsidR="008C5647" w:rsidRPr="00682AA9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5DDD1B18" w14:textId="77777777" w:rsidR="008C5647" w:rsidRPr="00682AA9" w:rsidRDefault="00410971" w:rsidP="008C5647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br/>
      </w:r>
      <w:r w:rsidRPr="00682AA9">
        <w:rPr>
          <w:rFonts w:ascii="Book Antiqua" w:hAnsi="Book Antiqua" w:cs="Times New Roman"/>
          <w:b/>
          <w:i/>
          <w:sz w:val="24"/>
          <w:szCs w:val="24"/>
        </w:rPr>
        <w:t>Imaging diagnosi</w:t>
      </w:r>
      <w:r w:rsidR="008C5647" w:rsidRPr="00682AA9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4745EF6F" w14:textId="77777777" w:rsidR="008C5647" w:rsidRPr="00682AA9" w:rsidRDefault="00106DEA" w:rsidP="008C5647">
      <w:pPr>
        <w:spacing w:after="0"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proofErr w:type="gramStart"/>
      <w:r w:rsidRPr="00682AA9">
        <w:rPr>
          <w:rFonts w:ascii="Book Antiqua" w:hAnsi="Book Antiqua" w:cs="Times New Roman"/>
          <w:sz w:val="24"/>
          <w:szCs w:val="24"/>
        </w:rPr>
        <w:t>Magnetic resonance imaging</w:t>
      </w:r>
      <w:r w:rsidR="008C5647" w:rsidRPr="00682AA9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proofErr w:type="gramEnd"/>
    </w:p>
    <w:p w14:paraId="085866E9" w14:textId="77777777" w:rsidR="008C5647" w:rsidRPr="00682AA9" w:rsidRDefault="00410971" w:rsidP="008C5647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br/>
      </w:r>
      <w:r w:rsidR="008C5647" w:rsidRPr="00682AA9">
        <w:rPr>
          <w:rFonts w:ascii="Book Antiqua" w:hAnsi="Book Antiqua" w:cs="Times New Roman"/>
          <w:b/>
          <w:i/>
          <w:sz w:val="24"/>
          <w:szCs w:val="24"/>
        </w:rPr>
        <w:t>Pathological diagnosis</w:t>
      </w:r>
    </w:p>
    <w:p w14:paraId="5D5F0067" w14:textId="1530ACDF" w:rsidR="00106DEA" w:rsidRPr="00682AA9" w:rsidRDefault="00106DEA" w:rsidP="008C564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682AA9">
        <w:rPr>
          <w:rFonts w:ascii="Book Antiqua" w:hAnsi="Book Antiqua" w:cs="Times New Roman"/>
          <w:sz w:val="24"/>
          <w:szCs w:val="24"/>
        </w:rPr>
        <w:t xml:space="preserve">Spinal cord injury with </w:t>
      </w:r>
      <w:r w:rsidR="00E3724F" w:rsidRPr="00682AA9">
        <w:rPr>
          <w:rFonts w:ascii="Book Antiqua" w:hAnsi="Book Antiqua" w:cs="Times New Roman"/>
          <w:sz w:val="24"/>
          <w:szCs w:val="24"/>
        </w:rPr>
        <w:t>HO</w:t>
      </w:r>
      <w:r w:rsidR="008C5647" w:rsidRPr="00682AA9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proofErr w:type="gramEnd"/>
      <w:r w:rsidRPr="00682AA9">
        <w:rPr>
          <w:rFonts w:ascii="Book Antiqua" w:hAnsi="Book Antiqua" w:cs="Times New Roman"/>
          <w:sz w:val="24"/>
          <w:szCs w:val="24"/>
        </w:rPr>
        <w:t xml:space="preserve"> </w:t>
      </w:r>
    </w:p>
    <w:p w14:paraId="159D909A" w14:textId="4FD49FD7" w:rsidR="008C5647" w:rsidRPr="00682AA9" w:rsidRDefault="00EC31D6" w:rsidP="007962C9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br/>
      </w:r>
      <w:r w:rsidRPr="00682AA9">
        <w:rPr>
          <w:rFonts w:ascii="Book Antiqua" w:hAnsi="Book Antiqua" w:cs="Times New Roman"/>
          <w:b/>
          <w:i/>
          <w:sz w:val="24"/>
          <w:szCs w:val="24"/>
        </w:rPr>
        <w:t>Term explanation</w:t>
      </w:r>
    </w:p>
    <w:p w14:paraId="3C827131" w14:textId="4B36B223" w:rsidR="007962C9" w:rsidRPr="00682AA9" w:rsidRDefault="007962C9" w:rsidP="007962C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>AIS: American spinal cord injury impairment scale classification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82AA9">
        <w:rPr>
          <w:rFonts w:ascii="Book Antiqua" w:hAnsi="Book Antiqua" w:cs="Times New Roman"/>
          <w:sz w:val="24"/>
          <w:szCs w:val="24"/>
        </w:rPr>
        <w:t xml:space="preserve">BMI: </w:t>
      </w:r>
      <w:r w:rsidR="009A6BC1">
        <w:rPr>
          <w:rFonts w:ascii="Book Antiqua" w:hAnsi="Book Antiqua" w:cs="Times New Roman"/>
          <w:sz w:val="24"/>
          <w:szCs w:val="24"/>
        </w:rPr>
        <w:t>B</w:t>
      </w:r>
      <w:r w:rsidRPr="00682AA9">
        <w:rPr>
          <w:rFonts w:ascii="Book Antiqua" w:hAnsi="Book Antiqua" w:cs="Times New Roman"/>
          <w:sz w:val="24"/>
          <w:szCs w:val="24"/>
        </w:rPr>
        <w:t>ody mass index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</w:p>
    <w:p w14:paraId="60F742B0" w14:textId="072FE43B" w:rsidR="007962C9" w:rsidRPr="00682AA9" w:rsidRDefault="007962C9" w:rsidP="007962C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 xml:space="preserve">CSA: </w:t>
      </w:r>
      <w:r w:rsidR="009A6BC1">
        <w:rPr>
          <w:rFonts w:ascii="Book Antiqua" w:hAnsi="Book Antiqua" w:cs="Times New Roman"/>
          <w:sz w:val="24"/>
          <w:szCs w:val="24"/>
        </w:rPr>
        <w:t>C</w:t>
      </w:r>
      <w:r w:rsidRPr="00682AA9">
        <w:rPr>
          <w:rFonts w:ascii="Book Antiqua" w:hAnsi="Book Antiqua" w:cs="Times New Roman"/>
          <w:sz w:val="24"/>
          <w:szCs w:val="24"/>
        </w:rPr>
        <w:t>ross-sectional area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82AA9">
        <w:rPr>
          <w:rFonts w:ascii="Book Antiqua" w:hAnsi="Book Antiqua" w:cs="Times New Roman"/>
          <w:sz w:val="24"/>
          <w:szCs w:val="24"/>
        </w:rPr>
        <w:t xml:space="preserve">GSW: </w:t>
      </w:r>
      <w:r w:rsidR="009A6BC1">
        <w:rPr>
          <w:rFonts w:ascii="Book Antiqua" w:hAnsi="Book Antiqua" w:cs="Times New Roman"/>
          <w:sz w:val="24"/>
          <w:szCs w:val="24"/>
        </w:rPr>
        <w:t>G</w:t>
      </w:r>
      <w:r w:rsidRPr="00682AA9">
        <w:rPr>
          <w:rFonts w:ascii="Book Antiqua" w:hAnsi="Book Antiqua" w:cs="Times New Roman"/>
          <w:sz w:val="24"/>
          <w:szCs w:val="24"/>
        </w:rPr>
        <w:t>unshot wound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82AA9">
        <w:rPr>
          <w:rFonts w:ascii="Book Antiqua" w:hAnsi="Book Antiqua" w:cs="Times New Roman"/>
          <w:sz w:val="24"/>
          <w:szCs w:val="24"/>
        </w:rPr>
        <w:t xml:space="preserve">HO: </w:t>
      </w:r>
      <w:r w:rsidR="009A6BC1">
        <w:rPr>
          <w:rFonts w:ascii="Book Antiqua" w:hAnsi="Book Antiqua" w:cs="Times New Roman"/>
          <w:sz w:val="24"/>
          <w:szCs w:val="24"/>
        </w:rPr>
        <w:t>H</w:t>
      </w:r>
      <w:r w:rsidRPr="00682AA9">
        <w:rPr>
          <w:rFonts w:ascii="Book Antiqua" w:hAnsi="Book Antiqua" w:cs="Times New Roman"/>
          <w:sz w:val="24"/>
          <w:szCs w:val="24"/>
        </w:rPr>
        <w:t>eterotopic ossification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82AA9">
        <w:rPr>
          <w:rFonts w:ascii="Book Antiqua" w:hAnsi="Book Antiqua" w:cs="Times New Roman"/>
          <w:sz w:val="24"/>
          <w:szCs w:val="24"/>
        </w:rPr>
        <w:t xml:space="preserve">LOI: </w:t>
      </w:r>
      <w:r w:rsidR="009A6BC1">
        <w:rPr>
          <w:rFonts w:ascii="Book Antiqua" w:hAnsi="Book Antiqua" w:cs="Times New Roman"/>
          <w:sz w:val="24"/>
          <w:szCs w:val="24"/>
        </w:rPr>
        <w:t>L</w:t>
      </w:r>
      <w:r w:rsidRPr="00682AA9">
        <w:rPr>
          <w:rFonts w:ascii="Book Antiqua" w:hAnsi="Book Antiqua" w:cs="Times New Roman"/>
          <w:sz w:val="24"/>
          <w:szCs w:val="24"/>
        </w:rPr>
        <w:t>evel of injury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82AA9">
        <w:rPr>
          <w:rFonts w:ascii="Book Antiqua" w:hAnsi="Book Antiqua" w:cs="Times New Roman"/>
          <w:sz w:val="24"/>
          <w:szCs w:val="24"/>
        </w:rPr>
        <w:t>NMES: Neuromuscular electrical stimulation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82AA9">
        <w:rPr>
          <w:rFonts w:ascii="Book Antiqua" w:hAnsi="Book Antiqua" w:cs="Times New Roman"/>
          <w:sz w:val="24"/>
          <w:szCs w:val="24"/>
        </w:rPr>
        <w:t>RT: Resistance training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82AA9">
        <w:rPr>
          <w:rFonts w:ascii="Book Antiqua" w:hAnsi="Book Antiqua" w:cs="Times New Roman"/>
          <w:sz w:val="24"/>
          <w:szCs w:val="24"/>
        </w:rPr>
        <w:t xml:space="preserve">SCI: </w:t>
      </w:r>
      <w:r w:rsidR="009A6BC1">
        <w:rPr>
          <w:rFonts w:ascii="Book Antiqua" w:hAnsi="Book Antiqua" w:cs="Times New Roman"/>
          <w:sz w:val="24"/>
          <w:szCs w:val="24"/>
        </w:rPr>
        <w:t>S</w:t>
      </w:r>
      <w:r w:rsidRPr="00682AA9">
        <w:rPr>
          <w:rFonts w:ascii="Book Antiqua" w:hAnsi="Book Antiqua" w:cs="Times New Roman"/>
          <w:sz w:val="24"/>
          <w:szCs w:val="24"/>
        </w:rPr>
        <w:t>pinal cord injury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82AA9">
        <w:rPr>
          <w:rFonts w:ascii="Book Antiqua" w:hAnsi="Book Antiqua" w:cs="Times New Roman"/>
          <w:sz w:val="24"/>
          <w:szCs w:val="24"/>
        </w:rPr>
        <w:t>T: Testosterone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682AA9">
        <w:rPr>
          <w:rFonts w:ascii="Book Antiqua" w:hAnsi="Book Antiqua" w:cs="Times New Roman"/>
          <w:sz w:val="24"/>
          <w:szCs w:val="24"/>
        </w:rPr>
        <w:t xml:space="preserve"> TRT: Testosterone replacement therapy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82AA9">
        <w:rPr>
          <w:rFonts w:ascii="Book Antiqua" w:hAnsi="Book Antiqua" w:cs="Times New Roman"/>
          <w:sz w:val="24"/>
          <w:szCs w:val="24"/>
        </w:rPr>
        <w:t xml:space="preserve">TSI: </w:t>
      </w:r>
      <w:r w:rsidR="009A6BC1">
        <w:rPr>
          <w:rFonts w:ascii="Book Antiqua" w:hAnsi="Book Antiqua" w:cs="Times New Roman"/>
          <w:sz w:val="24"/>
          <w:szCs w:val="24"/>
        </w:rPr>
        <w:t>T</w:t>
      </w:r>
      <w:r w:rsidRPr="00682AA9">
        <w:rPr>
          <w:rFonts w:ascii="Book Antiqua" w:hAnsi="Book Antiqua" w:cs="Times New Roman"/>
          <w:sz w:val="24"/>
          <w:szCs w:val="24"/>
        </w:rPr>
        <w:t>ime since injury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74656A88" w14:textId="3F3FD340" w:rsidR="008C5647" w:rsidRPr="00682AA9" w:rsidRDefault="008C5647" w:rsidP="007962C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15F0F77" w14:textId="77777777" w:rsidR="008C5647" w:rsidRPr="00682AA9" w:rsidRDefault="008C5647" w:rsidP="007962C9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i/>
          <w:sz w:val="24"/>
          <w:szCs w:val="24"/>
        </w:rPr>
        <w:t>Experiences and lessons</w:t>
      </w:r>
    </w:p>
    <w:p w14:paraId="6F434D2B" w14:textId="66E12A62" w:rsidR="00410971" w:rsidRPr="00682AA9" w:rsidRDefault="00153C22" w:rsidP="007962C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>Testosterone replacement therapy with or without e</w:t>
      </w:r>
      <w:r w:rsidR="00EC31D6" w:rsidRPr="00682AA9">
        <w:rPr>
          <w:rFonts w:ascii="Book Antiqua" w:hAnsi="Book Antiqua" w:cs="Times New Roman"/>
          <w:sz w:val="24"/>
          <w:szCs w:val="24"/>
        </w:rPr>
        <w:t xml:space="preserve">xercise interventions </w:t>
      </w:r>
      <w:bookmarkStart w:id="4" w:name="_GoBack"/>
      <w:bookmarkEnd w:id="4"/>
      <w:r w:rsidR="00EC31D6" w:rsidRPr="00682AA9">
        <w:rPr>
          <w:rFonts w:ascii="Book Antiqua" w:hAnsi="Book Antiqua" w:cs="Times New Roman"/>
          <w:sz w:val="24"/>
          <w:szCs w:val="24"/>
        </w:rPr>
        <w:t>may be safe</w:t>
      </w:r>
      <w:r w:rsidRPr="00682AA9">
        <w:rPr>
          <w:rFonts w:ascii="Book Antiqua" w:hAnsi="Book Antiqua" w:cs="Times New Roman"/>
          <w:sz w:val="24"/>
          <w:szCs w:val="24"/>
        </w:rPr>
        <w:t>, because</w:t>
      </w:r>
      <w:r w:rsidR="00EC31D6" w:rsidRPr="00682AA9">
        <w:rPr>
          <w:rFonts w:ascii="Book Antiqua" w:hAnsi="Book Antiqua" w:cs="Times New Roman"/>
          <w:sz w:val="24"/>
          <w:szCs w:val="24"/>
        </w:rPr>
        <w:t xml:space="preserve"> they did not stimulate </w:t>
      </w:r>
      <w:r w:rsidR="00E3724F" w:rsidRPr="00682AA9">
        <w:rPr>
          <w:rFonts w:ascii="Book Antiqua" w:hAnsi="Book Antiqua" w:cs="Times New Roman"/>
          <w:sz w:val="24"/>
          <w:szCs w:val="24"/>
        </w:rPr>
        <w:t>HO</w:t>
      </w:r>
      <w:r w:rsidR="00EC31D6" w:rsidRPr="00682AA9">
        <w:rPr>
          <w:rFonts w:ascii="Book Antiqua" w:hAnsi="Book Antiqua" w:cs="Times New Roman"/>
          <w:sz w:val="24"/>
          <w:szCs w:val="24"/>
        </w:rPr>
        <w:t xml:space="preserve"> </w:t>
      </w:r>
      <w:r w:rsidRPr="00682AA9">
        <w:rPr>
          <w:rFonts w:ascii="Book Antiqua" w:hAnsi="Book Antiqua" w:cs="Times New Roman"/>
          <w:sz w:val="24"/>
          <w:szCs w:val="24"/>
        </w:rPr>
        <w:t>growth in persons with spinal cord injury</w:t>
      </w:r>
      <w:r w:rsidR="00EC31D6" w:rsidRPr="00682AA9">
        <w:rPr>
          <w:rFonts w:ascii="Book Antiqua" w:hAnsi="Book Antiqua" w:cs="Times New Roman"/>
          <w:sz w:val="24"/>
          <w:szCs w:val="24"/>
        </w:rPr>
        <w:t>.</w:t>
      </w:r>
    </w:p>
    <w:p w14:paraId="21070453" w14:textId="77777777" w:rsidR="007962C9" w:rsidRPr="00682AA9" w:rsidRDefault="007962C9" w:rsidP="007962C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98BB902" w14:textId="1B5B01BE" w:rsidR="007962C9" w:rsidRPr="00682AA9" w:rsidRDefault="007962C9" w:rsidP="00F20EF6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i/>
          <w:sz w:val="24"/>
          <w:szCs w:val="24"/>
          <w:lang w:eastAsia="zh-CN"/>
        </w:rPr>
        <w:lastRenderedPageBreak/>
        <w:t>Peer-review</w:t>
      </w:r>
    </w:p>
    <w:p w14:paraId="34AAE68A" w14:textId="7CED8EF5" w:rsidR="007962C9" w:rsidRPr="00682AA9" w:rsidRDefault="00CC40E6" w:rsidP="00F20EF6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82AA9">
        <w:rPr>
          <w:rFonts w:ascii="Book Antiqua" w:hAnsi="Book Antiqua"/>
          <w:sz w:val="24"/>
          <w:szCs w:val="24"/>
        </w:rPr>
        <w:t>This is an overall well-designed case report with a new message to provide.</w:t>
      </w:r>
    </w:p>
    <w:p w14:paraId="259A1A31" w14:textId="77777777" w:rsidR="00CC40E6" w:rsidRPr="00682AA9" w:rsidRDefault="00CC40E6" w:rsidP="00F20EF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DE2970B" w14:textId="77777777" w:rsidR="00F20EF6" w:rsidRPr="00682AA9" w:rsidRDefault="00F20EF6">
      <w:pPr>
        <w:rPr>
          <w:rFonts w:ascii="Book Antiqua" w:hAnsi="Book Antiqua" w:cs="Times New Roman"/>
          <w:b/>
          <w:sz w:val="24"/>
          <w:szCs w:val="24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73A8B76" w14:textId="37616168" w:rsidR="006C0998" w:rsidRPr="00682AA9" w:rsidRDefault="006C0998" w:rsidP="00F20EF6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3ACC579E" w14:textId="2044EB3D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1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Gorgey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AS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Dolbow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DR,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Dolbow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JD, Khalil RK, Castillo C,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Gater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DR. Effects of spinal cord injury on body composition and metabolic profile - part I.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J Spinal Cord Med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37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693-702 [PMID: 25001559 DOI: 10.1179/2045772314Y.0000000245]</w:t>
      </w:r>
    </w:p>
    <w:p w14:paraId="4C4A0B75" w14:textId="6703F6A5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2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Bauman WA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Cirnigliaro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CM, La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Fountaine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MF, Jensen AM,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Wecht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Kirshblum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SC,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Spungen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AM. </w:t>
      </w:r>
      <w:proofErr w:type="gramStart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A small-scale clinical trial to determine the safety and efficacy of testosterone replacement therapy in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hypogonadal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men with spinal cord injury.</w:t>
      </w:r>
      <w:proofErr w:type="gram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Horm</w:t>
      </w:r>
      <w:proofErr w:type="spellEnd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43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574-579 [PMID: 21717386 DOI: 10.1055/s-0031-1280797]</w:t>
      </w:r>
    </w:p>
    <w:p w14:paraId="4FA67725" w14:textId="589FC3EF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3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Gorgey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AS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Mather KJ,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Cupp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HR,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Gater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DR. Effects of resistance training on adiposity and metabolism after spinal cord injury.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Med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Sports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Exerc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44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165-174 [PMID: 21659900 DOI: 10.1249/MSS.0b013e31822672aa]</w:t>
      </w:r>
    </w:p>
    <w:p w14:paraId="4035B902" w14:textId="322B6DE5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4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Gorgey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AS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, Caudill C, Khalil RE.</w:t>
      </w:r>
      <w:proofErr w:type="gram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682AA9">
        <w:rPr>
          <w:rFonts w:ascii="Book Antiqua" w:hAnsi="Book Antiqua" w:cs="宋体"/>
          <w:sz w:val="24"/>
          <w:szCs w:val="24"/>
          <w:lang w:eastAsia="zh-CN"/>
        </w:rPr>
        <w:t>Effects of once weekly NMES training on knee extensors fatigue and body composition in a person with spinal cord injury.</w:t>
      </w:r>
      <w:proofErr w:type="gram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J Spinal Cord Med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2016;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39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99-102 [PMID: 25615403 DOI: 10.1179/2045772314Y.0000000293]</w:t>
      </w:r>
    </w:p>
    <w:p w14:paraId="68075126" w14:textId="2E47196F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5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Gorgey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AS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Shepherd C. Skeletal muscle hypertrophy and decreased intramuscular fat after unilateral resistance training in spinal cord injury: case report.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J Spinal Cord Med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33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90-95 [PMID: 20397451 DOI: 10.1080/10790268.2010.11689681]</w:t>
      </w:r>
    </w:p>
    <w:p w14:paraId="7BC10D52" w14:textId="1ACDEF78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6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Griffin L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Decker MJ, Hwang JY, Wang B, Kitchen K, Ding Z, Ivy JL. Functional electrical stimulation cycling improves body composition, metabolic and neural factors in persons with spinal cord injury.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Electromyogr</w:t>
      </w:r>
      <w:proofErr w:type="spellEnd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Kinesiol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19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614-622 [PMID: 18440241 DOI: 10.1016/j.jelekin.2008.03.002]</w:t>
      </w:r>
    </w:p>
    <w:p w14:paraId="3828FFEC" w14:textId="69543A86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7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Bauman WA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La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Fountaine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MF,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Spungen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AM. </w:t>
      </w:r>
      <w:proofErr w:type="gramStart"/>
      <w:r w:rsidRPr="00682AA9">
        <w:rPr>
          <w:rFonts w:ascii="Book Antiqua" w:hAnsi="Book Antiqua" w:cs="宋体"/>
          <w:sz w:val="24"/>
          <w:szCs w:val="24"/>
          <w:lang w:eastAsia="zh-CN"/>
        </w:rPr>
        <w:t>Age-related prevalence of low testosterone in men with spinal cord injury.</w:t>
      </w:r>
      <w:proofErr w:type="gram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J Spinal Cord Med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37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32-39 [PMID: 24090163 DOI: 10.1179/2045772313Y.0000000122]</w:t>
      </w:r>
    </w:p>
    <w:p w14:paraId="17EEC166" w14:textId="784CD469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8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Durga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Sepahpanah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Regozzi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M, Hastings J, Crane DA.</w:t>
      </w:r>
      <w:proofErr w:type="gram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682AA9">
        <w:rPr>
          <w:rFonts w:ascii="Book Antiqua" w:hAnsi="Book Antiqua" w:cs="宋体"/>
          <w:sz w:val="24"/>
          <w:szCs w:val="24"/>
          <w:lang w:eastAsia="zh-CN"/>
        </w:rPr>
        <w:t>Prevalence of testosterone deficiency after spinal cord injury.</w:t>
      </w:r>
      <w:proofErr w:type="gram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PM R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3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929-932 [PMID: 22024324 DOI: 10.1016/j.pmrj.2011.07.008]</w:t>
      </w:r>
    </w:p>
    <w:p w14:paraId="3D7E3687" w14:textId="589180FF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9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van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Kuijk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AA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Geurts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AC, van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Kuppevelt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HJ. </w:t>
      </w:r>
      <w:proofErr w:type="gramStart"/>
      <w:r w:rsidRPr="00682AA9">
        <w:rPr>
          <w:rFonts w:ascii="Book Antiqua" w:hAnsi="Book Antiqua" w:cs="宋体"/>
          <w:sz w:val="24"/>
          <w:szCs w:val="24"/>
          <w:lang w:eastAsia="zh-CN"/>
        </w:rPr>
        <w:t>Neurogenic heterotopic ossification in spinal cord injury.</w:t>
      </w:r>
      <w:proofErr w:type="gram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Spinal Cord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2002;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40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313-326 [PMID: 12080459 DOI: 10.1038/sj.sc.3101309]</w:t>
      </w:r>
    </w:p>
    <w:p w14:paraId="2DFEB608" w14:textId="32877999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10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Dolbow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DR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Gorgey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AS, Moore JR,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Gater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DR. Report of practicability of a 6-month home-based functional electrical stimulation cycling program in an individual with tetraplegia.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J Spinal Cord Med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35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182-186 [PMID: 22507029 DOI: 10.1179/2045772312Y.0000000007]</w:t>
      </w:r>
    </w:p>
    <w:p w14:paraId="1F9A1458" w14:textId="49B844CE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11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Dolbow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DR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Gorgey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AS,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Dolbow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JD,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Gater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DR. Seat pressure changes after eight weeks of functional electrical stimulation cycling: a pilot study.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Top Spinal Cord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Inj</w:t>
      </w:r>
      <w:proofErr w:type="spellEnd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Rehabil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19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222-228 [PMID: 23960706 DOI: 10.1310/sci1903-222]</w:t>
      </w:r>
    </w:p>
    <w:p w14:paraId="750B39B9" w14:textId="69900642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12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Sinnesael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Laurent MR,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Jardi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F, Dubois V,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Deboel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Delisser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Behets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GJ,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D'Haese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PC,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Carmeliet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Claessens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Vanderschueren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D. Androgens inhibit the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osteogenic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response to mechanical loading in adult male mice.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Endocrinology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156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1343-1353 [PMID: 25654322 DOI: 10.1210/en.2014-1673]</w:t>
      </w:r>
    </w:p>
    <w:p w14:paraId="4AB27288" w14:textId="5B5EFFA6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13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Van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Caenegem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E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Wierckx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Taes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Y,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Dedecker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D, Van de Peer F,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Toye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K, Kaufman JM,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T'Sjoen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G. Bone mass, bone geometry, and body composition in female-to-male transsexual persons after long-term cross-sex hormonal therapy.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Endocrinol</w:t>
      </w:r>
      <w:proofErr w:type="spellEnd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97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2503-2511 [PMID: 22564669 DOI: 10.1210/jc.2012-1187]</w:t>
      </w:r>
    </w:p>
    <w:p w14:paraId="3AE09CDB" w14:textId="2C19C3FB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14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Yarrow JF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Conover CF,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Beggs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LA, Beck DT,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Otzel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DM,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Balaez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A, Combs SM, Miller JR, Ye F, Aguirre JI,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Neuville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KG, Williams AA, Conrad BP, Gregory CM,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Wronski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TJ, Bose PK,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Borst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SE. Testosterone dose dependently prevents bone and muscle loss in rodents after spinal cord injury.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Neurotrauma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31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834-845 [PMID: 24378197 DOI: 10.1089/neu.2013.3155]</w:t>
      </w:r>
    </w:p>
    <w:p w14:paraId="55EE420B" w14:textId="16CED58E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15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Zotz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TG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, Paula JB.</w:t>
      </w:r>
      <w:proofErr w:type="gram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Influence of transcutaneous electrical stimulation on heterotopic ossification: an experimental study in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Wistar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rats.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Braz</w:t>
      </w:r>
      <w:proofErr w:type="spellEnd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 </w:t>
      </w:r>
      <w:proofErr w:type="spellStart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48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1055-1062 [PMID: 26292223 DOI: 10.1590/1414-431X20153426]</w:t>
      </w:r>
    </w:p>
    <w:p w14:paraId="30687A96" w14:textId="38FA62A4" w:rsidR="00F20EF6" w:rsidRPr="00682AA9" w:rsidRDefault="00F20EF6" w:rsidP="00F20EF6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16 </w:t>
      </w:r>
      <w:proofErr w:type="spellStart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Wosczyna</w:t>
      </w:r>
      <w:proofErr w:type="spellEnd"/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MN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Biswas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AA,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Cogswell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CA,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Goldhamer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DJ.</w:t>
      </w:r>
      <w:proofErr w:type="gram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Multipotent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progenitors resident in the skeletal muscle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interstitium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exhibit robust BMP-dependent </w:t>
      </w:r>
      <w:proofErr w:type="spellStart"/>
      <w:r w:rsidRPr="00682AA9">
        <w:rPr>
          <w:rFonts w:ascii="Book Antiqua" w:hAnsi="Book Antiqua" w:cs="宋体"/>
          <w:sz w:val="24"/>
          <w:szCs w:val="24"/>
          <w:lang w:eastAsia="zh-CN"/>
        </w:rPr>
        <w:t>osteogenic</w:t>
      </w:r>
      <w:proofErr w:type="spellEnd"/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activity and mediate heterotopic ossification. </w:t>
      </w:r>
      <w:r w:rsidRPr="00682AA9">
        <w:rPr>
          <w:rFonts w:ascii="Book Antiqua" w:hAnsi="Book Antiqua" w:cs="宋体"/>
          <w:i/>
          <w:iCs/>
          <w:sz w:val="24"/>
          <w:szCs w:val="24"/>
          <w:lang w:eastAsia="zh-CN"/>
        </w:rPr>
        <w:t>J Bone Miner Res</w:t>
      </w:r>
      <w:r w:rsidRPr="00682AA9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682AA9">
        <w:rPr>
          <w:rFonts w:ascii="Book Antiqua" w:hAnsi="Book Antiqua" w:cs="宋体"/>
          <w:b/>
          <w:bCs/>
          <w:sz w:val="24"/>
          <w:szCs w:val="24"/>
          <w:lang w:eastAsia="zh-CN"/>
        </w:rPr>
        <w:t>27</w:t>
      </w:r>
      <w:r w:rsidRPr="00682AA9">
        <w:rPr>
          <w:rFonts w:ascii="Book Antiqua" w:hAnsi="Book Antiqua" w:cs="宋体"/>
          <w:sz w:val="24"/>
          <w:szCs w:val="24"/>
          <w:lang w:eastAsia="zh-CN"/>
        </w:rPr>
        <w:t>: 1004-1017 [PMID: 22307978 DOI: 10.1002/jbmr.1562]</w:t>
      </w:r>
    </w:p>
    <w:p w14:paraId="67A841C5" w14:textId="77777777" w:rsidR="005A2F0E" w:rsidRDefault="007641C2" w:rsidP="00F20EF6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  <w:lang w:eastAsia="zh-CN"/>
        </w:rPr>
      </w:pPr>
      <w:r w:rsidRPr="00682AA9">
        <w:rPr>
          <w:rStyle w:val="apple-converted-space"/>
          <w:rFonts w:ascii="Book Antiqua" w:hAnsi="Book Antiqua" w:cs="Times New Roman"/>
          <w:sz w:val="24"/>
          <w:szCs w:val="24"/>
        </w:rPr>
        <w:br/>
      </w:r>
      <w:r w:rsidR="007962C9" w:rsidRPr="00682AA9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7962C9" w:rsidRPr="00682AA9">
        <w:rPr>
          <w:rFonts w:ascii="Book Antiqua" w:hAnsi="Book Antiqua"/>
          <w:sz w:val="24"/>
          <w:szCs w:val="24"/>
        </w:rPr>
        <w:t>Angoules</w:t>
      </w:r>
      <w:proofErr w:type="spellEnd"/>
      <w:r w:rsidR="007962C9" w:rsidRPr="00682AA9">
        <w:rPr>
          <w:rFonts w:ascii="Book Antiqua" w:hAnsi="Book Antiqua"/>
          <w:sz w:val="24"/>
          <w:szCs w:val="24"/>
          <w:lang w:eastAsia="zh-CN"/>
        </w:rPr>
        <w:t xml:space="preserve"> A, </w:t>
      </w:r>
      <w:proofErr w:type="spellStart"/>
      <w:r w:rsidR="007962C9" w:rsidRPr="00682AA9">
        <w:rPr>
          <w:rFonts w:ascii="Book Antiqua" w:hAnsi="Book Antiqua"/>
          <w:sz w:val="24"/>
          <w:szCs w:val="24"/>
        </w:rPr>
        <w:t>Taheri</w:t>
      </w:r>
      <w:proofErr w:type="spellEnd"/>
      <w:r w:rsidR="007962C9" w:rsidRPr="00682AA9">
        <w:rPr>
          <w:rFonts w:ascii="Book Antiqua" w:hAnsi="Book Antiqua"/>
          <w:sz w:val="24"/>
          <w:szCs w:val="24"/>
          <w:lang w:eastAsia="zh-CN"/>
        </w:rPr>
        <w:t xml:space="preserve"> S, </w:t>
      </w:r>
      <w:proofErr w:type="spellStart"/>
      <w:r w:rsidR="007962C9" w:rsidRPr="00682AA9">
        <w:rPr>
          <w:rFonts w:ascii="Book Antiqua" w:hAnsi="Book Antiqua"/>
          <w:sz w:val="24"/>
          <w:szCs w:val="24"/>
        </w:rPr>
        <w:t>Tokuhashi</w:t>
      </w:r>
      <w:proofErr w:type="spellEnd"/>
      <w:r w:rsidR="007962C9" w:rsidRPr="00682AA9">
        <w:rPr>
          <w:rFonts w:ascii="Book Antiqua" w:hAnsi="Book Antiqua"/>
          <w:sz w:val="24"/>
          <w:szCs w:val="24"/>
          <w:lang w:eastAsia="zh-CN"/>
        </w:rPr>
        <w:t xml:space="preserve"> Y, </w:t>
      </w:r>
      <w:r w:rsidR="007962C9" w:rsidRPr="00682AA9">
        <w:rPr>
          <w:rFonts w:ascii="Book Antiqua" w:hAnsi="Book Antiqua"/>
          <w:sz w:val="24"/>
          <w:szCs w:val="24"/>
        </w:rPr>
        <w:t>Zhao</w:t>
      </w:r>
      <w:r w:rsidR="007962C9" w:rsidRPr="00682AA9">
        <w:rPr>
          <w:rFonts w:ascii="Book Antiqua" w:hAnsi="Book Antiqua"/>
          <w:sz w:val="24"/>
          <w:szCs w:val="24"/>
          <w:lang w:eastAsia="zh-CN"/>
        </w:rPr>
        <w:t xml:space="preserve"> JB </w:t>
      </w:r>
    </w:p>
    <w:p w14:paraId="0AD278CE" w14:textId="3CF0222B" w:rsidR="00AB080B" w:rsidRPr="00682AA9" w:rsidRDefault="007962C9" w:rsidP="00F20EF6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682AA9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682AA9">
        <w:rPr>
          <w:rFonts w:ascii="Book Antiqua" w:hAnsi="Book Antiqua"/>
          <w:sz w:val="24"/>
          <w:szCs w:val="24"/>
        </w:rPr>
        <w:t>Ji</w:t>
      </w:r>
      <w:proofErr w:type="spellEnd"/>
      <w:r w:rsidRPr="00682AA9">
        <w:rPr>
          <w:rFonts w:ascii="Book Antiqua" w:hAnsi="Book Antiqua"/>
          <w:sz w:val="24"/>
          <w:szCs w:val="24"/>
        </w:rPr>
        <w:t xml:space="preserve"> FF</w:t>
      </w:r>
      <w:r w:rsidRPr="00682AA9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113383EE" w14:textId="77777777" w:rsidR="007962C9" w:rsidRPr="00682AA9" w:rsidRDefault="007962C9" w:rsidP="008C5647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Book Antiqua" w:hAnsi="Book Antiqua" w:cs="Times New Roman"/>
          <w:sz w:val="24"/>
          <w:szCs w:val="24"/>
          <w:lang w:eastAsia="zh-CN"/>
        </w:rPr>
      </w:pPr>
    </w:p>
    <w:p w14:paraId="558BF999" w14:textId="77777777" w:rsidR="00D250C9" w:rsidRPr="00682AA9" w:rsidRDefault="00D250C9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429DA54" w14:textId="6E5C717F" w:rsidR="00C56670" w:rsidRPr="00682AA9" w:rsidRDefault="00A27C18" w:rsidP="008C56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C56670" w:rsidRPr="00682AA9">
        <w:rPr>
          <w:rFonts w:ascii="Book Antiqua" w:hAnsi="Book Antiqua" w:cs="Times New Roman"/>
          <w:b/>
          <w:sz w:val="24"/>
          <w:szCs w:val="24"/>
        </w:rPr>
        <w:t xml:space="preserve"> Physical Characteristics of two paraplegic men with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 heterotopic ossification growth in their femur bones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610"/>
        <w:gridCol w:w="2064"/>
        <w:gridCol w:w="1543"/>
        <w:gridCol w:w="1907"/>
      </w:tblGrid>
      <w:tr w:rsidR="00F20EF6" w:rsidRPr="00682AA9" w14:paraId="200EB055" w14:textId="77777777" w:rsidTr="00A27C18">
        <w:trPr>
          <w:trHeight w:val="414"/>
        </w:trPr>
        <w:tc>
          <w:tcPr>
            <w:tcW w:w="1610" w:type="dxa"/>
          </w:tcPr>
          <w:p w14:paraId="14A997DE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14:paraId="4933E0D6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b/>
                <w:sz w:val="24"/>
                <w:szCs w:val="24"/>
              </w:rPr>
              <w:t>Subject A</w:t>
            </w:r>
          </w:p>
        </w:tc>
        <w:tc>
          <w:tcPr>
            <w:tcW w:w="3450" w:type="dxa"/>
            <w:gridSpan w:val="2"/>
          </w:tcPr>
          <w:p w14:paraId="0B99A2FE" w14:textId="5C5A8C72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b/>
                <w:sz w:val="24"/>
                <w:szCs w:val="24"/>
              </w:rPr>
              <w:t>Subject B</w:t>
            </w:r>
          </w:p>
        </w:tc>
      </w:tr>
      <w:tr w:rsidR="00F20EF6" w:rsidRPr="00682AA9" w14:paraId="5BA1BA74" w14:textId="77777777" w:rsidTr="00A27C18">
        <w:trPr>
          <w:trHeight w:val="442"/>
        </w:trPr>
        <w:tc>
          <w:tcPr>
            <w:tcW w:w="1610" w:type="dxa"/>
          </w:tcPr>
          <w:p w14:paraId="6E8F8059" w14:textId="765861FE" w:rsidR="00C56670" w:rsidRPr="00682AA9" w:rsidRDefault="00A27C18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Age (</w:t>
            </w:r>
            <w:proofErr w:type="spellStart"/>
            <w:r w:rsidRPr="00682AA9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="00C56670" w:rsidRPr="00682AA9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14:paraId="123BBD83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49</w:t>
            </w:r>
          </w:p>
        </w:tc>
        <w:tc>
          <w:tcPr>
            <w:tcW w:w="2064" w:type="dxa"/>
          </w:tcPr>
          <w:p w14:paraId="18E202B7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0943A71" w14:textId="0CF634F6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31</w:t>
            </w:r>
          </w:p>
        </w:tc>
        <w:tc>
          <w:tcPr>
            <w:tcW w:w="1907" w:type="dxa"/>
          </w:tcPr>
          <w:p w14:paraId="6192E681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0EF6" w:rsidRPr="00682AA9" w14:paraId="2999F08E" w14:textId="77777777" w:rsidTr="00A27C18">
        <w:trPr>
          <w:trHeight w:val="442"/>
        </w:trPr>
        <w:tc>
          <w:tcPr>
            <w:tcW w:w="1610" w:type="dxa"/>
          </w:tcPr>
          <w:p w14:paraId="667ADAF1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Weight (kg)</w:t>
            </w:r>
          </w:p>
        </w:tc>
        <w:tc>
          <w:tcPr>
            <w:tcW w:w="1610" w:type="dxa"/>
          </w:tcPr>
          <w:p w14:paraId="122E317C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106.5</w:t>
            </w:r>
          </w:p>
        </w:tc>
        <w:tc>
          <w:tcPr>
            <w:tcW w:w="2064" w:type="dxa"/>
          </w:tcPr>
          <w:p w14:paraId="112D2509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3080073" w14:textId="0260E036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93</w:t>
            </w:r>
          </w:p>
        </w:tc>
        <w:tc>
          <w:tcPr>
            <w:tcW w:w="1907" w:type="dxa"/>
          </w:tcPr>
          <w:p w14:paraId="15063131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0EF6" w:rsidRPr="00682AA9" w14:paraId="3FA3AF51" w14:textId="77777777" w:rsidTr="00A27C18">
        <w:trPr>
          <w:trHeight w:val="442"/>
        </w:trPr>
        <w:tc>
          <w:tcPr>
            <w:tcW w:w="1610" w:type="dxa"/>
          </w:tcPr>
          <w:p w14:paraId="11AE4391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Height (cm)</w:t>
            </w:r>
          </w:p>
        </w:tc>
        <w:tc>
          <w:tcPr>
            <w:tcW w:w="1610" w:type="dxa"/>
          </w:tcPr>
          <w:p w14:paraId="6562CC31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188.5</w:t>
            </w:r>
          </w:p>
        </w:tc>
        <w:tc>
          <w:tcPr>
            <w:tcW w:w="2064" w:type="dxa"/>
          </w:tcPr>
          <w:p w14:paraId="1A406EB0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44C006D" w14:textId="598636EE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181.5</w:t>
            </w:r>
          </w:p>
        </w:tc>
        <w:tc>
          <w:tcPr>
            <w:tcW w:w="1907" w:type="dxa"/>
          </w:tcPr>
          <w:p w14:paraId="72B90938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0EF6" w:rsidRPr="00682AA9" w14:paraId="59664CF8" w14:textId="77777777" w:rsidTr="00A27C18">
        <w:trPr>
          <w:trHeight w:val="428"/>
        </w:trPr>
        <w:tc>
          <w:tcPr>
            <w:tcW w:w="1610" w:type="dxa"/>
          </w:tcPr>
          <w:p w14:paraId="05898794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BMI (kg/m</w:t>
            </w:r>
            <w:r w:rsidRPr="00682AA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  <w:r w:rsidRPr="00682AA9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14:paraId="0822E161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  <w:tc>
          <w:tcPr>
            <w:tcW w:w="2064" w:type="dxa"/>
          </w:tcPr>
          <w:p w14:paraId="3D2D0AF3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84CDB6A" w14:textId="2C458736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28.4</w:t>
            </w:r>
          </w:p>
        </w:tc>
        <w:tc>
          <w:tcPr>
            <w:tcW w:w="1907" w:type="dxa"/>
          </w:tcPr>
          <w:p w14:paraId="078A22D0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0EF6" w:rsidRPr="00682AA9" w14:paraId="58369EC5" w14:textId="77777777" w:rsidTr="00A27C18">
        <w:trPr>
          <w:trHeight w:val="442"/>
        </w:trPr>
        <w:tc>
          <w:tcPr>
            <w:tcW w:w="1610" w:type="dxa"/>
          </w:tcPr>
          <w:p w14:paraId="44A3A3E7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Ethnicity</w:t>
            </w:r>
          </w:p>
        </w:tc>
        <w:tc>
          <w:tcPr>
            <w:tcW w:w="1610" w:type="dxa"/>
          </w:tcPr>
          <w:p w14:paraId="54D3BEA4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AA</w:t>
            </w:r>
          </w:p>
        </w:tc>
        <w:tc>
          <w:tcPr>
            <w:tcW w:w="2064" w:type="dxa"/>
          </w:tcPr>
          <w:p w14:paraId="5A457EBB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BEFA060" w14:textId="467FB4BD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W</w:t>
            </w:r>
          </w:p>
        </w:tc>
        <w:tc>
          <w:tcPr>
            <w:tcW w:w="1907" w:type="dxa"/>
          </w:tcPr>
          <w:p w14:paraId="72E8634E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0EF6" w:rsidRPr="00682AA9" w14:paraId="7B1EFA07" w14:textId="77777777" w:rsidTr="00A27C18">
        <w:trPr>
          <w:trHeight w:val="442"/>
        </w:trPr>
        <w:tc>
          <w:tcPr>
            <w:tcW w:w="1610" w:type="dxa"/>
          </w:tcPr>
          <w:p w14:paraId="4275DA16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LOI</w:t>
            </w:r>
          </w:p>
        </w:tc>
        <w:tc>
          <w:tcPr>
            <w:tcW w:w="1610" w:type="dxa"/>
          </w:tcPr>
          <w:p w14:paraId="3E3C54C2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T4</w:t>
            </w:r>
          </w:p>
        </w:tc>
        <w:tc>
          <w:tcPr>
            <w:tcW w:w="2064" w:type="dxa"/>
          </w:tcPr>
          <w:p w14:paraId="2B8C7D5B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B4F8273" w14:textId="7F6AFD2D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T8</w:t>
            </w:r>
          </w:p>
        </w:tc>
        <w:tc>
          <w:tcPr>
            <w:tcW w:w="1907" w:type="dxa"/>
          </w:tcPr>
          <w:p w14:paraId="044C3878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0EF6" w:rsidRPr="00682AA9" w14:paraId="73A39EA1" w14:textId="77777777" w:rsidTr="00A27C18">
        <w:trPr>
          <w:trHeight w:val="442"/>
        </w:trPr>
        <w:tc>
          <w:tcPr>
            <w:tcW w:w="1610" w:type="dxa"/>
          </w:tcPr>
          <w:p w14:paraId="6E6AE5B6" w14:textId="6EB9F0BF" w:rsidR="00C56670" w:rsidRPr="00682AA9" w:rsidRDefault="00A27C18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TSI (</w:t>
            </w:r>
            <w:proofErr w:type="spellStart"/>
            <w:r w:rsidRPr="00682AA9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="00C56670" w:rsidRPr="00682AA9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14:paraId="15FB6B09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2064" w:type="dxa"/>
          </w:tcPr>
          <w:p w14:paraId="6945EBBE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B47A8D7" w14:textId="3CC22750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14:paraId="47250E55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0EF6" w:rsidRPr="00682AA9" w14:paraId="248C492D" w14:textId="77777777" w:rsidTr="00A27C18">
        <w:trPr>
          <w:trHeight w:val="442"/>
        </w:trPr>
        <w:tc>
          <w:tcPr>
            <w:tcW w:w="1610" w:type="dxa"/>
          </w:tcPr>
          <w:p w14:paraId="670978D4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AIS</w:t>
            </w:r>
          </w:p>
        </w:tc>
        <w:tc>
          <w:tcPr>
            <w:tcW w:w="1610" w:type="dxa"/>
          </w:tcPr>
          <w:p w14:paraId="716D3E0C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A</w:t>
            </w:r>
          </w:p>
        </w:tc>
        <w:tc>
          <w:tcPr>
            <w:tcW w:w="2064" w:type="dxa"/>
          </w:tcPr>
          <w:p w14:paraId="06F234D2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74F3916" w14:textId="6B7AFC76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A</w:t>
            </w:r>
          </w:p>
        </w:tc>
        <w:tc>
          <w:tcPr>
            <w:tcW w:w="1907" w:type="dxa"/>
          </w:tcPr>
          <w:p w14:paraId="554DCBB2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0EF6" w:rsidRPr="00682AA9" w14:paraId="6A64C938" w14:textId="77777777" w:rsidTr="00A27C18">
        <w:trPr>
          <w:trHeight w:val="442"/>
        </w:trPr>
        <w:tc>
          <w:tcPr>
            <w:tcW w:w="1610" w:type="dxa"/>
          </w:tcPr>
          <w:p w14:paraId="34E01133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Cause</w:t>
            </w:r>
          </w:p>
        </w:tc>
        <w:tc>
          <w:tcPr>
            <w:tcW w:w="1610" w:type="dxa"/>
          </w:tcPr>
          <w:p w14:paraId="1300A0CE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GSW</w:t>
            </w:r>
          </w:p>
        </w:tc>
        <w:tc>
          <w:tcPr>
            <w:tcW w:w="2064" w:type="dxa"/>
          </w:tcPr>
          <w:p w14:paraId="1A25B90F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083D7D9" w14:textId="68342749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Fall</w:t>
            </w:r>
          </w:p>
        </w:tc>
        <w:tc>
          <w:tcPr>
            <w:tcW w:w="1907" w:type="dxa"/>
          </w:tcPr>
          <w:p w14:paraId="2CFC696A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0EF6" w:rsidRPr="00682AA9" w14:paraId="395B2093" w14:textId="77777777" w:rsidTr="00A27C18">
        <w:trPr>
          <w:trHeight w:val="221"/>
        </w:trPr>
        <w:tc>
          <w:tcPr>
            <w:tcW w:w="1610" w:type="dxa"/>
          </w:tcPr>
          <w:p w14:paraId="37884EA6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HO</w:t>
            </w:r>
          </w:p>
        </w:tc>
        <w:tc>
          <w:tcPr>
            <w:tcW w:w="1610" w:type="dxa"/>
          </w:tcPr>
          <w:p w14:paraId="033DFFF7" w14:textId="6A46E4BD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Right</w:t>
            </w:r>
            <w:r w:rsidR="00A27C18" w:rsidRPr="00682AA9">
              <w:rPr>
                <w:rFonts w:ascii="Book Antiqua" w:hAnsi="Book Antiqua" w:cs="Times New Roman"/>
                <w:sz w:val="24"/>
                <w:szCs w:val="24"/>
              </w:rPr>
              <w:t xml:space="preserve"> l</w:t>
            </w:r>
            <w:r w:rsidRPr="00682AA9">
              <w:rPr>
                <w:rFonts w:ascii="Book Antiqua" w:hAnsi="Book Antiqua" w:cs="Times New Roman"/>
                <w:sz w:val="24"/>
                <w:szCs w:val="24"/>
              </w:rPr>
              <w:t>eg</w:t>
            </w:r>
          </w:p>
        </w:tc>
        <w:tc>
          <w:tcPr>
            <w:tcW w:w="2064" w:type="dxa"/>
          </w:tcPr>
          <w:p w14:paraId="7C91490B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CAC328B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sz w:val="24"/>
                <w:szCs w:val="24"/>
              </w:rPr>
              <w:t>Both legs</w:t>
            </w:r>
          </w:p>
        </w:tc>
        <w:tc>
          <w:tcPr>
            <w:tcW w:w="1907" w:type="dxa"/>
          </w:tcPr>
          <w:p w14:paraId="251BDF88" w14:textId="77777777" w:rsidR="00C56670" w:rsidRPr="00682AA9" w:rsidRDefault="00C56670" w:rsidP="008C5647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4845B654" w14:textId="0978B478" w:rsidR="00AB080B" w:rsidRPr="00682AA9" w:rsidRDefault="00C56670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sz w:val="24"/>
          <w:szCs w:val="24"/>
        </w:rPr>
        <w:t xml:space="preserve">BMI: </w:t>
      </w:r>
      <w:r w:rsidR="005B1250" w:rsidRPr="00682AA9">
        <w:rPr>
          <w:rFonts w:ascii="Book Antiqua" w:hAnsi="Book Antiqua" w:cs="Times New Roman"/>
          <w:sz w:val="24"/>
          <w:szCs w:val="24"/>
        </w:rPr>
        <w:t>B</w:t>
      </w:r>
      <w:r w:rsidRPr="00682AA9">
        <w:rPr>
          <w:rFonts w:ascii="Book Antiqua" w:hAnsi="Book Antiqua" w:cs="Times New Roman"/>
          <w:sz w:val="24"/>
          <w:szCs w:val="24"/>
        </w:rPr>
        <w:t>ody mass index; LOI:</w:t>
      </w:r>
      <w:r w:rsidR="005B1250" w:rsidRPr="00682AA9">
        <w:rPr>
          <w:rFonts w:ascii="Book Antiqua" w:hAnsi="Book Antiqua" w:cs="Times New Roman"/>
          <w:sz w:val="24"/>
          <w:szCs w:val="24"/>
        </w:rPr>
        <w:t xml:space="preserve"> L</w:t>
      </w:r>
      <w:r w:rsidRPr="00682AA9">
        <w:rPr>
          <w:rFonts w:ascii="Book Antiqua" w:hAnsi="Book Antiqua" w:cs="Times New Roman"/>
          <w:sz w:val="24"/>
          <w:szCs w:val="24"/>
        </w:rPr>
        <w:t xml:space="preserve">evel of injury; TSI: </w:t>
      </w:r>
      <w:r w:rsidR="005B1250" w:rsidRPr="00682AA9">
        <w:rPr>
          <w:rFonts w:ascii="Book Antiqua" w:hAnsi="Book Antiqua" w:cs="Times New Roman"/>
          <w:sz w:val="24"/>
          <w:szCs w:val="24"/>
        </w:rPr>
        <w:t>T</w:t>
      </w:r>
      <w:r w:rsidRPr="00682AA9">
        <w:rPr>
          <w:rFonts w:ascii="Book Antiqua" w:hAnsi="Book Antiqua" w:cs="Times New Roman"/>
          <w:sz w:val="24"/>
          <w:szCs w:val="24"/>
        </w:rPr>
        <w:t xml:space="preserve">ime since injury; AIS: American spinal cord injury impairment scale classification; GSW: </w:t>
      </w:r>
      <w:r w:rsidR="005B1250" w:rsidRPr="00682AA9">
        <w:rPr>
          <w:rFonts w:ascii="Book Antiqua" w:hAnsi="Book Antiqua" w:cs="Times New Roman"/>
          <w:sz w:val="24"/>
          <w:szCs w:val="24"/>
        </w:rPr>
        <w:t>G</w:t>
      </w:r>
      <w:r w:rsidRPr="00682AA9">
        <w:rPr>
          <w:rFonts w:ascii="Book Antiqua" w:hAnsi="Book Antiqua" w:cs="Times New Roman"/>
          <w:sz w:val="24"/>
          <w:szCs w:val="24"/>
        </w:rPr>
        <w:t xml:space="preserve">unshot wound; HO: </w:t>
      </w:r>
      <w:r w:rsidR="005B1250" w:rsidRPr="00682AA9">
        <w:rPr>
          <w:rFonts w:ascii="Book Antiqua" w:hAnsi="Book Antiqua" w:cs="Times New Roman"/>
          <w:sz w:val="24"/>
          <w:szCs w:val="24"/>
        </w:rPr>
        <w:t>H</w:t>
      </w:r>
      <w:r w:rsidRPr="00682AA9">
        <w:rPr>
          <w:rFonts w:ascii="Book Antiqua" w:hAnsi="Book Antiqua" w:cs="Times New Roman"/>
          <w:sz w:val="24"/>
          <w:szCs w:val="24"/>
        </w:rPr>
        <w:t>eterotopic ossification</w:t>
      </w:r>
      <w:r w:rsidR="005B1250" w:rsidRPr="00682AA9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36BEAFAD" w14:textId="77777777" w:rsidR="00D250C9" w:rsidRPr="00682AA9" w:rsidRDefault="00D250C9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A1E7C34" w14:textId="3226E153" w:rsidR="00C56670" w:rsidRPr="00682AA9" w:rsidRDefault="00875EB5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lastRenderedPageBreak/>
        <w:t xml:space="preserve">Table 2 Baseline and post-interventions results of two paraplegic men with </w:t>
      </w:r>
      <w:r w:rsidR="005B1250" w:rsidRPr="00682AA9">
        <w:rPr>
          <w:rFonts w:ascii="Book Antiqua" w:hAnsi="Book Antiqua" w:cs="Times New Roman"/>
          <w:b/>
          <w:sz w:val="24"/>
          <w:szCs w:val="24"/>
        </w:rPr>
        <w:t>heterotopic ossification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 growth in their femur </w:t>
      </w:r>
      <w:r w:rsidR="005B1250" w:rsidRPr="00682AA9">
        <w:rPr>
          <w:rFonts w:ascii="Book Antiqua" w:hAnsi="Book Antiqua" w:cs="Times New Roman"/>
          <w:b/>
          <w:sz w:val="24"/>
          <w:szCs w:val="24"/>
        </w:rPr>
        <w:t>bones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603"/>
        <w:gridCol w:w="2160"/>
        <w:gridCol w:w="1623"/>
        <w:gridCol w:w="2342"/>
      </w:tblGrid>
      <w:tr w:rsidR="00F20EF6" w:rsidRPr="00682AA9" w14:paraId="78FC32CE" w14:textId="77777777" w:rsidTr="005B1250">
        <w:trPr>
          <w:trHeight w:val="418"/>
        </w:trPr>
        <w:tc>
          <w:tcPr>
            <w:tcW w:w="1745" w:type="dxa"/>
          </w:tcPr>
          <w:p w14:paraId="10C9C2D8" w14:textId="77777777" w:rsidR="006F7BC6" w:rsidRPr="00682AA9" w:rsidRDefault="006F7BC6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74494CA" w14:textId="3939E02B" w:rsidR="006F7BC6" w:rsidRPr="00682AA9" w:rsidRDefault="006F7BC6" w:rsidP="008C5647">
            <w:pPr>
              <w:spacing w:line="360" w:lineRule="auto"/>
              <w:jc w:val="both"/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Subject A</w:t>
            </w:r>
          </w:p>
        </w:tc>
        <w:tc>
          <w:tcPr>
            <w:tcW w:w="2160" w:type="dxa"/>
          </w:tcPr>
          <w:p w14:paraId="0D0CC554" w14:textId="77777777" w:rsidR="006F7BC6" w:rsidRPr="00682AA9" w:rsidRDefault="006F7BC6" w:rsidP="008C5647">
            <w:pPr>
              <w:spacing w:line="360" w:lineRule="auto"/>
              <w:jc w:val="both"/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3DFAE6FB" w14:textId="67E7838A" w:rsidR="006F7BC6" w:rsidRPr="00682AA9" w:rsidRDefault="006F7BC6" w:rsidP="008C5647">
            <w:pPr>
              <w:spacing w:line="360" w:lineRule="auto"/>
              <w:jc w:val="both"/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Subject B</w:t>
            </w:r>
          </w:p>
        </w:tc>
        <w:tc>
          <w:tcPr>
            <w:tcW w:w="2342" w:type="dxa"/>
          </w:tcPr>
          <w:p w14:paraId="5D7BFF40" w14:textId="77777777" w:rsidR="006F7BC6" w:rsidRPr="00682AA9" w:rsidRDefault="006F7BC6" w:rsidP="008C5647">
            <w:pPr>
              <w:spacing w:line="360" w:lineRule="auto"/>
              <w:jc w:val="both"/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20EF6" w:rsidRPr="00682AA9" w14:paraId="5A2FDA72" w14:textId="77777777" w:rsidTr="005B1250">
        <w:trPr>
          <w:trHeight w:val="418"/>
        </w:trPr>
        <w:tc>
          <w:tcPr>
            <w:tcW w:w="1745" w:type="dxa"/>
          </w:tcPr>
          <w:p w14:paraId="74F77F6F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5E0B8A3" w14:textId="0FCA92CE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Baseline</w:t>
            </w:r>
          </w:p>
        </w:tc>
        <w:tc>
          <w:tcPr>
            <w:tcW w:w="2160" w:type="dxa"/>
          </w:tcPr>
          <w:p w14:paraId="29183409" w14:textId="266F005F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Post-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i</w:t>
            </w:r>
            <w:r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ntervention</w:t>
            </w:r>
          </w:p>
        </w:tc>
        <w:tc>
          <w:tcPr>
            <w:tcW w:w="1623" w:type="dxa"/>
          </w:tcPr>
          <w:p w14:paraId="2091098C" w14:textId="5241A850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Baseline</w:t>
            </w:r>
          </w:p>
        </w:tc>
        <w:tc>
          <w:tcPr>
            <w:tcW w:w="2342" w:type="dxa"/>
          </w:tcPr>
          <w:p w14:paraId="77281640" w14:textId="173D04D0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Post-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i</w:t>
            </w:r>
            <w:r w:rsidRPr="00682AA9">
              <w:rPr>
                <w:rStyle w:val="apple-converted-space"/>
                <w:rFonts w:ascii="Book Antiqua" w:hAnsi="Book Antiqua" w:cs="Times New Roman"/>
                <w:b/>
                <w:sz w:val="24"/>
                <w:szCs w:val="24"/>
              </w:rPr>
              <w:t>ntervention</w:t>
            </w:r>
          </w:p>
        </w:tc>
      </w:tr>
      <w:tr w:rsidR="00F20EF6" w:rsidRPr="00682AA9" w14:paraId="7D0842BA" w14:textId="77777777" w:rsidTr="005B1250">
        <w:trPr>
          <w:trHeight w:val="823"/>
        </w:trPr>
        <w:tc>
          <w:tcPr>
            <w:tcW w:w="1745" w:type="dxa"/>
          </w:tcPr>
          <w:p w14:paraId="78DC2AC4" w14:textId="6A04C8B2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 w:cs="Times New Roman"/>
                <w:iCs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Whole thigh muscle CSA (cm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  <w:vertAlign w:val="superscript"/>
              </w:rPr>
              <w:t>2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)-right</w:t>
            </w:r>
          </w:p>
        </w:tc>
        <w:tc>
          <w:tcPr>
            <w:tcW w:w="1603" w:type="dxa"/>
          </w:tcPr>
          <w:p w14:paraId="31619BDD" w14:textId="625D5902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155.3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14:paraId="08A52E1A" w14:textId="6F4B1E52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170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14:paraId="43E6537E" w14:textId="6A3CB8EB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138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14:paraId="761DDD84" w14:textId="2433A72E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156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</w:tr>
      <w:tr w:rsidR="00F20EF6" w:rsidRPr="00682AA9" w14:paraId="13FA3FEB" w14:textId="77777777" w:rsidTr="005B1250">
        <w:trPr>
          <w:trHeight w:val="1053"/>
        </w:trPr>
        <w:tc>
          <w:tcPr>
            <w:tcW w:w="1745" w:type="dxa"/>
          </w:tcPr>
          <w:p w14:paraId="40F4C2B2" w14:textId="03302B96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 w:cs="Times New Roman"/>
                <w:iCs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Knee extensor CSA (cm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  <w:vertAlign w:val="superscript"/>
              </w:rPr>
              <w:t>2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)-right</w:t>
            </w:r>
          </w:p>
        </w:tc>
        <w:tc>
          <w:tcPr>
            <w:tcW w:w="1603" w:type="dxa"/>
          </w:tcPr>
          <w:p w14:paraId="08DDFA83" w14:textId="021134D0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60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46E030E2" w14:textId="199CC3BA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71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21C017E8" w14:textId="55BDE81B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62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14:paraId="6161F5E6" w14:textId="1153A359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66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6</w:t>
            </w:r>
          </w:p>
        </w:tc>
      </w:tr>
      <w:tr w:rsidR="00F20EF6" w:rsidRPr="00682AA9" w14:paraId="795BD4CA" w14:textId="77777777" w:rsidTr="005B1250">
        <w:trPr>
          <w:trHeight w:val="1039"/>
        </w:trPr>
        <w:tc>
          <w:tcPr>
            <w:tcW w:w="1745" w:type="dxa"/>
          </w:tcPr>
          <w:p w14:paraId="0272D87E" w14:textId="3DE13161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Subperiosteal</w:t>
            </w:r>
            <w:proofErr w:type="spellEnd"/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 xml:space="preserve"> femoral bone CSA (cm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  <w:vertAlign w:val="superscript"/>
              </w:rPr>
              <w:t>2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)-right</w:t>
            </w:r>
          </w:p>
        </w:tc>
        <w:tc>
          <w:tcPr>
            <w:tcW w:w="1603" w:type="dxa"/>
          </w:tcPr>
          <w:p w14:paraId="0AE7FD25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E71DBC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D6C5CA0" w14:textId="4BB92BAD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9.2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2342" w:type="dxa"/>
          </w:tcPr>
          <w:p w14:paraId="012A3E93" w14:textId="7863DB5D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9.4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</w:t>
            </w:r>
          </w:p>
        </w:tc>
      </w:tr>
      <w:tr w:rsidR="00F20EF6" w:rsidRPr="00682AA9" w14:paraId="147DC92B" w14:textId="77777777" w:rsidTr="005B1250">
        <w:trPr>
          <w:trHeight w:val="634"/>
        </w:trPr>
        <w:tc>
          <w:tcPr>
            <w:tcW w:w="1745" w:type="dxa"/>
          </w:tcPr>
          <w:p w14:paraId="52FF3F9E" w14:textId="6AF115E0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 w:cs="Times New Roman"/>
                <w:iCs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HO CSA (cm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  <w:vertAlign w:val="superscript"/>
              </w:rPr>
              <w:t>2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)-right</w:t>
            </w:r>
          </w:p>
        </w:tc>
        <w:tc>
          <w:tcPr>
            <w:tcW w:w="1603" w:type="dxa"/>
          </w:tcPr>
          <w:p w14:paraId="25388284" w14:textId="17634378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24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14:paraId="03F3CDEF" w14:textId="29756598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23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3B300458" w14:textId="54397FE8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3.6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14:paraId="3C23787D" w14:textId="6182F664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3.7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1.9</w:t>
            </w:r>
          </w:p>
        </w:tc>
      </w:tr>
      <w:tr w:rsidR="00F20EF6" w:rsidRPr="00682AA9" w14:paraId="0654F500" w14:textId="77777777" w:rsidTr="005B1250">
        <w:trPr>
          <w:trHeight w:val="837"/>
        </w:trPr>
        <w:tc>
          <w:tcPr>
            <w:tcW w:w="1745" w:type="dxa"/>
          </w:tcPr>
          <w:p w14:paraId="389B2A3F" w14:textId="46489E63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 w:cs="Times New Roman"/>
                <w:iCs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Whole thigh muscle CSA (cm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  <w:vertAlign w:val="superscript"/>
              </w:rPr>
              <w:t>2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)-left</w:t>
            </w:r>
          </w:p>
        </w:tc>
        <w:tc>
          <w:tcPr>
            <w:tcW w:w="1603" w:type="dxa"/>
          </w:tcPr>
          <w:p w14:paraId="33B0927F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F0E349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F4C367F" w14:textId="5F90455A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124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342" w:type="dxa"/>
          </w:tcPr>
          <w:p w14:paraId="79D36AD8" w14:textId="64DB6B5A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132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19 </w:t>
            </w:r>
          </w:p>
        </w:tc>
      </w:tr>
      <w:tr w:rsidR="00F20EF6" w:rsidRPr="00682AA9" w14:paraId="637F03C1" w14:textId="77777777" w:rsidTr="005B1250">
        <w:trPr>
          <w:trHeight w:val="1039"/>
        </w:trPr>
        <w:tc>
          <w:tcPr>
            <w:tcW w:w="1745" w:type="dxa"/>
          </w:tcPr>
          <w:p w14:paraId="0447B24F" w14:textId="37F17CAC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 w:cs="Times New Roman"/>
                <w:iCs/>
                <w:sz w:val="24"/>
                <w:szCs w:val="24"/>
                <w:lang w:eastAsia="zh-CN"/>
              </w:rPr>
            </w:pP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Knee extensor CSA (cm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  <w:vertAlign w:val="superscript"/>
              </w:rPr>
              <w:t>2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)-left</w:t>
            </w:r>
          </w:p>
        </w:tc>
        <w:tc>
          <w:tcPr>
            <w:tcW w:w="1603" w:type="dxa"/>
          </w:tcPr>
          <w:p w14:paraId="4D9021BE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6B53D6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97BFC1B" w14:textId="6097109C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62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2" w:type="dxa"/>
          </w:tcPr>
          <w:p w14:paraId="74835698" w14:textId="2A0E1EB0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66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6</w:t>
            </w:r>
          </w:p>
        </w:tc>
      </w:tr>
      <w:tr w:rsidR="00F20EF6" w:rsidRPr="00682AA9" w14:paraId="6953B44B" w14:textId="77777777" w:rsidTr="005B1250">
        <w:trPr>
          <w:trHeight w:val="1053"/>
        </w:trPr>
        <w:tc>
          <w:tcPr>
            <w:tcW w:w="1745" w:type="dxa"/>
          </w:tcPr>
          <w:p w14:paraId="633785D4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 w:cs="Times New Roman"/>
                <w:iCs/>
                <w:sz w:val="24"/>
                <w:szCs w:val="24"/>
              </w:rPr>
            </w:pPr>
            <w:proofErr w:type="spellStart"/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Subperiosteal</w:t>
            </w:r>
            <w:proofErr w:type="spellEnd"/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 xml:space="preserve"> femoral bone CSA (cm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  <w:vertAlign w:val="superscript"/>
              </w:rPr>
              <w:t>2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)-left</w:t>
            </w:r>
          </w:p>
          <w:p w14:paraId="1ABFEA98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F9776C6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B4748F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5E83145" w14:textId="1C21FDBB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13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2" w:type="dxa"/>
          </w:tcPr>
          <w:p w14:paraId="57B6FB0F" w14:textId="7540EE8A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13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F20EF6" w:rsidRPr="00682AA9" w14:paraId="3BBBA811" w14:textId="77777777" w:rsidTr="005B1250">
        <w:trPr>
          <w:trHeight w:val="418"/>
        </w:trPr>
        <w:tc>
          <w:tcPr>
            <w:tcW w:w="1745" w:type="dxa"/>
          </w:tcPr>
          <w:p w14:paraId="3E3259D7" w14:textId="292B60D4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HO CSA (cm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  <w:vertAlign w:val="superscript"/>
              </w:rPr>
              <w:t>2</w:t>
            </w:r>
            <w:r w:rsidRPr="00682AA9">
              <w:rPr>
                <w:rFonts w:ascii="Book Antiqua" w:hAnsi="Book Antiqua" w:cs="Times New Roman"/>
                <w:iCs/>
                <w:sz w:val="24"/>
                <w:szCs w:val="24"/>
              </w:rPr>
              <w:t>)-left</w:t>
            </w:r>
          </w:p>
        </w:tc>
        <w:tc>
          <w:tcPr>
            <w:tcW w:w="1603" w:type="dxa"/>
          </w:tcPr>
          <w:p w14:paraId="2CAD67EC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7881E8" w14:textId="77777777" w:rsidR="00875EB5" w:rsidRPr="00682AA9" w:rsidRDefault="00875EB5" w:rsidP="008C564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11C6B77" w14:textId="05682530" w:rsidR="00875EB5" w:rsidRPr="00682AA9" w:rsidRDefault="00875EB5" w:rsidP="008C5647">
            <w:pPr>
              <w:spacing w:line="360" w:lineRule="auto"/>
              <w:jc w:val="both"/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3.6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14:paraId="0A5360F7" w14:textId="1FF93EF8" w:rsidR="00875EB5" w:rsidRPr="00682AA9" w:rsidRDefault="00875EB5" w:rsidP="008C5647">
            <w:pPr>
              <w:spacing w:line="360" w:lineRule="auto"/>
              <w:jc w:val="both"/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</w:pP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3.7</w:t>
            </w:r>
            <w:r w:rsidR="005B1250"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 xml:space="preserve"> ± </w:t>
            </w:r>
            <w:r w:rsidRPr="00682AA9">
              <w:rPr>
                <w:rStyle w:val="apple-converted-space"/>
                <w:rFonts w:ascii="Book Antiqua" w:hAnsi="Book Antiqua" w:cs="Times New Roman"/>
                <w:sz w:val="24"/>
                <w:szCs w:val="24"/>
              </w:rPr>
              <w:t>1.9</w:t>
            </w:r>
          </w:p>
        </w:tc>
      </w:tr>
    </w:tbl>
    <w:p w14:paraId="7061D12A" w14:textId="28A31F2F" w:rsidR="00C56670" w:rsidRPr="00682AA9" w:rsidRDefault="00875EB5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82AA9">
        <w:rPr>
          <w:rFonts w:ascii="Book Antiqua" w:hAnsi="Book Antiqua" w:cs="Times New Roman"/>
          <w:sz w:val="24"/>
          <w:szCs w:val="24"/>
        </w:rPr>
        <w:t xml:space="preserve">CSA: </w:t>
      </w:r>
      <w:r w:rsidR="005B1250" w:rsidRPr="00682AA9">
        <w:rPr>
          <w:rFonts w:ascii="Book Antiqua" w:hAnsi="Book Antiqua" w:cs="Times New Roman"/>
          <w:sz w:val="24"/>
          <w:szCs w:val="24"/>
        </w:rPr>
        <w:t>C</w:t>
      </w:r>
      <w:r w:rsidRPr="00682AA9">
        <w:rPr>
          <w:rFonts w:ascii="Book Antiqua" w:hAnsi="Book Antiqua" w:cs="Times New Roman"/>
          <w:sz w:val="24"/>
          <w:szCs w:val="24"/>
        </w:rPr>
        <w:t>ross-sectional area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;</w:t>
      </w:r>
      <w:proofErr w:type="gramEnd"/>
      <w:r w:rsidRPr="00682AA9">
        <w:rPr>
          <w:rFonts w:ascii="Book Antiqua" w:hAnsi="Book Antiqua" w:cs="Times New Roman"/>
          <w:sz w:val="24"/>
          <w:szCs w:val="24"/>
        </w:rPr>
        <w:t xml:space="preserve"> HO: </w:t>
      </w:r>
      <w:r w:rsidR="005B1250" w:rsidRPr="00682AA9">
        <w:rPr>
          <w:rFonts w:ascii="Book Antiqua" w:hAnsi="Book Antiqua" w:cs="Times New Roman"/>
          <w:sz w:val="24"/>
          <w:szCs w:val="24"/>
        </w:rPr>
        <w:t>H</w:t>
      </w:r>
      <w:r w:rsidRPr="00682AA9">
        <w:rPr>
          <w:rFonts w:ascii="Book Antiqua" w:hAnsi="Book Antiqua" w:cs="Times New Roman"/>
          <w:sz w:val="24"/>
          <w:szCs w:val="24"/>
        </w:rPr>
        <w:t>eterotopic ossification</w:t>
      </w:r>
      <w:r w:rsidR="005B1250" w:rsidRPr="00682AA9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56670" w:rsidRPr="00682AA9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7CC7C50" w14:textId="277CFF62" w:rsidR="00415631" w:rsidRPr="00682AA9" w:rsidRDefault="00415631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82AA9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6A4979C6" wp14:editId="2F7E7B0B">
            <wp:extent cx="5943600" cy="3061606"/>
            <wp:effectExtent l="0" t="0" r="0" b="5715"/>
            <wp:docPr id="1" name="Picture 1" descr="X:\2016 NEW YEAR FOLDER\HO Paper with Pam\Submission Materials\HO Final Submission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6 NEW YEAR FOLDER\HO Paper with Pam\Submission Materials\HO Final Submission\Figure 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6419" w14:textId="50130874" w:rsidR="005B1250" w:rsidRPr="00682AA9" w:rsidRDefault="005B1250" w:rsidP="005B125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t xml:space="preserve">Figure 1 Representative </w:t>
      </w:r>
      <w:r w:rsidR="007D2A95" w:rsidRPr="00682AA9">
        <w:rPr>
          <w:rFonts w:ascii="Book Antiqua" w:hAnsi="Book Antiqua" w:cs="Times New Roman"/>
          <w:b/>
          <w:sz w:val="24"/>
          <w:szCs w:val="24"/>
        </w:rPr>
        <w:t>magnetic resonance imaging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 images of (A) pre- and (B) post- intervention showing different regions of interest</w:t>
      </w:r>
      <w:r w:rsidRPr="00682AA9">
        <w:rPr>
          <w:rFonts w:ascii="Book Antiqua" w:hAnsi="Book Antiqua" w:cs="Times New Roman" w:hint="eastAsia"/>
          <w:b/>
          <w:sz w:val="24"/>
          <w:szCs w:val="24"/>
          <w:lang w:eastAsia="zh-CN"/>
        </w:rPr>
        <w:t>: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82AA9">
        <w:rPr>
          <w:rFonts w:ascii="Book Antiqua" w:hAnsi="Book Antiqua" w:cs="Times New Roman" w:hint="eastAsia"/>
          <w:b/>
          <w:sz w:val="24"/>
          <w:szCs w:val="24"/>
          <w:lang w:eastAsia="zh-CN"/>
        </w:rPr>
        <w:t>(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1) whole thigh skeletal muscle </w:t>
      </w:r>
      <w:r w:rsidR="007D2A95" w:rsidRPr="00682AA9">
        <w:rPr>
          <w:rFonts w:ascii="Book Antiqua" w:hAnsi="Book Antiqua" w:cs="Times New Roman"/>
          <w:b/>
          <w:sz w:val="24"/>
          <w:szCs w:val="24"/>
        </w:rPr>
        <w:t>cross-sectional area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; </w:t>
      </w:r>
      <w:r w:rsidRPr="00682AA9">
        <w:rPr>
          <w:rFonts w:ascii="Book Antiqua" w:hAnsi="Book Antiqua" w:cs="Times New Roman" w:hint="eastAsia"/>
          <w:b/>
          <w:sz w:val="24"/>
          <w:szCs w:val="24"/>
          <w:lang w:eastAsia="zh-CN"/>
        </w:rPr>
        <w:t>(</w:t>
      </w:r>
      <w:r w:rsidRPr="00682AA9">
        <w:rPr>
          <w:rFonts w:ascii="Book Antiqua" w:hAnsi="Book Antiqua" w:cs="Times New Roman"/>
          <w:b/>
          <w:sz w:val="24"/>
          <w:szCs w:val="24"/>
        </w:rPr>
        <w:t>2)</w:t>
      </w:r>
      <w:r w:rsidR="007D2A95" w:rsidRPr="00682AA9">
        <w:rPr>
          <w:rFonts w:ascii="Book Antiqua" w:hAnsi="Book Antiqua" w:cs="Times New Roman"/>
          <w:b/>
          <w:sz w:val="24"/>
          <w:szCs w:val="24"/>
        </w:rPr>
        <w:t xml:space="preserve"> heterotopic ossification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 bone formation; </w:t>
      </w:r>
      <w:r w:rsidRPr="00682AA9">
        <w:rPr>
          <w:rFonts w:ascii="Book Antiqua" w:hAnsi="Book Antiqua" w:cs="Times New Roman" w:hint="eastAsia"/>
          <w:b/>
          <w:sz w:val="24"/>
          <w:szCs w:val="24"/>
          <w:lang w:eastAsia="zh-CN"/>
        </w:rPr>
        <w:t>(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3) posterior and medial compartments mid-thigh muscles; </w:t>
      </w:r>
      <w:r w:rsidRPr="00682AA9">
        <w:rPr>
          <w:rFonts w:ascii="Book Antiqua" w:hAnsi="Book Antiqua" w:cs="Times New Roman" w:hint="eastAsia"/>
          <w:b/>
          <w:sz w:val="24"/>
          <w:szCs w:val="24"/>
          <w:lang w:eastAsia="zh-CN"/>
        </w:rPr>
        <w:t>(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4) knee extensor </w:t>
      </w:r>
      <w:r w:rsidR="007D2A95" w:rsidRPr="00682AA9">
        <w:rPr>
          <w:rFonts w:ascii="Book Antiqua" w:hAnsi="Book Antiqua" w:cs="Times New Roman"/>
          <w:b/>
          <w:sz w:val="24"/>
          <w:szCs w:val="24"/>
        </w:rPr>
        <w:t>cross-sectional area</w:t>
      </w:r>
      <w:r w:rsidRPr="00682AA9">
        <w:rPr>
          <w:rFonts w:ascii="Book Antiqua" w:hAnsi="Book Antiqua" w:cs="Times New Roman"/>
          <w:b/>
          <w:sz w:val="24"/>
          <w:szCs w:val="24"/>
        </w:rPr>
        <w:t>.</w:t>
      </w:r>
    </w:p>
    <w:p w14:paraId="58ED7D3E" w14:textId="77777777" w:rsidR="00415631" w:rsidRPr="00682AA9" w:rsidRDefault="00415631" w:rsidP="008C564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7088558" w14:textId="4DCF193F" w:rsidR="00415631" w:rsidRPr="00682AA9" w:rsidRDefault="00415631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82AA9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42A4CC78" wp14:editId="4EA29230">
            <wp:extent cx="5830570" cy="6661785"/>
            <wp:effectExtent l="0" t="0" r="0" b="5715"/>
            <wp:docPr id="2" name="Picture 2" descr="X:\2016 NEW YEAR FOLDER\HO Paper with Pam\Submission Materials\HO Final Submission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2016 NEW YEAR FOLDER\HO Paper with Pam\Submission Materials\HO Final Submission\Figur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BEA6" w14:textId="6D4E8F32" w:rsidR="003568B8" w:rsidRPr="00F20EF6" w:rsidRDefault="007D2A95" w:rsidP="008C564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82AA9">
        <w:rPr>
          <w:rFonts w:ascii="Book Antiqua" w:hAnsi="Book Antiqua" w:cs="Times New Roman"/>
          <w:b/>
          <w:sz w:val="24"/>
          <w:szCs w:val="24"/>
        </w:rPr>
        <w:t xml:space="preserve">Figure 2 </w:t>
      </w:r>
      <w:proofErr w:type="gramStart"/>
      <w:r w:rsidRPr="00682AA9">
        <w:rPr>
          <w:rFonts w:ascii="Book Antiqua" w:hAnsi="Book Antiqua" w:cs="Times New Roman"/>
          <w:b/>
          <w:sz w:val="24"/>
          <w:szCs w:val="24"/>
        </w:rPr>
        <w:t>The</w:t>
      </w:r>
      <w:proofErr w:type="gramEnd"/>
      <w:r w:rsidRPr="00682AA9">
        <w:rPr>
          <w:rFonts w:ascii="Book Antiqua" w:hAnsi="Book Antiqua" w:cs="Times New Roman"/>
          <w:b/>
          <w:sz w:val="24"/>
          <w:szCs w:val="24"/>
        </w:rPr>
        <w:t xml:space="preserve"> cross-sectional area of heterotopic ossification size from hip to knee in </w:t>
      </w:r>
      <w:r w:rsidR="00BF1C05">
        <w:rPr>
          <w:rFonts w:ascii="Book Antiqua" w:hAnsi="Book Antiqua" w:cs="Times New Roman" w:hint="eastAsia"/>
          <w:b/>
          <w:sz w:val="24"/>
          <w:szCs w:val="24"/>
          <w:lang w:eastAsia="zh-CN"/>
        </w:rPr>
        <w:t>(</w:t>
      </w:r>
      <w:r w:rsidRPr="00682AA9">
        <w:rPr>
          <w:rFonts w:ascii="Book Antiqua" w:hAnsi="Book Antiqua" w:cs="Times New Roman"/>
          <w:b/>
          <w:sz w:val="24"/>
          <w:szCs w:val="24"/>
        </w:rPr>
        <w:t>A</w:t>
      </w:r>
      <w:r w:rsidR="00BF1C05">
        <w:rPr>
          <w:rFonts w:ascii="Book Antiqua" w:hAnsi="Book Antiqua" w:cs="Times New Roman" w:hint="eastAsia"/>
          <w:b/>
          <w:sz w:val="24"/>
          <w:szCs w:val="24"/>
          <w:lang w:eastAsia="zh-CN"/>
        </w:rPr>
        <w:t>)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 and </w:t>
      </w:r>
      <w:r w:rsidR="00BF1C05">
        <w:rPr>
          <w:rFonts w:ascii="Book Antiqua" w:hAnsi="Book Antiqua" w:cs="Times New Roman" w:hint="eastAsia"/>
          <w:b/>
          <w:sz w:val="24"/>
          <w:szCs w:val="24"/>
          <w:lang w:eastAsia="zh-CN"/>
        </w:rPr>
        <w:t>(</w:t>
      </w:r>
      <w:r w:rsidRPr="00682AA9">
        <w:rPr>
          <w:rFonts w:ascii="Book Antiqua" w:hAnsi="Book Antiqua" w:cs="Times New Roman"/>
          <w:b/>
          <w:sz w:val="24"/>
          <w:szCs w:val="24"/>
        </w:rPr>
        <w:t>B</w:t>
      </w:r>
      <w:r w:rsidR="00BF1C05">
        <w:rPr>
          <w:rFonts w:ascii="Book Antiqua" w:hAnsi="Book Antiqua" w:cs="Times New Roman" w:hint="eastAsia"/>
          <w:b/>
          <w:sz w:val="24"/>
          <w:szCs w:val="24"/>
          <w:lang w:eastAsia="zh-CN"/>
        </w:rPr>
        <w:t>)</w:t>
      </w:r>
      <w:r w:rsidRPr="00682AA9">
        <w:rPr>
          <w:rFonts w:ascii="Book Antiqua" w:hAnsi="Book Antiqua" w:cs="Times New Roman"/>
          <w:b/>
          <w:sz w:val="24"/>
          <w:szCs w:val="24"/>
        </w:rPr>
        <w:t xml:space="preserve">. 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 xml:space="preserve">Note that the CSA in </w:t>
      </w:r>
      <w:r w:rsidR="00BF1C05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Pr="00682AA9">
        <w:rPr>
          <w:rFonts w:ascii="Book Antiqua" w:hAnsi="Book Antiqua" w:cs="Times New Roman"/>
          <w:sz w:val="24"/>
          <w:szCs w:val="24"/>
        </w:rPr>
        <w:t>A</w:t>
      </w:r>
      <w:r w:rsidR="00BF1C05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Pr="00682AA9">
        <w:rPr>
          <w:rFonts w:ascii="Book Antiqua" w:hAnsi="Book Antiqua" w:cs="Times New Roman"/>
          <w:sz w:val="24"/>
          <w:szCs w:val="24"/>
        </w:rPr>
        <w:t xml:space="preserve"> is larger than in </w:t>
      </w:r>
      <w:r w:rsidR="00BF1C05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Pr="00682AA9">
        <w:rPr>
          <w:rFonts w:ascii="Book Antiqua" w:hAnsi="Book Antiqua" w:cs="Times New Roman"/>
          <w:sz w:val="24"/>
          <w:szCs w:val="24"/>
        </w:rPr>
        <w:t>B</w:t>
      </w:r>
      <w:r w:rsidR="00BF1C05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Pr="00682AA9">
        <w:rPr>
          <w:rFonts w:ascii="Book Antiqua" w:hAnsi="Book Antiqua" w:cs="Times New Roman"/>
          <w:sz w:val="24"/>
          <w:szCs w:val="24"/>
        </w:rPr>
        <w:t xml:space="preserve"> because we could not separate the </w:t>
      </w:r>
      <w:proofErr w:type="spellStart"/>
      <w:r w:rsidRPr="00682AA9">
        <w:rPr>
          <w:rFonts w:ascii="Book Antiqua" w:hAnsi="Book Antiqua" w:cs="Times New Roman"/>
          <w:sz w:val="24"/>
          <w:szCs w:val="24"/>
        </w:rPr>
        <w:t>subperiosteal</w:t>
      </w:r>
      <w:proofErr w:type="spellEnd"/>
      <w:r w:rsidRPr="00682AA9">
        <w:rPr>
          <w:rFonts w:ascii="Book Antiqua" w:hAnsi="Book Antiqua" w:cs="Times New Roman"/>
          <w:sz w:val="24"/>
          <w:szCs w:val="24"/>
        </w:rPr>
        <w:t xml:space="preserve"> femoral bone from HO formation.</w:t>
      </w:r>
      <w:proofErr w:type="gramEnd"/>
      <w:r w:rsidRPr="00682AA9">
        <w:rPr>
          <w:rFonts w:ascii="Book Antiqua" w:hAnsi="Book Antiqua" w:cs="Times New Roman"/>
          <w:sz w:val="24"/>
          <w:szCs w:val="24"/>
        </w:rPr>
        <w:t xml:space="preserve"> CSA: Cross-sectional area</w:t>
      </w:r>
      <w:proofErr w:type="gramStart"/>
      <w:r w:rsidRPr="00682AA9">
        <w:rPr>
          <w:rFonts w:ascii="Book Antiqua" w:hAnsi="Book Antiqua" w:cs="Times New Roman"/>
          <w:sz w:val="24"/>
          <w:szCs w:val="24"/>
        </w:rPr>
        <w:t>;</w:t>
      </w:r>
      <w:proofErr w:type="gramEnd"/>
      <w:r w:rsidRPr="00682AA9">
        <w:rPr>
          <w:rFonts w:ascii="Book Antiqua" w:hAnsi="Book Antiqua" w:cs="Times New Roman"/>
          <w:sz w:val="24"/>
          <w:szCs w:val="24"/>
        </w:rPr>
        <w:t xml:space="preserve"> HO: Heterotopic ossification</w:t>
      </w:r>
      <w:r w:rsidRPr="00682AA9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sectPr w:rsidR="003568B8" w:rsidRPr="00F20EF6" w:rsidSect="00A27C1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E1D50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AF595" w14:textId="77777777" w:rsidR="008B30A2" w:rsidRDefault="008B30A2" w:rsidP="009B317E">
      <w:pPr>
        <w:spacing w:after="0" w:line="240" w:lineRule="auto"/>
      </w:pPr>
      <w:r>
        <w:separator/>
      </w:r>
    </w:p>
  </w:endnote>
  <w:endnote w:type="continuationSeparator" w:id="0">
    <w:p w14:paraId="1305ECE9" w14:textId="77777777" w:rsidR="008B30A2" w:rsidRDefault="008B30A2" w:rsidP="009B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075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5FDF8D" w14:textId="77777777" w:rsidR="00DF706A" w:rsidRPr="009B317E" w:rsidRDefault="00DF70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31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1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31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BC1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B31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1007F5" w14:textId="77777777" w:rsidR="00DF706A" w:rsidRDefault="00DF70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6B91E" w14:textId="77777777" w:rsidR="008B30A2" w:rsidRDefault="008B30A2" w:rsidP="009B317E">
      <w:pPr>
        <w:spacing w:after="0" w:line="240" w:lineRule="auto"/>
      </w:pPr>
      <w:r>
        <w:separator/>
      </w:r>
    </w:p>
  </w:footnote>
  <w:footnote w:type="continuationSeparator" w:id="0">
    <w:p w14:paraId="70418BD5" w14:textId="77777777" w:rsidR="008B30A2" w:rsidRDefault="008B30A2" w:rsidP="009B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A6"/>
    <w:multiLevelType w:val="hybridMultilevel"/>
    <w:tmpl w:val="3A009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572C4"/>
    <w:multiLevelType w:val="hybridMultilevel"/>
    <w:tmpl w:val="7EB219E0"/>
    <w:lvl w:ilvl="0" w:tplc="76A63708">
      <w:start w:val="1"/>
      <w:numFmt w:val="decimal"/>
      <w:lvlText w:val="%1"/>
      <w:lvlJc w:val="left"/>
      <w:pPr>
        <w:ind w:left="720" w:hanging="72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08DC"/>
    <w:multiLevelType w:val="hybridMultilevel"/>
    <w:tmpl w:val="3A3A477E"/>
    <w:lvl w:ilvl="0" w:tplc="4F248D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27038"/>
    <w:multiLevelType w:val="hybridMultilevel"/>
    <w:tmpl w:val="7EB219E0"/>
    <w:lvl w:ilvl="0" w:tplc="76A63708">
      <w:start w:val="1"/>
      <w:numFmt w:val="decimal"/>
      <w:lvlText w:val="%1"/>
      <w:lvlJc w:val="left"/>
      <w:pPr>
        <w:ind w:left="720" w:hanging="72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C5"/>
    <w:rsid w:val="000031DA"/>
    <w:rsid w:val="00003B7A"/>
    <w:rsid w:val="00010BCE"/>
    <w:rsid w:val="00022EF0"/>
    <w:rsid w:val="00031F26"/>
    <w:rsid w:val="00042A09"/>
    <w:rsid w:val="00044CDE"/>
    <w:rsid w:val="0004719A"/>
    <w:rsid w:val="00051099"/>
    <w:rsid w:val="0006169A"/>
    <w:rsid w:val="000700C2"/>
    <w:rsid w:val="00070E06"/>
    <w:rsid w:val="0007435F"/>
    <w:rsid w:val="0008057F"/>
    <w:rsid w:val="00080CE4"/>
    <w:rsid w:val="00080F1B"/>
    <w:rsid w:val="00093D2D"/>
    <w:rsid w:val="000A1205"/>
    <w:rsid w:val="000A3EFE"/>
    <w:rsid w:val="000A6684"/>
    <w:rsid w:val="000A685E"/>
    <w:rsid w:val="000A7E11"/>
    <w:rsid w:val="000B29D7"/>
    <w:rsid w:val="000B2F06"/>
    <w:rsid w:val="000B6693"/>
    <w:rsid w:val="000C4409"/>
    <w:rsid w:val="000C5DF5"/>
    <w:rsid w:val="000D4C0B"/>
    <w:rsid w:val="000E5FFB"/>
    <w:rsid w:val="000E7175"/>
    <w:rsid w:val="00106D1C"/>
    <w:rsid w:val="00106DEA"/>
    <w:rsid w:val="00113F66"/>
    <w:rsid w:val="00117817"/>
    <w:rsid w:val="0012043E"/>
    <w:rsid w:val="00120CC4"/>
    <w:rsid w:val="001322E0"/>
    <w:rsid w:val="001419E6"/>
    <w:rsid w:val="00141B16"/>
    <w:rsid w:val="00150620"/>
    <w:rsid w:val="00153C22"/>
    <w:rsid w:val="00155E1C"/>
    <w:rsid w:val="00163888"/>
    <w:rsid w:val="001740F8"/>
    <w:rsid w:val="001813B3"/>
    <w:rsid w:val="0018381C"/>
    <w:rsid w:val="001846ED"/>
    <w:rsid w:val="001875D8"/>
    <w:rsid w:val="00192538"/>
    <w:rsid w:val="001A5FBC"/>
    <w:rsid w:val="001B39BC"/>
    <w:rsid w:val="001B76AD"/>
    <w:rsid w:val="001C647A"/>
    <w:rsid w:val="001D3B72"/>
    <w:rsid w:val="001E1160"/>
    <w:rsid w:val="001F4CFE"/>
    <w:rsid w:val="001F50F1"/>
    <w:rsid w:val="002055D6"/>
    <w:rsid w:val="0023528B"/>
    <w:rsid w:val="00242264"/>
    <w:rsid w:val="00244295"/>
    <w:rsid w:val="00244877"/>
    <w:rsid w:val="00246D52"/>
    <w:rsid w:val="00247618"/>
    <w:rsid w:val="00262783"/>
    <w:rsid w:val="00265B1B"/>
    <w:rsid w:val="0026775F"/>
    <w:rsid w:val="0027104E"/>
    <w:rsid w:val="002872AD"/>
    <w:rsid w:val="002A7833"/>
    <w:rsid w:val="002C50AB"/>
    <w:rsid w:val="002D02EA"/>
    <w:rsid w:val="0030316F"/>
    <w:rsid w:val="00315646"/>
    <w:rsid w:val="00325437"/>
    <w:rsid w:val="00327354"/>
    <w:rsid w:val="00337433"/>
    <w:rsid w:val="00340FC8"/>
    <w:rsid w:val="003442AC"/>
    <w:rsid w:val="00346633"/>
    <w:rsid w:val="00352107"/>
    <w:rsid w:val="003568B8"/>
    <w:rsid w:val="00356B6E"/>
    <w:rsid w:val="003703D4"/>
    <w:rsid w:val="00372F34"/>
    <w:rsid w:val="003750EF"/>
    <w:rsid w:val="00376644"/>
    <w:rsid w:val="0038110B"/>
    <w:rsid w:val="00381797"/>
    <w:rsid w:val="00383502"/>
    <w:rsid w:val="00385897"/>
    <w:rsid w:val="0039202B"/>
    <w:rsid w:val="0039390B"/>
    <w:rsid w:val="003C2DB9"/>
    <w:rsid w:val="003C3647"/>
    <w:rsid w:val="003D026F"/>
    <w:rsid w:val="003D1360"/>
    <w:rsid w:val="003E1563"/>
    <w:rsid w:val="003E2F5B"/>
    <w:rsid w:val="003F1BD0"/>
    <w:rsid w:val="003F35F7"/>
    <w:rsid w:val="003F45E2"/>
    <w:rsid w:val="003F6DBC"/>
    <w:rsid w:val="00403EF4"/>
    <w:rsid w:val="00410971"/>
    <w:rsid w:val="00415631"/>
    <w:rsid w:val="004165B8"/>
    <w:rsid w:val="00416A91"/>
    <w:rsid w:val="004177FB"/>
    <w:rsid w:val="00424D1A"/>
    <w:rsid w:val="00427AFF"/>
    <w:rsid w:val="00436878"/>
    <w:rsid w:val="00437570"/>
    <w:rsid w:val="00440A73"/>
    <w:rsid w:val="00451288"/>
    <w:rsid w:val="00455998"/>
    <w:rsid w:val="00455B47"/>
    <w:rsid w:val="00462544"/>
    <w:rsid w:val="00462A26"/>
    <w:rsid w:val="0046393D"/>
    <w:rsid w:val="00477F0E"/>
    <w:rsid w:val="00493FB0"/>
    <w:rsid w:val="00494729"/>
    <w:rsid w:val="004950CA"/>
    <w:rsid w:val="004A0B41"/>
    <w:rsid w:val="004A14C4"/>
    <w:rsid w:val="004A3D9F"/>
    <w:rsid w:val="004A549B"/>
    <w:rsid w:val="004B4DED"/>
    <w:rsid w:val="004B647F"/>
    <w:rsid w:val="004C286D"/>
    <w:rsid w:val="004D45DC"/>
    <w:rsid w:val="004D71A6"/>
    <w:rsid w:val="004E358C"/>
    <w:rsid w:val="004E5865"/>
    <w:rsid w:val="004F1A3F"/>
    <w:rsid w:val="004F1F82"/>
    <w:rsid w:val="004F4D1B"/>
    <w:rsid w:val="0050153F"/>
    <w:rsid w:val="0050391A"/>
    <w:rsid w:val="00535440"/>
    <w:rsid w:val="00536667"/>
    <w:rsid w:val="00537494"/>
    <w:rsid w:val="005526EB"/>
    <w:rsid w:val="00560757"/>
    <w:rsid w:val="00560797"/>
    <w:rsid w:val="00562064"/>
    <w:rsid w:val="00565CD7"/>
    <w:rsid w:val="0057482B"/>
    <w:rsid w:val="0058108A"/>
    <w:rsid w:val="00581DA7"/>
    <w:rsid w:val="00586EFD"/>
    <w:rsid w:val="00595675"/>
    <w:rsid w:val="00597A7F"/>
    <w:rsid w:val="005A2F0E"/>
    <w:rsid w:val="005A3062"/>
    <w:rsid w:val="005A77AA"/>
    <w:rsid w:val="005B1250"/>
    <w:rsid w:val="005B169C"/>
    <w:rsid w:val="005B1E04"/>
    <w:rsid w:val="005B2F17"/>
    <w:rsid w:val="005B3F09"/>
    <w:rsid w:val="005B3FF9"/>
    <w:rsid w:val="005B420B"/>
    <w:rsid w:val="005B54EC"/>
    <w:rsid w:val="005B6339"/>
    <w:rsid w:val="005C4CC5"/>
    <w:rsid w:val="005C7B3A"/>
    <w:rsid w:val="005D3B34"/>
    <w:rsid w:val="005D4DD2"/>
    <w:rsid w:val="005D59A1"/>
    <w:rsid w:val="005D7CFF"/>
    <w:rsid w:val="005E2F33"/>
    <w:rsid w:val="005F07FB"/>
    <w:rsid w:val="005F29E9"/>
    <w:rsid w:val="005F36D0"/>
    <w:rsid w:val="005F52F7"/>
    <w:rsid w:val="00611879"/>
    <w:rsid w:val="00620BF3"/>
    <w:rsid w:val="00623BD6"/>
    <w:rsid w:val="00625C7C"/>
    <w:rsid w:val="00662DC8"/>
    <w:rsid w:val="006738A0"/>
    <w:rsid w:val="0067536A"/>
    <w:rsid w:val="00675E7C"/>
    <w:rsid w:val="00682AA9"/>
    <w:rsid w:val="00687EBC"/>
    <w:rsid w:val="006A55F3"/>
    <w:rsid w:val="006A7569"/>
    <w:rsid w:val="006B5793"/>
    <w:rsid w:val="006C0998"/>
    <w:rsid w:val="006D4D0A"/>
    <w:rsid w:val="006F7BC6"/>
    <w:rsid w:val="00700E66"/>
    <w:rsid w:val="00701A64"/>
    <w:rsid w:val="0070469F"/>
    <w:rsid w:val="00706810"/>
    <w:rsid w:val="00727100"/>
    <w:rsid w:val="0073482A"/>
    <w:rsid w:val="00740D3A"/>
    <w:rsid w:val="00751A95"/>
    <w:rsid w:val="00754495"/>
    <w:rsid w:val="00760F8A"/>
    <w:rsid w:val="0076215E"/>
    <w:rsid w:val="00762705"/>
    <w:rsid w:val="00762A5B"/>
    <w:rsid w:val="007641C2"/>
    <w:rsid w:val="00773CAD"/>
    <w:rsid w:val="007745BE"/>
    <w:rsid w:val="0078407C"/>
    <w:rsid w:val="00785334"/>
    <w:rsid w:val="00791BAB"/>
    <w:rsid w:val="00795939"/>
    <w:rsid w:val="007962C9"/>
    <w:rsid w:val="00796A22"/>
    <w:rsid w:val="007A2FE3"/>
    <w:rsid w:val="007C3D2F"/>
    <w:rsid w:val="007C6DC6"/>
    <w:rsid w:val="007C7B1C"/>
    <w:rsid w:val="007D2A95"/>
    <w:rsid w:val="007D73D2"/>
    <w:rsid w:val="007E28DB"/>
    <w:rsid w:val="007E74A4"/>
    <w:rsid w:val="007F0660"/>
    <w:rsid w:val="00804CA9"/>
    <w:rsid w:val="00822267"/>
    <w:rsid w:val="008257AA"/>
    <w:rsid w:val="00846FDE"/>
    <w:rsid w:val="0085078F"/>
    <w:rsid w:val="00875EB5"/>
    <w:rsid w:val="0088368D"/>
    <w:rsid w:val="008848FC"/>
    <w:rsid w:val="00886EE2"/>
    <w:rsid w:val="008901FF"/>
    <w:rsid w:val="008A1CF1"/>
    <w:rsid w:val="008A407A"/>
    <w:rsid w:val="008A44C8"/>
    <w:rsid w:val="008B1889"/>
    <w:rsid w:val="008B2161"/>
    <w:rsid w:val="008B30A2"/>
    <w:rsid w:val="008B3A2C"/>
    <w:rsid w:val="008B5D69"/>
    <w:rsid w:val="008C5647"/>
    <w:rsid w:val="008D56D2"/>
    <w:rsid w:val="008E5F40"/>
    <w:rsid w:val="00901912"/>
    <w:rsid w:val="00911C22"/>
    <w:rsid w:val="00912081"/>
    <w:rsid w:val="009156F7"/>
    <w:rsid w:val="00927D2E"/>
    <w:rsid w:val="00930447"/>
    <w:rsid w:val="009344FD"/>
    <w:rsid w:val="00950059"/>
    <w:rsid w:val="00962815"/>
    <w:rsid w:val="00972DA7"/>
    <w:rsid w:val="00974681"/>
    <w:rsid w:val="009A0A81"/>
    <w:rsid w:val="009A1A79"/>
    <w:rsid w:val="009A1BEB"/>
    <w:rsid w:val="009A2AA0"/>
    <w:rsid w:val="009A3A92"/>
    <w:rsid w:val="009A3BF7"/>
    <w:rsid w:val="009A6139"/>
    <w:rsid w:val="009A6BC1"/>
    <w:rsid w:val="009B317E"/>
    <w:rsid w:val="009C09E8"/>
    <w:rsid w:val="009C38DD"/>
    <w:rsid w:val="009C5BE8"/>
    <w:rsid w:val="009D45DB"/>
    <w:rsid w:val="009D68C6"/>
    <w:rsid w:val="009E626B"/>
    <w:rsid w:val="009E6E5D"/>
    <w:rsid w:val="009E730C"/>
    <w:rsid w:val="009F4876"/>
    <w:rsid w:val="009F7334"/>
    <w:rsid w:val="009F79E1"/>
    <w:rsid w:val="009F7D85"/>
    <w:rsid w:val="00A02010"/>
    <w:rsid w:val="00A044BE"/>
    <w:rsid w:val="00A0558A"/>
    <w:rsid w:val="00A05C5B"/>
    <w:rsid w:val="00A05ECA"/>
    <w:rsid w:val="00A1345C"/>
    <w:rsid w:val="00A244EA"/>
    <w:rsid w:val="00A266A2"/>
    <w:rsid w:val="00A27C18"/>
    <w:rsid w:val="00A30002"/>
    <w:rsid w:val="00A37670"/>
    <w:rsid w:val="00A429E4"/>
    <w:rsid w:val="00A42DE8"/>
    <w:rsid w:val="00A55BA2"/>
    <w:rsid w:val="00A606A4"/>
    <w:rsid w:val="00A64497"/>
    <w:rsid w:val="00A67640"/>
    <w:rsid w:val="00A76A6D"/>
    <w:rsid w:val="00A802ED"/>
    <w:rsid w:val="00AA7013"/>
    <w:rsid w:val="00AB080B"/>
    <w:rsid w:val="00AB2327"/>
    <w:rsid w:val="00AB4363"/>
    <w:rsid w:val="00AD5C29"/>
    <w:rsid w:val="00AE7EB3"/>
    <w:rsid w:val="00AF3450"/>
    <w:rsid w:val="00AF6401"/>
    <w:rsid w:val="00B1367E"/>
    <w:rsid w:val="00B14917"/>
    <w:rsid w:val="00B259FF"/>
    <w:rsid w:val="00B334DF"/>
    <w:rsid w:val="00B57B70"/>
    <w:rsid w:val="00B62286"/>
    <w:rsid w:val="00B64A51"/>
    <w:rsid w:val="00B70229"/>
    <w:rsid w:val="00B739F6"/>
    <w:rsid w:val="00B8335D"/>
    <w:rsid w:val="00BA474E"/>
    <w:rsid w:val="00BB1439"/>
    <w:rsid w:val="00BB2920"/>
    <w:rsid w:val="00BB303A"/>
    <w:rsid w:val="00BC218D"/>
    <w:rsid w:val="00BC27FD"/>
    <w:rsid w:val="00BC285C"/>
    <w:rsid w:val="00BC4671"/>
    <w:rsid w:val="00BC6124"/>
    <w:rsid w:val="00BD203F"/>
    <w:rsid w:val="00BD27B6"/>
    <w:rsid w:val="00BD6658"/>
    <w:rsid w:val="00BD6F8E"/>
    <w:rsid w:val="00BD7934"/>
    <w:rsid w:val="00BE33AA"/>
    <w:rsid w:val="00BF1C05"/>
    <w:rsid w:val="00BF56E3"/>
    <w:rsid w:val="00C04507"/>
    <w:rsid w:val="00C20038"/>
    <w:rsid w:val="00C24E57"/>
    <w:rsid w:val="00C24ED4"/>
    <w:rsid w:val="00C44244"/>
    <w:rsid w:val="00C45C0C"/>
    <w:rsid w:val="00C47DCF"/>
    <w:rsid w:val="00C52E92"/>
    <w:rsid w:val="00C56670"/>
    <w:rsid w:val="00C6742C"/>
    <w:rsid w:val="00CA0057"/>
    <w:rsid w:val="00CA2933"/>
    <w:rsid w:val="00CA426A"/>
    <w:rsid w:val="00CB44B4"/>
    <w:rsid w:val="00CC2666"/>
    <w:rsid w:val="00CC3FC0"/>
    <w:rsid w:val="00CC40E6"/>
    <w:rsid w:val="00CE1D5F"/>
    <w:rsid w:val="00CE54E6"/>
    <w:rsid w:val="00CF6A5C"/>
    <w:rsid w:val="00CF75A8"/>
    <w:rsid w:val="00CF77D0"/>
    <w:rsid w:val="00D11870"/>
    <w:rsid w:val="00D14E53"/>
    <w:rsid w:val="00D17522"/>
    <w:rsid w:val="00D236FE"/>
    <w:rsid w:val="00D250C9"/>
    <w:rsid w:val="00D25584"/>
    <w:rsid w:val="00D415B2"/>
    <w:rsid w:val="00D52673"/>
    <w:rsid w:val="00D56249"/>
    <w:rsid w:val="00D661F0"/>
    <w:rsid w:val="00D76EF7"/>
    <w:rsid w:val="00D77814"/>
    <w:rsid w:val="00D83E57"/>
    <w:rsid w:val="00D864A2"/>
    <w:rsid w:val="00D93508"/>
    <w:rsid w:val="00D948BA"/>
    <w:rsid w:val="00DA0B1F"/>
    <w:rsid w:val="00DA47E6"/>
    <w:rsid w:val="00DA650D"/>
    <w:rsid w:val="00DB001E"/>
    <w:rsid w:val="00DC073B"/>
    <w:rsid w:val="00DC3C32"/>
    <w:rsid w:val="00DC5DE7"/>
    <w:rsid w:val="00DC7AAD"/>
    <w:rsid w:val="00DD147B"/>
    <w:rsid w:val="00DE2C44"/>
    <w:rsid w:val="00DE4C16"/>
    <w:rsid w:val="00DF227F"/>
    <w:rsid w:val="00DF2DC5"/>
    <w:rsid w:val="00DF706A"/>
    <w:rsid w:val="00E07A5D"/>
    <w:rsid w:val="00E157FF"/>
    <w:rsid w:val="00E231E2"/>
    <w:rsid w:val="00E279F8"/>
    <w:rsid w:val="00E31626"/>
    <w:rsid w:val="00E31B18"/>
    <w:rsid w:val="00E322E2"/>
    <w:rsid w:val="00E32D33"/>
    <w:rsid w:val="00E32EA6"/>
    <w:rsid w:val="00E35846"/>
    <w:rsid w:val="00E35D43"/>
    <w:rsid w:val="00E3724F"/>
    <w:rsid w:val="00E41EE0"/>
    <w:rsid w:val="00E44557"/>
    <w:rsid w:val="00E45E40"/>
    <w:rsid w:val="00E46C3B"/>
    <w:rsid w:val="00E47DD9"/>
    <w:rsid w:val="00E521E7"/>
    <w:rsid w:val="00E53E9D"/>
    <w:rsid w:val="00E60A2D"/>
    <w:rsid w:val="00E61F5C"/>
    <w:rsid w:val="00E74589"/>
    <w:rsid w:val="00E74ECA"/>
    <w:rsid w:val="00E759E9"/>
    <w:rsid w:val="00E7666C"/>
    <w:rsid w:val="00E82E7E"/>
    <w:rsid w:val="00E87728"/>
    <w:rsid w:val="00E97FD1"/>
    <w:rsid w:val="00EA290D"/>
    <w:rsid w:val="00EA3535"/>
    <w:rsid w:val="00EA4F86"/>
    <w:rsid w:val="00EA5E2E"/>
    <w:rsid w:val="00EC2609"/>
    <w:rsid w:val="00EC31D6"/>
    <w:rsid w:val="00ED1D90"/>
    <w:rsid w:val="00EF1CBF"/>
    <w:rsid w:val="00EF584D"/>
    <w:rsid w:val="00EF58BC"/>
    <w:rsid w:val="00F14F84"/>
    <w:rsid w:val="00F16CC7"/>
    <w:rsid w:val="00F20EF6"/>
    <w:rsid w:val="00F212B6"/>
    <w:rsid w:val="00F27234"/>
    <w:rsid w:val="00F33321"/>
    <w:rsid w:val="00F37C7F"/>
    <w:rsid w:val="00F43FD8"/>
    <w:rsid w:val="00F45318"/>
    <w:rsid w:val="00F759D6"/>
    <w:rsid w:val="00F842D0"/>
    <w:rsid w:val="00F912A9"/>
    <w:rsid w:val="00F918A7"/>
    <w:rsid w:val="00F928B7"/>
    <w:rsid w:val="00F936DF"/>
    <w:rsid w:val="00F94F34"/>
    <w:rsid w:val="00FA1CF9"/>
    <w:rsid w:val="00FA1F67"/>
    <w:rsid w:val="00FA577D"/>
    <w:rsid w:val="00FA5CCC"/>
    <w:rsid w:val="00FA77D3"/>
    <w:rsid w:val="00FB34D7"/>
    <w:rsid w:val="00FC7D5F"/>
    <w:rsid w:val="00FD2E43"/>
    <w:rsid w:val="00FD4A64"/>
    <w:rsid w:val="00FE0633"/>
    <w:rsid w:val="00FE2CC3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8A3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80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EC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ECA"/>
    <w:rPr>
      <w:color w:val="0000FF" w:themeColor="hyperlink"/>
      <w:u w:val="single"/>
    </w:rPr>
  </w:style>
  <w:style w:type="character" w:styleId="Strong">
    <w:name w:val="Strong"/>
    <w:uiPriority w:val="22"/>
    <w:qFormat/>
    <w:rsid w:val="00E74ECA"/>
    <w:rPr>
      <w:b/>
      <w:bCs w:val="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74ECA"/>
    <w:pPr>
      <w:spacing w:after="120" w:line="240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4ECA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59D6"/>
  </w:style>
  <w:style w:type="character" w:customStyle="1" w:styleId="ref-title">
    <w:name w:val="ref-title"/>
    <w:basedOn w:val="DefaultParagraphFont"/>
    <w:rsid w:val="00886EE2"/>
  </w:style>
  <w:style w:type="character" w:customStyle="1" w:styleId="ref-journal">
    <w:name w:val="ref-journal"/>
    <w:basedOn w:val="DefaultParagraphFont"/>
    <w:rsid w:val="00886EE2"/>
  </w:style>
  <w:style w:type="character" w:customStyle="1" w:styleId="ref-vol">
    <w:name w:val="ref-vol"/>
    <w:basedOn w:val="DefaultParagraphFont"/>
    <w:rsid w:val="00886EE2"/>
  </w:style>
  <w:style w:type="character" w:customStyle="1" w:styleId="ref-iss">
    <w:name w:val="ref-iss"/>
    <w:basedOn w:val="DefaultParagraphFont"/>
    <w:rsid w:val="00886EE2"/>
  </w:style>
  <w:style w:type="character" w:customStyle="1" w:styleId="nowrap">
    <w:name w:val="nowrap"/>
    <w:basedOn w:val="DefaultParagraphFont"/>
    <w:rsid w:val="00886EE2"/>
  </w:style>
  <w:style w:type="paragraph" w:styleId="ListParagraph">
    <w:name w:val="List Paragraph"/>
    <w:basedOn w:val="Normal"/>
    <w:uiPriority w:val="34"/>
    <w:qFormat/>
    <w:rsid w:val="00A55BA2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55BA2"/>
  </w:style>
  <w:style w:type="character" w:customStyle="1" w:styleId="highlight">
    <w:name w:val="highlight"/>
    <w:basedOn w:val="DefaultParagraphFont"/>
    <w:rsid w:val="000A6684"/>
  </w:style>
  <w:style w:type="paragraph" w:styleId="Header">
    <w:name w:val="header"/>
    <w:basedOn w:val="Normal"/>
    <w:link w:val="HeaderChar"/>
    <w:uiPriority w:val="99"/>
    <w:unhideWhenUsed/>
    <w:rsid w:val="009B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7E"/>
  </w:style>
  <w:style w:type="paragraph" w:styleId="Footer">
    <w:name w:val="footer"/>
    <w:basedOn w:val="Normal"/>
    <w:link w:val="FooterChar"/>
    <w:uiPriority w:val="99"/>
    <w:unhideWhenUsed/>
    <w:rsid w:val="009B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7E"/>
  </w:style>
  <w:style w:type="character" w:customStyle="1" w:styleId="Heading3Char">
    <w:name w:val="Heading 3 Char"/>
    <w:basedOn w:val="DefaultParagraphFont"/>
    <w:link w:val="Heading3"/>
    <w:uiPriority w:val="9"/>
    <w:rsid w:val="00A802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A8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6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2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E6E5D"/>
  </w:style>
  <w:style w:type="character" w:styleId="CommentReference">
    <w:name w:val="annotation reference"/>
    <w:basedOn w:val="DefaultParagraphFont"/>
    <w:uiPriority w:val="99"/>
    <w:semiHidden/>
    <w:unhideWhenUsed/>
    <w:rsid w:val="003F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29E9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uiPriority w:val="99"/>
    <w:rsid w:val="001F50F1"/>
  </w:style>
  <w:style w:type="character" w:customStyle="1" w:styleId="element-citation">
    <w:name w:val="element-citation"/>
    <w:basedOn w:val="DefaultParagraphFont"/>
    <w:rsid w:val="001F50F1"/>
  </w:style>
  <w:style w:type="character" w:customStyle="1" w:styleId="nlmarticle-title">
    <w:name w:val="nlm_article-title"/>
    <w:basedOn w:val="DefaultParagraphFont"/>
    <w:uiPriority w:val="99"/>
    <w:rsid w:val="001F50F1"/>
    <w:rPr>
      <w:rFonts w:cs="Times New Roman"/>
    </w:rPr>
  </w:style>
  <w:style w:type="character" w:customStyle="1" w:styleId="nlmyear">
    <w:name w:val="nlm_year"/>
    <w:basedOn w:val="DefaultParagraphFont"/>
    <w:uiPriority w:val="99"/>
    <w:rsid w:val="001F50F1"/>
    <w:rPr>
      <w:rFonts w:cs="Times New Roman"/>
    </w:rPr>
  </w:style>
  <w:style w:type="character" w:customStyle="1" w:styleId="nlmfpage">
    <w:name w:val="nlm_fpage"/>
    <w:basedOn w:val="DefaultParagraphFont"/>
    <w:uiPriority w:val="99"/>
    <w:rsid w:val="001F50F1"/>
    <w:rPr>
      <w:rFonts w:cs="Times New Roman"/>
    </w:rPr>
  </w:style>
  <w:style w:type="character" w:customStyle="1" w:styleId="nlmlpage">
    <w:name w:val="nlm_lpage"/>
    <w:basedOn w:val="DefaultParagraphFont"/>
    <w:uiPriority w:val="99"/>
    <w:rsid w:val="001F50F1"/>
    <w:rPr>
      <w:rFonts w:cs="Times New Roman"/>
    </w:rPr>
  </w:style>
  <w:style w:type="character" w:customStyle="1" w:styleId="style31">
    <w:name w:val="style31"/>
    <w:basedOn w:val="DefaultParagraphFont"/>
    <w:rsid w:val="00CF77D0"/>
    <w:rPr>
      <w:color w:val="003399"/>
    </w:rPr>
  </w:style>
  <w:style w:type="paragraph" w:styleId="Revision">
    <w:name w:val="Revision"/>
    <w:hidden/>
    <w:uiPriority w:val="99"/>
    <w:semiHidden/>
    <w:rsid w:val="006C0998"/>
    <w:pPr>
      <w:spacing w:after="0" w:line="240" w:lineRule="auto"/>
    </w:pPr>
  </w:style>
  <w:style w:type="character" w:styleId="Emphasis">
    <w:name w:val="Emphasis"/>
    <w:qFormat/>
    <w:rsid w:val="009A6BC1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80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EC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ECA"/>
    <w:rPr>
      <w:color w:val="0000FF" w:themeColor="hyperlink"/>
      <w:u w:val="single"/>
    </w:rPr>
  </w:style>
  <w:style w:type="character" w:styleId="Strong">
    <w:name w:val="Strong"/>
    <w:uiPriority w:val="22"/>
    <w:qFormat/>
    <w:rsid w:val="00E74ECA"/>
    <w:rPr>
      <w:b/>
      <w:bCs w:val="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74ECA"/>
    <w:pPr>
      <w:spacing w:after="120" w:line="240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4ECA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59D6"/>
  </w:style>
  <w:style w:type="character" w:customStyle="1" w:styleId="ref-title">
    <w:name w:val="ref-title"/>
    <w:basedOn w:val="DefaultParagraphFont"/>
    <w:rsid w:val="00886EE2"/>
  </w:style>
  <w:style w:type="character" w:customStyle="1" w:styleId="ref-journal">
    <w:name w:val="ref-journal"/>
    <w:basedOn w:val="DefaultParagraphFont"/>
    <w:rsid w:val="00886EE2"/>
  </w:style>
  <w:style w:type="character" w:customStyle="1" w:styleId="ref-vol">
    <w:name w:val="ref-vol"/>
    <w:basedOn w:val="DefaultParagraphFont"/>
    <w:rsid w:val="00886EE2"/>
  </w:style>
  <w:style w:type="character" w:customStyle="1" w:styleId="ref-iss">
    <w:name w:val="ref-iss"/>
    <w:basedOn w:val="DefaultParagraphFont"/>
    <w:rsid w:val="00886EE2"/>
  </w:style>
  <w:style w:type="character" w:customStyle="1" w:styleId="nowrap">
    <w:name w:val="nowrap"/>
    <w:basedOn w:val="DefaultParagraphFont"/>
    <w:rsid w:val="00886EE2"/>
  </w:style>
  <w:style w:type="paragraph" w:styleId="ListParagraph">
    <w:name w:val="List Paragraph"/>
    <w:basedOn w:val="Normal"/>
    <w:uiPriority w:val="34"/>
    <w:qFormat/>
    <w:rsid w:val="00A55BA2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55BA2"/>
  </w:style>
  <w:style w:type="character" w:customStyle="1" w:styleId="highlight">
    <w:name w:val="highlight"/>
    <w:basedOn w:val="DefaultParagraphFont"/>
    <w:rsid w:val="000A6684"/>
  </w:style>
  <w:style w:type="paragraph" w:styleId="Header">
    <w:name w:val="header"/>
    <w:basedOn w:val="Normal"/>
    <w:link w:val="HeaderChar"/>
    <w:uiPriority w:val="99"/>
    <w:unhideWhenUsed/>
    <w:rsid w:val="009B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7E"/>
  </w:style>
  <w:style w:type="paragraph" w:styleId="Footer">
    <w:name w:val="footer"/>
    <w:basedOn w:val="Normal"/>
    <w:link w:val="FooterChar"/>
    <w:uiPriority w:val="99"/>
    <w:unhideWhenUsed/>
    <w:rsid w:val="009B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7E"/>
  </w:style>
  <w:style w:type="character" w:customStyle="1" w:styleId="Heading3Char">
    <w:name w:val="Heading 3 Char"/>
    <w:basedOn w:val="DefaultParagraphFont"/>
    <w:link w:val="Heading3"/>
    <w:uiPriority w:val="9"/>
    <w:rsid w:val="00A802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A8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6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2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E6E5D"/>
  </w:style>
  <w:style w:type="character" w:styleId="CommentReference">
    <w:name w:val="annotation reference"/>
    <w:basedOn w:val="DefaultParagraphFont"/>
    <w:uiPriority w:val="99"/>
    <w:semiHidden/>
    <w:unhideWhenUsed/>
    <w:rsid w:val="003F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29E9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uiPriority w:val="99"/>
    <w:rsid w:val="001F50F1"/>
  </w:style>
  <w:style w:type="character" w:customStyle="1" w:styleId="element-citation">
    <w:name w:val="element-citation"/>
    <w:basedOn w:val="DefaultParagraphFont"/>
    <w:rsid w:val="001F50F1"/>
  </w:style>
  <w:style w:type="character" w:customStyle="1" w:styleId="nlmarticle-title">
    <w:name w:val="nlm_article-title"/>
    <w:basedOn w:val="DefaultParagraphFont"/>
    <w:uiPriority w:val="99"/>
    <w:rsid w:val="001F50F1"/>
    <w:rPr>
      <w:rFonts w:cs="Times New Roman"/>
    </w:rPr>
  </w:style>
  <w:style w:type="character" w:customStyle="1" w:styleId="nlmyear">
    <w:name w:val="nlm_year"/>
    <w:basedOn w:val="DefaultParagraphFont"/>
    <w:uiPriority w:val="99"/>
    <w:rsid w:val="001F50F1"/>
    <w:rPr>
      <w:rFonts w:cs="Times New Roman"/>
    </w:rPr>
  </w:style>
  <w:style w:type="character" w:customStyle="1" w:styleId="nlmfpage">
    <w:name w:val="nlm_fpage"/>
    <w:basedOn w:val="DefaultParagraphFont"/>
    <w:uiPriority w:val="99"/>
    <w:rsid w:val="001F50F1"/>
    <w:rPr>
      <w:rFonts w:cs="Times New Roman"/>
    </w:rPr>
  </w:style>
  <w:style w:type="character" w:customStyle="1" w:styleId="nlmlpage">
    <w:name w:val="nlm_lpage"/>
    <w:basedOn w:val="DefaultParagraphFont"/>
    <w:uiPriority w:val="99"/>
    <w:rsid w:val="001F50F1"/>
    <w:rPr>
      <w:rFonts w:cs="Times New Roman"/>
    </w:rPr>
  </w:style>
  <w:style w:type="character" w:customStyle="1" w:styleId="style31">
    <w:name w:val="style31"/>
    <w:basedOn w:val="DefaultParagraphFont"/>
    <w:rsid w:val="00CF77D0"/>
    <w:rPr>
      <w:color w:val="003399"/>
    </w:rPr>
  </w:style>
  <w:style w:type="paragraph" w:styleId="Revision">
    <w:name w:val="Revision"/>
    <w:hidden/>
    <w:uiPriority w:val="99"/>
    <w:semiHidden/>
    <w:rsid w:val="006C0998"/>
    <w:pPr>
      <w:spacing w:after="0" w:line="240" w:lineRule="auto"/>
    </w:pPr>
  </w:style>
  <w:style w:type="character" w:styleId="Emphasis">
    <w:name w:val="Emphasis"/>
    <w:qFormat/>
    <w:rsid w:val="009A6BC1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3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00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4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6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5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9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5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if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shraf.gorgey@va.gov" TargetMode="Externa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06D3-8F1B-A741-BD84-89B5A280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3154</Words>
  <Characters>17978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Gorgey</dc:creator>
  <cp:lastModifiedBy>Na Ma</cp:lastModifiedBy>
  <cp:revision>2</cp:revision>
  <cp:lastPrinted>2016-02-12T16:57:00Z</cp:lastPrinted>
  <dcterms:created xsi:type="dcterms:W3CDTF">2016-05-08T01:01:00Z</dcterms:created>
  <dcterms:modified xsi:type="dcterms:W3CDTF">2016-05-08T01:01:00Z</dcterms:modified>
</cp:coreProperties>
</file>