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F1EC8" w14:textId="77777777" w:rsidR="00D17076" w:rsidRPr="00E23170" w:rsidRDefault="00D17076" w:rsidP="00E46EEA">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r w:rsidRPr="009F19CA">
        <w:rPr>
          <w:rFonts w:ascii="Book Antiqua" w:eastAsia="Times New Roman" w:hAnsi="Book Antiqua" w:cs="SimSun"/>
          <w:b/>
          <w:color w:val="000000"/>
        </w:rPr>
        <w:t xml:space="preserve">Name of journal: </w:t>
      </w:r>
      <w:bookmarkStart w:id="2" w:name="OLE_LINK718"/>
      <w:bookmarkStart w:id="3" w:name="OLE_LINK719"/>
      <w:bookmarkStart w:id="4" w:name="OLE_LINK645"/>
      <w:bookmarkStart w:id="5" w:name="OLE_LINK661"/>
      <w:bookmarkStart w:id="6" w:name="OLE_LINK1068"/>
      <w:r w:rsidRPr="00E23170">
        <w:rPr>
          <w:rFonts w:ascii="Book Antiqua" w:eastAsia="Times New Roman" w:hAnsi="Book Antiqua" w:cs="SimSun"/>
          <w:b/>
          <w:i/>
          <w:color w:val="000000"/>
        </w:rPr>
        <w:t xml:space="preserve">World Journal of </w:t>
      </w:r>
      <w:bookmarkStart w:id="7" w:name="OLE_LINK1222"/>
      <w:bookmarkStart w:id="8" w:name="OLE_LINK1223"/>
      <w:r w:rsidRPr="00E23170">
        <w:rPr>
          <w:rFonts w:ascii="Book Antiqua" w:eastAsia="Times New Roman" w:hAnsi="Book Antiqua" w:cs="SimSun"/>
          <w:b/>
          <w:i/>
          <w:color w:val="000000"/>
        </w:rPr>
        <w:t>Gastroenterology</w:t>
      </w:r>
      <w:bookmarkEnd w:id="2"/>
      <w:bookmarkEnd w:id="3"/>
      <w:bookmarkEnd w:id="4"/>
      <w:bookmarkEnd w:id="5"/>
      <w:bookmarkEnd w:id="6"/>
      <w:bookmarkEnd w:id="7"/>
      <w:bookmarkEnd w:id="8"/>
    </w:p>
    <w:p w14:paraId="118CDEC9" w14:textId="0AF96FE8" w:rsidR="00D17076" w:rsidRPr="009F19CA" w:rsidRDefault="00D17076" w:rsidP="00E46EEA">
      <w:pPr>
        <w:adjustRightInd w:val="0"/>
        <w:snapToGrid w:val="0"/>
        <w:spacing w:line="360" w:lineRule="auto"/>
        <w:jc w:val="both"/>
        <w:rPr>
          <w:rFonts w:ascii="Book Antiqua" w:hAnsi="Book Antiqua" w:cs="Arial"/>
          <w:color w:val="000000"/>
          <w:lang w:val="en" w:eastAsia="zh-CN"/>
        </w:rPr>
      </w:pPr>
      <w:r w:rsidRPr="009F19CA">
        <w:rPr>
          <w:rFonts w:ascii="Book Antiqua" w:hAnsi="Book Antiqua" w:cs="Arial"/>
          <w:b/>
          <w:color w:val="000000"/>
          <w:lang w:val="en"/>
        </w:rPr>
        <w:t xml:space="preserve">ESPS Manuscript NO: </w:t>
      </w:r>
      <w:r>
        <w:rPr>
          <w:rFonts w:ascii="Book Antiqua" w:hAnsi="Book Antiqua" w:cs="Arial" w:hint="eastAsia"/>
          <w:b/>
          <w:color w:val="000000"/>
          <w:lang w:val="en" w:eastAsia="zh-CN"/>
        </w:rPr>
        <w:t>25489</w:t>
      </w:r>
    </w:p>
    <w:p w14:paraId="24A897F5" w14:textId="14FBD7A3" w:rsidR="00D17076" w:rsidRDefault="00D17076" w:rsidP="00E46EEA">
      <w:pPr>
        <w:spacing w:line="360" w:lineRule="auto"/>
        <w:jc w:val="both"/>
        <w:rPr>
          <w:rFonts w:ascii="Book Antiqua" w:hAnsi="Book Antiqua"/>
          <w:b/>
          <w:lang w:eastAsia="zh-CN"/>
        </w:rPr>
      </w:pPr>
      <w:r w:rsidRPr="00753939">
        <w:rPr>
          <w:rFonts w:ascii="Book Antiqua" w:hAnsi="Book Antiqua"/>
          <w:b/>
        </w:rPr>
        <w:t>Manuscript Type</w:t>
      </w:r>
      <w:r w:rsidRPr="00753939">
        <w:rPr>
          <w:rFonts w:ascii="Book Antiqua" w:hAnsi="Book Antiqua" w:hint="eastAsia"/>
          <w:b/>
        </w:rPr>
        <w:t>:</w:t>
      </w:r>
      <w:r w:rsidRPr="00753939">
        <w:rPr>
          <w:rFonts w:ascii="Book Antiqua" w:hAnsi="Book Antiqua"/>
          <w:b/>
        </w:rPr>
        <w:t xml:space="preserve"> </w:t>
      </w:r>
      <w:r w:rsidR="002A774B">
        <w:rPr>
          <w:rFonts w:ascii="Book Antiqua" w:hAnsi="Book Antiqua"/>
          <w:b/>
          <w:lang w:eastAsia="zh-CN"/>
        </w:rPr>
        <w:t>MINIREVIEWS</w:t>
      </w:r>
    </w:p>
    <w:p w14:paraId="14B88B25" w14:textId="77777777" w:rsidR="00D17076" w:rsidRDefault="00D17076" w:rsidP="00E46EEA">
      <w:pPr>
        <w:spacing w:line="360" w:lineRule="auto"/>
        <w:jc w:val="both"/>
        <w:rPr>
          <w:rFonts w:ascii="Book Antiqua" w:hAnsi="Book Antiqua"/>
          <w:b/>
          <w:lang w:eastAsia="zh-CN"/>
        </w:rPr>
      </w:pPr>
    </w:p>
    <w:bookmarkEnd w:id="0"/>
    <w:bookmarkEnd w:id="1"/>
    <w:p w14:paraId="50165711" w14:textId="32EC9835" w:rsidR="001F4CBE" w:rsidRDefault="00A67829" w:rsidP="00E46EEA">
      <w:pPr>
        <w:spacing w:line="360" w:lineRule="auto"/>
        <w:jc w:val="both"/>
        <w:outlineLvl w:val="0"/>
        <w:rPr>
          <w:rFonts w:ascii="Book Antiqua" w:hAnsi="Book Antiqua"/>
          <w:b/>
          <w:lang w:val="en-US" w:eastAsia="zh-CN"/>
        </w:rPr>
      </w:pPr>
      <w:r w:rsidRPr="00D17076">
        <w:rPr>
          <w:rFonts w:ascii="Book Antiqua" w:hAnsi="Book Antiqua"/>
          <w:b/>
          <w:lang w:val="en-US"/>
        </w:rPr>
        <w:t xml:space="preserve">Acetic </w:t>
      </w:r>
      <w:r w:rsidR="00D17076" w:rsidRPr="00D17076">
        <w:rPr>
          <w:rFonts w:ascii="Book Antiqua" w:hAnsi="Book Antiqua"/>
          <w:b/>
          <w:lang w:val="en-US"/>
        </w:rPr>
        <w:t>acid chromoen</w:t>
      </w:r>
      <w:r w:rsidRPr="00D17076">
        <w:rPr>
          <w:rFonts w:ascii="Book Antiqua" w:hAnsi="Book Antiqua"/>
          <w:b/>
          <w:lang w:val="en-US"/>
        </w:rPr>
        <w:t>doscopy: Improvin</w:t>
      </w:r>
      <w:r w:rsidR="00D17076" w:rsidRPr="00D17076">
        <w:rPr>
          <w:rFonts w:ascii="Book Antiqua" w:hAnsi="Book Antiqua"/>
          <w:b/>
          <w:lang w:val="en-US"/>
        </w:rPr>
        <w:t xml:space="preserve">g neoplasia detection in </w:t>
      </w:r>
      <w:r w:rsidR="008F105C" w:rsidRPr="00D17076">
        <w:rPr>
          <w:rFonts w:ascii="Book Antiqua" w:hAnsi="Book Antiqua"/>
          <w:b/>
          <w:lang w:val="en-US"/>
        </w:rPr>
        <w:t>B</w:t>
      </w:r>
      <w:r w:rsidR="00D17076" w:rsidRPr="00D17076">
        <w:rPr>
          <w:rFonts w:ascii="Book Antiqua" w:hAnsi="Book Antiqua"/>
          <w:b/>
          <w:lang w:val="en-US"/>
        </w:rPr>
        <w:t>arrett’s esophagus</w:t>
      </w:r>
    </w:p>
    <w:p w14:paraId="5E98A788" w14:textId="77777777" w:rsidR="008E67F7" w:rsidRPr="00D17076" w:rsidRDefault="008E67F7" w:rsidP="00E46EEA">
      <w:pPr>
        <w:spacing w:line="360" w:lineRule="auto"/>
        <w:jc w:val="both"/>
        <w:outlineLvl w:val="0"/>
        <w:rPr>
          <w:rFonts w:ascii="Book Antiqua" w:hAnsi="Book Antiqua"/>
          <w:b/>
          <w:lang w:val="en-US" w:eastAsia="zh-CN"/>
        </w:rPr>
      </w:pPr>
    </w:p>
    <w:p w14:paraId="0416F807" w14:textId="6383962F" w:rsidR="00A67829" w:rsidRDefault="008E67F7" w:rsidP="00E46EEA">
      <w:pPr>
        <w:spacing w:line="360" w:lineRule="auto"/>
        <w:jc w:val="both"/>
        <w:rPr>
          <w:rFonts w:ascii="Book Antiqua" w:hAnsi="Book Antiqua"/>
          <w:lang w:val="en-US" w:eastAsia="zh-CN"/>
        </w:rPr>
      </w:pPr>
      <w:r w:rsidRPr="008E67F7">
        <w:rPr>
          <w:rFonts w:ascii="Book Antiqua" w:hAnsi="Book Antiqua"/>
          <w:lang w:val="en-US"/>
        </w:rPr>
        <w:t>Chedgy</w:t>
      </w:r>
      <w:r>
        <w:rPr>
          <w:rFonts w:ascii="Book Antiqua" w:hAnsi="Book Antiqua" w:hint="eastAsia"/>
          <w:lang w:val="en-US" w:eastAsia="zh-CN"/>
        </w:rPr>
        <w:t xml:space="preserve"> FJQ </w:t>
      </w:r>
      <w:r w:rsidRPr="008E67F7">
        <w:rPr>
          <w:rFonts w:ascii="Book Antiqua" w:hAnsi="Book Antiqua" w:hint="eastAsia"/>
          <w:i/>
          <w:lang w:val="en-US" w:eastAsia="zh-CN"/>
        </w:rPr>
        <w:t xml:space="preserve">et al. </w:t>
      </w:r>
      <w:r w:rsidRPr="008E67F7">
        <w:rPr>
          <w:rFonts w:ascii="Book Antiqua" w:hAnsi="Book Antiqua"/>
          <w:lang w:val="en-US" w:eastAsia="zh-CN"/>
        </w:rPr>
        <w:t>Acetic acid chromoendoscopy</w:t>
      </w:r>
    </w:p>
    <w:p w14:paraId="4A257618" w14:textId="77777777" w:rsidR="008E67F7" w:rsidRPr="008E67F7" w:rsidRDefault="008E67F7" w:rsidP="00E46EEA">
      <w:pPr>
        <w:spacing w:line="360" w:lineRule="auto"/>
        <w:jc w:val="both"/>
        <w:rPr>
          <w:rFonts w:ascii="Book Antiqua" w:hAnsi="Book Antiqua"/>
          <w:b/>
          <w:i/>
          <w:u w:val="single"/>
          <w:lang w:val="en-US" w:eastAsia="zh-CN"/>
        </w:rPr>
      </w:pPr>
    </w:p>
    <w:p w14:paraId="0035D7A6" w14:textId="6D165426" w:rsidR="00A67829" w:rsidRPr="008E67F7" w:rsidRDefault="002075A3" w:rsidP="00E46EEA">
      <w:pPr>
        <w:spacing w:line="360" w:lineRule="auto"/>
        <w:jc w:val="both"/>
        <w:outlineLvl w:val="0"/>
        <w:rPr>
          <w:rFonts w:ascii="Book Antiqua" w:hAnsi="Book Antiqua"/>
          <w:lang w:val="en-US" w:eastAsia="zh-CN"/>
        </w:rPr>
      </w:pPr>
      <w:r w:rsidRPr="008E67F7">
        <w:rPr>
          <w:rFonts w:ascii="Book Antiqua" w:hAnsi="Book Antiqua"/>
          <w:lang w:val="en-US"/>
        </w:rPr>
        <w:t>Fergus JQ Chedgy, Sharmila Subramaniam, Kesavan Kandiah, Sreedhari Thayalasekaran, Pradeep Bhandari</w:t>
      </w:r>
    </w:p>
    <w:p w14:paraId="2C9EAA23" w14:textId="77777777" w:rsidR="00A67829" w:rsidRPr="002075A3" w:rsidRDefault="00A67829" w:rsidP="00E46EEA">
      <w:pPr>
        <w:spacing w:line="360" w:lineRule="auto"/>
        <w:jc w:val="both"/>
        <w:rPr>
          <w:rFonts w:ascii="Book Antiqua" w:hAnsi="Book Antiqua"/>
          <w:lang w:val="en-US"/>
        </w:rPr>
      </w:pPr>
    </w:p>
    <w:p w14:paraId="5DF1C859" w14:textId="7A0FF063" w:rsidR="00A67829" w:rsidRPr="00D17076" w:rsidRDefault="00D17076" w:rsidP="00E46EEA">
      <w:pPr>
        <w:spacing w:line="360" w:lineRule="auto"/>
        <w:jc w:val="both"/>
        <w:outlineLvl w:val="0"/>
        <w:rPr>
          <w:rFonts w:ascii="Book Antiqua" w:hAnsi="Book Antiqua"/>
          <w:b/>
          <w:lang w:val="en-US" w:eastAsia="zh-CN"/>
        </w:rPr>
      </w:pPr>
      <w:r w:rsidRPr="00D17076">
        <w:rPr>
          <w:rFonts w:ascii="Book Antiqua" w:hAnsi="Book Antiqua"/>
          <w:b/>
          <w:lang w:val="en-US"/>
        </w:rPr>
        <w:t>Fergus JQ Chedgy, Sharmila Subramaniam, Kesavan Kandiah, Sreedhari Thayalasekaran, Pradeep Bhandari</w:t>
      </w:r>
      <w:r>
        <w:rPr>
          <w:rFonts w:ascii="Book Antiqua" w:hAnsi="Book Antiqua" w:hint="eastAsia"/>
          <w:b/>
          <w:lang w:val="en-US" w:eastAsia="zh-CN"/>
        </w:rPr>
        <w:t xml:space="preserve">, </w:t>
      </w:r>
      <w:r w:rsidR="002075A3">
        <w:rPr>
          <w:rFonts w:ascii="Book Antiqua" w:hAnsi="Book Antiqua"/>
          <w:lang w:val="en-US"/>
        </w:rPr>
        <w:t xml:space="preserve">Department of Gastroenterology, </w:t>
      </w:r>
      <w:r w:rsidR="00A67829" w:rsidRPr="002075A3">
        <w:rPr>
          <w:rFonts w:ascii="Book Antiqua" w:hAnsi="Book Antiqua"/>
          <w:lang w:val="en-US"/>
        </w:rPr>
        <w:t>Queen</w:t>
      </w:r>
      <w:r w:rsidR="00687C24">
        <w:rPr>
          <w:rFonts w:ascii="Book Antiqua" w:hAnsi="Book Antiqua"/>
          <w:lang w:val="en-US"/>
        </w:rPr>
        <w:t xml:space="preserve"> Alexandra Hospital, Portsmouth</w:t>
      </w:r>
      <w:r w:rsidR="002075A3">
        <w:rPr>
          <w:rFonts w:ascii="Book Antiqua" w:hAnsi="Book Antiqua"/>
          <w:lang w:val="en-US"/>
        </w:rPr>
        <w:t xml:space="preserve"> PO6 3LY</w:t>
      </w:r>
      <w:r>
        <w:rPr>
          <w:rFonts w:ascii="Book Antiqua" w:hAnsi="Book Antiqua" w:hint="eastAsia"/>
          <w:lang w:val="en-US" w:eastAsia="zh-CN"/>
        </w:rPr>
        <w:t>,</w:t>
      </w:r>
      <w:r w:rsidR="00A67829" w:rsidRPr="002075A3">
        <w:rPr>
          <w:rFonts w:ascii="Book Antiqua" w:hAnsi="Book Antiqua"/>
          <w:lang w:val="en-US"/>
        </w:rPr>
        <w:t xml:space="preserve"> </w:t>
      </w:r>
      <w:r w:rsidR="008E67F7" w:rsidRPr="008E67F7">
        <w:rPr>
          <w:rFonts w:ascii="Book Antiqua" w:hAnsi="Book Antiqua"/>
          <w:lang w:val="en-US"/>
        </w:rPr>
        <w:t>United Kingdom</w:t>
      </w:r>
    </w:p>
    <w:p w14:paraId="1F9FD913" w14:textId="77777777" w:rsidR="00A67829" w:rsidRDefault="00A67829" w:rsidP="00E46EEA">
      <w:pPr>
        <w:spacing w:line="360" w:lineRule="auto"/>
        <w:jc w:val="both"/>
        <w:rPr>
          <w:rFonts w:ascii="Book Antiqua" w:hAnsi="Book Antiqua"/>
          <w:lang w:val="en-US"/>
        </w:rPr>
      </w:pPr>
    </w:p>
    <w:p w14:paraId="3F813B9B" w14:textId="1E0EC2B0" w:rsidR="002075A3" w:rsidRPr="00D17076" w:rsidRDefault="00D17076" w:rsidP="00E46EEA">
      <w:pPr>
        <w:spacing w:line="360" w:lineRule="auto"/>
        <w:jc w:val="both"/>
        <w:rPr>
          <w:rFonts w:ascii="Book Antiqua" w:hAnsi="Book Antiqua"/>
          <w:b/>
        </w:rPr>
      </w:pPr>
      <w:bookmarkStart w:id="9" w:name="OLE_LINK231"/>
      <w:bookmarkStart w:id="10" w:name="OLE_LINK234"/>
      <w:bookmarkStart w:id="11" w:name="OLE_LINK342"/>
      <w:bookmarkStart w:id="12" w:name="OLE_LINK473"/>
      <w:r w:rsidRPr="00712F63">
        <w:rPr>
          <w:rFonts w:ascii="Book Antiqua" w:eastAsia="MS Mincho" w:hAnsi="Book Antiqua"/>
          <w:b/>
          <w:lang w:eastAsia="ja-JP"/>
        </w:rPr>
        <w:t>Author contributions:</w:t>
      </w:r>
      <w:bookmarkEnd w:id="9"/>
      <w:bookmarkEnd w:id="10"/>
      <w:bookmarkEnd w:id="11"/>
      <w:bookmarkEnd w:id="12"/>
      <w:r>
        <w:rPr>
          <w:rFonts w:ascii="Book Antiqua" w:hAnsi="Book Antiqua" w:hint="eastAsia"/>
          <w:b/>
          <w:lang w:eastAsia="zh-CN"/>
        </w:rPr>
        <w:t xml:space="preserve"> </w:t>
      </w:r>
      <w:r w:rsidR="002075A3">
        <w:rPr>
          <w:rFonts w:ascii="Book Antiqua" w:hAnsi="Book Antiqua"/>
          <w:lang w:val="en-US"/>
        </w:rPr>
        <w:t>Chedgy FJ</w:t>
      </w:r>
      <w:r w:rsidR="00FD41D3">
        <w:rPr>
          <w:rFonts w:ascii="Book Antiqua" w:hAnsi="Book Antiqua"/>
          <w:lang w:val="en-US"/>
        </w:rPr>
        <w:t>Q was the lead author on the article and contributed to all sections of the manuscript and performed a literature review</w:t>
      </w:r>
      <w:r w:rsidR="002075A3">
        <w:rPr>
          <w:rFonts w:ascii="Book Antiqua" w:hAnsi="Book Antiqua"/>
          <w:lang w:val="en-US"/>
        </w:rPr>
        <w:t>, Subramaniam S</w:t>
      </w:r>
      <w:r w:rsidR="00A177E9" w:rsidRPr="00A177E9">
        <w:rPr>
          <w:rFonts w:ascii="Book Antiqua" w:hAnsi="Book Antiqua"/>
          <w:lang w:val="en-US"/>
        </w:rPr>
        <w:t xml:space="preserve"> </w:t>
      </w:r>
      <w:r w:rsidR="00A177E9">
        <w:rPr>
          <w:rFonts w:ascii="Book Antiqua" w:hAnsi="Book Antiqua"/>
          <w:lang w:val="en-US"/>
        </w:rPr>
        <w:t>performed a literature review and wrote the section on</w:t>
      </w:r>
      <w:r w:rsidR="001421BE">
        <w:rPr>
          <w:rFonts w:ascii="Book Antiqua" w:hAnsi="Book Antiqua"/>
          <w:lang w:val="en-US"/>
        </w:rPr>
        <w:t xml:space="preserve"> </w:t>
      </w:r>
      <w:r w:rsidR="001421BE" w:rsidRPr="001421BE">
        <w:rPr>
          <w:rFonts w:ascii="Book Antiqua" w:hAnsi="Book Antiqua"/>
          <w:lang w:val="en-US"/>
        </w:rPr>
        <w:t>acetic acid in the surveillance population</w:t>
      </w:r>
      <w:r w:rsidR="002075A3">
        <w:rPr>
          <w:rFonts w:ascii="Book Antiqua" w:hAnsi="Book Antiqua"/>
          <w:lang w:val="en-US"/>
        </w:rPr>
        <w:t>, Kandiah K</w:t>
      </w:r>
      <w:r w:rsidR="00A177E9" w:rsidRPr="00A177E9">
        <w:rPr>
          <w:rFonts w:ascii="Book Antiqua" w:hAnsi="Book Antiqua"/>
          <w:lang w:val="en-US"/>
        </w:rPr>
        <w:t xml:space="preserve"> </w:t>
      </w:r>
      <w:r w:rsidR="00A177E9">
        <w:rPr>
          <w:rFonts w:ascii="Book Antiqua" w:hAnsi="Book Antiqua"/>
          <w:lang w:val="en-US"/>
        </w:rPr>
        <w:t xml:space="preserve">performed a literature review and wrote the section on </w:t>
      </w:r>
      <w:r w:rsidR="001421BE" w:rsidRPr="00A177E9">
        <w:rPr>
          <w:rFonts w:ascii="Book Antiqua" w:hAnsi="Book Antiqua"/>
          <w:lang w:val="en-US"/>
        </w:rPr>
        <w:t>acetic acid for t</w:t>
      </w:r>
      <w:r w:rsidR="001421BE">
        <w:rPr>
          <w:rFonts w:ascii="Book Antiqua" w:hAnsi="Book Antiqua"/>
          <w:lang w:val="en-US"/>
        </w:rPr>
        <w:t>he diagnosis of non-neoplastic B</w:t>
      </w:r>
      <w:r w:rsidR="001421BE" w:rsidRPr="00A177E9">
        <w:rPr>
          <w:rFonts w:ascii="Book Antiqua" w:hAnsi="Book Antiqua"/>
          <w:lang w:val="en-US"/>
        </w:rPr>
        <w:t>arrett’s esophagus</w:t>
      </w:r>
      <w:r w:rsidR="002075A3">
        <w:rPr>
          <w:rFonts w:ascii="Book Antiqua" w:hAnsi="Book Antiqua"/>
          <w:lang w:val="en-US"/>
        </w:rPr>
        <w:t>, Thayalasekaran S</w:t>
      </w:r>
      <w:r w:rsidR="006A566F">
        <w:rPr>
          <w:rFonts w:ascii="Book Antiqua" w:hAnsi="Book Antiqua"/>
          <w:lang w:val="en-US"/>
        </w:rPr>
        <w:t xml:space="preserve">, </w:t>
      </w:r>
      <w:r w:rsidR="001421BE">
        <w:rPr>
          <w:rFonts w:ascii="Book Antiqua" w:hAnsi="Book Antiqua"/>
          <w:lang w:val="en-US"/>
        </w:rPr>
        <w:t>performed a literature review</w:t>
      </w:r>
      <w:r w:rsidR="006A566F">
        <w:rPr>
          <w:rFonts w:ascii="Book Antiqua" w:hAnsi="Book Antiqua"/>
          <w:lang w:val="en-US"/>
        </w:rPr>
        <w:t xml:space="preserve"> and </w:t>
      </w:r>
      <w:r w:rsidR="00FD41D3">
        <w:rPr>
          <w:rFonts w:ascii="Book Antiqua" w:hAnsi="Book Antiqua"/>
          <w:lang w:val="en-US"/>
        </w:rPr>
        <w:t>cr</w:t>
      </w:r>
      <w:r w:rsidR="006A566F">
        <w:rPr>
          <w:rFonts w:ascii="Book Antiqua" w:hAnsi="Book Antiqua"/>
          <w:lang w:val="en-US"/>
        </w:rPr>
        <w:t xml:space="preserve">itically </w:t>
      </w:r>
      <w:r w:rsidR="001421BE">
        <w:rPr>
          <w:rFonts w:ascii="Book Antiqua" w:hAnsi="Book Antiqua"/>
          <w:lang w:val="en-US"/>
        </w:rPr>
        <w:t>appraised</w:t>
      </w:r>
      <w:r w:rsidR="006A566F">
        <w:rPr>
          <w:rFonts w:ascii="Book Antiqua" w:hAnsi="Book Antiqua"/>
          <w:lang w:val="en-US"/>
        </w:rPr>
        <w:t xml:space="preserve"> the meta</w:t>
      </w:r>
      <w:r w:rsidR="001421BE">
        <w:rPr>
          <w:rFonts w:ascii="Book Antiqua" w:hAnsi="Book Antiqua"/>
          <w:lang w:val="en-US"/>
        </w:rPr>
        <w:t>-analysis data of acetic acid for Barrett’s esophagus</w:t>
      </w:r>
      <w:r>
        <w:rPr>
          <w:rFonts w:ascii="Book Antiqua" w:hAnsi="Book Antiqua" w:hint="eastAsia"/>
          <w:lang w:val="en-US" w:eastAsia="zh-CN"/>
        </w:rPr>
        <w:t>,</w:t>
      </w:r>
      <w:r w:rsidR="002075A3">
        <w:rPr>
          <w:rFonts w:ascii="Book Antiqua" w:hAnsi="Book Antiqua"/>
          <w:lang w:val="en-US"/>
        </w:rPr>
        <w:t xml:space="preserve"> Bhandari P provided critical revision of article and is senior author.</w:t>
      </w:r>
    </w:p>
    <w:p w14:paraId="055557C5" w14:textId="77777777" w:rsidR="002075A3" w:rsidRDefault="002075A3" w:rsidP="00E46EEA">
      <w:pPr>
        <w:spacing w:line="360" w:lineRule="auto"/>
        <w:jc w:val="both"/>
        <w:rPr>
          <w:rFonts w:ascii="Book Antiqua" w:hAnsi="Book Antiqua"/>
          <w:lang w:val="en-US"/>
        </w:rPr>
      </w:pPr>
    </w:p>
    <w:p w14:paraId="3614E5CD" w14:textId="61FFEF3A" w:rsidR="002075A3" w:rsidRDefault="00D17076" w:rsidP="00E46EEA">
      <w:pPr>
        <w:autoSpaceDE w:val="0"/>
        <w:autoSpaceDN w:val="0"/>
        <w:adjustRightInd w:val="0"/>
        <w:spacing w:line="360" w:lineRule="auto"/>
        <w:jc w:val="both"/>
        <w:rPr>
          <w:rFonts w:ascii="Book Antiqua" w:hAnsi="Book Antiqua"/>
          <w:lang w:val="en-US" w:eastAsia="zh-CN"/>
        </w:rPr>
      </w:pPr>
      <w:bookmarkStart w:id="13" w:name="OLE_LINK526"/>
      <w:bookmarkStart w:id="14" w:name="OLE_LINK527"/>
      <w:r w:rsidRPr="00BB4403">
        <w:rPr>
          <w:rFonts w:ascii="Book Antiqua" w:hAnsi="Book Antiqua" w:cs="TimesNewRomanPS-BoldItalicMT"/>
          <w:b/>
          <w:bCs/>
          <w:iCs/>
          <w:color w:val="000000"/>
        </w:rPr>
        <w:t>Conflict-of-interest</w:t>
      </w:r>
      <w:r w:rsidRPr="00E93877">
        <w:rPr>
          <w:rFonts w:ascii="Book Antiqua" w:hAnsi="Book Antiqua"/>
          <w:b/>
          <w:bCs/>
          <w:iCs/>
        </w:rPr>
        <w:t xml:space="preserve"> </w:t>
      </w:r>
      <w:r w:rsidRPr="00753939">
        <w:rPr>
          <w:rFonts w:ascii="Book Antiqua" w:hAnsi="Book Antiqua"/>
          <w:b/>
          <w:bCs/>
          <w:iCs/>
        </w:rPr>
        <w:t>statement</w:t>
      </w:r>
      <w:r w:rsidRPr="00BB4403">
        <w:rPr>
          <w:rFonts w:ascii="Book Antiqua" w:hAnsi="Book Antiqua" w:cs="TimesNewRomanPS-BoldItalicMT" w:hint="eastAsia"/>
          <w:b/>
          <w:bCs/>
          <w:iCs/>
          <w:color w:val="000000"/>
        </w:rPr>
        <w:t>:</w:t>
      </w:r>
      <w:bookmarkEnd w:id="13"/>
      <w:bookmarkEnd w:id="14"/>
      <w:r w:rsidR="00E46EEA">
        <w:rPr>
          <w:rFonts w:ascii="Book Antiqua" w:hAnsi="Book Antiqua" w:cs="TimesNewRomanPS-BoldItalicMT" w:hint="eastAsia"/>
          <w:b/>
          <w:bCs/>
          <w:iCs/>
          <w:color w:val="000000"/>
          <w:lang w:eastAsia="zh-CN"/>
        </w:rPr>
        <w:t xml:space="preserve"> </w:t>
      </w:r>
      <w:r w:rsidR="00D04519" w:rsidRPr="00620464">
        <w:rPr>
          <w:rFonts w:ascii="Book Antiqua" w:hAnsi="Book Antiqua"/>
        </w:rPr>
        <w:t>No potential conflicts of interest relevant to this article were reported.</w:t>
      </w:r>
    </w:p>
    <w:p w14:paraId="444B8DAB" w14:textId="77777777" w:rsidR="00D17076" w:rsidRPr="00D17076" w:rsidRDefault="00D17076" w:rsidP="00E46EEA">
      <w:pPr>
        <w:autoSpaceDE w:val="0"/>
        <w:autoSpaceDN w:val="0"/>
        <w:adjustRightInd w:val="0"/>
        <w:spacing w:line="360" w:lineRule="auto"/>
        <w:jc w:val="both"/>
        <w:rPr>
          <w:rFonts w:ascii="Book Antiqua" w:hAnsi="Book Antiqua" w:cs="TimesNewRomanPS-BoldItalicMT"/>
          <w:b/>
          <w:bCs/>
          <w:iCs/>
          <w:color w:val="000000"/>
          <w:lang w:eastAsia="zh-CN"/>
        </w:rPr>
      </w:pPr>
    </w:p>
    <w:p w14:paraId="50255C1C" w14:textId="77777777" w:rsidR="00D17076" w:rsidRPr="00164EDB" w:rsidRDefault="00D17076" w:rsidP="00E46EEA">
      <w:pPr>
        <w:spacing w:line="360" w:lineRule="auto"/>
        <w:jc w:val="both"/>
        <w:rPr>
          <w:rFonts w:ascii="Book Antiqua" w:hAnsi="Book Antiqua"/>
          <w:b/>
          <w:color w:val="000000"/>
        </w:rPr>
      </w:pPr>
      <w:bookmarkStart w:id="15" w:name="OLE_LINK155"/>
      <w:bookmarkStart w:id="16" w:name="OLE_LINK183"/>
      <w:bookmarkStart w:id="17" w:name="OLE_LINK441"/>
      <w:r w:rsidRPr="00164EDB">
        <w:rPr>
          <w:rFonts w:ascii="Book Antiqua" w:hAnsi="Book Antiqua"/>
          <w:b/>
          <w:color w:val="000000"/>
        </w:rPr>
        <w:t xml:space="preserve">Open-Access: </w:t>
      </w:r>
      <w:r w:rsidRPr="00164EDB">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w:t>
      </w:r>
      <w:r w:rsidRPr="00164EDB">
        <w:rPr>
          <w:rFonts w:ascii="Book Antiqua" w:hAnsi="Book Antiqua"/>
          <w:color w:val="000000"/>
        </w:rPr>
        <w:lastRenderedPageBreak/>
        <w:t>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5"/>
    <w:bookmarkEnd w:id="16"/>
    <w:bookmarkEnd w:id="17"/>
    <w:p w14:paraId="00F537E0" w14:textId="77777777" w:rsidR="002075A3" w:rsidRDefault="002075A3" w:rsidP="00E46EEA">
      <w:pPr>
        <w:spacing w:line="360" w:lineRule="auto"/>
        <w:jc w:val="both"/>
        <w:rPr>
          <w:rFonts w:ascii="Book Antiqua" w:hAnsi="Book Antiqua"/>
          <w:lang w:val="en-US"/>
        </w:rPr>
      </w:pPr>
    </w:p>
    <w:p w14:paraId="6E5B0800" w14:textId="77777777" w:rsidR="00D04519" w:rsidRPr="000D1F92" w:rsidRDefault="00D04519" w:rsidP="00D04519">
      <w:pPr>
        <w:spacing w:line="360" w:lineRule="auto"/>
        <w:rPr>
          <w:rFonts w:ascii="Book Antiqua" w:hAnsi="Book Antiqua" w:cs="Arial Unicode MS"/>
          <w:color w:val="000000"/>
        </w:rPr>
      </w:pPr>
      <w:r w:rsidRPr="000D1F92">
        <w:rPr>
          <w:rFonts w:ascii="Book Antiqua" w:hAnsi="Book Antiqua" w:cs="Arial Unicode MS"/>
          <w:b/>
          <w:color w:val="000000"/>
        </w:rPr>
        <w:t>Manuscript source:</w:t>
      </w:r>
      <w:r w:rsidRPr="000D1F92">
        <w:rPr>
          <w:rFonts w:ascii="Book Antiqua" w:hAnsi="Book Antiqua" w:cs="Arial Unicode MS"/>
          <w:color w:val="000000"/>
        </w:rPr>
        <w:t xml:space="preserve"> Invited manuscript</w:t>
      </w:r>
    </w:p>
    <w:p w14:paraId="354ED519" w14:textId="77777777" w:rsidR="00D04519" w:rsidRDefault="00D04519" w:rsidP="00E46EEA">
      <w:pPr>
        <w:spacing w:line="360" w:lineRule="auto"/>
        <w:jc w:val="both"/>
        <w:rPr>
          <w:rFonts w:ascii="Book Antiqua" w:hAnsi="Book Antiqua"/>
          <w:b/>
          <w:lang w:val="en-US" w:eastAsia="zh-CN"/>
        </w:rPr>
      </w:pPr>
    </w:p>
    <w:p w14:paraId="5A6D3B21" w14:textId="10B85F76" w:rsidR="002075A3" w:rsidRDefault="002075A3" w:rsidP="00E46EEA">
      <w:pPr>
        <w:spacing w:line="360" w:lineRule="auto"/>
        <w:jc w:val="both"/>
        <w:rPr>
          <w:rFonts w:ascii="Book Antiqua" w:hAnsi="Book Antiqua"/>
          <w:lang w:val="en-US"/>
        </w:rPr>
      </w:pPr>
      <w:r>
        <w:rPr>
          <w:rFonts w:ascii="Book Antiqua" w:hAnsi="Book Antiqua"/>
          <w:b/>
          <w:lang w:val="en-US"/>
        </w:rPr>
        <w:t>Correspondence to: Pradeep Bhandari, MBBS, MD, FRCP</w:t>
      </w:r>
      <w:r>
        <w:rPr>
          <w:rFonts w:ascii="Book Antiqua" w:hAnsi="Book Antiqua"/>
          <w:lang w:val="en-US"/>
        </w:rPr>
        <w:t>, Department of Gastroenterology, Queen</w:t>
      </w:r>
      <w:r w:rsidR="00687C24">
        <w:rPr>
          <w:rFonts w:ascii="Book Antiqua" w:hAnsi="Book Antiqua"/>
          <w:lang w:val="en-US"/>
        </w:rPr>
        <w:t xml:space="preserve"> Alexandra Hospital, </w:t>
      </w:r>
      <w:r w:rsidR="00687C24" w:rsidRPr="00687C24">
        <w:rPr>
          <w:rFonts w:ascii="Book Antiqua" w:hAnsi="Book Antiqua"/>
          <w:lang w:val="en-US"/>
        </w:rPr>
        <w:t xml:space="preserve">Southwick Hill Rd, </w:t>
      </w:r>
      <w:r w:rsidR="00687C24">
        <w:rPr>
          <w:rFonts w:ascii="Book Antiqua" w:hAnsi="Book Antiqua"/>
          <w:lang w:val="en-US"/>
        </w:rPr>
        <w:t>Portsmouth</w:t>
      </w:r>
      <w:r>
        <w:rPr>
          <w:rFonts w:ascii="Book Antiqua" w:hAnsi="Book Antiqua"/>
          <w:lang w:val="en-US"/>
        </w:rPr>
        <w:t xml:space="preserve"> PO6 3LY, </w:t>
      </w:r>
      <w:r w:rsidR="008E67F7" w:rsidRPr="008E67F7">
        <w:rPr>
          <w:rFonts w:ascii="Book Antiqua" w:hAnsi="Book Antiqua"/>
          <w:lang w:val="en-US"/>
        </w:rPr>
        <w:t>United Kingdom</w:t>
      </w:r>
      <w:r w:rsidRPr="008E67F7">
        <w:rPr>
          <w:rFonts w:ascii="Book Antiqua" w:hAnsi="Book Antiqua"/>
          <w:lang w:val="en-US"/>
        </w:rPr>
        <w:t xml:space="preserve">. </w:t>
      </w:r>
      <w:hyperlink r:id="rId8" w:history="1">
        <w:r w:rsidRPr="008E67F7">
          <w:rPr>
            <w:rStyle w:val="Hyperlink"/>
            <w:rFonts w:ascii="Book Antiqua" w:hAnsi="Book Antiqua"/>
            <w:color w:val="auto"/>
            <w:u w:val="none"/>
            <w:lang w:val="en-US"/>
          </w:rPr>
          <w:t>pradeep.bhandari@porthosp.nhs.uk</w:t>
        </w:r>
      </w:hyperlink>
      <w:r w:rsidRPr="008E67F7">
        <w:rPr>
          <w:rFonts w:ascii="Book Antiqua" w:hAnsi="Book Antiqua"/>
          <w:lang w:val="en-US"/>
        </w:rPr>
        <w:t xml:space="preserve"> </w:t>
      </w:r>
    </w:p>
    <w:p w14:paraId="224F5BD2" w14:textId="6AFDFFF4" w:rsidR="002075A3" w:rsidRDefault="002075A3" w:rsidP="00E46EEA">
      <w:pPr>
        <w:spacing w:line="360" w:lineRule="auto"/>
        <w:jc w:val="both"/>
        <w:rPr>
          <w:rFonts w:ascii="Book Antiqua" w:hAnsi="Book Antiqua"/>
          <w:b/>
          <w:lang w:val="en-US"/>
        </w:rPr>
      </w:pPr>
      <w:r>
        <w:rPr>
          <w:rFonts w:ascii="Book Antiqua" w:hAnsi="Book Antiqua"/>
          <w:b/>
          <w:lang w:val="en-US"/>
        </w:rPr>
        <w:t xml:space="preserve">Telephone: </w:t>
      </w:r>
      <w:r w:rsidRPr="002075A3">
        <w:rPr>
          <w:rFonts w:ascii="Book Antiqua" w:hAnsi="Book Antiqua"/>
          <w:lang w:val="en-US"/>
        </w:rPr>
        <w:t>+44-2392-286255</w:t>
      </w:r>
    </w:p>
    <w:p w14:paraId="1B6ACB17" w14:textId="0C3F699C" w:rsidR="002075A3" w:rsidRDefault="002075A3" w:rsidP="00E46EEA">
      <w:pPr>
        <w:spacing w:line="360" w:lineRule="auto"/>
        <w:jc w:val="both"/>
        <w:rPr>
          <w:rFonts w:ascii="Book Antiqua" w:hAnsi="Book Antiqua"/>
          <w:lang w:val="en-US" w:eastAsia="zh-CN"/>
        </w:rPr>
      </w:pPr>
      <w:r>
        <w:rPr>
          <w:rFonts w:ascii="Book Antiqua" w:hAnsi="Book Antiqua"/>
          <w:b/>
          <w:lang w:val="en-US"/>
        </w:rPr>
        <w:t xml:space="preserve">Fax: </w:t>
      </w:r>
      <w:r>
        <w:rPr>
          <w:rFonts w:ascii="Book Antiqua" w:hAnsi="Book Antiqua"/>
          <w:lang w:val="en-US"/>
        </w:rPr>
        <w:t>+44-2392-</w:t>
      </w:r>
      <w:r w:rsidR="00423F6A">
        <w:rPr>
          <w:rFonts w:ascii="Book Antiqua" w:hAnsi="Book Antiqua"/>
          <w:lang w:val="en-US"/>
        </w:rPr>
        <w:t>286822</w:t>
      </w:r>
    </w:p>
    <w:p w14:paraId="039D911E" w14:textId="77777777" w:rsidR="008E67F7" w:rsidRPr="002075A3" w:rsidRDefault="008E67F7" w:rsidP="00E46EEA">
      <w:pPr>
        <w:spacing w:line="360" w:lineRule="auto"/>
        <w:jc w:val="both"/>
        <w:rPr>
          <w:rFonts w:ascii="Book Antiqua" w:hAnsi="Book Antiqua"/>
          <w:lang w:val="en-US" w:eastAsia="zh-CN"/>
        </w:rPr>
      </w:pPr>
    </w:p>
    <w:p w14:paraId="2AD80DCB" w14:textId="4ED4EFDC" w:rsidR="00D17076" w:rsidRPr="008E67F7" w:rsidRDefault="00D17076" w:rsidP="00E46EEA">
      <w:pPr>
        <w:spacing w:line="360" w:lineRule="auto"/>
        <w:jc w:val="both"/>
        <w:rPr>
          <w:rFonts w:ascii="Book Antiqua" w:hAnsi="Book Antiqua"/>
          <w:lang w:eastAsia="zh-CN"/>
        </w:rPr>
      </w:pPr>
      <w:bookmarkStart w:id="18" w:name="OLE_LINK476"/>
      <w:bookmarkStart w:id="19" w:name="OLE_LINK477"/>
      <w:bookmarkStart w:id="20" w:name="OLE_LINK117"/>
      <w:bookmarkStart w:id="21" w:name="OLE_LINK528"/>
      <w:bookmarkStart w:id="22" w:name="OLE_LINK557"/>
      <w:r>
        <w:rPr>
          <w:rFonts w:ascii="Book Antiqua" w:hAnsi="Book Antiqua"/>
          <w:b/>
        </w:rPr>
        <w:t>Received:</w:t>
      </w:r>
      <w:r w:rsidR="008E67F7">
        <w:rPr>
          <w:rFonts w:ascii="Book Antiqua" w:hAnsi="Book Antiqua" w:hint="eastAsia"/>
          <w:b/>
          <w:lang w:eastAsia="zh-CN"/>
        </w:rPr>
        <w:t xml:space="preserve"> </w:t>
      </w:r>
      <w:r w:rsidR="008E67F7" w:rsidRPr="008E67F7">
        <w:rPr>
          <w:rFonts w:ascii="Book Antiqua" w:hAnsi="Book Antiqua" w:hint="eastAsia"/>
          <w:lang w:eastAsia="zh-CN"/>
        </w:rPr>
        <w:t>March 11, 2016</w:t>
      </w:r>
    </w:p>
    <w:p w14:paraId="3D95FE5C" w14:textId="13CDBB5E" w:rsidR="00D17076" w:rsidRPr="008E67F7" w:rsidRDefault="00D17076" w:rsidP="00E46EEA">
      <w:pPr>
        <w:spacing w:line="360" w:lineRule="auto"/>
        <w:jc w:val="both"/>
        <w:rPr>
          <w:rFonts w:ascii="Book Antiqua" w:hAnsi="Book Antiqua"/>
          <w:lang w:eastAsia="zh-CN"/>
        </w:rPr>
      </w:pPr>
      <w:r w:rsidRPr="009659DA">
        <w:rPr>
          <w:rFonts w:ascii="Book Antiqua" w:hAnsi="Book Antiqua" w:hint="eastAsia"/>
          <w:b/>
        </w:rPr>
        <w:t>Peer-review started</w:t>
      </w:r>
      <w:r>
        <w:rPr>
          <w:rFonts w:ascii="Book Antiqua" w:hAnsi="Book Antiqua"/>
          <w:b/>
        </w:rPr>
        <w:t>:</w:t>
      </w:r>
      <w:r w:rsidR="008E67F7">
        <w:rPr>
          <w:rFonts w:ascii="Book Antiqua" w:hAnsi="Book Antiqua" w:hint="eastAsia"/>
          <w:b/>
          <w:lang w:eastAsia="zh-CN"/>
        </w:rPr>
        <w:t xml:space="preserve"> </w:t>
      </w:r>
      <w:r w:rsidR="008E67F7" w:rsidRPr="008E67F7">
        <w:rPr>
          <w:rFonts w:ascii="Book Antiqua" w:hAnsi="Book Antiqua" w:hint="eastAsia"/>
          <w:lang w:eastAsia="zh-CN"/>
        </w:rPr>
        <w:t xml:space="preserve">March </w:t>
      </w:r>
      <w:r w:rsidR="008E67F7">
        <w:rPr>
          <w:rFonts w:ascii="Book Antiqua" w:hAnsi="Book Antiqua" w:hint="eastAsia"/>
          <w:lang w:eastAsia="zh-CN"/>
        </w:rPr>
        <w:t>12</w:t>
      </w:r>
      <w:r w:rsidR="008E67F7" w:rsidRPr="008E67F7">
        <w:rPr>
          <w:rFonts w:ascii="Book Antiqua" w:hAnsi="Book Antiqua" w:hint="eastAsia"/>
          <w:lang w:eastAsia="zh-CN"/>
        </w:rPr>
        <w:t>, 2016</w:t>
      </w:r>
    </w:p>
    <w:p w14:paraId="3E4BF28D" w14:textId="5699BB52" w:rsidR="00D17076" w:rsidRPr="008E67F7" w:rsidRDefault="00D17076" w:rsidP="00E46EEA">
      <w:pPr>
        <w:spacing w:line="360" w:lineRule="auto"/>
        <w:jc w:val="both"/>
        <w:rPr>
          <w:rFonts w:ascii="Book Antiqua" w:hAnsi="Book Antiqua"/>
          <w:lang w:eastAsia="zh-CN"/>
        </w:rPr>
      </w:pPr>
      <w:r w:rsidRPr="009659DA">
        <w:rPr>
          <w:rFonts w:ascii="Book Antiqua" w:hAnsi="Book Antiqua"/>
          <w:b/>
        </w:rPr>
        <w:t>First decision:</w:t>
      </w:r>
      <w:r w:rsidR="008E67F7">
        <w:rPr>
          <w:rFonts w:ascii="Book Antiqua" w:hAnsi="Book Antiqua" w:hint="eastAsia"/>
          <w:b/>
          <w:lang w:eastAsia="zh-CN"/>
        </w:rPr>
        <w:t xml:space="preserve"> </w:t>
      </w:r>
      <w:r w:rsidR="008E67F7" w:rsidRPr="008E67F7">
        <w:rPr>
          <w:rFonts w:ascii="Book Antiqua" w:hAnsi="Book Antiqua" w:hint="eastAsia"/>
          <w:lang w:eastAsia="zh-CN"/>
        </w:rPr>
        <w:t>April 14, 2016</w:t>
      </w:r>
    </w:p>
    <w:p w14:paraId="02A4F0FB" w14:textId="62BA03C3" w:rsidR="00D17076" w:rsidRPr="008E67F7" w:rsidRDefault="00D17076" w:rsidP="00E46EEA">
      <w:pPr>
        <w:spacing w:line="360" w:lineRule="auto"/>
        <w:jc w:val="both"/>
        <w:rPr>
          <w:rFonts w:ascii="Book Antiqua" w:hAnsi="Book Antiqua"/>
          <w:lang w:eastAsia="zh-CN"/>
        </w:rPr>
      </w:pPr>
      <w:r>
        <w:rPr>
          <w:rFonts w:ascii="Book Antiqua" w:hAnsi="Book Antiqua"/>
          <w:b/>
        </w:rPr>
        <w:t>Revised:</w:t>
      </w:r>
      <w:r w:rsidR="008E67F7">
        <w:rPr>
          <w:rFonts w:ascii="Book Antiqua" w:hAnsi="Book Antiqua" w:hint="eastAsia"/>
          <w:b/>
          <w:lang w:eastAsia="zh-CN"/>
        </w:rPr>
        <w:t xml:space="preserve"> </w:t>
      </w:r>
      <w:r w:rsidR="008E67F7" w:rsidRPr="008E67F7">
        <w:rPr>
          <w:rFonts w:ascii="Book Antiqua" w:hAnsi="Book Antiqua" w:hint="eastAsia"/>
          <w:lang w:eastAsia="zh-CN"/>
        </w:rPr>
        <w:t xml:space="preserve">April </w:t>
      </w:r>
      <w:r w:rsidR="008E67F7">
        <w:rPr>
          <w:rFonts w:ascii="Book Antiqua" w:hAnsi="Book Antiqua" w:hint="eastAsia"/>
          <w:lang w:eastAsia="zh-CN"/>
        </w:rPr>
        <w:t>26</w:t>
      </w:r>
      <w:r w:rsidR="008E67F7" w:rsidRPr="008E67F7">
        <w:rPr>
          <w:rFonts w:ascii="Book Antiqua" w:hAnsi="Book Antiqua" w:hint="eastAsia"/>
          <w:lang w:eastAsia="zh-CN"/>
        </w:rPr>
        <w:t>, 2016</w:t>
      </w:r>
    </w:p>
    <w:p w14:paraId="0CBD73ED" w14:textId="5B984871" w:rsidR="00D17076" w:rsidRPr="00564516" w:rsidRDefault="00D17076" w:rsidP="00564516">
      <w:pPr>
        <w:spacing w:line="360" w:lineRule="auto"/>
        <w:rPr>
          <w:rFonts w:ascii="Book Antiqua" w:hAnsi="Book Antiqua"/>
          <w:color w:val="000000"/>
        </w:rPr>
      </w:pPr>
      <w:r>
        <w:rPr>
          <w:rFonts w:ascii="Book Antiqua" w:hAnsi="Book Antiqua"/>
          <w:b/>
        </w:rPr>
        <w:t>Accepted:</w:t>
      </w:r>
      <w:r w:rsidR="00564516" w:rsidRPr="00564516">
        <w:rPr>
          <w:rFonts w:ascii="Book Antiqua" w:hAnsi="Book Antiqua"/>
          <w:color w:val="000000"/>
        </w:rPr>
        <w:t xml:space="preserve"> </w:t>
      </w:r>
      <w:r w:rsidR="00564516">
        <w:rPr>
          <w:rFonts w:ascii="Book Antiqua" w:hAnsi="Book Antiqua"/>
          <w:color w:val="000000"/>
        </w:rPr>
        <w:t>May 21</w:t>
      </w:r>
      <w:r w:rsidR="00564516" w:rsidRPr="005E139A">
        <w:rPr>
          <w:rFonts w:ascii="Book Antiqua" w:hAnsi="Book Antiqua"/>
          <w:color w:val="000000"/>
        </w:rPr>
        <w:t>, 2016</w:t>
      </w:r>
      <w:bookmarkStart w:id="23" w:name="_GoBack"/>
      <w:bookmarkEnd w:id="23"/>
      <w:r>
        <w:rPr>
          <w:rFonts w:ascii="Book Antiqua" w:hAnsi="Book Antiqua" w:hint="eastAsia"/>
          <w:b/>
        </w:rPr>
        <w:t xml:space="preserve">  </w:t>
      </w:r>
    </w:p>
    <w:p w14:paraId="5B14FB0E" w14:textId="77777777" w:rsidR="00D17076" w:rsidRDefault="00D17076" w:rsidP="00E46EEA">
      <w:pPr>
        <w:spacing w:line="360" w:lineRule="auto"/>
        <w:jc w:val="both"/>
        <w:rPr>
          <w:rFonts w:ascii="Book Antiqua" w:hAnsi="Book Antiqua"/>
          <w:b/>
        </w:rPr>
      </w:pPr>
      <w:r w:rsidRPr="009659DA">
        <w:rPr>
          <w:rFonts w:ascii="Book Antiqua" w:hAnsi="Book Antiqua"/>
          <w:b/>
        </w:rPr>
        <w:t>Article in press:</w:t>
      </w:r>
    </w:p>
    <w:p w14:paraId="4EF01C25" w14:textId="77777777" w:rsidR="00D17076" w:rsidRPr="00ED7CB9" w:rsidRDefault="00D17076" w:rsidP="00E46EEA">
      <w:pPr>
        <w:spacing w:line="360" w:lineRule="auto"/>
        <w:jc w:val="both"/>
        <w:rPr>
          <w:rFonts w:ascii="Book Antiqua" w:hAnsi="Book Antiqua"/>
          <w:b/>
        </w:rPr>
      </w:pPr>
      <w:r>
        <w:rPr>
          <w:rFonts w:ascii="Book Antiqua" w:hAnsi="Book Antiqua"/>
          <w:b/>
        </w:rPr>
        <w:t>Published online:</w:t>
      </w:r>
    </w:p>
    <w:bookmarkEnd w:id="18"/>
    <w:bookmarkEnd w:id="19"/>
    <w:bookmarkEnd w:id="20"/>
    <w:bookmarkEnd w:id="21"/>
    <w:bookmarkEnd w:id="22"/>
    <w:p w14:paraId="5BD88791" w14:textId="5E241F77" w:rsidR="00423F6A" w:rsidRDefault="00423F6A" w:rsidP="00E46EEA">
      <w:pPr>
        <w:spacing w:line="360" w:lineRule="auto"/>
        <w:jc w:val="both"/>
        <w:rPr>
          <w:rFonts w:ascii="Book Antiqua" w:hAnsi="Book Antiqua"/>
          <w:lang w:val="en-US"/>
        </w:rPr>
      </w:pPr>
      <w:r>
        <w:rPr>
          <w:rFonts w:ascii="Book Antiqua" w:hAnsi="Book Antiqua"/>
          <w:lang w:val="en-US"/>
        </w:rPr>
        <w:br w:type="page"/>
      </w:r>
    </w:p>
    <w:p w14:paraId="2028425B" w14:textId="152F31C6" w:rsidR="00423F6A" w:rsidRPr="008E67F7" w:rsidRDefault="00423F6A" w:rsidP="00E46EEA">
      <w:pPr>
        <w:spacing w:line="360" w:lineRule="auto"/>
        <w:jc w:val="both"/>
        <w:rPr>
          <w:rFonts w:ascii="Book Antiqua" w:hAnsi="Book Antiqua"/>
          <w:b/>
          <w:lang w:val="en-US" w:eastAsia="zh-CN"/>
        </w:rPr>
      </w:pPr>
      <w:r w:rsidRPr="00423F6A">
        <w:rPr>
          <w:rFonts w:ascii="Book Antiqua" w:hAnsi="Book Antiqua"/>
          <w:b/>
          <w:lang w:val="en-US"/>
        </w:rPr>
        <w:lastRenderedPageBreak/>
        <w:t>Abstract</w:t>
      </w:r>
    </w:p>
    <w:p w14:paraId="43866BF5" w14:textId="59C99C68" w:rsidR="00423F6A" w:rsidRDefault="00423F6A" w:rsidP="00E46EEA">
      <w:pPr>
        <w:spacing w:line="360" w:lineRule="auto"/>
        <w:jc w:val="both"/>
        <w:rPr>
          <w:rFonts w:ascii="Book Antiqua" w:hAnsi="Book Antiqua"/>
          <w:lang w:val="en-US"/>
        </w:rPr>
      </w:pPr>
      <w:r>
        <w:rPr>
          <w:rFonts w:ascii="Book Antiqua" w:hAnsi="Book Antiqua"/>
          <w:lang w:val="en-US"/>
        </w:rPr>
        <w:t xml:space="preserve">Barrett’s esophagus (BE) is an important condition given its significant premalignant potential and dismal </w:t>
      </w:r>
      <w:r w:rsidR="00F339EA">
        <w:rPr>
          <w:rFonts w:ascii="Book Antiqua" w:hAnsi="Book Antiqua"/>
          <w:lang w:val="en-US"/>
        </w:rPr>
        <w:t xml:space="preserve">five-year survival </w:t>
      </w:r>
      <w:r>
        <w:rPr>
          <w:rFonts w:ascii="Book Antiqua" w:hAnsi="Book Antiqua"/>
          <w:lang w:val="en-US"/>
        </w:rPr>
        <w:t xml:space="preserve">outcomes of advanced esophageal adenocarcinoma. </w:t>
      </w:r>
      <w:r w:rsidR="00F339EA">
        <w:rPr>
          <w:rFonts w:ascii="Book Antiqua" w:hAnsi="Book Antiqua"/>
          <w:lang w:val="en-US"/>
        </w:rPr>
        <w:t xml:space="preserve">It is therefore suggested that patients with a diagnosis of BE undergo regular surveillance in order to pick up dysplasia at an earlier stage to improve survival. </w:t>
      </w:r>
      <w:r>
        <w:rPr>
          <w:rFonts w:ascii="Book Antiqua" w:hAnsi="Book Antiqua"/>
          <w:lang w:val="en-US"/>
        </w:rPr>
        <w:t xml:space="preserve">Current “gold-standard” surveillance protocols </w:t>
      </w:r>
      <w:r w:rsidR="00F339EA">
        <w:rPr>
          <w:rFonts w:ascii="Book Antiqua" w:hAnsi="Book Antiqua"/>
          <w:lang w:val="en-US"/>
        </w:rPr>
        <w:t>suggest targeted biopsy of visible lesions followed by four quadrant random biopsies</w:t>
      </w:r>
      <w:r w:rsidR="0033172C">
        <w:rPr>
          <w:rFonts w:ascii="Book Antiqua" w:hAnsi="Book Antiqua"/>
          <w:lang w:val="en-US"/>
        </w:rPr>
        <w:t xml:space="preserve"> e</w:t>
      </w:r>
      <w:r w:rsidR="005A4B91">
        <w:rPr>
          <w:rFonts w:ascii="Book Antiqua" w:hAnsi="Book Antiqua"/>
          <w:lang w:val="en-US"/>
        </w:rPr>
        <w:t>very 2</w:t>
      </w:r>
      <w:r w:rsidR="00E46EEA">
        <w:rPr>
          <w:rFonts w:ascii="Book Antiqua" w:hAnsi="Book Antiqua" w:hint="eastAsia"/>
          <w:lang w:val="en-US" w:eastAsia="zh-CN"/>
        </w:rPr>
        <w:t xml:space="preserve"> </w:t>
      </w:r>
      <w:r w:rsidR="005A4B91">
        <w:rPr>
          <w:rFonts w:ascii="Book Antiqua" w:hAnsi="Book Antiqua"/>
          <w:lang w:val="en-US"/>
        </w:rPr>
        <w:t>cm.</w:t>
      </w:r>
      <w:r>
        <w:rPr>
          <w:rFonts w:ascii="Book Antiqua" w:hAnsi="Book Antiqua"/>
          <w:lang w:val="en-US"/>
        </w:rPr>
        <w:t xml:space="preserve"> </w:t>
      </w:r>
      <w:r w:rsidR="00F339EA">
        <w:rPr>
          <w:rFonts w:ascii="Book Antiqua" w:hAnsi="Book Antiqua"/>
          <w:lang w:val="en-US"/>
        </w:rPr>
        <w:t>However, this method of Barrett’s surveillance is</w:t>
      </w:r>
      <w:r>
        <w:rPr>
          <w:rFonts w:ascii="Book Antiqua" w:hAnsi="Book Antiqua"/>
          <w:lang w:val="en-US"/>
        </w:rPr>
        <w:t xml:space="preserve"> fraught with poor </w:t>
      </w:r>
      <w:r w:rsidR="00F339EA">
        <w:rPr>
          <w:rFonts w:ascii="Book Antiqua" w:hAnsi="Book Antiqua"/>
          <w:lang w:val="en-US"/>
        </w:rPr>
        <w:t xml:space="preserve">endoscopist </w:t>
      </w:r>
      <w:r>
        <w:rPr>
          <w:rFonts w:ascii="Book Antiqua" w:hAnsi="Book Antiqua"/>
          <w:lang w:val="en-US"/>
        </w:rPr>
        <w:t xml:space="preserve">compliance </w:t>
      </w:r>
      <w:r w:rsidR="00F339EA">
        <w:rPr>
          <w:rFonts w:ascii="Book Antiqua" w:hAnsi="Book Antiqua"/>
          <w:lang w:val="en-US"/>
        </w:rPr>
        <w:t>as the procedures are time consuming and poorly tolerated by patients. There are also</w:t>
      </w:r>
      <w:r>
        <w:rPr>
          <w:rFonts w:ascii="Book Antiqua" w:hAnsi="Book Antiqua"/>
          <w:lang w:val="en-US"/>
        </w:rPr>
        <w:t xml:space="preserve"> significant miss-rates</w:t>
      </w:r>
      <w:r w:rsidR="00F339EA">
        <w:rPr>
          <w:rFonts w:ascii="Book Antiqua" w:hAnsi="Book Antiqua"/>
          <w:lang w:val="en-US"/>
        </w:rPr>
        <w:t xml:space="preserve"> with this technique</w:t>
      </w:r>
      <w:r w:rsidR="006E5CCD">
        <w:rPr>
          <w:rFonts w:ascii="Book Antiqua" w:hAnsi="Book Antiqua"/>
          <w:lang w:val="en-US"/>
        </w:rPr>
        <w:t xml:space="preserve"> for the detection of neoplasia</w:t>
      </w:r>
      <w:r w:rsidR="005A4B91">
        <w:rPr>
          <w:rFonts w:ascii="Book Antiqua" w:hAnsi="Book Antiqua"/>
          <w:lang w:val="en-US"/>
        </w:rPr>
        <w:t xml:space="preserve"> as only 13% </w:t>
      </w:r>
      <w:r w:rsidR="003F3AC6">
        <w:rPr>
          <w:rFonts w:ascii="Book Antiqua" w:hAnsi="Book Antiqua"/>
          <w:lang w:val="en-US"/>
        </w:rPr>
        <w:t>of early neoplastic lesions appear as visible nodules.</w:t>
      </w:r>
      <w:r>
        <w:rPr>
          <w:rFonts w:ascii="Book Antiqua" w:hAnsi="Book Antiqua"/>
          <w:lang w:val="en-US"/>
        </w:rPr>
        <w:t xml:space="preserve"> </w:t>
      </w:r>
      <w:r w:rsidR="006E5CCD">
        <w:rPr>
          <w:rFonts w:ascii="Book Antiqua" w:hAnsi="Book Antiqua"/>
          <w:lang w:val="en-US"/>
        </w:rPr>
        <w:t xml:space="preserve">Despite improvements in endoscope resolution </w:t>
      </w:r>
      <w:r w:rsidR="00F339EA">
        <w:rPr>
          <w:rFonts w:ascii="Book Antiqua" w:hAnsi="Book Antiqua"/>
          <w:lang w:val="en-US"/>
        </w:rPr>
        <w:t>these problems persist. Chromoendoscopy</w:t>
      </w:r>
      <w:r w:rsidR="00A07D1C">
        <w:rPr>
          <w:rFonts w:ascii="Book Antiqua" w:hAnsi="Book Antiqua"/>
          <w:lang w:val="en-US"/>
        </w:rPr>
        <w:t xml:space="preserve"> </w:t>
      </w:r>
      <w:r w:rsidR="00F339EA">
        <w:rPr>
          <w:rFonts w:ascii="Book Antiqua" w:hAnsi="Book Antiqua"/>
          <w:lang w:val="en-US"/>
        </w:rPr>
        <w:t xml:space="preserve">is an extremely useful adjunct to enhance mucosal visualization and characterization of Barrett’s mucosa. </w:t>
      </w:r>
      <w:r>
        <w:rPr>
          <w:rFonts w:ascii="Book Antiqua" w:hAnsi="Book Antiqua"/>
          <w:lang w:val="en-US"/>
        </w:rPr>
        <w:t>Acetic acid chromoendoscopy (AAC) is a simple, non-proprietary technique that can significantly improve neoplasia detection rates.</w:t>
      </w:r>
      <w:r w:rsidR="00F339EA">
        <w:rPr>
          <w:rFonts w:ascii="Book Antiqua" w:hAnsi="Book Antiqua"/>
          <w:lang w:val="en-US"/>
        </w:rPr>
        <w:t xml:space="preserve"> </w:t>
      </w:r>
      <w:r>
        <w:rPr>
          <w:rFonts w:ascii="Book Antiqua" w:hAnsi="Book Antiqua"/>
          <w:lang w:val="en-US"/>
        </w:rPr>
        <w:t>This topic highlight summarizes the current evidence base behind AAC</w:t>
      </w:r>
      <w:r w:rsidR="00F339EA">
        <w:rPr>
          <w:rFonts w:ascii="Book Antiqua" w:hAnsi="Book Antiqua"/>
          <w:lang w:val="en-US"/>
        </w:rPr>
        <w:t xml:space="preserve"> for the detection of neoplasia in BE and provides </w:t>
      </w:r>
      <w:r w:rsidR="00816880">
        <w:rPr>
          <w:rFonts w:ascii="Book Antiqua" w:hAnsi="Book Antiqua"/>
          <w:lang w:val="en-US"/>
        </w:rPr>
        <w:t xml:space="preserve">an </w:t>
      </w:r>
      <w:r w:rsidR="00F339EA">
        <w:rPr>
          <w:rFonts w:ascii="Book Antiqua" w:hAnsi="Book Antiqua"/>
          <w:lang w:val="en-US"/>
        </w:rPr>
        <w:t>insight into the direction of travel for further research in this area.</w:t>
      </w:r>
    </w:p>
    <w:p w14:paraId="22B190F7" w14:textId="77777777" w:rsidR="00423F6A" w:rsidRDefault="00423F6A" w:rsidP="00E46EEA">
      <w:pPr>
        <w:spacing w:line="360" w:lineRule="auto"/>
        <w:jc w:val="both"/>
        <w:rPr>
          <w:rFonts w:ascii="Book Antiqua" w:hAnsi="Book Antiqua"/>
          <w:lang w:val="en-US"/>
        </w:rPr>
      </w:pPr>
    </w:p>
    <w:p w14:paraId="11130C4E" w14:textId="44EB5CC6" w:rsidR="00423F6A" w:rsidRDefault="00423F6A" w:rsidP="00E46EEA">
      <w:pPr>
        <w:spacing w:line="360" w:lineRule="auto"/>
        <w:jc w:val="both"/>
        <w:rPr>
          <w:rFonts w:ascii="Book Antiqua" w:hAnsi="Book Antiqua"/>
          <w:lang w:val="en-US" w:eastAsia="zh-CN"/>
        </w:rPr>
      </w:pPr>
      <w:r>
        <w:rPr>
          <w:rFonts w:ascii="Book Antiqua" w:hAnsi="Book Antiqua"/>
          <w:b/>
          <w:lang w:val="en-US"/>
        </w:rPr>
        <w:t xml:space="preserve">Key words: </w:t>
      </w:r>
      <w:r>
        <w:rPr>
          <w:rFonts w:ascii="Book Antiqua" w:hAnsi="Book Antiqua"/>
          <w:lang w:val="en-US"/>
        </w:rPr>
        <w:t>Barrett’s eso</w:t>
      </w:r>
      <w:r w:rsidR="00660EAE">
        <w:rPr>
          <w:rFonts w:ascii="Book Antiqua" w:hAnsi="Book Antiqua"/>
          <w:lang w:val="en-US"/>
        </w:rPr>
        <w:t xml:space="preserve">phagus; </w:t>
      </w:r>
      <w:r w:rsidR="008E67F7">
        <w:rPr>
          <w:rFonts w:ascii="Book Antiqua" w:hAnsi="Book Antiqua"/>
          <w:lang w:val="en-US"/>
        </w:rPr>
        <w:t xml:space="preserve">Acetic </w:t>
      </w:r>
      <w:r w:rsidR="00660EAE">
        <w:rPr>
          <w:rFonts w:ascii="Book Antiqua" w:hAnsi="Book Antiqua"/>
          <w:lang w:val="en-US"/>
        </w:rPr>
        <w:t>acid;</w:t>
      </w:r>
      <w:r w:rsidR="00F04AF6">
        <w:rPr>
          <w:rFonts w:ascii="Book Antiqua" w:hAnsi="Book Antiqua"/>
          <w:lang w:val="en-US"/>
        </w:rPr>
        <w:t xml:space="preserve"> </w:t>
      </w:r>
      <w:r w:rsidR="008E67F7">
        <w:rPr>
          <w:rFonts w:ascii="Book Antiqua" w:hAnsi="Book Antiqua"/>
          <w:lang w:val="en-US"/>
        </w:rPr>
        <w:t xml:space="preserve">Esophageal </w:t>
      </w:r>
      <w:r w:rsidR="00F04AF6">
        <w:rPr>
          <w:rFonts w:ascii="Book Antiqua" w:hAnsi="Book Antiqua"/>
          <w:lang w:val="en-US"/>
        </w:rPr>
        <w:t>adenocarcinoma</w:t>
      </w:r>
      <w:r w:rsidR="008E67F7">
        <w:rPr>
          <w:rFonts w:ascii="Book Antiqua" w:hAnsi="Book Antiqua"/>
          <w:lang w:val="en-US"/>
        </w:rPr>
        <w:t>; Chromoendoscopy; Dysplasia</w:t>
      </w:r>
    </w:p>
    <w:p w14:paraId="15FDFBE2" w14:textId="77777777" w:rsidR="00D17076" w:rsidRDefault="00D17076" w:rsidP="00E46EEA">
      <w:pPr>
        <w:spacing w:line="360" w:lineRule="auto"/>
        <w:jc w:val="both"/>
        <w:rPr>
          <w:rFonts w:ascii="Book Antiqua" w:hAnsi="Book Antiqua"/>
          <w:lang w:val="en-US" w:eastAsia="zh-CN"/>
        </w:rPr>
      </w:pPr>
    </w:p>
    <w:p w14:paraId="51466E30" w14:textId="77777777" w:rsidR="00D17076" w:rsidRDefault="00D17076" w:rsidP="00E46EEA">
      <w:pPr>
        <w:spacing w:line="360" w:lineRule="auto"/>
        <w:jc w:val="both"/>
        <w:rPr>
          <w:rFonts w:ascii="Book Antiqua" w:hAnsi="Book Antiqua" w:cs="Arial"/>
        </w:rPr>
      </w:pPr>
      <w:bookmarkStart w:id="24" w:name="OLE_LINK55"/>
      <w:bookmarkStart w:id="25" w:name="OLE_LINK56"/>
      <w:bookmarkStart w:id="26" w:name="OLE_LINK105"/>
      <w:bookmarkStart w:id="27" w:name="OLE_LINK116"/>
      <w:bookmarkStart w:id="28" w:name="OLE_LINK89"/>
      <w:r w:rsidRPr="0071780A">
        <w:rPr>
          <w:rFonts w:ascii="Book Antiqua" w:hAnsi="Book Antiqua"/>
          <w:b/>
        </w:rPr>
        <w:t>©</w:t>
      </w:r>
      <w:bookmarkEnd w:id="24"/>
      <w:bookmarkEnd w:id="25"/>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6</w:t>
      </w:r>
      <w:r w:rsidRPr="0071780A">
        <w:rPr>
          <w:rFonts w:ascii="Book Antiqua" w:hAnsi="Book Antiqua" w:cs="Arial"/>
          <w:b/>
        </w:rPr>
        <w:t xml:space="preserve">. </w:t>
      </w:r>
      <w:r w:rsidRPr="00B55A90">
        <w:rPr>
          <w:rFonts w:ascii="Book Antiqua" w:hAnsi="Book Antiqua" w:cs="Arial"/>
        </w:rPr>
        <w:t>Published by Baishideng Publishing Group Inc. All rights reserved.</w:t>
      </w:r>
    </w:p>
    <w:bookmarkEnd w:id="26"/>
    <w:bookmarkEnd w:id="27"/>
    <w:bookmarkEnd w:id="28"/>
    <w:p w14:paraId="2EE672C8" w14:textId="77777777" w:rsidR="00F04AF6" w:rsidRDefault="00F04AF6" w:rsidP="00E46EEA">
      <w:pPr>
        <w:spacing w:line="360" w:lineRule="auto"/>
        <w:jc w:val="both"/>
        <w:rPr>
          <w:rFonts w:ascii="Book Antiqua" w:hAnsi="Book Antiqua"/>
          <w:lang w:val="en-US"/>
        </w:rPr>
      </w:pPr>
    </w:p>
    <w:p w14:paraId="563619DA" w14:textId="1EFAA555" w:rsidR="00F04AF6" w:rsidRDefault="00F04AF6" w:rsidP="00E46EEA">
      <w:pPr>
        <w:spacing w:line="360" w:lineRule="auto"/>
        <w:jc w:val="both"/>
        <w:rPr>
          <w:rFonts w:ascii="Book Antiqua" w:hAnsi="Book Antiqua"/>
          <w:lang w:val="en-US"/>
        </w:rPr>
      </w:pPr>
      <w:r>
        <w:rPr>
          <w:rFonts w:ascii="Book Antiqua" w:hAnsi="Book Antiqua"/>
          <w:b/>
          <w:lang w:val="en-US"/>
        </w:rPr>
        <w:t xml:space="preserve">Core tip: </w:t>
      </w:r>
      <w:r>
        <w:rPr>
          <w:rFonts w:ascii="Book Antiqua" w:hAnsi="Book Antiqua"/>
          <w:lang w:val="en-US"/>
        </w:rPr>
        <w:t>Neoplasia detection in surveillance of Barrett’s esophagus (BE) remains challenging as current gold-standard four quadrant biopsies</w:t>
      </w:r>
      <w:r w:rsidR="008E67F7">
        <w:rPr>
          <w:rFonts w:ascii="Book Antiqua" w:hAnsi="Book Antiqua" w:hint="eastAsia"/>
          <w:lang w:val="en-US" w:eastAsia="zh-CN"/>
        </w:rPr>
        <w:t xml:space="preserve"> </w:t>
      </w:r>
      <w:r>
        <w:rPr>
          <w:rFonts w:ascii="Book Antiqua" w:hAnsi="Book Antiqua"/>
          <w:lang w:val="en-US"/>
        </w:rPr>
        <w:t>have a high miss-rate and are poorly adhered to. Evidence to support the use of acetic acid chromoendoscopy (AAC) is growing. We discuss the current evidence of AAC in BE and the direction of travel</w:t>
      </w:r>
      <w:r w:rsidR="00660EAE">
        <w:rPr>
          <w:rFonts w:ascii="Book Antiqua" w:hAnsi="Book Antiqua"/>
          <w:lang w:val="en-US"/>
        </w:rPr>
        <w:t xml:space="preserve"> for future research</w:t>
      </w:r>
      <w:r>
        <w:rPr>
          <w:rFonts w:ascii="Book Antiqua" w:hAnsi="Book Antiqua"/>
          <w:lang w:val="en-US"/>
        </w:rPr>
        <w:t>.</w:t>
      </w:r>
    </w:p>
    <w:p w14:paraId="66C332F5" w14:textId="77777777" w:rsidR="00F04AF6" w:rsidRDefault="00F04AF6" w:rsidP="00E46EEA">
      <w:pPr>
        <w:spacing w:line="360" w:lineRule="auto"/>
        <w:jc w:val="both"/>
        <w:rPr>
          <w:rFonts w:ascii="Book Antiqua" w:hAnsi="Book Antiqua"/>
          <w:lang w:val="en-US"/>
        </w:rPr>
      </w:pPr>
    </w:p>
    <w:p w14:paraId="647541FC" w14:textId="5887B96B" w:rsidR="00423F6A" w:rsidRDefault="00F04AF6" w:rsidP="00E46EEA">
      <w:pPr>
        <w:spacing w:line="360" w:lineRule="auto"/>
        <w:jc w:val="both"/>
        <w:outlineLvl w:val="0"/>
        <w:rPr>
          <w:rFonts w:ascii="Book Antiqua" w:hAnsi="Book Antiqua"/>
          <w:b/>
          <w:u w:val="single"/>
          <w:lang w:val="en-US"/>
        </w:rPr>
      </w:pPr>
      <w:r w:rsidRPr="008E67F7">
        <w:rPr>
          <w:rFonts w:ascii="Book Antiqua" w:hAnsi="Book Antiqua"/>
          <w:lang w:val="en-US"/>
        </w:rPr>
        <w:lastRenderedPageBreak/>
        <w:t xml:space="preserve">Chedgy FJQ, </w:t>
      </w:r>
      <w:r>
        <w:rPr>
          <w:rFonts w:ascii="Book Antiqua" w:hAnsi="Book Antiqua"/>
          <w:lang w:val="en-US"/>
        </w:rPr>
        <w:t>Subramaniam S, Kandiah K, Thayalasekaran S, Bhandari P</w:t>
      </w:r>
      <w:r w:rsidRPr="00F04AF6">
        <w:rPr>
          <w:rFonts w:ascii="Book Antiqua" w:hAnsi="Book Antiqua"/>
          <w:lang w:val="en-US"/>
        </w:rPr>
        <w:t>. Acetic</w:t>
      </w:r>
      <w:r w:rsidR="008E67F7" w:rsidRPr="00F04AF6">
        <w:rPr>
          <w:rFonts w:ascii="Book Antiqua" w:hAnsi="Book Antiqua"/>
          <w:lang w:val="en-US"/>
        </w:rPr>
        <w:t xml:space="preserve"> acid chromoendos</w:t>
      </w:r>
      <w:r w:rsidRPr="00F04AF6">
        <w:rPr>
          <w:rFonts w:ascii="Book Antiqua" w:hAnsi="Book Antiqua"/>
          <w:lang w:val="en-US"/>
        </w:rPr>
        <w:t xml:space="preserve">copy: Improving </w:t>
      </w:r>
      <w:r w:rsidR="008E67F7" w:rsidRPr="00F04AF6">
        <w:rPr>
          <w:rFonts w:ascii="Book Antiqua" w:hAnsi="Book Antiqua"/>
          <w:lang w:val="en-US"/>
        </w:rPr>
        <w:t xml:space="preserve">neoplasia detection in </w:t>
      </w:r>
      <w:r w:rsidR="002A774B" w:rsidRPr="00F04AF6">
        <w:rPr>
          <w:rFonts w:ascii="Book Antiqua" w:hAnsi="Book Antiqua"/>
          <w:lang w:val="en-US"/>
        </w:rPr>
        <w:t>B</w:t>
      </w:r>
      <w:r w:rsidR="008E67F7" w:rsidRPr="00F04AF6">
        <w:rPr>
          <w:rFonts w:ascii="Book Antiqua" w:hAnsi="Book Antiqua"/>
          <w:lang w:val="en-US"/>
        </w:rPr>
        <w:t>arrett’s esopha</w:t>
      </w:r>
      <w:r w:rsidRPr="00F04AF6">
        <w:rPr>
          <w:rFonts w:ascii="Book Antiqua" w:hAnsi="Book Antiqua"/>
          <w:lang w:val="en-US"/>
        </w:rPr>
        <w:t>gus</w:t>
      </w:r>
      <w:r>
        <w:rPr>
          <w:rFonts w:ascii="Book Antiqua" w:hAnsi="Book Antiqua"/>
          <w:lang w:val="en-US"/>
        </w:rPr>
        <w:t>.</w:t>
      </w:r>
      <w:r w:rsidR="008E67F7">
        <w:rPr>
          <w:rFonts w:ascii="Book Antiqua" w:hAnsi="Book Antiqua" w:hint="eastAsia"/>
          <w:lang w:val="en-US" w:eastAsia="zh-CN"/>
        </w:rPr>
        <w:t xml:space="preserve"> </w:t>
      </w:r>
      <w:r w:rsidR="008E67F7" w:rsidRPr="008E67F7">
        <w:rPr>
          <w:rFonts w:ascii="Book Antiqua" w:hAnsi="Book Antiqua"/>
          <w:i/>
          <w:lang w:val="en-US" w:eastAsia="zh-CN"/>
        </w:rPr>
        <w:t>World J Gastroenterol</w:t>
      </w:r>
      <w:r w:rsidR="008E67F7">
        <w:rPr>
          <w:rFonts w:ascii="Book Antiqua" w:hAnsi="Book Antiqua" w:hint="eastAsia"/>
          <w:lang w:val="en-US" w:eastAsia="zh-CN"/>
        </w:rPr>
        <w:t xml:space="preserve"> 2016; In press</w:t>
      </w:r>
      <w:r w:rsidR="00423F6A">
        <w:rPr>
          <w:rFonts w:ascii="Book Antiqua" w:hAnsi="Book Antiqua"/>
          <w:b/>
          <w:u w:val="single"/>
          <w:lang w:val="en-US"/>
        </w:rPr>
        <w:br w:type="page"/>
      </w:r>
    </w:p>
    <w:p w14:paraId="7D0EBA1B" w14:textId="64B97AD3" w:rsidR="00A67829" w:rsidRPr="002075A3" w:rsidRDefault="00F04AF6" w:rsidP="00E46EEA">
      <w:pPr>
        <w:spacing w:line="360" w:lineRule="auto"/>
        <w:jc w:val="both"/>
        <w:outlineLvl w:val="0"/>
        <w:rPr>
          <w:rFonts w:ascii="Book Antiqua" w:hAnsi="Book Antiqua"/>
          <w:lang w:val="en-US" w:eastAsia="zh-CN"/>
        </w:rPr>
      </w:pPr>
      <w:r w:rsidRPr="00F04AF6">
        <w:rPr>
          <w:rFonts w:ascii="Book Antiqua" w:hAnsi="Book Antiqua"/>
          <w:b/>
          <w:lang w:val="en-US"/>
        </w:rPr>
        <w:lastRenderedPageBreak/>
        <w:t>INTRODUCTION</w:t>
      </w:r>
    </w:p>
    <w:p w14:paraId="390696E5" w14:textId="437A8D2D" w:rsidR="00A67829" w:rsidRPr="002075A3" w:rsidRDefault="00A67829" w:rsidP="00E46EEA">
      <w:pPr>
        <w:spacing w:line="360" w:lineRule="auto"/>
        <w:jc w:val="both"/>
        <w:rPr>
          <w:rFonts w:ascii="Book Antiqua" w:hAnsi="Book Antiqua"/>
          <w:lang w:val="en-US"/>
        </w:rPr>
      </w:pPr>
      <w:r w:rsidRPr="002075A3">
        <w:rPr>
          <w:rFonts w:ascii="Book Antiqua" w:hAnsi="Book Antiqua"/>
          <w:lang w:val="en-US"/>
        </w:rPr>
        <w:t xml:space="preserve">The incidence of </w:t>
      </w:r>
      <w:r w:rsidR="00D819FD" w:rsidRPr="002075A3">
        <w:rPr>
          <w:rFonts w:ascii="Book Antiqua" w:hAnsi="Book Antiqua"/>
          <w:lang w:val="en-US"/>
        </w:rPr>
        <w:t>esophageal</w:t>
      </w:r>
      <w:r w:rsidR="004B73F4" w:rsidRPr="002075A3">
        <w:rPr>
          <w:rFonts w:ascii="Book Antiqua" w:hAnsi="Book Antiqua"/>
          <w:lang w:val="en-US"/>
        </w:rPr>
        <w:t xml:space="preserve"> cancer</w:t>
      </w:r>
      <w:r w:rsidRPr="002075A3">
        <w:rPr>
          <w:rFonts w:ascii="Book Antiqua" w:hAnsi="Book Antiqua"/>
          <w:lang w:val="en-US"/>
        </w:rPr>
        <w:t xml:space="preserve"> is increasing</w:t>
      </w:r>
      <w:r w:rsidR="0043220D">
        <w:rPr>
          <w:rFonts w:ascii="Book Antiqua" w:hAnsi="Book Antiqua"/>
          <w:lang w:val="en-US"/>
        </w:rPr>
        <w:fldChar w:fldCharType="begin" w:fldLock="1"/>
      </w:r>
      <w:r w:rsidR="0043220D">
        <w:rPr>
          <w:rFonts w:ascii="Book Antiqua" w:hAnsi="Book Antiqua"/>
          <w:lang w:val="en-US"/>
        </w:rPr>
        <w:instrText>ADDIN CSL_CITATION { "citationItems" : [ { "id" : "ITEM-1", "itemData" : { "DOI" : "10.1111/j.1572-0241.2008.01835.x", "ISBN" : "0002-9270 (Print)\\n0002-9270", "ISSN" : "00029270", "PMID" : "18341497", "abstract" : "The guidelines for the diagnosis, surveillance and therapy of Barrett's esophagus were originally published by the American College of Gastroenterology in 1998 and updated in 2002. These and other guidelines undergo periodic review.", "author" : [ { "dropping-particle" : "", "family" : "Wang", "given" : "Kenneth K.", "non-dropping-particle" : "", "parse-names" : false, "suffix" : "" }, { "dropping-particle" : "", "family" : "Sampliner", "given" : "Richard E.", "non-dropping-particle" : "", "parse-names" : false, "suffix" : "" } ], "container-title" : "American Journal of Gastroenterology", "id" : "ITEM-1", "issue" : "3", "issued" : { "date-parts" : [ [ "2008" ] ] }, "page" : "788-797", "title" : "Updated guidelines 2008 for the diagnosis, surveillance and therapy of Barrett's esophagus", "type" : "article-journal", "volume" : "103" }, "uris" : [ "http://www.mendeley.com/documents/?uuid=22e977cd-ceb2-4e83-a006-0bebf560572b" ] } ], "mendeley" : { "formattedCitation" : "&lt;sup&gt;[1]&lt;/sup&gt;", "plainTextFormattedCitation" : "[1]", "previouslyFormattedCitation" : "&lt;sup&gt;[1]&lt;/sup&gt;" }, "properties" : { "noteIndex" : 0 }, "schema" : "https://github.com/citation-style-language/schema/raw/master/csl-citation.json" }</w:instrText>
      </w:r>
      <w:r w:rsidR="0043220D">
        <w:rPr>
          <w:rFonts w:ascii="Book Antiqua" w:hAnsi="Book Antiqua"/>
          <w:lang w:val="en-US"/>
        </w:rPr>
        <w:fldChar w:fldCharType="separate"/>
      </w:r>
      <w:r w:rsidR="0043220D" w:rsidRPr="0043220D">
        <w:rPr>
          <w:rFonts w:ascii="Book Antiqua" w:hAnsi="Book Antiqua"/>
          <w:noProof/>
          <w:vertAlign w:val="superscript"/>
          <w:lang w:val="en-US"/>
        </w:rPr>
        <w:t>[1]</w:t>
      </w:r>
      <w:r w:rsidR="0043220D">
        <w:rPr>
          <w:rFonts w:ascii="Book Antiqua" w:hAnsi="Book Antiqua"/>
          <w:lang w:val="en-US"/>
        </w:rPr>
        <w:fldChar w:fldCharType="end"/>
      </w:r>
      <w:r w:rsidR="004B73F4" w:rsidRPr="002075A3">
        <w:rPr>
          <w:rFonts w:ascii="Book Antiqua" w:hAnsi="Book Antiqua"/>
          <w:lang w:val="en-US"/>
        </w:rPr>
        <w:t xml:space="preserve">, representing the ninth most common cancer in the </w:t>
      </w:r>
      <w:r w:rsidR="008E67F7" w:rsidRPr="008E67F7">
        <w:rPr>
          <w:rFonts w:ascii="Book Antiqua" w:hAnsi="Book Antiqua"/>
          <w:lang w:val="en-US"/>
        </w:rPr>
        <w:t>United Kingdom</w:t>
      </w:r>
      <w:r w:rsidR="00B901BA" w:rsidRPr="002075A3">
        <w:rPr>
          <w:rFonts w:ascii="Book Antiqua" w:hAnsi="Book Antiqua"/>
          <w:lang w:val="en-US"/>
        </w:rPr>
        <w:t>.</w:t>
      </w:r>
      <w:r w:rsidR="004B73F4" w:rsidRPr="002075A3">
        <w:rPr>
          <w:rFonts w:ascii="Book Antiqua" w:hAnsi="Book Antiqua"/>
          <w:lang w:val="en-US"/>
        </w:rPr>
        <w:t xml:space="preserve"> </w:t>
      </w:r>
      <w:r w:rsidR="00E46EEA" w:rsidRPr="00E46EEA">
        <w:rPr>
          <w:rFonts w:ascii="Book Antiqua" w:hAnsi="Book Antiqua"/>
          <w:lang w:val="en-US"/>
        </w:rPr>
        <w:t>Seven thousand and eight hundred</w:t>
      </w:r>
      <w:r w:rsidR="00E46EEA">
        <w:rPr>
          <w:rFonts w:ascii="Book Antiqua" w:hAnsi="Book Antiqua" w:hint="eastAsia"/>
          <w:lang w:val="en-US" w:eastAsia="zh-CN"/>
        </w:rPr>
        <w:t xml:space="preserve"> </w:t>
      </w:r>
      <w:r w:rsidR="004B73F4" w:rsidRPr="002075A3">
        <w:rPr>
          <w:rFonts w:ascii="Book Antiqua" w:hAnsi="Book Antiqua"/>
          <w:lang w:val="en-US"/>
        </w:rPr>
        <w:t>people</w:t>
      </w:r>
      <w:r w:rsidR="00B901BA" w:rsidRPr="002075A3">
        <w:rPr>
          <w:rFonts w:ascii="Book Antiqua" w:hAnsi="Book Antiqua"/>
          <w:lang w:val="en-US"/>
        </w:rPr>
        <w:t xml:space="preserve"> are</w:t>
      </w:r>
      <w:r w:rsidR="004B73F4" w:rsidRPr="002075A3">
        <w:rPr>
          <w:rFonts w:ascii="Book Antiqua" w:hAnsi="Book Antiqua"/>
          <w:lang w:val="en-US"/>
        </w:rPr>
        <w:t xml:space="preserve"> diagnosed with the condition every year, </w:t>
      </w:r>
      <w:r w:rsidR="00B41835" w:rsidRPr="002075A3">
        <w:rPr>
          <w:rFonts w:ascii="Book Antiqua" w:hAnsi="Book Antiqua"/>
          <w:lang w:val="en-US"/>
        </w:rPr>
        <w:t xml:space="preserve">and </w:t>
      </w:r>
      <w:r w:rsidR="009869D2" w:rsidRPr="002075A3">
        <w:rPr>
          <w:rFonts w:ascii="Book Antiqua" w:hAnsi="Book Antiqua"/>
          <w:lang w:val="en-US"/>
        </w:rPr>
        <w:t>it accounts</w:t>
      </w:r>
      <w:r w:rsidR="004B73F4" w:rsidRPr="002075A3">
        <w:rPr>
          <w:rFonts w:ascii="Book Antiqua" w:hAnsi="Book Antiqua"/>
          <w:lang w:val="en-US"/>
        </w:rPr>
        <w:t xml:space="preserve"> for 5% of all cancer deaths in the </w:t>
      </w:r>
      <w:r w:rsidR="008E67F7" w:rsidRPr="008E67F7">
        <w:rPr>
          <w:rFonts w:ascii="Book Antiqua" w:hAnsi="Book Antiqua"/>
          <w:lang w:val="en-US"/>
        </w:rPr>
        <w:t>United Kingdom</w:t>
      </w:r>
      <w:r w:rsidR="0043220D">
        <w:rPr>
          <w:rFonts w:ascii="Book Antiqua" w:hAnsi="Book Antiqua"/>
          <w:lang w:val="en-US"/>
        </w:rPr>
        <w:fldChar w:fldCharType="begin" w:fldLock="1"/>
      </w:r>
      <w:r w:rsidR="0043220D">
        <w:rPr>
          <w:rFonts w:ascii="Book Antiqua" w:hAnsi="Book Antiqua"/>
          <w:lang w:val="en-US"/>
        </w:rPr>
        <w:instrText>ADDIN CSL_CITATION { "citationItems" : [ { "id" : "ITEM-1", "itemData" : { "DOI" : "10.1055/s-0032-1326630", "ISBN" : "0013-726x", "ISSN" : "0013726X", "PMID" : "23733726", "abstract" : "BACKGROUND AND STUDY AIMS: Acetic acid reacts with Barrett's mucosa to produce acetowhitening which disappears with time. The clinical significance of this is unknown. We aimed to quantify the acetowhitening time, developing an objective tool for diagnosis of neoplasia in Barrett's esophagus. PATIENTS AND METHODS: Prospective cohort study in a tertiary referral center, enrolling patients undergoing surveillance of Barrett's metaplasia or referred with suspected neoplasia. Acetic acid 2.5 % was applied to the mucosa via a spray catheter. Acetowhitening was observed and time to disappearance recorded. Targeted biopsies of any neoplasia and quadrantic 2-cm biopsies of residual Barrett's area were then taken. Histological findings were investigated in relation to duration of acetowhitening. RESULTS: 132 patients were examined. A receiver operating characteristic (ROC) curve was produced for identifying high risk neoplasia according to acetowhitening duration. The area under the curve (AUC) was 0.93 (0.89 - 0.97). Using a threshold of 142 seconds yielded a sensitivity for neoplasia of 98 % (95 % confidence interval [95 %CI] 89 % - 100 %) and specificity of 84 % (74 % - 91 %). The ROC curve for mucosal neoplasia (high grade dysplasia or intramucosal carcinoma) versus deep invasive cancer showed an AUC of 0.786 (0.61 - 0.96); a cutoff of 20 seconds yielded a sensitivity and specificity for invasive cancer of 67 % (35 % - 90 %) and 85 % (69 % - 95 %), respectively. CONCLUSION: The time to disappearance of acetowhitening can serve as a simple but very sensitive tool for the diagnosis of high risk neoplasia in Barrett's esophagus. It can be used to distinguish mucosal neoplasia from deep invasive cancer.", "author" : [ { "dropping-particle" : "", "family" : "Longcroft-Wheaton", "given" : "G.", "non-dropping-particle" : "", "parse-names" : false, "suffix" : "" }, { "dropping-particle" : "", "family" : "Brown", "given" : "J.", "non-dropping-particle" : "", "parse-names" : false, "suffix" : "" }, { "dropping-particle" : "", "family" : "Basford", "given" : "P.", "non-dropping-particle" : "", "parse-names" : false, "suffix" : "" }, { "dropping-particle" : "", "family" : "Cowlishaw", "given" : "D.", "non-dropping-particle" : "", "parse-names" : false, "suffix" : "" }, { "dropping-particle" : "", "family" : "Higgins", "given" : "B.", "non-dropping-particle" : "", "parse-names" : false, "suffix" : "" }, { "dropping-particle" : "", "family" : "Bhandari", "given" : "P.", "non-dropping-particle" : "", "parse-names" : false, "suffix" : "" } ], "container-title" : "Endoscopy", "id" : "ITEM-1", "issue" : "6", "issued" : { "date-parts" : [ [ "2013" ] ] }, "page" : "426-432", "title" : "Duration of acetowhitening as a novel objective tool for diagnosing high risk neoplasia in Barrett's esophagus: A prospective cohort trial", "type" : "article-journal", "volume" : "45" }, "uris" : [ "http://www.mendeley.com/documents/?uuid=0763e647-4203-4c0f-8120-350b428241f5" ] } ], "mendeley" : { "formattedCitation" : "&lt;sup&gt;[2]&lt;/sup&gt;", "plainTextFormattedCitation" : "[2]", "previouslyFormattedCitation" : "&lt;sup&gt;[2]&lt;/sup&gt;" }, "properties" : { "noteIndex" : 0 }, "schema" : "https://github.com/citation-style-language/schema/raw/master/csl-citation.json" }</w:instrText>
      </w:r>
      <w:r w:rsidR="0043220D">
        <w:rPr>
          <w:rFonts w:ascii="Book Antiqua" w:hAnsi="Book Antiqua"/>
          <w:lang w:val="en-US"/>
        </w:rPr>
        <w:fldChar w:fldCharType="separate"/>
      </w:r>
      <w:r w:rsidR="0043220D" w:rsidRPr="0043220D">
        <w:rPr>
          <w:rFonts w:ascii="Book Antiqua" w:hAnsi="Book Antiqua"/>
          <w:noProof/>
          <w:vertAlign w:val="superscript"/>
          <w:lang w:val="en-US"/>
        </w:rPr>
        <w:t>[2]</w:t>
      </w:r>
      <w:r w:rsidR="0043220D">
        <w:rPr>
          <w:rFonts w:ascii="Book Antiqua" w:hAnsi="Book Antiqua"/>
          <w:lang w:val="en-US"/>
        </w:rPr>
        <w:fldChar w:fldCharType="end"/>
      </w:r>
      <w:r w:rsidR="00633C1C">
        <w:rPr>
          <w:rFonts w:ascii="Book Antiqua" w:hAnsi="Book Antiqua"/>
          <w:lang w:val="en-US"/>
        </w:rPr>
        <w:t>.</w:t>
      </w:r>
      <w:r w:rsidR="004B73F4" w:rsidRPr="002075A3">
        <w:rPr>
          <w:rFonts w:ascii="Book Antiqua" w:hAnsi="Book Antiqua"/>
          <w:lang w:val="en-US"/>
        </w:rPr>
        <w:t xml:space="preserve"> It is well </w:t>
      </w:r>
      <w:r w:rsidR="00A875A2" w:rsidRPr="002075A3">
        <w:rPr>
          <w:rFonts w:ascii="Book Antiqua" w:hAnsi="Book Antiqua"/>
          <w:lang w:val="en-US"/>
        </w:rPr>
        <w:t>recognized</w:t>
      </w:r>
      <w:r w:rsidR="004B73F4" w:rsidRPr="002075A3">
        <w:rPr>
          <w:rFonts w:ascii="Book Antiqua" w:hAnsi="Book Antiqua"/>
          <w:lang w:val="en-US"/>
        </w:rPr>
        <w:t xml:space="preserve"> that Barrett’s esophagus </w:t>
      </w:r>
      <w:r w:rsidR="00B901BA" w:rsidRPr="002075A3">
        <w:rPr>
          <w:rFonts w:ascii="Book Antiqua" w:hAnsi="Book Antiqua"/>
          <w:lang w:val="en-US"/>
        </w:rPr>
        <w:t>(</w:t>
      </w:r>
      <w:r w:rsidR="00CE1019" w:rsidRPr="002075A3">
        <w:rPr>
          <w:rFonts w:ascii="Book Antiqua" w:hAnsi="Book Antiqua"/>
          <w:lang w:val="en-US"/>
        </w:rPr>
        <w:t>BE</w:t>
      </w:r>
      <w:r w:rsidR="00B901BA" w:rsidRPr="002075A3">
        <w:rPr>
          <w:rFonts w:ascii="Book Antiqua" w:hAnsi="Book Antiqua"/>
          <w:lang w:val="en-US"/>
        </w:rPr>
        <w:t xml:space="preserve">) </w:t>
      </w:r>
      <w:r w:rsidR="004B73F4" w:rsidRPr="002075A3">
        <w:rPr>
          <w:rFonts w:ascii="Book Antiqua" w:hAnsi="Book Antiqua"/>
          <w:lang w:val="en-US"/>
        </w:rPr>
        <w:t>is a significant risk factor for the development of esophageal adenocarcinoma</w:t>
      </w:r>
      <w:r w:rsidR="00D819FD" w:rsidRPr="002075A3">
        <w:rPr>
          <w:rFonts w:ascii="Book Antiqua" w:hAnsi="Book Antiqua"/>
          <w:lang w:val="en-US"/>
        </w:rPr>
        <w:t xml:space="preserve"> (E</w:t>
      </w:r>
      <w:r w:rsidR="00844446" w:rsidRPr="002075A3">
        <w:rPr>
          <w:rFonts w:ascii="Book Antiqua" w:hAnsi="Book Antiqua"/>
          <w:lang w:val="en-US"/>
        </w:rPr>
        <w:t>AC)</w:t>
      </w:r>
      <w:r w:rsidR="004B73F4" w:rsidRPr="002075A3">
        <w:rPr>
          <w:rFonts w:ascii="Book Antiqua" w:hAnsi="Book Antiqua"/>
          <w:lang w:val="en-US"/>
        </w:rPr>
        <w:t xml:space="preserve"> and is present in 1.6% of the general population</w:t>
      </w:r>
      <w:r w:rsidR="0043220D">
        <w:rPr>
          <w:rFonts w:ascii="Book Antiqua" w:hAnsi="Book Antiqua"/>
          <w:lang w:val="en-US"/>
        </w:rPr>
        <w:fldChar w:fldCharType="begin" w:fldLock="1"/>
      </w:r>
      <w:r w:rsidR="002E563B">
        <w:rPr>
          <w:rFonts w:ascii="Book Antiqua" w:hAnsi="Book Antiqua"/>
          <w:lang w:val="en-US"/>
        </w:rPr>
        <w:instrText>ADDIN CSL_CITATION { "citationItems" : [ { "id" : "ITEM-1", "itemData" : { "DOI" : "10.1053/j.gastro.2005.08.053", "ISBN" : "0016-5085 (Print)\\n0016-5085", "ISSN" : "00165085", "PMID" : "16344051", "abstract" : "Background &amp; Aims: Barrett's esophagus (BE) is associated with esophageal adenocarcinoma, the incidence of which has been increasing dramatically. The prevalence of BE in the general population is uncertain because upper endoscopy is required for diagnosis. This study aimed to determine the prevalence of BE and possible associated risk factors in an adult Swedish population. Methods: A random sample (n = 3000) of the adult population (n = 21,610) in 2 municipalities was surveyed using a validated gastrointestinal symptom questionnaire (response rate, 74%); a random subsample (n = 1000; mean age, 53.5 years; 51% female) underwent upper endoscopy. Endoscopic signs suggestive of columnar-lined esophagus (CLE) were defined as mucosal tongues or an upward shift of the squamocolumnar junction. BE was diagnosed when specialized intestinal metaplasia was detected histologically in suspected CLE. Results: BE was present in 16 subjects (1.6%; 95% confidence interval, 0.8-2.4): 5 with a long segment and 11 with a short segment. Overall, 40% reported reflux symptoms and 15.5% showed esophagitis; 103 (10%) had suspected CLE, and 12 (1.2%) had a visible segment \u22652 cm. The prevalence of BE in those with reflux symptoms was 2.3% and in those without reflux symptoms was 1.2% (P = .18). In those with esophagitis, the prevalence was 2.6%; in those without, the prevalence was 1.4% (P = .32). Alcohol (P = .04) and smoking (P = .047) were independent risk factors for BE. Conclusions: BE was found in 1.6% of the general Swedish population. Alcohol and smoking were significant risk factors. \u00a9 2005 by the American Gastroenterological Association.", "author" : [ { "dropping-particle" : "", "family" : "Ronkainen", "given" : "Jukka", "non-dropping-particle" : "", "parse-names" : false, "suffix" : "" }, { "dropping-particle" : "", "family" : "Aro", "given" : "Pertti", "non-dropping-particle" : "", "parse-names" : false, "suffix" : "" }, { "dropping-particle" : "", "family" : "Storskrubb", "given" : "Tom", "non-dropping-particle" : "", "parse-names" : false, "suffix" : "" }, { "dropping-particle" : "", "family" : "Johansson", "given" : "Sven Erik", "non-dropping-particle" : "", "parse-names" : false, "suffix" : "" }, { "dropping-particle" : "", "family" : "Lind", "given" : "Tore", "non-dropping-particle" : "", "parse-names" : false, "suffix" : "" }, { "dropping-particle" : "", "family" : "Bolling-Sternevald", "given" : "Elisabeth", "non-dropping-particle" : "", "parse-names" : false, "suffix" : "" }, { "dropping-particle" : "", "family" : "Vieth", "given" : "Michael", "non-dropping-particle" : "", "parse-names" : false, "suffix" : "" }, { "dropping-particle" : "", "family" : "Stolte", "given" : "Manfred", "non-dropping-particle" : "", "parse-names" : false, "suffix" : "" }, { "dropping-particle" : "", "family" : "Talley", "given" : "Nicholas J.", "non-dropping-particle" : "", "parse-names" : false, "suffix" : "" }, { "dropping-particle" : "", "family" : "Agr\u00e9us", "given" : "Lars", "non-dropping-particle" : "", "parse-names" : false, "suffix" : "" } ], "container-title" : "Gastroenterology", "id" : "ITEM-1", "issue" : "6", "issued" : { "date-parts" : [ [ "2005" ] ] }, "page" : "1825-1831", "title" : "Prevalence of Barrett's esophagus in the general population: An endoscopic study", "type" : "article-journal", "volume" : "129" }, "uris" : [ "http://www.mendeley.com/documents/?uuid=a2213f61-3dbc-4121-99e3-80591930f8ac" ] } ], "mendeley" : { "formattedCitation" : "&lt;sup&gt;[3]&lt;/sup&gt;", "plainTextFormattedCitation" : "[3]", "previouslyFormattedCitation" : "&lt;sup&gt;[3]&lt;/sup&gt;" }, "properties" : { "noteIndex" : 0 }, "schema" : "https://github.com/citation-style-language/schema/raw/master/csl-citation.json" }</w:instrText>
      </w:r>
      <w:r w:rsidR="0043220D">
        <w:rPr>
          <w:rFonts w:ascii="Book Antiqua" w:hAnsi="Book Antiqua"/>
          <w:lang w:val="en-US"/>
        </w:rPr>
        <w:fldChar w:fldCharType="separate"/>
      </w:r>
      <w:r w:rsidR="0043220D" w:rsidRPr="0043220D">
        <w:rPr>
          <w:rFonts w:ascii="Book Antiqua" w:hAnsi="Book Antiqua"/>
          <w:noProof/>
          <w:vertAlign w:val="superscript"/>
          <w:lang w:val="en-US"/>
        </w:rPr>
        <w:t>[3]</w:t>
      </w:r>
      <w:r w:rsidR="0043220D">
        <w:rPr>
          <w:rFonts w:ascii="Book Antiqua" w:hAnsi="Book Antiqua"/>
          <w:lang w:val="en-US"/>
        </w:rPr>
        <w:fldChar w:fldCharType="end"/>
      </w:r>
      <w:r w:rsidR="004B73F4" w:rsidRPr="002075A3">
        <w:rPr>
          <w:rFonts w:ascii="Book Antiqua" w:hAnsi="Book Antiqua"/>
          <w:lang w:val="en-US"/>
        </w:rPr>
        <w:t xml:space="preserve">  and in up to 20% of patients with </w:t>
      </w:r>
      <w:r w:rsidR="001D6175">
        <w:rPr>
          <w:rFonts w:ascii="Book Antiqua" w:hAnsi="Book Antiqua"/>
          <w:lang w:val="en-US"/>
        </w:rPr>
        <w:t xml:space="preserve">gastroesophageal </w:t>
      </w:r>
      <w:r w:rsidR="004B73F4" w:rsidRPr="002075A3">
        <w:rPr>
          <w:rFonts w:ascii="Book Antiqua" w:hAnsi="Book Antiqua"/>
          <w:lang w:val="en-US"/>
        </w:rPr>
        <w:t>reflux</w:t>
      </w:r>
      <w:r w:rsidR="002E563B">
        <w:rPr>
          <w:rFonts w:ascii="Book Antiqua" w:hAnsi="Book Antiqua"/>
          <w:lang w:val="en-US"/>
        </w:rPr>
        <w:fldChar w:fldCharType="begin" w:fldLock="1"/>
      </w:r>
      <w:r w:rsidR="008B67FD">
        <w:rPr>
          <w:rFonts w:ascii="Book Antiqua" w:hAnsi="Book Antiqua"/>
          <w:lang w:val="en-US"/>
        </w:rPr>
        <w:instrText>ADDIN CSL_CITATION { "citationItems" : [ { "id" : "ITEM-1", "itemData" : { "ISBN" : "0098-7484", "ISSN" : "0098-7484", "PMID" : "11960540", "abstract" : "Gastroesophageal reflux disease (GERD) is a risk factor for adenocarcinoma of the esophagus, a rare cancer whose incidence is increasing. Adenocarcinoma may develop from Barrett esophagus, a metaplastic change of the esophageal epithelium from squamous to intestinalized columnar mucosa, which is associated with chronic reflux. Some have recommended that patients with chronic reflux symptoms undergo upper endoscopy to assess for Barrett esophagus and to screen for cancer.", "author" : [ { "dropping-particle" : "", "family" : "Shaheen", "given" : "Nicholas", "non-dropping-particle" : "", "parse-names" : false, "suffix" : "" }, { "dropping-particle" : "", "family" : "Ransohoff", "given" : "David F", "non-dropping-particle" : "", "parse-names" : false, "suffix" : "" } ], "container-title" : "JAMA : the journal of the American Medical Association", "id" : "ITEM-1", "issue" : "15", "issued" : { "date-parts" : [ [ "2002" ] ] }, "page" : "1972-1981", "title" : "Gastroesophageal reflux, barrett esophagus, and esophageal cancer: scientific review.", "type" : "article-journal", "volume" : "287" }, "uris" : [ "http://www.mendeley.com/documents/?uuid=523d758a-9388-4f33-883c-c11ef520400e" ] } ], "mendeley" : { "formattedCitation" : "&lt;sup&gt;[4]&lt;/sup&gt;", "plainTextFormattedCitation" : "[4]", "previouslyFormattedCitation" : "&lt;sup&gt;[4]&lt;/sup&gt;" }, "properties" : { "noteIndex" : 0 }, "schema" : "https://github.com/citation-style-language/schema/raw/master/csl-citation.json" }</w:instrText>
      </w:r>
      <w:r w:rsidR="002E563B">
        <w:rPr>
          <w:rFonts w:ascii="Book Antiqua" w:hAnsi="Book Antiqua"/>
          <w:lang w:val="en-US"/>
        </w:rPr>
        <w:fldChar w:fldCharType="separate"/>
      </w:r>
      <w:r w:rsidR="002E563B" w:rsidRPr="002E563B">
        <w:rPr>
          <w:rFonts w:ascii="Book Antiqua" w:hAnsi="Book Antiqua"/>
          <w:noProof/>
          <w:vertAlign w:val="superscript"/>
          <w:lang w:val="en-US"/>
        </w:rPr>
        <w:t>[4]</w:t>
      </w:r>
      <w:r w:rsidR="002E563B">
        <w:rPr>
          <w:rFonts w:ascii="Book Antiqua" w:hAnsi="Book Antiqua"/>
          <w:lang w:val="en-US"/>
        </w:rPr>
        <w:fldChar w:fldCharType="end"/>
      </w:r>
      <w:r w:rsidR="00633C1C">
        <w:rPr>
          <w:rFonts w:ascii="Book Antiqua" w:hAnsi="Book Antiqua"/>
          <w:lang w:val="en-US"/>
        </w:rPr>
        <w:t>.</w:t>
      </w:r>
    </w:p>
    <w:p w14:paraId="228459E5" w14:textId="0AD45841" w:rsidR="009A28ED" w:rsidRPr="002075A3" w:rsidRDefault="00CE1019" w:rsidP="00E46EEA">
      <w:pPr>
        <w:spacing w:line="360" w:lineRule="auto"/>
        <w:ind w:firstLineChars="150" w:firstLine="360"/>
        <w:jc w:val="both"/>
        <w:rPr>
          <w:rFonts w:ascii="Book Antiqua" w:hAnsi="Book Antiqua"/>
          <w:lang w:val="en-US"/>
        </w:rPr>
      </w:pPr>
      <w:r w:rsidRPr="002075A3">
        <w:rPr>
          <w:rFonts w:ascii="Book Antiqua" w:hAnsi="Book Antiqua"/>
          <w:lang w:val="en-US"/>
        </w:rPr>
        <w:t>BE</w:t>
      </w:r>
      <w:r w:rsidR="00E40464" w:rsidRPr="002075A3">
        <w:rPr>
          <w:rFonts w:ascii="Book Antiqua" w:hAnsi="Book Antiqua"/>
          <w:lang w:val="en-US"/>
        </w:rPr>
        <w:t xml:space="preserve"> is defined as an esophagus in which any portion of the normal distal squamous epithelial lining has been replaced by metaplastic columnar epithelium, which is clearly visible endoscopically above the gastro-</w:t>
      </w:r>
      <w:r w:rsidR="00D819FD" w:rsidRPr="002075A3">
        <w:rPr>
          <w:rFonts w:ascii="Book Antiqua" w:hAnsi="Book Antiqua"/>
          <w:lang w:val="en-US"/>
        </w:rPr>
        <w:t>esophageal</w:t>
      </w:r>
      <w:r w:rsidR="00E40464" w:rsidRPr="002075A3">
        <w:rPr>
          <w:rFonts w:ascii="Book Antiqua" w:hAnsi="Book Antiqua"/>
          <w:lang w:val="en-US"/>
        </w:rPr>
        <w:t xml:space="preserve"> junction</w:t>
      </w:r>
      <w:bookmarkStart w:id="29" w:name="_Ref443807105"/>
      <w:r w:rsidR="008B67FD">
        <w:rPr>
          <w:rFonts w:ascii="Book Antiqua" w:hAnsi="Book Antiqua"/>
          <w:lang w:val="en-US"/>
        </w:rPr>
        <w:fldChar w:fldCharType="begin" w:fldLock="1"/>
      </w:r>
      <w:r w:rsidR="00D72F6E">
        <w:rPr>
          <w:rFonts w:ascii="Book Antiqua" w:hAnsi="Book Antiqua"/>
          <w:lang w:val="en-US"/>
        </w:rPr>
        <w:instrText>ADDIN CSL_CITATION { "citationItems" : [ { "id" : "ITEM-1", "itemData" : { "DOI" : "10.1136/gutjnl-2013-305372", "ISBN" : "1468-3288 (Electronic)\\r0017-5749 (Linking)", "ISSN" : "1468-3288", "PMID" : "24165758", "abstract" : "These guidelines provide a practical and evidence-based resource for the management of patients with Barrett's oesophagus and related early neoplasia. The Appraisal of Guidelines for Research and Evaluation (AGREE II) instrument was followed to provide a methodological strategy for the guideline development. A systematic review of the literature was performed for English language articles published up until December 2012 in order to address controversial issues in Barrett's oesophagus including definition, screening and diagnosis, surveillance, pathological grading for dysplasia, management of dysplasia, and early cancer including training requirements. The rigour and quality of the studies was evaluated using the SIGN checklist system. Recommendations on each topic were scored by each author using a five-tier system (A+, strong agreement, to D+, strongly disagree). Statements that failed to reach substantial agreement among authors, defined as &gt;80% agreement (A or A+), were revisited and modified until substantial agreement (&gt;80%) was reached. In formulating these guidelines, we took into consideration benefits and risks for the population and national health system, as well as patient perspectives. For the first time, we have suggested stratification of patients according to their estimated cancer risk based on clinical and histopathological criteria. In order to improve communication between clinicians, we recommend the use of minimum datasets for reporting endoscopic and pathological findings. We advocate endoscopic therapy for high-grade dysplasia and early cancer, which should be performed in high-volume centres. We hope that these guidelines will standardise and improve management for patients with Barrett's oesophagus and related neoplasia.", "author" : [ { "dropping-particle" : "", "family" : "Fitzgerald", "given" : "Rebecca C", "non-dropping-particle" : "", "parse-names" : false, "suffix" : "" }, { "dropping-particle" : "", "family" : "Pietro", "given" : "Massimiliano", "non-dropping-particle" : "di", "parse-names" : false, "suffix" : "" }, { "dropping-particle" : "", "family" : "Ragunath", "given" : "Krish", "non-dropping-particle" : "", "parse-names" : false, "suffix" : "" }, { "dropping-particle" : "", "family" : "Ang", "given" : "Yeng", "non-dropping-particle" : "", "parse-names" : false, "suffix" : "" }, { "dropping-particle" : "", "family" : "Kang", "given" : "Jin-Yong", "non-dropping-particle" : "", "parse-names" : false, "suffix" : "" }, { "dropping-particle" : "", "family" : "Watson", "given" : "Peter", "non-dropping-particle" : "", "parse-names" : false, "suffix" : "" }, { "dropping-particle" : "", "family" : "Trudgill", "given" : "Nigel", "non-dropping-particle" : "", "parse-names" : false, "suffix" : "" }, { "dropping-particle" : "", "family" : "Patel", "given" : "Praful", "non-dropping-particle" : "", "parse-names" : false, "suffix" : "" }, { "dropping-particle" : "V", "family" : "Kaye", "given" : "Philip", "non-dropping-particle" : "", "parse-names" : false, "suffix" : "" }, { "dropping-particle" : "", "family" : "Sanders", "given" : "Scott", "non-dropping-particle" : "", "parse-names" : false, "suffix" : "" }, { "dropping-particle" : "", "family" : "O'Donovan", "given" : "Maria", "non-dropping-particle" : "", "parse-names" : false, "suffix" : "" }, { "dropping-particle" : "", "family" : "Bird-Lieberman", "given" : "Elizabeth", "non-dropping-particle" : "", "parse-names" : false, "suffix" : "" }, { "dropping-particle" : "", "family" : "Bhandari", "given" : "Pradeep", "non-dropping-particle" : "", "parse-names" : false, "suffix" : "" }, { "dropping-particle" : "", "family" : "Jankowski", "given" : "Janusz a", "non-dropping-particle" : "", "parse-names" : false, "suffix" : "" }, { "dropping-particle" : "", "family" : "Attwood", "given" : "Stephen", "non-dropping-particle" : "", "parse-names" : false, "suffix" : "" }, { "dropping-particle" : "", "family" : "Parsons", "given" : "Simon L", "non-dropping-particle" : "", "parse-names" : false, "suffix" : "" }, { "dropping-particle" : "", "family" : "Loft", "given" : "Duncan", "non-dropping-particle" : "", "parse-names" : false, "suffix" : "" }, { "dropping-particle" : "", "family" : "Lagergren", "given" : "Jesper", "non-dropping-particle" : "", "parse-names" : false, "suffix" : "" }, { "dropping-particle" : "", "family" : "Moayyedi", "given" : "Paul", "non-dropping-particle" : "", "parse-names" : false, "suffix" : "" }, { "dropping-particle" : "", "family" : "Lyratzopoulos", "given" : "Georgios", "non-dropping-particle" : "", "parse-names" : false, "suffix" : "" }, { "dropping-particle" : "", "family" : "Caestecker", "given" : "John", "non-dropping-particle" : "de", "parse-names" : false, "suffix" : "" } ], "container-title" : "Gut", "id" : "ITEM-1", "issue" : "1", "issued" : { "date-parts" : [ [ "2014" ] ] }, "page" : "7-42", "title" : "British Society of Gastroenterology guidelines on the diagnosis and management of Barrett's oesophagus.", "type" : "article-journal", "volume" : "63" }, "uris" : [ "http://www.mendeley.com/documents/?uuid=2d43e7b2-b6b7-4923-b186-a078147e6796" ] } ], "mendeley" : { "formattedCitation" : "&lt;sup&gt;[5]&lt;/sup&gt;", "plainTextFormattedCitation" : "[5]", "previouslyFormattedCitation" : "&lt;sup&gt;[5]&lt;/sup&gt;" }, "properties" : { "noteIndex" : 0 }, "schema" : "https://github.com/citation-style-language/schema/raw/master/csl-citation.json" }</w:instrText>
      </w:r>
      <w:r w:rsidR="008B67FD">
        <w:rPr>
          <w:rFonts w:ascii="Book Antiqua" w:hAnsi="Book Antiqua"/>
          <w:lang w:val="en-US"/>
        </w:rPr>
        <w:fldChar w:fldCharType="separate"/>
      </w:r>
      <w:r w:rsidR="008B67FD" w:rsidRPr="008B67FD">
        <w:rPr>
          <w:rFonts w:ascii="Book Antiqua" w:hAnsi="Book Antiqua"/>
          <w:noProof/>
          <w:vertAlign w:val="superscript"/>
          <w:lang w:val="en-US"/>
        </w:rPr>
        <w:t>[5]</w:t>
      </w:r>
      <w:r w:rsidR="008B67FD">
        <w:rPr>
          <w:rFonts w:ascii="Book Antiqua" w:hAnsi="Book Antiqua"/>
          <w:lang w:val="en-US"/>
        </w:rPr>
        <w:fldChar w:fldCharType="end"/>
      </w:r>
      <w:bookmarkEnd w:id="29"/>
      <w:r w:rsidR="00E40464" w:rsidRPr="002075A3">
        <w:rPr>
          <w:rFonts w:ascii="Book Antiqua" w:hAnsi="Book Antiqua"/>
          <w:lang w:val="en-US"/>
        </w:rPr>
        <w:t xml:space="preserve">. It is universally </w:t>
      </w:r>
      <w:r w:rsidR="00A875A2" w:rsidRPr="002075A3">
        <w:rPr>
          <w:rFonts w:ascii="Book Antiqua" w:hAnsi="Book Antiqua"/>
          <w:lang w:val="en-US"/>
        </w:rPr>
        <w:t>recognized</w:t>
      </w:r>
      <w:r w:rsidR="00E40464" w:rsidRPr="002075A3">
        <w:rPr>
          <w:rFonts w:ascii="Book Antiqua" w:hAnsi="Book Antiqua"/>
          <w:lang w:val="en-US"/>
        </w:rPr>
        <w:t xml:space="preserve"> that the presence of intestinal metaplasia</w:t>
      </w:r>
      <w:r w:rsidR="0063446D" w:rsidRPr="002075A3">
        <w:rPr>
          <w:rFonts w:ascii="Book Antiqua" w:hAnsi="Book Antiqua"/>
          <w:lang w:val="en-US"/>
        </w:rPr>
        <w:t xml:space="preserve"> (IM)</w:t>
      </w:r>
      <w:r w:rsidR="00E40464" w:rsidRPr="002075A3">
        <w:rPr>
          <w:rFonts w:ascii="Book Antiqua" w:hAnsi="Book Antiqua"/>
          <w:lang w:val="en-US"/>
        </w:rPr>
        <w:t xml:space="preserve"> confers an increased risk of developing Barrett’s-related </w:t>
      </w:r>
      <w:r w:rsidR="00D819FD" w:rsidRPr="002075A3">
        <w:rPr>
          <w:rFonts w:ascii="Book Antiqua" w:hAnsi="Book Antiqua"/>
          <w:lang w:val="en-US"/>
        </w:rPr>
        <w:t>EAC</w:t>
      </w:r>
      <w:r w:rsidR="00E40464" w:rsidRPr="002075A3">
        <w:rPr>
          <w:rFonts w:ascii="Book Antiqua" w:hAnsi="Book Antiqua"/>
          <w:lang w:val="en-US"/>
        </w:rPr>
        <w:t xml:space="preserve"> and that </w:t>
      </w:r>
      <w:r w:rsidR="0063446D" w:rsidRPr="002075A3">
        <w:rPr>
          <w:rFonts w:ascii="Book Antiqua" w:hAnsi="Book Antiqua"/>
          <w:lang w:val="en-US"/>
        </w:rPr>
        <w:t>IM</w:t>
      </w:r>
      <w:r w:rsidR="00E40464" w:rsidRPr="002075A3">
        <w:rPr>
          <w:rFonts w:ascii="Book Antiqua" w:hAnsi="Book Antiqua"/>
          <w:lang w:val="en-US"/>
        </w:rPr>
        <w:t xml:space="preserve"> is present in the vast majority of long</w:t>
      </w:r>
      <w:r w:rsidR="008C5F11" w:rsidRPr="002075A3">
        <w:rPr>
          <w:rFonts w:ascii="Book Antiqua" w:hAnsi="Book Antiqua"/>
          <w:lang w:val="en-US"/>
        </w:rPr>
        <w:t>-</w:t>
      </w:r>
      <w:r w:rsidR="00E40464" w:rsidRPr="002075A3">
        <w:rPr>
          <w:rFonts w:ascii="Book Antiqua" w:hAnsi="Book Antiqua"/>
          <w:lang w:val="en-US"/>
        </w:rPr>
        <w:t>segment Barrett’s</w:t>
      </w:r>
      <w:r w:rsidR="00D72F6E">
        <w:rPr>
          <w:rFonts w:ascii="Book Antiqua" w:hAnsi="Book Antiqua"/>
          <w:lang w:val="en-US"/>
        </w:rPr>
        <w:fldChar w:fldCharType="begin" w:fldLock="1"/>
      </w:r>
      <w:r w:rsidR="00D72F6E">
        <w:rPr>
          <w:rFonts w:ascii="Book Antiqua" w:hAnsi="Book Antiqua"/>
          <w:lang w:val="en-US"/>
        </w:rPr>
        <w:instrText>ADDIN CSL_CITATION { "citationItems" : [ { "id" : "ITEM-1", "itemData" : { "DOI" : "10.1093/jnci/djr203", "ISBN" : "0027-8874", "ISSN" : "00278874", "PMID" : "21680910", "abstract" : "Barrett's esophagus (BE) is a premalignant lesion that predisposes to esophageal adenocarcinoma. However, the reported incidence of esophageal adenocarcinoma in patients with BE varies widely. We examined the risk of malignant progression in patients with BE using data from the Northern Ireland Barrett's esophagus Register (NIBR), one of the largest population-based registries of BE worldwide, which includes every adult diagnosed with BE in Northern Ireland between 1993 and 2005. Subjects and", "author" : [ { "dropping-particle" : "", "family" : "Bhat", "given" : "Shivaram", "non-dropping-particle" : "", "parse-names" : false, "suffix" : "" }, { "dropping-particle" : "", "family" : "Coleman", "given" : "Helen G.", "non-dropping-particle" : "", "parse-names" : false, "suffix" : "" }, { "dropping-particle" : "", "family" : "Yousef", "given" : "Fouad", "non-dropping-particle" : "", "parse-names" : false, "suffix" : "" }, { "dropping-particle" : "", "family" : "Johnston", "given" : "Brian T.", "non-dropping-particle" : "", "parse-names" : false, "suffix" : "" }, { "dropping-particle" : "", "family" : "McManus", "given" : "Damian T.", "non-dropping-particle" : "", "parse-names" : false, "suffix" : "" }, { "dropping-particle" : "", "family" : "Gavin", "given" : "Anna T.", "non-dropping-particle" : "", "parse-names" : false, "suffix" : "" }, { "dropping-particle" : "", "family" : "Murray", "given" : "Liam J.", "non-dropping-particle" : "", "parse-names" : false, "suffix" : "" } ], "container-title" : "Journal of the National Cancer Institute", "id" : "ITEM-1", "issue" : "13", "issued" : { "date-parts" : [ [ "2011" ] ] }, "page" : "1049-1057", "title" : "Risk of malignant progression in Barrett's Esophagus patients: Results from a large population-based study", "type" : "article-journal", "volume" : "103" }, "uris" : [ "http://www.mendeley.com/documents/?uuid=43930da5-40cb-457d-a631-dfafd721f852" ] } ], "mendeley" : { "formattedCitation" : "&lt;sup&gt;[6]&lt;/sup&gt;", "plainTextFormattedCitation" : "[6]", "previouslyFormattedCitation" : "&lt;sup&gt;[6]&lt;/sup&gt;" }, "properties" : { "noteIndex" : 0 }, "schema" : "https://github.com/citation-style-language/schema/raw/master/csl-citation.json" }</w:instrText>
      </w:r>
      <w:r w:rsidR="00D72F6E">
        <w:rPr>
          <w:rFonts w:ascii="Book Antiqua" w:hAnsi="Book Antiqua"/>
          <w:lang w:val="en-US"/>
        </w:rPr>
        <w:fldChar w:fldCharType="separate"/>
      </w:r>
      <w:r w:rsidR="00D72F6E" w:rsidRPr="00D72F6E">
        <w:rPr>
          <w:rFonts w:ascii="Book Antiqua" w:hAnsi="Book Antiqua"/>
          <w:noProof/>
          <w:vertAlign w:val="superscript"/>
          <w:lang w:val="en-US"/>
        </w:rPr>
        <w:t>[6]</w:t>
      </w:r>
      <w:r w:rsidR="00D72F6E">
        <w:rPr>
          <w:rFonts w:ascii="Book Antiqua" w:hAnsi="Book Antiqua"/>
          <w:lang w:val="en-US"/>
        </w:rPr>
        <w:fldChar w:fldCharType="end"/>
      </w:r>
      <w:r w:rsidR="00DD097B" w:rsidRPr="002075A3">
        <w:rPr>
          <w:rFonts w:ascii="Book Antiqua" w:hAnsi="Book Antiqua"/>
          <w:lang w:val="en-US"/>
        </w:rPr>
        <w:t>.</w:t>
      </w:r>
      <w:r w:rsidR="001006E6" w:rsidRPr="002075A3">
        <w:rPr>
          <w:rFonts w:ascii="Book Antiqua" w:hAnsi="Book Antiqua"/>
          <w:lang w:val="en-US"/>
        </w:rPr>
        <w:t xml:space="preserve"> The development of Barrett’s </w:t>
      </w:r>
      <w:r w:rsidR="00D819FD" w:rsidRPr="002075A3">
        <w:rPr>
          <w:rFonts w:ascii="Book Antiqua" w:hAnsi="Book Antiqua"/>
          <w:lang w:val="en-US"/>
        </w:rPr>
        <w:t>EAC</w:t>
      </w:r>
      <w:r w:rsidR="008C5F11" w:rsidRPr="002075A3">
        <w:rPr>
          <w:rFonts w:ascii="Book Antiqua" w:hAnsi="Book Antiqua"/>
          <w:lang w:val="en-US"/>
        </w:rPr>
        <w:t xml:space="preserve"> </w:t>
      </w:r>
      <w:r w:rsidR="001006E6" w:rsidRPr="002075A3">
        <w:rPr>
          <w:rFonts w:ascii="Book Antiqua" w:hAnsi="Book Antiqua"/>
          <w:lang w:val="en-US"/>
        </w:rPr>
        <w:t xml:space="preserve">is postulated to occur in a progressive fashion from </w:t>
      </w:r>
      <w:r w:rsidR="0063446D" w:rsidRPr="002075A3">
        <w:rPr>
          <w:rFonts w:ascii="Book Antiqua" w:hAnsi="Book Antiqua"/>
          <w:lang w:val="en-US"/>
        </w:rPr>
        <w:t>IM</w:t>
      </w:r>
      <w:r w:rsidR="001006E6" w:rsidRPr="002075A3">
        <w:rPr>
          <w:rFonts w:ascii="Book Antiqua" w:hAnsi="Book Antiqua"/>
          <w:lang w:val="en-US"/>
        </w:rPr>
        <w:t xml:space="preserve"> to low grade dysplasia </w:t>
      </w:r>
      <w:r w:rsidR="0063446D" w:rsidRPr="002075A3">
        <w:rPr>
          <w:rFonts w:ascii="Book Antiqua" w:hAnsi="Book Antiqua"/>
          <w:lang w:val="en-US"/>
        </w:rPr>
        <w:t xml:space="preserve">(LGD) </w:t>
      </w:r>
      <w:r w:rsidR="001006E6" w:rsidRPr="002075A3">
        <w:rPr>
          <w:rFonts w:ascii="Book Antiqua" w:hAnsi="Book Antiqua"/>
          <w:lang w:val="en-US"/>
        </w:rPr>
        <w:t xml:space="preserve">to high grade dysplasia </w:t>
      </w:r>
      <w:r w:rsidR="00844446" w:rsidRPr="002075A3">
        <w:rPr>
          <w:rFonts w:ascii="Book Antiqua" w:hAnsi="Book Antiqua"/>
          <w:lang w:val="en-US"/>
        </w:rPr>
        <w:t xml:space="preserve">(HGD) </w:t>
      </w:r>
      <w:r w:rsidR="001006E6" w:rsidRPr="002075A3">
        <w:rPr>
          <w:rFonts w:ascii="Book Antiqua" w:hAnsi="Book Antiqua"/>
          <w:lang w:val="en-US"/>
        </w:rPr>
        <w:t xml:space="preserve">and then </w:t>
      </w:r>
      <w:r w:rsidR="00D819FD" w:rsidRPr="002075A3">
        <w:rPr>
          <w:rFonts w:ascii="Book Antiqua" w:hAnsi="Book Antiqua"/>
          <w:lang w:val="en-US"/>
        </w:rPr>
        <w:t>EAC</w:t>
      </w:r>
      <w:r w:rsidR="001006E6" w:rsidRPr="002075A3">
        <w:rPr>
          <w:rFonts w:ascii="Book Antiqua" w:hAnsi="Book Antiqua"/>
          <w:lang w:val="en-US"/>
        </w:rPr>
        <w:t xml:space="preserve">. The annual rate of transformation into </w:t>
      </w:r>
      <w:r w:rsidR="00D819FD" w:rsidRPr="002075A3">
        <w:rPr>
          <w:rFonts w:ascii="Book Antiqua" w:hAnsi="Book Antiqua"/>
          <w:lang w:val="en-US"/>
        </w:rPr>
        <w:t>EAC</w:t>
      </w:r>
      <w:r w:rsidR="001006E6" w:rsidRPr="002075A3">
        <w:rPr>
          <w:rFonts w:ascii="Book Antiqua" w:hAnsi="Book Antiqua"/>
          <w:lang w:val="en-US"/>
        </w:rPr>
        <w:t xml:space="preserve"> in patients with non-dysplastic </w:t>
      </w:r>
      <w:r w:rsidRPr="002075A3">
        <w:rPr>
          <w:rFonts w:ascii="Book Antiqua" w:hAnsi="Book Antiqua"/>
          <w:lang w:val="en-US"/>
        </w:rPr>
        <w:t>BE</w:t>
      </w:r>
      <w:r w:rsidR="001006E6" w:rsidRPr="002075A3">
        <w:rPr>
          <w:rFonts w:ascii="Book Antiqua" w:hAnsi="Book Antiqua"/>
          <w:lang w:val="en-US"/>
        </w:rPr>
        <w:t xml:space="preserve"> is estimated to be between 0.07% and 0.82%</w:t>
      </w:r>
      <w:r w:rsidR="00D72F6E">
        <w:rPr>
          <w:rFonts w:ascii="Book Antiqua" w:hAnsi="Book Antiqua"/>
          <w:lang w:val="en-US"/>
        </w:rPr>
        <w:fldChar w:fldCharType="begin" w:fldLock="1"/>
      </w:r>
      <w:r w:rsidR="00D72F6E">
        <w:rPr>
          <w:rFonts w:ascii="Book Antiqua" w:hAnsi="Book Antiqua"/>
          <w:lang w:val="en-US"/>
        </w:rPr>
        <w:instrText>ADDIN CSL_CITATION { "citationItems" : [ { "id" : "ITEM-1", "itemData" : { "DOI" : "10.1136/gutjnl-2013-305490", "ISBN" : "1468-3288 (Electronic)\\r0017-5749 (Linking)", "ISSN" : "1468-3288", "PMID" : "24092861", "abstract" : "Although endoscopic surveillance of patients with Barrett's oesophagus has been widely implemented, its effectiveness is debateable. The recently reported low annual oesophageal adenocarcinoma risk in population studies, the failure to identify most Barrett's patients at risk of disease progression, the poor adherence to surveillance and biopsy protocols, and the significant risk of misclassification of dysplasia all tend to undermine the effectiveness of current management, in particular, endoscopic surveillance programmes, to prevent or improve the outcomes of patients with oesophageal adenocarcinoma. The ongoing increase in incidence of Barrett's oesophagus and consequent growth of the surveillance population, together with the associated discomfort and costs of endoscopic surveillance, demand improved techniques for accurately determining individual risk of oesophageal adenocarcinoma. More accurate techniques are needed to run efficient surveillance programmes in the coming decades. In this review, we will discuss the current knowledge on the epidemiology of Barrett's oesophagus, and the challenging epidemiological dilemmas that need to be addressed when assessing the current screening and surveillance strategies.", "author" : [ { "dropping-particle" : "", "family" : "Jonge", "given" : "Pieter Jan F", "non-dropping-particle" : "de", "parse-names" : false, "suffix" : "" }, { "dropping-particle" : "", "family" : "Blankenstein", "given" : "Mark", "non-dropping-particle" : "van", "parse-names" : false, "suffix" : "" }, { "dropping-particle" : "", "family" : "Grady", "given" : "William M", "non-dropping-particle" : "", "parse-names" : false, "suffix" : "" }, { "dropping-particle" : "", "family" : "Kuipers", "given" : "Ernst J", "non-dropping-particle" : "", "parse-names" : false, "suffix" : "" } ], "container-title" : "Gut", "id" : "ITEM-1", "issue" : "1", "issued" : { "date-parts" : [ [ "2014" ] ] }, "page" : "191-202", "title" : "Barrett's oesophagus: epidemiology, cancer risk and implications for management.", "type" : "article-journal", "volume" : "63" }, "uris" : [ "http://www.mendeley.com/documents/?uuid=8ac0df5c-6407-4055-a8b2-b697a1ef79d2" ] } ], "mendeley" : { "formattedCitation" : "&lt;sup&gt;[7]&lt;/sup&gt;", "plainTextFormattedCitation" : "[7]", "previouslyFormattedCitation" : "&lt;sup&gt;[7]&lt;/sup&gt;" }, "properties" : { "noteIndex" : 0 }, "schema" : "https://github.com/citation-style-language/schema/raw/master/csl-citation.json" }</w:instrText>
      </w:r>
      <w:r w:rsidR="00D72F6E">
        <w:rPr>
          <w:rFonts w:ascii="Book Antiqua" w:hAnsi="Book Antiqua"/>
          <w:lang w:val="en-US"/>
        </w:rPr>
        <w:fldChar w:fldCharType="separate"/>
      </w:r>
      <w:r w:rsidR="00D72F6E" w:rsidRPr="00D72F6E">
        <w:rPr>
          <w:rFonts w:ascii="Book Antiqua" w:hAnsi="Book Antiqua"/>
          <w:noProof/>
          <w:vertAlign w:val="superscript"/>
          <w:lang w:val="en-US"/>
        </w:rPr>
        <w:t>[7</w:t>
      </w:r>
      <w:r w:rsidR="008E67F7">
        <w:rPr>
          <w:rFonts w:ascii="Book Antiqua" w:hAnsi="Book Antiqua" w:hint="eastAsia"/>
          <w:noProof/>
          <w:vertAlign w:val="superscript"/>
          <w:lang w:val="en-US" w:eastAsia="zh-CN"/>
        </w:rPr>
        <w:t>-9</w:t>
      </w:r>
      <w:r w:rsidR="00D72F6E" w:rsidRPr="00D72F6E">
        <w:rPr>
          <w:rFonts w:ascii="Book Antiqua" w:hAnsi="Book Antiqua"/>
          <w:noProof/>
          <w:vertAlign w:val="superscript"/>
          <w:lang w:val="en-US"/>
        </w:rPr>
        <w:t>]</w:t>
      </w:r>
      <w:r w:rsidR="00D72F6E">
        <w:rPr>
          <w:rFonts w:ascii="Book Antiqua" w:hAnsi="Book Antiqua"/>
          <w:lang w:val="en-US"/>
        </w:rPr>
        <w:fldChar w:fldCharType="end"/>
      </w:r>
      <w:r w:rsidR="00D72F6E" w:rsidRPr="00633C1C" w:rsidDel="00D72F6E">
        <w:rPr>
          <w:rStyle w:val="EndnoteReference"/>
          <w:rFonts w:ascii="Book Antiqua" w:hAnsi="Book Antiqua"/>
          <w:lang w:val="en-US"/>
        </w:rPr>
        <w:t xml:space="preserve"> </w:t>
      </w:r>
      <w:r w:rsidR="001006E6" w:rsidRPr="002075A3">
        <w:rPr>
          <w:rFonts w:ascii="Book Antiqua" w:hAnsi="Book Antiqua"/>
          <w:lang w:val="en-US"/>
        </w:rPr>
        <w:t xml:space="preserve">. </w:t>
      </w:r>
      <w:r w:rsidR="008E67F7">
        <w:rPr>
          <w:rFonts w:ascii="Book Antiqua" w:hAnsi="Book Antiqua" w:hint="eastAsia"/>
          <w:lang w:val="en-US" w:eastAsia="zh-CN"/>
        </w:rPr>
        <w:t xml:space="preserve">    </w:t>
      </w:r>
      <w:r w:rsidR="001006E6" w:rsidRPr="002075A3">
        <w:rPr>
          <w:rFonts w:ascii="Book Antiqua" w:hAnsi="Book Antiqua"/>
          <w:lang w:val="en-US"/>
        </w:rPr>
        <w:t xml:space="preserve">However, the annual rate of progression from </w:t>
      </w:r>
      <w:r w:rsidR="008C5F11" w:rsidRPr="002075A3">
        <w:rPr>
          <w:rFonts w:ascii="Book Antiqua" w:hAnsi="Book Antiqua"/>
          <w:lang w:val="en-US"/>
        </w:rPr>
        <w:t xml:space="preserve">LGD </w:t>
      </w:r>
      <w:r w:rsidR="001006E6" w:rsidRPr="002075A3">
        <w:rPr>
          <w:rFonts w:ascii="Book Antiqua" w:hAnsi="Book Antiqua"/>
          <w:lang w:val="en-US"/>
        </w:rPr>
        <w:t xml:space="preserve">to </w:t>
      </w:r>
      <w:r w:rsidR="009869D2" w:rsidRPr="002075A3">
        <w:rPr>
          <w:rFonts w:ascii="Book Antiqua" w:hAnsi="Book Antiqua"/>
          <w:lang w:val="en-US"/>
        </w:rPr>
        <w:t xml:space="preserve">HGD or </w:t>
      </w:r>
      <w:r w:rsidR="00D819FD" w:rsidRPr="002075A3">
        <w:rPr>
          <w:rFonts w:ascii="Book Antiqua" w:hAnsi="Book Antiqua"/>
          <w:lang w:val="en-US"/>
        </w:rPr>
        <w:t>EAC</w:t>
      </w:r>
      <w:r w:rsidR="00FC5244">
        <w:rPr>
          <w:rFonts w:ascii="Book Antiqua" w:hAnsi="Book Antiqua"/>
          <w:lang w:val="en-US"/>
        </w:rPr>
        <w:t xml:space="preserve"> is as high as 8.8% as demonstrated by the recent SURF trial</w:t>
      </w:r>
      <w:r w:rsidR="00D72F6E">
        <w:rPr>
          <w:rFonts w:ascii="Book Antiqua" w:hAnsi="Book Antiqua"/>
          <w:lang w:val="en-US"/>
        </w:rPr>
        <w:fldChar w:fldCharType="begin" w:fldLock="1"/>
      </w:r>
      <w:r w:rsidR="007D05A6">
        <w:rPr>
          <w:rFonts w:ascii="Book Antiqua" w:hAnsi="Book Antiqua"/>
          <w:lang w:val="en-US"/>
        </w:rPr>
        <w:instrText>ADDIN CSL_CITATION { "citationItems" : [ { "id" : "ITEM-1", "itemData" : { "DOI" : "10.1001/jama.2014.2511", "ISSN" : "0098-7484", "PMID" : "24668102", "abstract" : "IMPORTANCE: Barrett esophagus containing low-grade dysplasia is associated with an increased risk of developing esophageal adenocarcinoma, a cancer with a rapidly increasing incidence in the western world. OBJECTIVE: To investigate whether endoscopic radiofrequency ablation could decrease the rate of neoplastic progression. DESIGN, SETTING, AND PARTICIPANTS: Multicenter randomized clinical trial that enrolled 136 patients with a confirmed diagnosis of Barrett esophagus containing low-grade dysplasia at 9 European sites between June 2007 and June 2011. Patient follow-up ended May 2013. INTERVENTIONS: Eligible patients were randomly assigned in a 1:1 ratio to either endoscopic treatment with radiofrequency ablation (ablation) or endoscopic surveillance (control). Ablation was performed with the balloon device for circumferential ablation of the esophagus or the focal device for targeted ablation, with a maximum of 5 sessions allowed. MAIN OUTCOMES AND MEASURES: The primary outcome was neoplastic progression to high-grade dysplasia or adenocarcinoma during a 3-year follow-up since randomization. Secondary outcomes were complete eradication of dysplasia and intestinal metaplasia and adverse events. RESULTS: Sixty-eight patients were randomized to receive ablation and 68 to receive control. Ablation reduced the risk of progression to high-grade dysplasia or adenocarcinoma by 25.0% (1.5% for ablation vs 26.5% for control; 95% CI, 14.1%-35.9%; P &lt; .001) and the risk of progression to adenocarcinoma by 7.4% (1.5% for ablation vs 8.8% for control; 95% CI, 0%-14.7%; P = .03). Among patients in the ablation group, complete eradication occurred in 92.6% for dysplasia and 88.2% for intestinal metaplasia compared with 27.9% for dysplasia and 0.0% for intestinal metaplasia among patients in the control group (P &lt; .001). Treatment-related adverse events occurred in 19.1% of patients receiving ablation (P &lt; .001). The most common adverse event was stricture, occurring in 8 patients receiving ablation (11.8%), all resolved by endoscopic dilation (median, 1 session). The data and safety monitoring board recommended early termination of the trial due to superiority of ablation for the primary outcome and the potential for patient safety issues if the trial continued. CONCLUSIONS AND RELEVANCE: In this randomized trial of patients with Barrett esophagus and a confirmed diagnosis of low-grade dysplasia, radiofrequency ablation resulted in a reduced risk of neoplastic progres\u2026", "author" : [ { "dropping-particle" : "", "family" : "Phoa", "given" : "K. Nadine", "non-dropping-particle" : "", "parse-names" : false, "suffix" : "" }, { "dropping-particle" : "", "family" : "Vilsteren", "given" : "Frederike G. I.", "non-dropping-particle" : "van", "parse-names" : false, "suffix" : "" }, { "dropping-particle" : "", "family" : "Weusten", "given" : "Bas L. a. M.", "non-dropping-particle" : "", "parse-names" : false, "suffix" : "" }, { "dropping-particle" : "", "family" : "Bisschops", "given" : "Raf", "non-dropping-particle" : "", "parse-names" : false, "suffix" : "" }, { "dropping-particle" : "", "family" : "Schoon", "given" : "Erik J.", "non-dropping-particle" : "", "parse-names" : false, "suffix" : "" }, { "dropping-particle" : "", "family" : "Ragunath", "given" : "Krish", "non-dropping-particle" : "", "parse-names" : false, "suffix" : "" }, { "dropping-particle" : "", "family" : "Fullarton", "given" : "Grant", "non-dropping-particle" : "", "parse-names" : false, "suffix" : "" }, { "dropping-particle" : "", "family" : "Pietro", "given" : "Massimiliano", "non-dropping-particle" : "Di", "parse-names" : false, "suffix" : "" }, { "dropping-particle" : "", "family" : "Ravi", "given" : "Narayanasamy", "non-dropping-particle" : "", "parse-names" : false, "suffix" : "" }, { "dropping-particle" : "", "family" : "Visser", "given" : "Mike", "non-dropping-particle" : "", "parse-names" : false, "suffix" : "" }, { "dropping-particle" : "", "family" : "Offerhaus", "given" : "G. Johan", "non-dropping-particle" : "", "parse-names" : false, "suffix" : "" }, { "dropping-particle" : "", "family" : "Seldenrijk", "given" : "Cees a.", "non-dropping-particle" : "", "parse-names" : false, "suffix" : "" }, { "dropping-particle" : "", "family" : "Meijer", "given" : "Sybren L.", "non-dropping-particle" : "", "parse-names" : false, "suffix" : "" }, { "dropping-particle" : "", "family" : "Kate", "given" : "Fiebo J. W.", "non-dropping-particle" : "ten", "parse-names" : false, "suffix" : "" }, { "dropping-particle" : "", "family" : "Tijssen", "given" : "Jan G. P.", "non-dropping-particle" : "", "parse-names" : false, "suffix" : "" }, { "dropping-particle" : "", "family" : "Bergman", "given" : "Jacques J. G. H. M.", "non-dropping-particle" : "", "parse-names" : false, "suffix" : "" } ], "container-title" : "Jama", "id" : "ITEM-1", "issue" : "12", "issued" : { "date-parts" : [ [ "2014" ] ] }, "page" : "1209", "title" : "Radiofrequency Ablation vs Endoscopic Surveillance for Patients With Barrett Esophagus and Low-Grade Dysplasia", "type" : "article-journal", "volume" : "311" }, "uris" : [ "http://www.mendeley.com/documents/?uuid=61340fa2-a3bf-40ef-bae0-bf6eaafe0dcb" ] } ], "mendeley" : { "formattedCitation" : "&lt;sup&gt;[10]&lt;/sup&gt;", "plainTextFormattedCitation" : "[10]", "previouslyFormattedCitation" : "&lt;sup&gt;[10]&lt;/sup&gt;" }, "properties" : { "noteIndex" : 0 }, "schema" : "https://github.com/citation-style-language/schema/raw/master/csl-citation.json" }</w:instrText>
      </w:r>
      <w:r w:rsidR="00D72F6E">
        <w:rPr>
          <w:rFonts w:ascii="Book Antiqua" w:hAnsi="Book Antiqua"/>
          <w:lang w:val="en-US"/>
        </w:rPr>
        <w:fldChar w:fldCharType="separate"/>
      </w:r>
      <w:r w:rsidR="00D72F6E" w:rsidRPr="00D72F6E">
        <w:rPr>
          <w:rFonts w:ascii="Book Antiqua" w:hAnsi="Book Antiqua"/>
          <w:noProof/>
          <w:vertAlign w:val="superscript"/>
          <w:lang w:val="en-US"/>
        </w:rPr>
        <w:t>[10]</w:t>
      </w:r>
      <w:r w:rsidR="00D72F6E">
        <w:rPr>
          <w:rFonts w:ascii="Book Antiqua" w:hAnsi="Book Antiqua"/>
          <w:lang w:val="en-US"/>
        </w:rPr>
        <w:fldChar w:fldCharType="end"/>
      </w:r>
      <w:r w:rsidR="00EF017D">
        <w:rPr>
          <w:rFonts w:ascii="Book Antiqua" w:hAnsi="Book Antiqua"/>
          <w:lang w:val="en-US"/>
        </w:rPr>
        <w:t xml:space="preserve"> </w:t>
      </w:r>
      <w:r w:rsidR="001006E6" w:rsidRPr="002075A3">
        <w:rPr>
          <w:rFonts w:ascii="Book Antiqua" w:hAnsi="Book Antiqua"/>
          <w:lang w:val="en-US"/>
        </w:rPr>
        <w:t xml:space="preserve">and from HGD to </w:t>
      </w:r>
      <w:r w:rsidR="00D819FD" w:rsidRPr="002075A3">
        <w:rPr>
          <w:rFonts w:ascii="Book Antiqua" w:hAnsi="Book Antiqua"/>
          <w:lang w:val="en-US"/>
        </w:rPr>
        <w:t>EAC</w:t>
      </w:r>
      <w:r w:rsidR="001006E6" w:rsidRPr="002075A3">
        <w:rPr>
          <w:rFonts w:ascii="Book Antiqua" w:hAnsi="Book Antiqua"/>
          <w:lang w:val="en-US"/>
        </w:rPr>
        <w:t xml:space="preserve"> is 12% to 40%</w:t>
      </w:r>
      <w:r w:rsidR="007D05A6">
        <w:rPr>
          <w:rFonts w:ascii="Book Antiqua" w:hAnsi="Book Antiqua"/>
          <w:lang w:val="en-US"/>
        </w:rPr>
        <w:fldChar w:fldCharType="begin" w:fldLock="1"/>
      </w:r>
      <w:r w:rsidR="007D05A6">
        <w:rPr>
          <w:rFonts w:ascii="Book Antiqua" w:hAnsi="Book Antiqua"/>
          <w:lang w:val="en-US"/>
        </w:rPr>
        <w:instrText>ADDIN CSL_CITATION { "citationItems" : [ { "id" : "ITEM-1", "itemData" : { "DOI" : "10.1016/j.cgh.2007.09.013", "ISBN" : "1542-7714 (Electronic)\\r1542-3565 (Linking)", "ISSN" : "15423565", "PMID" : "18096439", "abstract" : "Background &amp; Aims: Recent studies have claimed long neoplasia-free survival rates with endoscopic mucosal resection of high-grade dysplasia (HGD) in Barrett's esophagus (BE). However, reports have contended that approximately 40% of patients who have esophagectomy for HGD have occult invasive cancer. The aim of this study was to use explicit criteria to determine the true prevalence of invasive adenocarcinoma in reports of patients who had esophagectomy for HGD in BE. Methods: Studies reporting rates of esophageal cancer in patients who underwent esophagectomy for HGD in BE were gathered using MEDLINE and PUBMED. We defined invasive esophageal adenocarcinoma (IEAC) as tumor with submucosal invasion or beyond. Intramucosal carcinoma (IMC) was not considered IEAC. Results: Twenty-three articles were selected for analysis. Most investigators reported rates of invasive cancer in the esophagectomy specimen, and the pooled average was 39.9% among the 441 patients who underwent an esophagectomy for HGD. Reported rates varied from 0% to 73%. A total of 267 patients had American Joint Committee on Cancer stage 0 postoperatively, 132 patients had stage I, 23 patients had stage IIa, 10 patients had stage IIb, and 9 patients had stage III. Fourteen studies provided differentiation between intramucosal and submucosal invasion. Among 213 patients, only 12.7% had IEAC, whereas 87.3% had HGD or IMC. The IEAC rate of 11% among patients with visible lesions is greater than the rate of 3% among patients with no visible lesion. Conclusions: By using strict pathologic definitions of invasive disease, the present study indicates the true prevalence of IEAC in BE and HGD may have been overestimated significantly. Separating IMC from IEAC is clinically relevant because endoscopic techniques potentially may treat IMC. ?? 2008 AGA Institute.", "author" : [ { "dropping-particle" : "", "family" : "Konda", "given" : "Vani J A", "non-dropping-particle" : "", "parse-names" : false, "suffix" : "" }, { "dropping-particle" : "", "family" : "Ross", "given" : "Andrew S.", "non-dropping-particle" : "", "parse-names" : false, "suffix" : "" }, { "dropping-particle" : "", "family" : "Ferguson", "given" : "Mark K.", "non-dropping-particle" : "", "parse-names" : false, "suffix" : "" }, { "dropping-particle" : "", "family" : "Hart", "given" : "John A.", "non-dropping-particle" : "", "parse-names" : false, "suffix" : "" }, { "dropping-particle" : "", "family" : "Lin", "given" : "Shang", "non-dropping-particle" : "", "parse-names" : false, "suffix" : "" }, { "dropping-particle" : "", "family" : "Naylor", "given" : "Keith", "non-dropping-particle" : "", "parse-names" : false, "suffix" : "" }, { "dropping-particle" : "", "family" : "Noffsinger", "given" : "Amy", "non-dropping-particle" : "", "parse-names" : false, "suffix" : "" }, { "dropping-particle" : "", "family" : "Posner", "given" : "Mitchell C.", "non-dropping-particle" : "", "parse-names" : false, "suffix" : "" }, { "dropping-particle" : "", "family" : "Dye", "given" : "Charles", "non-dropping-particle" : "", "parse-names" : false, "suffix" : "" }, { "dropping-particle" : "", "family" : "Cislo", "given" : "Barbara", "non-dropping-particle" : "", "parse-names" : false, "suffix" : "" }, { "dropping-particle" : "", "family" : "Stearns", "given" : "Lynne", "non-dropping-particle" : "", "parse-names" : false, "suffix" : "" }, { "dropping-particle" : "", "family" : "Waxman", "given" : "Irving", "non-dropping-particle" : "", "parse-names" : false, "suffix" : "" } ], "container-title" : "Clinical Gastroenterology and Hepatology", "id" : "ITEM-1", "issue" : "2", "issued" : { "date-parts" : [ [ "2008" ] ] }, "page" : "159-164", "title" : "Is the Risk of Concomitant Invasive Esophageal Cancer in High-Grade Dysplasia in Barrett's Esophagus Overestimated?", "type" : "article-journal", "volume" : "6" }, "uris" : [ "http://www.mendeley.com/documents/?uuid=aa1f06b5-7871-4b8e-9b9f-88592d7ee1c9" ] } ], "mendeley" : { "formattedCitation" : "&lt;sup&gt;[11]&lt;/sup&gt;", "plainTextFormattedCitation" : "[11]", "previouslyFormattedCitation" : "&lt;sup&gt;[11]&lt;/sup&gt;" }, "properties" : { "noteIndex" : 0 }, "schema" : "https://github.com/citation-style-language/schema/raw/master/csl-citation.json" }</w:instrText>
      </w:r>
      <w:r w:rsidR="007D05A6">
        <w:rPr>
          <w:rFonts w:ascii="Book Antiqua" w:hAnsi="Book Antiqua"/>
          <w:lang w:val="en-US"/>
        </w:rPr>
        <w:fldChar w:fldCharType="separate"/>
      </w:r>
      <w:r w:rsidR="007D05A6" w:rsidRPr="007D05A6">
        <w:rPr>
          <w:rFonts w:ascii="Book Antiqua" w:hAnsi="Book Antiqua"/>
          <w:noProof/>
          <w:vertAlign w:val="superscript"/>
          <w:lang w:val="en-US"/>
        </w:rPr>
        <w:t>[11</w:t>
      </w:r>
      <w:r w:rsidR="008E67F7">
        <w:rPr>
          <w:rFonts w:ascii="Book Antiqua" w:hAnsi="Book Antiqua" w:hint="eastAsia"/>
          <w:noProof/>
          <w:vertAlign w:val="superscript"/>
          <w:lang w:val="en-US" w:eastAsia="zh-CN"/>
        </w:rPr>
        <w:t>,12</w:t>
      </w:r>
      <w:r w:rsidR="007D05A6" w:rsidRPr="007D05A6">
        <w:rPr>
          <w:rFonts w:ascii="Book Antiqua" w:hAnsi="Book Antiqua"/>
          <w:noProof/>
          <w:vertAlign w:val="superscript"/>
          <w:lang w:val="en-US"/>
        </w:rPr>
        <w:t>]</w:t>
      </w:r>
      <w:r w:rsidR="007D05A6">
        <w:rPr>
          <w:rFonts w:ascii="Book Antiqua" w:hAnsi="Book Antiqua"/>
          <w:lang w:val="en-US"/>
        </w:rPr>
        <w:fldChar w:fldCharType="end"/>
      </w:r>
      <w:r w:rsidR="001006E6" w:rsidRPr="002075A3">
        <w:rPr>
          <w:rFonts w:ascii="Book Antiqua" w:hAnsi="Book Antiqua"/>
          <w:lang w:val="en-US"/>
        </w:rPr>
        <w:t>.</w:t>
      </w:r>
      <w:r w:rsidR="00D22B5C" w:rsidRPr="002075A3">
        <w:rPr>
          <w:rFonts w:ascii="Book Antiqua" w:hAnsi="Book Antiqua"/>
          <w:lang w:val="en-US"/>
        </w:rPr>
        <w:t xml:space="preserve"> The aim of endoscopic surveillance is to alter the natural history of the disease by identifying neoplasia </w:t>
      </w:r>
      <w:r w:rsidR="008C5F11" w:rsidRPr="002075A3">
        <w:rPr>
          <w:rFonts w:ascii="Book Antiqua" w:hAnsi="Book Antiqua"/>
          <w:lang w:val="en-US"/>
        </w:rPr>
        <w:t xml:space="preserve">at </w:t>
      </w:r>
      <w:r w:rsidR="00D22B5C" w:rsidRPr="002075A3">
        <w:rPr>
          <w:rFonts w:ascii="Book Antiqua" w:hAnsi="Book Antiqua"/>
          <w:lang w:val="en-US"/>
        </w:rPr>
        <w:t xml:space="preserve">an earlier stage and thus instituting curative </w:t>
      </w:r>
      <w:r w:rsidR="008C5F11" w:rsidRPr="002075A3">
        <w:rPr>
          <w:rFonts w:ascii="Book Antiqua" w:hAnsi="Book Antiqua"/>
          <w:lang w:val="en-US"/>
        </w:rPr>
        <w:t xml:space="preserve">endoscopic </w:t>
      </w:r>
      <w:r w:rsidR="00D22B5C" w:rsidRPr="002075A3">
        <w:rPr>
          <w:rFonts w:ascii="Book Antiqua" w:hAnsi="Book Antiqua"/>
          <w:lang w:val="en-US"/>
        </w:rPr>
        <w:t>therapy.</w:t>
      </w:r>
    </w:p>
    <w:p w14:paraId="475D5F77" w14:textId="4F86C44C" w:rsidR="00D22B5C" w:rsidRPr="002075A3" w:rsidRDefault="009523E4"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Established surveillance protocols suggest taking </w:t>
      </w:r>
      <w:r w:rsidR="001E7AF5" w:rsidRPr="002075A3">
        <w:rPr>
          <w:rFonts w:ascii="Book Antiqua" w:hAnsi="Book Antiqua"/>
          <w:lang w:val="en-US"/>
        </w:rPr>
        <w:t xml:space="preserve">targeted biopsies of visible lesions and </w:t>
      </w:r>
      <w:r w:rsidRPr="002075A3">
        <w:rPr>
          <w:rFonts w:ascii="Book Antiqua" w:hAnsi="Book Antiqua"/>
          <w:lang w:val="en-US"/>
        </w:rPr>
        <w:t xml:space="preserve">random four quadrant biopsies </w:t>
      </w:r>
      <w:r w:rsidR="00A53B1C" w:rsidRPr="002075A3">
        <w:rPr>
          <w:rFonts w:ascii="Book Antiqua" w:hAnsi="Book Antiqua"/>
          <w:lang w:val="en-US"/>
        </w:rPr>
        <w:t>(4</w:t>
      </w:r>
      <w:r w:rsidR="007148C7" w:rsidRPr="002075A3">
        <w:rPr>
          <w:rFonts w:ascii="Book Antiqua" w:hAnsi="Book Antiqua"/>
          <w:lang w:val="en-US"/>
        </w:rPr>
        <w:t>QBS</w:t>
      </w:r>
      <w:r w:rsidR="00A53B1C" w:rsidRPr="002075A3">
        <w:rPr>
          <w:rFonts w:ascii="Book Antiqua" w:hAnsi="Book Antiqua"/>
          <w:lang w:val="en-US"/>
        </w:rPr>
        <w:t xml:space="preserve">) </w:t>
      </w:r>
      <w:r w:rsidRPr="002075A3">
        <w:rPr>
          <w:rFonts w:ascii="Book Antiqua" w:hAnsi="Book Antiqua"/>
          <w:lang w:val="en-US"/>
        </w:rPr>
        <w:t>every 2</w:t>
      </w:r>
      <w:r w:rsidR="008E67F7">
        <w:rPr>
          <w:rFonts w:ascii="Book Antiqua" w:hAnsi="Book Antiqua" w:hint="eastAsia"/>
          <w:lang w:val="en-US" w:eastAsia="zh-CN"/>
        </w:rPr>
        <w:t xml:space="preserve"> </w:t>
      </w:r>
      <w:r w:rsidRPr="002075A3">
        <w:rPr>
          <w:rFonts w:ascii="Book Antiqua" w:hAnsi="Book Antiqua"/>
          <w:lang w:val="en-US"/>
        </w:rPr>
        <w:t>cm (</w:t>
      </w:r>
      <w:r w:rsidR="0046405D">
        <w:rPr>
          <w:rFonts w:ascii="Book Antiqua" w:hAnsi="Book Antiqua"/>
          <w:lang w:val="en-US"/>
        </w:rPr>
        <w:t>Cleveland</w:t>
      </w:r>
      <w:r w:rsidR="0046405D" w:rsidRPr="002075A3">
        <w:rPr>
          <w:rFonts w:ascii="Book Antiqua" w:hAnsi="Book Antiqua"/>
          <w:lang w:val="en-US"/>
        </w:rPr>
        <w:t xml:space="preserve"> </w:t>
      </w:r>
      <w:r w:rsidRPr="002075A3">
        <w:rPr>
          <w:rFonts w:ascii="Book Antiqua" w:hAnsi="Book Antiqua"/>
          <w:lang w:val="en-US"/>
        </w:rPr>
        <w:t>protocol) which reportedly proffers the maximum yield of dysplasia in comparison with other biopsy protocols</w:t>
      </w:r>
      <w:r w:rsidR="007D05A6">
        <w:rPr>
          <w:rFonts w:ascii="Book Antiqua" w:hAnsi="Book Antiqua"/>
          <w:lang w:val="en-US"/>
        </w:rPr>
        <w:fldChar w:fldCharType="begin" w:fldLock="1"/>
      </w:r>
      <w:r w:rsidR="007D05A6">
        <w:rPr>
          <w:rFonts w:ascii="Book Antiqua" w:hAnsi="Book Antiqua"/>
          <w:lang w:val="en-US"/>
        </w:rPr>
        <w:instrText>ADDIN CSL_CITATION { "citationItems" : [ { "id" : "ITEM-1", "itemData" : { "DOI" : "10.1023/A:1010678913481", "ISSN" : "01632116", "PMID" : "11575441", "abstract" : "Esophageal adenocarcinoma is increasing in incidence and has a high mortality unless detected early. Barrett's esophagus is the only known risk factor for this cancer; however, whether endoscopic surveillance reduces morbidity and mortality is controversial. Endoscopic cancer surveillance programes for Barrett's esophagus are not routinely practiced in the UK, and this is the first study to examine whether a rigorous surveillance protocol increases the detection rate of early oesophageal cancer. All patients with a diagnosis of Barrett's esophagus or associated adenocarcinoma attending Havering Hospitals NHS Trust between 1992 and 1998 were included. A retrospective analysis was made of patients undergoing informal surveillance (96 patients, 1992-1997) and a prospective analysis was conducted following the implementation of a rigorous protocol (108 patients, 1997-1998). Over the same time periods Barrett's associated cancers diagnosed in patients not undergoing surveillance were analyzed (262 patients 1992-1997, 98 patients 1997-1998). From 1992 to 1997, one case of high-grade dysplasia was detected (N = 96, 1%). From 1997 to 1998, two cancers and three high-grade dysplasias were detected during rigorous surveillance (N = 108, 4.6%). Three of these patients have had curative esophagectomies (one high-grade dysplasia and two T1,N0,M0 tumors). In 1992-1997, 10 patients were found to have cancer in previously undiagnosed Barrett's esophagus (N = 262, 3.8%). Of 3/10 cancers treated surgically, one patient had a curative procedure (T1,N0,M0). In 1997-1998, nine patients were found to have de novo Barrett's esophagus cancer (N = 88, 10.2%) and three had curative resections (T1,N0,M0). Two of the patients with T1 lesions had no endoscopic evidence of cancer but were detected as a result of the multiple biopsy protocol. In conclusion, a rigorous biopsy protocol increases the detection of early cancer in Barrett's esophagus.", "author" : [ { "dropping-particle" : "", "family" : "Fitzgerald", "given" : "R. C.", "non-dropping-particle" : "", "parse-names" : false, "suffix" : "" }, { "dropping-particle" : "", "family" : "Saeed", "given" : "I. T.", "non-dropping-particle" : "", "parse-names" : false, "suffix" : "" }, { "dropping-particle" : "", "family" : "Khoo", "given" : "D.", "non-dropping-particle" : "", "parse-names" : false, "suffix" : "" }, { "dropping-particle" : "", "family" : "Farthing", "given" : "M. J G", "non-dropping-particle" : "", "parse-names" : false, "suffix" : "" }, { "dropping-particle" : "", "family" : "Burnham", "given" : "W. R.", "non-dropping-particle" : "", "parse-names" : false, "suffix" : "" } ], "container-title" : "Digestive Diseases and Sciences", "id" : "ITEM-1", "issue" : "9", "issued" : { "date-parts" : [ [ "2001" ] ] }, "page" : "1892-1898", "title" : "Rigorous surveillance protocol increases detection of curable cancers associated with Barrett's esophagus", "type" : "article-journal", "volume" : "46" }, "uris" : [ "http://www.mendeley.com/documents/?uuid=1caf6558-e06d-4bcb-b943-4f5d0bcc0396" ] } ], "mendeley" : { "formattedCitation" : "&lt;sup&gt;[13]&lt;/sup&gt;", "plainTextFormattedCitation" : "[13]", "previouslyFormattedCitation" : "&lt;sup&gt;[13]&lt;/sup&gt;" }, "properties" : { "noteIndex" : 0 }, "schema" : "https://github.com/citation-style-language/schema/raw/master/csl-citation.json" }</w:instrText>
      </w:r>
      <w:r w:rsidR="007D05A6">
        <w:rPr>
          <w:rFonts w:ascii="Book Antiqua" w:hAnsi="Book Antiqua"/>
          <w:lang w:val="en-US"/>
        </w:rPr>
        <w:fldChar w:fldCharType="separate"/>
      </w:r>
      <w:r w:rsidR="007D05A6" w:rsidRPr="007D05A6">
        <w:rPr>
          <w:rFonts w:ascii="Book Antiqua" w:hAnsi="Book Antiqua"/>
          <w:noProof/>
          <w:vertAlign w:val="superscript"/>
          <w:lang w:val="en-US"/>
        </w:rPr>
        <w:t>[13]</w:t>
      </w:r>
      <w:r w:rsidR="007D05A6">
        <w:rPr>
          <w:rFonts w:ascii="Book Antiqua" w:hAnsi="Book Antiqua"/>
          <w:lang w:val="en-US"/>
        </w:rPr>
        <w:fldChar w:fldCharType="end"/>
      </w:r>
      <w:r w:rsidR="007D05A6">
        <w:rPr>
          <w:rFonts w:ascii="Book Antiqua" w:hAnsi="Book Antiqua"/>
          <w:lang w:val="en-US"/>
        </w:rPr>
        <w:t>.</w:t>
      </w:r>
      <w:r w:rsidR="001E7AF5" w:rsidRPr="002075A3">
        <w:rPr>
          <w:rFonts w:ascii="Book Antiqua" w:hAnsi="Book Antiqua"/>
          <w:lang w:val="en-US"/>
        </w:rPr>
        <w:t xml:space="preserve"> However,</w:t>
      </w:r>
      <w:r w:rsidR="00E2434E" w:rsidRPr="002075A3">
        <w:rPr>
          <w:rFonts w:ascii="Book Antiqua" w:hAnsi="Book Antiqua"/>
          <w:lang w:val="en-US"/>
        </w:rPr>
        <w:t xml:space="preserve"> there are seve</w:t>
      </w:r>
      <w:r w:rsidR="009869D2" w:rsidRPr="002075A3">
        <w:rPr>
          <w:rFonts w:ascii="Book Antiqua" w:hAnsi="Book Antiqua"/>
          <w:lang w:val="en-US"/>
        </w:rPr>
        <w:t>ral drawbacks to this technique. W</w:t>
      </w:r>
      <w:r w:rsidR="00E2434E" w:rsidRPr="002075A3">
        <w:rPr>
          <w:rFonts w:ascii="Book Antiqua" w:hAnsi="Book Antiqua"/>
          <w:lang w:val="en-US"/>
        </w:rPr>
        <w:t>ith</w:t>
      </w:r>
      <w:r w:rsidR="001E7AF5" w:rsidRPr="002075A3">
        <w:rPr>
          <w:rFonts w:ascii="Book Antiqua" w:hAnsi="Book Antiqua"/>
          <w:lang w:val="en-US"/>
        </w:rPr>
        <w:t xml:space="preserve"> only 13% of early neoplastic lesions appear</w:t>
      </w:r>
      <w:r w:rsidR="008C5F11" w:rsidRPr="002075A3">
        <w:rPr>
          <w:rFonts w:ascii="Book Antiqua" w:hAnsi="Book Antiqua"/>
          <w:lang w:val="en-US"/>
        </w:rPr>
        <w:t>ing</w:t>
      </w:r>
      <w:r w:rsidR="001E7AF5" w:rsidRPr="002075A3">
        <w:rPr>
          <w:rFonts w:ascii="Book Antiqua" w:hAnsi="Book Antiqua"/>
          <w:lang w:val="en-US"/>
        </w:rPr>
        <w:t xml:space="preserve"> as visible nodules</w:t>
      </w:r>
      <w:r w:rsidR="007D05A6">
        <w:rPr>
          <w:rFonts w:ascii="Book Antiqua" w:hAnsi="Book Antiqua"/>
          <w:lang w:val="en-US"/>
        </w:rPr>
        <w:fldChar w:fldCharType="begin" w:fldLock="1"/>
      </w:r>
      <w:r w:rsidR="007D05A6">
        <w:rPr>
          <w:rFonts w:ascii="Book Antiqua" w:hAnsi="Book Antiqua"/>
          <w:lang w:val="en-US"/>
        </w:rPr>
        <w:instrText>ADDIN CSL_CITATION { "citationItems" : [ { "id" : "ITEM-1", "itemData" : { "DOI" : "10.1055/s-2007-966363", "ISBN" : "0013-726x", "ISSN" : "0013726X", "PMID" : "17611912", "abstract" : "BACKGROUND AND STUDY AIMS: The macroscopic appearance of early gastric cancers, classified according to the Japanese criteria, has been shown to be an important prognostic factor for local endoscopic therapy. No prospective data about the distribution of macroscopic types and their location in early Barrett's neoplasia are available, however. The present study was conducted to evaluate the clinical applicability of this macroscopic classification and to analyze the relative proportions of the different gross types in early Barrett's neoplasms and the correlation between the macroscopic classification and the stage or grade of differentiation. PATIENTS AND METHODS: A total of 344 patients with 380 Barrett's neoplastic lesions who were referred between October 1996 and September 2005 for endoscopic therapy of early Barrett's high-grade intraepithelial neoplasia and carcinoma were prospectively included in the study. Routine endoscopy prior to endoscopic resection in our center included assessment of the macroscopic type (according to the Japanese classification) and documentation of the radial location of the neoplastic lesions. Images were recorded which were later assessed by six independent reviewers; intra- and interobserver agreement for the assessment of the macroscopic type were calculated using kappa statistics. RESULTS: The distribution of the lesions by gross type was as follows: type I, n = 49 (13 %); type IIa, n = 139 (37 %); type IIb, n = 106 (28 %); type IIc, n = 17 (4 %); type IIa + c, n = 62 (16 %); type III, n = 7 (2 %). Type IIb lesions seem to be the most favorable type with regard to differentiation and T category ( P &lt; 0.05). The mean kappa value for the interobserver agreement was 0.86 and the mean kappa value for the intraobserver agreement was 0.89. Most lesions were found at the 12 o'clock and 3 o'clock positions. CONCLUSIONS: Assessment of the macroscopic type may provide important information about the possibility of endoscopic treatment. The harder-to-detect flat lesions are by far the most frequent macroscopic type of neoplastic lesion in Barrett's esophagus.", "author" : [ { "dropping-particle" : "", "family" : "Pech", "given" : "Oliver", "non-dropping-particle" : "", "parse-names" : false, "suffix" : "" }, { "dropping-particle" : "", "family" : "Gossner", "given" : "L.", "non-dropping-particle" : "", "parse-names" : false, "suffix" : "" }, { "dropping-particle" : "", "family" : "Manner", "given" : "H.", "non-dropping-particle" : "", "parse-names" : false, "suffix" : "" }, { "dropping-particle" : "", "family" : "May", "given" : "Adinah", "non-dropping-particle" : "", "parse-names" : false, "suffix" : "" }, { "dropping-particle" : "", "family" : "Rabenstein", "given" : "T.", "non-dropping-particle" : "", "parse-names" : false, "suffix" : "" }, { "dropping-particle" : "", "family" : "Behrens", "given" : "A.", "non-dropping-particle" : "", "parse-names" : false, "suffix" : "" }, { "dropping-particle" : "", "family" : "Berres", "given" : "M.", "non-dropping-particle" : "", "parse-names" : false, "suffix" : "" }, { "dropping-particle" : "", "family" : "Huijsmans", "given" : "J.", "non-dropping-particle" : "", "parse-names" : false, "suffix" : "" }, { "dropping-particle" : "", "family" : "Vieth", "given" : "M.", "non-dropping-particle" : "", "parse-names" : false, "suffix" : "" }, { "dropping-particle" : "", "family" : "Stolte", "given" : "M.", "non-dropping-particle" : "", "parse-names" : false, "suffix" : "" }, { "dropping-particle" : "", "family" : "Ell", "given" : "C.", "non-dropping-particle" : "", "parse-names" : false, "suffix" : "" } ], "container-title" : "Endoscopy", "id" : "ITEM-1", "issue" : "7", "issued" : { "date-parts" : [ [ "2007" ] ] }, "page" : "588-593", "title" : "Prospective evaluation of the macroscopic types and location of early Barrett's neoplasia in 380 lesions", "type" : "article-journal", "volume" : "39" }, "uris" : [ "http://www.mendeley.com/documents/?uuid=d89fcc9b-22cb-4db5-84d8-034e69d07959" ] } ], "mendeley" : { "formattedCitation" : "&lt;sup&gt;[14]&lt;/sup&gt;", "plainTextFormattedCitation" : "[14]", "previouslyFormattedCitation" : "&lt;sup&gt;[14]&lt;/sup&gt;" }, "properties" : { "noteIndex" : 0 }, "schema" : "https://github.com/citation-style-language/schema/raw/master/csl-citation.json" }</w:instrText>
      </w:r>
      <w:r w:rsidR="007D05A6">
        <w:rPr>
          <w:rFonts w:ascii="Book Antiqua" w:hAnsi="Book Antiqua"/>
          <w:lang w:val="en-US"/>
        </w:rPr>
        <w:fldChar w:fldCharType="separate"/>
      </w:r>
      <w:r w:rsidR="007D05A6" w:rsidRPr="007D05A6">
        <w:rPr>
          <w:rFonts w:ascii="Book Antiqua" w:hAnsi="Book Antiqua"/>
          <w:noProof/>
          <w:vertAlign w:val="superscript"/>
          <w:lang w:val="en-US"/>
        </w:rPr>
        <w:t>[14]</w:t>
      </w:r>
      <w:r w:rsidR="007D05A6">
        <w:rPr>
          <w:rFonts w:ascii="Book Antiqua" w:hAnsi="Book Antiqua"/>
          <w:lang w:val="en-US"/>
        </w:rPr>
        <w:fldChar w:fldCharType="end"/>
      </w:r>
      <w:r w:rsidR="00E2434E" w:rsidRPr="002075A3">
        <w:rPr>
          <w:rFonts w:ascii="Book Antiqua" w:hAnsi="Book Antiqua"/>
          <w:lang w:val="en-US"/>
        </w:rPr>
        <w:t xml:space="preserve">, </w:t>
      </w:r>
      <w:r w:rsidR="001D6175">
        <w:rPr>
          <w:rFonts w:ascii="Book Antiqua" w:hAnsi="Book Antiqua"/>
          <w:lang w:val="en-US"/>
        </w:rPr>
        <w:t xml:space="preserve">a significant proportion </w:t>
      </w:r>
      <w:r w:rsidR="00E2434E" w:rsidRPr="002075A3">
        <w:rPr>
          <w:rFonts w:ascii="Book Antiqua" w:hAnsi="Book Antiqua"/>
          <w:lang w:val="en-US"/>
        </w:rPr>
        <w:t xml:space="preserve">of Barrett’s neoplasia is </w:t>
      </w:r>
      <w:r w:rsidR="00AA19F1">
        <w:rPr>
          <w:rFonts w:ascii="Book Antiqua" w:hAnsi="Book Antiqua"/>
          <w:lang w:val="en-US"/>
        </w:rPr>
        <w:t xml:space="preserve">not visible on </w:t>
      </w:r>
      <w:r w:rsidR="001D6175">
        <w:rPr>
          <w:rFonts w:ascii="Book Antiqua" w:hAnsi="Book Antiqua"/>
          <w:lang w:val="en-US"/>
        </w:rPr>
        <w:t xml:space="preserve">high-definition </w:t>
      </w:r>
      <w:r w:rsidR="00AA19F1">
        <w:rPr>
          <w:rFonts w:ascii="Book Antiqua" w:hAnsi="Book Antiqua"/>
          <w:lang w:val="en-US"/>
        </w:rPr>
        <w:t>white-light endoscopy</w:t>
      </w:r>
      <w:r w:rsidR="00F84291">
        <w:rPr>
          <w:rFonts w:ascii="Book Antiqua" w:hAnsi="Book Antiqua"/>
          <w:lang w:val="en-US"/>
        </w:rPr>
        <w:t xml:space="preserve"> alone</w:t>
      </w:r>
      <w:r w:rsidR="001D6175">
        <w:rPr>
          <w:rFonts w:ascii="Book Antiqua" w:hAnsi="Book Antiqua"/>
          <w:lang w:val="en-US"/>
        </w:rPr>
        <w:t xml:space="preserve">, </w:t>
      </w:r>
      <w:r w:rsidR="00F84291">
        <w:rPr>
          <w:rFonts w:ascii="Book Antiqua" w:hAnsi="Book Antiqua"/>
          <w:lang w:val="en-US"/>
        </w:rPr>
        <w:t>with reported</w:t>
      </w:r>
      <w:r w:rsidR="001D6175">
        <w:rPr>
          <w:rFonts w:ascii="Book Antiqua" w:hAnsi="Book Antiqua"/>
          <w:lang w:val="en-US"/>
        </w:rPr>
        <w:t xml:space="preserve"> sensitivity in the range 40</w:t>
      </w:r>
      <w:r w:rsidR="008E67F7">
        <w:rPr>
          <w:rFonts w:ascii="Book Antiqua" w:hAnsi="Book Antiqua" w:hint="eastAsia"/>
          <w:lang w:val="en-US" w:eastAsia="zh-CN"/>
        </w:rPr>
        <w:t>%</w:t>
      </w:r>
      <w:r w:rsidR="001D6175">
        <w:rPr>
          <w:rFonts w:ascii="Book Antiqua" w:hAnsi="Book Antiqua"/>
          <w:lang w:val="en-US"/>
        </w:rPr>
        <w:t>-64%</w:t>
      </w:r>
      <w:r w:rsidR="00E31DB2">
        <w:rPr>
          <w:rFonts w:ascii="Book Antiqua" w:hAnsi="Book Antiqua"/>
          <w:lang w:val="en-US"/>
        </w:rPr>
        <w:t xml:space="preserve"> and </w:t>
      </w:r>
      <w:r w:rsidR="00F84291">
        <w:rPr>
          <w:rFonts w:ascii="Book Antiqua" w:hAnsi="Book Antiqua"/>
          <w:lang w:val="en-US"/>
        </w:rPr>
        <w:t>specificity</w:t>
      </w:r>
      <w:r w:rsidR="00E31DB2">
        <w:rPr>
          <w:rFonts w:ascii="Book Antiqua" w:hAnsi="Book Antiqua"/>
          <w:lang w:val="en-US"/>
        </w:rPr>
        <w:t xml:space="preserve"> 98</w:t>
      </w:r>
      <w:r w:rsidR="008E67F7">
        <w:rPr>
          <w:rFonts w:ascii="Book Antiqua" w:hAnsi="Book Antiqua" w:hint="eastAsia"/>
          <w:lang w:val="en-US" w:eastAsia="zh-CN"/>
        </w:rPr>
        <w:t>%</w:t>
      </w:r>
      <w:r w:rsidR="00E31DB2">
        <w:rPr>
          <w:rFonts w:ascii="Book Antiqua" w:hAnsi="Book Antiqua"/>
          <w:lang w:val="en-US"/>
        </w:rPr>
        <w:t>-100%</w:t>
      </w:r>
      <w:r w:rsidR="007D05A6">
        <w:rPr>
          <w:rFonts w:ascii="Book Antiqua" w:hAnsi="Book Antiqua"/>
          <w:lang w:val="en-US"/>
        </w:rPr>
        <w:fldChar w:fldCharType="begin" w:fldLock="1"/>
      </w:r>
      <w:r w:rsidR="00FD2284">
        <w:rPr>
          <w:rFonts w:ascii="Book Antiqua" w:hAnsi="Book Antiqua"/>
          <w:lang w:val="en-US"/>
        </w:rPr>
        <w:instrText>ADDIN CSL_CITATION { "citationItems" : [ { "id" : "ITEM-1", "itemData" : { "DOI" : "10.1136/gutjnl-2013-306706", "ISBN" : "1468-3288", "ISSN" : "1468-3288", "PMID" : "25975605", "abstract" : "The rapid rise in incidence of oesophageal adenocarcinoma has motivated the need for improved methods for surveillance of Barrett's oesophagus. Early neoplasia is flat in morphology and patchy in distribution and is difficult to detect with conventional white light endoscopy (WLE). Light offers numerous advantages for rapidly visualising the oesophagus, and advanced optical methods are being developed for wide-field and cross-sectional imaging to guide tissue biopsy and stage early neoplasia, respectively. We review key features of these promising methods and address their potential to improve detection of Barrett's neoplasia. The clinical performance of key advanced imaging technologies is reviewed, including (1) wide-field methods, such as high-definition WLE, chromoendoscopy, narrow-band imaging, autofluorescence and trimodal imaging and (2) cross-sectional techniques, such as optical coherence tomography, optical frequency domain imaging and confocal laser endomicroscopy. Some of these instruments are being adapted for molecular imaging to detect specific biological targets that are overexpressed in Barrett's neoplasia. Gene expression profiles are being used to identify early targets that appear before morphological changes can be visualised with white light. These targets are detected in vivo using exogenous probes, such as lectins, peptides, antibodies, affibodies and activatable enzymes that are labelled with fluorescence dyes to produce high contrast images. This emerging approach has potential to provide a 'red flag' to identify regions of premalignant mucosa, outline disease margins and guide therapy based on the underlying molecular mechanisms of cancer progression.", "author" : [ { "dropping-particle" : "", "family" : "Sturm", "given" : "Matthew B", "non-dropping-particle" : "", "parse-names" : false, "suffix" : "" }, { "dropping-particle" : "", "family" : "Wang", "given" : "Thomas D", "non-dropping-particle" : "", "parse-names" : false, "suffix" : "" } ], "container-title" : "Gut", "id" : "ITEM-1", "issued" : { "date-parts" : [ [ "2015" ] ] }, "page" : "1-8", "title" : "Emerging optical methods for surveillance of Barrett's oesophagus.", "type" : "article-journal" }, "uris" : [ "http://www.mendeley.com/documents/?uuid=18bd9e8f-546d-47a6-87a6-d5dbfc4aa1d8" ] } ], "mendeley" : { "formattedCitation" : "&lt;sup&gt;[15]&lt;/sup&gt;", "plainTextFormattedCitation" : "[15]", "previouslyFormattedCitation" : "&lt;sup&gt;[15]&lt;/sup&gt;" }, "properties" : { "noteIndex" : 0 }, "schema" : "https://github.com/citation-style-language/schema/raw/master/csl-citation.json" }</w:instrText>
      </w:r>
      <w:r w:rsidR="007D05A6">
        <w:rPr>
          <w:rFonts w:ascii="Book Antiqua" w:hAnsi="Book Antiqua"/>
          <w:lang w:val="en-US"/>
        </w:rPr>
        <w:fldChar w:fldCharType="separate"/>
      </w:r>
      <w:r w:rsidR="0054174E" w:rsidRPr="0054174E">
        <w:rPr>
          <w:rFonts w:ascii="Book Antiqua" w:hAnsi="Book Antiqua"/>
          <w:noProof/>
          <w:vertAlign w:val="superscript"/>
          <w:lang w:val="en-US"/>
        </w:rPr>
        <w:t>[15]</w:t>
      </w:r>
      <w:r w:rsidR="007D05A6">
        <w:rPr>
          <w:rFonts w:ascii="Book Antiqua" w:hAnsi="Book Antiqua"/>
          <w:lang w:val="en-US"/>
        </w:rPr>
        <w:fldChar w:fldCharType="end"/>
      </w:r>
      <w:r w:rsidR="00E2434E" w:rsidRPr="002075A3">
        <w:rPr>
          <w:rFonts w:ascii="Book Antiqua" w:hAnsi="Book Antiqua"/>
          <w:lang w:val="en-US"/>
        </w:rPr>
        <w:t>. These</w:t>
      </w:r>
      <w:r w:rsidR="00D81F85" w:rsidRPr="002075A3">
        <w:rPr>
          <w:rFonts w:ascii="Book Antiqua" w:hAnsi="Book Antiqua"/>
          <w:lang w:val="en-US"/>
        </w:rPr>
        <w:t xml:space="preserve"> non-visible neoplastic foci </w:t>
      </w:r>
      <w:r w:rsidR="008C5F11" w:rsidRPr="002075A3">
        <w:rPr>
          <w:rFonts w:ascii="Book Antiqua" w:hAnsi="Book Antiqua"/>
          <w:lang w:val="en-US"/>
        </w:rPr>
        <w:t xml:space="preserve">can </w:t>
      </w:r>
      <w:r w:rsidR="00D81F85" w:rsidRPr="002075A3">
        <w:rPr>
          <w:rFonts w:ascii="Book Antiqua" w:hAnsi="Book Antiqua"/>
          <w:lang w:val="en-US"/>
        </w:rPr>
        <w:t>occupy areas as small as 0.5</w:t>
      </w:r>
      <w:r w:rsidR="008E67F7">
        <w:rPr>
          <w:rFonts w:ascii="Book Antiqua" w:hAnsi="Book Antiqua" w:hint="eastAsia"/>
          <w:lang w:val="en-US" w:eastAsia="zh-CN"/>
        </w:rPr>
        <w:t xml:space="preserve"> </w:t>
      </w:r>
      <w:r w:rsidR="00D81F85" w:rsidRPr="002075A3">
        <w:rPr>
          <w:rFonts w:ascii="Book Antiqua" w:hAnsi="Book Antiqua"/>
          <w:lang w:val="en-US"/>
        </w:rPr>
        <w:t>cm</w:t>
      </w:r>
      <w:r w:rsidR="00D81F85" w:rsidRPr="002075A3">
        <w:rPr>
          <w:rFonts w:ascii="Book Antiqua" w:hAnsi="Book Antiqua"/>
          <w:vertAlign w:val="superscript"/>
          <w:lang w:val="en-US"/>
        </w:rPr>
        <w:t>2</w:t>
      </w:r>
      <w:r w:rsidR="00967FAE">
        <w:rPr>
          <w:rFonts w:ascii="Book Antiqua" w:hAnsi="Book Antiqua"/>
          <w:vertAlign w:val="superscript"/>
          <w:lang w:val="en-US"/>
        </w:rPr>
        <w:fldChar w:fldCharType="begin" w:fldLock="1"/>
      </w:r>
      <w:r w:rsidR="00FD2284">
        <w:rPr>
          <w:rFonts w:ascii="Book Antiqua" w:hAnsi="Book Antiqua"/>
          <w:vertAlign w:val="superscript"/>
          <w:lang w:val="en-US"/>
        </w:rPr>
        <w:instrText>ADDIN CSL_CITATION { "citationItems" : [ { "id" : "ITEM-1", "itemData" : { "DOI" : "10.1055/s-2005-861321", "ISSN" : "0013-726X", "PMID" : "15933935", "author" : [ { "dropping-particle" : "", "family" : "Rey", "given" : "J-F", "non-dropping-particle" : "", "parse-names" : false, "suffix" : "" }, { "dropping-particle" : "", "family" : "Inoue", "given" : "H", "non-dropping-particle" : "", "parse-names" : false, "suffix" : "" }, { "dropping-particle" : "", "family" : "Guelrud", "given" : "M", "non-dropping-particle" : "", "parse-names" : false, "suffix" : "" } ], "container-title" : "Endoscopy", "id" : "ITEM-1", "issue" : "6", "issued" : { "date-parts" : [ [ "2005", "6" ] ] }, "page" : "583-6", "title" : "Magnification endoscopy with acetic acid for Barrett's esophagus.", "type" : "article-journal", "volume" : "37" }, "uris" : [ "http://www.mendeley.com/documents/?uuid=1371ef25-417e-4dc8-9644-aa69cb875b58" ] } ], "mendeley" : { "formattedCitation" : "&lt;sup&gt;[16]&lt;/sup&gt;", "plainTextFormattedCitation" : "[16]", "previouslyFormattedCitation" : "&lt;sup&gt;[16]&lt;/sup&gt;" }, "properties" : { "noteIndex" : 0 }, "schema" : "https://github.com/citation-style-language/schema/raw/master/csl-citation.json" }</w:instrText>
      </w:r>
      <w:r w:rsidR="00967FAE">
        <w:rPr>
          <w:rFonts w:ascii="Book Antiqua" w:hAnsi="Book Antiqua"/>
          <w:vertAlign w:val="superscript"/>
          <w:lang w:val="en-US"/>
        </w:rPr>
        <w:fldChar w:fldCharType="separate"/>
      </w:r>
      <w:r w:rsidR="0054174E" w:rsidRPr="0054174E">
        <w:rPr>
          <w:rFonts w:ascii="Book Antiqua" w:hAnsi="Book Antiqua"/>
          <w:noProof/>
          <w:vertAlign w:val="superscript"/>
          <w:lang w:val="en-US"/>
        </w:rPr>
        <w:t>[16]</w:t>
      </w:r>
      <w:r w:rsidR="00967FAE">
        <w:rPr>
          <w:rFonts w:ascii="Book Antiqua" w:hAnsi="Book Antiqua"/>
          <w:vertAlign w:val="superscript"/>
          <w:lang w:val="en-US"/>
        </w:rPr>
        <w:fldChar w:fldCharType="end"/>
      </w:r>
      <w:r w:rsidR="00C7203E">
        <w:rPr>
          <w:rFonts w:ascii="Book Antiqua" w:hAnsi="Book Antiqua"/>
          <w:lang w:val="en-US"/>
        </w:rPr>
        <w:t>.</w:t>
      </w:r>
      <w:r w:rsidR="001E7AF5" w:rsidRPr="002075A3">
        <w:rPr>
          <w:rFonts w:ascii="Book Antiqua" w:hAnsi="Book Antiqua"/>
          <w:lang w:val="en-US"/>
        </w:rPr>
        <w:t xml:space="preserve"> </w:t>
      </w:r>
      <w:r w:rsidR="008C5F11" w:rsidRPr="002075A3">
        <w:rPr>
          <w:rFonts w:ascii="Book Antiqua" w:hAnsi="Book Antiqua"/>
          <w:lang w:val="en-US"/>
        </w:rPr>
        <w:t>Unsurprisingly,</w:t>
      </w:r>
      <w:r w:rsidR="00685188" w:rsidRPr="002075A3">
        <w:rPr>
          <w:rFonts w:ascii="Book Antiqua" w:hAnsi="Book Antiqua"/>
          <w:lang w:val="en-US"/>
        </w:rPr>
        <w:t xml:space="preserve"> there is a significant miss</w:t>
      </w:r>
      <w:r w:rsidR="00714698" w:rsidRPr="002075A3">
        <w:rPr>
          <w:rFonts w:ascii="Book Antiqua" w:hAnsi="Book Antiqua"/>
          <w:lang w:val="en-US"/>
        </w:rPr>
        <w:t>-</w:t>
      </w:r>
      <w:r w:rsidR="00685188" w:rsidRPr="002075A3">
        <w:rPr>
          <w:rFonts w:ascii="Book Antiqua" w:hAnsi="Book Antiqua"/>
          <w:lang w:val="en-US"/>
        </w:rPr>
        <w:t xml:space="preserve">rate with </w:t>
      </w:r>
      <w:r w:rsidR="00C11447" w:rsidRPr="002075A3">
        <w:rPr>
          <w:rFonts w:ascii="Book Antiqua" w:hAnsi="Book Antiqua"/>
          <w:lang w:val="en-US"/>
        </w:rPr>
        <w:t>4QBS</w:t>
      </w:r>
      <w:r w:rsidR="00714698" w:rsidRPr="002075A3">
        <w:rPr>
          <w:rFonts w:ascii="Book Antiqua" w:hAnsi="Book Antiqua"/>
          <w:lang w:val="en-US"/>
        </w:rPr>
        <w:t>.</w:t>
      </w:r>
      <w:r w:rsidR="00685188" w:rsidRPr="002075A3">
        <w:rPr>
          <w:rFonts w:ascii="Book Antiqua" w:hAnsi="Book Antiqua"/>
          <w:lang w:val="en-US"/>
        </w:rPr>
        <w:t xml:space="preserve"> </w:t>
      </w:r>
      <w:r w:rsidR="00714698" w:rsidRPr="002075A3">
        <w:rPr>
          <w:rFonts w:ascii="Book Antiqua" w:hAnsi="Book Antiqua"/>
          <w:lang w:val="en-US"/>
        </w:rPr>
        <w:t>S</w:t>
      </w:r>
      <w:r w:rsidR="00685188" w:rsidRPr="002075A3">
        <w:rPr>
          <w:rFonts w:ascii="Book Antiqua" w:hAnsi="Book Antiqua"/>
          <w:lang w:val="en-US"/>
        </w:rPr>
        <w:t xml:space="preserve">tudies comparing </w:t>
      </w:r>
      <w:r w:rsidR="00C11447" w:rsidRPr="002075A3">
        <w:rPr>
          <w:rFonts w:ascii="Book Antiqua" w:hAnsi="Book Antiqua"/>
          <w:lang w:val="en-US"/>
        </w:rPr>
        <w:lastRenderedPageBreak/>
        <w:t>4QBS</w:t>
      </w:r>
      <w:r w:rsidR="00685188" w:rsidRPr="002075A3">
        <w:rPr>
          <w:rFonts w:ascii="Book Antiqua" w:hAnsi="Book Antiqua"/>
          <w:lang w:val="en-US"/>
        </w:rPr>
        <w:t xml:space="preserve"> with surgical resection </w:t>
      </w:r>
      <w:r w:rsidR="0081301E">
        <w:rPr>
          <w:rFonts w:ascii="Book Antiqua" w:hAnsi="Book Antiqua"/>
          <w:lang w:val="en-US"/>
        </w:rPr>
        <w:t>specimen</w:t>
      </w:r>
      <w:r w:rsidR="00685188" w:rsidRPr="002075A3">
        <w:rPr>
          <w:rFonts w:ascii="Book Antiqua" w:hAnsi="Book Antiqua"/>
          <w:lang w:val="en-US"/>
        </w:rPr>
        <w:t xml:space="preserve"> have shown that 41</w:t>
      </w:r>
      <w:r w:rsidR="00E46EEA">
        <w:rPr>
          <w:rFonts w:ascii="Book Antiqua" w:hAnsi="Book Antiqua" w:hint="eastAsia"/>
          <w:lang w:val="en-US" w:eastAsia="zh-CN"/>
        </w:rPr>
        <w:t>%</w:t>
      </w:r>
      <w:r w:rsidR="00685188" w:rsidRPr="002075A3">
        <w:rPr>
          <w:rFonts w:ascii="Book Antiqua" w:hAnsi="Book Antiqua"/>
          <w:lang w:val="en-US"/>
        </w:rPr>
        <w:t xml:space="preserve">-66% of dysplastic lesions are missed </w:t>
      </w:r>
      <w:r w:rsidR="0081301E">
        <w:rPr>
          <w:rFonts w:ascii="Book Antiqua" w:hAnsi="Book Antiqua"/>
          <w:lang w:val="en-US"/>
        </w:rPr>
        <w:t>by</w:t>
      </w:r>
      <w:r w:rsidR="0033172C">
        <w:rPr>
          <w:rFonts w:ascii="Book Antiqua" w:hAnsi="Book Antiqua"/>
          <w:lang w:val="en-US"/>
        </w:rPr>
        <w:t xml:space="preserve"> </w:t>
      </w:r>
      <w:r w:rsidR="009869D2" w:rsidRPr="002075A3">
        <w:rPr>
          <w:rFonts w:ascii="Book Antiqua" w:hAnsi="Book Antiqua"/>
          <w:lang w:val="en-US"/>
        </w:rPr>
        <w:t>4QBS</w:t>
      </w:r>
      <w:r w:rsidR="00A4439E">
        <w:rPr>
          <w:rFonts w:ascii="Book Antiqua" w:hAnsi="Book Antiqua"/>
          <w:lang w:val="en-US"/>
        </w:rPr>
        <w:fldChar w:fldCharType="begin" w:fldLock="1"/>
      </w:r>
      <w:r w:rsidR="00FD2284">
        <w:rPr>
          <w:rFonts w:ascii="Book Antiqua" w:hAnsi="Book Antiqua"/>
          <w:lang w:val="en-US"/>
        </w:rPr>
        <w:instrText>ADDIN CSL_CITATION { "citationItems" : [ { "id" : "ITEM-1", "itemData" : { "DOI" : "10.1016/S0016-5107(99)70482-7", "ISSN" : "00165107", "PMID" : "9925694", "abstract" : "Background: The optimal management of high-grade dysplasia in patients with Barrett's esophagus is controversial. The aim of this study was to assess the prevalence of unsuspected carcinoma at esophagectomy in patients with Barrett's esophagus with high-grade dysplasia after endoscopic surveillance with jumbo biopsy forceps compared with standard biopsy forceps. Methods: Twelve patients with high-grade dysplasia in Barrett's esophagus without gross or microscopic evidence of carcinoma underwent esophagectomy after preoperative endoscopy with 4-quadrant jumbo biopsies at 2-cm intervals. The findings in this group were compared with those in a group of patients with Barrett's esophagus who underwent esophagectomy for high-grade dysplasia after biopsies obtained at 2-cm intervals with standard biopsy forceps. Results: Unsuspected cancer was found in 4 of 12 (33%) patients in the jumbo biopsy group compared with 6 of 16 (38%) in the standard biopsy group (p = NS). All 6 cancers in the standard biopsy group were intramucosal, whereas 2 were intramucosal and 2 were submucosal in the jumbo biopsy group. No patients in either group had lymph node metastases. Conclusions: Unsuspected cancer is found frequently in patients with Barrett's esophagus who are undergoing esophagectomy for high-grade dysplasia despite the use of a rigorous jumbo biopsy protocol. Esophageal resection is still indicated in appropriately selected patients with high-grade dysplasia until better markers of cancer risk are available.", "author" : [ { "dropping-particle" : "", "family" : "Falk", "given" : "G. W.", "non-dropping-particle" : "", "parse-names" : false, "suffix" : "" }, { "dropping-particle" : "", "family" : "Rice", "given" : "T. W.", "non-dropping-particle" : "", "parse-names" : false, "suffix" : "" }, { "dropping-particle" : "", "family" : "Goldblum", "given" : "J. R.", "non-dropping-particle" : "", "parse-names" : false, "suffix" : "" }, { "dropping-particle" : "", "family" : "Richter", "given" : "J. E.", "non-dropping-particle" : "", "parse-names" : false, "suffix" : "" } ], "container-title" : "Gastrointestinal Endoscopy", "id" : "ITEM-1", "issue" : "2", "issued" : { "date-parts" : [ [ "1999" ] ] }, "page" : "170-176", "title" : "Jumbo biopsy forceps protocol still misses unsuspected cancer in Barrett's esophagus with high-grade dysplasia", "type" : "article-journal", "volume" : "49" }, "uris" : [ "http://www.mendeley.com/documents/?uuid=c88f1d94-0bf1-4336-bfa3-c81f493176ea" ] } ], "mendeley" : { "formattedCitation" : "&lt;sup&gt;[17]&lt;/sup&gt;", "plainTextFormattedCitation" : "[17]", "previouslyFormattedCitation" : "&lt;sup&gt;[17]&lt;/sup&gt;" }, "properties" : { "noteIndex" : 0 }, "schema" : "https://github.com/citation-style-language/schema/raw/master/csl-citation.json" }</w:instrText>
      </w:r>
      <w:r w:rsidR="00A4439E">
        <w:rPr>
          <w:rFonts w:ascii="Book Antiqua" w:hAnsi="Book Antiqua"/>
          <w:lang w:val="en-US"/>
        </w:rPr>
        <w:fldChar w:fldCharType="separate"/>
      </w:r>
      <w:r w:rsidR="0054174E" w:rsidRPr="0054174E">
        <w:rPr>
          <w:rFonts w:ascii="Book Antiqua" w:hAnsi="Book Antiqua"/>
          <w:noProof/>
          <w:vertAlign w:val="superscript"/>
          <w:lang w:val="en-US"/>
        </w:rPr>
        <w:t>[17</w:t>
      </w:r>
      <w:r w:rsidR="008E67F7">
        <w:rPr>
          <w:rFonts w:ascii="Book Antiqua" w:hAnsi="Book Antiqua" w:hint="eastAsia"/>
          <w:noProof/>
          <w:vertAlign w:val="superscript"/>
          <w:lang w:val="en-US" w:eastAsia="zh-CN"/>
        </w:rPr>
        <w:t>,18</w:t>
      </w:r>
      <w:r w:rsidR="0054174E" w:rsidRPr="0054174E">
        <w:rPr>
          <w:rFonts w:ascii="Book Antiqua" w:hAnsi="Book Antiqua"/>
          <w:noProof/>
          <w:vertAlign w:val="superscript"/>
          <w:lang w:val="en-US"/>
        </w:rPr>
        <w:t>]</w:t>
      </w:r>
      <w:r w:rsidR="00A4439E">
        <w:rPr>
          <w:rFonts w:ascii="Book Antiqua" w:hAnsi="Book Antiqua"/>
          <w:lang w:val="en-US"/>
        </w:rPr>
        <w:fldChar w:fldCharType="end"/>
      </w:r>
      <w:r w:rsidR="00C7203E">
        <w:rPr>
          <w:rFonts w:ascii="Book Antiqua" w:hAnsi="Book Antiqua"/>
          <w:lang w:val="en-US"/>
        </w:rPr>
        <w:t>.</w:t>
      </w:r>
      <w:r w:rsidR="00446113" w:rsidRPr="002075A3">
        <w:rPr>
          <w:rFonts w:ascii="Book Antiqua" w:hAnsi="Book Antiqua"/>
          <w:lang w:val="en-US"/>
        </w:rPr>
        <w:t xml:space="preserve"> </w:t>
      </w:r>
      <w:r w:rsidR="00714698" w:rsidRPr="002075A3">
        <w:rPr>
          <w:rFonts w:ascii="Book Antiqua" w:hAnsi="Book Antiqua"/>
          <w:lang w:val="en-US"/>
        </w:rPr>
        <w:t>T</w:t>
      </w:r>
      <w:r w:rsidR="00571A6B" w:rsidRPr="002075A3">
        <w:rPr>
          <w:rFonts w:ascii="Book Antiqua" w:hAnsi="Book Antiqua"/>
          <w:lang w:val="en-US"/>
        </w:rPr>
        <w:t xml:space="preserve">he total mucosal surface sampled with </w:t>
      </w:r>
      <w:r w:rsidR="00C11447" w:rsidRPr="002075A3">
        <w:rPr>
          <w:rFonts w:ascii="Book Antiqua" w:hAnsi="Book Antiqua"/>
          <w:lang w:val="en-US"/>
        </w:rPr>
        <w:t>4QBS</w:t>
      </w:r>
      <w:r w:rsidR="00571A6B" w:rsidRPr="002075A3">
        <w:rPr>
          <w:rFonts w:ascii="Book Antiqua" w:hAnsi="Book Antiqua"/>
          <w:lang w:val="en-US"/>
        </w:rPr>
        <w:t xml:space="preserve"> is equivalent to 0.5</w:t>
      </w:r>
      <w:r w:rsidR="008E67F7">
        <w:rPr>
          <w:rFonts w:ascii="Book Antiqua" w:hAnsi="Book Antiqua" w:hint="eastAsia"/>
          <w:lang w:val="en-US" w:eastAsia="zh-CN"/>
        </w:rPr>
        <w:t xml:space="preserve"> </w:t>
      </w:r>
      <w:r w:rsidR="00571A6B" w:rsidRPr="002075A3">
        <w:rPr>
          <w:rFonts w:ascii="Book Antiqua" w:hAnsi="Book Antiqua"/>
          <w:lang w:val="en-US"/>
        </w:rPr>
        <w:t>cm</w:t>
      </w:r>
      <w:r w:rsidR="00571A6B" w:rsidRPr="002075A3">
        <w:rPr>
          <w:rFonts w:ascii="Book Antiqua" w:hAnsi="Book Antiqua"/>
          <w:vertAlign w:val="superscript"/>
          <w:lang w:val="en-US"/>
        </w:rPr>
        <w:t>2</w:t>
      </w:r>
      <w:r w:rsidR="00571A6B" w:rsidRPr="002075A3">
        <w:rPr>
          <w:rFonts w:ascii="Book Antiqua" w:hAnsi="Book Antiqua"/>
          <w:lang w:val="en-US"/>
        </w:rPr>
        <w:t xml:space="preserve"> equating to sampl</w:t>
      </w:r>
      <w:r w:rsidR="00714698" w:rsidRPr="002075A3">
        <w:rPr>
          <w:rFonts w:ascii="Book Antiqua" w:hAnsi="Book Antiqua"/>
          <w:lang w:val="en-US"/>
        </w:rPr>
        <w:t>ing</w:t>
      </w:r>
      <w:r w:rsidR="00571A6B" w:rsidRPr="002075A3">
        <w:rPr>
          <w:rFonts w:ascii="Book Antiqua" w:hAnsi="Book Antiqua"/>
          <w:lang w:val="en-US"/>
        </w:rPr>
        <w:t xml:space="preserve"> of only 3.5% of </w:t>
      </w:r>
      <w:r w:rsidR="009869D2" w:rsidRPr="002075A3">
        <w:rPr>
          <w:rFonts w:ascii="Book Antiqua" w:hAnsi="Book Antiqua"/>
          <w:lang w:val="en-US"/>
        </w:rPr>
        <w:t>an average-</w:t>
      </w:r>
      <w:r w:rsidR="00714698" w:rsidRPr="002075A3">
        <w:rPr>
          <w:rFonts w:ascii="Book Antiqua" w:hAnsi="Book Antiqua"/>
          <w:lang w:val="en-US"/>
        </w:rPr>
        <w:t xml:space="preserve">length </w:t>
      </w:r>
      <w:r w:rsidR="00CE1019" w:rsidRPr="002075A3">
        <w:rPr>
          <w:rFonts w:ascii="Book Antiqua" w:hAnsi="Book Antiqua"/>
          <w:lang w:val="en-US"/>
        </w:rPr>
        <w:t>BE</w:t>
      </w:r>
      <w:r w:rsidR="00A53B1C" w:rsidRPr="002075A3">
        <w:rPr>
          <w:rFonts w:ascii="Book Antiqua" w:hAnsi="Book Antiqua"/>
          <w:lang w:val="en-US"/>
        </w:rPr>
        <w:t>.</w:t>
      </w:r>
      <w:r w:rsidR="00714698" w:rsidRPr="002075A3">
        <w:rPr>
          <w:rFonts w:ascii="Book Antiqua" w:hAnsi="Book Antiqua"/>
          <w:lang w:val="en-US"/>
        </w:rPr>
        <w:t xml:space="preserve"> </w:t>
      </w:r>
      <w:r w:rsidR="00C11447" w:rsidRPr="002075A3">
        <w:rPr>
          <w:rFonts w:ascii="Book Antiqua" w:hAnsi="Book Antiqua"/>
          <w:lang w:val="en-US"/>
        </w:rPr>
        <w:t>4QBS</w:t>
      </w:r>
      <w:r w:rsidR="00A53B1C" w:rsidRPr="002075A3">
        <w:rPr>
          <w:rFonts w:ascii="Book Antiqua" w:hAnsi="Book Antiqua"/>
          <w:lang w:val="en-US"/>
        </w:rPr>
        <w:t xml:space="preserve"> are</w:t>
      </w:r>
      <w:r w:rsidR="006427F6" w:rsidRPr="002075A3">
        <w:rPr>
          <w:rFonts w:ascii="Book Antiqua" w:hAnsi="Book Antiqua"/>
          <w:lang w:val="en-US"/>
        </w:rPr>
        <w:t xml:space="preserve"> notoriously poorly adhered</w:t>
      </w:r>
      <w:r w:rsidR="00A53B1C" w:rsidRPr="002075A3">
        <w:rPr>
          <w:rFonts w:ascii="Book Antiqua" w:hAnsi="Book Antiqua"/>
          <w:lang w:val="en-US"/>
        </w:rPr>
        <w:t xml:space="preserve"> to</w:t>
      </w:r>
      <w:r w:rsidR="00FD2284">
        <w:rPr>
          <w:rFonts w:ascii="Book Antiqua" w:hAnsi="Book Antiqua"/>
          <w:lang w:val="en-US"/>
        </w:rPr>
        <w:fldChar w:fldCharType="begin" w:fldLock="1"/>
      </w:r>
      <w:r w:rsidR="00FD2284">
        <w:rPr>
          <w:rFonts w:ascii="Book Antiqua" w:hAnsi="Book Antiqua"/>
          <w:lang w:val="en-US"/>
        </w:rPr>
        <w:instrText>ADDIN CSL_CITATION { "citationItems" : [ { "id" : "ITEM-1", "itemData" : { "DOI" : "10.1111/j.1442-2050.2008.00813.x", "ISSN" : "11208694", "author" : [ { "dropping-particle" : "", "family" : "Peters", "given" : "F. P.", "non-dropping-particle" : "", "parse-names" : false, "suffix" : "" }, { "dropping-particle" : "", "family" : "Curvers", "given" : "W. L.", "non-dropping-particle" : "", "parse-names" : false, "suffix" : "" }, { "dropping-particle" : "", "family" : "Rosmolen", "given" : "W. D.", "non-dropping-particle" : "", "parse-names" : false, "suffix" : "" }, { "dropping-particle" : "", "family" : "Vries", "given" : "C. E.", "non-dropping-particle" : "De", "parse-names" : false, "suffix" : "" }, { "dropping-particle" : "", "family" : "Kate", "given" : "F. J. W.", "non-dropping-particle" : "Ten", "parse-names" : false, "suffix" : "" }, { "dropping-particle" : "", "family" : "Krishnadath", "given" : "K. K.", "non-dropping-particle" : "", "parse-names" : false, "suffix" : "" }, { "dropping-particle" : "", "family" : "Fockens", "given" : "P.", "non-dropping-particle" : "", "parse-names" : false, "suffix" : "" }, { "dropping-particle" : "", "family" : "Bergman", "given" : "J. J. G. H. M.", "non-dropping-particle" : "", "parse-names" : false, "suffix" : "" } ], "container-title" : "Diseases of the Esophagus", "id" : "ITEM-1", "issue" : "6", "issued" : { "date-parts" : [ [ "2008", "9" ] ] }, "page" : "475-479", "title" : "Surveillance history of endoscopically treated patients with early Barrett's neoplasia: nonadherence to the Seattle biopsy protocol leads to sampling error", "type" : "article-journal", "volume" : "21" }, "uris" : [ "http://www.mendeley.com/documents/?uuid=2f56a1e2-ba98-4a33-a9b0-4a53dc8fffdd" ] } ], "mendeley" : { "formattedCitation" : "&lt;sup&gt;[19]&lt;/sup&gt;", "plainTextFormattedCitation" : "[19]", "previouslyFormattedCitation" : "&lt;sup&gt;[19]&lt;/sup&gt;" }, "properties" : { "noteIndex" : 0 }, "schema" : "https://github.com/citation-style-language/schema/raw/master/csl-citation.json" }</w:instrText>
      </w:r>
      <w:r w:rsidR="00FD2284">
        <w:rPr>
          <w:rFonts w:ascii="Book Antiqua" w:hAnsi="Book Antiqua"/>
          <w:lang w:val="en-US"/>
        </w:rPr>
        <w:fldChar w:fldCharType="separate"/>
      </w:r>
      <w:r w:rsidR="00FD2284" w:rsidRPr="00FD2284">
        <w:rPr>
          <w:rFonts w:ascii="Book Antiqua" w:hAnsi="Book Antiqua"/>
          <w:noProof/>
          <w:vertAlign w:val="superscript"/>
          <w:lang w:val="en-US"/>
        </w:rPr>
        <w:t>[19]</w:t>
      </w:r>
      <w:r w:rsidR="00FD2284">
        <w:rPr>
          <w:rFonts w:ascii="Book Antiqua" w:hAnsi="Book Antiqua"/>
          <w:lang w:val="en-US"/>
        </w:rPr>
        <w:fldChar w:fldCharType="end"/>
      </w:r>
      <w:r w:rsidR="000755F2" w:rsidRPr="002075A3">
        <w:rPr>
          <w:rFonts w:ascii="Book Antiqua" w:hAnsi="Book Antiqua"/>
          <w:lang w:val="en-US"/>
        </w:rPr>
        <w:t>, with worse adherence for longer segments,</w:t>
      </w:r>
      <w:r w:rsidR="00A53B1C" w:rsidRPr="002075A3">
        <w:rPr>
          <w:rFonts w:ascii="Book Antiqua" w:hAnsi="Book Antiqua"/>
          <w:lang w:val="en-US"/>
        </w:rPr>
        <w:t xml:space="preserve"> further compounding miss-rates</w:t>
      </w:r>
      <w:r w:rsidR="000755F2" w:rsidRPr="002075A3">
        <w:rPr>
          <w:rFonts w:ascii="Book Antiqua" w:hAnsi="Book Antiqua"/>
          <w:lang w:val="en-US"/>
        </w:rPr>
        <w:t xml:space="preserve">. </w:t>
      </w:r>
      <w:r w:rsidR="00A53B1C" w:rsidRPr="002075A3">
        <w:rPr>
          <w:rFonts w:ascii="Book Antiqua" w:hAnsi="Book Antiqua"/>
          <w:lang w:val="en-US"/>
        </w:rPr>
        <w:t>In addition</w:t>
      </w:r>
      <w:r w:rsidR="00C11447" w:rsidRPr="002075A3">
        <w:rPr>
          <w:rFonts w:ascii="Book Antiqua" w:hAnsi="Book Antiqua"/>
          <w:lang w:val="en-US"/>
        </w:rPr>
        <w:t>,</w:t>
      </w:r>
      <w:r w:rsidR="00A53B1C" w:rsidRPr="002075A3">
        <w:rPr>
          <w:rFonts w:ascii="Book Antiqua" w:hAnsi="Book Antiqua"/>
          <w:lang w:val="en-US"/>
        </w:rPr>
        <w:t xml:space="preserve"> </w:t>
      </w:r>
      <w:r w:rsidR="00C11447" w:rsidRPr="002075A3">
        <w:rPr>
          <w:rFonts w:ascii="Book Antiqua" w:hAnsi="Book Antiqua"/>
          <w:lang w:val="en-US"/>
        </w:rPr>
        <w:t>4QBS</w:t>
      </w:r>
      <w:r w:rsidR="00A53B1C" w:rsidRPr="002075A3">
        <w:rPr>
          <w:rFonts w:ascii="Book Antiqua" w:hAnsi="Book Antiqua"/>
          <w:lang w:val="en-US"/>
        </w:rPr>
        <w:t xml:space="preserve"> are</w:t>
      </w:r>
      <w:r w:rsidR="000755F2" w:rsidRPr="002075A3">
        <w:rPr>
          <w:rFonts w:ascii="Book Antiqua" w:hAnsi="Book Antiqua"/>
          <w:lang w:val="en-US"/>
        </w:rPr>
        <w:t xml:space="preserve"> time</w:t>
      </w:r>
      <w:r w:rsidR="00A53B1C" w:rsidRPr="002075A3">
        <w:rPr>
          <w:rFonts w:ascii="Book Antiqua" w:hAnsi="Book Antiqua"/>
          <w:lang w:val="en-US"/>
        </w:rPr>
        <w:t>-</w:t>
      </w:r>
      <w:r w:rsidR="000755F2" w:rsidRPr="002075A3">
        <w:rPr>
          <w:rFonts w:ascii="Book Antiqua" w:hAnsi="Book Antiqua"/>
          <w:lang w:val="en-US"/>
        </w:rPr>
        <w:t xml:space="preserve">consuming and poorly tolerated by patients. The cost of processing </w:t>
      </w:r>
      <w:r w:rsidR="00A53B1C" w:rsidRPr="002075A3">
        <w:rPr>
          <w:rFonts w:ascii="Book Antiqua" w:hAnsi="Book Antiqua"/>
          <w:lang w:val="en-US"/>
        </w:rPr>
        <w:t>4</w:t>
      </w:r>
      <w:r w:rsidR="007148C7" w:rsidRPr="002075A3">
        <w:rPr>
          <w:rFonts w:ascii="Book Antiqua" w:hAnsi="Book Antiqua"/>
          <w:lang w:val="en-US"/>
        </w:rPr>
        <w:t>QBS</w:t>
      </w:r>
      <w:r w:rsidR="000755F2" w:rsidRPr="002075A3">
        <w:rPr>
          <w:rFonts w:ascii="Book Antiqua" w:hAnsi="Book Antiqua"/>
          <w:lang w:val="en-US"/>
        </w:rPr>
        <w:t xml:space="preserve"> is significant</w:t>
      </w:r>
      <w:r w:rsidR="00A53B1C" w:rsidRPr="002075A3">
        <w:rPr>
          <w:rFonts w:ascii="Book Antiqua" w:hAnsi="Book Antiqua"/>
          <w:lang w:val="en-US"/>
        </w:rPr>
        <w:t>,</w:t>
      </w:r>
      <w:r w:rsidR="000755F2" w:rsidRPr="002075A3">
        <w:rPr>
          <w:rFonts w:ascii="Book Antiqua" w:hAnsi="Book Antiqua"/>
          <w:lang w:val="en-US"/>
        </w:rPr>
        <w:t xml:space="preserve"> with </w:t>
      </w:r>
      <w:r w:rsidR="00473759" w:rsidRPr="002075A3">
        <w:rPr>
          <w:rFonts w:ascii="Book Antiqua" w:hAnsi="Book Antiqua"/>
          <w:lang w:val="en-US"/>
        </w:rPr>
        <w:t>each cassette of tissue costing £58.90 ($90.61) to process</w:t>
      </w:r>
      <w:r w:rsidR="00FD2284">
        <w:rPr>
          <w:rFonts w:ascii="Book Antiqua" w:hAnsi="Book Antiqua"/>
          <w:lang w:val="en-US"/>
        </w:rPr>
        <w:fldChar w:fldCharType="begin" w:fldLock="1"/>
      </w:r>
      <w:r w:rsidR="00FD2284">
        <w:rPr>
          <w:rFonts w:ascii="Book Antiqua" w:hAnsi="Book Antiqua"/>
          <w:lang w:val="en-US"/>
        </w:rPr>
        <w:instrText>ADDIN CSL_CITATION { "citationItems" : [ { "id" : "ITEM-1", "itemData" : { "DOI" : "10.1111/j.1442-2050.2011.01267.x", "ISSN" : "11208694", "PMID" : "21981061", "abstract" : "To examine the efficacy and potential cost implications of acetic acid (AA) chromoendoscopy in the assessment of Barrett's neoplasia. Our prospective database of patients referred between 2005 and 2010 with suspected early neoplasia was reviewed. High-resolution Fujinon gastroscopes and EPX-4400 processor were used. Inspection of Barrett's neoplasia was carried out using white light followed by AA. Neoplastic areas were noted, and targeted biopsy was carried out. This was followed by quadrantic biopsies of the remaining Barrett's neoplasia. The cost of protocol-guided biopsies was compared with AA-guided biopsy protocols. Two hundred sixty-three procedures on 197 patients were examined. High-risk neoplasia was found during 143 procedures. In 96% of cases it was identified with AA. The cost of histological evaluation by Cleveland protocol would be \u00a3139,416.30. The cost by AA-targeted biopsy followed by random biopsies in one pot would be \u00a325,032.50. For AA-targeted biopsies alone the cost would be \u00a39,541.8 but results in a 4% miss rate. AA localizes neoplastic lesions in the majority of patients and could potentially represent a significant cost saving in patients with suspected neoplasia.", "author" : [ { "dropping-particle" : "", "family" : "Bhandari", "given" : "P.", "non-dropping-particle" : "", "parse-names" : false, "suffix" : "" }, { "dropping-particle" : "", "family" : "Kandaswamy", "given" : "P.", "non-dropping-particle" : "", "parse-names" : false, "suffix" : "" }, { "dropping-particle" : "", "family" : "Cowlishaw", "given" : "D.", "non-dropping-particle" : "", "parse-names" : false, "suffix" : "" }, { "dropping-particle" : "", "family" : "Longcroft-Wheaton", "given" : "G.", "non-dropping-particle" : "", "parse-names" : false, "suffix" : "" } ], "container-title" : "Diseases of the Esophagus", "id" : "ITEM-1", "issue" : "5", "issued" : { "date-parts" : [ [ "2012" ] ] }, "page" : "386-392", "title" : "Acetic acid-enhanced chromoendoscopy is more cost-effective than protocol-guided biopsies in a high-risk Barrett's population", "type" : "article-journal", "volume" : "25" }, "uris" : [ "http://www.mendeley.com/documents/?uuid=e915222f-338e-431b-9bbb-a7f1f3b5ec0e" ] } ], "mendeley" : { "formattedCitation" : "&lt;sup&gt;[20]&lt;/sup&gt;", "plainTextFormattedCitation" : "[20]", "previouslyFormattedCitation" : "&lt;sup&gt;[20]&lt;/sup&gt;" }, "properties" : { "noteIndex" : 0 }, "schema" : "https://github.com/citation-style-language/schema/raw/master/csl-citation.json" }</w:instrText>
      </w:r>
      <w:r w:rsidR="00FD2284">
        <w:rPr>
          <w:rFonts w:ascii="Book Antiqua" w:hAnsi="Book Antiqua"/>
          <w:lang w:val="en-US"/>
        </w:rPr>
        <w:fldChar w:fldCharType="separate"/>
      </w:r>
      <w:r w:rsidR="00FD2284" w:rsidRPr="00FD2284">
        <w:rPr>
          <w:rFonts w:ascii="Book Antiqua" w:hAnsi="Book Antiqua"/>
          <w:noProof/>
          <w:vertAlign w:val="superscript"/>
          <w:lang w:val="en-US"/>
        </w:rPr>
        <w:t>[20]</w:t>
      </w:r>
      <w:r w:rsidR="00FD2284">
        <w:rPr>
          <w:rFonts w:ascii="Book Antiqua" w:hAnsi="Book Antiqua"/>
          <w:lang w:val="en-US"/>
        </w:rPr>
        <w:fldChar w:fldCharType="end"/>
      </w:r>
      <w:r w:rsidR="00473759" w:rsidRPr="002075A3">
        <w:rPr>
          <w:rFonts w:ascii="Book Antiqua" w:hAnsi="Book Antiqua"/>
          <w:lang w:val="en-US"/>
        </w:rPr>
        <w:t>.</w:t>
      </w:r>
    </w:p>
    <w:p w14:paraId="218F9EDC" w14:textId="32114069" w:rsidR="00C52D97" w:rsidRPr="002075A3" w:rsidRDefault="00C52D97" w:rsidP="00E46EEA">
      <w:pPr>
        <w:spacing w:line="360" w:lineRule="auto"/>
        <w:ind w:firstLineChars="150" w:firstLine="360"/>
        <w:jc w:val="both"/>
        <w:rPr>
          <w:rFonts w:ascii="Book Antiqua" w:hAnsi="Book Antiqua"/>
          <w:lang w:val="en-US"/>
        </w:rPr>
      </w:pPr>
      <w:r w:rsidRPr="002075A3">
        <w:rPr>
          <w:rFonts w:ascii="Book Antiqua" w:hAnsi="Book Antiqua"/>
          <w:lang w:val="en-US"/>
        </w:rPr>
        <w:t>These pitfalls in surveill</w:t>
      </w:r>
      <w:r w:rsidR="008258C7" w:rsidRPr="002075A3">
        <w:rPr>
          <w:rFonts w:ascii="Book Antiqua" w:hAnsi="Book Antiqua"/>
          <w:lang w:val="en-US"/>
        </w:rPr>
        <w:t xml:space="preserve">ance have prompted evaluation of more effective techniques to improve the diagnostic accuracy for the detection of </w:t>
      </w:r>
      <w:r w:rsidR="0063446D" w:rsidRPr="002075A3">
        <w:rPr>
          <w:rFonts w:ascii="Book Antiqua" w:hAnsi="Book Antiqua"/>
          <w:lang w:val="en-US"/>
        </w:rPr>
        <w:t>IM</w:t>
      </w:r>
      <w:r w:rsidR="008258C7" w:rsidRPr="002075A3">
        <w:rPr>
          <w:rFonts w:ascii="Book Antiqua" w:hAnsi="Book Antiqua"/>
          <w:lang w:val="en-US"/>
        </w:rPr>
        <w:t xml:space="preserve"> and early Barrett’s neoplasia, the most promising of which is acetic acid chromoendoscopy</w:t>
      </w:r>
      <w:r w:rsidR="00A53B1C" w:rsidRPr="002075A3">
        <w:rPr>
          <w:rFonts w:ascii="Book Antiqua" w:hAnsi="Book Antiqua"/>
          <w:lang w:val="en-US"/>
        </w:rPr>
        <w:t xml:space="preserve"> (AAC)</w:t>
      </w:r>
      <w:r w:rsidR="008258C7" w:rsidRPr="002075A3">
        <w:rPr>
          <w:rFonts w:ascii="Book Antiqua" w:hAnsi="Book Antiqua"/>
          <w:lang w:val="en-US"/>
        </w:rPr>
        <w:t xml:space="preserve">. This review aims to </w:t>
      </w:r>
      <w:r w:rsidR="007671A7" w:rsidRPr="002075A3">
        <w:rPr>
          <w:rFonts w:ascii="Book Antiqua" w:hAnsi="Book Antiqua"/>
          <w:lang w:val="en-US"/>
        </w:rPr>
        <w:t>summarize</w:t>
      </w:r>
      <w:r w:rsidR="008258C7" w:rsidRPr="002075A3">
        <w:rPr>
          <w:rFonts w:ascii="Book Antiqua" w:hAnsi="Book Antiqua"/>
          <w:lang w:val="en-US"/>
        </w:rPr>
        <w:t xml:space="preserve"> the current evidence for </w:t>
      </w:r>
      <w:r w:rsidR="00A53B1C" w:rsidRPr="002075A3">
        <w:rPr>
          <w:rFonts w:ascii="Book Antiqua" w:hAnsi="Book Antiqua"/>
          <w:lang w:val="en-US"/>
        </w:rPr>
        <w:t>AAC</w:t>
      </w:r>
      <w:r w:rsidR="008258C7" w:rsidRPr="002075A3">
        <w:rPr>
          <w:rFonts w:ascii="Book Antiqua" w:hAnsi="Book Antiqua"/>
          <w:lang w:val="en-US"/>
        </w:rPr>
        <w:t xml:space="preserve"> in </w:t>
      </w:r>
      <w:r w:rsidR="00CE1019" w:rsidRPr="002075A3">
        <w:rPr>
          <w:rFonts w:ascii="Book Antiqua" w:hAnsi="Book Antiqua"/>
          <w:lang w:val="en-US"/>
        </w:rPr>
        <w:t>BE</w:t>
      </w:r>
      <w:r w:rsidR="008258C7" w:rsidRPr="002075A3">
        <w:rPr>
          <w:rFonts w:ascii="Book Antiqua" w:hAnsi="Book Antiqua"/>
          <w:lang w:val="en-US"/>
        </w:rPr>
        <w:t xml:space="preserve"> and provide insight into the direction of travel for further research in this area.</w:t>
      </w:r>
    </w:p>
    <w:p w14:paraId="7737A308" w14:textId="77777777" w:rsidR="008258C7" w:rsidRPr="002075A3" w:rsidRDefault="008258C7" w:rsidP="00E46EEA">
      <w:pPr>
        <w:spacing w:line="360" w:lineRule="auto"/>
        <w:jc w:val="both"/>
        <w:rPr>
          <w:rFonts w:ascii="Book Antiqua" w:hAnsi="Book Antiqua"/>
          <w:lang w:val="en-US"/>
        </w:rPr>
      </w:pPr>
    </w:p>
    <w:p w14:paraId="18557629" w14:textId="4C60A272" w:rsidR="009523E4" w:rsidRPr="008E67F7" w:rsidRDefault="00F04AF6" w:rsidP="00E46EEA">
      <w:pPr>
        <w:spacing w:line="360" w:lineRule="auto"/>
        <w:jc w:val="both"/>
        <w:outlineLvl w:val="0"/>
        <w:rPr>
          <w:rFonts w:ascii="Book Antiqua" w:hAnsi="Book Antiqua"/>
          <w:b/>
          <w:lang w:val="en-US" w:eastAsia="zh-CN"/>
        </w:rPr>
      </w:pPr>
      <w:r w:rsidRPr="00F04AF6">
        <w:rPr>
          <w:rFonts w:ascii="Book Antiqua" w:hAnsi="Book Antiqua"/>
          <w:b/>
          <w:lang w:val="en-US"/>
        </w:rPr>
        <w:t>ACETIC ACID MECHANISM OF ACTION</w:t>
      </w:r>
    </w:p>
    <w:p w14:paraId="588A97F6" w14:textId="6713B10D" w:rsidR="008258C7" w:rsidRPr="002075A3" w:rsidRDefault="008258C7" w:rsidP="00E46EEA">
      <w:pPr>
        <w:spacing w:line="360" w:lineRule="auto"/>
        <w:jc w:val="both"/>
        <w:rPr>
          <w:rFonts w:ascii="Book Antiqua" w:hAnsi="Book Antiqua"/>
          <w:color w:val="000000" w:themeColor="text1"/>
          <w:lang w:val="en-US"/>
        </w:rPr>
      </w:pPr>
      <w:r w:rsidRPr="002075A3">
        <w:rPr>
          <w:rFonts w:ascii="Book Antiqua" w:hAnsi="Book Antiqua"/>
          <w:lang w:val="en-US"/>
        </w:rPr>
        <w:t xml:space="preserve">The use of acetic acid </w:t>
      </w:r>
      <w:r w:rsidR="00A53B1C" w:rsidRPr="002075A3">
        <w:rPr>
          <w:rFonts w:ascii="Book Antiqua" w:hAnsi="Book Antiqua"/>
          <w:lang w:val="en-US"/>
        </w:rPr>
        <w:t xml:space="preserve">(AA) </w:t>
      </w:r>
      <w:r w:rsidRPr="002075A3">
        <w:rPr>
          <w:rFonts w:ascii="Book Antiqua" w:hAnsi="Book Antiqua"/>
          <w:lang w:val="en-US"/>
        </w:rPr>
        <w:t>in the digestive tract was first reported by Guelrud and Herrera</w:t>
      </w:r>
      <w:r w:rsidR="00FD2284">
        <w:rPr>
          <w:rFonts w:ascii="Book Antiqua" w:hAnsi="Book Antiqua"/>
          <w:lang w:val="en-US"/>
        </w:rPr>
        <w:fldChar w:fldCharType="begin" w:fldLock="1"/>
      </w:r>
      <w:r w:rsidR="00FD2284">
        <w:rPr>
          <w:rFonts w:ascii="Book Antiqua" w:hAnsi="Book Antiqua"/>
          <w:lang w:val="en-US"/>
        </w:rPr>
        <w:instrText>ADDIN CSL_CITATION { "citationItems" : [ { "id" : "ITEM-1", "itemData" : { "DOI" : "10.1067/mge.2001.114059", "ISBN" : "0016-5107", "ISSN" : "00165107", "PMID" : "11323579", "abstract" : "Background: Specialized intestinal metaplasia (SIM) in Barrett's esophagus (BE) is not identifiable by standard endoscopy. Acetic acid instillation enhances the ability to detect columnar epithelium at the squamocolumnar union. Enhanced magnification endoscopy involves the combined use of magnification endoscopy with acetic acid. This study assessed the value of enhanced magnification endoscopy in detecting SIM in patients with BE. Methods: Patients undergoing endoscopic surveillance because of short segment BE without dysplasia underwent enhanced magnification endoscopy with 1.5% acetic acid instillation. Standard endoscopy was followed by magnification endoscopy and repeated after acetic acid spraying. Surface patterns were characterized prior to and after acetic acid spraying. The observed surface patterns were compared with histology results. Results: Forty-nine patients, 9 women and 39 men, with a mean age of 50.5 years were studied. One was excluded because of unclear definition of the surface pattern. Enhanced magnification endoscopy detected 4 different mucosal surface patterns: I, round pits; II, reticular; III, villous; and IV, ridged. A total of 129 areas were examined. Standard endoscopy identified an endoscopic pattern in 1.5% of the areas, standard endoscopy and acetic acid in 8.5%, magnification endoscopy alone in 38%, and enhanced magnification endoscopy in all 129 endoscopic areas. The yields for detecting SIM according to endoscopic patterns were as follows: pattern I, 0%; II, 11% (odds ratio 0.5, p = 0.54); III, 87% (odds ratio 36, p = 0.001); and IV, 100% (odds ratio 14, p = 0.015). Conclusions: Enhanced magnification endoscopy is an accurate method of predicting SIM in BE. The simplicity of the technique and its ability to identify characteristic endoscopic patterns with outstanding clarity and resolution that correlate with histologic identification of specialized intestinal metaplasia make enhanced magnification endoscopy an excellent method for the evaluation of patients with BE.", "author" : [ { "dropping-particle" : "", "family" : "Guelrud", "given" : "Moises", "non-dropping-particle" : "", "parse-names" : false, "suffix" : "" }, { "dropping-particle" : "", "family" : "Herrera", "given" : "Idamys", "non-dropping-particle" : "", "parse-names" : false, "suffix" : "" }, { "dropping-particle" : "", "family" : "Essenfeld", "given" : "Harold", "non-dropping-particle" : "", "parse-names" : false, "suffix" : "" }, { "dropping-particle" : "", "family" : "Castro", "given" : "Julio", "non-dropping-particle" : "", "parse-names" : false, "suffix" : "" } ], "container-title" : "Gastrointestinal Endoscopy", "id" : "ITEM-1", "issue" : "6", "issued" : { "date-parts" : [ [ "2001" ] ] }, "page" : "559-565", "title" : "Enhanced magnification endoscopy: A new technique to identify specialized intestinal metaplasia in Barrett's esophagus", "type" : "article-journal", "volume" : "53" }, "uris" : [ "http://www.mendeley.com/documents/?uuid=5f45a5a2-6bb5-4d7c-a6b0-aa866af9661d" ] } ], "mendeley" : { "formattedCitation" : "&lt;sup&gt;[21]&lt;/sup&gt;", "plainTextFormattedCitation" : "[21]", "previouslyFormattedCitation" : "&lt;sup&gt;[21]&lt;/sup&gt;" }, "properties" : { "noteIndex" : 0 }, "schema" : "https://github.com/citation-style-language/schema/raw/master/csl-citation.json" }</w:instrText>
      </w:r>
      <w:r w:rsidR="00FD2284">
        <w:rPr>
          <w:rFonts w:ascii="Book Antiqua" w:hAnsi="Book Antiqua"/>
          <w:lang w:val="en-US"/>
        </w:rPr>
        <w:fldChar w:fldCharType="separate"/>
      </w:r>
      <w:r w:rsidR="00FD2284" w:rsidRPr="00FD2284">
        <w:rPr>
          <w:rFonts w:ascii="Book Antiqua" w:hAnsi="Book Antiqua"/>
          <w:noProof/>
          <w:vertAlign w:val="superscript"/>
          <w:lang w:val="en-US"/>
        </w:rPr>
        <w:t>[21]</w:t>
      </w:r>
      <w:r w:rsidR="00FD2284">
        <w:rPr>
          <w:rFonts w:ascii="Book Antiqua" w:hAnsi="Book Antiqua"/>
          <w:lang w:val="en-US"/>
        </w:rPr>
        <w:fldChar w:fldCharType="end"/>
      </w:r>
      <w:r w:rsidR="0005430C" w:rsidRPr="002075A3">
        <w:rPr>
          <w:rFonts w:ascii="Book Antiqua" w:hAnsi="Book Antiqua"/>
          <w:lang w:val="en-US"/>
        </w:rPr>
        <w:t xml:space="preserve">, to aid in the identification of small islands of </w:t>
      </w:r>
      <w:r w:rsidR="00CE1019" w:rsidRPr="002075A3">
        <w:rPr>
          <w:rFonts w:ascii="Book Antiqua" w:hAnsi="Book Antiqua"/>
          <w:lang w:val="en-US"/>
        </w:rPr>
        <w:t>BE</w:t>
      </w:r>
      <w:r w:rsidR="0005430C" w:rsidRPr="002075A3">
        <w:rPr>
          <w:rFonts w:ascii="Book Antiqua" w:hAnsi="Book Antiqua"/>
          <w:lang w:val="en-US"/>
        </w:rPr>
        <w:t xml:space="preserve"> following ablative therapy. The technique was derived from </w:t>
      </w:r>
      <w:r w:rsidR="007671A7" w:rsidRPr="002075A3">
        <w:rPr>
          <w:rFonts w:ascii="Book Antiqua" w:hAnsi="Book Antiqua"/>
          <w:lang w:val="en-US"/>
        </w:rPr>
        <w:t>gynecology</w:t>
      </w:r>
      <w:r w:rsidR="0005430C" w:rsidRPr="002075A3">
        <w:rPr>
          <w:rFonts w:ascii="Book Antiqua" w:hAnsi="Book Antiqua"/>
          <w:lang w:val="en-US"/>
        </w:rPr>
        <w:t xml:space="preserve"> where </w:t>
      </w:r>
      <w:r w:rsidR="00A53B1C" w:rsidRPr="002075A3">
        <w:rPr>
          <w:rFonts w:ascii="Book Antiqua" w:hAnsi="Book Antiqua"/>
          <w:lang w:val="en-US"/>
        </w:rPr>
        <w:t>AA</w:t>
      </w:r>
      <w:r w:rsidR="0005430C" w:rsidRPr="002075A3">
        <w:rPr>
          <w:rFonts w:ascii="Book Antiqua" w:hAnsi="Book Antiqua"/>
          <w:lang w:val="en-US"/>
        </w:rPr>
        <w:t xml:space="preserve"> instilled onto the cervix has been used to highlight dysplastic areas during screening for cervical intraepithelial neoplasia</w:t>
      </w:r>
      <w:r w:rsidR="00FD2284">
        <w:rPr>
          <w:rFonts w:ascii="Book Antiqua" w:hAnsi="Book Antiqua"/>
          <w:lang w:val="en-US"/>
        </w:rPr>
        <w:fldChar w:fldCharType="begin" w:fldLock="1"/>
      </w:r>
      <w:r w:rsidR="0046625B">
        <w:rPr>
          <w:rFonts w:ascii="Book Antiqua" w:hAnsi="Book Antiqua"/>
          <w:lang w:val="en-US"/>
        </w:rPr>
        <w:instrText>ADDIN CSL_CITATION { "citationItems" : [ { "id" : "ITEM-1", "itemData" : { "ISSN" : "0029-7844", "abstract" : "Objective: To determine whether acetic acid visualization of the cervix can identify cervical dysplasia and improve detection of lesions missed by Papanicolaou test screening. Methods: During a 2-year period, patients attending family planning clinics for regular gynecologic examinations had acetic acid applied to the cervix, followed by gross visualization without magnification. Patients with suspicious acetowhite lesions and normal Papanicolaou tests were referred for colposcopic evaluation. Findings from these examinations and corresponding biopsy results were analyzed retrospectively. Results: Eighty-five women were referred for colposcopy because of abnormal acetowhite areas on the cervix. Thirteen patients (15%) had cervical intraepithelial neoplasia (CIN) (nine CIN I, four CIN II), 22 (26%) had koilocytosis, and 16 (19%) had benign histologic findings. In total, 51 patients had suspicious lesions at colposcopy for which biopsies were performed, and 34 (40%) had normal colposcopic examinations. Conclusions: Acetic acid visualization of the cervix can detect dysplasia otherwise missed by Papanicolaou test screening. However, further refinements in technique are required to decrease false-positive findings and unnecessary referrals for colposcopy.", "author" : [ { "dropping-particle" : "Le", "family" : "L.", "given" : "Van", "non-dropping-particle" : "", "parse-names" : false, "suffix" : "" }, { "dropping-particle" : "", "family" : "F.F.", "given" : "Broekhuizen", "non-dropping-particle" : "", "parse-names" : false, "suffix" : "" }, { "dropping-particle" : "", "family" : "R.", "given" : "Janzer-Steele", "non-dropping-particle" : "", "parse-names" : false, "suffix" : "" }, { "dropping-particle" : "", "family" : "M.", "given" : "Behar", "non-dropping-particle" : "", "parse-names" : false, "suffix" : "" }, { "dropping-particle" : "", "family" : "T.", "given" : "Samter", "non-dropping-particle" : "", "parse-names" : false, "suffix" : "" } ], "container-title" : "Obstetrics and Gynecology", "id" : "ITEM-1", "issue" : "2", "issued" : { "date-parts" : [ [ "1993" ] ] }, "page" : "293-295", "title" : "Acetic acid visualization of the cervix to detect cervical dysplasia", "type" : "article-journal", "volume" : "81" }, "uris" : [ "http://www.mendeley.com/documents/?uuid=0ede0861-befd-4061-9b95-cdc6c9df0d36" ] } ], "mendeley" : { "formattedCitation" : "&lt;sup&gt;[22]&lt;/sup&gt;", "plainTextFormattedCitation" : "[22]", "previouslyFormattedCitation" : "&lt;sup&gt;[22]&lt;/sup&gt;" }, "properties" : { "noteIndex" : 0 }, "schema" : "https://github.com/citation-style-language/schema/raw/master/csl-citation.json" }</w:instrText>
      </w:r>
      <w:r w:rsidR="00FD2284">
        <w:rPr>
          <w:rFonts w:ascii="Book Antiqua" w:hAnsi="Book Antiqua"/>
          <w:lang w:val="en-US"/>
        </w:rPr>
        <w:fldChar w:fldCharType="separate"/>
      </w:r>
      <w:r w:rsidR="00FD2284" w:rsidRPr="00FD2284">
        <w:rPr>
          <w:rFonts w:ascii="Book Antiqua" w:hAnsi="Book Antiqua"/>
          <w:noProof/>
          <w:vertAlign w:val="superscript"/>
          <w:lang w:val="en-US"/>
        </w:rPr>
        <w:t>[22]</w:t>
      </w:r>
      <w:r w:rsidR="00FD2284">
        <w:rPr>
          <w:rFonts w:ascii="Book Antiqua" w:hAnsi="Book Antiqua"/>
          <w:lang w:val="en-US"/>
        </w:rPr>
        <w:fldChar w:fldCharType="end"/>
      </w:r>
      <w:r w:rsidR="00183251" w:rsidRPr="002075A3">
        <w:rPr>
          <w:rFonts w:ascii="Book Antiqua" w:hAnsi="Book Antiqua"/>
          <w:lang w:val="en-US"/>
        </w:rPr>
        <w:t xml:space="preserve">. When </w:t>
      </w:r>
      <w:r w:rsidR="00A53B1C" w:rsidRPr="002075A3">
        <w:rPr>
          <w:rFonts w:ascii="Book Antiqua" w:hAnsi="Book Antiqua"/>
          <w:lang w:val="en-US"/>
        </w:rPr>
        <w:t>AA</w:t>
      </w:r>
      <w:r w:rsidR="00183251" w:rsidRPr="002075A3">
        <w:rPr>
          <w:rFonts w:ascii="Book Antiqua" w:hAnsi="Book Antiqua"/>
          <w:lang w:val="en-US"/>
        </w:rPr>
        <w:t xml:space="preserve"> is sprayed onto squamous epithelium, there is an acetowhitening reaction caused by masking of the submucosal capillaries and increasing opacity of the mucosal surface</w:t>
      </w:r>
      <w:r w:rsidR="0046625B">
        <w:rPr>
          <w:rFonts w:ascii="Book Antiqua" w:hAnsi="Book Antiqua"/>
          <w:lang w:val="en-US"/>
        </w:rPr>
        <w:fldChar w:fldCharType="begin" w:fldLock="1"/>
      </w:r>
      <w:r w:rsidR="0046625B">
        <w:rPr>
          <w:rFonts w:ascii="Book Antiqua" w:hAnsi="Book Antiqua"/>
          <w:lang w:val="en-US"/>
        </w:rPr>
        <w:instrText>ADDIN CSL_CITATION { "citationItems" : [ { "id" : "ITEM-1", "itemData" : { "DOI" : "10.1055/s-2003-38766", "ISSN" : "0013-726X", "PMID" : "12701018", "author" : [ { "dropping-particle" : "", "family" : "Lambert", "given" : "R", "non-dropping-particle" : "", "parse-names" : false, "suffix" : "" }, { "dropping-particle" : "", "family" : "Rey", "given" : "J F", "non-dropping-particle" : "", "parse-names" : false, "suffix" : "" }, { "dropping-particle" : "", "family" : "Sankaranarayanan", "given" : "R", "non-dropping-particle" : "", "parse-names" : false, "suffix" : "" } ], "container-title" : "Endoscopy", "id" : "ITEM-1", "issue" : "5", "issued" : { "date-parts" : [ [ "2003", "5" ] ] }, "page" : "437-45", "title" : "Magnification and chromoscopy with the acetic acid test.", "type" : "article-journal", "volume" : "35" }, "uris" : [ "http://www.mendeley.com/documents/?uuid=55f47a4c-5692-4a61-afb5-501dbfc20902" ] } ], "mendeley" : { "formattedCitation" : "&lt;sup&gt;[23]&lt;/sup&gt;", "plainTextFormattedCitation" : "[23]", "previouslyFormattedCitation" : "&lt;sup&gt;[23]&lt;/sup&gt;" }, "properties" : { "noteIndex" : 0 }, "schema" : "https://github.com/citation-style-language/schema/raw/master/csl-citation.json" }</w:instrText>
      </w:r>
      <w:r w:rsidR="0046625B">
        <w:rPr>
          <w:rFonts w:ascii="Book Antiqua" w:hAnsi="Book Antiqua"/>
          <w:lang w:val="en-US"/>
        </w:rPr>
        <w:fldChar w:fldCharType="separate"/>
      </w:r>
      <w:r w:rsidR="0046625B" w:rsidRPr="0046625B">
        <w:rPr>
          <w:rFonts w:ascii="Book Antiqua" w:hAnsi="Book Antiqua"/>
          <w:noProof/>
          <w:vertAlign w:val="superscript"/>
          <w:lang w:val="en-US"/>
        </w:rPr>
        <w:t>[23]</w:t>
      </w:r>
      <w:r w:rsidR="0046625B">
        <w:rPr>
          <w:rFonts w:ascii="Book Antiqua" w:hAnsi="Book Antiqua"/>
          <w:lang w:val="en-US"/>
        </w:rPr>
        <w:fldChar w:fldCharType="end"/>
      </w:r>
      <w:r w:rsidR="00183251" w:rsidRPr="002075A3">
        <w:rPr>
          <w:rFonts w:ascii="Book Antiqua" w:hAnsi="Book Antiqua"/>
          <w:lang w:val="en-US"/>
        </w:rPr>
        <w:t xml:space="preserve">. As </w:t>
      </w:r>
      <w:r w:rsidR="00A53B1C" w:rsidRPr="002075A3">
        <w:rPr>
          <w:rFonts w:ascii="Book Antiqua" w:hAnsi="Book Antiqua"/>
          <w:lang w:val="en-US"/>
        </w:rPr>
        <w:t>AA</w:t>
      </w:r>
      <w:r w:rsidR="00183251" w:rsidRPr="002075A3">
        <w:rPr>
          <w:rFonts w:ascii="Book Antiqua" w:hAnsi="Book Antiqua"/>
          <w:lang w:val="en-US"/>
        </w:rPr>
        <w:t xml:space="preserve"> (pH 2.5-3.0) infiltrates through the multi-layered squamous epithelium it is neutralized, </w:t>
      </w:r>
      <w:r w:rsidR="009869D2" w:rsidRPr="002075A3">
        <w:rPr>
          <w:rFonts w:ascii="Book Antiqua" w:hAnsi="Book Antiqua"/>
          <w:lang w:val="en-US"/>
        </w:rPr>
        <w:t>which protects</w:t>
      </w:r>
      <w:r w:rsidR="00183251" w:rsidRPr="002075A3">
        <w:rPr>
          <w:rFonts w:ascii="Book Antiqua" w:hAnsi="Book Antiqua"/>
          <w:lang w:val="en-US"/>
        </w:rPr>
        <w:t xml:space="preserve"> the subepithelial stroma and vasculature</w:t>
      </w:r>
      <w:r w:rsidR="0046625B">
        <w:rPr>
          <w:rFonts w:ascii="Book Antiqua" w:hAnsi="Book Antiqua"/>
          <w:lang w:val="en-US"/>
        </w:rPr>
        <w:fldChar w:fldCharType="begin" w:fldLock="1"/>
      </w:r>
      <w:r w:rsidR="00CA0D8C">
        <w:rPr>
          <w:rFonts w:ascii="Book Antiqua" w:hAnsi="Book Antiqua"/>
          <w:lang w:val="en-US"/>
        </w:rPr>
        <w:instrText>ADDIN CSL_CITATION { "citationItems" : [ { "id" : "ITEM-1", "itemData" : { "DOI" : "10.1016/j.gie.2006.03.922", "ISSN" : "00165107", "PMID" : "16813796", "author" : [ { "dropping-particle" : "", "family" : "Canto", "given" : "Marcia Irene", "non-dropping-particle" : "", "parse-names" : false, "suffix" : "" } ], "container-title" : "Gastrointestinal Endoscopy", "id" : "ITEM-1", "issue" : "1", "issued" : { "date-parts" : [ [ "2006" ] ] }, "page" : "13-16", "title" : "Acetic-acid chromoendoscopy for Barrett's esophagus: the \"pros\"", "type" : "article-journal", "volume" : "64" }, "uris" : [ "http://www.mendeley.com/documents/?uuid=21b6df2b-6469-4eab-8293-b1fc499c0243" ] } ], "mendeley" : { "formattedCitation" : "&lt;sup&gt;[24]&lt;/sup&gt;", "plainTextFormattedCitation" : "[24]", "previouslyFormattedCitation" : "&lt;sup&gt;[24]&lt;/sup&gt;" }, "properties" : { "noteIndex" : 0 }, "schema" : "https://github.com/citation-style-language/schema/raw/master/csl-citation.json" }</w:instrText>
      </w:r>
      <w:r w:rsidR="0046625B">
        <w:rPr>
          <w:rFonts w:ascii="Book Antiqua" w:hAnsi="Book Antiqua"/>
          <w:lang w:val="en-US"/>
        </w:rPr>
        <w:fldChar w:fldCharType="separate"/>
      </w:r>
      <w:r w:rsidR="0046625B" w:rsidRPr="0046625B">
        <w:rPr>
          <w:rFonts w:ascii="Book Antiqua" w:hAnsi="Book Antiqua"/>
          <w:noProof/>
          <w:vertAlign w:val="superscript"/>
          <w:lang w:val="en-US"/>
        </w:rPr>
        <w:t>[24]</w:t>
      </w:r>
      <w:r w:rsidR="0046625B">
        <w:rPr>
          <w:rFonts w:ascii="Book Antiqua" w:hAnsi="Book Antiqua"/>
          <w:lang w:val="en-US"/>
        </w:rPr>
        <w:fldChar w:fldCharType="end"/>
      </w:r>
      <w:r w:rsidR="00183251" w:rsidRPr="002075A3">
        <w:rPr>
          <w:rFonts w:ascii="Book Antiqua" w:hAnsi="Book Antiqua"/>
          <w:lang w:val="en-US"/>
        </w:rPr>
        <w:t>. In contrast, when sprayed on Barrett’s epithelium, at low concentrations (1</w:t>
      </w:r>
      <w:r w:rsidR="004F39DD">
        <w:rPr>
          <w:rFonts w:ascii="Book Antiqua" w:hAnsi="Book Antiqua" w:hint="eastAsia"/>
          <w:lang w:val="en-US" w:eastAsia="zh-CN"/>
        </w:rPr>
        <w:t>%</w:t>
      </w:r>
      <w:r w:rsidR="00096B00" w:rsidRPr="002075A3">
        <w:rPr>
          <w:rFonts w:ascii="Book Antiqua" w:hAnsi="Book Antiqua"/>
          <w:lang w:val="en-US"/>
        </w:rPr>
        <w:t xml:space="preserve">-3%), </w:t>
      </w:r>
      <w:r w:rsidR="00A53B1C" w:rsidRPr="002075A3">
        <w:rPr>
          <w:rFonts w:ascii="Book Antiqua" w:hAnsi="Book Antiqua"/>
          <w:lang w:val="en-US"/>
        </w:rPr>
        <w:t>AA</w:t>
      </w:r>
      <w:r w:rsidR="00096B00" w:rsidRPr="002075A3">
        <w:rPr>
          <w:rFonts w:ascii="Book Antiqua" w:hAnsi="Book Antiqua"/>
          <w:lang w:val="en-US"/>
        </w:rPr>
        <w:t xml:space="preserve"> initially eliminates the superficial mucus layer by breakage of glycoprotein disulphide bonds.</w:t>
      </w:r>
      <w:r w:rsidR="00D81F85" w:rsidRPr="002075A3">
        <w:rPr>
          <w:rFonts w:ascii="Book Antiqua" w:hAnsi="Book Antiqua"/>
          <w:lang w:val="en-US"/>
        </w:rPr>
        <w:t xml:space="preserve"> </w:t>
      </w:r>
      <w:r w:rsidR="008259DB" w:rsidRPr="002075A3">
        <w:rPr>
          <w:rFonts w:ascii="Book Antiqua" w:hAnsi="Book Antiqua"/>
          <w:lang w:val="en-US"/>
        </w:rPr>
        <w:t xml:space="preserve">The unbuffered acid then </w:t>
      </w:r>
      <w:r w:rsidR="008145A4" w:rsidRPr="002075A3">
        <w:rPr>
          <w:rFonts w:ascii="Book Antiqua" w:hAnsi="Book Antiqua"/>
          <w:lang w:val="en-US"/>
        </w:rPr>
        <w:t xml:space="preserve">causes a reversible acetylation of cellular proteins </w:t>
      </w:r>
      <w:r w:rsidR="00C25C74" w:rsidRPr="002075A3">
        <w:rPr>
          <w:rFonts w:ascii="Book Antiqua" w:hAnsi="Book Antiqua"/>
          <w:lang w:val="en-US"/>
        </w:rPr>
        <w:t xml:space="preserve">and a change in the spatial properties of </w:t>
      </w:r>
      <w:r w:rsidR="00D75A37" w:rsidRPr="002075A3">
        <w:rPr>
          <w:rFonts w:ascii="Book Antiqua" w:hAnsi="Book Antiqua"/>
          <w:lang w:val="en-US"/>
        </w:rPr>
        <w:t>nu</w:t>
      </w:r>
      <w:r w:rsidR="00293869" w:rsidRPr="002075A3">
        <w:rPr>
          <w:rFonts w:ascii="Book Antiqua" w:hAnsi="Book Antiqua"/>
          <w:lang w:val="en-US"/>
        </w:rPr>
        <w:t xml:space="preserve">clear and cytoplasmic proteins, initially causing an acetowhitening reaction that highlights the surface </w:t>
      </w:r>
      <w:r w:rsidR="00293869" w:rsidRPr="002075A3">
        <w:rPr>
          <w:rFonts w:ascii="Book Antiqua" w:hAnsi="Book Antiqua"/>
          <w:color w:val="000000" w:themeColor="text1"/>
          <w:lang w:val="en-US"/>
        </w:rPr>
        <w:t xml:space="preserve">pattern (Figure 1). With the disruption of the mucus layer, </w:t>
      </w:r>
      <w:r w:rsidR="00A53B1C" w:rsidRPr="002075A3">
        <w:rPr>
          <w:rFonts w:ascii="Book Antiqua" w:hAnsi="Book Antiqua"/>
          <w:color w:val="000000" w:themeColor="text1"/>
          <w:lang w:val="en-US"/>
        </w:rPr>
        <w:t>AA</w:t>
      </w:r>
      <w:r w:rsidR="00293869" w:rsidRPr="002075A3">
        <w:rPr>
          <w:rFonts w:ascii="Book Antiqua" w:hAnsi="Book Antiqua"/>
          <w:color w:val="000000" w:themeColor="text1"/>
          <w:lang w:val="en-US"/>
        </w:rPr>
        <w:t xml:space="preserve"> reaches stromal capillaries </w:t>
      </w:r>
      <w:r w:rsidR="0081301E">
        <w:rPr>
          <w:rFonts w:ascii="Book Antiqua" w:hAnsi="Book Antiqua"/>
          <w:color w:val="000000" w:themeColor="text1"/>
          <w:lang w:val="en-US"/>
        </w:rPr>
        <w:t xml:space="preserve">causing vascular congestion, leading to focal erythema but this is hidden under the acetowhite mucosa and only becomes visible after the loss of acetowhitening (LAW). This focal redness due to LAW was </w:t>
      </w:r>
      <w:r w:rsidR="0081301E">
        <w:rPr>
          <w:rFonts w:ascii="Book Antiqua" w:hAnsi="Book Antiqua"/>
          <w:color w:val="000000" w:themeColor="text1"/>
          <w:lang w:val="en-US"/>
        </w:rPr>
        <w:lastRenderedPageBreak/>
        <w:t>first described</w:t>
      </w:r>
      <w:r w:rsidR="00EB48E1">
        <w:rPr>
          <w:rFonts w:ascii="Book Antiqua" w:hAnsi="Book Antiqua"/>
          <w:color w:val="000000" w:themeColor="text1"/>
          <w:lang w:val="en-US"/>
        </w:rPr>
        <w:t>,</w:t>
      </w:r>
      <w:r w:rsidR="0081301E">
        <w:rPr>
          <w:rFonts w:ascii="Book Antiqua" w:hAnsi="Book Antiqua"/>
          <w:color w:val="000000" w:themeColor="text1"/>
          <w:lang w:val="en-US"/>
        </w:rPr>
        <w:t xml:space="preserve"> by the Portsmouth group in 2010</w:t>
      </w:r>
      <w:r w:rsidR="00CA0D8C">
        <w:rPr>
          <w:rFonts w:ascii="Book Antiqua" w:hAnsi="Book Antiqua"/>
          <w:color w:val="000000" w:themeColor="text1"/>
          <w:lang w:val="en-US"/>
        </w:rPr>
        <w:fldChar w:fldCharType="begin" w:fldLock="1"/>
      </w:r>
      <w:r w:rsidR="00196D18">
        <w:rPr>
          <w:rFonts w:ascii="Book Antiqua" w:hAnsi="Book Antiqua"/>
          <w:color w:val="000000" w:themeColor="text1"/>
          <w:lang w:val="en-US"/>
        </w:rPr>
        <w:instrText>ADDIN CSL_CITATION { "citationItems" : [ { "id" : "ITEM-1", "itemData" : { "DOI" : "10.1055/s-0032-1326630", "ISBN" : "0013-726x", "ISSN" : "0013726X", "PMID" : "23733726", "abstract" : "BACKGROUND AND STUDY AIMS: Acetic acid reacts with Barrett's mucosa to produce acetowhitening which disappears with time. The clinical significance of this is unknown. We aimed to quantify the acetowhitening time, developing an objective tool for diagnosis of neoplasia in Barrett's esophagus. PATIENTS AND METHODS: Prospective cohort study in a tertiary referral center, enrolling patients undergoing surveillance of Barrett's metaplasia or referred with suspected neoplasia. Acetic acid 2.5 % was applied to the mucosa via a spray catheter. Acetowhitening was observed and time to disappearance recorded. Targeted biopsies of any neoplasia and quadrantic 2-cm biopsies of residual Barrett's area were then taken. Histological findings were investigated in relation to duration of acetowhitening. RESULTS: 132 patients were examined. A receiver operating characteristic (ROC) curve was produced for identifying high risk neoplasia according to acetowhitening duration. The area under the curve (AUC) was 0.93 (0.89 - 0.97). Using a threshold of 142 seconds yielded a sensitivity for neoplasia of 98 % (95 % confidence interval [95 %CI] 89 % - 100 %) and specificity of 84 % (74 % - 91 %). The ROC curve for mucosal neoplasia (high grade dysplasia or intramucosal carcinoma) versus deep invasive cancer showed an AUC of 0.786 (0.61 - 0.96); a cutoff of 20 seconds yielded a sensitivity and specificity for invasive cancer of 67 % (35 % - 90 %) and 85 % (69 % - 95 %), respectively. CONCLUSION: The time to disappearance of acetowhitening can serve as a simple but very sensitive tool for the diagnosis of high risk neoplasia in Barrett's esophagus. It can be used to distinguish mucosal neoplasia from deep invasive cancer.", "author" : [ { "dropping-particle" : "", "family" : "Longcroft-Wheaton", "given" : "G.", "non-dropping-particle" : "", "parse-names" : false, "suffix" : "" }, { "dropping-particle" : "", "family" : "Brown", "given" : "J.", "non-dropping-particle" : "", "parse-names" : false, "suffix" : "" }, { "dropping-particle" : "", "family" : "Basford", "given" : "P.", "non-dropping-particle" : "", "parse-names" : false, "suffix" : "" }, { "dropping-particle" : "", "family" : "Cowlishaw", "given" : "D.", "non-dropping-particle" : "", "parse-names" : false, "suffix" : "" }, { "dropping-particle" : "", "family" : "Higgins", "given" : "B.", "non-dropping-particle" : "", "parse-names" : false, "suffix" : "" }, { "dropping-particle" : "", "family" : "Bhandari", "given" : "P.", "non-dropping-particle" : "", "parse-names" : false, "suffix" : "" } ], "container-title" : "Endoscopy", "id" : "ITEM-1", "issue" : "6", "issued" : { "date-parts" : [ [ "2013" ] ] }, "page" : "426-432", "title" : "Duration of acetowhitening as a novel objective tool for diagnosing high risk neoplasia in Barrett's esophagus: A prospective cohort trial", "type" : "article-journal", "volume" : "45" }, "uris" : [ "http://www.mendeley.com/documents/?uuid=0763e647-4203-4c0f-8120-350b428241f5" ] } ], "mendeley" : { "formattedCitation" : "&lt;sup&gt;[2]&lt;/sup&gt;", "plainTextFormattedCitation" : "[2]", "previouslyFormattedCitation" : "&lt;sup&gt;[2]&lt;/sup&gt;" }, "properties" : { "noteIndex" : 0 }, "schema" : "https://github.com/citation-style-language/schema/raw/master/csl-citation.json" }</w:instrText>
      </w:r>
      <w:r w:rsidR="00CA0D8C">
        <w:rPr>
          <w:rFonts w:ascii="Book Antiqua" w:hAnsi="Book Antiqua"/>
          <w:color w:val="000000" w:themeColor="text1"/>
          <w:lang w:val="en-US"/>
        </w:rPr>
        <w:fldChar w:fldCharType="separate"/>
      </w:r>
      <w:r w:rsidR="00CA0D8C" w:rsidRPr="00CA0D8C">
        <w:rPr>
          <w:rFonts w:ascii="Book Antiqua" w:hAnsi="Book Antiqua"/>
          <w:noProof/>
          <w:color w:val="000000" w:themeColor="text1"/>
          <w:vertAlign w:val="superscript"/>
          <w:lang w:val="en-US"/>
        </w:rPr>
        <w:t>[2]</w:t>
      </w:r>
      <w:r w:rsidR="00CA0D8C">
        <w:rPr>
          <w:rFonts w:ascii="Book Antiqua" w:hAnsi="Book Antiqua"/>
          <w:color w:val="000000" w:themeColor="text1"/>
          <w:lang w:val="en-US"/>
        </w:rPr>
        <w:fldChar w:fldCharType="end"/>
      </w:r>
      <w:r w:rsidR="00EB48E1">
        <w:rPr>
          <w:rFonts w:ascii="Book Antiqua" w:hAnsi="Book Antiqua"/>
          <w:color w:val="000000" w:themeColor="text1"/>
          <w:lang w:val="en-US"/>
        </w:rPr>
        <w:t>,</w:t>
      </w:r>
      <w:r w:rsidR="0081301E">
        <w:rPr>
          <w:rFonts w:ascii="Book Antiqua" w:hAnsi="Book Antiqua"/>
          <w:color w:val="000000" w:themeColor="text1"/>
          <w:lang w:val="en-US"/>
        </w:rPr>
        <w:t xml:space="preserve"> as a strong predictor of neoplasia. The exact mechanism remains unclear but it is believed that the difference in acetowhitening reaction between non-neoplastic and neoplastic mucosa is due to the difference in the nucleocytoplasmic ratio between non-neoplastic and neoplastic cells. The low cytoplasmic content of neoplastic cells allows them to lose acetowhitening quicker than non-neoplastic cells. This reaction leads to focal erythema – a pathognomic sign of neoplasia with AAC.</w:t>
      </w:r>
    </w:p>
    <w:p w14:paraId="4CD7970C" w14:textId="77777777" w:rsidR="00A67829" w:rsidRPr="002075A3" w:rsidRDefault="00A67829" w:rsidP="00E46EEA">
      <w:pPr>
        <w:spacing w:line="360" w:lineRule="auto"/>
        <w:jc w:val="both"/>
        <w:rPr>
          <w:rFonts w:ascii="Book Antiqua" w:hAnsi="Book Antiqua"/>
          <w:lang w:val="en-US"/>
        </w:rPr>
      </w:pPr>
    </w:p>
    <w:p w14:paraId="45E7E665" w14:textId="797C4072" w:rsidR="00A67829" w:rsidRPr="004F39DD" w:rsidRDefault="00F04AF6" w:rsidP="00E46EEA">
      <w:pPr>
        <w:spacing w:line="360" w:lineRule="auto"/>
        <w:jc w:val="both"/>
        <w:outlineLvl w:val="0"/>
        <w:rPr>
          <w:rFonts w:ascii="Book Antiqua" w:hAnsi="Book Antiqua"/>
          <w:lang w:val="en-US" w:eastAsia="zh-CN"/>
        </w:rPr>
      </w:pPr>
      <w:r w:rsidRPr="00F04AF6">
        <w:rPr>
          <w:rFonts w:ascii="Book Antiqua" w:hAnsi="Book Antiqua"/>
          <w:b/>
          <w:lang w:val="en-US"/>
        </w:rPr>
        <w:t>ACETIC ACID FOR THE DIAGNOSIS OF NON-NEOPLASTIC BARRETT’S ESOPHAGUS</w:t>
      </w:r>
    </w:p>
    <w:p w14:paraId="1820C694" w14:textId="7DEC3121" w:rsidR="00706B1B" w:rsidRPr="002075A3" w:rsidRDefault="006552BC" w:rsidP="00E46EEA">
      <w:pPr>
        <w:spacing w:line="360" w:lineRule="auto"/>
        <w:jc w:val="both"/>
        <w:rPr>
          <w:rFonts w:ascii="Book Antiqua" w:hAnsi="Book Antiqua"/>
          <w:lang w:val="en-US" w:eastAsia="zh-CN"/>
        </w:rPr>
      </w:pPr>
      <w:r w:rsidRPr="002075A3">
        <w:rPr>
          <w:rFonts w:ascii="Book Antiqua" w:hAnsi="Book Antiqua"/>
          <w:lang w:val="en-US"/>
        </w:rPr>
        <w:t>The diagnosis of Barrett’s esophagus</w:t>
      </w:r>
      <w:r w:rsidR="00FB14BF" w:rsidRPr="002075A3">
        <w:rPr>
          <w:rFonts w:ascii="Book Antiqua" w:hAnsi="Book Antiqua"/>
          <w:lang w:val="en-US"/>
        </w:rPr>
        <w:t>,</w:t>
      </w:r>
      <w:r w:rsidR="008B43CA" w:rsidRPr="002075A3">
        <w:rPr>
          <w:rFonts w:ascii="Book Antiqua" w:hAnsi="Book Antiqua"/>
          <w:lang w:val="en-US"/>
        </w:rPr>
        <w:t xml:space="preserve"> according to </w:t>
      </w:r>
      <w:r w:rsidR="00AD3501" w:rsidRPr="002075A3">
        <w:rPr>
          <w:rFonts w:ascii="Book Antiqua" w:hAnsi="Book Antiqua"/>
          <w:lang w:val="en-US"/>
        </w:rPr>
        <w:t>American society guidelines</w:t>
      </w:r>
      <w:r w:rsidR="00196D18">
        <w:rPr>
          <w:rFonts w:ascii="Book Antiqua" w:hAnsi="Book Antiqua"/>
          <w:lang w:val="en-US"/>
        </w:rPr>
        <w:fldChar w:fldCharType="begin" w:fldLock="1"/>
      </w:r>
      <w:r w:rsidR="00196D18">
        <w:rPr>
          <w:rFonts w:ascii="Book Antiqua" w:hAnsi="Book Antiqua"/>
          <w:lang w:val="en-US"/>
        </w:rPr>
        <w:instrText>ADDIN CSL_CITATION { "citationItems" : [ { "id" : "ITEM-1", "itemData" : { "DOI" : "10.1016/j.gie.2012.08.004", "ISSN" : "1097-6779", "PMID" : "23164510", "author" : [ { "dropping-particle" : "", "family" : "ASGE Standards of Practice Committee", "given" : "", "non-dropping-particle" : "", "parse-names" : false, "suffix" : "" }, { "dropping-particle" : "", "family" : "Evans", "given" : "John A", "non-dropping-particle" : "", "parse-names" : false, "suffix" : "" }, { "dropping-particle" : "", "family" : "Early", "given" : "Dayna S", "non-dropping-particle" : "", "parse-names" : false, "suffix" : "" }, { "dropping-particle" : "", "family" : "Fukami", "given" : "Norio", "non-dropping-particle" : "", "parse-names" : false, "suffix" : "" }, { "dropping-particle" : "", "family" : "Ben-Menachem", "given" : "Tamir", "non-dropping-particle" : "", "parse-names" : false, "suffix" : "" }, { "dropping-particle" : "", "family" : "Chandrasekhara", "given" : "Vinay", "non-dropping-particle" : "", "parse-names" : false, "suffix" : "" }, { "dropping-particle" : "V", "family" : "Chathadi", "given" : "Krishnavel", "non-dropping-particle" : "", "parse-names" : false, "suffix" : "" }, { "dropping-particle" : "", "family" : "Decker", "given" : "G Anton", "non-dropping-particle" : "", "parse-names" : false, "suffix" : "" }, { "dropping-particle" : "", "family" : "Fanelli", "given" : "Robert D", "non-dropping-particle" : "", "parse-names" : false, "suffix" : "" }, { "dropping-particle" : "", "family" : "Fisher", "given" : "Deborah A", "non-dropping-particle" : "", "parse-names" : false, "suffix" : "" }, { "dropping-particle" : "", "family" : "Foley", "given" : "Kimberly Q", "non-dropping-particle" : "", "parse-names" : false, "suffix" : "" }, { "dropping-particle" : "", "family" : "Hwang", "given" : "Joo Ha", "non-dropping-particle" : "", "parse-names" : false, "suffix" : "" }, { "dropping-particle" : "", "family" : "Jain", "given" : "Rajeev", "non-dropping-particle" : "", "parse-names" : false, "suffix" : "" }, { "dropping-particle" : "", "family" : "Jue", "given" : "Terry L", "non-dropping-particle" : "", "parse-names" : false, "suffix" : "" }, { "dropping-particle" : "", "family" : "Khan", "given" : "Khalid M", "non-dropping-particle" : "", "parse-names" : false, "suffix" : "" }, { "dropping-particle" : "", "family" : "Lightdale", "given" : "Jenifer", "non-dropping-particle" : "", "parse-names" : false, "suffix" : "" }, { "dropping-particle" : "", "family" : "Malpas", "given" : "Phyllis M", "non-dropping-particle" : "", "parse-names" : false, "suffix" : "" }, { "dropping-particle" : "", "family" : "Maple", "given" : "John T", "non-dropping-particle" : "", "parse-names" : false, "suffix" : "" }, { "dropping-particle" : "", "family" : "Pasha", "given" : "Shabana F", "non-dropping-particle" : "", "parse-names" : false, "suffix" : "" }, { "dropping-particle" : "", "family" : "Saltzman", "given" : "John R", "non-dropping-particle" : "", "parse-names" : false, "suffix" : "" }, { "dropping-particle" : "", "family" : "Sharaf", "given" : "Ravi N", "non-dropping-particle" : "", "parse-names" : false, "suffix" : "" }, { "dropping-particle" : "", "family" : "Shergill", "given" : "Amandeep", "non-dropping-particle" : "", "parse-names" : false, "suffix" : "" }, { "dropping-particle" : "", "family" : "Dominitz", "given" : "Jason A", "non-dropping-particle" : "", "parse-names" : false, "suffix" : "" }, { "dropping-particle" : "", "family" : "Cash", "given" : "Brooks D", "non-dropping-particle" : "", "parse-names" : false, "suffix" : "" }, { "dropping-particle" : "", "family" : "Standards of Practice Committee of the American Society for Gastrointestinal Endoscopy", "given" : "", "non-dropping-particle" : "", "parse-names" : false, "suffix" : "" } ], "container-title" : "Gastrointestinal endoscopy", "id" : "ITEM-1", "issue" : "6", "issued" : { "date-parts" : [ [ "2012", "12" ] ] }, "page" : "1087-94", "title" : "The role of endoscopy in Barrett's esophagus and other premalignant conditions of the esophagus.", "type" : "article-journal", "volume" : "76" }, "uris" : [ "http://www.mendeley.com/documents/?uuid=174579f8-90ae-472a-8d4a-a08e8f37cccf" ] } ], "mendeley" : { "formattedCitation" : "&lt;sup&gt;[25]&lt;/sup&gt;", "plainTextFormattedCitation" : "[25]", "previouslyFormattedCitation" : "&lt;sup&gt;[25]&lt;/sup&gt;" }, "properties" : { "noteIndex" : 0 }, "schema" : "https://github.com/citation-style-language/schema/raw/master/csl-citation.json" }</w:instrText>
      </w:r>
      <w:r w:rsidR="00196D18">
        <w:rPr>
          <w:rFonts w:ascii="Book Antiqua" w:hAnsi="Book Antiqua"/>
          <w:lang w:val="en-US"/>
        </w:rPr>
        <w:fldChar w:fldCharType="separate"/>
      </w:r>
      <w:r w:rsidR="00196D18" w:rsidRPr="00196D18">
        <w:rPr>
          <w:rFonts w:ascii="Book Antiqua" w:hAnsi="Book Antiqua"/>
          <w:noProof/>
          <w:vertAlign w:val="superscript"/>
          <w:lang w:val="en-US"/>
        </w:rPr>
        <w:t>[25]</w:t>
      </w:r>
      <w:r w:rsidR="00196D18">
        <w:rPr>
          <w:rFonts w:ascii="Book Antiqua" w:hAnsi="Book Antiqua"/>
          <w:lang w:val="en-US"/>
        </w:rPr>
        <w:fldChar w:fldCharType="end"/>
      </w:r>
      <w:r w:rsidR="00706B1B" w:rsidRPr="002075A3">
        <w:rPr>
          <w:rFonts w:ascii="Book Antiqua" w:hAnsi="Book Antiqua"/>
          <w:lang w:val="en-US"/>
        </w:rPr>
        <w:t>,</w:t>
      </w:r>
      <w:r w:rsidRPr="002075A3">
        <w:rPr>
          <w:rFonts w:ascii="Book Antiqua" w:hAnsi="Book Antiqua"/>
          <w:lang w:val="en-US"/>
        </w:rPr>
        <w:t xml:space="preserve"> is defined as the presence of </w:t>
      </w:r>
      <w:r w:rsidR="00706B1B" w:rsidRPr="002075A3">
        <w:rPr>
          <w:rFonts w:ascii="Book Antiqua" w:hAnsi="Book Antiqua"/>
          <w:lang w:val="en-US"/>
        </w:rPr>
        <w:t>esophageal IM</w:t>
      </w:r>
      <w:r w:rsidR="0063446D" w:rsidRPr="002075A3">
        <w:rPr>
          <w:rFonts w:ascii="Book Antiqua" w:hAnsi="Book Antiqua"/>
          <w:lang w:val="en-US"/>
        </w:rPr>
        <w:t>.</w:t>
      </w:r>
      <w:r w:rsidRPr="002075A3">
        <w:rPr>
          <w:rFonts w:ascii="Book Antiqua" w:hAnsi="Book Antiqua"/>
          <w:lang w:val="en-US"/>
        </w:rPr>
        <w:t xml:space="preserve"> </w:t>
      </w:r>
      <w:r w:rsidR="0063446D" w:rsidRPr="002075A3">
        <w:rPr>
          <w:rFonts w:ascii="Book Antiqua" w:hAnsi="Book Antiqua"/>
          <w:lang w:val="en-US"/>
        </w:rPr>
        <w:t xml:space="preserve">As </w:t>
      </w:r>
      <w:r w:rsidRPr="002075A3">
        <w:rPr>
          <w:rFonts w:ascii="Book Antiqua" w:hAnsi="Book Antiqua"/>
          <w:lang w:val="en-US"/>
        </w:rPr>
        <w:t xml:space="preserve">IM is not readily identifiable by </w:t>
      </w:r>
      <w:r w:rsidR="00FB14BF" w:rsidRPr="002075A3">
        <w:rPr>
          <w:rFonts w:ascii="Book Antiqua" w:hAnsi="Book Antiqua"/>
          <w:lang w:val="en-US"/>
        </w:rPr>
        <w:t>white light</w:t>
      </w:r>
      <w:r w:rsidRPr="002075A3">
        <w:rPr>
          <w:rFonts w:ascii="Book Antiqua" w:hAnsi="Book Antiqua"/>
          <w:lang w:val="en-US"/>
        </w:rPr>
        <w:t xml:space="preserve"> endoscopy, this diagnos</w:t>
      </w:r>
      <w:r w:rsidR="00706B1B" w:rsidRPr="002075A3">
        <w:rPr>
          <w:rFonts w:ascii="Book Antiqua" w:hAnsi="Book Antiqua"/>
          <w:lang w:val="en-US"/>
        </w:rPr>
        <w:t>is is made based on histology</w:t>
      </w:r>
      <w:r w:rsidRPr="002075A3">
        <w:rPr>
          <w:rFonts w:ascii="Book Antiqua" w:hAnsi="Book Antiqua"/>
          <w:lang w:val="en-US"/>
        </w:rPr>
        <w:t xml:space="preserve">. Efforts have been made to </w:t>
      </w:r>
      <w:r w:rsidR="00706B1B" w:rsidRPr="002075A3">
        <w:rPr>
          <w:rFonts w:ascii="Book Antiqua" w:hAnsi="Book Antiqua"/>
          <w:lang w:val="en-US"/>
        </w:rPr>
        <w:t xml:space="preserve">visually </w:t>
      </w:r>
      <w:r w:rsidRPr="002075A3">
        <w:rPr>
          <w:rFonts w:ascii="Book Antiqua" w:hAnsi="Book Antiqua"/>
          <w:lang w:val="en-US"/>
        </w:rPr>
        <w:t>identify IM</w:t>
      </w:r>
      <w:r w:rsidR="00706B1B" w:rsidRPr="002075A3">
        <w:rPr>
          <w:rFonts w:ascii="Book Antiqua" w:hAnsi="Book Antiqua"/>
          <w:lang w:val="en-US"/>
        </w:rPr>
        <w:t xml:space="preserve"> by means of enhanced endoscopy</w:t>
      </w:r>
      <w:r w:rsidRPr="002075A3">
        <w:rPr>
          <w:rFonts w:ascii="Book Antiqua" w:hAnsi="Book Antiqua"/>
          <w:lang w:val="en-US"/>
        </w:rPr>
        <w:t xml:space="preserve">. </w:t>
      </w:r>
      <w:r w:rsidR="00A53B1C" w:rsidRPr="002075A3">
        <w:rPr>
          <w:rFonts w:ascii="Book Antiqua" w:hAnsi="Book Antiqua"/>
          <w:lang w:val="en-US"/>
        </w:rPr>
        <w:t>AA</w:t>
      </w:r>
      <w:r w:rsidRPr="002075A3">
        <w:rPr>
          <w:rFonts w:ascii="Book Antiqua" w:hAnsi="Book Antiqua"/>
          <w:lang w:val="en-US"/>
        </w:rPr>
        <w:t xml:space="preserve"> coupled with magnification endoscopy has been shown to acc</w:t>
      </w:r>
      <w:r w:rsidR="00706B1B" w:rsidRPr="002075A3">
        <w:rPr>
          <w:rFonts w:ascii="Book Antiqua" w:hAnsi="Book Antiqua"/>
          <w:lang w:val="en-US"/>
        </w:rPr>
        <w:t>urately identify IM</w:t>
      </w:r>
      <w:r w:rsidR="00196D18">
        <w:rPr>
          <w:rFonts w:ascii="Book Antiqua" w:hAnsi="Book Antiqua"/>
          <w:lang w:val="en-US"/>
        </w:rPr>
        <w:fldChar w:fldCharType="begin" w:fldLock="1"/>
      </w:r>
      <w:r w:rsidR="00196D18">
        <w:rPr>
          <w:rFonts w:ascii="Book Antiqua" w:hAnsi="Book Antiqua"/>
          <w:lang w:val="en-US"/>
        </w:rPr>
        <w:instrText>ADDIN CSL_CITATION { "citationItems" : [ { "id" : "ITEM-1", "itemData" : { "DOI" : "10.1067/mge.2001.114059", "ISBN" : "0016-5107", "ISSN" : "00165107", "PMID" : "11323579", "abstract" : "Background: Specialized intestinal metaplasia (SIM) in Barrett's esophagus (BE) is not identifiable by standard endoscopy. Acetic acid instillation enhances the ability to detect columnar epithelium at the squamocolumnar union. Enhanced magnification endoscopy involves the combined use of magnification endoscopy with acetic acid. This study assessed the value of enhanced magnification endoscopy in detecting SIM in patients with BE. Methods: Patients undergoing endoscopic surveillance because of short segment BE without dysplasia underwent enhanced magnification endoscopy with 1.5% acetic acid instillation. Standard endoscopy was followed by magnification endoscopy and repeated after acetic acid spraying. Surface patterns were characterized prior to and after acetic acid spraying. The observed surface patterns were compared with histology results. Results: Forty-nine patients, 9 women and 39 men, with a mean age of 50.5 years were studied. One was excluded because of unclear definition of the surface pattern. Enhanced magnification endoscopy detected 4 different mucosal surface patterns: I, round pits; II, reticular; III, villous; and IV, ridged. A total of 129 areas were examined. Standard endoscopy identified an endoscopic pattern in 1.5% of the areas, standard endoscopy and acetic acid in 8.5%, magnification endoscopy alone in 38%, and enhanced magnification endoscopy in all 129 endoscopic areas. The yields for detecting SIM according to endoscopic patterns were as follows: pattern I, 0%; II, 11% (odds ratio 0.5, p = 0.54); III, 87% (odds ratio 36, p = 0.001); and IV, 100% (odds ratio 14, p = 0.015). Conclusions: Enhanced magnification endoscopy is an accurate method of predicting SIM in BE. The simplicity of the technique and its ability to identify characteristic endoscopic patterns with outstanding clarity and resolution that correlate with histologic identification of specialized intestinal metaplasia make enhanced magnification endoscopy an excellent method for the evaluation of patients with BE.", "author" : [ { "dropping-particle" : "", "family" : "Guelrud", "given" : "Moises", "non-dropping-particle" : "", "parse-names" : false, "suffix" : "" }, { "dropping-particle" : "", "family" : "Herrera", "given" : "Idamys", "non-dropping-particle" : "", "parse-names" : false, "suffix" : "" }, { "dropping-particle" : "", "family" : "Essenfeld", "given" : "Harold", "non-dropping-particle" : "", "parse-names" : false, "suffix" : "" }, { "dropping-particle" : "", "family" : "Castro", "given" : "Julio", "non-dropping-particle" : "", "parse-names" : false, "suffix" : "" } ], "container-title" : "Gastrointestinal Endoscopy", "id" : "ITEM-1", "issue" : "6", "issued" : { "date-parts" : [ [ "2001" ] ] }, "page" : "559-565", "title" : "Enhanced magnification endoscopy: A new technique to identify specialized intestinal metaplasia in Barrett's esophagus", "type" : "article-journal", "volume" : "53" }, "uris" : [ "http://www.mendeley.com/documents/?uuid=5f45a5a2-6bb5-4d7c-a6b0-aa866af9661d" ] } ], "mendeley" : { "formattedCitation" : "&lt;sup&gt;[21]&lt;/sup&gt;", "plainTextFormattedCitation" : "[21]", "previouslyFormattedCitation" : "&lt;sup&gt;[21]&lt;/sup&gt;" }, "properties" : { "noteIndex" : 0 }, "schema" : "https://github.com/citation-style-language/schema/raw/master/csl-citation.json" }</w:instrText>
      </w:r>
      <w:r w:rsidR="00196D18">
        <w:rPr>
          <w:rFonts w:ascii="Book Antiqua" w:hAnsi="Book Antiqua"/>
          <w:lang w:val="en-US"/>
        </w:rPr>
        <w:fldChar w:fldCharType="separate"/>
      </w:r>
      <w:r w:rsidR="00196D18" w:rsidRPr="00196D18">
        <w:rPr>
          <w:rFonts w:ascii="Book Antiqua" w:hAnsi="Book Antiqua"/>
          <w:noProof/>
          <w:vertAlign w:val="superscript"/>
          <w:lang w:val="en-US"/>
        </w:rPr>
        <w:t>[21]</w:t>
      </w:r>
      <w:r w:rsidR="00196D18">
        <w:rPr>
          <w:rFonts w:ascii="Book Antiqua" w:hAnsi="Book Antiqua"/>
          <w:lang w:val="en-US"/>
        </w:rPr>
        <w:fldChar w:fldCharType="end"/>
      </w:r>
      <w:r w:rsidR="00706B1B" w:rsidRPr="002075A3">
        <w:rPr>
          <w:rFonts w:ascii="Book Antiqua" w:hAnsi="Book Antiqua"/>
          <w:lang w:val="en-US"/>
        </w:rPr>
        <w:t>. Guelrud et al</w:t>
      </w:r>
      <w:r w:rsidR="004F39DD" w:rsidRPr="004F39DD">
        <w:rPr>
          <w:rFonts w:ascii="Book Antiqua" w:hAnsi="Book Antiqua" w:hint="eastAsia"/>
          <w:vertAlign w:val="superscript"/>
          <w:lang w:val="en-US" w:eastAsia="zh-CN"/>
        </w:rPr>
        <w:t>[21]</w:t>
      </w:r>
      <w:r w:rsidR="00706B1B" w:rsidRPr="002075A3">
        <w:rPr>
          <w:rFonts w:ascii="Book Antiqua" w:hAnsi="Book Antiqua"/>
          <w:lang w:val="en-US"/>
        </w:rPr>
        <w:t xml:space="preserve"> classified</w:t>
      </w:r>
      <w:r w:rsidRPr="002075A3">
        <w:rPr>
          <w:rFonts w:ascii="Book Antiqua" w:hAnsi="Book Antiqua"/>
          <w:lang w:val="en-US"/>
        </w:rPr>
        <w:t xml:space="preserve"> the surface pattern of Barrett’s mucosa into 4 categories: </w:t>
      </w:r>
      <w:r w:rsidR="004F39DD">
        <w:rPr>
          <w:rFonts w:ascii="Book Antiqua" w:hAnsi="Book Antiqua" w:hint="eastAsia"/>
          <w:lang w:val="en-US" w:eastAsia="zh-CN"/>
        </w:rPr>
        <w:t xml:space="preserve">(1) </w:t>
      </w:r>
      <w:r w:rsidR="00706B1B" w:rsidRPr="002075A3">
        <w:rPr>
          <w:rFonts w:ascii="Book Antiqua" w:hAnsi="Book Antiqua"/>
          <w:lang w:val="en-US"/>
        </w:rPr>
        <w:t>round pits</w:t>
      </w:r>
      <w:r w:rsidR="004F39DD">
        <w:rPr>
          <w:rFonts w:ascii="Book Antiqua" w:hAnsi="Book Antiqua" w:hint="eastAsia"/>
          <w:lang w:val="en-US" w:eastAsia="zh-CN"/>
        </w:rPr>
        <w:t>;</w:t>
      </w:r>
      <w:r w:rsidRPr="002075A3">
        <w:rPr>
          <w:rFonts w:ascii="Book Antiqua" w:hAnsi="Book Antiqua"/>
          <w:lang w:val="en-US"/>
        </w:rPr>
        <w:t xml:space="preserve"> </w:t>
      </w:r>
      <w:r w:rsidR="004F39DD">
        <w:rPr>
          <w:rFonts w:ascii="Book Antiqua" w:hAnsi="Book Antiqua" w:hint="eastAsia"/>
          <w:lang w:val="en-US" w:eastAsia="zh-CN"/>
        </w:rPr>
        <w:t xml:space="preserve">(2) </w:t>
      </w:r>
      <w:r w:rsidRPr="002075A3">
        <w:rPr>
          <w:rFonts w:ascii="Book Antiqua" w:hAnsi="Book Antiqua"/>
          <w:lang w:val="en-US"/>
        </w:rPr>
        <w:t>ret</w:t>
      </w:r>
      <w:r w:rsidR="00706B1B" w:rsidRPr="002075A3">
        <w:rPr>
          <w:rFonts w:ascii="Book Antiqua" w:hAnsi="Book Antiqua"/>
          <w:lang w:val="en-US"/>
        </w:rPr>
        <w:t>icular (circular or oval pits)</w:t>
      </w:r>
      <w:r w:rsidR="004F39DD">
        <w:rPr>
          <w:rFonts w:ascii="Book Antiqua" w:hAnsi="Book Antiqua" w:hint="eastAsia"/>
          <w:lang w:val="en-US" w:eastAsia="zh-CN"/>
        </w:rPr>
        <w:t xml:space="preserve">; (3) </w:t>
      </w:r>
      <w:r w:rsidRPr="002075A3">
        <w:rPr>
          <w:rFonts w:ascii="Book Antiqua" w:hAnsi="Book Antiqua"/>
          <w:lang w:val="en-US"/>
        </w:rPr>
        <w:t>villous (fine villiform a</w:t>
      </w:r>
      <w:r w:rsidR="00706B1B" w:rsidRPr="002075A3">
        <w:rPr>
          <w:rFonts w:ascii="Book Antiqua" w:hAnsi="Book Antiqua"/>
          <w:lang w:val="en-US"/>
        </w:rPr>
        <w:t>ppearance without visible pits)</w:t>
      </w:r>
      <w:r w:rsidR="004F39DD">
        <w:rPr>
          <w:rFonts w:ascii="Book Antiqua" w:hAnsi="Book Antiqua" w:hint="eastAsia"/>
          <w:lang w:val="en-US" w:eastAsia="zh-CN"/>
        </w:rPr>
        <w:t xml:space="preserve">; and (4) </w:t>
      </w:r>
      <w:r w:rsidRPr="002075A3">
        <w:rPr>
          <w:rFonts w:ascii="Book Antiqua" w:hAnsi="Book Antiqua"/>
          <w:lang w:val="en-US"/>
        </w:rPr>
        <w:t>ridged (thick villi with convoluted, cerebriform appearance without visible pits)</w:t>
      </w:r>
      <w:r w:rsidR="004F39DD">
        <w:rPr>
          <w:rFonts w:ascii="Book Antiqua" w:hAnsi="Book Antiqua" w:hint="eastAsia"/>
          <w:lang w:val="en-US" w:eastAsia="zh-CN"/>
        </w:rPr>
        <w:t xml:space="preserve">. </w:t>
      </w:r>
    </w:p>
    <w:p w14:paraId="523BE7FF" w14:textId="6925C58F" w:rsidR="006552BC" w:rsidRPr="002075A3" w:rsidRDefault="00706B1B" w:rsidP="00E46EEA">
      <w:pPr>
        <w:spacing w:line="360" w:lineRule="auto"/>
        <w:ind w:firstLineChars="150" w:firstLine="360"/>
        <w:jc w:val="both"/>
        <w:rPr>
          <w:rFonts w:ascii="Book Antiqua" w:hAnsi="Book Antiqua"/>
          <w:lang w:val="en-US"/>
        </w:rPr>
      </w:pPr>
      <w:r w:rsidRPr="002075A3">
        <w:rPr>
          <w:rFonts w:ascii="Book Antiqua" w:hAnsi="Book Antiqua"/>
          <w:lang w:val="en-US"/>
        </w:rPr>
        <w:t>They</w:t>
      </w:r>
      <w:r w:rsidR="006552BC" w:rsidRPr="002075A3">
        <w:rPr>
          <w:rFonts w:ascii="Book Antiqua" w:hAnsi="Book Antiqua"/>
          <w:lang w:val="en-US"/>
        </w:rPr>
        <w:t xml:space="preserve"> found that </w:t>
      </w:r>
      <w:r w:rsidR="006B43BF">
        <w:rPr>
          <w:rFonts w:ascii="Book Antiqua" w:hAnsi="Book Antiqua"/>
          <w:lang w:val="en-US"/>
        </w:rPr>
        <w:t>Pattern I</w:t>
      </w:r>
      <w:r w:rsidR="00E65FE8">
        <w:rPr>
          <w:rFonts w:ascii="Book Antiqua" w:hAnsi="Book Antiqua"/>
          <w:lang w:val="en-US"/>
        </w:rPr>
        <w:t xml:space="preserve"> corresponded</w:t>
      </w:r>
      <w:r w:rsidR="006B43BF">
        <w:rPr>
          <w:rFonts w:ascii="Book Antiqua" w:hAnsi="Book Antiqua"/>
          <w:lang w:val="en-US"/>
        </w:rPr>
        <w:t xml:space="preserve"> to fundic </w:t>
      </w:r>
      <w:r w:rsidR="00E52E5D">
        <w:rPr>
          <w:rFonts w:ascii="Book Antiqua" w:hAnsi="Book Antiqua"/>
          <w:lang w:val="en-US"/>
        </w:rPr>
        <w:t>or cardiac</w:t>
      </w:r>
      <w:r w:rsidR="00165F9C">
        <w:rPr>
          <w:rFonts w:ascii="Book Antiqua" w:hAnsi="Book Antiqua"/>
          <w:lang w:val="en-US"/>
        </w:rPr>
        <w:t xml:space="preserve"> type </w:t>
      </w:r>
      <w:r w:rsidR="006B43BF">
        <w:rPr>
          <w:rFonts w:ascii="Book Antiqua" w:hAnsi="Book Antiqua"/>
          <w:lang w:val="en-US"/>
        </w:rPr>
        <w:t>without IM and Patterns II, III, an IV each corresponded to IM with increasing sensitivities. T</w:t>
      </w:r>
      <w:r w:rsidR="006552BC" w:rsidRPr="002075A3">
        <w:rPr>
          <w:rFonts w:ascii="Book Antiqua" w:hAnsi="Book Antiqua"/>
          <w:lang w:val="en-US"/>
        </w:rPr>
        <w:t xml:space="preserve">he overall accuracy of </w:t>
      </w:r>
      <w:r w:rsidR="00A53B1C" w:rsidRPr="002075A3">
        <w:rPr>
          <w:rFonts w:ascii="Book Antiqua" w:hAnsi="Book Antiqua"/>
          <w:lang w:val="en-US"/>
        </w:rPr>
        <w:t>AA</w:t>
      </w:r>
      <w:r w:rsidR="006552BC" w:rsidRPr="002075A3">
        <w:rPr>
          <w:rFonts w:ascii="Book Antiqua" w:hAnsi="Book Antiqua"/>
          <w:lang w:val="en-US"/>
        </w:rPr>
        <w:t xml:space="preserve"> with magnification endoscopy</w:t>
      </w:r>
      <w:r w:rsidRPr="002075A3">
        <w:rPr>
          <w:rFonts w:ascii="Book Antiqua" w:hAnsi="Book Antiqua"/>
          <w:lang w:val="en-US"/>
        </w:rPr>
        <w:t xml:space="preserve"> for the diagnosis of IM</w:t>
      </w:r>
      <w:r w:rsidR="006552BC" w:rsidRPr="002075A3">
        <w:rPr>
          <w:rFonts w:ascii="Book Antiqua" w:hAnsi="Book Antiqua"/>
          <w:lang w:val="en-US"/>
        </w:rPr>
        <w:t xml:space="preserve"> was 92.2%. These findings were reliably replicated by Toyoda </w:t>
      </w:r>
      <w:r w:rsidR="006552BC" w:rsidRPr="004F39DD">
        <w:rPr>
          <w:rFonts w:ascii="Book Antiqua" w:hAnsi="Book Antiqua"/>
          <w:i/>
          <w:lang w:val="en-US"/>
        </w:rPr>
        <w:t>et al</w:t>
      </w:r>
      <w:r w:rsidR="00196D18">
        <w:rPr>
          <w:rFonts w:ascii="Book Antiqua" w:hAnsi="Book Antiqua"/>
          <w:lang w:val="en-US"/>
        </w:rPr>
        <w:fldChar w:fldCharType="begin" w:fldLock="1"/>
      </w:r>
      <w:r w:rsidR="00196D18">
        <w:rPr>
          <w:rFonts w:ascii="Book Antiqua" w:hAnsi="Book Antiqua"/>
          <w:lang w:val="en-US"/>
        </w:rPr>
        <w:instrText>ADDIN CSL_CITATION { "citationItems" : [ { "id" : "ITEM-1", "itemData" : { "ISSN" : "0016-5107", "PMID" : "14722541", "abstract" : "BACKGROUND Standard videoendoscopy identifies columnar-lined esophagus but cannot distinguish intestinal metaplasia from other types of epithelium. Enhanced-magnification endoscopy identifies different mucosal pit patterns. A preliminary study suggested that a type 3 pattern is associated with the presence of intestinal metaplasia. This study assesses the value of enhanced-magnification endoscopy for the detection of intestinal metaplasia in the distal esophagus and esophagogastric junction in patients undergoing diagnostic EGD. METHODS Patients undergoing diagnostic endoscopy for upper-GI symptoms underwent enhanced-magnification endoscopy after instillation of 1.5% acetic acid. The enhanced-magnification endoscopy mucosal pattern was classified into 3 types: 1, normal pits; 2, slit-reticular pattern; and 3, gyrus-villous pattern. Preliminary studies indicated that the type 3 pattern was related to intestinal metaplasia. One to 6 biopsies were targeted to areas having a type 3 pattern in columnar-appearing mucosa in the distal esophagus or esophagogastric junction. In the absence of type 3 pattern, one to 8 biopsies were targeted to areas with a type 2 pattern in columnar-appearing mucosa in the distal esophagus or esophagogastric junction. RESULTS The overall frequency of intestinal metaplasia in the esophagus and esophagogastric junction was 38.8% (26/67 patients). There was a good correlation between the type 3 pattern and intestinal metaplasia in targeted biopsy specimens (sensitivity 88.5%, specificity 90.2%, positive predictive value 85.2%, negative predictive value 92.5%, overall accuracy 90.0%). CONCLUSIONS Enhanced-magnification endoscopy is useful for detection of intestinal metaplasia in distal esophagus and esophagogastric junction.", "author" : [ { "dropping-particle" : "", "family" : "Toyoda", "given" : "Hideki", "non-dropping-particle" : "", "parse-names" : false, "suffix" : "" }, { "dropping-particle" : "", "family" : "Rubio", "given" : "Carlos", "non-dropping-particle" : "", "parse-names" : false, "suffix" : "" }, { "dropping-particle" : "", "family" : "Befrits", "given" : "Ragnar", "non-dropping-particle" : "", "parse-names" : false, "suffix" : "" }, { "dropping-particle" : "", "family" : "Hamamoto", "given" : "Norihiro", "non-dropping-particle" : "", "parse-names" : false, "suffix" : "" }, { "dropping-particle" : "", "family" : "Adachi", "given" : "Yukihiko", "non-dropping-particle" : "", "parse-names" : false, "suffix" : "" }, { "dropping-particle" : "", "family" : "Jaramillo", "given" : "Edgar", "non-dropping-particle" : "", "parse-names" : false, "suffix" : "" } ], "container-title" : "Gastrointestinal endoscopy", "id" : "ITEM-1", "issue" : "1", "issued" : { "date-parts" : [ [ "2004", "1" ] ] }, "page" : "15-21", "title" : "Detection of intestinal metaplasia in distal esophagus and esophagogastric junction by enhanced-magnification endoscopy.", "type" : "article-journal", "volume" : "59" }, "uris" : [ "http://www.mendeley.com/documents/?uuid=1b6a6027-2368-43a3-96a7-ce1eea064cbe" ] } ], "mendeley" : { "formattedCitation" : "&lt;sup&gt;[26]&lt;/sup&gt;", "plainTextFormattedCitation" : "[26]", "previouslyFormattedCitation" : "&lt;sup&gt;[26]&lt;/sup&gt;" }, "properties" : { "noteIndex" : 0 }, "schema" : "https://github.com/citation-style-language/schema/raw/master/csl-citation.json" }</w:instrText>
      </w:r>
      <w:r w:rsidR="00196D18">
        <w:rPr>
          <w:rFonts w:ascii="Book Antiqua" w:hAnsi="Book Antiqua"/>
          <w:lang w:val="en-US"/>
        </w:rPr>
        <w:fldChar w:fldCharType="separate"/>
      </w:r>
      <w:r w:rsidR="00196D18" w:rsidRPr="00196D18">
        <w:rPr>
          <w:rFonts w:ascii="Book Antiqua" w:hAnsi="Book Antiqua"/>
          <w:noProof/>
          <w:vertAlign w:val="superscript"/>
          <w:lang w:val="en-US"/>
        </w:rPr>
        <w:t>[26]</w:t>
      </w:r>
      <w:r w:rsidR="00196D18">
        <w:rPr>
          <w:rFonts w:ascii="Book Antiqua" w:hAnsi="Book Antiqua"/>
          <w:lang w:val="en-US"/>
        </w:rPr>
        <w:fldChar w:fldCharType="end"/>
      </w:r>
      <w:r w:rsidR="006552BC" w:rsidRPr="002075A3">
        <w:rPr>
          <w:rFonts w:ascii="Book Antiqua" w:hAnsi="Book Antiqua"/>
          <w:lang w:val="en-US"/>
        </w:rPr>
        <w:t xml:space="preserve"> and Fortun</w:t>
      </w:r>
      <w:r w:rsidR="006552BC" w:rsidRPr="004F39DD">
        <w:rPr>
          <w:rFonts w:ascii="Book Antiqua" w:hAnsi="Book Antiqua"/>
          <w:i/>
          <w:lang w:val="en-US"/>
        </w:rPr>
        <w:t xml:space="preserve"> e</w:t>
      </w:r>
      <w:bookmarkStart w:id="30" w:name="_Ref443807154"/>
      <w:r w:rsidR="00C7203E" w:rsidRPr="004F39DD">
        <w:rPr>
          <w:rFonts w:ascii="Book Antiqua" w:hAnsi="Book Antiqua"/>
          <w:i/>
          <w:lang w:val="en-US"/>
        </w:rPr>
        <w:t>t al</w:t>
      </w:r>
      <w:r w:rsidR="00196D18">
        <w:rPr>
          <w:rFonts w:ascii="Book Antiqua" w:hAnsi="Book Antiqua"/>
          <w:lang w:val="en-US"/>
        </w:rPr>
        <w:fldChar w:fldCharType="begin" w:fldLock="1"/>
      </w:r>
      <w:r w:rsidR="00196D18">
        <w:rPr>
          <w:rFonts w:ascii="Book Antiqua" w:hAnsi="Book Antiqua"/>
          <w:lang w:val="en-US"/>
        </w:rPr>
        <w:instrText>ADDIN CSL_CITATION { "citationItems" : [ { "id" : "ITEM-1", "itemData" : { "DOI" : "10.1111/j.1365-2036.2006.02823.x", "ISBN" : "0269-2813 (Print)\\r0269-2813 (Linking)", "ISSN" : "02692813", "PMID" : "16556175", "abstract" : "BACKGROUND: Barrett's surveillance is prone to sampling error. Aim To determine whether enhanced magnification endoscopy using acetic acid instillation improves diagnostic accuracy of specialized intestinal metaplasia/dysplasia in Barrett's oesophagus.\\n\\nMETHODS: We examined the detection rate of the specialized intestinal metaplasia/dysplasia in 64 consecutive patients with Barrett's oesophagus using acetic acid to enhance mucosal pit patterns. Histology was compared with the previous findings at recent conventional surveillance in 62 patients. We also examined the inter-/intra-observer agreement in the assessment of the enhanced magnification endoscopy pit pattern findings.\\n\\nRESULTS: Histology revealed columnar-lined oesophagus in six (9%) patients, specialized intestinal metaplasia in 49 (77%), low-grade dysplasia in five (8%), high-grade dysplasia in one (2%), and adenocarcinoma in three (5%). There was discordance between the histologic findings from conventional surveillance with random biopsy. Fifteen patients (24%) had a histological upgrade with enhanced magnification endoscopy. There was a high detection rate of specialized intestinal metaplasia even in short segment Barrett's oesophagus (74%), and additionally, there were two cancers, one with 2-cm Barrett's oesophagus and one ultra-short (1 cm). The mean kappa values for inter- and intra-observer agreement in assessing the pit patterns were 0.571 (0.041) and 0.709 (0.038), respectively.\\n\\nCONCLUSIONS: Enhanced magnification endoscopy allows clear visualization of the epithelial pit patterns within Barrett's oesophagus, and targeted biopsy results in a high yield of specialized intestinal metaplasia and dysplasia.", "author" : [ { "dropping-particle" : "", "family" : "Fortun", "given" : "P. J.", "non-dropping-particle" : "", "parse-names" : false, "suffix" : "" }, { "dropping-particle" : "", "family" : "Anagnostopoulos", "given" : "G. K.", "non-dropping-particle" : "", "parse-names" : false, "suffix" : "" }, { "dropping-particle" : "", "family" : "Kaye", "given" : "P.", "non-dropping-particle" : "", "parse-names" : false, "suffix" : "" }, { "dropping-particle" : "", "family" : "James", "given" : "M.", "non-dropping-particle" : "", "parse-names" : false, "suffix" : "" }, { "dropping-particle" : "", "family" : "Foley", "given" : "S.", "non-dropping-particle" : "", "parse-names" : false, "suffix" : "" }, { "dropping-particle" : "", "family" : "Samuel", "given" : "S.", "non-dropping-particle" : "", "parse-names" : false, "suffix" : "" }, { "dropping-particle" : "", "family" : "Shonde", "given" : "A.", "non-dropping-particle" : "", "parse-names" : false, "suffix" : "" }, { "dropping-particle" : "", "family" : "Badreldin", "given" : "R.", "non-dropping-particle" : "", "parse-names" : false, "suffix" : "" }, { "dropping-particle" : "", "family" : "Campbell", "given" : "E.", "non-dropping-particle" : "", "parse-names" : false, "suffix" : "" }, { "dropping-particle" : "", "family" : "Hawkey", "given" : "C. J.", "non-dropping-particle" : "", "parse-names" : false, "suffix" : "" }, { "dropping-particle" : "", "family" : "Ragunath", "given" : "K.", "non-dropping-particle" : "", "parse-names" : false, "suffix" : "" } ], "container-title" : "Alimentary Pharmacology and Therapeutics", "id" : "ITEM-1", "issue" : "6", "issued" : { "date-parts" : [ [ "2006" ] ] }, "page" : "735-742", "title" : "Acetic acid-enhanced magnification endoscopy in the diagnosis of specialized intestinal metaplasia, dysplasia and early cancer in Barrett's oesophagus", "type" : "article-journal", "volume" : "23" }, "uris" : [ "http://www.mendeley.com/documents/?uuid=4647920a-119f-4f34-9405-80303fdaed0a" ] } ], "mendeley" : { "formattedCitation" : "&lt;sup&gt;[27]&lt;/sup&gt;", "plainTextFormattedCitation" : "[27]", "previouslyFormattedCitation" : "&lt;sup&gt;[27]&lt;/sup&gt;" }, "properties" : { "noteIndex" : 0 }, "schema" : "https://github.com/citation-style-language/schema/raw/master/csl-citation.json" }</w:instrText>
      </w:r>
      <w:r w:rsidR="00196D18">
        <w:rPr>
          <w:rFonts w:ascii="Book Antiqua" w:hAnsi="Book Antiqua"/>
          <w:lang w:val="en-US"/>
        </w:rPr>
        <w:fldChar w:fldCharType="separate"/>
      </w:r>
      <w:r w:rsidR="00196D18" w:rsidRPr="00196D18">
        <w:rPr>
          <w:rFonts w:ascii="Book Antiqua" w:hAnsi="Book Antiqua"/>
          <w:noProof/>
          <w:vertAlign w:val="superscript"/>
          <w:lang w:val="en-US"/>
        </w:rPr>
        <w:t>[27]</w:t>
      </w:r>
      <w:r w:rsidR="00196D18">
        <w:rPr>
          <w:rFonts w:ascii="Book Antiqua" w:hAnsi="Book Antiqua"/>
          <w:lang w:val="en-US"/>
        </w:rPr>
        <w:fldChar w:fldCharType="end"/>
      </w:r>
      <w:bookmarkEnd w:id="30"/>
      <w:r w:rsidR="00C7203E">
        <w:rPr>
          <w:rFonts w:ascii="Book Antiqua" w:hAnsi="Book Antiqua"/>
          <w:lang w:val="en-US"/>
        </w:rPr>
        <w:t>.</w:t>
      </w:r>
      <w:r w:rsidR="006552BC" w:rsidRPr="002075A3">
        <w:rPr>
          <w:rFonts w:ascii="Book Antiqua" w:hAnsi="Book Antiqua"/>
          <w:vertAlign w:val="superscript"/>
          <w:lang w:val="en-US"/>
        </w:rPr>
        <w:fldChar w:fldCharType="begin"/>
      </w:r>
      <w:r w:rsidR="006552BC" w:rsidRPr="002075A3">
        <w:rPr>
          <w:rFonts w:ascii="Book Antiqua" w:hAnsi="Book Antiqua"/>
          <w:vertAlign w:val="superscript"/>
          <w:lang w:val="en-US"/>
        </w:rPr>
        <w:instrText xml:space="preserve"> NOTEREF _Ref317440736 \h </w:instrText>
      </w:r>
      <w:r w:rsidR="00906666" w:rsidRPr="002075A3">
        <w:rPr>
          <w:rFonts w:ascii="Book Antiqua" w:hAnsi="Book Antiqua"/>
          <w:vertAlign w:val="superscript"/>
          <w:lang w:val="en-US"/>
        </w:rPr>
        <w:instrText xml:space="preserve"> \* MERGEFORMAT </w:instrText>
      </w:r>
      <w:r w:rsidR="006552BC" w:rsidRPr="002075A3">
        <w:rPr>
          <w:rFonts w:ascii="Book Antiqua" w:hAnsi="Book Antiqua"/>
          <w:vertAlign w:val="superscript"/>
          <w:lang w:val="en-US"/>
        </w:rPr>
      </w:r>
      <w:r w:rsidR="006552BC" w:rsidRPr="002075A3">
        <w:rPr>
          <w:rFonts w:ascii="Book Antiqua" w:hAnsi="Book Antiqua"/>
          <w:vertAlign w:val="superscript"/>
          <w:lang w:val="en-US"/>
        </w:rPr>
        <w:fldChar w:fldCharType="end"/>
      </w:r>
    </w:p>
    <w:p w14:paraId="525C35DD" w14:textId="0BA791D1" w:rsidR="005166D0" w:rsidRPr="002075A3" w:rsidRDefault="00C44987" w:rsidP="00E46EEA">
      <w:pPr>
        <w:spacing w:line="360" w:lineRule="auto"/>
        <w:ind w:firstLineChars="150" w:firstLine="360"/>
        <w:jc w:val="both"/>
        <w:rPr>
          <w:rFonts w:ascii="Book Antiqua" w:hAnsi="Book Antiqua"/>
          <w:color w:val="FF0000"/>
          <w:lang w:val="en-US"/>
        </w:rPr>
      </w:pPr>
      <w:r w:rsidRPr="002075A3">
        <w:rPr>
          <w:rFonts w:ascii="Book Antiqua" w:hAnsi="Book Antiqua"/>
          <w:lang w:val="en-US"/>
        </w:rPr>
        <w:t>A recent</w:t>
      </w:r>
      <w:r w:rsidR="004F39DD">
        <w:rPr>
          <w:rFonts w:ascii="Book Antiqua" w:hAnsi="Book Antiqua"/>
          <w:lang w:val="en-US"/>
        </w:rPr>
        <w:t xml:space="preserve"> meta-analysis by Coletta </w:t>
      </w:r>
      <w:r w:rsidR="004F39DD" w:rsidRPr="004F39DD">
        <w:rPr>
          <w:rFonts w:ascii="Book Antiqua" w:hAnsi="Book Antiqua"/>
          <w:i/>
          <w:lang w:val="en-US"/>
        </w:rPr>
        <w:t>et al</w:t>
      </w:r>
      <w:r w:rsidR="00196D18">
        <w:rPr>
          <w:rFonts w:ascii="Book Antiqua" w:hAnsi="Book Antiqua"/>
          <w:lang w:val="en-US"/>
        </w:rPr>
        <w:fldChar w:fldCharType="begin" w:fldLock="1"/>
      </w:r>
      <w:r w:rsidR="00B66F16">
        <w:rPr>
          <w:rFonts w:ascii="Book Antiqua" w:hAnsi="Book Antiqua"/>
          <w:lang w:val="en-US"/>
        </w:rPr>
        <w:instrText>ADDIN CSL_CITATION { "citationItems" : [ { "id" : "ITEM-1", "itemData" : { "DOI" : "10.1016/j.gie.2015.07.023", "ISSN" : "10976779", "PMID" : "26371851", "abstract" : "Background and Aims Barrett's esophagus (BE) surveillance with random biopsies is time-consuming, invasive, and can lead to sampling error. Acetic acid chromoendoscopy (AAC) with targeted biopsies has been proposed as an effective alternative. The aim of this study was to assess the diagnostic accuracy of AAC for the detection of early neoplasia (high-grade dysplasia [HGD] or early cancer [EC]) and specialized intestinal metaplasia (SIM) in patients with BE. Methods We performed a meta-analysis of all primary studies that compared AAC-based diagnoses (index test) with histopathology as the reference standard. The data were extracted on a per-patient, per-area, and per-procedure basis whenever available. Results Thirteen prospective studies met the inclusion criteria. For the diagnosis of HGD/EC, the pooled sensitivity, specificity, positive likelihood ratio (LR+), and negative likelihood ratio (LR-) for all included studies (9 studies, 1379 patients) were 0.92 (95% confidence interval [CI], 0.83-0.97), 0.96 (95% CI, 0.85-0.99), 25.0 (95% CI, 5.9-105.3), and 0.08 (95% CI, 0.04-0.18), respectively. Results were not significantly different when considering only studies with a per-patient analysis. For the characterization of SIM, the pooled sensitivity, specificity, LR+, and LR- for all the included studies (8 studies, 516 patients) were 0.96 (95% CI, 0.83-0.99), 0.69 (95% CI, 0.54-0.81), 3.0 (95% CI, 2.0-4.7), and 0.06 (95% CI, 0.01-0.26), respectively. No significant sources of heterogeneity were identified on subgroup analysis. Conclusion AAC has an overall high diagnostic accuracy for detecting HGD/EC in patients with BE. For SIM characterization, AAC sensitivity is very high but has poor specificity, suggesting that histological confirmation is necessary when AAC is positive.", "author" : [ { "dropping-particle" : "", "family" : "Coletta", "given" : "Marina", "non-dropping-particle" : "", "parse-names" : false, "suffix" : "" }, { "dropping-particle" : "", "family" : "Sami", "given" : "Sarmed S.", "non-dropping-particle" : "", "parse-names" : false, "suffix" : "" }, { "dropping-particle" : "", "family" : "Nachiappan", "given" : "Arun", "non-dropping-particle" : "", "parse-names" : false, "suffix" : "" }, { "dropping-particle" : "", "family" : "Fraquelli", "given" : "Mirella", "non-dropping-particle" : "", "parse-names" : false, "suffix" : "" }, { "dropping-particle" : "", "family" : "Casazza", "given" : "Giovanni", "non-dropping-particle" : "", "parse-names" : false, "suffix" : "" }, { "dropping-particle" : "", "family" : "Ragunath", "given" : "Krish", "non-dropping-particle" : "", "parse-names" : false, "suffix" : "" } ], "container-title" : "Gastrointestinal Endoscopy", "id" : "ITEM-1", "issue" : "1", "issued" : { "date-parts" : [ [ "2016" ] ] }, "page" : "57-67", "publisher" : "Elsevier, Inc.", "title" : "Acetic acid chromoendoscopy for the diagnosis of early neoplasia and specialized intestinal metaplasia in Barrett's esophagus: A meta-analysis", "type" : "article-journal", "volume" : "83" }, "uris" : [ "http://www.mendeley.com/documents/?uuid=06245e75-29a4-4fbb-8e3f-94a9465a9a85" ] } ], "mendeley" : { "formattedCitation" : "&lt;sup&gt;[28]&lt;/sup&gt;", "plainTextFormattedCitation" : "[28]", "previouslyFormattedCitation" : "&lt;sup&gt;[28]&lt;/sup&gt;" }, "properties" : { "noteIndex" : 0 }, "schema" : "https://github.com/citation-style-language/schema/raw/master/csl-citation.json" }</w:instrText>
      </w:r>
      <w:r w:rsidR="00196D18">
        <w:rPr>
          <w:rFonts w:ascii="Book Antiqua" w:hAnsi="Book Antiqua"/>
          <w:lang w:val="en-US"/>
        </w:rPr>
        <w:fldChar w:fldCharType="separate"/>
      </w:r>
      <w:r w:rsidR="00196D18" w:rsidRPr="00196D18">
        <w:rPr>
          <w:rFonts w:ascii="Book Antiqua" w:hAnsi="Book Antiqua"/>
          <w:noProof/>
          <w:vertAlign w:val="superscript"/>
          <w:lang w:val="en-US"/>
        </w:rPr>
        <w:t>[28]</w:t>
      </w:r>
      <w:r w:rsidR="00196D18">
        <w:rPr>
          <w:rFonts w:ascii="Book Antiqua" w:hAnsi="Book Antiqua"/>
          <w:lang w:val="en-US"/>
        </w:rPr>
        <w:fldChar w:fldCharType="end"/>
      </w:r>
      <w:r w:rsidRPr="002075A3">
        <w:rPr>
          <w:rFonts w:ascii="Book Antiqua" w:hAnsi="Book Antiqua"/>
          <w:lang w:val="en-US"/>
        </w:rPr>
        <w:t xml:space="preserve"> evaluated the use of </w:t>
      </w:r>
      <w:r w:rsidR="00A53B1C" w:rsidRPr="002075A3">
        <w:rPr>
          <w:rFonts w:ascii="Book Antiqua" w:hAnsi="Book Antiqua"/>
          <w:lang w:val="en-US"/>
        </w:rPr>
        <w:t>AA</w:t>
      </w:r>
      <w:r w:rsidRPr="002075A3">
        <w:rPr>
          <w:rFonts w:ascii="Book Antiqua" w:hAnsi="Book Antiqua"/>
          <w:lang w:val="en-US"/>
        </w:rPr>
        <w:t xml:space="preserve"> for the detection of IM and HGD/</w:t>
      </w:r>
      <w:r w:rsidR="00D819FD" w:rsidRPr="002075A3">
        <w:rPr>
          <w:rFonts w:ascii="Book Antiqua" w:hAnsi="Book Antiqua"/>
          <w:lang w:val="en-US"/>
        </w:rPr>
        <w:t>EAC</w:t>
      </w:r>
      <w:r w:rsidRPr="002075A3">
        <w:rPr>
          <w:rFonts w:ascii="Book Antiqua" w:hAnsi="Book Antiqua"/>
          <w:lang w:val="en-US"/>
        </w:rPr>
        <w:t xml:space="preserve"> in patients with </w:t>
      </w:r>
      <w:r w:rsidR="00EE5DB8" w:rsidRPr="002075A3">
        <w:rPr>
          <w:rFonts w:ascii="Book Antiqua" w:hAnsi="Book Antiqua"/>
          <w:lang w:val="en-US"/>
        </w:rPr>
        <w:t>BE</w:t>
      </w:r>
      <w:r w:rsidRPr="002075A3">
        <w:rPr>
          <w:rFonts w:ascii="Book Antiqua" w:hAnsi="Book Antiqua"/>
          <w:lang w:val="en-US"/>
        </w:rPr>
        <w:t xml:space="preserve"> using histology as the reference standard. A total of 13 prospective studies (1690 patients) were included in the meta-analysis. </w:t>
      </w:r>
      <w:r w:rsidR="004F39DD">
        <w:rPr>
          <w:rFonts w:ascii="Book Antiqua" w:hAnsi="Book Antiqua"/>
          <w:lang w:val="en-US" w:eastAsia="zh-CN"/>
        </w:rPr>
        <w:t>Eight</w:t>
      </w:r>
      <w:r w:rsidR="004F39DD" w:rsidRPr="002075A3">
        <w:rPr>
          <w:rFonts w:ascii="Book Antiqua" w:hAnsi="Book Antiqua"/>
          <w:lang w:val="en-US"/>
        </w:rPr>
        <w:t xml:space="preserve"> </w:t>
      </w:r>
      <w:r w:rsidRPr="002075A3">
        <w:rPr>
          <w:rFonts w:ascii="Book Antiqua" w:hAnsi="Book Antiqua"/>
          <w:lang w:val="en-US"/>
        </w:rPr>
        <w:t xml:space="preserve">of the 13 studies, provided data on the diagnosis of IM.  For the </w:t>
      </w:r>
      <w:r w:rsidR="00447197" w:rsidRPr="002075A3">
        <w:rPr>
          <w:rFonts w:ascii="Book Antiqua" w:hAnsi="Book Antiqua"/>
          <w:lang w:val="en-US"/>
        </w:rPr>
        <w:t>characterization</w:t>
      </w:r>
      <w:r w:rsidRPr="002075A3">
        <w:rPr>
          <w:rFonts w:ascii="Book Antiqua" w:hAnsi="Book Antiqua"/>
          <w:lang w:val="en-US"/>
        </w:rPr>
        <w:t xml:space="preserve"> of IM, the pooled sensitivity, specificity, positive likelihood ratio (LR+), and negative likelihood ratio (LR-) for all the included studies (8 studies, 516 patients) were 0.96 (</w:t>
      </w:r>
      <w:r w:rsidR="004F39DD">
        <w:rPr>
          <w:rFonts w:ascii="Book Antiqua" w:hAnsi="Book Antiqua"/>
          <w:lang w:val="en-US"/>
        </w:rPr>
        <w:t>95%</w:t>
      </w:r>
      <w:r w:rsidR="004F39DD" w:rsidRPr="002075A3">
        <w:rPr>
          <w:rFonts w:ascii="Book Antiqua" w:hAnsi="Book Antiqua"/>
          <w:lang w:val="en-US"/>
        </w:rPr>
        <w:t>CI</w:t>
      </w:r>
      <w:r w:rsidR="004F39DD">
        <w:rPr>
          <w:rFonts w:ascii="Book Antiqua" w:hAnsi="Book Antiqua" w:hint="eastAsia"/>
          <w:lang w:val="en-US" w:eastAsia="zh-CN"/>
        </w:rPr>
        <w:t>:</w:t>
      </w:r>
      <w:r w:rsidRPr="002075A3">
        <w:rPr>
          <w:rFonts w:ascii="Book Antiqua" w:hAnsi="Book Antiqua"/>
          <w:lang w:val="en-US"/>
        </w:rPr>
        <w:t xml:space="preserve"> 0.83-0.99),</w:t>
      </w:r>
      <w:r w:rsidR="004F39DD">
        <w:rPr>
          <w:rFonts w:ascii="Book Antiqua" w:hAnsi="Book Antiqua"/>
          <w:lang w:val="en-US"/>
        </w:rPr>
        <w:t xml:space="preserve"> 0.69</w:t>
      </w:r>
      <w:r w:rsidR="004F39DD">
        <w:rPr>
          <w:rFonts w:ascii="Book Antiqua" w:hAnsi="Book Antiqua" w:hint="eastAsia"/>
          <w:lang w:val="en-US" w:eastAsia="zh-CN"/>
        </w:rPr>
        <w:t xml:space="preserve"> </w:t>
      </w:r>
      <w:r w:rsidR="004F39DD">
        <w:rPr>
          <w:rFonts w:ascii="Book Antiqua" w:hAnsi="Book Antiqua"/>
          <w:lang w:val="en-US"/>
        </w:rPr>
        <w:t>(95%</w:t>
      </w:r>
      <w:r w:rsidRPr="002075A3">
        <w:rPr>
          <w:rFonts w:ascii="Book Antiqua" w:hAnsi="Book Antiqua"/>
          <w:lang w:val="en-US"/>
        </w:rPr>
        <w:t>CI</w:t>
      </w:r>
      <w:r w:rsidR="004F39DD">
        <w:rPr>
          <w:rFonts w:ascii="Book Antiqua" w:hAnsi="Book Antiqua" w:hint="eastAsia"/>
          <w:lang w:val="en-US" w:eastAsia="zh-CN"/>
        </w:rPr>
        <w:t>:</w:t>
      </w:r>
      <w:r w:rsidRPr="002075A3">
        <w:rPr>
          <w:rFonts w:ascii="Book Antiqua" w:hAnsi="Book Antiqua"/>
          <w:lang w:val="en-US"/>
        </w:rPr>
        <w:t xml:space="preserve"> 0.54-0.81), 3.0</w:t>
      </w:r>
      <w:r w:rsidR="004F39DD">
        <w:rPr>
          <w:rFonts w:ascii="Book Antiqua" w:hAnsi="Book Antiqua" w:hint="eastAsia"/>
          <w:lang w:val="en-US" w:eastAsia="zh-CN"/>
        </w:rPr>
        <w:t xml:space="preserve"> </w:t>
      </w:r>
      <w:r w:rsidRPr="002075A3">
        <w:rPr>
          <w:rFonts w:ascii="Book Antiqua" w:hAnsi="Book Antiqua"/>
          <w:lang w:val="en-US"/>
        </w:rPr>
        <w:t>(</w:t>
      </w:r>
      <w:r w:rsidR="004F39DD">
        <w:rPr>
          <w:rFonts w:ascii="Book Antiqua" w:hAnsi="Book Antiqua"/>
          <w:lang w:val="en-US"/>
        </w:rPr>
        <w:t>95%</w:t>
      </w:r>
      <w:r w:rsidR="004F39DD" w:rsidRPr="002075A3">
        <w:rPr>
          <w:rFonts w:ascii="Book Antiqua" w:hAnsi="Book Antiqua"/>
          <w:lang w:val="en-US"/>
        </w:rPr>
        <w:t>CI</w:t>
      </w:r>
      <w:r w:rsidR="004F39DD">
        <w:rPr>
          <w:rFonts w:ascii="Book Antiqua" w:hAnsi="Book Antiqua" w:hint="eastAsia"/>
          <w:lang w:val="en-US" w:eastAsia="zh-CN"/>
        </w:rPr>
        <w:t>:</w:t>
      </w:r>
      <w:r w:rsidRPr="002075A3">
        <w:rPr>
          <w:rFonts w:ascii="Book Antiqua" w:hAnsi="Book Antiqua"/>
          <w:lang w:val="en-US"/>
        </w:rPr>
        <w:t xml:space="preserve"> 2.0-4.7) and 0.06</w:t>
      </w:r>
      <w:r w:rsidR="004F39DD">
        <w:rPr>
          <w:rFonts w:ascii="Book Antiqua" w:hAnsi="Book Antiqua" w:hint="eastAsia"/>
          <w:lang w:val="en-US" w:eastAsia="zh-CN"/>
        </w:rPr>
        <w:t xml:space="preserve"> </w:t>
      </w:r>
      <w:r w:rsidRPr="002075A3">
        <w:rPr>
          <w:rFonts w:ascii="Book Antiqua" w:hAnsi="Book Antiqua"/>
          <w:lang w:val="en-US"/>
        </w:rPr>
        <w:t>(</w:t>
      </w:r>
      <w:r w:rsidR="004F39DD">
        <w:rPr>
          <w:rFonts w:ascii="Book Antiqua" w:hAnsi="Book Antiqua"/>
          <w:lang w:val="en-US"/>
        </w:rPr>
        <w:t>95%</w:t>
      </w:r>
      <w:r w:rsidR="004F39DD" w:rsidRPr="002075A3">
        <w:rPr>
          <w:rFonts w:ascii="Book Antiqua" w:hAnsi="Book Antiqua"/>
          <w:lang w:val="en-US"/>
        </w:rPr>
        <w:t>CI</w:t>
      </w:r>
      <w:r w:rsidR="004F39DD">
        <w:rPr>
          <w:rFonts w:ascii="Book Antiqua" w:hAnsi="Book Antiqua" w:hint="eastAsia"/>
          <w:lang w:val="en-US" w:eastAsia="zh-CN"/>
        </w:rPr>
        <w:t>:</w:t>
      </w:r>
      <w:r w:rsidRPr="002075A3">
        <w:rPr>
          <w:rFonts w:ascii="Book Antiqua" w:hAnsi="Book Antiqua"/>
          <w:lang w:val="en-US"/>
        </w:rPr>
        <w:t xml:space="preserve"> 0.01-0.26), respectively. No significant sources of heterogeneity </w:t>
      </w:r>
      <w:r w:rsidRPr="002075A3">
        <w:rPr>
          <w:rFonts w:ascii="Book Antiqua" w:hAnsi="Book Antiqua"/>
          <w:lang w:val="en-US"/>
        </w:rPr>
        <w:lastRenderedPageBreak/>
        <w:t xml:space="preserve">were identified on subgroup analysis. </w:t>
      </w:r>
      <w:r w:rsidR="00A53B1C" w:rsidRPr="002075A3">
        <w:rPr>
          <w:rFonts w:ascii="Book Antiqua" w:hAnsi="Book Antiqua"/>
          <w:lang w:val="en-US"/>
        </w:rPr>
        <w:t>AA</w:t>
      </w:r>
      <w:r w:rsidRPr="002075A3">
        <w:rPr>
          <w:rFonts w:ascii="Book Antiqua" w:hAnsi="Book Antiqua"/>
          <w:lang w:val="en-US"/>
        </w:rPr>
        <w:t xml:space="preserve"> may be helpful for the exclusion of </w:t>
      </w:r>
      <w:r w:rsidR="00447197" w:rsidRPr="002075A3">
        <w:rPr>
          <w:rFonts w:ascii="Book Antiqua" w:hAnsi="Book Antiqua"/>
          <w:lang w:val="en-US"/>
        </w:rPr>
        <w:t>specialized</w:t>
      </w:r>
      <w:r w:rsidRPr="002075A3">
        <w:rPr>
          <w:rFonts w:ascii="Book Antiqua" w:hAnsi="Book Antiqua"/>
          <w:lang w:val="en-US"/>
        </w:rPr>
        <w:t xml:space="preserve"> </w:t>
      </w:r>
      <w:r w:rsidR="0063446D" w:rsidRPr="002075A3">
        <w:rPr>
          <w:rFonts w:ascii="Book Antiqua" w:hAnsi="Book Antiqua"/>
          <w:lang w:val="en-US"/>
        </w:rPr>
        <w:t>IM</w:t>
      </w:r>
      <w:r w:rsidR="004E3455" w:rsidRPr="002075A3">
        <w:rPr>
          <w:rFonts w:ascii="Book Antiqua" w:hAnsi="Book Antiqua"/>
          <w:lang w:val="en-US"/>
        </w:rPr>
        <w:t>, however, h</w:t>
      </w:r>
      <w:r w:rsidRPr="002075A3">
        <w:rPr>
          <w:rFonts w:ascii="Book Antiqua" w:hAnsi="Book Antiqua"/>
          <w:lang w:val="en-US"/>
        </w:rPr>
        <w:t xml:space="preserve">istological confirmation </w:t>
      </w:r>
      <w:r w:rsidR="004E3455" w:rsidRPr="002075A3">
        <w:rPr>
          <w:rFonts w:ascii="Book Antiqua" w:hAnsi="Book Antiqua"/>
          <w:lang w:val="en-US"/>
        </w:rPr>
        <w:t>remains critical</w:t>
      </w:r>
      <w:r w:rsidRPr="002075A3">
        <w:rPr>
          <w:rFonts w:ascii="Book Antiqua" w:hAnsi="Book Antiqua"/>
          <w:lang w:val="en-US"/>
        </w:rPr>
        <w:t xml:space="preserve"> du</w:t>
      </w:r>
      <w:r w:rsidR="00447197" w:rsidRPr="002075A3">
        <w:rPr>
          <w:rFonts w:ascii="Book Antiqua" w:hAnsi="Book Antiqua"/>
          <w:lang w:val="en-US"/>
        </w:rPr>
        <w:t>e to low specificity (0.69)</w:t>
      </w:r>
      <w:r w:rsidRPr="002075A3">
        <w:rPr>
          <w:rFonts w:ascii="Book Antiqua" w:hAnsi="Book Antiqua"/>
          <w:lang w:val="en-US"/>
        </w:rPr>
        <w:t xml:space="preserve">. </w:t>
      </w:r>
      <w:r w:rsidR="008E0703">
        <w:rPr>
          <w:rFonts w:ascii="Book Antiqua" w:hAnsi="Book Antiqua"/>
          <w:lang w:val="en-US"/>
        </w:rPr>
        <w:t>In our view</w:t>
      </w:r>
      <w:r w:rsidR="004F39DD">
        <w:rPr>
          <w:rFonts w:ascii="Book Antiqua" w:hAnsi="Book Antiqua" w:hint="eastAsia"/>
          <w:lang w:val="en-US" w:eastAsia="zh-CN"/>
        </w:rPr>
        <w:t>,</w:t>
      </w:r>
      <w:r w:rsidR="008E0703">
        <w:rPr>
          <w:rFonts w:ascii="Book Antiqua" w:hAnsi="Book Antiqua"/>
          <w:lang w:val="en-US"/>
        </w:rPr>
        <w:t xml:space="preserve"> this is clinically not relevant when dealing with long-segment BE</w:t>
      </w:r>
      <w:r w:rsidR="002673FD">
        <w:rPr>
          <w:rFonts w:ascii="Book Antiqua" w:hAnsi="Book Antiqua"/>
          <w:lang w:val="en-US"/>
        </w:rPr>
        <w:t xml:space="preserve"> as </w:t>
      </w:r>
      <w:r w:rsidR="008D4FCD">
        <w:rPr>
          <w:rFonts w:ascii="Book Antiqua" w:hAnsi="Book Antiqua"/>
          <w:lang w:val="en-US"/>
        </w:rPr>
        <w:t>presence of specialized IM would not alter surveillance intervals</w:t>
      </w:r>
      <w:r w:rsidR="008E0703">
        <w:rPr>
          <w:rFonts w:ascii="Book Antiqua" w:hAnsi="Book Antiqua"/>
          <w:lang w:val="en-US"/>
        </w:rPr>
        <w:t>.</w:t>
      </w:r>
    </w:p>
    <w:p w14:paraId="4F9D9DAB" w14:textId="77777777" w:rsidR="00A67829" w:rsidRPr="002075A3" w:rsidRDefault="00A67829" w:rsidP="00E46EEA">
      <w:pPr>
        <w:spacing w:line="360" w:lineRule="auto"/>
        <w:jc w:val="both"/>
        <w:rPr>
          <w:rFonts w:ascii="Book Antiqua" w:hAnsi="Book Antiqua"/>
          <w:lang w:val="en-US"/>
        </w:rPr>
      </w:pPr>
    </w:p>
    <w:p w14:paraId="6CB697F0" w14:textId="3333D338" w:rsidR="00A67829" w:rsidRPr="00F04AF6" w:rsidRDefault="00F04AF6" w:rsidP="00E46EEA">
      <w:pPr>
        <w:spacing w:line="360" w:lineRule="auto"/>
        <w:jc w:val="both"/>
        <w:outlineLvl w:val="0"/>
        <w:rPr>
          <w:rFonts w:ascii="Book Antiqua" w:hAnsi="Book Antiqua"/>
          <w:lang w:val="en-US"/>
        </w:rPr>
      </w:pPr>
      <w:r w:rsidRPr="00F04AF6">
        <w:rPr>
          <w:rFonts w:ascii="Book Antiqua" w:hAnsi="Book Antiqua"/>
          <w:b/>
          <w:lang w:val="en-US"/>
        </w:rPr>
        <w:t>ACETIC ACID IN THE DETECTION AND CHARACTERIZATION OF NEOPLASIA</w:t>
      </w:r>
      <w:r w:rsidRPr="00F04AF6">
        <w:rPr>
          <w:rFonts w:ascii="Book Antiqua" w:hAnsi="Book Antiqua"/>
          <w:lang w:val="en-US"/>
        </w:rPr>
        <w:t xml:space="preserve"> </w:t>
      </w:r>
    </w:p>
    <w:p w14:paraId="42B8FC41" w14:textId="77424B22" w:rsidR="00F13A0D" w:rsidRPr="002075A3" w:rsidRDefault="0048761D" w:rsidP="00E46EEA">
      <w:pPr>
        <w:spacing w:line="360" w:lineRule="auto"/>
        <w:jc w:val="both"/>
        <w:rPr>
          <w:rFonts w:ascii="Book Antiqua" w:hAnsi="Book Antiqua"/>
          <w:lang w:val="en-US"/>
        </w:rPr>
      </w:pPr>
      <w:r w:rsidRPr="002075A3">
        <w:rPr>
          <w:rFonts w:ascii="Book Antiqua" w:hAnsi="Book Antiqua"/>
          <w:lang w:val="en-US"/>
        </w:rPr>
        <w:t xml:space="preserve">Use of </w:t>
      </w:r>
      <w:r w:rsidR="00A53B1C" w:rsidRPr="002075A3">
        <w:rPr>
          <w:rFonts w:ascii="Book Antiqua" w:hAnsi="Book Antiqua"/>
          <w:lang w:val="en-US"/>
        </w:rPr>
        <w:t>AA</w:t>
      </w:r>
      <w:r w:rsidRPr="002075A3">
        <w:rPr>
          <w:rFonts w:ascii="Book Antiqua" w:hAnsi="Book Antiqua"/>
          <w:lang w:val="en-US"/>
        </w:rPr>
        <w:t xml:space="preserve"> to aid i</w:t>
      </w:r>
      <w:r w:rsidR="00F13A0D" w:rsidRPr="002075A3">
        <w:rPr>
          <w:rFonts w:ascii="Book Antiqua" w:hAnsi="Book Antiqua"/>
          <w:lang w:val="en-US"/>
        </w:rPr>
        <w:t xml:space="preserve">dentification of </w:t>
      </w:r>
      <w:r w:rsidR="0063446D" w:rsidRPr="002075A3">
        <w:rPr>
          <w:rFonts w:ascii="Book Antiqua" w:hAnsi="Book Antiqua"/>
          <w:lang w:val="en-US"/>
        </w:rPr>
        <w:t>IM</w:t>
      </w:r>
      <w:r w:rsidR="00F13A0D" w:rsidRPr="002075A3">
        <w:rPr>
          <w:rFonts w:ascii="Book Antiqua" w:hAnsi="Book Antiqua"/>
          <w:lang w:val="en-US"/>
        </w:rPr>
        <w:t xml:space="preserve"> in</w:t>
      </w:r>
      <w:r w:rsidRPr="002075A3">
        <w:rPr>
          <w:rFonts w:ascii="Book Antiqua" w:hAnsi="Book Antiqua"/>
          <w:lang w:val="en-US"/>
        </w:rPr>
        <w:t xml:space="preserve"> </w:t>
      </w:r>
      <w:r w:rsidR="00EE5DB8" w:rsidRPr="002075A3">
        <w:rPr>
          <w:rFonts w:ascii="Book Antiqua" w:hAnsi="Book Antiqua"/>
          <w:lang w:val="en-US"/>
        </w:rPr>
        <w:t>BE</w:t>
      </w:r>
      <w:r w:rsidRPr="002075A3">
        <w:rPr>
          <w:rFonts w:ascii="Book Antiqua" w:hAnsi="Book Antiqua"/>
          <w:lang w:val="en-US"/>
        </w:rPr>
        <w:t xml:space="preserve"> is important in the stratification of surveillance intervals</w:t>
      </w:r>
      <w:r w:rsidR="00B66F16">
        <w:rPr>
          <w:rFonts w:ascii="Book Antiqua" w:hAnsi="Book Antiqua"/>
          <w:lang w:val="en-US"/>
        </w:rPr>
        <w:fldChar w:fldCharType="begin" w:fldLock="1"/>
      </w:r>
      <w:r w:rsidR="00B66F16">
        <w:rPr>
          <w:rFonts w:ascii="Book Antiqua" w:hAnsi="Book Antiqua"/>
          <w:lang w:val="en-US"/>
        </w:rPr>
        <w:instrText>ADDIN CSL_CITATION { "citationItems" : [ { "id" : "ITEM-1", "itemData" : { "DOI" : "10.1136/gutjnl-2013-305372", "ISBN" : "1468-3288 (Electronic)\\r0017-5749 (Linking)", "ISSN" : "1468-3288", "PMID" : "24165758", "abstract" : "These guidelines provide a practical and evidence-based resource for the management of patients with Barrett's oesophagus and related early neoplasia. The Appraisal of Guidelines for Research and Evaluation (AGREE II) instrument was followed to provide a methodological strategy for the guideline development. A systematic review of the literature was performed for English language articles published up until December 2012 in order to address controversial issues in Barrett's oesophagus including definition, screening and diagnosis, surveillance, pathological grading for dysplasia, management of dysplasia, and early cancer including training requirements. The rigour and quality of the studies was evaluated using the SIGN checklist system. Recommendations on each topic were scored by each author using a five-tier system (A+, strong agreement, to D+, strongly disagree). Statements that failed to reach substantial agreement among authors, defined as &gt;80% agreement (A or A+), were revisited and modified until substantial agreement (&gt;80%) was reached. In formulating these guidelines, we took into consideration benefits and risks for the population and national health system, as well as patient perspectives. For the first time, we have suggested stratification of patients according to their estimated cancer risk based on clinical and histopathological criteria. In order to improve communication between clinicians, we recommend the use of minimum datasets for reporting endoscopic and pathological findings. We advocate endoscopic therapy for high-grade dysplasia and early cancer, which should be performed in high-volume centres. We hope that these guidelines will standardise and improve management for patients with Barrett's oesophagus and related neoplasia.", "author" : [ { "dropping-particle" : "", "family" : "Fitzgerald", "given" : "Rebecca C", "non-dropping-particle" : "", "parse-names" : false, "suffix" : "" }, { "dropping-particle" : "", "family" : "Pietro", "given" : "Massimiliano", "non-dropping-particle" : "di", "parse-names" : false, "suffix" : "" }, { "dropping-particle" : "", "family" : "Ragunath", "given" : "Krish", "non-dropping-particle" : "", "parse-names" : false, "suffix" : "" }, { "dropping-particle" : "", "family" : "Ang", "given" : "Yeng", "non-dropping-particle" : "", "parse-names" : false, "suffix" : "" }, { "dropping-particle" : "", "family" : "Kang", "given" : "Jin-Yong", "non-dropping-particle" : "", "parse-names" : false, "suffix" : "" }, { "dropping-particle" : "", "family" : "Watson", "given" : "Peter", "non-dropping-particle" : "", "parse-names" : false, "suffix" : "" }, { "dropping-particle" : "", "family" : "Trudgill", "given" : "Nigel", "non-dropping-particle" : "", "parse-names" : false, "suffix" : "" }, { "dropping-particle" : "", "family" : "Patel", "given" : "Praful", "non-dropping-particle" : "", "parse-names" : false, "suffix" : "" }, { "dropping-particle" : "V", "family" : "Kaye", "given" : "Philip", "non-dropping-particle" : "", "parse-names" : false, "suffix" : "" }, { "dropping-particle" : "", "family" : "Sanders", "given" : "Scott", "non-dropping-particle" : "", "parse-names" : false, "suffix" : "" }, { "dropping-particle" : "", "family" : "O'Donovan", "given" : "Maria", "non-dropping-particle" : "", "parse-names" : false, "suffix" : "" }, { "dropping-particle" : "", "family" : "Bird-Lieberman", "given" : "Elizabeth", "non-dropping-particle" : "", "parse-names" : false, "suffix" : "" }, { "dropping-particle" : "", "family" : "Bhandari", "given" : "Pradeep", "non-dropping-particle" : "", "parse-names" : false, "suffix" : "" }, { "dropping-particle" : "", "family" : "Jankowski", "given" : "Janusz a", "non-dropping-particle" : "", "parse-names" : false, "suffix" : "" }, { "dropping-particle" : "", "family" : "Attwood", "given" : "Stephen", "non-dropping-particle" : "", "parse-names" : false, "suffix" : "" }, { "dropping-particle" : "", "family" : "Parsons", "given" : "Simon L", "non-dropping-particle" : "", "parse-names" : false, "suffix" : "" }, { "dropping-particle" : "", "family" : "Loft", "given" : "Duncan", "non-dropping-particle" : "", "parse-names" : false, "suffix" : "" }, { "dropping-particle" : "", "family" : "Lagergren", "given" : "Jesper", "non-dropping-particle" : "", "parse-names" : false, "suffix" : "" }, { "dropping-particle" : "", "family" : "Moayyedi", "given" : "Paul", "non-dropping-particle" : "", "parse-names" : false, "suffix" : "" }, { "dropping-particle" : "", "family" : "Lyratzopoulos", "given" : "Georgios", "non-dropping-particle" : "", "parse-names" : false, "suffix" : "" }, { "dropping-particle" : "", "family" : "Caestecker", "given" : "John", "non-dropping-particle" : "de", "parse-names" : false, "suffix" : "" } ], "container-title" : "Gut", "id" : "ITEM-1", "issue" : "1", "issued" : { "date-parts" : [ [ "2014" ] ] }, "page" : "7-42", "title" : "British Society of Gastroenterology guidelines on the diagnosis and management of Barrett's oesophagus.", "type" : "article-journal", "volume" : "63" }, "uris" : [ "http://www.mendeley.com/documents/?uuid=2d43e7b2-b6b7-4923-b186-a078147e6796" ] } ], "mendeley" : { "formattedCitation" : "&lt;sup&gt;[5]&lt;/sup&gt;", "plainTextFormattedCitation" : "[5]", "previouslyFormattedCitation" : "&lt;sup&gt;[5]&lt;/sup&gt;" }, "properties" : { "noteIndex" : 0 }, "schema" : "https://github.com/citation-style-language/schema/raw/master/csl-citation.json" }</w:instrText>
      </w:r>
      <w:r w:rsidR="00B66F16">
        <w:rPr>
          <w:rFonts w:ascii="Book Antiqua" w:hAnsi="Book Antiqua"/>
          <w:lang w:val="en-US"/>
        </w:rPr>
        <w:fldChar w:fldCharType="separate"/>
      </w:r>
      <w:r w:rsidR="00B66F16" w:rsidRPr="00B66F16">
        <w:rPr>
          <w:rFonts w:ascii="Book Antiqua" w:hAnsi="Book Antiqua"/>
          <w:noProof/>
          <w:vertAlign w:val="superscript"/>
          <w:lang w:val="en-US"/>
        </w:rPr>
        <w:t>[5]</w:t>
      </w:r>
      <w:r w:rsidR="00B66F16">
        <w:rPr>
          <w:rFonts w:ascii="Book Antiqua" w:hAnsi="Book Antiqua"/>
          <w:lang w:val="en-US"/>
        </w:rPr>
        <w:fldChar w:fldCharType="end"/>
      </w:r>
      <w:r w:rsidR="004E3455" w:rsidRPr="002075A3">
        <w:rPr>
          <w:rFonts w:ascii="Book Antiqua" w:hAnsi="Book Antiqua"/>
          <w:lang w:val="en-US"/>
        </w:rPr>
        <w:t xml:space="preserve">. </w:t>
      </w:r>
      <w:r w:rsidRPr="002075A3">
        <w:rPr>
          <w:rFonts w:ascii="Book Antiqua" w:hAnsi="Book Antiqua"/>
          <w:lang w:val="en-US"/>
        </w:rPr>
        <w:t xml:space="preserve">However, the overriding utility of </w:t>
      </w:r>
      <w:r w:rsidR="00A53B1C" w:rsidRPr="002075A3">
        <w:rPr>
          <w:rFonts w:ascii="Book Antiqua" w:hAnsi="Book Antiqua"/>
          <w:lang w:val="en-US"/>
        </w:rPr>
        <w:t>AA</w:t>
      </w:r>
      <w:r w:rsidRPr="002075A3">
        <w:rPr>
          <w:rFonts w:ascii="Book Antiqua" w:hAnsi="Book Antiqua"/>
          <w:lang w:val="en-US"/>
        </w:rPr>
        <w:t xml:space="preserve"> is the identification and </w:t>
      </w:r>
      <w:r w:rsidR="00111803" w:rsidRPr="002075A3">
        <w:rPr>
          <w:rFonts w:ascii="Book Antiqua" w:hAnsi="Book Antiqua"/>
          <w:lang w:val="en-US"/>
        </w:rPr>
        <w:t>characterization</w:t>
      </w:r>
      <w:r w:rsidRPr="002075A3">
        <w:rPr>
          <w:rFonts w:ascii="Book Antiqua" w:hAnsi="Book Antiqua"/>
          <w:lang w:val="en-US"/>
        </w:rPr>
        <w:t xml:space="preserve"> of Barrett’s neoplasia. There is a growing body of evidence to support the use of </w:t>
      </w:r>
      <w:r w:rsidR="00A53B1C" w:rsidRPr="002075A3">
        <w:rPr>
          <w:rFonts w:ascii="Book Antiqua" w:hAnsi="Book Antiqua"/>
          <w:lang w:val="en-US"/>
        </w:rPr>
        <w:t>AA</w:t>
      </w:r>
      <w:r w:rsidRPr="002075A3">
        <w:rPr>
          <w:rFonts w:ascii="Book Antiqua" w:hAnsi="Book Antiqua"/>
          <w:lang w:val="en-US"/>
        </w:rPr>
        <w:t xml:space="preserve"> in this setting.</w:t>
      </w:r>
    </w:p>
    <w:p w14:paraId="1BDD5817" w14:textId="500CF9D4" w:rsidR="00000007" w:rsidRPr="002075A3" w:rsidRDefault="00893345"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In 2006 </w:t>
      </w:r>
      <w:r w:rsidR="004F39DD">
        <w:rPr>
          <w:rFonts w:ascii="Book Antiqua" w:hAnsi="Book Antiqua"/>
          <w:lang w:val="en-US"/>
        </w:rPr>
        <w:t xml:space="preserve">Reaud </w:t>
      </w:r>
      <w:r w:rsidR="004F39DD" w:rsidRPr="004F39DD">
        <w:rPr>
          <w:rFonts w:ascii="Book Antiqua" w:hAnsi="Book Antiqua"/>
          <w:i/>
          <w:lang w:val="en-US"/>
        </w:rPr>
        <w:t>et al</w:t>
      </w:r>
      <w:r w:rsidR="00B66F16">
        <w:rPr>
          <w:rFonts w:ascii="Book Antiqua" w:hAnsi="Book Antiqua"/>
          <w:lang w:val="en-US"/>
        </w:rPr>
        <w:fldChar w:fldCharType="begin" w:fldLock="1"/>
      </w:r>
      <w:r w:rsidR="00AF4148">
        <w:rPr>
          <w:rFonts w:ascii="Book Antiqua" w:hAnsi="Book Antiqua"/>
          <w:lang w:val="en-US"/>
        </w:rPr>
        <w:instrText>ADDIN CSL_CITATION { "citationItems" : [ { "id" : "ITEM-1", "itemData" : { "DOI" : "10.1016/S0399-8320(06)73156-6", "ISSN" : "03998320", "PMID" : "16565653", "abstract" : "Objectives - Endoscopy with systematic randomized biopsies aims to improve the detection of intestinal metaplasia (IM) and dysplasia in Barrett's esophagus (BE). Magnifying chromoendoscopy with alcoholic acetic acid might allow directed biopsies to improve detection of IM and dysplasia. Patients and methods - Twenty-eight patients were studied with magnifying chromoendoscopy (Optical power zoom x 115, alcoholic acetic acid). Endoscopy biopsies were performed on one or several zones of BE chosen randomly, for which the chromoendoscopic pattern was determined according to Guelrud's classification. Results - Among seventy-two biopsies, the agreement between magnifying chromoendoscopy and histology and the positive predictive value of the association of patterns III and IV for the diagnosis of IM were 72.4%; sensibility and specificity were respectively 95.5% and 42.9%. The diagnostic accuracy was 75%. Among the six biopsies that showed high-grade dysplasia, three were suspected because of two particular patterns: local loss of ridged cerebriform pattern due to the disorganization of the mucosal folds and hypervascularization of the mucosa. Conclusion - Magnifying chromoendoscopy with acetic acid allows targeted biopsies of the IM in BE and may help to detect high-grade dysplasia. \u00a9 Masson, 2006.", "author" : [ { "dropping-particle" : "", "family" : "R\u00e9aud", "given" : "St\u00e9phane", "non-dropping-particle" : "", "parse-names" : false, "suffix" : "" }, { "dropping-particle" : "", "family" : "Croue", "given" : "Anne", "non-dropping-particle" : "", "parse-names" : false, "suffix" : "" }, { "dropping-particle" : "", "family" : "Boyer", "given" : "Jean", "non-dropping-particle" : "", "parse-names" : false, "suffix" : "" } ], "container-title" : "Gastroenterologie Clinique et Biologique", "id" : "ITEM-1", "issue" : "2", "issued" : { "date-parts" : [ [ "2006" ] ] }, "page" : "217-223", "title" : "Diagnostic accuracy of magnifying chromoendoscopy with detection of intestinal metaplasia and dysplasia using acetic acid in Barrett's esophagus", "type" : "article-journal", "volume" : "30" }, "uris" : [ "http://www.mendeley.com/documents/?uuid=b70a5a59-4935-46e9-ab79-f2b0cf8e8467" ] } ], "mendeley" : { "formattedCitation" : "&lt;sup&gt;[29]&lt;/sup&gt;", "plainTextFormattedCitation" : "[29]", "previouslyFormattedCitation" : "&lt;sup&gt;[29]&lt;/sup&gt;" }, "properties" : { "noteIndex" : 0 }, "schema" : "https://github.com/citation-style-language/schema/raw/master/csl-citation.json" }</w:instrText>
      </w:r>
      <w:r w:rsidR="00B66F16">
        <w:rPr>
          <w:rFonts w:ascii="Book Antiqua" w:hAnsi="Book Antiqua"/>
          <w:lang w:val="en-US"/>
        </w:rPr>
        <w:fldChar w:fldCharType="separate"/>
      </w:r>
      <w:r w:rsidR="00B66F16" w:rsidRPr="00B66F16">
        <w:rPr>
          <w:rFonts w:ascii="Book Antiqua" w:hAnsi="Book Antiqua"/>
          <w:noProof/>
          <w:vertAlign w:val="superscript"/>
          <w:lang w:val="en-US"/>
        </w:rPr>
        <w:t>[29]</w:t>
      </w:r>
      <w:r w:rsidR="00B66F16">
        <w:rPr>
          <w:rFonts w:ascii="Book Antiqua" w:hAnsi="Book Antiqua"/>
          <w:lang w:val="en-US"/>
        </w:rPr>
        <w:fldChar w:fldCharType="end"/>
      </w:r>
      <w:r w:rsidRPr="002075A3">
        <w:rPr>
          <w:rFonts w:ascii="Book Antiqua" w:hAnsi="Book Antiqua"/>
          <w:lang w:val="en-US"/>
        </w:rPr>
        <w:t>, furthered Guelrud’s work aiming to define the neoplastic appearance</w:t>
      </w:r>
      <w:r w:rsidR="00706B1B" w:rsidRPr="002075A3">
        <w:rPr>
          <w:rFonts w:ascii="Book Antiqua" w:hAnsi="Book Antiqua"/>
          <w:lang w:val="en-US"/>
        </w:rPr>
        <w:t>s</w:t>
      </w:r>
      <w:r w:rsidRPr="002075A3">
        <w:rPr>
          <w:rFonts w:ascii="Book Antiqua" w:hAnsi="Book Antiqua"/>
          <w:lang w:val="en-US"/>
        </w:rPr>
        <w:t xml:space="preserve"> of </w:t>
      </w:r>
      <w:r w:rsidR="00EE5DB8" w:rsidRPr="002075A3">
        <w:rPr>
          <w:rFonts w:ascii="Book Antiqua" w:hAnsi="Book Antiqua"/>
          <w:lang w:val="en-US"/>
        </w:rPr>
        <w:t>BE</w:t>
      </w:r>
      <w:r w:rsidRPr="002075A3">
        <w:rPr>
          <w:rFonts w:ascii="Book Antiqua" w:hAnsi="Book Antiqua"/>
          <w:lang w:val="en-US"/>
        </w:rPr>
        <w:t xml:space="preserve"> following 6% </w:t>
      </w:r>
      <w:r w:rsidR="00A53B1C" w:rsidRPr="002075A3">
        <w:rPr>
          <w:rFonts w:ascii="Book Antiqua" w:hAnsi="Book Antiqua"/>
          <w:lang w:val="en-US"/>
        </w:rPr>
        <w:t>AA</w:t>
      </w:r>
      <w:r w:rsidRPr="002075A3">
        <w:rPr>
          <w:rFonts w:ascii="Book Antiqua" w:hAnsi="Book Antiqua"/>
          <w:lang w:val="en-US"/>
        </w:rPr>
        <w:t xml:space="preserve"> dye spray</w:t>
      </w:r>
      <w:r w:rsidR="00283C7B" w:rsidRPr="002075A3">
        <w:rPr>
          <w:rFonts w:ascii="Book Antiqua" w:hAnsi="Book Antiqua"/>
          <w:lang w:val="en-US"/>
        </w:rPr>
        <w:t xml:space="preserve"> and magnification endoscopy</w:t>
      </w:r>
      <w:r w:rsidRPr="002075A3">
        <w:rPr>
          <w:rFonts w:ascii="Book Antiqua" w:hAnsi="Book Antiqua"/>
          <w:lang w:val="en-US"/>
        </w:rPr>
        <w:t xml:space="preserve">. In their study of 28 patients, they noted that patients </w:t>
      </w:r>
      <w:r w:rsidR="003A730D" w:rsidRPr="002075A3">
        <w:rPr>
          <w:rFonts w:ascii="Book Antiqua" w:hAnsi="Book Antiqua"/>
          <w:lang w:val="en-US"/>
        </w:rPr>
        <w:t xml:space="preserve">with </w:t>
      </w:r>
      <w:r w:rsidR="00844446" w:rsidRPr="002075A3">
        <w:rPr>
          <w:rFonts w:ascii="Book Antiqua" w:hAnsi="Book Antiqua"/>
          <w:lang w:val="en-US"/>
        </w:rPr>
        <w:t>HGD</w:t>
      </w:r>
      <w:r w:rsidR="003A730D" w:rsidRPr="002075A3">
        <w:rPr>
          <w:rFonts w:ascii="Book Antiqua" w:hAnsi="Book Antiqua"/>
          <w:lang w:val="en-US"/>
        </w:rPr>
        <w:t xml:space="preserve"> o</w:t>
      </w:r>
      <w:r w:rsidRPr="002075A3">
        <w:rPr>
          <w:rFonts w:ascii="Book Antiqua" w:hAnsi="Book Antiqua"/>
          <w:lang w:val="en-US"/>
        </w:rPr>
        <w:t>n biopsy displayed</w:t>
      </w:r>
      <w:r w:rsidR="00514672" w:rsidRPr="002075A3">
        <w:rPr>
          <w:rFonts w:ascii="Book Antiqua" w:hAnsi="Book Antiqua"/>
          <w:lang w:val="en-US"/>
        </w:rPr>
        <w:t xml:space="preserve"> mucosal</w:t>
      </w:r>
      <w:r w:rsidRPr="002075A3">
        <w:rPr>
          <w:rFonts w:ascii="Book Antiqua" w:hAnsi="Book Antiqua"/>
          <w:lang w:val="en-US"/>
        </w:rPr>
        <w:t xml:space="preserve"> </w:t>
      </w:r>
      <w:r w:rsidR="003A730D" w:rsidRPr="002075A3">
        <w:rPr>
          <w:rFonts w:ascii="Book Antiqua" w:hAnsi="Book Antiqua"/>
          <w:lang w:val="en-US"/>
        </w:rPr>
        <w:t xml:space="preserve">architectural </w:t>
      </w:r>
      <w:r w:rsidR="00111803" w:rsidRPr="002075A3">
        <w:rPr>
          <w:rFonts w:ascii="Book Antiqua" w:hAnsi="Book Antiqua"/>
          <w:lang w:val="en-US"/>
        </w:rPr>
        <w:t>disorganization</w:t>
      </w:r>
      <w:r w:rsidRPr="002075A3">
        <w:rPr>
          <w:rFonts w:ascii="Book Antiqua" w:hAnsi="Book Antiqua"/>
          <w:lang w:val="en-US"/>
        </w:rPr>
        <w:t xml:space="preserve"> and </w:t>
      </w:r>
      <w:r w:rsidR="003A730D" w:rsidRPr="002075A3">
        <w:rPr>
          <w:rFonts w:ascii="Book Antiqua" w:hAnsi="Book Antiqua"/>
          <w:lang w:val="en-US"/>
        </w:rPr>
        <w:t>hypervascularity</w:t>
      </w:r>
      <w:r w:rsidR="00283C7B" w:rsidRPr="002075A3">
        <w:rPr>
          <w:rFonts w:ascii="Book Antiqua" w:hAnsi="Book Antiqua"/>
          <w:lang w:val="en-US"/>
        </w:rPr>
        <w:t xml:space="preserve"> – a phenomenon</w:t>
      </w:r>
      <w:r w:rsidR="003A3042" w:rsidRPr="002075A3">
        <w:rPr>
          <w:rFonts w:ascii="Book Antiqua" w:hAnsi="Book Antiqua"/>
          <w:lang w:val="en-US"/>
        </w:rPr>
        <w:t xml:space="preserve"> previously </w:t>
      </w:r>
      <w:r w:rsidR="00283C7B" w:rsidRPr="002075A3">
        <w:rPr>
          <w:rFonts w:ascii="Book Antiqua" w:hAnsi="Book Antiqua"/>
          <w:lang w:val="en-US"/>
        </w:rPr>
        <w:t xml:space="preserve"> identified by Rey </w:t>
      </w:r>
      <w:r w:rsidR="00283C7B" w:rsidRPr="004F39DD">
        <w:rPr>
          <w:rFonts w:ascii="Book Antiqua" w:hAnsi="Book Antiqua"/>
          <w:i/>
          <w:lang w:val="en-US"/>
        </w:rPr>
        <w:t>et al</w:t>
      </w:r>
      <w:r w:rsidR="004F39DD">
        <w:rPr>
          <w:rFonts w:ascii="Book Antiqua" w:hAnsi="Book Antiqua"/>
          <w:lang w:val="en-US"/>
        </w:rPr>
        <w:fldChar w:fldCharType="begin" w:fldLock="1"/>
      </w:r>
      <w:r w:rsidR="004F39DD">
        <w:rPr>
          <w:rFonts w:ascii="Book Antiqua" w:hAnsi="Book Antiqua"/>
          <w:lang w:val="en-US"/>
        </w:rPr>
        <w:instrText>ADDIN CSL_CITATION { "citationItems" : [ { "id" : "ITEM-1", "itemData" : { "abstract" : "573 USEFULNESS OF CHROMOSCOPY WITH ACETIC ACID AND MAGNIFICATION FOR BARRETT ESOPHAGUS Jean-Francois Rey, Konstantin Kuzuetsov: St Laurent du Var, France The patients with Barrett's esophagus have an increased ris k for developing adenocarci noma . The Seattle Proto col is time-co nsuming and suffers from a sa mpling error. With acetic acid chrom oscopy and mngnification, our aim is to reduce the number o f biopsies and to improve the diagno stic yield for intestinal metaplasia and dysplasill by more accurate sampling on focused areas. Method: Since December 2001. nil patients with OERD wcre studied using the Olympu s GIF-1 60Z with mngnification after the flush ing of I% acetic acid . Selective biopsies were performed for the areas selected by means of magnification after acetic acid spraying. Acetic acid is absorbed in less thnn 2 minutes by the digestive mucosa and enhances ce llular architecture. Results: On a series of 251 gastroscop ies we we re able to diagnose 23 patients with Barrett csophagus long (:::3 ern ): 14 short (&lt;3 ern), We were able to di fferentiate three types of mucosa: fundic mucosal cardial mucosa, and intestinal metaplasia. The specialized colu mnar epithelium with various pit pattern types could be identified. Moreover, in long Barrell, three different zones could be identifie d: villous type next to the Z-Iine. flat central part, and aga in villous type on the dista l pan of Barrett. More importantly, zones with redness and/or flatter areas have to be considered as dysplasia regions. At this time it is difficult to endoscopically differentiate high-grade from low-grade dysplasia. Conclu sion: Chromoscopy with acetic acid and magnific ation is less time-consumi ng anc/more nccurnre than the Seattle Protocol, as it allows for biopsies to he taken from selected areas corresponding to different types of mucosa. Endoscopic differentiation betwe en the types of mucosa, the pit pattern classification for Barrett's mucosa. detect ion of dysplasia are 111e most important findings of magnification with acetic acid. This technique allows fOI' a more endoscopically accu rate diagnosis of Barrett's esoph - agus ; lends to target biopsies; and could be routinely used for Barrett's patients.", "author" : [ { "dropping-particle" : "", "family" : "Rey, J F Kuznetsov", "given" : "K", "non-dropping-particle" : "", "parse-names" : false, "suffix" : "" } ], "container-title" : "Gastrointestinal Endoscopy", "id" : "ITEM-1", "issued" : { "date-parts" : [ [ "2003" ] ] }, "page" : "AB91", "title" : "Usefulness of chromoscopy with acetic acid and magnification for Barrett's esophagus", "type" : "paper-conference" }, "uris" : [ "http://www.mendeley.com/documents/?uuid=8be5c4ba-f7f2-4ecf-b656-eb89da996e4c" ] } ], "mendeley" : { "formattedCitation" : "&lt;sup&gt;[30]&lt;/sup&gt;", "plainTextFormattedCitation" : "[30]", "previouslyFormattedCitation" : "&lt;sup&gt;[30]&lt;/sup&gt;" }, "properties" : { "noteIndex" : 0 }, "schema" : "https://github.com/citation-style-language/schema/raw/master/csl-citation.json" }</w:instrText>
      </w:r>
      <w:r w:rsidR="004F39DD">
        <w:rPr>
          <w:rFonts w:ascii="Book Antiqua" w:hAnsi="Book Antiqua"/>
          <w:lang w:val="en-US"/>
        </w:rPr>
        <w:fldChar w:fldCharType="separate"/>
      </w:r>
      <w:r w:rsidR="004F39DD" w:rsidRPr="00AF4148">
        <w:rPr>
          <w:rFonts w:ascii="Book Antiqua" w:hAnsi="Book Antiqua"/>
          <w:noProof/>
          <w:vertAlign w:val="superscript"/>
          <w:lang w:val="en-US"/>
        </w:rPr>
        <w:t>[30]</w:t>
      </w:r>
      <w:r w:rsidR="004F39DD">
        <w:rPr>
          <w:rFonts w:ascii="Book Antiqua" w:hAnsi="Book Antiqua"/>
          <w:lang w:val="en-US"/>
        </w:rPr>
        <w:fldChar w:fldCharType="end"/>
      </w:r>
      <w:r w:rsidR="00283C7B" w:rsidRPr="002075A3">
        <w:rPr>
          <w:rFonts w:ascii="Book Antiqua" w:hAnsi="Book Antiqua"/>
          <w:lang w:val="en-US"/>
        </w:rPr>
        <w:t xml:space="preserve"> in 2003.</w:t>
      </w:r>
      <w:r w:rsidR="003A730D" w:rsidRPr="002075A3">
        <w:rPr>
          <w:rFonts w:ascii="Book Antiqua" w:hAnsi="Book Antiqua"/>
          <w:lang w:val="en-US"/>
        </w:rPr>
        <w:t xml:space="preserve"> Using these parameters, they demonstrated a positive predictive value</w:t>
      </w:r>
      <w:r w:rsidR="00C467B9" w:rsidRPr="002075A3">
        <w:rPr>
          <w:rFonts w:ascii="Book Antiqua" w:hAnsi="Book Antiqua"/>
          <w:lang w:val="en-US"/>
        </w:rPr>
        <w:t xml:space="preserve"> (PPV)</w:t>
      </w:r>
      <w:r w:rsidR="003A730D" w:rsidRPr="002075A3">
        <w:rPr>
          <w:rFonts w:ascii="Book Antiqua" w:hAnsi="Book Antiqua"/>
          <w:lang w:val="en-US"/>
        </w:rPr>
        <w:t xml:space="preserve"> of 75% for neoplasia.</w:t>
      </w:r>
      <w:r w:rsidR="00270DD7" w:rsidRPr="002075A3">
        <w:rPr>
          <w:rFonts w:ascii="Book Antiqua" w:hAnsi="Book Antiqua"/>
          <w:lang w:val="en-US"/>
        </w:rPr>
        <w:t xml:space="preserve"> </w:t>
      </w:r>
      <w:r w:rsidR="004F39DD">
        <w:rPr>
          <w:rFonts w:ascii="Book Antiqua" w:hAnsi="Book Antiqua"/>
          <w:lang w:val="en-US"/>
        </w:rPr>
        <w:t xml:space="preserve">Camus </w:t>
      </w:r>
      <w:r w:rsidR="004F39DD" w:rsidRPr="004F39DD">
        <w:rPr>
          <w:rFonts w:ascii="Book Antiqua" w:hAnsi="Book Antiqua"/>
          <w:i/>
          <w:lang w:val="en-US"/>
        </w:rPr>
        <w:t>et al</w:t>
      </w:r>
      <w:r w:rsidR="00CD039D">
        <w:rPr>
          <w:rFonts w:ascii="Book Antiqua" w:hAnsi="Book Antiqua"/>
          <w:lang w:val="en-US"/>
        </w:rPr>
        <w:fldChar w:fldCharType="begin" w:fldLock="1"/>
      </w:r>
      <w:r w:rsidR="00CD039D">
        <w:rPr>
          <w:rFonts w:ascii="Book Antiqua" w:hAnsi="Book Antiqua"/>
          <w:lang w:val="en-US"/>
        </w:rPr>
        <w:instrText>ADDIN CSL_CITATION { "citationItems" : [ { "id" : "ITEM-1", "itemData" : { "DOI" : "10.3748/wjg.v18.i16.1921", "ISBN" : "3315841195", "ISSN" : "10079327", "PMID" : "22563172", "abstract" : "AIM: To investigate the mucosal morphology in Barrett's oesophagus by chromo and magnifying endoscopy. METHODS: A prospective pilot study at a tertiary medical centre was conducted to evaluate the use of acetic acid pulverisation combined with virtual chromoendoscopy using Fujinon intelligent chromoendoscopy (FICE) for semiological characterization of the mucosal morphology in Barrett's oesophagus and its neoplastic complications. Upper endoscopy using high definition white light, 2% acid acetic pulverisation and FICE with high definition videoendoscopy were performed in 20 patients including 18 patients who presented with aspects of Barrett's oesophagus at endoscopy examination. Two patients used as controls had normal endoscopy and histological results. Prospectively, videos were watched blind from histological results by three trained FICE technique endoscopists. RESULTS: The videos of patients with high-grade dysplasia showed an irregular mucosal pattern in 14% using high definition white light endoscopy and in 100% using acid acetic-FICE combined. Videos did not identify irregular vascular patterns using high definition white light endoscopy, while acid acetic-FICE combined visualised one in 86% of cases. CONCLUSION: Combined acetic acid and FICE is a promising method for screening high-grade dysplasia and early cancer in Barrett's oesophagus.", "author" : [ { "dropping-particle" : "", "family" : "Camus", "given" : "Marine", "non-dropping-particle" : "", "parse-names" : false, "suffix" : "" }, { "dropping-particle" : "", "family" : "Coriat", "given" : "Romain", "non-dropping-particle" : "", "parse-names" : false, "suffix" : "" }, { "dropping-particle" : "", "family" : "Leblanc", "given" : "Sarah", "non-dropping-particle" : "", "parse-names" : false, "suffix" : "" }, { "dropping-particle" : "", "family" : "Brezault", "given" : "Catherine", "non-dropping-particle" : "", "parse-names" : false, "suffix" : "" }, { "dropping-particle" : "", "family" : "Terris", "given" : "Benoit", "non-dropping-particle" : "", "parse-names" : false, "suffix" : "" }, { "dropping-particle" : "", "family" : "Pommaret", "given" : "Elise", "non-dropping-particle" : "", "parse-names" : false, "suffix" : "" }, { "dropping-particle" : "", "family" : "Gaudric", "given" : "Marianne", "non-dropping-particle" : "", "parse-names" : false, "suffix" : "" }, { "dropping-particle" : "", "family" : "Chryssostalis", "given" : "Ariane", "non-dropping-particle" : "", "parse-names" : false, "suffix" : "" }, { "dropping-particle" : "", "family" : "Prat", "given" : "Frederic", "non-dropping-particle" : "", "parse-names" : false, "suffix" : "" }, { "dropping-particle" : "", "family" : "Chaussade", "given" : "Stanislas", "non-dropping-particle" : "", "parse-names" : false, "suffix" : "" } ], "container-title" : "World Journal of Gastroenterology", "id" : "ITEM-1", "issue" : "16", "issued" : { "date-parts" : [ [ "2012" ] ] }, "page" : "1921-1925", "title" : "Helpfulness of the combination of acetic acid and FICE in the detection of barrett's epithelium and barrett's associated neoplasias", "type" : "article-journal", "volume" : "18" }, "uris" : [ "http://www.mendeley.com/documents/?uuid=993263d5-afc4-45df-89c8-b02c2021b7b3" ] } ], "mendeley" : { "formattedCitation" : "&lt;sup&gt;[31]&lt;/sup&gt;", "plainTextFormattedCitation" : "[31]", "previouslyFormattedCitation" : "&lt;sup&gt;[31]&lt;/sup&gt;" }, "properties" : { "noteIndex" : 0 }, "schema" : "https://github.com/citation-style-language/schema/raw/master/csl-citation.json" }</w:instrText>
      </w:r>
      <w:r w:rsidR="00CD039D">
        <w:rPr>
          <w:rFonts w:ascii="Book Antiqua" w:hAnsi="Book Antiqua"/>
          <w:lang w:val="en-US"/>
        </w:rPr>
        <w:fldChar w:fldCharType="separate"/>
      </w:r>
      <w:r w:rsidR="00CD039D" w:rsidRPr="00CD039D">
        <w:rPr>
          <w:rFonts w:ascii="Book Antiqua" w:hAnsi="Book Antiqua"/>
          <w:noProof/>
          <w:vertAlign w:val="superscript"/>
          <w:lang w:val="en-US"/>
        </w:rPr>
        <w:t>[31]</w:t>
      </w:r>
      <w:r w:rsidR="00CD039D">
        <w:rPr>
          <w:rFonts w:ascii="Book Antiqua" w:hAnsi="Book Antiqua"/>
          <w:lang w:val="en-US"/>
        </w:rPr>
        <w:fldChar w:fldCharType="end"/>
      </w:r>
      <w:r w:rsidR="006E482D" w:rsidRPr="002075A3">
        <w:rPr>
          <w:rFonts w:ascii="Book Antiqua" w:hAnsi="Book Antiqua"/>
          <w:lang w:val="en-US"/>
        </w:rPr>
        <w:t xml:space="preserve"> identified similar features when combining AA with FICE.</w:t>
      </w:r>
    </w:p>
    <w:p w14:paraId="378C092D" w14:textId="18B19150" w:rsidR="009541F9" w:rsidRPr="002075A3" w:rsidRDefault="009541F9"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In </w:t>
      </w:r>
      <w:r w:rsidR="00C467B9" w:rsidRPr="002075A3">
        <w:rPr>
          <w:rFonts w:ascii="Book Antiqua" w:hAnsi="Book Antiqua"/>
          <w:lang w:val="en-US"/>
        </w:rPr>
        <w:t xml:space="preserve">their </w:t>
      </w:r>
      <w:r w:rsidRPr="002075A3">
        <w:rPr>
          <w:rFonts w:ascii="Book Antiqua" w:hAnsi="Book Antiqua"/>
          <w:lang w:val="en-US"/>
        </w:rPr>
        <w:t>study of 62 patients</w:t>
      </w:r>
      <w:r w:rsidR="004F39DD">
        <w:rPr>
          <w:rFonts w:ascii="Book Antiqua" w:hAnsi="Book Antiqua"/>
          <w:lang w:val="en-US"/>
        </w:rPr>
        <w:t xml:space="preserve"> in 2006, Fortun </w:t>
      </w:r>
      <w:r w:rsidR="004F39DD" w:rsidRPr="004F39DD">
        <w:rPr>
          <w:rFonts w:ascii="Book Antiqua" w:hAnsi="Book Antiqua"/>
          <w:i/>
          <w:lang w:val="en-US"/>
        </w:rPr>
        <w:t>et al</w:t>
      </w:r>
      <w:r w:rsidR="00CD039D">
        <w:rPr>
          <w:rFonts w:ascii="Book Antiqua" w:hAnsi="Book Antiqua"/>
          <w:vertAlign w:val="superscript"/>
          <w:lang w:val="en-US"/>
        </w:rPr>
        <w:fldChar w:fldCharType="begin" w:fldLock="1"/>
      </w:r>
      <w:r w:rsidR="00CD039D">
        <w:rPr>
          <w:rFonts w:ascii="Book Antiqua" w:hAnsi="Book Antiqua"/>
          <w:vertAlign w:val="superscript"/>
          <w:lang w:val="en-US"/>
        </w:rPr>
        <w:instrText>ADDIN CSL_CITATION { "citationItems" : [ { "id" : "ITEM-1", "itemData" : { "DOI" : "10.1111/j.1365-2036.2006.02823.x", "ISBN" : "0269-2813 (Print)\\r0269-2813 (Linking)", "ISSN" : "02692813", "PMID" : "16556175", "abstract" : "BACKGROUND: Barrett's surveillance is prone to sampling error. Aim To determine whether enhanced magnification endoscopy using acetic acid instillation improves diagnostic accuracy of specialized intestinal metaplasia/dysplasia in Barrett's oesophagus.\\n\\nMETHODS: We examined the detection rate of the specialized intestinal metaplasia/dysplasia in 64 consecutive patients with Barrett's oesophagus using acetic acid to enhance mucosal pit patterns. Histology was compared with the previous findings at recent conventional surveillance in 62 patients. We also examined the inter-/intra-observer agreement in the assessment of the enhanced magnification endoscopy pit pattern findings.\\n\\nRESULTS: Histology revealed columnar-lined oesophagus in six (9%) patients, specialized intestinal metaplasia in 49 (77%), low-grade dysplasia in five (8%), high-grade dysplasia in one (2%), and adenocarcinoma in three (5%). There was discordance between the histologic findings from conventional surveillance with random biopsy. Fifteen patients (24%) had a histological upgrade with enhanced magnification endoscopy. There was a high detection rate of specialized intestinal metaplasia even in short segment Barrett's oesophagus (74%), and additionally, there were two cancers, one with 2-cm Barrett's oesophagus and one ultra-short (1 cm). The mean kappa values for inter- and intra-observer agreement in assessing the pit patterns were 0.571 (0.041) and 0.709 (0.038), respectively.\\n\\nCONCLUSIONS: Enhanced magnification endoscopy allows clear visualization of the epithelial pit patterns within Barrett's oesophagus, and targeted biopsy results in a high yield of specialized intestinal metaplasia and dysplasia.", "author" : [ { "dropping-particle" : "", "family" : "Fortun", "given" : "P. J.", "non-dropping-particle" : "", "parse-names" : false, "suffix" : "" }, { "dropping-particle" : "", "family" : "Anagnostopoulos", "given" : "G. K.", "non-dropping-particle" : "", "parse-names" : false, "suffix" : "" }, { "dropping-particle" : "", "family" : "Kaye", "given" : "P.", "non-dropping-particle" : "", "parse-names" : false, "suffix" : "" }, { "dropping-particle" : "", "family" : "James", "given" : "M.", "non-dropping-particle" : "", "parse-names" : false, "suffix" : "" }, { "dropping-particle" : "", "family" : "Foley", "given" : "S.", "non-dropping-particle" : "", "parse-names" : false, "suffix" : "" }, { "dropping-particle" : "", "family" : "Samuel", "given" : "S.", "non-dropping-particle" : "", "parse-names" : false, "suffix" : "" }, { "dropping-particle" : "", "family" : "Shonde", "given" : "A.", "non-dropping-particle" : "", "parse-names" : false, "suffix" : "" }, { "dropping-particle" : "", "family" : "Badreldin", "given" : "R.", "non-dropping-particle" : "", "parse-names" : false, "suffix" : "" }, { "dropping-particle" : "", "family" : "Campbell", "given" : "E.", "non-dropping-particle" : "", "parse-names" : false, "suffix" : "" }, { "dropping-particle" : "", "family" : "Hawkey", "given" : "C. J.", "non-dropping-particle" : "", "parse-names" : false, "suffix" : "" }, { "dropping-particle" : "", "family" : "Ragunath", "given" : "K.", "non-dropping-particle" : "", "parse-names" : false, "suffix" : "" } ], "container-title" : "Alimentary Pharmacology and Therapeutics", "id" : "ITEM-1", "issue" : "6", "issued" : { "date-parts" : [ [ "2006" ] ] }, "page" : "735-742", "title" : "Acetic acid-enhanced magnification endoscopy in the diagnosis of specialized intestinal metaplasia, dysplasia and early cancer in Barrett's oesophagus", "type" : "article-journal", "volume" : "23" }, "uris" : [ "http://www.mendeley.com/documents/?uuid=4647920a-119f-4f34-9405-80303fdaed0a" ] } ], "mendeley" : { "formattedCitation" : "&lt;sup&gt;[27]&lt;/sup&gt;", "plainTextFormattedCitation" : "[27]", "previouslyFormattedCitation" : "&lt;sup&gt;[27]&lt;/sup&gt;" }, "properties" : { "noteIndex" : 0 }, "schema" : "https://github.com/citation-style-language/schema/raw/master/csl-citation.json" }</w:instrText>
      </w:r>
      <w:r w:rsidR="00CD039D">
        <w:rPr>
          <w:rFonts w:ascii="Book Antiqua" w:hAnsi="Book Antiqua"/>
          <w:vertAlign w:val="superscript"/>
          <w:lang w:val="en-US"/>
        </w:rPr>
        <w:fldChar w:fldCharType="separate"/>
      </w:r>
      <w:r w:rsidR="00CD039D" w:rsidRPr="00CD039D">
        <w:rPr>
          <w:rFonts w:ascii="Book Antiqua" w:hAnsi="Book Antiqua"/>
          <w:noProof/>
          <w:vertAlign w:val="superscript"/>
          <w:lang w:val="en-US"/>
        </w:rPr>
        <w:t>[27]</w:t>
      </w:r>
      <w:r w:rsidR="00CD039D">
        <w:rPr>
          <w:rFonts w:ascii="Book Antiqua" w:hAnsi="Book Antiqua"/>
          <w:vertAlign w:val="superscript"/>
          <w:lang w:val="en-US"/>
        </w:rPr>
        <w:fldChar w:fldCharType="end"/>
      </w:r>
      <w:r w:rsidRPr="002075A3">
        <w:rPr>
          <w:rFonts w:ascii="Book Antiqua" w:hAnsi="Book Antiqua"/>
          <w:lang w:val="en-US"/>
        </w:rPr>
        <w:t xml:space="preserve"> examined whether the combination of magnification endoscopy and 3% </w:t>
      </w:r>
      <w:r w:rsidR="00A53B1C" w:rsidRPr="002075A3">
        <w:rPr>
          <w:rFonts w:ascii="Book Antiqua" w:hAnsi="Book Antiqua"/>
          <w:lang w:val="en-US"/>
        </w:rPr>
        <w:t>AA</w:t>
      </w:r>
      <w:r w:rsidRPr="002075A3">
        <w:rPr>
          <w:rFonts w:ascii="Book Antiqua" w:hAnsi="Book Antiqua"/>
          <w:lang w:val="en-US"/>
        </w:rPr>
        <w:t xml:space="preserve"> could improve diagnostic accuracy in patients with </w:t>
      </w:r>
      <w:r w:rsidR="00EE5DB8" w:rsidRPr="002075A3">
        <w:rPr>
          <w:rFonts w:ascii="Book Antiqua" w:hAnsi="Book Antiqua"/>
          <w:lang w:val="en-US"/>
        </w:rPr>
        <w:t>BE</w:t>
      </w:r>
      <w:r w:rsidRPr="002075A3">
        <w:rPr>
          <w:rFonts w:ascii="Book Antiqua" w:hAnsi="Book Antiqua"/>
          <w:lang w:val="en-US"/>
        </w:rPr>
        <w:t xml:space="preserve">. Patients underwent a repeat endoscopy having recently undergone surveillance endoscopy (mean 7 </w:t>
      </w:r>
      <w:r w:rsidR="004F39DD">
        <w:rPr>
          <w:rFonts w:ascii="Book Antiqua" w:hAnsi="Book Antiqua" w:hint="eastAsia"/>
          <w:lang w:val="en-US" w:eastAsia="zh-CN"/>
        </w:rPr>
        <w:t>mo</w:t>
      </w:r>
      <w:r w:rsidRPr="002075A3">
        <w:rPr>
          <w:rFonts w:ascii="Book Antiqua" w:hAnsi="Book Antiqua"/>
          <w:lang w:val="en-US"/>
        </w:rPr>
        <w:t xml:space="preserve"> </w:t>
      </w:r>
      <w:r w:rsidR="00514672" w:rsidRPr="002075A3">
        <w:rPr>
          <w:rFonts w:ascii="Book Antiqua" w:hAnsi="Book Antiqua"/>
          <w:lang w:val="en-US"/>
        </w:rPr>
        <w:t>prior</w:t>
      </w:r>
      <w:r w:rsidRPr="002075A3">
        <w:rPr>
          <w:rFonts w:ascii="Book Antiqua" w:hAnsi="Book Antiqua"/>
          <w:lang w:val="en-US"/>
        </w:rPr>
        <w:t xml:space="preserve">). Barrett’s neoplasia was identified in 9 patients: 5 </w:t>
      </w:r>
      <w:r w:rsidR="0063446D" w:rsidRPr="002075A3">
        <w:rPr>
          <w:rFonts w:ascii="Book Antiqua" w:hAnsi="Book Antiqua"/>
          <w:lang w:val="en-US"/>
        </w:rPr>
        <w:t>LGD</w:t>
      </w:r>
      <w:r w:rsidRPr="002075A3">
        <w:rPr>
          <w:rFonts w:ascii="Book Antiqua" w:hAnsi="Book Antiqua"/>
          <w:lang w:val="en-US"/>
        </w:rPr>
        <w:t xml:space="preserve">, 1 </w:t>
      </w:r>
      <w:r w:rsidR="00844446" w:rsidRPr="002075A3">
        <w:rPr>
          <w:rFonts w:ascii="Book Antiqua" w:hAnsi="Book Antiqua"/>
          <w:lang w:val="en-US"/>
        </w:rPr>
        <w:t>HGD</w:t>
      </w:r>
      <w:r w:rsidRPr="002075A3">
        <w:rPr>
          <w:rFonts w:ascii="Book Antiqua" w:hAnsi="Book Antiqua"/>
          <w:lang w:val="en-US"/>
        </w:rPr>
        <w:t xml:space="preserve"> and 3 </w:t>
      </w:r>
      <w:r w:rsidR="00D819FD" w:rsidRPr="002075A3">
        <w:rPr>
          <w:rFonts w:ascii="Book Antiqua" w:hAnsi="Book Antiqua"/>
          <w:lang w:val="en-US"/>
        </w:rPr>
        <w:t>EAC</w:t>
      </w:r>
      <w:r w:rsidRPr="002075A3">
        <w:rPr>
          <w:rFonts w:ascii="Book Antiqua" w:hAnsi="Book Antiqua"/>
          <w:lang w:val="en-US"/>
        </w:rPr>
        <w:t xml:space="preserve">. The main drawback from this study is </w:t>
      </w:r>
      <w:r w:rsidR="008D4FCD">
        <w:rPr>
          <w:rFonts w:ascii="Book Antiqua" w:hAnsi="Book Antiqua"/>
          <w:lang w:val="en-US"/>
        </w:rPr>
        <w:t xml:space="preserve">that </w:t>
      </w:r>
      <w:r w:rsidRPr="002075A3">
        <w:rPr>
          <w:rFonts w:ascii="Book Antiqua" w:hAnsi="Book Antiqua"/>
          <w:lang w:val="en-US"/>
        </w:rPr>
        <w:t>the index endoscopy was used as a control, raising the question as to whether the neoplasia detected was de</w:t>
      </w:r>
      <w:r w:rsidR="00C467B9" w:rsidRPr="002075A3">
        <w:rPr>
          <w:rFonts w:ascii="Book Antiqua" w:hAnsi="Book Antiqua"/>
          <w:lang w:val="en-US"/>
        </w:rPr>
        <w:t>-</w:t>
      </w:r>
      <w:r w:rsidRPr="002075A3">
        <w:rPr>
          <w:rFonts w:ascii="Book Antiqua" w:hAnsi="Book Antiqua"/>
          <w:lang w:val="en-US"/>
        </w:rPr>
        <w:t xml:space="preserve">novo or </w:t>
      </w:r>
      <w:r w:rsidR="00C467B9" w:rsidRPr="002075A3">
        <w:rPr>
          <w:rFonts w:ascii="Book Antiqua" w:hAnsi="Book Antiqua"/>
          <w:lang w:val="en-US"/>
        </w:rPr>
        <w:t xml:space="preserve">previously </w:t>
      </w:r>
      <w:r w:rsidRPr="002075A3">
        <w:rPr>
          <w:rFonts w:ascii="Book Antiqua" w:hAnsi="Book Antiqua"/>
          <w:lang w:val="en-US"/>
        </w:rPr>
        <w:t>missed</w:t>
      </w:r>
      <w:r w:rsidR="008E0703">
        <w:rPr>
          <w:rFonts w:ascii="Book Antiqua" w:hAnsi="Book Antiqua"/>
          <w:lang w:val="en-US"/>
        </w:rPr>
        <w:t>, with the total number of neoplasias being small.</w:t>
      </w:r>
      <w:r w:rsidR="004F39DD">
        <w:rPr>
          <w:rFonts w:ascii="Book Antiqua" w:hAnsi="Book Antiqua"/>
          <w:lang w:val="en-US"/>
        </w:rPr>
        <w:t xml:space="preserve"> At the same time, Yagi </w:t>
      </w:r>
      <w:r w:rsidR="004F39DD" w:rsidRPr="004F39DD">
        <w:rPr>
          <w:rFonts w:ascii="Book Antiqua" w:hAnsi="Book Antiqua"/>
          <w:i/>
          <w:lang w:val="en-US"/>
        </w:rPr>
        <w:t>et al</w:t>
      </w:r>
      <w:r w:rsidR="00CD039D">
        <w:rPr>
          <w:rFonts w:ascii="Book Antiqua" w:hAnsi="Book Antiqua"/>
          <w:lang w:val="en-US"/>
        </w:rPr>
        <w:fldChar w:fldCharType="begin" w:fldLock="1"/>
      </w:r>
      <w:r w:rsidR="00CD039D">
        <w:rPr>
          <w:rFonts w:ascii="Book Antiqua" w:hAnsi="Book Antiqua"/>
          <w:lang w:val="en-US"/>
        </w:rPr>
        <w:instrText>ADDIN CSL_CITATION { "citationItems" : [ { "id" : "ITEM-1", "itemData" : { "DOI" : "10.1111/j.1443-1661.2006.00613.x", "ISSN" : "09155635", "author" : [ { "dropping-particle" : "", "family" : "Yagi", "given" : "Kazuyoshi", "non-dropping-particle" : "", "parse-names" : false, "suffix" : "" }, { "dropping-particle" : "", "family" : "Nakamura", "given" : "Atsuo", "non-dropping-particle" : "", "parse-names" : false, "suffix" : "" }, { "dropping-particle" : "", "family" : "Sekine", "given" : "Atsuo", "non-dropping-particle" : "", "parse-names" : false, "suffix" : "" }, { "dropping-particle" : "", "family" : "Umezu", "given" : "Hazime", "non-dropping-particle" : "", "parse-names" : false, "suffix" : "" } ], "container-title" : "Digestive Endoscopy", "id" : "ITEM-1", "issue" : "SUPPL. 1", "issued" : { "date-parts" : [ [ "2006" ] ] }, "page" : "21-26", "title" : "Endoscopic diagnosis of mucosal adenocarcinomas and intestinal metaplasia of columnar-lined esophagus using enhanced-magnification endoscopy", "type" : "article-journal", "volume" : "18" }, "uris" : [ "http://www.mendeley.com/documents/?uuid=447ee277-085d-4826-bb52-e84383a02a92" ] } ], "mendeley" : { "formattedCitation" : "&lt;sup&gt;[32]&lt;/sup&gt;", "plainTextFormattedCitation" : "[32]", "previouslyFormattedCitation" : "&lt;sup&gt;[32]&lt;/sup&gt;" }, "properties" : { "noteIndex" : 0 }, "schema" : "https://github.com/citation-style-language/schema/raw/master/csl-citation.json" }</w:instrText>
      </w:r>
      <w:r w:rsidR="00CD039D">
        <w:rPr>
          <w:rFonts w:ascii="Book Antiqua" w:hAnsi="Book Antiqua"/>
          <w:lang w:val="en-US"/>
        </w:rPr>
        <w:fldChar w:fldCharType="separate"/>
      </w:r>
      <w:r w:rsidR="00CD039D" w:rsidRPr="00CD039D">
        <w:rPr>
          <w:rFonts w:ascii="Book Antiqua" w:hAnsi="Book Antiqua"/>
          <w:noProof/>
          <w:vertAlign w:val="superscript"/>
          <w:lang w:val="en-US"/>
        </w:rPr>
        <w:t>[32]</w:t>
      </w:r>
      <w:r w:rsidR="00CD039D">
        <w:rPr>
          <w:rFonts w:ascii="Book Antiqua" w:hAnsi="Book Antiqua"/>
          <w:lang w:val="en-US"/>
        </w:rPr>
        <w:fldChar w:fldCharType="end"/>
      </w:r>
      <w:r w:rsidR="00BF3903" w:rsidRPr="002075A3">
        <w:rPr>
          <w:rFonts w:ascii="Book Antiqua" w:hAnsi="Book Antiqua"/>
          <w:lang w:val="en-US"/>
        </w:rPr>
        <w:t xml:space="preserve"> reported that Barrett’s </w:t>
      </w:r>
      <w:r w:rsidR="00D819FD" w:rsidRPr="002075A3">
        <w:rPr>
          <w:rFonts w:ascii="Book Antiqua" w:hAnsi="Book Antiqua"/>
          <w:lang w:val="en-US"/>
        </w:rPr>
        <w:t>EAC</w:t>
      </w:r>
      <w:r w:rsidR="008C5F11" w:rsidRPr="002075A3">
        <w:rPr>
          <w:rFonts w:ascii="Book Antiqua" w:hAnsi="Book Antiqua"/>
          <w:lang w:val="en-US"/>
        </w:rPr>
        <w:t xml:space="preserve"> </w:t>
      </w:r>
      <w:r w:rsidR="00BF3903" w:rsidRPr="002075A3">
        <w:rPr>
          <w:rFonts w:ascii="Book Antiqua" w:hAnsi="Book Antiqua"/>
          <w:lang w:val="en-US"/>
        </w:rPr>
        <w:t xml:space="preserve">was associated with an irregular granular pattern or </w:t>
      </w:r>
      <w:r w:rsidR="00C467B9" w:rsidRPr="002075A3">
        <w:rPr>
          <w:rFonts w:ascii="Book Antiqua" w:hAnsi="Book Antiqua"/>
          <w:lang w:val="en-US"/>
        </w:rPr>
        <w:t xml:space="preserve">a </w:t>
      </w:r>
      <w:r w:rsidR="00BF3903" w:rsidRPr="002075A3">
        <w:rPr>
          <w:rFonts w:ascii="Book Antiqua" w:hAnsi="Book Antiqua"/>
          <w:lang w:val="en-US"/>
        </w:rPr>
        <w:t>minute grain</w:t>
      </w:r>
      <w:r w:rsidR="00C467B9" w:rsidRPr="002075A3">
        <w:rPr>
          <w:rFonts w:ascii="Book Antiqua" w:hAnsi="Book Antiqua"/>
          <w:lang w:val="en-US"/>
        </w:rPr>
        <w:t>-</w:t>
      </w:r>
      <w:r w:rsidR="00BF3903" w:rsidRPr="002075A3">
        <w:rPr>
          <w:rFonts w:ascii="Book Antiqua" w:hAnsi="Book Antiqua"/>
          <w:lang w:val="en-US"/>
        </w:rPr>
        <w:t xml:space="preserve">like pattern following 1.5% </w:t>
      </w:r>
      <w:r w:rsidR="00A53B1C" w:rsidRPr="002075A3">
        <w:rPr>
          <w:rFonts w:ascii="Book Antiqua" w:hAnsi="Book Antiqua"/>
          <w:lang w:val="en-US"/>
        </w:rPr>
        <w:t>AA</w:t>
      </w:r>
      <w:r w:rsidR="00BF3903" w:rsidRPr="002075A3">
        <w:rPr>
          <w:rFonts w:ascii="Book Antiqua" w:hAnsi="Book Antiqua"/>
          <w:lang w:val="en-US"/>
        </w:rPr>
        <w:t xml:space="preserve"> dye spray and magnification endoscopy.</w:t>
      </w:r>
    </w:p>
    <w:p w14:paraId="74587ECC" w14:textId="6DA54141" w:rsidR="00D90F8E" w:rsidRPr="004F39DD" w:rsidRDefault="008F6DC0" w:rsidP="00E46EEA">
      <w:pPr>
        <w:spacing w:line="360" w:lineRule="auto"/>
        <w:ind w:firstLineChars="150" w:firstLine="360"/>
        <w:jc w:val="both"/>
        <w:rPr>
          <w:rFonts w:ascii="Book Antiqua" w:hAnsi="Book Antiqua"/>
          <w:lang w:val="en-US" w:eastAsia="zh-CN"/>
        </w:rPr>
      </w:pPr>
      <w:r w:rsidRPr="002075A3">
        <w:rPr>
          <w:rFonts w:ascii="Book Antiqua" w:hAnsi="Book Antiqua"/>
          <w:lang w:val="en-US"/>
        </w:rPr>
        <w:t xml:space="preserve">A year later </w:t>
      </w:r>
      <w:r w:rsidR="00E33920" w:rsidRPr="002075A3">
        <w:rPr>
          <w:rFonts w:ascii="Book Antiqua" w:hAnsi="Book Antiqua"/>
          <w:lang w:val="en-US"/>
        </w:rPr>
        <w:t>Va</w:t>
      </w:r>
      <w:r w:rsidR="00CD039D">
        <w:rPr>
          <w:rFonts w:ascii="Book Antiqua" w:hAnsi="Book Antiqua"/>
          <w:lang w:val="en-US"/>
        </w:rPr>
        <w:t>z</w:t>
      </w:r>
      <w:r w:rsidR="004F39DD">
        <w:rPr>
          <w:rFonts w:ascii="Book Antiqua" w:hAnsi="Book Antiqua"/>
          <w:lang w:val="en-US"/>
        </w:rPr>
        <w:t xml:space="preserve">quez-Iglesias </w:t>
      </w:r>
      <w:r w:rsidR="004F39DD" w:rsidRPr="004F39DD">
        <w:rPr>
          <w:rFonts w:ascii="Book Antiqua" w:hAnsi="Book Antiqua"/>
          <w:i/>
          <w:lang w:val="en-US"/>
        </w:rPr>
        <w:t>et al</w:t>
      </w:r>
      <w:r w:rsidR="00CD039D">
        <w:rPr>
          <w:rFonts w:ascii="Book Antiqua" w:hAnsi="Book Antiqua"/>
          <w:lang w:val="en-US"/>
        </w:rPr>
        <w:fldChar w:fldCharType="begin" w:fldLock="1"/>
      </w:r>
      <w:r w:rsidR="00CD039D">
        <w:rPr>
          <w:rFonts w:ascii="Book Antiqua" w:hAnsi="Book Antiqua"/>
          <w:lang w:val="en-US"/>
        </w:rPr>
        <w:instrText>ADDIN CSL_CITATION { "citationItems" : [ { "id" : "ITEM-1", "itemData" : { "DOI" : "10.1097/MEG.0b013e3280102f5e", "ISSN" : "0954-691X", "PMID" : "17301644", "abstract" : "OBJECTIVE: The aim of this study was to determine whether macroscopic changes resulting from acetic acid application on the surface of columnar-lined esophagus allow regular, nonmagnifying, endoscopic identification of areas presenting dysplasia and/or cancer in Barrett's esophagus.\\n\\nPATIENTS AND METHODS: A total of 100 patients (mean age, 53 years; range, 27-86 years) under surveillance because of short-segment (n=71) and long-segment (n=29) Barrett's esophagus, with no alterations of columnar-lined esophagus on standard endoscopy, were enrolled. After endoscopic examination, 3% acetic acid was sprayed on columnar-lined esophagus. The subsequent appearance of the mucosa was classified as: (1) Normal pattern: uniform reticulum along the entire columnar-lined esophagus. (2) Abnormal pattern: reticulum presenting areas of rough or irregular appearance. Biopsy samples were obtained from areas of normal and abnormal patterns, and the results of the corresponding histological studies were compared. All endoscopies were performed by the same investigator.\\n\\nRESULTS: The endoscopic appearance, after acetic acid application, corresponded to a normal pattern in 85% of cases and an abnormal pattern in 15%. The percentage of dysplasia and adenocarcinoma in biopsy specimens was significantly higher in patients with rough or irregular areas (86.7%) than in those with normal uniform reticulum (0%) (P&lt; 0.001). Sensitivity for the identification of areas of dysplasia or adenocarcinoma was 100% (95% confidence interval: 71.7-100%). Specificity was 97.7% (95% confidence interval: 91.2-99.6%).\\n\\nCONCLUSIONS: This prospective study shows that acetic acid test is useful for standard, nonmagnifying, endoscopic detection of dysplasia and cancer in Barrett's esophagus.", "author" : [ { "dropping-particle" : "", "family" : "V\u00e1zquez-Iglesias", "given" : "Jos\u00e9 L", "non-dropping-particle" : "", "parse-names" : false, "suffix" : "" }, { "dropping-particle" : "", "family" : "Alonso-Aguirre", "given" : "Pedro", "non-dropping-particle" : "", "parse-names" : false, "suffix" : "" }, { "dropping-particle" : "", "family" : "Diz-Lois", "given" : "Mar\u00eda T", "non-dropping-particle" : "", "parse-names" : false, "suffix" : "" }, { "dropping-particle" : "", "family" : "V\u00e1zquez-Mill\u00e1n", "given" : "Mar\u00eda a", "non-dropping-particle" : "", "parse-names" : false, "suffix" : "" }, { "dropping-particle" : "", "family" : "Alvarez", "given" : "Augusto", "non-dropping-particle" : "", "parse-names" : false, "suffix" : "" }, { "dropping-particle" : "", "family" : "Lorenzo", "given" : "Mar\u00eda J", "non-dropping-particle" : "", "parse-names" : false, "suffix" : "" } ], "container-title" : "European journal of gastroenterology &amp; hepatology", "id" : "ITEM-1", "issue" : "3", "issued" : { "date-parts" : [ [ "2007" ] ] }, "page" : "187-93", "title" : "Acetic acid allows effective selection of areas for obtaining biopsy samples in Barrett's esophagus.", "type" : "article-journal", "volume" : "19" }, "uris" : [ "http://www.mendeley.com/documents/?uuid=8a8bf5b6-5564-4b52-bf22-495aa35accf0" ] } ], "mendeley" : { "formattedCitation" : "&lt;sup&gt;[33]&lt;/sup&gt;", "plainTextFormattedCitation" : "[33]", "previouslyFormattedCitation" : "&lt;sup&gt;[33]&lt;/sup&gt;" }, "properties" : { "noteIndex" : 0 }, "schema" : "https://github.com/citation-style-language/schema/raw/master/csl-citation.json" }</w:instrText>
      </w:r>
      <w:r w:rsidR="00CD039D">
        <w:rPr>
          <w:rFonts w:ascii="Book Antiqua" w:hAnsi="Book Antiqua"/>
          <w:lang w:val="en-US"/>
        </w:rPr>
        <w:fldChar w:fldCharType="separate"/>
      </w:r>
      <w:r w:rsidR="00CD039D" w:rsidRPr="00CD039D">
        <w:rPr>
          <w:rFonts w:ascii="Book Antiqua" w:hAnsi="Book Antiqua"/>
          <w:noProof/>
          <w:vertAlign w:val="superscript"/>
          <w:lang w:val="en-US"/>
        </w:rPr>
        <w:t>[33]</w:t>
      </w:r>
      <w:r w:rsidR="00CD039D">
        <w:rPr>
          <w:rFonts w:ascii="Book Antiqua" w:hAnsi="Book Antiqua"/>
          <w:lang w:val="en-US"/>
        </w:rPr>
        <w:fldChar w:fldCharType="end"/>
      </w:r>
      <w:r w:rsidR="00E33920" w:rsidRPr="002075A3">
        <w:rPr>
          <w:rFonts w:ascii="Book Antiqua" w:hAnsi="Book Antiqua"/>
          <w:lang w:val="en-US"/>
        </w:rPr>
        <w:t xml:space="preserve"> reported on their prospective study of 100 patients undergoing</w:t>
      </w:r>
      <w:r w:rsidR="008D4FCD" w:rsidRPr="008D4FCD">
        <w:rPr>
          <w:rFonts w:ascii="Book Antiqua" w:hAnsi="Book Antiqua"/>
          <w:lang w:val="en-US"/>
        </w:rPr>
        <w:t xml:space="preserve"> </w:t>
      </w:r>
      <w:r w:rsidR="008D4FCD" w:rsidRPr="002075A3">
        <w:rPr>
          <w:rFonts w:ascii="Book Antiqua" w:hAnsi="Book Antiqua"/>
          <w:lang w:val="en-US"/>
        </w:rPr>
        <w:t>Barrett’s surveillance</w:t>
      </w:r>
      <w:r w:rsidR="008C0191">
        <w:rPr>
          <w:rFonts w:ascii="Book Antiqua" w:hAnsi="Book Antiqua"/>
          <w:lang w:val="en-US"/>
        </w:rPr>
        <w:t>, 13 of whom had neoplasia,</w:t>
      </w:r>
      <w:r w:rsidR="00E33920" w:rsidRPr="002075A3">
        <w:rPr>
          <w:rFonts w:ascii="Book Antiqua" w:hAnsi="Book Antiqua"/>
          <w:lang w:val="en-US"/>
        </w:rPr>
        <w:t xml:space="preserve"> </w:t>
      </w:r>
      <w:r w:rsidR="00944C98" w:rsidRPr="002075A3">
        <w:rPr>
          <w:rFonts w:ascii="Book Antiqua" w:hAnsi="Book Antiqua"/>
          <w:lang w:val="en-US"/>
        </w:rPr>
        <w:t xml:space="preserve">using 3% </w:t>
      </w:r>
      <w:r w:rsidR="00A53B1C" w:rsidRPr="002075A3">
        <w:rPr>
          <w:rFonts w:ascii="Book Antiqua" w:hAnsi="Book Antiqua"/>
          <w:lang w:val="en-US"/>
        </w:rPr>
        <w:t>AA</w:t>
      </w:r>
      <w:r w:rsidR="00167F44" w:rsidRPr="002075A3">
        <w:rPr>
          <w:rFonts w:ascii="Book Antiqua" w:hAnsi="Book Antiqua"/>
          <w:lang w:val="en-US"/>
        </w:rPr>
        <w:t xml:space="preserve"> and non-magnification endoscopy</w:t>
      </w:r>
      <w:r w:rsidR="00944C98" w:rsidRPr="002075A3">
        <w:rPr>
          <w:rFonts w:ascii="Book Antiqua" w:hAnsi="Book Antiqua"/>
          <w:lang w:val="en-US"/>
        </w:rPr>
        <w:t xml:space="preserve">. They proposed </w:t>
      </w:r>
      <w:r w:rsidR="00D90F8E" w:rsidRPr="002075A3">
        <w:rPr>
          <w:rFonts w:ascii="Book Antiqua" w:hAnsi="Book Antiqua"/>
          <w:lang w:val="en-US"/>
        </w:rPr>
        <w:t xml:space="preserve">the following mucosal </w:t>
      </w:r>
      <w:r w:rsidR="00D90F8E" w:rsidRPr="002075A3">
        <w:rPr>
          <w:rFonts w:ascii="Book Antiqua" w:hAnsi="Book Antiqua"/>
          <w:lang w:val="en-US"/>
        </w:rPr>
        <w:lastRenderedPageBreak/>
        <w:t>classification:</w:t>
      </w:r>
      <w:r w:rsidR="004F39DD">
        <w:rPr>
          <w:rFonts w:ascii="Book Antiqua" w:hAnsi="Book Antiqua" w:hint="eastAsia"/>
          <w:lang w:val="en-US" w:eastAsia="zh-CN"/>
        </w:rPr>
        <w:t xml:space="preserve"> (1) </w:t>
      </w:r>
      <w:r w:rsidR="004F39DD" w:rsidRPr="004F39DD">
        <w:rPr>
          <w:rFonts w:ascii="Book Antiqua" w:hAnsi="Book Antiqua"/>
          <w:lang w:val="en-US"/>
        </w:rPr>
        <w:t xml:space="preserve">normal </w:t>
      </w:r>
      <w:r w:rsidR="00D90F8E" w:rsidRPr="004F39DD">
        <w:rPr>
          <w:rFonts w:ascii="Book Antiqua" w:hAnsi="Book Antiqua"/>
          <w:lang w:val="en-US"/>
        </w:rPr>
        <w:t>pattern: uniform reticulum along entire columnar-lined esophagus</w:t>
      </w:r>
      <w:r w:rsidR="004F39DD">
        <w:rPr>
          <w:rFonts w:ascii="Book Antiqua" w:hAnsi="Book Antiqua" w:hint="eastAsia"/>
          <w:lang w:val="en-US" w:eastAsia="zh-CN"/>
        </w:rPr>
        <w:t xml:space="preserve">; and (2) </w:t>
      </w:r>
      <w:r w:rsidR="004F39DD" w:rsidRPr="004F39DD">
        <w:rPr>
          <w:rFonts w:ascii="Book Antiqua" w:hAnsi="Book Antiqua"/>
          <w:lang w:val="en-US"/>
        </w:rPr>
        <w:t xml:space="preserve">abnormal </w:t>
      </w:r>
      <w:r w:rsidR="00D90F8E" w:rsidRPr="004F39DD">
        <w:rPr>
          <w:rFonts w:ascii="Book Antiqua" w:hAnsi="Book Antiqua"/>
          <w:lang w:val="en-US"/>
        </w:rPr>
        <w:t>pattern: rough or irregular reticulum</w:t>
      </w:r>
      <w:r w:rsidR="004F39DD">
        <w:rPr>
          <w:rFonts w:ascii="Book Antiqua" w:hAnsi="Book Antiqua" w:hint="eastAsia"/>
          <w:lang w:val="en-US" w:eastAsia="zh-CN"/>
        </w:rPr>
        <w:t xml:space="preserve">. </w:t>
      </w:r>
    </w:p>
    <w:p w14:paraId="007B36CC" w14:textId="38351D1B" w:rsidR="00D90F8E" w:rsidRPr="002075A3" w:rsidRDefault="00D90F8E"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Applying these </w:t>
      </w:r>
      <w:r w:rsidR="00380131" w:rsidRPr="002075A3">
        <w:rPr>
          <w:rFonts w:ascii="Book Antiqua" w:hAnsi="Book Antiqua"/>
          <w:lang w:val="en-US"/>
        </w:rPr>
        <w:t>characteristics,</w:t>
      </w:r>
      <w:r w:rsidRPr="002075A3">
        <w:rPr>
          <w:rFonts w:ascii="Book Antiqua" w:hAnsi="Book Antiqua"/>
          <w:lang w:val="en-US"/>
        </w:rPr>
        <w:t xml:space="preserve"> they demonstrated 100% sensitivity and 97.7% specificity</w:t>
      </w:r>
      <w:r w:rsidR="008B564A" w:rsidRPr="002075A3">
        <w:rPr>
          <w:rFonts w:ascii="Book Antiqua" w:hAnsi="Book Antiqua"/>
          <w:lang w:val="en-US"/>
        </w:rPr>
        <w:t xml:space="preserve"> (PPV 86% NPV 100%) for the detection of early neoplasia.</w:t>
      </w:r>
      <w:r w:rsidRPr="002075A3">
        <w:rPr>
          <w:rFonts w:ascii="Book Antiqua" w:hAnsi="Book Antiqua"/>
          <w:lang w:val="en-US"/>
        </w:rPr>
        <w:t xml:space="preserve"> with the false positives arising in 2 patients; one with </w:t>
      </w:r>
      <w:r w:rsidR="00111803" w:rsidRPr="002075A3">
        <w:rPr>
          <w:rFonts w:ascii="Book Antiqua" w:hAnsi="Book Antiqua"/>
          <w:lang w:val="en-US"/>
        </w:rPr>
        <w:t>esophagitis</w:t>
      </w:r>
      <w:r w:rsidRPr="002075A3">
        <w:rPr>
          <w:rFonts w:ascii="Book Antiqua" w:hAnsi="Book Antiqua"/>
          <w:lang w:val="en-US"/>
        </w:rPr>
        <w:t xml:space="preserve">, the other </w:t>
      </w:r>
      <w:r w:rsidR="008B564A" w:rsidRPr="002075A3">
        <w:rPr>
          <w:rFonts w:ascii="Book Antiqua" w:hAnsi="Book Antiqua"/>
          <w:lang w:val="en-US"/>
        </w:rPr>
        <w:t xml:space="preserve">with an </w:t>
      </w:r>
      <w:r w:rsidR="00C467B9" w:rsidRPr="002075A3">
        <w:rPr>
          <w:rFonts w:ascii="Book Antiqua" w:hAnsi="Book Antiqua"/>
          <w:lang w:val="en-US"/>
        </w:rPr>
        <w:t xml:space="preserve">esophageal </w:t>
      </w:r>
      <w:r w:rsidR="008B564A" w:rsidRPr="002075A3">
        <w:rPr>
          <w:rFonts w:ascii="Book Antiqua" w:hAnsi="Book Antiqua"/>
          <w:lang w:val="en-US"/>
        </w:rPr>
        <w:t>ulcer.</w:t>
      </w:r>
    </w:p>
    <w:p w14:paraId="59C5F9FE" w14:textId="68FC6116" w:rsidR="00F46241" w:rsidRPr="002075A3" w:rsidRDefault="00F46241" w:rsidP="00E46EEA">
      <w:pPr>
        <w:spacing w:line="360" w:lineRule="auto"/>
        <w:ind w:firstLineChars="150" w:firstLine="360"/>
        <w:jc w:val="both"/>
        <w:rPr>
          <w:rFonts w:ascii="Book Antiqua" w:hAnsi="Book Antiqua"/>
          <w:lang w:val="en-US"/>
        </w:rPr>
      </w:pPr>
      <w:r w:rsidRPr="002075A3">
        <w:rPr>
          <w:rFonts w:ascii="Book Antiqua" w:hAnsi="Book Antiqua"/>
          <w:lang w:val="en-US"/>
        </w:rPr>
        <w:t>These results were a significant improvement on t</w:t>
      </w:r>
      <w:r w:rsidR="004F39DD">
        <w:rPr>
          <w:rFonts w:ascii="Book Antiqua" w:hAnsi="Book Antiqua"/>
          <w:lang w:val="en-US"/>
        </w:rPr>
        <w:t>hose reported by Mayinger</w:t>
      </w:r>
      <w:r w:rsidR="004F39DD" w:rsidRPr="004F39DD">
        <w:rPr>
          <w:rFonts w:ascii="Book Antiqua" w:hAnsi="Book Antiqua"/>
          <w:i/>
          <w:lang w:val="en-US"/>
        </w:rPr>
        <w:t xml:space="preserve"> et al</w:t>
      </w:r>
      <w:r w:rsidR="00CD039D">
        <w:rPr>
          <w:rFonts w:ascii="Book Antiqua" w:hAnsi="Book Antiqua"/>
          <w:lang w:val="en-US"/>
        </w:rPr>
        <w:fldChar w:fldCharType="begin" w:fldLock="1"/>
      </w:r>
      <w:r w:rsidR="00CD039D">
        <w:rPr>
          <w:rFonts w:ascii="Book Antiqua" w:hAnsi="Book Antiqua"/>
          <w:lang w:val="en-US"/>
        </w:rPr>
        <w:instrText>ADDIN CSL_CITATION { "citationItems" : [ { "id" : "ITEM-1", "itemData" : { "DOI" : "10.1080/00365520510024016", "ISSN" : "0036-5521", "PMID" : "16497625", "abstract" : "OBJECTIVE: Magnification endoscopy with acetic acid or dye for diagnosis of Barrett's esophagus is presently undergoing clinical evaluation. Current studies report good accuracy in predicting specialized intestinal metaplasia. To date, however, there is no definitive information on the inter- and intra-observer variability of these methods applied to the diagnosis of normal and dysplastic Barrett's mucosa. MATERIAL AND METHODS: Sixty patients with endoscopically suspected Barrett's esophagus were investigated prospectively with the zoom endoscope after contrast enhancement of the mucosa with 1.5% acetic acid. Two hundred and twenty-three enlarged and histologically investigated areas of gastric, cardiac, normal and dysplastic Barrett's mucosa were photodocumented and in randomized sequence presented to 4 endoscopists in a blinded manner (2 with and 2 without experience of zoom endoscopy for evaluation). The reference for the first evaluation (A1) was standard endoscopic photographs of the respective, histologically confirmed mucosal entity. In a second evaluation (A2), the pictures were again interpreted by the same blinded investigators, but this time a modified pit-pattern classification as proposed by Sharma et al. was employed as the evaluation reference. RESULTS: The diagnostic sensitivity for specialized intestinal metaplasia and dysplasia in Barrett's esophagus calculated for the A1 evaluation ranged -- investigator dependently -- from 54.9% to 80.7% and for A2 from 42.2% to 81.5%. The inter- and intra-observer variability for the evaluation procedure A1 and A2 was high (all kappa values &lt;0.4). In particular, the inexperienced investigators demonstrated high intra-observer variability and low sensitivity in comparison with the experienced investigators. CONCLUSIONS: The diagnosis of Barrett's mucosa using enhanced magnification endoscopy after acetic acid instillation is associated with a high level of interobserver variability. One reason is a frequent mismatch between cardiac mucosa and non-dysplastic Barrett's mucosa.", "author" : [ { "dropping-particle" : "", "family" : "Mayinger", "given" : "Brigitte", "non-dropping-particle" : "", "parse-names" : false, "suffix" : "" }, { "dropping-particle" : "", "family" : "Oezturk", "given" : "Yurdag\u00fcl", "non-dropping-particle" : "", "parse-names" : false, "suffix" : "" }, { "dropping-particle" : "", "family" : "Stolte", "given" : "Manfred", "non-dropping-particle" : "", "parse-names" : false, "suffix" : "" }, { "dropping-particle" : "", "family" : "Faller", "given" : "Gerhard", "non-dropping-particle" : "", "parse-names" : false, "suffix" : "" }, { "dropping-particle" : "", "family" : "Benninger", "given" : "Johannes", "non-dropping-particle" : "", "parse-names" : false, "suffix" : "" }, { "dropping-particle" : "", "family" : "Schwab", "given" : "Dieter", "non-dropping-particle" : "", "parse-names" : false, "suffix" : "" }, { "dropping-particle" : "", "family" : "Maiss", "given" : "Juergen", "non-dropping-particle" : "", "parse-names" : false, "suffix" : "" }, { "dropping-particle" : "", "family" : "Hahn", "given" : "Eckhart G", "non-dropping-particle" : "", "parse-names" : false, "suffix" : "" }, { "dropping-particle" : "", "family" : "Muehldorfer", "given" : "Steffen", "non-dropping-particle" : "", "parse-names" : false, "suffix" : "" } ], "container-title" : "Scandinavian journal of gastroenterology", "id" : "ITEM-1", "issue" : "3", "issued" : { "date-parts" : [ [ "2006" ] ] }, "page" : "349-56", "title" : "Evaluation of sensitivity and inter- and intra-observer variability in the detection of intestinal metaplasia and dysplasia in Barrett's esophagus with enhanced magnification endoscopy.", "type" : "article-journal", "volume" : "41" }, "uris" : [ "http://www.mendeley.com/documents/?uuid=e2ca1b42-06d5-4554-ad1c-352c4f15ff86" ] } ], "mendeley" : { "formattedCitation" : "&lt;sup&gt;[34]&lt;/sup&gt;", "plainTextFormattedCitation" : "[34]", "previouslyFormattedCitation" : "&lt;sup&gt;[34]&lt;/sup&gt;" }, "properties" : { "noteIndex" : 0 }, "schema" : "https://github.com/citation-style-language/schema/raw/master/csl-citation.json" }</w:instrText>
      </w:r>
      <w:r w:rsidR="00CD039D">
        <w:rPr>
          <w:rFonts w:ascii="Book Antiqua" w:hAnsi="Book Antiqua"/>
          <w:lang w:val="en-US"/>
        </w:rPr>
        <w:fldChar w:fldCharType="separate"/>
      </w:r>
      <w:r w:rsidR="00CD039D" w:rsidRPr="00CD039D">
        <w:rPr>
          <w:rFonts w:ascii="Book Antiqua" w:hAnsi="Book Antiqua"/>
          <w:noProof/>
          <w:vertAlign w:val="superscript"/>
          <w:lang w:val="en-US"/>
        </w:rPr>
        <w:t>[34]</w:t>
      </w:r>
      <w:r w:rsidR="00CD039D">
        <w:rPr>
          <w:rFonts w:ascii="Book Antiqua" w:hAnsi="Book Antiqua"/>
          <w:lang w:val="en-US"/>
        </w:rPr>
        <w:fldChar w:fldCharType="end"/>
      </w:r>
      <w:r w:rsidRPr="002075A3">
        <w:rPr>
          <w:rFonts w:ascii="Book Antiqua" w:hAnsi="Book Antiqua"/>
          <w:lang w:val="en-US"/>
        </w:rPr>
        <w:t xml:space="preserve"> in 2006 who reported sensitivities for </w:t>
      </w:r>
      <w:r w:rsidR="00C467B9" w:rsidRPr="002075A3">
        <w:rPr>
          <w:rFonts w:ascii="Book Antiqua" w:hAnsi="Book Antiqua"/>
          <w:lang w:val="en-US"/>
        </w:rPr>
        <w:t xml:space="preserve">neoplasia </w:t>
      </w:r>
      <w:r w:rsidRPr="002075A3">
        <w:rPr>
          <w:rFonts w:ascii="Book Antiqua" w:hAnsi="Book Antiqua"/>
          <w:lang w:val="en-US"/>
        </w:rPr>
        <w:t>recognition in the range 55.5</w:t>
      </w:r>
      <w:r w:rsidR="004F39DD">
        <w:rPr>
          <w:rFonts w:ascii="Book Antiqua" w:hAnsi="Book Antiqua" w:hint="eastAsia"/>
          <w:lang w:val="en-US" w:eastAsia="zh-CN"/>
        </w:rPr>
        <w:t>%</w:t>
      </w:r>
      <w:r w:rsidRPr="002075A3">
        <w:rPr>
          <w:rFonts w:ascii="Book Antiqua" w:hAnsi="Book Antiqua"/>
          <w:lang w:val="en-US"/>
        </w:rPr>
        <w:t xml:space="preserve"> to 82.4% in endoscopists trained in interpretation of </w:t>
      </w:r>
      <w:r w:rsidR="00A53B1C" w:rsidRPr="002075A3">
        <w:rPr>
          <w:rFonts w:ascii="Book Antiqua" w:hAnsi="Book Antiqua"/>
          <w:lang w:val="en-US"/>
        </w:rPr>
        <w:t>AA</w:t>
      </w:r>
      <w:r w:rsidRPr="002075A3">
        <w:rPr>
          <w:rFonts w:ascii="Book Antiqua" w:hAnsi="Book Antiqua"/>
          <w:lang w:val="en-US"/>
        </w:rPr>
        <w:t xml:space="preserve"> enhanced magnification endoscopy. </w:t>
      </w:r>
      <w:r w:rsidR="00C467B9" w:rsidRPr="002075A3">
        <w:rPr>
          <w:rFonts w:ascii="Book Antiqua" w:hAnsi="Book Antiqua"/>
          <w:lang w:val="en-US"/>
        </w:rPr>
        <w:t xml:space="preserve">The same </w:t>
      </w:r>
      <w:r w:rsidRPr="002075A3">
        <w:rPr>
          <w:rFonts w:ascii="Book Antiqua" w:hAnsi="Book Antiqua"/>
          <w:lang w:val="en-US"/>
        </w:rPr>
        <w:t>study also demonstrated extremely low inter-</w:t>
      </w:r>
      <w:r w:rsidR="00C467B9" w:rsidRPr="002075A3">
        <w:rPr>
          <w:rFonts w:ascii="Book Antiqua" w:hAnsi="Book Antiqua"/>
          <w:lang w:val="en-US"/>
        </w:rPr>
        <w:t xml:space="preserve"> </w:t>
      </w:r>
      <w:r w:rsidRPr="002075A3">
        <w:rPr>
          <w:rFonts w:ascii="Book Antiqua" w:hAnsi="Book Antiqua"/>
          <w:lang w:val="en-US"/>
        </w:rPr>
        <w:t>and intra-observer agreement for the technique.</w:t>
      </w:r>
    </w:p>
    <w:p w14:paraId="5C8749DC" w14:textId="6BC46F25" w:rsidR="002E5D28" w:rsidRPr="002075A3" w:rsidRDefault="00B56FC5" w:rsidP="00E46EEA">
      <w:pPr>
        <w:spacing w:line="360" w:lineRule="auto"/>
        <w:ind w:firstLineChars="150" w:firstLine="360"/>
        <w:jc w:val="both"/>
        <w:rPr>
          <w:rFonts w:ascii="Book Antiqua" w:hAnsi="Book Antiqua"/>
          <w:lang w:val="en-US"/>
        </w:rPr>
      </w:pPr>
      <w:r w:rsidRPr="002075A3">
        <w:rPr>
          <w:rFonts w:ascii="Book Antiqua" w:hAnsi="Book Antiqua"/>
          <w:lang w:val="en-US"/>
        </w:rPr>
        <w:t>The Wiesbaden</w:t>
      </w:r>
      <w:r w:rsidR="00240C4B" w:rsidRPr="002075A3">
        <w:rPr>
          <w:rFonts w:ascii="Book Antiqua" w:hAnsi="Book Antiqua"/>
          <w:lang w:val="en-US"/>
        </w:rPr>
        <w:t xml:space="preserve"> group first reported their experiences of </w:t>
      </w:r>
      <w:r w:rsidR="00BE7AA3" w:rsidRPr="002075A3">
        <w:rPr>
          <w:rFonts w:ascii="Book Antiqua" w:hAnsi="Book Antiqua"/>
          <w:lang w:val="en-US"/>
        </w:rPr>
        <w:t>AA</w:t>
      </w:r>
      <w:r w:rsidR="00B94A5E" w:rsidRPr="002075A3">
        <w:rPr>
          <w:rFonts w:ascii="Book Antiqua" w:hAnsi="Book Antiqua"/>
          <w:lang w:val="en-US"/>
        </w:rPr>
        <w:t>C</w:t>
      </w:r>
      <w:r w:rsidR="00240C4B" w:rsidRPr="002075A3">
        <w:rPr>
          <w:rFonts w:ascii="Book Antiqua" w:hAnsi="Book Antiqua"/>
          <w:lang w:val="en-US"/>
        </w:rPr>
        <w:t xml:space="preserve"> for neoplasia detection in Barrett’s in 2007</w:t>
      </w:r>
      <w:r w:rsidR="00CD039D">
        <w:rPr>
          <w:rFonts w:ascii="Book Antiqua" w:hAnsi="Book Antiqua"/>
          <w:lang w:val="en-US"/>
        </w:rPr>
        <w:fldChar w:fldCharType="begin" w:fldLock="1"/>
      </w:r>
      <w:r w:rsidR="00411D76">
        <w:rPr>
          <w:rFonts w:ascii="Book Antiqua" w:hAnsi="Book Antiqua"/>
          <w:lang w:val="en-US"/>
        </w:rPr>
        <w:instrText>ADDIN CSL_CITATION { "citationItems" : [ { "id" : "ITEM-1", "itemData" : { "DOI" : "10.1055/s-2007-966649", "ISSN" : "1438-8812", "PMID" : "17611913", "abstract" : "BACKGROUND AND STUDY AIMS Computed virtual chromoendoscopy (CVC) is a new imaging technique that enhances mucosal surface contrast and highlights the vascular pattern without the need for dye-spraying as in conventional chromoendoscopy. The aim of this prospective randomized pilot study with a crossover design was to compare CVC with conventional chromoendoscopy with acetic acid (CAA) for the detection of high grade intraepithelial neoplasia (HGIN) or early cancer in patients with Barrett's esophagus. PATIENTS AND METHODS 57 patients with Barrett's esophagus (mean length 3.8 cm) and a history of HGIN/early cancer or suspected HGIN/early cancer were randomly allocated to undergo either CAA or CVC. All patients were re-examined with the alternative procedure at 4 - 6 weeks after the initial endoscopy. The two procedures were performed by five endoscopists, who were blinded to the findings of the other examination. At each examination, targeted biopsies were taken from all detected lesions, followed by random four-quadrant biopsies. RESULTS In 24/57 patients, 30 lesions with HGIN/early cancer were detected. The sensitivity of targeted biopsies for HGIN/early cancer on a 'per lesion' basis was 87 % (26/30) for both CAA and CVC. The positive predictive value was 39 % (26/66) for CAA and 37 % (26/70) for CVC. In the 'per patient' analysis, sensitivity was 83 % (20/24) and 92 % (22/24) for CAA and CVC, respectively ( P = 0.617). Stepwise random four-quadrant biopsies identified only one patient with HGIN/early cancer that was missed by both, CAA and CVC. CONCLUSIONS Computed virtual chromoendoscopy is a helpful adjunct for surveillance of Barrett's esophagus and appears to be as accurate as conventional chromoendoscopy in the detection of HGIN/early cancer.", "author" : [ { "dropping-particle" : "", "family" : "Pohl", "given" : "J", "non-dropping-particle" : "", "parse-names" : false, "suffix" : "" }, { "dropping-particle" : "", "family" : "May", "given" : "A", "non-dropping-particle" : "", "parse-names" : false, "suffix" : "" }, { "dropping-particle" : "", "family" : "Rabenstein", "given" : "T", "non-dropping-particle" : "", "parse-names" : false, "suffix" : "" }, { "dropping-particle" : "", "family" : "Pech", "given" : "O", "non-dropping-particle" : "", "parse-names" : false, "suffix" : "" }, { "dropping-particle" : "", "family" : "Nguyen-Tat", "given" : "M", "non-dropping-particle" : "", "parse-names" : false, "suffix" : "" }, { "dropping-particle" : "", "family" : "Fissler-Eckhoff", "given" : "A", "non-dropping-particle" : "", "parse-names" : false, "suffix" : "" }, { "dropping-particle" : "", "family" : "Ell", "given" : "C", "non-dropping-particle" : "", "parse-names" : false, "suffix" : "" } ], "container-title" : "Endoscopy", "id" : "ITEM-1", "issue" : "7", "issued" : { "date-parts" : [ [ "2007", "7" ] ] }, "page" : "594-8", "title" : "Comparison of computed virtual chromoendoscopy and conventional chromoendoscopy with acetic acid for detection of neoplasia in Barrett's esophagus.", "type" : "article-journal", "volume" : "39" }, "uris" : [ "http://www.mendeley.com/documents/?uuid=9af9a474-dabe-4217-9fae-bc296d6ab01b" ] } ], "mendeley" : { "formattedCitation" : "&lt;sup&gt;[35]&lt;/sup&gt;", "plainTextFormattedCitation" : "[35]", "previouslyFormattedCitation" : "&lt;sup&gt;[35]&lt;/sup&gt;" }, "properties" : { "noteIndex" : 0 }, "schema" : "https://github.com/citation-style-language/schema/raw/master/csl-citation.json" }</w:instrText>
      </w:r>
      <w:r w:rsidR="00CD039D">
        <w:rPr>
          <w:rFonts w:ascii="Book Antiqua" w:hAnsi="Book Antiqua"/>
          <w:lang w:val="en-US"/>
        </w:rPr>
        <w:fldChar w:fldCharType="separate"/>
      </w:r>
      <w:r w:rsidR="00CD039D" w:rsidRPr="00CD039D">
        <w:rPr>
          <w:rFonts w:ascii="Book Antiqua" w:hAnsi="Book Antiqua"/>
          <w:noProof/>
          <w:vertAlign w:val="superscript"/>
          <w:lang w:val="en-US"/>
        </w:rPr>
        <w:t>[35]</w:t>
      </w:r>
      <w:r w:rsidR="00CD039D">
        <w:rPr>
          <w:rFonts w:ascii="Book Antiqua" w:hAnsi="Book Antiqua"/>
          <w:lang w:val="en-US"/>
        </w:rPr>
        <w:fldChar w:fldCharType="end"/>
      </w:r>
      <w:r w:rsidR="00B74CE1" w:rsidRPr="002075A3">
        <w:rPr>
          <w:rFonts w:ascii="Book Antiqua" w:hAnsi="Book Antiqua"/>
          <w:lang w:val="en-US"/>
        </w:rPr>
        <w:t xml:space="preserve">. They performed a prospective </w:t>
      </w:r>
      <w:r w:rsidR="00111803" w:rsidRPr="002075A3">
        <w:rPr>
          <w:rFonts w:ascii="Book Antiqua" w:hAnsi="Book Antiqua"/>
          <w:lang w:val="en-US"/>
        </w:rPr>
        <w:t>randomized</w:t>
      </w:r>
      <w:r w:rsidR="00B74CE1" w:rsidRPr="002075A3">
        <w:rPr>
          <w:rFonts w:ascii="Book Antiqua" w:hAnsi="Book Antiqua"/>
          <w:lang w:val="en-US"/>
        </w:rPr>
        <w:t xml:space="preserve"> crossover tandem endoscopy study examining 57 patients with a history of Barrett’s neoplasia with </w:t>
      </w:r>
      <w:r w:rsidR="00A53B1C" w:rsidRPr="002075A3">
        <w:rPr>
          <w:rFonts w:ascii="Book Antiqua" w:hAnsi="Book Antiqua"/>
          <w:lang w:val="en-US"/>
        </w:rPr>
        <w:t>AAC</w:t>
      </w:r>
      <w:r w:rsidR="00B74CE1" w:rsidRPr="002075A3">
        <w:rPr>
          <w:rFonts w:ascii="Book Antiqua" w:hAnsi="Book Antiqua"/>
          <w:lang w:val="en-US"/>
        </w:rPr>
        <w:t xml:space="preserve"> or virtual chromoendoscopy</w:t>
      </w:r>
      <w:r w:rsidR="00A411CE">
        <w:rPr>
          <w:rFonts w:ascii="Book Antiqua" w:hAnsi="Book Antiqua"/>
          <w:lang w:val="en-US"/>
        </w:rPr>
        <w:t>,</w:t>
      </w:r>
      <w:r w:rsidR="00B74CE1" w:rsidRPr="002075A3">
        <w:rPr>
          <w:rFonts w:ascii="Book Antiqua" w:hAnsi="Book Antiqua"/>
          <w:lang w:val="en-US"/>
        </w:rPr>
        <w:t xml:space="preserve"> </w:t>
      </w:r>
      <w:r w:rsidR="00B94A5E" w:rsidRPr="002075A3">
        <w:rPr>
          <w:rFonts w:ascii="Book Antiqua" w:hAnsi="Book Antiqua"/>
          <w:lang w:val="en-US"/>
        </w:rPr>
        <w:t>using</w:t>
      </w:r>
      <w:r w:rsidR="00B74CE1" w:rsidRPr="002075A3">
        <w:rPr>
          <w:rFonts w:ascii="Book Antiqua" w:hAnsi="Book Antiqua"/>
          <w:lang w:val="en-US"/>
        </w:rPr>
        <w:t xml:space="preserve"> Fujinon Intelligent Chromoendoscopy (FICE)</w:t>
      </w:r>
      <w:r w:rsidR="00A411CE">
        <w:rPr>
          <w:rFonts w:ascii="Book Antiqua" w:hAnsi="Book Antiqua"/>
          <w:lang w:val="en-US"/>
        </w:rPr>
        <w:t>,</w:t>
      </w:r>
      <w:r w:rsidR="00F457B3" w:rsidRPr="002075A3">
        <w:rPr>
          <w:rFonts w:ascii="Book Antiqua" w:hAnsi="Book Antiqua"/>
          <w:lang w:val="en-US"/>
        </w:rPr>
        <w:t xml:space="preserve"> 4-6 </w:t>
      </w:r>
      <w:r w:rsidR="004F39DD">
        <w:rPr>
          <w:rFonts w:ascii="Book Antiqua" w:hAnsi="Book Antiqua" w:hint="eastAsia"/>
          <w:lang w:val="en-US" w:eastAsia="zh-CN"/>
        </w:rPr>
        <w:t>wk</w:t>
      </w:r>
      <w:r w:rsidR="00F457B3" w:rsidRPr="002075A3">
        <w:rPr>
          <w:rFonts w:ascii="Book Antiqua" w:hAnsi="Book Antiqua"/>
          <w:lang w:val="en-US"/>
        </w:rPr>
        <w:t xml:space="preserve"> apart</w:t>
      </w:r>
      <w:r w:rsidR="00B74CE1" w:rsidRPr="002075A3">
        <w:rPr>
          <w:rFonts w:ascii="Book Antiqua" w:hAnsi="Book Antiqua"/>
          <w:lang w:val="en-US"/>
        </w:rPr>
        <w:t>.</w:t>
      </w:r>
      <w:r w:rsidR="00782E91" w:rsidRPr="002075A3">
        <w:rPr>
          <w:rFonts w:ascii="Book Antiqua" w:hAnsi="Book Antiqua"/>
          <w:lang w:val="en-US"/>
        </w:rPr>
        <w:t xml:space="preserve"> </w:t>
      </w:r>
      <w:r w:rsidR="00F457B3" w:rsidRPr="002075A3">
        <w:rPr>
          <w:rFonts w:ascii="Book Antiqua" w:hAnsi="Book Antiqua"/>
          <w:lang w:val="en-US"/>
        </w:rPr>
        <w:t xml:space="preserve">The patients had a known history of Barrett’s neoplasia </w:t>
      </w:r>
      <w:r w:rsidR="0012309F" w:rsidRPr="002075A3">
        <w:rPr>
          <w:rFonts w:ascii="Book Antiqua" w:hAnsi="Book Antiqua"/>
          <w:lang w:val="en-US"/>
        </w:rPr>
        <w:t>(</w:t>
      </w:r>
      <w:r w:rsidR="00F457B3" w:rsidRPr="002075A3">
        <w:rPr>
          <w:rFonts w:ascii="Book Antiqua" w:hAnsi="Book Antiqua"/>
          <w:lang w:val="en-US"/>
        </w:rPr>
        <w:t>discrete mucosal alteration</w:t>
      </w:r>
      <w:r w:rsidR="00A411CE">
        <w:rPr>
          <w:rFonts w:ascii="Book Antiqua" w:hAnsi="Book Antiqua"/>
          <w:lang w:val="en-US"/>
        </w:rPr>
        <w:t xml:space="preserve">/ </w:t>
      </w:r>
      <w:r w:rsidR="00F457B3" w:rsidRPr="002075A3">
        <w:rPr>
          <w:rFonts w:ascii="Book Antiqua" w:hAnsi="Book Antiqua"/>
          <w:lang w:val="en-US"/>
        </w:rPr>
        <w:t>macroscopically occult lesions</w:t>
      </w:r>
      <w:r w:rsidR="00A411CE">
        <w:rPr>
          <w:rFonts w:ascii="Book Antiqua" w:hAnsi="Book Antiqua"/>
          <w:lang w:val="en-US"/>
        </w:rPr>
        <w:t xml:space="preserve">/ </w:t>
      </w:r>
      <w:r w:rsidR="00F701BA" w:rsidRPr="002075A3">
        <w:rPr>
          <w:rFonts w:ascii="Book Antiqua" w:hAnsi="Book Antiqua"/>
          <w:lang w:val="en-US"/>
        </w:rPr>
        <w:t>prior endoscopic treatment for neoplasia</w:t>
      </w:r>
      <w:r w:rsidR="0012309F" w:rsidRPr="002075A3">
        <w:rPr>
          <w:rFonts w:ascii="Book Antiqua" w:hAnsi="Book Antiqua"/>
          <w:lang w:val="en-US"/>
        </w:rPr>
        <w:t>)</w:t>
      </w:r>
      <w:r w:rsidR="00F457B3" w:rsidRPr="002075A3">
        <w:rPr>
          <w:rFonts w:ascii="Book Antiqua" w:hAnsi="Book Antiqua"/>
          <w:lang w:val="en-US"/>
        </w:rPr>
        <w:t xml:space="preserve">. Targeted biopsy of visible abnormalities was performed along with </w:t>
      </w:r>
      <w:r w:rsidR="00F83F0A" w:rsidRPr="002075A3">
        <w:rPr>
          <w:rFonts w:ascii="Book Antiqua" w:hAnsi="Book Antiqua"/>
          <w:lang w:val="en-US"/>
        </w:rPr>
        <w:t>4QBS</w:t>
      </w:r>
      <w:r w:rsidR="00F457B3" w:rsidRPr="002075A3">
        <w:rPr>
          <w:rFonts w:ascii="Book Antiqua" w:hAnsi="Book Antiqua"/>
          <w:lang w:val="en-US"/>
        </w:rPr>
        <w:t>.</w:t>
      </w:r>
      <w:r w:rsidR="008C0191">
        <w:rPr>
          <w:rFonts w:ascii="Book Antiqua" w:hAnsi="Book Antiqua"/>
          <w:lang w:val="en-US"/>
        </w:rPr>
        <w:t xml:space="preserve"> In 24 </w:t>
      </w:r>
      <w:r w:rsidR="00F701BA" w:rsidRPr="002075A3">
        <w:rPr>
          <w:rFonts w:ascii="Book Antiqua" w:hAnsi="Book Antiqua"/>
          <w:lang w:val="en-US"/>
        </w:rPr>
        <w:t xml:space="preserve">patients neoplasia was identified with the </w:t>
      </w:r>
      <w:r w:rsidR="00A53B1C" w:rsidRPr="002075A3">
        <w:rPr>
          <w:rFonts w:ascii="Book Antiqua" w:hAnsi="Book Antiqua"/>
          <w:lang w:val="en-US"/>
        </w:rPr>
        <w:t>AAC</w:t>
      </w:r>
      <w:r w:rsidR="00F701BA" w:rsidRPr="002075A3">
        <w:rPr>
          <w:rFonts w:ascii="Book Antiqua" w:hAnsi="Book Antiqua"/>
          <w:lang w:val="en-US"/>
        </w:rPr>
        <w:t xml:space="preserve"> achieving an 87% sensitivity. There are however, limitations with this study in that combined biopsies </w:t>
      </w:r>
      <w:r w:rsidR="008C0191">
        <w:rPr>
          <w:rFonts w:ascii="Book Antiqua" w:hAnsi="Book Antiqua"/>
          <w:lang w:val="en-US"/>
        </w:rPr>
        <w:t xml:space="preserve">(targeted plus 4QBS) </w:t>
      </w:r>
      <w:r w:rsidR="00F701BA" w:rsidRPr="002075A3">
        <w:rPr>
          <w:rFonts w:ascii="Book Antiqua" w:hAnsi="Book Antiqua"/>
          <w:lang w:val="en-US"/>
        </w:rPr>
        <w:t>were used as the reference standard</w:t>
      </w:r>
      <w:r w:rsidR="00673310" w:rsidRPr="002075A3">
        <w:rPr>
          <w:rFonts w:ascii="Book Antiqua" w:hAnsi="Book Antiqua"/>
          <w:lang w:val="en-US"/>
        </w:rPr>
        <w:t xml:space="preserve"> </w:t>
      </w:r>
      <w:r w:rsidR="008C0191">
        <w:rPr>
          <w:rFonts w:ascii="Book Antiqua" w:hAnsi="Book Antiqua"/>
          <w:lang w:val="en-US"/>
        </w:rPr>
        <w:t>not surgical resection specimens. T</w:t>
      </w:r>
      <w:r w:rsidR="00F701BA" w:rsidRPr="002075A3">
        <w:rPr>
          <w:rFonts w:ascii="Book Antiqua" w:hAnsi="Book Antiqua"/>
          <w:lang w:val="en-US"/>
        </w:rPr>
        <w:t>he study population was neoplasia</w:t>
      </w:r>
      <w:r w:rsidR="0012309F" w:rsidRPr="002075A3">
        <w:rPr>
          <w:rFonts w:ascii="Book Antiqua" w:hAnsi="Book Antiqua"/>
          <w:lang w:val="en-US"/>
        </w:rPr>
        <w:t>-</w:t>
      </w:r>
      <w:r w:rsidR="00F701BA" w:rsidRPr="002075A3">
        <w:rPr>
          <w:rFonts w:ascii="Book Antiqua" w:hAnsi="Book Antiqua"/>
          <w:lang w:val="en-US"/>
        </w:rPr>
        <w:t xml:space="preserve">enriched </w:t>
      </w:r>
      <w:r w:rsidR="008C0191">
        <w:rPr>
          <w:rFonts w:ascii="Book Antiqua" w:hAnsi="Book Antiqua"/>
          <w:lang w:val="en-US"/>
        </w:rPr>
        <w:t xml:space="preserve">in a tertiary center </w:t>
      </w:r>
      <w:r w:rsidR="00F701BA" w:rsidRPr="002075A3">
        <w:rPr>
          <w:rFonts w:ascii="Book Antiqua" w:hAnsi="Book Antiqua"/>
          <w:lang w:val="en-US"/>
        </w:rPr>
        <w:t xml:space="preserve">and </w:t>
      </w:r>
      <w:r w:rsidR="002E5D28" w:rsidRPr="002075A3">
        <w:rPr>
          <w:rFonts w:ascii="Book Antiqua" w:hAnsi="Book Antiqua"/>
          <w:lang w:val="en-US"/>
        </w:rPr>
        <w:t>thus</w:t>
      </w:r>
      <w:r w:rsidR="00D819FD" w:rsidRPr="002075A3">
        <w:rPr>
          <w:rFonts w:ascii="Book Antiqua" w:hAnsi="Book Antiqua"/>
          <w:lang w:val="en-US"/>
        </w:rPr>
        <w:t xml:space="preserve"> results</w:t>
      </w:r>
      <w:r w:rsidR="002E5D28" w:rsidRPr="002075A3">
        <w:rPr>
          <w:rFonts w:ascii="Book Antiqua" w:hAnsi="Book Antiqua"/>
          <w:lang w:val="en-US"/>
        </w:rPr>
        <w:t xml:space="preserve"> </w:t>
      </w:r>
      <w:r w:rsidR="00F701BA" w:rsidRPr="002075A3">
        <w:rPr>
          <w:rFonts w:ascii="Book Antiqua" w:hAnsi="Book Antiqua"/>
          <w:lang w:val="en-US"/>
        </w:rPr>
        <w:t xml:space="preserve">may not reflect the </w:t>
      </w:r>
      <w:r w:rsidR="002E5D28" w:rsidRPr="002075A3">
        <w:rPr>
          <w:rFonts w:ascii="Book Antiqua" w:hAnsi="Book Antiqua"/>
          <w:lang w:val="en-US"/>
        </w:rPr>
        <w:t xml:space="preserve">true </w:t>
      </w:r>
      <w:r w:rsidR="00F701BA" w:rsidRPr="002075A3">
        <w:rPr>
          <w:rFonts w:ascii="Book Antiqua" w:hAnsi="Book Antiqua"/>
          <w:lang w:val="en-US"/>
        </w:rPr>
        <w:t xml:space="preserve">performance of </w:t>
      </w:r>
      <w:r w:rsidR="008C0191">
        <w:rPr>
          <w:rFonts w:ascii="Book Antiqua" w:hAnsi="Book Antiqua"/>
          <w:lang w:val="en-US"/>
        </w:rPr>
        <w:t>AAC</w:t>
      </w:r>
      <w:r w:rsidR="00F701BA" w:rsidRPr="002075A3">
        <w:rPr>
          <w:rFonts w:ascii="Book Antiqua" w:hAnsi="Book Antiqua"/>
          <w:lang w:val="en-US"/>
        </w:rPr>
        <w:t xml:space="preserve"> in the </w:t>
      </w:r>
      <w:r w:rsidR="008C0191">
        <w:rPr>
          <w:rFonts w:ascii="Book Antiqua" w:hAnsi="Book Antiqua"/>
          <w:lang w:val="en-US"/>
        </w:rPr>
        <w:t xml:space="preserve">community, </w:t>
      </w:r>
      <w:r w:rsidR="002E5D28" w:rsidRPr="002075A3">
        <w:rPr>
          <w:rFonts w:ascii="Book Antiqua" w:hAnsi="Book Antiqua"/>
          <w:lang w:val="en-US"/>
        </w:rPr>
        <w:t>surveillance population.</w:t>
      </w:r>
    </w:p>
    <w:p w14:paraId="00AB20A2" w14:textId="3BD97EE1" w:rsidR="00F04348" w:rsidRPr="004F39DD" w:rsidRDefault="00D107BE" w:rsidP="00E46EEA">
      <w:pPr>
        <w:spacing w:line="360" w:lineRule="auto"/>
        <w:ind w:firstLineChars="150" w:firstLine="360"/>
        <w:jc w:val="both"/>
        <w:rPr>
          <w:rFonts w:ascii="Book Antiqua" w:hAnsi="Book Antiqua"/>
          <w:lang w:val="en-US" w:eastAsia="zh-CN"/>
        </w:rPr>
      </w:pPr>
      <w:r w:rsidRPr="002075A3">
        <w:rPr>
          <w:rFonts w:ascii="Book Antiqua" w:hAnsi="Book Antiqua"/>
          <w:lang w:val="en-US"/>
        </w:rPr>
        <w:t xml:space="preserve">Longcroft-Wheaton </w:t>
      </w:r>
      <w:r w:rsidRPr="004F39DD">
        <w:rPr>
          <w:rFonts w:ascii="Book Antiqua" w:hAnsi="Book Antiqua"/>
          <w:i/>
          <w:lang w:val="en-US"/>
        </w:rPr>
        <w:t>et al</w:t>
      </w:r>
      <w:r w:rsidR="00411D76">
        <w:rPr>
          <w:rFonts w:ascii="Book Antiqua" w:hAnsi="Book Antiqua"/>
          <w:lang w:val="en-US"/>
        </w:rPr>
        <w:fldChar w:fldCharType="begin" w:fldLock="1"/>
      </w:r>
      <w:r w:rsidR="00411D76">
        <w:rPr>
          <w:rFonts w:ascii="Book Antiqua" w:hAnsi="Book Antiqua"/>
          <w:lang w:val="en-US"/>
        </w:rPr>
        <w:instrText>ADDIN CSL_CITATION { "citationItems" : [ { "id" : "ITEM-1", "itemData" : { "DOI" : "10.1016/j.cgh.2010.06.016", "ISBN" : "1542-3565", "ISSN" : "15423565", "PMID" : "20601133", "abstract" : "Background &amp; Aims: Diagnosis of Barrett's neoplasia requires collection of large numbers of random biopsy samples; the process is time consuming and can miss early-stage cancers. We evaluated the role of acetic acid chromoendoscopy in identifying Barrett's neoplasia. Methods: Data were collected from patients with Barrett's esophagus examined at a tertiary referral center, between July 2005 and November 2008 using Fujinon gastroscopes and EPX 4400 processor (n = 190). All procedures were performed by a single experienced endoscopist. Patients were examined with white light gastroscopy and visible abnormalities were identified. Acetic acid (2.5%) dye spray was used to identify potentially neoplastic areas and biopsy samples were collected from these, followed by quadrantic biopsies at 2 cm intervals of the remaining Barrett's mucosa. The chromoendoscopic diagnosis was compared with the ultimate histological diagnosis to evaluate the sensitivity of acetic acid chromoendoscopy. Results: Acetic acid chromoendoscopy had a sensitivity of 95.5% and specificity of 80% for the detection of neoplasia. There was a correlation between lesions predicted to be neoplasias by acetic acid and those diagnosed by histological analysis (r = 0.98). There was a significant improvement in the detection of neoplasia using acetic acid compared with white light endoscopy (P = .001). Conclusions: Analysis of this large series showed that acetic acid-assisted evaluation of Barrett's esophagus detects neoplasia better than white light endoscopy, with sensitivity and specificity equal to that of histological analysis. ?? 2010 AGA Institute.", "author" : [ { "dropping-particle" : "", "family" : "Longcroft-Wheaton", "given" : "Gaius", "non-dropping-particle" : "", "parse-names" : false, "suffix" : "" }, { "dropping-particle" : "", "family" : "Duku", "given" : "Moses", "non-dropping-particle" : "", "parse-names" : false, "suffix" : "" }, { "dropping-particle" : "", "family" : "Mead", "given" : "Robert", "non-dropping-particle" : "", "parse-names" : false, "suffix" : "" }, { "dropping-particle" : "", "family" : "Poller", "given" : "David", "non-dropping-particle" : "", "parse-names" : false, "suffix" : "" }, { "dropping-particle" : "", "family" : "Bhandari", "given" : "Pradeep", "non-dropping-particle" : "", "parse-names" : false, "suffix" : "" } ], "container-title" : "Clinical Gastroenterology and Hepatology", "id" : "ITEM-1", "issue" : "10", "issued" : { "date-parts" : [ [ "2010" ] ] }, "page" : "843-847", "publisher" : "Elsevier Inc.", "title" : "Acetic acid spray is an effective tool for the endoscopic detection of neoplasia in patients with barrett's esophagus", "type" : "article-journal", "volume" : "8" }, "uris" : [ "http://www.mendeley.com/documents/?uuid=0d58177a-83ad-4a62-af09-ec8f0fb0383f" ] } ], "mendeley" : { "formattedCitation" : "&lt;sup&gt;[36]&lt;/sup&gt;", "plainTextFormattedCitation" : "[36]", "previouslyFormattedCitation" : "&lt;sup&gt;[36]&lt;/sup&gt;" }, "properties" : { "noteIndex" : 0 }, "schema" : "https://github.com/citation-style-language/schema/raw/master/csl-citation.json" }</w:instrText>
      </w:r>
      <w:r w:rsidR="00411D76">
        <w:rPr>
          <w:rFonts w:ascii="Book Antiqua" w:hAnsi="Book Antiqua"/>
          <w:lang w:val="en-US"/>
        </w:rPr>
        <w:fldChar w:fldCharType="separate"/>
      </w:r>
      <w:r w:rsidR="00411D76" w:rsidRPr="00411D76">
        <w:rPr>
          <w:rFonts w:ascii="Book Antiqua" w:hAnsi="Book Antiqua"/>
          <w:noProof/>
          <w:vertAlign w:val="superscript"/>
          <w:lang w:val="en-US"/>
        </w:rPr>
        <w:t>[36]</w:t>
      </w:r>
      <w:r w:rsidR="00411D76">
        <w:rPr>
          <w:rFonts w:ascii="Book Antiqua" w:hAnsi="Book Antiqua"/>
          <w:lang w:val="en-US"/>
        </w:rPr>
        <w:fldChar w:fldCharType="end"/>
      </w:r>
      <w:r w:rsidRPr="002075A3">
        <w:rPr>
          <w:rFonts w:ascii="Book Antiqua" w:hAnsi="Book Antiqua"/>
          <w:lang w:val="en-US"/>
        </w:rPr>
        <w:t xml:space="preserve"> from </w:t>
      </w:r>
      <w:r w:rsidR="00516657" w:rsidRPr="002075A3">
        <w:rPr>
          <w:rFonts w:ascii="Book Antiqua" w:hAnsi="Book Antiqua"/>
          <w:lang w:val="en-US"/>
        </w:rPr>
        <w:t>Portsmouth</w:t>
      </w:r>
      <w:r w:rsidRPr="002075A3">
        <w:rPr>
          <w:rFonts w:ascii="Book Antiqua" w:hAnsi="Book Antiqua"/>
          <w:lang w:val="en-US"/>
        </w:rPr>
        <w:t xml:space="preserve"> reported on their cohort of patients </w:t>
      </w:r>
      <w:r w:rsidR="00F11FF0" w:rsidRPr="002075A3">
        <w:rPr>
          <w:rFonts w:ascii="Book Antiqua" w:hAnsi="Book Antiqua"/>
          <w:lang w:val="en-US"/>
        </w:rPr>
        <w:t xml:space="preserve">undergoing Barrett’s examination with </w:t>
      </w:r>
      <w:r w:rsidR="00A53B1C" w:rsidRPr="002075A3">
        <w:rPr>
          <w:rFonts w:ascii="Book Antiqua" w:hAnsi="Book Antiqua"/>
          <w:lang w:val="en-US"/>
        </w:rPr>
        <w:t>AAC</w:t>
      </w:r>
      <w:r w:rsidR="00AB52F7" w:rsidRPr="002075A3">
        <w:rPr>
          <w:rFonts w:ascii="Book Antiqua" w:hAnsi="Book Antiqua"/>
          <w:lang w:val="en-US"/>
        </w:rPr>
        <w:t xml:space="preserve"> with strikingly similar results.</w:t>
      </w:r>
      <w:r w:rsidR="00F04348" w:rsidRPr="002075A3">
        <w:rPr>
          <w:rFonts w:ascii="Book Antiqua" w:hAnsi="Book Antiqua"/>
          <w:lang w:val="en-US"/>
        </w:rPr>
        <w:t xml:space="preserve"> The study design was similar to the Wiesbaden group with 190 procedures performed in 119 patients. After </w:t>
      </w:r>
      <w:r w:rsidR="00D819FD" w:rsidRPr="002075A3">
        <w:rPr>
          <w:rFonts w:ascii="Book Antiqua" w:hAnsi="Book Antiqua"/>
          <w:lang w:val="en-US"/>
        </w:rPr>
        <w:t>esophageal</w:t>
      </w:r>
      <w:r w:rsidR="00F04348" w:rsidRPr="002075A3">
        <w:rPr>
          <w:rFonts w:ascii="Book Antiqua" w:hAnsi="Book Antiqua"/>
          <w:lang w:val="en-US"/>
        </w:rPr>
        <w:t xml:space="preserve"> cleansing, with a 50</w:t>
      </w:r>
      <w:r w:rsidR="004F39DD">
        <w:rPr>
          <w:rFonts w:ascii="Book Antiqua" w:hAnsi="Book Antiqua" w:hint="eastAsia"/>
          <w:lang w:val="en-US" w:eastAsia="zh-CN"/>
        </w:rPr>
        <w:t xml:space="preserve"> </w:t>
      </w:r>
      <w:r w:rsidR="00F04348" w:rsidRPr="002075A3">
        <w:rPr>
          <w:rFonts w:ascii="Book Antiqua" w:hAnsi="Book Antiqua"/>
          <w:lang w:val="en-US"/>
        </w:rPr>
        <w:t>m</w:t>
      </w:r>
      <w:r w:rsidR="004F39DD" w:rsidRPr="002075A3">
        <w:rPr>
          <w:rFonts w:ascii="Book Antiqua" w:hAnsi="Book Antiqua"/>
          <w:lang w:val="en-US"/>
        </w:rPr>
        <w:t xml:space="preserve">L </w:t>
      </w:r>
      <w:r w:rsidR="00F04348" w:rsidRPr="002075A3">
        <w:rPr>
          <w:rFonts w:ascii="Book Antiqua" w:hAnsi="Book Antiqua"/>
          <w:lang w:val="en-US"/>
        </w:rPr>
        <w:t>solution containing 40</w:t>
      </w:r>
      <w:r w:rsidR="004F39DD">
        <w:rPr>
          <w:rFonts w:ascii="Book Antiqua" w:hAnsi="Book Antiqua" w:hint="eastAsia"/>
          <w:lang w:val="en-US" w:eastAsia="zh-CN"/>
        </w:rPr>
        <w:t xml:space="preserve"> </w:t>
      </w:r>
      <w:r w:rsidR="00F04348" w:rsidRPr="002075A3">
        <w:rPr>
          <w:rFonts w:ascii="Book Antiqua" w:hAnsi="Book Antiqua"/>
          <w:lang w:val="en-US"/>
        </w:rPr>
        <w:t>m</w:t>
      </w:r>
      <w:r w:rsidR="004F39DD" w:rsidRPr="002075A3">
        <w:rPr>
          <w:rFonts w:ascii="Book Antiqua" w:hAnsi="Book Antiqua"/>
          <w:lang w:val="en-US"/>
        </w:rPr>
        <w:t>L</w:t>
      </w:r>
      <w:r w:rsidR="00F04348" w:rsidRPr="002075A3">
        <w:rPr>
          <w:rFonts w:ascii="Book Antiqua" w:hAnsi="Book Antiqua"/>
          <w:lang w:val="en-US"/>
        </w:rPr>
        <w:t xml:space="preserve"> of water, 5</w:t>
      </w:r>
      <w:r w:rsidR="004F39DD">
        <w:rPr>
          <w:rFonts w:ascii="Book Antiqua" w:hAnsi="Book Antiqua" w:hint="eastAsia"/>
          <w:lang w:val="en-US" w:eastAsia="zh-CN"/>
        </w:rPr>
        <w:t xml:space="preserve"> </w:t>
      </w:r>
      <w:r w:rsidR="00F04348" w:rsidRPr="002075A3">
        <w:rPr>
          <w:rFonts w:ascii="Book Antiqua" w:hAnsi="Book Antiqua"/>
          <w:lang w:val="en-US"/>
        </w:rPr>
        <w:t>m</w:t>
      </w:r>
      <w:r w:rsidR="004F39DD" w:rsidRPr="002075A3">
        <w:rPr>
          <w:rFonts w:ascii="Book Antiqua" w:hAnsi="Book Antiqua"/>
          <w:lang w:val="en-US"/>
        </w:rPr>
        <w:t>L</w:t>
      </w:r>
      <w:r w:rsidR="00F04348" w:rsidRPr="002075A3">
        <w:rPr>
          <w:rFonts w:ascii="Book Antiqua" w:hAnsi="Book Antiqua"/>
          <w:lang w:val="en-US"/>
        </w:rPr>
        <w:t xml:space="preserve"> of 10% N-acetylcysteine and 5</w:t>
      </w:r>
      <w:r w:rsidR="004F39DD">
        <w:rPr>
          <w:rFonts w:ascii="Book Antiqua" w:hAnsi="Book Antiqua" w:hint="eastAsia"/>
          <w:lang w:val="en-US" w:eastAsia="zh-CN"/>
        </w:rPr>
        <w:t xml:space="preserve"> </w:t>
      </w:r>
      <w:r w:rsidR="004F39DD" w:rsidRPr="002075A3">
        <w:rPr>
          <w:rFonts w:ascii="Book Antiqua" w:hAnsi="Book Antiqua"/>
          <w:lang w:val="en-US"/>
        </w:rPr>
        <w:t>mL</w:t>
      </w:r>
      <w:r w:rsidR="00F04348" w:rsidRPr="002075A3">
        <w:rPr>
          <w:rFonts w:ascii="Book Antiqua" w:hAnsi="Book Antiqua"/>
          <w:lang w:val="en-US"/>
        </w:rPr>
        <w:t xml:space="preserve"> of simeticone, patients underwent conventional white light endoscopy followed by 2.5% </w:t>
      </w:r>
      <w:r w:rsidR="00A53B1C" w:rsidRPr="002075A3">
        <w:rPr>
          <w:rFonts w:ascii="Book Antiqua" w:hAnsi="Book Antiqua"/>
          <w:lang w:val="en-US"/>
        </w:rPr>
        <w:t>AAC</w:t>
      </w:r>
      <w:r w:rsidR="00F04348" w:rsidRPr="002075A3">
        <w:rPr>
          <w:rFonts w:ascii="Book Antiqua" w:hAnsi="Book Antiqua"/>
          <w:lang w:val="en-US"/>
        </w:rPr>
        <w:t>. The Barrett’s segment was assessed for the following features:</w:t>
      </w:r>
      <w:r w:rsidR="004F39DD">
        <w:rPr>
          <w:rFonts w:ascii="Book Antiqua" w:hAnsi="Book Antiqua" w:hint="eastAsia"/>
          <w:lang w:val="en-US" w:eastAsia="zh-CN"/>
        </w:rPr>
        <w:t xml:space="preserve"> (1) </w:t>
      </w:r>
      <w:r w:rsidR="004F39DD" w:rsidRPr="004F39DD">
        <w:rPr>
          <w:rFonts w:ascii="Book Antiqua" w:hAnsi="Book Antiqua"/>
          <w:lang w:val="en-US"/>
        </w:rPr>
        <w:t xml:space="preserve">surface </w:t>
      </w:r>
      <w:r w:rsidR="00F04348" w:rsidRPr="004F39DD">
        <w:rPr>
          <w:rFonts w:ascii="Book Antiqua" w:hAnsi="Book Antiqua"/>
          <w:lang w:val="en-US"/>
        </w:rPr>
        <w:t xml:space="preserve">pattern: ridged, villous,  round, </w:t>
      </w:r>
      <w:r w:rsidR="00F04348" w:rsidRPr="004F39DD">
        <w:rPr>
          <w:rFonts w:ascii="Book Antiqua" w:hAnsi="Book Antiqua"/>
          <w:lang w:val="en-US"/>
        </w:rPr>
        <w:lastRenderedPageBreak/>
        <w:t>irregular</w:t>
      </w:r>
      <w:r w:rsidR="004F39DD">
        <w:rPr>
          <w:rFonts w:ascii="Book Antiqua" w:hAnsi="Book Antiqua" w:hint="eastAsia"/>
          <w:lang w:val="en-US" w:eastAsia="zh-CN"/>
        </w:rPr>
        <w:t xml:space="preserve">; (2) </w:t>
      </w:r>
      <w:r w:rsidR="004F39DD" w:rsidRPr="004F39DD">
        <w:rPr>
          <w:rFonts w:ascii="Book Antiqua" w:hAnsi="Book Antiqua"/>
          <w:lang w:val="en-US"/>
        </w:rPr>
        <w:t xml:space="preserve">vascular </w:t>
      </w:r>
      <w:r w:rsidR="00F04348" w:rsidRPr="004F39DD">
        <w:rPr>
          <w:rFonts w:ascii="Book Antiqua" w:hAnsi="Book Antiqua"/>
          <w:lang w:val="en-US"/>
        </w:rPr>
        <w:t>pattern: regular or irregular</w:t>
      </w:r>
      <w:r w:rsidR="004F39DD">
        <w:rPr>
          <w:rFonts w:ascii="Book Antiqua" w:hAnsi="Book Antiqua" w:hint="eastAsia"/>
          <w:lang w:val="en-US" w:eastAsia="zh-CN"/>
        </w:rPr>
        <w:t xml:space="preserve">; and (3) </w:t>
      </w:r>
      <w:r w:rsidR="004F39DD" w:rsidRPr="004F39DD">
        <w:rPr>
          <w:rFonts w:ascii="Book Antiqua" w:hAnsi="Book Antiqua"/>
          <w:lang w:val="en-US"/>
        </w:rPr>
        <w:t xml:space="preserve">acetowhitening </w:t>
      </w:r>
      <w:r w:rsidR="00F04348" w:rsidRPr="004F39DD">
        <w:rPr>
          <w:rFonts w:ascii="Book Antiqua" w:hAnsi="Book Antiqua"/>
          <w:lang w:val="en-US"/>
        </w:rPr>
        <w:t xml:space="preserve">reaction: </w:t>
      </w:r>
      <w:r w:rsidR="00C7203E" w:rsidRPr="004F39DD">
        <w:rPr>
          <w:rFonts w:ascii="Book Antiqua" w:hAnsi="Book Antiqua"/>
          <w:lang w:val="en-US"/>
        </w:rPr>
        <w:t>No loss of acetowhitening or focal early loss of acetowhitening.</w:t>
      </w:r>
    </w:p>
    <w:p w14:paraId="11CDE6DC" w14:textId="621F8989" w:rsidR="00B40248" w:rsidRPr="004F39DD" w:rsidRDefault="00F04348" w:rsidP="00E46EEA">
      <w:pPr>
        <w:spacing w:line="360" w:lineRule="auto"/>
        <w:ind w:firstLineChars="100" w:firstLine="240"/>
        <w:jc w:val="both"/>
        <w:rPr>
          <w:rFonts w:ascii="Book Antiqua" w:hAnsi="Book Antiqua"/>
          <w:lang w:val="en-US" w:eastAsia="zh-CN"/>
        </w:rPr>
      </w:pPr>
      <w:r w:rsidRPr="002075A3">
        <w:rPr>
          <w:rFonts w:ascii="Book Antiqua" w:hAnsi="Book Antiqua"/>
          <w:lang w:val="en-US"/>
        </w:rPr>
        <w:t>Dysplastic Barrett’s was defined endoscopically</w:t>
      </w:r>
      <w:r w:rsidR="00B40248" w:rsidRPr="002075A3">
        <w:rPr>
          <w:rFonts w:ascii="Book Antiqua" w:hAnsi="Book Antiqua"/>
          <w:lang w:val="en-US"/>
        </w:rPr>
        <w:t xml:space="preserve"> as</w:t>
      </w:r>
      <w:r w:rsidR="0012309F" w:rsidRPr="002075A3">
        <w:rPr>
          <w:rFonts w:ascii="Book Antiqua" w:hAnsi="Book Antiqua"/>
          <w:lang w:val="en-US"/>
        </w:rPr>
        <w:t xml:space="preserve"> (Figure 2)</w:t>
      </w:r>
      <w:r w:rsidR="00B40248" w:rsidRPr="002075A3">
        <w:rPr>
          <w:rFonts w:ascii="Book Antiqua" w:hAnsi="Book Antiqua"/>
          <w:lang w:val="en-US"/>
        </w:rPr>
        <w:t>:</w:t>
      </w:r>
      <w:r w:rsidR="004F39DD">
        <w:rPr>
          <w:rFonts w:ascii="Book Antiqua" w:hAnsi="Book Antiqua" w:hint="eastAsia"/>
          <w:lang w:val="en-US" w:eastAsia="zh-CN"/>
        </w:rPr>
        <w:t xml:space="preserve"> (1) </w:t>
      </w:r>
      <w:r w:rsidRPr="004F39DD">
        <w:rPr>
          <w:rFonts w:ascii="Book Antiqua" w:hAnsi="Book Antiqua"/>
          <w:lang w:val="en-US"/>
        </w:rPr>
        <w:t>irregular surface patterns</w:t>
      </w:r>
      <w:r w:rsidR="00B2524B" w:rsidRPr="004F39DD">
        <w:rPr>
          <w:rFonts w:ascii="Book Antiqua" w:hAnsi="Book Antiqua"/>
          <w:lang w:val="en-US"/>
        </w:rPr>
        <w:t xml:space="preserve"> AND/OR</w:t>
      </w:r>
      <w:r w:rsidR="004F39DD">
        <w:rPr>
          <w:rFonts w:ascii="Book Antiqua" w:hAnsi="Book Antiqua" w:hint="eastAsia"/>
          <w:lang w:val="en-US" w:eastAsia="zh-CN"/>
        </w:rPr>
        <w:t xml:space="preserve">; (2) </w:t>
      </w:r>
      <w:r w:rsidRPr="004F39DD">
        <w:rPr>
          <w:rFonts w:ascii="Book Antiqua" w:hAnsi="Book Antiqua"/>
          <w:lang w:val="en-US"/>
        </w:rPr>
        <w:t>increased vascularity or irregular vessel</w:t>
      </w:r>
      <w:r w:rsidR="001F3BE4" w:rsidRPr="004F39DD">
        <w:rPr>
          <w:rFonts w:ascii="Book Antiqua" w:hAnsi="Book Antiqua"/>
          <w:lang w:val="en-US"/>
        </w:rPr>
        <w:t>s</w:t>
      </w:r>
      <w:r w:rsidR="00B2524B" w:rsidRPr="004F39DD">
        <w:rPr>
          <w:rFonts w:ascii="Book Antiqua" w:hAnsi="Book Antiqua"/>
          <w:lang w:val="en-US"/>
        </w:rPr>
        <w:t xml:space="preserve"> AND/</w:t>
      </w:r>
      <w:r w:rsidR="00B40248" w:rsidRPr="004F39DD">
        <w:rPr>
          <w:rFonts w:ascii="Book Antiqua" w:hAnsi="Book Antiqua"/>
          <w:lang w:val="en-US"/>
        </w:rPr>
        <w:t>OR</w:t>
      </w:r>
      <w:r w:rsidR="004F39DD">
        <w:rPr>
          <w:rFonts w:ascii="Book Antiqua" w:hAnsi="Book Antiqua" w:hint="eastAsia"/>
          <w:lang w:val="en-US" w:eastAsia="zh-CN"/>
        </w:rPr>
        <w:t xml:space="preserve">; and (3) </w:t>
      </w:r>
      <w:r w:rsidR="001F3BE4" w:rsidRPr="004F39DD">
        <w:rPr>
          <w:rFonts w:ascii="Book Antiqua" w:hAnsi="Book Antiqua"/>
          <w:lang w:val="en-US"/>
        </w:rPr>
        <w:t xml:space="preserve">focal, early loss of acetowhitening was present. </w:t>
      </w:r>
    </w:p>
    <w:p w14:paraId="078E49E5" w14:textId="35B9B46B" w:rsidR="00123BF6" w:rsidRPr="002075A3" w:rsidRDefault="00123BF6"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Targeted biopsies were performed followed by </w:t>
      </w:r>
      <w:r w:rsidR="002C5AF4" w:rsidRPr="002075A3">
        <w:rPr>
          <w:rFonts w:ascii="Book Antiqua" w:hAnsi="Book Antiqua"/>
          <w:lang w:val="en-US"/>
        </w:rPr>
        <w:t>4QBS</w:t>
      </w:r>
      <w:r w:rsidRPr="002075A3">
        <w:rPr>
          <w:rFonts w:ascii="Book Antiqua" w:hAnsi="Book Antiqua"/>
          <w:lang w:val="en-US"/>
        </w:rPr>
        <w:t xml:space="preserve"> (</w:t>
      </w:r>
      <w:r w:rsidR="002C5AF4" w:rsidRPr="002075A3">
        <w:rPr>
          <w:rFonts w:ascii="Book Antiqua" w:hAnsi="Book Antiqua"/>
          <w:lang w:val="en-US"/>
        </w:rPr>
        <w:t>unless area already sampled with targeted biopsy</w:t>
      </w:r>
      <w:r w:rsidRPr="002075A3">
        <w:rPr>
          <w:rFonts w:ascii="Book Antiqua" w:hAnsi="Book Antiqua"/>
          <w:lang w:val="en-US"/>
        </w:rPr>
        <w:t xml:space="preserve">). </w:t>
      </w:r>
      <w:r w:rsidR="00F42E6D" w:rsidRPr="002075A3">
        <w:rPr>
          <w:rFonts w:ascii="Book Antiqua" w:hAnsi="Book Antiqua"/>
          <w:lang w:val="en-US"/>
        </w:rPr>
        <w:t>Again, t</w:t>
      </w:r>
      <w:r w:rsidRPr="002075A3">
        <w:rPr>
          <w:rFonts w:ascii="Book Antiqua" w:hAnsi="Book Antiqua"/>
          <w:lang w:val="en-US"/>
        </w:rPr>
        <w:t xml:space="preserve">he combination of targeted and </w:t>
      </w:r>
      <w:r w:rsidR="00F42E6D" w:rsidRPr="002075A3">
        <w:rPr>
          <w:rFonts w:ascii="Book Antiqua" w:hAnsi="Book Antiqua"/>
          <w:lang w:val="en-US"/>
        </w:rPr>
        <w:t>4QBS</w:t>
      </w:r>
      <w:r w:rsidRPr="002075A3">
        <w:rPr>
          <w:rFonts w:ascii="Book Antiqua" w:hAnsi="Book Antiqua"/>
          <w:lang w:val="en-US"/>
        </w:rPr>
        <w:t xml:space="preserve"> was used as the reference for final histological diagnosis.</w:t>
      </w:r>
    </w:p>
    <w:p w14:paraId="32A02EAE" w14:textId="3AA0165E" w:rsidR="00F04348" w:rsidRPr="002075A3" w:rsidRDefault="004F39DD" w:rsidP="00E46EEA">
      <w:pPr>
        <w:spacing w:line="360" w:lineRule="auto"/>
        <w:ind w:firstLineChars="150" w:firstLine="360"/>
        <w:jc w:val="both"/>
        <w:rPr>
          <w:rFonts w:ascii="Book Antiqua" w:hAnsi="Book Antiqua"/>
          <w:lang w:val="en-US"/>
        </w:rPr>
      </w:pPr>
      <w:r w:rsidRPr="004F39DD">
        <w:rPr>
          <w:rFonts w:ascii="Book Antiqua" w:hAnsi="Book Antiqua"/>
          <w:lang w:val="en-US"/>
        </w:rPr>
        <w:t>Seventy-eight</w:t>
      </w:r>
      <w:r>
        <w:rPr>
          <w:rFonts w:ascii="Book Antiqua" w:hAnsi="Book Antiqua" w:hint="eastAsia"/>
          <w:lang w:val="en-US" w:eastAsia="zh-CN"/>
        </w:rPr>
        <w:t xml:space="preserve"> </w:t>
      </w:r>
      <w:r w:rsidR="00123BF6" w:rsidRPr="002075A3">
        <w:rPr>
          <w:rFonts w:ascii="Book Antiqua" w:hAnsi="Book Antiqua"/>
          <w:lang w:val="en-US"/>
        </w:rPr>
        <w:t>procedures were performed in patients with</w:t>
      </w:r>
      <w:r w:rsidR="001F3BE4" w:rsidRPr="002075A3">
        <w:rPr>
          <w:rFonts w:ascii="Book Antiqua" w:hAnsi="Book Antiqua"/>
          <w:lang w:val="en-US"/>
        </w:rPr>
        <w:t xml:space="preserve"> no </w:t>
      </w:r>
      <w:r w:rsidR="00F42E6D" w:rsidRPr="002075A3">
        <w:rPr>
          <w:rFonts w:ascii="Book Antiqua" w:hAnsi="Book Antiqua"/>
          <w:lang w:val="en-US"/>
        </w:rPr>
        <w:t>prior neoplasia history</w:t>
      </w:r>
      <w:r w:rsidR="001F3BE4" w:rsidRPr="002075A3">
        <w:rPr>
          <w:rFonts w:ascii="Book Antiqua" w:hAnsi="Book Antiqua"/>
          <w:lang w:val="en-US"/>
        </w:rPr>
        <w:t xml:space="preserve"> (low-risk group) and </w:t>
      </w:r>
      <w:r w:rsidR="00123BF6" w:rsidRPr="002075A3">
        <w:rPr>
          <w:rFonts w:ascii="Book Antiqua" w:hAnsi="Book Antiqua"/>
          <w:lang w:val="en-US"/>
        </w:rPr>
        <w:t xml:space="preserve">112 procedures were performed in patients referred with a history of neoplasia (high-risk group). Neoplasia was histologically confirmed in 88/190 procedures: 21/88 </w:t>
      </w:r>
      <w:r w:rsidR="00F42E6D" w:rsidRPr="002075A3">
        <w:rPr>
          <w:rFonts w:ascii="Book Antiqua" w:hAnsi="Book Antiqua"/>
          <w:lang w:val="en-US"/>
        </w:rPr>
        <w:t>EAC</w:t>
      </w:r>
      <w:r w:rsidR="00123BF6" w:rsidRPr="002075A3">
        <w:rPr>
          <w:rFonts w:ascii="Book Antiqua" w:hAnsi="Book Antiqua"/>
          <w:lang w:val="en-US"/>
        </w:rPr>
        <w:t xml:space="preserve"> (T1a/b), 51/88 </w:t>
      </w:r>
      <w:r w:rsidR="00844446" w:rsidRPr="002075A3">
        <w:rPr>
          <w:rFonts w:ascii="Book Antiqua" w:hAnsi="Book Antiqua"/>
          <w:lang w:val="en-US"/>
        </w:rPr>
        <w:t>HGD</w:t>
      </w:r>
      <w:r w:rsidR="00123BF6" w:rsidRPr="002075A3">
        <w:rPr>
          <w:rFonts w:ascii="Book Antiqua" w:hAnsi="Book Antiqua"/>
          <w:lang w:val="en-US"/>
        </w:rPr>
        <w:t xml:space="preserve">, 16/88 </w:t>
      </w:r>
      <w:r w:rsidR="0063446D" w:rsidRPr="002075A3">
        <w:rPr>
          <w:rFonts w:ascii="Book Antiqua" w:hAnsi="Book Antiqua"/>
          <w:lang w:val="en-US"/>
        </w:rPr>
        <w:t>LGD</w:t>
      </w:r>
      <w:r w:rsidR="00123BF6" w:rsidRPr="002075A3">
        <w:rPr>
          <w:rFonts w:ascii="Book Antiqua" w:hAnsi="Book Antiqua"/>
          <w:lang w:val="en-US"/>
        </w:rPr>
        <w:t xml:space="preserve">. </w:t>
      </w:r>
      <w:r w:rsidR="00A53B1C" w:rsidRPr="002075A3">
        <w:rPr>
          <w:rFonts w:ascii="Book Antiqua" w:hAnsi="Book Antiqua"/>
          <w:lang w:val="en-US"/>
        </w:rPr>
        <w:t>AAC</w:t>
      </w:r>
      <w:r w:rsidR="00123BF6" w:rsidRPr="002075A3">
        <w:rPr>
          <w:rFonts w:ascii="Book Antiqua" w:hAnsi="Book Antiqua"/>
          <w:lang w:val="en-US"/>
        </w:rPr>
        <w:t xml:space="preserve"> </w:t>
      </w:r>
      <w:r w:rsidR="005E40FB">
        <w:rPr>
          <w:rFonts w:ascii="Book Antiqua" w:hAnsi="Book Antiqua"/>
          <w:lang w:val="en-US"/>
        </w:rPr>
        <w:t xml:space="preserve">targeted biopsy demonstrated </w:t>
      </w:r>
      <w:r w:rsidR="00123BF6" w:rsidRPr="002075A3">
        <w:rPr>
          <w:rFonts w:ascii="Book Antiqua" w:hAnsi="Book Antiqua"/>
          <w:lang w:val="en-US"/>
        </w:rPr>
        <w:t xml:space="preserve">a sensitivity </w:t>
      </w:r>
      <w:r w:rsidR="005E40FB">
        <w:rPr>
          <w:rFonts w:ascii="Book Antiqua" w:hAnsi="Book Antiqua"/>
          <w:lang w:val="en-US"/>
        </w:rPr>
        <w:t xml:space="preserve">of </w:t>
      </w:r>
      <w:r w:rsidR="00123BF6" w:rsidRPr="002075A3">
        <w:rPr>
          <w:rFonts w:ascii="Book Antiqua" w:hAnsi="Book Antiqua"/>
          <w:lang w:val="en-US"/>
        </w:rPr>
        <w:t xml:space="preserve">95.5% and specificity 80% for </w:t>
      </w:r>
      <w:r w:rsidR="00BF5BA3" w:rsidRPr="002075A3">
        <w:rPr>
          <w:rFonts w:ascii="Book Antiqua" w:hAnsi="Book Antiqua"/>
          <w:lang w:val="en-US"/>
        </w:rPr>
        <w:t>neoplasia detection</w:t>
      </w:r>
      <w:r w:rsidR="00123BF6" w:rsidRPr="002075A3">
        <w:rPr>
          <w:rFonts w:ascii="Book Antiqua" w:hAnsi="Book Antiqua"/>
          <w:lang w:val="en-US"/>
        </w:rPr>
        <w:t xml:space="preserve">. Significant correlation between the </w:t>
      </w:r>
      <w:r w:rsidR="00123BF6" w:rsidRPr="00E46EEA">
        <w:rPr>
          <w:rFonts w:ascii="Book Antiqua" w:hAnsi="Book Antiqua"/>
          <w:i/>
          <w:lang w:val="en-US"/>
        </w:rPr>
        <w:t>in</w:t>
      </w:r>
      <w:r w:rsidR="00E46EEA" w:rsidRPr="00E46EEA">
        <w:rPr>
          <w:rFonts w:ascii="Book Antiqua" w:hAnsi="Book Antiqua" w:hint="eastAsia"/>
          <w:i/>
          <w:lang w:val="en-US" w:eastAsia="zh-CN"/>
        </w:rPr>
        <w:t xml:space="preserve"> </w:t>
      </w:r>
      <w:r w:rsidR="00123BF6" w:rsidRPr="00E46EEA">
        <w:rPr>
          <w:rFonts w:ascii="Book Antiqua" w:hAnsi="Book Antiqua"/>
          <w:i/>
          <w:lang w:val="en-US"/>
        </w:rPr>
        <w:t xml:space="preserve">vivo </w:t>
      </w:r>
      <w:r w:rsidR="00123BF6" w:rsidRPr="002075A3">
        <w:rPr>
          <w:rFonts w:ascii="Book Antiqua" w:hAnsi="Book Antiqua"/>
          <w:lang w:val="en-US"/>
        </w:rPr>
        <w:t xml:space="preserve">diagnosis of neoplasia and </w:t>
      </w:r>
      <w:r w:rsidR="00D333FC" w:rsidRPr="002075A3">
        <w:rPr>
          <w:rFonts w:ascii="Book Antiqua" w:hAnsi="Book Antiqua"/>
          <w:lang w:val="en-US"/>
        </w:rPr>
        <w:t>final histology was noted (</w:t>
      </w:r>
      <w:r w:rsidR="00D333FC" w:rsidRPr="002075A3">
        <w:rPr>
          <w:rFonts w:ascii="Book Antiqua" w:hAnsi="Book Antiqua"/>
          <w:i/>
          <w:lang w:val="en-US"/>
        </w:rPr>
        <w:t>r</w:t>
      </w:r>
      <w:r>
        <w:rPr>
          <w:rFonts w:ascii="Book Antiqua" w:hAnsi="Book Antiqua" w:hint="eastAsia"/>
          <w:i/>
          <w:lang w:val="en-US" w:eastAsia="zh-CN"/>
        </w:rPr>
        <w:t xml:space="preserve"> </w:t>
      </w:r>
      <w:r w:rsidR="00DF207E" w:rsidRPr="002075A3">
        <w:rPr>
          <w:rFonts w:ascii="Book Antiqua" w:hAnsi="Book Antiqua"/>
          <w:lang w:val="en-US"/>
        </w:rPr>
        <w:t>=</w:t>
      </w:r>
      <w:r>
        <w:rPr>
          <w:rFonts w:ascii="Book Antiqua" w:hAnsi="Book Antiqua" w:hint="eastAsia"/>
          <w:lang w:val="en-US" w:eastAsia="zh-CN"/>
        </w:rPr>
        <w:t xml:space="preserve"> </w:t>
      </w:r>
      <w:r w:rsidR="00DF207E" w:rsidRPr="002075A3">
        <w:rPr>
          <w:rFonts w:ascii="Book Antiqua" w:hAnsi="Book Antiqua"/>
          <w:lang w:val="en-US"/>
        </w:rPr>
        <w:t>0.98). There was a 2.5-</w:t>
      </w:r>
      <w:r w:rsidR="00D333FC" w:rsidRPr="002075A3">
        <w:rPr>
          <w:rFonts w:ascii="Book Antiqua" w:hAnsi="Book Antiqua"/>
          <w:lang w:val="en-US"/>
        </w:rPr>
        <w:t xml:space="preserve">fold increase in visible neoplasia detection with </w:t>
      </w:r>
      <w:r w:rsidR="00BE7AA3" w:rsidRPr="002075A3">
        <w:rPr>
          <w:rFonts w:ascii="Book Antiqua" w:hAnsi="Book Antiqua"/>
          <w:lang w:val="en-US"/>
        </w:rPr>
        <w:t>AA</w:t>
      </w:r>
      <w:r w:rsidR="0012309F" w:rsidRPr="002075A3">
        <w:rPr>
          <w:rFonts w:ascii="Book Antiqua" w:hAnsi="Book Antiqua"/>
          <w:lang w:val="en-US"/>
        </w:rPr>
        <w:t>C</w:t>
      </w:r>
      <w:r w:rsidR="00D333FC" w:rsidRPr="002075A3">
        <w:rPr>
          <w:rFonts w:ascii="Book Antiqua" w:hAnsi="Book Antiqua"/>
          <w:lang w:val="en-US"/>
        </w:rPr>
        <w:t xml:space="preserve"> as compared to white light alone (</w:t>
      </w:r>
      <w:r w:rsidRPr="004F39DD">
        <w:rPr>
          <w:rFonts w:ascii="Book Antiqua" w:hAnsi="Book Antiqua"/>
          <w:i/>
          <w:lang w:val="en-US"/>
        </w:rPr>
        <w:t>P</w:t>
      </w:r>
      <w:r>
        <w:rPr>
          <w:rFonts w:ascii="Book Antiqua" w:hAnsi="Book Antiqua" w:hint="eastAsia"/>
          <w:lang w:val="en-US" w:eastAsia="zh-CN"/>
        </w:rPr>
        <w:t xml:space="preserve"> </w:t>
      </w:r>
      <w:r w:rsidR="00D333FC" w:rsidRPr="002075A3">
        <w:rPr>
          <w:rFonts w:ascii="Book Antiqua" w:hAnsi="Book Antiqua"/>
          <w:lang w:val="en-US"/>
        </w:rPr>
        <w:t>=</w:t>
      </w:r>
      <w:r>
        <w:rPr>
          <w:rFonts w:ascii="Book Antiqua" w:hAnsi="Book Antiqua" w:hint="eastAsia"/>
          <w:lang w:val="en-US" w:eastAsia="zh-CN"/>
        </w:rPr>
        <w:t xml:space="preserve"> </w:t>
      </w:r>
      <w:r w:rsidR="00D333FC" w:rsidRPr="002075A3">
        <w:rPr>
          <w:rFonts w:ascii="Book Antiqua" w:hAnsi="Book Antiqua"/>
          <w:lang w:val="en-US"/>
        </w:rPr>
        <w:t>0.001).</w:t>
      </w:r>
      <w:r w:rsidR="007A29FA" w:rsidRPr="002075A3">
        <w:rPr>
          <w:rFonts w:ascii="Book Antiqua" w:hAnsi="Book Antiqua"/>
          <w:lang w:val="en-US"/>
        </w:rPr>
        <w:t xml:space="preserve"> The limitations of this study are similar to those of the Wiesbaden group: single </w:t>
      </w:r>
      <w:r w:rsidR="00111803" w:rsidRPr="002075A3">
        <w:rPr>
          <w:rFonts w:ascii="Book Antiqua" w:hAnsi="Book Antiqua"/>
          <w:lang w:val="en-US"/>
        </w:rPr>
        <w:t>center</w:t>
      </w:r>
      <w:r w:rsidR="007A29FA" w:rsidRPr="002075A3">
        <w:rPr>
          <w:rFonts w:ascii="Book Antiqua" w:hAnsi="Book Antiqua"/>
          <w:lang w:val="en-US"/>
        </w:rPr>
        <w:t>, expert endoscopist with a dysplasia</w:t>
      </w:r>
      <w:r w:rsidR="00BF5BA3" w:rsidRPr="002075A3">
        <w:rPr>
          <w:rFonts w:ascii="Book Antiqua" w:hAnsi="Book Antiqua"/>
          <w:lang w:val="en-US"/>
        </w:rPr>
        <w:t>-</w:t>
      </w:r>
      <w:r w:rsidR="007A29FA" w:rsidRPr="002075A3">
        <w:rPr>
          <w:rFonts w:ascii="Book Antiqua" w:hAnsi="Book Antiqua"/>
          <w:lang w:val="en-US"/>
        </w:rPr>
        <w:t xml:space="preserve">enriched population. What these studies cannot answer is how </w:t>
      </w:r>
      <w:r w:rsidR="00BE7AA3" w:rsidRPr="002075A3">
        <w:rPr>
          <w:rFonts w:ascii="Book Antiqua" w:hAnsi="Book Antiqua"/>
          <w:lang w:val="en-US"/>
        </w:rPr>
        <w:t>AA</w:t>
      </w:r>
      <w:r w:rsidR="0012309F" w:rsidRPr="002075A3">
        <w:rPr>
          <w:rFonts w:ascii="Book Antiqua" w:hAnsi="Book Antiqua"/>
          <w:lang w:val="en-US"/>
        </w:rPr>
        <w:t>C</w:t>
      </w:r>
      <w:r w:rsidR="007A29FA" w:rsidRPr="002075A3">
        <w:rPr>
          <w:rFonts w:ascii="Book Antiqua" w:hAnsi="Book Antiqua"/>
          <w:lang w:val="en-US"/>
        </w:rPr>
        <w:t xml:space="preserve"> would perform in the surveillance population where dysplasia prevalence is </w:t>
      </w:r>
      <w:r w:rsidR="00516657" w:rsidRPr="002075A3">
        <w:rPr>
          <w:rFonts w:ascii="Book Antiqua" w:hAnsi="Book Antiqua"/>
          <w:lang w:val="en-US"/>
        </w:rPr>
        <w:t>much lower</w:t>
      </w:r>
      <w:r w:rsidR="00C7203E">
        <w:rPr>
          <w:rFonts w:ascii="Book Antiqua" w:hAnsi="Book Antiqua"/>
          <w:lang w:val="en-US"/>
        </w:rPr>
        <w:t xml:space="preserve"> and how AAC performs in non-expert hands</w:t>
      </w:r>
      <w:r w:rsidR="00516657" w:rsidRPr="002075A3">
        <w:rPr>
          <w:rFonts w:ascii="Book Antiqua" w:hAnsi="Book Antiqua"/>
          <w:lang w:val="en-US"/>
        </w:rPr>
        <w:t>.</w:t>
      </w:r>
    </w:p>
    <w:p w14:paraId="4A2550C1" w14:textId="2557777E" w:rsidR="00516657" w:rsidRPr="002075A3" w:rsidRDefault="00516657"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Another factor limiting the use of </w:t>
      </w:r>
      <w:r w:rsidR="00A53B1C" w:rsidRPr="002075A3">
        <w:rPr>
          <w:rFonts w:ascii="Book Antiqua" w:hAnsi="Book Antiqua"/>
          <w:lang w:val="en-US"/>
        </w:rPr>
        <w:t>AAC</w:t>
      </w:r>
      <w:r w:rsidRPr="002075A3">
        <w:rPr>
          <w:rFonts w:ascii="Book Antiqua" w:hAnsi="Book Antiqua"/>
          <w:lang w:val="en-US"/>
        </w:rPr>
        <w:t xml:space="preserve"> is the additional skills required to interpret surface and vascular patterns</w:t>
      </w:r>
      <w:r w:rsidR="00BF5BA3" w:rsidRPr="002075A3">
        <w:rPr>
          <w:rFonts w:ascii="Book Antiqua" w:hAnsi="Book Antiqua"/>
          <w:lang w:val="en-US"/>
        </w:rPr>
        <w:t xml:space="preserve"> and their subjective nature</w:t>
      </w:r>
      <w:r w:rsidRPr="002075A3">
        <w:rPr>
          <w:rFonts w:ascii="Book Antiqua" w:hAnsi="Book Antiqua"/>
          <w:lang w:val="en-US"/>
        </w:rPr>
        <w:t xml:space="preserve">. To that end the Portsmouth </w:t>
      </w:r>
      <w:r w:rsidR="003A4CF1" w:rsidRPr="002075A3">
        <w:rPr>
          <w:rFonts w:ascii="Book Antiqua" w:hAnsi="Book Antiqua"/>
          <w:lang w:val="en-US"/>
        </w:rPr>
        <w:t xml:space="preserve">group sought to develop an objective tool using the duration of acetowhitening </w:t>
      </w:r>
      <w:r w:rsidR="008D329A" w:rsidRPr="002075A3">
        <w:rPr>
          <w:rFonts w:ascii="Book Antiqua" w:hAnsi="Book Antiqua"/>
          <w:lang w:val="en-US"/>
        </w:rPr>
        <w:t>for the diagnosis of</w:t>
      </w:r>
      <w:r w:rsidR="003A4CF1" w:rsidRPr="002075A3">
        <w:rPr>
          <w:rFonts w:ascii="Book Antiqua" w:hAnsi="Book Antiqua"/>
          <w:lang w:val="en-US"/>
        </w:rPr>
        <w:t xml:space="preserve"> </w:t>
      </w:r>
      <w:r w:rsidR="003A4CF1" w:rsidRPr="00101C03">
        <w:rPr>
          <w:rFonts w:ascii="Book Antiqua" w:hAnsi="Book Antiqua"/>
          <w:lang w:val="en-US"/>
        </w:rPr>
        <w:t>neoplasia</w:t>
      </w:r>
      <w:r w:rsidR="00411D76">
        <w:rPr>
          <w:rFonts w:ascii="Book Antiqua" w:hAnsi="Book Antiqua"/>
          <w:vertAlign w:val="superscript"/>
          <w:lang w:val="en-US"/>
        </w:rPr>
        <w:fldChar w:fldCharType="begin" w:fldLock="1"/>
      </w:r>
      <w:r w:rsidR="00411D76">
        <w:rPr>
          <w:rFonts w:ascii="Book Antiqua" w:hAnsi="Book Antiqua"/>
          <w:vertAlign w:val="superscript"/>
          <w:lang w:val="en-US"/>
        </w:rPr>
        <w:instrText>ADDIN CSL_CITATION { "citationItems" : [ { "id" : "ITEM-1", "itemData" : { "DOI" : "10.1055/s-0032-1326630", "ISBN" : "0013-726x", "ISSN" : "0013726X", "PMID" : "23733726", "abstract" : "BACKGROUND AND STUDY AIMS: Acetic acid reacts with Barrett's mucosa to produce acetowhitening which disappears with time. The clinical significance of this is unknown. We aimed to quantify the acetowhitening time, developing an objective tool for diagnosis of neoplasia in Barrett's esophagus. PATIENTS AND METHODS: Prospective cohort study in a tertiary referral center, enrolling patients undergoing surveillance of Barrett's metaplasia or referred with suspected neoplasia. Acetic acid 2.5 % was applied to the mucosa via a spray catheter. Acetowhitening was observed and time to disappearance recorded. Targeted biopsies of any neoplasia and quadrantic 2-cm biopsies of residual Barrett's area were then taken. Histological findings were investigated in relation to duration of acetowhitening. RESULTS: 132 patients were examined. A receiver operating characteristic (ROC) curve was produced for identifying high risk neoplasia according to acetowhitening duration. The area under the curve (AUC) was 0.93 (0.89 - 0.97). Using a threshold of 142 seconds yielded a sensitivity for neoplasia of 98 % (95 % confidence interval [95 %CI] 89 % - 100 %) and specificity of 84 % (74 % - 91 %). The ROC curve for mucosal neoplasia (high grade dysplasia or intramucosal carcinoma) versus deep invasive cancer showed an AUC of 0.786 (0.61 - 0.96); a cutoff of 20 seconds yielded a sensitivity and specificity for invasive cancer of 67 % (35 % - 90 %) and 85 % (69 % - 95 %), respectively. CONCLUSION: The time to disappearance of acetowhitening can serve as a simple but very sensitive tool for the diagnosis of high risk neoplasia in Barrett's esophagus. It can be used to distinguish mucosal neoplasia from deep invasive cancer.", "author" : [ { "dropping-particle" : "", "family" : "Longcroft-Wheaton", "given" : "G.", "non-dropping-particle" : "", "parse-names" : false, "suffix" : "" }, { "dropping-particle" : "", "family" : "Brown", "given" : "J.", "non-dropping-particle" : "", "parse-names" : false, "suffix" : "" }, { "dropping-particle" : "", "family" : "Basford", "given" : "P.", "non-dropping-particle" : "", "parse-names" : false, "suffix" : "" }, { "dropping-particle" : "", "family" : "Cowlishaw", "given" : "D.", "non-dropping-particle" : "", "parse-names" : false, "suffix" : "" }, { "dropping-particle" : "", "family" : "Higgins", "given" : "B.", "non-dropping-particle" : "", "parse-names" : false, "suffix" : "" }, { "dropping-particle" : "", "family" : "Bhandari", "given" : "P.", "non-dropping-particle" : "", "parse-names" : false, "suffix" : "" } ], "container-title" : "Endoscopy", "id" : "ITEM-1", "issue" : "6", "issued" : { "date-parts" : [ [ "2013" ] ] }, "page" : "426-432", "title" : "Duration of acetowhitening as a novel objective tool for diagnosing high risk neoplasia in Barrett's esophagus: A prospective cohort trial", "type" : "article-journal", "volume" : "45" }, "uris" : [ "http://www.mendeley.com/documents/?uuid=0763e647-4203-4c0f-8120-350b428241f5" ] } ], "mendeley" : { "formattedCitation" : "&lt;sup&gt;[2]&lt;/sup&gt;", "plainTextFormattedCitation" : "[2]", "previouslyFormattedCitation" : "&lt;sup&gt;[2]&lt;/sup&gt;" }, "properties" : { "noteIndex" : 0 }, "schema" : "https://github.com/citation-style-language/schema/raw/master/csl-citation.json" }</w:instrText>
      </w:r>
      <w:r w:rsidR="00411D76">
        <w:rPr>
          <w:rFonts w:ascii="Book Antiqua" w:hAnsi="Book Antiqua"/>
          <w:vertAlign w:val="superscript"/>
          <w:lang w:val="en-US"/>
        </w:rPr>
        <w:fldChar w:fldCharType="separate"/>
      </w:r>
      <w:r w:rsidR="00411D76" w:rsidRPr="00411D76">
        <w:rPr>
          <w:rFonts w:ascii="Book Antiqua" w:hAnsi="Book Antiqua"/>
          <w:noProof/>
          <w:vertAlign w:val="superscript"/>
          <w:lang w:val="en-US"/>
        </w:rPr>
        <w:t>[2]</w:t>
      </w:r>
      <w:r w:rsidR="00411D76">
        <w:rPr>
          <w:rFonts w:ascii="Book Antiqua" w:hAnsi="Book Antiqua"/>
          <w:vertAlign w:val="superscript"/>
          <w:lang w:val="en-US"/>
        </w:rPr>
        <w:fldChar w:fldCharType="end"/>
      </w:r>
      <w:r w:rsidR="003A4CF1" w:rsidRPr="002075A3">
        <w:rPr>
          <w:rFonts w:ascii="Book Antiqua" w:hAnsi="Book Antiqua"/>
          <w:lang w:val="en-US"/>
        </w:rPr>
        <w:t xml:space="preserve">. </w:t>
      </w:r>
      <w:r w:rsidR="004F39DD" w:rsidRPr="004F39DD">
        <w:rPr>
          <w:rFonts w:ascii="Book Antiqua" w:hAnsi="Book Antiqua"/>
          <w:lang w:val="en-US"/>
        </w:rPr>
        <w:t>One hundred and thirty-two</w:t>
      </w:r>
      <w:r w:rsidR="004F39DD">
        <w:rPr>
          <w:rFonts w:ascii="Book Antiqua" w:hAnsi="Book Antiqua" w:hint="eastAsia"/>
          <w:lang w:val="en-US" w:eastAsia="zh-CN"/>
        </w:rPr>
        <w:t xml:space="preserve"> </w:t>
      </w:r>
      <w:r w:rsidR="008D329A" w:rsidRPr="002075A3">
        <w:rPr>
          <w:rFonts w:ascii="Book Antiqua" w:hAnsi="Book Antiqua"/>
          <w:lang w:val="en-US"/>
        </w:rPr>
        <w:t xml:space="preserve">patients underwent 2.5% </w:t>
      </w:r>
      <w:r w:rsidR="00A53B1C" w:rsidRPr="002075A3">
        <w:rPr>
          <w:rFonts w:ascii="Book Antiqua" w:hAnsi="Book Antiqua"/>
          <w:lang w:val="en-US"/>
        </w:rPr>
        <w:t>AAC</w:t>
      </w:r>
      <w:r w:rsidR="008D329A" w:rsidRPr="002075A3">
        <w:rPr>
          <w:rFonts w:ascii="Book Antiqua" w:hAnsi="Book Antiqua"/>
          <w:lang w:val="en-US"/>
        </w:rPr>
        <w:t xml:space="preserve"> with targeted biopsies of neoplasia, followed by </w:t>
      </w:r>
      <w:r w:rsidR="0012309F" w:rsidRPr="002075A3">
        <w:rPr>
          <w:rFonts w:ascii="Book Antiqua" w:hAnsi="Book Antiqua"/>
          <w:lang w:val="en-US"/>
        </w:rPr>
        <w:t>4QBS</w:t>
      </w:r>
      <w:r w:rsidR="008D329A" w:rsidRPr="002075A3">
        <w:rPr>
          <w:rFonts w:ascii="Book Antiqua" w:hAnsi="Book Antiqua"/>
          <w:lang w:val="en-US"/>
        </w:rPr>
        <w:t xml:space="preserve">. Time taken to lose acetowhitening effect was measured and </w:t>
      </w:r>
      <w:r w:rsidR="00111803" w:rsidRPr="002075A3">
        <w:rPr>
          <w:rFonts w:ascii="Book Antiqua" w:hAnsi="Book Antiqua"/>
          <w:lang w:val="en-US"/>
        </w:rPr>
        <w:t>analyzed</w:t>
      </w:r>
      <w:r w:rsidR="008D329A" w:rsidRPr="002075A3">
        <w:rPr>
          <w:rFonts w:ascii="Book Antiqua" w:hAnsi="Book Antiqua"/>
          <w:lang w:val="en-US"/>
        </w:rPr>
        <w:t xml:space="preserve"> for metaplasia, </w:t>
      </w:r>
      <w:r w:rsidR="00844446" w:rsidRPr="002075A3">
        <w:rPr>
          <w:rFonts w:ascii="Book Antiqua" w:hAnsi="Book Antiqua"/>
          <w:lang w:val="en-US"/>
        </w:rPr>
        <w:t>HGD</w:t>
      </w:r>
      <w:r w:rsidR="008D329A" w:rsidRPr="002075A3">
        <w:rPr>
          <w:rFonts w:ascii="Book Antiqua" w:hAnsi="Book Antiqua"/>
          <w:lang w:val="en-US"/>
        </w:rPr>
        <w:t xml:space="preserve"> and </w:t>
      </w:r>
      <w:r w:rsidR="00BF5BA3" w:rsidRPr="002075A3">
        <w:rPr>
          <w:rFonts w:ascii="Book Antiqua" w:hAnsi="Book Antiqua"/>
          <w:lang w:val="en-US"/>
        </w:rPr>
        <w:t>EAC</w:t>
      </w:r>
      <w:r w:rsidR="008D329A" w:rsidRPr="002075A3">
        <w:rPr>
          <w:rFonts w:ascii="Book Antiqua" w:hAnsi="Book Antiqua"/>
          <w:lang w:val="en-US"/>
        </w:rPr>
        <w:t>. In cases of cancer</w:t>
      </w:r>
      <w:r w:rsidR="00323369">
        <w:rPr>
          <w:rFonts w:ascii="Book Antiqua" w:hAnsi="Book Antiqua"/>
          <w:lang w:val="en-US"/>
        </w:rPr>
        <w:t>,</w:t>
      </w:r>
      <w:r w:rsidR="008D329A" w:rsidRPr="002075A3">
        <w:rPr>
          <w:rFonts w:ascii="Book Antiqua" w:hAnsi="Book Antiqua"/>
          <w:lang w:val="en-US"/>
        </w:rPr>
        <w:t xml:space="preserve"> acetowhitening was lost in a median of 23 </w:t>
      </w:r>
      <w:r w:rsidR="004F39DD">
        <w:rPr>
          <w:rFonts w:ascii="Book Antiqua" w:hAnsi="Book Antiqua" w:hint="eastAsia"/>
          <w:lang w:val="en-US" w:eastAsia="zh-CN"/>
        </w:rPr>
        <w:t>s</w:t>
      </w:r>
      <w:r w:rsidR="008D329A" w:rsidRPr="002075A3">
        <w:rPr>
          <w:rFonts w:ascii="Book Antiqua" w:hAnsi="Book Antiqua"/>
          <w:lang w:val="en-US"/>
        </w:rPr>
        <w:t xml:space="preserve"> (range 3-81), for </w:t>
      </w:r>
      <w:r w:rsidR="00844446" w:rsidRPr="002075A3">
        <w:rPr>
          <w:rFonts w:ascii="Book Antiqua" w:hAnsi="Book Antiqua"/>
          <w:lang w:val="en-US"/>
        </w:rPr>
        <w:t>HGD</w:t>
      </w:r>
      <w:r w:rsidR="008D329A" w:rsidRPr="002075A3">
        <w:rPr>
          <w:rFonts w:ascii="Book Antiqua" w:hAnsi="Book Antiqua"/>
          <w:lang w:val="en-US"/>
        </w:rPr>
        <w:t xml:space="preserve"> the median was 53 </w:t>
      </w:r>
      <w:r w:rsidR="004F39DD">
        <w:rPr>
          <w:rFonts w:ascii="Book Antiqua" w:hAnsi="Book Antiqua" w:hint="eastAsia"/>
          <w:lang w:val="en-US" w:eastAsia="zh-CN"/>
        </w:rPr>
        <w:t>s</w:t>
      </w:r>
      <w:r w:rsidR="008D329A" w:rsidRPr="002075A3">
        <w:rPr>
          <w:rFonts w:ascii="Book Antiqua" w:hAnsi="Book Antiqua"/>
          <w:lang w:val="en-US"/>
        </w:rPr>
        <w:t xml:space="preserve"> (range 4-288). In non-dysplastic Barrett’s median time was 311 </w:t>
      </w:r>
      <w:r w:rsidR="004F39DD">
        <w:rPr>
          <w:rFonts w:ascii="Book Antiqua" w:hAnsi="Book Antiqua" w:hint="eastAsia"/>
          <w:lang w:val="en-US" w:eastAsia="zh-CN"/>
        </w:rPr>
        <w:t>s</w:t>
      </w:r>
      <w:r w:rsidR="008D329A" w:rsidRPr="002075A3">
        <w:rPr>
          <w:rFonts w:ascii="Book Antiqua" w:hAnsi="Book Antiqua"/>
          <w:lang w:val="en-US"/>
        </w:rPr>
        <w:t xml:space="preserve"> (range 14-992). </w:t>
      </w:r>
      <w:r w:rsidR="005E40FB">
        <w:rPr>
          <w:rFonts w:ascii="Book Antiqua" w:hAnsi="Book Antiqua"/>
          <w:lang w:val="en-US"/>
        </w:rPr>
        <w:t xml:space="preserve">They proved the concept of focal loss of acetowhitening (LAW) as a very effective tool in distinguishing metaplasia from HGD </w:t>
      </w:r>
      <w:r w:rsidR="00F82775">
        <w:rPr>
          <w:rFonts w:ascii="Book Antiqua" w:hAnsi="Book Antiqua"/>
          <w:lang w:val="en-US"/>
        </w:rPr>
        <w:t>and HGD from</w:t>
      </w:r>
      <w:r w:rsidR="005E40FB">
        <w:rPr>
          <w:rFonts w:ascii="Book Antiqua" w:hAnsi="Book Antiqua"/>
          <w:lang w:val="en-US"/>
        </w:rPr>
        <w:t xml:space="preserve"> EAC. </w:t>
      </w:r>
      <w:r w:rsidR="008D329A" w:rsidRPr="002075A3">
        <w:rPr>
          <w:rFonts w:ascii="Book Antiqua" w:hAnsi="Book Antiqua"/>
          <w:lang w:val="en-US"/>
        </w:rPr>
        <w:t>The</w:t>
      </w:r>
      <w:r w:rsidR="00BF5BA3" w:rsidRPr="002075A3">
        <w:rPr>
          <w:rFonts w:ascii="Book Antiqua" w:hAnsi="Book Antiqua"/>
          <w:lang w:val="en-US"/>
        </w:rPr>
        <w:t xml:space="preserve"> time</w:t>
      </w:r>
      <w:r w:rsidR="008D329A" w:rsidRPr="002075A3">
        <w:rPr>
          <w:rFonts w:ascii="Book Antiqua" w:hAnsi="Book Antiqua"/>
          <w:lang w:val="en-US"/>
        </w:rPr>
        <w:t xml:space="preserve"> differences </w:t>
      </w:r>
      <w:r w:rsidR="00BF5BA3" w:rsidRPr="002075A3">
        <w:rPr>
          <w:rFonts w:ascii="Book Antiqua" w:hAnsi="Book Antiqua"/>
          <w:lang w:val="en-US"/>
        </w:rPr>
        <w:t xml:space="preserve">to </w:t>
      </w:r>
      <w:r w:rsidR="00111803" w:rsidRPr="002075A3">
        <w:rPr>
          <w:rFonts w:ascii="Book Antiqua" w:hAnsi="Book Antiqua"/>
          <w:lang w:val="en-US"/>
        </w:rPr>
        <w:t>lose acetowhitening</w:t>
      </w:r>
      <w:r w:rsidR="008D329A" w:rsidRPr="002075A3">
        <w:rPr>
          <w:rFonts w:ascii="Book Antiqua" w:hAnsi="Book Antiqua"/>
          <w:lang w:val="en-US"/>
        </w:rPr>
        <w:t xml:space="preserve"> were </w:t>
      </w:r>
      <w:r w:rsidR="008D329A" w:rsidRPr="002075A3">
        <w:rPr>
          <w:rFonts w:ascii="Book Antiqua" w:hAnsi="Book Antiqua"/>
          <w:lang w:val="en-US"/>
        </w:rPr>
        <w:lastRenderedPageBreak/>
        <w:t>statistically significant (</w:t>
      </w:r>
      <w:r w:rsidR="004F39DD" w:rsidRPr="004F39DD">
        <w:rPr>
          <w:rFonts w:ascii="Book Antiqua" w:hAnsi="Book Antiqua"/>
          <w:i/>
          <w:lang w:val="en-US"/>
        </w:rPr>
        <w:t>P</w:t>
      </w:r>
      <w:r w:rsidR="004F39DD">
        <w:rPr>
          <w:rFonts w:ascii="Book Antiqua" w:hAnsi="Book Antiqua" w:hint="eastAsia"/>
          <w:lang w:val="en-US" w:eastAsia="zh-CN"/>
        </w:rPr>
        <w:t xml:space="preserve"> </w:t>
      </w:r>
      <w:r w:rsidR="008D329A" w:rsidRPr="002075A3">
        <w:rPr>
          <w:rFonts w:ascii="Book Antiqua" w:hAnsi="Book Antiqua"/>
          <w:lang w:val="en-US"/>
        </w:rPr>
        <w:t>&lt;</w:t>
      </w:r>
      <w:r w:rsidR="004F39DD">
        <w:rPr>
          <w:rFonts w:ascii="Book Antiqua" w:hAnsi="Book Antiqua" w:hint="eastAsia"/>
          <w:lang w:val="en-US" w:eastAsia="zh-CN"/>
        </w:rPr>
        <w:t xml:space="preserve"> </w:t>
      </w:r>
      <w:r w:rsidR="008D329A" w:rsidRPr="002075A3">
        <w:rPr>
          <w:rFonts w:ascii="Book Antiqua" w:hAnsi="Book Antiqua"/>
          <w:lang w:val="en-US"/>
        </w:rPr>
        <w:t>0.05). In order to further refine the tool, the authors pl</w:t>
      </w:r>
      <w:r w:rsidR="00BF5BA3" w:rsidRPr="002075A3">
        <w:rPr>
          <w:rFonts w:ascii="Book Antiqua" w:hAnsi="Book Antiqua"/>
          <w:lang w:val="en-US"/>
        </w:rPr>
        <w:t>o</w:t>
      </w:r>
      <w:r w:rsidR="008D329A" w:rsidRPr="002075A3">
        <w:rPr>
          <w:rFonts w:ascii="Book Antiqua" w:hAnsi="Book Antiqua"/>
          <w:lang w:val="en-US"/>
        </w:rPr>
        <w:t xml:space="preserve">tted a receiver operating characteristic </w:t>
      </w:r>
      <w:r w:rsidR="005166D0" w:rsidRPr="002075A3">
        <w:rPr>
          <w:rFonts w:ascii="Book Antiqua" w:hAnsi="Book Antiqua"/>
          <w:lang w:val="en-US"/>
        </w:rPr>
        <w:t xml:space="preserve">and determined that a time of 142 </w:t>
      </w:r>
      <w:r w:rsidR="004F39DD">
        <w:rPr>
          <w:rFonts w:ascii="Book Antiqua" w:hAnsi="Book Antiqua" w:hint="eastAsia"/>
          <w:lang w:val="en-US" w:eastAsia="zh-CN"/>
        </w:rPr>
        <w:t>s</w:t>
      </w:r>
      <w:r w:rsidR="005166D0" w:rsidRPr="002075A3">
        <w:rPr>
          <w:rFonts w:ascii="Book Antiqua" w:hAnsi="Book Antiqua"/>
          <w:lang w:val="en-US"/>
        </w:rPr>
        <w:t xml:space="preserve"> yielded the optimum sensitivity – 98% and specificity – 84%. The benefit of this tool is that it provides </w:t>
      </w:r>
      <w:r w:rsidR="00E94364" w:rsidRPr="002075A3">
        <w:rPr>
          <w:rFonts w:ascii="Book Antiqua" w:hAnsi="Book Antiqua"/>
          <w:lang w:val="en-US"/>
        </w:rPr>
        <w:t xml:space="preserve">endoscopists </w:t>
      </w:r>
      <w:r w:rsidR="005166D0" w:rsidRPr="002075A3">
        <w:rPr>
          <w:rFonts w:ascii="Book Antiqua" w:hAnsi="Book Antiqua"/>
          <w:lang w:val="en-US"/>
        </w:rPr>
        <w:t>an objective measure of neoplasia, avoiding subjective interpretation of mucosal and vessel patterns.</w:t>
      </w:r>
      <w:r w:rsidR="005E40FB">
        <w:rPr>
          <w:rFonts w:ascii="Book Antiqua" w:hAnsi="Book Antiqua"/>
          <w:lang w:val="en-US"/>
        </w:rPr>
        <w:t xml:space="preserve"> This is clinically very relevant as this phenomenon can be universally applied, regardless of endoscope manufacturer or definition, and requires minimal training.</w:t>
      </w:r>
      <w:r w:rsidR="00FE0C02">
        <w:rPr>
          <w:rFonts w:ascii="Book Antiqua" w:hAnsi="Book Antiqua"/>
          <w:lang w:val="en-US"/>
        </w:rPr>
        <w:t xml:space="preserve"> Their results reach the ASGE PIVI</w:t>
      </w:r>
      <w:r w:rsidR="00B51D38">
        <w:rPr>
          <w:rFonts w:ascii="Book Antiqua" w:hAnsi="Book Antiqua"/>
          <w:lang w:val="en-US"/>
        </w:rPr>
        <w:t xml:space="preserve"> (preservation and incorporation of valuable endoscopic innovations)</w:t>
      </w:r>
      <w:r w:rsidR="00FE0C02">
        <w:rPr>
          <w:rFonts w:ascii="Book Antiqua" w:hAnsi="Book Antiqua"/>
          <w:lang w:val="en-US"/>
        </w:rPr>
        <w:t xml:space="preserve"> criteria</w:t>
      </w:r>
      <w:r w:rsidR="00CC711E">
        <w:rPr>
          <w:rFonts w:ascii="Book Antiqua" w:hAnsi="Book Antiqua"/>
          <w:lang w:val="en-US"/>
        </w:rPr>
        <w:fldChar w:fldCharType="begin" w:fldLock="1"/>
      </w:r>
      <w:r w:rsidR="00CC711E">
        <w:rPr>
          <w:rFonts w:ascii="Book Antiqua" w:hAnsi="Book Antiqua"/>
          <w:lang w:val="en-US"/>
        </w:rPr>
        <w:instrText>ADDIN CSL_CITATION { "citationItems" : [ { "id" : "ITEM-1", "itemData" : { "DOI" : "10.1016/j.gie.2012.05.007", "ISSN" : "00165107", "PMID" : "22817781", "author" : [ { "dropping-particle" : "", "family" : "Sharma", "given" : "Prateek", "non-dropping-particle" : "", "parse-names" : false, "suffix" : "" }, { "dropping-particle" : "", "family" : "Savides", "given" : "Thomas J.", "non-dropping-particle" : "", "parse-names" : false, "suffix" : "" }, { "dropping-particle" : "", "family" : "Canto", "given" : "Marcia I.", "non-dropping-particle" : "", "parse-names" : false, "suffix" : "" }, { "dropping-particle" : "", "family" : "Corley", "given" : "Douglas A.", "non-dropping-particle" : "", "parse-names" : false, "suffix" : "" }, { "dropping-particle" : "", "family" : "Falk", "given" : "Gary W.", "non-dropping-particle" : "", "parse-names" : false, "suffix" : "" }, { "dropping-particle" : "", "family" : "Goldblum", "given" : "John R.", "non-dropping-particle" : "", "parse-names" : false, "suffix" : "" }, { "dropping-particle" : "", "family" : "Wang", "given" : "Kenneth K.", "non-dropping-particle" : "", "parse-names" : false, "suffix" : "" }, { "dropping-particle" : "", "family" : "Wallace", "given" : "Michael B.", "non-dropping-particle" : "", "parse-names" : false, "suffix" : "" }, { "dropping-particle" : "", "family" : "Wolfsen", "given" : "Herbert C.", "non-dropping-particle" : "", "parse-names" : false, "suffix" : "" } ], "container-title" : "Gastrointestinal Endoscopy", "id" : "ITEM-1", "issue" : "2", "issued" : { "date-parts" : [ [ "2012", "8" ] ] }, "page" : "252-254", "title" : "The American Society for Gastrointestinal Endoscopy PIVI (Preservation and Incorporation of Valuable Endoscopic Innovations) on imaging in Barrett's Esophagus", "type" : "article-journal", "volume" : "76" }, "uris" : [ "http://www.mendeley.com/documents/?uuid=22ab57d8-0315-4478-a148-9798c6362407" ] } ], "mendeley" : { "formattedCitation" : "&lt;sup&gt;[37]&lt;/sup&gt;", "plainTextFormattedCitation" : "[37]", "previouslyFormattedCitation" : "&lt;sup&gt;[37]&lt;/sup&gt;" }, "properties" : { "noteIndex" : 0 }, "schema" : "https://github.com/citation-style-language/schema/raw/master/csl-citation.json" }</w:instrText>
      </w:r>
      <w:r w:rsidR="00CC711E">
        <w:rPr>
          <w:rFonts w:ascii="Book Antiqua" w:hAnsi="Book Antiqua"/>
          <w:lang w:val="en-US"/>
        </w:rPr>
        <w:fldChar w:fldCharType="separate"/>
      </w:r>
      <w:r w:rsidR="00CC711E" w:rsidRPr="00CC711E">
        <w:rPr>
          <w:rFonts w:ascii="Book Antiqua" w:hAnsi="Book Antiqua"/>
          <w:noProof/>
          <w:vertAlign w:val="superscript"/>
          <w:lang w:val="en-US"/>
        </w:rPr>
        <w:t>[37]</w:t>
      </w:r>
      <w:r w:rsidR="00CC711E">
        <w:rPr>
          <w:rFonts w:ascii="Book Antiqua" w:hAnsi="Book Antiqua"/>
          <w:lang w:val="en-US"/>
        </w:rPr>
        <w:fldChar w:fldCharType="end"/>
      </w:r>
      <w:r w:rsidR="00FE0C02">
        <w:rPr>
          <w:rFonts w:ascii="Book Antiqua" w:hAnsi="Book Antiqua"/>
          <w:lang w:val="en-US"/>
        </w:rPr>
        <w:t xml:space="preserve"> (sensitivity</w:t>
      </w:r>
      <w:r w:rsidR="004F39DD">
        <w:rPr>
          <w:rFonts w:ascii="Book Antiqua" w:hAnsi="Book Antiqua" w:hint="eastAsia"/>
          <w:lang w:val="en-US" w:eastAsia="zh-CN"/>
        </w:rPr>
        <w:t xml:space="preserve"> </w:t>
      </w:r>
      <w:r w:rsidR="00FE0C02">
        <w:rPr>
          <w:rFonts w:ascii="Book Antiqua" w:hAnsi="Book Antiqua"/>
          <w:lang w:val="en-US"/>
        </w:rPr>
        <w:t>≥</w:t>
      </w:r>
      <w:r w:rsidR="004F39DD">
        <w:rPr>
          <w:rFonts w:ascii="Book Antiqua" w:hAnsi="Book Antiqua" w:hint="eastAsia"/>
          <w:lang w:val="en-US" w:eastAsia="zh-CN"/>
        </w:rPr>
        <w:t xml:space="preserve"> </w:t>
      </w:r>
      <w:r w:rsidR="00FE0C02">
        <w:rPr>
          <w:rFonts w:ascii="Book Antiqua" w:hAnsi="Book Antiqua"/>
          <w:lang w:val="en-US"/>
        </w:rPr>
        <w:t>90%, NPV</w:t>
      </w:r>
      <w:r w:rsidR="004F39DD">
        <w:rPr>
          <w:rFonts w:ascii="Book Antiqua" w:hAnsi="Book Antiqua" w:hint="eastAsia"/>
          <w:lang w:val="en-US" w:eastAsia="zh-CN"/>
        </w:rPr>
        <w:t xml:space="preserve"> </w:t>
      </w:r>
      <w:r w:rsidR="00FE0C02">
        <w:rPr>
          <w:rFonts w:ascii="Book Antiqua" w:hAnsi="Book Antiqua"/>
          <w:lang w:val="en-US"/>
        </w:rPr>
        <w:t>≥</w:t>
      </w:r>
      <w:r w:rsidR="004F39DD">
        <w:rPr>
          <w:rFonts w:ascii="Book Antiqua" w:hAnsi="Book Antiqua" w:hint="eastAsia"/>
          <w:lang w:val="en-US" w:eastAsia="zh-CN"/>
        </w:rPr>
        <w:t xml:space="preserve"> </w:t>
      </w:r>
      <w:r w:rsidR="00FE0C02">
        <w:rPr>
          <w:rFonts w:ascii="Book Antiqua" w:hAnsi="Book Antiqua"/>
          <w:lang w:val="en-US"/>
        </w:rPr>
        <w:t>98% and specificity</w:t>
      </w:r>
      <w:r w:rsidR="004F39DD">
        <w:rPr>
          <w:rFonts w:ascii="Book Antiqua" w:hAnsi="Book Antiqua" w:hint="eastAsia"/>
          <w:lang w:val="en-US" w:eastAsia="zh-CN"/>
        </w:rPr>
        <w:t xml:space="preserve"> </w:t>
      </w:r>
      <w:r w:rsidR="00FE0C02">
        <w:rPr>
          <w:rFonts w:ascii="Book Antiqua" w:hAnsi="Book Antiqua"/>
          <w:lang w:val="en-US"/>
        </w:rPr>
        <w:t>&gt;</w:t>
      </w:r>
      <w:r w:rsidR="004F39DD">
        <w:rPr>
          <w:rFonts w:ascii="Book Antiqua" w:hAnsi="Book Antiqua" w:hint="eastAsia"/>
          <w:lang w:val="en-US" w:eastAsia="zh-CN"/>
        </w:rPr>
        <w:t xml:space="preserve"> </w:t>
      </w:r>
      <w:r w:rsidR="00FE0C02">
        <w:rPr>
          <w:rFonts w:ascii="Book Antiqua" w:hAnsi="Book Antiqua"/>
          <w:lang w:val="en-US"/>
        </w:rPr>
        <w:t>80%)</w:t>
      </w:r>
      <w:r w:rsidR="00E1626A">
        <w:rPr>
          <w:rFonts w:ascii="Book Antiqua" w:hAnsi="Book Antiqua"/>
          <w:lang w:val="en-US"/>
        </w:rPr>
        <w:t>, reaching these thresholds eliminates the need for random 4QBs.</w:t>
      </w:r>
    </w:p>
    <w:p w14:paraId="59D7B060" w14:textId="08E9DFC1" w:rsidR="00C44987" w:rsidRPr="002075A3" w:rsidRDefault="00C44987"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In the meta-analysis by Coletta </w:t>
      </w:r>
      <w:r w:rsidRPr="004F39DD">
        <w:rPr>
          <w:rFonts w:ascii="Book Antiqua" w:hAnsi="Book Antiqua"/>
          <w:i/>
          <w:lang w:val="en-US"/>
        </w:rPr>
        <w:t>et al</w:t>
      </w:r>
      <w:r w:rsidR="00411D76">
        <w:rPr>
          <w:rFonts w:ascii="Book Antiqua" w:hAnsi="Book Antiqua"/>
          <w:lang w:val="en-US"/>
        </w:rPr>
        <w:fldChar w:fldCharType="begin" w:fldLock="1"/>
      </w:r>
      <w:r w:rsidR="00CC711E">
        <w:rPr>
          <w:rFonts w:ascii="Book Antiqua" w:hAnsi="Book Antiqua"/>
          <w:lang w:val="en-US"/>
        </w:rPr>
        <w:instrText>ADDIN CSL_CITATION { "citationItems" : [ { "id" : "ITEM-1", "itemData" : { "DOI" : "10.1016/j.gie.2015.07.023", "ISSN" : "10976779", "PMID" : "26371851", "abstract" : "Background and Aims Barrett's esophagus (BE) surveillance with random biopsies is time-consuming, invasive, and can lead to sampling error. Acetic acid chromoendoscopy (AAC) with targeted biopsies has been proposed as an effective alternative. The aim of this study was to assess the diagnostic accuracy of AAC for the detection of early neoplasia (high-grade dysplasia [HGD] or early cancer [EC]) and specialized intestinal metaplasia (SIM) in patients with BE. Methods We performed a meta-analysis of all primary studies that compared AAC-based diagnoses (index test) with histopathology as the reference standard. The data were extracted on a per-patient, per-area, and per-procedure basis whenever available. Results Thirteen prospective studies met the inclusion criteria. For the diagnosis of HGD/EC, the pooled sensitivity, specificity, positive likelihood ratio (LR+), and negative likelihood ratio (LR-) for all included studies (9 studies, 1379 patients) were 0.92 (95% confidence interval [CI], 0.83-0.97), 0.96 (95% CI, 0.85-0.99), 25.0 (95% CI, 5.9-105.3), and 0.08 (95% CI, 0.04-0.18), respectively. Results were not significantly different when considering only studies with a per-patient analysis. For the characterization of SIM, the pooled sensitivity, specificity, LR+, and LR- for all the included studies (8 studies, 516 patients) were 0.96 (95% CI, 0.83-0.99), 0.69 (95% CI, 0.54-0.81), 3.0 (95% CI, 2.0-4.7), and 0.06 (95% CI, 0.01-0.26), respectively. No significant sources of heterogeneity were identified on subgroup analysis. Conclusion AAC has an overall high diagnostic accuracy for detecting HGD/EC in patients with BE. For SIM characterization, AAC sensitivity is very high but has poor specificity, suggesting that histological confirmation is necessary when AAC is positive.", "author" : [ { "dropping-particle" : "", "family" : "Coletta", "given" : "Marina", "non-dropping-particle" : "", "parse-names" : false, "suffix" : "" }, { "dropping-particle" : "", "family" : "Sami", "given" : "Sarmed S.", "non-dropping-particle" : "", "parse-names" : false, "suffix" : "" }, { "dropping-particle" : "", "family" : "Nachiappan", "given" : "Arun", "non-dropping-particle" : "", "parse-names" : false, "suffix" : "" }, { "dropping-particle" : "", "family" : "Fraquelli", "given" : "Mirella", "non-dropping-particle" : "", "parse-names" : false, "suffix" : "" }, { "dropping-particle" : "", "family" : "Casazza", "given" : "Giovanni", "non-dropping-particle" : "", "parse-names" : false, "suffix" : "" }, { "dropping-particle" : "", "family" : "Ragunath", "given" : "Krish", "non-dropping-particle" : "", "parse-names" : false, "suffix" : "" } ], "container-title" : "Gastrointestinal Endoscopy", "id" : "ITEM-1", "issue" : "1", "issued" : { "date-parts" : [ [ "2016" ] ] }, "page" : "57-67", "publisher" : "Elsevier, Inc.", "title" : "Acetic acid chromoendoscopy for the diagnosis of early neoplasia and specialized intestinal metaplasia in Barrett's esophagus: A meta-analysis", "type" : "article-journal", "volume" : "83" }, "uris" : [ "http://www.mendeley.com/documents/?uuid=06245e75-29a4-4fbb-8e3f-94a9465a9a85" ] } ], "mendeley" : { "formattedCitation" : "&lt;sup&gt;[28]&lt;/sup&gt;", "plainTextFormattedCitation" : "[28]", "previouslyFormattedCitation" : "&lt;sup&gt;[28]&lt;/sup&gt;" }, "properties" : { "noteIndex" : 0 }, "schema" : "https://github.com/citation-style-language/schema/raw/master/csl-citation.json" }</w:instrText>
      </w:r>
      <w:r w:rsidR="00411D76">
        <w:rPr>
          <w:rFonts w:ascii="Book Antiqua" w:hAnsi="Book Antiqua"/>
          <w:lang w:val="en-US"/>
        </w:rPr>
        <w:fldChar w:fldCharType="separate"/>
      </w:r>
      <w:r w:rsidR="00411D76" w:rsidRPr="00411D76">
        <w:rPr>
          <w:rFonts w:ascii="Book Antiqua" w:hAnsi="Book Antiqua"/>
          <w:noProof/>
          <w:vertAlign w:val="superscript"/>
          <w:lang w:val="en-US"/>
        </w:rPr>
        <w:t>[28]</w:t>
      </w:r>
      <w:r w:rsidR="00411D76">
        <w:rPr>
          <w:rFonts w:ascii="Book Antiqua" w:hAnsi="Book Antiqua"/>
          <w:lang w:val="en-US"/>
        </w:rPr>
        <w:fldChar w:fldCharType="end"/>
      </w:r>
      <w:r w:rsidRPr="002075A3">
        <w:rPr>
          <w:rFonts w:ascii="Book Antiqua" w:hAnsi="Book Antiqua"/>
          <w:lang w:val="en-US"/>
        </w:rPr>
        <w:t xml:space="preserve">, 9 studies (1379 patients) looked at </w:t>
      </w:r>
      <w:r w:rsidR="00BE7AA3" w:rsidRPr="002075A3">
        <w:rPr>
          <w:rFonts w:ascii="Book Antiqua" w:hAnsi="Book Antiqua"/>
          <w:lang w:val="en-US"/>
        </w:rPr>
        <w:t>AA</w:t>
      </w:r>
      <w:r w:rsidR="0012309F" w:rsidRPr="002075A3">
        <w:rPr>
          <w:rFonts w:ascii="Book Antiqua" w:hAnsi="Book Antiqua"/>
          <w:lang w:val="en-US"/>
        </w:rPr>
        <w:t>C</w:t>
      </w:r>
      <w:r w:rsidRPr="002075A3">
        <w:rPr>
          <w:rFonts w:ascii="Book Antiqua" w:hAnsi="Book Antiqua"/>
          <w:lang w:val="en-US"/>
        </w:rPr>
        <w:t xml:space="preserve"> for the diagnosis of HGD/</w:t>
      </w:r>
      <w:r w:rsidR="00D819FD" w:rsidRPr="002075A3">
        <w:rPr>
          <w:rFonts w:ascii="Book Antiqua" w:hAnsi="Book Antiqua"/>
          <w:lang w:val="en-US"/>
        </w:rPr>
        <w:t>EAC</w:t>
      </w:r>
      <w:r w:rsidRPr="002075A3">
        <w:rPr>
          <w:rFonts w:ascii="Book Antiqua" w:hAnsi="Book Antiqua"/>
          <w:lang w:val="en-US"/>
        </w:rPr>
        <w:t>. The pooled sensitivity, spec</w:t>
      </w:r>
      <w:r w:rsidR="004F39DD">
        <w:rPr>
          <w:rFonts w:ascii="Book Antiqua" w:hAnsi="Book Antiqua"/>
          <w:lang w:val="en-US"/>
        </w:rPr>
        <w:t>ificity, LR+, LR- was 0.92 (95%</w:t>
      </w:r>
      <w:r w:rsidRPr="002075A3">
        <w:rPr>
          <w:rFonts w:ascii="Book Antiqua" w:hAnsi="Book Antiqua"/>
          <w:lang w:val="en-US"/>
        </w:rPr>
        <w:t>CI</w:t>
      </w:r>
      <w:r w:rsidR="004F39DD">
        <w:rPr>
          <w:rFonts w:ascii="Book Antiqua" w:hAnsi="Book Antiqua" w:hint="eastAsia"/>
          <w:lang w:val="en-US" w:eastAsia="zh-CN"/>
        </w:rPr>
        <w:t>:</w:t>
      </w:r>
      <w:r w:rsidRPr="002075A3">
        <w:rPr>
          <w:rFonts w:ascii="Book Antiqua" w:hAnsi="Book Antiqua"/>
          <w:lang w:val="en-US"/>
        </w:rPr>
        <w:t xml:space="preserve"> 0.83-0.97), 0.96 (</w:t>
      </w:r>
      <w:r w:rsidR="004F39DD">
        <w:rPr>
          <w:rFonts w:ascii="Book Antiqua" w:hAnsi="Book Antiqua"/>
          <w:lang w:val="en-US"/>
        </w:rPr>
        <w:t>95%</w:t>
      </w:r>
      <w:r w:rsidR="004F39DD" w:rsidRPr="002075A3">
        <w:rPr>
          <w:rFonts w:ascii="Book Antiqua" w:hAnsi="Book Antiqua"/>
          <w:lang w:val="en-US"/>
        </w:rPr>
        <w:t>CI</w:t>
      </w:r>
      <w:r w:rsidR="004F39DD">
        <w:rPr>
          <w:rFonts w:ascii="Book Antiqua" w:hAnsi="Book Antiqua" w:hint="eastAsia"/>
          <w:lang w:val="en-US" w:eastAsia="zh-CN"/>
        </w:rPr>
        <w:t>:</w:t>
      </w:r>
      <w:r w:rsidRPr="002075A3">
        <w:rPr>
          <w:rFonts w:ascii="Book Antiqua" w:hAnsi="Book Antiqua"/>
          <w:lang w:val="en-US"/>
        </w:rPr>
        <w:t xml:space="preserve"> 0.85-0.99), 25.0(</w:t>
      </w:r>
      <w:r w:rsidR="004F39DD">
        <w:rPr>
          <w:rFonts w:ascii="Book Antiqua" w:hAnsi="Book Antiqua"/>
          <w:lang w:val="en-US"/>
        </w:rPr>
        <w:t>95%</w:t>
      </w:r>
      <w:r w:rsidR="004F39DD" w:rsidRPr="002075A3">
        <w:rPr>
          <w:rFonts w:ascii="Book Antiqua" w:hAnsi="Book Antiqua"/>
          <w:lang w:val="en-US"/>
        </w:rPr>
        <w:t>CI</w:t>
      </w:r>
      <w:r w:rsidR="004F39DD">
        <w:rPr>
          <w:rFonts w:ascii="Book Antiqua" w:hAnsi="Book Antiqua" w:hint="eastAsia"/>
          <w:lang w:val="en-US" w:eastAsia="zh-CN"/>
        </w:rPr>
        <w:t>:</w:t>
      </w:r>
      <w:r w:rsidRPr="002075A3">
        <w:rPr>
          <w:rFonts w:ascii="Book Antiqua" w:hAnsi="Book Antiqua"/>
          <w:lang w:val="en-US"/>
        </w:rPr>
        <w:t xml:space="preserve"> 5.9-105.3) and 0.08 (</w:t>
      </w:r>
      <w:r w:rsidR="004F39DD">
        <w:rPr>
          <w:rFonts w:ascii="Book Antiqua" w:hAnsi="Book Antiqua"/>
          <w:lang w:val="en-US"/>
        </w:rPr>
        <w:t>95%</w:t>
      </w:r>
      <w:r w:rsidR="004F39DD" w:rsidRPr="002075A3">
        <w:rPr>
          <w:rFonts w:ascii="Book Antiqua" w:hAnsi="Book Antiqua"/>
          <w:lang w:val="en-US"/>
        </w:rPr>
        <w:t>CI</w:t>
      </w:r>
      <w:r w:rsidR="004F39DD">
        <w:rPr>
          <w:rFonts w:ascii="Book Antiqua" w:hAnsi="Book Antiqua" w:hint="eastAsia"/>
          <w:lang w:val="en-US" w:eastAsia="zh-CN"/>
        </w:rPr>
        <w:t>:</w:t>
      </w:r>
      <w:r w:rsidRPr="002075A3">
        <w:rPr>
          <w:rFonts w:ascii="Book Antiqua" w:hAnsi="Book Antiqua"/>
          <w:lang w:val="en-US"/>
        </w:rPr>
        <w:t xml:space="preserve"> 0.04-0.18), respectively. Subgroup analysis did not identify significant sources of heterogeneity. The results highlight</w:t>
      </w:r>
      <w:r w:rsidR="00FE0C02">
        <w:rPr>
          <w:rFonts w:ascii="Book Antiqua" w:hAnsi="Book Antiqua"/>
          <w:lang w:val="en-US"/>
        </w:rPr>
        <w:t>,</w:t>
      </w:r>
      <w:r w:rsidRPr="002075A3">
        <w:rPr>
          <w:rFonts w:ascii="Book Antiqua" w:hAnsi="Book Antiqua"/>
          <w:lang w:val="en-US"/>
        </w:rPr>
        <w:t xml:space="preserve"> high sensitivity </w:t>
      </w:r>
      <w:r w:rsidR="00E94364" w:rsidRPr="002075A3">
        <w:rPr>
          <w:rFonts w:ascii="Book Antiqua" w:hAnsi="Book Antiqua"/>
          <w:lang w:val="en-US"/>
        </w:rPr>
        <w:t>92%</w:t>
      </w:r>
      <w:r w:rsidRPr="002075A3">
        <w:rPr>
          <w:rFonts w:ascii="Book Antiqua" w:hAnsi="Book Antiqua"/>
          <w:lang w:val="en-US"/>
        </w:rPr>
        <w:t xml:space="preserve"> and specificity</w:t>
      </w:r>
      <w:r w:rsidR="00E94364" w:rsidRPr="002075A3">
        <w:rPr>
          <w:rFonts w:ascii="Book Antiqua" w:hAnsi="Book Antiqua"/>
          <w:lang w:val="en-US"/>
        </w:rPr>
        <w:t xml:space="preserve"> 96%</w:t>
      </w:r>
      <w:r w:rsidRPr="002075A3">
        <w:rPr>
          <w:rFonts w:ascii="Book Antiqua" w:hAnsi="Book Antiqua"/>
          <w:lang w:val="en-US"/>
        </w:rPr>
        <w:t xml:space="preserve"> </w:t>
      </w:r>
      <w:r w:rsidR="0012309F" w:rsidRPr="002075A3">
        <w:rPr>
          <w:rFonts w:ascii="Book Antiqua" w:hAnsi="Book Antiqua"/>
          <w:lang w:val="en-US"/>
        </w:rPr>
        <w:t>for</w:t>
      </w:r>
      <w:r w:rsidRPr="002075A3">
        <w:rPr>
          <w:rFonts w:ascii="Book Antiqua" w:hAnsi="Book Antiqua"/>
          <w:lang w:val="en-US"/>
        </w:rPr>
        <w:t xml:space="preserve"> </w:t>
      </w:r>
      <w:r w:rsidR="00BE7AA3" w:rsidRPr="002075A3">
        <w:rPr>
          <w:rFonts w:ascii="Book Antiqua" w:hAnsi="Book Antiqua"/>
          <w:lang w:val="en-US"/>
        </w:rPr>
        <w:t>AA</w:t>
      </w:r>
      <w:r w:rsidR="0012309F" w:rsidRPr="002075A3">
        <w:rPr>
          <w:rFonts w:ascii="Book Antiqua" w:hAnsi="Book Antiqua"/>
          <w:lang w:val="en-US"/>
        </w:rPr>
        <w:t xml:space="preserve">C </w:t>
      </w:r>
      <w:r w:rsidRPr="002075A3">
        <w:rPr>
          <w:rFonts w:ascii="Book Antiqua" w:hAnsi="Book Antiqua"/>
          <w:lang w:val="en-US"/>
        </w:rPr>
        <w:t>in the diagnosis of HGD/</w:t>
      </w:r>
      <w:r w:rsidR="00D819FD" w:rsidRPr="002075A3">
        <w:rPr>
          <w:rFonts w:ascii="Book Antiqua" w:hAnsi="Book Antiqua"/>
          <w:lang w:val="en-US"/>
        </w:rPr>
        <w:t>EAC</w:t>
      </w:r>
      <w:r w:rsidRPr="002075A3">
        <w:rPr>
          <w:rFonts w:ascii="Book Antiqua" w:hAnsi="Book Antiqua"/>
          <w:lang w:val="en-US"/>
        </w:rPr>
        <w:t xml:space="preserve">. </w:t>
      </w:r>
    </w:p>
    <w:p w14:paraId="33EFC4D4" w14:textId="77777777" w:rsidR="00A67829" w:rsidRPr="002075A3" w:rsidRDefault="00A67829" w:rsidP="00E46EEA">
      <w:pPr>
        <w:spacing w:line="360" w:lineRule="auto"/>
        <w:jc w:val="both"/>
        <w:rPr>
          <w:rFonts w:ascii="Book Antiqua" w:hAnsi="Book Antiqua"/>
          <w:lang w:val="en-US"/>
        </w:rPr>
      </w:pPr>
    </w:p>
    <w:p w14:paraId="686E77F5" w14:textId="0F399A80" w:rsidR="00FE0C02" w:rsidRPr="004F39DD" w:rsidRDefault="00F04AF6" w:rsidP="00E46EEA">
      <w:pPr>
        <w:spacing w:line="360" w:lineRule="auto"/>
        <w:jc w:val="both"/>
        <w:outlineLvl w:val="0"/>
        <w:rPr>
          <w:rFonts w:ascii="Book Antiqua" w:hAnsi="Book Antiqua"/>
          <w:lang w:val="en-US" w:eastAsia="zh-CN"/>
        </w:rPr>
      </w:pPr>
      <w:r w:rsidRPr="00F04AF6">
        <w:rPr>
          <w:rFonts w:ascii="Book Antiqua" w:hAnsi="Book Antiqua"/>
          <w:b/>
          <w:lang w:val="en-US"/>
        </w:rPr>
        <w:t>ACETIC ACID IN THE SURVEILLANCE POPULATION</w:t>
      </w:r>
    </w:p>
    <w:p w14:paraId="26BD1FB4" w14:textId="1505690D" w:rsidR="009B5732" w:rsidRPr="002075A3" w:rsidRDefault="00724A86" w:rsidP="00E46EEA">
      <w:pPr>
        <w:spacing w:line="360" w:lineRule="auto"/>
        <w:jc w:val="both"/>
        <w:rPr>
          <w:rFonts w:ascii="Book Antiqua" w:hAnsi="Book Antiqua"/>
          <w:lang w:val="en-US"/>
        </w:rPr>
      </w:pPr>
      <w:r w:rsidRPr="002075A3">
        <w:rPr>
          <w:rFonts w:ascii="Book Antiqua" w:hAnsi="Book Antiqua"/>
          <w:lang w:val="en-US"/>
        </w:rPr>
        <w:t xml:space="preserve">The advent of advanced endoscopic imaging technologies such as NBI, FICE and i-scan </w:t>
      </w:r>
      <w:r w:rsidR="00907B3C" w:rsidRPr="002075A3">
        <w:rPr>
          <w:rFonts w:ascii="Book Antiqua" w:hAnsi="Book Antiqua"/>
          <w:lang w:val="en-US"/>
        </w:rPr>
        <w:t xml:space="preserve">have improved the identification and </w:t>
      </w:r>
      <w:r w:rsidR="00C11447" w:rsidRPr="002075A3">
        <w:rPr>
          <w:rFonts w:ascii="Book Antiqua" w:hAnsi="Book Antiqua"/>
          <w:lang w:val="en-US"/>
        </w:rPr>
        <w:t>characterization</w:t>
      </w:r>
      <w:r w:rsidR="00907B3C" w:rsidRPr="002075A3">
        <w:rPr>
          <w:rFonts w:ascii="Book Antiqua" w:hAnsi="Book Antiqua"/>
          <w:lang w:val="en-US"/>
        </w:rPr>
        <w:t xml:space="preserve"> of neoplastic lesions, but these technologies </w:t>
      </w:r>
      <w:r w:rsidR="00E94364" w:rsidRPr="002075A3">
        <w:rPr>
          <w:rFonts w:ascii="Book Antiqua" w:hAnsi="Book Antiqua"/>
          <w:lang w:val="en-US"/>
        </w:rPr>
        <w:t xml:space="preserve">require significant financial investment. </w:t>
      </w:r>
      <w:r w:rsidR="0089530B" w:rsidRPr="002075A3">
        <w:rPr>
          <w:rFonts w:ascii="Book Antiqua" w:hAnsi="Book Antiqua"/>
          <w:lang w:val="en-US"/>
        </w:rPr>
        <w:t>Therefore</w:t>
      </w:r>
      <w:r w:rsidR="009B5732" w:rsidRPr="002075A3">
        <w:rPr>
          <w:rFonts w:ascii="Book Antiqua" w:hAnsi="Book Antiqua"/>
          <w:lang w:val="en-US"/>
        </w:rPr>
        <w:t>,</w:t>
      </w:r>
      <w:r w:rsidR="0089530B" w:rsidRPr="002075A3">
        <w:rPr>
          <w:rFonts w:ascii="Book Antiqua" w:hAnsi="Book Antiqua"/>
          <w:lang w:val="en-US"/>
        </w:rPr>
        <w:t xml:space="preserve"> the role of </w:t>
      </w:r>
      <w:r w:rsidR="00BE7AA3" w:rsidRPr="002075A3">
        <w:rPr>
          <w:rFonts w:ascii="Book Antiqua" w:hAnsi="Book Antiqua"/>
          <w:lang w:val="en-US"/>
        </w:rPr>
        <w:t>AA</w:t>
      </w:r>
      <w:r w:rsidR="0089530B" w:rsidRPr="002075A3">
        <w:rPr>
          <w:rFonts w:ascii="Book Antiqua" w:hAnsi="Book Antiqua"/>
          <w:lang w:val="en-US"/>
        </w:rPr>
        <w:t xml:space="preserve"> in the surveillance population is of great interest as a potentially cost</w:t>
      </w:r>
      <w:r w:rsidR="00E94364" w:rsidRPr="002075A3">
        <w:rPr>
          <w:rFonts w:ascii="Book Antiqua" w:hAnsi="Book Antiqua"/>
          <w:lang w:val="en-US"/>
        </w:rPr>
        <w:t>-</w:t>
      </w:r>
      <w:r w:rsidR="0012309F" w:rsidRPr="002075A3">
        <w:rPr>
          <w:rFonts w:ascii="Book Antiqua" w:hAnsi="Book Antiqua"/>
          <w:lang w:val="en-US"/>
        </w:rPr>
        <w:t xml:space="preserve">effective, </w:t>
      </w:r>
      <w:r w:rsidR="0089530B" w:rsidRPr="002075A3">
        <w:rPr>
          <w:rFonts w:ascii="Book Antiqua" w:hAnsi="Book Antiqua"/>
          <w:lang w:val="en-US"/>
        </w:rPr>
        <w:t>accurate</w:t>
      </w:r>
      <w:r w:rsidR="0012309F" w:rsidRPr="002075A3">
        <w:rPr>
          <w:rFonts w:ascii="Book Antiqua" w:hAnsi="Book Antiqua"/>
          <w:lang w:val="en-US"/>
        </w:rPr>
        <w:t xml:space="preserve"> and non-proprietary</w:t>
      </w:r>
      <w:r w:rsidR="0089530B" w:rsidRPr="002075A3">
        <w:rPr>
          <w:rFonts w:ascii="Book Antiqua" w:hAnsi="Book Antiqua"/>
          <w:lang w:val="en-US"/>
        </w:rPr>
        <w:t xml:space="preserve"> tool for improving dysplasia</w:t>
      </w:r>
      <w:r w:rsidR="0012309F" w:rsidRPr="002075A3">
        <w:rPr>
          <w:rFonts w:ascii="Book Antiqua" w:hAnsi="Book Antiqua"/>
          <w:lang w:val="en-US"/>
        </w:rPr>
        <w:t xml:space="preserve"> detection</w:t>
      </w:r>
      <w:r w:rsidR="00E94364" w:rsidRPr="002075A3">
        <w:rPr>
          <w:rFonts w:ascii="Book Antiqua" w:hAnsi="Book Antiqua"/>
          <w:lang w:val="en-US"/>
        </w:rPr>
        <w:t>.</w:t>
      </w:r>
    </w:p>
    <w:p w14:paraId="2BDF133D" w14:textId="77777777" w:rsidR="00FE0C02" w:rsidRPr="004F39DD" w:rsidRDefault="00FE0C02" w:rsidP="00E46EEA">
      <w:pPr>
        <w:spacing w:line="360" w:lineRule="auto"/>
        <w:jc w:val="both"/>
        <w:rPr>
          <w:rFonts w:ascii="Book Antiqua" w:hAnsi="Book Antiqua"/>
          <w:i/>
          <w:lang w:val="en-US"/>
        </w:rPr>
      </w:pPr>
    </w:p>
    <w:p w14:paraId="0497D1F0" w14:textId="179C24E8" w:rsidR="00FE0C02" w:rsidRPr="004F39DD" w:rsidRDefault="00FE0C02" w:rsidP="00E46EEA">
      <w:pPr>
        <w:spacing w:line="360" w:lineRule="auto"/>
        <w:jc w:val="both"/>
        <w:rPr>
          <w:rFonts w:ascii="Book Antiqua" w:hAnsi="Book Antiqua"/>
          <w:b/>
          <w:i/>
          <w:lang w:val="en-US" w:eastAsia="zh-CN"/>
        </w:rPr>
      </w:pPr>
      <w:r w:rsidRPr="004F39DD">
        <w:rPr>
          <w:rFonts w:ascii="Book Antiqua" w:hAnsi="Book Antiqua"/>
          <w:b/>
          <w:i/>
          <w:lang w:val="en-US"/>
        </w:rPr>
        <w:t xml:space="preserve">Cost-effectiveness of </w:t>
      </w:r>
      <w:r w:rsidR="004F39DD" w:rsidRPr="004F39DD">
        <w:rPr>
          <w:rFonts w:ascii="Book Antiqua" w:hAnsi="Book Antiqua"/>
          <w:b/>
          <w:i/>
          <w:lang w:val="en-US"/>
        </w:rPr>
        <w:t>acetic acid targeted biopsy protocols</w:t>
      </w:r>
    </w:p>
    <w:p w14:paraId="1BDA5058" w14:textId="4D411E80" w:rsidR="00FE0C02" w:rsidRDefault="00FE0C02" w:rsidP="00E46EEA">
      <w:pPr>
        <w:spacing w:line="360" w:lineRule="auto"/>
        <w:jc w:val="both"/>
        <w:rPr>
          <w:rFonts w:ascii="Book Antiqua" w:hAnsi="Book Antiqua"/>
          <w:lang w:val="en-US"/>
        </w:rPr>
      </w:pPr>
      <w:r>
        <w:rPr>
          <w:rFonts w:ascii="Book Antiqua" w:hAnsi="Book Antiqua"/>
          <w:lang w:val="en-US"/>
        </w:rPr>
        <w:t>In 2010 the Wiesbaden group published a much larger AAC series</w:t>
      </w:r>
      <w:r w:rsidR="00CC711E">
        <w:rPr>
          <w:rFonts w:ascii="Book Antiqua" w:hAnsi="Book Antiqua"/>
          <w:lang w:val="en-US"/>
        </w:rPr>
        <w:fldChar w:fldCharType="begin" w:fldLock="1"/>
      </w:r>
      <w:r w:rsidR="00CC711E">
        <w:rPr>
          <w:rFonts w:ascii="Book Antiqua" w:hAnsi="Book Antiqua"/>
          <w:lang w:val="en-US"/>
        </w:rPr>
        <w:instrText>ADDIN CSL_CITATION { "citationItems" : [ { "id" : "ITEM-1", "itemData" : { "DOI" : "10.1038/ajg.2010.280", "ISBN" : "0002-9270", "ISSN" : "1572-0241", "PMID" : "20664531", "abstract" : "The gold standard for endoscopic surveillance of Barrett's esophagus (BE) includes targeted biopsies (TBs) from abnormalities as well as stepwise four-quadrant biopsies (4QBs) for detection of invisible high-grade intraepithelial neoplasias (HGINs) or early carcinomas (ECs). In a large mixed BE population, we investigated the rate of HGINs/ECs that are macroscopically occult to enhanced visualization with high-resolution endoscopy plus acetic acid chromoendoscopy.", "author" : [ { "dropping-particle" : "", "family" : "Pohl", "given" : "Juergen", "non-dropping-particle" : "", "parse-names" : false, "suffix" : "" }, { "dropping-particle" : "", "family" : "Pech", "given" : "Oliver", "non-dropping-particle" : "", "parse-names" : false, "suffix" : "" }, { "dropping-particle" : "", "family" : "May", "given" : "Andrea", "non-dropping-particle" : "", "parse-names" : false, "suffix" : "" }, { "dropping-particle" : "", "family" : "Manner", "given" : "Hendrik", "non-dropping-particle" : "", "parse-names" : false, "suffix" : "" }, { "dropping-particle" : "", "family" : "Fissler-Eckhoff", "given" : "Annette", "non-dropping-particle" : "", "parse-names" : false, "suffix" : "" }, { "dropping-particle" : "", "family" : "Ell", "given" : "Christian", "non-dropping-particle" : "", "parse-names" : false, "suffix" : "" } ], "container-title" : "The American journal of gastroenterology", "id" : "ITEM-1", "issue" : "11", "issued" : { "date-parts" : [ [ "2010" ] ] }, "page" : "2350-2356", "publisher" : "Nature Publishing Group", "title" : "Incidence of macroscopically occult neoplasias in Barrett's esophagus: are random biopsies dispensable in the era of advanced endoscopic imaging?", "type" : "article-journal", "volume" : "105" }, "uris" : [ "http://www.mendeley.com/documents/?uuid=0cd4c344-a7b5-4d13-a221-88b7a2aeb6f5" ] } ], "mendeley" : { "formattedCitation" : "&lt;sup&gt;[38]&lt;/sup&gt;", "plainTextFormattedCitation" : "[38]", "previouslyFormattedCitation" : "&lt;sup&gt;[38]&lt;/sup&gt;" }, "properties" : { "noteIndex" : 0 }, "schema" : "https://github.com/citation-style-language/schema/raw/master/csl-citation.json" }</w:instrText>
      </w:r>
      <w:r w:rsidR="00CC711E">
        <w:rPr>
          <w:rFonts w:ascii="Book Antiqua" w:hAnsi="Book Antiqua"/>
          <w:lang w:val="en-US"/>
        </w:rPr>
        <w:fldChar w:fldCharType="separate"/>
      </w:r>
      <w:r w:rsidR="00CC711E" w:rsidRPr="00CC711E">
        <w:rPr>
          <w:rFonts w:ascii="Book Antiqua" w:hAnsi="Book Antiqua"/>
          <w:noProof/>
          <w:vertAlign w:val="superscript"/>
          <w:lang w:val="en-US"/>
        </w:rPr>
        <w:t>[38]</w:t>
      </w:r>
      <w:r w:rsidR="00CC711E">
        <w:rPr>
          <w:rFonts w:ascii="Book Antiqua" w:hAnsi="Book Antiqua"/>
          <w:lang w:val="en-US"/>
        </w:rPr>
        <w:fldChar w:fldCharType="end"/>
      </w:r>
      <w:r w:rsidRPr="002075A3">
        <w:rPr>
          <w:rFonts w:ascii="Book Antiqua" w:hAnsi="Book Antiqua"/>
          <w:lang w:val="en-US"/>
        </w:rPr>
        <w:t xml:space="preserve">. In their study they enrolled 701 consecutive Barrett’s patients, 406 in a high-risk group (history of Barrett’s neoplasia) and 295 in a low-risk group (no history of neoplasia). Each patient was examined with high-resolution white light followed by 1.5% AAC. Targeted biopsy of visible lesions was performed followed by 4QBS every 1-2cm (unless area already sampled with targeted biopsy). To improve visibility during </w:t>
      </w:r>
      <w:r w:rsidRPr="002075A3">
        <w:rPr>
          <w:rFonts w:ascii="Book Antiqua" w:hAnsi="Book Antiqua"/>
          <w:lang w:val="en-US"/>
        </w:rPr>
        <w:lastRenderedPageBreak/>
        <w:t>4QBS of long segment Barrett’s the dry-biopsy technique</w:t>
      </w:r>
      <w:r w:rsidR="00CC711E">
        <w:rPr>
          <w:rFonts w:ascii="Book Antiqua" w:hAnsi="Book Antiqua"/>
          <w:lang w:val="en-US"/>
        </w:rPr>
        <w:fldChar w:fldCharType="begin" w:fldLock="1"/>
      </w:r>
      <w:r w:rsidR="00CC711E">
        <w:rPr>
          <w:rFonts w:ascii="Book Antiqua" w:hAnsi="Book Antiqua"/>
          <w:lang w:val="en-US"/>
        </w:rPr>
        <w:instrText>ADDIN CSL_CITATION { "citationItems" : [ { "id" : "ITEM-1", "itemData" : { "DOI" : "10.1055/s-2008-1077678", "ISSN" : "0013726X", "PMID" : "18833509", "abstract" : "For surveillance of Barrett's esophagus random stepwise four-quadrant biopsy (4QB) is recommended for detecting macroscopically occult neoplasias. Thorough performance of the systematic protocol is commonly hampered by poor visibility due to oozing from biopsy sites. Topical application of dilute epinephrine may prevent bleeding by vasoconstriction of superficial microvessels and might therefore enable \"dry biopsy\" sampling. The aim of this study was to examine the safety and efficacy of spraying dilute epinephrine for optimal 4QB mapping of Barrett's esophagus.", "author" : [ { "dropping-particle" : "", "family" : "Pohl", "given" : "Juergen", "non-dropping-particle" : "", "parse-names" : false, "suffix" : "" }, { "dropping-particle" : "", "family" : "Nguyen-Tat", "given" : "M.", "non-dropping-particle" : "", "parse-names" : false, "suffix" : "" }, { "dropping-particle" : "", "family" : "Manner", "given" : "H.", "non-dropping-particle" : "", "parse-names" : false, "suffix" : "" }, { "dropping-particle" : "", "family" : "Pech", "given" : "O.", "non-dropping-particle" : "", "parse-names" : false, "suffix" : "" }, { "dropping-particle" : "", "family" : "Weyenberg", "given" : "S. J B", "non-dropping-particle" : "van", "parse-names" : false, "suffix" : "" }, { "dropping-particle" : "", "family" : "Ell", "given" : "C.", "non-dropping-particle" : "", "parse-names" : false, "suffix" : "" } ], "container-title" : "Endoscopy", "id" : "ITEM-1", "issue" : "11", "issued" : { "date-parts" : [ [ "2008" ] ] }, "page" : "883-887", "title" : "\"Dry biopsies\" with spraying of dilute epinephrine optimize biopsy mapping of long segment Barrett's esophagus", "type" : "article-journal", "volume" : "40" }, "uris" : [ "http://www.mendeley.com/documents/?uuid=08f367c4-dae9-45ba-b7c7-6f26702cf42c" ] } ], "mendeley" : { "formattedCitation" : "&lt;sup&gt;[39]&lt;/sup&gt;", "plainTextFormattedCitation" : "[39]", "previouslyFormattedCitation" : "&lt;sup&gt;[39]&lt;/sup&gt;" }, "properties" : { "noteIndex" : 0 }, "schema" : "https://github.com/citation-style-language/schema/raw/master/csl-citation.json" }</w:instrText>
      </w:r>
      <w:r w:rsidR="00CC711E">
        <w:rPr>
          <w:rFonts w:ascii="Book Antiqua" w:hAnsi="Book Antiqua"/>
          <w:lang w:val="en-US"/>
        </w:rPr>
        <w:fldChar w:fldCharType="separate"/>
      </w:r>
      <w:r w:rsidR="00CC711E" w:rsidRPr="00CC711E">
        <w:rPr>
          <w:rFonts w:ascii="Book Antiqua" w:hAnsi="Book Antiqua"/>
          <w:noProof/>
          <w:vertAlign w:val="superscript"/>
          <w:lang w:val="en-US"/>
        </w:rPr>
        <w:t>[39]</w:t>
      </w:r>
      <w:r w:rsidR="00CC711E">
        <w:rPr>
          <w:rFonts w:ascii="Book Antiqua" w:hAnsi="Book Antiqua"/>
          <w:lang w:val="en-US"/>
        </w:rPr>
        <w:fldChar w:fldCharType="end"/>
      </w:r>
      <w:r w:rsidR="004F39DD">
        <w:rPr>
          <w:rFonts w:ascii="Book Antiqua" w:hAnsi="Book Antiqua"/>
          <w:lang w:val="en-US"/>
        </w:rPr>
        <w:t xml:space="preserve"> was employed – spraying 1:20</w:t>
      </w:r>
      <w:r w:rsidRPr="002075A3">
        <w:rPr>
          <w:rFonts w:ascii="Book Antiqua" w:hAnsi="Book Antiqua"/>
          <w:lang w:val="en-US"/>
        </w:rPr>
        <w:t>000 adrenaline onto the Barrett’s segment prior to biopsy. A total of 459 tar</w:t>
      </w:r>
      <w:r w:rsidR="00E46EEA">
        <w:rPr>
          <w:rFonts w:ascii="Book Antiqua" w:hAnsi="Book Antiqua"/>
          <w:lang w:val="en-US"/>
        </w:rPr>
        <w:t>geted biopsies were taken and 5</w:t>
      </w:r>
      <w:r w:rsidRPr="002075A3">
        <w:rPr>
          <w:rFonts w:ascii="Book Antiqua" w:hAnsi="Book Antiqua"/>
          <w:lang w:val="en-US"/>
        </w:rPr>
        <w:t xml:space="preserve">485 </w:t>
      </w:r>
      <w:r w:rsidR="00F82775">
        <w:rPr>
          <w:rFonts w:ascii="Book Antiqua" w:hAnsi="Book Antiqua"/>
          <w:lang w:val="en-US"/>
        </w:rPr>
        <w:t>4QBS</w:t>
      </w:r>
      <w:r w:rsidRPr="002075A3">
        <w:rPr>
          <w:rFonts w:ascii="Book Antiqua" w:hAnsi="Book Antiqua"/>
          <w:lang w:val="en-US"/>
        </w:rPr>
        <w:t xml:space="preserve">. </w:t>
      </w:r>
      <w:r w:rsidR="004F39DD" w:rsidRPr="004F39DD">
        <w:rPr>
          <w:rFonts w:ascii="Book Antiqua" w:hAnsi="Book Antiqua"/>
          <w:lang w:val="en-US"/>
        </w:rPr>
        <w:t>One hundred and thirty-two</w:t>
      </w:r>
      <w:r w:rsidR="004F39DD">
        <w:rPr>
          <w:rFonts w:ascii="Book Antiqua" w:hAnsi="Book Antiqua" w:hint="eastAsia"/>
          <w:lang w:val="en-US" w:eastAsia="zh-CN"/>
        </w:rPr>
        <w:t xml:space="preserve"> </w:t>
      </w:r>
      <w:r w:rsidRPr="002075A3">
        <w:rPr>
          <w:rFonts w:ascii="Book Antiqua" w:hAnsi="Book Antiqua"/>
          <w:lang w:val="en-US"/>
        </w:rPr>
        <w:t xml:space="preserve">early neoplastic lesions (HGD/EAC) were identified in 92 patients. AA was demonstrated to perform with a sensitivity of 96.7% and specificity of 66.5% overall with PPV 30.4% and NPV 99.3%. Only 3 additional patients (3.3%) with neoplasia were identified by 4QBS in the high-risk group. Their data suggested that there was minimal additional yield of 4QBS over AA targeted biopsy for the detection of dysplasia with the mean number of targeted biopsies required to yield one diagnosis </w:t>
      </w:r>
      <w:r w:rsidR="004F39DD">
        <w:rPr>
          <w:rFonts w:ascii="Book Antiqua" w:hAnsi="Book Antiqua"/>
          <w:lang w:val="en-US"/>
        </w:rPr>
        <w:t xml:space="preserve">of neoplasia being 5.2 </w:t>
      </w:r>
      <w:r w:rsidR="00E46EEA" w:rsidRPr="00E46EEA">
        <w:rPr>
          <w:rFonts w:ascii="Book Antiqua" w:hAnsi="Book Antiqua" w:hint="eastAsia"/>
          <w:i/>
          <w:lang w:val="en-US" w:eastAsia="zh-CN"/>
        </w:rPr>
        <w:t>vs</w:t>
      </w:r>
      <w:r w:rsidR="004F39DD">
        <w:rPr>
          <w:rFonts w:ascii="Book Antiqua" w:hAnsi="Book Antiqua"/>
          <w:lang w:val="en-US"/>
        </w:rPr>
        <w:t xml:space="preserve"> 1</w:t>
      </w:r>
      <w:r w:rsidRPr="002075A3">
        <w:rPr>
          <w:rFonts w:ascii="Book Antiqua" w:hAnsi="Book Antiqua"/>
          <w:lang w:val="en-US"/>
        </w:rPr>
        <w:t xml:space="preserve">828 for 4QBS. However, </w:t>
      </w:r>
      <w:r w:rsidR="00E1626A">
        <w:rPr>
          <w:rFonts w:ascii="Book Antiqua" w:hAnsi="Book Antiqua"/>
          <w:lang w:val="en-US"/>
        </w:rPr>
        <w:t xml:space="preserve">all HGD and EAC detected in this series </w:t>
      </w:r>
      <w:r w:rsidR="004F39DD">
        <w:rPr>
          <w:rFonts w:ascii="Book Antiqua" w:hAnsi="Book Antiqua"/>
          <w:lang w:val="en-US"/>
        </w:rPr>
        <w:t>were</w:t>
      </w:r>
      <w:r w:rsidR="00E1626A">
        <w:rPr>
          <w:rFonts w:ascii="Book Antiqua" w:hAnsi="Book Antiqua"/>
          <w:lang w:val="en-US"/>
        </w:rPr>
        <w:t xml:space="preserve"> from the high-risk group</w:t>
      </w:r>
      <w:r w:rsidRPr="002075A3">
        <w:rPr>
          <w:rFonts w:ascii="Book Antiqua" w:hAnsi="Book Antiqua"/>
          <w:lang w:val="en-US"/>
        </w:rPr>
        <w:t>, limiting applicability in the low-risk surveillance population.</w:t>
      </w:r>
    </w:p>
    <w:p w14:paraId="405759D4" w14:textId="67FBFEB6" w:rsidR="00937BAD" w:rsidRPr="002075A3" w:rsidRDefault="00724A86"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Bhandari </w:t>
      </w:r>
      <w:r w:rsidRPr="004F39DD">
        <w:rPr>
          <w:rFonts w:ascii="Book Antiqua" w:hAnsi="Book Antiqua"/>
          <w:i/>
          <w:lang w:val="en-US"/>
        </w:rPr>
        <w:t>et al</w:t>
      </w:r>
      <w:r w:rsidR="00CC711E">
        <w:rPr>
          <w:rFonts w:ascii="Book Antiqua" w:hAnsi="Book Antiqua"/>
          <w:lang w:val="en-US"/>
        </w:rPr>
        <w:fldChar w:fldCharType="begin" w:fldLock="1"/>
      </w:r>
      <w:r w:rsidR="00CC711E">
        <w:rPr>
          <w:rFonts w:ascii="Book Antiqua" w:hAnsi="Book Antiqua"/>
          <w:lang w:val="en-US"/>
        </w:rPr>
        <w:instrText>ADDIN CSL_CITATION { "citationItems" : [ { "id" : "ITEM-1", "itemData" : { "DOI" : "10.1111/j.1442-2050.2011.01267.x", "ISSN" : "11208694", "PMID" : "21981061", "abstract" : "To examine the efficacy and potential cost implications of acetic acid (AA) chromoendoscopy in the assessment of Barrett's neoplasia. Our prospective database of patients referred between 2005 and 2010 with suspected early neoplasia was reviewed. High-resolution Fujinon gastroscopes and EPX-4400 processor were used. Inspection of Barrett's neoplasia was carried out using white light followed by AA. Neoplastic areas were noted, and targeted biopsy was carried out. This was followed by quadrantic biopsies of the remaining Barrett's neoplasia. The cost of protocol-guided biopsies was compared with AA-guided biopsy protocols. Two hundred sixty-three procedures on 197 patients were examined. High-risk neoplasia was found during 143 procedures. In 96% of cases it was identified with AA. The cost of histological evaluation by Cleveland protocol would be \u00a3139,416.30. The cost by AA-targeted biopsy followed by random biopsies in one pot would be \u00a325,032.50. For AA-targeted biopsies alone the cost would be \u00a39,541.8 but results in a 4% miss rate. AA localizes neoplastic lesions in the majority of patients and could potentially represent a significant cost saving in patients with suspected neoplasia.", "author" : [ { "dropping-particle" : "", "family" : "Bhandari", "given" : "P.", "non-dropping-particle" : "", "parse-names" : false, "suffix" : "" }, { "dropping-particle" : "", "family" : "Kandaswamy", "given" : "P.", "non-dropping-particle" : "", "parse-names" : false, "suffix" : "" }, { "dropping-particle" : "", "family" : "Cowlishaw", "given" : "D.", "non-dropping-particle" : "", "parse-names" : false, "suffix" : "" }, { "dropping-particle" : "", "family" : "Longcroft-Wheaton", "given" : "G.", "non-dropping-particle" : "", "parse-names" : false, "suffix" : "" } ], "container-title" : "Diseases of the Esophagus", "id" : "ITEM-1", "issue" : "5", "issued" : { "date-parts" : [ [ "2012" ] ] }, "page" : "386-392", "title" : "Acetic acid-enhanced chromoendoscopy is more cost-effective than protocol-guided biopsies in a high-risk Barrett's population", "type" : "article-journal", "volume" : "25" }, "uris" : [ "http://www.mendeley.com/documents/?uuid=e915222f-338e-431b-9bbb-a7f1f3b5ec0e" ] } ], "mendeley" : { "formattedCitation" : "&lt;sup&gt;[20]&lt;/sup&gt;", "plainTextFormattedCitation" : "[20]", "previouslyFormattedCitation" : "&lt;sup&gt;[20]&lt;/sup&gt;" }, "properties" : { "noteIndex" : 0 }, "schema" : "https://github.com/citation-style-language/schema/raw/master/csl-citation.json" }</w:instrText>
      </w:r>
      <w:r w:rsidR="00CC711E">
        <w:rPr>
          <w:rFonts w:ascii="Book Antiqua" w:hAnsi="Book Antiqua"/>
          <w:lang w:val="en-US"/>
        </w:rPr>
        <w:fldChar w:fldCharType="separate"/>
      </w:r>
      <w:r w:rsidR="00CC711E" w:rsidRPr="00CC711E">
        <w:rPr>
          <w:rFonts w:ascii="Book Antiqua" w:hAnsi="Book Antiqua"/>
          <w:noProof/>
          <w:vertAlign w:val="superscript"/>
          <w:lang w:val="en-US"/>
        </w:rPr>
        <w:t>[20]</w:t>
      </w:r>
      <w:r w:rsidR="00CC711E">
        <w:rPr>
          <w:rFonts w:ascii="Book Antiqua" w:hAnsi="Book Antiqua"/>
          <w:lang w:val="en-US"/>
        </w:rPr>
        <w:fldChar w:fldCharType="end"/>
      </w:r>
      <w:r w:rsidRPr="002075A3">
        <w:rPr>
          <w:rFonts w:ascii="Book Antiqua" w:hAnsi="Book Antiqua"/>
          <w:lang w:val="en-US"/>
        </w:rPr>
        <w:t xml:space="preserve"> conducted a retrospective cohort study </w:t>
      </w:r>
      <w:r w:rsidR="003374D2" w:rsidRPr="002075A3">
        <w:rPr>
          <w:rFonts w:ascii="Book Antiqua" w:hAnsi="Book Antiqua"/>
          <w:lang w:val="en-US"/>
        </w:rPr>
        <w:t xml:space="preserve">of all </w:t>
      </w:r>
      <w:r w:rsidR="00A53B1C" w:rsidRPr="002075A3">
        <w:rPr>
          <w:rFonts w:ascii="Book Antiqua" w:hAnsi="Book Antiqua"/>
          <w:lang w:val="en-US"/>
        </w:rPr>
        <w:t>AAC</w:t>
      </w:r>
      <w:r w:rsidR="003374D2" w:rsidRPr="002075A3">
        <w:rPr>
          <w:rFonts w:ascii="Book Antiqua" w:hAnsi="Book Antiqua"/>
          <w:lang w:val="en-US"/>
        </w:rPr>
        <w:t xml:space="preserve"> procedures </w:t>
      </w:r>
      <w:r w:rsidR="000F1DDC" w:rsidRPr="002075A3">
        <w:rPr>
          <w:rFonts w:ascii="Book Antiqua" w:hAnsi="Book Antiqua"/>
          <w:lang w:val="en-US"/>
        </w:rPr>
        <w:t xml:space="preserve">for </w:t>
      </w:r>
      <w:r w:rsidR="00EE5DB8" w:rsidRPr="002075A3">
        <w:rPr>
          <w:rFonts w:ascii="Book Antiqua" w:hAnsi="Book Antiqua"/>
          <w:lang w:val="en-US"/>
        </w:rPr>
        <w:t>BE</w:t>
      </w:r>
      <w:r w:rsidR="000F1DDC" w:rsidRPr="002075A3">
        <w:rPr>
          <w:rFonts w:ascii="Book Antiqua" w:hAnsi="Book Antiqua"/>
          <w:lang w:val="en-US"/>
        </w:rPr>
        <w:t xml:space="preserve"> </w:t>
      </w:r>
      <w:r w:rsidR="003374D2" w:rsidRPr="002075A3">
        <w:rPr>
          <w:rFonts w:ascii="Book Antiqua" w:hAnsi="Book Antiqua"/>
          <w:lang w:val="en-US"/>
        </w:rPr>
        <w:t xml:space="preserve">performed from 2005-2010 </w:t>
      </w:r>
      <w:r w:rsidRPr="002075A3">
        <w:rPr>
          <w:rFonts w:ascii="Book Antiqua" w:hAnsi="Book Antiqua"/>
          <w:lang w:val="en-US"/>
        </w:rPr>
        <w:t xml:space="preserve">to examine the </w:t>
      </w:r>
      <w:r w:rsidR="003374D2" w:rsidRPr="002075A3">
        <w:rPr>
          <w:rFonts w:ascii="Book Antiqua" w:hAnsi="Book Antiqua"/>
          <w:lang w:val="en-US"/>
        </w:rPr>
        <w:t xml:space="preserve">efficacy and cost implications of this method in the identification of neoplasia. </w:t>
      </w:r>
      <w:r w:rsidR="00367F16" w:rsidRPr="002075A3">
        <w:rPr>
          <w:rFonts w:ascii="Book Antiqua" w:hAnsi="Book Antiqua"/>
          <w:lang w:val="en-US"/>
        </w:rPr>
        <w:t>This study was done in a tertiary</w:t>
      </w:r>
      <w:r w:rsidR="00506380" w:rsidRPr="002075A3">
        <w:rPr>
          <w:rFonts w:ascii="Book Antiqua" w:hAnsi="Book Antiqua"/>
          <w:lang w:val="en-US"/>
        </w:rPr>
        <w:t>-center</w:t>
      </w:r>
      <w:r w:rsidR="00367F16" w:rsidRPr="002075A3">
        <w:rPr>
          <w:rFonts w:ascii="Book Antiqua" w:hAnsi="Book Antiqua"/>
          <w:lang w:val="en-US"/>
        </w:rPr>
        <w:t xml:space="preserve"> with all procedures being performed by a single expert endoscopist. </w:t>
      </w:r>
      <w:r w:rsidR="000F1DDC" w:rsidRPr="002075A3">
        <w:rPr>
          <w:rFonts w:ascii="Book Antiqua" w:hAnsi="Book Antiqua"/>
          <w:lang w:val="en-US"/>
        </w:rPr>
        <w:t>High definition white light endoscopy</w:t>
      </w:r>
      <w:r w:rsidR="00E94364" w:rsidRPr="002075A3">
        <w:rPr>
          <w:rFonts w:ascii="Book Antiqua" w:hAnsi="Book Antiqua"/>
          <w:lang w:val="en-US"/>
        </w:rPr>
        <w:t xml:space="preserve"> (HDWL)</w:t>
      </w:r>
      <w:r w:rsidR="000F1DDC" w:rsidRPr="002075A3">
        <w:rPr>
          <w:rFonts w:ascii="Book Antiqua" w:hAnsi="Book Antiqua"/>
          <w:lang w:val="en-US"/>
        </w:rPr>
        <w:t xml:space="preserve"> was used in all cases prior to 2.5% </w:t>
      </w:r>
      <w:r w:rsidR="00BE7AA3" w:rsidRPr="002075A3">
        <w:rPr>
          <w:rFonts w:ascii="Book Antiqua" w:hAnsi="Book Antiqua"/>
          <w:lang w:val="en-US"/>
        </w:rPr>
        <w:t>AA</w:t>
      </w:r>
      <w:r w:rsidR="0012309F" w:rsidRPr="002075A3">
        <w:rPr>
          <w:rFonts w:ascii="Book Antiqua" w:hAnsi="Book Antiqua"/>
          <w:lang w:val="en-US"/>
        </w:rPr>
        <w:t>C</w:t>
      </w:r>
      <w:r w:rsidR="000F1DDC" w:rsidRPr="002075A3">
        <w:rPr>
          <w:rFonts w:ascii="Book Antiqua" w:hAnsi="Book Antiqua"/>
          <w:lang w:val="en-US"/>
        </w:rPr>
        <w:t xml:space="preserve">. Targeted biopsies of all </w:t>
      </w:r>
      <w:r w:rsidR="00BE7AA3" w:rsidRPr="002075A3">
        <w:rPr>
          <w:rFonts w:ascii="Book Antiqua" w:hAnsi="Book Antiqua"/>
          <w:lang w:val="en-US"/>
        </w:rPr>
        <w:t>AA</w:t>
      </w:r>
      <w:r w:rsidR="00937BAD" w:rsidRPr="002075A3">
        <w:rPr>
          <w:rFonts w:ascii="Book Antiqua" w:hAnsi="Book Antiqua"/>
          <w:lang w:val="en-US"/>
        </w:rPr>
        <w:t>-</w:t>
      </w:r>
      <w:r w:rsidR="000F1DDC" w:rsidRPr="002075A3">
        <w:rPr>
          <w:rFonts w:ascii="Book Antiqua" w:hAnsi="Book Antiqua"/>
          <w:lang w:val="en-US"/>
        </w:rPr>
        <w:t xml:space="preserve">enhanced visible lesions were taken, followed by </w:t>
      </w:r>
      <w:r w:rsidR="00E94364" w:rsidRPr="002075A3">
        <w:rPr>
          <w:rFonts w:ascii="Book Antiqua" w:hAnsi="Book Antiqua"/>
          <w:lang w:val="en-US"/>
        </w:rPr>
        <w:t>4QBS</w:t>
      </w:r>
      <w:r w:rsidR="00937BAD" w:rsidRPr="002075A3">
        <w:rPr>
          <w:rFonts w:ascii="Book Antiqua" w:hAnsi="Book Antiqua"/>
          <w:lang w:val="en-US"/>
        </w:rPr>
        <w:t>.</w:t>
      </w:r>
      <w:r w:rsidR="000F1DDC" w:rsidRPr="002075A3">
        <w:rPr>
          <w:rFonts w:ascii="Book Antiqua" w:hAnsi="Book Antiqua"/>
          <w:lang w:val="en-US"/>
        </w:rPr>
        <w:t xml:space="preserve"> </w:t>
      </w:r>
      <w:r w:rsidR="00937BAD" w:rsidRPr="002075A3">
        <w:rPr>
          <w:rFonts w:ascii="Book Antiqua" w:hAnsi="Book Antiqua"/>
          <w:lang w:val="en-US"/>
        </w:rPr>
        <w:t>197 high-</w:t>
      </w:r>
      <w:r w:rsidR="00367F16" w:rsidRPr="002075A3">
        <w:rPr>
          <w:rFonts w:ascii="Book Antiqua" w:hAnsi="Book Antiqua"/>
          <w:lang w:val="en-US"/>
        </w:rPr>
        <w:t xml:space="preserve">risk patients underwent 263 procedures. Of these, 68 patients were </w:t>
      </w:r>
      <w:r w:rsidR="009B5732" w:rsidRPr="002075A3">
        <w:rPr>
          <w:rFonts w:ascii="Book Antiqua" w:hAnsi="Book Antiqua"/>
          <w:lang w:val="en-US"/>
        </w:rPr>
        <w:t>referred</w:t>
      </w:r>
      <w:r w:rsidR="00367F16" w:rsidRPr="002075A3">
        <w:rPr>
          <w:rFonts w:ascii="Book Antiqua" w:hAnsi="Book Antiqua"/>
          <w:lang w:val="en-US"/>
        </w:rPr>
        <w:t xml:space="preserve"> with non</w:t>
      </w:r>
      <w:r w:rsidR="009B5732" w:rsidRPr="002075A3">
        <w:rPr>
          <w:rFonts w:ascii="Book Antiqua" w:hAnsi="Book Antiqua"/>
          <w:lang w:val="en-US"/>
        </w:rPr>
        <w:t>-</w:t>
      </w:r>
      <w:r w:rsidR="00367F16" w:rsidRPr="002075A3">
        <w:rPr>
          <w:rFonts w:ascii="Book Antiqua" w:hAnsi="Book Antiqua"/>
          <w:lang w:val="en-US"/>
        </w:rPr>
        <w:t xml:space="preserve">visible </w:t>
      </w:r>
      <w:r w:rsidR="008C5F11" w:rsidRPr="002075A3">
        <w:rPr>
          <w:rFonts w:ascii="Book Antiqua" w:hAnsi="Book Antiqua"/>
          <w:lang w:val="en-US"/>
        </w:rPr>
        <w:t>HGD</w:t>
      </w:r>
      <w:r w:rsidR="00367F16" w:rsidRPr="002075A3">
        <w:rPr>
          <w:rFonts w:ascii="Book Antiqua" w:hAnsi="Book Antiqua"/>
          <w:lang w:val="en-US"/>
        </w:rPr>
        <w:t xml:space="preserve"> on random biops</w:t>
      </w:r>
      <w:r w:rsidR="009B5732" w:rsidRPr="002075A3">
        <w:rPr>
          <w:rFonts w:ascii="Book Antiqua" w:hAnsi="Book Antiqua"/>
          <w:lang w:val="en-US"/>
        </w:rPr>
        <w:t>y</w:t>
      </w:r>
      <w:r w:rsidR="00367F16" w:rsidRPr="002075A3">
        <w:rPr>
          <w:rFonts w:ascii="Book Antiqua" w:hAnsi="Book Antiqua"/>
          <w:lang w:val="en-US"/>
        </w:rPr>
        <w:t xml:space="preserve">. </w:t>
      </w:r>
      <w:r w:rsidR="0089530B" w:rsidRPr="002075A3">
        <w:rPr>
          <w:rFonts w:ascii="Book Antiqua" w:hAnsi="Book Antiqua"/>
          <w:lang w:val="en-US"/>
        </w:rPr>
        <w:t>Notably, there was a high proportion of h</w:t>
      </w:r>
      <w:r w:rsidR="00D777D6" w:rsidRPr="002075A3">
        <w:rPr>
          <w:rFonts w:ascii="Book Antiqua" w:hAnsi="Book Antiqua"/>
          <w:lang w:val="en-US"/>
        </w:rPr>
        <w:t>igh</w:t>
      </w:r>
      <w:r w:rsidR="00E94364" w:rsidRPr="002075A3">
        <w:rPr>
          <w:rFonts w:ascii="Book Antiqua" w:hAnsi="Book Antiqua"/>
          <w:lang w:val="en-US"/>
        </w:rPr>
        <w:t>-</w:t>
      </w:r>
      <w:r w:rsidR="00D777D6" w:rsidRPr="002075A3">
        <w:rPr>
          <w:rFonts w:ascii="Book Antiqua" w:hAnsi="Book Antiqua"/>
          <w:lang w:val="en-US"/>
        </w:rPr>
        <w:t>risk neoplasia (</w:t>
      </w:r>
      <w:r w:rsidR="00844446" w:rsidRPr="002075A3">
        <w:rPr>
          <w:rFonts w:ascii="Book Antiqua" w:hAnsi="Book Antiqua"/>
          <w:lang w:val="en-US"/>
        </w:rPr>
        <w:t>HGD</w:t>
      </w:r>
      <w:r w:rsidR="00D777D6" w:rsidRPr="002075A3">
        <w:rPr>
          <w:rFonts w:ascii="Book Antiqua" w:hAnsi="Book Antiqua"/>
          <w:lang w:val="en-US"/>
        </w:rPr>
        <w:t>/</w:t>
      </w:r>
      <w:r w:rsidR="00E94364" w:rsidRPr="002075A3">
        <w:rPr>
          <w:rFonts w:ascii="Book Antiqua" w:hAnsi="Book Antiqua"/>
          <w:lang w:val="en-US"/>
        </w:rPr>
        <w:t>EAC</w:t>
      </w:r>
      <w:r w:rsidR="00D777D6" w:rsidRPr="002075A3">
        <w:rPr>
          <w:rFonts w:ascii="Book Antiqua" w:hAnsi="Book Antiqua"/>
          <w:lang w:val="en-US"/>
        </w:rPr>
        <w:t xml:space="preserve">) </w:t>
      </w:r>
      <w:r w:rsidR="0089530B" w:rsidRPr="002075A3">
        <w:rPr>
          <w:rFonts w:ascii="Book Antiqua" w:hAnsi="Book Antiqua"/>
          <w:lang w:val="en-US"/>
        </w:rPr>
        <w:t>in this cohort of patients (</w:t>
      </w:r>
      <w:r w:rsidR="00D777D6" w:rsidRPr="002075A3">
        <w:rPr>
          <w:rFonts w:ascii="Book Antiqua" w:hAnsi="Book Antiqua"/>
          <w:lang w:val="en-US"/>
        </w:rPr>
        <w:t>143</w:t>
      </w:r>
      <w:r w:rsidR="0089530B" w:rsidRPr="002075A3">
        <w:rPr>
          <w:rFonts w:ascii="Book Antiqua" w:hAnsi="Book Antiqua"/>
          <w:lang w:val="en-US"/>
        </w:rPr>
        <w:t>/263</w:t>
      </w:r>
      <w:r w:rsidR="00D777D6" w:rsidRPr="002075A3">
        <w:rPr>
          <w:rFonts w:ascii="Book Antiqua" w:hAnsi="Book Antiqua"/>
          <w:lang w:val="en-US"/>
        </w:rPr>
        <w:t xml:space="preserve"> procedures</w:t>
      </w:r>
      <w:r w:rsidR="0089530B" w:rsidRPr="002075A3">
        <w:rPr>
          <w:rFonts w:ascii="Book Antiqua" w:hAnsi="Book Antiqua"/>
          <w:lang w:val="en-US"/>
        </w:rPr>
        <w:t xml:space="preserve">; </w:t>
      </w:r>
      <w:r w:rsidR="00D777D6" w:rsidRPr="002075A3">
        <w:rPr>
          <w:rFonts w:ascii="Book Antiqua" w:hAnsi="Book Antiqua"/>
          <w:lang w:val="en-US"/>
        </w:rPr>
        <w:t xml:space="preserve">54.4%). </w:t>
      </w:r>
      <w:r w:rsidR="00245048" w:rsidRPr="002075A3">
        <w:rPr>
          <w:rFonts w:ascii="Book Antiqua" w:hAnsi="Book Antiqua"/>
          <w:lang w:val="en-US"/>
        </w:rPr>
        <w:t xml:space="preserve">There was a twofold increase in neoplasia detection using </w:t>
      </w:r>
      <w:r w:rsidR="00BE7AA3" w:rsidRPr="002075A3">
        <w:rPr>
          <w:rFonts w:ascii="Book Antiqua" w:hAnsi="Book Antiqua"/>
          <w:lang w:val="en-US"/>
        </w:rPr>
        <w:t>AA</w:t>
      </w:r>
      <w:r w:rsidR="00245048" w:rsidRPr="002075A3">
        <w:rPr>
          <w:rFonts w:ascii="Book Antiqua" w:hAnsi="Book Antiqua"/>
          <w:lang w:val="en-US"/>
        </w:rPr>
        <w:t xml:space="preserve"> (96%) </w:t>
      </w:r>
      <w:r w:rsidR="009B5732" w:rsidRPr="002075A3">
        <w:rPr>
          <w:rFonts w:ascii="Book Antiqua" w:hAnsi="Book Antiqua"/>
          <w:lang w:val="en-US"/>
        </w:rPr>
        <w:t xml:space="preserve">as </w:t>
      </w:r>
      <w:r w:rsidR="00245048" w:rsidRPr="002075A3">
        <w:rPr>
          <w:rFonts w:ascii="Book Antiqua" w:hAnsi="Book Antiqua"/>
          <w:lang w:val="en-US"/>
        </w:rPr>
        <w:t xml:space="preserve">compared to </w:t>
      </w:r>
      <w:r w:rsidR="00E94364" w:rsidRPr="002075A3">
        <w:rPr>
          <w:rFonts w:ascii="Book Antiqua" w:hAnsi="Book Antiqua"/>
          <w:lang w:val="en-US"/>
        </w:rPr>
        <w:t>HDWL</w:t>
      </w:r>
      <w:r w:rsidR="00245048" w:rsidRPr="002075A3">
        <w:rPr>
          <w:rFonts w:ascii="Book Antiqua" w:hAnsi="Book Antiqua"/>
          <w:lang w:val="en-US"/>
        </w:rPr>
        <w:t xml:space="preserve"> (48%),</w:t>
      </w:r>
      <w:r w:rsidR="004F39DD" w:rsidRPr="004F39DD">
        <w:rPr>
          <w:rFonts w:ascii="Book Antiqua" w:hAnsi="Book Antiqua"/>
          <w:i/>
          <w:lang w:val="en-US"/>
        </w:rPr>
        <w:t xml:space="preserve"> P</w:t>
      </w:r>
      <w:r w:rsidR="004F39DD">
        <w:rPr>
          <w:rFonts w:ascii="Book Antiqua" w:hAnsi="Book Antiqua" w:hint="eastAsia"/>
          <w:lang w:val="en-US" w:eastAsia="zh-CN"/>
        </w:rPr>
        <w:t xml:space="preserve"> </w:t>
      </w:r>
      <w:r w:rsidR="00245048" w:rsidRPr="002075A3">
        <w:rPr>
          <w:rFonts w:ascii="Book Antiqua" w:hAnsi="Book Antiqua"/>
          <w:lang w:val="en-US"/>
        </w:rPr>
        <w:t>=</w:t>
      </w:r>
      <w:r w:rsidR="004F39DD">
        <w:rPr>
          <w:rFonts w:ascii="Book Antiqua" w:hAnsi="Book Antiqua" w:hint="eastAsia"/>
          <w:lang w:val="en-US" w:eastAsia="zh-CN"/>
        </w:rPr>
        <w:t xml:space="preserve"> </w:t>
      </w:r>
      <w:r w:rsidR="00245048" w:rsidRPr="002075A3">
        <w:rPr>
          <w:rFonts w:ascii="Book Antiqua" w:hAnsi="Book Antiqua"/>
          <w:lang w:val="en-US"/>
        </w:rPr>
        <w:t xml:space="preserve">0.0001. HGD was missed with </w:t>
      </w:r>
      <w:r w:rsidR="00BE7AA3" w:rsidRPr="002075A3">
        <w:rPr>
          <w:rFonts w:ascii="Book Antiqua" w:hAnsi="Book Antiqua"/>
          <w:lang w:val="en-US"/>
        </w:rPr>
        <w:t>AA</w:t>
      </w:r>
      <w:r w:rsidR="00245048" w:rsidRPr="002075A3">
        <w:rPr>
          <w:rFonts w:ascii="Book Antiqua" w:hAnsi="Book Antiqua"/>
          <w:lang w:val="en-US"/>
        </w:rPr>
        <w:t xml:space="preserve"> in 5/98 patients (5.1%) </w:t>
      </w:r>
      <w:r w:rsidR="00CD6370" w:rsidRPr="002075A3">
        <w:rPr>
          <w:rFonts w:ascii="Book Antiqua" w:hAnsi="Book Antiqua"/>
          <w:lang w:val="en-US"/>
        </w:rPr>
        <w:t xml:space="preserve">however, </w:t>
      </w:r>
      <w:r w:rsidR="00245048" w:rsidRPr="002075A3">
        <w:rPr>
          <w:rFonts w:ascii="Book Antiqua" w:hAnsi="Book Antiqua"/>
          <w:lang w:val="en-US"/>
        </w:rPr>
        <w:t>4 of these were in the</w:t>
      </w:r>
      <w:r w:rsidR="00CD6370" w:rsidRPr="002075A3">
        <w:rPr>
          <w:rFonts w:ascii="Book Antiqua" w:hAnsi="Book Antiqua"/>
          <w:lang w:val="en-US"/>
        </w:rPr>
        <w:t xml:space="preserve"> complex,</w:t>
      </w:r>
      <w:r w:rsidR="00245048" w:rsidRPr="002075A3">
        <w:rPr>
          <w:rFonts w:ascii="Book Antiqua" w:hAnsi="Book Antiqua"/>
          <w:lang w:val="en-US"/>
        </w:rPr>
        <w:t xml:space="preserve"> post</w:t>
      </w:r>
      <w:r w:rsidR="009B5732" w:rsidRPr="002075A3">
        <w:rPr>
          <w:rFonts w:ascii="Book Antiqua" w:hAnsi="Book Antiqua"/>
          <w:lang w:val="en-US"/>
        </w:rPr>
        <w:t>-</w:t>
      </w:r>
      <w:r w:rsidR="00245048" w:rsidRPr="002075A3">
        <w:rPr>
          <w:rFonts w:ascii="Book Antiqua" w:hAnsi="Book Antiqua"/>
          <w:lang w:val="en-US"/>
        </w:rPr>
        <w:t xml:space="preserve">EMR follow up group. </w:t>
      </w:r>
    </w:p>
    <w:p w14:paraId="5ACFD187" w14:textId="1F5D5291" w:rsidR="00134FE5" w:rsidRPr="002075A3" w:rsidRDefault="00876B38" w:rsidP="00E46EEA">
      <w:pPr>
        <w:spacing w:line="360" w:lineRule="auto"/>
        <w:ind w:firstLineChars="150" w:firstLine="360"/>
        <w:jc w:val="both"/>
        <w:rPr>
          <w:rFonts w:ascii="Book Antiqua" w:hAnsi="Book Antiqua"/>
          <w:lang w:val="en-US"/>
        </w:rPr>
      </w:pPr>
      <w:r w:rsidRPr="002075A3">
        <w:rPr>
          <w:rFonts w:ascii="Book Antiqua" w:hAnsi="Book Antiqua"/>
          <w:lang w:val="en-US"/>
        </w:rPr>
        <w:t xml:space="preserve">They performed a cost modelling exercise of </w:t>
      </w:r>
      <w:r w:rsidR="00245048" w:rsidRPr="002075A3">
        <w:rPr>
          <w:rFonts w:ascii="Book Antiqua" w:hAnsi="Book Antiqua"/>
          <w:lang w:val="en-US"/>
        </w:rPr>
        <w:t xml:space="preserve">3 alternative biopsy sampling protocols </w:t>
      </w:r>
      <w:r w:rsidR="00937BAD" w:rsidRPr="002075A3">
        <w:rPr>
          <w:rFonts w:ascii="Book Antiqua" w:hAnsi="Book Antiqua"/>
          <w:lang w:val="en-US"/>
        </w:rPr>
        <w:t>incorporating</w:t>
      </w:r>
      <w:r w:rsidR="00245048" w:rsidRPr="002075A3">
        <w:rPr>
          <w:rFonts w:ascii="Book Antiqua" w:hAnsi="Book Antiqua"/>
          <w:lang w:val="en-US"/>
        </w:rPr>
        <w:t xml:space="preserve"> </w:t>
      </w:r>
      <w:r w:rsidR="00BE7AA3" w:rsidRPr="002075A3">
        <w:rPr>
          <w:rFonts w:ascii="Book Antiqua" w:hAnsi="Book Antiqua"/>
          <w:lang w:val="en-US"/>
        </w:rPr>
        <w:t>AA</w:t>
      </w:r>
      <w:r w:rsidR="00937BAD" w:rsidRPr="002075A3">
        <w:rPr>
          <w:rFonts w:ascii="Book Antiqua" w:hAnsi="Book Antiqua"/>
          <w:lang w:val="en-US"/>
        </w:rPr>
        <w:t xml:space="preserve"> </w:t>
      </w:r>
      <w:r w:rsidR="00C6191C" w:rsidRPr="002075A3">
        <w:rPr>
          <w:rFonts w:ascii="Book Antiqua" w:hAnsi="Book Antiqua"/>
          <w:lang w:val="en-US"/>
        </w:rPr>
        <w:t xml:space="preserve">using </w:t>
      </w:r>
      <w:r w:rsidR="0012309F" w:rsidRPr="002075A3">
        <w:rPr>
          <w:rFonts w:ascii="Book Antiqua" w:hAnsi="Book Antiqua"/>
          <w:lang w:val="en-US"/>
        </w:rPr>
        <w:t xml:space="preserve">their </w:t>
      </w:r>
      <w:r w:rsidR="00C6191C" w:rsidRPr="002075A3">
        <w:rPr>
          <w:rFonts w:ascii="Book Antiqua" w:hAnsi="Book Antiqua"/>
          <w:lang w:val="en-US"/>
        </w:rPr>
        <w:t>mean length BE of 4.5cm</w:t>
      </w:r>
      <w:r w:rsidR="00937BAD" w:rsidRPr="002075A3">
        <w:rPr>
          <w:rFonts w:ascii="Book Antiqua" w:hAnsi="Book Antiqua"/>
          <w:lang w:val="en-US"/>
        </w:rPr>
        <w:t xml:space="preserve"> (</w:t>
      </w:r>
      <w:r w:rsidR="0012309F" w:rsidRPr="002075A3">
        <w:rPr>
          <w:rFonts w:ascii="Book Antiqua" w:hAnsi="Book Antiqua"/>
          <w:lang w:val="en-US"/>
        </w:rPr>
        <w:t>T</w:t>
      </w:r>
      <w:r w:rsidR="00937BAD" w:rsidRPr="002075A3">
        <w:rPr>
          <w:rFonts w:ascii="Book Antiqua" w:hAnsi="Book Antiqua"/>
          <w:lang w:val="en-US"/>
        </w:rPr>
        <w:t>able 1).</w:t>
      </w:r>
      <w:r w:rsidR="00245048" w:rsidRPr="002075A3">
        <w:rPr>
          <w:rFonts w:ascii="Book Antiqua" w:hAnsi="Book Antiqua"/>
          <w:lang w:val="en-US"/>
        </w:rPr>
        <w:t xml:space="preserve"> </w:t>
      </w:r>
      <w:r w:rsidR="000D43DF" w:rsidRPr="002075A3">
        <w:rPr>
          <w:rFonts w:ascii="Book Antiqua" w:hAnsi="Book Antiqua"/>
          <w:lang w:val="en-US"/>
        </w:rPr>
        <w:t>There was a 4% neoplasia miss</w:t>
      </w:r>
      <w:r w:rsidR="00CD6370" w:rsidRPr="002075A3">
        <w:rPr>
          <w:rFonts w:ascii="Book Antiqua" w:hAnsi="Book Antiqua"/>
          <w:lang w:val="en-US"/>
        </w:rPr>
        <w:t>-</w:t>
      </w:r>
      <w:r w:rsidR="000D43DF" w:rsidRPr="002075A3">
        <w:rPr>
          <w:rFonts w:ascii="Book Antiqua" w:hAnsi="Book Antiqua"/>
          <w:lang w:val="en-US"/>
        </w:rPr>
        <w:t xml:space="preserve">rate in the </w:t>
      </w:r>
      <w:r w:rsidR="00BE7AA3" w:rsidRPr="002075A3">
        <w:rPr>
          <w:rFonts w:ascii="Book Antiqua" w:hAnsi="Book Antiqua"/>
          <w:lang w:val="en-US"/>
        </w:rPr>
        <w:t>AA</w:t>
      </w:r>
      <w:r w:rsidR="00937BAD" w:rsidRPr="002075A3">
        <w:rPr>
          <w:rFonts w:ascii="Book Antiqua" w:hAnsi="Book Antiqua"/>
          <w:lang w:val="en-US"/>
        </w:rPr>
        <w:t>-</w:t>
      </w:r>
      <w:r w:rsidR="000D43DF" w:rsidRPr="002075A3">
        <w:rPr>
          <w:rFonts w:ascii="Book Antiqua" w:hAnsi="Book Antiqua"/>
          <w:lang w:val="en-US"/>
        </w:rPr>
        <w:t>targeted biopsies alone group. Nevertheless, the cost saving calculated is significant in the context of the high</w:t>
      </w:r>
      <w:r w:rsidR="00CD6370" w:rsidRPr="002075A3">
        <w:rPr>
          <w:rFonts w:ascii="Book Antiqua" w:hAnsi="Book Antiqua"/>
          <w:lang w:val="en-US"/>
        </w:rPr>
        <w:t>-</w:t>
      </w:r>
      <w:r w:rsidR="000D43DF" w:rsidRPr="002075A3">
        <w:rPr>
          <w:rFonts w:ascii="Book Antiqua" w:hAnsi="Book Antiqua"/>
          <w:lang w:val="en-US"/>
        </w:rPr>
        <w:t xml:space="preserve">risk population included in this study and if applied to the usual surveillance population with a </w:t>
      </w:r>
      <w:r w:rsidR="00627A02" w:rsidRPr="002075A3">
        <w:rPr>
          <w:rFonts w:ascii="Book Antiqua" w:hAnsi="Book Antiqua"/>
          <w:lang w:val="en-US"/>
        </w:rPr>
        <w:t xml:space="preserve">lower </w:t>
      </w:r>
      <w:r w:rsidR="000D43DF" w:rsidRPr="002075A3">
        <w:rPr>
          <w:rFonts w:ascii="Book Antiqua" w:hAnsi="Book Antiqua"/>
          <w:lang w:val="en-US"/>
        </w:rPr>
        <w:t xml:space="preserve">neoplasia prevalence rate of </w:t>
      </w:r>
      <w:r w:rsidR="004F39DD">
        <w:rPr>
          <w:rFonts w:ascii="Book Antiqua" w:hAnsi="Book Antiqua" w:hint="eastAsia"/>
          <w:lang w:val="en-US" w:eastAsia="zh-CN"/>
        </w:rPr>
        <w:t xml:space="preserve"> </w:t>
      </w:r>
      <w:r w:rsidR="00B44A15" w:rsidRPr="002075A3">
        <w:rPr>
          <w:rFonts w:ascii="Book Antiqua" w:hAnsi="Book Antiqua"/>
          <w:lang w:val="en-US"/>
        </w:rPr>
        <w:t>&lt;</w:t>
      </w:r>
      <w:r w:rsidR="004F39DD">
        <w:rPr>
          <w:rFonts w:ascii="Book Antiqua" w:hAnsi="Book Antiqua" w:hint="eastAsia"/>
          <w:lang w:val="en-US" w:eastAsia="zh-CN"/>
        </w:rPr>
        <w:t xml:space="preserve"> </w:t>
      </w:r>
      <w:r w:rsidR="000D43DF" w:rsidRPr="002075A3">
        <w:rPr>
          <w:rFonts w:ascii="Book Antiqua" w:hAnsi="Book Antiqua"/>
          <w:lang w:val="en-US"/>
        </w:rPr>
        <w:t>5%</w:t>
      </w:r>
      <w:r w:rsidR="00CD6370" w:rsidRPr="002075A3">
        <w:rPr>
          <w:rFonts w:ascii="Book Antiqua" w:hAnsi="Book Antiqua"/>
          <w:lang w:val="en-US"/>
        </w:rPr>
        <w:t>,</w:t>
      </w:r>
      <w:r w:rsidR="000D43DF" w:rsidRPr="002075A3">
        <w:rPr>
          <w:rFonts w:ascii="Book Antiqua" w:hAnsi="Book Antiqua"/>
          <w:lang w:val="en-US"/>
        </w:rPr>
        <w:t xml:space="preserve"> cost</w:t>
      </w:r>
      <w:r w:rsidR="00CD6370" w:rsidRPr="002075A3">
        <w:rPr>
          <w:rFonts w:ascii="Book Antiqua" w:hAnsi="Book Antiqua"/>
          <w:lang w:val="en-US"/>
        </w:rPr>
        <w:t>-</w:t>
      </w:r>
      <w:r w:rsidR="000D43DF" w:rsidRPr="002075A3">
        <w:rPr>
          <w:rFonts w:ascii="Book Antiqua" w:hAnsi="Book Antiqua"/>
          <w:lang w:val="en-US"/>
        </w:rPr>
        <w:t xml:space="preserve">effectiveness increases 10 fold. </w:t>
      </w:r>
    </w:p>
    <w:p w14:paraId="45A775D1" w14:textId="77777777" w:rsidR="00876B38" w:rsidRPr="002075A3" w:rsidRDefault="00876B38" w:rsidP="00E46EEA">
      <w:pPr>
        <w:spacing w:line="360" w:lineRule="auto"/>
        <w:jc w:val="both"/>
        <w:rPr>
          <w:rFonts w:ascii="Book Antiqua" w:hAnsi="Book Antiqua"/>
          <w:lang w:val="en-US"/>
        </w:rPr>
      </w:pPr>
    </w:p>
    <w:p w14:paraId="235C939E" w14:textId="3D336D7B" w:rsidR="00991B6B" w:rsidRPr="002075A3" w:rsidRDefault="00FE0C02" w:rsidP="00E46EEA">
      <w:pPr>
        <w:spacing w:line="360" w:lineRule="auto"/>
        <w:ind w:firstLineChars="150" w:firstLine="360"/>
        <w:jc w:val="both"/>
        <w:rPr>
          <w:rFonts w:ascii="Book Antiqua" w:hAnsi="Book Antiqua" w:cs="Times New Roman"/>
          <w:lang w:val="en-US"/>
        </w:rPr>
      </w:pPr>
      <w:r>
        <w:rPr>
          <w:rFonts w:ascii="Book Antiqua" w:hAnsi="Book Antiqua"/>
          <w:lang w:val="en-US"/>
        </w:rPr>
        <w:lastRenderedPageBreak/>
        <w:t xml:space="preserve">The Portsmouth </w:t>
      </w:r>
      <w:r w:rsidR="00C31266" w:rsidRPr="002075A3">
        <w:rPr>
          <w:rFonts w:ascii="Book Antiqua" w:hAnsi="Book Antiqua"/>
          <w:lang w:val="en-US"/>
        </w:rPr>
        <w:t>group published another retrospective cohort study</w:t>
      </w:r>
      <w:r w:rsidR="00CC711E">
        <w:rPr>
          <w:rFonts w:ascii="Book Antiqua" w:hAnsi="Book Antiqua"/>
          <w:lang w:val="en-US"/>
        </w:rPr>
        <w:fldChar w:fldCharType="begin" w:fldLock="1"/>
      </w:r>
      <w:r w:rsidR="0078643C">
        <w:rPr>
          <w:rFonts w:ascii="Book Antiqua" w:hAnsi="Book Antiqua"/>
          <w:lang w:val="en-US"/>
        </w:rPr>
        <w:instrText>ADDIN CSL_CITATION { "citationItems" : [ { "id" : "ITEM-1", "itemData" : { "DOI" : "10.1016/j.gie.2014.01.041", "ISSN" : "10976779", "PMID" : "24713305", "abstract" : "Background Currently, various advanced endoscopic techniques are available with varying success rates. These technologies are manufacturer dependent, which has financial implications in the current era of austerity. Acetic acid is a commonly available dye that has been used in the detection of neoplasia within Barrett's esophagus. It has been shown to be effective in detecting neoplasia in high-risk subgroups, but its efficacy in a low-prevalence surveillance population remains unproven. Objective This study aimed to investigate the effectiveness of acetic acid chromoendoscopy in a Barrett's esophagus surveillance population. We aimed to compare the neoplasia yield of acetic acid chromoendoscopy (AAC) with the neoplasia yield from standardized random biopsy (SBP) protocol-guided biopsies in the routine surveillance of patients with Barrett's esophagus. Design Retrospective cohort study. Setting Tertiary referral hospital in the United Kingdom. Patients Patients 18 years of age and older with a diagnosis of Barrett's esophagus undergoing surveillance gastroscopy. Interventions AAC versus standardized random biopsy protocol (SBP) for Barrett's esophagus surveillance. Main Outcome Measurements Neoplasia detection in 2 groups. Results The overall neoplasia detection rates for all grades of neoplasia were 13 of 655 (2%) in the SBP-guided biopsy cohort and 41 of 327 (12.5%) in the AAC cohort (P =.0001). On per-patient analysis, a 6.5-fold gain in neoplasia detection was seen in the AAC cohort compared with the SBP cohort (0.13 vs 0.02, P =.000). In the SBP cohort, a total of 13 of 655 (2%) neoplasias were detected, of which 3 of 655 patients (0.5%) had low-grade dysplasia, 7 of 655 (1%) had high-grade dysplasia, and 3 of 655 (0.5%) were found to have superficial cancer (T1a/T1b). In the AAC cohort, a total of 41 of 327 neoplasias (12.5%) were found, of which 9 of 327 patients (2.7%) had low-grade dysplasia, 18 of 327 (5.5%) had high-grade dysplasia, and 14 of 327 (4.2%) were found to have superficial cancer. The number of biopsies required to detect 1 neoplasia was 15 times lower in the AAC cohort (40 biopsies) than in the SBP cohort (604 biopsies). On per-biopsy analysis, a 14.7-fold increase in neoplasia detection was seen in the AAC cohort per biopsy compared with the SBP cohort (0.025 vs 0.0017; P =.000). Limitations Not a randomized, controlled study. Conclusions Our study demonstrates that acetic acid detects more neoplasias than conventional protocol-g\u2026", "author" : [ { "dropping-particle" : "", "family" : "Tholoor", "given" : "Shareef", "non-dropping-particle" : "", "parse-names" : false, "suffix" : "" }, { "dropping-particle" : "", "family" : "Bhattacharyya", "given" : "Rupam", "non-dropping-particle" : "", "parse-names" : false, "suffix" : "" }, { "dropping-particle" : "", "family" : "Tsagkournis", "given" : "Orestis", "non-dropping-particle" : "", "parse-names" : false, "suffix" : "" }, { "dropping-particle" : "", "family" : "Longcroft-Wheaton", "given" : "Gaius", "non-dropping-particle" : "", "parse-names" : false, "suffix" : "" }, { "dropping-particle" : "", "family" : "Bhandari", "given" : "Pradeep", "non-dropping-particle" : "", "parse-names" : false, "suffix" : "" } ], "container-title" : "Gastrointestinal Endoscopy", "id" : "ITEM-1", "issue" : "3", "issued" : { "date-parts" : [ [ "2014" ] ] }, "page" : "417-424", "publisher" : "Elsevier Ltd", "title" : "Acetic acid chromoendoscopy in Barrett's esophagus surveillance is superior to the standardized random biopsy protocol: Results from a large cohort study (with video)", "type" : "article-journal", "volume" : "80" }, "uris" : [ "http://www.mendeley.com/documents/?uuid=6d2fbaf8-bcaf-486c-a8e0-3da5629c9b1d" ] } ], "mendeley" : { "formattedCitation" : "&lt;sup&gt;[40]&lt;/sup&gt;", "plainTextFormattedCitation" : "[40]", "previouslyFormattedCitation" : "&lt;sup&gt;[40]&lt;/sup&gt;" }, "properties" : { "noteIndex" : 0 }, "schema" : "https://github.com/citation-style-language/schema/raw/master/csl-citation.json" }</w:instrText>
      </w:r>
      <w:r w:rsidR="00CC711E">
        <w:rPr>
          <w:rFonts w:ascii="Book Antiqua" w:hAnsi="Book Antiqua"/>
          <w:lang w:val="en-US"/>
        </w:rPr>
        <w:fldChar w:fldCharType="separate"/>
      </w:r>
      <w:r w:rsidR="00CC711E" w:rsidRPr="00CC711E">
        <w:rPr>
          <w:rFonts w:ascii="Book Antiqua" w:hAnsi="Book Antiqua"/>
          <w:noProof/>
          <w:vertAlign w:val="superscript"/>
          <w:lang w:val="en-US"/>
        </w:rPr>
        <w:t>[40]</w:t>
      </w:r>
      <w:r w:rsidR="00CC711E">
        <w:rPr>
          <w:rFonts w:ascii="Book Antiqua" w:hAnsi="Book Antiqua"/>
          <w:lang w:val="en-US"/>
        </w:rPr>
        <w:fldChar w:fldCharType="end"/>
      </w:r>
      <w:r w:rsidR="00CC711E">
        <w:rPr>
          <w:rFonts w:ascii="Book Antiqua" w:hAnsi="Book Antiqua"/>
          <w:lang w:val="en-US"/>
        </w:rPr>
        <w:t xml:space="preserve"> </w:t>
      </w:r>
      <w:r w:rsidR="00C31266" w:rsidRPr="002075A3">
        <w:rPr>
          <w:rFonts w:ascii="Book Antiqua" w:hAnsi="Book Antiqua"/>
          <w:lang w:val="en-US"/>
        </w:rPr>
        <w:t xml:space="preserve">comparing the neoplasia yield of </w:t>
      </w:r>
      <w:r w:rsidR="00A53B1C" w:rsidRPr="002075A3">
        <w:rPr>
          <w:rFonts w:ascii="Book Antiqua" w:hAnsi="Book Antiqua"/>
          <w:lang w:val="en-US"/>
        </w:rPr>
        <w:t>AAC</w:t>
      </w:r>
      <w:r w:rsidR="00C31266" w:rsidRPr="002075A3">
        <w:rPr>
          <w:rFonts w:ascii="Book Antiqua" w:hAnsi="Book Antiqua"/>
          <w:lang w:val="en-US"/>
        </w:rPr>
        <w:t xml:space="preserve"> with </w:t>
      </w:r>
      <w:r w:rsidR="00F31FFF" w:rsidRPr="002075A3">
        <w:rPr>
          <w:rFonts w:ascii="Book Antiqua" w:hAnsi="Book Antiqua"/>
          <w:lang w:val="en-US"/>
        </w:rPr>
        <w:t>4QBS</w:t>
      </w:r>
      <w:r w:rsidR="00C31266" w:rsidRPr="002075A3">
        <w:rPr>
          <w:rFonts w:ascii="Book Antiqua" w:hAnsi="Book Antiqua"/>
          <w:lang w:val="en-US"/>
        </w:rPr>
        <w:t xml:space="preserve">, in </w:t>
      </w:r>
      <w:r w:rsidR="00F31FFF" w:rsidRPr="002075A3">
        <w:rPr>
          <w:rFonts w:ascii="Book Antiqua" w:hAnsi="Book Antiqua"/>
          <w:lang w:val="en-US"/>
        </w:rPr>
        <w:t xml:space="preserve">a </w:t>
      </w:r>
      <w:r w:rsidR="00C31266" w:rsidRPr="002075A3">
        <w:rPr>
          <w:rFonts w:ascii="Book Antiqua" w:hAnsi="Book Antiqua"/>
          <w:lang w:val="en-US"/>
        </w:rPr>
        <w:t xml:space="preserve">routine </w:t>
      </w:r>
      <w:r w:rsidR="00B901BA" w:rsidRPr="002075A3">
        <w:rPr>
          <w:rFonts w:ascii="Book Antiqua" w:hAnsi="Book Antiqua"/>
          <w:lang w:val="en-US"/>
        </w:rPr>
        <w:t>B</w:t>
      </w:r>
      <w:r w:rsidR="00CE1019" w:rsidRPr="002075A3">
        <w:rPr>
          <w:rFonts w:ascii="Book Antiqua" w:hAnsi="Book Antiqua"/>
          <w:lang w:val="en-US"/>
        </w:rPr>
        <w:t>E</w:t>
      </w:r>
      <w:r w:rsidR="00C31266" w:rsidRPr="002075A3">
        <w:rPr>
          <w:rFonts w:ascii="Book Antiqua" w:hAnsi="Book Antiqua"/>
          <w:lang w:val="en-US"/>
        </w:rPr>
        <w:t xml:space="preserve"> surveillance population. </w:t>
      </w:r>
      <w:r w:rsidR="004F39DD" w:rsidRPr="004F39DD">
        <w:rPr>
          <w:rFonts w:ascii="Book Antiqua" w:hAnsi="Book Antiqua"/>
          <w:lang w:val="en-US"/>
        </w:rPr>
        <w:t>Nine hundred and seventy-two</w:t>
      </w:r>
      <w:r w:rsidR="004F39DD">
        <w:rPr>
          <w:rFonts w:ascii="Book Antiqua" w:hAnsi="Book Antiqua" w:hint="eastAsia"/>
          <w:lang w:val="en-US" w:eastAsia="zh-CN"/>
        </w:rPr>
        <w:t xml:space="preserve"> </w:t>
      </w:r>
      <w:r w:rsidR="00335BBE" w:rsidRPr="002075A3">
        <w:rPr>
          <w:rFonts w:ascii="Book Antiqua" w:hAnsi="Book Antiqua"/>
          <w:lang w:val="en-US"/>
        </w:rPr>
        <w:t xml:space="preserve">patients were included in the study, with 655 (67%) undergoing </w:t>
      </w:r>
      <w:r w:rsidR="00CE1019" w:rsidRPr="002075A3">
        <w:rPr>
          <w:rFonts w:ascii="Book Antiqua" w:hAnsi="Book Antiqua"/>
          <w:lang w:val="en-US"/>
        </w:rPr>
        <w:t xml:space="preserve">4QBS </w:t>
      </w:r>
      <w:r w:rsidR="00335BBE" w:rsidRPr="002075A3">
        <w:rPr>
          <w:rFonts w:ascii="Book Antiqua" w:hAnsi="Book Antiqua"/>
          <w:lang w:val="en-US"/>
        </w:rPr>
        <w:t>and 327 (33%) AAC. A gain in neoplasia detection was demonstrated in the AAC group on both per patient and per biopsy analysis. A significant (</w:t>
      </w:r>
      <w:r w:rsidR="004F39DD" w:rsidRPr="004F39DD">
        <w:rPr>
          <w:rFonts w:ascii="Book Antiqua" w:hAnsi="Book Antiqua"/>
          <w:i/>
          <w:lang w:val="en-US"/>
        </w:rPr>
        <w:t>P</w:t>
      </w:r>
      <w:r w:rsidR="004F39DD">
        <w:rPr>
          <w:rFonts w:ascii="Book Antiqua" w:hAnsi="Book Antiqua" w:hint="eastAsia"/>
          <w:lang w:val="en-US" w:eastAsia="zh-CN"/>
        </w:rPr>
        <w:t xml:space="preserve"> </w:t>
      </w:r>
      <w:r w:rsidR="00335BBE" w:rsidRPr="002075A3">
        <w:rPr>
          <w:rFonts w:ascii="Book Antiqua" w:hAnsi="Book Antiqua"/>
          <w:lang w:val="en-US"/>
        </w:rPr>
        <w:t>=</w:t>
      </w:r>
      <w:r w:rsidR="004F39DD">
        <w:rPr>
          <w:rFonts w:ascii="Book Antiqua" w:hAnsi="Book Antiqua" w:hint="eastAsia"/>
          <w:lang w:val="en-US" w:eastAsia="zh-CN"/>
        </w:rPr>
        <w:t xml:space="preserve"> </w:t>
      </w:r>
      <w:r w:rsidR="00335BBE" w:rsidRPr="002075A3">
        <w:rPr>
          <w:rFonts w:ascii="Book Antiqua" w:hAnsi="Book Antiqua"/>
          <w:lang w:val="en-US"/>
        </w:rPr>
        <w:t xml:space="preserve">0.0001) gain from 2% </w:t>
      </w:r>
      <w:r w:rsidR="00770381" w:rsidRPr="002075A3">
        <w:rPr>
          <w:rFonts w:ascii="Book Antiqua" w:hAnsi="Book Antiqua"/>
          <w:lang w:val="en-US"/>
        </w:rPr>
        <w:t xml:space="preserve">neoplasia rates in the </w:t>
      </w:r>
      <w:r w:rsidR="00CE1019" w:rsidRPr="002075A3">
        <w:rPr>
          <w:rFonts w:ascii="Book Antiqua" w:hAnsi="Book Antiqua"/>
          <w:lang w:val="en-US"/>
        </w:rPr>
        <w:t xml:space="preserve">4QBS </w:t>
      </w:r>
      <w:r w:rsidR="00770381" w:rsidRPr="002075A3">
        <w:rPr>
          <w:rFonts w:ascii="Book Antiqua" w:hAnsi="Book Antiqua"/>
          <w:lang w:val="en-US"/>
        </w:rPr>
        <w:t xml:space="preserve">group </w:t>
      </w:r>
      <w:r w:rsidR="00335BBE" w:rsidRPr="002075A3">
        <w:rPr>
          <w:rFonts w:ascii="Book Antiqua" w:hAnsi="Book Antiqua"/>
          <w:lang w:val="en-US"/>
        </w:rPr>
        <w:t xml:space="preserve">to 12.5% </w:t>
      </w:r>
      <w:r w:rsidR="00770381" w:rsidRPr="002075A3">
        <w:rPr>
          <w:rFonts w:ascii="Book Antiqua" w:hAnsi="Book Antiqua"/>
          <w:lang w:val="en-US"/>
        </w:rPr>
        <w:t xml:space="preserve">in the AAC group was noted. When </w:t>
      </w:r>
      <w:r w:rsidR="00876B38" w:rsidRPr="002075A3">
        <w:rPr>
          <w:rFonts w:ascii="Book Antiqua" w:hAnsi="Book Antiqua"/>
          <w:lang w:val="en-US"/>
        </w:rPr>
        <w:t>analyzed</w:t>
      </w:r>
      <w:r w:rsidR="00770381" w:rsidRPr="002075A3">
        <w:rPr>
          <w:rFonts w:ascii="Book Antiqua" w:hAnsi="Book Antiqua"/>
          <w:lang w:val="en-US"/>
        </w:rPr>
        <w:t xml:space="preserve"> per biopsy, a </w:t>
      </w:r>
      <w:r w:rsidR="00111803" w:rsidRPr="002075A3">
        <w:rPr>
          <w:rFonts w:ascii="Book Antiqua" w:hAnsi="Book Antiqua"/>
          <w:lang w:val="en-US"/>
        </w:rPr>
        <w:t>14.7-fold</w:t>
      </w:r>
      <w:r w:rsidR="00770381" w:rsidRPr="002075A3">
        <w:rPr>
          <w:rFonts w:ascii="Book Antiqua" w:hAnsi="Book Antiqua"/>
          <w:lang w:val="en-US"/>
        </w:rPr>
        <w:t xml:space="preserve"> increase in neoplasia detection was seen in the AAC group per biopsy compared to </w:t>
      </w:r>
      <w:r w:rsidR="00CE1019" w:rsidRPr="002075A3">
        <w:rPr>
          <w:rFonts w:ascii="Book Antiqua" w:hAnsi="Book Antiqua"/>
          <w:lang w:val="en-US"/>
        </w:rPr>
        <w:t xml:space="preserve">4QBS </w:t>
      </w:r>
      <w:r w:rsidR="00B44A15" w:rsidRPr="002075A3">
        <w:rPr>
          <w:rFonts w:ascii="Book Antiqua" w:hAnsi="Book Antiqua"/>
          <w:lang w:val="en-US"/>
        </w:rPr>
        <w:t xml:space="preserve">(0.025 </w:t>
      </w:r>
      <w:r w:rsidR="00B44A15" w:rsidRPr="004F39DD">
        <w:rPr>
          <w:rFonts w:ascii="Book Antiqua" w:hAnsi="Book Antiqua"/>
          <w:i/>
          <w:lang w:val="en-US"/>
        </w:rPr>
        <w:t>vs</w:t>
      </w:r>
      <w:r w:rsidR="00B44A15" w:rsidRPr="002075A3">
        <w:rPr>
          <w:rFonts w:ascii="Book Antiqua" w:hAnsi="Book Antiqua"/>
          <w:lang w:val="en-US"/>
        </w:rPr>
        <w:t xml:space="preserve"> 0.0017</w:t>
      </w:r>
      <w:r w:rsidR="004F39DD">
        <w:rPr>
          <w:rFonts w:ascii="Book Antiqua" w:hAnsi="Book Antiqua" w:hint="eastAsia"/>
          <w:lang w:val="en-US" w:eastAsia="zh-CN"/>
        </w:rPr>
        <w:t xml:space="preserve">, </w:t>
      </w:r>
      <w:r w:rsidR="004F39DD" w:rsidRPr="004F39DD">
        <w:rPr>
          <w:rFonts w:ascii="Book Antiqua" w:hAnsi="Book Antiqua"/>
          <w:i/>
          <w:lang w:val="en-US"/>
        </w:rPr>
        <w:t>P</w:t>
      </w:r>
      <w:r w:rsidR="004F39DD" w:rsidRPr="002075A3">
        <w:rPr>
          <w:rFonts w:ascii="Book Antiqua" w:hAnsi="Book Antiqua"/>
          <w:lang w:val="en-US"/>
        </w:rPr>
        <w:t xml:space="preserve"> </w:t>
      </w:r>
      <w:r w:rsidR="00B44A15" w:rsidRPr="002075A3">
        <w:rPr>
          <w:rFonts w:ascii="Book Antiqua" w:hAnsi="Book Antiqua"/>
          <w:lang w:val="en-US"/>
        </w:rPr>
        <w:t>&lt;</w:t>
      </w:r>
      <w:r w:rsidR="004F39DD">
        <w:rPr>
          <w:rFonts w:ascii="Book Antiqua" w:hAnsi="Book Antiqua" w:hint="eastAsia"/>
          <w:lang w:val="en-US" w:eastAsia="zh-CN"/>
        </w:rPr>
        <w:t xml:space="preserve"> </w:t>
      </w:r>
      <w:r w:rsidR="00B44A15" w:rsidRPr="002075A3">
        <w:rPr>
          <w:rFonts w:ascii="Book Antiqua" w:hAnsi="Book Antiqua"/>
          <w:lang w:val="en-US"/>
        </w:rPr>
        <w:t>0.05</w:t>
      </w:r>
      <w:r w:rsidR="00770381" w:rsidRPr="002075A3">
        <w:rPr>
          <w:rFonts w:ascii="Book Antiqua" w:hAnsi="Book Antiqua"/>
          <w:lang w:val="en-US"/>
        </w:rPr>
        <w:t>).</w:t>
      </w:r>
      <w:r w:rsidR="00770381" w:rsidRPr="002075A3">
        <w:rPr>
          <w:rFonts w:ascii="Book Antiqua" w:hAnsi="Book Antiqua" w:cs="Times New Roman"/>
          <w:sz w:val="20"/>
          <w:szCs w:val="20"/>
          <w:lang w:val="en-US"/>
        </w:rPr>
        <w:t xml:space="preserve"> </w:t>
      </w:r>
      <w:r w:rsidR="00770381" w:rsidRPr="002075A3">
        <w:rPr>
          <w:rFonts w:ascii="Book Antiqua" w:hAnsi="Book Antiqua" w:cs="Times New Roman"/>
          <w:lang w:val="en-US"/>
        </w:rPr>
        <w:t xml:space="preserve">The number of biopsies required to detect one neoplasia was 15 times lower in the AAC cohort compared to the </w:t>
      </w:r>
      <w:r w:rsidR="00B44A15" w:rsidRPr="002075A3">
        <w:rPr>
          <w:rFonts w:ascii="Book Antiqua" w:hAnsi="Book Antiqua" w:cs="Times New Roman"/>
          <w:lang w:val="en-US"/>
        </w:rPr>
        <w:t>4QBS</w:t>
      </w:r>
      <w:r w:rsidR="00770381" w:rsidRPr="002075A3">
        <w:rPr>
          <w:rFonts w:ascii="Book Antiqua" w:hAnsi="Book Antiqua" w:cs="Times New Roman"/>
          <w:lang w:val="en-US"/>
        </w:rPr>
        <w:t xml:space="preserve"> cohort (40 </w:t>
      </w:r>
      <w:r w:rsidR="00770381" w:rsidRPr="004F39DD">
        <w:rPr>
          <w:rFonts w:ascii="Book Antiqua" w:hAnsi="Book Antiqua" w:cs="Times New Roman"/>
          <w:i/>
          <w:lang w:val="en-US"/>
        </w:rPr>
        <w:t>vs</w:t>
      </w:r>
      <w:r w:rsidR="00770381" w:rsidRPr="002075A3">
        <w:rPr>
          <w:rFonts w:ascii="Book Antiqua" w:hAnsi="Book Antiqua" w:cs="Times New Roman"/>
          <w:lang w:val="en-US"/>
        </w:rPr>
        <w:t xml:space="preserve"> 604 biopsies). This study was the first of its kind in a Barrett’s surveillance population and demonstrates a proof of concept that can be used to power a </w:t>
      </w:r>
      <w:r w:rsidR="00EE5DB8" w:rsidRPr="002075A3">
        <w:rPr>
          <w:rFonts w:ascii="Book Antiqua" w:hAnsi="Book Antiqua" w:cs="Times New Roman"/>
          <w:lang w:val="en-US"/>
        </w:rPr>
        <w:t>randomized</w:t>
      </w:r>
      <w:r w:rsidR="00770381" w:rsidRPr="002075A3">
        <w:rPr>
          <w:rFonts w:ascii="Book Antiqua" w:hAnsi="Book Antiqua" w:cs="Times New Roman"/>
          <w:lang w:val="en-US"/>
        </w:rPr>
        <w:t xml:space="preserve"> controlled trial comparing </w:t>
      </w:r>
      <w:r>
        <w:rPr>
          <w:rFonts w:ascii="Book Antiqua" w:hAnsi="Book Antiqua" w:cs="Times New Roman"/>
          <w:lang w:val="en-US"/>
        </w:rPr>
        <w:t>4QBS</w:t>
      </w:r>
      <w:r w:rsidR="00770381" w:rsidRPr="002075A3">
        <w:rPr>
          <w:rFonts w:ascii="Book Antiqua" w:hAnsi="Book Antiqua" w:cs="Times New Roman"/>
          <w:lang w:val="en-US"/>
        </w:rPr>
        <w:t xml:space="preserve"> with AAC. </w:t>
      </w:r>
    </w:p>
    <w:p w14:paraId="2FA17F03" w14:textId="45A508E1" w:rsidR="00FE0C02" w:rsidRDefault="00FE0C02" w:rsidP="00E46EEA">
      <w:pPr>
        <w:spacing w:line="360" w:lineRule="auto"/>
        <w:ind w:firstLineChars="150" w:firstLine="360"/>
        <w:jc w:val="both"/>
        <w:rPr>
          <w:rFonts w:ascii="Book Antiqua" w:hAnsi="Book Antiqua" w:cs="Times New Roman"/>
          <w:lang w:val="en-US"/>
        </w:rPr>
      </w:pPr>
      <w:r>
        <w:rPr>
          <w:rFonts w:ascii="Book Antiqua" w:hAnsi="Book Antiqua" w:cs="Times New Roman"/>
          <w:lang w:val="en-US"/>
        </w:rPr>
        <w:t>These data demonstrate that AAC targeted biopsy protocols are extremely cost-effective in high-risk populations and suggest even greater gains are to be expected in the surveillance population.</w:t>
      </w:r>
    </w:p>
    <w:p w14:paraId="33F950B6" w14:textId="377F2228" w:rsidR="004948CD" w:rsidRPr="002075A3" w:rsidRDefault="00EE5DB8" w:rsidP="00E46EEA">
      <w:pPr>
        <w:spacing w:line="360" w:lineRule="auto"/>
        <w:ind w:firstLineChars="150" w:firstLine="360"/>
        <w:jc w:val="both"/>
        <w:rPr>
          <w:rFonts w:ascii="Book Antiqua" w:hAnsi="Book Antiqua" w:cs="Times New Roman"/>
          <w:lang w:val="en-US"/>
        </w:rPr>
      </w:pPr>
      <w:r w:rsidRPr="002075A3">
        <w:rPr>
          <w:rFonts w:ascii="Book Antiqua" w:hAnsi="Book Antiqua" w:cs="Times New Roman"/>
          <w:lang w:val="en-US"/>
        </w:rPr>
        <w:t xml:space="preserve">The </w:t>
      </w:r>
      <w:r w:rsidR="00637468">
        <w:rPr>
          <w:rFonts w:ascii="Book Antiqua" w:hAnsi="Book Antiqua" w:cs="Times New Roman"/>
          <w:lang w:val="en-US"/>
        </w:rPr>
        <w:t>Portsmouth</w:t>
      </w:r>
      <w:r w:rsidRPr="002075A3">
        <w:rPr>
          <w:rFonts w:ascii="Book Antiqua" w:hAnsi="Book Antiqua" w:cs="Times New Roman"/>
          <w:lang w:val="en-US"/>
        </w:rPr>
        <w:t xml:space="preserve"> group </w:t>
      </w:r>
      <w:r w:rsidR="00AE5616">
        <w:rPr>
          <w:rFonts w:ascii="Book Antiqua" w:hAnsi="Book Antiqua" w:cs="Times New Roman"/>
          <w:lang w:val="en-US"/>
        </w:rPr>
        <w:t>is</w:t>
      </w:r>
      <w:r w:rsidR="00AE5616" w:rsidRPr="002075A3">
        <w:rPr>
          <w:rFonts w:ascii="Book Antiqua" w:hAnsi="Book Antiqua" w:cs="Times New Roman"/>
          <w:lang w:val="en-US"/>
        </w:rPr>
        <w:t xml:space="preserve"> </w:t>
      </w:r>
      <w:r w:rsidRPr="002075A3">
        <w:rPr>
          <w:rFonts w:ascii="Book Antiqua" w:hAnsi="Book Antiqua" w:cs="Times New Roman"/>
          <w:lang w:val="en-US"/>
        </w:rPr>
        <w:t>currently underway with the ABBA study</w:t>
      </w:r>
      <w:r w:rsidR="0078643C">
        <w:rPr>
          <w:rFonts w:ascii="Book Antiqua" w:hAnsi="Book Antiqua" w:cs="Times New Roman"/>
          <w:lang w:val="en-US"/>
        </w:rPr>
        <w:fldChar w:fldCharType="begin" w:fldLock="1"/>
      </w:r>
      <w:r w:rsidR="0033560E">
        <w:rPr>
          <w:rFonts w:ascii="Book Antiqua" w:hAnsi="Book Antiqua" w:cs="Times New Roman"/>
          <w:lang w:val="en-US"/>
        </w:rPr>
        <w:instrText>ADDIN CSL_CITATION { "citationItems" : [ { "id" : "ITEM-1", "itemData" : { "URL" : "ClinicalTrials.gov ", "id" : "ITEM-1", "issued" : { "date-parts" : [ [ "0" ] ] }, "title" : "Identifier: NCT02407392", "type" : "webpage" }, "uris" : [ "http://www.mendeley.com/documents/?uuid=0b1af785-b22f-40fc-8ed7-29043e27bc0e" ] } ], "mendeley" : { "formattedCitation" : "&lt;sup&gt;[41]&lt;/sup&gt;", "plainTextFormattedCitation" : "[41]", "previouslyFormattedCitation" : "&lt;sup&gt;[41]&lt;/sup&gt;" }, "properties" : { "noteIndex" : 0 }, "schema" : "https://github.com/citation-style-language/schema/raw/master/csl-citation.json" }</w:instrText>
      </w:r>
      <w:r w:rsidR="0078643C">
        <w:rPr>
          <w:rFonts w:ascii="Book Antiqua" w:hAnsi="Book Antiqua" w:cs="Times New Roman"/>
          <w:lang w:val="en-US"/>
        </w:rPr>
        <w:fldChar w:fldCharType="separate"/>
      </w:r>
      <w:r w:rsidR="0078643C" w:rsidRPr="0078643C">
        <w:rPr>
          <w:rFonts w:ascii="Book Antiqua" w:hAnsi="Book Antiqua" w:cs="Times New Roman"/>
          <w:noProof/>
          <w:vertAlign w:val="superscript"/>
          <w:lang w:val="en-US"/>
        </w:rPr>
        <w:t>[41]</w:t>
      </w:r>
      <w:r w:rsidR="0078643C">
        <w:rPr>
          <w:rFonts w:ascii="Book Antiqua" w:hAnsi="Book Antiqua" w:cs="Times New Roman"/>
          <w:lang w:val="en-US"/>
        </w:rPr>
        <w:fldChar w:fldCharType="end"/>
      </w:r>
      <w:r w:rsidR="00FE0C02">
        <w:rPr>
          <w:rFonts w:ascii="Book Antiqua" w:hAnsi="Book Antiqua" w:cs="Times New Roman"/>
          <w:lang w:val="en-US"/>
        </w:rPr>
        <w:t>. This</w:t>
      </w:r>
      <w:r w:rsidR="0033172C">
        <w:rPr>
          <w:rFonts w:ascii="Book Antiqua" w:hAnsi="Book Antiqua" w:cs="Times New Roman"/>
          <w:lang w:val="en-US"/>
        </w:rPr>
        <w:t xml:space="preserve"> </w:t>
      </w:r>
      <w:r w:rsidRPr="002075A3">
        <w:rPr>
          <w:rFonts w:ascii="Book Antiqua" w:hAnsi="Book Antiqua" w:cs="Times New Roman"/>
          <w:lang w:val="en-US"/>
        </w:rPr>
        <w:t xml:space="preserve">is a </w:t>
      </w:r>
      <w:r w:rsidR="000604FF" w:rsidRPr="002075A3">
        <w:rPr>
          <w:rFonts w:ascii="Book Antiqua" w:hAnsi="Book Antiqua" w:cs="Times New Roman"/>
          <w:lang w:val="en-US"/>
        </w:rPr>
        <w:t>multi-center randomized</w:t>
      </w:r>
      <w:r w:rsidRPr="002075A3">
        <w:rPr>
          <w:rFonts w:ascii="Book Antiqua" w:hAnsi="Book Antiqua" w:cs="Times New Roman"/>
          <w:lang w:val="en-US"/>
        </w:rPr>
        <w:t xml:space="preserve">, crossover, tandem endoscopy study comparing </w:t>
      </w:r>
      <w:r w:rsidR="000604FF" w:rsidRPr="002075A3">
        <w:rPr>
          <w:rFonts w:ascii="Book Antiqua" w:hAnsi="Book Antiqua" w:cs="Times New Roman"/>
          <w:lang w:val="en-US"/>
        </w:rPr>
        <w:t>4QBS</w:t>
      </w:r>
      <w:r w:rsidRPr="002075A3">
        <w:rPr>
          <w:rFonts w:ascii="Book Antiqua" w:hAnsi="Book Antiqua" w:cs="Times New Roman"/>
          <w:lang w:val="en-US"/>
        </w:rPr>
        <w:t xml:space="preserve"> versus </w:t>
      </w:r>
      <w:r w:rsidR="00AA19F1">
        <w:rPr>
          <w:rFonts w:ascii="Book Antiqua" w:hAnsi="Book Antiqua" w:cs="Times New Roman"/>
          <w:lang w:val="en-US"/>
        </w:rPr>
        <w:t>AA</w:t>
      </w:r>
      <w:r w:rsidRPr="002075A3">
        <w:rPr>
          <w:rFonts w:ascii="Book Antiqua" w:hAnsi="Book Antiqua" w:cs="Times New Roman"/>
          <w:lang w:val="en-US"/>
        </w:rPr>
        <w:t xml:space="preserve"> targeted biopsies, in a Barrett’s surveillance population.</w:t>
      </w:r>
      <w:r w:rsidR="000604FF" w:rsidRPr="002075A3">
        <w:rPr>
          <w:rFonts w:ascii="Book Antiqua" w:hAnsi="Book Antiqua" w:cs="Times New Roman"/>
          <w:lang w:val="en-US"/>
        </w:rPr>
        <w:t xml:space="preserve"> </w:t>
      </w:r>
      <w:r w:rsidR="00991B6B" w:rsidRPr="002075A3">
        <w:rPr>
          <w:rFonts w:ascii="Book Antiqua" w:hAnsi="Book Antiqua" w:cs="Times New Roman"/>
          <w:lang w:val="en-US"/>
        </w:rPr>
        <w:t xml:space="preserve">The study will also focus on </w:t>
      </w:r>
      <w:r w:rsidR="00637468">
        <w:rPr>
          <w:rFonts w:ascii="Book Antiqua" w:hAnsi="Book Antiqua" w:cs="Times New Roman"/>
          <w:lang w:val="en-US"/>
        </w:rPr>
        <w:t>training the AAC technique by</w:t>
      </w:r>
      <w:r w:rsidR="00991B6B" w:rsidRPr="002075A3">
        <w:rPr>
          <w:rFonts w:ascii="Book Antiqua" w:hAnsi="Book Antiqua" w:cs="Times New Roman"/>
          <w:lang w:val="en-US"/>
        </w:rPr>
        <w:t xml:space="preserve"> a web</w:t>
      </w:r>
      <w:r w:rsidR="000604FF" w:rsidRPr="002075A3">
        <w:rPr>
          <w:rFonts w:ascii="Book Antiqua" w:hAnsi="Book Antiqua" w:cs="Times New Roman"/>
          <w:lang w:val="en-US"/>
        </w:rPr>
        <w:t>-</w:t>
      </w:r>
      <w:r w:rsidR="00991B6B" w:rsidRPr="002075A3">
        <w:rPr>
          <w:rFonts w:ascii="Book Antiqua" w:hAnsi="Book Antiqua" w:cs="Times New Roman"/>
          <w:lang w:val="en-US"/>
        </w:rPr>
        <w:t>based training program</w:t>
      </w:r>
      <w:r w:rsidR="000604FF" w:rsidRPr="002075A3">
        <w:rPr>
          <w:rFonts w:ascii="Book Antiqua" w:hAnsi="Book Antiqua" w:cs="Times New Roman"/>
          <w:lang w:val="en-US"/>
        </w:rPr>
        <w:t xml:space="preserve"> </w:t>
      </w:r>
      <w:r w:rsidR="00111803" w:rsidRPr="002075A3">
        <w:rPr>
          <w:rFonts w:ascii="Book Antiqua" w:hAnsi="Book Antiqua" w:cs="Times New Roman"/>
          <w:lang w:val="en-US"/>
        </w:rPr>
        <w:t>utilizing</w:t>
      </w:r>
      <w:r w:rsidR="00991B6B" w:rsidRPr="002075A3">
        <w:rPr>
          <w:rFonts w:ascii="Book Antiqua" w:hAnsi="Book Antiqua" w:cs="Times New Roman"/>
          <w:lang w:val="en-US"/>
        </w:rPr>
        <w:t xml:space="preserve"> a </w:t>
      </w:r>
      <w:r w:rsidR="000604FF" w:rsidRPr="002075A3">
        <w:rPr>
          <w:rFonts w:ascii="Book Antiqua" w:hAnsi="Book Antiqua" w:cs="Times New Roman"/>
          <w:lang w:val="en-US"/>
        </w:rPr>
        <w:t>comprehensive and well-</w:t>
      </w:r>
      <w:r w:rsidR="00991B6B" w:rsidRPr="002075A3">
        <w:rPr>
          <w:rFonts w:ascii="Book Antiqua" w:hAnsi="Book Antiqua" w:cs="Times New Roman"/>
          <w:lang w:val="en-US"/>
        </w:rPr>
        <w:t xml:space="preserve">validated image and video library. </w:t>
      </w:r>
      <w:r w:rsidR="00907B3C" w:rsidRPr="002075A3">
        <w:rPr>
          <w:rFonts w:ascii="Book Antiqua" w:hAnsi="Book Antiqua" w:cs="Times New Roman"/>
          <w:lang w:val="en-US"/>
        </w:rPr>
        <w:t>The results of this study (expected to comp</w:t>
      </w:r>
      <w:r w:rsidR="00627A02" w:rsidRPr="002075A3">
        <w:rPr>
          <w:rFonts w:ascii="Book Antiqua" w:hAnsi="Book Antiqua" w:cs="Times New Roman"/>
          <w:lang w:val="en-US"/>
        </w:rPr>
        <w:t>lete in 2016</w:t>
      </w:r>
      <w:r w:rsidR="00907B3C" w:rsidRPr="002075A3">
        <w:rPr>
          <w:rFonts w:ascii="Book Antiqua" w:hAnsi="Book Antiqua" w:cs="Times New Roman"/>
          <w:lang w:val="en-US"/>
        </w:rPr>
        <w:t xml:space="preserve">) will add to the growing evidence base on the use of </w:t>
      </w:r>
      <w:r w:rsidR="00A53B1C" w:rsidRPr="002075A3">
        <w:rPr>
          <w:rFonts w:ascii="Book Antiqua" w:hAnsi="Book Antiqua" w:cs="Times New Roman"/>
          <w:lang w:val="en-US"/>
        </w:rPr>
        <w:t>AAC</w:t>
      </w:r>
      <w:r w:rsidR="00907B3C" w:rsidRPr="002075A3">
        <w:rPr>
          <w:rFonts w:ascii="Book Antiqua" w:hAnsi="Book Antiqua" w:cs="Times New Roman"/>
          <w:lang w:val="en-US"/>
        </w:rPr>
        <w:t xml:space="preserve"> in the surveillance population</w:t>
      </w:r>
      <w:r w:rsidR="00AE6B7E" w:rsidRPr="002075A3">
        <w:rPr>
          <w:rFonts w:ascii="Book Antiqua" w:hAnsi="Book Antiqua" w:cs="Times New Roman"/>
          <w:lang w:val="en-US"/>
        </w:rPr>
        <w:t>.</w:t>
      </w:r>
    </w:p>
    <w:p w14:paraId="22447DDF" w14:textId="77777777" w:rsidR="00A67829" w:rsidRPr="002075A3" w:rsidRDefault="00A67829" w:rsidP="00E46EEA">
      <w:pPr>
        <w:spacing w:line="360" w:lineRule="auto"/>
        <w:jc w:val="both"/>
        <w:rPr>
          <w:rFonts w:ascii="Book Antiqua" w:hAnsi="Book Antiqua"/>
          <w:lang w:val="en-US"/>
        </w:rPr>
      </w:pPr>
    </w:p>
    <w:p w14:paraId="0E9755C2" w14:textId="1021D530" w:rsidR="004B73F4" w:rsidRPr="004F39DD" w:rsidRDefault="004F39DD" w:rsidP="00E46EEA">
      <w:pPr>
        <w:spacing w:line="360" w:lineRule="auto"/>
        <w:jc w:val="both"/>
        <w:outlineLvl w:val="0"/>
        <w:rPr>
          <w:rFonts w:ascii="Book Antiqua" w:hAnsi="Book Antiqua"/>
          <w:b/>
          <w:lang w:val="en-US" w:eastAsia="zh-CN"/>
        </w:rPr>
      </w:pPr>
      <w:r>
        <w:rPr>
          <w:rFonts w:ascii="Book Antiqua" w:hAnsi="Book Antiqua"/>
          <w:b/>
          <w:lang w:val="en-US"/>
        </w:rPr>
        <w:t>CONCLUSION</w:t>
      </w:r>
    </w:p>
    <w:p w14:paraId="5CA8FA3E" w14:textId="1DFAAEA5" w:rsidR="00AE6B7E" w:rsidRPr="002075A3" w:rsidRDefault="00530C7E" w:rsidP="00E46EEA">
      <w:pPr>
        <w:spacing w:line="360" w:lineRule="auto"/>
        <w:jc w:val="both"/>
        <w:rPr>
          <w:rFonts w:ascii="Book Antiqua" w:hAnsi="Book Antiqua"/>
          <w:lang w:val="en-US"/>
        </w:rPr>
      </w:pPr>
      <w:r w:rsidRPr="002075A3">
        <w:rPr>
          <w:rFonts w:ascii="Book Antiqua" w:hAnsi="Book Antiqua"/>
          <w:lang w:val="en-US"/>
        </w:rPr>
        <w:t>The evidence for the use of AAC in the detection and characterization of Barrett’s neoplasia is compelling. The large studies from the Portsmouth and Wiesbaden groups demonstrate that experts are able to meet the ASGE PIVI criteria</w:t>
      </w:r>
      <w:r w:rsidR="00101C03">
        <w:rPr>
          <w:rFonts w:ascii="Book Antiqua" w:hAnsi="Book Antiqua"/>
          <w:vertAlign w:val="superscript"/>
          <w:lang w:val="en-US"/>
        </w:rPr>
        <w:t>[</w:t>
      </w:r>
      <w:r w:rsidR="00637468">
        <w:rPr>
          <w:rFonts w:ascii="Book Antiqua" w:hAnsi="Book Antiqua"/>
          <w:vertAlign w:val="superscript"/>
          <w:lang w:val="en-US"/>
        </w:rPr>
        <w:t>4</w:t>
      </w:r>
      <w:r w:rsidR="007C369D">
        <w:rPr>
          <w:rFonts w:ascii="Book Antiqua" w:hAnsi="Book Antiqua"/>
          <w:vertAlign w:val="superscript"/>
          <w:lang w:val="en-US"/>
        </w:rPr>
        <w:t>0</w:t>
      </w:r>
      <w:r w:rsidR="00101C03">
        <w:rPr>
          <w:rFonts w:ascii="Book Antiqua" w:hAnsi="Book Antiqua"/>
          <w:vertAlign w:val="superscript"/>
          <w:lang w:val="en-US"/>
        </w:rPr>
        <w:t>]</w:t>
      </w:r>
      <w:r w:rsidR="00356E32" w:rsidRPr="002075A3">
        <w:rPr>
          <w:rFonts w:ascii="Book Antiqua" w:hAnsi="Book Antiqua"/>
          <w:lang w:val="en-US"/>
        </w:rPr>
        <w:t xml:space="preserve"> (sensitivity </w:t>
      </w:r>
      <w:r w:rsidR="00356E32" w:rsidRPr="002075A3">
        <w:rPr>
          <w:rFonts w:ascii="Book Antiqua" w:hAnsi="Book Antiqua"/>
          <w:lang w:val="en-US"/>
        </w:rPr>
        <w:sym w:font="Symbol" w:char="F0B3"/>
      </w:r>
      <w:r w:rsidR="004F39DD">
        <w:rPr>
          <w:rFonts w:ascii="Book Antiqua" w:hAnsi="Book Antiqua" w:hint="eastAsia"/>
          <w:lang w:val="en-US" w:eastAsia="zh-CN"/>
        </w:rPr>
        <w:t xml:space="preserve"> </w:t>
      </w:r>
      <w:r w:rsidR="00356E32" w:rsidRPr="002075A3">
        <w:rPr>
          <w:rFonts w:ascii="Book Antiqua" w:hAnsi="Book Antiqua"/>
          <w:lang w:val="en-US"/>
        </w:rPr>
        <w:t>90%, NPV</w:t>
      </w:r>
      <w:r w:rsidR="004F39DD">
        <w:rPr>
          <w:rFonts w:ascii="Book Antiqua" w:hAnsi="Book Antiqua" w:hint="eastAsia"/>
          <w:lang w:val="en-US" w:eastAsia="zh-CN"/>
        </w:rPr>
        <w:t xml:space="preserve"> </w:t>
      </w:r>
      <w:r w:rsidR="00356E32" w:rsidRPr="002075A3">
        <w:rPr>
          <w:rFonts w:ascii="Book Antiqua" w:hAnsi="Book Antiqua"/>
          <w:lang w:val="en-US"/>
        </w:rPr>
        <w:sym w:font="Symbol" w:char="F0B3"/>
      </w:r>
      <w:r w:rsidR="004F39DD">
        <w:rPr>
          <w:rFonts w:ascii="Book Antiqua" w:hAnsi="Book Antiqua" w:hint="eastAsia"/>
          <w:lang w:val="en-US" w:eastAsia="zh-CN"/>
        </w:rPr>
        <w:t xml:space="preserve"> </w:t>
      </w:r>
      <w:r w:rsidR="00356E32" w:rsidRPr="002075A3">
        <w:rPr>
          <w:rFonts w:ascii="Book Antiqua" w:hAnsi="Book Antiqua"/>
          <w:lang w:val="en-US"/>
        </w:rPr>
        <w:t>98% and specificity</w:t>
      </w:r>
      <w:r w:rsidR="00AE03A1" w:rsidRPr="002075A3">
        <w:rPr>
          <w:rFonts w:ascii="Book Antiqua" w:hAnsi="Book Antiqua"/>
          <w:lang w:val="en-US"/>
        </w:rPr>
        <w:t xml:space="preserve"> &gt;</w:t>
      </w:r>
      <w:r w:rsidR="004F39DD">
        <w:rPr>
          <w:rFonts w:ascii="Book Antiqua" w:hAnsi="Book Antiqua" w:hint="eastAsia"/>
          <w:lang w:val="en-US" w:eastAsia="zh-CN"/>
        </w:rPr>
        <w:t xml:space="preserve"> </w:t>
      </w:r>
      <w:r w:rsidR="00AE03A1" w:rsidRPr="002075A3">
        <w:rPr>
          <w:rFonts w:ascii="Book Antiqua" w:hAnsi="Book Antiqua"/>
          <w:lang w:val="en-US"/>
        </w:rPr>
        <w:t xml:space="preserve">80%) </w:t>
      </w:r>
      <w:r w:rsidR="0009191E" w:rsidRPr="002075A3">
        <w:rPr>
          <w:rFonts w:ascii="Book Antiqua" w:hAnsi="Book Antiqua"/>
          <w:lang w:val="en-US"/>
        </w:rPr>
        <w:t xml:space="preserve">and are thus able to justifiably dispense with 4QBS. The technique is cheap and can be universally applied, regardless of endoscope manufacturer. However, further data from a well-powered </w:t>
      </w:r>
      <w:r w:rsidR="0009191E" w:rsidRPr="002075A3">
        <w:rPr>
          <w:rFonts w:ascii="Book Antiqua" w:hAnsi="Book Antiqua"/>
          <w:lang w:val="en-US"/>
        </w:rPr>
        <w:lastRenderedPageBreak/>
        <w:t xml:space="preserve">randomized controlled trial are required before completely abandoning 4QBS and it may be that the modified Portsmouth protocol </w:t>
      </w:r>
      <w:r w:rsidR="00B44A15" w:rsidRPr="002075A3">
        <w:rPr>
          <w:rFonts w:ascii="Book Antiqua" w:hAnsi="Book Antiqua"/>
          <w:lang w:val="en-US"/>
        </w:rPr>
        <w:t xml:space="preserve">provides </w:t>
      </w:r>
      <w:r w:rsidR="0009191E" w:rsidRPr="002075A3">
        <w:rPr>
          <w:rFonts w:ascii="Book Antiqua" w:hAnsi="Book Antiqua"/>
          <w:lang w:val="en-US"/>
        </w:rPr>
        <w:t>optimum results for cost-effective Barrett’s surveillance.</w:t>
      </w:r>
    </w:p>
    <w:p w14:paraId="5EC1A90C" w14:textId="77777777" w:rsidR="004B73F4" w:rsidRPr="002075A3" w:rsidRDefault="004B73F4" w:rsidP="00E46EEA">
      <w:pPr>
        <w:spacing w:line="360" w:lineRule="auto"/>
        <w:jc w:val="both"/>
        <w:rPr>
          <w:rFonts w:ascii="Book Antiqua" w:hAnsi="Book Antiqua"/>
          <w:b/>
          <w:u w:val="single"/>
          <w:lang w:val="en-US"/>
        </w:rPr>
      </w:pPr>
      <w:r w:rsidRPr="002075A3">
        <w:rPr>
          <w:rFonts w:ascii="Book Antiqua" w:hAnsi="Book Antiqua"/>
          <w:b/>
          <w:u w:val="single"/>
          <w:lang w:val="en-US"/>
        </w:rPr>
        <w:br w:type="page"/>
      </w:r>
    </w:p>
    <w:p w14:paraId="600AA089" w14:textId="4539482D" w:rsidR="000061F2" w:rsidRDefault="00840AE0" w:rsidP="00E46EEA">
      <w:pPr>
        <w:spacing w:line="360" w:lineRule="auto"/>
        <w:jc w:val="both"/>
        <w:rPr>
          <w:rFonts w:ascii="Book Antiqua" w:hAnsi="Book Antiqua" w:cs="Arial"/>
          <w:lang w:eastAsia="zh-CN"/>
        </w:rPr>
      </w:pPr>
      <w:r>
        <w:rPr>
          <w:rFonts w:ascii="Book Antiqua" w:hAnsi="Book Antiqua" w:cs="Arial"/>
          <w:b/>
        </w:rPr>
        <w:lastRenderedPageBreak/>
        <w:t>REFERENCES</w:t>
      </w:r>
      <w:bookmarkStart w:id="31" w:name="OLE_LINK558"/>
      <w:bookmarkStart w:id="32" w:name="OLE_LINK560"/>
      <w:bookmarkStart w:id="33" w:name="OLE_LINK541"/>
      <w:bookmarkStart w:id="34" w:name="OLE_LINK529"/>
      <w:bookmarkStart w:id="35" w:name="OLE_LINK132"/>
      <w:bookmarkStart w:id="36" w:name="OLE_LINK45"/>
      <w:bookmarkStart w:id="37" w:name="OLE_LINK516"/>
      <w:bookmarkStart w:id="38" w:name="OLE_LINK435"/>
      <w:bookmarkStart w:id="39" w:name="OLE_LINK427"/>
    </w:p>
    <w:p w14:paraId="22E2351E"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1 </w:t>
      </w:r>
      <w:r w:rsidRPr="007C4AF1">
        <w:rPr>
          <w:rFonts w:ascii="Book Antiqua" w:hAnsi="Book Antiqua" w:cs="SimSun"/>
          <w:b/>
          <w:bCs/>
        </w:rPr>
        <w:t>Wang KK</w:t>
      </w:r>
      <w:r w:rsidRPr="007C4AF1">
        <w:rPr>
          <w:rFonts w:ascii="Book Antiqua" w:hAnsi="Book Antiqua" w:cs="SimSun"/>
        </w:rPr>
        <w:t>, Sampliner RE. Updated guidelines 2008 for the diagnosis, surveillance and therapy of Barrett's esophagus. </w:t>
      </w:r>
      <w:r w:rsidRPr="007C4AF1">
        <w:rPr>
          <w:rFonts w:ascii="Book Antiqua" w:hAnsi="Book Antiqua" w:cs="SimSun"/>
          <w:i/>
          <w:iCs/>
        </w:rPr>
        <w:t>Am J Gastroenterol</w:t>
      </w:r>
      <w:r w:rsidRPr="007C4AF1">
        <w:rPr>
          <w:rFonts w:ascii="Book Antiqua" w:hAnsi="Book Antiqua" w:cs="SimSun"/>
        </w:rPr>
        <w:t> 2008; </w:t>
      </w:r>
      <w:r w:rsidRPr="007C4AF1">
        <w:rPr>
          <w:rFonts w:ascii="Book Antiqua" w:hAnsi="Book Antiqua" w:cs="SimSun"/>
          <w:b/>
          <w:bCs/>
        </w:rPr>
        <w:t>103</w:t>
      </w:r>
      <w:r w:rsidRPr="007C4AF1">
        <w:rPr>
          <w:rFonts w:ascii="Book Antiqua" w:hAnsi="Book Antiqua" w:cs="SimSun"/>
        </w:rPr>
        <w:t>: 788-797 [PMID: 18341497 DOI: 10.1111/j.1572-0241.2008.01835.x]</w:t>
      </w:r>
    </w:p>
    <w:p w14:paraId="5B1C9577"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2 </w:t>
      </w:r>
      <w:r w:rsidRPr="007C4AF1">
        <w:rPr>
          <w:rFonts w:ascii="Book Antiqua" w:hAnsi="Book Antiqua" w:cs="SimSun"/>
          <w:b/>
          <w:bCs/>
        </w:rPr>
        <w:t>Longcroft-Wheaton G</w:t>
      </w:r>
      <w:r w:rsidRPr="007C4AF1">
        <w:rPr>
          <w:rFonts w:ascii="Book Antiqua" w:hAnsi="Book Antiqua" w:cs="SimSun"/>
        </w:rPr>
        <w:t>, Brown J, Basford P, Cowlishaw D, Higgins B, Bhandari P. Duration of acetowhitening as a novel objective tool for diagnosing high risk neoplasia in Barrett's esophagus: a prospective cohort trial. </w:t>
      </w:r>
      <w:r w:rsidRPr="007C4AF1">
        <w:rPr>
          <w:rFonts w:ascii="Book Antiqua" w:hAnsi="Book Antiqua" w:cs="SimSun"/>
          <w:i/>
          <w:iCs/>
        </w:rPr>
        <w:t>Endoscopy</w:t>
      </w:r>
      <w:r w:rsidRPr="007C4AF1">
        <w:rPr>
          <w:rFonts w:ascii="Book Antiqua" w:hAnsi="Book Antiqua" w:cs="SimSun"/>
        </w:rPr>
        <w:t> 2013; </w:t>
      </w:r>
      <w:r w:rsidRPr="007C4AF1">
        <w:rPr>
          <w:rFonts w:ascii="Book Antiqua" w:hAnsi="Book Antiqua" w:cs="SimSun"/>
          <w:b/>
          <w:bCs/>
        </w:rPr>
        <w:t>45</w:t>
      </w:r>
      <w:r w:rsidRPr="007C4AF1">
        <w:rPr>
          <w:rFonts w:ascii="Book Antiqua" w:hAnsi="Book Antiqua" w:cs="SimSun"/>
        </w:rPr>
        <w:t>: 426-432 [PMID: 23733726 DOI: 10.1055/s-0032-1326630]</w:t>
      </w:r>
    </w:p>
    <w:p w14:paraId="729EE0B3"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3 </w:t>
      </w:r>
      <w:r w:rsidRPr="007C4AF1">
        <w:rPr>
          <w:rFonts w:ascii="Book Antiqua" w:hAnsi="Book Antiqua" w:cs="SimSun"/>
          <w:b/>
          <w:bCs/>
        </w:rPr>
        <w:t>Ronkainen J</w:t>
      </w:r>
      <w:r w:rsidRPr="007C4AF1">
        <w:rPr>
          <w:rFonts w:ascii="Book Antiqua" w:hAnsi="Book Antiqua" w:cs="SimSun"/>
        </w:rPr>
        <w:t>, Aro P, Storskrubb T, Johansson SE, Lind T, Bolling-Sternevald E, Vieth M, Stolte M, Talley NJ, Agréus L. Prevalence of Barrett's esophagus in the general population: an endoscopic study. </w:t>
      </w:r>
      <w:r w:rsidRPr="007C4AF1">
        <w:rPr>
          <w:rFonts w:ascii="Book Antiqua" w:hAnsi="Book Antiqua" w:cs="SimSun"/>
          <w:i/>
          <w:iCs/>
        </w:rPr>
        <w:t>Gastroenterology</w:t>
      </w:r>
      <w:r w:rsidRPr="007C4AF1">
        <w:rPr>
          <w:rFonts w:ascii="Book Antiqua" w:hAnsi="Book Antiqua" w:cs="SimSun"/>
        </w:rPr>
        <w:t> 2005; </w:t>
      </w:r>
      <w:r w:rsidRPr="007C4AF1">
        <w:rPr>
          <w:rFonts w:ascii="Book Antiqua" w:hAnsi="Book Antiqua" w:cs="SimSun"/>
          <w:b/>
          <w:bCs/>
        </w:rPr>
        <w:t>129</w:t>
      </w:r>
      <w:r w:rsidRPr="007C4AF1">
        <w:rPr>
          <w:rFonts w:ascii="Book Antiqua" w:hAnsi="Book Antiqua" w:cs="SimSun"/>
        </w:rPr>
        <w:t>: 1825-1831 [PMID: 16344051 DOI: 10.1053/j.gastro.2005.08.053]</w:t>
      </w:r>
    </w:p>
    <w:p w14:paraId="541F3780"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4 </w:t>
      </w:r>
      <w:r w:rsidRPr="007C4AF1">
        <w:rPr>
          <w:rFonts w:ascii="Book Antiqua" w:hAnsi="Book Antiqua" w:cs="SimSun"/>
          <w:b/>
          <w:bCs/>
        </w:rPr>
        <w:t>Shaheen N</w:t>
      </w:r>
      <w:r w:rsidRPr="007C4AF1">
        <w:rPr>
          <w:rFonts w:ascii="Book Antiqua" w:hAnsi="Book Antiqua" w:cs="SimSun"/>
        </w:rPr>
        <w:t>, Ransohoff DF. Gastroesophageal reflux, barrett esophagus, and esophageal cancer: scientific review. </w:t>
      </w:r>
      <w:r w:rsidRPr="007C4AF1">
        <w:rPr>
          <w:rFonts w:ascii="Book Antiqua" w:hAnsi="Book Antiqua" w:cs="SimSun"/>
          <w:i/>
          <w:iCs/>
        </w:rPr>
        <w:t>JAMA</w:t>
      </w:r>
      <w:r w:rsidRPr="007C4AF1">
        <w:rPr>
          <w:rFonts w:ascii="Book Antiqua" w:hAnsi="Book Antiqua" w:cs="SimSun"/>
        </w:rPr>
        <w:t> 2002; </w:t>
      </w:r>
      <w:r w:rsidRPr="007C4AF1">
        <w:rPr>
          <w:rFonts w:ascii="Book Antiqua" w:hAnsi="Book Antiqua" w:cs="SimSun"/>
          <w:b/>
          <w:bCs/>
        </w:rPr>
        <w:t>287</w:t>
      </w:r>
      <w:r w:rsidRPr="007C4AF1">
        <w:rPr>
          <w:rFonts w:ascii="Book Antiqua" w:hAnsi="Book Antiqua" w:cs="SimSun"/>
        </w:rPr>
        <w:t>: 1972-1981 [PMID: 11960540]</w:t>
      </w:r>
    </w:p>
    <w:p w14:paraId="4CA108BC"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5 </w:t>
      </w:r>
      <w:r w:rsidRPr="007C4AF1">
        <w:rPr>
          <w:rFonts w:ascii="Book Antiqua" w:hAnsi="Book Antiqua" w:cs="SimSun"/>
          <w:b/>
          <w:bCs/>
        </w:rPr>
        <w:t>Fitzgerald RC</w:t>
      </w:r>
      <w:r w:rsidRPr="007C4AF1">
        <w:rPr>
          <w:rFonts w:ascii="Book Antiqua" w:hAnsi="Book Antiqua" w:cs="SimSun"/>
        </w:rPr>
        <w:t>, di Pietro M, Ragunath K, Ang Y, Kang JY, Watson P, Trudgill N, Patel P, Kaye PV, Sanders S, O'Donovan M, Bird-Lieberman E, Bhandari P, Jankowski JA, Attwood S, Parsons SL, Loft D, Lagergren J, Moayyedi P, Lyratzopoulos G, de Caestecker J. British Society of Gastroenterology guidelines on the diagnosis and management of Barrett's oesophagus. </w:t>
      </w:r>
      <w:r w:rsidRPr="007C4AF1">
        <w:rPr>
          <w:rFonts w:ascii="Book Antiqua" w:hAnsi="Book Antiqua" w:cs="SimSun"/>
          <w:i/>
          <w:iCs/>
        </w:rPr>
        <w:t>Gut</w:t>
      </w:r>
      <w:r w:rsidRPr="007C4AF1">
        <w:rPr>
          <w:rFonts w:ascii="Book Antiqua" w:hAnsi="Book Antiqua" w:cs="SimSun"/>
        </w:rPr>
        <w:t> 2014; </w:t>
      </w:r>
      <w:r w:rsidRPr="007C4AF1">
        <w:rPr>
          <w:rFonts w:ascii="Book Antiqua" w:hAnsi="Book Antiqua" w:cs="SimSun"/>
          <w:b/>
          <w:bCs/>
        </w:rPr>
        <w:t>63</w:t>
      </w:r>
      <w:r w:rsidRPr="007C4AF1">
        <w:rPr>
          <w:rFonts w:ascii="Book Antiqua" w:hAnsi="Book Antiqua" w:cs="SimSun"/>
        </w:rPr>
        <w:t>: 7-42 [PMID: 24165758 DOI: 10.1136/gutjnl-2013-305372]</w:t>
      </w:r>
    </w:p>
    <w:p w14:paraId="58D8E8F7"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6 </w:t>
      </w:r>
      <w:r w:rsidRPr="007C4AF1">
        <w:rPr>
          <w:rFonts w:ascii="Book Antiqua" w:hAnsi="Book Antiqua" w:cs="SimSun"/>
          <w:b/>
          <w:bCs/>
        </w:rPr>
        <w:t>Bhat S</w:t>
      </w:r>
      <w:r w:rsidRPr="007C4AF1">
        <w:rPr>
          <w:rFonts w:ascii="Book Antiqua" w:hAnsi="Book Antiqua" w:cs="SimSun"/>
        </w:rPr>
        <w:t>, Coleman HG, Yousef F, Johnston BT, McManus DT, Gavin AT, Murray LJ. Risk of malignant progression in Barrett's esophagus patients: results from a large population-based study. </w:t>
      </w:r>
      <w:r w:rsidRPr="007C4AF1">
        <w:rPr>
          <w:rFonts w:ascii="Book Antiqua" w:hAnsi="Book Antiqua" w:cs="SimSun"/>
          <w:i/>
          <w:iCs/>
        </w:rPr>
        <w:t>J Natl Cancer Inst</w:t>
      </w:r>
      <w:r w:rsidRPr="007C4AF1">
        <w:rPr>
          <w:rFonts w:ascii="Book Antiqua" w:hAnsi="Book Antiqua" w:cs="SimSun"/>
        </w:rPr>
        <w:t> 2011; </w:t>
      </w:r>
      <w:r w:rsidRPr="007C4AF1">
        <w:rPr>
          <w:rFonts w:ascii="Book Antiqua" w:hAnsi="Book Antiqua" w:cs="SimSun"/>
          <w:b/>
          <w:bCs/>
        </w:rPr>
        <w:t>103</w:t>
      </w:r>
      <w:r w:rsidRPr="007C4AF1">
        <w:rPr>
          <w:rFonts w:ascii="Book Antiqua" w:hAnsi="Book Antiqua" w:cs="SimSun"/>
        </w:rPr>
        <w:t>: 1049-1057 [PMID: 21680910 DOI: 10.1093/jnci/djr203]</w:t>
      </w:r>
    </w:p>
    <w:p w14:paraId="146E2F50"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7 </w:t>
      </w:r>
      <w:r w:rsidRPr="007C4AF1">
        <w:rPr>
          <w:rFonts w:ascii="Book Antiqua" w:hAnsi="Book Antiqua" w:cs="SimSun"/>
          <w:b/>
          <w:bCs/>
        </w:rPr>
        <w:t>de Jonge PJ</w:t>
      </w:r>
      <w:r w:rsidRPr="007C4AF1">
        <w:rPr>
          <w:rFonts w:ascii="Book Antiqua" w:hAnsi="Book Antiqua" w:cs="SimSun"/>
        </w:rPr>
        <w:t>, van Blankenstein M, Grady WM, Kuipers EJ. Barrett's oesophagus: epidemiology, cancer risk and implications for management. </w:t>
      </w:r>
      <w:r w:rsidRPr="007C4AF1">
        <w:rPr>
          <w:rFonts w:ascii="Book Antiqua" w:hAnsi="Book Antiqua" w:cs="SimSun"/>
          <w:i/>
          <w:iCs/>
        </w:rPr>
        <w:t>Gut</w:t>
      </w:r>
      <w:r w:rsidRPr="007C4AF1">
        <w:rPr>
          <w:rFonts w:ascii="Book Antiqua" w:hAnsi="Book Antiqua" w:cs="SimSun"/>
        </w:rPr>
        <w:t> 2014; </w:t>
      </w:r>
      <w:r w:rsidRPr="007C4AF1">
        <w:rPr>
          <w:rFonts w:ascii="Book Antiqua" w:hAnsi="Book Antiqua" w:cs="SimSun"/>
          <w:b/>
          <w:bCs/>
        </w:rPr>
        <w:t>63</w:t>
      </w:r>
      <w:r w:rsidRPr="007C4AF1">
        <w:rPr>
          <w:rFonts w:ascii="Book Antiqua" w:hAnsi="Book Antiqua" w:cs="SimSun"/>
        </w:rPr>
        <w:t>: 191-202 [PMID: 24092861 DOI: 10.1136/gutjnl-2013-305490]</w:t>
      </w:r>
    </w:p>
    <w:p w14:paraId="6219D2E6" w14:textId="77777777" w:rsidR="000061F2" w:rsidRPr="007C4AF1" w:rsidRDefault="000061F2" w:rsidP="00E46EEA">
      <w:pPr>
        <w:spacing w:line="360" w:lineRule="auto"/>
        <w:jc w:val="both"/>
        <w:rPr>
          <w:rFonts w:ascii="Book Antiqua" w:hAnsi="Book Antiqua" w:cs="SimSun"/>
        </w:rPr>
      </w:pPr>
      <w:r>
        <w:rPr>
          <w:rFonts w:ascii="Book Antiqua" w:hAnsi="Book Antiqua" w:cs="SimSun"/>
        </w:rPr>
        <w:t xml:space="preserve">8 </w:t>
      </w:r>
      <w:r w:rsidRPr="007C4AF1">
        <w:rPr>
          <w:rFonts w:ascii="Book Antiqua" w:hAnsi="Book Antiqua" w:cs="SimSun"/>
          <w:b/>
        </w:rPr>
        <w:t>Hvid-Jensen F</w:t>
      </w:r>
      <w:r w:rsidRPr="007C4AF1">
        <w:rPr>
          <w:rFonts w:ascii="Book Antiqua" w:hAnsi="Book Antiqua" w:cs="SimSun"/>
        </w:rPr>
        <w:t xml:space="preserve">, Pedersen L. Incidence of Adenocarcinoma among Patients with Barrett’s Esophagus. </w:t>
      </w:r>
      <w:r w:rsidRPr="007C4AF1">
        <w:rPr>
          <w:rFonts w:ascii="Book Antiqua" w:hAnsi="Book Antiqua" w:cs="SimSun"/>
          <w:i/>
        </w:rPr>
        <w:t>Engl J</w:t>
      </w:r>
      <w:r w:rsidRPr="007C4AF1">
        <w:rPr>
          <w:rFonts w:ascii="Book Antiqua" w:hAnsi="Book Antiqua" w:cs="SimSun"/>
        </w:rPr>
        <w:t xml:space="preserve"> 2011; </w:t>
      </w:r>
      <w:r w:rsidRPr="007C4AF1">
        <w:rPr>
          <w:rFonts w:ascii="Book Antiqua" w:hAnsi="Book Antiqua" w:cs="SimSun" w:hint="eastAsia"/>
          <w:b/>
        </w:rPr>
        <w:t>365</w:t>
      </w:r>
      <w:r>
        <w:rPr>
          <w:rFonts w:ascii="Book Antiqua" w:hAnsi="Book Antiqua" w:cs="SimSun" w:hint="eastAsia"/>
        </w:rPr>
        <w:t xml:space="preserve">: </w:t>
      </w:r>
      <w:r w:rsidRPr="007C4AF1">
        <w:rPr>
          <w:rFonts w:ascii="Book Antiqua" w:hAnsi="Book Antiqua" w:cs="SimSun"/>
        </w:rPr>
        <w:t>1375–</w:t>
      </w:r>
      <w:r>
        <w:rPr>
          <w:rFonts w:ascii="Book Antiqua" w:hAnsi="Book Antiqua" w:cs="SimSun" w:hint="eastAsia"/>
        </w:rPr>
        <w:t>13</w:t>
      </w:r>
      <w:r w:rsidRPr="007C4AF1">
        <w:rPr>
          <w:rFonts w:ascii="Book Antiqua" w:hAnsi="Book Antiqua" w:cs="SimSun"/>
        </w:rPr>
        <w:t xml:space="preserve">83 </w:t>
      </w:r>
      <w:r>
        <w:rPr>
          <w:rFonts w:ascii="Book Antiqua" w:hAnsi="Book Antiqua" w:cs="SimSun" w:hint="eastAsia"/>
        </w:rPr>
        <w:t>[</w:t>
      </w:r>
      <w:r w:rsidRPr="007C4AF1">
        <w:rPr>
          <w:rFonts w:ascii="Book Antiqua" w:hAnsi="Book Antiqua" w:cs="SimSun"/>
        </w:rPr>
        <w:t>PMID: 21995385</w:t>
      </w:r>
      <w:r w:rsidRPr="007C4AF1">
        <w:rPr>
          <w:rFonts w:ascii="Book Antiqua" w:hAnsi="Book Antiqua" w:cs="SimSun" w:hint="eastAsia"/>
        </w:rPr>
        <w:t xml:space="preserve"> </w:t>
      </w:r>
      <w:r>
        <w:rPr>
          <w:rFonts w:ascii="Book Antiqua" w:hAnsi="Book Antiqua" w:cs="SimSun" w:hint="eastAsia"/>
        </w:rPr>
        <w:t xml:space="preserve">DOI: </w:t>
      </w:r>
      <w:r w:rsidRPr="007C4AF1">
        <w:rPr>
          <w:rFonts w:ascii="Book Antiqua" w:hAnsi="Book Antiqua" w:cs="SimSun"/>
        </w:rPr>
        <w:t>10.1056/NEJMoa1103042</w:t>
      </w:r>
      <w:r>
        <w:rPr>
          <w:rFonts w:ascii="Book Antiqua" w:hAnsi="Book Antiqua" w:cs="SimSun" w:hint="eastAsia"/>
        </w:rPr>
        <w:t>]</w:t>
      </w:r>
    </w:p>
    <w:p w14:paraId="13BC9C4C"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lastRenderedPageBreak/>
        <w:t>9 </w:t>
      </w:r>
      <w:r w:rsidRPr="007C4AF1">
        <w:rPr>
          <w:rFonts w:ascii="Book Antiqua" w:hAnsi="Book Antiqua" w:cs="SimSun"/>
          <w:b/>
          <w:bCs/>
        </w:rPr>
        <w:t>Yousef F</w:t>
      </w:r>
      <w:r w:rsidRPr="007C4AF1">
        <w:rPr>
          <w:rFonts w:ascii="Book Antiqua" w:hAnsi="Book Antiqua" w:cs="SimSun"/>
        </w:rPr>
        <w:t>, Cardwell C, Cantwell MM, Galway K, Johnston BT, Murray L. The incidence of esophageal cancer and high-grade dysplasia in Barrett's esophagus: a systematic review and meta-analysis. </w:t>
      </w:r>
      <w:r w:rsidRPr="007C4AF1">
        <w:rPr>
          <w:rFonts w:ascii="Book Antiqua" w:hAnsi="Book Antiqua" w:cs="SimSun"/>
          <w:i/>
          <w:iCs/>
        </w:rPr>
        <w:t>Am J Epidemiol</w:t>
      </w:r>
      <w:r w:rsidRPr="007C4AF1">
        <w:rPr>
          <w:rFonts w:ascii="Book Antiqua" w:hAnsi="Book Antiqua" w:cs="SimSun"/>
        </w:rPr>
        <w:t> 2008; </w:t>
      </w:r>
      <w:r w:rsidRPr="007C4AF1">
        <w:rPr>
          <w:rFonts w:ascii="Book Antiqua" w:hAnsi="Book Antiqua" w:cs="SimSun"/>
          <w:b/>
          <w:bCs/>
        </w:rPr>
        <w:t>168</w:t>
      </w:r>
      <w:r w:rsidRPr="007C4AF1">
        <w:rPr>
          <w:rFonts w:ascii="Book Antiqua" w:hAnsi="Book Antiqua" w:cs="SimSun"/>
        </w:rPr>
        <w:t>: 237-249 [PMID: 18550563 DOI: 10.1093/aje/kwn121]</w:t>
      </w:r>
    </w:p>
    <w:p w14:paraId="45C4C1D0"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10 </w:t>
      </w:r>
      <w:r w:rsidRPr="007C4AF1">
        <w:rPr>
          <w:rFonts w:ascii="Book Antiqua" w:hAnsi="Book Antiqua" w:cs="SimSun"/>
          <w:b/>
          <w:bCs/>
        </w:rPr>
        <w:t>Phoa KN</w:t>
      </w:r>
      <w:r w:rsidRPr="007C4AF1">
        <w:rPr>
          <w:rFonts w:ascii="Book Antiqua" w:hAnsi="Book Antiqua" w:cs="SimSun"/>
        </w:rPr>
        <w:t>, van Vilsteren FG, Weusten BL, Bisschops R, Schoon EJ, Ragunath K, Fullarton G, Di Pietro M, Ravi N, Visser M, Offerhaus GJ, Seldenrijk CA, Meijer SL, ten Kate FJ, Tijssen JG, Bergman JJ. Radiofrequency ablation vs endoscopic surveillance for patients with Barrett esophagus and low-grade dysplasia: a randomized clinical trial. </w:t>
      </w:r>
      <w:r w:rsidRPr="007C4AF1">
        <w:rPr>
          <w:rFonts w:ascii="Book Antiqua" w:hAnsi="Book Antiqua" w:cs="SimSun"/>
          <w:i/>
          <w:iCs/>
        </w:rPr>
        <w:t>JAMA</w:t>
      </w:r>
      <w:r w:rsidRPr="007C4AF1">
        <w:rPr>
          <w:rFonts w:ascii="Book Antiqua" w:hAnsi="Book Antiqua" w:cs="SimSun"/>
        </w:rPr>
        <w:t> 2014; </w:t>
      </w:r>
      <w:r w:rsidRPr="007C4AF1">
        <w:rPr>
          <w:rFonts w:ascii="Book Antiqua" w:hAnsi="Book Antiqua" w:cs="SimSun"/>
          <w:b/>
          <w:bCs/>
        </w:rPr>
        <w:t>311</w:t>
      </w:r>
      <w:r w:rsidRPr="007C4AF1">
        <w:rPr>
          <w:rFonts w:ascii="Book Antiqua" w:hAnsi="Book Antiqua" w:cs="SimSun"/>
        </w:rPr>
        <w:t>: 1209-1217 [PMID: 24668102 DOI: 10.1001/jama.2014.2511]</w:t>
      </w:r>
    </w:p>
    <w:p w14:paraId="284C16DD"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11 </w:t>
      </w:r>
      <w:r w:rsidRPr="007C4AF1">
        <w:rPr>
          <w:rFonts w:ascii="Book Antiqua" w:hAnsi="Book Antiqua" w:cs="SimSun"/>
          <w:b/>
          <w:bCs/>
        </w:rPr>
        <w:t>Konda VJ</w:t>
      </w:r>
      <w:r w:rsidRPr="007C4AF1">
        <w:rPr>
          <w:rFonts w:ascii="Book Antiqua" w:hAnsi="Book Antiqua" w:cs="SimSun"/>
        </w:rPr>
        <w:t>, Ross AS, Ferguson MK, Hart JA, Lin S, Naylor K, Noffsinger A, Posner MC, Dye C, Cislo B, Stearns L, Waxman I. Is the risk of concomitant invasive esophageal cancer in high-grade dysplasia in Barrett's esophagus overestimated? </w:t>
      </w:r>
      <w:r w:rsidRPr="007C4AF1">
        <w:rPr>
          <w:rFonts w:ascii="Book Antiqua" w:hAnsi="Book Antiqua" w:cs="SimSun"/>
          <w:i/>
          <w:iCs/>
        </w:rPr>
        <w:t>Clin Gastroenterol Hepatol</w:t>
      </w:r>
      <w:r w:rsidRPr="007C4AF1">
        <w:rPr>
          <w:rFonts w:ascii="Book Antiqua" w:hAnsi="Book Antiqua" w:cs="SimSun"/>
        </w:rPr>
        <w:t> 2008; </w:t>
      </w:r>
      <w:r w:rsidRPr="007C4AF1">
        <w:rPr>
          <w:rFonts w:ascii="Book Antiqua" w:hAnsi="Book Antiqua" w:cs="SimSun"/>
          <w:b/>
          <w:bCs/>
        </w:rPr>
        <w:t>6</w:t>
      </w:r>
      <w:r w:rsidRPr="007C4AF1">
        <w:rPr>
          <w:rFonts w:ascii="Book Antiqua" w:hAnsi="Book Antiqua" w:cs="SimSun"/>
        </w:rPr>
        <w:t>: 159-164 [PMID: 18096439 DOI: 10.1016/j.cgh.2007.09.013]</w:t>
      </w:r>
    </w:p>
    <w:p w14:paraId="0A15EF02"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12 </w:t>
      </w:r>
      <w:r w:rsidRPr="007C4AF1">
        <w:rPr>
          <w:rFonts w:ascii="Book Antiqua" w:hAnsi="Book Antiqua" w:cs="SimSun"/>
          <w:b/>
          <w:bCs/>
        </w:rPr>
        <w:t>Heitmiller RF</w:t>
      </w:r>
      <w:r w:rsidRPr="007C4AF1">
        <w:rPr>
          <w:rFonts w:ascii="Book Antiqua" w:hAnsi="Book Antiqua" w:cs="SimSun"/>
        </w:rPr>
        <w:t>, Redmond M, Hamilton SR. Barrett's esophagus with high-grade dysplasia. An indication for prophylactic esophagectomy. </w:t>
      </w:r>
      <w:r w:rsidRPr="007C4AF1">
        <w:rPr>
          <w:rFonts w:ascii="Book Antiqua" w:hAnsi="Book Antiqua" w:cs="SimSun"/>
          <w:i/>
          <w:iCs/>
        </w:rPr>
        <w:t>Ann Surg</w:t>
      </w:r>
      <w:r w:rsidRPr="007C4AF1">
        <w:rPr>
          <w:rFonts w:ascii="Book Antiqua" w:hAnsi="Book Antiqua" w:cs="SimSun"/>
        </w:rPr>
        <w:t> 1996; </w:t>
      </w:r>
      <w:r w:rsidRPr="007C4AF1">
        <w:rPr>
          <w:rFonts w:ascii="Book Antiqua" w:hAnsi="Book Antiqua" w:cs="SimSun"/>
          <w:b/>
          <w:bCs/>
        </w:rPr>
        <w:t>224</w:t>
      </w:r>
      <w:r w:rsidRPr="007C4AF1">
        <w:rPr>
          <w:rFonts w:ascii="Book Antiqua" w:hAnsi="Book Antiqua" w:cs="SimSun"/>
        </w:rPr>
        <w:t>: 66-71 [PMID: 8678620 DOI: 10.1097/00000658-199607000-00010]</w:t>
      </w:r>
    </w:p>
    <w:p w14:paraId="067EE796"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13 </w:t>
      </w:r>
      <w:r w:rsidRPr="007C4AF1">
        <w:rPr>
          <w:rFonts w:ascii="Book Antiqua" w:hAnsi="Book Antiqua" w:cs="SimSun"/>
          <w:b/>
          <w:bCs/>
        </w:rPr>
        <w:t>Fitzgerald RC</w:t>
      </w:r>
      <w:r w:rsidRPr="007C4AF1">
        <w:rPr>
          <w:rFonts w:ascii="Book Antiqua" w:hAnsi="Book Antiqua" w:cs="SimSun"/>
        </w:rPr>
        <w:t>, Saeed IT, Khoo D, Farthing MJ, Burnham WR. Rigorous surveillance protocol increases detection of curable cancers associated with Barrett's esophagus. </w:t>
      </w:r>
      <w:r w:rsidRPr="007C4AF1">
        <w:rPr>
          <w:rFonts w:ascii="Book Antiqua" w:hAnsi="Book Antiqua" w:cs="SimSun"/>
          <w:i/>
          <w:iCs/>
        </w:rPr>
        <w:t>Dig Dis Sci</w:t>
      </w:r>
      <w:r w:rsidRPr="007C4AF1">
        <w:rPr>
          <w:rFonts w:ascii="Book Antiqua" w:hAnsi="Book Antiqua" w:cs="SimSun"/>
        </w:rPr>
        <w:t> 2001; </w:t>
      </w:r>
      <w:r w:rsidRPr="007C4AF1">
        <w:rPr>
          <w:rFonts w:ascii="Book Antiqua" w:hAnsi="Book Antiqua" w:cs="SimSun"/>
          <w:b/>
          <w:bCs/>
        </w:rPr>
        <w:t>46</w:t>
      </w:r>
      <w:r w:rsidRPr="007C4AF1">
        <w:rPr>
          <w:rFonts w:ascii="Book Antiqua" w:hAnsi="Book Antiqua" w:cs="SimSun"/>
        </w:rPr>
        <w:t>: 1892-1898 [PMID: 11575441 DOI: 10.1023/A: 1010678913481]</w:t>
      </w:r>
    </w:p>
    <w:p w14:paraId="4D872063"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14 </w:t>
      </w:r>
      <w:r w:rsidRPr="007C4AF1">
        <w:rPr>
          <w:rFonts w:ascii="Book Antiqua" w:hAnsi="Book Antiqua" w:cs="SimSun"/>
          <w:b/>
          <w:bCs/>
        </w:rPr>
        <w:t>Pech O</w:t>
      </w:r>
      <w:r w:rsidRPr="007C4AF1">
        <w:rPr>
          <w:rFonts w:ascii="Book Antiqua" w:hAnsi="Book Antiqua" w:cs="SimSun"/>
        </w:rPr>
        <w:t>, Gossner L, Manner H, May A, Rabenstein T, Behrens A, Berres M, Huijsmans J, Vieth M, Stolte M, Ell C. Prospective evaluation of the macroscopic types and location of early Barrett's neoplasia in 380 lesions. </w:t>
      </w:r>
      <w:r w:rsidRPr="007C4AF1">
        <w:rPr>
          <w:rFonts w:ascii="Book Antiqua" w:hAnsi="Book Antiqua" w:cs="SimSun"/>
          <w:i/>
          <w:iCs/>
        </w:rPr>
        <w:t>Endoscopy</w:t>
      </w:r>
      <w:r w:rsidRPr="007C4AF1">
        <w:rPr>
          <w:rFonts w:ascii="Book Antiqua" w:hAnsi="Book Antiqua" w:cs="SimSun"/>
        </w:rPr>
        <w:t> 2007; </w:t>
      </w:r>
      <w:r w:rsidRPr="007C4AF1">
        <w:rPr>
          <w:rFonts w:ascii="Book Antiqua" w:hAnsi="Book Antiqua" w:cs="SimSun"/>
          <w:b/>
          <w:bCs/>
        </w:rPr>
        <w:t>39</w:t>
      </w:r>
      <w:r w:rsidRPr="007C4AF1">
        <w:rPr>
          <w:rFonts w:ascii="Book Antiqua" w:hAnsi="Book Antiqua" w:cs="SimSun"/>
        </w:rPr>
        <w:t>: 588-593 [PMID: 17611912 DOI: 10.1055/s-2007-966363]</w:t>
      </w:r>
    </w:p>
    <w:p w14:paraId="53F246F6"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15 </w:t>
      </w:r>
      <w:r w:rsidRPr="007C4AF1">
        <w:rPr>
          <w:rFonts w:ascii="Book Antiqua" w:hAnsi="Book Antiqua" w:cs="SimSun"/>
          <w:b/>
          <w:bCs/>
        </w:rPr>
        <w:t>Sturm MB</w:t>
      </w:r>
      <w:r w:rsidRPr="007C4AF1">
        <w:rPr>
          <w:rFonts w:ascii="Book Antiqua" w:hAnsi="Book Antiqua" w:cs="SimSun"/>
        </w:rPr>
        <w:t>, Wang TD. Emerging optical methods for surveillance of Barrett's oesophagus. </w:t>
      </w:r>
      <w:r w:rsidRPr="007C4AF1">
        <w:rPr>
          <w:rFonts w:ascii="Book Antiqua" w:hAnsi="Book Antiqua" w:cs="SimSun"/>
          <w:i/>
          <w:iCs/>
        </w:rPr>
        <w:t>Gut</w:t>
      </w:r>
      <w:r w:rsidRPr="007C4AF1">
        <w:rPr>
          <w:rFonts w:ascii="Book Antiqua" w:hAnsi="Book Antiqua" w:cs="SimSun"/>
        </w:rPr>
        <w:t> 2015; </w:t>
      </w:r>
      <w:r w:rsidRPr="007C4AF1">
        <w:rPr>
          <w:rFonts w:ascii="Book Antiqua" w:hAnsi="Book Antiqua" w:cs="SimSun"/>
          <w:b/>
          <w:bCs/>
        </w:rPr>
        <w:t>64</w:t>
      </w:r>
      <w:r w:rsidRPr="007C4AF1">
        <w:rPr>
          <w:rFonts w:ascii="Book Antiqua" w:hAnsi="Book Antiqua" w:cs="SimSun"/>
        </w:rPr>
        <w:t>: 1816-1823 [PMID: 25975605 DOI: 10.1136/gutjnl-2013-306706]</w:t>
      </w:r>
    </w:p>
    <w:p w14:paraId="109932C5"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lastRenderedPageBreak/>
        <w:t>16 </w:t>
      </w:r>
      <w:r w:rsidRPr="007C4AF1">
        <w:rPr>
          <w:rFonts w:ascii="Book Antiqua" w:hAnsi="Book Antiqua" w:cs="SimSun"/>
          <w:b/>
          <w:bCs/>
        </w:rPr>
        <w:t>Rey JF</w:t>
      </w:r>
      <w:r w:rsidRPr="007C4AF1">
        <w:rPr>
          <w:rFonts w:ascii="Book Antiqua" w:hAnsi="Book Antiqua" w:cs="SimSun"/>
        </w:rPr>
        <w:t>, Inoue H, Guelrud M. Magnification endoscopy with acetic acid for Barrett's esophagus. </w:t>
      </w:r>
      <w:r w:rsidRPr="007C4AF1">
        <w:rPr>
          <w:rFonts w:ascii="Book Antiqua" w:hAnsi="Book Antiqua" w:cs="SimSun"/>
          <w:i/>
          <w:iCs/>
        </w:rPr>
        <w:t>Endoscopy</w:t>
      </w:r>
      <w:r w:rsidRPr="007C4AF1">
        <w:rPr>
          <w:rFonts w:ascii="Book Antiqua" w:hAnsi="Book Antiqua" w:cs="SimSun"/>
        </w:rPr>
        <w:t> 2005; </w:t>
      </w:r>
      <w:r w:rsidRPr="007C4AF1">
        <w:rPr>
          <w:rFonts w:ascii="Book Antiqua" w:hAnsi="Book Antiqua" w:cs="SimSun"/>
          <w:b/>
          <w:bCs/>
        </w:rPr>
        <w:t>37</w:t>
      </w:r>
      <w:r w:rsidRPr="007C4AF1">
        <w:rPr>
          <w:rFonts w:ascii="Book Antiqua" w:hAnsi="Book Antiqua" w:cs="SimSun"/>
        </w:rPr>
        <w:t>: 583-586 [PMID: 15933935 DOI: 10.1055/s-2005-861321]</w:t>
      </w:r>
    </w:p>
    <w:p w14:paraId="603D7C84"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17 </w:t>
      </w:r>
      <w:r w:rsidRPr="007C4AF1">
        <w:rPr>
          <w:rFonts w:ascii="Book Antiqua" w:hAnsi="Book Antiqua" w:cs="SimSun"/>
          <w:b/>
          <w:bCs/>
        </w:rPr>
        <w:t>Falk GW</w:t>
      </w:r>
      <w:r w:rsidRPr="007C4AF1">
        <w:rPr>
          <w:rFonts w:ascii="Book Antiqua" w:hAnsi="Book Antiqua" w:cs="SimSun"/>
        </w:rPr>
        <w:t>, Rice TW, Goldblum JR, Richter JE. Jumbo biopsy forceps protocol still misses unsuspected cancer in Barrett's esophagus with high-grade dysplasia. </w:t>
      </w:r>
      <w:r w:rsidRPr="007C4AF1">
        <w:rPr>
          <w:rFonts w:ascii="Book Antiqua" w:hAnsi="Book Antiqua" w:cs="SimSun"/>
          <w:i/>
          <w:iCs/>
        </w:rPr>
        <w:t>Gastrointest Endosc</w:t>
      </w:r>
      <w:r w:rsidRPr="007C4AF1">
        <w:rPr>
          <w:rFonts w:ascii="Book Antiqua" w:hAnsi="Book Antiqua" w:cs="SimSun"/>
        </w:rPr>
        <w:t> 1999; </w:t>
      </w:r>
      <w:r w:rsidRPr="007C4AF1">
        <w:rPr>
          <w:rFonts w:ascii="Book Antiqua" w:hAnsi="Book Antiqua" w:cs="SimSun"/>
          <w:b/>
          <w:bCs/>
        </w:rPr>
        <w:t>49</w:t>
      </w:r>
      <w:r w:rsidRPr="007C4AF1">
        <w:rPr>
          <w:rFonts w:ascii="Book Antiqua" w:hAnsi="Book Antiqua" w:cs="SimSun"/>
        </w:rPr>
        <w:t>: 170-176 [PMID: 9925694 DOI: 10.1016/S0016-5107(99)70482-7]</w:t>
      </w:r>
    </w:p>
    <w:p w14:paraId="31DEC2B3" w14:textId="553BC561" w:rsidR="000061F2" w:rsidRPr="007C4AF1" w:rsidRDefault="000061F2" w:rsidP="00E46EEA">
      <w:pPr>
        <w:spacing w:line="360" w:lineRule="auto"/>
        <w:jc w:val="both"/>
        <w:rPr>
          <w:rFonts w:ascii="Book Antiqua" w:hAnsi="Book Antiqua" w:cs="SimSun"/>
        </w:rPr>
      </w:pPr>
      <w:r w:rsidRPr="007C4AF1">
        <w:rPr>
          <w:rFonts w:ascii="Book Antiqua" w:hAnsi="Book Antiqua" w:cs="SimSun"/>
        </w:rPr>
        <w:t>18 </w:t>
      </w:r>
      <w:r w:rsidRPr="007C4AF1">
        <w:rPr>
          <w:rFonts w:ascii="Book Antiqua" w:hAnsi="Book Antiqua" w:cs="SimSun"/>
          <w:b/>
          <w:bCs/>
        </w:rPr>
        <w:t>Edwards MJ</w:t>
      </w:r>
      <w:r w:rsidRPr="007C4AF1">
        <w:rPr>
          <w:rFonts w:ascii="Book Antiqua" w:hAnsi="Book Antiqua" w:cs="SimSun"/>
        </w:rPr>
        <w:t>, Gable DR, Lentsch AB, Richardson JD. The rationale for esophagectomy as the optimal therapy for Barrett's esophagus with high-grade dysplasia. </w:t>
      </w:r>
      <w:r w:rsidRPr="007C4AF1">
        <w:rPr>
          <w:rFonts w:ascii="Book Antiqua" w:hAnsi="Book Antiqua" w:cs="SimSun"/>
          <w:i/>
          <w:iCs/>
        </w:rPr>
        <w:t>Ann Surg</w:t>
      </w:r>
      <w:r w:rsidRPr="007C4AF1">
        <w:rPr>
          <w:rFonts w:ascii="Book Antiqua" w:hAnsi="Book Antiqua" w:cs="SimSun"/>
        </w:rPr>
        <w:t> 1996; </w:t>
      </w:r>
      <w:r w:rsidRPr="007C4AF1">
        <w:rPr>
          <w:rFonts w:ascii="Book Antiqua" w:hAnsi="Book Antiqua" w:cs="SimSun"/>
          <w:b/>
          <w:bCs/>
        </w:rPr>
        <w:t>223</w:t>
      </w:r>
      <w:r w:rsidRPr="007C4AF1">
        <w:rPr>
          <w:rFonts w:ascii="Book Antiqua" w:hAnsi="Book Antiqua" w:cs="SimSun"/>
        </w:rPr>
        <w:t>: 585-</w:t>
      </w:r>
      <w:r w:rsidR="00E46EEA">
        <w:rPr>
          <w:rFonts w:ascii="Book Antiqua" w:hAnsi="Book Antiqua" w:cs="SimSun" w:hint="eastAsia"/>
          <w:lang w:eastAsia="zh-CN"/>
        </w:rPr>
        <w:t>5</w:t>
      </w:r>
      <w:r w:rsidRPr="007C4AF1">
        <w:rPr>
          <w:rFonts w:ascii="Book Antiqua" w:hAnsi="Book Antiqua" w:cs="SimSun"/>
        </w:rPr>
        <w:t>59; discussion 585-</w:t>
      </w:r>
      <w:r w:rsidR="00E46EEA">
        <w:rPr>
          <w:rFonts w:ascii="Book Antiqua" w:hAnsi="Book Antiqua" w:cs="SimSun" w:hint="eastAsia"/>
          <w:lang w:eastAsia="zh-CN"/>
        </w:rPr>
        <w:t>5</w:t>
      </w:r>
      <w:r w:rsidRPr="007C4AF1">
        <w:rPr>
          <w:rFonts w:ascii="Book Antiqua" w:hAnsi="Book Antiqua" w:cs="SimSun"/>
        </w:rPr>
        <w:t>59; [PMID: 8651749 DOI: 10.1097/00000658-199605000-00014]</w:t>
      </w:r>
    </w:p>
    <w:p w14:paraId="49E01256" w14:textId="77777777" w:rsidR="000061F2" w:rsidRDefault="000061F2" w:rsidP="00E46EEA">
      <w:pPr>
        <w:spacing w:line="360" w:lineRule="auto"/>
        <w:jc w:val="both"/>
        <w:rPr>
          <w:rFonts w:ascii="Book Antiqua" w:hAnsi="Book Antiqua" w:cs="SimSun"/>
        </w:rPr>
      </w:pPr>
      <w:r>
        <w:rPr>
          <w:rFonts w:ascii="Book Antiqua" w:hAnsi="Book Antiqua" w:cs="SimSun"/>
        </w:rPr>
        <w:t xml:space="preserve">19 </w:t>
      </w:r>
      <w:r w:rsidRPr="007C4AF1">
        <w:rPr>
          <w:rFonts w:ascii="Book Antiqua" w:hAnsi="Book Antiqua" w:cs="SimSun"/>
          <w:b/>
        </w:rPr>
        <w:t>Peters FP,</w:t>
      </w:r>
      <w:r w:rsidRPr="007C4AF1">
        <w:rPr>
          <w:rFonts w:ascii="Book Antiqua" w:hAnsi="Book Antiqua" w:cs="SimSun"/>
        </w:rPr>
        <w:t xml:space="preserve"> Curvers WL, Rosmolen WD, De Vries CE, Ten Kate FJW, Krishnadath KK, Fockens P, Bergman JJGHM. Surveillance history of endoscopically treated patients with early Barrett’s neoplasia: nonadherence to the Seattle biopsy protocol leads to sampling error. </w:t>
      </w:r>
      <w:r w:rsidRPr="007C4AF1">
        <w:rPr>
          <w:rFonts w:ascii="Book Antiqua" w:hAnsi="Book Antiqua" w:cs="SimSun"/>
          <w:i/>
        </w:rPr>
        <w:t>Dis Esophagus</w:t>
      </w:r>
      <w:r w:rsidRPr="007C4AF1">
        <w:rPr>
          <w:rFonts w:ascii="Book Antiqua" w:hAnsi="Book Antiqua" w:cs="SimSun"/>
        </w:rPr>
        <w:t xml:space="preserve"> 2008; </w:t>
      </w:r>
      <w:r w:rsidRPr="007C4AF1">
        <w:rPr>
          <w:rFonts w:ascii="Book Antiqua" w:hAnsi="Book Antiqua" w:cs="SimSun"/>
          <w:b/>
        </w:rPr>
        <w:t>21</w:t>
      </w:r>
      <w:r w:rsidRPr="007C4AF1">
        <w:rPr>
          <w:rFonts w:ascii="Book Antiqua" w:hAnsi="Book Antiqua" w:cs="SimSun"/>
        </w:rPr>
        <w:t>: 475–</w:t>
      </w:r>
      <w:r>
        <w:rPr>
          <w:rFonts w:ascii="Book Antiqua" w:hAnsi="Book Antiqua" w:cs="SimSun" w:hint="eastAsia"/>
        </w:rPr>
        <w:t>47</w:t>
      </w:r>
      <w:r w:rsidRPr="007C4AF1">
        <w:rPr>
          <w:rFonts w:ascii="Book Antiqua" w:hAnsi="Book Antiqua" w:cs="SimSun"/>
        </w:rPr>
        <w:t xml:space="preserve">9 [DOI: 10.1111/j.1442-2050.2008.00813.x] </w:t>
      </w:r>
    </w:p>
    <w:p w14:paraId="342C47C2"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20 </w:t>
      </w:r>
      <w:r w:rsidRPr="007C4AF1">
        <w:rPr>
          <w:rFonts w:ascii="Book Antiqua" w:hAnsi="Book Antiqua" w:cs="SimSun"/>
          <w:b/>
          <w:bCs/>
        </w:rPr>
        <w:t>Bhandari P</w:t>
      </w:r>
      <w:r w:rsidRPr="007C4AF1">
        <w:rPr>
          <w:rFonts w:ascii="Book Antiqua" w:hAnsi="Book Antiqua" w:cs="SimSun"/>
        </w:rPr>
        <w:t>, Kandaswamy P, Cowlishaw D, Longcroft-Wheaton G. Acetic acid-enhanced chromoendoscopy is more cost-effective than protocol-guided biopsies in a high-risk Barrett's population. </w:t>
      </w:r>
      <w:r w:rsidRPr="007C4AF1">
        <w:rPr>
          <w:rFonts w:ascii="Book Antiqua" w:hAnsi="Book Antiqua" w:cs="SimSun"/>
          <w:i/>
          <w:iCs/>
        </w:rPr>
        <w:t>Dis Esophagus</w:t>
      </w:r>
      <w:r w:rsidRPr="007C4AF1">
        <w:rPr>
          <w:rFonts w:ascii="Book Antiqua" w:hAnsi="Book Antiqua" w:cs="SimSun"/>
        </w:rPr>
        <w:t> 2012; </w:t>
      </w:r>
      <w:r w:rsidRPr="007C4AF1">
        <w:rPr>
          <w:rFonts w:ascii="Book Antiqua" w:hAnsi="Book Antiqua" w:cs="SimSun"/>
          <w:b/>
          <w:bCs/>
        </w:rPr>
        <w:t>25</w:t>
      </w:r>
      <w:r w:rsidRPr="007C4AF1">
        <w:rPr>
          <w:rFonts w:ascii="Book Antiqua" w:hAnsi="Book Antiqua" w:cs="SimSun"/>
        </w:rPr>
        <w:t>: 386-392 [PMID: 21981061 DOI: 10.1111/j.1442-2050.2011.01267.x]</w:t>
      </w:r>
    </w:p>
    <w:p w14:paraId="21C9A124"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21 </w:t>
      </w:r>
      <w:r w:rsidRPr="007C4AF1">
        <w:rPr>
          <w:rFonts w:ascii="Book Antiqua" w:hAnsi="Book Antiqua" w:cs="SimSun"/>
          <w:b/>
          <w:bCs/>
        </w:rPr>
        <w:t>Guelrud M</w:t>
      </w:r>
      <w:r w:rsidRPr="007C4AF1">
        <w:rPr>
          <w:rFonts w:ascii="Book Antiqua" w:hAnsi="Book Antiqua" w:cs="SimSun"/>
        </w:rPr>
        <w:t>, Herrera I, Essenfeld H, Castro J. Enhanced magnification endoscopy: a new technique to identify specialized intestinal metaplasia in Barrett's esophagus. </w:t>
      </w:r>
      <w:r w:rsidRPr="007C4AF1">
        <w:rPr>
          <w:rFonts w:ascii="Book Antiqua" w:hAnsi="Book Antiqua" w:cs="SimSun"/>
          <w:i/>
          <w:iCs/>
        </w:rPr>
        <w:t>Gastrointest Endosc</w:t>
      </w:r>
      <w:r w:rsidRPr="007C4AF1">
        <w:rPr>
          <w:rFonts w:ascii="Book Antiqua" w:hAnsi="Book Antiqua" w:cs="SimSun"/>
        </w:rPr>
        <w:t> 2001; </w:t>
      </w:r>
      <w:r w:rsidRPr="007C4AF1">
        <w:rPr>
          <w:rFonts w:ascii="Book Antiqua" w:hAnsi="Book Antiqua" w:cs="SimSun"/>
          <w:b/>
          <w:bCs/>
        </w:rPr>
        <w:t>53</w:t>
      </w:r>
      <w:r w:rsidRPr="007C4AF1">
        <w:rPr>
          <w:rFonts w:ascii="Book Antiqua" w:hAnsi="Book Antiqua" w:cs="SimSun"/>
        </w:rPr>
        <w:t>: 559-565 [PMID: 11323579 DOI: 10.1067/mge.2001.114059]</w:t>
      </w:r>
    </w:p>
    <w:p w14:paraId="4F379661" w14:textId="77777777" w:rsidR="000061F2" w:rsidRDefault="000061F2" w:rsidP="00E46EEA">
      <w:pPr>
        <w:spacing w:line="360" w:lineRule="auto"/>
        <w:jc w:val="both"/>
        <w:rPr>
          <w:rFonts w:ascii="Book Antiqua" w:hAnsi="Book Antiqua" w:cs="SimSun"/>
        </w:rPr>
      </w:pPr>
      <w:r w:rsidRPr="007C4AF1">
        <w:rPr>
          <w:rFonts w:ascii="Book Antiqua" w:hAnsi="Book Antiqua" w:cs="SimSun"/>
        </w:rPr>
        <w:t xml:space="preserve">22 </w:t>
      </w:r>
      <w:r w:rsidRPr="007C4AF1">
        <w:rPr>
          <w:rFonts w:ascii="Book Antiqua" w:hAnsi="Book Antiqua" w:cs="SimSun"/>
          <w:b/>
        </w:rPr>
        <w:t>Van Le L,</w:t>
      </w:r>
      <w:r w:rsidRPr="007C4AF1">
        <w:rPr>
          <w:rFonts w:ascii="Book Antiqua" w:hAnsi="Book Antiqua" w:cs="SimSun"/>
        </w:rPr>
        <w:t xml:space="preserve"> Broekhuizen FF, Janzer-Steele R, Behar M, Samter T.</w:t>
      </w:r>
      <w:r>
        <w:rPr>
          <w:rFonts w:ascii="Book Antiqua" w:hAnsi="Book Antiqua" w:cs="SimSun" w:hint="eastAsia"/>
        </w:rPr>
        <w:t xml:space="preserve"> </w:t>
      </w:r>
      <w:r w:rsidRPr="007C4AF1">
        <w:rPr>
          <w:rFonts w:ascii="Book Antiqua" w:hAnsi="Book Antiqua" w:cs="SimSun"/>
        </w:rPr>
        <w:t>Acetic acid visualization of the cervix to detect cer</w:t>
      </w:r>
      <w:r>
        <w:rPr>
          <w:rFonts w:ascii="Book Antiqua" w:hAnsi="Book Antiqua" w:cs="SimSun"/>
        </w:rPr>
        <w:t xml:space="preserve">vical dysplasia. </w:t>
      </w:r>
      <w:r w:rsidRPr="007C4AF1">
        <w:rPr>
          <w:rFonts w:ascii="Book Antiqua" w:hAnsi="Book Antiqua" w:cs="SimSun"/>
          <w:i/>
        </w:rPr>
        <w:t xml:space="preserve">Obstet Gynecol </w:t>
      </w:r>
      <w:r w:rsidRPr="007C4AF1">
        <w:rPr>
          <w:rFonts w:ascii="Book Antiqua" w:hAnsi="Book Antiqua" w:cs="SimSun"/>
        </w:rPr>
        <w:t xml:space="preserve">1993; </w:t>
      </w:r>
      <w:r w:rsidRPr="007C4AF1">
        <w:rPr>
          <w:rFonts w:ascii="Book Antiqua" w:hAnsi="Book Antiqua" w:cs="SimSun"/>
          <w:b/>
        </w:rPr>
        <w:t>81</w:t>
      </w:r>
      <w:r w:rsidRPr="007C4AF1">
        <w:rPr>
          <w:rFonts w:ascii="Book Antiqua" w:hAnsi="Book Antiqua" w:cs="SimSun"/>
        </w:rPr>
        <w:t>: 293–</w:t>
      </w:r>
      <w:r>
        <w:rPr>
          <w:rFonts w:ascii="Book Antiqua" w:hAnsi="Book Antiqua" w:cs="SimSun" w:hint="eastAsia"/>
        </w:rPr>
        <w:t>29</w:t>
      </w:r>
      <w:r w:rsidRPr="007C4AF1">
        <w:rPr>
          <w:rFonts w:ascii="Book Antiqua" w:hAnsi="Book Antiqua" w:cs="SimSun"/>
        </w:rPr>
        <w:t>5</w:t>
      </w:r>
      <w:r>
        <w:rPr>
          <w:rFonts w:ascii="Book Antiqua" w:hAnsi="Book Antiqua" w:cs="SimSun" w:hint="eastAsia"/>
        </w:rPr>
        <w:t xml:space="preserve"> [</w:t>
      </w:r>
      <w:r w:rsidRPr="007C4AF1">
        <w:rPr>
          <w:rFonts w:ascii="Book Antiqua" w:hAnsi="Book Antiqua" w:cs="SimSun"/>
        </w:rPr>
        <w:t>PMID: 8423967</w:t>
      </w:r>
      <w:r>
        <w:rPr>
          <w:rFonts w:ascii="Book Antiqua" w:hAnsi="Book Antiqua" w:cs="SimSun" w:hint="eastAsia"/>
        </w:rPr>
        <w:t>]</w:t>
      </w:r>
    </w:p>
    <w:p w14:paraId="2290D8D6"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23 </w:t>
      </w:r>
      <w:r w:rsidRPr="007C4AF1">
        <w:rPr>
          <w:rFonts w:ascii="Book Antiqua" w:hAnsi="Book Antiqua" w:cs="SimSun"/>
          <w:b/>
          <w:bCs/>
        </w:rPr>
        <w:t>Lambert R</w:t>
      </w:r>
      <w:r w:rsidRPr="007C4AF1">
        <w:rPr>
          <w:rFonts w:ascii="Book Antiqua" w:hAnsi="Book Antiqua" w:cs="SimSun"/>
        </w:rPr>
        <w:t>, Rey JF, Sankaranarayanan R. Magnification and chromoscopy with the acetic acid test. </w:t>
      </w:r>
      <w:r w:rsidRPr="007C4AF1">
        <w:rPr>
          <w:rFonts w:ascii="Book Antiqua" w:hAnsi="Book Antiqua" w:cs="SimSun"/>
          <w:i/>
          <w:iCs/>
        </w:rPr>
        <w:t>Endoscopy</w:t>
      </w:r>
      <w:r w:rsidRPr="007C4AF1">
        <w:rPr>
          <w:rFonts w:ascii="Book Antiqua" w:hAnsi="Book Antiqua" w:cs="SimSun"/>
        </w:rPr>
        <w:t> 2003; </w:t>
      </w:r>
      <w:r w:rsidRPr="007C4AF1">
        <w:rPr>
          <w:rFonts w:ascii="Book Antiqua" w:hAnsi="Book Antiqua" w:cs="SimSun"/>
          <w:b/>
          <w:bCs/>
        </w:rPr>
        <w:t>35</w:t>
      </w:r>
      <w:r w:rsidRPr="007C4AF1">
        <w:rPr>
          <w:rFonts w:ascii="Book Antiqua" w:hAnsi="Book Antiqua" w:cs="SimSun"/>
        </w:rPr>
        <w:t>: 437-445 [PMID: 12701018 DOI: 10.1055/s-2003-38766]</w:t>
      </w:r>
    </w:p>
    <w:p w14:paraId="29DB5C2A"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lastRenderedPageBreak/>
        <w:t>24 </w:t>
      </w:r>
      <w:r w:rsidRPr="007C4AF1">
        <w:rPr>
          <w:rFonts w:ascii="Book Antiqua" w:hAnsi="Book Antiqua" w:cs="SimSun"/>
          <w:b/>
          <w:bCs/>
        </w:rPr>
        <w:t>Canto MI</w:t>
      </w:r>
      <w:r w:rsidRPr="007C4AF1">
        <w:rPr>
          <w:rFonts w:ascii="Book Antiqua" w:hAnsi="Book Antiqua" w:cs="SimSun"/>
        </w:rPr>
        <w:t>. Acetic-acid chromoendoscopy for Barrett's esophagus: the "pros". </w:t>
      </w:r>
      <w:r w:rsidRPr="007C4AF1">
        <w:rPr>
          <w:rFonts w:ascii="Book Antiqua" w:hAnsi="Book Antiqua" w:cs="SimSun"/>
          <w:i/>
          <w:iCs/>
        </w:rPr>
        <w:t>Gastrointest Endosc</w:t>
      </w:r>
      <w:r w:rsidRPr="007C4AF1">
        <w:rPr>
          <w:rFonts w:ascii="Book Antiqua" w:hAnsi="Book Antiqua" w:cs="SimSun"/>
        </w:rPr>
        <w:t> 2006; </w:t>
      </w:r>
      <w:r w:rsidRPr="007C4AF1">
        <w:rPr>
          <w:rFonts w:ascii="Book Antiqua" w:hAnsi="Book Antiqua" w:cs="SimSun"/>
          <w:b/>
          <w:bCs/>
        </w:rPr>
        <w:t>64</w:t>
      </w:r>
      <w:r w:rsidRPr="007C4AF1">
        <w:rPr>
          <w:rFonts w:ascii="Book Antiqua" w:hAnsi="Book Antiqua" w:cs="SimSun"/>
        </w:rPr>
        <w:t>: 13-16 [PMID: 16813796 DOI: 10.1016/j.gie.2006.03.922]</w:t>
      </w:r>
    </w:p>
    <w:p w14:paraId="5F6B899A"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25 </w:t>
      </w:r>
      <w:r w:rsidRPr="007C4AF1">
        <w:rPr>
          <w:rFonts w:ascii="Book Antiqua" w:hAnsi="Book Antiqua" w:cs="SimSun"/>
          <w:b/>
          <w:bCs/>
        </w:rPr>
        <w:t>Evans JA</w:t>
      </w:r>
      <w:r w:rsidRPr="007C4AF1">
        <w:rPr>
          <w:rFonts w:ascii="Book Antiqua" w:hAnsi="Book Antiqua" w:cs="SimSun"/>
        </w:rPr>
        <w:t>, Early DS, Fukami N, Ben-Menachem T, Chandrasekhara V, Chathadi KV, Decker GA, Fanelli RD, Fisher DA, Foley KQ, Hwang JH, Jain R, Jue TL, Khan KM, Lightdale J, Malpas PM, Maple JT, Pasha SF, Saltzman JR, Sharaf RN, Shergill A, Dominitz JA, Cash BD. The role of endoscopy in Barrett's esophagus and other premalignant conditions of the esophagus. </w:t>
      </w:r>
      <w:r w:rsidRPr="007C4AF1">
        <w:rPr>
          <w:rFonts w:ascii="Book Antiqua" w:hAnsi="Book Antiqua" w:cs="SimSun"/>
          <w:i/>
          <w:iCs/>
        </w:rPr>
        <w:t>Gastrointest Endosc</w:t>
      </w:r>
      <w:r w:rsidRPr="007C4AF1">
        <w:rPr>
          <w:rFonts w:ascii="Book Antiqua" w:hAnsi="Book Antiqua" w:cs="SimSun"/>
        </w:rPr>
        <w:t> 2012; </w:t>
      </w:r>
      <w:r w:rsidRPr="007C4AF1">
        <w:rPr>
          <w:rFonts w:ascii="Book Antiqua" w:hAnsi="Book Antiqua" w:cs="SimSun"/>
          <w:b/>
          <w:bCs/>
        </w:rPr>
        <w:t>76</w:t>
      </w:r>
      <w:r w:rsidRPr="007C4AF1">
        <w:rPr>
          <w:rFonts w:ascii="Book Antiqua" w:hAnsi="Book Antiqua" w:cs="SimSun"/>
        </w:rPr>
        <w:t>: 1087-1094 [PMID: 23164510 DOI: 10.1016/j.gie.2012.08.004]</w:t>
      </w:r>
    </w:p>
    <w:p w14:paraId="3B8ACAB0"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26 </w:t>
      </w:r>
      <w:r w:rsidRPr="007C4AF1">
        <w:rPr>
          <w:rFonts w:ascii="Book Antiqua" w:hAnsi="Book Antiqua" w:cs="SimSun"/>
          <w:b/>
          <w:bCs/>
        </w:rPr>
        <w:t>Toyoda H</w:t>
      </w:r>
      <w:r w:rsidRPr="007C4AF1">
        <w:rPr>
          <w:rFonts w:ascii="Book Antiqua" w:hAnsi="Book Antiqua" w:cs="SimSun"/>
        </w:rPr>
        <w:t>, Rubio C, Befrits R, Hamamoto N, Adachi Y, Jaramillo E. Detection of intestinal metaplasia in distal esophagus and esophagogastric junction by enhanced-magnification endoscopy. </w:t>
      </w:r>
      <w:r w:rsidRPr="007C4AF1">
        <w:rPr>
          <w:rFonts w:ascii="Book Antiqua" w:hAnsi="Book Antiqua" w:cs="SimSun"/>
          <w:i/>
          <w:iCs/>
        </w:rPr>
        <w:t>Gastrointest Endosc</w:t>
      </w:r>
      <w:r w:rsidRPr="007C4AF1">
        <w:rPr>
          <w:rFonts w:ascii="Book Antiqua" w:hAnsi="Book Antiqua" w:cs="SimSun"/>
        </w:rPr>
        <w:t> 2004; </w:t>
      </w:r>
      <w:r w:rsidRPr="007C4AF1">
        <w:rPr>
          <w:rFonts w:ascii="Book Antiqua" w:hAnsi="Book Antiqua" w:cs="SimSun"/>
          <w:b/>
          <w:bCs/>
        </w:rPr>
        <w:t>59</w:t>
      </w:r>
      <w:r w:rsidRPr="007C4AF1">
        <w:rPr>
          <w:rFonts w:ascii="Book Antiqua" w:hAnsi="Book Antiqua" w:cs="SimSun"/>
        </w:rPr>
        <w:t>: 15-21 [PMID: 14722541]</w:t>
      </w:r>
    </w:p>
    <w:p w14:paraId="568E916F"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27 </w:t>
      </w:r>
      <w:r w:rsidRPr="007C4AF1">
        <w:rPr>
          <w:rFonts w:ascii="Book Antiqua" w:hAnsi="Book Antiqua" w:cs="SimSun"/>
          <w:b/>
          <w:bCs/>
        </w:rPr>
        <w:t>Fortun PJ</w:t>
      </w:r>
      <w:r w:rsidRPr="007C4AF1">
        <w:rPr>
          <w:rFonts w:ascii="Book Antiqua" w:hAnsi="Book Antiqua" w:cs="SimSun"/>
        </w:rPr>
        <w:t>, Anagnostopoulos GK, Kaye P, James M, Foley S, Samuel S, Shonde A, Badreldin R, Campbell E, Hawkey CJ, Ragunath K. Acetic acid-enhanced magnification endoscopy in the diagnosis of specialized intestinal metaplasia, dysplasia and early cancer in Barrett's oesophagus. </w:t>
      </w:r>
      <w:r w:rsidRPr="007C4AF1">
        <w:rPr>
          <w:rFonts w:ascii="Book Antiqua" w:hAnsi="Book Antiqua" w:cs="SimSun"/>
          <w:i/>
          <w:iCs/>
        </w:rPr>
        <w:t>Aliment Pharmacol Ther</w:t>
      </w:r>
      <w:r w:rsidRPr="007C4AF1">
        <w:rPr>
          <w:rFonts w:ascii="Book Antiqua" w:hAnsi="Book Antiqua" w:cs="SimSun"/>
        </w:rPr>
        <w:t> 2006; </w:t>
      </w:r>
      <w:r w:rsidRPr="007C4AF1">
        <w:rPr>
          <w:rFonts w:ascii="Book Antiqua" w:hAnsi="Book Antiqua" w:cs="SimSun"/>
          <w:b/>
          <w:bCs/>
        </w:rPr>
        <w:t>23</w:t>
      </w:r>
      <w:r w:rsidRPr="007C4AF1">
        <w:rPr>
          <w:rFonts w:ascii="Book Antiqua" w:hAnsi="Book Antiqua" w:cs="SimSun"/>
        </w:rPr>
        <w:t>: 735-742 [PMID: 16556175 DOI: 10.1111/j.1365-2036.2006.02823.x]</w:t>
      </w:r>
    </w:p>
    <w:p w14:paraId="366E44D0"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28 </w:t>
      </w:r>
      <w:r w:rsidRPr="007C4AF1">
        <w:rPr>
          <w:rFonts w:ascii="Book Antiqua" w:hAnsi="Book Antiqua" w:cs="SimSun"/>
          <w:b/>
          <w:bCs/>
        </w:rPr>
        <w:t>Coletta M</w:t>
      </w:r>
      <w:r w:rsidRPr="007C4AF1">
        <w:rPr>
          <w:rFonts w:ascii="Book Antiqua" w:hAnsi="Book Antiqua" w:cs="SimSun"/>
        </w:rPr>
        <w:t>, Sami SS, Nachiappan A, Fraquelli M, Casazza G, Ragunath K. Acetic acid chromoendoscopy for the diagnosis of early neoplasia and specialized intestinal metaplasia in Barrett's esophagus: a meta-analysis. </w:t>
      </w:r>
      <w:r w:rsidRPr="007C4AF1">
        <w:rPr>
          <w:rFonts w:ascii="Book Antiqua" w:hAnsi="Book Antiqua" w:cs="SimSun"/>
          <w:i/>
          <w:iCs/>
        </w:rPr>
        <w:t>Gastrointest Endosc</w:t>
      </w:r>
      <w:r w:rsidRPr="007C4AF1">
        <w:rPr>
          <w:rFonts w:ascii="Book Antiqua" w:hAnsi="Book Antiqua" w:cs="SimSun"/>
        </w:rPr>
        <w:t> 2016; </w:t>
      </w:r>
      <w:r w:rsidRPr="007C4AF1">
        <w:rPr>
          <w:rFonts w:ascii="Book Antiqua" w:hAnsi="Book Antiqua" w:cs="SimSun"/>
          <w:b/>
          <w:bCs/>
        </w:rPr>
        <w:t>83</w:t>
      </w:r>
      <w:r w:rsidRPr="007C4AF1">
        <w:rPr>
          <w:rFonts w:ascii="Book Antiqua" w:hAnsi="Book Antiqua" w:cs="SimSun"/>
        </w:rPr>
        <w:t>: 57-67.e1 [PMID: 26371851 DOI: 10.1016/j.gie.2015.07.023]</w:t>
      </w:r>
    </w:p>
    <w:p w14:paraId="3F52B235"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29 </w:t>
      </w:r>
      <w:r w:rsidRPr="007C4AF1">
        <w:rPr>
          <w:rFonts w:ascii="Book Antiqua" w:hAnsi="Book Antiqua" w:cs="SimSun"/>
          <w:b/>
          <w:bCs/>
        </w:rPr>
        <w:t>Réaud S</w:t>
      </w:r>
      <w:r w:rsidRPr="007C4AF1">
        <w:rPr>
          <w:rFonts w:ascii="Book Antiqua" w:hAnsi="Book Antiqua" w:cs="SimSun"/>
        </w:rPr>
        <w:t>, Croue A, Boyer J. Diagnostic accuracy of magnifying chromoendoscopy with detection of intestinal metaplasia and dysplasia using acetic acid in Barrett's esophagus. </w:t>
      </w:r>
      <w:r w:rsidRPr="007C4AF1">
        <w:rPr>
          <w:rFonts w:ascii="Book Antiqua" w:hAnsi="Book Antiqua" w:cs="SimSun"/>
          <w:i/>
          <w:iCs/>
        </w:rPr>
        <w:t>Gastroenterol Clin Biol</w:t>
      </w:r>
      <w:r w:rsidRPr="007C4AF1">
        <w:rPr>
          <w:rFonts w:ascii="Book Antiqua" w:hAnsi="Book Antiqua" w:cs="SimSun"/>
        </w:rPr>
        <w:t> 2006; </w:t>
      </w:r>
      <w:r w:rsidRPr="007C4AF1">
        <w:rPr>
          <w:rFonts w:ascii="Book Antiqua" w:hAnsi="Book Antiqua" w:cs="SimSun"/>
          <w:b/>
          <w:bCs/>
        </w:rPr>
        <w:t>30</w:t>
      </w:r>
      <w:r w:rsidRPr="007C4AF1">
        <w:rPr>
          <w:rFonts w:ascii="Book Antiqua" w:hAnsi="Book Antiqua" w:cs="SimSun"/>
        </w:rPr>
        <w:t>: 217-223 [PMID: 16565653 DOI: 10.1016/S0399-8320(06)73156-6]</w:t>
      </w:r>
    </w:p>
    <w:p w14:paraId="628B8281" w14:textId="77777777" w:rsidR="000061F2" w:rsidRPr="007C4AF1" w:rsidRDefault="000061F2" w:rsidP="00E46EEA">
      <w:pPr>
        <w:spacing w:line="360" w:lineRule="auto"/>
        <w:jc w:val="both"/>
        <w:rPr>
          <w:rFonts w:ascii="Book Antiqua" w:hAnsi="Book Antiqua" w:cs="SimSun"/>
        </w:rPr>
      </w:pPr>
      <w:r w:rsidRPr="003E3849">
        <w:rPr>
          <w:rFonts w:ascii="Book Antiqua" w:hAnsi="Book Antiqua" w:cs="SimSun"/>
        </w:rPr>
        <w:t xml:space="preserve">30 </w:t>
      </w:r>
      <w:r w:rsidRPr="003E3849">
        <w:rPr>
          <w:rFonts w:ascii="Book Antiqua" w:hAnsi="Book Antiqua" w:cs="SimSun"/>
          <w:b/>
        </w:rPr>
        <w:t>Rey J</w:t>
      </w:r>
      <w:r w:rsidRPr="007C4AF1">
        <w:rPr>
          <w:rFonts w:ascii="Book Antiqua" w:hAnsi="Book Antiqua" w:cs="SimSun"/>
          <w:b/>
        </w:rPr>
        <w:t>F</w:t>
      </w:r>
      <w:r w:rsidRPr="003E3849">
        <w:rPr>
          <w:rFonts w:ascii="Book Antiqua" w:hAnsi="Book Antiqua" w:cs="SimSun" w:hint="eastAsia"/>
          <w:b/>
        </w:rPr>
        <w:t>,</w:t>
      </w:r>
      <w:r w:rsidRPr="007C4AF1">
        <w:rPr>
          <w:rFonts w:ascii="Book Antiqua" w:hAnsi="Book Antiqua" w:cs="SimSun"/>
          <w:b/>
        </w:rPr>
        <w:t xml:space="preserve"> </w:t>
      </w:r>
      <w:r w:rsidRPr="007C4AF1">
        <w:rPr>
          <w:rFonts w:ascii="Book Antiqua" w:hAnsi="Book Antiqua" w:cs="SimSun"/>
        </w:rPr>
        <w:t xml:space="preserve">Kuznetsov K. Usefulness of chromoscopy with acetic acid and magnification for Barrett’s esophagus. </w:t>
      </w:r>
      <w:r w:rsidRPr="007C4AF1">
        <w:rPr>
          <w:rFonts w:ascii="Book Antiqua" w:hAnsi="Book Antiqua" w:cs="SimSun"/>
          <w:i/>
        </w:rPr>
        <w:t>Gastrointest Endosc</w:t>
      </w:r>
      <w:r w:rsidRPr="007C4AF1">
        <w:rPr>
          <w:rFonts w:ascii="Book Antiqua" w:hAnsi="Book Antiqua" w:cs="SimSun" w:hint="eastAsia"/>
          <w:i/>
        </w:rPr>
        <w:t xml:space="preserve"> </w:t>
      </w:r>
      <w:r w:rsidRPr="007C4AF1">
        <w:rPr>
          <w:rFonts w:ascii="Book Antiqua" w:hAnsi="Book Antiqua" w:cs="SimSun"/>
        </w:rPr>
        <w:t>2003</w:t>
      </w:r>
      <w:r>
        <w:rPr>
          <w:rFonts w:ascii="Book Antiqua" w:hAnsi="Book Antiqua" w:cs="SimSun" w:hint="eastAsia"/>
        </w:rPr>
        <w:t>;</w:t>
      </w:r>
      <w:r w:rsidRPr="007C4AF1">
        <w:rPr>
          <w:rFonts w:ascii="Book Antiqua" w:hAnsi="Book Antiqua" w:cs="SimSun"/>
        </w:rPr>
        <w:t xml:space="preserve"> AB91</w:t>
      </w:r>
    </w:p>
    <w:p w14:paraId="1D1A743E"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31 </w:t>
      </w:r>
      <w:r w:rsidRPr="007C4AF1">
        <w:rPr>
          <w:rFonts w:ascii="Book Antiqua" w:hAnsi="Book Antiqua" w:cs="SimSun"/>
          <w:b/>
          <w:bCs/>
        </w:rPr>
        <w:t>Camus M</w:t>
      </w:r>
      <w:r w:rsidRPr="007C4AF1">
        <w:rPr>
          <w:rFonts w:ascii="Book Antiqua" w:hAnsi="Book Antiqua" w:cs="SimSun"/>
        </w:rPr>
        <w:t xml:space="preserve">, Coriat R, Leblanc S, Brezault C, Terris B, Pommaret E, Gaudric M, Chryssostalis A, Prat F, Chaussade S. Helpfulness of the combination of acetic acid and FICE in the detection of Barrett's epithelium and Barrett's associated </w:t>
      </w:r>
      <w:r w:rsidRPr="007C4AF1">
        <w:rPr>
          <w:rFonts w:ascii="Book Antiqua" w:hAnsi="Book Antiqua" w:cs="SimSun"/>
        </w:rPr>
        <w:lastRenderedPageBreak/>
        <w:t>neoplasias. </w:t>
      </w:r>
      <w:r w:rsidRPr="007C4AF1">
        <w:rPr>
          <w:rFonts w:ascii="Book Antiqua" w:hAnsi="Book Antiqua" w:cs="SimSun"/>
          <w:i/>
          <w:iCs/>
        </w:rPr>
        <w:t>World J Gastroenterol</w:t>
      </w:r>
      <w:r w:rsidRPr="007C4AF1">
        <w:rPr>
          <w:rFonts w:ascii="Book Antiqua" w:hAnsi="Book Antiqua" w:cs="SimSun"/>
        </w:rPr>
        <w:t> 2012; </w:t>
      </w:r>
      <w:r w:rsidRPr="007C4AF1">
        <w:rPr>
          <w:rFonts w:ascii="Book Antiqua" w:hAnsi="Book Antiqua" w:cs="SimSun"/>
          <w:b/>
          <w:bCs/>
        </w:rPr>
        <w:t>18</w:t>
      </w:r>
      <w:r w:rsidRPr="007C4AF1">
        <w:rPr>
          <w:rFonts w:ascii="Book Antiqua" w:hAnsi="Book Antiqua" w:cs="SimSun"/>
        </w:rPr>
        <w:t>: 1921-1925 [PMID: 22563172 DOI: 10.3748/wjg.v18.i16.1921]</w:t>
      </w:r>
    </w:p>
    <w:p w14:paraId="1AEA3F26" w14:textId="77777777" w:rsidR="000061F2" w:rsidRPr="007C4AF1" w:rsidRDefault="000061F2" w:rsidP="00E46EEA">
      <w:pPr>
        <w:spacing w:line="360" w:lineRule="auto"/>
        <w:jc w:val="both"/>
        <w:rPr>
          <w:rFonts w:ascii="Book Antiqua" w:hAnsi="Book Antiqua" w:cs="SimSun"/>
        </w:rPr>
      </w:pPr>
      <w:r>
        <w:rPr>
          <w:rFonts w:ascii="Book Antiqua" w:hAnsi="Book Antiqua" w:cs="SimSun"/>
        </w:rPr>
        <w:t xml:space="preserve">32 </w:t>
      </w:r>
      <w:r w:rsidRPr="007C4AF1">
        <w:rPr>
          <w:rFonts w:ascii="Book Antiqua" w:hAnsi="Book Antiqua" w:cs="SimSun"/>
          <w:b/>
        </w:rPr>
        <w:t>Yagi K,</w:t>
      </w:r>
      <w:r w:rsidRPr="007C4AF1">
        <w:rPr>
          <w:rFonts w:ascii="Book Antiqua" w:hAnsi="Book Antiqua" w:cs="SimSun"/>
        </w:rPr>
        <w:t xml:space="preserve"> Nakamura A, Sekine A, Umezu H. Endoscopic diagnosis of mucosal adenocarcinomas and intestinal metaplasia of columnar-lined esophagus using enhanced-magnification endoscopy. </w:t>
      </w:r>
      <w:r w:rsidRPr="007C4AF1">
        <w:rPr>
          <w:rFonts w:ascii="Book Antiqua" w:hAnsi="Book Antiqua" w:cs="SimSun"/>
          <w:i/>
        </w:rPr>
        <w:t>Dig Endosc</w:t>
      </w:r>
      <w:r w:rsidRPr="007C4AF1">
        <w:rPr>
          <w:rFonts w:ascii="Book Antiqua" w:hAnsi="Book Antiqua" w:cs="SimSun"/>
        </w:rPr>
        <w:t xml:space="preserve"> 2006; </w:t>
      </w:r>
      <w:r w:rsidRPr="007C4AF1">
        <w:rPr>
          <w:rFonts w:ascii="Book Antiqua" w:hAnsi="Book Antiqua" w:cs="SimSun"/>
          <w:b/>
        </w:rPr>
        <w:t>18</w:t>
      </w:r>
      <w:r w:rsidRPr="007C4AF1">
        <w:rPr>
          <w:rFonts w:ascii="Book Antiqua" w:hAnsi="Book Antiqua" w:cs="SimSun"/>
        </w:rPr>
        <w:t>: 21–</w:t>
      </w:r>
      <w:r>
        <w:rPr>
          <w:rFonts w:ascii="Book Antiqua" w:hAnsi="Book Antiqua" w:cs="SimSun" w:hint="eastAsia"/>
        </w:rPr>
        <w:t>2</w:t>
      </w:r>
      <w:r w:rsidRPr="007C4AF1">
        <w:rPr>
          <w:rFonts w:ascii="Book Antiqua" w:hAnsi="Book Antiqua" w:cs="SimSun"/>
        </w:rPr>
        <w:t>6 [DOI: 10.1111/j.1443-1661.2006.00613.x]</w:t>
      </w:r>
    </w:p>
    <w:p w14:paraId="2785595E"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33 </w:t>
      </w:r>
      <w:r w:rsidRPr="007C4AF1">
        <w:rPr>
          <w:rFonts w:ascii="Book Antiqua" w:hAnsi="Book Antiqua" w:cs="SimSun"/>
          <w:b/>
          <w:bCs/>
        </w:rPr>
        <w:t>Vázquez-Iglesias JL</w:t>
      </w:r>
      <w:r w:rsidRPr="007C4AF1">
        <w:rPr>
          <w:rFonts w:ascii="Book Antiqua" w:hAnsi="Book Antiqua" w:cs="SimSun"/>
        </w:rPr>
        <w:t>, Alonso-Aguirre P, Diz-Lois MT, Vázquez-Millán MA, Alvarez A, Lorenzo MJ. Acetic acid allows effective selection of areas for obtaining biopsy samples in Barrett's esophagus. </w:t>
      </w:r>
      <w:r w:rsidRPr="007C4AF1">
        <w:rPr>
          <w:rFonts w:ascii="Book Antiqua" w:hAnsi="Book Antiqua" w:cs="SimSun"/>
          <w:i/>
          <w:iCs/>
        </w:rPr>
        <w:t>Eur J Gastroenterol Hepatol</w:t>
      </w:r>
      <w:r w:rsidRPr="007C4AF1">
        <w:rPr>
          <w:rFonts w:ascii="Book Antiqua" w:hAnsi="Book Antiqua" w:cs="SimSun"/>
        </w:rPr>
        <w:t> 2007; </w:t>
      </w:r>
      <w:r w:rsidRPr="007C4AF1">
        <w:rPr>
          <w:rFonts w:ascii="Book Antiqua" w:hAnsi="Book Antiqua" w:cs="SimSun"/>
          <w:b/>
          <w:bCs/>
        </w:rPr>
        <w:t>19</w:t>
      </w:r>
      <w:r w:rsidRPr="007C4AF1">
        <w:rPr>
          <w:rFonts w:ascii="Book Antiqua" w:hAnsi="Book Antiqua" w:cs="SimSun"/>
        </w:rPr>
        <w:t>: 187-193 [PMID: 17301644 DOI: 10.1097/MEG.0b013e3280102f5e]</w:t>
      </w:r>
    </w:p>
    <w:p w14:paraId="41C22658"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34 </w:t>
      </w:r>
      <w:r w:rsidRPr="007C4AF1">
        <w:rPr>
          <w:rFonts w:ascii="Book Antiqua" w:hAnsi="Book Antiqua" w:cs="SimSun"/>
          <w:b/>
          <w:bCs/>
        </w:rPr>
        <w:t>Mayinger B</w:t>
      </w:r>
      <w:r w:rsidRPr="007C4AF1">
        <w:rPr>
          <w:rFonts w:ascii="Book Antiqua" w:hAnsi="Book Antiqua" w:cs="SimSun"/>
        </w:rPr>
        <w:t>, Oezturk Y, Stolte M, Faller G, Benninger J, Schwab D, Maiss J, Hahn EG, Muehldorfer S. Evaluation of sensitivity and inter- and intra-observer variability in the detection of intestinal metaplasia and dysplasia in Barrett's esophagus with enhanced magnification endoscopy. </w:t>
      </w:r>
      <w:r w:rsidRPr="007C4AF1">
        <w:rPr>
          <w:rFonts w:ascii="Book Antiqua" w:hAnsi="Book Antiqua" w:cs="SimSun"/>
          <w:i/>
          <w:iCs/>
        </w:rPr>
        <w:t>Scand J Gastroenterol</w:t>
      </w:r>
      <w:r w:rsidRPr="007C4AF1">
        <w:rPr>
          <w:rFonts w:ascii="Book Antiqua" w:hAnsi="Book Antiqua" w:cs="SimSun"/>
        </w:rPr>
        <w:t> 2006; </w:t>
      </w:r>
      <w:r w:rsidRPr="007C4AF1">
        <w:rPr>
          <w:rFonts w:ascii="Book Antiqua" w:hAnsi="Book Antiqua" w:cs="SimSun"/>
          <w:b/>
          <w:bCs/>
        </w:rPr>
        <w:t>41</w:t>
      </w:r>
      <w:r w:rsidRPr="007C4AF1">
        <w:rPr>
          <w:rFonts w:ascii="Book Antiqua" w:hAnsi="Book Antiqua" w:cs="SimSun"/>
        </w:rPr>
        <w:t>: 349-356 [PMID: 16497625 DOI: 10.1080/00365520510024016]</w:t>
      </w:r>
    </w:p>
    <w:p w14:paraId="5045C47A"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35 </w:t>
      </w:r>
      <w:r w:rsidRPr="007C4AF1">
        <w:rPr>
          <w:rFonts w:ascii="Book Antiqua" w:hAnsi="Book Antiqua" w:cs="SimSun"/>
          <w:b/>
          <w:bCs/>
        </w:rPr>
        <w:t>Pohl J</w:t>
      </w:r>
      <w:r w:rsidRPr="007C4AF1">
        <w:rPr>
          <w:rFonts w:ascii="Book Antiqua" w:hAnsi="Book Antiqua" w:cs="SimSun"/>
        </w:rPr>
        <w:t>, May A, Rabenstein T, Pech O, Nguyen-Tat M, Fissler-Eckhoff A, Ell C. Comparison of computed virtual chromoendoscopy and conventional chromoendoscopy with acetic acid for detection of neoplasia in Barrett's esophagus. </w:t>
      </w:r>
      <w:r w:rsidRPr="007C4AF1">
        <w:rPr>
          <w:rFonts w:ascii="Book Antiqua" w:hAnsi="Book Antiqua" w:cs="SimSun"/>
          <w:i/>
          <w:iCs/>
        </w:rPr>
        <w:t>Endoscopy</w:t>
      </w:r>
      <w:r w:rsidRPr="007C4AF1">
        <w:rPr>
          <w:rFonts w:ascii="Book Antiqua" w:hAnsi="Book Antiqua" w:cs="SimSun"/>
        </w:rPr>
        <w:t> 2007; </w:t>
      </w:r>
      <w:r w:rsidRPr="007C4AF1">
        <w:rPr>
          <w:rFonts w:ascii="Book Antiqua" w:hAnsi="Book Antiqua" w:cs="SimSun"/>
          <w:b/>
          <w:bCs/>
        </w:rPr>
        <w:t>39</w:t>
      </w:r>
      <w:r w:rsidRPr="007C4AF1">
        <w:rPr>
          <w:rFonts w:ascii="Book Antiqua" w:hAnsi="Book Antiqua" w:cs="SimSun"/>
        </w:rPr>
        <w:t>: 594-598 [PMID: 17611913 DOI: 10.1055/s-2007-966649]</w:t>
      </w:r>
    </w:p>
    <w:p w14:paraId="1F8F533D"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36 </w:t>
      </w:r>
      <w:r w:rsidRPr="007C4AF1">
        <w:rPr>
          <w:rFonts w:ascii="Book Antiqua" w:hAnsi="Book Antiqua" w:cs="SimSun"/>
          <w:b/>
          <w:bCs/>
        </w:rPr>
        <w:t>Longcroft-Wheaton G</w:t>
      </w:r>
      <w:r w:rsidRPr="007C4AF1">
        <w:rPr>
          <w:rFonts w:ascii="Book Antiqua" w:hAnsi="Book Antiqua" w:cs="SimSun"/>
        </w:rPr>
        <w:t>, Duku M, Mead R, Poller D, Bhandari P. Acetic acid spray is an effective tool for the endoscopic detection of neoplasia in patients with Barrett's esophagus. </w:t>
      </w:r>
      <w:r w:rsidRPr="007C4AF1">
        <w:rPr>
          <w:rFonts w:ascii="Book Antiqua" w:hAnsi="Book Antiqua" w:cs="SimSun"/>
          <w:i/>
          <w:iCs/>
        </w:rPr>
        <w:t>Clin Gastroenterol Hepatol</w:t>
      </w:r>
      <w:r w:rsidRPr="007C4AF1">
        <w:rPr>
          <w:rFonts w:ascii="Book Antiqua" w:hAnsi="Book Antiqua" w:cs="SimSun"/>
        </w:rPr>
        <w:t> 2010; </w:t>
      </w:r>
      <w:r w:rsidRPr="007C4AF1">
        <w:rPr>
          <w:rFonts w:ascii="Book Antiqua" w:hAnsi="Book Antiqua" w:cs="SimSun"/>
          <w:b/>
          <w:bCs/>
        </w:rPr>
        <w:t>8</w:t>
      </w:r>
      <w:r w:rsidRPr="007C4AF1">
        <w:rPr>
          <w:rFonts w:ascii="Book Antiqua" w:hAnsi="Book Antiqua" w:cs="SimSun"/>
        </w:rPr>
        <w:t>: 843-847 [PMID: 20601133 DOI: 10.1016/j.cgh.2010.06.016]</w:t>
      </w:r>
    </w:p>
    <w:p w14:paraId="5879199C"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37 </w:t>
      </w:r>
      <w:r w:rsidRPr="007C4AF1">
        <w:rPr>
          <w:rFonts w:ascii="Book Antiqua" w:hAnsi="Book Antiqua" w:cs="SimSun"/>
          <w:b/>
          <w:bCs/>
        </w:rPr>
        <w:t>Sharma P</w:t>
      </w:r>
      <w:r w:rsidRPr="007C4AF1">
        <w:rPr>
          <w:rFonts w:ascii="Book Antiqua" w:hAnsi="Book Antiqua" w:cs="SimSun"/>
        </w:rPr>
        <w:t>, Savides TJ, Canto MI, Corley DA, Falk GW, Goldblum JR, Wang KK, Wallace MB, Wolfsen HC. The American Society for Gastrointestinal Endoscopy PIVI (Preservation and Incorporation of Valuable Endoscopic Innovations) on imaging in Barrett's Esophagus. </w:t>
      </w:r>
      <w:r w:rsidRPr="007C4AF1">
        <w:rPr>
          <w:rFonts w:ascii="Book Antiqua" w:hAnsi="Book Antiqua" w:cs="SimSun"/>
          <w:i/>
          <w:iCs/>
        </w:rPr>
        <w:t>Gastrointest Endosc</w:t>
      </w:r>
      <w:r w:rsidRPr="007C4AF1">
        <w:rPr>
          <w:rFonts w:ascii="Book Antiqua" w:hAnsi="Book Antiqua" w:cs="SimSun"/>
        </w:rPr>
        <w:t> 2012; </w:t>
      </w:r>
      <w:r w:rsidRPr="007C4AF1">
        <w:rPr>
          <w:rFonts w:ascii="Book Antiqua" w:hAnsi="Book Antiqua" w:cs="SimSun"/>
          <w:b/>
          <w:bCs/>
        </w:rPr>
        <w:t>76</w:t>
      </w:r>
      <w:r w:rsidRPr="007C4AF1">
        <w:rPr>
          <w:rFonts w:ascii="Book Antiqua" w:hAnsi="Book Antiqua" w:cs="SimSun"/>
        </w:rPr>
        <w:t>: 252-254 [PMID: 22817781 DOI: 10.1016/j.gie.2012.05.007]</w:t>
      </w:r>
    </w:p>
    <w:p w14:paraId="38D85655"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38 </w:t>
      </w:r>
      <w:r w:rsidRPr="007C4AF1">
        <w:rPr>
          <w:rFonts w:ascii="Book Antiqua" w:hAnsi="Book Antiqua" w:cs="SimSun"/>
          <w:b/>
          <w:bCs/>
        </w:rPr>
        <w:t>Pohl J</w:t>
      </w:r>
      <w:r w:rsidRPr="007C4AF1">
        <w:rPr>
          <w:rFonts w:ascii="Book Antiqua" w:hAnsi="Book Antiqua" w:cs="SimSun"/>
        </w:rPr>
        <w:t xml:space="preserve">, Pech O, May A, Manner H, Fissler-Eckhoff A, Ell C. Incidence of macroscopically occult neoplasias in Barrett's esophagus: are random biopsies </w:t>
      </w:r>
      <w:r w:rsidRPr="007C4AF1">
        <w:rPr>
          <w:rFonts w:ascii="Book Antiqua" w:hAnsi="Book Antiqua" w:cs="SimSun"/>
        </w:rPr>
        <w:lastRenderedPageBreak/>
        <w:t>dispensable in the era of advanced endoscopic imaging? </w:t>
      </w:r>
      <w:r w:rsidRPr="007C4AF1">
        <w:rPr>
          <w:rFonts w:ascii="Book Antiqua" w:hAnsi="Book Antiqua" w:cs="SimSun"/>
          <w:i/>
          <w:iCs/>
        </w:rPr>
        <w:t>Am J Gastroenterol</w:t>
      </w:r>
      <w:r w:rsidRPr="007C4AF1">
        <w:rPr>
          <w:rFonts w:ascii="Book Antiqua" w:hAnsi="Book Antiqua" w:cs="SimSun"/>
        </w:rPr>
        <w:t> 2010; </w:t>
      </w:r>
      <w:r w:rsidRPr="007C4AF1">
        <w:rPr>
          <w:rFonts w:ascii="Book Antiqua" w:hAnsi="Book Antiqua" w:cs="SimSun"/>
          <w:b/>
          <w:bCs/>
        </w:rPr>
        <w:t>105</w:t>
      </w:r>
      <w:r w:rsidRPr="007C4AF1">
        <w:rPr>
          <w:rFonts w:ascii="Book Antiqua" w:hAnsi="Book Antiqua" w:cs="SimSun"/>
        </w:rPr>
        <w:t>: 2350-2356 [PMID: 20664531 DOI: 10.1038/ajg.2010.280]</w:t>
      </w:r>
    </w:p>
    <w:p w14:paraId="5E74BA7E"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39 </w:t>
      </w:r>
      <w:r w:rsidRPr="007C4AF1">
        <w:rPr>
          <w:rFonts w:ascii="Book Antiqua" w:hAnsi="Book Antiqua" w:cs="SimSun"/>
          <w:b/>
          <w:bCs/>
        </w:rPr>
        <w:t>Pohl J</w:t>
      </w:r>
      <w:r w:rsidRPr="007C4AF1">
        <w:rPr>
          <w:rFonts w:ascii="Book Antiqua" w:hAnsi="Book Antiqua" w:cs="SimSun"/>
        </w:rPr>
        <w:t>, Nguyen-Tat M, Manner H, Pech O, van Weyenberg SJ, Ell C. "Dry biopsies" with spraying of dilute epinephrine optimize biopsy mapping of long segment Barrett's esophagus. </w:t>
      </w:r>
      <w:r w:rsidRPr="007C4AF1">
        <w:rPr>
          <w:rFonts w:ascii="Book Antiqua" w:hAnsi="Book Antiqua" w:cs="SimSun"/>
          <w:i/>
          <w:iCs/>
        </w:rPr>
        <w:t>Endoscopy</w:t>
      </w:r>
      <w:r w:rsidRPr="007C4AF1">
        <w:rPr>
          <w:rFonts w:ascii="Book Antiqua" w:hAnsi="Book Antiqua" w:cs="SimSun"/>
        </w:rPr>
        <w:t> 2008; </w:t>
      </w:r>
      <w:r w:rsidRPr="007C4AF1">
        <w:rPr>
          <w:rFonts w:ascii="Book Antiqua" w:hAnsi="Book Antiqua" w:cs="SimSun"/>
          <w:b/>
          <w:bCs/>
        </w:rPr>
        <w:t>40</w:t>
      </w:r>
      <w:r w:rsidRPr="007C4AF1">
        <w:rPr>
          <w:rFonts w:ascii="Book Antiqua" w:hAnsi="Book Antiqua" w:cs="SimSun"/>
        </w:rPr>
        <w:t>: 883-887 [PMID: 18833509 DOI: 10.1055/s-2008-1077678]</w:t>
      </w:r>
    </w:p>
    <w:p w14:paraId="3F2355C8" w14:textId="77777777" w:rsidR="000061F2" w:rsidRPr="007C4AF1" w:rsidRDefault="000061F2" w:rsidP="00E46EEA">
      <w:pPr>
        <w:spacing w:line="360" w:lineRule="auto"/>
        <w:jc w:val="both"/>
        <w:rPr>
          <w:rFonts w:ascii="Book Antiqua" w:hAnsi="Book Antiqua" w:cs="SimSun"/>
        </w:rPr>
      </w:pPr>
      <w:r w:rsidRPr="007C4AF1">
        <w:rPr>
          <w:rFonts w:ascii="Book Antiqua" w:hAnsi="Book Antiqua" w:cs="SimSun"/>
        </w:rPr>
        <w:t>40 </w:t>
      </w:r>
      <w:r w:rsidRPr="007C4AF1">
        <w:rPr>
          <w:rFonts w:ascii="Book Antiqua" w:hAnsi="Book Antiqua" w:cs="SimSun"/>
          <w:b/>
          <w:bCs/>
        </w:rPr>
        <w:t>Tholoor S</w:t>
      </w:r>
      <w:r w:rsidRPr="007C4AF1">
        <w:rPr>
          <w:rFonts w:ascii="Book Antiqua" w:hAnsi="Book Antiqua" w:cs="SimSun"/>
        </w:rPr>
        <w:t>, Bhattacharyya R, Tsagkournis O, Longcroft-Wheaton G, Bhandari P. Acetic acid chromoendoscopy in Barrett's esophagus surveillance is superior to the standardized random biopsy protocol: results from a large cohort study (with video). </w:t>
      </w:r>
      <w:r w:rsidRPr="007C4AF1">
        <w:rPr>
          <w:rFonts w:ascii="Book Antiqua" w:hAnsi="Book Antiqua" w:cs="SimSun"/>
          <w:i/>
          <w:iCs/>
        </w:rPr>
        <w:t>Gastrointest Endosc</w:t>
      </w:r>
      <w:r w:rsidRPr="007C4AF1">
        <w:rPr>
          <w:rFonts w:ascii="Book Antiqua" w:hAnsi="Book Antiqua" w:cs="SimSun"/>
        </w:rPr>
        <w:t> 2014; </w:t>
      </w:r>
      <w:r w:rsidRPr="007C4AF1">
        <w:rPr>
          <w:rFonts w:ascii="Book Antiqua" w:hAnsi="Book Antiqua" w:cs="SimSun"/>
          <w:b/>
          <w:bCs/>
        </w:rPr>
        <w:t>80</w:t>
      </w:r>
      <w:r w:rsidRPr="007C4AF1">
        <w:rPr>
          <w:rFonts w:ascii="Book Antiqua" w:hAnsi="Book Antiqua" w:cs="SimSun"/>
        </w:rPr>
        <w:t>: 417-424 [PMID: 24713305 DOI: 10.1016/j.gie.2014.01.041]</w:t>
      </w:r>
    </w:p>
    <w:p w14:paraId="499EA39C" w14:textId="77777777" w:rsidR="000061F2" w:rsidRPr="007C4AF1" w:rsidRDefault="000061F2" w:rsidP="00E46EEA">
      <w:pPr>
        <w:spacing w:line="360" w:lineRule="auto"/>
        <w:jc w:val="both"/>
        <w:rPr>
          <w:rFonts w:ascii="Book Antiqua" w:hAnsi="Book Antiqua" w:cs="SimSun"/>
        </w:rPr>
      </w:pPr>
      <w:r>
        <w:rPr>
          <w:rFonts w:ascii="Book Antiqua" w:hAnsi="Book Antiqua" w:cs="SimSun"/>
        </w:rPr>
        <w:t>41</w:t>
      </w:r>
      <w:r w:rsidRPr="007C4AF1">
        <w:rPr>
          <w:rFonts w:ascii="Book Antiqua" w:hAnsi="Book Antiqua" w:cs="SimSun"/>
          <w:b/>
        </w:rPr>
        <w:t xml:space="preserve"> Portsmouth Hospitals NHS Trust</w:t>
      </w:r>
      <w:r w:rsidRPr="007C4AF1">
        <w:rPr>
          <w:rFonts w:ascii="Book Antiqua" w:hAnsi="Book Antiqua" w:cs="SimSun" w:hint="eastAsia"/>
          <w:b/>
        </w:rPr>
        <w:t>.</w:t>
      </w:r>
      <w:r>
        <w:rPr>
          <w:rFonts w:ascii="Book Antiqua" w:hAnsi="Book Antiqua" w:cs="SimSun" w:hint="eastAsia"/>
        </w:rPr>
        <w:t xml:space="preserve"> </w:t>
      </w:r>
      <w:r w:rsidRPr="007C4AF1">
        <w:rPr>
          <w:rFonts w:ascii="Book Antiqua" w:hAnsi="Book Antiqua" w:cs="SimSun"/>
        </w:rPr>
        <w:t xml:space="preserve">Using Dilute Vinegar to Find Changes in Cells During Endoscopy for Patients With Barrett's Oesophagus" (The ABBA Study). </w:t>
      </w:r>
      <w:r>
        <w:rPr>
          <w:rFonts w:ascii="Book Antiqua" w:hAnsi="Book Antiqua" w:cs="SimSun"/>
        </w:rPr>
        <w:t>ClinicalTrials.gov Identifier:</w:t>
      </w:r>
      <w:r>
        <w:rPr>
          <w:rFonts w:ascii="Book Antiqua" w:hAnsi="Book Antiqua" w:cs="SimSun" w:hint="eastAsia"/>
        </w:rPr>
        <w:t xml:space="preserve"> </w:t>
      </w:r>
      <w:r w:rsidRPr="007C4AF1">
        <w:rPr>
          <w:rFonts w:ascii="Book Antiqua" w:hAnsi="Book Antiqua" w:cs="SimSun"/>
        </w:rPr>
        <w:t>NCT02407392</w:t>
      </w:r>
      <w:r>
        <w:rPr>
          <w:rFonts w:ascii="Book Antiqua" w:hAnsi="Book Antiqua" w:cs="SimSun" w:hint="eastAsia"/>
        </w:rPr>
        <w:t xml:space="preserve">. </w:t>
      </w:r>
      <w:r w:rsidRPr="007C4AF1">
        <w:rPr>
          <w:rFonts w:ascii="Book Antiqua" w:hAnsi="Book Antiqua" w:cs="SimSun"/>
        </w:rPr>
        <w:t>Available from: URL: ClinicalTrials.gov</w:t>
      </w:r>
    </w:p>
    <w:p w14:paraId="4192C9C7" w14:textId="77777777" w:rsidR="000061F2" w:rsidRDefault="000061F2" w:rsidP="00E46EEA">
      <w:pPr>
        <w:spacing w:line="360" w:lineRule="auto"/>
        <w:jc w:val="both"/>
        <w:rPr>
          <w:rStyle w:val="Strong"/>
          <w:rFonts w:ascii="Book Antiqua" w:hAnsi="Book Antiqua" w:cs="Arial"/>
          <w:bCs w:val="0"/>
          <w:noProof/>
          <w:color w:val="000000"/>
          <w:lang w:eastAsia="zh-CN"/>
        </w:rPr>
      </w:pPr>
    </w:p>
    <w:p w14:paraId="39DA5DBB" w14:textId="4707272B" w:rsidR="00840AE0" w:rsidRDefault="00840AE0" w:rsidP="00E46EEA">
      <w:pPr>
        <w:pStyle w:val="ListParagraph"/>
        <w:wordWrap w:val="0"/>
        <w:spacing w:line="360" w:lineRule="auto"/>
        <w:ind w:left="360" w:right="120"/>
        <w:jc w:val="right"/>
        <w:rPr>
          <w:rFonts w:ascii="Book Antiqua" w:hAnsi="Book Antiqua"/>
          <w:b/>
          <w:bCs/>
          <w:color w:val="000000"/>
          <w:lang w:eastAsia="zh-CN"/>
        </w:rPr>
      </w:pPr>
      <w:r>
        <w:rPr>
          <w:rStyle w:val="Strong"/>
          <w:rFonts w:ascii="Book Antiqua" w:hAnsi="Book Antiqua" w:cs="Arial"/>
          <w:bCs w:val="0"/>
          <w:noProof/>
          <w:color w:val="000000"/>
        </w:rPr>
        <w:t>P-Reviewer</w:t>
      </w:r>
      <w:r>
        <w:rPr>
          <w:rStyle w:val="Strong"/>
          <w:rFonts w:ascii="Book Antiqua" w:hAnsi="Book Antiqua" w:cs="Arial"/>
          <w:bCs w:val="0"/>
          <w:noProof/>
          <w:color w:val="000000"/>
          <w:lang w:eastAsia="zh-CN"/>
        </w:rPr>
        <w:t>:</w:t>
      </w:r>
      <w:r>
        <w:rPr>
          <w:rFonts w:ascii="Book Antiqua" w:hAnsi="Book Antiqua"/>
          <w:bCs/>
          <w:color w:val="000000"/>
        </w:rPr>
        <w:t xml:space="preserve"> </w:t>
      </w:r>
      <w:r w:rsidRPr="00840AE0">
        <w:rPr>
          <w:rFonts w:ascii="Book Antiqua" w:hAnsi="Book Antiqua"/>
          <w:bCs/>
          <w:color w:val="000000"/>
        </w:rPr>
        <w:t>Cho</w:t>
      </w:r>
      <w:r>
        <w:rPr>
          <w:rFonts w:ascii="Book Antiqua" w:hAnsi="Book Antiqua" w:hint="eastAsia"/>
          <w:bCs/>
          <w:color w:val="000000"/>
          <w:lang w:eastAsia="zh-CN"/>
        </w:rPr>
        <w:t xml:space="preserve"> YS,</w:t>
      </w:r>
      <w:r>
        <w:rPr>
          <w:rFonts w:ascii="Book Antiqua" w:hAnsi="Book Antiqua"/>
          <w:bCs/>
          <w:color w:val="000000"/>
        </w:rPr>
        <w:t xml:space="preserve"> </w:t>
      </w:r>
      <w:r w:rsidR="00F66E20">
        <w:rPr>
          <w:rFonts w:ascii="Book Antiqua" w:hAnsi="Book Antiqua"/>
          <w:bCs/>
          <w:color w:val="000000"/>
        </w:rPr>
        <w:t>Lee</w:t>
      </w:r>
      <w:r w:rsidR="00F66E20" w:rsidRPr="00F66E20">
        <w:rPr>
          <w:rFonts w:ascii="Book Antiqua" w:hAnsi="Book Antiqua"/>
          <w:bCs/>
          <w:color w:val="000000"/>
        </w:rPr>
        <w:t xml:space="preserve"> SH</w:t>
      </w:r>
      <w:r w:rsidR="00F66E20">
        <w:rPr>
          <w:rFonts w:ascii="Book Antiqua" w:hAnsi="Book Antiqua" w:hint="eastAsia"/>
          <w:bCs/>
          <w:color w:val="000000"/>
          <w:lang w:eastAsia="zh-CN"/>
        </w:rPr>
        <w:t xml:space="preserve">, </w:t>
      </w:r>
      <w:r>
        <w:rPr>
          <w:rFonts w:ascii="Book Antiqua" w:hAnsi="Book Antiqua"/>
          <w:bCs/>
          <w:color w:val="000000"/>
        </w:rPr>
        <w:t>Rimbas</w:t>
      </w:r>
      <w:r w:rsidRPr="00840AE0">
        <w:rPr>
          <w:rFonts w:ascii="Book Antiqua" w:hAnsi="Book Antiqua"/>
          <w:bCs/>
          <w:color w:val="000000"/>
        </w:rPr>
        <w:t xml:space="preserve"> M</w:t>
      </w:r>
      <w:r>
        <w:rPr>
          <w:rFonts w:ascii="Book Antiqua" w:hAnsi="Book Antiqua" w:hint="eastAsia"/>
          <w:bCs/>
          <w:color w:val="000000"/>
          <w:lang w:eastAsia="zh-CN"/>
        </w:rPr>
        <w:t>,</w:t>
      </w:r>
      <w:r>
        <w:rPr>
          <w:rFonts w:ascii="Book Antiqua" w:hAnsi="Book Antiqua"/>
          <w:bCs/>
          <w:color w:val="000000"/>
        </w:rPr>
        <w:t xml:space="preserve"> Tantau</w:t>
      </w:r>
      <w:r w:rsidRPr="00840AE0">
        <w:rPr>
          <w:rFonts w:ascii="Book Antiqua" w:hAnsi="Book Antiqua"/>
          <w:bCs/>
          <w:color w:val="000000"/>
        </w:rPr>
        <w:t xml:space="preserve"> M</w:t>
      </w:r>
      <w:r>
        <w:rPr>
          <w:rFonts w:ascii="Book Antiqua" w:hAnsi="Book Antiqua" w:hint="eastAsia"/>
          <w:bCs/>
          <w:color w:val="000000"/>
          <w:lang w:eastAsia="zh-CN"/>
        </w:rPr>
        <w:t>,</w:t>
      </w:r>
      <w:r w:rsidRPr="00840AE0">
        <w:t xml:space="preserve"> </w:t>
      </w:r>
      <w:r w:rsidRPr="00840AE0">
        <w:rPr>
          <w:rFonts w:ascii="Book Antiqua" w:hAnsi="Book Antiqua"/>
          <w:bCs/>
          <w:color w:val="000000"/>
          <w:lang w:eastAsia="zh-CN"/>
        </w:rPr>
        <w:t>Yu</w:t>
      </w:r>
      <w:r>
        <w:rPr>
          <w:rFonts w:ascii="Book Antiqua" w:hAnsi="Book Antiqua" w:hint="eastAsia"/>
          <w:bCs/>
          <w:color w:val="000000"/>
          <w:lang w:eastAsia="zh-CN"/>
        </w:rPr>
        <w:t xml:space="preserve"> B</w:t>
      </w:r>
      <w:r>
        <w:rPr>
          <w:rFonts w:ascii="Book Antiqua" w:hAnsi="Book Antiqua"/>
          <w:bCs/>
          <w:color w:val="000000"/>
        </w:rPr>
        <w:t xml:space="preserve"> </w:t>
      </w:r>
      <w:r>
        <w:rPr>
          <w:rFonts w:ascii="Book Antiqua" w:hAnsi="Book Antiqua"/>
          <w:b/>
          <w:bCs/>
          <w:color w:val="000000"/>
        </w:rPr>
        <w:t>S-Editor</w:t>
      </w:r>
      <w:r>
        <w:rPr>
          <w:rFonts w:ascii="Book Antiqua" w:hAnsi="Book Antiqua"/>
          <w:b/>
          <w:bCs/>
          <w:color w:val="000000"/>
          <w:lang w:eastAsia="zh-CN"/>
        </w:rPr>
        <w:t>:</w:t>
      </w:r>
      <w:r>
        <w:rPr>
          <w:rFonts w:ascii="Book Antiqua" w:hAnsi="Book Antiqua"/>
          <w:bCs/>
          <w:color w:val="000000"/>
        </w:rPr>
        <w:t xml:space="preserve"> </w:t>
      </w:r>
      <w:r>
        <w:rPr>
          <w:rFonts w:ascii="Book Antiqua" w:hAnsi="Book Antiqua"/>
          <w:bCs/>
          <w:color w:val="000000"/>
          <w:lang w:eastAsia="zh-CN"/>
        </w:rPr>
        <w:t>Qi Y</w:t>
      </w:r>
      <w:r>
        <w:rPr>
          <w:rFonts w:ascii="Book Antiqua" w:hAnsi="Book Antiqua"/>
          <w:b/>
          <w:bCs/>
          <w:color w:val="000000"/>
        </w:rPr>
        <w:t xml:space="preserve">  </w:t>
      </w:r>
    </w:p>
    <w:p w14:paraId="6D4F60D1" w14:textId="094A94EC" w:rsidR="00840AE0" w:rsidRDefault="00840AE0" w:rsidP="00E46EEA">
      <w:pPr>
        <w:pStyle w:val="ListParagraph"/>
        <w:spacing w:line="360" w:lineRule="auto"/>
        <w:ind w:left="360" w:right="120"/>
        <w:jc w:val="right"/>
        <w:rPr>
          <w:rFonts w:ascii="Book Antiqua" w:hAnsi="Book Antiqua"/>
          <w:b/>
          <w:bCs/>
          <w:color w:val="000000"/>
          <w:lang w:eastAsia="zh-CN"/>
        </w:rPr>
      </w:pPr>
      <w:r>
        <w:rPr>
          <w:rFonts w:ascii="Book Antiqua" w:hAnsi="Book Antiqua"/>
          <w:b/>
          <w:bCs/>
          <w:color w:val="000000"/>
        </w:rPr>
        <w:t xml:space="preserve"> L-Editor</w:t>
      </w:r>
      <w:r>
        <w:rPr>
          <w:rFonts w:ascii="Book Antiqua" w:hAnsi="Book Antiqua"/>
          <w:b/>
          <w:bCs/>
          <w:color w:val="000000"/>
          <w:lang w:eastAsia="zh-CN"/>
        </w:rPr>
        <w:t>:</w:t>
      </w:r>
      <w:r>
        <w:rPr>
          <w:rFonts w:ascii="Book Antiqua" w:hAnsi="Book Antiqua"/>
          <w:b/>
          <w:bCs/>
          <w:color w:val="000000"/>
        </w:rPr>
        <w:t xml:space="preserve">   E-Editor</w:t>
      </w:r>
      <w:r>
        <w:rPr>
          <w:rFonts w:ascii="Book Antiqua" w:hAnsi="Book Antiqua"/>
          <w:b/>
          <w:bCs/>
          <w:color w:val="000000"/>
          <w:lang w:eastAsia="zh-CN"/>
        </w:rPr>
        <w:t>:</w:t>
      </w:r>
      <w:bookmarkEnd w:id="31"/>
      <w:bookmarkEnd w:id="32"/>
      <w:bookmarkEnd w:id="33"/>
      <w:bookmarkEnd w:id="34"/>
      <w:bookmarkEnd w:id="35"/>
      <w:bookmarkEnd w:id="36"/>
      <w:bookmarkEnd w:id="37"/>
      <w:bookmarkEnd w:id="38"/>
      <w:bookmarkEnd w:id="39"/>
    </w:p>
    <w:p w14:paraId="1F250E4D" w14:textId="6104E179" w:rsidR="00840AE0" w:rsidRPr="00840AE0" w:rsidRDefault="00840AE0" w:rsidP="00E46EEA">
      <w:pPr>
        <w:widowControl w:val="0"/>
        <w:autoSpaceDE w:val="0"/>
        <w:autoSpaceDN w:val="0"/>
        <w:adjustRightInd w:val="0"/>
        <w:spacing w:line="360" w:lineRule="auto"/>
        <w:ind w:left="640" w:hanging="640"/>
        <w:jc w:val="both"/>
        <w:rPr>
          <w:rFonts w:ascii="Book Antiqua" w:hAnsi="Book Antiqua" w:cs="Arial"/>
        </w:rPr>
      </w:pPr>
    </w:p>
    <w:p w14:paraId="134AD92B" w14:textId="77777777" w:rsidR="00840AE0" w:rsidRDefault="00840AE0" w:rsidP="00E46EEA">
      <w:pPr>
        <w:jc w:val="both"/>
        <w:rPr>
          <w:rFonts w:ascii="Book Antiqua" w:hAnsi="Book Antiqua" w:cs="Arial"/>
        </w:rPr>
      </w:pPr>
      <w:r>
        <w:rPr>
          <w:rFonts w:ascii="Book Antiqua" w:hAnsi="Book Antiqua" w:cs="Arial"/>
        </w:rPr>
        <w:br w:type="page"/>
      </w:r>
    </w:p>
    <w:p w14:paraId="397A03EA" w14:textId="77777777" w:rsidR="00840AE0" w:rsidRDefault="00840AE0" w:rsidP="00E46EEA">
      <w:pPr>
        <w:spacing w:line="360" w:lineRule="auto"/>
        <w:jc w:val="both"/>
        <w:rPr>
          <w:rFonts w:ascii="Book Antiqua" w:hAnsi="Book Antiqua"/>
          <w:b/>
          <w:u w:val="single"/>
          <w:lang w:val="en-US" w:eastAsia="zh-CN"/>
        </w:rPr>
      </w:pPr>
      <w:r w:rsidRPr="008E67F7">
        <w:rPr>
          <w:rFonts w:ascii="Book Antiqua" w:hAnsi="Book Antiqua"/>
          <w:b/>
          <w:noProof/>
          <w:u w:val="single"/>
          <w:lang w:val="en-US" w:eastAsia="zh-CN"/>
        </w:rPr>
        <w:lastRenderedPageBreak/>
        <w:drawing>
          <wp:inline distT="0" distB="0" distL="0" distR="0" wp14:anchorId="7DF267DD" wp14:editId="578790FB">
            <wp:extent cx="2931193" cy="2510287"/>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4-25 at 12.21.23.png"/>
                    <pic:cNvPicPr/>
                  </pic:nvPicPr>
                  <pic:blipFill rotWithShape="1">
                    <a:blip r:embed="rId9">
                      <a:extLst>
                        <a:ext uri="{28A0092B-C50C-407E-A947-70E740481C1C}">
                          <a14:useLocalDpi xmlns:a14="http://schemas.microsoft.com/office/drawing/2010/main" val="0"/>
                        </a:ext>
                      </a:extLst>
                    </a:blip>
                    <a:srcRect l="34354"/>
                    <a:stretch/>
                  </pic:blipFill>
                  <pic:spPr bwMode="auto">
                    <a:xfrm>
                      <a:off x="0" y="0"/>
                      <a:ext cx="2930326" cy="2509544"/>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hint="eastAsia"/>
          <w:b/>
          <w:u w:val="single"/>
          <w:lang w:val="en-US" w:eastAsia="zh-CN"/>
        </w:rPr>
        <w:t xml:space="preserve"> </w:t>
      </w:r>
      <w:r w:rsidRPr="008E67F7">
        <w:rPr>
          <w:rFonts w:ascii="Book Antiqua" w:hAnsi="Book Antiqua"/>
          <w:b/>
          <w:noProof/>
          <w:u w:val="single"/>
          <w:lang w:val="en-US" w:eastAsia="zh-CN"/>
        </w:rPr>
        <w:drawing>
          <wp:inline distT="0" distB="0" distL="0" distR="0" wp14:anchorId="06D1C53A" wp14:editId="388805F5">
            <wp:extent cx="2635059" cy="224286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4-25 at 09.45.57.png"/>
                    <pic:cNvPicPr/>
                  </pic:nvPicPr>
                  <pic:blipFill rotWithShape="1">
                    <a:blip r:embed="rId10">
                      <a:extLst>
                        <a:ext uri="{28A0092B-C50C-407E-A947-70E740481C1C}">
                          <a14:useLocalDpi xmlns:a14="http://schemas.microsoft.com/office/drawing/2010/main" val="0"/>
                        </a:ext>
                      </a:extLst>
                    </a:blip>
                    <a:srcRect l="33950"/>
                    <a:stretch/>
                  </pic:blipFill>
                  <pic:spPr bwMode="auto">
                    <a:xfrm>
                      <a:off x="0" y="0"/>
                      <a:ext cx="2632385" cy="2240592"/>
                    </a:xfrm>
                    <a:prstGeom prst="rect">
                      <a:avLst/>
                    </a:prstGeom>
                    <a:ln>
                      <a:noFill/>
                    </a:ln>
                    <a:extLst>
                      <a:ext uri="{53640926-AAD7-44D8-BBD7-CCE9431645EC}">
                        <a14:shadowObscured xmlns:a14="http://schemas.microsoft.com/office/drawing/2010/main"/>
                      </a:ext>
                    </a:extLst>
                  </pic:spPr>
                </pic:pic>
              </a:graphicData>
            </a:graphic>
          </wp:inline>
        </w:drawing>
      </w:r>
    </w:p>
    <w:p w14:paraId="18F4F1D1" w14:textId="77777777" w:rsidR="00840AE0" w:rsidRPr="00840AE0" w:rsidRDefault="00840AE0" w:rsidP="00E46EEA">
      <w:pPr>
        <w:spacing w:line="360" w:lineRule="auto"/>
        <w:jc w:val="both"/>
        <w:rPr>
          <w:rFonts w:ascii="Book Antiqua" w:hAnsi="Book Antiqua"/>
          <w:lang w:val="en-US" w:eastAsia="zh-CN"/>
        </w:rPr>
      </w:pPr>
      <w:r w:rsidRPr="00840AE0">
        <w:rPr>
          <w:rFonts w:ascii="Book Antiqua" w:hAnsi="Book Antiqua" w:hint="eastAsia"/>
          <w:lang w:val="en-US" w:eastAsia="zh-CN"/>
        </w:rPr>
        <w:t>A                                                                              B</w:t>
      </w:r>
    </w:p>
    <w:p w14:paraId="07ED8F2F" w14:textId="77777777" w:rsidR="00840AE0" w:rsidRPr="004F39DD" w:rsidRDefault="00840AE0" w:rsidP="00E46EEA">
      <w:pPr>
        <w:spacing w:line="360" w:lineRule="auto"/>
        <w:jc w:val="both"/>
        <w:rPr>
          <w:rFonts w:ascii="Book Antiqua" w:hAnsi="Book Antiqua"/>
          <w:lang w:val="en-US" w:eastAsia="zh-CN"/>
        </w:rPr>
      </w:pPr>
      <w:r w:rsidRPr="00840AE0">
        <w:rPr>
          <w:rFonts w:ascii="Book Antiqua" w:hAnsi="Book Antiqua"/>
          <w:b/>
          <w:lang w:val="en-US"/>
        </w:rPr>
        <w:t>Figure 1</w:t>
      </w:r>
      <w:r w:rsidRPr="00840AE0">
        <w:rPr>
          <w:rFonts w:ascii="Book Antiqua" w:hAnsi="Book Antiqua" w:hint="eastAsia"/>
          <w:b/>
          <w:lang w:val="en-US" w:eastAsia="zh-CN"/>
        </w:rPr>
        <w:t xml:space="preserve"> </w:t>
      </w:r>
      <w:r w:rsidRPr="00840AE0">
        <w:rPr>
          <w:rFonts w:ascii="Book Antiqua" w:hAnsi="Book Antiqua"/>
          <w:b/>
          <w:lang w:val="en-US" w:eastAsia="zh-CN"/>
        </w:rPr>
        <w:t>Acetic acid mechanism of action</w:t>
      </w:r>
      <w:r w:rsidRPr="00840AE0">
        <w:rPr>
          <w:rFonts w:ascii="Book Antiqua" w:hAnsi="Book Antiqua" w:hint="eastAsia"/>
          <w:lang w:val="en-US" w:eastAsia="zh-CN"/>
        </w:rPr>
        <w:t>.</w:t>
      </w:r>
      <w:r w:rsidRPr="004F39DD">
        <w:rPr>
          <w:rFonts w:ascii="Book Antiqua" w:hAnsi="Book Antiqua"/>
          <w:lang w:val="en-US"/>
        </w:rPr>
        <w:t xml:space="preserve"> A</w:t>
      </w:r>
      <w:r w:rsidRPr="004F39DD">
        <w:rPr>
          <w:rFonts w:ascii="Book Antiqua" w:hAnsi="Book Antiqua"/>
          <w:lang w:val="en-US" w:eastAsia="zh-CN"/>
        </w:rPr>
        <w:t>:</w:t>
      </w:r>
      <w:r w:rsidRPr="004F39DD">
        <w:rPr>
          <w:rFonts w:ascii="Book Antiqua" w:hAnsi="Book Antiqua"/>
          <w:lang w:val="en-US"/>
        </w:rPr>
        <w:t xml:space="preserve"> Non-dysplastic Barrett’s with HDWL</w:t>
      </w:r>
      <w:r w:rsidRPr="004F39DD">
        <w:rPr>
          <w:rFonts w:ascii="Book Antiqua" w:hAnsi="Book Antiqua" w:hint="eastAsia"/>
          <w:lang w:val="en-US" w:eastAsia="zh-CN"/>
        </w:rPr>
        <w:t xml:space="preserve">; </w:t>
      </w:r>
      <w:r w:rsidRPr="004F39DD">
        <w:rPr>
          <w:rFonts w:ascii="Book Antiqua" w:hAnsi="Book Antiqua"/>
          <w:lang w:val="en-US"/>
        </w:rPr>
        <w:t>B</w:t>
      </w:r>
      <w:r w:rsidRPr="004F39DD">
        <w:rPr>
          <w:rFonts w:ascii="Book Antiqua" w:hAnsi="Book Antiqua" w:hint="eastAsia"/>
          <w:lang w:val="en-US" w:eastAsia="zh-CN"/>
        </w:rPr>
        <w:t>:</w:t>
      </w:r>
      <w:r w:rsidRPr="004F39DD">
        <w:rPr>
          <w:rFonts w:ascii="Book Antiqua" w:hAnsi="Book Antiqua"/>
          <w:lang w:val="en-US"/>
        </w:rPr>
        <w:t xml:space="preserve"> Non-dysplastic Barrett’s follow AAC (O</w:t>
      </w:r>
      <w:r>
        <w:rPr>
          <w:rFonts w:ascii="Book Antiqua" w:hAnsi="Book Antiqua"/>
          <w:lang w:val="en-US"/>
        </w:rPr>
        <w:t xml:space="preserve">lympus Lucera ELITE processor, </w:t>
      </w:r>
      <w:r w:rsidRPr="004F39DD">
        <w:rPr>
          <w:rFonts w:ascii="Book Antiqua" w:hAnsi="Book Antiqua"/>
          <w:lang w:val="en-US"/>
        </w:rPr>
        <w:t>GIFHQ290 gastroscope)</w:t>
      </w:r>
      <w:r w:rsidRPr="004F39DD">
        <w:rPr>
          <w:rFonts w:ascii="Book Antiqua" w:hAnsi="Book Antiqua" w:hint="eastAsia"/>
          <w:lang w:val="en-US" w:eastAsia="zh-CN"/>
        </w:rPr>
        <w:t>.</w:t>
      </w:r>
    </w:p>
    <w:p w14:paraId="3F9AB0A7" w14:textId="77777777" w:rsidR="00840AE0" w:rsidRPr="002075A3" w:rsidRDefault="00840AE0" w:rsidP="00E46EEA">
      <w:pPr>
        <w:spacing w:line="360" w:lineRule="auto"/>
        <w:jc w:val="both"/>
        <w:rPr>
          <w:rFonts w:ascii="Book Antiqua" w:hAnsi="Book Antiqua"/>
          <w:b/>
          <w:u w:val="single"/>
          <w:lang w:val="en-US"/>
        </w:rPr>
      </w:pPr>
    </w:p>
    <w:p w14:paraId="2C77C173" w14:textId="77777777" w:rsidR="00840AE0" w:rsidRDefault="00840AE0" w:rsidP="00E46EEA">
      <w:pPr>
        <w:spacing w:line="360" w:lineRule="auto"/>
        <w:jc w:val="both"/>
        <w:rPr>
          <w:rFonts w:ascii="Book Antiqua" w:hAnsi="Book Antiqua"/>
          <w:b/>
          <w:u w:val="single"/>
          <w:lang w:val="en-US" w:eastAsia="zh-CN"/>
        </w:rPr>
      </w:pPr>
      <w:r w:rsidRPr="008E67F7">
        <w:rPr>
          <w:rFonts w:ascii="Book Antiqua" w:hAnsi="Book Antiqua"/>
          <w:b/>
          <w:noProof/>
          <w:u w:val="single"/>
          <w:lang w:val="en-US" w:eastAsia="zh-CN"/>
        </w:rPr>
        <w:drawing>
          <wp:inline distT="0" distB="0" distL="0" distR="0" wp14:anchorId="55595135" wp14:editId="5E8D49D9">
            <wp:extent cx="2128318" cy="181154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4-25 at 12.04.29.png"/>
                    <pic:cNvPicPr/>
                  </pic:nvPicPr>
                  <pic:blipFill rotWithShape="1">
                    <a:blip r:embed="rId11">
                      <a:extLst>
                        <a:ext uri="{28A0092B-C50C-407E-A947-70E740481C1C}">
                          <a14:useLocalDpi xmlns:a14="http://schemas.microsoft.com/office/drawing/2010/main" val="0"/>
                        </a:ext>
                      </a:extLst>
                    </a:blip>
                    <a:srcRect l="33950"/>
                    <a:stretch/>
                  </pic:blipFill>
                  <pic:spPr bwMode="auto">
                    <a:xfrm>
                      <a:off x="0" y="0"/>
                      <a:ext cx="2126158" cy="1809710"/>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hint="eastAsia"/>
          <w:b/>
          <w:u w:val="single"/>
          <w:lang w:val="en-US" w:eastAsia="zh-CN"/>
        </w:rPr>
        <w:t xml:space="preserve"> </w:t>
      </w:r>
      <w:r w:rsidRPr="008E67F7">
        <w:rPr>
          <w:rFonts w:ascii="Book Antiqua" w:hAnsi="Book Antiqua"/>
          <w:b/>
          <w:noProof/>
          <w:u w:val="single"/>
          <w:lang w:val="en-US" w:eastAsia="zh-CN"/>
        </w:rPr>
        <w:drawing>
          <wp:inline distT="0" distB="0" distL="0" distR="0" wp14:anchorId="6D5703BD" wp14:editId="3E3757CE">
            <wp:extent cx="2122098" cy="1817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4-25 at 12.11.04.png"/>
                    <pic:cNvPicPr/>
                  </pic:nvPicPr>
                  <pic:blipFill rotWithShape="1">
                    <a:blip r:embed="rId12">
                      <a:extLst>
                        <a:ext uri="{28A0092B-C50C-407E-A947-70E740481C1C}">
                          <a14:useLocalDpi xmlns:a14="http://schemas.microsoft.com/office/drawing/2010/main" val="0"/>
                        </a:ext>
                      </a:extLst>
                    </a:blip>
                    <a:srcRect l="34354"/>
                    <a:stretch/>
                  </pic:blipFill>
                  <pic:spPr bwMode="auto">
                    <a:xfrm>
                      <a:off x="0" y="0"/>
                      <a:ext cx="2115220" cy="1811485"/>
                    </a:xfrm>
                    <a:prstGeom prst="rect">
                      <a:avLst/>
                    </a:prstGeom>
                    <a:ln>
                      <a:noFill/>
                    </a:ln>
                    <a:extLst>
                      <a:ext uri="{53640926-AAD7-44D8-BBD7-CCE9431645EC}">
                        <a14:shadowObscured xmlns:a14="http://schemas.microsoft.com/office/drawing/2010/main"/>
                      </a:ext>
                    </a:extLst>
                  </pic:spPr>
                </pic:pic>
              </a:graphicData>
            </a:graphic>
          </wp:inline>
        </w:drawing>
      </w:r>
    </w:p>
    <w:p w14:paraId="094516E6" w14:textId="77777777" w:rsidR="00840AE0" w:rsidRPr="004F39DD" w:rsidRDefault="00840AE0" w:rsidP="00E46EEA">
      <w:pPr>
        <w:spacing w:line="360" w:lineRule="auto"/>
        <w:jc w:val="both"/>
        <w:rPr>
          <w:rFonts w:ascii="Book Antiqua" w:hAnsi="Book Antiqua"/>
          <w:lang w:val="en-US" w:eastAsia="zh-CN"/>
        </w:rPr>
      </w:pPr>
      <w:r w:rsidRPr="004F39DD">
        <w:rPr>
          <w:rFonts w:ascii="Book Antiqua" w:hAnsi="Book Antiqua" w:hint="eastAsia"/>
          <w:lang w:val="en-US" w:eastAsia="zh-CN"/>
        </w:rPr>
        <w:t>A                                                         B</w:t>
      </w:r>
    </w:p>
    <w:p w14:paraId="3A8C18EC" w14:textId="77777777" w:rsidR="00840AE0" w:rsidRPr="004F39DD" w:rsidRDefault="00840AE0" w:rsidP="00E46EEA">
      <w:pPr>
        <w:spacing w:line="360" w:lineRule="auto"/>
        <w:jc w:val="both"/>
        <w:rPr>
          <w:rFonts w:ascii="Book Antiqua" w:hAnsi="Book Antiqua"/>
          <w:lang w:val="en-US" w:eastAsia="zh-CN"/>
        </w:rPr>
      </w:pPr>
      <w:r w:rsidRPr="004F39DD">
        <w:rPr>
          <w:rFonts w:ascii="Book Antiqua" w:hAnsi="Book Antiqua"/>
          <w:b/>
          <w:lang w:val="en-US"/>
        </w:rPr>
        <w:t>Figure 2</w:t>
      </w:r>
      <w:r w:rsidRPr="004F39DD">
        <w:rPr>
          <w:rFonts w:ascii="Book Antiqua" w:hAnsi="Book Antiqua" w:hint="eastAsia"/>
          <w:b/>
          <w:lang w:val="en-US" w:eastAsia="zh-CN"/>
        </w:rPr>
        <w:t xml:space="preserve"> </w:t>
      </w:r>
      <w:r w:rsidRPr="004F39DD">
        <w:rPr>
          <w:rFonts w:ascii="Book Antiqua" w:hAnsi="Book Antiqua"/>
          <w:b/>
          <w:lang w:val="en-US" w:eastAsia="zh-CN"/>
        </w:rPr>
        <w:t>Dysplastic Barrett’s was defined endoscopically</w:t>
      </w:r>
      <w:r w:rsidRPr="004F39DD">
        <w:rPr>
          <w:rFonts w:ascii="Book Antiqua" w:hAnsi="Book Antiqua" w:hint="eastAsia"/>
          <w:b/>
          <w:lang w:val="en-US" w:eastAsia="zh-CN"/>
        </w:rPr>
        <w:t>.</w:t>
      </w:r>
      <w:r>
        <w:rPr>
          <w:rFonts w:ascii="Book Antiqua" w:hAnsi="Book Antiqua" w:hint="eastAsia"/>
          <w:lang w:val="en-US" w:eastAsia="zh-CN"/>
        </w:rPr>
        <w:t xml:space="preserve"> </w:t>
      </w:r>
      <w:r w:rsidRPr="004F39DD">
        <w:rPr>
          <w:rFonts w:ascii="Book Antiqua" w:hAnsi="Book Antiqua" w:hint="eastAsia"/>
          <w:lang w:val="en-US" w:eastAsia="zh-CN"/>
        </w:rPr>
        <w:t>A:</w:t>
      </w:r>
      <w:r w:rsidRPr="004F39DD">
        <w:rPr>
          <w:rFonts w:ascii="Book Antiqua" w:hAnsi="Book Antiqua"/>
          <w:lang w:val="en-US"/>
        </w:rPr>
        <w:t xml:space="preserve"> Barrett’s with HDWL</w:t>
      </w:r>
      <w:r w:rsidRPr="004F39DD">
        <w:rPr>
          <w:rFonts w:ascii="Book Antiqua" w:hAnsi="Book Antiqua" w:hint="eastAsia"/>
          <w:lang w:val="en-US" w:eastAsia="zh-CN"/>
        </w:rPr>
        <w:t xml:space="preserve">; </w:t>
      </w:r>
      <w:r w:rsidRPr="004F39DD">
        <w:rPr>
          <w:rFonts w:ascii="Book Antiqua" w:hAnsi="Book Antiqua"/>
          <w:lang w:val="en-US"/>
        </w:rPr>
        <w:t>B: Same patient note dysplasia only visible post AAC with early loss of acetowhitening (Olympus Lucera ELITE processor, GIFHQ290 gastroscope)</w:t>
      </w:r>
      <w:r w:rsidRPr="004F39DD">
        <w:rPr>
          <w:rFonts w:ascii="Book Antiqua" w:hAnsi="Book Antiqua" w:hint="eastAsia"/>
          <w:lang w:val="en-US" w:eastAsia="zh-CN"/>
        </w:rPr>
        <w:t xml:space="preserve">. </w:t>
      </w:r>
    </w:p>
    <w:p w14:paraId="2BA4E562" w14:textId="77777777" w:rsidR="00840AE0" w:rsidRPr="002075A3" w:rsidRDefault="00840AE0" w:rsidP="00E46EEA">
      <w:pPr>
        <w:spacing w:line="360" w:lineRule="auto"/>
        <w:jc w:val="both"/>
        <w:rPr>
          <w:rFonts w:ascii="Book Antiqua" w:hAnsi="Book Antiqua"/>
          <w:b/>
          <w:u w:val="single"/>
          <w:lang w:val="en-US"/>
        </w:rPr>
      </w:pPr>
    </w:p>
    <w:p w14:paraId="7000BDA9" w14:textId="77777777" w:rsidR="00840AE0" w:rsidRDefault="00840AE0" w:rsidP="00E46EEA">
      <w:pPr>
        <w:jc w:val="both"/>
        <w:rPr>
          <w:rFonts w:ascii="Book Antiqua" w:hAnsi="Book Antiqua"/>
          <w:b/>
          <w:u w:val="single"/>
          <w:lang w:val="en-US"/>
        </w:rPr>
      </w:pPr>
      <w:r>
        <w:rPr>
          <w:rFonts w:ascii="Book Antiqua" w:hAnsi="Book Antiqua"/>
          <w:b/>
          <w:u w:val="single"/>
          <w:lang w:val="en-US"/>
        </w:rPr>
        <w:br w:type="page"/>
      </w:r>
    </w:p>
    <w:p w14:paraId="6778ED29" w14:textId="77777777" w:rsidR="00840AE0" w:rsidRPr="00840AE0" w:rsidRDefault="00840AE0" w:rsidP="00E46EEA">
      <w:pPr>
        <w:spacing w:line="360" w:lineRule="auto"/>
        <w:jc w:val="both"/>
        <w:rPr>
          <w:rFonts w:ascii="Book Antiqua" w:hAnsi="Book Antiqua"/>
          <w:b/>
          <w:lang w:val="en-US"/>
        </w:rPr>
      </w:pPr>
      <w:r>
        <w:rPr>
          <w:rFonts w:ascii="Book Antiqua" w:hAnsi="Book Antiqua"/>
          <w:b/>
          <w:lang w:val="en-US"/>
        </w:rPr>
        <w:lastRenderedPageBreak/>
        <w:t>Table 1</w:t>
      </w:r>
      <w:r>
        <w:rPr>
          <w:rFonts w:ascii="Book Antiqua" w:hAnsi="Book Antiqua" w:hint="eastAsia"/>
          <w:b/>
          <w:lang w:val="en-US" w:eastAsia="zh-CN"/>
        </w:rPr>
        <w:t xml:space="preserve"> </w:t>
      </w:r>
      <w:r w:rsidRPr="00840AE0">
        <w:rPr>
          <w:rFonts w:ascii="Book Antiqua" w:hAnsi="Book Antiqua"/>
          <w:b/>
          <w:lang w:val="en-US"/>
        </w:rPr>
        <w:t>Projected histology costs by biopsy protocol</w:t>
      </w:r>
    </w:p>
    <w:p w14:paraId="252F25F9" w14:textId="77777777" w:rsidR="00840AE0" w:rsidRPr="002075A3" w:rsidRDefault="00840AE0" w:rsidP="00E46EEA">
      <w:pPr>
        <w:spacing w:line="360" w:lineRule="auto"/>
        <w:jc w:val="both"/>
        <w:rPr>
          <w:rFonts w:ascii="Book Antiqua" w:hAnsi="Book Antiqua"/>
          <w:b/>
          <w:u w:val="single"/>
          <w:lang w:val="en-US"/>
        </w:rPr>
      </w:pPr>
    </w:p>
    <w:tbl>
      <w:tblPr>
        <w:tblStyle w:val="TableGrid"/>
        <w:tblW w:w="10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409"/>
        <w:gridCol w:w="1965"/>
        <w:gridCol w:w="1965"/>
      </w:tblGrid>
      <w:tr w:rsidR="00840AE0" w:rsidRPr="002075A3" w14:paraId="7910A646" w14:textId="77777777" w:rsidTr="000C2B1E">
        <w:tc>
          <w:tcPr>
            <w:tcW w:w="3841" w:type="dxa"/>
            <w:tcBorders>
              <w:top w:val="single" w:sz="4" w:space="0" w:color="auto"/>
              <w:bottom w:val="single" w:sz="4" w:space="0" w:color="auto"/>
            </w:tcBorders>
            <w:shd w:val="clear" w:color="auto" w:fill="auto"/>
          </w:tcPr>
          <w:p w14:paraId="1CD08066" w14:textId="77777777" w:rsidR="00840AE0" w:rsidRPr="002075A3" w:rsidRDefault="00840AE0" w:rsidP="00E46EEA">
            <w:pPr>
              <w:spacing w:line="360" w:lineRule="auto"/>
              <w:jc w:val="both"/>
              <w:rPr>
                <w:rFonts w:ascii="Book Antiqua" w:hAnsi="Book Antiqua"/>
                <w:b/>
              </w:rPr>
            </w:pPr>
            <w:r w:rsidRPr="002075A3">
              <w:rPr>
                <w:rFonts w:ascii="Book Antiqua" w:hAnsi="Book Antiqua"/>
                <w:b/>
              </w:rPr>
              <w:t>Biopsy Protocols</w:t>
            </w:r>
          </w:p>
        </w:tc>
        <w:tc>
          <w:tcPr>
            <w:tcW w:w="2409" w:type="dxa"/>
            <w:tcBorders>
              <w:top w:val="single" w:sz="4" w:space="0" w:color="auto"/>
              <w:bottom w:val="single" w:sz="4" w:space="0" w:color="auto"/>
            </w:tcBorders>
            <w:shd w:val="clear" w:color="auto" w:fill="auto"/>
          </w:tcPr>
          <w:p w14:paraId="05DA92B7" w14:textId="77777777" w:rsidR="00840AE0" w:rsidRPr="002075A3" w:rsidRDefault="00840AE0" w:rsidP="00E46EEA">
            <w:pPr>
              <w:spacing w:line="360" w:lineRule="auto"/>
              <w:jc w:val="both"/>
              <w:rPr>
                <w:rFonts w:ascii="Book Antiqua" w:hAnsi="Book Antiqua"/>
                <w:b/>
              </w:rPr>
            </w:pPr>
            <w:r w:rsidRPr="002075A3">
              <w:rPr>
                <w:rFonts w:ascii="Book Antiqua" w:hAnsi="Book Antiqua"/>
                <w:b/>
              </w:rPr>
              <w:t xml:space="preserve">Cost of biopsies for cohort, </w:t>
            </w:r>
            <w:r w:rsidRPr="00840AE0">
              <w:rPr>
                <w:rFonts w:ascii="Book Antiqua" w:hAnsi="Book Antiqua"/>
                <w:b/>
                <w:i/>
              </w:rPr>
              <w:t>n</w:t>
            </w:r>
            <w:r>
              <w:rPr>
                <w:rFonts w:ascii="Book Antiqua" w:hAnsi="Book Antiqua" w:hint="eastAsia"/>
                <w:b/>
                <w:lang w:eastAsia="zh-CN"/>
              </w:rPr>
              <w:t xml:space="preserve"> </w:t>
            </w:r>
            <w:r w:rsidRPr="002075A3">
              <w:rPr>
                <w:rFonts w:ascii="Book Antiqua" w:hAnsi="Book Antiqua"/>
                <w:b/>
              </w:rPr>
              <w:t>= 263 (£/$)</w:t>
            </w:r>
          </w:p>
        </w:tc>
        <w:tc>
          <w:tcPr>
            <w:tcW w:w="1965" w:type="dxa"/>
            <w:tcBorders>
              <w:top w:val="single" w:sz="4" w:space="0" w:color="auto"/>
              <w:bottom w:val="single" w:sz="4" w:space="0" w:color="auto"/>
            </w:tcBorders>
            <w:shd w:val="clear" w:color="auto" w:fill="auto"/>
          </w:tcPr>
          <w:p w14:paraId="2D3B18CD" w14:textId="77777777" w:rsidR="00840AE0" w:rsidRPr="002075A3" w:rsidRDefault="00840AE0" w:rsidP="00E46EEA">
            <w:pPr>
              <w:spacing w:line="360" w:lineRule="auto"/>
              <w:jc w:val="both"/>
              <w:rPr>
                <w:rFonts w:ascii="Book Antiqua" w:hAnsi="Book Antiqua"/>
                <w:b/>
              </w:rPr>
            </w:pPr>
            <w:r w:rsidRPr="002075A3">
              <w:rPr>
                <w:rFonts w:ascii="Book Antiqua" w:hAnsi="Book Antiqua"/>
                <w:b/>
              </w:rPr>
              <w:t>Cost per patient</w:t>
            </w:r>
          </w:p>
        </w:tc>
        <w:tc>
          <w:tcPr>
            <w:tcW w:w="1965" w:type="dxa"/>
            <w:tcBorders>
              <w:top w:val="single" w:sz="4" w:space="0" w:color="auto"/>
              <w:bottom w:val="single" w:sz="4" w:space="0" w:color="auto"/>
            </w:tcBorders>
            <w:shd w:val="clear" w:color="auto" w:fill="auto"/>
          </w:tcPr>
          <w:p w14:paraId="4F332B4A" w14:textId="77777777" w:rsidR="00840AE0" w:rsidRPr="002075A3" w:rsidRDefault="00840AE0" w:rsidP="00E46EEA">
            <w:pPr>
              <w:spacing w:line="360" w:lineRule="auto"/>
              <w:jc w:val="both"/>
              <w:rPr>
                <w:rFonts w:ascii="Book Antiqua" w:hAnsi="Book Antiqua"/>
                <w:b/>
              </w:rPr>
            </w:pPr>
            <w:r w:rsidRPr="002075A3">
              <w:rPr>
                <w:rFonts w:ascii="Book Antiqua" w:hAnsi="Book Antiqua"/>
                <w:b/>
              </w:rPr>
              <w:t xml:space="preserve">Cost reduction </w:t>
            </w:r>
            <w:r w:rsidRPr="00840AE0">
              <w:rPr>
                <w:rFonts w:ascii="Book Antiqua" w:hAnsi="Book Antiqua"/>
                <w:b/>
                <w:i/>
              </w:rPr>
              <w:t>vs</w:t>
            </w:r>
            <w:r w:rsidRPr="002075A3">
              <w:rPr>
                <w:rFonts w:ascii="Book Antiqua" w:hAnsi="Book Antiqua"/>
                <w:b/>
              </w:rPr>
              <w:t xml:space="preserve"> Seattle protocol</w:t>
            </w:r>
          </w:p>
        </w:tc>
      </w:tr>
      <w:tr w:rsidR="00840AE0" w:rsidRPr="002075A3" w14:paraId="09593114" w14:textId="77777777" w:rsidTr="000C2B1E">
        <w:tc>
          <w:tcPr>
            <w:tcW w:w="3841" w:type="dxa"/>
            <w:tcBorders>
              <w:top w:val="single" w:sz="4" w:space="0" w:color="auto"/>
            </w:tcBorders>
            <w:shd w:val="clear" w:color="auto" w:fill="auto"/>
          </w:tcPr>
          <w:p w14:paraId="0EC7B6F5" w14:textId="77777777" w:rsidR="00840AE0" w:rsidRPr="00E46EEA" w:rsidRDefault="00840AE0" w:rsidP="00E46EEA">
            <w:pPr>
              <w:spacing w:line="360" w:lineRule="auto"/>
              <w:jc w:val="both"/>
              <w:rPr>
                <w:rFonts w:ascii="Book Antiqua" w:hAnsi="Book Antiqua"/>
              </w:rPr>
            </w:pPr>
            <w:r w:rsidRPr="00E46EEA">
              <w:rPr>
                <w:rFonts w:ascii="Book Antiqua" w:hAnsi="Book Antiqua"/>
              </w:rPr>
              <w:t xml:space="preserve">Seattle Protocol: </w:t>
            </w:r>
          </w:p>
          <w:p w14:paraId="1EC27B4B" w14:textId="77777777" w:rsidR="00840AE0" w:rsidRPr="00E46EEA" w:rsidRDefault="00840AE0" w:rsidP="00E46EEA">
            <w:pPr>
              <w:spacing w:line="360" w:lineRule="auto"/>
              <w:jc w:val="both"/>
              <w:rPr>
                <w:rFonts w:ascii="Book Antiqua" w:hAnsi="Book Antiqua"/>
              </w:rPr>
            </w:pPr>
            <w:r w:rsidRPr="00E46EEA">
              <w:rPr>
                <w:rFonts w:ascii="Book Antiqua" w:hAnsi="Book Antiqua"/>
              </w:rPr>
              <w:t>4QBS every 1cm individual cassettes</w:t>
            </w:r>
          </w:p>
        </w:tc>
        <w:tc>
          <w:tcPr>
            <w:tcW w:w="2409" w:type="dxa"/>
            <w:tcBorders>
              <w:top w:val="single" w:sz="4" w:space="0" w:color="auto"/>
            </w:tcBorders>
            <w:shd w:val="clear" w:color="auto" w:fill="auto"/>
          </w:tcPr>
          <w:p w14:paraId="2600BF1E" w14:textId="77777777" w:rsidR="00840AE0" w:rsidRPr="002075A3" w:rsidRDefault="00840AE0" w:rsidP="00E46EEA">
            <w:pPr>
              <w:spacing w:line="360" w:lineRule="auto"/>
              <w:jc w:val="both"/>
              <w:rPr>
                <w:rFonts w:ascii="Book Antiqua" w:hAnsi="Book Antiqua" w:cs="Times New Roman"/>
                <w:lang w:val="en-US"/>
              </w:rPr>
            </w:pPr>
            <w:r>
              <w:rPr>
                <w:rFonts w:ascii="Book Antiqua" w:hAnsi="Book Antiqua" w:cs="Times New Roman"/>
                <w:lang w:val="en-US"/>
              </w:rPr>
              <w:t>£278</w:t>
            </w:r>
            <w:r w:rsidRPr="002075A3">
              <w:rPr>
                <w:rFonts w:ascii="Book Antiqua" w:hAnsi="Book Antiqua" w:cs="Times New Roman"/>
                <w:lang w:val="en-US"/>
              </w:rPr>
              <w:t>832.60</w:t>
            </w:r>
          </w:p>
          <w:p w14:paraId="05B0B7B2" w14:textId="77777777" w:rsidR="00840AE0" w:rsidRPr="002075A3" w:rsidRDefault="00840AE0" w:rsidP="00E46EEA">
            <w:pPr>
              <w:spacing w:line="360" w:lineRule="auto"/>
              <w:jc w:val="both"/>
              <w:rPr>
                <w:rFonts w:ascii="Book Antiqua" w:hAnsi="Book Antiqua" w:cs="Times New Roman"/>
                <w:lang w:val="en-US"/>
              </w:rPr>
            </w:pPr>
            <w:r>
              <w:rPr>
                <w:rFonts w:ascii="Book Antiqua" w:hAnsi="Book Antiqua" w:cs="Times New Roman"/>
                <w:lang w:val="en-US"/>
              </w:rPr>
              <w:t>$428</w:t>
            </w:r>
            <w:r w:rsidRPr="002075A3">
              <w:rPr>
                <w:rFonts w:ascii="Book Antiqua" w:hAnsi="Book Antiqua" w:cs="Times New Roman"/>
                <w:lang w:val="en-US"/>
              </w:rPr>
              <w:t>929.60</w:t>
            </w:r>
          </w:p>
        </w:tc>
        <w:tc>
          <w:tcPr>
            <w:tcW w:w="1965" w:type="dxa"/>
            <w:tcBorders>
              <w:top w:val="single" w:sz="4" w:space="0" w:color="auto"/>
            </w:tcBorders>
            <w:shd w:val="clear" w:color="auto" w:fill="auto"/>
          </w:tcPr>
          <w:p w14:paraId="6783DA50" w14:textId="77777777" w:rsidR="00840AE0" w:rsidRPr="002075A3" w:rsidRDefault="00840AE0" w:rsidP="00E46EEA">
            <w:pPr>
              <w:spacing w:line="360" w:lineRule="auto"/>
              <w:jc w:val="both"/>
              <w:rPr>
                <w:rFonts w:ascii="Book Antiqua" w:hAnsi="Book Antiqua" w:cs="Times New Roman"/>
                <w:lang w:val="en-US"/>
              </w:rPr>
            </w:pPr>
            <w:r w:rsidRPr="002075A3">
              <w:rPr>
                <w:rFonts w:ascii="Book Antiqua" w:hAnsi="Book Antiqua" w:cs="Times New Roman"/>
                <w:lang w:val="en-US"/>
              </w:rPr>
              <w:t>£1060.20</w:t>
            </w:r>
          </w:p>
          <w:p w14:paraId="485B272C" w14:textId="77777777" w:rsidR="00840AE0" w:rsidRPr="002075A3" w:rsidRDefault="00840AE0" w:rsidP="00E46EEA">
            <w:pPr>
              <w:spacing w:line="360" w:lineRule="auto"/>
              <w:jc w:val="both"/>
              <w:rPr>
                <w:rFonts w:ascii="Book Antiqua" w:hAnsi="Book Antiqua" w:cs="Times New Roman"/>
                <w:lang w:val="en-US"/>
              </w:rPr>
            </w:pPr>
            <w:r w:rsidRPr="002075A3">
              <w:rPr>
                <w:rFonts w:ascii="Book Antiqua" w:hAnsi="Book Antiqua" w:cs="Times New Roman"/>
                <w:lang w:val="en-US"/>
              </w:rPr>
              <w:t>$1630.91</w:t>
            </w:r>
          </w:p>
        </w:tc>
        <w:tc>
          <w:tcPr>
            <w:tcW w:w="1965" w:type="dxa"/>
            <w:tcBorders>
              <w:top w:val="single" w:sz="4" w:space="0" w:color="auto"/>
            </w:tcBorders>
            <w:shd w:val="clear" w:color="auto" w:fill="auto"/>
          </w:tcPr>
          <w:p w14:paraId="6BFAA357" w14:textId="77777777" w:rsidR="00840AE0" w:rsidRPr="00E46EEA" w:rsidRDefault="00840AE0" w:rsidP="00E46EEA">
            <w:pPr>
              <w:spacing w:line="360" w:lineRule="auto"/>
              <w:jc w:val="both"/>
              <w:rPr>
                <w:rFonts w:ascii="Book Antiqua" w:hAnsi="Book Antiqua" w:cs="Times New Roman"/>
                <w:lang w:val="en-US"/>
              </w:rPr>
            </w:pPr>
          </w:p>
        </w:tc>
      </w:tr>
      <w:tr w:rsidR="00840AE0" w:rsidRPr="002075A3" w14:paraId="3FF0E10C" w14:textId="77777777" w:rsidTr="000C2B1E">
        <w:tc>
          <w:tcPr>
            <w:tcW w:w="3841" w:type="dxa"/>
            <w:shd w:val="clear" w:color="auto" w:fill="auto"/>
          </w:tcPr>
          <w:p w14:paraId="3DBC721B" w14:textId="77777777" w:rsidR="00840AE0" w:rsidRPr="00E46EEA" w:rsidRDefault="00840AE0" w:rsidP="00E46EEA">
            <w:pPr>
              <w:spacing w:line="360" w:lineRule="auto"/>
              <w:jc w:val="both"/>
              <w:rPr>
                <w:rFonts w:ascii="Book Antiqua" w:hAnsi="Book Antiqua"/>
              </w:rPr>
            </w:pPr>
            <w:r w:rsidRPr="00E46EEA">
              <w:rPr>
                <w:rFonts w:ascii="Book Antiqua" w:hAnsi="Book Antiqua"/>
              </w:rPr>
              <w:t>Cleveland Protocol:</w:t>
            </w:r>
          </w:p>
          <w:p w14:paraId="0172453D" w14:textId="77777777" w:rsidR="00840AE0" w:rsidRPr="00E46EEA" w:rsidRDefault="00840AE0" w:rsidP="00E46EEA">
            <w:pPr>
              <w:spacing w:line="360" w:lineRule="auto"/>
              <w:jc w:val="both"/>
              <w:rPr>
                <w:rFonts w:ascii="Book Antiqua" w:hAnsi="Book Antiqua"/>
              </w:rPr>
            </w:pPr>
            <w:r w:rsidRPr="00E46EEA">
              <w:rPr>
                <w:rFonts w:ascii="Book Antiqua" w:hAnsi="Book Antiqua"/>
              </w:rPr>
              <w:t>4QBS every 2 cm individual cassettes</w:t>
            </w:r>
          </w:p>
        </w:tc>
        <w:tc>
          <w:tcPr>
            <w:tcW w:w="2409" w:type="dxa"/>
            <w:shd w:val="clear" w:color="auto" w:fill="auto"/>
          </w:tcPr>
          <w:p w14:paraId="17D6D6F5" w14:textId="77777777" w:rsidR="00840AE0" w:rsidRPr="002075A3" w:rsidRDefault="00840AE0" w:rsidP="00E46EEA">
            <w:pPr>
              <w:spacing w:line="360" w:lineRule="auto"/>
              <w:jc w:val="both"/>
              <w:rPr>
                <w:rFonts w:ascii="Book Antiqua" w:hAnsi="Book Antiqua"/>
              </w:rPr>
            </w:pPr>
            <w:r>
              <w:rPr>
                <w:rFonts w:ascii="Book Antiqua" w:hAnsi="Book Antiqua"/>
              </w:rPr>
              <w:t>£139</w:t>
            </w:r>
            <w:r w:rsidRPr="002075A3">
              <w:rPr>
                <w:rFonts w:ascii="Book Antiqua" w:hAnsi="Book Antiqua"/>
              </w:rPr>
              <w:t>416.30</w:t>
            </w:r>
          </w:p>
          <w:p w14:paraId="28012569" w14:textId="77777777" w:rsidR="00840AE0" w:rsidRPr="002075A3" w:rsidRDefault="00840AE0" w:rsidP="00E46EEA">
            <w:pPr>
              <w:spacing w:line="360" w:lineRule="auto"/>
              <w:jc w:val="both"/>
              <w:rPr>
                <w:rFonts w:ascii="Book Antiqua" w:hAnsi="Book Antiqua"/>
              </w:rPr>
            </w:pPr>
            <w:r w:rsidRPr="002075A3">
              <w:rPr>
                <w:rFonts w:ascii="Book Antiqua" w:hAnsi="Book Antiqua"/>
              </w:rPr>
              <w:t>$</w:t>
            </w:r>
            <w:r>
              <w:rPr>
                <w:rFonts w:ascii="Book Antiqua" w:hAnsi="Book Antiqua"/>
              </w:rPr>
              <w:t>214</w:t>
            </w:r>
            <w:r w:rsidRPr="002075A3">
              <w:rPr>
                <w:rFonts w:ascii="Book Antiqua" w:hAnsi="Book Antiqua"/>
              </w:rPr>
              <w:t>464.80</w:t>
            </w:r>
          </w:p>
        </w:tc>
        <w:tc>
          <w:tcPr>
            <w:tcW w:w="1965" w:type="dxa"/>
            <w:shd w:val="clear" w:color="auto" w:fill="auto"/>
          </w:tcPr>
          <w:p w14:paraId="4F04F929" w14:textId="77777777" w:rsidR="00840AE0" w:rsidRPr="002075A3" w:rsidRDefault="00840AE0" w:rsidP="00E46EEA">
            <w:pPr>
              <w:spacing w:line="360" w:lineRule="auto"/>
              <w:jc w:val="both"/>
              <w:rPr>
                <w:rFonts w:ascii="Book Antiqua" w:hAnsi="Book Antiqua"/>
              </w:rPr>
            </w:pPr>
            <w:r w:rsidRPr="002075A3">
              <w:rPr>
                <w:rFonts w:ascii="Book Antiqua" w:hAnsi="Book Antiqua"/>
              </w:rPr>
              <w:t>£530.10</w:t>
            </w:r>
          </w:p>
          <w:p w14:paraId="0CD76B15" w14:textId="77777777" w:rsidR="00840AE0" w:rsidRPr="002075A3" w:rsidRDefault="00840AE0" w:rsidP="00E46EEA">
            <w:pPr>
              <w:spacing w:line="360" w:lineRule="auto"/>
              <w:jc w:val="both"/>
              <w:rPr>
                <w:rFonts w:ascii="Book Antiqua" w:hAnsi="Book Antiqua"/>
              </w:rPr>
            </w:pPr>
            <w:r w:rsidRPr="002075A3">
              <w:rPr>
                <w:rFonts w:ascii="Book Antiqua" w:hAnsi="Book Antiqua"/>
              </w:rPr>
              <w:t>$815.46</w:t>
            </w:r>
          </w:p>
        </w:tc>
        <w:tc>
          <w:tcPr>
            <w:tcW w:w="1965" w:type="dxa"/>
            <w:shd w:val="clear" w:color="auto" w:fill="auto"/>
          </w:tcPr>
          <w:p w14:paraId="3F33C3F2" w14:textId="77777777" w:rsidR="00840AE0" w:rsidRPr="00E46EEA" w:rsidRDefault="00840AE0" w:rsidP="00E46EEA">
            <w:pPr>
              <w:spacing w:line="360" w:lineRule="auto"/>
              <w:jc w:val="both"/>
              <w:rPr>
                <w:rFonts w:ascii="Book Antiqua" w:hAnsi="Book Antiqua"/>
              </w:rPr>
            </w:pPr>
            <w:r w:rsidRPr="00E46EEA">
              <w:rPr>
                <w:rFonts w:ascii="Book Antiqua" w:hAnsi="Book Antiqua"/>
              </w:rPr>
              <w:t>50% reduction</w:t>
            </w:r>
          </w:p>
        </w:tc>
      </w:tr>
      <w:tr w:rsidR="00840AE0" w:rsidRPr="002075A3" w14:paraId="61C074F9" w14:textId="77777777" w:rsidTr="000C2B1E">
        <w:tc>
          <w:tcPr>
            <w:tcW w:w="3841" w:type="dxa"/>
            <w:shd w:val="clear" w:color="auto" w:fill="auto"/>
          </w:tcPr>
          <w:p w14:paraId="16F663CD" w14:textId="77777777" w:rsidR="00840AE0" w:rsidRPr="00E46EEA" w:rsidRDefault="00840AE0" w:rsidP="00E46EEA">
            <w:pPr>
              <w:spacing w:line="360" w:lineRule="auto"/>
              <w:jc w:val="both"/>
              <w:rPr>
                <w:rFonts w:ascii="Book Antiqua" w:hAnsi="Book Antiqua"/>
              </w:rPr>
            </w:pPr>
            <w:r w:rsidRPr="00E46EEA">
              <w:rPr>
                <w:rFonts w:ascii="Book Antiqua" w:hAnsi="Book Antiqua"/>
              </w:rPr>
              <w:t>Portsmouth Protocol:</w:t>
            </w:r>
          </w:p>
          <w:p w14:paraId="055F6C2B" w14:textId="77777777" w:rsidR="00840AE0" w:rsidRPr="00E46EEA" w:rsidRDefault="00840AE0" w:rsidP="00E46EEA">
            <w:pPr>
              <w:spacing w:line="360" w:lineRule="auto"/>
              <w:jc w:val="both"/>
              <w:rPr>
                <w:rFonts w:ascii="Book Antiqua" w:hAnsi="Book Antiqua"/>
              </w:rPr>
            </w:pPr>
            <w:r w:rsidRPr="00E46EEA">
              <w:rPr>
                <w:rFonts w:ascii="Book Antiqua" w:hAnsi="Book Antiqua"/>
              </w:rPr>
              <w:t xml:space="preserve">AA-targeted </w:t>
            </w:r>
            <w:r w:rsidRPr="00E46EEA">
              <w:rPr>
                <w:rFonts w:ascii="Book Antiqua" w:hAnsi="Book Antiqua" w:hint="eastAsia"/>
                <w:lang w:eastAsia="zh-CN"/>
              </w:rPr>
              <w:t>and</w:t>
            </w:r>
            <w:r w:rsidRPr="00E46EEA">
              <w:rPr>
                <w:rFonts w:ascii="Book Antiqua" w:hAnsi="Book Antiqua"/>
              </w:rPr>
              <w:t xml:space="preserve"> 4QBS (2 cassettes)</w:t>
            </w:r>
          </w:p>
        </w:tc>
        <w:tc>
          <w:tcPr>
            <w:tcW w:w="2409" w:type="dxa"/>
            <w:shd w:val="clear" w:color="auto" w:fill="auto"/>
          </w:tcPr>
          <w:p w14:paraId="38C5660B" w14:textId="77777777" w:rsidR="00840AE0" w:rsidRPr="002075A3" w:rsidRDefault="00840AE0" w:rsidP="00E46EEA">
            <w:pPr>
              <w:spacing w:line="360" w:lineRule="auto"/>
              <w:jc w:val="both"/>
              <w:rPr>
                <w:rFonts w:ascii="Book Antiqua" w:hAnsi="Book Antiqua"/>
              </w:rPr>
            </w:pPr>
            <w:r>
              <w:rPr>
                <w:rFonts w:ascii="Book Antiqua" w:hAnsi="Book Antiqua"/>
              </w:rPr>
              <w:t>£25</w:t>
            </w:r>
            <w:r w:rsidRPr="002075A3">
              <w:rPr>
                <w:rFonts w:ascii="Book Antiqua" w:hAnsi="Book Antiqua"/>
              </w:rPr>
              <w:t>032.50</w:t>
            </w:r>
          </w:p>
          <w:p w14:paraId="07E88539" w14:textId="77777777" w:rsidR="00840AE0" w:rsidRPr="002075A3" w:rsidRDefault="00840AE0" w:rsidP="00E46EEA">
            <w:pPr>
              <w:spacing w:line="360" w:lineRule="auto"/>
              <w:jc w:val="both"/>
              <w:rPr>
                <w:rFonts w:ascii="Book Antiqua" w:hAnsi="Book Antiqua"/>
              </w:rPr>
            </w:pPr>
            <w:r>
              <w:rPr>
                <w:rFonts w:ascii="Book Antiqua" w:hAnsi="Book Antiqua"/>
              </w:rPr>
              <w:t>$38</w:t>
            </w:r>
            <w:r w:rsidRPr="002075A3">
              <w:rPr>
                <w:rFonts w:ascii="Book Antiqua" w:hAnsi="Book Antiqua"/>
              </w:rPr>
              <w:t>507.62</w:t>
            </w:r>
          </w:p>
        </w:tc>
        <w:tc>
          <w:tcPr>
            <w:tcW w:w="1965" w:type="dxa"/>
            <w:shd w:val="clear" w:color="auto" w:fill="auto"/>
          </w:tcPr>
          <w:p w14:paraId="7E4B8B48" w14:textId="77777777" w:rsidR="00840AE0" w:rsidRPr="002075A3" w:rsidRDefault="00840AE0" w:rsidP="00E46EEA">
            <w:pPr>
              <w:spacing w:line="360" w:lineRule="auto"/>
              <w:jc w:val="both"/>
              <w:rPr>
                <w:rFonts w:ascii="Book Antiqua" w:hAnsi="Book Antiqua"/>
              </w:rPr>
            </w:pPr>
            <w:r w:rsidRPr="002075A3">
              <w:rPr>
                <w:rFonts w:ascii="Book Antiqua" w:hAnsi="Book Antiqua"/>
              </w:rPr>
              <w:t>£95.18</w:t>
            </w:r>
          </w:p>
          <w:p w14:paraId="332B5679" w14:textId="77777777" w:rsidR="00840AE0" w:rsidRPr="002075A3" w:rsidRDefault="00840AE0" w:rsidP="00E46EEA">
            <w:pPr>
              <w:spacing w:line="360" w:lineRule="auto"/>
              <w:jc w:val="both"/>
              <w:rPr>
                <w:rFonts w:ascii="Book Antiqua" w:hAnsi="Book Antiqua"/>
              </w:rPr>
            </w:pPr>
            <w:r w:rsidRPr="002075A3">
              <w:rPr>
                <w:rFonts w:ascii="Book Antiqua" w:hAnsi="Book Antiqua"/>
              </w:rPr>
              <w:t>$146.42</w:t>
            </w:r>
          </w:p>
        </w:tc>
        <w:tc>
          <w:tcPr>
            <w:tcW w:w="1965" w:type="dxa"/>
            <w:shd w:val="clear" w:color="auto" w:fill="auto"/>
          </w:tcPr>
          <w:p w14:paraId="20A12977" w14:textId="77777777" w:rsidR="00840AE0" w:rsidRPr="00E46EEA" w:rsidRDefault="00840AE0" w:rsidP="00E46EEA">
            <w:pPr>
              <w:spacing w:line="360" w:lineRule="auto"/>
              <w:jc w:val="both"/>
              <w:rPr>
                <w:rFonts w:ascii="Book Antiqua" w:hAnsi="Book Antiqua"/>
              </w:rPr>
            </w:pPr>
            <w:r w:rsidRPr="00E46EEA">
              <w:rPr>
                <w:rFonts w:ascii="Book Antiqua" w:hAnsi="Book Antiqua"/>
              </w:rPr>
              <w:t>91% reduction</w:t>
            </w:r>
          </w:p>
        </w:tc>
      </w:tr>
      <w:tr w:rsidR="00840AE0" w:rsidRPr="002075A3" w14:paraId="0C09B80B" w14:textId="77777777" w:rsidTr="000C2B1E">
        <w:tc>
          <w:tcPr>
            <w:tcW w:w="3841" w:type="dxa"/>
            <w:shd w:val="clear" w:color="auto" w:fill="auto"/>
          </w:tcPr>
          <w:p w14:paraId="2F545DE2" w14:textId="77777777" w:rsidR="00840AE0" w:rsidRPr="00E46EEA" w:rsidRDefault="00840AE0" w:rsidP="00E46EEA">
            <w:pPr>
              <w:spacing w:line="360" w:lineRule="auto"/>
              <w:jc w:val="both"/>
              <w:rPr>
                <w:rFonts w:ascii="Book Antiqua" w:hAnsi="Book Antiqua"/>
              </w:rPr>
            </w:pPr>
            <w:r w:rsidRPr="00E46EEA">
              <w:rPr>
                <w:rFonts w:ascii="Book Antiqua" w:hAnsi="Book Antiqua"/>
              </w:rPr>
              <w:t>Modified Portsmouth Protocol:</w:t>
            </w:r>
          </w:p>
          <w:p w14:paraId="52A27061" w14:textId="77777777" w:rsidR="00840AE0" w:rsidRPr="00E46EEA" w:rsidRDefault="00840AE0" w:rsidP="00E46EEA">
            <w:pPr>
              <w:spacing w:line="360" w:lineRule="auto"/>
              <w:jc w:val="both"/>
              <w:rPr>
                <w:rFonts w:ascii="Book Antiqua" w:hAnsi="Book Antiqua"/>
              </w:rPr>
            </w:pPr>
            <w:r w:rsidRPr="00E46EEA">
              <w:rPr>
                <w:rFonts w:ascii="Book Antiqua" w:hAnsi="Book Antiqua"/>
              </w:rPr>
              <w:t>Visible neoplasia –AA-targeted or</w:t>
            </w:r>
          </w:p>
          <w:p w14:paraId="3CBE2BCE" w14:textId="77777777" w:rsidR="00840AE0" w:rsidRPr="00E46EEA" w:rsidRDefault="00840AE0" w:rsidP="00E46EEA">
            <w:pPr>
              <w:spacing w:line="360" w:lineRule="auto"/>
              <w:jc w:val="both"/>
              <w:rPr>
                <w:rFonts w:ascii="Book Antiqua" w:hAnsi="Book Antiqua"/>
              </w:rPr>
            </w:pPr>
            <w:r w:rsidRPr="00E46EEA">
              <w:rPr>
                <w:rFonts w:ascii="Book Antiqua" w:hAnsi="Book Antiqua"/>
              </w:rPr>
              <w:t>No neoplasia – 4QBS (1 cassette)</w:t>
            </w:r>
          </w:p>
        </w:tc>
        <w:tc>
          <w:tcPr>
            <w:tcW w:w="2409" w:type="dxa"/>
            <w:shd w:val="clear" w:color="auto" w:fill="auto"/>
          </w:tcPr>
          <w:p w14:paraId="66A34D42" w14:textId="77777777" w:rsidR="00840AE0" w:rsidRPr="002075A3" w:rsidRDefault="00840AE0" w:rsidP="00E46EEA">
            <w:pPr>
              <w:spacing w:line="360" w:lineRule="auto"/>
              <w:jc w:val="both"/>
              <w:rPr>
                <w:rFonts w:ascii="Book Antiqua" w:hAnsi="Book Antiqua"/>
              </w:rPr>
            </w:pPr>
            <w:r>
              <w:rPr>
                <w:rFonts w:ascii="Book Antiqua" w:hAnsi="Book Antiqua"/>
              </w:rPr>
              <w:t>£15</w:t>
            </w:r>
            <w:r w:rsidRPr="002075A3">
              <w:rPr>
                <w:rFonts w:ascii="Book Antiqua" w:hAnsi="Book Antiqua"/>
              </w:rPr>
              <w:t>490.70</w:t>
            </w:r>
          </w:p>
          <w:p w14:paraId="21D7CB7F" w14:textId="77777777" w:rsidR="00840AE0" w:rsidRPr="002075A3" w:rsidRDefault="00840AE0" w:rsidP="00E46EEA">
            <w:pPr>
              <w:spacing w:line="360" w:lineRule="auto"/>
              <w:jc w:val="both"/>
              <w:rPr>
                <w:rFonts w:ascii="Book Antiqua" w:hAnsi="Book Antiqua"/>
              </w:rPr>
            </w:pPr>
            <w:r>
              <w:rPr>
                <w:rFonts w:ascii="Book Antiqua" w:hAnsi="Book Antiqua"/>
              </w:rPr>
              <w:t>$23</w:t>
            </w:r>
            <w:r w:rsidRPr="002075A3">
              <w:rPr>
                <w:rFonts w:ascii="Book Antiqua" w:hAnsi="Book Antiqua"/>
              </w:rPr>
              <w:t>829.42</w:t>
            </w:r>
          </w:p>
        </w:tc>
        <w:tc>
          <w:tcPr>
            <w:tcW w:w="1965" w:type="dxa"/>
            <w:shd w:val="clear" w:color="auto" w:fill="auto"/>
          </w:tcPr>
          <w:p w14:paraId="6EA69DE7" w14:textId="77777777" w:rsidR="00840AE0" w:rsidRPr="002075A3" w:rsidRDefault="00840AE0" w:rsidP="00E46EEA">
            <w:pPr>
              <w:spacing w:line="360" w:lineRule="auto"/>
              <w:jc w:val="both"/>
              <w:rPr>
                <w:rFonts w:ascii="Book Antiqua" w:hAnsi="Book Antiqua"/>
              </w:rPr>
            </w:pPr>
            <w:r w:rsidRPr="002075A3">
              <w:rPr>
                <w:rFonts w:ascii="Book Antiqua" w:hAnsi="Book Antiqua"/>
              </w:rPr>
              <w:t>£58.90</w:t>
            </w:r>
          </w:p>
          <w:p w14:paraId="09048DCC" w14:textId="77777777" w:rsidR="00840AE0" w:rsidRPr="002075A3" w:rsidRDefault="00840AE0" w:rsidP="00E46EEA">
            <w:pPr>
              <w:spacing w:line="360" w:lineRule="auto"/>
              <w:jc w:val="both"/>
              <w:rPr>
                <w:rFonts w:ascii="Book Antiqua" w:hAnsi="Book Antiqua"/>
              </w:rPr>
            </w:pPr>
            <w:r w:rsidRPr="002075A3">
              <w:rPr>
                <w:rFonts w:ascii="Book Antiqua" w:hAnsi="Book Antiqua"/>
              </w:rPr>
              <w:t>$90.61</w:t>
            </w:r>
          </w:p>
        </w:tc>
        <w:tc>
          <w:tcPr>
            <w:tcW w:w="1965" w:type="dxa"/>
            <w:shd w:val="clear" w:color="auto" w:fill="auto"/>
          </w:tcPr>
          <w:p w14:paraId="0EC08DB9" w14:textId="77777777" w:rsidR="00840AE0" w:rsidRPr="00E46EEA" w:rsidRDefault="00840AE0" w:rsidP="00E46EEA">
            <w:pPr>
              <w:spacing w:line="360" w:lineRule="auto"/>
              <w:jc w:val="both"/>
              <w:rPr>
                <w:rFonts w:ascii="Book Antiqua" w:hAnsi="Book Antiqua"/>
              </w:rPr>
            </w:pPr>
            <w:r w:rsidRPr="00E46EEA">
              <w:rPr>
                <w:rFonts w:ascii="Book Antiqua" w:hAnsi="Book Antiqua"/>
              </w:rPr>
              <w:t>95% reduction</w:t>
            </w:r>
          </w:p>
        </w:tc>
      </w:tr>
      <w:tr w:rsidR="00840AE0" w:rsidRPr="002075A3" w14:paraId="464A4344" w14:textId="77777777" w:rsidTr="000C2B1E">
        <w:tc>
          <w:tcPr>
            <w:tcW w:w="3841" w:type="dxa"/>
            <w:shd w:val="clear" w:color="auto" w:fill="auto"/>
          </w:tcPr>
          <w:p w14:paraId="6BE63C8F" w14:textId="77777777" w:rsidR="00840AE0" w:rsidRPr="00E46EEA" w:rsidRDefault="00840AE0" w:rsidP="00E46EEA">
            <w:pPr>
              <w:spacing w:line="360" w:lineRule="auto"/>
              <w:jc w:val="both"/>
              <w:rPr>
                <w:rFonts w:ascii="Book Antiqua" w:hAnsi="Book Antiqua"/>
              </w:rPr>
            </w:pPr>
            <w:r w:rsidRPr="00E46EEA">
              <w:rPr>
                <w:rFonts w:ascii="Book Antiqua" w:hAnsi="Book Antiqua"/>
              </w:rPr>
              <w:t>Futuristic Protocol:</w:t>
            </w:r>
          </w:p>
          <w:p w14:paraId="7AAE2D7C" w14:textId="77777777" w:rsidR="00840AE0" w:rsidRPr="00E46EEA" w:rsidRDefault="00840AE0" w:rsidP="00E46EEA">
            <w:pPr>
              <w:spacing w:line="360" w:lineRule="auto"/>
              <w:jc w:val="both"/>
              <w:rPr>
                <w:rFonts w:ascii="Book Antiqua" w:hAnsi="Book Antiqua"/>
              </w:rPr>
            </w:pPr>
            <w:r w:rsidRPr="00E46EEA">
              <w:rPr>
                <w:rFonts w:ascii="Book Antiqua" w:hAnsi="Book Antiqua"/>
              </w:rPr>
              <w:t>AA-targeted biopsies only</w:t>
            </w:r>
          </w:p>
        </w:tc>
        <w:tc>
          <w:tcPr>
            <w:tcW w:w="2409" w:type="dxa"/>
            <w:shd w:val="clear" w:color="auto" w:fill="auto"/>
          </w:tcPr>
          <w:p w14:paraId="0713F1B3" w14:textId="77777777" w:rsidR="00840AE0" w:rsidRPr="002075A3" w:rsidRDefault="00840AE0" w:rsidP="00E46EEA">
            <w:pPr>
              <w:spacing w:line="360" w:lineRule="auto"/>
              <w:jc w:val="both"/>
              <w:rPr>
                <w:rFonts w:ascii="Book Antiqua" w:hAnsi="Book Antiqua"/>
              </w:rPr>
            </w:pPr>
            <w:r>
              <w:rPr>
                <w:rFonts w:ascii="Book Antiqua" w:hAnsi="Book Antiqua"/>
              </w:rPr>
              <w:t>£9</w:t>
            </w:r>
            <w:r w:rsidRPr="002075A3">
              <w:rPr>
                <w:rFonts w:ascii="Book Antiqua" w:hAnsi="Book Antiqua"/>
              </w:rPr>
              <w:t>541.80</w:t>
            </w:r>
          </w:p>
          <w:p w14:paraId="232C190D" w14:textId="77777777" w:rsidR="00840AE0" w:rsidRPr="002075A3" w:rsidRDefault="00840AE0" w:rsidP="00E46EEA">
            <w:pPr>
              <w:spacing w:line="360" w:lineRule="auto"/>
              <w:jc w:val="both"/>
              <w:rPr>
                <w:rFonts w:ascii="Book Antiqua" w:hAnsi="Book Antiqua"/>
              </w:rPr>
            </w:pPr>
            <w:r>
              <w:rPr>
                <w:rFonts w:ascii="Book Antiqua" w:hAnsi="Book Antiqua"/>
              </w:rPr>
              <w:t>$14</w:t>
            </w:r>
            <w:r w:rsidRPr="002075A3">
              <w:rPr>
                <w:rFonts w:ascii="Book Antiqua" w:hAnsi="Book Antiqua"/>
              </w:rPr>
              <w:t>678.20</w:t>
            </w:r>
          </w:p>
        </w:tc>
        <w:tc>
          <w:tcPr>
            <w:tcW w:w="1965" w:type="dxa"/>
            <w:shd w:val="clear" w:color="auto" w:fill="auto"/>
          </w:tcPr>
          <w:p w14:paraId="6DC9C3F6" w14:textId="77777777" w:rsidR="00840AE0" w:rsidRPr="002075A3" w:rsidRDefault="00840AE0" w:rsidP="00E46EEA">
            <w:pPr>
              <w:spacing w:line="360" w:lineRule="auto"/>
              <w:jc w:val="both"/>
              <w:rPr>
                <w:rFonts w:ascii="Book Antiqua" w:hAnsi="Book Antiqua"/>
              </w:rPr>
            </w:pPr>
            <w:r w:rsidRPr="002075A3">
              <w:rPr>
                <w:rFonts w:ascii="Book Antiqua" w:hAnsi="Book Antiqua"/>
              </w:rPr>
              <w:t>£30.91</w:t>
            </w:r>
          </w:p>
          <w:p w14:paraId="706FB611" w14:textId="77777777" w:rsidR="00840AE0" w:rsidRPr="002075A3" w:rsidRDefault="00840AE0" w:rsidP="00E46EEA">
            <w:pPr>
              <w:spacing w:line="360" w:lineRule="auto"/>
              <w:jc w:val="both"/>
              <w:rPr>
                <w:rFonts w:ascii="Book Antiqua" w:hAnsi="Book Antiqua"/>
              </w:rPr>
            </w:pPr>
            <w:r w:rsidRPr="002075A3">
              <w:rPr>
                <w:rFonts w:ascii="Book Antiqua" w:hAnsi="Book Antiqua"/>
              </w:rPr>
              <w:t>$47.55</w:t>
            </w:r>
            <w:r w:rsidRPr="002075A3">
              <w:rPr>
                <w:rFonts w:ascii="Book Antiqua" w:hAnsi="Book Antiqua"/>
                <w:i/>
              </w:rPr>
              <w:t>)</w:t>
            </w:r>
          </w:p>
        </w:tc>
        <w:tc>
          <w:tcPr>
            <w:tcW w:w="1965" w:type="dxa"/>
            <w:shd w:val="clear" w:color="auto" w:fill="auto"/>
          </w:tcPr>
          <w:p w14:paraId="08A89434" w14:textId="77777777" w:rsidR="00840AE0" w:rsidRPr="00E46EEA" w:rsidRDefault="00840AE0" w:rsidP="00E46EEA">
            <w:pPr>
              <w:spacing w:line="360" w:lineRule="auto"/>
              <w:jc w:val="both"/>
              <w:rPr>
                <w:rFonts w:ascii="Book Antiqua" w:hAnsi="Book Antiqua"/>
              </w:rPr>
            </w:pPr>
            <w:r w:rsidRPr="00E46EEA">
              <w:rPr>
                <w:rFonts w:ascii="Book Antiqua" w:hAnsi="Book Antiqua"/>
              </w:rPr>
              <w:t>97% reduction</w:t>
            </w:r>
          </w:p>
        </w:tc>
      </w:tr>
    </w:tbl>
    <w:p w14:paraId="2A036045" w14:textId="77777777" w:rsidR="00840AE0" w:rsidRPr="002075A3" w:rsidRDefault="00840AE0" w:rsidP="00E46EEA">
      <w:pPr>
        <w:spacing w:line="360" w:lineRule="auto"/>
        <w:jc w:val="both"/>
        <w:rPr>
          <w:rFonts w:ascii="Book Antiqua" w:hAnsi="Book Antiqua"/>
          <w:b/>
          <w:u w:val="single"/>
          <w:lang w:val="en-US"/>
        </w:rPr>
      </w:pPr>
    </w:p>
    <w:p w14:paraId="5E91055D" w14:textId="77777777" w:rsidR="00840AE0" w:rsidRPr="002075A3" w:rsidRDefault="00840AE0" w:rsidP="00E46EEA">
      <w:pPr>
        <w:spacing w:line="360" w:lineRule="auto"/>
        <w:jc w:val="both"/>
        <w:rPr>
          <w:rFonts w:ascii="Book Antiqua" w:hAnsi="Book Antiqua"/>
          <w:b/>
          <w:u w:val="single"/>
          <w:lang w:val="en-US"/>
        </w:rPr>
      </w:pPr>
    </w:p>
    <w:p w14:paraId="7C87B9DE" w14:textId="77777777" w:rsidR="00840AE0" w:rsidRDefault="00840AE0" w:rsidP="00E46EEA">
      <w:pPr>
        <w:jc w:val="both"/>
        <w:rPr>
          <w:rFonts w:ascii="Book Antiqua" w:hAnsi="Book Antiqua" w:cs="Arial"/>
        </w:rPr>
      </w:pPr>
      <w:r>
        <w:rPr>
          <w:rFonts w:ascii="Book Antiqua" w:hAnsi="Book Antiqua" w:cs="Arial"/>
        </w:rPr>
        <w:br w:type="page"/>
      </w:r>
    </w:p>
    <w:p w14:paraId="6C30541F" w14:textId="77777777" w:rsidR="00840AE0" w:rsidRDefault="00840AE0" w:rsidP="00E46EEA">
      <w:pPr>
        <w:spacing w:line="360" w:lineRule="auto"/>
        <w:jc w:val="both"/>
        <w:rPr>
          <w:rFonts w:ascii="Book Antiqua" w:hAnsi="Book Antiqua"/>
          <w:b/>
          <w:u w:val="single"/>
          <w:lang w:val="en-US" w:eastAsia="zh-CN"/>
        </w:rPr>
      </w:pPr>
      <w:r w:rsidRPr="008E67F7">
        <w:rPr>
          <w:rFonts w:ascii="Book Antiqua" w:hAnsi="Book Antiqua"/>
          <w:b/>
          <w:noProof/>
          <w:u w:val="single"/>
          <w:lang w:val="en-US" w:eastAsia="zh-CN"/>
        </w:rPr>
        <w:lastRenderedPageBreak/>
        <w:drawing>
          <wp:inline distT="0" distB="0" distL="0" distR="0" wp14:anchorId="6F6235D5" wp14:editId="25B81F65">
            <wp:extent cx="2931193" cy="2510287"/>
            <wp:effectExtent l="0" t="0" r="2540" b="444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4-25 at 12.21.23.png"/>
                    <pic:cNvPicPr/>
                  </pic:nvPicPr>
                  <pic:blipFill rotWithShape="1">
                    <a:blip r:embed="rId9">
                      <a:extLst>
                        <a:ext uri="{28A0092B-C50C-407E-A947-70E740481C1C}">
                          <a14:useLocalDpi xmlns:a14="http://schemas.microsoft.com/office/drawing/2010/main" val="0"/>
                        </a:ext>
                      </a:extLst>
                    </a:blip>
                    <a:srcRect l="34354"/>
                    <a:stretch/>
                  </pic:blipFill>
                  <pic:spPr bwMode="auto">
                    <a:xfrm>
                      <a:off x="0" y="0"/>
                      <a:ext cx="2930326" cy="2509544"/>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hint="eastAsia"/>
          <w:b/>
          <w:u w:val="single"/>
          <w:lang w:val="en-US" w:eastAsia="zh-CN"/>
        </w:rPr>
        <w:t xml:space="preserve"> </w:t>
      </w:r>
      <w:r w:rsidRPr="008E67F7">
        <w:rPr>
          <w:rFonts w:ascii="Book Antiqua" w:hAnsi="Book Antiqua"/>
          <w:b/>
          <w:noProof/>
          <w:u w:val="single"/>
          <w:lang w:val="en-US" w:eastAsia="zh-CN"/>
        </w:rPr>
        <w:drawing>
          <wp:inline distT="0" distB="0" distL="0" distR="0" wp14:anchorId="239938A4" wp14:editId="481EA1FA">
            <wp:extent cx="2635059" cy="2242868"/>
            <wp:effectExtent l="0" t="0" r="0" b="508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4-25 at 09.45.57.png"/>
                    <pic:cNvPicPr/>
                  </pic:nvPicPr>
                  <pic:blipFill rotWithShape="1">
                    <a:blip r:embed="rId10">
                      <a:extLst>
                        <a:ext uri="{28A0092B-C50C-407E-A947-70E740481C1C}">
                          <a14:useLocalDpi xmlns:a14="http://schemas.microsoft.com/office/drawing/2010/main" val="0"/>
                        </a:ext>
                      </a:extLst>
                    </a:blip>
                    <a:srcRect l="33950"/>
                    <a:stretch/>
                  </pic:blipFill>
                  <pic:spPr bwMode="auto">
                    <a:xfrm>
                      <a:off x="0" y="0"/>
                      <a:ext cx="2632385" cy="2240592"/>
                    </a:xfrm>
                    <a:prstGeom prst="rect">
                      <a:avLst/>
                    </a:prstGeom>
                    <a:ln>
                      <a:noFill/>
                    </a:ln>
                    <a:extLst>
                      <a:ext uri="{53640926-AAD7-44D8-BBD7-CCE9431645EC}">
                        <a14:shadowObscured xmlns:a14="http://schemas.microsoft.com/office/drawing/2010/main"/>
                      </a:ext>
                    </a:extLst>
                  </pic:spPr>
                </pic:pic>
              </a:graphicData>
            </a:graphic>
          </wp:inline>
        </w:drawing>
      </w:r>
    </w:p>
    <w:p w14:paraId="151824BF" w14:textId="77777777" w:rsidR="00840AE0" w:rsidRPr="00840AE0" w:rsidRDefault="00840AE0" w:rsidP="00E46EEA">
      <w:pPr>
        <w:spacing w:line="360" w:lineRule="auto"/>
        <w:jc w:val="both"/>
        <w:rPr>
          <w:rFonts w:ascii="Book Antiqua" w:hAnsi="Book Antiqua"/>
          <w:lang w:val="en-US" w:eastAsia="zh-CN"/>
        </w:rPr>
      </w:pPr>
      <w:r w:rsidRPr="00840AE0">
        <w:rPr>
          <w:rFonts w:ascii="Book Antiqua" w:hAnsi="Book Antiqua" w:hint="eastAsia"/>
          <w:lang w:val="en-US" w:eastAsia="zh-CN"/>
        </w:rPr>
        <w:t>A                                                                              B</w:t>
      </w:r>
    </w:p>
    <w:p w14:paraId="5A46740C" w14:textId="77777777" w:rsidR="00840AE0" w:rsidRPr="004F39DD" w:rsidRDefault="00840AE0" w:rsidP="00E46EEA">
      <w:pPr>
        <w:spacing w:line="360" w:lineRule="auto"/>
        <w:jc w:val="both"/>
        <w:rPr>
          <w:rFonts w:ascii="Book Antiqua" w:hAnsi="Book Antiqua"/>
          <w:lang w:val="en-US" w:eastAsia="zh-CN"/>
        </w:rPr>
      </w:pPr>
      <w:r w:rsidRPr="00840AE0">
        <w:rPr>
          <w:rFonts w:ascii="Book Antiqua" w:hAnsi="Book Antiqua"/>
          <w:b/>
          <w:lang w:val="en-US"/>
        </w:rPr>
        <w:t>Figure 1</w:t>
      </w:r>
      <w:r w:rsidRPr="00840AE0">
        <w:rPr>
          <w:rFonts w:ascii="Book Antiqua" w:hAnsi="Book Antiqua" w:hint="eastAsia"/>
          <w:b/>
          <w:lang w:val="en-US" w:eastAsia="zh-CN"/>
        </w:rPr>
        <w:t xml:space="preserve"> </w:t>
      </w:r>
      <w:r w:rsidRPr="00840AE0">
        <w:rPr>
          <w:rFonts w:ascii="Book Antiqua" w:hAnsi="Book Antiqua"/>
          <w:b/>
          <w:lang w:val="en-US" w:eastAsia="zh-CN"/>
        </w:rPr>
        <w:t>Acetic acid mechanism of action</w:t>
      </w:r>
      <w:r w:rsidRPr="00840AE0">
        <w:rPr>
          <w:rFonts w:ascii="Book Antiqua" w:hAnsi="Book Antiqua" w:hint="eastAsia"/>
          <w:lang w:val="en-US" w:eastAsia="zh-CN"/>
        </w:rPr>
        <w:t>.</w:t>
      </w:r>
      <w:r w:rsidRPr="004F39DD">
        <w:rPr>
          <w:rFonts w:ascii="Book Antiqua" w:hAnsi="Book Antiqua"/>
          <w:lang w:val="en-US"/>
        </w:rPr>
        <w:t xml:space="preserve"> A</w:t>
      </w:r>
      <w:r w:rsidRPr="004F39DD">
        <w:rPr>
          <w:rFonts w:ascii="Book Antiqua" w:hAnsi="Book Antiqua"/>
          <w:lang w:val="en-US" w:eastAsia="zh-CN"/>
        </w:rPr>
        <w:t>:</w:t>
      </w:r>
      <w:r w:rsidRPr="004F39DD">
        <w:rPr>
          <w:rFonts w:ascii="Book Antiqua" w:hAnsi="Book Antiqua"/>
          <w:lang w:val="en-US"/>
        </w:rPr>
        <w:t xml:space="preserve"> Non-dysplastic Barrett’s with HDWL</w:t>
      </w:r>
      <w:r w:rsidRPr="004F39DD">
        <w:rPr>
          <w:rFonts w:ascii="Book Antiqua" w:hAnsi="Book Antiqua" w:hint="eastAsia"/>
          <w:lang w:val="en-US" w:eastAsia="zh-CN"/>
        </w:rPr>
        <w:t xml:space="preserve">; </w:t>
      </w:r>
      <w:r w:rsidRPr="004F39DD">
        <w:rPr>
          <w:rFonts w:ascii="Book Antiqua" w:hAnsi="Book Antiqua"/>
          <w:lang w:val="en-US"/>
        </w:rPr>
        <w:t>B</w:t>
      </w:r>
      <w:r w:rsidRPr="004F39DD">
        <w:rPr>
          <w:rFonts w:ascii="Book Antiqua" w:hAnsi="Book Antiqua" w:hint="eastAsia"/>
          <w:lang w:val="en-US" w:eastAsia="zh-CN"/>
        </w:rPr>
        <w:t>:</w:t>
      </w:r>
      <w:r w:rsidRPr="004F39DD">
        <w:rPr>
          <w:rFonts w:ascii="Book Antiqua" w:hAnsi="Book Antiqua"/>
          <w:lang w:val="en-US"/>
        </w:rPr>
        <w:t xml:space="preserve"> Non-dysplastic Barrett’s follow AAC (O</w:t>
      </w:r>
      <w:r>
        <w:rPr>
          <w:rFonts w:ascii="Book Antiqua" w:hAnsi="Book Antiqua"/>
          <w:lang w:val="en-US"/>
        </w:rPr>
        <w:t xml:space="preserve">lympus Lucera ELITE processor, </w:t>
      </w:r>
      <w:r w:rsidRPr="004F39DD">
        <w:rPr>
          <w:rFonts w:ascii="Book Antiqua" w:hAnsi="Book Antiqua"/>
          <w:lang w:val="en-US"/>
        </w:rPr>
        <w:t>GIFHQ290 gastroscope)</w:t>
      </w:r>
      <w:r w:rsidRPr="004F39DD">
        <w:rPr>
          <w:rFonts w:ascii="Book Antiqua" w:hAnsi="Book Antiqua" w:hint="eastAsia"/>
          <w:lang w:val="en-US" w:eastAsia="zh-CN"/>
        </w:rPr>
        <w:t>.</w:t>
      </w:r>
    </w:p>
    <w:p w14:paraId="5BDEE732" w14:textId="77777777" w:rsidR="00840AE0" w:rsidRPr="002075A3" w:rsidRDefault="00840AE0" w:rsidP="00E46EEA">
      <w:pPr>
        <w:spacing w:line="360" w:lineRule="auto"/>
        <w:jc w:val="both"/>
        <w:rPr>
          <w:rFonts w:ascii="Book Antiqua" w:hAnsi="Book Antiqua"/>
          <w:b/>
          <w:u w:val="single"/>
          <w:lang w:val="en-US"/>
        </w:rPr>
      </w:pPr>
    </w:p>
    <w:p w14:paraId="11584627" w14:textId="77777777" w:rsidR="00840AE0" w:rsidRDefault="00840AE0" w:rsidP="00E46EEA">
      <w:pPr>
        <w:spacing w:line="360" w:lineRule="auto"/>
        <w:jc w:val="both"/>
        <w:rPr>
          <w:rFonts w:ascii="Book Antiqua" w:hAnsi="Book Antiqua"/>
          <w:b/>
          <w:u w:val="single"/>
          <w:lang w:val="en-US" w:eastAsia="zh-CN"/>
        </w:rPr>
      </w:pPr>
      <w:r w:rsidRPr="008E67F7">
        <w:rPr>
          <w:rFonts w:ascii="Book Antiqua" w:hAnsi="Book Antiqua"/>
          <w:b/>
          <w:noProof/>
          <w:u w:val="single"/>
          <w:lang w:val="en-US" w:eastAsia="zh-CN"/>
        </w:rPr>
        <w:drawing>
          <wp:inline distT="0" distB="0" distL="0" distR="0" wp14:anchorId="5A38C8B6" wp14:editId="4F78E69A">
            <wp:extent cx="2128318" cy="1811548"/>
            <wp:effectExtent l="0" t="0" r="571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4-25 at 12.04.29.png"/>
                    <pic:cNvPicPr/>
                  </pic:nvPicPr>
                  <pic:blipFill rotWithShape="1">
                    <a:blip r:embed="rId11">
                      <a:extLst>
                        <a:ext uri="{28A0092B-C50C-407E-A947-70E740481C1C}">
                          <a14:useLocalDpi xmlns:a14="http://schemas.microsoft.com/office/drawing/2010/main" val="0"/>
                        </a:ext>
                      </a:extLst>
                    </a:blip>
                    <a:srcRect l="33950"/>
                    <a:stretch/>
                  </pic:blipFill>
                  <pic:spPr bwMode="auto">
                    <a:xfrm>
                      <a:off x="0" y="0"/>
                      <a:ext cx="2126158" cy="1809710"/>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hint="eastAsia"/>
          <w:b/>
          <w:u w:val="single"/>
          <w:lang w:val="en-US" w:eastAsia="zh-CN"/>
        </w:rPr>
        <w:t xml:space="preserve"> </w:t>
      </w:r>
      <w:r w:rsidRPr="008E67F7">
        <w:rPr>
          <w:rFonts w:ascii="Book Antiqua" w:hAnsi="Book Antiqua"/>
          <w:b/>
          <w:noProof/>
          <w:u w:val="single"/>
          <w:lang w:val="en-US" w:eastAsia="zh-CN"/>
        </w:rPr>
        <w:drawing>
          <wp:inline distT="0" distB="0" distL="0" distR="0" wp14:anchorId="6C337EC7" wp14:editId="0E939A86">
            <wp:extent cx="2122098" cy="181737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4-25 at 12.11.04.png"/>
                    <pic:cNvPicPr/>
                  </pic:nvPicPr>
                  <pic:blipFill rotWithShape="1">
                    <a:blip r:embed="rId12">
                      <a:extLst>
                        <a:ext uri="{28A0092B-C50C-407E-A947-70E740481C1C}">
                          <a14:useLocalDpi xmlns:a14="http://schemas.microsoft.com/office/drawing/2010/main" val="0"/>
                        </a:ext>
                      </a:extLst>
                    </a:blip>
                    <a:srcRect l="34354"/>
                    <a:stretch/>
                  </pic:blipFill>
                  <pic:spPr bwMode="auto">
                    <a:xfrm>
                      <a:off x="0" y="0"/>
                      <a:ext cx="2115220" cy="1811485"/>
                    </a:xfrm>
                    <a:prstGeom prst="rect">
                      <a:avLst/>
                    </a:prstGeom>
                    <a:ln>
                      <a:noFill/>
                    </a:ln>
                    <a:extLst>
                      <a:ext uri="{53640926-AAD7-44D8-BBD7-CCE9431645EC}">
                        <a14:shadowObscured xmlns:a14="http://schemas.microsoft.com/office/drawing/2010/main"/>
                      </a:ext>
                    </a:extLst>
                  </pic:spPr>
                </pic:pic>
              </a:graphicData>
            </a:graphic>
          </wp:inline>
        </w:drawing>
      </w:r>
    </w:p>
    <w:p w14:paraId="0288099C" w14:textId="77777777" w:rsidR="00840AE0" w:rsidRPr="004F39DD" w:rsidRDefault="00840AE0" w:rsidP="00E46EEA">
      <w:pPr>
        <w:spacing w:line="360" w:lineRule="auto"/>
        <w:jc w:val="both"/>
        <w:rPr>
          <w:rFonts w:ascii="Book Antiqua" w:hAnsi="Book Antiqua"/>
          <w:lang w:val="en-US" w:eastAsia="zh-CN"/>
        </w:rPr>
      </w:pPr>
      <w:r w:rsidRPr="004F39DD">
        <w:rPr>
          <w:rFonts w:ascii="Book Antiqua" w:hAnsi="Book Antiqua" w:hint="eastAsia"/>
          <w:lang w:val="en-US" w:eastAsia="zh-CN"/>
        </w:rPr>
        <w:t>A                                                         B</w:t>
      </w:r>
    </w:p>
    <w:p w14:paraId="37E54511" w14:textId="77777777" w:rsidR="00840AE0" w:rsidRPr="004F39DD" w:rsidRDefault="00840AE0" w:rsidP="00E46EEA">
      <w:pPr>
        <w:spacing w:line="360" w:lineRule="auto"/>
        <w:jc w:val="both"/>
        <w:rPr>
          <w:rFonts w:ascii="Book Antiqua" w:hAnsi="Book Antiqua"/>
          <w:lang w:val="en-US" w:eastAsia="zh-CN"/>
        </w:rPr>
      </w:pPr>
      <w:r w:rsidRPr="004F39DD">
        <w:rPr>
          <w:rFonts w:ascii="Book Antiqua" w:hAnsi="Book Antiqua"/>
          <w:b/>
          <w:lang w:val="en-US"/>
        </w:rPr>
        <w:t>Figure 2</w:t>
      </w:r>
      <w:r w:rsidRPr="004F39DD">
        <w:rPr>
          <w:rFonts w:ascii="Book Antiqua" w:hAnsi="Book Antiqua" w:hint="eastAsia"/>
          <w:b/>
          <w:lang w:val="en-US" w:eastAsia="zh-CN"/>
        </w:rPr>
        <w:t xml:space="preserve"> </w:t>
      </w:r>
      <w:r w:rsidRPr="004F39DD">
        <w:rPr>
          <w:rFonts w:ascii="Book Antiqua" w:hAnsi="Book Antiqua"/>
          <w:b/>
          <w:lang w:val="en-US" w:eastAsia="zh-CN"/>
        </w:rPr>
        <w:t>Dysplastic Barrett’s was defined endoscopically</w:t>
      </w:r>
      <w:r w:rsidRPr="004F39DD">
        <w:rPr>
          <w:rFonts w:ascii="Book Antiqua" w:hAnsi="Book Antiqua" w:hint="eastAsia"/>
          <w:b/>
          <w:lang w:val="en-US" w:eastAsia="zh-CN"/>
        </w:rPr>
        <w:t>.</w:t>
      </w:r>
      <w:r>
        <w:rPr>
          <w:rFonts w:ascii="Book Antiqua" w:hAnsi="Book Antiqua" w:hint="eastAsia"/>
          <w:lang w:val="en-US" w:eastAsia="zh-CN"/>
        </w:rPr>
        <w:t xml:space="preserve"> </w:t>
      </w:r>
      <w:r w:rsidRPr="004F39DD">
        <w:rPr>
          <w:rFonts w:ascii="Book Antiqua" w:hAnsi="Book Antiqua" w:hint="eastAsia"/>
          <w:lang w:val="en-US" w:eastAsia="zh-CN"/>
        </w:rPr>
        <w:t>A:</w:t>
      </w:r>
      <w:r w:rsidRPr="004F39DD">
        <w:rPr>
          <w:rFonts w:ascii="Book Antiqua" w:hAnsi="Book Antiqua"/>
          <w:lang w:val="en-US"/>
        </w:rPr>
        <w:t xml:space="preserve"> Barrett’s with HDWL</w:t>
      </w:r>
      <w:r w:rsidRPr="004F39DD">
        <w:rPr>
          <w:rFonts w:ascii="Book Antiqua" w:hAnsi="Book Antiqua" w:hint="eastAsia"/>
          <w:lang w:val="en-US" w:eastAsia="zh-CN"/>
        </w:rPr>
        <w:t xml:space="preserve">; </w:t>
      </w:r>
      <w:r w:rsidRPr="004F39DD">
        <w:rPr>
          <w:rFonts w:ascii="Book Antiqua" w:hAnsi="Book Antiqua"/>
          <w:lang w:val="en-US"/>
        </w:rPr>
        <w:t>B: Same patient note dysplasia only visible post AAC with early loss of acetowhitening (Olympus Lucera ELITE processor, GIFHQ290 gastroscope)</w:t>
      </w:r>
      <w:r w:rsidRPr="004F39DD">
        <w:rPr>
          <w:rFonts w:ascii="Book Antiqua" w:hAnsi="Book Antiqua" w:hint="eastAsia"/>
          <w:lang w:val="en-US" w:eastAsia="zh-CN"/>
        </w:rPr>
        <w:t xml:space="preserve">. </w:t>
      </w:r>
    </w:p>
    <w:p w14:paraId="71977B23" w14:textId="77777777" w:rsidR="00840AE0" w:rsidRPr="002075A3" w:rsidRDefault="00840AE0" w:rsidP="00E46EEA">
      <w:pPr>
        <w:spacing w:line="360" w:lineRule="auto"/>
        <w:jc w:val="both"/>
        <w:rPr>
          <w:rFonts w:ascii="Book Antiqua" w:hAnsi="Book Antiqua"/>
          <w:b/>
          <w:u w:val="single"/>
          <w:lang w:val="en-US"/>
        </w:rPr>
      </w:pPr>
    </w:p>
    <w:p w14:paraId="5B5BD604" w14:textId="77777777" w:rsidR="00840AE0" w:rsidRDefault="00840AE0" w:rsidP="00E46EEA">
      <w:pPr>
        <w:jc w:val="both"/>
        <w:rPr>
          <w:rFonts w:ascii="Book Antiqua" w:hAnsi="Book Antiqua"/>
          <w:b/>
          <w:u w:val="single"/>
          <w:lang w:val="en-US"/>
        </w:rPr>
      </w:pPr>
      <w:r>
        <w:rPr>
          <w:rFonts w:ascii="Book Antiqua" w:hAnsi="Book Antiqua"/>
          <w:b/>
          <w:u w:val="single"/>
          <w:lang w:val="en-US"/>
        </w:rPr>
        <w:br w:type="page"/>
      </w:r>
    </w:p>
    <w:p w14:paraId="6D2E2B4C" w14:textId="77777777" w:rsidR="00840AE0" w:rsidRPr="00840AE0" w:rsidRDefault="00840AE0" w:rsidP="00E46EEA">
      <w:pPr>
        <w:spacing w:line="360" w:lineRule="auto"/>
        <w:jc w:val="both"/>
        <w:rPr>
          <w:rFonts w:ascii="Book Antiqua" w:hAnsi="Book Antiqua"/>
          <w:b/>
          <w:lang w:val="en-US"/>
        </w:rPr>
      </w:pPr>
      <w:r>
        <w:rPr>
          <w:rFonts w:ascii="Book Antiqua" w:hAnsi="Book Antiqua"/>
          <w:b/>
          <w:lang w:val="en-US"/>
        </w:rPr>
        <w:lastRenderedPageBreak/>
        <w:t>Table 1</w:t>
      </w:r>
      <w:r>
        <w:rPr>
          <w:rFonts w:ascii="Book Antiqua" w:hAnsi="Book Antiqua" w:hint="eastAsia"/>
          <w:b/>
          <w:lang w:val="en-US" w:eastAsia="zh-CN"/>
        </w:rPr>
        <w:t xml:space="preserve"> </w:t>
      </w:r>
      <w:r w:rsidRPr="00840AE0">
        <w:rPr>
          <w:rFonts w:ascii="Book Antiqua" w:hAnsi="Book Antiqua"/>
          <w:b/>
          <w:lang w:val="en-US"/>
        </w:rPr>
        <w:t>Projected histology costs by biopsy protocol</w:t>
      </w:r>
    </w:p>
    <w:p w14:paraId="1F3FE644" w14:textId="77777777" w:rsidR="00840AE0" w:rsidRPr="002075A3" w:rsidRDefault="00840AE0" w:rsidP="00E46EEA">
      <w:pPr>
        <w:spacing w:line="360" w:lineRule="auto"/>
        <w:jc w:val="both"/>
        <w:rPr>
          <w:rFonts w:ascii="Book Antiqua" w:hAnsi="Book Antiqua"/>
          <w:b/>
          <w:u w:val="single"/>
          <w:lang w:val="en-US"/>
        </w:rPr>
      </w:pPr>
    </w:p>
    <w:tbl>
      <w:tblPr>
        <w:tblStyle w:val="TableGrid"/>
        <w:tblW w:w="10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409"/>
        <w:gridCol w:w="1965"/>
        <w:gridCol w:w="1965"/>
      </w:tblGrid>
      <w:tr w:rsidR="00840AE0" w:rsidRPr="002075A3" w14:paraId="46DDBC37" w14:textId="77777777" w:rsidTr="000C2B1E">
        <w:tc>
          <w:tcPr>
            <w:tcW w:w="3841" w:type="dxa"/>
            <w:tcBorders>
              <w:top w:val="single" w:sz="4" w:space="0" w:color="auto"/>
              <w:bottom w:val="single" w:sz="4" w:space="0" w:color="auto"/>
            </w:tcBorders>
            <w:shd w:val="clear" w:color="auto" w:fill="auto"/>
          </w:tcPr>
          <w:p w14:paraId="71718881" w14:textId="77777777" w:rsidR="00840AE0" w:rsidRPr="002075A3" w:rsidRDefault="00840AE0" w:rsidP="00E46EEA">
            <w:pPr>
              <w:spacing w:line="360" w:lineRule="auto"/>
              <w:jc w:val="both"/>
              <w:rPr>
                <w:rFonts w:ascii="Book Antiqua" w:hAnsi="Book Antiqua"/>
                <w:b/>
              </w:rPr>
            </w:pPr>
            <w:r w:rsidRPr="002075A3">
              <w:rPr>
                <w:rFonts w:ascii="Book Antiqua" w:hAnsi="Book Antiqua"/>
                <w:b/>
              </w:rPr>
              <w:t>Biopsy Protocols</w:t>
            </w:r>
          </w:p>
        </w:tc>
        <w:tc>
          <w:tcPr>
            <w:tcW w:w="2409" w:type="dxa"/>
            <w:tcBorders>
              <w:top w:val="single" w:sz="4" w:space="0" w:color="auto"/>
              <w:bottom w:val="single" w:sz="4" w:space="0" w:color="auto"/>
            </w:tcBorders>
            <w:shd w:val="clear" w:color="auto" w:fill="auto"/>
          </w:tcPr>
          <w:p w14:paraId="2B8EB9D8" w14:textId="77777777" w:rsidR="00840AE0" w:rsidRPr="002075A3" w:rsidRDefault="00840AE0" w:rsidP="00E46EEA">
            <w:pPr>
              <w:spacing w:line="360" w:lineRule="auto"/>
              <w:jc w:val="both"/>
              <w:rPr>
                <w:rFonts w:ascii="Book Antiqua" w:hAnsi="Book Antiqua"/>
                <w:b/>
              </w:rPr>
            </w:pPr>
            <w:r w:rsidRPr="002075A3">
              <w:rPr>
                <w:rFonts w:ascii="Book Antiqua" w:hAnsi="Book Antiqua"/>
                <w:b/>
              </w:rPr>
              <w:t xml:space="preserve">Cost of biopsies for cohort, </w:t>
            </w:r>
            <w:r w:rsidRPr="00840AE0">
              <w:rPr>
                <w:rFonts w:ascii="Book Antiqua" w:hAnsi="Book Antiqua"/>
                <w:b/>
                <w:i/>
              </w:rPr>
              <w:t>n</w:t>
            </w:r>
            <w:r>
              <w:rPr>
                <w:rFonts w:ascii="Book Antiqua" w:hAnsi="Book Antiqua" w:hint="eastAsia"/>
                <w:b/>
                <w:lang w:eastAsia="zh-CN"/>
              </w:rPr>
              <w:t xml:space="preserve"> </w:t>
            </w:r>
            <w:r w:rsidRPr="002075A3">
              <w:rPr>
                <w:rFonts w:ascii="Book Antiqua" w:hAnsi="Book Antiqua"/>
                <w:b/>
              </w:rPr>
              <w:t>= 263 (£/$)</w:t>
            </w:r>
          </w:p>
        </w:tc>
        <w:tc>
          <w:tcPr>
            <w:tcW w:w="1965" w:type="dxa"/>
            <w:tcBorders>
              <w:top w:val="single" w:sz="4" w:space="0" w:color="auto"/>
              <w:bottom w:val="single" w:sz="4" w:space="0" w:color="auto"/>
            </w:tcBorders>
            <w:shd w:val="clear" w:color="auto" w:fill="auto"/>
          </w:tcPr>
          <w:p w14:paraId="1D7C6C69" w14:textId="77777777" w:rsidR="00840AE0" w:rsidRPr="002075A3" w:rsidRDefault="00840AE0" w:rsidP="00E46EEA">
            <w:pPr>
              <w:spacing w:line="360" w:lineRule="auto"/>
              <w:jc w:val="both"/>
              <w:rPr>
                <w:rFonts w:ascii="Book Antiqua" w:hAnsi="Book Antiqua"/>
                <w:b/>
              </w:rPr>
            </w:pPr>
            <w:r w:rsidRPr="002075A3">
              <w:rPr>
                <w:rFonts w:ascii="Book Antiqua" w:hAnsi="Book Antiqua"/>
                <w:b/>
              </w:rPr>
              <w:t>Cost per patient</w:t>
            </w:r>
          </w:p>
        </w:tc>
        <w:tc>
          <w:tcPr>
            <w:tcW w:w="1965" w:type="dxa"/>
            <w:tcBorders>
              <w:top w:val="single" w:sz="4" w:space="0" w:color="auto"/>
              <w:bottom w:val="single" w:sz="4" w:space="0" w:color="auto"/>
            </w:tcBorders>
            <w:shd w:val="clear" w:color="auto" w:fill="auto"/>
          </w:tcPr>
          <w:p w14:paraId="4957C2EC" w14:textId="77777777" w:rsidR="00840AE0" w:rsidRPr="002075A3" w:rsidRDefault="00840AE0" w:rsidP="00E46EEA">
            <w:pPr>
              <w:spacing w:line="360" w:lineRule="auto"/>
              <w:jc w:val="both"/>
              <w:rPr>
                <w:rFonts w:ascii="Book Antiqua" w:hAnsi="Book Antiqua"/>
                <w:b/>
              </w:rPr>
            </w:pPr>
            <w:r w:rsidRPr="002075A3">
              <w:rPr>
                <w:rFonts w:ascii="Book Antiqua" w:hAnsi="Book Antiqua"/>
                <w:b/>
              </w:rPr>
              <w:t xml:space="preserve">Cost reduction </w:t>
            </w:r>
            <w:r w:rsidRPr="00840AE0">
              <w:rPr>
                <w:rFonts w:ascii="Book Antiqua" w:hAnsi="Book Antiqua"/>
                <w:b/>
                <w:i/>
              </w:rPr>
              <w:t>vs</w:t>
            </w:r>
            <w:r w:rsidRPr="002075A3">
              <w:rPr>
                <w:rFonts w:ascii="Book Antiqua" w:hAnsi="Book Antiqua"/>
                <w:b/>
              </w:rPr>
              <w:t xml:space="preserve"> Seattle protocol</w:t>
            </w:r>
          </w:p>
        </w:tc>
      </w:tr>
      <w:tr w:rsidR="00840AE0" w:rsidRPr="002075A3" w14:paraId="1D3A415F" w14:textId="77777777" w:rsidTr="000C2B1E">
        <w:tc>
          <w:tcPr>
            <w:tcW w:w="3841" w:type="dxa"/>
            <w:tcBorders>
              <w:top w:val="single" w:sz="4" w:space="0" w:color="auto"/>
            </w:tcBorders>
            <w:shd w:val="clear" w:color="auto" w:fill="auto"/>
          </w:tcPr>
          <w:p w14:paraId="438A53B6" w14:textId="77777777" w:rsidR="00840AE0" w:rsidRPr="00E46EEA" w:rsidRDefault="00840AE0" w:rsidP="00E46EEA">
            <w:pPr>
              <w:spacing w:line="360" w:lineRule="auto"/>
              <w:jc w:val="both"/>
              <w:rPr>
                <w:rFonts w:ascii="Book Antiqua" w:hAnsi="Book Antiqua"/>
              </w:rPr>
            </w:pPr>
            <w:r w:rsidRPr="00E46EEA">
              <w:rPr>
                <w:rFonts w:ascii="Book Antiqua" w:hAnsi="Book Antiqua"/>
              </w:rPr>
              <w:t xml:space="preserve">Seattle Protocol: </w:t>
            </w:r>
          </w:p>
          <w:p w14:paraId="2CBA3CC4" w14:textId="77777777" w:rsidR="00840AE0" w:rsidRPr="00E46EEA" w:rsidRDefault="00840AE0" w:rsidP="00E46EEA">
            <w:pPr>
              <w:spacing w:line="360" w:lineRule="auto"/>
              <w:jc w:val="both"/>
              <w:rPr>
                <w:rFonts w:ascii="Book Antiqua" w:hAnsi="Book Antiqua"/>
              </w:rPr>
            </w:pPr>
            <w:r w:rsidRPr="00E46EEA">
              <w:rPr>
                <w:rFonts w:ascii="Book Antiqua" w:hAnsi="Book Antiqua"/>
              </w:rPr>
              <w:t>4QBS every 1cm individual cassettes</w:t>
            </w:r>
          </w:p>
        </w:tc>
        <w:tc>
          <w:tcPr>
            <w:tcW w:w="2409" w:type="dxa"/>
            <w:tcBorders>
              <w:top w:val="single" w:sz="4" w:space="0" w:color="auto"/>
            </w:tcBorders>
            <w:shd w:val="clear" w:color="auto" w:fill="auto"/>
          </w:tcPr>
          <w:p w14:paraId="7FBA0843" w14:textId="77777777" w:rsidR="00840AE0" w:rsidRPr="002075A3" w:rsidRDefault="00840AE0" w:rsidP="00E46EEA">
            <w:pPr>
              <w:spacing w:line="360" w:lineRule="auto"/>
              <w:jc w:val="both"/>
              <w:rPr>
                <w:rFonts w:ascii="Book Antiqua" w:hAnsi="Book Antiqua" w:cs="Times New Roman"/>
                <w:lang w:val="en-US"/>
              </w:rPr>
            </w:pPr>
            <w:r>
              <w:rPr>
                <w:rFonts w:ascii="Book Antiqua" w:hAnsi="Book Antiqua" w:cs="Times New Roman"/>
                <w:lang w:val="en-US"/>
              </w:rPr>
              <w:t>£278</w:t>
            </w:r>
            <w:r w:rsidRPr="002075A3">
              <w:rPr>
                <w:rFonts w:ascii="Book Antiqua" w:hAnsi="Book Antiqua" w:cs="Times New Roman"/>
                <w:lang w:val="en-US"/>
              </w:rPr>
              <w:t>832.60</w:t>
            </w:r>
          </w:p>
          <w:p w14:paraId="1EDBE31C" w14:textId="77777777" w:rsidR="00840AE0" w:rsidRPr="002075A3" w:rsidRDefault="00840AE0" w:rsidP="00E46EEA">
            <w:pPr>
              <w:spacing w:line="360" w:lineRule="auto"/>
              <w:jc w:val="both"/>
              <w:rPr>
                <w:rFonts w:ascii="Book Antiqua" w:hAnsi="Book Antiqua" w:cs="Times New Roman"/>
                <w:lang w:val="en-US"/>
              </w:rPr>
            </w:pPr>
            <w:r>
              <w:rPr>
                <w:rFonts w:ascii="Book Antiqua" w:hAnsi="Book Antiqua" w:cs="Times New Roman"/>
                <w:lang w:val="en-US"/>
              </w:rPr>
              <w:t>$428</w:t>
            </w:r>
            <w:r w:rsidRPr="002075A3">
              <w:rPr>
                <w:rFonts w:ascii="Book Antiqua" w:hAnsi="Book Antiqua" w:cs="Times New Roman"/>
                <w:lang w:val="en-US"/>
              </w:rPr>
              <w:t>929.60</w:t>
            </w:r>
          </w:p>
        </w:tc>
        <w:tc>
          <w:tcPr>
            <w:tcW w:w="1965" w:type="dxa"/>
            <w:tcBorders>
              <w:top w:val="single" w:sz="4" w:space="0" w:color="auto"/>
            </w:tcBorders>
            <w:shd w:val="clear" w:color="auto" w:fill="auto"/>
          </w:tcPr>
          <w:p w14:paraId="74A46AE2" w14:textId="77777777" w:rsidR="00840AE0" w:rsidRPr="002075A3" w:rsidRDefault="00840AE0" w:rsidP="00E46EEA">
            <w:pPr>
              <w:spacing w:line="360" w:lineRule="auto"/>
              <w:jc w:val="both"/>
              <w:rPr>
                <w:rFonts w:ascii="Book Antiqua" w:hAnsi="Book Antiqua" w:cs="Times New Roman"/>
                <w:lang w:val="en-US"/>
              </w:rPr>
            </w:pPr>
            <w:r w:rsidRPr="002075A3">
              <w:rPr>
                <w:rFonts w:ascii="Book Antiqua" w:hAnsi="Book Antiqua" w:cs="Times New Roman"/>
                <w:lang w:val="en-US"/>
              </w:rPr>
              <w:t>£1060.20</w:t>
            </w:r>
          </w:p>
          <w:p w14:paraId="62A54567" w14:textId="77777777" w:rsidR="00840AE0" w:rsidRPr="002075A3" w:rsidRDefault="00840AE0" w:rsidP="00E46EEA">
            <w:pPr>
              <w:spacing w:line="360" w:lineRule="auto"/>
              <w:jc w:val="both"/>
              <w:rPr>
                <w:rFonts w:ascii="Book Antiqua" w:hAnsi="Book Antiqua" w:cs="Times New Roman"/>
                <w:lang w:val="en-US"/>
              </w:rPr>
            </w:pPr>
            <w:r w:rsidRPr="002075A3">
              <w:rPr>
                <w:rFonts w:ascii="Book Antiqua" w:hAnsi="Book Antiqua" w:cs="Times New Roman"/>
                <w:lang w:val="en-US"/>
              </w:rPr>
              <w:t>$1630.91</w:t>
            </w:r>
          </w:p>
        </w:tc>
        <w:tc>
          <w:tcPr>
            <w:tcW w:w="1965" w:type="dxa"/>
            <w:tcBorders>
              <w:top w:val="single" w:sz="4" w:space="0" w:color="auto"/>
            </w:tcBorders>
            <w:shd w:val="clear" w:color="auto" w:fill="auto"/>
          </w:tcPr>
          <w:p w14:paraId="7964706F" w14:textId="77777777" w:rsidR="00840AE0" w:rsidRPr="00E46EEA" w:rsidRDefault="00840AE0" w:rsidP="00E46EEA">
            <w:pPr>
              <w:spacing w:line="360" w:lineRule="auto"/>
              <w:jc w:val="both"/>
              <w:rPr>
                <w:rFonts w:ascii="Book Antiqua" w:hAnsi="Book Antiqua" w:cs="Times New Roman"/>
                <w:lang w:val="en-US"/>
              </w:rPr>
            </w:pPr>
          </w:p>
        </w:tc>
      </w:tr>
      <w:tr w:rsidR="00840AE0" w:rsidRPr="002075A3" w14:paraId="443003A0" w14:textId="77777777" w:rsidTr="000C2B1E">
        <w:tc>
          <w:tcPr>
            <w:tcW w:w="3841" w:type="dxa"/>
            <w:shd w:val="clear" w:color="auto" w:fill="auto"/>
          </w:tcPr>
          <w:p w14:paraId="5EEA9454" w14:textId="77777777" w:rsidR="00840AE0" w:rsidRPr="00E46EEA" w:rsidRDefault="00840AE0" w:rsidP="00E46EEA">
            <w:pPr>
              <w:spacing w:line="360" w:lineRule="auto"/>
              <w:jc w:val="both"/>
              <w:rPr>
                <w:rFonts w:ascii="Book Antiqua" w:hAnsi="Book Antiqua"/>
              </w:rPr>
            </w:pPr>
            <w:r w:rsidRPr="00E46EEA">
              <w:rPr>
                <w:rFonts w:ascii="Book Antiqua" w:hAnsi="Book Antiqua"/>
              </w:rPr>
              <w:t>Cleveland Protocol:</w:t>
            </w:r>
          </w:p>
          <w:p w14:paraId="68494AE8" w14:textId="77777777" w:rsidR="00840AE0" w:rsidRPr="00E46EEA" w:rsidRDefault="00840AE0" w:rsidP="00E46EEA">
            <w:pPr>
              <w:spacing w:line="360" w:lineRule="auto"/>
              <w:jc w:val="both"/>
              <w:rPr>
                <w:rFonts w:ascii="Book Antiqua" w:hAnsi="Book Antiqua"/>
              </w:rPr>
            </w:pPr>
            <w:r w:rsidRPr="00E46EEA">
              <w:rPr>
                <w:rFonts w:ascii="Book Antiqua" w:hAnsi="Book Antiqua"/>
              </w:rPr>
              <w:t>4QBS every 2 cm individual cassettes</w:t>
            </w:r>
          </w:p>
        </w:tc>
        <w:tc>
          <w:tcPr>
            <w:tcW w:w="2409" w:type="dxa"/>
            <w:shd w:val="clear" w:color="auto" w:fill="auto"/>
          </w:tcPr>
          <w:p w14:paraId="5ECB91CD" w14:textId="77777777" w:rsidR="00840AE0" w:rsidRPr="002075A3" w:rsidRDefault="00840AE0" w:rsidP="00E46EEA">
            <w:pPr>
              <w:spacing w:line="360" w:lineRule="auto"/>
              <w:jc w:val="both"/>
              <w:rPr>
                <w:rFonts w:ascii="Book Antiqua" w:hAnsi="Book Antiqua"/>
              </w:rPr>
            </w:pPr>
            <w:r>
              <w:rPr>
                <w:rFonts w:ascii="Book Antiqua" w:hAnsi="Book Antiqua"/>
              </w:rPr>
              <w:t>£139</w:t>
            </w:r>
            <w:r w:rsidRPr="002075A3">
              <w:rPr>
                <w:rFonts w:ascii="Book Antiqua" w:hAnsi="Book Antiqua"/>
              </w:rPr>
              <w:t>416.30</w:t>
            </w:r>
          </w:p>
          <w:p w14:paraId="42A5586A" w14:textId="77777777" w:rsidR="00840AE0" w:rsidRPr="002075A3" w:rsidRDefault="00840AE0" w:rsidP="00E46EEA">
            <w:pPr>
              <w:spacing w:line="360" w:lineRule="auto"/>
              <w:jc w:val="both"/>
              <w:rPr>
                <w:rFonts w:ascii="Book Antiqua" w:hAnsi="Book Antiqua"/>
              </w:rPr>
            </w:pPr>
            <w:r w:rsidRPr="002075A3">
              <w:rPr>
                <w:rFonts w:ascii="Book Antiqua" w:hAnsi="Book Antiqua"/>
              </w:rPr>
              <w:t>$</w:t>
            </w:r>
            <w:r>
              <w:rPr>
                <w:rFonts w:ascii="Book Antiqua" w:hAnsi="Book Antiqua"/>
              </w:rPr>
              <w:t>214</w:t>
            </w:r>
            <w:r w:rsidRPr="002075A3">
              <w:rPr>
                <w:rFonts w:ascii="Book Antiqua" w:hAnsi="Book Antiqua"/>
              </w:rPr>
              <w:t>464.80</w:t>
            </w:r>
          </w:p>
        </w:tc>
        <w:tc>
          <w:tcPr>
            <w:tcW w:w="1965" w:type="dxa"/>
            <w:shd w:val="clear" w:color="auto" w:fill="auto"/>
          </w:tcPr>
          <w:p w14:paraId="5C3DA669" w14:textId="77777777" w:rsidR="00840AE0" w:rsidRPr="002075A3" w:rsidRDefault="00840AE0" w:rsidP="00E46EEA">
            <w:pPr>
              <w:spacing w:line="360" w:lineRule="auto"/>
              <w:jc w:val="both"/>
              <w:rPr>
                <w:rFonts w:ascii="Book Antiqua" w:hAnsi="Book Antiqua"/>
              </w:rPr>
            </w:pPr>
            <w:r w:rsidRPr="002075A3">
              <w:rPr>
                <w:rFonts w:ascii="Book Antiqua" w:hAnsi="Book Antiqua"/>
              </w:rPr>
              <w:t>£530.10</w:t>
            </w:r>
          </w:p>
          <w:p w14:paraId="4425E40F" w14:textId="77777777" w:rsidR="00840AE0" w:rsidRPr="002075A3" w:rsidRDefault="00840AE0" w:rsidP="00E46EEA">
            <w:pPr>
              <w:spacing w:line="360" w:lineRule="auto"/>
              <w:jc w:val="both"/>
              <w:rPr>
                <w:rFonts w:ascii="Book Antiqua" w:hAnsi="Book Antiqua"/>
              </w:rPr>
            </w:pPr>
            <w:r w:rsidRPr="002075A3">
              <w:rPr>
                <w:rFonts w:ascii="Book Antiqua" w:hAnsi="Book Antiqua"/>
              </w:rPr>
              <w:t>$815.46</w:t>
            </w:r>
          </w:p>
        </w:tc>
        <w:tc>
          <w:tcPr>
            <w:tcW w:w="1965" w:type="dxa"/>
            <w:shd w:val="clear" w:color="auto" w:fill="auto"/>
          </w:tcPr>
          <w:p w14:paraId="7CAAEC16" w14:textId="77777777" w:rsidR="00840AE0" w:rsidRPr="00E46EEA" w:rsidRDefault="00840AE0" w:rsidP="00E46EEA">
            <w:pPr>
              <w:spacing w:line="360" w:lineRule="auto"/>
              <w:jc w:val="both"/>
              <w:rPr>
                <w:rFonts w:ascii="Book Antiqua" w:hAnsi="Book Antiqua"/>
              </w:rPr>
            </w:pPr>
            <w:r w:rsidRPr="00E46EEA">
              <w:rPr>
                <w:rFonts w:ascii="Book Antiqua" w:hAnsi="Book Antiqua"/>
              </w:rPr>
              <w:t>50% reduction</w:t>
            </w:r>
          </w:p>
        </w:tc>
      </w:tr>
      <w:tr w:rsidR="00840AE0" w:rsidRPr="002075A3" w14:paraId="0912FB90" w14:textId="77777777" w:rsidTr="000C2B1E">
        <w:tc>
          <w:tcPr>
            <w:tcW w:w="3841" w:type="dxa"/>
            <w:shd w:val="clear" w:color="auto" w:fill="auto"/>
          </w:tcPr>
          <w:p w14:paraId="0107DFBB" w14:textId="77777777" w:rsidR="00840AE0" w:rsidRPr="00E46EEA" w:rsidRDefault="00840AE0" w:rsidP="00E46EEA">
            <w:pPr>
              <w:spacing w:line="360" w:lineRule="auto"/>
              <w:jc w:val="both"/>
              <w:rPr>
                <w:rFonts w:ascii="Book Antiqua" w:hAnsi="Book Antiqua"/>
              </w:rPr>
            </w:pPr>
            <w:r w:rsidRPr="00E46EEA">
              <w:rPr>
                <w:rFonts w:ascii="Book Antiqua" w:hAnsi="Book Antiqua"/>
              </w:rPr>
              <w:t>Portsmouth Protocol:</w:t>
            </w:r>
          </w:p>
          <w:p w14:paraId="261EAACE" w14:textId="77777777" w:rsidR="00840AE0" w:rsidRPr="00E46EEA" w:rsidRDefault="00840AE0" w:rsidP="00E46EEA">
            <w:pPr>
              <w:spacing w:line="360" w:lineRule="auto"/>
              <w:jc w:val="both"/>
              <w:rPr>
                <w:rFonts w:ascii="Book Antiqua" w:hAnsi="Book Antiqua"/>
              </w:rPr>
            </w:pPr>
            <w:r w:rsidRPr="00E46EEA">
              <w:rPr>
                <w:rFonts w:ascii="Book Antiqua" w:hAnsi="Book Antiqua"/>
              </w:rPr>
              <w:t xml:space="preserve">AA-targeted </w:t>
            </w:r>
            <w:r w:rsidRPr="00E46EEA">
              <w:rPr>
                <w:rFonts w:ascii="Book Antiqua" w:hAnsi="Book Antiqua" w:hint="eastAsia"/>
                <w:lang w:eastAsia="zh-CN"/>
              </w:rPr>
              <w:t>and</w:t>
            </w:r>
            <w:r w:rsidRPr="00E46EEA">
              <w:rPr>
                <w:rFonts w:ascii="Book Antiqua" w:hAnsi="Book Antiqua"/>
              </w:rPr>
              <w:t xml:space="preserve"> 4QBS (2 cassettes)</w:t>
            </w:r>
          </w:p>
        </w:tc>
        <w:tc>
          <w:tcPr>
            <w:tcW w:w="2409" w:type="dxa"/>
            <w:shd w:val="clear" w:color="auto" w:fill="auto"/>
          </w:tcPr>
          <w:p w14:paraId="018B5837" w14:textId="77777777" w:rsidR="00840AE0" w:rsidRPr="002075A3" w:rsidRDefault="00840AE0" w:rsidP="00E46EEA">
            <w:pPr>
              <w:spacing w:line="360" w:lineRule="auto"/>
              <w:jc w:val="both"/>
              <w:rPr>
                <w:rFonts w:ascii="Book Antiqua" w:hAnsi="Book Antiqua"/>
              </w:rPr>
            </w:pPr>
            <w:r>
              <w:rPr>
                <w:rFonts w:ascii="Book Antiqua" w:hAnsi="Book Antiqua"/>
              </w:rPr>
              <w:t>£25</w:t>
            </w:r>
            <w:r w:rsidRPr="002075A3">
              <w:rPr>
                <w:rFonts w:ascii="Book Antiqua" w:hAnsi="Book Antiqua"/>
              </w:rPr>
              <w:t>032.50</w:t>
            </w:r>
          </w:p>
          <w:p w14:paraId="59C3D782" w14:textId="77777777" w:rsidR="00840AE0" w:rsidRPr="002075A3" w:rsidRDefault="00840AE0" w:rsidP="00E46EEA">
            <w:pPr>
              <w:spacing w:line="360" w:lineRule="auto"/>
              <w:jc w:val="both"/>
              <w:rPr>
                <w:rFonts w:ascii="Book Antiqua" w:hAnsi="Book Antiqua"/>
              </w:rPr>
            </w:pPr>
            <w:r>
              <w:rPr>
                <w:rFonts w:ascii="Book Antiqua" w:hAnsi="Book Antiqua"/>
              </w:rPr>
              <w:t>$38</w:t>
            </w:r>
            <w:r w:rsidRPr="002075A3">
              <w:rPr>
                <w:rFonts w:ascii="Book Antiqua" w:hAnsi="Book Antiqua"/>
              </w:rPr>
              <w:t>507.62</w:t>
            </w:r>
          </w:p>
        </w:tc>
        <w:tc>
          <w:tcPr>
            <w:tcW w:w="1965" w:type="dxa"/>
            <w:shd w:val="clear" w:color="auto" w:fill="auto"/>
          </w:tcPr>
          <w:p w14:paraId="492F8E26" w14:textId="77777777" w:rsidR="00840AE0" w:rsidRPr="002075A3" w:rsidRDefault="00840AE0" w:rsidP="00E46EEA">
            <w:pPr>
              <w:spacing w:line="360" w:lineRule="auto"/>
              <w:jc w:val="both"/>
              <w:rPr>
                <w:rFonts w:ascii="Book Antiqua" w:hAnsi="Book Antiqua"/>
              </w:rPr>
            </w:pPr>
            <w:r w:rsidRPr="002075A3">
              <w:rPr>
                <w:rFonts w:ascii="Book Antiqua" w:hAnsi="Book Antiqua"/>
              </w:rPr>
              <w:t>£95.18</w:t>
            </w:r>
          </w:p>
          <w:p w14:paraId="406D356D" w14:textId="77777777" w:rsidR="00840AE0" w:rsidRPr="002075A3" w:rsidRDefault="00840AE0" w:rsidP="00E46EEA">
            <w:pPr>
              <w:spacing w:line="360" w:lineRule="auto"/>
              <w:jc w:val="both"/>
              <w:rPr>
                <w:rFonts w:ascii="Book Antiqua" w:hAnsi="Book Antiqua"/>
              </w:rPr>
            </w:pPr>
            <w:r w:rsidRPr="002075A3">
              <w:rPr>
                <w:rFonts w:ascii="Book Antiqua" w:hAnsi="Book Antiqua"/>
              </w:rPr>
              <w:t>$146.42</w:t>
            </w:r>
          </w:p>
        </w:tc>
        <w:tc>
          <w:tcPr>
            <w:tcW w:w="1965" w:type="dxa"/>
            <w:shd w:val="clear" w:color="auto" w:fill="auto"/>
          </w:tcPr>
          <w:p w14:paraId="38A76679" w14:textId="77777777" w:rsidR="00840AE0" w:rsidRPr="00E46EEA" w:rsidRDefault="00840AE0" w:rsidP="00E46EEA">
            <w:pPr>
              <w:spacing w:line="360" w:lineRule="auto"/>
              <w:jc w:val="both"/>
              <w:rPr>
                <w:rFonts w:ascii="Book Antiqua" w:hAnsi="Book Antiqua"/>
              </w:rPr>
            </w:pPr>
            <w:r w:rsidRPr="00E46EEA">
              <w:rPr>
                <w:rFonts w:ascii="Book Antiqua" w:hAnsi="Book Antiqua"/>
              </w:rPr>
              <w:t>91% reduction</w:t>
            </w:r>
          </w:p>
        </w:tc>
      </w:tr>
      <w:tr w:rsidR="00840AE0" w:rsidRPr="002075A3" w14:paraId="6C23E4D8" w14:textId="77777777" w:rsidTr="000C2B1E">
        <w:tc>
          <w:tcPr>
            <w:tcW w:w="3841" w:type="dxa"/>
            <w:shd w:val="clear" w:color="auto" w:fill="auto"/>
          </w:tcPr>
          <w:p w14:paraId="3849815B" w14:textId="77777777" w:rsidR="00840AE0" w:rsidRPr="00E46EEA" w:rsidRDefault="00840AE0" w:rsidP="00E46EEA">
            <w:pPr>
              <w:spacing w:line="360" w:lineRule="auto"/>
              <w:jc w:val="both"/>
              <w:rPr>
                <w:rFonts w:ascii="Book Antiqua" w:hAnsi="Book Antiqua"/>
              </w:rPr>
            </w:pPr>
            <w:r w:rsidRPr="00E46EEA">
              <w:rPr>
                <w:rFonts w:ascii="Book Antiqua" w:hAnsi="Book Antiqua"/>
              </w:rPr>
              <w:t>Modified Portsmouth Protocol:</w:t>
            </w:r>
          </w:p>
          <w:p w14:paraId="76F442D1" w14:textId="77777777" w:rsidR="00840AE0" w:rsidRPr="00E46EEA" w:rsidRDefault="00840AE0" w:rsidP="00E46EEA">
            <w:pPr>
              <w:spacing w:line="360" w:lineRule="auto"/>
              <w:jc w:val="both"/>
              <w:rPr>
                <w:rFonts w:ascii="Book Antiqua" w:hAnsi="Book Antiqua"/>
              </w:rPr>
            </w:pPr>
            <w:r w:rsidRPr="00E46EEA">
              <w:rPr>
                <w:rFonts w:ascii="Book Antiqua" w:hAnsi="Book Antiqua"/>
              </w:rPr>
              <w:t>Visible neoplasia –AA-targeted or</w:t>
            </w:r>
          </w:p>
          <w:p w14:paraId="13B44610" w14:textId="77777777" w:rsidR="00840AE0" w:rsidRPr="00E46EEA" w:rsidRDefault="00840AE0" w:rsidP="00E46EEA">
            <w:pPr>
              <w:spacing w:line="360" w:lineRule="auto"/>
              <w:jc w:val="both"/>
              <w:rPr>
                <w:rFonts w:ascii="Book Antiqua" w:hAnsi="Book Antiqua"/>
              </w:rPr>
            </w:pPr>
            <w:r w:rsidRPr="00E46EEA">
              <w:rPr>
                <w:rFonts w:ascii="Book Antiqua" w:hAnsi="Book Antiqua"/>
              </w:rPr>
              <w:t>No neoplasia – 4QBS (1 cassette)</w:t>
            </w:r>
          </w:p>
        </w:tc>
        <w:tc>
          <w:tcPr>
            <w:tcW w:w="2409" w:type="dxa"/>
            <w:shd w:val="clear" w:color="auto" w:fill="auto"/>
          </w:tcPr>
          <w:p w14:paraId="05F08A24" w14:textId="77777777" w:rsidR="00840AE0" w:rsidRPr="002075A3" w:rsidRDefault="00840AE0" w:rsidP="00E46EEA">
            <w:pPr>
              <w:spacing w:line="360" w:lineRule="auto"/>
              <w:jc w:val="both"/>
              <w:rPr>
                <w:rFonts w:ascii="Book Antiqua" w:hAnsi="Book Antiqua"/>
              </w:rPr>
            </w:pPr>
            <w:r>
              <w:rPr>
                <w:rFonts w:ascii="Book Antiqua" w:hAnsi="Book Antiqua"/>
              </w:rPr>
              <w:t>£15</w:t>
            </w:r>
            <w:r w:rsidRPr="002075A3">
              <w:rPr>
                <w:rFonts w:ascii="Book Antiqua" w:hAnsi="Book Antiqua"/>
              </w:rPr>
              <w:t>490.70</w:t>
            </w:r>
          </w:p>
          <w:p w14:paraId="77F02EA3" w14:textId="77777777" w:rsidR="00840AE0" w:rsidRPr="002075A3" w:rsidRDefault="00840AE0" w:rsidP="00E46EEA">
            <w:pPr>
              <w:spacing w:line="360" w:lineRule="auto"/>
              <w:jc w:val="both"/>
              <w:rPr>
                <w:rFonts w:ascii="Book Antiqua" w:hAnsi="Book Antiqua"/>
              </w:rPr>
            </w:pPr>
            <w:r>
              <w:rPr>
                <w:rFonts w:ascii="Book Antiqua" w:hAnsi="Book Antiqua"/>
              </w:rPr>
              <w:t>$23</w:t>
            </w:r>
            <w:r w:rsidRPr="002075A3">
              <w:rPr>
                <w:rFonts w:ascii="Book Antiqua" w:hAnsi="Book Antiqua"/>
              </w:rPr>
              <w:t>829.42</w:t>
            </w:r>
          </w:p>
        </w:tc>
        <w:tc>
          <w:tcPr>
            <w:tcW w:w="1965" w:type="dxa"/>
            <w:shd w:val="clear" w:color="auto" w:fill="auto"/>
          </w:tcPr>
          <w:p w14:paraId="543A1FD2" w14:textId="77777777" w:rsidR="00840AE0" w:rsidRPr="002075A3" w:rsidRDefault="00840AE0" w:rsidP="00E46EEA">
            <w:pPr>
              <w:spacing w:line="360" w:lineRule="auto"/>
              <w:jc w:val="both"/>
              <w:rPr>
                <w:rFonts w:ascii="Book Antiqua" w:hAnsi="Book Antiqua"/>
              </w:rPr>
            </w:pPr>
            <w:r w:rsidRPr="002075A3">
              <w:rPr>
                <w:rFonts w:ascii="Book Antiqua" w:hAnsi="Book Antiqua"/>
              </w:rPr>
              <w:t>£58.90</w:t>
            </w:r>
          </w:p>
          <w:p w14:paraId="54E397D3" w14:textId="77777777" w:rsidR="00840AE0" w:rsidRPr="002075A3" w:rsidRDefault="00840AE0" w:rsidP="00E46EEA">
            <w:pPr>
              <w:spacing w:line="360" w:lineRule="auto"/>
              <w:jc w:val="both"/>
              <w:rPr>
                <w:rFonts w:ascii="Book Antiqua" w:hAnsi="Book Antiqua"/>
              </w:rPr>
            </w:pPr>
            <w:r w:rsidRPr="002075A3">
              <w:rPr>
                <w:rFonts w:ascii="Book Antiqua" w:hAnsi="Book Antiqua"/>
              </w:rPr>
              <w:t>$90.61</w:t>
            </w:r>
          </w:p>
        </w:tc>
        <w:tc>
          <w:tcPr>
            <w:tcW w:w="1965" w:type="dxa"/>
            <w:shd w:val="clear" w:color="auto" w:fill="auto"/>
          </w:tcPr>
          <w:p w14:paraId="3A446001" w14:textId="77777777" w:rsidR="00840AE0" w:rsidRPr="00E46EEA" w:rsidRDefault="00840AE0" w:rsidP="00E46EEA">
            <w:pPr>
              <w:spacing w:line="360" w:lineRule="auto"/>
              <w:jc w:val="both"/>
              <w:rPr>
                <w:rFonts w:ascii="Book Antiqua" w:hAnsi="Book Antiqua"/>
              </w:rPr>
            </w:pPr>
            <w:r w:rsidRPr="00E46EEA">
              <w:rPr>
                <w:rFonts w:ascii="Book Antiqua" w:hAnsi="Book Antiqua"/>
              </w:rPr>
              <w:t>95% reduction</w:t>
            </w:r>
          </w:p>
        </w:tc>
      </w:tr>
      <w:tr w:rsidR="00840AE0" w:rsidRPr="002075A3" w14:paraId="30B8DFA0" w14:textId="77777777" w:rsidTr="000C2B1E">
        <w:tc>
          <w:tcPr>
            <w:tcW w:w="3841" w:type="dxa"/>
            <w:shd w:val="clear" w:color="auto" w:fill="auto"/>
          </w:tcPr>
          <w:p w14:paraId="380F348C" w14:textId="77777777" w:rsidR="00840AE0" w:rsidRPr="00E46EEA" w:rsidRDefault="00840AE0" w:rsidP="00E46EEA">
            <w:pPr>
              <w:spacing w:line="360" w:lineRule="auto"/>
              <w:jc w:val="both"/>
              <w:rPr>
                <w:rFonts w:ascii="Book Antiqua" w:hAnsi="Book Antiqua"/>
              </w:rPr>
            </w:pPr>
            <w:r w:rsidRPr="00E46EEA">
              <w:rPr>
                <w:rFonts w:ascii="Book Antiqua" w:hAnsi="Book Antiqua"/>
              </w:rPr>
              <w:t>Futuristic Protocol:</w:t>
            </w:r>
          </w:p>
          <w:p w14:paraId="3A5F9EEC" w14:textId="77777777" w:rsidR="00840AE0" w:rsidRPr="00E46EEA" w:rsidRDefault="00840AE0" w:rsidP="00E46EEA">
            <w:pPr>
              <w:spacing w:line="360" w:lineRule="auto"/>
              <w:jc w:val="both"/>
              <w:rPr>
                <w:rFonts w:ascii="Book Antiqua" w:hAnsi="Book Antiqua"/>
              </w:rPr>
            </w:pPr>
            <w:r w:rsidRPr="00E46EEA">
              <w:rPr>
                <w:rFonts w:ascii="Book Antiqua" w:hAnsi="Book Antiqua"/>
              </w:rPr>
              <w:t>AA-targeted biopsies only</w:t>
            </w:r>
          </w:p>
        </w:tc>
        <w:tc>
          <w:tcPr>
            <w:tcW w:w="2409" w:type="dxa"/>
            <w:shd w:val="clear" w:color="auto" w:fill="auto"/>
          </w:tcPr>
          <w:p w14:paraId="0160A931" w14:textId="77777777" w:rsidR="00840AE0" w:rsidRPr="002075A3" w:rsidRDefault="00840AE0" w:rsidP="00E46EEA">
            <w:pPr>
              <w:spacing w:line="360" w:lineRule="auto"/>
              <w:jc w:val="both"/>
              <w:rPr>
                <w:rFonts w:ascii="Book Antiqua" w:hAnsi="Book Antiqua"/>
              </w:rPr>
            </w:pPr>
            <w:r>
              <w:rPr>
                <w:rFonts w:ascii="Book Antiqua" w:hAnsi="Book Antiqua"/>
              </w:rPr>
              <w:t>£9</w:t>
            </w:r>
            <w:r w:rsidRPr="002075A3">
              <w:rPr>
                <w:rFonts w:ascii="Book Antiqua" w:hAnsi="Book Antiqua"/>
              </w:rPr>
              <w:t>541.80</w:t>
            </w:r>
          </w:p>
          <w:p w14:paraId="74476E07" w14:textId="77777777" w:rsidR="00840AE0" w:rsidRPr="002075A3" w:rsidRDefault="00840AE0" w:rsidP="00E46EEA">
            <w:pPr>
              <w:spacing w:line="360" w:lineRule="auto"/>
              <w:jc w:val="both"/>
              <w:rPr>
                <w:rFonts w:ascii="Book Antiqua" w:hAnsi="Book Antiqua"/>
              </w:rPr>
            </w:pPr>
            <w:r>
              <w:rPr>
                <w:rFonts w:ascii="Book Antiqua" w:hAnsi="Book Antiqua"/>
              </w:rPr>
              <w:t>$14</w:t>
            </w:r>
            <w:r w:rsidRPr="002075A3">
              <w:rPr>
                <w:rFonts w:ascii="Book Antiqua" w:hAnsi="Book Antiqua"/>
              </w:rPr>
              <w:t>678.20</w:t>
            </w:r>
          </w:p>
        </w:tc>
        <w:tc>
          <w:tcPr>
            <w:tcW w:w="1965" w:type="dxa"/>
            <w:shd w:val="clear" w:color="auto" w:fill="auto"/>
          </w:tcPr>
          <w:p w14:paraId="7354E958" w14:textId="77777777" w:rsidR="00840AE0" w:rsidRPr="002075A3" w:rsidRDefault="00840AE0" w:rsidP="00E46EEA">
            <w:pPr>
              <w:spacing w:line="360" w:lineRule="auto"/>
              <w:jc w:val="both"/>
              <w:rPr>
                <w:rFonts w:ascii="Book Antiqua" w:hAnsi="Book Antiqua"/>
              </w:rPr>
            </w:pPr>
            <w:r w:rsidRPr="002075A3">
              <w:rPr>
                <w:rFonts w:ascii="Book Antiqua" w:hAnsi="Book Antiqua"/>
              </w:rPr>
              <w:t>£30.91</w:t>
            </w:r>
          </w:p>
          <w:p w14:paraId="1B88C271" w14:textId="77777777" w:rsidR="00840AE0" w:rsidRPr="002075A3" w:rsidRDefault="00840AE0" w:rsidP="00E46EEA">
            <w:pPr>
              <w:spacing w:line="360" w:lineRule="auto"/>
              <w:jc w:val="both"/>
              <w:rPr>
                <w:rFonts w:ascii="Book Antiqua" w:hAnsi="Book Antiqua"/>
              </w:rPr>
            </w:pPr>
            <w:r w:rsidRPr="002075A3">
              <w:rPr>
                <w:rFonts w:ascii="Book Antiqua" w:hAnsi="Book Antiqua"/>
              </w:rPr>
              <w:t>$47.55</w:t>
            </w:r>
            <w:r w:rsidRPr="002075A3">
              <w:rPr>
                <w:rFonts w:ascii="Book Antiqua" w:hAnsi="Book Antiqua"/>
                <w:i/>
              </w:rPr>
              <w:t>)</w:t>
            </w:r>
          </w:p>
        </w:tc>
        <w:tc>
          <w:tcPr>
            <w:tcW w:w="1965" w:type="dxa"/>
            <w:shd w:val="clear" w:color="auto" w:fill="auto"/>
          </w:tcPr>
          <w:p w14:paraId="68982B0F" w14:textId="77777777" w:rsidR="00840AE0" w:rsidRPr="00E46EEA" w:rsidRDefault="00840AE0" w:rsidP="00E46EEA">
            <w:pPr>
              <w:spacing w:line="360" w:lineRule="auto"/>
              <w:jc w:val="both"/>
              <w:rPr>
                <w:rFonts w:ascii="Book Antiqua" w:hAnsi="Book Antiqua"/>
              </w:rPr>
            </w:pPr>
            <w:r w:rsidRPr="00E46EEA">
              <w:rPr>
                <w:rFonts w:ascii="Book Antiqua" w:hAnsi="Book Antiqua"/>
              </w:rPr>
              <w:t>97% reduction</w:t>
            </w:r>
          </w:p>
        </w:tc>
      </w:tr>
    </w:tbl>
    <w:p w14:paraId="3F67DCA9" w14:textId="77777777" w:rsidR="00840AE0" w:rsidRPr="002075A3" w:rsidRDefault="00840AE0" w:rsidP="00E46EEA">
      <w:pPr>
        <w:spacing w:line="360" w:lineRule="auto"/>
        <w:jc w:val="both"/>
        <w:rPr>
          <w:rFonts w:ascii="Book Antiqua" w:hAnsi="Book Antiqua"/>
          <w:b/>
          <w:u w:val="single"/>
          <w:lang w:val="en-US"/>
        </w:rPr>
      </w:pPr>
    </w:p>
    <w:p w14:paraId="0E890994" w14:textId="77777777" w:rsidR="00840AE0" w:rsidRPr="002075A3" w:rsidRDefault="00840AE0" w:rsidP="00E46EEA">
      <w:pPr>
        <w:spacing w:line="360" w:lineRule="auto"/>
        <w:jc w:val="both"/>
        <w:rPr>
          <w:rFonts w:ascii="Book Antiqua" w:hAnsi="Book Antiqua"/>
          <w:b/>
          <w:u w:val="single"/>
          <w:lang w:val="en-US"/>
        </w:rPr>
      </w:pPr>
    </w:p>
    <w:p w14:paraId="3A411F80" w14:textId="77777777" w:rsidR="00840AE0" w:rsidRDefault="00840AE0" w:rsidP="00E46EEA">
      <w:pPr>
        <w:jc w:val="both"/>
        <w:rPr>
          <w:rFonts w:ascii="Book Antiqua" w:hAnsi="Book Antiqua" w:cs="Arial"/>
        </w:rPr>
      </w:pPr>
      <w:r>
        <w:rPr>
          <w:rFonts w:ascii="Book Antiqua" w:hAnsi="Book Antiqua" w:cs="Arial"/>
        </w:rPr>
        <w:br w:type="page"/>
      </w:r>
    </w:p>
    <w:p w14:paraId="1FFA5112" w14:textId="77777777" w:rsidR="004B73F4" w:rsidRPr="002075A3" w:rsidRDefault="004B73F4" w:rsidP="00E46EEA">
      <w:pPr>
        <w:widowControl w:val="0"/>
        <w:autoSpaceDE w:val="0"/>
        <w:autoSpaceDN w:val="0"/>
        <w:adjustRightInd w:val="0"/>
        <w:spacing w:line="360" w:lineRule="auto"/>
        <w:ind w:left="640" w:hanging="640"/>
        <w:jc w:val="both"/>
        <w:rPr>
          <w:rFonts w:ascii="Book Antiqua" w:hAnsi="Book Antiqua"/>
          <w:b/>
          <w:u w:val="single"/>
          <w:lang w:val="en-US"/>
        </w:rPr>
      </w:pPr>
    </w:p>
    <w:sectPr w:rsidR="004B73F4" w:rsidRPr="002075A3" w:rsidSect="000313D8">
      <w:footerReference w:type="even" r:id="rId13"/>
      <w:footerReference w:type="default" r:id="rId14"/>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9BE30" w14:textId="77777777" w:rsidR="00D353C7" w:rsidRDefault="00D353C7" w:rsidP="00A67829">
      <w:r>
        <w:separator/>
      </w:r>
    </w:p>
  </w:endnote>
  <w:endnote w:type="continuationSeparator" w:id="0">
    <w:p w14:paraId="7016632F" w14:textId="77777777" w:rsidR="00D353C7" w:rsidRDefault="00D353C7" w:rsidP="00A6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203C4" w14:textId="77777777" w:rsidR="004F39DD" w:rsidRDefault="004F39DD" w:rsidP="0012309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DA73D9" w14:textId="77777777" w:rsidR="004F39DD" w:rsidRDefault="004F39DD" w:rsidP="0012309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C017D1" w14:textId="77777777" w:rsidR="004F39DD" w:rsidRDefault="004F39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75836" w14:textId="77777777" w:rsidR="004F39DD" w:rsidRDefault="004F39DD" w:rsidP="0012309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67C3">
      <w:rPr>
        <w:rStyle w:val="PageNumber"/>
        <w:noProof/>
      </w:rPr>
      <w:t>1</w:t>
    </w:r>
    <w:r>
      <w:rPr>
        <w:rStyle w:val="PageNumber"/>
      </w:rPr>
      <w:fldChar w:fldCharType="end"/>
    </w:r>
  </w:p>
  <w:p w14:paraId="0E60CE83" w14:textId="62F4DE22" w:rsidR="004F39DD" w:rsidRPr="001B2B70" w:rsidRDefault="004F39DD" w:rsidP="001B2B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57324" w14:textId="77777777" w:rsidR="00D353C7" w:rsidRDefault="00D353C7" w:rsidP="00A67829">
      <w:r>
        <w:separator/>
      </w:r>
    </w:p>
  </w:footnote>
  <w:footnote w:type="continuationSeparator" w:id="0">
    <w:p w14:paraId="559DE78C" w14:textId="77777777" w:rsidR="00D353C7" w:rsidRDefault="00D353C7" w:rsidP="00A678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6CBE"/>
    <w:multiLevelType w:val="hybridMultilevel"/>
    <w:tmpl w:val="0658C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AD1F9A"/>
    <w:multiLevelType w:val="hybridMultilevel"/>
    <w:tmpl w:val="FB0EE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7D66D4"/>
    <w:multiLevelType w:val="hybridMultilevel"/>
    <w:tmpl w:val="25384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050129"/>
    <w:multiLevelType w:val="hybridMultilevel"/>
    <w:tmpl w:val="4828A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829"/>
    <w:rsid w:val="00000007"/>
    <w:rsid w:val="000042D7"/>
    <w:rsid w:val="000061F2"/>
    <w:rsid w:val="00022DF5"/>
    <w:rsid w:val="000313D8"/>
    <w:rsid w:val="0005430C"/>
    <w:rsid w:val="000552FC"/>
    <w:rsid w:val="000604FF"/>
    <w:rsid w:val="000755F2"/>
    <w:rsid w:val="000858AA"/>
    <w:rsid w:val="00086CB3"/>
    <w:rsid w:val="0009191E"/>
    <w:rsid w:val="00096B00"/>
    <w:rsid w:val="000A6B30"/>
    <w:rsid w:val="000A77F4"/>
    <w:rsid w:val="000D43DF"/>
    <w:rsid w:val="000E5A46"/>
    <w:rsid w:val="000E7A49"/>
    <w:rsid w:val="000F1DDC"/>
    <w:rsid w:val="001006E6"/>
    <w:rsid w:val="00101C03"/>
    <w:rsid w:val="00102619"/>
    <w:rsid w:val="00111803"/>
    <w:rsid w:val="0012309F"/>
    <w:rsid w:val="00123BF6"/>
    <w:rsid w:val="001271DE"/>
    <w:rsid w:val="00134FE5"/>
    <w:rsid w:val="001421BE"/>
    <w:rsid w:val="00165F9C"/>
    <w:rsid w:val="00167F44"/>
    <w:rsid w:val="00183251"/>
    <w:rsid w:val="00185789"/>
    <w:rsid w:val="00196ACF"/>
    <w:rsid w:val="00196D18"/>
    <w:rsid w:val="00196E07"/>
    <w:rsid w:val="001B2B70"/>
    <w:rsid w:val="001D6175"/>
    <w:rsid w:val="001E7AF5"/>
    <w:rsid w:val="001F3BE4"/>
    <w:rsid w:val="001F4CBE"/>
    <w:rsid w:val="001F7D3A"/>
    <w:rsid w:val="00204E63"/>
    <w:rsid w:val="00204FB7"/>
    <w:rsid w:val="002075A3"/>
    <w:rsid w:val="002165C4"/>
    <w:rsid w:val="002251B1"/>
    <w:rsid w:val="00225B06"/>
    <w:rsid w:val="00230B45"/>
    <w:rsid w:val="00240C4B"/>
    <w:rsid w:val="00244F88"/>
    <w:rsid w:val="00245048"/>
    <w:rsid w:val="00254391"/>
    <w:rsid w:val="00266888"/>
    <w:rsid w:val="002673FD"/>
    <w:rsid w:val="00270DD7"/>
    <w:rsid w:val="0027489D"/>
    <w:rsid w:val="00283C7B"/>
    <w:rsid w:val="00293869"/>
    <w:rsid w:val="002A774B"/>
    <w:rsid w:val="002B6358"/>
    <w:rsid w:val="002B7B45"/>
    <w:rsid w:val="002C04BC"/>
    <w:rsid w:val="002C5AF4"/>
    <w:rsid w:val="002E563B"/>
    <w:rsid w:val="002E5D28"/>
    <w:rsid w:val="002E5DB6"/>
    <w:rsid w:val="003046A6"/>
    <w:rsid w:val="003221C7"/>
    <w:rsid w:val="00323369"/>
    <w:rsid w:val="0033172C"/>
    <w:rsid w:val="0033560E"/>
    <w:rsid w:val="00335BBE"/>
    <w:rsid w:val="003374D2"/>
    <w:rsid w:val="00356E32"/>
    <w:rsid w:val="00367F16"/>
    <w:rsid w:val="00380131"/>
    <w:rsid w:val="00397B0F"/>
    <w:rsid w:val="003A3042"/>
    <w:rsid w:val="003A4CF1"/>
    <w:rsid w:val="003A730D"/>
    <w:rsid w:val="003C1005"/>
    <w:rsid w:val="003C6A26"/>
    <w:rsid w:val="003D6C7D"/>
    <w:rsid w:val="003F3AC6"/>
    <w:rsid w:val="00411D76"/>
    <w:rsid w:val="004128F1"/>
    <w:rsid w:val="004130F2"/>
    <w:rsid w:val="00423F6A"/>
    <w:rsid w:val="0043220D"/>
    <w:rsid w:val="00436FDC"/>
    <w:rsid w:val="00446113"/>
    <w:rsid w:val="00447197"/>
    <w:rsid w:val="00461BAD"/>
    <w:rsid w:val="0046405D"/>
    <w:rsid w:val="0046625B"/>
    <w:rsid w:val="00473759"/>
    <w:rsid w:val="0048199F"/>
    <w:rsid w:val="0048761D"/>
    <w:rsid w:val="004948CD"/>
    <w:rsid w:val="004B73F4"/>
    <w:rsid w:val="004E3455"/>
    <w:rsid w:val="004E62A5"/>
    <w:rsid w:val="004F39DD"/>
    <w:rsid w:val="00506380"/>
    <w:rsid w:val="005115A5"/>
    <w:rsid w:val="0051427B"/>
    <w:rsid w:val="00514672"/>
    <w:rsid w:val="00516657"/>
    <w:rsid w:val="005166D0"/>
    <w:rsid w:val="00530C7E"/>
    <w:rsid w:val="0054174E"/>
    <w:rsid w:val="00564516"/>
    <w:rsid w:val="00564DD1"/>
    <w:rsid w:val="005714C9"/>
    <w:rsid w:val="00571A6B"/>
    <w:rsid w:val="005745A9"/>
    <w:rsid w:val="005A4B91"/>
    <w:rsid w:val="005B63BE"/>
    <w:rsid w:val="005D0E3E"/>
    <w:rsid w:val="005E40FB"/>
    <w:rsid w:val="005E6E15"/>
    <w:rsid w:val="00627A02"/>
    <w:rsid w:val="00633629"/>
    <w:rsid w:val="00633C1C"/>
    <w:rsid w:val="0063446D"/>
    <w:rsid w:val="00637468"/>
    <w:rsid w:val="00642769"/>
    <w:rsid w:val="006427F6"/>
    <w:rsid w:val="00644264"/>
    <w:rsid w:val="0065120B"/>
    <w:rsid w:val="006552BC"/>
    <w:rsid w:val="00656526"/>
    <w:rsid w:val="00660EAE"/>
    <w:rsid w:val="00662B23"/>
    <w:rsid w:val="00665F4F"/>
    <w:rsid w:val="00673310"/>
    <w:rsid w:val="0068153E"/>
    <w:rsid w:val="00685188"/>
    <w:rsid w:val="00687C24"/>
    <w:rsid w:val="0069524E"/>
    <w:rsid w:val="006A3F9E"/>
    <w:rsid w:val="006A566F"/>
    <w:rsid w:val="006B43BF"/>
    <w:rsid w:val="006D2672"/>
    <w:rsid w:val="006E482D"/>
    <w:rsid w:val="006E5CCD"/>
    <w:rsid w:val="00706B1B"/>
    <w:rsid w:val="00712838"/>
    <w:rsid w:val="00714698"/>
    <w:rsid w:val="007148C7"/>
    <w:rsid w:val="00723E2E"/>
    <w:rsid w:val="00724A86"/>
    <w:rsid w:val="00737ABA"/>
    <w:rsid w:val="00746F24"/>
    <w:rsid w:val="007630DA"/>
    <w:rsid w:val="007671A7"/>
    <w:rsid w:val="00770381"/>
    <w:rsid w:val="007715C2"/>
    <w:rsid w:val="00777CD5"/>
    <w:rsid w:val="00782E91"/>
    <w:rsid w:val="0078643C"/>
    <w:rsid w:val="007A125F"/>
    <w:rsid w:val="007A29FA"/>
    <w:rsid w:val="007B6263"/>
    <w:rsid w:val="007C369D"/>
    <w:rsid w:val="007C67C3"/>
    <w:rsid w:val="007D05A6"/>
    <w:rsid w:val="007D282E"/>
    <w:rsid w:val="0081301E"/>
    <w:rsid w:val="008145A4"/>
    <w:rsid w:val="00816880"/>
    <w:rsid w:val="008258C7"/>
    <w:rsid w:val="008259DB"/>
    <w:rsid w:val="00840AE0"/>
    <w:rsid w:val="00844446"/>
    <w:rsid w:val="00844698"/>
    <w:rsid w:val="00876B38"/>
    <w:rsid w:val="00893345"/>
    <w:rsid w:val="0089530B"/>
    <w:rsid w:val="008A06E4"/>
    <w:rsid w:val="008A6FCA"/>
    <w:rsid w:val="008B43CA"/>
    <w:rsid w:val="008B564A"/>
    <w:rsid w:val="008B67FD"/>
    <w:rsid w:val="008C0191"/>
    <w:rsid w:val="008C5F11"/>
    <w:rsid w:val="008C75C0"/>
    <w:rsid w:val="008D329A"/>
    <w:rsid w:val="008D4FCD"/>
    <w:rsid w:val="008E0703"/>
    <w:rsid w:val="008E67F7"/>
    <w:rsid w:val="008F105C"/>
    <w:rsid w:val="008F6DC0"/>
    <w:rsid w:val="009065EB"/>
    <w:rsid w:val="00906666"/>
    <w:rsid w:val="00907B3C"/>
    <w:rsid w:val="00937BAD"/>
    <w:rsid w:val="00944C98"/>
    <w:rsid w:val="0095066F"/>
    <w:rsid w:val="009523E4"/>
    <w:rsid w:val="009541F9"/>
    <w:rsid w:val="00954F56"/>
    <w:rsid w:val="00967FAE"/>
    <w:rsid w:val="009869D2"/>
    <w:rsid w:val="00991B6B"/>
    <w:rsid w:val="009A28ED"/>
    <w:rsid w:val="009B5732"/>
    <w:rsid w:val="009D3C9F"/>
    <w:rsid w:val="009E0DD2"/>
    <w:rsid w:val="00A07D1C"/>
    <w:rsid w:val="00A177E9"/>
    <w:rsid w:val="00A33084"/>
    <w:rsid w:val="00A411CE"/>
    <w:rsid w:val="00A43982"/>
    <w:rsid w:val="00A4439E"/>
    <w:rsid w:val="00A502B4"/>
    <w:rsid w:val="00A53B1C"/>
    <w:rsid w:val="00A65BFA"/>
    <w:rsid w:val="00A67829"/>
    <w:rsid w:val="00A70093"/>
    <w:rsid w:val="00A82DD8"/>
    <w:rsid w:val="00A875A2"/>
    <w:rsid w:val="00AA19F1"/>
    <w:rsid w:val="00AB321D"/>
    <w:rsid w:val="00AB52F7"/>
    <w:rsid w:val="00AD3501"/>
    <w:rsid w:val="00AD63D7"/>
    <w:rsid w:val="00AE03A1"/>
    <w:rsid w:val="00AE5616"/>
    <w:rsid w:val="00AE6B7E"/>
    <w:rsid w:val="00AF2CF3"/>
    <w:rsid w:val="00AF4148"/>
    <w:rsid w:val="00B2524B"/>
    <w:rsid w:val="00B40248"/>
    <w:rsid w:val="00B41835"/>
    <w:rsid w:val="00B44A15"/>
    <w:rsid w:val="00B457BD"/>
    <w:rsid w:val="00B51D38"/>
    <w:rsid w:val="00B56FC5"/>
    <w:rsid w:val="00B66F16"/>
    <w:rsid w:val="00B7290D"/>
    <w:rsid w:val="00B74CE1"/>
    <w:rsid w:val="00B77069"/>
    <w:rsid w:val="00B83AF5"/>
    <w:rsid w:val="00B901BA"/>
    <w:rsid w:val="00B94A5E"/>
    <w:rsid w:val="00BD4873"/>
    <w:rsid w:val="00BE1FFD"/>
    <w:rsid w:val="00BE7AA3"/>
    <w:rsid w:val="00BF3903"/>
    <w:rsid w:val="00BF5BA3"/>
    <w:rsid w:val="00C11447"/>
    <w:rsid w:val="00C25132"/>
    <w:rsid w:val="00C25C74"/>
    <w:rsid w:val="00C3025A"/>
    <w:rsid w:val="00C30D11"/>
    <w:rsid w:val="00C31266"/>
    <w:rsid w:val="00C44987"/>
    <w:rsid w:val="00C467B9"/>
    <w:rsid w:val="00C52D97"/>
    <w:rsid w:val="00C555D0"/>
    <w:rsid w:val="00C6191C"/>
    <w:rsid w:val="00C71BAB"/>
    <w:rsid w:val="00C7203E"/>
    <w:rsid w:val="00CA0D8C"/>
    <w:rsid w:val="00CA304C"/>
    <w:rsid w:val="00CA4BF1"/>
    <w:rsid w:val="00CA6898"/>
    <w:rsid w:val="00CC110A"/>
    <w:rsid w:val="00CC711E"/>
    <w:rsid w:val="00CD039D"/>
    <w:rsid w:val="00CD6370"/>
    <w:rsid w:val="00CE1019"/>
    <w:rsid w:val="00D04519"/>
    <w:rsid w:val="00D107BE"/>
    <w:rsid w:val="00D17076"/>
    <w:rsid w:val="00D22B5C"/>
    <w:rsid w:val="00D333FC"/>
    <w:rsid w:val="00D353C7"/>
    <w:rsid w:val="00D72F6E"/>
    <w:rsid w:val="00D75A37"/>
    <w:rsid w:val="00D777D6"/>
    <w:rsid w:val="00D819FD"/>
    <w:rsid w:val="00D81F85"/>
    <w:rsid w:val="00D90F8E"/>
    <w:rsid w:val="00DA5B2A"/>
    <w:rsid w:val="00DD097B"/>
    <w:rsid w:val="00DE0C75"/>
    <w:rsid w:val="00DE7433"/>
    <w:rsid w:val="00DF207E"/>
    <w:rsid w:val="00E0219D"/>
    <w:rsid w:val="00E108CB"/>
    <w:rsid w:val="00E145D8"/>
    <w:rsid w:val="00E1626A"/>
    <w:rsid w:val="00E2434E"/>
    <w:rsid w:val="00E31DB2"/>
    <w:rsid w:val="00E33920"/>
    <w:rsid w:val="00E40464"/>
    <w:rsid w:val="00E46EEA"/>
    <w:rsid w:val="00E52E5D"/>
    <w:rsid w:val="00E65FE8"/>
    <w:rsid w:val="00E9231A"/>
    <w:rsid w:val="00E94364"/>
    <w:rsid w:val="00E956CB"/>
    <w:rsid w:val="00EB48E1"/>
    <w:rsid w:val="00EE5DB8"/>
    <w:rsid w:val="00EF017D"/>
    <w:rsid w:val="00F04348"/>
    <w:rsid w:val="00F04AF6"/>
    <w:rsid w:val="00F11FF0"/>
    <w:rsid w:val="00F13A0D"/>
    <w:rsid w:val="00F31FFF"/>
    <w:rsid w:val="00F339EA"/>
    <w:rsid w:val="00F42E6D"/>
    <w:rsid w:val="00F457B3"/>
    <w:rsid w:val="00F46241"/>
    <w:rsid w:val="00F50E65"/>
    <w:rsid w:val="00F55578"/>
    <w:rsid w:val="00F66E20"/>
    <w:rsid w:val="00F701BA"/>
    <w:rsid w:val="00F72657"/>
    <w:rsid w:val="00F73923"/>
    <w:rsid w:val="00F82775"/>
    <w:rsid w:val="00F83F0A"/>
    <w:rsid w:val="00F84291"/>
    <w:rsid w:val="00FB14BF"/>
    <w:rsid w:val="00FC5244"/>
    <w:rsid w:val="00FD2284"/>
    <w:rsid w:val="00FD41D3"/>
    <w:rsid w:val="00FE0C02"/>
    <w:rsid w:val="00FF25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F0098F"/>
  <w15:docId w15:val="{38524A33-D32C-4A06-8F7B-6A94054B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A67829"/>
  </w:style>
  <w:style w:type="character" w:customStyle="1" w:styleId="EndnoteTextChar">
    <w:name w:val="Endnote Text Char"/>
    <w:basedOn w:val="DefaultParagraphFont"/>
    <w:link w:val="EndnoteText"/>
    <w:uiPriority w:val="99"/>
    <w:rsid w:val="00A67829"/>
    <w:rPr>
      <w:lang w:val="en-GB"/>
    </w:rPr>
  </w:style>
  <w:style w:type="character" w:styleId="EndnoteReference">
    <w:name w:val="endnote reference"/>
    <w:basedOn w:val="DefaultParagraphFont"/>
    <w:uiPriority w:val="99"/>
    <w:unhideWhenUsed/>
    <w:rsid w:val="00A67829"/>
    <w:rPr>
      <w:vertAlign w:val="superscript"/>
    </w:rPr>
  </w:style>
  <w:style w:type="paragraph" w:styleId="ListParagraph">
    <w:name w:val="List Paragraph"/>
    <w:basedOn w:val="Normal"/>
    <w:uiPriority w:val="34"/>
    <w:qFormat/>
    <w:rsid w:val="00D90F8E"/>
    <w:pPr>
      <w:ind w:left="720"/>
      <w:contextualSpacing/>
    </w:pPr>
  </w:style>
  <w:style w:type="paragraph" w:styleId="BalloonText">
    <w:name w:val="Balloon Text"/>
    <w:basedOn w:val="Normal"/>
    <w:link w:val="BalloonTextChar"/>
    <w:uiPriority w:val="99"/>
    <w:semiHidden/>
    <w:unhideWhenUsed/>
    <w:rsid w:val="009B57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732"/>
    <w:rPr>
      <w:rFonts w:ascii="Times New Roman" w:hAnsi="Times New Roman" w:cs="Times New Roman"/>
      <w:sz w:val="18"/>
      <w:szCs w:val="18"/>
      <w:lang w:val="en-GB"/>
    </w:rPr>
  </w:style>
  <w:style w:type="character" w:styleId="CommentReference">
    <w:name w:val="annotation reference"/>
    <w:basedOn w:val="DefaultParagraphFont"/>
    <w:unhideWhenUsed/>
    <w:rsid w:val="009B5732"/>
    <w:rPr>
      <w:sz w:val="18"/>
      <w:szCs w:val="18"/>
    </w:rPr>
  </w:style>
  <w:style w:type="paragraph" w:styleId="CommentText">
    <w:name w:val="annotation text"/>
    <w:basedOn w:val="Normal"/>
    <w:link w:val="CommentTextChar"/>
    <w:unhideWhenUsed/>
    <w:rsid w:val="009B5732"/>
  </w:style>
  <w:style w:type="character" w:customStyle="1" w:styleId="CommentTextChar">
    <w:name w:val="Comment Text Char"/>
    <w:basedOn w:val="DefaultParagraphFont"/>
    <w:link w:val="CommentText"/>
    <w:rsid w:val="009B5732"/>
    <w:rPr>
      <w:lang w:val="en-GB"/>
    </w:rPr>
  </w:style>
  <w:style w:type="paragraph" w:styleId="CommentSubject">
    <w:name w:val="annotation subject"/>
    <w:basedOn w:val="CommentText"/>
    <w:next w:val="CommentText"/>
    <w:link w:val="CommentSubjectChar"/>
    <w:uiPriority w:val="99"/>
    <w:semiHidden/>
    <w:unhideWhenUsed/>
    <w:rsid w:val="009B5732"/>
    <w:rPr>
      <w:b/>
      <w:bCs/>
      <w:sz w:val="20"/>
      <w:szCs w:val="20"/>
    </w:rPr>
  </w:style>
  <w:style w:type="character" w:customStyle="1" w:styleId="CommentSubjectChar">
    <w:name w:val="Comment Subject Char"/>
    <w:basedOn w:val="CommentTextChar"/>
    <w:link w:val="CommentSubject"/>
    <w:uiPriority w:val="99"/>
    <w:semiHidden/>
    <w:rsid w:val="009B5732"/>
    <w:rPr>
      <w:b/>
      <w:bCs/>
      <w:sz w:val="20"/>
      <w:szCs w:val="20"/>
      <w:lang w:val="en-GB"/>
    </w:rPr>
  </w:style>
  <w:style w:type="paragraph" w:styleId="FootnoteText">
    <w:name w:val="footnote text"/>
    <w:basedOn w:val="Normal"/>
    <w:link w:val="FootnoteTextChar"/>
    <w:uiPriority w:val="99"/>
    <w:unhideWhenUsed/>
    <w:rsid w:val="006552BC"/>
  </w:style>
  <w:style w:type="character" w:customStyle="1" w:styleId="FootnoteTextChar">
    <w:name w:val="Footnote Text Char"/>
    <w:basedOn w:val="DefaultParagraphFont"/>
    <w:link w:val="FootnoteText"/>
    <w:uiPriority w:val="99"/>
    <w:rsid w:val="006552BC"/>
    <w:rPr>
      <w:lang w:val="en-GB"/>
    </w:rPr>
  </w:style>
  <w:style w:type="character" w:styleId="FootnoteReference">
    <w:name w:val="footnote reference"/>
    <w:basedOn w:val="DefaultParagraphFont"/>
    <w:uiPriority w:val="99"/>
    <w:unhideWhenUsed/>
    <w:rsid w:val="006552BC"/>
    <w:rPr>
      <w:vertAlign w:val="superscript"/>
    </w:rPr>
  </w:style>
  <w:style w:type="paragraph" w:styleId="Revision">
    <w:name w:val="Revision"/>
    <w:hidden/>
    <w:uiPriority w:val="99"/>
    <w:semiHidden/>
    <w:rsid w:val="00E0219D"/>
    <w:rPr>
      <w:lang w:val="en-GB"/>
    </w:rPr>
  </w:style>
  <w:style w:type="table" w:styleId="TableGrid">
    <w:name w:val="Table Grid"/>
    <w:basedOn w:val="TableNormal"/>
    <w:uiPriority w:val="39"/>
    <w:rsid w:val="00CA3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B70"/>
    <w:pPr>
      <w:tabs>
        <w:tab w:val="center" w:pos="4513"/>
        <w:tab w:val="right" w:pos="9026"/>
      </w:tabs>
    </w:pPr>
  </w:style>
  <w:style w:type="character" w:customStyle="1" w:styleId="HeaderChar">
    <w:name w:val="Header Char"/>
    <w:basedOn w:val="DefaultParagraphFont"/>
    <w:link w:val="Header"/>
    <w:uiPriority w:val="99"/>
    <w:rsid w:val="001B2B70"/>
    <w:rPr>
      <w:lang w:val="en-GB"/>
    </w:rPr>
  </w:style>
  <w:style w:type="paragraph" w:styleId="Footer">
    <w:name w:val="footer"/>
    <w:basedOn w:val="Normal"/>
    <w:link w:val="FooterChar"/>
    <w:uiPriority w:val="99"/>
    <w:unhideWhenUsed/>
    <w:rsid w:val="001B2B70"/>
    <w:pPr>
      <w:tabs>
        <w:tab w:val="center" w:pos="4513"/>
        <w:tab w:val="right" w:pos="9026"/>
      </w:tabs>
    </w:pPr>
  </w:style>
  <w:style w:type="character" w:customStyle="1" w:styleId="FooterChar">
    <w:name w:val="Footer Char"/>
    <w:basedOn w:val="DefaultParagraphFont"/>
    <w:link w:val="Footer"/>
    <w:uiPriority w:val="99"/>
    <w:rsid w:val="001B2B70"/>
    <w:rPr>
      <w:lang w:val="en-GB"/>
    </w:rPr>
  </w:style>
  <w:style w:type="character" w:styleId="PageNumber">
    <w:name w:val="page number"/>
    <w:basedOn w:val="DefaultParagraphFont"/>
    <w:uiPriority w:val="99"/>
    <w:semiHidden/>
    <w:unhideWhenUsed/>
    <w:rsid w:val="001B2B70"/>
  </w:style>
  <w:style w:type="character" w:styleId="Hyperlink">
    <w:name w:val="Hyperlink"/>
    <w:basedOn w:val="DefaultParagraphFont"/>
    <w:uiPriority w:val="99"/>
    <w:unhideWhenUsed/>
    <w:rsid w:val="002075A3"/>
    <w:rPr>
      <w:color w:val="0563C1" w:themeColor="hyperlink"/>
      <w:u w:val="single"/>
    </w:rPr>
  </w:style>
  <w:style w:type="paragraph" w:styleId="NormalWeb">
    <w:name w:val="Normal (Web)"/>
    <w:basedOn w:val="Normal"/>
    <w:uiPriority w:val="99"/>
    <w:unhideWhenUsed/>
    <w:rsid w:val="00D17076"/>
    <w:pPr>
      <w:spacing w:before="100" w:beforeAutospacing="1" w:after="100" w:afterAutospacing="1"/>
    </w:pPr>
    <w:rPr>
      <w:rFonts w:ascii="Times New Roman" w:eastAsia="Times New Roman" w:hAnsi="Times New Roman" w:cs="Times New Roman"/>
      <w:lang w:val="it-IT" w:eastAsia="it-IT"/>
    </w:rPr>
  </w:style>
  <w:style w:type="character" w:styleId="Strong">
    <w:name w:val="Strong"/>
    <w:uiPriority w:val="22"/>
    <w:qFormat/>
    <w:rsid w:val="00D17076"/>
    <w:rPr>
      <w:b/>
      <w:bCs/>
    </w:rPr>
  </w:style>
  <w:style w:type="character" w:styleId="FollowedHyperlink">
    <w:name w:val="FollowedHyperlink"/>
    <w:basedOn w:val="DefaultParagraphFont"/>
    <w:uiPriority w:val="99"/>
    <w:semiHidden/>
    <w:unhideWhenUsed/>
    <w:rsid w:val="00AF41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055256">
      <w:bodyDiv w:val="1"/>
      <w:marLeft w:val="0"/>
      <w:marRight w:val="0"/>
      <w:marTop w:val="0"/>
      <w:marBottom w:val="0"/>
      <w:divBdr>
        <w:top w:val="none" w:sz="0" w:space="0" w:color="auto"/>
        <w:left w:val="none" w:sz="0" w:space="0" w:color="auto"/>
        <w:bottom w:val="none" w:sz="0" w:space="0" w:color="auto"/>
        <w:right w:val="none" w:sz="0" w:space="0" w:color="auto"/>
      </w:divBdr>
    </w:div>
    <w:div w:id="1484353669">
      <w:bodyDiv w:val="1"/>
      <w:marLeft w:val="0"/>
      <w:marRight w:val="0"/>
      <w:marTop w:val="0"/>
      <w:marBottom w:val="0"/>
      <w:divBdr>
        <w:top w:val="none" w:sz="0" w:space="0" w:color="auto"/>
        <w:left w:val="none" w:sz="0" w:space="0" w:color="auto"/>
        <w:bottom w:val="none" w:sz="0" w:space="0" w:color="auto"/>
        <w:right w:val="none" w:sz="0" w:space="0" w:color="auto"/>
      </w:divBdr>
    </w:div>
    <w:div w:id="18105844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deep.bhandari@porthosp.nhs.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0EA918-FB06-453E-BD47-BA46B6B8C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26598</Words>
  <Characters>151614</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 Chedgy</dc:creator>
  <cp:keywords/>
  <dc:description/>
  <cp:lastModifiedBy>LS Ma</cp:lastModifiedBy>
  <cp:revision>2</cp:revision>
  <dcterms:created xsi:type="dcterms:W3CDTF">2016-05-21T02:57:00Z</dcterms:created>
  <dcterms:modified xsi:type="dcterms:W3CDTF">2016-05-21T02:57:00Z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http://www.zotero.org/styles/world-journal-of-gastroenterology</vt:lpwstr>
  </property>
  <property fmtid="{D5CDD505-2E9C-101B-9397-08002B2CF9AE}" pid="4" name="Mendeley User Name_1">
    <vt:lpwstr>ferguschedgy@yahoo.co.uk@www.mendeley.com</vt:lpwstr>
  </property>
</Properties>
</file>