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98E" w:rsidRPr="0032119E" w:rsidRDefault="008D698E" w:rsidP="00B20484">
      <w:pPr>
        <w:snapToGrid w:val="0"/>
        <w:spacing w:line="360" w:lineRule="auto"/>
        <w:rPr>
          <w:rFonts w:ascii="Book Antiqua" w:hAnsi="Book Antiqua"/>
          <w:b/>
          <w:i/>
          <w:iCs/>
          <w:sz w:val="24"/>
          <w:szCs w:val="24"/>
        </w:rPr>
      </w:pPr>
      <w:r w:rsidRPr="0032119E">
        <w:rPr>
          <w:rFonts w:ascii="Book Antiqua" w:hAnsi="Book Antiqua"/>
          <w:b/>
          <w:sz w:val="24"/>
          <w:szCs w:val="24"/>
        </w:rPr>
        <w:t xml:space="preserve">Name of Journal: </w:t>
      </w:r>
      <w:r w:rsidRPr="0032119E">
        <w:rPr>
          <w:rFonts w:ascii="Book Antiqua" w:hAnsi="Book Antiqua"/>
          <w:b/>
          <w:i/>
          <w:iCs/>
          <w:sz w:val="24"/>
          <w:szCs w:val="24"/>
        </w:rPr>
        <w:t>World Journal of Gastroenterology</w:t>
      </w:r>
    </w:p>
    <w:p w:rsidR="008D698E" w:rsidRPr="0032119E" w:rsidRDefault="008D698E" w:rsidP="00B20484">
      <w:pPr>
        <w:snapToGrid w:val="0"/>
        <w:spacing w:line="360" w:lineRule="auto"/>
        <w:rPr>
          <w:rFonts w:ascii="Book Antiqua" w:hAnsi="Book Antiqua"/>
          <w:b/>
          <w:sz w:val="24"/>
          <w:szCs w:val="24"/>
        </w:rPr>
      </w:pPr>
      <w:r w:rsidRPr="0032119E">
        <w:rPr>
          <w:rFonts w:ascii="Book Antiqua" w:hAnsi="Book Antiqua"/>
          <w:b/>
          <w:sz w:val="24"/>
          <w:szCs w:val="24"/>
        </w:rPr>
        <w:t xml:space="preserve">ESPS Manuscript NO: </w:t>
      </w:r>
      <w:r w:rsidRPr="0032119E">
        <w:rPr>
          <w:rFonts w:ascii="Book Antiqua" w:hAnsi="Book Antiqua" w:hint="eastAsia"/>
          <w:b/>
          <w:sz w:val="24"/>
          <w:szCs w:val="24"/>
        </w:rPr>
        <w:t>25564</w:t>
      </w:r>
    </w:p>
    <w:p w:rsidR="00BB4364" w:rsidRDefault="008D698E" w:rsidP="00B20484">
      <w:pPr>
        <w:snapToGrid w:val="0"/>
        <w:spacing w:line="360" w:lineRule="auto"/>
        <w:rPr>
          <w:rFonts w:ascii="Book Antiqua" w:eastAsia="SimSun" w:hAnsi="Book Antiqua"/>
          <w:b/>
          <w:sz w:val="24"/>
          <w:szCs w:val="24"/>
          <w:lang w:eastAsia="zh-CN"/>
        </w:rPr>
      </w:pPr>
      <w:r w:rsidRPr="0032119E">
        <w:rPr>
          <w:rFonts w:ascii="Book Antiqua" w:hAnsi="Book Antiqua"/>
          <w:b/>
          <w:sz w:val="24"/>
          <w:szCs w:val="24"/>
        </w:rPr>
        <w:t>Manuscript Type:</w:t>
      </w:r>
      <w:r w:rsidR="00BB4364" w:rsidRPr="0032119E">
        <w:rPr>
          <w:rFonts w:ascii="Book Antiqua" w:hAnsi="Book Antiqua"/>
          <w:b/>
          <w:sz w:val="24"/>
          <w:szCs w:val="24"/>
        </w:rPr>
        <w:t xml:space="preserve"> ORIGINAL ARTICLE</w:t>
      </w:r>
    </w:p>
    <w:p w:rsidR="00777CB2" w:rsidRPr="00777CB2" w:rsidRDefault="00777CB2" w:rsidP="00B20484">
      <w:pPr>
        <w:snapToGrid w:val="0"/>
        <w:spacing w:line="360" w:lineRule="auto"/>
        <w:rPr>
          <w:rFonts w:ascii="Book Antiqua" w:eastAsia="SimSun" w:hAnsi="Book Antiqua"/>
          <w:b/>
          <w:sz w:val="24"/>
          <w:szCs w:val="24"/>
          <w:lang w:eastAsia="zh-CN"/>
        </w:rPr>
      </w:pPr>
    </w:p>
    <w:p w:rsidR="008D698E" w:rsidRPr="0032119E" w:rsidRDefault="008D698E" w:rsidP="00B20484">
      <w:pPr>
        <w:snapToGrid w:val="0"/>
        <w:spacing w:line="360" w:lineRule="auto"/>
        <w:rPr>
          <w:rFonts w:ascii="Book Antiqua" w:hAnsi="Book Antiqua"/>
          <w:b/>
          <w:i/>
          <w:sz w:val="24"/>
          <w:szCs w:val="24"/>
        </w:rPr>
      </w:pPr>
      <w:r w:rsidRPr="0032119E">
        <w:rPr>
          <w:rFonts w:ascii="Book Antiqua" w:hAnsi="Book Antiqua"/>
          <w:b/>
          <w:i/>
          <w:sz w:val="24"/>
          <w:szCs w:val="24"/>
        </w:rPr>
        <w:t>Retrospective Study</w:t>
      </w:r>
    </w:p>
    <w:p w:rsidR="008A4F56" w:rsidRPr="0032119E" w:rsidRDefault="00F729EC" w:rsidP="00B20484">
      <w:pPr>
        <w:snapToGrid w:val="0"/>
        <w:spacing w:line="360" w:lineRule="auto"/>
        <w:rPr>
          <w:rFonts w:ascii="Book Antiqua" w:hAnsi="Book Antiqua"/>
          <w:b/>
          <w:sz w:val="24"/>
          <w:szCs w:val="24"/>
        </w:rPr>
      </w:pPr>
      <w:r w:rsidRPr="0032119E">
        <w:rPr>
          <w:rFonts w:ascii="Book Antiqua" w:hAnsi="Book Antiqua" w:hint="eastAsia"/>
          <w:b/>
          <w:sz w:val="24"/>
          <w:szCs w:val="24"/>
        </w:rPr>
        <w:t>C</w:t>
      </w:r>
      <w:r w:rsidRPr="0032119E">
        <w:rPr>
          <w:rFonts w:ascii="Book Antiqua" w:hAnsi="Book Antiqua"/>
          <w:b/>
          <w:sz w:val="24"/>
          <w:szCs w:val="24"/>
        </w:rPr>
        <w:t xml:space="preserve">linicopathological features of </w:t>
      </w:r>
      <w:r w:rsidRPr="0032119E">
        <w:rPr>
          <w:rFonts w:ascii="Book Antiqua" w:hAnsi="Book Antiqua" w:hint="eastAsia"/>
          <w:b/>
          <w:sz w:val="24"/>
          <w:szCs w:val="24"/>
        </w:rPr>
        <w:t>a</w:t>
      </w:r>
      <w:r w:rsidR="008D698E" w:rsidRPr="0032119E">
        <w:rPr>
          <w:rFonts w:ascii="Book Antiqua" w:hAnsi="Book Antiqua" w:hint="eastAsia"/>
          <w:b/>
          <w:sz w:val="24"/>
          <w:szCs w:val="24"/>
        </w:rPr>
        <w:t>lpha</w:t>
      </w:r>
      <w:r w:rsidR="008D698E" w:rsidRPr="0032119E">
        <w:rPr>
          <w:rFonts w:ascii="Book Antiqua" w:hAnsi="Book Antiqua"/>
          <w:b/>
          <w:sz w:val="24"/>
          <w:szCs w:val="24"/>
        </w:rPr>
        <w:t>-</w:t>
      </w:r>
      <w:r w:rsidR="008D698E" w:rsidRPr="0032119E">
        <w:rPr>
          <w:rFonts w:ascii="Book Antiqua" w:hAnsi="Book Antiqua" w:hint="eastAsia"/>
          <w:b/>
          <w:sz w:val="24"/>
          <w:szCs w:val="24"/>
        </w:rPr>
        <w:t>fetoprotein</w:t>
      </w:r>
      <w:r w:rsidRPr="0032119E">
        <w:rPr>
          <w:rFonts w:ascii="Book Antiqua" w:hAnsi="Book Antiqua" w:hint="eastAsia"/>
          <w:b/>
          <w:sz w:val="24"/>
          <w:szCs w:val="24"/>
        </w:rPr>
        <w:t xml:space="preserve"> </w:t>
      </w:r>
      <w:r w:rsidR="008D698E" w:rsidRPr="0032119E">
        <w:rPr>
          <w:rFonts w:ascii="Book Antiqua" w:hAnsi="Book Antiqua" w:hint="eastAsia"/>
          <w:b/>
          <w:sz w:val="24"/>
          <w:szCs w:val="24"/>
        </w:rPr>
        <w:t>producing</w:t>
      </w:r>
      <w:r w:rsidR="008A4F56" w:rsidRPr="0032119E">
        <w:rPr>
          <w:rFonts w:ascii="Book Antiqua" w:hAnsi="Book Antiqua"/>
          <w:b/>
          <w:sz w:val="24"/>
          <w:szCs w:val="24"/>
        </w:rPr>
        <w:t xml:space="preserve"> </w:t>
      </w:r>
      <w:r w:rsidR="008D698E" w:rsidRPr="0032119E">
        <w:rPr>
          <w:rFonts w:ascii="Book Antiqua" w:hAnsi="Book Antiqua" w:hint="eastAsia"/>
          <w:b/>
          <w:sz w:val="24"/>
          <w:szCs w:val="24"/>
        </w:rPr>
        <w:t>early gastric cancer with enteroblastic diffe</w:t>
      </w:r>
      <w:r w:rsidR="00F51C3D" w:rsidRPr="0032119E">
        <w:rPr>
          <w:rFonts w:ascii="Book Antiqua" w:hAnsi="Book Antiqua" w:hint="eastAsia"/>
          <w:b/>
          <w:sz w:val="24"/>
          <w:szCs w:val="24"/>
        </w:rPr>
        <w:t>rentiation</w:t>
      </w:r>
    </w:p>
    <w:p w:rsidR="00F51C3D" w:rsidRPr="0032119E" w:rsidRDefault="00F51C3D" w:rsidP="00B20484">
      <w:pPr>
        <w:snapToGrid w:val="0"/>
        <w:spacing w:line="360" w:lineRule="auto"/>
        <w:rPr>
          <w:rFonts w:ascii="Book Antiqua" w:hAnsi="Book Antiqua"/>
          <w:b/>
          <w:sz w:val="24"/>
          <w:szCs w:val="24"/>
        </w:rPr>
      </w:pPr>
    </w:p>
    <w:p w:rsidR="00F51C3D" w:rsidRPr="0032119E" w:rsidRDefault="008D698E" w:rsidP="00B20484">
      <w:pPr>
        <w:snapToGrid w:val="0"/>
        <w:spacing w:line="360" w:lineRule="auto"/>
        <w:rPr>
          <w:rFonts w:ascii="Book Antiqua" w:hAnsi="Book Antiqua"/>
          <w:b/>
          <w:sz w:val="24"/>
          <w:szCs w:val="24"/>
        </w:rPr>
      </w:pPr>
      <w:r w:rsidRPr="0032119E">
        <w:rPr>
          <w:rFonts w:ascii="Book Antiqua" w:hAnsi="Book Antiqua" w:hint="eastAsia"/>
          <w:sz w:val="24"/>
          <w:szCs w:val="24"/>
        </w:rPr>
        <w:t xml:space="preserve">Matsumoto K </w:t>
      </w:r>
      <w:r w:rsidRPr="0032119E">
        <w:rPr>
          <w:rFonts w:ascii="Book Antiqua" w:hAnsi="Book Antiqua" w:hint="eastAsia"/>
          <w:i/>
          <w:sz w:val="24"/>
          <w:szCs w:val="24"/>
        </w:rPr>
        <w:t>et al</w:t>
      </w:r>
      <w:r w:rsidRPr="0032119E">
        <w:rPr>
          <w:rFonts w:ascii="Book Antiqua" w:hAnsi="Book Antiqua" w:hint="eastAsia"/>
          <w:sz w:val="24"/>
          <w:szCs w:val="24"/>
        </w:rPr>
        <w:t>.</w:t>
      </w:r>
      <w:r w:rsidR="00BB4364" w:rsidRPr="0032119E">
        <w:rPr>
          <w:rFonts w:ascii="Book Antiqua" w:hAnsi="Book Antiqua"/>
          <w:sz w:val="24"/>
          <w:szCs w:val="24"/>
        </w:rPr>
        <w:t xml:space="preserve"> </w:t>
      </w:r>
      <w:r w:rsidR="00F729EC" w:rsidRPr="0032119E">
        <w:rPr>
          <w:rFonts w:ascii="Book Antiqua" w:hAnsi="Book Antiqua" w:hint="eastAsia"/>
          <w:sz w:val="24"/>
          <w:szCs w:val="24"/>
        </w:rPr>
        <w:t>G</w:t>
      </w:r>
      <w:r w:rsidR="00F51C3D" w:rsidRPr="0032119E">
        <w:rPr>
          <w:rFonts w:ascii="Book Antiqua" w:hAnsi="Book Antiqua" w:hint="eastAsia"/>
          <w:sz w:val="24"/>
          <w:szCs w:val="24"/>
        </w:rPr>
        <w:t>astric cancer with enteroblastic differentiation</w:t>
      </w:r>
    </w:p>
    <w:p w:rsidR="008D698E" w:rsidRPr="0032119E" w:rsidRDefault="008D698E" w:rsidP="00B20484">
      <w:pPr>
        <w:snapToGrid w:val="0"/>
        <w:spacing w:line="360" w:lineRule="auto"/>
        <w:rPr>
          <w:rFonts w:ascii="Book Antiqua" w:hAnsi="Book Antiqua"/>
          <w:sz w:val="24"/>
          <w:szCs w:val="24"/>
        </w:rPr>
      </w:pPr>
    </w:p>
    <w:p w:rsidR="00F51C3D" w:rsidRPr="0032119E" w:rsidRDefault="00F51C3D" w:rsidP="00B20484">
      <w:pPr>
        <w:snapToGrid w:val="0"/>
        <w:spacing w:line="360" w:lineRule="auto"/>
        <w:rPr>
          <w:rFonts w:ascii="Book Antiqua" w:hAnsi="Book Antiqua"/>
          <w:b/>
          <w:sz w:val="24"/>
          <w:szCs w:val="24"/>
        </w:rPr>
      </w:pPr>
      <w:r w:rsidRPr="0032119E">
        <w:rPr>
          <w:rFonts w:ascii="Book Antiqua" w:hAnsi="Book Antiqua"/>
          <w:b/>
          <w:sz w:val="24"/>
          <w:szCs w:val="24"/>
        </w:rPr>
        <w:t>Kohei Matsumoto, Hiroya Ueyama, Kenshi Matsumoto, Yoichi Akazawa, Hiroyuki Komori, Tsutomu Takeda, Takashi Murakami, Daisuke Asaoka, Mariko Hojo, Natsumi Tomita, Akihito Nagahara, Yoshiaki Kajiyama, Takashi Yao, Sumio Watanabe</w:t>
      </w:r>
    </w:p>
    <w:p w:rsidR="00F51C3D" w:rsidRPr="0032119E" w:rsidRDefault="00F51C3D" w:rsidP="00B20484">
      <w:pPr>
        <w:snapToGrid w:val="0"/>
        <w:spacing w:line="360" w:lineRule="auto"/>
        <w:rPr>
          <w:rFonts w:ascii="Book Antiqua" w:hAnsi="Book Antiqua"/>
          <w:sz w:val="24"/>
          <w:szCs w:val="24"/>
        </w:rPr>
      </w:pPr>
    </w:p>
    <w:p w:rsidR="008A4F56" w:rsidRPr="0032119E" w:rsidRDefault="008A4F56" w:rsidP="00B20484">
      <w:pPr>
        <w:snapToGrid w:val="0"/>
        <w:spacing w:line="360" w:lineRule="auto"/>
        <w:rPr>
          <w:rFonts w:ascii="Book Antiqua" w:hAnsi="Book Antiqua"/>
          <w:sz w:val="24"/>
          <w:szCs w:val="24"/>
        </w:rPr>
      </w:pPr>
      <w:r w:rsidRPr="0032119E">
        <w:rPr>
          <w:rFonts w:ascii="Book Antiqua" w:hAnsi="Book Antiqua"/>
          <w:b/>
          <w:sz w:val="24"/>
          <w:szCs w:val="24"/>
        </w:rPr>
        <w:t>Kohei Matsumoto, Hiroya Ueyama, Kenshi Matsumoto, Yoichi Akazawa, Hiroyuki Komori, Tsutomu Takeda, Takashi Murakami, Daisuke Asaoka, Mariko Hojo, Sumio Watanabe,</w:t>
      </w:r>
      <w:r w:rsidRPr="0032119E">
        <w:rPr>
          <w:rFonts w:ascii="Book Antiqua" w:hAnsi="Book Antiqua"/>
          <w:sz w:val="24"/>
          <w:szCs w:val="24"/>
        </w:rPr>
        <w:t xml:space="preserve"> Department of Gastroenterology, Juntendo University School of </w:t>
      </w:r>
      <w:r w:rsidR="00BB4364" w:rsidRPr="0032119E">
        <w:rPr>
          <w:rFonts w:ascii="Book Antiqua" w:hAnsi="Book Antiqua"/>
          <w:sz w:val="24"/>
          <w:szCs w:val="24"/>
        </w:rPr>
        <w:t>Medicine, Tokyo 113-8421, Japan</w:t>
      </w:r>
    </w:p>
    <w:p w:rsidR="00F51C3D" w:rsidRPr="0032119E" w:rsidRDefault="00F51C3D" w:rsidP="00B20484">
      <w:pPr>
        <w:snapToGrid w:val="0"/>
        <w:spacing w:line="360" w:lineRule="auto"/>
        <w:rPr>
          <w:rFonts w:ascii="Book Antiqua" w:hAnsi="Book Antiqua"/>
          <w:sz w:val="24"/>
          <w:szCs w:val="24"/>
        </w:rPr>
      </w:pPr>
    </w:p>
    <w:p w:rsidR="008A4F56" w:rsidRPr="0032119E" w:rsidRDefault="008A4F56" w:rsidP="00B20484">
      <w:pPr>
        <w:snapToGrid w:val="0"/>
        <w:spacing w:line="360" w:lineRule="auto"/>
        <w:rPr>
          <w:rFonts w:ascii="Book Antiqua" w:hAnsi="Book Antiqua"/>
          <w:sz w:val="24"/>
          <w:szCs w:val="24"/>
        </w:rPr>
      </w:pPr>
      <w:r w:rsidRPr="0032119E">
        <w:rPr>
          <w:rFonts w:ascii="Book Antiqua" w:hAnsi="Book Antiqua"/>
          <w:b/>
          <w:sz w:val="24"/>
          <w:szCs w:val="24"/>
        </w:rPr>
        <w:t>Akihito Nagahara,</w:t>
      </w:r>
      <w:r w:rsidR="00BB4364" w:rsidRPr="0032119E">
        <w:rPr>
          <w:rFonts w:ascii="Book Antiqua" w:hAnsi="Book Antiqua"/>
          <w:sz w:val="24"/>
          <w:szCs w:val="24"/>
        </w:rPr>
        <w:t xml:space="preserve"> </w:t>
      </w:r>
      <w:r w:rsidRPr="0032119E">
        <w:rPr>
          <w:rFonts w:ascii="Book Antiqua" w:hAnsi="Book Antiqua"/>
          <w:sz w:val="24"/>
          <w:szCs w:val="24"/>
        </w:rPr>
        <w:t xml:space="preserve">Department of Gastroenterology, Juntendo University Shizuoka Hospital, </w:t>
      </w:r>
      <w:r w:rsidR="00BB4364" w:rsidRPr="0032119E">
        <w:rPr>
          <w:rFonts w:ascii="Book Antiqua" w:hAnsi="Book Antiqua"/>
          <w:sz w:val="24"/>
          <w:szCs w:val="24"/>
        </w:rPr>
        <w:t xml:space="preserve">Shizuoka </w:t>
      </w:r>
      <w:r w:rsidRPr="0032119E">
        <w:rPr>
          <w:rFonts w:ascii="Book Antiqua" w:hAnsi="Book Antiqua"/>
          <w:sz w:val="24"/>
          <w:szCs w:val="24"/>
        </w:rPr>
        <w:t>410-2295</w:t>
      </w:r>
      <w:r w:rsidR="00BB4364" w:rsidRPr="0032119E">
        <w:rPr>
          <w:rFonts w:ascii="Book Antiqua" w:hAnsi="Book Antiqua"/>
          <w:sz w:val="24"/>
          <w:szCs w:val="24"/>
        </w:rPr>
        <w:t>, Japan</w:t>
      </w:r>
    </w:p>
    <w:p w:rsidR="00F51C3D" w:rsidRPr="0032119E" w:rsidRDefault="00F51C3D" w:rsidP="00B20484">
      <w:pPr>
        <w:snapToGrid w:val="0"/>
        <w:spacing w:line="360" w:lineRule="auto"/>
        <w:rPr>
          <w:rFonts w:ascii="Book Antiqua" w:hAnsi="Book Antiqua"/>
          <w:sz w:val="24"/>
          <w:szCs w:val="24"/>
        </w:rPr>
      </w:pPr>
    </w:p>
    <w:p w:rsidR="008A4F56" w:rsidRPr="0032119E" w:rsidRDefault="008A4F56" w:rsidP="00B20484">
      <w:pPr>
        <w:snapToGrid w:val="0"/>
        <w:spacing w:line="360" w:lineRule="auto"/>
        <w:rPr>
          <w:rFonts w:ascii="Book Antiqua" w:hAnsi="Book Antiqua"/>
          <w:sz w:val="24"/>
          <w:szCs w:val="24"/>
        </w:rPr>
      </w:pPr>
      <w:r w:rsidRPr="0032119E">
        <w:rPr>
          <w:rFonts w:ascii="Book Antiqua" w:hAnsi="Book Antiqua"/>
          <w:b/>
          <w:sz w:val="24"/>
          <w:szCs w:val="24"/>
        </w:rPr>
        <w:t>Takashi Yao,</w:t>
      </w:r>
      <w:r w:rsidRPr="0032119E">
        <w:rPr>
          <w:rFonts w:ascii="Book Antiqua" w:hAnsi="Book Antiqua"/>
          <w:sz w:val="24"/>
          <w:szCs w:val="24"/>
        </w:rPr>
        <w:t xml:space="preserve"> Department of Pathology, Juntendo University School of </w:t>
      </w:r>
      <w:r w:rsidR="00BB4364" w:rsidRPr="0032119E">
        <w:rPr>
          <w:rFonts w:ascii="Book Antiqua" w:hAnsi="Book Antiqua"/>
          <w:sz w:val="24"/>
          <w:szCs w:val="24"/>
        </w:rPr>
        <w:t>Medicine, Tokyo 113-8421, Japan</w:t>
      </w:r>
    </w:p>
    <w:p w:rsidR="00BB4364" w:rsidRPr="0032119E" w:rsidRDefault="00BB4364" w:rsidP="00B20484">
      <w:pPr>
        <w:snapToGrid w:val="0"/>
        <w:spacing w:line="360" w:lineRule="auto"/>
        <w:rPr>
          <w:rFonts w:ascii="Book Antiqua" w:hAnsi="Book Antiqua"/>
          <w:b/>
          <w:sz w:val="24"/>
          <w:szCs w:val="24"/>
        </w:rPr>
      </w:pPr>
    </w:p>
    <w:p w:rsidR="008A4F56" w:rsidRPr="0032119E" w:rsidRDefault="008A4F56" w:rsidP="00B20484">
      <w:pPr>
        <w:snapToGrid w:val="0"/>
        <w:spacing w:line="360" w:lineRule="auto"/>
        <w:rPr>
          <w:rFonts w:ascii="Book Antiqua" w:hAnsi="Book Antiqua"/>
          <w:sz w:val="24"/>
          <w:szCs w:val="24"/>
        </w:rPr>
      </w:pPr>
      <w:r w:rsidRPr="0032119E">
        <w:rPr>
          <w:rFonts w:ascii="Book Antiqua" w:hAnsi="Book Antiqua"/>
          <w:b/>
          <w:sz w:val="24"/>
          <w:szCs w:val="24"/>
        </w:rPr>
        <w:t>Natsumi Tomita, Yoshiaki Kajiyama,</w:t>
      </w:r>
      <w:r w:rsidRPr="0032119E">
        <w:rPr>
          <w:rFonts w:ascii="Book Antiqua" w:hAnsi="Book Antiqua"/>
          <w:sz w:val="24"/>
          <w:szCs w:val="24"/>
        </w:rPr>
        <w:t xml:space="preserve"> Department of Esophageal and Gastroenterological Surgery, Juntendo University School of Medicine, </w:t>
      </w:r>
      <w:r w:rsidR="00BB4364" w:rsidRPr="0032119E">
        <w:rPr>
          <w:rFonts w:ascii="Book Antiqua" w:hAnsi="Book Antiqua"/>
          <w:sz w:val="24"/>
          <w:szCs w:val="24"/>
        </w:rPr>
        <w:t xml:space="preserve">Tokyo </w:t>
      </w:r>
      <w:r w:rsidRPr="0032119E">
        <w:rPr>
          <w:rFonts w:ascii="Book Antiqua" w:hAnsi="Book Antiqua"/>
          <w:sz w:val="24"/>
          <w:szCs w:val="24"/>
        </w:rPr>
        <w:t>113-8421</w:t>
      </w:r>
      <w:r w:rsidR="00BB4364" w:rsidRPr="0032119E">
        <w:rPr>
          <w:rFonts w:ascii="Book Antiqua" w:hAnsi="Book Antiqua"/>
          <w:sz w:val="24"/>
          <w:szCs w:val="24"/>
        </w:rPr>
        <w:t>, Japan</w:t>
      </w:r>
    </w:p>
    <w:p w:rsidR="008A4F56" w:rsidRPr="0032119E" w:rsidRDefault="008A4F56" w:rsidP="00B20484">
      <w:pPr>
        <w:snapToGrid w:val="0"/>
        <w:spacing w:line="360" w:lineRule="auto"/>
        <w:rPr>
          <w:rFonts w:ascii="Book Antiqua" w:hAnsi="Book Antiqua"/>
          <w:b/>
          <w:sz w:val="24"/>
          <w:szCs w:val="24"/>
        </w:rPr>
      </w:pPr>
    </w:p>
    <w:p w:rsidR="008A4F56" w:rsidRPr="0032119E" w:rsidRDefault="008A4F56" w:rsidP="00B20484">
      <w:pPr>
        <w:snapToGrid w:val="0"/>
        <w:spacing w:line="360" w:lineRule="auto"/>
        <w:rPr>
          <w:rFonts w:ascii="Book Antiqua" w:hAnsi="Book Antiqua"/>
          <w:sz w:val="24"/>
          <w:szCs w:val="24"/>
        </w:rPr>
      </w:pPr>
      <w:r w:rsidRPr="0032119E">
        <w:rPr>
          <w:rFonts w:ascii="Book Antiqua" w:hAnsi="Book Antiqua"/>
          <w:b/>
          <w:sz w:val="24"/>
          <w:szCs w:val="24"/>
        </w:rPr>
        <w:lastRenderedPageBreak/>
        <w:t>Author contributions:</w:t>
      </w:r>
      <w:r w:rsidRPr="0032119E">
        <w:rPr>
          <w:rFonts w:ascii="Book Antiqua" w:hAnsi="Book Antiqua"/>
          <w:sz w:val="24"/>
          <w:szCs w:val="24"/>
        </w:rPr>
        <w:t xml:space="preserve"> Matsumoto Kohei, Ueyama H designed and performed the study and wrote the paper; Akazawa Y, Komori H, Takeda T, Murakami T, Asaoka D, Hojo M performed research; Matsumoto Kenshi, Tomita N, Kajiyama Y, Yao T, Nagahara A, Watanabe S cri</w:t>
      </w:r>
      <w:r w:rsidR="007B6908">
        <w:rPr>
          <w:rFonts w:ascii="Book Antiqua" w:hAnsi="Book Antiqua"/>
          <w:sz w:val="24"/>
          <w:szCs w:val="24"/>
        </w:rPr>
        <w:t>tically revised the manuscript.</w:t>
      </w:r>
    </w:p>
    <w:p w:rsidR="00D5381F" w:rsidRPr="0032119E" w:rsidRDefault="00D5381F" w:rsidP="00B20484">
      <w:pPr>
        <w:snapToGrid w:val="0"/>
        <w:spacing w:line="360" w:lineRule="auto"/>
        <w:rPr>
          <w:rFonts w:ascii="Book Antiqua" w:hAnsi="Book Antiqua"/>
          <w:b/>
          <w:sz w:val="24"/>
          <w:szCs w:val="24"/>
        </w:rPr>
      </w:pPr>
    </w:p>
    <w:p w:rsidR="00D5381F" w:rsidRPr="0032119E" w:rsidRDefault="00D5381F" w:rsidP="00B20484">
      <w:pPr>
        <w:snapToGrid w:val="0"/>
        <w:spacing w:line="360" w:lineRule="auto"/>
        <w:rPr>
          <w:rFonts w:ascii="Book Antiqua" w:hAnsi="Book Antiqua"/>
          <w:b/>
          <w:sz w:val="24"/>
          <w:szCs w:val="24"/>
        </w:rPr>
      </w:pPr>
      <w:r w:rsidRPr="0032119E">
        <w:rPr>
          <w:rFonts w:ascii="Book Antiqua" w:hAnsi="Book Antiqua"/>
          <w:b/>
          <w:sz w:val="24"/>
          <w:szCs w:val="24"/>
        </w:rPr>
        <w:t xml:space="preserve">Institutional review board statement: </w:t>
      </w:r>
      <w:r w:rsidRPr="0032119E">
        <w:rPr>
          <w:rFonts w:ascii="Book Antiqua" w:hAnsi="Book Antiqua"/>
          <w:sz w:val="24"/>
          <w:szCs w:val="24"/>
        </w:rPr>
        <w:t xml:space="preserve">This study was reviewed and approved by the </w:t>
      </w:r>
      <w:r w:rsidRPr="0032119E">
        <w:rPr>
          <w:rFonts w:ascii="Book Antiqua" w:hAnsi="Book Antiqua" w:hint="eastAsia"/>
          <w:sz w:val="24"/>
          <w:szCs w:val="24"/>
        </w:rPr>
        <w:t>Juntendo University</w:t>
      </w:r>
      <w:r w:rsidRPr="0032119E">
        <w:rPr>
          <w:rFonts w:ascii="Book Antiqua" w:hAnsi="Book Antiqua"/>
          <w:sz w:val="24"/>
          <w:szCs w:val="24"/>
        </w:rPr>
        <w:t xml:space="preserve"> </w:t>
      </w:r>
      <w:r w:rsidRPr="0032119E">
        <w:rPr>
          <w:rFonts w:ascii="Book Antiqua" w:eastAsia="MS PGothic" w:hAnsi="Book Antiqua" w:cs="Times New Roman"/>
          <w:kern w:val="0"/>
          <w:sz w:val="24"/>
          <w:szCs w:val="24"/>
          <w:lang w:val="en-GB"/>
        </w:rPr>
        <w:t>School of Medicine</w:t>
      </w:r>
      <w:r w:rsidRPr="0032119E">
        <w:rPr>
          <w:rFonts w:ascii="Book Antiqua" w:eastAsia="MS PGothic" w:hAnsi="Book Antiqua" w:cs="Times New Roman" w:hint="eastAsia"/>
          <w:kern w:val="0"/>
          <w:sz w:val="24"/>
          <w:szCs w:val="24"/>
          <w:lang w:val="en-GB"/>
        </w:rPr>
        <w:t xml:space="preserve"> Institutional Review Board</w:t>
      </w:r>
      <w:r w:rsidRPr="0032119E">
        <w:rPr>
          <w:rFonts w:ascii="Book Antiqua" w:hAnsi="Book Antiqua"/>
          <w:sz w:val="24"/>
          <w:szCs w:val="24"/>
        </w:rPr>
        <w:t>.</w:t>
      </w:r>
    </w:p>
    <w:p w:rsidR="00D5381F" w:rsidRPr="0032119E" w:rsidRDefault="00D5381F" w:rsidP="00B20484">
      <w:pPr>
        <w:snapToGrid w:val="0"/>
        <w:spacing w:line="360" w:lineRule="auto"/>
        <w:rPr>
          <w:rFonts w:ascii="Book Antiqua" w:hAnsi="Book Antiqua"/>
          <w:sz w:val="24"/>
          <w:szCs w:val="24"/>
        </w:rPr>
      </w:pPr>
    </w:p>
    <w:p w:rsidR="00D5381F" w:rsidRPr="0032119E" w:rsidRDefault="00D5381F" w:rsidP="00B20484">
      <w:pPr>
        <w:snapToGrid w:val="0"/>
        <w:spacing w:line="360" w:lineRule="auto"/>
        <w:rPr>
          <w:rFonts w:ascii="Book Antiqua" w:hAnsi="Book Antiqua"/>
          <w:sz w:val="24"/>
          <w:szCs w:val="24"/>
        </w:rPr>
      </w:pPr>
      <w:r w:rsidRPr="0032119E">
        <w:rPr>
          <w:rFonts w:ascii="Book Antiqua" w:hAnsi="Book Antiqua"/>
          <w:b/>
          <w:sz w:val="24"/>
          <w:szCs w:val="24"/>
        </w:rPr>
        <w:t xml:space="preserve">Informed consent statement: </w:t>
      </w:r>
      <w:r w:rsidRPr="0032119E">
        <w:rPr>
          <w:rFonts w:ascii="Book Antiqua" w:hAnsi="Book Antiqua"/>
          <w:sz w:val="24"/>
          <w:szCs w:val="24"/>
        </w:rPr>
        <w:t>Patients were not required to give informed consent to the study because the analysis used anonymous clinical data that were obtained after each patient agreed to treatment by verbal consent. Individuals can’t be identified according to the data presented.</w:t>
      </w:r>
    </w:p>
    <w:p w:rsidR="00D5381F" w:rsidRPr="0032119E" w:rsidRDefault="00D5381F" w:rsidP="00B20484">
      <w:pPr>
        <w:snapToGrid w:val="0"/>
        <w:spacing w:line="360" w:lineRule="auto"/>
        <w:rPr>
          <w:rFonts w:ascii="Book Antiqua" w:hAnsi="Book Antiqua"/>
          <w:sz w:val="24"/>
          <w:szCs w:val="24"/>
        </w:rPr>
      </w:pPr>
    </w:p>
    <w:p w:rsidR="00D5381F" w:rsidRPr="0032119E" w:rsidRDefault="00D5381F" w:rsidP="00B20484">
      <w:pPr>
        <w:snapToGrid w:val="0"/>
        <w:spacing w:line="360" w:lineRule="auto"/>
        <w:rPr>
          <w:rFonts w:ascii="Book Antiqua" w:hAnsi="Book Antiqua"/>
          <w:sz w:val="24"/>
          <w:szCs w:val="24"/>
        </w:rPr>
      </w:pPr>
      <w:r w:rsidRPr="0032119E">
        <w:rPr>
          <w:rFonts w:ascii="Book Antiqua" w:hAnsi="Book Antiqua"/>
          <w:b/>
          <w:sz w:val="24"/>
          <w:szCs w:val="24"/>
        </w:rPr>
        <w:t xml:space="preserve">Conflict-of-interest statement: </w:t>
      </w:r>
      <w:r w:rsidRPr="0032119E">
        <w:rPr>
          <w:rFonts w:ascii="Book Antiqua" w:hAnsi="Book Antiqua"/>
          <w:sz w:val="24"/>
          <w:szCs w:val="24"/>
        </w:rPr>
        <w:t>All authors declare that there is</w:t>
      </w:r>
      <w:r w:rsidRPr="0032119E">
        <w:rPr>
          <w:rFonts w:ascii="Book Antiqua" w:hAnsi="Book Antiqua" w:hint="eastAsia"/>
          <w:sz w:val="24"/>
          <w:szCs w:val="24"/>
        </w:rPr>
        <w:t xml:space="preserve"> </w:t>
      </w:r>
      <w:r w:rsidRPr="0032119E">
        <w:rPr>
          <w:rFonts w:ascii="Book Antiqua" w:hAnsi="Book Antiqua"/>
          <w:sz w:val="24"/>
          <w:szCs w:val="24"/>
        </w:rPr>
        <w:t>no conflict of interest with the paper presented</w:t>
      </w:r>
      <w:r w:rsidRPr="0032119E">
        <w:rPr>
          <w:rFonts w:ascii="Book Antiqua" w:hAnsi="Book Antiqua" w:hint="eastAsia"/>
          <w:sz w:val="24"/>
          <w:szCs w:val="24"/>
        </w:rPr>
        <w:t>.</w:t>
      </w:r>
    </w:p>
    <w:p w:rsidR="00FA5497" w:rsidRPr="0032119E" w:rsidRDefault="00FA5497" w:rsidP="00B20484">
      <w:pPr>
        <w:snapToGrid w:val="0"/>
        <w:spacing w:line="360" w:lineRule="auto"/>
        <w:rPr>
          <w:rFonts w:ascii="Book Antiqua" w:hAnsi="Book Antiqua"/>
          <w:b/>
          <w:sz w:val="24"/>
          <w:szCs w:val="24"/>
        </w:rPr>
      </w:pPr>
    </w:p>
    <w:p w:rsidR="00D5381F" w:rsidRPr="0032119E" w:rsidRDefault="00D5381F" w:rsidP="00B20484">
      <w:pPr>
        <w:snapToGrid w:val="0"/>
        <w:spacing w:line="360" w:lineRule="auto"/>
        <w:rPr>
          <w:rFonts w:ascii="Book Antiqua" w:hAnsi="Book Antiqua"/>
          <w:sz w:val="24"/>
          <w:szCs w:val="24"/>
        </w:rPr>
      </w:pPr>
      <w:r w:rsidRPr="0032119E">
        <w:rPr>
          <w:rFonts w:ascii="Book Antiqua" w:hAnsi="Book Antiqua"/>
          <w:b/>
          <w:sz w:val="24"/>
          <w:szCs w:val="24"/>
        </w:rPr>
        <w:t xml:space="preserve">Data sharing statement: </w:t>
      </w:r>
      <w:r w:rsidRPr="0032119E">
        <w:rPr>
          <w:rFonts w:ascii="Book Antiqua" w:hAnsi="Book Antiqua"/>
          <w:sz w:val="24"/>
          <w:szCs w:val="24"/>
        </w:rPr>
        <w:t>Informed consent for data sharing</w:t>
      </w:r>
      <w:r w:rsidRPr="0032119E">
        <w:rPr>
          <w:rFonts w:ascii="Book Antiqua" w:hAnsi="Book Antiqua" w:hint="eastAsia"/>
          <w:sz w:val="24"/>
          <w:szCs w:val="24"/>
        </w:rPr>
        <w:t xml:space="preserve"> </w:t>
      </w:r>
      <w:r w:rsidRPr="0032119E">
        <w:rPr>
          <w:rFonts w:ascii="Book Antiqua" w:hAnsi="Book Antiqua"/>
          <w:sz w:val="24"/>
          <w:szCs w:val="24"/>
        </w:rPr>
        <w:t>was not obtained but the presented data are anonymized and the</w:t>
      </w:r>
      <w:r w:rsidRPr="0032119E">
        <w:rPr>
          <w:rFonts w:ascii="Book Antiqua" w:hAnsi="Book Antiqua" w:hint="eastAsia"/>
          <w:sz w:val="24"/>
          <w:szCs w:val="24"/>
        </w:rPr>
        <w:t xml:space="preserve"> </w:t>
      </w:r>
      <w:r w:rsidRPr="0032119E">
        <w:rPr>
          <w:rFonts w:ascii="Book Antiqua" w:hAnsi="Book Antiqua"/>
          <w:sz w:val="24"/>
          <w:szCs w:val="24"/>
        </w:rPr>
        <w:t>risk of identification is low. No additional data are available.</w:t>
      </w:r>
    </w:p>
    <w:p w:rsidR="007B6908" w:rsidRDefault="007B6908" w:rsidP="00B20484">
      <w:pPr>
        <w:pStyle w:val="1"/>
        <w:snapToGrid w:val="0"/>
        <w:spacing w:line="360" w:lineRule="auto"/>
        <w:jc w:val="both"/>
        <w:rPr>
          <w:rFonts w:ascii="Book Antiqua" w:hAnsi="Book Antiqua" w:cs="Times New Roman"/>
          <w:b/>
          <w:bCs/>
          <w:color w:val="auto"/>
          <w:sz w:val="24"/>
          <w:highlight w:val="white"/>
          <w:lang w:val="en-US"/>
        </w:rPr>
      </w:pPr>
      <w:bookmarkStart w:id="0" w:name="OLE_LINK734"/>
      <w:bookmarkStart w:id="1" w:name="OLE_LINK441"/>
      <w:bookmarkStart w:id="2" w:name="OLE_LINK442"/>
      <w:bookmarkStart w:id="3" w:name="OLE_LINK1032"/>
      <w:bookmarkStart w:id="4" w:name="OLE_LINK1232"/>
      <w:bookmarkStart w:id="5" w:name="OLE_LINK559"/>
    </w:p>
    <w:p w:rsidR="00DA22F5" w:rsidRPr="0032119E" w:rsidRDefault="00DA22F5" w:rsidP="00B20484">
      <w:pPr>
        <w:pStyle w:val="1"/>
        <w:snapToGrid w:val="0"/>
        <w:spacing w:line="360" w:lineRule="auto"/>
        <w:jc w:val="both"/>
        <w:rPr>
          <w:rFonts w:ascii="Book Antiqua" w:hAnsi="Book Antiqua" w:cs="Times New Roman"/>
          <w:bCs/>
          <w:color w:val="auto"/>
          <w:sz w:val="24"/>
          <w:highlight w:val="white"/>
          <w:lang w:val="en-US"/>
        </w:rPr>
      </w:pPr>
      <w:r w:rsidRPr="0032119E">
        <w:rPr>
          <w:rFonts w:ascii="Book Antiqua" w:hAnsi="Book Antiqua" w:cs="Times New Roman"/>
          <w:b/>
          <w:bCs/>
          <w:color w:val="auto"/>
          <w:sz w:val="24"/>
          <w:highlight w:val="white"/>
          <w:lang w:val="en-US"/>
        </w:rPr>
        <w:t>Open-Access:</w:t>
      </w:r>
      <w:r w:rsidRPr="0032119E">
        <w:rPr>
          <w:rFonts w:ascii="Book Antiqua" w:hAnsi="Book Antiqua" w:cs="Times New Roman"/>
          <w:bCs/>
          <w:color w:val="auto"/>
          <w:sz w:val="24"/>
          <w:highlight w:val="white"/>
          <w:lang w:val="en-US"/>
        </w:rPr>
        <w:t xml:space="preserve"> </w:t>
      </w:r>
      <w:bookmarkStart w:id="6" w:name="OLE_LINK479"/>
      <w:bookmarkStart w:id="7" w:name="OLE_LINK496"/>
      <w:bookmarkStart w:id="8" w:name="OLE_LINK506"/>
      <w:bookmarkStart w:id="9" w:name="OLE_LINK507"/>
      <w:r w:rsidRPr="0032119E">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32119E">
        <w:rPr>
          <w:rFonts w:ascii="Book Antiqua" w:hAnsi="Book Antiqua" w:cs="Times New Roman" w:hint="eastAsia"/>
          <w:bCs/>
          <w:color w:val="auto"/>
          <w:sz w:val="24"/>
          <w:highlight w:val="white"/>
          <w:lang w:val="en-US" w:eastAsia="zh-CN"/>
        </w:rPr>
        <w:t xml:space="preserve"> </w:t>
      </w:r>
      <w:r w:rsidRPr="0032119E">
        <w:rPr>
          <w:rFonts w:ascii="Book Antiqua" w:hAnsi="Book Antiqua" w:cs="Times New Roman"/>
          <w:bCs/>
          <w:color w:val="auto"/>
          <w:sz w:val="24"/>
          <w:highlight w:val="white"/>
          <w:lang w:val="en-US"/>
        </w:rPr>
        <w:t>in</w:t>
      </w:r>
      <w:r w:rsidRPr="0032119E">
        <w:rPr>
          <w:rFonts w:ascii="Book Antiqua" w:hAnsi="Book Antiqua" w:cs="Times New Roman" w:hint="eastAsia"/>
          <w:bCs/>
          <w:color w:val="auto"/>
          <w:sz w:val="24"/>
          <w:highlight w:val="white"/>
          <w:lang w:val="en-US" w:eastAsia="zh-CN"/>
        </w:rPr>
        <w:t xml:space="preserve"> </w:t>
      </w:r>
      <w:r w:rsidRPr="0032119E">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32119E">
          <w:rPr>
            <w:rStyle w:val="Hyperlink"/>
            <w:rFonts w:ascii="Book Antiqua" w:hAnsi="Book Antiqua" w:cs="Times New Roman"/>
            <w:bCs/>
            <w:color w:val="auto"/>
            <w:sz w:val="24"/>
            <w:highlight w:val="white"/>
            <w:lang w:val="en-US"/>
          </w:rPr>
          <w:t>http://creativecommons.org/licenses/by-nc/4.0/</w:t>
        </w:r>
      </w:hyperlink>
      <w:bookmarkEnd w:id="0"/>
      <w:bookmarkEnd w:id="6"/>
      <w:bookmarkEnd w:id="7"/>
      <w:bookmarkEnd w:id="8"/>
      <w:bookmarkEnd w:id="9"/>
    </w:p>
    <w:bookmarkEnd w:id="1"/>
    <w:bookmarkEnd w:id="2"/>
    <w:bookmarkEnd w:id="3"/>
    <w:bookmarkEnd w:id="4"/>
    <w:bookmarkEnd w:id="5"/>
    <w:p w:rsidR="00DA22F5" w:rsidRPr="0032119E" w:rsidRDefault="00DA22F5" w:rsidP="00B20484">
      <w:pPr>
        <w:pStyle w:val="1"/>
        <w:snapToGrid w:val="0"/>
        <w:spacing w:line="360" w:lineRule="auto"/>
        <w:rPr>
          <w:rFonts w:ascii="Book Antiqua" w:hAnsi="Book Antiqua" w:cs="Times New Roman"/>
          <w:b/>
          <w:bCs/>
          <w:color w:val="auto"/>
          <w:sz w:val="24"/>
          <w:highlight w:val="white"/>
          <w:lang w:val="en-US" w:eastAsia="zh-CN"/>
        </w:rPr>
      </w:pPr>
    </w:p>
    <w:p w:rsidR="00F51C3D" w:rsidRPr="0032119E" w:rsidRDefault="00DA22F5" w:rsidP="00B20484">
      <w:pPr>
        <w:snapToGrid w:val="0"/>
        <w:spacing w:line="360" w:lineRule="auto"/>
        <w:rPr>
          <w:rFonts w:ascii="Book Antiqua" w:hAnsi="Book Antiqua"/>
          <w:b/>
          <w:sz w:val="24"/>
          <w:szCs w:val="24"/>
        </w:rPr>
      </w:pPr>
      <w:r w:rsidRPr="0032119E">
        <w:rPr>
          <w:rFonts w:ascii="Book Antiqua" w:hAnsi="Book Antiqua" w:cs="Times New Roman"/>
          <w:b/>
          <w:bCs/>
          <w:sz w:val="24"/>
          <w:highlight w:val="white"/>
        </w:rPr>
        <w:t>Manuscript source:</w:t>
      </w:r>
      <w:r w:rsidRPr="0032119E">
        <w:rPr>
          <w:rFonts w:ascii="Book Antiqua" w:hAnsi="Book Antiqua" w:cs="Times New Roman" w:hint="eastAsia"/>
          <w:b/>
          <w:bCs/>
          <w:sz w:val="24"/>
          <w:highlight w:val="white"/>
          <w:lang w:eastAsia="zh-CN"/>
        </w:rPr>
        <w:t xml:space="preserve"> </w:t>
      </w:r>
      <w:r w:rsidRPr="0032119E">
        <w:rPr>
          <w:rFonts w:ascii="Book Antiqua" w:hAnsi="Book Antiqua" w:cs="Times New Roman"/>
          <w:bCs/>
          <w:sz w:val="24"/>
          <w:highlight w:val="white"/>
        </w:rPr>
        <w:t>Unsolicited manuscript</w:t>
      </w:r>
    </w:p>
    <w:p w:rsidR="00DA22F5" w:rsidRPr="0032119E" w:rsidRDefault="00DA22F5" w:rsidP="00B20484">
      <w:pPr>
        <w:snapToGrid w:val="0"/>
        <w:spacing w:line="360" w:lineRule="auto"/>
        <w:rPr>
          <w:rFonts w:ascii="Book Antiqua" w:hAnsi="Book Antiqua"/>
          <w:b/>
          <w:sz w:val="24"/>
          <w:szCs w:val="24"/>
        </w:rPr>
      </w:pPr>
    </w:p>
    <w:p w:rsidR="008A4F56" w:rsidRPr="0032119E" w:rsidRDefault="008A4F56" w:rsidP="00B20484">
      <w:pPr>
        <w:snapToGrid w:val="0"/>
        <w:spacing w:line="360" w:lineRule="auto"/>
        <w:rPr>
          <w:rFonts w:ascii="Book Antiqua" w:hAnsi="Book Antiqua"/>
          <w:sz w:val="24"/>
          <w:szCs w:val="24"/>
        </w:rPr>
      </w:pPr>
      <w:r w:rsidRPr="0032119E">
        <w:rPr>
          <w:rFonts w:ascii="Book Antiqua" w:hAnsi="Book Antiqua"/>
          <w:b/>
          <w:sz w:val="24"/>
          <w:szCs w:val="24"/>
        </w:rPr>
        <w:t>Correspondence to: Kohei Matsumoto, MD,</w:t>
      </w:r>
      <w:r w:rsidRPr="0032119E">
        <w:rPr>
          <w:rFonts w:ascii="Book Antiqua" w:hAnsi="Book Antiqua"/>
          <w:sz w:val="24"/>
          <w:szCs w:val="24"/>
        </w:rPr>
        <w:t xml:space="preserve"> Department of Gastroenterology, Juntendo University School of Medicine, 2-1-1 Hongo, Bunkyo-Ku, </w:t>
      </w:r>
      <w:r w:rsidR="00BB4364" w:rsidRPr="0032119E">
        <w:rPr>
          <w:rFonts w:ascii="Book Antiqua" w:hAnsi="Book Antiqua"/>
          <w:sz w:val="24"/>
          <w:szCs w:val="24"/>
        </w:rPr>
        <w:t xml:space="preserve">Tokyo </w:t>
      </w:r>
      <w:r w:rsidRPr="0032119E">
        <w:rPr>
          <w:rFonts w:ascii="Book Antiqua" w:hAnsi="Book Antiqua"/>
          <w:sz w:val="24"/>
          <w:szCs w:val="24"/>
        </w:rPr>
        <w:t>113-8421, Japan. khmatsu@juntendo.ac.jp</w:t>
      </w:r>
    </w:p>
    <w:p w:rsidR="008A4F56" w:rsidRPr="0032119E" w:rsidRDefault="008A4F56" w:rsidP="00B20484">
      <w:pPr>
        <w:snapToGrid w:val="0"/>
        <w:spacing w:line="360" w:lineRule="auto"/>
        <w:rPr>
          <w:rFonts w:ascii="Book Antiqua" w:hAnsi="Book Antiqua"/>
          <w:sz w:val="24"/>
          <w:szCs w:val="24"/>
        </w:rPr>
      </w:pPr>
      <w:r w:rsidRPr="0032119E">
        <w:rPr>
          <w:rFonts w:ascii="Book Antiqua" w:hAnsi="Book Antiqua"/>
          <w:b/>
          <w:sz w:val="24"/>
          <w:szCs w:val="24"/>
        </w:rPr>
        <w:t xml:space="preserve">Telephone: </w:t>
      </w:r>
      <w:r w:rsidR="00BB4364" w:rsidRPr="0032119E">
        <w:rPr>
          <w:rFonts w:ascii="Book Antiqua" w:hAnsi="Book Antiqua"/>
          <w:sz w:val="24"/>
          <w:szCs w:val="24"/>
        </w:rPr>
        <w:t>+81-3-5802</w:t>
      </w:r>
      <w:r w:rsidRPr="0032119E">
        <w:rPr>
          <w:rFonts w:ascii="Book Antiqua" w:hAnsi="Book Antiqua"/>
          <w:sz w:val="24"/>
          <w:szCs w:val="24"/>
        </w:rPr>
        <w:t>1058</w:t>
      </w:r>
    </w:p>
    <w:p w:rsidR="008A4F56" w:rsidRPr="0032119E" w:rsidRDefault="008A4F56" w:rsidP="00B20484">
      <w:pPr>
        <w:snapToGrid w:val="0"/>
        <w:spacing w:line="360" w:lineRule="auto"/>
        <w:rPr>
          <w:rFonts w:ascii="Book Antiqua" w:hAnsi="Book Antiqua"/>
          <w:sz w:val="24"/>
          <w:szCs w:val="24"/>
        </w:rPr>
      </w:pPr>
      <w:r w:rsidRPr="0032119E">
        <w:rPr>
          <w:rFonts w:ascii="Book Antiqua" w:hAnsi="Book Antiqua"/>
          <w:b/>
          <w:sz w:val="24"/>
          <w:szCs w:val="24"/>
        </w:rPr>
        <w:t>Fax:</w:t>
      </w:r>
      <w:r w:rsidR="00BB4364" w:rsidRPr="0032119E">
        <w:rPr>
          <w:rFonts w:ascii="Book Antiqua" w:hAnsi="Book Antiqua"/>
          <w:sz w:val="24"/>
          <w:szCs w:val="24"/>
        </w:rPr>
        <w:t xml:space="preserve"> +81-3-3813</w:t>
      </w:r>
      <w:r w:rsidRPr="0032119E">
        <w:rPr>
          <w:rFonts w:ascii="Book Antiqua" w:hAnsi="Book Antiqua"/>
          <w:sz w:val="24"/>
          <w:szCs w:val="24"/>
        </w:rPr>
        <w:t>8862</w:t>
      </w:r>
    </w:p>
    <w:p w:rsidR="00F51C3D" w:rsidRPr="0032119E" w:rsidRDefault="00F51C3D" w:rsidP="00B20484">
      <w:pPr>
        <w:snapToGrid w:val="0"/>
        <w:spacing w:line="360" w:lineRule="auto"/>
        <w:rPr>
          <w:rFonts w:ascii="Book Antiqua" w:hAnsi="Book Antiqua"/>
          <w:b/>
          <w:sz w:val="24"/>
          <w:szCs w:val="24"/>
        </w:rPr>
      </w:pPr>
    </w:p>
    <w:p w:rsidR="00A11C61" w:rsidRPr="0032119E" w:rsidRDefault="00F51C3D" w:rsidP="00B20484">
      <w:pPr>
        <w:snapToGrid w:val="0"/>
        <w:spacing w:line="360" w:lineRule="auto"/>
        <w:rPr>
          <w:rFonts w:ascii="Book Antiqua" w:hAnsi="Book Antiqua"/>
          <w:sz w:val="24"/>
          <w:szCs w:val="24"/>
        </w:rPr>
      </w:pPr>
      <w:r w:rsidRPr="0032119E">
        <w:rPr>
          <w:rFonts w:ascii="Book Antiqua" w:hAnsi="Book Antiqua"/>
          <w:b/>
          <w:sz w:val="24"/>
          <w:szCs w:val="24"/>
        </w:rPr>
        <w:t>Received:</w:t>
      </w:r>
      <w:r w:rsidR="00864E73" w:rsidRPr="0032119E">
        <w:rPr>
          <w:rFonts w:ascii="Book Antiqua" w:hAnsi="Book Antiqua"/>
          <w:b/>
          <w:sz w:val="24"/>
          <w:szCs w:val="24"/>
        </w:rPr>
        <w:t xml:space="preserve"> </w:t>
      </w:r>
      <w:r w:rsidR="00A11C61" w:rsidRPr="0032119E">
        <w:rPr>
          <w:rFonts w:ascii="Book Antiqua" w:hAnsi="Book Antiqua" w:hint="eastAsia"/>
          <w:sz w:val="24"/>
          <w:szCs w:val="24"/>
        </w:rPr>
        <w:t>March 15, 2016</w:t>
      </w:r>
    </w:p>
    <w:p w:rsidR="00F51C3D" w:rsidRPr="0032119E" w:rsidRDefault="00F51C3D" w:rsidP="00B20484">
      <w:pPr>
        <w:snapToGrid w:val="0"/>
        <w:spacing w:line="360" w:lineRule="auto"/>
        <w:rPr>
          <w:rFonts w:ascii="Book Antiqua" w:hAnsi="Book Antiqua"/>
          <w:sz w:val="24"/>
          <w:szCs w:val="24"/>
        </w:rPr>
      </w:pPr>
      <w:r w:rsidRPr="0032119E">
        <w:rPr>
          <w:rFonts w:ascii="Book Antiqua" w:hAnsi="Book Antiqua"/>
          <w:b/>
          <w:sz w:val="24"/>
          <w:szCs w:val="24"/>
        </w:rPr>
        <w:t>Peer-</w:t>
      </w:r>
      <w:r w:rsidR="00A11C61" w:rsidRPr="0032119E">
        <w:rPr>
          <w:rFonts w:ascii="Book Antiqua" w:hAnsi="Book Antiqua"/>
          <w:b/>
          <w:sz w:val="24"/>
          <w:szCs w:val="24"/>
        </w:rPr>
        <w:t xml:space="preserve">review started: </w:t>
      </w:r>
      <w:r w:rsidR="00A11C61" w:rsidRPr="0032119E">
        <w:rPr>
          <w:rFonts w:ascii="Book Antiqua" w:hAnsi="Book Antiqua" w:hint="eastAsia"/>
          <w:sz w:val="24"/>
          <w:szCs w:val="24"/>
        </w:rPr>
        <w:t>March 18, 2016</w:t>
      </w:r>
    </w:p>
    <w:p w:rsidR="00F51C3D" w:rsidRPr="0032119E" w:rsidRDefault="00F51C3D" w:rsidP="00B20484">
      <w:pPr>
        <w:snapToGrid w:val="0"/>
        <w:spacing w:line="360" w:lineRule="auto"/>
        <w:rPr>
          <w:rFonts w:ascii="Book Antiqua" w:hAnsi="Book Antiqua"/>
          <w:sz w:val="24"/>
          <w:szCs w:val="24"/>
        </w:rPr>
      </w:pPr>
      <w:r w:rsidRPr="0032119E">
        <w:rPr>
          <w:rFonts w:ascii="Book Antiqua" w:hAnsi="Book Antiqua"/>
          <w:b/>
          <w:sz w:val="24"/>
          <w:szCs w:val="24"/>
        </w:rPr>
        <w:t>First decision:</w:t>
      </w:r>
      <w:r w:rsidRPr="0032119E">
        <w:rPr>
          <w:rFonts w:ascii="Book Antiqua" w:hAnsi="Book Antiqua"/>
          <w:sz w:val="24"/>
          <w:szCs w:val="24"/>
        </w:rPr>
        <w:t xml:space="preserve"> </w:t>
      </w:r>
      <w:r w:rsidR="00A11C61" w:rsidRPr="0032119E">
        <w:rPr>
          <w:rFonts w:ascii="Book Antiqua" w:hAnsi="Book Antiqua" w:hint="eastAsia"/>
          <w:sz w:val="24"/>
          <w:szCs w:val="24"/>
        </w:rPr>
        <w:t>July 12, 2016</w:t>
      </w:r>
    </w:p>
    <w:p w:rsidR="00F51C3D" w:rsidRPr="0032119E" w:rsidRDefault="00A11C61" w:rsidP="00B20484">
      <w:pPr>
        <w:snapToGrid w:val="0"/>
        <w:spacing w:line="360" w:lineRule="auto"/>
        <w:rPr>
          <w:rFonts w:ascii="Book Antiqua" w:hAnsi="Book Antiqua"/>
          <w:b/>
          <w:sz w:val="24"/>
          <w:szCs w:val="24"/>
        </w:rPr>
      </w:pPr>
      <w:r w:rsidRPr="0032119E">
        <w:rPr>
          <w:rFonts w:ascii="Book Antiqua" w:hAnsi="Book Antiqua"/>
          <w:b/>
          <w:sz w:val="24"/>
          <w:szCs w:val="24"/>
        </w:rPr>
        <w:t xml:space="preserve">Revised: </w:t>
      </w:r>
      <w:r w:rsidR="00DA22F5" w:rsidRPr="0032119E">
        <w:rPr>
          <w:rFonts w:ascii="Book Antiqua" w:hAnsi="Book Antiqua" w:hint="eastAsia"/>
          <w:sz w:val="24"/>
          <w:szCs w:val="24"/>
        </w:rPr>
        <w:t xml:space="preserve">July </w:t>
      </w:r>
      <w:r w:rsidR="00DA22F5" w:rsidRPr="0032119E">
        <w:rPr>
          <w:rFonts w:ascii="Book Antiqua" w:hAnsi="Book Antiqua"/>
          <w:sz w:val="24"/>
          <w:szCs w:val="24"/>
        </w:rPr>
        <w:t>25</w:t>
      </w:r>
      <w:r w:rsidR="00DA22F5" w:rsidRPr="0032119E">
        <w:rPr>
          <w:rFonts w:ascii="Book Antiqua" w:hAnsi="Book Antiqua" w:hint="eastAsia"/>
          <w:sz w:val="24"/>
          <w:szCs w:val="24"/>
        </w:rPr>
        <w:t>, 2016</w:t>
      </w:r>
    </w:p>
    <w:p w:rsidR="00F51C3D" w:rsidRPr="00475DAB" w:rsidRDefault="00A11C61" w:rsidP="00475DAB">
      <w:pPr>
        <w:spacing w:line="360" w:lineRule="auto"/>
        <w:rPr>
          <w:rFonts w:ascii="Book Antiqua" w:hAnsi="Book Antiqua"/>
          <w:color w:val="000000"/>
          <w:sz w:val="24"/>
        </w:rPr>
      </w:pPr>
      <w:r w:rsidRPr="0032119E">
        <w:rPr>
          <w:rFonts w:ascii="Book Antiqua" w:hAnsi="Book Antiqua"/>
          <w:b/>
          <w:sz w:val="24"/>
          <w:szCs w:val="24"/>
        </w:rPr>
        <w:t>Accepted:</w:t>
      </w:r>
      <w:r w:rsidR="00475DAB" w:rsidRPr="00475DAB">
        <w:rPr>
          <w:rFonts w:ascii="Book Antiqua" w:hAnsi="Book Antiqua"/>
          <w:color w:val="000000"/>
          <w:sz w:val="24"/>
        </w:rPr>
        <w:t xml:space="preserve"> </w:t>
      </w:r>
      <w:r w:rsidR="00475DAB">
        <w:rPr>
          <w:rFonts w:ascii="Book Antiqua" w:hAnsi="Book Antiqua"/>
          <w:color w:val="000000"/>
          <w:sz w:val="24"/>
        </w:rPr>
        <w:t>August 8, 2016</w:t>
      </w:r>
      <w:bookmarkStart w:id="10" w:name="_GoBack"/>
      <w:bookmarkEnd w:id="10"/>
      <w:r w:rsidRPr="0032119E">
        <w:rPr>
          <w:rFonts w:ascii="Book Antiqua" w:hAnsi="Book Antiqua" w:hint="eastAsia"/>
          <w:b/>
          <w:sz w:val="24"/>
          <w:szCs w:val="24"/>
        </w:rPr>
        <w:t xml:space="preserve"> </w:t>
      </w:r>
    </w:p>
    <w:p w:rsidR="00F51C3D" w:rsidRPr="0032119E" w:rsidRDefault="00F51C3D" w:rsidP="00B20484">
      <w:pPr>
        <w:snapToGrid w:val="0"/>
        <w:spacing w:line="360" w:lineRule="auto"/>
        <w:rPr>
          <w:rFonts w:ascii="Book Antiqua" w:hAnsi="Book Antiqua"/>
          <w:b/>
          <w:sz w:val="24"/>
          <w:szCs w:val="24"/>
        </w:rPr>
      </w:pPr>
      <w:r w:rsidRPr="0032119E">
        <w:rPr>
          <w:rFonts w:ascii="Book Antiqua" w:hAnsi="Book Antiqua"/>
          <w:b/>
          <w:sz w:val="24"/>
          <w:szCs w:val="24"/>
        </w:rPr>
        <w:t>Article in press:</w:t>
      </w:r>
    </w:p>
    <w:p w:rsidR="00F51C3D" w:rsidRPr="0032119E" w:rsidRDefault="00F51C3D" w:rsidP="00B20484">
      <w:pPr>
        <w:snapToGrid w:val="0"/>
        <w:spacing w:line="360" w:lineRule="auto"/>
        <w:rPr>
          <w:rFonts w:ascii="Book Antiqua" w:hAnsi="Book Antiqua"/>
          <w:b/>
          <w:sz w:val="24"/>
          <w:szCs w:val="24"/>
        </w:rPr>
      </w:pPr>
      <w:r w:rsidRPr="0032119E">
        <w:rPr>
          <w:rFonts w:ascii="Book Antiqua" w:hAnsi="Book Antiqua"/>
          <w:b/>
          <w:sz w:val="24"/>
          <w:szCs w:val="24"/>
        </w:rPr>
        <w:t>Published online:</w:t>
      </w:r>
    </w:p>
    <w:p w:rsidR="00D5381F" w:rsidRPr="0032119E" w:rsidRDefault="00A11C61" w:rsidP="00B20484">
      <w:pPr>
        <w:snapToGrid w:val="0"/>
        <w:spacing w:line="360" w:lineRule="auto"/>
        <w:rPr>
          <w:rFonts w:ascii="Book Antiqua" w:hAnsi="Book Antiqua"/>
          <w:b/>
          <w:sz w:val="24"/>
          <w:szCs w:val="24"/>
        </w:rPr>
      </w:pPr>
      <w:r w:rsidRPr="0032119E">
        <w:rPr>
          <w:rFonts w:ascii="Book Antiqua" w:hAnsi="Book Antiqua"/>
          <w:b/>
          <w:sz w:val="24"/>
          <w:szCs w:val="24"/>
        </w:rPr>
        <w:br w:type="page"/>
      </w:r>
      <w:r w:rsidR="00D5381F" w:rsidRPr="0032119E">
        <w:rPr>
          <w:rFonts w:ascii="Book Antiqua" w:hAnsi="Book Antiqua"/>
          <w:b/>
          <w:sz w:val="24"/>
          <w:szCs w:val="24"/>
        </w:rPr>
        <w:lastRenderedPageBreak/>
        <w:t xml:space="preserve">Abstract </w:t>
      </w:r>
    </w:p>
    <w:p w:rsidR="00D5381F" w:rsidRPr="0032119E" w:rsidRDefault="00D5381F" w:rsidP="00B20484">
      <w:pPr>
        <w:snapToGrid w:val="0"/>
        <w:spacing w:line="360" w:lineRule="auto"/>
        <w:rPr>
          <w:rFonts w:ascii="Book Antiqua" w:hAnsi="Book Antiqua"/>
          <w:sz w:val="24"/>
          <w:szCs w:val="24"/>
        </w:rPr>
      </w:pPr>
      <w:r w:rsidRPr="0032119E">
        <w:rPr>
          <w:rFonts w:ascii="Book Antiqua" w:hAnsi="Book Antiqua" w:hint="eastAsia"/>
          <w:b/>
          <w:sz w:val="24"/>
          <w:szCs w:val="24"/>
        </w:rPr>
        <w:t>AIM</w:t>
      </w:r>
      <w:r w:rsidR="00A11C61" w:rsidRPr="0032119E">
        <w:rPr>
          <w:rFonts w:ascii="Book Antiqua" w:hAnsi="Book Antiqua" w:hint="eastAsia"/>
          <w:b/>
          <w:sz w:val="24"/>
          <w:szCs w:val="24"/>
        </w:rPr>
        <w:t>:</w:t>
      </w:r>
      <w:r w:rsidR="0032119E" w:rsidRPr="0032119E">
        <w:rPr>
          <w:rFonts w:ascii="Book Antiqua" w:hAnsi="Book Antiqua"/>
          <w:sz w:val="24"/>
          <w:szCs w:val="24"/>
        </w:rPr>
        <w:t xml:space="preserve"> </w:t>
      </w:r>
      <w:r w:rsidRPr="0032119E">
        <w:rPr>
          <w:rFonts w:ascii="Book Antiqua" w:hAnsi="Book Antiqua" w:hint="eastAsia"/>
          <w:sz w:val="24"/>
          <w:szCs w:val="24"/>
        </w:rPr>
        <w:t>To investigate clinicopathological features of early stage gastric cancer with enteroblastic differentiation (GCED).</w:t>
      </w:r>
    </w:p>
    <w:p w:rsidR="00D5381F" w:rsidRPr="0032119E" w:rsidRDefault="00D5381F" w:rsidP="00B20484">
      <w:pPr>
        <w:snapToGrid w:val="0"/>
        <w:spacing w:line="360" w:lineRule="auto"/>
        <w:rPr>
          <w:rFonts w:ascii="Book Antiqua" w:hAnsi="Book Antiqua"/>
          <w:b/>
          <w:sz w:val="24"/>
          <w:szCs w:val="24"/>
        </w:rPr>
      </w:pPr>
    </w:p>
    <w:p w:rsidR="00D5381F" w:rsidRPr="0032119E" w:rsidRDefault="00D5381F" w:rsidP="00B20484">
      <w:pPr>
        <w:snapToGrid w:val="0"/>
        <w:spacing w:line="360" w:lineRule="auto"/>
        <w:rPr>
          <w:rFonts w:ascii="Book Antiqua" w:hAnsi="Book Antiqua"/>
          <w:sz w:val="24"/>
          <w:szCs w:val="24"/>
        </w:rPr>
      </w:pPr>
      <w:r w:rsidRPr="0032119E">
        <w:rPr>
          <w:rFonts w:ascii="Book Antiqua" w:hAnsi="Book Antiqua" w:hint="eastAsia"/>
          <w:b/>
          <w:sz w:val="24"/>
          <w:szCs w:val="24"/>
        </w:rPr>
        <w:t>METHODS</w:t>
      </w:r>
      <w:r w:rsidR="00A11C61" w:rsidRPr="0032119E">
        <w:rPr>
          <w:rFonts w:ascii="Book Antiqua" w:hAnsi="Book Antiqua" w:hint="eastAsia"/>
          <w:b/>
          <w:sz w:val="24"/>
          <w:szCs w:val="24"/>
        </w:rPr>
        <w:t>:</w:t>
      </w:r>
      <w:r w:rsidR="0032119E" w:rsidRPr="0032119E">
        <w:rPr>
          <w:rFonts w:ascii="Book Antiqua" w:hAnsi="Book Antiqua"/>
          <w:b/>
          <w:sz w:val="24"/>
          <w:szCs w:val="24"/>
        </w:rPr>
        <w:t xml:space="preserve"> </w:t>
      </w:r>
      <w:r w:rsidRPr="0032119E">
        <w:rPr>
          <w:rFonts w:ascii="Book Antiqua" w:hAnsi="Book Antiqua" w:hint="eastAsia"/>
          <w:sz w:val="24"/>
          <w:szCs w:val="24"/>
        </w:rPr>
        <w:t>We retrospectively investigated data on 6 cases of early stage GCED and 186 cases of early stage conventional gastric cancer (CGC: well or moderately differentiated adenocarcinoma) who underwent endoscopic submucosal dissection or endoscopic mucos</w:t>
      </w:r>
      <w:r w:rsidRPr="0032119E">
        <w:rPr>
          <w:rFonts w:ascii="Book Antiqua" w:hAnsi="Book Antiqua"/>
          <w:sz w:val="24"/>
          <w:szCs w:val="24"/>
        </w:rPr>
        <w:t xml:space="preserve">al resection from September 2011 to February 2015 in our hospital. </w:t>
      </w:r>
      <w:r w:rsidR="007E5D1B" w:rsidRPr="0032119E">
        <w:rPr>
          <w:rFonts w:ascii="Book Antiqua" w:hAnsi="Book Antiqua"/>
          <w:sz w:val="24"/>
          <w:szCs w:val="24"/>
        </w:rPr>
        <w:t>GCED was defined as a tumor having a primitive intestine-like structure composed of cuboidal or columnar cells with clear cytoplasm and immunohistochemical positivity for either alpha-fetoprotein</w:t>
      </w:r>
      <w:r w:rsidR="007E5D1B" w:rsidRPr="0032119E">
        <w:rPr>
          <w:rFonts w:ascii="Book Antiqua" w:hAnsi="Book Antiqua" w:hint="eastAsia"/>
          <w:sz w:val="24"/>
          <w:szCs w:val="24"/>
        </w:rPr>
        <w:t>,</w:t>
      </w:r>
      <w:r w:rsidR="007E5D1B" w:rsidRPr="0032119E">
        <w:rPr>
          <w:rFonts w:ascii="Book Antiqua" w:hAnsi="Book Antiqua"/>
          <w:sz w:val="24"/>
          <w:szCs w:val="24"/>
        </w:rPr>
        <w:t xml:space="preserve"> Glypican 3 or SALL4. </w:t>
      </w:r>
      <w:r w:rsidRPr="0032119E">
        <w:rPr>
          <w:rFonts w:ascii="Book Antiqua" w:hAnsi="Book Antiqua"/>
          <w:sz w:val="24"/>
          <w:szCs w:val="24"/>
        </w:rPr>
        <w:t>The following were compared between GCED and CGC: age, gender, location and size of tumor, macroscopic type, ulceration, depth of invasion, lymphatic and venous invasion, positive horizontal and vertical margin, curative resection rate.</w:t>
      </w:r>
    </w:p>
    <w:p w:rsidR="00D5381F" w:rsidRPr="0032119E" w:rsidRDefault="00D5381F" w:rsidP="00B20484">
      <w:pPr>
        <w:snapToGrid w:val="0"/>
        <w:spacing w:line="360" w:lineRule="auto"/>
        <w:rPr>
          <w:rFonts w:ascii="Book Antiqua" w:hAnsi="Book Antiqua"/>
          <w:b/>
          <w:sz w:val="24"/>
          <w:szCs w:val="24"/>
        </w:rPr>
      </w:pPr>
    </w:p>
    <w:p w:rsidR="00D5381F" w:rsidRPr="0032119E" w:rsidRDefault="00D5381F" w:rsidP="00B20484">
      <w:pPr>
        <w:snapToGrid w:val="0"/>
        <w:spacing w:line="360" w:lineRule="auto"/>
        <w:rPr>
          <w:rFonts w:ascii="Book Antiqua" w:hAnsi="Book Antiqua"/>
          <w:sz w:val="24"/>
          <w:szCs w:val="24"/>
        </w:rPr>
      </w:pPr>
      <w:r w:rsidRPr="0032119E">
        <w:rPr>
          <w:rFonts w:ascii="Book Antiqua" w:hAnsi="Book Antiqua" w:hint="eastAsia"/>
          <w:b/>
          <w:sz w:val="24"/>
          <w:szCs w:val="24"/>
        </w:rPr>
        <w:t>RESULTS</w:t>
      </w:r>
      <w:r w:rsidR="00A11C61" w:rsidRPr="0032119E">
        <w:rPr>
          <w:rFonts w:ascii="Book Antiqua" w:hAnsi="Book Antiqua" w:hint="eastAsia"/>
          <w:b/>
          <w:sz w:val="24"/>
          <w:szCs w:val="24"/>
        </w:rPr>
        <w:t xml:space="preserve">: </w:t>
      </w:r>
      <w:r w:rsidRPr="0032119E">
        <w:rPr>
          <w:rFonts w:ascii="Book Antiqua" w:hAnsi="Book Antiqua" w:hint="eastAsia"/>
          <w:sz w:val="24"/>
          <w:szCs w:val="24"/>
        </w:rPr>
        <w:t>Six cases (5 males, 1 female; mean age 75.7 y</w:t>
      </w:r>
      <w:r w:rsidR="0032119E" w:rsidRPr="0032119E">
        <w:rPr>
          <w:rFonts w:ascii="Book Antiqua" w:hAnsi="Book Antiqua"/>
          <w:sz w:val="24"/>
          <w:szCs w:val="24"/>
        </w:rPr>
        <w:t>ears</w:t>
      </w:r>
      <w:r w:rsidRPr="0032119E">
        <w:rPr>
          <w:rFonts w:ascii="Book Antiqua" w:hAnsi="Book Antiqua" w:hint="eastAsia"/>
          <w:sz w:val="24"/>
          <w:szCs w:val="24"/>
        </w:rPr>
        <w:t xml:space="preserve">; 6 lesions) of early gastric cancer with a GCED component and 186 cases (139 males, 47 females; mean age 72.7 </w:t>
      </w:r>
      <w:r w:rsidR="0032119E" w:rsidRPr="0032119E">
        <w:rPr>
          <w:rFonts w:ascii="Book Antiqua" w:hAnsi="Book Antiqua" w:hint="eastAsia"/>
          <w:sz w:val="24"/>
          <w:szCs w:val="24"/>
        </w:rPr>
        <w:t>y</w:t>
      </w:r>
      <w:r w:rsidR="0032119E" w:rsidRPr="0032119E">
        <w:rPr>
          <w:rFonts w:ascii="Book Antiqua" w:hAnsi="Book Antiqua"/>
          <w:sz w:val="24"/>
          <w:szCs w:val="24"/>
        </w:rPr>
        <w:t>ears</w:t>
      </w:r>
      <w:r w:rsidRPr="0032119E">
        <w:rPr>
          <w:rFonts w:ascii="Book Antiqua" w:hAnsi="Book Antiqua" w:hint="eastAsia"/>
          <w:sz w:val="24"/>
          <w:szCs w:val="24"/>
        </w:rPr>
        <w:t>; 209 lesions) of early stage CGC were investigated. Mean tumor diameters were similar but</w:t>
      </w:r>
      <w:r w:rsidRPr="0032119E">
        <w:rPr>
          <w:rFonts w:ascii="Book Antiqua" w:hAnsi="Book Antiqua"/>
          <w:sz w:val="24"/>
          <w:szCs w:val="24"/>
        </w:rPr>
        <w:t xml:space="preserve"> rates of submucosal invasion, lymphatic invasion, venous invasion, and non-curative resection were higher in GCED than CGC (66.6% </w:t>
      </w:r>
      <w:r w:rsidRPr="0032119E">
        <w:rPr>
          <w:rFonts w:ascii="Book Antiqua" w:hAnsi="Book Antiqua"/>
          <w:i/>
          <w:sz w:val="24"/>
          <w:szCs w:val="24"/>
        </w:rPr>
        <w:t>vs</w:t>
      </w:r>
      <w:r w:rsidR="0032119E" w:rsidRPr="0032119E">
        <w:rPr>
          <w:rFonts w:ascii="Book Antiqua" w:hAnsi="Book Antiqua"/>
          <w:sz w:val="24"/>
          <w:szCs w:val="24"/>
        </w:rPr>
        <w:t xml:space="preserve"> </w:t>
      </w:r>
      <w:r w:rsidRPr="0032119E">
        <w:rPr>
          <w:rFonts w:ascii="Book Antiqua" w:hAnsi="Book Antiqua"/>
          <w:sz w:val="24"/>
          <w:szCs w:val="24"/>
        </w:rPr>
        <w:t xml:space="preserve">11.4%, 33.3% </w:t>
      </w:r>
      <w:r w:rsidRPr="0032119E">
        <w:rPr>
          <w:rFonts w:ascii="Book Antiqua" w:hAnsi="Book Antiqua"/>
          <w:i/>
          <w:sz w:val="24"/>
          <w:szCs w:val="24"/>
        </w:rPr>
        <w:t>vs</w:t>
      </w:r>
      <w:r w:rsidR="0032119E" w:rsidRPr="0032119E">
        <w:rPr>
          <w:rFonts w:ascii="Book Antiqua" w:hAnsi="Book Antiqua"/>
          <w:sz w:val="24"/>
          <w:szCs w:val="24"/>
        </w:rPr>
        <w:t xml:space="preserve"> </w:t>
      </w:r>
      <w:r w:rsidRPr="0032119E">
        <w:rPr>
          <w:rFonts w:ascii="Book Antiqua" w:hAnsi="Book Antiqua"/>
          <w:sz w:val="24"/>
          <w:szCs w:val="24"/>
        </w:rPr>
        <w:t xml:space="preserve">2.3%, 66.6% </w:t>
      </w:r>
      <w:r w:rsidRPr="0032119E">
        <w:rPr>
          <w:rFonts w:ascii="Book Antiqua" w:hAnsi="Book Antiqua"/>
          <w:i/>
          <w:sz w:val="24"/>
          <w:szCs w:val="24"/>
        </w:rPr>
        <w:t>vs</w:t>
      </w:r>
      <w:r w:rsidR="0032119E" w:rsidRPr="0032119E">
        <w:rPr>
          <w:rFonts w:ascii="Book Antiqua" w:hAnsi="Book Antiqua"/>
          <w:sz w:val="24"/>
          <w:szCs w:val="24"/>
        </w:rPr>
        <w:t xml:space="preserve"> </w:t>
      </w:r>
      <w:r w:rsidRPr="0032119E">
        <w:rPr>
          <w:rFonts w:ascii="Book Antiqua" w:hAnsi="Book Antiqua"/>
          <w:sz w:val="24"/>
          <w:szCs w:val="24"/>
        </w:rPr>
        <w:t xml:space="preserve">0.4%, 83.3% </w:t>
      </w:r>
      <w:r w:rsidRPr="0032119E">
        <w:rPr>
          <w:rFonts w:ascii="Book Antiqua" w:hAnsi="Book Antiqua"/>
          <w:i/>
          <w:sz w:val="24"/>
          <w:szCs w:val="24"/>
        </w:rPr>
        <w:t>vs</w:t>
      </w:r>
      <w:r w:rsidR="0032119E" w:rsidRPr="0032119E">
        <w:rPr>
          <w:rFonts w:ascii="Book Antiqua" w:hAnsi="Book Antiqua"/>
          <w:sz w:val="24"/>
          <w:szCs w:val="24"/>
        </w:rPr>
        <w:t xml:space="preserve"> </w:t>
      </w:r>
      <w:r w:rsidRPr="0032119E">
        <w:rPr>
          <w:rFonts w:ascii="Book Antiqua" w:hAnsi="Book Antiqua"/>
          <w:sz w:val="24"/>
          <w:szCs w:val="24"/>
        </w:rPr>
        <w:t xml:space="preserve">11% respectively, </w:t>
      </w:r>
      <w:r w:rsidRPr="0032119E">
        <w:rPr>
          <w:rFonts w:ascii="Book Antiqua" w:hAnsi="Book Antiqua"/>
          <w:i/>
          <w:sz w:val="24"/>
          <w:szCs w:val="24"/>
        </w:rPr>
        <w:t>P</w:t>
      </w:r>
      <w:r w:rsidR="0032119E" w:rsidRPr="0032119E">
        <w:rPr>
          <w:rFonts w:ascii="Book Antiqua" w:hAnsi="Book Antiqua"/>
          <w:sz w:val="24"/>
          <w:szCs w:val="24"/>
        </w:rPr>
        <w:t xml:space="preserve"> </w:t>
      </w:r>
      <w:r w:rsidRPr="0032119E">
        <w:rPr>
          <w:rFonts w:ascii="Book Antiqua" w:hAnsi="Book Antiqua"/>
          <w:sz w:val="24"/>
          <w:szCs w:val="24"/>
        </w:rPr>
        <w:t>&lt;</w:t>
      </w:r>
      <w:r w:rsidR="0032119E" w:rsidRPr="0032119E">
        <w:rPr>
          <w:rFonts w:ascii="Book Antiqua" w:hAnsi="Book Antiqua"/>
          <w:sz w:val="24"/>
          <w:szCs w:val="24"/>
        </w:rPr>
        <w:t xml:space="preserve"> </w:t>
      </w:r>
      <w:r w:rsidRPr="0032119E">
        <w:rPr>
          <w:rFonts w:ascii="Book Antiqua" w:hAnsi="Book Antiqua"/>
          <w:sz w:val="24"/>
          <w:szCs w:val="24"/>
        </w:rPr>
        <w:t xml:space="preserve">0.01). Deep submucosal invasion was not revealed endoscopically or by preoperative biopsy. Histologically, in GCED the superficial mucosal layer was covered with a CGC component. The GCED component tended to exist in the deeper part of the mucosa to the submucosa by lymphatic and/or venous invasion, without severe stromal reaction. </w:t>
      </w:r>
      <w:r w:rsidR="00432B24" w:rsidRPr="0032119E">
        <w:rPr>
          <w:rFonts w:ascii="Book Antiqua" w:hAnsi="Book Antiqua" w:hint="eastAsia"/>
          <w:sz w:val="24"/>
          <w:szCs w:val="24"/>
        </w:rPr>
        <w:t xml:space="preserve">In addition, </w:t>
      </w:r>
      <w:r w:rsidR="007E5D1B" w:rsidRPr="0032119E">
        <w:rPr>
          <w:rFonts w:ascii="Book Antiqua" w:hAnsi="Book Antiqua"/>
          <w:sz w:val="24"/>
          <w:szCs w:val="24"/>
        </w:rPr>
        <w:t xml:space="preserve">Glypican 3 was the most sensitive marker </w:t>
      </w:r>
      <w:r w:rsidR="0089372F" w:rsidRPr="0032119E">
        <w:rPr>
          <w:rFonts w:ascii="Book Antiqua" w:hAnsi="Book Antiqua" w:hint="eastAsia"/>
          <w:sz w:val="24"/>
          <w:szCs w:val="24"/>
        </w:rPr>
        <w:t xml:space="preserve">for GCED </w:t>
      </w:r>
      <w:r w:rsidR="007E5D1B" w:rsidRPr="0032119E">
        <w:rPr>
          <w:rFonts w:ascii="Book Antiqua" w:hAnsi="Book Antiqua"/>
          <w:sz w:val="24"/>
          <w:szCs w:val="24"/>
        </w:rPr>
        <w:t>(positivity, 83.3%)</w:t>
      </w:r>
      <w:r w:rsidR="00432B24" w:rsidRPr="0032119E">
        <w:rPr>
          <w:rFonts w:ascii="Book Antiqua" w:hAnsi="Book Antiqua" w:hint="eastAsia"/>
          <w:sz w:val="24"/>
          <w:szCs w:val="24"/>
        </w:rPr>
        <w:t>, i</w:t>
      </w:r>
      <w:r w:rsidR="00432B24" w:rsidRPr="0032119E">
        <w:rPr>
          <w:rFonts w:ascii="Book Antiqua" w:hAnsi="Book Antiqua"/>
          <w:sz w:val="24"/>
          <w:szCs w:val="24"/>
        </w:rPr>
        <w:t>mmunohistochemically</w:t>
      </w:r>
      <w:r w:rsidR="007E5D1B" w:rsidRPr="0032119E">
        <w:rPr>
          <w:rFonts w:ascii="Book Antiqua" w:hAnsi="Book Antiqua"/>
          <w:sz w:val="24"/>
          <w:szCs w:val="24"/>
        </w:rPr>
        <w:t>.</w:t>
      </w:r>
    </w:p>
    <w:p w:rsidR="00D5381F" w:rsidRPr="0032119E" w:rsidRDefault="00D5381F" w:rsidP="00B20484">
      <w:pPr>
        <w:snapToGrid w:val="0"/>
        <w:spacing w:line="360" w:lineRule="auto"/>
        <w:rPr>
          <w:rFonts w:ascii="Book Antiqua" w:hAnsi="Book Antiqua"/>
          <w:b/>
          <w:sz w:val="24"/>
          <w:szCs w:val="24"/>
        </w:rPr>
      </w:pPr>
    </w:p>
    <w:p w:rsidR="00D5381F" w:rsidRPr="0032119E" w:rsidRDefault="00D5381F" w:rsidP="00B20484">
      <w:pPr>
        <w:snapToGrid w:val="0"/>
        <w:spacing w:line="360" w:lineRule="auto"/>
        <w:rPr>
          <w:rFonts w:ascii="Book Antiqua" w:hAnsi="Book Antiqua"/>
          <w:sz w:val="24"/>
          <w:szCs w:val="24"/>
        </w:rPr>
      </w:pPr>
      <w:r w:rsidRPr="0032119E">
        <w:rPr>
          <w:rFonts w:ascii="Book Antiqua" w:hAnsi="Book Antiqua" w:hint="eastAsia"/>
          <w:b/>
          <w:sz w:val="24"/>
          <w:szCs w:val="24"/>
        </w:rPr>
        <w:t>CONCLUSION</w:t>
      </w:r>
      <w:r w:rsidR="00A11C61" w:rsidRPr="0032119E">
        <w:rPr>
          <w:rFonts w:ascii="Book Antiqua" w:hAnsi="Book Antiqua" w:hint="eastAsia"/>
          <w:b/>
          <w:sz w:val="24"/>
          <w:szCs w:val="24"/>
        </w:rPr>
        <w:t>:</w:t>
      </w:r>
      <w:r w:rsidRPr="0032119E">
        <w:rPr>
          <w:rFonts w:ascii="Book Antiqua" w:hAnsi="Book Antiqua" w:hint="eastAsia"/>
          <w:sz w:val="24"/>
          <w:szCs w:val="24"/>
        </w:rPr>
        <w:t xml:space="preserve"> Even in the early stage GCED has high malignant potential, and preoperative diagnosis is considered difficult. Endoscopists and pathologists should know the clinicopathological features of this highly malignant type of cancer.</w:t>
      </w:r>
      <w:r w:rsidR="007E5D1B" w:rsidRPr="0032119E">
        <w:rPr>
          <w:rFonts w:ascii="Book Antiqua" w:hAnsi="Book Antiqua" w:hint="eastAsia"/>
          <w:sz w:val="24"/>
          <w:szCs w:val="24"/>
        </w:rPr>
        <w:t xml:space="preserve"> </w:t>
      </w:r>
    </w:p>
    <w:p w:rsidR="00D5381F" w:rsidRPr="0032119E" w:rsidRDefault="00D5381F" w:rsidP="00B20484">
      <w:pPr>
        <w:widowControl/>
        <w:snapToGrid w:val="0"/>
        <w:spacing w:line="360" w:lineRule="auto"/>
        <w:rPr>
          <w:rFonts w:ascii="Book Antiqua" w:hAnsi="Book Antiqua" w:cs="Times New Roman"/>
          <w:b/>
          <w:sz w:val="24"/>
          <w:szCs w:val="24"/>
        </w:rPr>
      </w:pPr>
    </w:p>
    <w:p w:rsidR="00D5381F" w:rsidRPr="0032119E" w:rsidRDefault="00D5381F" w:rsidP="00B20484">
      <w:pPr>
        <w:widowControl/>
        <w:snapToGrid w:val="0"/>
        <w:spacing w:line="360" w:lineRule="auto"/>
        <w:rPr>
          <w:rFonts w:ascii="Book Antiqua" w:hAnsi="Book Antiqua" w:cs="Times New Roman"/>
          <w:sz w:val="24"/>
          <w:szCs w:val="24"/>
        </w:rPr>
      </w:pPr>
      <w:r w:rsidRPr="0032119E">
        <w:rPr>
          <w:rFonts w:ascii="Book Antiqua" w:hAnsi="Book Antiqua" w:cs="Times New Roman"/>
          <w:b/>
          <w:sz w:val="24"/>
          <w:szCs w:val="24"/>
        </w:rPr>
        <w:t>Key</w:t>
      </w:r>
      <w:r w:rsidR="00A11C61" w:rsidRPr="0032119E">
        <w:rPr>
          <w:rFonts w:ascii="Book Antiqua" w:hAnsi="Book Antiqua" w:cs="Times New Roman" w:hint="eastAsia"/>
          <w:b/>
          <w:sz w:val="24"/>
          <w:szCs w:val="24"/>
        </w:rPr>
        <w:t xml:space="preserve"> </w:t>
      </w:r>
      <w:r w:rsidRPr="0032119E">
        <w:rPr>
          <w:rFonts w:ascii="Book Antiqua" w:hAnsi="Book Antiqua" w:cs="Times New Roman"/>
          <w:b/>
          <w:sz w:val="24"/>
          <w:szCs w:val="24"/>
        </w:rPr>
        <w:t xml:space="preserve">words: </w:t>
      </w:r>
      <w:r w:rsidRPr="0032119E">
        <w:rPr>
          <w:rFonts w:ascii="Book Antiqua" w:hAnsi="Book Antiqua" w:cs="Times New Roman"/>
          <w:sz w:val="24"/>
          <w:szCs w:val="24"/>
        </w:rPr>
        <w:t xml:space="preserve">Gastric cancer with enteroblastic differentiation; Alpha-fetoprotein-producing gastric cancer; </w:t>
      </w:r>
      <w:r w:rsidRPr="0032119E">
        <w:rPr>
          <w:rFonts w:ascii="Book Antiqua" w:hAnsi="Book Antiqua" w:cs="Times New Roman"/>
          <w:caps/>
          <w:sz w:val="24"/>
          <w:szCs w:val="24"/>
        </w:rPr>
        <w:t>e</w:t>
      </w:r>
      <w:r w:rsidRPr="0032119E">
        <w:rPr>
          <w:rFonts w:ascii="Book Antiqua" w:hAnsi="Book Antiqua" w:cs="Times New Roman"/>
          <w:sz w:val="24"/>
          <w:szCs w:val="24"/>
        </w:rPr>
        <w:t>arly g</w:t>
      </w:r>
      <w:r w:rsidR="00DF7341">
        <w:rPr>
          <w:rFonts w:ascii="Book Antiqua" w:hAnsi="Book Antiqua" w:cs="Times New Roman"/>
          <w:sz w:val="24"/>
          <w:szCs w:val="24"/>
        </w:rPr>
        <w:t>astric cancer; Glypican 3; SALL</w:t>
      </w:r>
      <w:r w:rsidRPr="0032119E">
        <w:rPr>
          <w:rFonts w:ascii="Book Antiqua" w:hAnsi="Book Antiqua" w:cs="Times New Roman"/>
          <w:sz w:val="24"/>
          <w:szCs w:val="24"/>
        </w:rPr>
        <w:t>4</w:t>
      </w:r>
    </w:p>
    <w:p w:rsidR="00A11C61" w:rsidRPr="0032119E" w:rsidRDefault="00A11C61" w:rsidP="00B20484">
      <w:pPr>
        <w:widowControl/>
        <w:snapToGrid w:val="0"/>
        <w:spacing w:line="360" w:lineRule="auto"/>
        <w:rPr>
          <w:rFonts w:ascii="Book Antiqua" w:hAnsi="Book Antiqua" w:cs="Times New Roman"/>
          <w:b/>
          <w:sz w:val="24"/>
          <w:szCs w:val="24"/>
        </w:rPr>
      </w:pPr>
    </w:p>
    <w:p w:rsidR="00D5381F" w:rsidRPr="0032119E" w:rsidRDefault="00A11C61" w:rsidP="00B20484">
      <w:pPr>
        <w:widowControl/>
        <w:snapToGrid w:val="0"/>
        <w:spacing w:line="360" w:lineRule="auto"/>
        <w:rPr>
          <w:rFonts w:ascii="Book Antiqua" w:hAnsi="Book Antiqua" w:cs="Times New Roman"/>
          <w:sz w:val="24"/>
          <w:szCs w:val="24"/>
        </w:rPr>
      </w:pPr>
      <w:r w:rsidRPr="0032119E">
        <w:rPr>
          <w:rFonts w:ascii="Book Antiqua" w:hAnsi="Book Antiqua" w:cs="Times New Roman"/>
          <w:b/>
          <w:sz w:val="24"/>
          <w:szCs w:val="24"/>
        </w:rPr>
        <w:t>© The Author(s) 201</w:t>
      </w:r>
      <w:r w:rsidRPr="0032119E">
        <w:rPr>
          <w:rFonts w:ascii="Book Antiqua" w:hAnsi="Book Antiqua" w:cs="Times New Roman" w:hint="eastAsia"/>
          <w:b/>
          <w:sz w:val="24"/>
          <w:szCs w:val="24"/>
        </w:rPr>
        <w:t>6</w:t>
      </w:r>
      <w:r w:rsidRPr="0032119E">
        <w:rPr>
          <w:rFonts w:ascii="Book Antiqua" w:hAnsi="Book Antiqua" w:cs="Times New Roman"/>
          <w:b/>
          <w:sz w:val="24"/>
          <w:szCs w:val="24"/>
        </w:rPr>
        <w:t xml:space="preserve">. </w:t>
      </w:r>
      <w:r w:rsidRPr="0032119E">
        <w:rPr>
          <w:rFonts w:ascii="Book Antiqua" w:hAnsi="Book Antiqua" w:cs="Times New Roman"/>
          <w:sz w:val="24"/>
          <w:szCs w:val="24"/>
        </w:rPr>
        <w:t>Published by Baishideng Publishing Group Inc. All rights</w:t>
      </w:r>
      <w:r w:rsidRPr="0032119E">
        <w:rPr>
          <w:rFonts w:ascii="Book Antiqua" w:hAnsi="Book Antiqua" w:cs="Times New Roman" w:hint="eastAsia"/>
          <w:sz w:val="24"/>
          <w:szCs w:val="24"/>
        </w:rPr>
        <w:t xml:space="preserve"> </w:t>
      </w:r>
      <w:r w:rsidRPr="0032119E">
        <w:rPr>
          <w:rFonts w:ascii="Book Antiqua" w:hAnsi="Book Antiqua" w:cs="Times New Roman"/>
          <w:sz w:val="24"/>
          <w:szCs w:val="24"/>
        </w:rPr>
        <w:t>reserved.</w:t>
      </w:r>
    </w:p>
    <w:p w:rsidR="00A11C61" w:rsidRPr="0032119E" w:rsidRDefault="00A11C61" w:rsidP="00B20484">
      <w:pPr>
        <w:widowControl/>
        <w:snapToGrid w:val="0"/>
        <w:spacing w:line="360" w:lineRule="auto"/>
        <w:rPr>
          <w:rFonts w:ascii="Book Antiqua" w:hAnsi="Book Antiqua" w:cs="Times New Roman"/>
          <w:b/>
          <w:sz w:val="24"/>
          <w:szCs w:val="24"/>
        </w:rPr>
      </w:pPr>
    </w:p>
    <w:p w:rsidR="00D5381F" w:rsidRPr="0032119E" w:rsidRDefault="00D5381F" w:rsidP="00B20484">
      <w:pPr>
        <w:widowControl/>
        <w:snapToGrid w:val="0"/>
        <w:spacing w:line="360" w:lineRule="auto"/>
        <w:rPr>
          <w:rFonts w:ascii="Book Antiqua" w:hAnsi="Book Antiqua" w:cs="Times New Roman"/>
          <w:sz w:val="24"/>
          <w:szCs w:val="24"/>
        </w:rPr>
      </w:pPr>
      <w:r w:rsidRPr="0032119E">
        <w:rPr>
          <w:rFonts w:ascii="Book Antiqua" w:hAnsi="Book Antiqua" w:cs="Times New Roman"/>
          <w:b/>
          <w:sz w:val="24"/>
          <w:szCs w:val="24"/>
        </w:rPr>
        <w:t xml:space="preserve">Core tip: </w:t>
      </w:r>
      <w:r w:rsidRPr="0032119E">
        <w:rPr>
          <w:rFonts w:ascii="Book Antiqua" w:hAnsi="Book Antiqua" w:cs="Times New Roman"/>
          <w:sz w:val="24"/>
          <w:szCs w:val="24"/>
        </w:rPr>
        <w:t xml:space="preserve">We evaluated the comparison of clinicopathological features between 6 cases of early stage gastric cancer with enteroblastic </w:t>
      </w:r>
      <w:r w:rsidR="009C65AC" w:rsidRPr="0032119E">
        <w:rPr>
          <w:rFonts w:ascii="Book Antiqua" w:hAnsi="Book Antiqua" w:cs="Times New Roman"/>
          <w:sz w:val="24"/>
          <w:szCs w:val="24"/>
        </w:rPr>
        <w:t>differentiation (</w:t>
      </w:r>
      <w:r w:rsidRPr="0032119E">
        <w:rPr>
          <w:rFonts w:ascii="Book Antiqua" w:hAnsi="Book Antiqua" w:cs="Times New Roman"/>
          <w:sz w:val="24"/>
          <w:szCs w:val="24"/>
        </w:rPr>
        <w:t>GCED) and 186 cases of early stage conventional gastric cancer (CGC: well</w:t>
      </w:r>
      <w:r w:rsidR="009C65AC" w:rsidRPr="0032119E">
        <w:rPr>
          <w:rFonts w:ascii="Book Antiqua" w:hAnsi="Book Antiqua" w:cs="Times New Roman" w:hint="eastAsia"/>
          <w:sz w:val="24"/>
          <w:szCs w:val="24"/>
        </w:rPr>
        <w:t>/</w:t>
      </w:r>
      <w:r w:rsidRPr="0032119E">
        <w:rPr>
          <w:rFonts w:ascii="Book Antiqua" w:hAnsi="Book Antiqua" w:cs="Times New Roman"/>
          <w:sz w:val="24"/>
          <w:szCs w:val="24"/>
        </w:rPr>
        <w:t xml:space="preserve"> moderately differentiated adenocarcinoma). Lymphatic, venous, and submucosal invasion rates were higher in GCED than CGC (33.3%</w:t>
      </w:r>
      <w:r w:rsidR="0032119E" w:rsidRPr="0032119E">
        <w:rPr>
          <w:rFonts w:ascii="Book Antiqua" w:hAnsi="Book Antiqua" w:cs="Times New Roman"/>
          <w:sz w:val="24"/>
          <w:szCs w:val="24"/>
        </w:rPr>
        <w:t xml:space="preserve"> </w:t>
      </w:r>
      <w:r w:rsidRPr="0032119E">
        <w:rPr>
          <w:rFonts w:ascii="Book Antiqua" w:hAnsi="Book Antiqua" w:cs="Times New Roman"/>
          <w:i/>
          <w:sz w:val="24"/>
          <w:szCs w:val="24"/>
        </w:rPr>
        <w:t>vs</w:t>
      </w:r>
      <w:r w:rsidR="0032119E" w:rsidRPr="0032119E">
        <w:rPr>
          <w:rFonts w:ascii="Book Antiqua" w:hAnsi="Book Antiqua" w:cs="Times New Roman"/>
          <w:sz w:val="24"/>
          <w:szCs w:val="24"/>
        </w:rPr>
        <w:t xml:space="preserve"> </w:t>
      </w:r>
      <w:r w:rsidRPr="0032119E">
        <w:rPr>
          <w:rFonts w:ascii="Book Antiqua" w:hAnsi="Book Antiqua" w:cs="Times New Roman"/>
          <w:sz w:val="24"/>
          <w:szCs w:val="24"/>
        </w:rPr>
        <w:t>2.3%, 66.6%</w:t>
      </w:r>
      <w:r w:rsidR="0032119E" w:rsidRPr="0032119E">
        <w:rPr>
          <w:rFonts w:ascii="Book Antiqua" w:hAnsi="Book Antiqua" w:cs="Times New Roman"/>
          <w:i/>
          <w:sz w:val="24"/>
          <w:szCs w:val="24"/>
        </w:rPr>
        <w:t xml:space="preserve"> </w:t>
      </w:r>
      <w:r w:rsidRPr="0032119E">
        <w:rPr>
          <w:rFonts w:ascii="Book Antiqua" w:hAnsi="Book Antiqua" w:cs="Times New Roman"/>
          <w:i/>
          <w:sz w:val="24"/>
          <w:szCs w:val="24"/>
        </w:rPr>
        <w:t>vs</w:t>
      </w:r>
      <w:r w:rsidR="0032119E" w:rsidRPr="0032119E">
        <w:rPr>
          <w:rFonts w:ascii="Book Antiqua" w:hAnsi="Book Antiqua" w:cs="Times New Roman"/>
          <w:sz w:val="24"/>
          <w:szCs w:val="24"/>
        </w:rPr>
        <w:t xml:space="preserve"> </w:t>
      </w:r>
      <w:r w:rsidRPr="0032119E">
        <w:rPr>
          <w:rFonts w:ascii="Book Antiqua" w:hAnsi="Book Antiqua" w:cs="Times New Roman"/>
          <w:sz w:val="24"/>
          <w:szCs w:val="24"/>
        </w:rPr>
        <w:t>0.4%, 66.6%</w:t>
      </w:r>
      <w:r w:rsidR="0032119E" w:rsidRPr="0032119E">
        <w:rPr>
          <w:rFonts w:ascii="Book Antiqua" w:hAnsi="Book Antiqua" w:cs="Times New Roman"/>
          <w:sz w:val="24"/>
          <w:szCs w:val="24"/>
        </w:rPr>
        <w:t xml:space="preserve"> </w:t>
      </w:r>
      <w:r w:rsidRPr="0032119E">
        <w:rPr>
          <w:rFonts w:ascii="Book Antiqua" w:hAnsi="Book Antiqua" w:cs="Times New Roman"/>
          <w:i/>
          <w:sz w:val="24"/>
          <w:szCs w:val="24"/>
        </w:rPr>
        <w:t>vs</w:t>
      </w:r>
      <w:r w:rsidR="0032119E" w:rsidRPr="0032119E">
        <w:rPr>
          <w:rFonts w:ascii="Book Antiqua" w:hAnsi="Book Antiqua" w:cs="Times New Roman"/>
          <w:sz w:val="24"/>
          <w:szCs w:val="24"/>
        </w:rPr>
        <w:t xml:space="preserve"> </w:t>
      </w:r>
      <w:r w:rsidRPr="0032119E">
        <w:rPr>
          <w:rFonts w:ascii="Book Antiqua" w:hAnsi="Book Antiqua" w:cs="Times New Roman"/>
          <w:sz w:val="24"/>
          <w:szCs w:val="24"/>
        </w:rPr>
        <w:t xml:space="preserve">11.4% respectively, </w:t>
      </w:r>
      <w:r w:rsidRPr="0032119E">
        <w:rPr>
          <w:rFonts w:ascii="Book Antiqua" w:hAnsi="Book Antiqua" w:cs="Times New Roman"/>
          <w:i/>
          <w:sz w:val="24"/>
          <w:szCs w:val="24"/>
        </w:rPr>
        <w:t>P</w:t>
      </w:r>
      <w:r w:rsidR="0032119E" w:rsidRPr="0032119E">
        <w:rPr>
          <w:rFonts w:ascii="Book Antiqua" w:hAnsi="Book Antiqua" w:cs="Times New Roman"/>
          <w:sz w:val="24"/>
          <w:szCs w:val="24"/>
        </w:rPr>
        <w:t xml:space="preserve"> </w:t>
      </w:r>
      <w:r w:rsidRPr="0032119E">
        <w:rPr>
          <w:rFonts w:ascii="Book Antiqua" w:hAnsi="Book Antiqua" w:cs="Times New Roman"/>
          <w:sz w:val="24"/>
          <w:szCs w:val="24"/>
        </w:rPr>
        <w:t>&lt;</w:t>
      </w:r>
      <w:r w:rsidR="0032119E" w:rsidRPr="0032119E">
        <w:rPr>
          <w:rFonts w:ascii="Book Antiqua" w:hAnsi="Book Antiqua" w:cs="Times New Roman"/>
          <w:sz w:val="24"/>
          <w:szCs w:val="24"/>
        </w:rPr>
        <w:t xml:space="preserve"> </w:t>
      </w:r>
      <w:r w:rsidRPr="0032119E">
        <w:rPr>
          <w:rFonts w:ascii="Book Antiqua" w:hAnsi="Book Antiqua" w:cs="Times New Roman"/>
          <w:sz w:val="24"/>
          <w:szCs w:val="24"/>
        </w:rPr>
        <w:t>0.01).</w:t>
      </w:r>
      <w:r w:rsidR="00432B24" w:rsidRPr="0032119E">
        <w:rPr>
          <w:rFonts w:ascii="Book Antiqua" w:hAnsi="Book Antiqua"/>
          <w:sz w:val="24"/>
          <w:szCs w:val="24"/>
        </w:rPr>
        <w:t xml:space="preserve"> </w:t>
      </w:r>
      <w:r w:rsidR="00432B24" w:rsidRPr="0032119E">
        <w:rPr>
          <w:rFonts w:ascii="Book Antiqua" w:hAnsi="Book Antiqua" w:hint="eastAsia"/>
          <w:sz w:val="24"/>
          <w:szCs w:val="24"/>
        </w:rPr>
        <w:t xml:space="preserve">In addition, </w:t>
      </w:r>
      <w:r w:rsidR="00432B24" w:rsidRPr="0032119E">
        <w:rPr>
          <w:rFonts w:ascii="Book Antiqua" w:hAnsi="Book Antiqua"/>
          <w:sz w:val="24"/>
          <w:szCs w:val="24"/>
        </w:rPr>
        <w:t xml:space="preserve">Glypican 3 was the most sensitive marker </w:t>
      </w:r>
      <w:r w:rsidR="00432B24" w:rsidRPr="0032119E">
        <w:rPr>
          <w:rFonts w:ascii="Book Antiqua" w:hAnsi="Book Antiqua" w:hint="eastAsia"/>
          <w:sz w:val="24"/>
          <w:szCs w:val="24"/>
        </w:rPr>
        <w:t xml:space="preserve">for GCED </w:t>
      </w:r>
      <w:r w:rsidR="00432B24" w:rsidRPr="0032119E">
        <w:rPr>
          <w:rFonts w:ascii="Book Antiqua" w:hAnsi="Book Antiqua"/>
          <w:sz w:val="24"/>
          <w:szCs w:val="24"/>
        </w:rPr>
        <w:t>(positivity, 83.3%)</w:t>
      </w:r>
      <w:r w:rsidR="00432B24" w:rsidRPr="0032119E">
        <w:rPr>
          <w:rFonts w:ascii="Book Antiqua" w:hAnsi="Book Antiqua" w:hint="eastAsia"/>
          <w:sz w:val="24"/>
          <w:szCs w:val="24"/>
        </w:rPr>
        <w:t>, i</w:t>
      </w:r>
      <w:r w:rsidR="00432B24" w:rsidRPr="0032119E">
        <w:rPr>
          <w:rFonts w:ascii="Book Antiqua" w:hAnsi="Book Antiqua"/>
          <w:sz w:val="24"/>
          <w:szCs w:val="24"/>
        </w:rPr>
        <w:t>mmunohistochemically.</w:t>
      </w:r>
      <w:r w:rsidR="00432B24" w:rsidRPr="0032119E">
        <w:rPr>
          <w:rFonts w:ascii="Book Antiqua" w:hAnsi="Book Antiqua" w:hint="eastAsia"/>
          <w:sz w:val="24"/>
          <w:szCs w:val="24"/>
        </w:rPr>
        <w:t xml:space="preserve"> </w:t>
      </w:r>
      <w:r w:rsidRPr="0032119E">
        <w:rPr>
          <w:rFonts w:ascii="Book Antiqua" w:hAnsi="Book Antiqua" w:cs="Times New Roman"/>
          <w:sz w:val="24"/>
          <w:szCs w:val="24"/>
        </w:rPr>
        <w:t>GCED has high malignant potential even at an early stage, and preoperative diagnosis is considered difficult. Further investigations are needed to establish optimal treatment approaches for GCED.</w:t>
      </w:r>
    </w:p>
    <w:p w:rsidR="00D5381F" w:rsidRPr="0032119E" w:rsidRDefault="00D5381F" w:rsidP="00B20484">
      <w:pPr>
        <w:widowControl/>
        <w:snapToGrid w:val="0"/>
        <w:spacing w:line="360" w:lineRule="auto"/>
        <w:rPr>
          <w:rFonts w:ascii="Book Antiqua" w:hAnsi="Book Antiqua" w:cs="Times New Roman"/>
          <w:sz w:val="24"/>
          <w:szCs w:val="24"/>
        </w:rPr>
      </w:pPr>
    </w:p>
    <w:p w:rsidR="00D5381F" w:rsidRPr="0032119E" w:rsidRDefault="00D5381F" w:rsidP="00B20484">
      <w:pPr>
        <w:widowControl/>
        <w:snapToGrid w:val="0"/>
        <w:spacing w:line="360" w:lineRule="auto"/>
        <w:rPr>
          <w:rFonts w:ascii="Book Antiqua" w:hAnsi="Book Antiqua" w:cs="Times New Roman"/>
          <w:b/>
          <w:sz w:val="24"/>
          <w:szCs w:val="24"/>
        </w:rPr>
      </w:pPr>
      <w:r w:rsidRPr="0032119E">
        <w:rPr>
          <w:rFonts w:ascii="Book Antiqua" w:hAnsi="Book Antiqua" w:cs="Times New Roman"/>
          <w:sz w:val="24"/>
          <w:szCs w:val="24"/>
        </w:rPr>
        <w:t>Matsumoto</w:t>
      </w:r>
      <w:r w:rsidRPr="0032119E">
        <w:rPr>
          <w:rFonts w:ascii="Book Antiqua" w:hAnsi="Book Antiqua" w:cs="Times New Roman" w:hint="eastAsia"/>
          <w:sz w:val="24"/>
          <w:szCs w:val="24"/>
        </w:rPr>
        <w:t xml:space="preserve"> K</w:t>
      </w:r>
      <w:r w:rsidR="00A11C61" w:rsidRPr="0032119E">
        <w:rPr>
          <w:rFonts w:ascii="Book Antiqua" w:hAnsi="Book Antiqua" w:cs="Times New Roman" w:hint="eastAsia"/>
          <w:sz w:val="24"/>
          <w:szCs w:val="24"/>
        </w:rPr>
        <w:t>ohei</w:t>
      </w:r>
      <w:r w:rsidRPr="0032119E">
        <w:rPr>
          <w:rFonts w:ascii="Book Antiqua" w:hAnsi="Book Antiqua" w:cs="Times New Roman"/>
          <w:sz w:val="24"/>
          <w:szCs w:val="24"/>
        </w:rPr>
        <w:t>, Ueyama H, Matsumoto</w:t>
      </w:r>
      <w:r w:rsidRPr="0032119E">
        <w:rPr>
          <w:rFonts w:ascii="Book Antiqua" w:hAnsi="Book Antiqua" w:cs="Times New Roman" w:hint="eastAsia"/>
          <w:sz w:val="24"/>
          <w:szCs w:val="24"/>
        </w:rPr>
        <w:t xml:space="preserve"> K</w:t>
      </w:r>
      <w:r w:rsidR="00A11C61" w:rsidRPr="0032119E">
        <w:rPr>
          <w:rFonts w:ascii="Book Antiqua" w:hAnsi="Book Antiqua" w:cs="Times New Roman" w:hint="eastAsia"/>
          <w:sz w:val="24"/>
          <w:szCs w:val="24"/>
        </w:rPr>
        <w:t>enshi</w:t>
      </w:r>
      <w:r w:rsidRPr="0032119E">
        <w:rPr>
          <w:rFonts w:ascii="Book Antiqua" w:hAnsi="Book Antiqua" w:cs="Times New Roman"/>
          <w:sz w:val="24"/>
          <w:szCs w:val="24"/>
        </w:rPr>
        <w:t>, Akazawa</w:t>
      </w:r>
      <w:r w:rsidRPr="0032119E">
        <w:rPr>
          <w:rFonts w:ascii="Book Antiqua" w:hAnsi="Book Antiqua" w:cs="Times New Roman" w:hint="eastAsia"/>
          <w:sz w:val="24"/>
          <w:szCs w:val="24"/>
        </w:rPr>
        <w:t xml:space="preserve"> Y</w:t>
      </w:r>
      <w:r w:rsidRPr="0032119E">
        <w:rPr>
          <w:rFonts w:ascii="Book Antiqua" w:hAnsi="Book Antiqua" w:cs="Times New Roman"/>
          <w:sz w:val="24"/>
          <w:szCs w:val="24"/>
        </w:rPr>
        <w:t>, Komori</w:t>
      </w:r>
      <w:r w:rsidRPr="0032119E">
        <w:rPr>
          <w:rFonts w:ascii="Book Antiqua" w:hAnsi="Book Antiqua" w:cs="Times New Roman" w:hint="eastAsia"/>
          <w:sz w:val="24"/>
          <w:szCs w:val="24"/>
        </w:rPr>
        <w:t xml:space="preserve"> H</w:t>
      </w:r>
      <w:r w:rsidRPr="0032119E">
        <w:rPr>
          <w:rFonts w:ascii="Book Antiqua" w:hAnsi="Book Antiqua" w:cs="Times New Roman"/>
          <w:sz w:val="24"/>
          <w:szCs w:val="24"/>
        </w:rPr>
        <w:t>, Takeda</w:t>
      </w:r>
      <w:r w:rsidRPr="0032119E">
        <w:rPr>
          <w:rFonts w:ascii="Book Antiqua" w:hAnsi="Book Antiqua" w:cs="Times New Roman" w:hint="eastAsia"/>
          <w:sz w:val="24"/>
          <w:szCs w:val="24"/>
        </w:rPr>
        <w:t xml:space="preserve"> T</w:t>
      </w:r>
      <w:r w:rsidRPr="0032119E">
        <w:rPr>
          <w:rFonts w:ascii="Book Antiqua" w:hAnsi="Book Antiqua" w:cs="Times New Roman"/>
          <w:sz w:val="24"/>
          <w:szCs w:val="24"/>
        </w:rPr>
        <w:t>, Murakami</w:t>
      </w:r>
      <w:r w:rsidRPr="0032119E">
        <w:rPr>
          <w:rFonts w:ascii="Book Antiqua" w:hAnsi="Book Antiqua" w:cs="Times New Roman" w:hint="eastAsia"/>
          <w:sz w:val="24"/>
          <w:szCs w:val="24"/>
        </w:rPr>
        <w:t xml:space="preserve"> T</w:t>
      </w:r>
      <w:r w:rsidRPr="0032119E">
        <w:rPr>
          <w:rFonts w:ascii="Book Antiqua" w:hAnsi="Book Antiqua" w:cs="Times New Roman"/>
          <w:sz w:val="24"/>
          <w:szCs w:val="24"/>
        </w:rPr>
        <w:t xml:space="preserve">, </w:t>
      </w:r>
      <w:r w:rsidRPr="0032119E">
        <w:rPr>
          <w:rFonts w:ascii="Book Antiqua" w:hAnsi="Book Antiqua" w:cs="Times New Roman" w:hint="eastAsia"/>
          <w:sz w:val="24"/>
          <w:szCs w:val="24"/>
        </w:rPr>
        <w:t>Asaoka D, Hojo M, Natsumi T, Nagahara A,</w:t>
      </w:r>
      <w:r w:rsidR="0032119E" w:rsidRPr="0032119E">
        <w:rPr>
          <w:rFonts w:ascii="Book Antiqua" w:hAnsi="Book Antiqua" w:cs="Times New Roman"/>
          <w:sz w:val="24"/>
          <w:szCs w:val="24"/>
        </w:rPr>
        <w:t xml:space="preserve"> </w:t>
      </w:r>
      <w:r w:rsidRPr="0032119E">
        <w:rPr>
          <w:rFonts w:ascii="Book Antiqua" w:hAnsi="Book Antiqua" w:cs="Times New Roman" w:hint="eastAsia"/>
          <w:sz w:val="24"/>
          <w:szCs w:val="24"/>
        </w:rPr>
        <w:t>Kajiyama</w:t>
      </w:r>
      <w:r w:rsidRPr="0032119E">
        <w:rPr>
          <w:rFonts w:ascii="Book Antiqua" w:hAnsi="Book Antiqua" w:cs="Times New Roman"/>
          <w:sz w:val="24"/>
          <w:szCs w:val="24"/>
        </w:rPr>
        <w:t xml:space="preserve"> </w:t>
      </w:r>
      <w:r w:rsidRPr="0032119E">
        <w:rPr>
          <w:rFonts w:ascii="Book Antiqua" w:hAnsi="Book Antiqua" w:cs="Times New Roman" w:hint="eastAsia"/>
          <w:sz w:val="24"/>
          <w:szCs w:val="24"/>
        </w:rPr>
        <w:t xml:space="preserve">Y, </w:t>
      </w:r>
      <w:r w:rsidR="00A11C61" w:rsidRPr="0032119E">
        <w:rPr>
          <w:rFonts w:ascii="Book Antiqua" w:hAnsi="Book Antiqua" w:cs="Times New Roman"/>
          <w:sz w:val="24"/>
          <w:szCs w:val="24"/>
        </w:rPr>
        <w:t>Yao</w:t>
      </w:r>
      <w:r w:rsidR="00A11C61" w:rsidRPr="0032119E">
        <w:rPr>
          <w:rFonts w:ascii="Book Antiqua" w:hAnsi="Book Antiqua" w:cs="Times New Roman" w:hint="eastAsia"/>
          <w:sz w:val="24"/>
          <w:szCs w:val="24"/>
        </w:rPr>
        <w:t xml:space="preserve"> T</w:t>
      </w:r>
      <w:r w:rsidR="00A11C61" w:rsidRPr="0032119E">
        <w:rPr>
          <w:rFonts w:ascii="Book Antiqua" w:hAnsi="Book Antiqua" w:cs="Times New Roman"/>
          <w:sz w:val="24"/>
          <w:szCs w:val="24"/>
        </w:rPr>
        <w:t>,</w:t>
      </w:r>
      <w:r w:rsidR="00CD21D0">
        <w:rPr>
          <w:rFonts w:ascii="Book Antiqua" w:hAnsi="Book Antiqua" w:cs="Times New Roman"/>
          <w:sz w:val="24"/>
          <w:szCs w:val="24"/>
        </w:rPr>
        <w:t xml:space="preserve"> </w:t>
      </w:r>
      <w:r w:rsidRPr="0032119E">
        <w:rPr>
          <w:rFonts w:ascii="Book Antiqua" w:hAnsi="Book Antiqua" w:cs="Times New Roman"/>
          <w:sz w:val="24"/>
          <w:szCs w:val="24"/>
        </w:rPr>
        <w:t>Watanabe</w:t>
      </w:r>
      <w:r w:rsidRPr="0032119E">
        <w:rPr>
          <w:rFonts w:ascii="Book Antiqua" w:hAnsi="Book Antiqua" w:cs="Times New Roman" w:hint="eastAsia"/>
          <w:sz w:val="24"/>
          <w:szCs w:val="24"/>
        </w:rPr>
        <w:t xml:space="preserve"> S.</w:t>
      </w:r>
      <w:r w:rsidR="00CD21D0">
        <w:rPr>
          <w:rFonts w:ascii="Book Antiqua" w:hAnsi="Book Antiqua" w:cs="Times New Roman"/>
          <w:sz w:val="24"/>
          <w:szCs w:val="24"/>
        </w:rPr>
        <w:t xml:space="preserve"> </w:t>
      </w:r>
      <w:r w:rsidR="0032119E" w:rsidRPr="0032119E">
        <w:rPr>
          <w:rFonts w:ascii="Book Antiqua" w:hAnsi="Book Antiqua" w:cs="Times New Roman" w:hint="eastAsia"/>
          <w:sz w:val="24"/>
          <w:szCs w:val="24"/>
        </w:rPr>
        <w:t>C</w:t>
      </w:r>
      <w:r w:rsidR="0032119E" w:rsidRPr="0032119E">
        <w:rPr>
          <w:rFonts w:ascii="Book Antiqua" w:hAnsi="Book Antiqua" w:cs="Times New Roman"/>
          <w:sz w:val="24"/>
          <w:szCs w:val="24"/>
        </w:rPr>
        <w:t xml:space="preserve">linicopathological features of </w:t>
      </w:r>
      <w:r w:rsidR="0032119E" w:rsidRPr="0032119E">
        <w:rPr>
          <w:rFonts w:ascii="Book Antiqua" w:hAnsi="Book Antiqua" w:cs="Times New Roman" w:hint="eastAsia"/>
          <w:sz w:val="24"/>
          <w:szCs w:val="24"/>
        </w:rPr>
        <w:t>alpha</w:t>
      </w:r>
      <w:r w:rsidR="0032119E" w:rsidRPr="0032119E">
        <w:rPr>
          <w:rFonts w:ascii="Book Antiqua" w:hAnsi="Book Antiqua" w:cs="Times New Roman"/>
          <w:sz w:val="24"/>
          <w:szCs w:val="24"/>
        </w:rPr>
        <w:t>-</w:t>
      </w:r>
      <w:r w:rsidR="0032119E" w:rsidRPr="0032119E">
        <w:rPr>
          <w:rFonts w:ascii="Book Antiqua" w:hAnsi="Book Antiqua" w:cs="Times New Roman" w:hint="eastAsia"/>
          <w:sz w:val="24"/>
          <w:szCs w:val="24"/>
        </w:rPr>
        <w:t>fetoprotein producing</w:t>
      </w:r>
      <w:r w:rsidR="0032119E" w:rsidRPr="0032119E">
        <w:rPr>
          <w:rFonts w:ascii="Book Antiqua" w:hAnsi="Book Antiqua" w:cs="Times New Roman"/>
          <w:sz w:val="24"/>
          <w:szCs w:val="24"/>
        </w:rPr>
        <w:t xml:space="preserve"> </w:t>
      </w:r>
      <w:r w:rsidR="0032119E" w:rsidRPr="0032119E">
        <w:rPr>
          <w:rFonts w:ascii="Book Antiqua" w:hAnsi="Book Antiqua" w:cs="Times New Roman" w:hint="eastAsia"/>
          <w:sz w:val="24"/>
          <w:szCs w:val="24"/>
        </w:rPr>
        <w:t>early gastric cancer with enteroblastic differentiation</w:t>
      </w:r>
      <w:r w:rsidR="0032119E" w:rsidRPr="0032119E">
        <w:rPr>
          <w:rFonts w:ascii="Book Antiqua" w:hAnsi="Book Antiqua" w:cs="Times New Roman"/>
          <w:sz w:val="24"/>
          <w:szCs w:val="24"/>
        </w:rPr>
        <w:t>.</w:t>
      </w:r>
      <w:r w:rsidR="0032119E" w:rsidRPr="0032119E">
        <w:rPr>
          <w:rFonts w:ascii="Book Antiqua" w:hAnsi="Book Antiqua" w:cs="Times New Roman"/>
          <w:b/>
          <w:sz w:val="24"/>
          <w:szCs w:val="24"/>
        </w:rPr>
        <w:t xml:space="preserve"> </w:t>
      </w:r>
      <w:r w:rsidR="00DF691A" w:rsidRPr="0032119E">
        <w:rPr>
          <w:rFonts w:ascii="Book Antiqua" w:hAnsi="Book Antiqua" w:cs="Times New Roman"/>
          <w:i/>
          <w:iCs/>
          <w:sz w:val="24"/>
          <w:szCs w:val="24"/>
        </w:rPr>
        <w:t xml:space="preserve">World J Gastroenterol </w:t>
      </w:r>
      <w:r w:rsidR="00DF691A" w:rsidRPr="0032119E">
        <w:rPr>
          <w:rFonts w:ascii="Book Antiqua" w:hAnsi="Book Antiqua" w:cs="Times New Roman"/>
          <w:sz w:val="24"/>
          <w:szCs w:val="24"/>
        </w:rPr>
        <w:t>201</w:t>
      </w:r>
      <w:r w:rsidR="00DF691A" w:rsidRPr="0032119E">
        <w:rPr>
          <w:rFonts w:ascii="Book Antiqua" w:hAnsi="Book Antiqua" w:cs="Times New Roman" w:hint="eastAsia"/>
          <w:sz w:val="24"/>
          <w:szCs w:val="24"/>
        </w:rPr>
        <w:t>6</w:t>
      </w:r>
      <w:r w:rsidR="00DF691A" w:rsidRPr="0032119E">
        <w:rPr>
          <w:rFonts w:ascii="Book Antiqua" w:hAnsi="Book Antiqua" w:cs="Times New Roman"/>
          <w:sz w:val="24"/>
          <w:szCs w:val="24"/>
        </w:rPr>
        <w:t>; In press</w:t>
      </w:r>
    </w:p>
    <w:p w:rsidR="008A4F56" w:rsidRPr="0032119E" w:rsidRDefault="008A4F56" w:rsidP="00B20484">
      <w:pPr>
        <w:snapToGrid w:val="0"/>
        <w:spacing w:line="360" w:lineRule="auto"/>
        <w:rPr>
          <w:rFonts w:ascii="Book Antiqua" w:hAnsi="Book Antiqua"/>
          <w:b/>
          <w:sz w:val="24"/>
          <w:szCs w:val="24"/>
        </w:rPr>
      </w:pPr>
      <w:r w:rsidRPr="0032119E">
        <w:rPr>
          <w:rFonts w:ascii="Book Antiqua" w:hAnsi="Book Antiqua"/>
          <w:b/>
          <w:sz w:val="24"/>
          <w:szCs w:val="24"/>
        </w:rPr>
        <w:lastRenderedPageBreak/>
        <w:t>I</w:t>
      </w:r>
      <w:r w:rsidR="00DF691A" w:rsidRPr="0032119E">
        <w:rPr>
          <w:rFonts w:ascii="Book Antiqua" w:hAnsi="Book Antiqua" w:hint="eastAsia"/>
          <w:b/>
          <w:sz w:val="24"/>
          <w:szCs w:val="24"/>
        </w:rPr>
        <w:t>NTRODUCTION</w:t>
      </w:r>
    </w:p>
    <w:p w:rsidR="008A4F56" w:rsidRPr="0032119E" w:rsidRDefault="008A4F56" w:rsidP="00B20484">
      <w:pPr>
        <w:snapToGrid w:val="0"/>
        <w:spacing w:line="360" w:lineRule="auto"/>
        <w:rPr>
          <w:rFonts w:ascii="Book Antiqua" w:hAnsi="Book Antiqua"/>
          <w:sz w:val="24"/>
          <w:szCs w:val="24"/>
        </w:rPr>
      </w:pPr>
      <w:r w:rsidRPr="0032119E">
        <w:rPr>
          <w:rFonts w:ascii="Book Antiqua" w:hAnsi="Book Antiqua"/>
          <w:sz w:val="24"/>
          <w:szCs w:val="24"/>
        </w:rPr>
        <w:t>Gastric cancer with enteroblastic differentiation (GCED) was proposed as a very rare variant of alpha-fetoprotein-producing gastric cancer (AFPGC) and its clinicopathological features have not been well elucidated. There are few reports about GCED, and most are case reports. In these earlier reported cases, GCED was histologically characterized as having a primitive intestine-like structure composed of cuboidal or columnar cells with clear cytoplasm</w:t>
      </w:r>
      <w:r w:rsidRPr="0032119E">
        <w:rPr>
          <w:rFonts w:ascii="Book Antiqua" w:hAnsi="Book Antiqua"/>
          <w:sz w:val="24"/>
          <w:szCs w:val="24"/>
          <w:vertAlign w:val="superscript"/>
        </w:rPr>
        <w:t>[1-3]</w:t>
      </w:r>
      <w:r w:rsidRPr="0032119E">
        <w:rPr>
          <w:rFonts w:ascii="Book Antiqua" w:hAnsi="Book Antiqua"/>
          <w:sz w:val="24"/>
          <w:szCs w:val="24"/>
        </w:rPr>
        <w:t>.</w:t>
      </w:r>
      <w:r w:rsidRPr="0032119E">
        <w:rPr>
          <w:rFonts w:ascii="Book Antiqua" w:hAnsi="Book Antiqua"/>
          <w:sz w:val="24"/>
          <w:szCs w:val="24"/>
        </w:rPr>
        <w:t xml:space="preserve">　</w:t>
      </w:r>
      <w:r w:rsidRPr="0032119E">
        <w:rPr>
          <w:rFonts w:ascii="Book Antiqua" w:hAnsi="Book Antiqua"/>
          <w:sz w:val="24"/>
          <w:szCs w:val="24"/>
        </w:rPr>
        <w:t>Murakami et al. reported 29 cases of GCED in which stages ranged from an early to an advanced stage based on clinicopathologic and immunohistochemical characteristics. They proposed that GCED showed aggressive behavior such as lymphatic and venous invasion, lymph node metastasis, and liver metastasis, and its clinicopathologic features were similar to t</w:t>
      </w:r>
      <w:r w:rsidR="00DA61CC" w:rsidRPr="0032119E">
        <w:rPr>
          <w:rFonts w:ascii="Book Antiqua" w:hAnsi="Book Antiqua"/>
          <w:sz w:val="24"/>
          <w:szCs w:val="24"/>
        </w:rPr>
        <w:t xml:space="preserve">hose of </w:t>
      </w:r>
      <w:r w:rsidR="007E43F5" w:rsidRPr="0032119E">
        <w:rPr>
          <w:rFonts w:ascii="Book Antiqua" w:hAnsi="Book Antiqua"/>
          <w:sz w:val="24"/>
          <w:szCs w:val="24"/>
        </w:rPr>
        <w:t>AFPGC</w:t>
      </w:r>
      <w:r w:rsidR="007E43F5" w:rsidRPr="0032119E">
        <w:rPr>
          <w:rFonts w:ascii="Book Antiqua" w:hAnsi="Book Antiqua"/>
          <w:sz w:val="24"/>
          <w:szCs w:val="24"/>
          <w:vertAlign w:val="superscript"/>
        </w:rPr>
        <w:t>[</w:t>
      </w:r>
      <w:r w:rsidRPr="0032119E">
        <w:rPr>
          <w:rFonts w:ascii="Book Antiqua" w:hAnsi="Book Antiqua"/>
          <w:sz w:val="24"/>
          <w:szCs w:val="24"/>
          <w:vertAlign w:val="superscript"/>
        </w:rPr>
        <w:t>4]</w:t>
      </w:r>
      <w:r w:rsidR="0032119E" w:rsidRPr="0032119E">
        <w:rPr>
          <w:rFonts w:ascii="Book Antiqua" w:hAnsi="Book Antiqua"/>
          <w:sz w:val="24"/>
          <w:szCs w:val="24"/>
        </w:rPr>
        <w:t>.</w:t>
      </w:r>
    </w:p>
    <w:p w:rsidR="008A4F56" w:rsidRPr="0032119E" w:rsidRDefault="008A4F56" w:rsidP="00B20484">
      <w:pPr>
        <w:snapToGrid w:val="0"/>
        <w:spacing w:line="360" w:lineRule="auto"/>
        <w:ind w:firstLineChars="100" w:firstLine="240"/>
        <w:rPr>
          <w:rFonts w:ascii="Book Antiqua" w:hAnsi="Book Antiqua"/>
          <w:sz w:val="24"/>
          <w:szCs w:val="24"/>
        </w:rPr>
      </w:pPr>
      <w:r w:rsidRPr="0032119E">
        <w:rPr>
          <w:rFonts w:ascii="Book Antiqua" w:hAnsi="Book Antiqua"/>
          <w:sz w:val="24"/>
          <w:szCs w:val="24"/>
        </w:rPr>
        <w:t>Recently, with the advent and widespread use of endoscopic submucosal dissection</w:t>
      </w:r>
      <w:r w:rsidR="00D937E4" w:rsidRPr="0032119E">
        <w:rPr>
          <w:rFonts w:ascii="Book Antiqua" w:hAnsi="Book Antiqua" w:hint="eastAsia"/>
          <w:sz w:val="24"/>
          <w:szCs w:val="24"/>
        </w:rPr>
        <w:t xml:space="preserve"> (ESD)</w:t>
      </w:r>
      <w:r w:rsidRPr="0032119E">
        <w:rPr>
          <w:rFonts w:ascii="Book Antiqua" w:hAnsi="Book Antiqua"/>
          <w:sz w:val="24"/>
          <w:szCs w:val="24"/>
        </w:rPr>
        <w:t>, indications for endoscopic treatment of early stage gastric cancer have been expanding rapidly. Therefore, it is necessary for endoscopists to know the clinicopathological features of various histological types of early gastric cancer. However, no report has focused on the early stage of GCED. This study aimed to clarify the clinicopathological features of early stage GCED by comparisons with the early stage of conventional gastric cancer (CGC), including well or moderately differentiated carcinoma.</w:t>
      </w:r>
    </w:p>
    <w:p w:rsidR="00C17A59" w:rsidRPr="0032119E" w:rsidRDefault="00C17A59" w:rsidP="00B20484">
      <w:pPr>
        <w:snapToGrid w:val="0"/>
        <w:spacing w:line="360" w:lineRule="auto"/>
        <w:rPr>
          <w:rFonts w:ascii="Book Antiqua" w:hAnsi="Book Antiqua"/>
          <w:b/>
          <w:sz w:val="24"/>
          <w:szCs w:val="24"/>
        </w:rPr>
      </w:pPr>
    </w:p>
    <w:p w:rsidR="008A4F56" w:rsidRPr="0032119E" w:rsidRDefault="008A4F56" w:rsidP="00B20484">
      <w:pPr>
        <w:snapToGrid w:val="0"/>
        <w:spacing w:line="360" w:lineRule="auto"/>
        <w:rPr>
          <w:rFonts w:ascii="Book Antiqua" w:hAnsi="Book Antiqua"/>
          <w:b/>
          <w:sz w:val="24"/>
          <w:szCs w:val="24"/>
        </w:rPr>
      </w:pPr>
      <w:r w:rsidRPr="0032119E">
        <w:rPr>
          <w:rFonts w:ascii="Book Antiqua" w:hAnsi="Book Antiqua"/>
          <w:b/>
          <w:sz w:val="24"/>
          <w:szCs w:val="24"/>
        </w:rPr>
        <w:t>M</w:t>
      </w:r>
      <w:r w:rsidR="00DF691A" w:rsidRPr="0032119E">
        <w:rPr>
          <w:rFonts w:ascii="Book Antiqua" w:hAnsi="Book Antiqua" w:hint="eastAsia"/>
          <w:b/>
          <w:sz w:val="24"/>
          <w:szCs w:val="24"/>
        </w:rPr>
        <w:t>ATERIALS AND METHODS</w:t>
      </w:r>
    </w:p>
    <w:p w:rsidR="008A4F56" w:rsidRPr="0032119E" w:rsidRDefault="008A4F56" w:rsidP="00B20484">
      <w:pPr>
        <w:snapToGrid w:val="0"/>
        <w:spacing w:line="360" w:lineRule="auto"/>
        <w:rPr>
          <w:rFonts w:ascii="Book Antiqua" w:hAnsi="Book Antiqua"/>
          <w:sz w:val="24"/>
          <w:szCs w:val="24"/>
        </w:rPr>
      </w:pPr>
      <w:r w:rsidRPr="0032119E">
        <w:rPr>
          <w:rFonts w:ascii="Book Antiqua" w:hAnsi="Book Antiqua"/>
          <w:sz w:val="24"/>
          <w:szCs w:val="24"/>
        </w:rPr>
        <w:t>This study was conducted in accordance with the Declaration of Helsinki and was approved by the Juntendo University School of Medicine Institutional Review Board.</w:t>
      </w:r>
    </w:p>
    <w:p w:rsidR="00B10DC4" w:rsidRPr="0032119E" w:rsidRDefault="00D937E4" w:rsidP="00B20484">
      <w:pPr>
        <w:snapToGrid w:val="0"/>
        <w:spacing w:line="360" w:lineRule="auto"/>
        <w:ind w:firstLineChars="100" w:firstLine="240"/>
        <w:rPr>
          <w:rFonts w:ascii="Book Antiqua" w:hAnsi="Book Antiqua"/>
          <w:sz w:val="24"/>
          <w:szCs w:val="24"/>
        </w:rPr>
      </w:pPr>
      <w:r w:rsidRPr="0032119E">
        <w:rPr>
          <w:rFonts w:ascii="Book Antiqua" w:hAnsi="Book Antiqua"/>
          <w:sz w:val="24"/>
          <w:szCs w:val="24"/>
        </w:rPr>
        <w:t xml:space="preserve">All procedures were recorded in </w:t>
      </w:r>
      <w:r w:rsidR="004778F4" w:rsidRPr="0032119E">
        <w:rPr>
          <w:rFonts w:ascii="Book Antiqua" w:hAnsi="Book Antiqua"/>
          <w:sz w:val="24"/>
          <w:szCs w:val="24"/>
        </w:rPr>
        <w:t xml:space="preserve">endoscopy databases on </w:t>
      </w:r>
      <w:r w:rsidR="004778F4" w:rsidRPr="0032119E">
        <w:rPr>
          <w:rFonts w:ascii="Book Antiqua" w:hAnsi="Book Antiqua" w:hint="eastAsia"/>
          <w:sz w:val="24"/>
          <w:szCs w:val="24"/>
        </w:rPr>
        <w:t>cases</w:t>
      </w:r>
      <w:r w:rsidRPr="0032119E">
        <w:rPr>
          <w:rFonts w:ascii="Book Antiqua" w:hAnsi="Book Antiqua"/>
          <w:sz w:val="24"/>
          <w:szCs w:val="24"/>
        </w:rPr>
        <w:t xml:space="preserve"> </w:t>
      </w:r>
      <w:r w:rsidR="004778F4" w:rsidRPr="0032119E">
        <w:rPr>
          <w:rFonts w:ascii="Book Antiqua" w:hAnsi="Book Antiqua"/>
          <w:sz w:val="24"/>
          <w:szCs w:val="24"/>
        </w:rPr>
        <w:t>that</w:t>
      </w:r>
      <w:r w:rsidRPr="0032119E">
        <w:rPr>
          <w:rFonts w:ascii="Book Antiqua" w:hAnsi="Book Antiqua"/>
          <w:sz w:val="24"/>
          <w:szCs w:val="24"/>
        </w:rPr>
        <w:t xml:space="preserve"> underwent endoscopic</w:t>
      </w:r>
      <w:r w:rsidRPr="0032119E">
        <w:rPr>
          <w:rFonts w:ascii="Book Antiqua" w:hAnsi="Book Antiqua" w:hint="eastAsia"/>
          <w:sz w:val="24"/>
          <w:szCs w:val="24"/>
        </w:rPr>
        <w:t xml:space="preserve"> </w:t>
      </w:r>
      <w:r w:rsidRPr="0032119E">
        <w:rPr>
          <w:rFonts w:ascii="Book Antiqua" w:hAnsi="Book Antiqua"/>
          <w:sz w:val="24"/>
          <w:szCs w:val="24"/>
        </w:rPr>
        <w:t>resection</w:t>
      </w:r>
      <w:r w:rsidR="007A1811" w:rsidRPr="0032119E">
        <w:rPr>
          <w:rFonts w:ascii="Book Antiqua" w:hAnsi="Book Antiqua" w:hint="eastAsia"/>
          <w:sz w:val="24"/>
          <w:szCs w:val="24"/>
        </w:rPr>
        <w:t xml:space="preserve"> in our hospital</w:t>
      </w:r>
      <w:r w:rsidRPr="0032119E">
        <w:rPr>
          <w:rFonts w:ascii="Book Antiqua" w:hAnsi="Book Antiqua"/>
          <w:sz w:val="24"/>
          <w:szCs w:val="24"/>
        </w:rPr>
        <w:t>. The databases were examined to identify all</w:t>
      </w:r>
      <w:r w:rsidRPr="0032119E">
        <w:rPr>
          <w:rFonts w:ascii="Book Antiqua" w:hAnsi="Book Antiqua" w:hint="eastAsia"/>
          <w:sz w:val="24"/>
          <w:szCs w:val="24"/>
        </w:rPr>
        <w:t xml:space="preserve"> </w:t>
      </w:r>
      <w:r w:rsidR="004778F4" w:rsidRPr="0032119E">
        <w:rPr>
          <w:rFonts w:ascii="Book Antiqua" w:hAnsi="Book Antiqua" w:hint="eastAsia"/>
          <w:sz w:val="24"/>
          <w:szCs w:val="24"/>
        </w:rPr>
        <w:t>cases</w:t>
      </w:r>
      <w:r w:rsidRPr="0032119E">
        <w:rPr>
          <w:rFonts w:ascii="Book Antiqua" w:hAnsi="Book Antiqua"/>
          <w:sz w:val="24"/>
          <w:szCs w:val="24"/>
        </w:rPr>
        <w:t xml:space="preserve"> </w:t>
      </w:r>
      <w:r w:rsidR="004778F4" w:rsidRPr="0032119E">
        <w:rPr>
          <w:rFonts w:ascii="Book Antiqua" w:hAnsi="Book Antiqua"/>
          <w:sz w:val="24"/>
          <w:szCs w:val="24"/>
        </w:rPr>
        <w:t xml:space="preserve">of early stage GCED and CGC that underwent ESD or </w:t>
      </w:r>
      <w:r w:rsidR="004778F4" w:rsidRPr="0032119E">
        <w:rPr>
          <w:rFonts w:ascii="Book Antiqua" w:hAnsi="Book Antiqua"/>
          <w:sz w:val="24"/>
          <w:szCs w:val="24"/>
        </w:rPr>
        <w:lastRenderedPageBreak/>
        <w:t>endoscopic mucosal resection</w:t>
      </w:r>
      <w:r w:rsidR="004778F4" w:rsidRPr="0032119E">
        <w:rPr>
          <w:rFonts w:ascii="Book Antiqua" w:hAnsi="Book Antiqua" w:hint="eastAsia"/>
          <w:sz w:val="24"/>
          <w:szCs w:val="24"/>
        </w:rPr>
        <w:t xml:space="preserve"> </w:t>
      </w:r>
      <w:r w:rsidR="004778F4" w:rsidRPr="0032119E">
        <w:rPr>
          <w:rFonts w:ascii="Book Antiqua" w:hAnsi="Book Antiqua"/>
          <w:sz w:val="24"/>
          <w:szCs w:val="24"/>
        </w:rPr>
        <w:t>(EMR) from September 2011 to February 2015.</w:t>
      </w:r>
      <w:r w:rsidR="004778F4" w:rsidRPr="0032119E">
        <w:rPr>
          <w:rFonts w:ascii="Book Antiqua" w:hAnsi="Book Antiqua" w:hint="eastAsia"/>
          <w:sz w:val="24"/>
          <w:szCs w:val="24"/>
        </w:rPr>
        <w:t xml:space="preserve"> </w:t>
      </w:r>
      <w:r w:rsidR="004144E1" w:rsidRPr="0032119E">
        <w:rPr>
          <w:rFonts w:ascii="Book Antiqua" w:hAnsi="Book Antiqua"/>
          <w:sz w:val="24"/>
          <w:szCs w:val="24"/>
        </w:rPr>
        <w:t>We evaluated the comparison between early gastric cancer with a GCED component and early stage CGC clinicopathologically.</w:t>
      </w:r>
      <w:r w:rsidR="00B10DC4" w:rsidRPr="0032119E">
        <w:rPr>
          <w:rFonts w:ascii="Book Antiqua" w:hAnsi="Book Antiqua" w:hint="eastAsia"/>
          <w:sz w:val="24"/>
          <w:szCs w:val="24"/>
        </w:rPr>
        <w:t xml:space="preserve"> </w:t>
      </w:r>
    </w:p>
    <w:p w:rsidR="008A4F56" w:rsidRPr="0032119E" w:rsidRDefault="008A4F56" w:rsidP="00B20484">
      <w:pPr>
        <w:snapToGrid w:val="0"/>
        <w:spacing w:line="360" w:lineRule="auto"/>
        <w:ind w:firstLineChars="100" w:firstLine="240"/>
        <w:rPr>
          <w:rFonts w:ascii="Book Antiqua" w:hAnsi="Book Antiqua"/>
          <w:sz w:val="24"/>
          <w:szCs w:val="24"/>
        </w:rPr>
      </w:pPr>
      <w:r w:rsidRPr="0032119E">
        <w:rPr>
          <w:rFonts w:ascii="Book Antiqua" w:hAnsi="Book Antiqua"/>
          <w:sz w:val="24"/>
          <w:szCs w:val="24"/>
        </w:rPr>
        <w:t xml:space="preserve">GCED was defined as a tumor having a primitive intestine-like structure composed of cuboidal or columnar cells with clear cytoplasm and immunohistochemical positivity for either alpha-fetoprotein (AFP) (rabbit polyclonal, 1:1000; Dako, Glostrup, Denmark), Glypican 3 (clone 1G12, 1:200; BioMosaics, Burlington, VT, </w:t>
      </w:r>
      <w:r w:rsidR="0032119E" w:rsidRPr="0032119E">
        <w:rPr>
          <w:rFonts w:ascii="Book Antiqua" w:hAnsi="Book Antiqua"/>
          <w:sz w:val="24"/>
          <w:szCs w:val="24"/>
        </w:rPr>
        <w:t>United States</w:t>
      </w:r>
      <w:r w:rsidRPr="0032119E">
        <w:rPr>
          <w:rFonts w:ascii="Book Antiqua" w:hAnsi="Book Antiqua"/>
          <w:sz w:val="24"/>
          <w:szCs w:val="24"/>
        </w:rPr>
        <w:t>) or SALL4 (clone 6E3, 1:100; Abnova, Taipei, Taiwan). Results of histology and immunohistochemical staining were evaluated by two pathologists specialized in the gastrointestinal tract.</w:t>
      </w:r>
      <w:r w:rsidR="003E2726" w:rsidRPr="0032119E">
        <w:rPr>
          <w:rFonts w:ascii="Book Antiqua" w:hAnsi="Book Antiqua" w:hint="eastAsia"/>
          <w:sz w:val="24"/>
          <w:szCs w:val="24"/>
        </w:rPr>
        <w:t xml:space="preserve"> </w:t>
      </w:r>
      <w:r w:rsidR="003E2726" w:rsidRPr="0032119E">
        <w:rPr>
          <w:rFonts w:ascii="Book Antiqua" w:hAnsi="Book Antiqua"/>
          <w:sz w:val="24"/>
          <w:szCs w:val="24"/>
        </w:rPr>
        <w:t>We determined curative resection criteria according to Gastric Cancer Treatment Guidelines 2010</w:t>
      </w:r>
      <w:r w:rsidR="009570AD" w:rsidRPr="0032119E">
        <w:rPr>
          <w:rFonts w:ascii="Book Antiqua" w:hAnsi="Book Antiqua" w:hint="eastAsia"/>
          <w:sz w:val="24"/>
          <w:szCs w:val="24"/>
        </w:rPr>
        <w:t xml:space="preserve"> or</w:t>
      </w:r>
      <w:r w:rsidR="00432B24" w:rsidRPr="0032119E">
        <w:rPr>
          <w:rFonts w:ascii="Book Antiqua" w:hAnsi="Book Antiqua" w:hint="eastAsia"/>
          <w:sz w:val="24"/>
          <w:szCs w:val="24"/>
        </w:rPr>
        <w:t xml:space="preserve"> 2014</w:t>
      </w:r>
      <w:r w:rsidR="003E2726" w:rsidRPr="0032119E">
        <w:rPr>
          <w:rFonts w:ascii="Book Antiqua" w:hAnsi="Book Antiqua"/>
          <w:sz w:val="24"/>
          <w:szCs w:val="24"/>
        </w:rPr>
        <w:t xml:space="preserve"> provided by the Japa</w:t>
      </w:r>
      <w:r w:rsidR="0032119E" w:rsidRPr="0032119E">
        <w:rPr>
          <w:rFonts w:ascii="Book Antiqua" w:hAnsi="Book Antiqua"/>
          <w:sz w:val="24"/>
          <w:szCs w:val="24"/>
        </w:rPr>
        <w:t>nese Gastric Cancer Association</w:t>
      </w:r>
      <w:r w:rsidR="003E2726" w:rsidRPr="0032119E">
        <w:rPr>
          <w:rFonts w:ascii="Book Antiqua" w:hAnsi="Book Antiqua"/>
          <w:sz w:val="24"/>
          <w:szCs w:val="24"/>
          <w:vertAlign w:val="superscript"/>
        </w:rPr>
        <w:t>[5</w:t>
      </w:r>
      <w:r w:rsidR="0032119E" w:rsidRPr="0032119E">
        <w:rPr>
          <w:rFonts w:ascii="Book Antiqua" w:hAnsi="Book Antiqua" w:hint="eastAsia"/>
          <w:sz w:val="24"/>
          <w:szCs w:val="24"/>
          <w:vertAlign w:val="superscript"/>
        </w:rPr>
        <w:t>,</w:t>
      </w:r>
      <w:r w:rsidR="00850653" w:rsidRPr="0032119E">
        <w:rPr>
          <w:rFonts w:ascii="Book Antiqua" w:hAnsi="Book Antiqua" w:hint="eastAsia"/>
          <w:sz w:val="24"/>
          <w:szCs w:val="24"/>
          <w:vertAlign w:val="superscript"/>
        </w:rPr>
        <w:t>6</w:t>
      </w:r>
      <w:r w:rsidR="00850653" w:rsidRPr="0032119E">
        <w:rPr>
          <w:rFonts w:ascii="Book Antiqua" w:hAnsi="Book Antiqua"/>
          <w:sz w:val="24"/>
          <w:szCs w:val="24"/>
          <w:vertAlign w:val="superscript"/>
        </w:rPr>
        <w:t>]</w:t>
      </w:r>
      <w:r w:rsidR="003E2726" w:rsidRPr="0032119E">
        <w:rPr>
          <w:rFonts w:ascii="Book Antiqua" w:hAnsi="Book Antiqua"/>
          <w:sz w:val="24"/>
          <w:szCs w:val="24"/>
        </w:rPr>
        <w:t>.</w:t>
      </w:r>
    </w:p>
    <w:p w:rsidR="008A4F56" w:rsidRPr="0032119E" w:rsidRDefault="008A4F56" w:rsidP="00B20484">
      <w:pPr>
        <w:snapToGrid w:val="0"/>
        <w:spacing w:line="360" w:lineRule="auto"/>
        <w:ind w:firstLineChars="100" w:firstLine="240"/>
        <w:rPr>
          <w:rFonts w:ascii="Book Antiqua" w:hAnsi="Book Antiqua"/>
          <w:sz w:val="24"/>
          <w:szCs w:val="24"/>
        </w:rPr>
      </w:pPr>
      <w:r w:rsidRPr="0032119E">
        <w:rPr>
          <w:rFonts w:ascii="Book Antiqua" w:hAnsi="Book Antiqua"/>
          <w:sz w:val="24"/>
          <w:szCs w:val="24"/>
        </w:rPr>
        <w:t xml:space="preserve">Statistical analyses were conducted using SPSS (version 15.0 for Windows; SPPS Inc., Chicago, IL, </w:t>
      </w:r>
      <w:r w:rsidR="0032119E" w:rsidRPr="0032119E">
        <w:rPr>
          <w:rFonts w:ascii="Book Antiqua" w:hAnsi="Book Antiqua"/>
          <w:sz w:val="24"/>
          <w:szCs w:val="24"/>
        </w:rPr>
        <w:t>United States</w:t>
      </w:r>
      <w:r w:rsidRPr="0032119E">
        <w:rPr>
          <w:rFonts w:ascii="Book Antiqua" w:hAnsi="Book Antiqua"/>
          <w:sz w:val="24"/>
          <w:szCs w:val="24"/>
        </w:rPr>
        <w:t xml:space="preserve">) software. The comparison of clinicopathological features between GCEDs and CGCs were examined by the </w:t>
      </w:r>
      <w:r w:rsidRPr="0032119E">
        <w:rPr>
          <w:rFonts w:ascii="Book Antiqua" w:hAnsi="Book Antiqua"/>
          <w:i/>
          <w:sz w:val="24"/>
          <w:szCs w:val="24"/>
        </w:rPr>
        <w:t>χ2</w:t>
      </w:r>
      <w:r w:rsidRPr="0032119E">
        <w:rPr>
          <w:rFonts w:ascii="Book Antiqua" w:hAnsi="Book Antiqua"/>
          <w:sz w:val="24"/>
          <w:szCs w:val="24"/>
        </w:rPr>
        <w:t xml:space="preserve"> test and the Mann-Whitney </w:t>
      </w:r>
      <w:r w:rsidRPr="0032119E">
        <w:rPr>
          <w:rFonts w:ascii="Book Antiqua" w:hAnsi="Book Antiqua"/>
          <w:i/>
          <w:sz w:val="24"/>
          <w:szCs w:val="24"/>
        </w:rPr>
        <w:t>U</w:t>
      </w:r>
      <w:r w:rsidRPr="0032119E">
        <w:rPr>
          <w:rFonts w:ascii="Book Antiqua" w:hAnsi="Book Antiqua"/>
          <w:sz w:val="24"/>
          <w:szCs w:val="24"/>
        </w:rPr>
        <w:t xml:space="preserve"> test. The level of significance was set at </w:t>
      </w:r>
      <w:r w:rsidRPr="0032119E">
        <w:rPr>
          <w:rFonts w:ascii="Book Antiqua" w:hAnsi="Book Antiqua"/>
          <w:i/>
          <w:sz w:val="24"/>
          <w:szCs w:val="24"/>
        </w:rPr>
        <w:t>P</w:t>
      </w:r>
      <w:r w:rsidR="0032119E">
        <w:rPr>
          <w:rFonts w:ascii="Book Antiqua" w:hAnsi="Book Antiqua"/>
          <w:i/>
          <w:sz w:val="24"/>
          <w:szCs w:val="24"/>
        </w:rPr>
        <w:t xml:space="preserve"> </w:t>
      </w:r>
      <w:r w:rsidRPr="0032119E">
        <w:rPr>
          <w:rFonts w:ascii="Book Antiqua" w:hAnsi="Book Antiqua"/>
          <w:sz w:val="24"/>
          <w:szCs w:val="24"/>
        </w:rPr>
        <w:t>&lt;</w:t>
      </w:r>
      <w:r w:rsidR="0032119E">
        <w:rPr>
          <w:rFonts w:ascii="Book Antiqua" w:hAnsi="Book Antiqua"/>
          <w:sz w:val="24"/>
          <w:szCs w:val="24"/>
        </w:rPr>
        <w:t xml:space="preserve"> </w:t>
      </w:r>
      <w:r w:rsidRPr="0032119E">
        <w:rPr>
          <w:rFonts w:ascii="Book Antiqua" w:hAnsi="Book Antiqua"/>
          <w:sz w:val="24"/>
          <w:szCs w:val="24"/>
        </w:rPr>
        <w:t>0.05.</w:t>
      </w:r>
    </w:p>
    <w:p w:rsidR="0032119E" w:rsidRPr="0032119E" w:rsidRDefault="0032119E" w:rsidP="00B20484">
      <w:pPr>
        <w:snapToGrid w:val="0"/>
        <w:spacing w:line="360" w:lineRule="auto"/>
        <w:rPr>
          <w:rFonts w:ascii="Book Antiqua" w:hAnsi="Book Antiqua"/>
          <w:b/>
          <w:sz w:val="24"/>
          <w:szCs w:val="24"/>
        </w:rPr>
      </w:pPr>
    </w:p>
    <w:p w:rsidR="008A4F56" w:rsidRPr="0032119E" w:rsidRDefault="008A4F56" w:rsidP="00B20484">
      <w:pPr>
        <w:snapToGrid w:val="0"/>
        <w:spacing w:line="360" w:lineRule="auto"/>
        <w:rPr>
          <w:rFonts w:ascii="Book Antiqua" w:hAnsi="Book Antiqua"/>
          <w:b/>
          <w:sz w:val="24"/>
          <w:szCs w:val="24"/>
        </w:rPr>
      </w:pPr>
      <w:r w:rsidRPr="0032119E">
        <w:rPr>
          <w:rFonts w:ascii="Book Antiqua" w:hAnsi="Book Antiqua"/>
          <w:b/>
          <w:sz w:val="24"/>
          <w:szCs w:val="24"/>
        </w:rPr>
        <w:t>R</w:t>
      </w:r>
      <w:r w:rsidR="00DF691A" w:rsidRPr="0032119E">
        <w:rPr>
          <w:rFonts w:ascii="Book Antiqua" w:hAnsi="Book Antiqua" w:hint="eastAsia"/>
          <w:b/>
          <w:sz w:val="24"/>
          <w:szCs w:val="24"/>
        </w:rPr>
        <w:t>ESULTS</w:t>
      </w:r>
      <w:r w:rsidRPr="0032119E">
        <w:rPr>
          <w:rFonts w:ascii="Book Antiqua" w:hAnsi="Book Antiqua"/>
          <w:b/>
          <w:sz w:val="24"/>
          <w:szCs w:val="24"/>
        </w:rPr>
        <w:t xml:space="preserve"> </w:t>
      </w:r>
    </w:p>
    <w:p w:rsidR="008A4F56" w:rsidRPr="0032119E" w:rsidRDefault="001871D7" w:rsidP="00B20484">
      <w:pPr>
        <w:snapToGrid w:val="0"/>
        <w:spacing w:line="360" w:lineRule="auto"/>
        <w:rPr>
          <w:rFonts w:ascii="Book Antiqua" w:hAnsi="Book Antiqua"/>
          <w:sz w:val="24"/>
          <w:szCs w:val="24"/>
        </w:rPr>
      </w:pPr>
      <w:r w:rsidRPr="0032119E">
        <w:rPr>
          <w:rFonts w:ascii="Book Antiqua" w:hAnsi="Book Antiqua" w:hint="eastAsia"/>
          <w:sz w:val="24"/>
          <w:szCs w:val="24"/>
        </w:rPr>
        <w:t xml:space="preserve">This study included </w:t>
      </w:r>
      <w:r w:rsidRPr="0032119E">
        <w:rPr>
          <w:rFonts w:ascii="Book Antiqua" w:hAnsi="Book Antiqua"/>
          <w:sz w:val="24"/>
          <w:szCs w:val="24"/>
        </w:rPr>
        <w:t>192 cases (144 males, 48 females; mean age 72.8</w:t>
      </w:r>
      <w:r w:rsidR="0032119E">
        <w:rPr>
          <w:rFonts w:ascii="Book Antiqua" w:hAnsi="Book Antiqua"/>
          <w:sz w:val="24"/>
          <w:szCs w:val="24"/>
        </w:rPr>
        <w:t xml:space="preserve"> </w:t>
      </w:r>
      <w:r w:rsidRPr="0032119E">
        <w:rPr>
          <w:rFonts w:ascii="Book Antiqua" w:hAnsi="Book Antiqua"/>
          <w:sz w:val="24"/>
          <w:szCs w:val="24"/>
        </w:rPr>
        <w:t>±</w:t>
      </w:r>
      <w:r w:rsidR="0032119E">
        <w:rPr>
          <w:rFonts w:ascii="Book Antiqua" w:hAnsi="Book Antiqua"/>
          <w:sz w:val="24"/>
          <w:szCs w:val="24"/>
        </w:rPr>
        <w:t xml:space="preserve"> </w:t>
      </w:r>
      <w:r w:rsidRPr="0032119E">
        <w:rPr>
          <w:rFonts w:ascii="Book Antiqua" w:hAnsi="Book Antiqua"/>
          <w:sz w:val="24"/>
          <w:szCs w:val="24"/>
        </w:rPr>
        <w:t>7 y</w:t>
      </w:r>
      <w:r w:rsidR="0032119E">
        <w:rPr>
          <w:rFonts w:ascii="Book Antiqua" w:hAnsi="Book Antiqua"/>
          <w:sz w:val="24"/>
          <w:szCs w:val="24"/>
        </w:rPr>
        <w:t>ears</w:t>
      </w:r>
      <w:r w:rsidRPr="0032119E">
        <w:rPr>
          <w:rFonts w:ascii="Book Antiqua" w:hAnsi="Book Antiqua"/>
          <w:sz w:val="24"/>
          <w:szCs w:val="24"/>
        </w:rPr>
        <w:t xml:space="preserve">; 215 lesions) of early stage GCED and CGC. </w:t>
      </w:r>
      <w:r w:rsidR="001B08E9" w:rsidRPr="0032119E">
        <w:rPr>
          <w:rFonts w:ascii="Book Antiqua" w:hAnsi="Book Antiqua" w:hint="eastAsia"/>
          <w:sz w:val="24"/>
          <w:szCs w:val="24"/>
        </w:rPr>
        <w:t xml:space="preserve">Among 192 cases, there were </w:t>
      </w:r>
      <w:r w:rsidR="007630C9" w:rsidRPr="0032119E">
        <w:rPr>
          <w:rFonts w:ascii="Book Antiqua" w:hAnsi="Book Antiqua" w:hint="eastAsia"/>
          <w:sz w:val="24"/>
          <w:szCs w:val="24"/>
        </w:rPr>
        <w:t xml:space="preserve">6 </w:t>
      </w:r>
      <w:r w:rsidR="001B08E9" w:rsidRPr="0032119E">
        <w:rPr>
          <w:rFonts w:ascii="Book Antiqua" w:hAnsi="Book Antiqua" w:hint="eastAsia"/>
          <w:sz w:val="24"/>
          <w:szCs w:val="24"/>
        </w:rPr>
        <w:t xml:space="preserve">GCED </w:t>
      </w:r>
      <w:r w:rsidR="007630C9" w:rsidRPr="0032119E">
        <w:rPr>
          <w:rFonts w:ascii="Book Antiqua" w:hAnsi="Book Antiqua" w:hint="eastAsia"/>
          <w:sz w:val="24"/>
          <w:szCs w:val="24"/>
        </w:rPr>
        <w:t xml:space="preserve">cases </w:t>
      </w:r>
      <w:r w:rsidR="007630C9" w:rsidRPr="0032119E">
        <w:rPr>
          <w:rFonts w:ascii="Book Antiqua" w:hAnsi="Book Antiqua"/>
          <w:sz w:val="24"/>
          <w:szCs w:val="24"/>
        </w:rPr>
        <w:t xml:space="preserve">(5 males, 1 female; mean age 75.7 </w:t>
      </w:r>
      <w:r w:rsidR="0032119E" w:rsidRPr="0032119E">
        <w:rPr>
          <w:rFonts w:ascii="Book Antiqua" w:hAnsi="Book Antiqua"/>
          <w:sz w:val="24"/>
          <w:szCs w:val="24"/>
        </w:rPr>
        <w:t>y</w:t>
      </w:r>
      <w:r w:rsidR="0032119E">
        <w:rPr>
          <w:rFonts w:ascii="Book Antiqua" w:hAnsi="Book Antiqua"/>
          <w:sz w:val="24"/>
          <w:szCs w:val="24"/>
        </w:rPr>
        <w:t>ears</w:t>
      </w:r>
      <w:r w:rsidR="007630C9" w:rsidRPr="0032119E">
        <w:rPr>
          <w:rFonts w:ascii="Book Antiqua" w:hAnsi="Book Antiqua"/>
          <w:sz w:val="24"/>
          <w:szCs w:val="24"/>
        </w:rPr>
        <w:t>; 6 lesions)</w:t>
      </w:r>
      <w:r w:rsidR="007630C9" w:rsidRPr="0032119E">
        <w:rPr>
          <w:rFonts w:ascii="Book Antiqua" w:hAnsi="Book Antiqua" w:hint="eastAsia"/>
          <w:sz w:val="24"/>
          <w:szCs w:val="24"/>
        </w:rPr>
        <w:t xml:space="preserve"> and 186 </w:t>
      </w:r>
      <w:r w:rsidR="001B08E9" w:rsidRPr="0032119E">
        <w:rPr>
          <w:rFonts w:ascii="Book Antiqua" w:hAnsi="Book Antiqua" w:hint="eastAsia"/>
          <w:sz w:val="24"/>
          <w:szCs w:val="24"/>
        </w:rPr>
        <w:t xml:space="preserve">CGC </w:t>
      </w:r>
      <w:r w:rsidR="007630C9" w:rsidRPr="0032119E">
        <w:rPr>
          <w:rFonts w:ascii="Book Antiqua" w:hAnsi="Book Antiqua" w:hint="eastAsia"/>
          <w:sz w:val="24"/>
          <w:szCs w:val="24"/>
        </w:rPr>
        <w:t xml:space="preserve">cases </w:t>
      </w:r>
      <w:r w:rsidR="007630C9" w:rsidRPr="0032119E">
        <w:rPr>
          <w:rFonts w:ascii="Book Antiqua" w:hAnsi="Book Antiqua"/>
          <w:sz w:val="24"/>
          <w:szCs w:val="24"/>
        </w:rPr>
        <w:t xml:space="preserve">(139 males, 47 females; mean age 72.7 </w:t>
      </w:r>
      <w:r w:rsidR="0032119E" w:rsidRPr="0032119E">
        <w:rPr>
          <w:rFonts w:ascii="Book Antiqua" w:hAnsi="Book Antiqua"/>
          <w:sz w:val="24"/>
          <w:szCs w:val="24"/>
        </w:rPr>
        <w:t>y</w:t>
      </w:r>
      <w:r w:rsidR="0032119E">
        <w:rPr>
          <w:rFonts w:ascii="Book Antiqua" w:hAnsi="Book Antiqua"/>
          <w:sz w:val="24"/>
          <w:szCs w:val="24"/>
        </w:rPr>
        <w:t>ears</w:t>
      </w:r>
      <w:r w:rsidR="007630C9" w:rsidRPr="0032119E">
        <w:rPr>
          <w:rFonts w:ascii="Book Antiqua" w:hAnsi="Book Antiqua"/>
          <w:sz w:val="24"/>
          <w:szCs w:val="24"/>
        </w:rPr>
        <w:t>; 209 lesions)</w:t>
      </w:r>
      <w:r w:rsidR="001B08E9" w:rsidRPr="0032119E">
        <w:rPr>
          <w:rFonts w:ascii="Book Antiqua" w:hAnsi="Book Antiqua" w:hint="eastAsia"/>
          <w:sz w:val="24"/>
          <w:szCs w:val="24"/>
        </w:rPr>
        <w:t>.</w:t>
      </w:r>
      <w:r w:rsidR="00B10DC4" w:rsidRPr="0032119E">
        <w:rPr>
          <w:rFonts w:ascii="Book Antiqua" w:hAnsi="Book Antiqua" w:hint="eastAsia"/>
          <w:sz w:val="24"/>
          <w:szCs w:val="24"/>
        </w:rPr>
        <w:t xml:space="preserve"> </w:t>
      </w:r>
      <w:r w:rsidR="008A4F56" w:rsidRPr="0032119E">
        <w:rPr>
          <w:rFonts w:ascii="Book Antiqua" w:hAnsi="Book Antiqua"/>
          <w:sz w:val="24"/>
          <w:szCs w:val="24"/>
        </w:rPr>
        <w:t>Table 1 shows the clinicopathological findings of the patients with GCED and Table 2 shows results of the comparison between patients with GCED and CGC. Four cases who</w:t>
      </w:r>
      <w:r w:rsidR="0032119E" w:rsidRPr="0032119E">
        <w:rPr>
          <w:rFonts w:ascii="Book Antiqua" w:hAnsi="Book Antiqua"/>
          <w:sz w:val="24"/>
          <w:szCs w:val="24"/>
        </w:rPr>
        <w:t xml:space="preserve"> </w:t>
      </w:r>
      <w:r w:rsidR="008A4F56" w:rsidRPr="0032119E">
        <w:rPr>
          <w:rFonts w:ascii="Book Antiqua" w:hAnsi="Book Antiqua"/>
          <w:sz w:val="24"/>
          <w:szCs w:val="24"/>
        </w:rPr>
        <w:t xml:space="preserve">were checked for </w:t>
      </w:r>
      <w:r w:rsidR="008A4F56" w:rsidRPr="0032119E">
        <w:rPr>
          <w:rFonts w:ascii="Book Antiqua" w:hAnsi="Book Antiqua"/>
          <w:i/>
          <w:sz w:val="24"/>
          <w:szCs w:val="24"/>
        </w:rPr>
        <w:t>Helicobacter pylori</w:t>
      </w:r>
      <w:r w:rsidR="008A4F56" w:rsidRPr="0032119E">
        <w:rPr>
          <w:rFonts w:ascii="Book Antiqua" w:hAnsi="Book Antiqua"/>
          <w:sz w:val="24"/>
          <w:szCs w:val="24"/>
        </w:rPr>
        <w:t xml:space="preserve"> (HP) infect</w:t>
      </w:r>
      <w:r w:rsidR="007E43F5" w:rsidRPr="0032119E">
        <w:rPr>
          <w:rFonts w:ascii="Book Antiqua" w:hAnsi="Book Antiqua"/>
          <w:sz w:val="24"/>
          <w:szCs w:val="24"/>
        </w:rPr>
        <w:t xml:space="preserve">ion by HP-immunoglobulin G </w:t>
      </w:r>
      <w:r w:rsidR="008A4F56" w:rsidRPr="0032119E">
        <w:rPr>
          <w:rFonts w:ascii="Book Antiqua" w:hAnsi="Book Antiqua"/>
          <w:sz w:val="24"/>
          <w:szCs w:val="24"/>
        </w:rPr>
        <w:t xml:space="preserve">were positive. No significant differences were observed in tumor location (U/M/L = 2/2/2 and 23/91/95 in GCED and CGC, respectively), mean tumor </w:t>
      </w:r>
      <w:r w:rsidR="008A4F56" w:rsidRPr="0032119E">
        <w:rPr>
          <w:rFonts w:ascii="Book Antiqua" w:hAnsi="Book Antiqua"/>
          <w:sz w:val="24"/>
          <w:szCs w:val="24"/>
        </w:rPr>
        <w:lastRenderedPageBreak/>
        <w:t xml:space="preserve">size (15.0 and 15.2 mm in GCED and CGC, respectively), and macroscopic types (flat or depressed type/ elevated type = 4/2 and 92/117 in GCED and CGC, respectively). Endoscopically, we could not find specific features of GCED or anticipate deep submucosal invasion (Figure 1). No lesion was diagnosed as GCED by examination of biopsy specimens. Regarding the depth of tumor invasion, the total submucosal invasion rate was significantly higher in GCED than CGC (66.6% </w:t>
      </w:r>
      <w:r w:rsidR="008A4F56" w:rsidRPr="0032119E">
        <w:rPr>
          <w:rFonts w:ascii="Book Antiqua" w:hAnsi="Book Antiqua"/>
          <w:i/>
          <w:sz w:val="24"/>
          <w:szCs w:val="24"/>
        </w:rPr>
        <w:t>vs</w:t>
      </w:r>
      <w:r w:rsidR="0032119E">
        <w:rPr>
          <w:rFonts w:ascii="Book Antiqua" w:hAnsi="Book Antiqua"/>
          <w:sz w:val="24"/>
          <w:szCs w:val="24"/>
        </w:rPr>
        <w:t xml:space="preserve"> </w:t>
      </w:r>
      <w:r w:rsidR="008A4F56" w:rsidRPr="0032119E">
        <w:rPr>
          <w:rFonts w:ascii="Book Antiqua" w:hAnsi="Book Antiqua"/>
          <w:sz w:val="24"/>
          <w:szCs w:val="24"/>
        </w:rPr>
        <w:t xml:space="preserve">11.4%, </w:t>
      </w:r>
      <w:r w:rsidR="008A4F56" w:rsidRPr="0032119E">
        <w:rPr>
          <w:rFonts w:ascii="Book Antiqua" w:hAnsi="Book Antiqua"/>
          <w:i/>
          <w:sz w:val="24"/>
          <w:szCs w:val="24"/>
        </w:rPr>
        <w:t>P</w:t>
      </w:r>
      <w:r w:rsidR="0032119E">
        <w:rPr>
          <w:rFonts w:ascii="Book Antiqua" w:hAnsi="Book Antiqua"/>
          <w:sz w:val="24"/>
          <w:szCs w:val="24"/>
        </w:rPr>
        <w:t xml:space="preserve"> </w:t>
      </w:r>
      <w:r w:rsidR="008A4F56" w:rsidRPr="0032119E">
        <w:rPr>
          <w:rFonts w:ascii="Book Antiqua" w:hAnsi="Book Antiqua"/>
          <w:sz w:val="24"/>
          <w:szCs w:val="24"/>
        </w:rPr>
        <w:t>&lt;</w:t>
      </w:r>
      <w:r w:rsidR="0032119E">
        <w:rPr>
          <w:rFonts w:ascii="Book Antiqua" w:hAnsi="Book Antiqua"/>
          <w:sz w:val="24"/>
          <w:szCs w:val="24"/>
        </w:rPr>
        <w:t xml:space="preserve"> </w:t>
      </w:r>
      <w:r w:rsidR="008A4F56" w:rsidRPr="0032119E">
        <w:rPr>
          <w:rFonts w:ascii="Book Antiqua" w:hAnsi="Book Antiqua"/>
          <w:sz w:val="24"/>
          <w:szCs w:val="24"/>
        </w:rPr>
        <w:t>0.01). Positive rates for lymphatic and venous invasion were significantly higher in GCED than CGC (33.3</w:t>
      </w:r>
      <w:r w:rsidR="0032119E" w:rsidRPr="0032119E">
        <w:rPr>
          <w:rFonts w:ascii="Book Antiqua" w:hAnsi="Book Antiqua"/>
          <w:sz w:val="24"/>
          <w:szCs w:val="24"/>
        </w:rPr>
        <w:t>%</w:t>
      </w:r>
      <w:r w:rsidR="008A4F56" w:rsidRPr="0032119E">
        <w:rPr>
          <w:rFonts w:ascii="Book Antiqua" w:hAnsi="Book Antiqua"/>
          <w:sz w:val="24"/>
          <w:szCs w:val="24"/>
        </w:rPr>
        <w:t xml:space="preserve"> </w:t>
      </w:r>
      <w:r w:rsidR="008A4F56" w:rsidRPr="0032119E">
        <w:rPr>
          <w:rFonts w:ascii="Book Antiqua" w:hAnsi="Book Antiqua"/>
          <w:i/>
          <w:sz w:val="24"/>
          <w:szCs w:val="24"/>
        </w:rPr>
        <w:t>vs</w:t>
      </w:r>
      <w:r w:rsidR="0032119E">
        <w:rPr>
          <w:rFonts w:ascii="Book Antiqua" w:hAnsi="Book Antiqua"/>
          <w:sz w:val="24"/>
          <w:szCs w:val="24"/>
        </w:rPr>
        <w:t xml:space="preserve"> </w:t>
      </w:r>
      <w:r w:rsidR="008A4F56" w:rsidRPr="0032119E">
        <w:rPr>
          <w:rFonts w:ascii="Book Antiqua" w:hAnsi="Book Antiqua"/>
          <w:sz w:val="24"/>
          <w:szCs w:val="24"/>
        </w:rPr>
        <w:t>2.3% and 66.6</w:t>
      </w:r>
      <w:r w:rsidR="0032119E" w:rsidRPr="0032119E">
        <w:rPr>
          <w:rFonts w:ascii="Book Antiqua" w:hAnsi="Book Antiqua"/>
          <w:sz w:val="24"/>
          <w:szCs w:val="24"/>
        </w:rPr>
        <w:t>%</w:t>
      </w:r>
      <w:r w:rsidR="008A4F56" w:rsidRPr="0032119E">
        <w:rPr>
          <w:rFonts w:ascii="Book Antiqua" w:hAnsi="Book Antiqua"/>
          <w:sz w:val="24"/>
          <w:szCs w:val="24"/>
        </w:rPr>
        <w:t xml:space="preserve"> </w:t>
      </w:r>
      <w:r w:rsidR="0032119E" w:rsidRPr="0032119E">
        <w:rPr>
          <w:rFonts w:ascii="Book Antiqua" w:hAnsi="Book Antiqua"/>
          <w:i/>
          <w:sz w:val="24"/>
          <w:szCs w:val="24"/>
        </w:rPr>
        <w:t>vs</w:t>
      </w:r>
      <w:r w:rsidR="008A4F56" w:rsidRPr="0032119E">
        <w:rPr>
          <w:rFonts w:ascii="Book Antiqua" w:hAnsi="Book Antiqua"/>
          <w:sz w:val="24"/>
          <w:szCs w:val="24"/>
        </w:rPr>
        <w:t xml:space="preserve"> 0.4%, </w:t>
      </w:r>
      <w:r w:rsidR="008A4F56" w:rsidRPr="0032119E">
        <w:rPr>
          <w:rFonts w:ascii="Book Antiqua" w:hAnsi="Book Antiqua"/>
          <w:i/>
          <w:sz w:val="24"/>
          <w:szCs w:val="24"/>
        </w:rPr>
        <w:t>P</w:t>
      </w:r>
      <w:r w:rsidR="0032119E">
        <w:rPr>
          <w:rFonts w:ascii="Book Antiqua" w:hAnsi="Book Antiqua"/>
          <w:i/>
          <w:sz w:val="24"/>
          <w:szCs w:val="24"/>
        </w:rPr>
        <w:t xml:space="preserve"> </w:t>
      </w:r>
      <w:r w:rsidR="008A4F56" w:rsidRPr="0032119E">
        <w:rPr>
          <w:rFonts w:ascii="Book Antiqua" w:hAnsi="Book Antiqua"/>
          <w:sz w:val="24"/>
          <w:szCs w:val="24"/>
        </w:rPr>
        <w:t>&lt;</w:t>
      </w:r>
      <w:r w:rsidR="0032119E">
        <w:rPr>
          <w:rFonts w:ascii="Book Antiqua" w:hAnsi="Book Antiqua"/>
          <w:sz w:val="24"/>
          <w:szCs w:val="24"/>
        </w:rPr>
        <w:t xml:space="preserve"> </w:t>
      </w:r>
      <w:r w:rsidR="008A4F56" w:rsidRPr="0032119E">
        <w:rPr>
          <w:rFonts w:ascii="Book Antiqua" w:hAnsi="Book Antiqua"/>
          <w:sz w:val="24"/>
          <w:szCs w:val="24"/>
        </w:rPr>
        <w:t xml:space="preserve">0.01). Therefore, the curative resection rate was significantly lower in GCED than CGC (16.7% </w:t>
      </w:r>
      <w:r w:rsidR="0032119E" w:rsidRPr="0032119E">
        <w:rPr>
          <w:rFonts w:ascii="Book Antiqua" w:hAnsi="Book Antiqua"/>
          <w:i/>
          <w:sz w:val="24"/>
          <w:szCs w:val="24"/>
        </w:rPr>
        <w:t>vs</w:t>
      </w:r>
      <w:r w:rsidR="008A4F56" w:rsidRPr="0032119E">
        <w:rPr>
          <w:rFonts w:ascii="Book Antiqua" w:hAnsi="Book Antiqua"/>
          <w:sz w:val="24"/>
          <w:szCs w:val="24"/>
        </w:rPr>
        <w:t xml:space="preserve"> 89.0%, </w:t>
      </w:r>
      <w:r w:rsidR="008A4F56" w:rsidRPr="0032119E">
        <w:rPr>
          <w:rFonts w:ascii="Book Antiqua" w:hAnsi="Book Antiqua"/>
          <w:i/>
          <w:sz w:val="24"/>
          <w:szCs w:val="24"/>
        </w:rPr>
        <w:t>P</w:t>
      </w:r>
      <w:r w:rsidR="0032119E">
        <w:rPr>
          <w:rFonts w:ascii="Book Antiqua" w:hAnsi="Book Antiqua"/>
          <w:sz w:val="24"/>
          <w:szCs w:val="24"/>
        </w:rPr>
        <w:t xml:space="preserve"> </w:t>
      </w:r>
      <w:r w:rsidR="008A4F56" w:rsidRPr="0032119E">
        <w:rPr>
          <w:rFonts w:ascii="Book Antiqua" w:hAnsi="Book Antiqua"/>
          <w:sz w:val="24"/>
          <w:szCs w:val="24"/>
        </w:rPr>
        <w:t>&lt;</w:t>
      </w:r>
      <w:r w:rsidR="0032119E">
        <w:rPr>
          <w:rFonts w:ascii="Book Antiqua" w:hAnsi="Book Antiqua"/>
          <w:sz w:val="24"/>
          <w:szCs w:val="24"/>
        </w:rPr>
        <w:t xml:space="preserve"> </w:t>
      </w:r>
      <w:r w:rsidR="008A4F56" w:rsidRPr="0032119E">
        <w:rPr>
          <w:rFonts w:ascii="Book Antiqua" w:hAnsi="Book Antiqua"/>
          <w:sz w:val="24"/>
          <w:szCs w:val="24"/>
        </w:rPr>
        <w:t xml:space="preserve">0.01). Moreover, when comparing only SM invasive cancer, the positive rate for venous invasion was significantly higher in GCED than CGC (100% </w:t>
      </w:r>
      <w:r w:rsidR="0032119E" w:rsidRPr="0032119E">
        <w:rPr>
          <w:rFonts w:ascii="Book Antiqua" w:hAnsi="Book Antiqua"/>
          <w:i/>
          <w:sz w:val="24"/>
          <w:szCs w:val="24"/>
        </w:rPr>
        <w:t>vs</w:t>
      </w:r>
      <w:r w:rsidR="008A4F56" w:rsidRPr="0032119E">
        <w:rPr>
          <w:rFonts w:ascii="Book Antiqua" w:hAnsi="Book Antiqua"/>
          <w:sz w:val="24"/>
          <w:szCs w:val="24"/>
        </w:rPr>
        <w:t xml:space="preserve"> 4.2%, </w:t>
      </w:r>
      <w:r w:rsidR="008A4F56" w:rsidRPr="0032119E">
        <w:rPr>
          <w:rFonts w:ascii="Book Antiqua" w:hAnsi="Book Antiqua"/>
          <w:i/>
          <w:sz w:val="24"/>
          <w:szCs w:val="24"/>
        </w:rPr>
        <w:t>P</w:t>
      </w:r>
      <w:r w:rsidR="0032119E">
        <w:rPr>
          <w:rFonts w:ascii="Book Antiqua" w:hAnsi="Book Antiqua"/>
          <w:sz w:val="24"/>
          <w:szCs w:val="24"/>
        </w:rPr>
        <w:t xml:space="preserve"> </w:t>
      </w:r>
      <w:r w:rsidR="008A4F56" w:rsidRPr="0032119E">
        <w:rPr>
          <w:rFonts w:ascii="Book Antiqua" w:hAnsi="Book Antiqua"/>
          <w:sz w:val="24"/>
          <w:szCs w:val="24"/>
        </w:rPr>
        <w:t>&lt;</w:t>
      </w:r>
      <w:r w:rsidR="0032119E">
        <w:rPr>
          <w:rFonts w:ascii="Book Antiqua" w:hAnsi="Book Antiqua"/>
          <w:sz w:val="24"/>
          <w:szCs w:val="24"/>
        </w:rPr>
        <w:t xml:space="preserve"> </w:t>
      </w:r>
      <w:r w:rsidR="008A4F56" w:rsidRPr="0032119E">
        <w:rPr>
          <w:rFonts w:ascii="Book Antiqua" w:hAnsi="Book Antiqua"/>
          <w:sz w:val="24"/>
          <w:szCs w:val="24"/>
        </w:rPr>
        <w:t xml:space="preserve">0.01) and the curative resection rate was significantly lower in GCED than CGC (0% </w:t>
      </w:r>
      <w:r w:rsidR="0032119E" w:rsidRPr="0032119E">
        <w:rPr>
          <w:rFonts w:ascii="Book Antiqua" w:hAnsi="Book Antiqua"/>
          <w:i/>
          <w:sz w:val="24"/>
          <w:szCs w:val="24"/>
        </w:rPr>
        <w:t>vs</w:t>
      </w:r>
      <w:r w:rsidR="008A4F56" w:rsidRPr="0032119E">
        <w:rPr>
          <w:rFonts w:ascii="Book Antiqua" w:hAnsi="Book Antiqua"/>
          <w:sz w:val="24"/>
          <w:szCs w:val="24"/>
        </w:rPr>
        <w:t xml:space="preserve"> 50%, </w:t>
      </w:r>
      <w:r w:rsidR="008A4F56" w:rsidRPr="0032119E">
        <w:rPr>
          <w:rFonts w:ascii="Book Antiqua" w:hAnsi="Book Antiqua"/>
          <w:i/>
          <w:sz w:val="24"/>
          <w:szCs w:val="24"/>
        </w:rPr>
        <w:t>P</w:t>
      </w:r>
      <w:r w:rsidR="0032119E">
        <w:rPr>
          <w:rFonts w:ascii="Book Antiqua" w:hAnsi="Book Antiqua"/>
          <w:sz w:val="24"/>
          <w:szCs w:val="24"/>
        </w:rPr>
        <w:t xml:space="preserve"> </w:t>
      </w:r>
      <w:r w:rsidR="008A4F56" w:rsidRPr="0032119E">
        <w:rPr>
          <w:rFonts w:ascii="Book Antiqua" w:hAnsi="Book Antiqua"/>
          <w:sz w:val="24"/>
          <w:szCs w:val="24"/>
        </w:rPr>
        <w:t>&lt;</w:t>
      </w:r>
      <w:r w:rsidR="0032119E">
        <w:rPr>
          <w:rFonts w:ascii="Book Antiqua" w:hAnsi="Book Antiqua"/>
          <w:sz w:val="24"/>
          <w:szCs w:val="24"/>
        </w:rPr>
        <w:t xml:space="preserve"> </w:t>
      </w:r>
      <w:r w:rsidR="008A4F56" w:rsidRPr="0032119E">
        <w:rPr>
          <w:rFonts w:ascii="Book Antiqua" w:hAnsi="Book Antiqua"/>
          <w:sz w:val="24"/>
          <w:szCs w:val="24"/>
        </w:rPr>
        <w:t>0.01). In 2 of the 6 GCED cases, additional surgery was performed (case 3: T1N0M0, stage IA; case 6: T1N1M0, stage IIA). Recurrence or metastasis was not seen in any of the 4 GCED cases that were followed from 28 to 51 months (median 40 mo).</w:t>
      </w:r>
    </w:p>
    <w:p w:rsidR="008A4F56" w:rsidRPr="0032119E" w:rsidRDefault="008A4F56" w:rsidP="00B20484">
      <w:pPr>
        <w:snapToGrid w:val="0"/>
        <w:spacing w:line="360" w:lineRule="auto"/>
        <w:ind w:firstLineChars="100" w:firstLine="240"/>
        <w:rPr>
          <w:rFonts w:ascii="Book Antiqua" w:hAnsi="Book Antiqua"/>
          <w:sz w:val="24"/>
          <w:szCs w:val="24"/>
        </w:rPr>
      </w:pPr>
      <w:r w:rsidRPr="0032119E">
        <w:rPr>
          <w:rFonts w:ascii="Book Antiqua" w:hAnsi="Book Antiqua"/>
          <w:sz w:val="24"/>
          <w:szCs w:val="24"/>
        </w:rPr>
        <w:t>Histological examination of GCED demonstrated the presence of tubulopapillary carcinoma with clear cytoplasm at the deeper part of the mucosa and submucosa by lymphatic and/or venous invasion, and there was no severe stromal reaction. In all GCED cases, the superficial mucosal layer was covered with a conventional tubular adenocarcinoma (Figure 2). All GCED patients were positive for at least one of three enteroblastic lineage markers (AFP, Glypican 3, SALL 4). Glypican 3 was the most sensitive marker (positivity, 83.3%). Four cases were classified as having the gastrointestinal phenotype (4/6; 66.7%), and two as the intestinal type (2/6; 33.3%) according to combinations of the expression of CD10, MUC2, MUC5AC, and MUC6 (Figure 3).</w:t>
      </w:r>
    </w:p>
    <w:p w:rsidR="008A4F56" w:rsidRPr="0032119E" w:rsidRDefault="008A4F56" w:rsidP="00B20484">
      <w:pPr>
        <w:snapToGrid w:val="0"/>
        <w:spacing w:line="360" w:lineRule="auto"/>
        <w:rPr>
          <w:rFonts w:ascii="Book Antiqua" w:hAnsi="Book Antiqua"/>
          <w:b/>
          <w:sz w:val="24"/>
          <w:szCs w:val="24"/>
        </w:rPr>
      </w:pPr>
    </w:p>
    <w:p w:rsidR="008A4F56" w:rsidRPr="0032119E" w:rsidRDefault="008A4F56" w:rsidP="00B20484">
      <w:pPr>
        <w:snapToGrid w:val="0"/>
        <w:spacing w:line="360" w:lineRule="auto"/>
        <w:rPr>
          <w:rFonts w:ascii="Book Antiqua" w:hAnsi="Book Antiqua"/>
          <w:b/>
          <w:sz w:val="24"/>
          <w:szCs w:val="24"/>
        </w:rPr>
      </w:pPr>
      <w:r w:rsidRPr="0032119E">
        <w:rPr>
          <w:rFonts w:ascii="Book Antiqua" w:hAnsi="Book Antiqua"/>
          <w:b/>
          <w:sz w:val="24"/>
          <w:szCs w:val="24"/>
        </w:rPr>
        <w:t>D</w:t>
      </w:r>
      <w:r w:rsidR="00DF691A" w:rsidRPr="0032119E">
        <w:rPr>
          <w:rFonts w:ascii="Book Antiqua" w:hAnsi="Book Antiqua" w:hint="eastAsia"/>
          <w:b/>
          <w:sz w:val="24"/>
          <w:szCs w:val="24"/>
        </w:rPr>
        <w:t>ISCUSSION</w:t>
      </w:r>
    </w:p>
    <w:p w:rsidR="008A4F56" w:rsidRPr="0032119E" w:rsidRDefault="008A4F56" w:rsidP="00B20484">
      <w:pPr>
        <w:snapToGrid w:val="0"/>
        <w:spacing w:line="360" w:lineRule="auto"/>
        <w:rPr>
          <w:rFonts w:ascii="Book Antiqua" w:hAnsi="Book Antiqua"/>
          <w:sz w:val="24"/>
          <w:szCs w:val="24"/>
        </w:rPr>
      </w:pPr>
      <w:r w:rsidRPr="0032119E">
        <w:rPr>
          <w:rFonts w:ascii="Book Antiqua" w:hAnsi="Book Antiqua"/>
          <w:sz w:val="24"/>
          <w:szCs w:val="24"/>
        </w:rPr>
        <w:lastRenderedPageBreak/>
        <w:t>AFP was initially found in 1956 and is a fetal serum protein produced mainly in the fetal liver and yolk sac. After birth, AFP rapidly disappears and is not detected</w:t>
      </w:r>
      <w:r w:rsidR="0032119E">
        <w:rPr>
          <w:rFonts w:ascii="Book Antiqua" w:hAnsi="Book Antiqua"/>
          <w:sz w:val="24"/>
          <w:szCs w:val="24"/>
        </w:rPr>
        <w:t xml:space="preserve"> in the serum of healthy adults</w:t>
      </w:r>
      <w:r w:rsidRPr="0032119E">
        <w:rPr>
          <w:rFonts w:ascii="Book Antiqua" w:hAnsi="Book Antiqua"/>
          <w:sz w:val="24"/>
          <w:szCs w:val="24"/>
          <w:vertAlign w:val="superscript"/>
        </w:rPr>
        <w:t>[</w:t>
      </w:r>
      <w:r w:rsidR="00850653" w:rsidRPr="0032119E">
        <w:rPr>
          <w:rFonts w:ascii="Book Antiqua" w:hAnsi="Book Antiqua" w:hint="eastAsia"/>
          <w:sz w:val="24"/>
          <w:szCs w:val="24"/>
          <w:vertAlign w:val="superscript"/>
        </w:rPr>
        <w:t>7</w:t>
      </w:r>
      <w:r w:rsidRPr="0032119E">
        <w:rPr>
          <w:rFonts w:ascii="Book Antiqua" w:hAnsi="Book Antiqua"/>
          <w:sz w:val="24"/>
          <w:szCs w:val="24"/>
          <w:vertAlign w:val="superscript"/>
        </w:rPr>
        <w:t>]</w:t>
      </w:r>
      <w:r w:rsidRPr="0032119E">
        <w:rPr>
          <w:rFonts w:ascii="Book Antiqua" w:hAnsi="Book Antiqua"/>
          <w:sz w:val="24"/>
          <w:szCs w:val="24"/>
        </w:rPr>
        <w:t>. The serum level of AFP is increased in some patients with hepatocellular carcinoma (HCC) or yolk sac tumor. In clinical practice, AFP has been considered to be a useful tumor marker in screening or monitoring patients with HCCs or yolk sac tumors. However, some diseases other than HCCs and yolk sac tumor were also associated with high serum levels of AFP, and gastric cancer is one of the most common</w:t>
      </w:r>
      <w:r w:rsidR="0032119E">
        <w:rPr>
          <w:rFonts w:ascii="Book Antiqua" w:hAnsi="Book Antiqua"/>
          <w:sz w:val="24"/>
          <w:szCs w:val="24"/>
          <w:vertAlign w:val="superscript"/>
        </w:rPr>
        <w:t>[2,</w:t>
      </w:r>
      <w:r w:rsidR="00850653" w:rsidRPr="0032119E">
        <w:rPr>
          <w:rFonts w:ascii="Book Antiqua" w:hAnsi="Book Antiqua" w:hint="eastAsia"/>
          <w:sz w:val="24"/>
          <w:szCs w:val="24"/>
          <w:vertAlign w:val="superscript"/>
        </w:rPr>
        <w:t>8</w:t>
      </w:r>
      <w:r w:rsidR="00850653" w:rsidRPr="0032119E">
        <w:rPr>
          <w:rFonts w:ascii="Book Antiqua" w:hAnsi="Book Antiqua"/>
          <w:sz w:val="24"/>
          <w:szCs w:val="24"/>
          <w:vertAlign w:val="superscript"/>
        </w:rPr>
        <w:t>-1</w:t>
      </w:r>
      <w:r w:rsidR="00850653" w:rsidRPr="0032119E">
        <w:rPr>
          <w:rFonts w:ascii="Book Antiqua" w:hAnsi="Book Antiqua" w:hint="eastAsia"/>
          <w:sz w:val="24"/>
          <w:szCs w:val="24"/>
          <w:vertAlign w:val="superscript"/>
        </w:rPr>
        <w:t>5</w:t>
      </w:r>
      <w:r w:rsidRPr="0032119E">
        <w:rPr>
          <w:rFonts w:ascii="Book Antiqua" w:hAnsi="Book Antiqua"/>
          <w:sz w:val="24"/>
          <w:szCs w:val="24"/>
          <w:vertAlign w:val="superscript"/>
        </w:rPr>
        <w:t>]</w:t>
      </w:r>
      <w:r w:rsidRPr="0032119E">
        <w:rPr>
          <w:rFonts w:ascii="Book Antiqua" w:hAnsi="Book Antiqua"/>
          <w:sz w:val="24"/>
          <w:szCs w:val="24"/>
        </w:rPr>
        <w:t>. Since the first report of AFPGC</w:t>
      </w:r>
      <w:r w:rsidR="00850653" w:rsidRPr="0032119E">
        <w:rPr>
          <w:rFonts w:ascii="Book Antiqua" w:hAnsi="Book Antiqua"/>
          <w:sz w:val="24"/>
          <w:szCs w:val="24"/>
        </w:rPr>
        <w:t xml:space="preserve"> by Bourreille et al. in 1970</w:t>
      </w:r>
      <w:r w:rsidR="00850653" w:rsidRPr="0032119E">
        <w:rPr>
          <w:rFonts w:ascii="Book Antiqua" w:hAnsi="Book Antiqua"/>
          <w:sz w:val="24"/>
          <w:szCs w:val="24"/>
          <w:vertAlign w:val="superscript"/>
        </w:rPr>
        <w:t>[1</w:t>
      </w:r>
      <w:r w:rsidR="00850653" w:rsidRPr="0032119E">
        <w:rPr>
          <w:rFonts w:ascii="Book Antiqua" w:hAnsi="Book Antiqua" w:hint="eastAsia"/>
          <w:sz w:val="24"/>
          <w:szCs w:val="24"/>
          <w:vertAlign w:val="superscript"/>
        </w:rPr>
        <w:t>6</w:t>
      </w:r>
      <w:r w:rsidRPr="0032119E">
        <w:rPr>
          <w:rFonts w:ascii="Book Antiqua" w:hAnsi="Book Antiqua"/>
          <w:sz w:val="24"/>
          <w:szCs w:val="24"/>
          <w:vertAlign w:val="superscript"/>
        </w:rPr>
        <w:t>]</w:t>
      </w:r>
      <w:r w:rsidRPr="0032119E">
        <w:rPr>
          <w:rFonts w:ascii="Book Antiqua" w:hAnsi="Book Antiqua"/>
          <w:sz w:val="24"/>
          <w:szCs w:val="24"/>
        </w:rPr>
        <w:t xml:space="preserve">, many cases have been reported, and the specifics of this disease have been gradually clarified. </w:t>
      </w:r>
    </w:p>
    <w:p w:rsidR="008A4F56" w:rsidRPr="0032119E" w:rsidRDefault="008A4F56" w:rsidP="00B20484">
      <w:pPr>
        <w:snapToGrid w:val="0"/>
        <w:spacing w:line="360" w:lineRule="auto"/>
        <w:ind w:firstLineChars="100" w:firstLine="240"/>
        <w:rPr>
          <w:rFonts w:ascii="Book Antiqua" w:hAnsi="Book Antiqua"/>
          <w:sz w:val="24"/>
          <w:szCs w:val="24"/>
        </w:rPr>
      </w:pPr>
      <w:r w:rsidRPr="0032119E">
        <w:rPr>
          <w:rFonts w:ascii="Book Antiqua" w:hAnsi="Book Antiqua"/>
          <w:sz w:val="24"/>
          <w:szCs w:val="24"/>
        </w:rPr>
        <w:t>Histologically, typical AFPGC has a liver-like structure and has been frequently reported as hep</w:t>
      </w:r>
      <w:r w:rsidR="0032119E">
        <w:rPr>
          <w:rFonts w:ascii="Book Antiqua" w:hAnsi="Book Antiqua"/>
          <w:sz w:val="24"/>
          <w:szCs w:val="24"/>
        </w:rPr>
        <w:t>atoid adenocarcinoma</w:t>
      </w:r>
      <w:r w:rsidR="00850653" w:rsidRPr="0032119E">
        <w:rPr>
          <w:rFonts w:ascii="Book Antiqua" w:hAnsi="Book Antiqua"/>
          <w:sz w:val="24"/>
          <w:szCs w:val="24"/>
          <w:vertAlign w:val="superscript"/>
        </w:rPr>
        <w:t>[1</w:t>
      </w:r>
      <w:r w:rsidR="00850653" w:rsidRPr="0032119E">
        <w:rPr>
          <w:rFonts w:ascii="Book Antiqua" w:hAnsi="Book Antiqua" w:hint="eastAsia"/>
          <w:sz w:val="24"/>
          <w:szCs w:val="24"/>
          <w:vertAlign w:val="superscript"/>
        </w:rPr>
        <w:t>7</w:t>
      </w:r>
      <w:r w:rsidR="00850653" w:rsidRPr="0032119E">
        <w:rPr>
          <w:rFonts w:ascii="Book Antiqua" w:hAnsi="Book Antiqua"/>
          <w:sz w:val="24"/>
          <w:szCs w:val="24"/>
          <w:vertAlign w:val="superscript"/>
        </w:rPr>
        <w:t>-</w:t>
      </w:r>
      <w:r w:rsidR="00850653" w:rsidRPr="0032119E">
        <w:rPr>
          <w:rFonts w:ascii="Book Antiqua" w:hAnsi="Book Antiqua" w:hint="eastAsia"/>
          <w:sz w:val="24"/>
          <w:szCs w:val="24"/>
          <w:vertAlign w:val="superscript"/>
        </w:rPr>
        <w:t>20</w:t>
      </w:r>
      <w:r w:rsidRPr="0032119E">
        <w:rPr>
          <w:rFonts w:ascii="Book Antiqua" w:hAnsi="Book Antiqua"/>
          <w:sz w:val="24"/>
          <w:szCs w:val="24"/>
          <w:vertAlign w:val="superscript"/>
        </w:rPr>
        <w:t>]</w:t>
      </w:r>
      <w:r w:rsidRPr="0032119E">
        <w:rPr>
          <w:rFonts w:ascii="Book Antiqua" w:hAnsi="Book Antiqua"/>
          <w:sz w:val="24"/>
          <w:szCs w:val="24"/>
        </w:rPr>
        <w:t>. However, there are also histologic types of carcinoma other than hepatoid adenocar</w:t>
      </w:r>
      <w:r w:rsidR="0032119E">
        <w:rPr>
          <w:rFonts w:ascii="Book Antiqua" w:hAnsi="Book Antiqua"/>
          <w:sz w:val="24"/>
          <w:szCs w:val="24"/>
        </w:rPr>
        <w:t xml:space="preserve">cinoma. In 1994, Matsunou </w:t>
      </w:r>
      <w:r w:rsidR="0032119E" w:rsidRPr="0032119E">
        <w:rPr>
          <w:rFonts w:ascii="Book Antiqua" w:hAnsi="Book Antiqua"/>
          <w:i/>
          <w:sz w:val="24"/>
          <w:szCs w:val="24"/>
        </w:rPr>
        <w:t>et al</w:t>
      </w:r>
      <w:r w:rsidRPr="0032119E">
        <w:rPr>
          <w:rFonts w:ascii="Book Antiqua" w:hAnsi="Book Antiqua"/>
          <w:sz w:val="24"/>
          <w:szCs w:val="24"/>
          <w:vertAlign w:val="superscript"/>
        </w:rPr>
        <w:t>[1]</w:t>
      </w:r>
      <w:r w:rsidRPr="0032119E">
        <w:rPr>
          <w:rFonts w:ascii="Book Antiqua" w:hAnsi="Book Antiqua"/>
          <w:sz w:val="24"/>
          <w:szCs w:val="24"/>
        </w:rPr>
        <w:t xml:space="preserve"> reported two cases of AFP-producing gastric carcinoma with enteroblastic differentiation (AFP-producing clear cell gastric carcinoma), and the tumor characteristics were as follows: (1) columnar carcinoma cells growing primarily in tubulopapillary and glandular patterns; (2) abundant glycogen, but no mucin production in the clear cytoplasm; (3) gut hormone-containing cells scattered among clear carcinoma cells; (4) carcinoma cells producing oncofetal glycoproteins such as AFP and CEA; and (5) ultrastructurally, carcinoma cells showing well-developed microvilli with core filaments, whose rootlets formed occasional terminal webs, consistent with absorptive epithelium of fetal intestine or enteroblastic dif</w:t>
      </w:r>
      <w:r w:rsidR="0032119E">
        <w:rPr>
          <w:rFonts w:ascii="Book Antiqua" w:hAnsi="Book Antiqua"/>
          <w:sz w:val="24"/>
          <w:szCs w:val="24"/>
        </w:rPr>
        <w:t xml:space="preserve">ferentiation. Motoyama </w:t>
      </w:r>
      <w:r w:rsidR="0032119E" w:rsidRPr="0032119E">
        <w:rPr>
          <w:rFonts w:ascii="Book Antiqua" w:hAnsi="Book Antiqua"/>
          <w:i/>
          <w:sz w:val="24"/>
          <w:szCs w:val="24"/>
        </w:rPr>
        <w:t>et al</w:t>
      </w:r>
      <w:r w:rsidR="00850653" w:rsidRPr="0032119E">
        <w:rPr>
          <w:rFonts w:ascii="Book Antiqua" w:hAnsi="Book Antiqua"/>
          <w:sz w:val="24"/>
          <w:szCs w:val="24"/>
          <w:vertAlign w:val="superscript"/>
        </w:rPr>
        <w:t>[2</w:t>
      </w:r>
      <w:r w:rsidR="00850653" w:rsidRPr="0032119E">
        <w:rPr>
          <w:rFonts w:ascii="Book Antiqua" w:hAnsi="Book Antiqua" w:hint="eastAsia"/>
          <w:sz w:val="24"/>
          <w:szCs w:val="24"/>
          <w:vertAlign w:val="superscript"/>
        </w:rPr>
        <w:t>1</w:t>
      </w:r>
      <w:r w:rsidRPr="0032119E">
        <w:rPr>
          <w:rFonts w:ascii="Book Antiqua" w:hAnsi="Book Antiqua"/>
          <w:sz w:val="24"/>
          <w:szCs w:val="24"/>
          <w:vertAlign w:val="superscript"/>
        </w:rPr>
        <w:t>]</w:t>
      </w:r>
      <w:r w:rsidRPr="0032119E">
        <w:rPr>
          <w:rFonts w:ascii="Book Antiqua" w:hAnsi="Book Antiqua"/>
          <w:sz w:val="24"/>
          <w:szCs w:val="24"/>
        </w:rPr>
        <w:t xml:space="preserve"> proposed that AFPGCs should be divided into three subtypes: (1) hepatoid type, (2) yolk sac type, and (3) fetal gastrointestinal type. The fetal gastrointestinal type is thought to be equivalent to GCED</w:t>
      </w:r>
      <w:r w:rsidR="0032119E">
        <w:rPr>
          <w:rFonts w:ascii="Book Antiqua" w:hAnsi="Book Antiqua"/>
          <w:sz w:val="24"/>
          <w:szCs w:val="24"/>
          <w:vertAlign w:val="superscript"/>
        </w:rPr>
        <w:t>[1,</w:t>
      </w:r>
      <w:r w:rsidRPr="0032119E">
        <w:rPr>
          <w:rFonts w:ascii="Book Antiqua" w:hAnsi="Book Antiqua"/>
          <w:sz w:val="24"/>
          <w:szCs w:val="24"/>
          <w:vertAlign w:val="superscript"/>
        </w:rPr>
        <w:t>3]</w:t>
      </w:r>
      <w:r w:rsidRPr="0032119E">
        <w:rPr>
          <w:rFonts w:ascii="Book Antiqua" w:hAnsi="Book Antiqua"/>
          <w:sz w:val="24"/>
          <w:szCs w:val="24"/>
        </w:rPr>
        <w:t>. It is said that most AFPGCs have various mixtures of these histol</w:t>
      </w:r>
      <w:r w:rsidR="0032119E">
        <w:rPr>
          <w:rFonts w:ascii="Book Antiqua" w:hAnsi="Book Antiqua"/>
          <w:sz w:val="24"/>
          <w:szCs w:val="24"/>
        </w:rPr>
        <w:t xml:space="preserve">ogic types and CGC. Kinjo </w:t>
      </w:r>
      <w:r w:rsidR="0032119E" w:rsidRPr="0032119E">
        <w:rPr>
          <w:rFonts w:ascii="Book Antiqua" w:hAnsi="Book Antiqua"/>
          <w:i/>
          <w:sz w:val="24"/>
          <w:szCs w:val="24"/>
        </w:rPr>
        <w:t>et al</w:t>
      </w:r>
      <w:r w:rsidRPr="0032119E">
        <w:rPr>
          <w:rFonts w:ascii="Book Antiqua" w:hAnsi="Book Antiqua"/>
          <w:sz w:val="24"/>
          <w:szCs w:val="24"/>
          <w:vertAlign w:val="superscript"/>
        </w:rPr>
        <w:t>[2]</w:t>
      </w:r>
      <w:r w:rsidRPr="0032119E">
        <w:rPr>
          <w:rFonts w:ascii="Book Antiqua" w:hAnsi="Book Antiqua"/>
          <w:sz w:val="24"/>
          <w:szCs w:val="24"/>
        </w:rPr>
        <w:t xml:space="preserve"> also reported that in a histologic type of submucosal invasive cancer of AFPGC, the positivity rates for CGC and GCED in the mucosal component were significantly higher than in </w:t>
      </w:r>
      <w:r w:rsidRPr="0032119E">
        <w:rPr>
          <w:rFonts w:ascii="Book Antiqua" w:hAnsi="Book Antiqua"/>
          <w:sz w:val="24"/>
          <w:szCs w:val="24"/>
        </w:rPr>
        <w:lastRenderedPageBreak/>
        <w:t>the invasive component. On the other hand, hepatoid gastric carcinoma (HGC) was significantly positive in the invasive component. In this study, pathological findings in all GCED cases showed that the mucosal layer was composed of conventional tubular adenocarcinoma and GCED. In addition, the superficial mucosal layer was covered with a conventional tubular adenocarcinoma, and there were no findings of GCED components exposed to the superficial layer. Therefore, since we could only collect superficial mucosal layer tissue for the biopsy specimens, we felt that GCED could not be diagnosed by examination of biopsy specimens. The GCED component exists only in the deeper part of the mucosa to the submucosa by lymphatic and/or venous invasion but not in any other histological type of AFPGC (HGC and yolk sa</w:t>
      </w:r>
      <w:r w:rsidR="00EF2EF3">
        <w:rPr>
          <w:rFonts w:ascii="Book Antiqua" w:hAnsi="Book Antiqua"/>
          <w:sz w:val="24"/>
          <w:szCs w:val="24"/>
        </w:rPr>
        <w:t>c type). As in previous reports</w:t>
      </w:r>
      <w:r w:rsidR="00EF2EF3">
        <w:rPr>
          <w:rFonts w:ascii="Book Antiqua" w:hAnsi="Book Antiqua"/>
          <w:sz w:val="24"/>
          <w:szCs w:val="24"/>
          <w:vertAlign w:val="superscript"/>
        </w:rPr>
        <w:t>[2,</w:t>
      </w:r>
      <w:r w:rsidRPr="0032119E">
        <w:rPr>
          <w:rFonts w:ascii="Book Antiqua" w:hAnsi="Book Antiqua"/>
          <w:sz w:val="24"/>
          <w:szCs w:val="24"/>
          <w:vertAlign w:val="superscript"/>
        </w:rPr>
        <w:t>4]</w:t>
      </w:r>
      <w:r w:rsidRPr="0032119E">
        <w:rPr>
          <w:rFonts w:ascii="Book Antiqua" w:hAnsi="Book Antiqua"/>
          <w:sz w:val="24"/>
          <w:szCs w:val="24"/>
        </w:rPr>
        <w:t xml:space="preserve"> these findings suggested that GCED could be thought to develop from CGC and then gradually develop hepatoid features during the process of tumor invasion and proliferation. We considered that there is a possibility that early stage GCED represents the early developmental stage of AFPGC, which has various </w:t>
      </w:r>
      <w:r w:rsidR="0032119E">
        <w:rPr>
          <w:rFonts w:ascii="Book Antiqua" w:hAnsi="Book Antiqua"/>
          <w:sz w:val="24"/>
          <w:szCs w:val="24"/>
        </w:rPr>
        <w:t>mixtures of histological types.</w:t>
      </w:r>
    </w:p>
    <w:p w:rsidR="008A4F56" w:rsidRPr="0032119E" w:rsidRDefault="008A4F56" w:rsidP="00B20484">
      <w:pPr>
        <w:snapToGrid w:val="0"/>
        <w:spacing w:line="360" w:lineRule="auto"/>
        <w:ind w:firstLineChars="100" w:firstLine="240"/>
        <w:rPr>
          <w:rFonts w:ascii="Book Antiqua" w:hAnsi="Book Antiqua"/>
          <w:sz w:val="24"/>
          <w:szCs w:val="24"/>
        </w:rPr>
      </w:pPr>
      <w:r w:rsidRPr="0032119E">
        <w:rPr>
          <w:rFonts w:ascii="Book Antiqua" w:hAnsi="Book Antiqua"/>
          <w:sz w:val="24"/>
          <w:szCs w:val="24"/>
        </w:rPr>
        <w:t>Endoscopically, we diagnose the depth of invasion according to endoscopic features of gastric cancers with deep submucosal invasion (</w:t>
      </w:r>
      <w:r w:rsidR="0032119E">
        <w:rPr>
          <w:rFonts w:ascii="Book Antiqua" w:eastAsia="MS Mincho" w:hAnsi="Book Antiqua" w:cs="MS Mincho"/>
          <w:sz w:val="24"/>
          <w:szCs w:val="24"/>
        </w:rPr>
        <w:t>≥</w:t>
      </w:r>
      <w:r w:rsidR="0032119E">
        <w:rPr>
          <w:rFonts w:ascii="MS Mincho" w:eastAsia="MS Mincho" w:hAnsi="MS Mincho" w:cs="MS Mincho"/>
          <w:sz w:val="24"/>
          <w:szCs w:val="24"/>
        </w:rPr>
        <w:t xml:space="preserve"> </w:t>
      </w:r>
      <w:r w:rsidRPr="0032119E">
        <w:rPr>
          <w:rFonts w:ascii="Book Antiqua" w:hAnsi="Book Antiqua"/>
          <w:sz w:val="24"/>
          <w:szCs w:val="24"/>
        </w:rPr>
        <w:t xml:space="preserve">500 </w:t>
      </w:r>
      <w:r w:rsidRPr="0032119E">
        <w:rPr>
          <w:rFonts w:ascii="Book Antiqua" w:hAnsi="Book Antiqua" w:cs="Book Antiqua"/>
          <w:sz w:val="24"/>
          <w:szCs w:val="24"/>
        </w:rPr>
        <w:t>µ</w:t>
      </w:r>
      <w:r w:rsidRPr="0032119E">
        <w:rPr>
          <w:rFonts w:ascii="Book Antiqua" w:hAnsi="Book Antiqua"/>
          <w:sz w:val="24"/>
          <w:szCs w:val="24"/>
        </w:rPr>
        <w:t>m in depth), such as remarkable redness, uneven surface, margin elevation, ulceration, and enlarged fold</w:t>
      </w:r>
      <w:r w:rsidR="00850653" w:rsidRPr="0032119E">
        <w:rPr>
          <w:rFonts w:ascii="Book Antiqua" w:hAnsi="Book Antiqua"/>
          <w:sz w:val="24"/>
          <w:szCs w:val="24"/>
        </w:rPr>
        <w:t>s</w:t>
      </w:r>
      <w:r w:rsidR="00850653" w:rsidRPr="0032119E">
        <w:rPr>
          <w:rFonts w:ascii="Book Antiqua" w:hAnsi="Book Antiqua"/>
          <w:sz w:val="24"/>
          <w:szCs w:val="24"/>
          <w:vertAlign w:val="superscript"/>
        </w:rPr>
        <w:t>[2</w:t>
      </w:r>
      <w:r w:rsidR="00850653" w:rsidRPr="0032119E">
        <w:rPr>
          <w:rFonts w:ascii="Book Antiqua" w:hAnsi="Book Antiqua" w:hint="eastAsia"/>
          <w:sz w:val="24"/>
          <w:szCs w:val="24"/>
          <w:vertAlign w:val="superscript"/>
        </w:rPr>
        <w:t>2</w:t>
      </w:r>
      <w:r w:rsidRPr="0032119E">
        <w:rPr>
          <w:rFonts w:ascii="Book Antiqua" w:hAnsi="Book Antiqua"/>
          <w:sz w:val="24"/>
          <w:szCs w:val="24"/>
          <w:vertAlign w:val="superscript"/>
        </w:rPr>
        <w:t>]</w:t>
      </w:r>
      <w:r w:rsidRPr="0032119E">
        <w:rPr>
          <w:rFonts w:ascii="Book Antiqua" w:hAnsi="Book Antiqua"/>
          <w:sz w:val="24"/>
          <w:szCs w:val="24"/>
        </w:rPr>
        <w:t xml:space="preserve">. However, we could not anticipate the presence of deep submucosal invasion because none of these findings were revealed in our 6 GCED cases. The reason may be that there were few macroscopic changes in endoscopic morphology because the main submucosal invasive form of GCED depends on lymphatic and/or venous invasion and there were no severe stromal reactions. </w:t>
      </w:r>
    </w:p>
    <w:p w:rsidR="008A4F56" w:rsidRPr="0032119E" w:rsidRDefault="008A4F56" w:rsidP="00B20484">
      <w:pPr>
        <w:snapToGrid w:val="0"/>
        <w:spacing w:line="360" w:lineRule="auto"/>
        <w:ind w:firstLineChars="100" w:firstLine="240"/>
        <w:rPr>
          <w:rFonts w:ascii="Book Antiqua" w:hAnsi="Book Antiqua"/>
          <w:sz w:val="24"/>
          <w:szCs w:val="24"/>
        </w:rPr>
      </w:pPr>
      <w:r w:rsidRPr="0032119E">
        <w:rPr>
          <w:rFonts w:ascii="Book Antiqua" w:hAnsi="Book Antiqua"/>
          <w:sz w:val="24"/>
          <w:szCs w:val="24"/>
        </w:rPr>
        <w:t>In previous reports, AFPGC was usually associated with a poor prognosis with a high incidence of lymphatic invasion, venous invasion, and synchronous an</w:t>
      </w:r>
      <w:r w:rsidR="0032119E">
        <w:rPr>
          <w:rFonts w:ascii="Book Antiqua" w:hAnsi="Book Antiqua"/>
          <w:sz w:val="24"/>
          <w:szCs w:val="24"/>
        </w:rPr>
        <w:t>d metachronous liver metastasis</w:t>
      </w:r>
      <w:r w:rsidRPr="0032119E">
        <w:rPr>
          <w:rFonts w:ascii="Book Antiqua" w:hAnsi="Book Antiqua"/>
          <w:sz w:val="24"/>
          <w:szCs w:val="24"/>
          <w:vertAlign w:val="superscript"/>
        </w:rPr>
        <w:t>[2</w:t>
      </w:r>
      <w:r w:rsidR="00850653" w:rsidRPr="0032119E">
        <w:rPr>
          <w:rFonts w:ascii="Book Antiqua" w:hAnsi="Book Antiqua" w:hint="eastAsia"/>
          <w:sz w:val="24"/>
          <w:szCs w:val="24"/>
          <w:vertAlign w:val="superscript"/>
        </w:rPr>
        <w:t>3</w:t>
      </w:r>
      <w:r w:rsidRPr="0032119E">
        <w:rPr>
          <w:rFonts w:ascii="Book Antiqua" w:hAnsi="Book Antiqua"/>
          <w:sz w:val="24"/>
          <w:szCs w:val="24"/>
          <w:vertAlign w:val="superscript"/>
        </w:rPr>
        <w:t>-2</w:t>
      </w:r>
      <w:r w:rsidR="00850653" w:rsidRPr="0032119E">
        <w:rPr>
          <w:rFonts w:ascii="Book Antiqua" w:hAnsi="Book Antiqua" w:hint="eastAsia"/>
          <w:sz w:val="24"/>
          <w:szCs w:val="24"/>
          <w:vertAlign w:val="superscript"/>
        </w:rPr>
        <w:t>5</w:t>
      </w:r>
      <w:r w:rsidRPr="0032119E">
        <w:rPr>
          <w:rFonts w:ascii="Book Antiqua" w:hAnsi="Book Antiqua"/>
          <w:sz w:val="24"/>
          <w:szCs w:val="24"/>
          <w:vertAlign w:val="superscript"/>
        </w:rPr>
        <w:t>]</w:t>
      </w:r>
      <w:r w:rsidR="0032119E">
        <w:rPr>
          <w:rFonts w:ascii="Book Antiqua" w:hAnsi="Book Antiqua"/>
          <w:sz w:val="24"/>
          <w:szCs w:val="24"/>
        </w:rPr>
        <w:t xml:space="preserve">. Hirasaki </w:t>
      </w:r>
      <w:r w:rsidR="0032119E" w:rsidRPr="0032119E">
        <w:rPr>
          <w:rFonts w:ascii="Book Antiqua" w:hAnsi="Book Antiqua"/>
          <w:i/>
          <w:sz w:val="24"/>
          <w:szCs w:val="24"/>
        </w:rPr>
        <w:t>et al</w:t>
      </w:r>
      <w:r w:rsidRPr="0032119E">
        <w:rPr>
          <w:rFonts w:ascii="Book Antiqua" w:hAnsi="Book Antiqua"/>
          <w:sz w:val="24"/>
          <w:szCs w:val="24"/>
          <w:vertAlign w:val="superscript"/>
        </w:rPr>
        <w:t>[2</w:t>
      </w:r>
      <w:r w:rsidR="00850653" w:rsidRPr="0032119E">
        <w:rPr>
          <w:rFonts w:ascii="Book Antiqua" w:hAnsi="Book Antiqua" w:hint="eastAsia"/>
          <w:sz w:val="24"/>
          <w:szCs w:val="24"/>
          <w:vertAlign w:val="superscript"/>
        </w:rPr>
        <w:t>6</w:t>
      </w:r>
      <w:r w:rsidRPr="0032119E">
        <w:rPr>
          <w:rFonts w:ascii="Book Antiqua" w:hAnsi="Book Antiqua"/>
          <w:sz w:val="24"/>
          <w:szCs w:val="24"/>
          <w:vertAlign w:val="superscript"/>
        </w:rPr>
        <w:t>]</w:t>
      </w:r>
      <w:r w:rsidRPr="0032119E">
        <w:rPr>
          <w:rFonts w:ascii="Book Antiqua" w:hAnsi="Book Antiqua"/>
          <w:sz w:val="24"/>
          <w:szCs w:val="24"/>
        </w:rPr>
        <w:t xml:space="preserve"> studied 24 cases of AFP-producing early gastric cancer and reported that liver metastasis was seen </w:t>
      </w:r>
      <w:r w:rsidRPr="0032119E">
        <w:rPr>
          <w:rFonts w:ascii="Book Antiqua" w:hAnsi="Book Antiqua"/>
          <w:sz w:val="24"/>
          <w:szCs w:val="24"/>
        </w:rPr>
        <w:lastRenderedPageBreak/>
        <w:t>in 2 cases (8.3%) and lymph node metastasis was seen in 18 of 24 cases</w:t>
      </w:r>
      <w:r w:rsidR="0007165E" w:rsidRPr="0032119E">
        <w:rPr>
          <w:rFonts w:ascii="Book Antiqua" w:hAnsi="Book Antiqua" w:hint="eastAsia"/>
          <w:sz w:val="24"/>
          <w:szCs w:val="24"/>
        </w:rPr>
        <w:t xml:space="preserve"> </w:t>
      </w:r>
      <w:r w:rsidR="0007165E" w:rsidRPr="0032119E">
        <w:rPr>
          <w:rFonts w:ascii="Book Antiqua" w:hAnsi="Book Antiqua"/>
          <w:sz w:val="24"/>
          <w:szCs w:val="24"/>
        </w:rPr>
        <w:t>(75.0%)</w:t>
      </w:r>
      <w:r w:rsidRPr="0032119E">
        <w:rPr>
          <w:rFonts w:ascii="Book Antiqua" w:hAnsi="Book Antiqua"/>
          <w:sz w:val="24"/>
          <w:szCs w:val="24"/>
        </w:rPr>
        <w:t>. From these results, they suggested that lymph node metastasis should be generally taken into consideration in AFP-producing early gastric cancer even if lymph node swelling is not seen on diagnostic imaging and that such patients should be under close periodic observatio</w:t>
      </w:r>
      <w:r w:rsidR="0032119E">
        <w:rPr>
          <w:rFonts w:ascii="Book Antiqua" w:hAnsi="Book Antiqua"/>
          <w:sz w:val="24"/>
          <w:szCs w:val="24"/>
        </w:rPr>
        <w:t xml:space="preserve">n. Furthermore, Adachi </w:t>
      </w:r>
      <w:r w:rsidR="0032119E" w:rsidRPr="0032119E">
        <w:rPr>
          <w:rFonts w:ascii="Book Antiqua" w:hAnsi="Book Antiqua"/>
          <w:i/>
          <w:sz w:val="24"/>
          <w:szCs w:val="24"/>
        </w:rPr>
        <w:t>et al</w:t>
      </w:r>
      <w:r w:rsidR="00850653" w:rsidRPr="0032119E">
        <w:rPr>
          <w:rFonts w:ascii="Book Antiqua" w:hAnsi="Book Antiqua"/>
          <w:sz w:val="24"/>
          <w:szCs w:val="24"/>
          <w:vertAlign w:val="superscript"/>
        </w:rPr>
        <w:t>[2</w:t>
      </w:r>
      <w:r w:rsidR="00850653" w:rsidRPr="0032119E">
        <w:rPr>
          <w:rFonts w:ascii="Book Antiqua" w:hAnsi="Book Antiqua" w:hint="eastAsia"/>
          <w:sz w:val="24"/>
          <w:szCs w:val="24"/>
          <w:vertAlign w:val="superscript"/>
        </w:rPr>
        <w:t>3</w:t>
      </w:r>
      <w:r w:rsidRPr="0032119E">
        <w:rPr>
          <w:rFonts w:ascii="Book Antiqua" w:hAnsi="Book Antiqua"/>
          <w:sz w:val="24"/>
          <w:szCs w:val="24"/>
          <w:vertAlign w:val="superscript"/>
        </w:rPr>
        <w:t>]</w:t>
      </w:r>
      <w:r w:rsidRPr="0032119E">
        <w:rPr>
          <w:rFonts w:ascii="Book Antiqua" w:hAnsi="Book Antiqua"/>
          <w:sz w:val="24"/>
          <w:szCs w:val="24"/>
        </w:rPr>
        <w:t xml:space="preserve"> studied 270 cases of AFPGC and reported that there were 61 patients who underwent curative gastrectomy for stage I or II AFPGC, and that 39 of those patients (64%) were alive during a median follow-up period of 27 months. From these results, it is difficult to say that the prognosis was good. Although in this study the mean diameters of GCED and CGC were about the same, comparisons of M and SM invasive cancer, positive rates of lymphatic and venous invasion, and non-curative resection rates were significantly higher in GCED than CGC. Furthermore, when comparing only SM invasive cancer, the positive rate of venous invasion was significantly higher in GCED than CGC (100% </w:t>
      </w:r>
      <w:r w:rsidR="0032119E" w:rsidRPr="0032119E">
        <w:rPr>
          <w:rFonts w:ascii="Book Antiqua" w:hAnsi="Book Antiqua"/>
          <w:i/>
          <w:sz w:val="24"/>
          <w:szCs w:val="24"/>
        </w:rPr>
        <w:t>vs</w:t>
      </w:r>
      <w:r w:rsidRPr="0032119E">
        <w:rPr>
          <w:rFonts w:ascii="Book Antiqua" w:hAnsi="Book Antiqua"/>
          <w:sz w:val="24"/>
          <w:szCs w:val="24"/>
        </w:rPr>
        <w:t xml:space="preserve"> 4.2%, </w:t>
      </w:r>
      <w:r w:rsidRPr="0032119E">
        <w:rPr>
          <w:rFonts w:ascii="Book Antiqua" w:hAnsi="Book Antiqua"/>
          <w:i/>
          <w:sz w:val="24"/>
          <w:szCs w:val="24"/>
        </w:rPr>
        <w:t>P</w:t>
      </w:r>
      <w:r w:rsidR="0032119E">
        <w:rPr>
          <w:rFonts w:ascii="Book Antiqua" w:hAnsi="Book Antiqua"/>
          <w:sz w:val="24"/>
          <w:szCs w:val="24"/>
        </w:rPr>
        <w:t xml:space="preserve"> </w:t>
      </w:r>
      <w:r w:rsidRPr="0032119E">
        <w:rPr>
          <w:rFonts w:ascii="Book Antiqua" w:hAnsi="Book Antiqua"/>
          <w:sz w:val="24"/>
          <w:szCs w:val="24"/>
        </w:rPr>
        <w:t>&lt;</w:t>
      </w:r>
      <w:r w:rsidR="0032119E">
        <w:rPr>
          <w:rFonts w:ascii="Book Antiqua" w:hAnsi="Book Antiqua"/>
          <w:sz w:val="24"/>
          <w:szCs w:val="24"/>
        </w:rPr>
        <w:t xml:space="preserve"> </w:t>
      </w:r>
      <w:r w:rsidRPr="0032119E">
        <w:rPr>
          <w:rFonts w:ascii="Book Antiqua" w:hAnsi="Book Antiqua"/>
          <w:sz w:val="24"/>
          <w:szCs w:val="24"/>
        </w:rPr>
        <w:t xml:space="preserve">0.01). Although lymph node swelling cannot be seen on diagnostic imaging, lymph node metastasis occurred in 1 of 2 GCED cases who underwent additional surgery. In addition, although all of the 4 GCED cases for whom we could follow their complete progress were alive during the median follow-up period of 40 mo, 5 of 6 GCED cases (83.3%; 4 of 4 SM invasive </w:t>
      </w:r>
      <w:r w:rsidR="0007165E" w:rsidRPr="0032119E">
        <w:rPr>
          <w:rFonts w:ascii="Book Antiqua" w:hAnsi="Book Antiqua"/>
          <w:sz w:val="24"/>
          <w:szCs w:val="24"/>
        </w:rPr>
        <w:t>cancer</w:t>
      </w:r>
      <w:r w:rsidRPr="0032119E">
        <w:rPr>
          <w:rFonts w:ascii="Book Antiqua" w:hAnsi="Book Antiqua"/>
          <w:sz w:val="24"/>
          <w:szCs w:val="24"/>
        </w:rPr>
        <w:t>,</w:t>
      </w:r>
      <w:r w:rsidR="00674672">
        <w:rPr>
          <w:rFonts w:ascii="Book Antiqua" w:hAnsi="Book Antiqua"/>
          <w:sz w:val="24"/>
          <w:szCs w:val="24"/>
        </w:rPr>
        <w:t xml:space="preserve"> </w:t>
      </w:r>
      <w:r w:rsidRPr="0032119E">
        <w:rPr>
          <w:rFonts w:ascii="Book Antiqua" w:hAnsi="Book Antiqua"/>
          <w:sz w:val="24"/>
          <w:szCs w:val="24"/>
        </w:rPr>
        <w:t xml:space="preserve">100%) had endoscopic non-curative resection because of deep submucosal invasion, lymphatic and/or venous invasion, and a positive margin. Therefore, we think that GCED, as well as AFPGC, may have a high incidence of liver and lymph node metastasis because of the high level of affinity to vessels and is associated with a poor prognosis in comparison with CGC. In this study, 2 of 5 cases who had endoscopic non-curative resection were followed up without additional surgery. One of the 5 </w:t>
      </w:r>
      <w:r w:rsidR="0007165E" w:rsidRPr="0032119E">
        <w:rPr>
          <w:rFonts w:ascii="Book Antiqua" w:hAnsi="Book Antiqua" w:hint="eastAsia"/>
          <w:sz w:val="24"/>
          <w:szCs w:val="24"/>
        </w:rPr>
        <w:t>case</w:t>
      </w:r>
      <w:r w:rsidRPr="0032119E">
        <w:rPr>
          <w:rFonts w:ascii="Book Antiqua" w:hAnsi="Book Antiqua"/>
          <w:sz w:val="24"/>
          <w:szCs w:val="24"/>
        </w:rPr>
        <w:t>s had additional surgery and the remaining 2 were followed elsewhere. Although the 2 cases that we are following are alive without a recurrence (case 2: 42 mo, case 5: 38 mo), it is thought that close periodic observation is s</w:t>
      </w:r>
      <w:r w:rsidR="00674672">
        <w:rPr>
          <w:rFonts w:ascii="Book Antiqua" w:hAnsi="Book Antiqua"/>
          <w:sz w:val="24"/>
          <w:szCs w:val="24"/>
        </w:rPr>
        <w:t>trictly required in such cases.</w:t>
      </w:r>
    </w:p>
    <w:p w:rsidR="008A4F56" w:rsidRPr="0032119E" w:rsidRDefault="008A4F56" w:rsidP="00B20484">
      <w:pPr>
        <w:snapToGrid w:val="0"/>
        <w:spacing w:line="360" w:lineRule="auto"/>
        <w:ind w:firstLineChars="100" w:firstLine="240"/>
        <w:rPr>
          <w:rFonts w:ascii="Book Antiqua" w:hAnsi="Book Antiqua"/>
          <w:sz w:val="24"/>
          <w:szCs w:val="24"/>
        </w:rPr>
      </w:pPr>
      <w:r w:rsidRPr="0032119E">
        <w:rPr>
          <w:rFonts w:ascii="Book Antiqua" w:hAnsi="Book Antiqua"/>
          <w:sz w:val="24"/>
          <w:szCs w:val="24"/>
        </w:rPr>
        <w:lastRenderedPageBreak/>
        <w:t>The present study had some limitations. Since GCED is a disease with a very low incidence rate, the number of patients was small. Furthermore, the data were collected retrospectively in a single medical center, wh</w:t>
      </w:r>
      <w:r w:rsidR="00674672">
        <w:rPr>
          <w:rFonts w:ascii="Book Antiqua" w:hAnsi="Book Antiqua"/>
          <w:sz w:val="24"/>
          <w:szCs w:val="24"/>
        </w:rPr>
        <w:t>ich may produce selection bias.</w:t>
      </w:r>
    </w:p>
    <w:p w:rsidR="008A4F56" w:rsidRPr="0032119E" w:rsidRDefault="008A4F56" w:rsidP="00B20484">
      <w:pPr>
        <w:snapToGrid w:val="0"/>
        <w:spacing w:line="360" w:lineRule="auto"/>
        <w:ind w:firstLineChars="100" w:firstLine="240"/>
        <w:rPr>
          <w:rFonts w:ascii="Book Antiqua" w:hAnsi="Book Antiqua"/>
          <w:sz w:val="24"/>
          <w:szCs w:val="24"/>
        </w:rPr>
      </w:pPr>
      <w:r w:rsidRPr="0032119E">
        <w:rPr>
          <w:rFonts w:ascii="Book Antiqua" w:hAnsi="Book Antiqua"/>
          <w:sz w:val="24"/>
          <w:szCs w:val="24"/>
        </w:rPr>
        <w:t>In conclusion, GCED is rare, but has distinct clinicopathologic</w:t>
      </w:r>
      <w:r w:rsidR="006E6CB5" w:rsidRPr="0032119E">
        <w:rPr>
          <w:rFonts w:ascii="Book Antiqua" w:hAnsi="Book Antiqua" w:hint="eastAsia"/>
          <w:sz w:val="24"/>
          <w:szCs w:val="24"/>
        </w:rPr>
        <w:t>al</w:t>
      </w:r>
      <w:r w:rsidRPr="0032119E">
        <w:rPr>
          <w:rFonts w:ascii="Book Antiqua" w:hAnsi="Book Antiqua"/>
          <w:sz w:val="24"/>
          <w:szCs w:val="24"/>
        </w:rPr>
        <w:t xml:space="preserve"> features, especially in terms of high malignant potential and difficulty in preoperative diagnosis by biopsy specimens and prediction of submucosal invasion by endoscopic findings. It is necessary for endoscopists and pathologists to be aware of the clinicopathological features of such a rare and highly malignant type of cancer. In addition, when we detect specific histological findings for GCED with hematoxylin and eosin stain, immunohistochemical examination should be performed to make a precise diagnosis. However, there has been no report that evaluated a large number of cases. Further investigations are needed to elucidate the natural history of GCED by assessing the long-term outcome and establishing optimal treatment approaches for GCED. </w:t>
      </w:r>
    </w:p>
    <w:p w:rsidR="008A4F56" w:rsidRPr="0032119E" w:rsidRDefault="008A4F56" w:rsidP="00B20484">
      <w:pPr>
        <w:snapToGrid w:val="0"/>
        <w:spacing w:line="360" w:lineRule="auto"/>
        <w:rPr>
          <w:rFonts w:ascii="Book Antiqua" w:hAnsi="Book Antiqua"/>
          <w:b/>
          <w:sz w:val="24"/>
          <w:szCs w:val="24"/>
        </w:rPr>
      </w:pPr>
    </w:p>
    <w:p w:rsidR="00DF691A" w:rsidRPr="0032119E" w:rsidRDefault="00DF691A" w:rsidP="00B20484">
      <w:pPr>
        <w:snapToGrid w:val="0"/>
        <w:spacing w:line="360" w:lineRule="auto"/>
        <w:rPr>
          <w:rFonts w:ascii="Book Antiqua" w:hAnsi="Book Antiqua"/>
          <w:b/>
          <w:sz w:val="24"/>
          <w:szCs w:val="24"/>
        </w:rPr>
      </w:pPr>
      <w:r w:rsidRPr="0032119E">
        <w:rPr>
          <w:rFonts w:ascii="Book Antiqua" w:hAnsi="Book Antiqua"/>
          <w:b/>
          <w:sz w:val="24"/>
          <w:szCs w:val="24"/>
        </w:rPr>
        <w:t>COMMENTS</w:t>
      </w:r>
    </w:p>
    <w:p w:rsidR="008A4F56" w:rsidRPr="0032119E" w:rsidRDefault="00DF691A" w:rsidP="00B20484">
      <w:pPr>
        <w:snapToGrid w:val="0"/>
        <w:spacing w:line="360" w:lineRule="auto"/>
        <w:rPr>
          <w:rFonts w:ascii="Book Antiqua" w:hAnsi="Book Antiqua"/>
          <w:b/>
          <w:i/>
          <w:iCs/>
          <w:sz w:val="24"/>
          <w:szCs w:val="24"/>
        </w:rPr>
      </w:pPr>
      <w:r w:rsidRPr="0032119E">
        <w:rPr>
          <w:rFonts w:ascii="Book Antiqua" w:hAnsi="Book Antiqua"/>
          <w:b/>
          <w:i/>
          <w:iCs/>
          <w:sz w:val="24"/>
          <w:szCs w:val="24"/>
        </w:rPr>
        <w:t>Background</w:t>
      </w:r>
    </w:p>
    <w:p w:rsidR="004E5324" w:rsidRPr="0032119E" w:rsidRDefault="004E5324" w:rsidP="00B20484">
      <w:pPr>
        <w:snapToGrid w:val="0"/>
        <w:spacing w:line="360" w:lineRule="auto"/>
        <w:rPr>
          <w:rFonts w:ascii="Book Antiqua" w:hAnsi="Book Antiqua"/>
          <w:sz w:val="24"/>
          <w:szCs w:val="24"/>
        </w:rPr>
      </w:pPr>
      <w:r w:rsidRPr="0032119E">
        <w:rPr>
          <w:rFonts w:ascii="Book Antiqua" w:hAnsi="Book Antiqua"/>
          <w:sz w:val="24"/>
          <w:szCs w:val="24"/>
        </w:rPr>
        <w:t>Gastric cancer with enteroblastic differentiation (GCED) was proposed as a very rare variant of alpha-fetoprotein-producing gastric cancer (AFPGC)</w:t>
      </w:r>
      <w:r w:rsidR="003041C0" w:rsidRPr="0032119E">
        <w:rPr>
          <w:rFonts w:ascii="Book Antiqua" w:hAnsi="Book Antiqua" w:hint="eastAsia"/>
          <w:sz w:val="24"/>
          <w:szCs w:val="24"/>
        </w:rPr>
        <w:t xml:space="preserve">. In previous reports, </w:t>
      </w:r>
      <w:r w:rsidR="003041C0" w:rsidRPr="0032119E">
        <w:rPr>
          <w:rFonts w:ascii="Book Antiqua" w:hAnsi="Book Antiqua"/>
          <w:sz w:val="24"/>
          <w:szCs w:val="24"/>
        </w:rPr>
        <w:t>AFPGC was usually associated with a poor prognosis with a high incidence of lymphatic invasion, venous invasion, and synchronous and metachronous liver metastasis</w:t>
      </w:r>
      <w:r w:rsidR="003041C0" w:rsidRPr="0032119E">
        <w:rPr>
          <w:rFonts w:ascii="Book Antiqua" w:hAnsi="Book Antiqua" w:hint="eastAsia"/>
          <w:sz w:val="24"/>
          <w:szCs w:val="24"/>
        </w:rPr>
        <w:t xml:space="preserve">. </w:t>
      </w:r>
      <w:r w:rsidR="00D15291" w:rsidRPr="0032119E">
        <w:rPr>
          <w:rFonts w:ascii="Book Antiqua" w:hAnsi="Book Antiqua"/>
          <w:sz w:val="24"/>
          <w:szCs w:val="24"/>
        </w:rPr>
        <w:t>Recently, with the advent and widespread use of endoscopic submucosal dissection</w:t>
      </w:r>
      <w:r w:rsidR="00D15291" w:rsidRPr="0032119E">
        <w:rPr>
          <w:rFonts w:ascii="Book Antiqua" w:hAnsi="Book Antiqua" w:hint="eastAsia"/>
          <w:sz w:val="24"/>
          <w:szCs w:val="24"/>
        </w:rPr>
        <w:t xml:space="preserve"> (ESD)</w:t>
      </w:r>
      <w:r w:rsidR="00D15291" w:rsidRPr="0032119E">
        <w:rPr>
          <w:rFonts w:ascii="Book Antiqua" w:hAnsi="Book Antiqua"/>
          <w:sz w:val="24"/>
          <w:szCs w:val="24"/>
        </w:rPr>
        <w:t xml:space="preserve">, indications for endoscopic treatment of early stage gastric cancer have been expanding rapidly. </w:t>
      </w:r>
      <w:r w:rsidR="00275EFB" w:rsidRPr="0032119E">
        <w:rPr>
          <w:rFonts w:ascii="Book Antiqua" w:hAnsi="Book Antiqua"/>
          <w:sz w:val="24"/>
          <w:szCs w:val="24"/>
        </w:rPr>
        <w:t>Therefore, it is necessary for endoscopists to know the clinicopathological features of various histological types of early gastric cancer.</w:t>
      </w:r>
      <w:r w:rsidR="00275EFB" w:rsidRPr="0032119E">
        <w:rPr>
          <w:rFonts w:ascii="Book Antiqua" w:hAnsi="Book Antiqua" w:hint="eastAsia"/>
          <w:sz w:val="24"/>
          <w:szCs w:val="24"/>
        </w:rPr>
        <w:t xml:space="preserve"> </w:t>
      </w:r>
      <w:r w:rsidR="00F726BB" w:rsidRPr="0032119E">
        <w:rPr>
          <w:rFonts w:ascii="Book Antiqua" w:hAnsi="Book Antiqua" w:hint="eastAsia"/>
          <w:sz w:val="24"/>
          <w:szCs w:val="24"/>
        </w:rPr>
        <w:t xml:space="preserve">However, the </w:t>
      </w:r>
      <w:r w:rsidR="00F726BB" w:rsidRPr="0032119E">
        <w:rPr>
          <w:rFonts w:ascii="Book Antiqua" w:hAnsi="Book Antiqua"/>
          <w:sz w:val="24"/>
          <w:szCs w:val="24"/>
        </w:rPr>
        <w:t xml:space="preserve">clinicopathological features </w:t>
      </w:r>
      <w:r w:rsidR="00F726BB" w:rsidRPr="0032119E">
        <w:rPr>
          <w:rFonts w:ascii="Book Antiqua" w:hAnsi="Book Antiqua" w:hint="eastAsia"/>
          <w:sz w:val="24"/>
          <w:szCs w:val="24"/>
        </w:rPr>
        <w:t xml:space="preserve">and the </w:t>
      </w:r>
      <w:r w:rsidR="00275EFB" w:rsidRPr="0032119E">
        <w:rPr>
          <w:rFonts w:ascii="Book Antiqua" w:hAnsi="Book Antiqua"/>
          <w:sz w:val="24"/>
          <w:szCs w:val="24"/>
        </w:rPr>
        <w:t>optimal treatment approaches</w:t>
      </w:r>
      <w:r w:rsidR="00F726BB" w:rsidRPr="0032119E">
        <w:rPr>
          <w:rFonts w:ascii="Book Antiqua" w:hAnsi="Book Antiqua" w:hint="eastAsia"/>
          <w:sz w:val="24"/>
          <w:szCs w:val="24"/>
        </w:rPr>
        <w:t xml:space="preserve"> of GCED </w:t>
      </w:r>
      <w:r w:rsidR="00F726BB" w:rsidRPr="0032119E">
        <w:rPr>
          <w:rFonts w:ascii="Book Antiqua" w:hAnsi="Book Antiqua"/>
          <w:sz w:val="24"/>
          <w:szCs w:val="24"/>
        </w:rPr>
        <w:t>have not been well elucidated.</w:t>
      </w:r>
      <w:r w:rsidR="00275EFB" w:rsidRPr="0032119E">
        <w:rPr>
          <w:rFonts w:ascii="Book Antiqua" w:hAnsi="Book Antiqua" w:hint="eastAsia"/>
          <w:sz w:val="24"/>
          <w:szCs w:val="24"/>
        </w:rPr>
        <w:t xml:space="preserve"> </w:t>
      </w:r>
      <w:r w:rsidR="003041C0" w:rsidRPr="0032119E">
        <w:rPr>
          <w:rFonts w:ascii="Book Antiqua" w:hAnsi="Book Antiqua" w:hint="eastAsia"/>
          <w:sz w:val="24"/>
          <w:szCs w:val="24"/>
        </w:rPr>
        <w:t xml:space="preserve">In </w:t>
      </w:r>
      <w:r w:rsidR="003041C0" w:rsidRPr="0032119E">
        <w:rPr>
          <w:rFonts w:ascii="Book Antiqua" w:hAnsi="Book Antiqua"/>
          <w:sz w:val="24"/>
          <w:szCs w:val="24"/>
        </w:rPr>
        <w:t>this</w:t>
      </w:r>
      <w:r w:rsidR="003041C0" w:rsidRPr="0032119E">
        <w:rPr>
          <w:rFonts w:ascii="Book Antiqua" w:hAnsi="Book Antiqua" w:hint="eastAsia"/>
          <w:sz w:val="24"/>
          <w:szCs w:val="24"/>
        </w:rPr>
        <w:t xml:space="preserve"> study, we </w:t>
      </w:r>
      <w:r w:rsidR="008164F0" w:rsidRPr="0032119E">
        <w:rPr>
          <w:rFonts w:ascii="Book Antiqua" w:hAnsi="Book Antiqua" w:hint="eastAsia"/>
          <w:sz w:val="24"/>
          <w:szCs w:val="24"/>
        </w:rPr>
        <w:t xml:space="preserve">investigated clinicopathological </w:t>
      </w:r>
      <w:r w:rsidR="008164F0" w:rsidRPr="0032119E">
        <w:rPr>
          <w:rFonts w:ascii="Book Antiqua" w:hAnsi="Book Antiqua" w:hint="eastAsia"/>
          <w:sz w:val="24"/>
          <w:szCs w:val="24"/>
        </w:rPr>
        <w:lastRenderedPageBreak/>
        <w:t>features of early stage</w:t>
      </w:r>
      <w:r w:rsidR="00D15291" w:rsidRPr="0032119E">
        <w:rPr>
          <w:rFonts w:ascii="Book Antiqua" w:hAnsi="Book Antiqua"/>
          <w:sz w:val="24"/>
          <w:szCs w:val="24"/>
        </w:rPr>
        <w:t xml:space="preserve"> </w:t>
      </w:r>
      <w:r w:rsidR="008164F0" w:rsidRPr="0032119E">
        <w:rPr>
          <w:rFonts w:ascii="Book Antiqua" w:hAnsi="Book Antiqua" w:hint="eastAsia"/>
          <w:sz w:val="24"/>
          <w:szCs w:val="24"/>
        </w:rPr>
        <w:t>of GCED</w:t>
      </w:r>
      <w:r w:rsidR="00D15291" w:rsidRPr="0032119E">
        <w:rPr>
          <w:rFonts w:ascii="Book Antiqua" w:hAnsi="Book Antiqua"/>
          <w:sz w:val="24"/>
          <w:szCs w:val="24"/>
        </w:rPr>
        <w:t>.</w:t>
      </w:r>
    </w:p>
    <w:p w:rsidR="004E5324" w:rsidRPr="0032119E" w:rsidRDefault="004E5324" w:rsidP="00B20484">
      <w:pPr>
        <w:snapToGrid w:val="0"/>
        <w:spacing w:line="360" w:lineRule="auto"/>
        <w:rPr>
          <w:rFonts w:ascii="Book Antiqua" w:hAnsi="Book Antiqua"/>
          <w:b/>
          <w:sz w:val="24"/>
          <w:szCs w:val="24"/>
        </w:rPr>
      </w:pPr>
    </w:p>
    <w:p w:rsidR="00B367BE" w:rsidRPr="0032119E" w:rsidRDefault="00DF691A" w:rsidP="00B20484">
      <w:pPr>
        <w:snapToGrid w:val="0"/>
        <w:spacing w:line="360" w:lineRule="auto"/>
        <w:rPr>
          <w:rFonts w:ascii="Book Antiqua" w:hAnsi="Book Antiqua"/>
          <w:sz w:val="24"/>
          <w:szCs w:val="24"/>
        </w:rPr>
      </w:pPr>
      <w:r w:rsidRPr="0032119E">
        <w:rPr>
          <w:rFonts w:ascii="Book Antiqua" w:hAnsi="Book Antiqua"/>
          <w:b/>
          <w:i/>
          <w:iCs/>
          <w:sz w:val="24"/>
          <w:szCs w:val="24"/>
        </w:rPr>
        <w:t>Research frontiers</w:t>
      </w:r>
      <w:r w:rsidR="00B367BE" w:rsidRPr="0032119E">
        <w:rPr>
          <w:rFonts w:ascii="Book Antiqua" w:hAnsi="Book Antiqua"/>
          <w:sz w:val="24"/>
          <w:szCs w:val="24"/>
        </w:rPr>
        <w:t xml:space="preserve"> </w:t>
      </w:r>
    </w:p>
    <w:p w:rsidR="008A4F56" w:rsidRPr="0032119E" w:rsidRDefault="00B367BE" w:rsidP="00B20484">
      <w:pPr>
        <w:snapToGrid w:val="0"/>
        <w:spacing w:line="360" w:lineRule="auto"/>
        <w:rPr>
          <w:rFonts w:ascii="Book Antiqua" w:hAnsi="Book Antiqua"/>
          <w:sz w:val="24"/>
          <w:szCs w:val="24"/>
        </w:rPr>
      </w:pPr>
      <w:r w:rsidRPr="0032119E">
        <w:rPr>
          <w:rFonts w:ascii="Book Antiqua" w:hAnsi="Book Antiqua"/>
          <w:sz w:val="24"/>
          <w:szCs w:val="24"/>
        </w:rPr>
        <w:t>There are few reports about GCED</w:t>
      </w:r>
      <w:r w:rsidR="00D15291" w:rsidRPr="0032119E">
        <w:rPr>
          <w:rFonts w:ascii="Book Antiqua" w:hAnsi="Book Antiqua" w:hint="eastAsia"/>
          <w:sz w:val="24"/>
          <w:szCs w:val="24"/>
        </w:rPr>
        <w:t>.</w:t>
      </w:r>
      <w:r w:rsidRPr="0032119E">
        <w:rPr>
          <w:rFonts w:ascii="Book Antiqua" w:hAnsi="Book Antiqua"/>
          <w:sz w:val="24"/>
          <w:szCs w:val="24"/>
        </w:rPr>
        <w:t xml:space="preserve"> </w:t>
      </w:r>
      <w:r w:rsidR="008229B1" w:rsidRPr="0032119E">
        <w:rPr>
          <w:rFonts w:ascii="Book Antiqua" w:hAnsi="Book Antiqua"/>
          <w:sz w:val="24"/>
          <w:szCs w:val="24"/>
        </w:rPr>
        <w:t>Most of these are case reports, and there is no report that focused on the early stage of GCED.</w:t>
      </w:r>
      <w:r w:rsidRPr="0032119E">
        <w:rPr>
          <w:rFonts w:ascii="Book Antiqua" w:hAnsi="Book Antiqua"/>
          <w:sz w:val="24"/>
          <w:szCs w:val="24"/>
        </w:rPr>
        <w:t xml:space="preserve"> In these earlier reported cases, GCED was histologically characterized as having a primitive intestine-like structure composed of cuboidal or columnar cells with clear cytoplasm</w:t>
      </w:r>
      <w:r w:rsidRPr="0032119E">
        <w:rPr>
          <w:rFonts w:ascii="Book Antiqua" w:hAnsi="Book Antiqua" w:hint="eastAsia"/>
          <w:sz w:val="24"/>
          <w:szCs w:val="24"/>
        </w:rPr>
        <w:t xml:space="preserve">, and </w:t>
      </w:r>
      <w:r w:rsidRPr="0032119E">
        <w:rPr>
          <w:rFonts w:ascii="Book Antiqua" w:hAnsi="Book Antiqua"/>
          <w:sz w:val="24"/>
          <w:szCs w:val="24"/>
        </w:rPr>
        <w:t>GCED showed aggressive behavior such as lymphatic and venous invasion, lymph node metastasis, and liver metastasis</w:t>
      </w:r>
      <w:r w:rsidRPr="0032119E">
        <w:rPr>
          <w:rFonts w:ascii="Book Antiqua" w:hAnsi="Book Antiqua" w:hint="eastAsia"/>
          <w:sz w:val="24"/>
          <w:szCs w:val="24"/>
        </w:rPr>
        <w:t>.</w:t>
      </w:r>
    </w:p>
    <w:p w:rsidR="00B367BE" w:rsidRPr="0032119E" w:rsidRDefault="00B367BE" w:rsidP="00B20484">
      <w:pPr>
        <w:snapToGrid w:val="0"/>
        <w:spacing w:line="360" w:lineRule="auto"/>
        <w:rPr>
          <w:rFonts w:ascii="Book Antiqua" w:hAnsi="Book Antiqua"/>
          <w:b/>
          <w:sz w:val="24"/>
          <w:szCs w:val="24"/>
        </w:rPr>
      </w:pPr>
    </w:p>
    <w:p w:rsidR="00B367BE" w:rsidRPr="0032119E" w:rsidRDefault="00DF691A" w:rsidP="00B20484">
      <w:pPr>
        <w:snapToGrid w:val="0"/>
        <w:spacing w:line="360" w:lineRule="auto"/>
        <w:rPr>
          <w:rFonts w:ascii="Book Antiqua" w:hAnsi="Book Antiqua"/>
          <w:sz w:val="24"/>
          <w:szCs w:val="24"/>
        </w:rPr>
      </w:pPr>
      <w:r w:rsidRPr="0032119E">
        <w:rPr>
          <w:rFonts w:ascii="Book Antiqua" w:hAnsi="Book Antiqua"/>
          <w:b/>
          <w:i/>
          <w:iCs/>
          <w:sz w:val="24"/>
          <w:szCs w:val="24"/>
        </w:rPr>
        <w:t>Innovations and breakthroughs</w:t>
      </w:r>
      <w:r w:rsidR="00B367BE" w:rsidRPr="0032119E">
        <w:rPr>
          <w:rFonts w:ascii="Book Antiqua" w:hAnsi="Book Antiqua"/>
          <w:sz w:val="24"/>
          <w:szCs w:val="24"/>
        </w:rPr>
        <w:t xml:space="preserve"> </w:t>
      </w:r>
    </w:p>
    <w:p w:rsidR="008A4F56" w:rsidRPr="00674672" w:rsidRDefault="008229B1" w:rsidP="00B20484">
      <w:pPr>
        <w:snapToGrid w:val="0"/>
        <w:spacing w:line="360" w:lineRule="auto"/>
        <w:rPr>
          <w:rFonts w:ascii="Book Antiqua" w:hAnsi="Book Antiqua"/>
          <w:sz w:val="24"/>
          <w:szCs w:val="24"/>
        </w:rPr>
      </w:pPr>
      <w:r w:rsidRPr="0032119E">
        <w:rPr>
          <w:rFonts w:ascii="Book Antiqua" w:hAnsi="Book Antiqua" w:hint="eastAsia"/>
          <w:sz w:val="24"/>
          <w:szCs w:val="24"/>
        </w:rPr>
        <w:t>The results of t</w:t>
      </w:r>
      <w:r w:rsidR="00B367BE" w:rsidRPr="0032119E">
        <w:rPr>
          <w:rFonts w:ascii="Book Antiqua" w:hAnsi="Book Antiqua"/>
          <w:sz w:val="24"/>
          <w:szCs w:val="24"/>
        </w:rPr>
        <w:t xml:space="preserve">his study </w:t>
      </w:r>
      <w:r w:rsidRPr="0032119E">
        <w:rPr>
          <w:rFonts w:ascii="Book Antiqua" w:hAnsi="Book Antiqua" w:hint="eastAsia"/>
          <w:sz w:val="24"/>
          <w:szCs w:val="24"/>
        </w:rPr>
        <w:t xml:space="preserve">contribute to </w:t>
      </w:r>
      <w:r w:rsidR="00B367BE" w:rsidRPr="0032119E">
        <w:rPr>
          <w:rFonts w:ascii="Book Antiqua" w:hAnsi="Book Antiqua"/>
          <w:sz w:val="24"/>
          <w:szCs w:val="24"/>
        </w:rPr>
        <w:t>clarify</w:t>
      </w:r>
      <w:r w:rsidRPr="0032119E">
        <w:rPr>
          <w:rFonts w:ascii="Book Antiqua" w:hAnsi="Book Antiqua" w:hint="eastAsia"/>
          <w:sz w:val="24"/>
          <w:szCs w:val="24"/>
        </w:rPr>
        <w:t>ing</w:t>
      </w:r>
      <w:r w:rsidR="00B367BE" w:rsidRPr="0032119E">
        <w:rPr>
          <w:rFonts w:ascii="Book Antiqua" w:hAnsi="Book Antiqua"/>
          <w:sz w:val="24"/>
          <w:szCs w:val="24"/>
        </w:rPr>
        <w:t xml:space="preserve"> the clinicopathological features of early stage GCED by comparisons with the early stage of conventional gastric cancer (CGC), including well or moder</w:t>
      </w:r>
      <w:r w:rsidR="00674672">
        <w:rPr>
          <w:rFonts w:ascii="Book Antiqua" w:hAnsi="Book Antiqua"/>
          <w:sz w:val="24"/>
          <w:szCs w:val="24"/>
        </w:rPr>
        <w:t xml:space="preserve">ately differentiated carcinoma. </w:t>
      </w:r>
      <w:r w:rsidR="006E6CB5" w:rsidRPr="0032119E">
        <w:rPr>
          <w:rFonts w:ascii="Book Antiqua" w:hAnsi="Book Antiqua" w:hint="eastAsia"/>
          <w:sz w:val="24"/>
          <w:szCs w:val="24"/>
        </w:rPr>
        <w:t>In this study, e</w:t>
      </w:r>
      <w:r w:rsidR="008164F0" w:rsidRPr="0032119E">
        <w:rPr>
          <w:rFonts w:ascii="Book Antiqua" w:hAnsi="Book Antiqua"/>
          <w:sz w:val="24"/>
          <w:szCs w:val="24"/>
        </w:rPr>
        <w:t>ven if it is early stage cancer, GCED has distinct clinicopathologic</w:t>
      </w:r>
      <w:r w:rsidR="006E6CB5" w:rsidRPr="0032119E">
        <w:rPr>
          <w:rFonts w:ascii="Book Antiqua" w:hAnsi="Book Antiqua" w:hint="eastAsia"/>
          <w:sz w:val="24"/>
          <w:szCs w:val="24"/>
        </w:rPr>
        <w:t>al</w:t>
      </w:r>
      <w:r w:rsidR="008164F0" w:rsidRPr="0032119E">
        <w:rPr>
          <w:rFonts w:ascii="Book Antiqua" w:hAnsi="Book Antiqua"/>
          <w:sz w:val="24"/>
          <w:szCs w:val="24"/>
        </w:rPr>
        <w:t xml:space="preserve"> features, especially in terms of high malignant potential with a high incidence of lymphatic</w:t>
      </w:r>
      <w:r w:rsidR="006E6CB5" w:rsidRPr="0032119E">
        <w:rPr>
          <w:rFonts w:ascii="Book Antiqua" w:hAnsi="Book Antiqua" w:hint="eastAsia"/>
          <w:sz w:val="24"/>
          <w:szCs w:val="24"/>
        </w:rPr>
        <w:t xml:space="preserve"> and venous</w:t>
      </w:r>
      <w:r w:rsidR="006E6CB5" w:rsidRPr="0032119E">
        <w:rPr>
          <w:rFonts w:ascii="Book Antiqua" w:hAnsi="Book Antiqua"/>
          <w:sz w:val="24"/>
          <w:szCs w:val="24"/>
        </w:rPr>
        <w:t xml:space="preserve"> invasion</w:t>
      </w:r>
      <w:r w:rsidR="006E6CB5" w:rsidRPr="0032119E">
        <w:rPr>
          <w:rFonts w:ascii="Book Antiqua" w:hAnsi="Book Antiqua" w:hint="eastAsia"/>
          <w:sz w:val="24"/>
          <w:szCs w:val="24"/>
        </w:rPr>
        <w:t xml:space="preserve">, </w:t>
      </w:r>
      <w:r w:rsidRPr="0032119E">
        <w:rPr>
          <w:rFonts w:ascii="Book Antiqua" w:hAnsi="Book Antiqua"/>
          <w:sz w:val="24"/>
          <w:szCs w:val="24"/>
        </w:rPr>
        <w:t>difficulty in preoperative diagnosis by biopsy specimens and prediction of submucosal invasion by endoscopic findings.</w:t>
      </w:r>
      <w:r w:rsidR="006E6CB5" w:rsidRPr="0032119E">
        <w:rPr>
          <w:rFonts w:ascii="Book Antiqua" w:hAnsi="Book Antiqua" w:hint="eastAsia"/>
          <w:sz w:val="24"/>
          <w:szCs w:val="24"/>
        </w:rPr>
        <w:t xml:space="preserve"> </w:t>
      </w:r>
      <w:r w:rsidR="00275EFB" w:rsidRPr="0032119E">
        <w:rPr>
          <w:rFonts w:ascii="Book Antiqua" w:hAnsi="Book Antiqua" w:hint="eastAsia"/>
          <w:sz w:val="24"/>
          <w:szCs w:val="24"/>
        </w:rPr>
        <w:t xml:space="preserve">In addition, </w:t>
      </w:r>
      <w:r w:rsidR="006927AD" w:rsidRPr="0032119E">
        <w:rPr>
          <w:rFonts w:ascii="Book Antiqua" w:hAnsi="Book Antiqua"/>
          <w:sz w:val="24"/>
          <w:szCs w:val="24"/>
        </w:rPr>
        <w:t xml:space="preserve">Glypican 3 was the most sensitive marker </w:t>
      </w:r>
      <w:r w:rsidR="006927AD" w:rsidRPr="0032119E">
        <w:rPr>
          <w:rFonts w:ascii="Book Antiqua" w:hAnsi="Book Antiqua" w:hint="eastAsia"/>
          <w:sz w:val="24"/>
          <w:szCs w:val="24"/>
        </w:rPr>
        <w:t xml:space="preserve">for GCED </w:t>
      </w:r>
      <w:r w:rsidR="006927AD" w:rsidRPr="0032119E">
        <w:rPr>
          <w:rFonts w:ascii="Book Antiqua" w:hAnsi="Book Antiqua"/>
          <w:sz w:val="24"/>
          <w:szCs w:val="24"/>
        </w:rPr>
        <w:t>(positivity, 83.3%)</w:t>
      </w:r>
      <w:r w:rsidR="00275EFB" w:rsidRPr="0032119E">
        <w:rPr>
          <w:rFonts w:ascii="Book Antiqua" w:hAnsi="Book Antiqua" w:hint="eastAsia"/>
          <w:sz w:val="24"/>
          <w:szCs w:val="24"/>
        </w:rPr>
        <w:t>, i</w:t>
      </w:r>
      <w:r w:rsidR="00275EFB" w:rsidRPr="0032119E">
        <w:rPr>
          <w:rFonts w:ascii="Book Antiqua" w:hAnsi="Book Antiqua"/>
          <w:sz w:val="24"/>
          <w:szCs w:val="24"/>
        </w:rPr>
        <w:t>mmunohistochemically</w:t>
      </w:r>
      <w:r w:rsidR="006927AD" w:rsidRPr="0032119E">
        <w:rPr>
          <w:rFonts w:ascii="Book Antiqua" w:hAnsi="Book Antiqua"/>
          <w:sz w:val="24"/>
          <w:szCs w:val="24"/>
        </w:rPr>
        <w:t>.</w:t>
      </w:r>
    </w:p>
    <w:p w:rsidR="00684907" w:rsidRPr="0032119E" w:rsidRDefault="00684907" w:rsidP="00B20484">
      <w:pPr>
        <w:snapToGrid w:val="0"/>
        <w:spacing w:line="360" w:lineRule="auto"/>
        <w:rPr>
          <w:rFonts w:ascii="Book Antiqua" w:hAnsi="Book Antiqua"/>
          <w:b/>
          <w:i/>
          <w:iCs/>
          <w:sz w:val="24"/>
          <w:szCs w:val="24"/>
        </w:rPr>
      </w:pPr>
    </w:p>
    <w:p w:rsidR="00B367BE" w:rsidRPr="0032119E" w:rsidRDefault="00DF691A" w:rsidP="00B20484">
      <w:pPr>
        <w:snapToGrid w:val="0"/>
        <w:spacing w:line="360" w:lineRule="auto"/>
        <w:rPr>
          <w:rFonts w:ascii="Book Antiqua" w:hAnsi="Book Antiqua"/>
          <w:sz w:val="24"/>
          <w:szCs w:val="24"/>
        </w:rPr>
      </w:pPr>
      <w:r w:rsidRPr="0032119E">
        <w:rPr>
          <w:rFonts w:ascii="Book Antiqua" w:hAnsi="Book Antiqua"/>
          <w:b/>
          <w:i/>
          <w:iCs/>
          <w:sz w:val="24"/>
          <w:szCs w:val="24"/>
        </w:rPr>
        <w:t>Applications</w:t>
      </w:r>
    </w:p>
    <w:p w:rsidR="00B367BE" w:rsidRPr="0032119E" w:rsidRDefault="00684907" w:rsidP="00B20484">
      <w:pPr>
        <w:snapToGrid w:val="0"/>
        <w:spacing w:line="360" w:lineRule="auto"/>
        <w:rPr>
          <w:rFonts w:ascii="Book Antiqua" w:hAnsi="Book Antiqua"/>
          <w:sz w:val="24"/>
          <w:szCs w:val="24"/>
        </w:rPr>
      </w:pPr>
      <w:r w:rsidRPr="0032119E">
        <w:rPr>
          <w:rFonts w:ascii="Book Antiqua" w:hAnsi="Book Antiqua" w:hint="eastAsia"/>
          <w:sz w:val="24"/>
          <w:szCs w:val="24"/>
        </w:rPr>
        <w:t>If</w:t>
      </w:r>
      <w:r w:rsidR="00B367BE" w:rsidRPr="0032119E">
        <w:rPr>
          <w:rFonts w:ascii="Book Antiqua" w:hAnsi="Book Antiqua"/>
          <w:sz w:val="24"/>
          <w:szCs w:val="24"/>
        </w:rPr>
        <w:t xml:space="preserve"> we detect specific histological findings for GCED with hematoxylin and eosin stain, immunohistochemical examination</w:t>
      </w:r>
      <w:r w:rsidRPr="0032119E">
        <w:rPr>
          <w:rFonts w:ascii="Book Antiqua" w:hAnsi="Book Antiqua" w:hint="eastAsia"/>
          <w:sz w:val="24"/>
          <w:szCs w:val="24"/>
        </w:rPr>
        <w:t xml:space="preserve">, especially </w:t>
      </w:r>
      <w:r w:rsidR="007562DC" w:rsidRPr="0032119E">
        <w:rPr>
          <w:rFonts w:ascii="Book Antiqua" w:hAnsi="Book Antiqua" w:hint="eastAsia"/>
          <w:sz w:val="24"/>
          <w:szCs w:val="24"/>
        </w:rPr>
        <w:t>Glypican 3</w:t>
      </w:r>
      <w:r w:rsidR="00B367BE" w:rsidRPr="0032119E">
        <w:rPr>
          <w:rFonts w:ascii="Book Antiqua" w:hAnsi="Book Antiqua"/>
          <w:sz w:val="24"/>
          <w:szCs w:val="24"/>
        </w:rPr>
        <w:t xml:space="preserve"> should be performed to make a precise diagnosis. However, there has been no report that evaluated a large number of cases. Further investigations are needed to elucidate the natural history of GCED by assessing the long-term outcome and establishing optimal treatment approaches for GCED. </w:t>
      </w:r>
    </w:p>
    <w:p w:rsidR="00B367BE" w:rsidRPr="0032119E" w:rsidRDefault="00B367BE" w:rsidP="00B20484">
      <w:pPr>
        <w:snapToGrid w:val="0"/>
        <w:spacing w:line="360" w:lineRule="auto"/>
        <w:rPr>
          <w:rFonts w:ascii="Book Antiqua" w:hAnsi="Book Antiqua"/>
          <w:b/>
          <w:i/>
          <w:iCs/>
          <w:sz w:val="24"/>
          <w:szCs w:val="24"/>
        </w:rPr>
      </w:pPr>
    </w:p>
    <w:p w:rsidR="007562DC" w:rsidRPr="0032119E" w:rsidRDefault="00DF691A" w:rsidP="00B20484">
      <w:pPr>
        <w:snapToGrid w:val="0"/>
        <w:spacing w:line="360" w:lineRule="auto"/>
        <w:rPr>
          <w:rFonts w:ascii="Book Antiqua" w:hAnsi="Book Antiqua"/>
          <w:b/>
          <w:iCs/>
          <w:sz w:val="24"/>
          <w:szCs w:val="24"/>
        </w:rPr>
      </w:pPr>
      <w:r w:rsidRPr="0032119E">
        <w:rPr>
          <w:rFonts w:ascii="Book Antiqua" w:hAnsi="Book Antiqua"/>
          <w:b/>
          <w:i/>
          <w:iCs/>
          <w:sz w:val="24"/>
          <w:szCs w:val="24"/>
        </w:rPr>
        <w:lastRenderedPageBreak/>
        <w:t>Terminology</w:t>
      </w:r>
    </w:p>
    <w:p w:rsidR="007562DC" w:rsidRPr="00674672" w:rsidRDefault="001319F0" w:rsidP="00B20484">
      <w:pPr>
        <w:snapToGrid w:val="0"/>
        <w:spacing w:line="360" w:lineRule="auto"/>
        <w:rPr>
          <w:rFonts w:ascii="Book Antiqua" w:hAnsi="Book Antiqua"/>
          <w:sz w:val="24"/>
          <w:szCs w:val="24"/>
        </w:rPr>
      </w:pPr>
      <w:r w:rsidRPr="0032119E">
        <w:rPr>
          <w:rFonts w:ascii="Book Antiqua" w:hAnsi="Book Antiqua" w:hint="eastAsia"/>
          <w:iCs/>
          <w:sz w:val="24"/>
          <w:szCs w:val="24"/>
        </w:rPr>
        <w:t>ESD</w:t>
      </w:r>
      <w:r w:rsidR="00674672">
        <w:rPr>
          <w:rFonts w:ascii="Book Antiqua" w:hAnsi="Book Antiqua"/>
          <w:iCs/>
          <w:sz w:val="24"/>
          <w:szCs w:val="24"/>
        </w:rPr>
        <w:t xml:space="preserve"> </w:t>
      </w:r>
      <w:r w:rsidR="001344BE" w:rsidRPr="0032119E">
        <w:rPr>
          <w:rFonts w:ascii="Book Antiqua" w:hAnsi="Book Antiqua"/>
          <w:iCs/>
          <w:sz w:val="24"/>
          <w:szCs w:val="24"/>
        </w:rPr>
        <w:t>is a well</w:t>
      </w:r>
      <w:r w:rsidR="00674672">
        <w:rPr>
          <w:rFonts w:ascii="Book Antiqua" w:hAnsi="Book Antiqua"/>
          <w:iCs/>
          <w:sz w:val="24"/>
          <w:szCs w:val="24"/>
        </w:rPr>
        <w:t xml:space="preserve"> </w:t>
      </w:r>
      <w:r w:rsidR="001344BE" w:rsidRPr="0032119E">
        <w:rPr>
          <w:rFonts w:ascii="Book Antiqua" w:hAnsi="Book Antiqua"/>
          <w:iCs/>
          <w:sz w:val="24"/>
          <w:szCs w:val="24"/>
        </w:rPr>
        <w:t>established technique of endoscopic resection that allows for en bloc removal of GI epithelial lesions.</w:t>
      </w:r>
      <w:r w:rsidRPr="0032119E">
        <w:rPr>
          <w:rFonts w:ascii="Book Antiqua" w:hAnsi="Book Antiqua" w:hint="eastAsia"/>
          <w:iCs/>
          <w:sz w:val="24"/>
          <w:szCs w:val="24"/>
        </w:rPr>
        <w:t xml:space="preserve"> </w:t>
      </w:r>
      <w:r w:rsidRPr="0032119E">
        <w:rPr>
          <w:rFonts w:ascii="Book Antiqua" w:hAnsi="Book Antiqua"/>
          <w:sz w:val="24"/>
          <w:szCs w:val="24"/>
        </w:rPr>
        <w:t>Glypican 3</w:t>
      </w:r>
      <w:r w:rsidR="00674672">
        <w:rPr>
          <w:rFonts w:ascii="Book Antiqua" w:hAnsi="Book Antiqua"/>
          <w:sz w:val="24"/>
          <w:szCs w:val="24"/>
        </w:rPr>
        <w:t>,</w:t>
      </w:r>
      <w:r w:rsidR="00674672">
        <w:rPr>
          <w:rFonts w:ascii="Book Antiqua" w:hAnsi="Book Antiqua" w:cs="Arial"/>
          <w:sz w:val="24"/>
          <w:szCs w:val="24"/>
          <w:shd w:val="clear" w:color="auto" w:fill="FFFFFF"/>
        </w:rPr>
        <w:t xml:space="preserve"> it </w:t>
      </w:r>
      <w:r w:rsidR="00E7768D" w:rsidRPr="0032119E">
        <w:rPr>
          <w:rFonts w:ascii="Book Antiqua" w:hAnsi="Book Antiqua"/>
          <w:sz w:val="24"/>
          <w:szCs w:val="24"/>
        </w:rPr>
        <w:t xml:space="preserve">is an oncofetal protein that is expressed in the human fetal liver and </w:t>
      </w:r>
      <w:r w:rsidR="00E7768D" w:rsidRPr="0032119E">
        <w:rPr>
          <w:rFonts w:ascii="Book Antiqua" w:hAnsi="Book Antiqua" w:hint="eastAsia"/>
          <w:sz w:val="24"/>
          <w:szCs w:val="24"/>
        </w:rPr>
        <w:t>placenta.</w:t>
      </w:r>
      <w:r w:rsidR="00E7768D" w:rsidRPr="0032119E">
        <w:rPr>
          <w:rFonts w:ascii="Book Antiqua" w:hAnsi="Book Antiqua"/>
          <w:sz w:val="24"/>
          <w:szCs w:val="24"/>
        </w:rPr>
        <w:t xml:space="preserve"> </w:t>
      </w:r>
      <w:r w:rsidR="00E7768D" w:rsidRPr="0032119E">
        <w:rPr>
          <w:rFonts w:ascii="Book Antiqua" w:hAnsi="Book Antiqua" w:hint="eastAsia"/>
          <w:sz w:val="24"/>
          <w:szCs w:val="24"/>
        </w:rPr>
        <w:t>It</w:t>
      </w:r>
      <w:r w:rsidR="00E7768D" w:rsidRPr="0032119E">
        <w:rPr>
          <w:rFonts w:ascii="Book Antiqua" w:hAnsi="Book Antiqua"/>
          <w:sz w:val="24"/>
          <w:szCs w:val="24"/>
        </w:rPr>
        <w:t xml:space="preserve"> was discovered as a potential serological</w:t>
      </w:r>
      <w:r w:rsidR="00E7768D" w:rsidRPr="0032119E">
        <w:rPr>
          <w:rFonts w:ascii="Book Antiqua" w:hAnsi="Book Antiqua" w:hint="eastAsia"/>
          <w:sz w:val="24"/>
          <w:szCs w:val="24"/>
        </w:rPr>
        <w:t xml:space="preserve"> </w:t>
      </w:r>
      <w:r w:rsidR="00E7768D" w:rsidRPr="0032119E">
        <w:rPr>
          <w:rFonts w:ascii="Book Antiqua" w:hAnsi="Book Antiqua"/>
          <w:sz w:val="24"/>
          <w:szCs w:val="24"/>
        </w:rPr>
        <w:t>and histochemical marker whose expression is</w:t>
      </w:r>
      <w:r w:rsidR="00E7768D" w:rsidRPr="0032119E">
        <w:rPr>
          <w:rFonts w:ascii="Book Antiqua" w:hAnsi="Book Antiqua" w:hint="eastAsia"/>
          <w:sz w:val="24"/>
          <w:szCs w:val="24"/>
        </w:rPr>
        <w:t xml:space="preserve"> </w:t>
      </w:r>
      <w:r w:rsidR="00E7768D" w:rsidRPr="0032119E">
        <w:rPr>
          <w:rFonts w:ascii="Book Antiqua" w:hAnsi="Book Antiqua"/>
          <w:sz w:val="24"/>
          <w:szCs w:val="24"/>
        </w:rPr>
        <w:t>specifi</w:t>
      </w:r>
      <w:r w:rsidR="00674672">
        <w:rPr>
          <w:rFonts w:ascii="Book Antiqua" w:hAnsi="Book Antiqua"/>
          <w:sz w:val="24"/>
          <w:szCs w:val="24"/>
        </w:rPr>
        <w:t xml:space="preserve">c for hepatocellular carcinoma. </w:t>
      </w:r>
      <w:r w:rsidRPr="0032119E">
        <w:rPr>
          <w:rFonts w:ascii="Book Antiqua" w:hAnsi="Book Antiqua"/>
          <w:sz w:val="24"/>
          <w:szCs w:val="24"/>
        </w:rPr>
        <w:t>SALL 4</w:t>
      </w:r>
      <w:r w:rsidR="00674672">
        <w:rPr>
          <w:rFonts w:ascii="Book Antiqua" w:hAnsi="Book Antiqua"/>
          <w:sz w:val="24"/>
          <w:szCs w:val="24"/>
        </w:rPr>
        <w:t xml:space="preserve">, </w:t>
      </w:r>
      <w:r w:rsidR="00674672" w:rsidRPr="0032119E">
        <w:rPr>
          <w:rFonts w:ascii="Book Antiqua" w:hAnsi="Book Antiqua" w:cs="Arial"/>
          <w:sz w:val="24"/>
          <w:szCs w:val="24"/>
          <w:shd w:val="clear" w:color="auto" w:fill="FFFFFF"/>
        </w:rPr>
        <w:t>i</w:t>
      </w:r>
      <w:r w:rsidR="00E7768D" w:rsidRPr="0032119E">
        <w:rPr>
          <w:rFonts w:ascii="Book Antiqua" w:hAnsi="Book Antiqua" w:cs="Arial" w:hint="eastAsia"/>
          <w:sz w:val="24"/>
          <w:szCs w:val="24"/>
          <w:shd w:val="clear" w:color="auto" w:fill="FFFFFF"/>
        </w:rPr>
        <w:t>t</w:t>
      </w:r>
      <w:r w:rsidR="00E7768D" w:rsidRPr="0032119E">
        <w:rPr>
          <w:rFonts w:ascii="Book Antiqua" w:hAnsi="Book Antiqua"/>
          <w:sz w:val="24"/>
          <w:szCs w:val="24"/>
        </w:rPr>
        <w:t xml:space="preserve"> is an oncofetal protein that is expressed in the human fetal liver and silenced in the adult liver, but it is reexpressed in a subgroup of patients who have hepatocellular carcinoma and an unfavorable prognosis.</w:t>
      </w:r>
    </w:p>
    <w:p w:rsidR="00E7768D" w:rsidRPr="00674672" w:rsidRDefault="00E7768D" w:rsidP="00B20484">
      <w:pPr>
        <w:snapToGrid w:val="0"/>
        <w:spacing w:line="360" w:lineRule="auto"/>
        <w:rPr>
          <w:rFonts w:ascii="Book Antiqua" w:hAnsi="Book Antiqua"/>
          <w:b/>
          <w:i/>
          <w:iCs/>
          <w:sz w:val="24"/>
          <w:szCs w:val="24"/>
        </w:rPr>
      </w:pPr>
    </w:p>
    <w:p w:rsidR="008A4F56" w:rsidRPr="0032119E" w:rsidRDefault="00DF691A" w:rsidP="00B20484">
      <w:pPr>
        <w:snapToGrid w:val="0"/>
        <w:spacing w:line="360" w:lineRule="auto"/>
        <w:rPr>
          <w:rFonts w:ascii="Book Antiqua" w:hAnsi="Book Antiqua"/>
          <w:b/>
          <w:sz w:val="24"/>
          <w:szCs w:val="24"/>
        </w:rPr>
      </w:pPr>
      <w:r w:rsidRPr="0032119E">
        <w:rPr>
          <w:rFonts w:ascii="Book Antiqua" w:hAnsi="Book Antiqua"/>
          <w:b/>
          <w:i/>
          <w:iCs/>
          <w:sz w:val="24"/>
          <w:szCs w:val="24"/>
        </w:rPr>
        <w:t>Peer-review</w:t>
      </w:r>
    </w:p>
    <w:p w:rsidR="00ED3198" w:rsidRPr="0032119E" w:rsidRDefault="00ED3198" w:rsidP="00B20484">
      <w:pPr>
        <w:snapToGrid w:val="0"/>
        <w:spacing w:line="360" w:lineRule="auto"/>
        <w:rPr>
          <w:rFonts w:ascii="Book Antiqua" w:hAnsi="Book Antiqua"/>
          <w:sz w:val="24"/>
          <w:szCs w:val="24"/>
        </w:rPr>
      </w:pPr>
      <w:r w:rsidRPr="0032119E">
        <w:rPr>
          <w:rFonts w:ascii="Book Antiqua" w:hAnsi="Book Antiqua"/>
          <w:sz w:val="24"/>
          <w:szCs w:val="24"/>
        </w:rPr>
        <w:t>This most remarkable point of this manuscript is the analysis of the influence of this rare type of tumor and its bad prognosis in comparison to the conventional one that justifies the research in this subtype.</w:t>
      </w:r>
    </w:p>
    <w:p w:rsidR="00E7768D" w:rsidRPr="0032119E" w:rsidRDefault="00E7768D" w:rsidP="00B20484">
      <w:pPr>
        <w:snapToGrid w:val="0"/>
        <w:spacing w:line="360" w:lineRule="auto"/>
        <w:rPr>
          <w:rFonts w:ascii="Book Antiqua" w:hAnsi="Book Antiqua"/>
          <w:sz w:val="24"/>
          <w:szCs w:val="24"/>
        </w:rPr>
      </w:pPr>
      <w:r w:rsidRPr="0032119E">
        <w:rPr>
          <w:rFonts w:ascii="Book Antiqua" w:hAnsi="Book Antiqua"/>
          <w:sz w:val="24"/>
          <w:szCs w:val="24"/>
        </w:rPr>
        <w:br w:type="page"/>
      </w:r>
    </w:p>
    <w:p w:rsidR="00C17A59" w:rsidRPr="0032119E" w:rsidRDefault="009510DF" w:rsidP="00B20484">
      <w:pPr>
        <w:snapToGrid w:val="0"/>
        <w:spacing w:line="360" w:lineRule="auto"/>
        <w:rPr>
          <w:rFonts w:ascii="Book Antiqua" w:hAnsi="Book Antiqua"/>
          <w:b/>
          <w:sz w:val="24"/>
          <w:szCs w:val="24"/>
        </w:rPr>
      </w:pPr>
      <w:r>
        <w:rPr>
          <w:rFonts w:ascii="Book Antiqua" w:hAnsi="Book Antiqua"/>
          <w:b/>
          <w:sz w:val="24"/>
          <w:szCs w:val="24"/>
        </w:rPr>
        <w:lastRenderedPageBreak/>
        <w:t>REFERENCES</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1 </w:t>
      </w:r>
      <w:r w:rsidRPr="009510DF">
        <w:rPr>
          <w:rFonts w:ascii="Book Antiqua" w:eastAsia="SimSun" w:hAnsi="Book Antiqua" w:cs="SimSun"/>
          <w:b/>
          <w:bCs/>
          <w:color w:val="000000"/>
          <w:kern w:val="0"/>
          <w:sz w:val="24"/>
          <w:szCs w:val="24"/>
          <w:lang w:eastAsia="zh-CN"/>
        </w:rPr>
        <w:t>Matsunou H</w:t>
      </w:r>
      <w:r w:rsidRPr="009510DF">
        <w:rPr>
          <w:rFonts w:ascii="Book Antiqua" w:eastAsia="SimSun" w:hAnsi="Book Antiqua" w:cs="SimSun"/>
          <w:color w:val="000000"/>
          <w:kern w:val="0"/>
          <w:sz w:val="24"/>
          <w:szCs w:val="24"/>
          <w:lang w:eastAsia="zh-CN"/>
        </w:rPr>
        <w:t>, Konishi F, Jalal RE, Yamamichi N, Mukawa A. Alpha-fetoprotein-producing gastric carcinoma with enteroblastic differentiation.</w:t>
      </w:r>
      <w:r>
        <w:rPr>
          <w:rFonts w:ascii="Book Antiqua" w:eastAsia="SimSun" w:hAnsi="Book Antiqua" w:cs="SimSun"/>
          <w:color w:val="000000"/>
          <w:kern w:val="0"/>
          <w:sz w:val="24"/>
          <w:szCs w:val="24"/>
          <w:lang w:eastAsia="zh-CN"/>
        </w:rPr>
        <w:t xml:space="preserve"> </w:t>
      </w:r>
      <w:r w:rsidRPr="009510DF">
        <w:rPr>
          <w:rFonts w:ascii="Book Antiqua" w:eastAsia="SimSun" w:hAnsi="Book Antiqua" w:cs="SimSun"/>
          <w:i/>
          <w:iCs/>
          <w:color w:val="000000"/>
          <w:kern w:val="0"/>
          <w:sz w:val="24"/>
          <w:szCs w:val="24"/>
          <w:lang w:eastAsia="zh-CN"/>
        </w:rPr>
        <w:t>Cancer</w:t>
      </w:r>
      <w:r w:rsidRPr="009510DF">
        <w:rPr>
          <w:rFonts w:ascii="Book Antiqua" w:eastAsia="SimSun" w:hAnsi="Book Antiqua" w:cs="SimSun"/>
          <w:color w:val="000000"/>
          <w:kern w:val="0"/>
          <w:sz w:val="24"/>
          <w:szCs w:val="24"/>
          <w:lang w:eastAsia="zh-CN"/>
        </w:rPr>
        <w:t> 1994; </w:t>
      </w:r>
      <w:r w:rsidRPr="009510DF">
        <w:rPr>
          <w:rFonts w:ascii="Book Antiqua" w:eastAsia="SimSun" w:hAnsi="Book Antiqua" w:cs="SimSun"/>
          <w:b/>
          <w:bCs/>
          <w:color w:val="000000"/>
          <w:kern w:val="0"/>
          <w:sz w:val="24"/>
          <w:szCs w:val="24"/>
          <w:lang w:eastAsia="zh-CN"/>
        </w:rPr>
        <w:t>73</w:t>
      </w:r>
      <w:r w:rsidRPr="009510DF">
        <w:rPr>
          <w:rFonts w:ascii="Book Antiqua" w:eastAsia="SimSun" w:hAnsi="Book Antiqua" w:cs="SimSun"/>
          <w:color w:val="000000"/>
          <w:kern w:val="0"/>
          <w:sz w:val="24"/>
          <w:szCs w:val="24"/>
          <w:lang w:eastAsia="zh-CN"/>
        </w:rPr>
        <w:t>: 534-540 [PMID: 7507794]</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2 </w:t>
      </w:r>
      <w:r w:rsidRPr="009510DF">
        <w:rPr>
          <w:rFonts w:ascii="Book Antiqua" w:eastAsia="SimSun" w:hAnsi="Book Antiqua" w:cs="SimSun"/>
          <w:b/>
          <w:bCs/>
          <w:color w:val="000000"/>
          <w:kern w:val="0"/>
          <w:sz w:val="24"/>
          <w:szCs w:val="24"/>
          <w:lang w:eastAsia="zh-CN"/>
        </w:rPr>
        <w:t>Kinjo T</w:t>
      </w:r>
      <w:r w:rsidRPr="009510DF">
        <w:rPr>
          <w:rFonts w:ascii="Book Antiqua" w:eastAsia="SimSun" w:hAnsi="Book Antiqua" w:cs="SimSun"/>
          <w:color w:val="000000"/>
          <w:kern w:val="0"/>
          <w:sz w:val="24"/>
          <w:szCs w:val="24"/>
          <w:lang w:eastAsia="zh-CN"/>
        </w:rPr>
        <w:t>, Taniguchi H, Kushima R, Sekine S, Oda I, Saka M, Gotoda T, Kinjo F, Fujita J, Shimoda T. Histologic and immunohistochemical analyses of α-fetoprotein--producing cancer of the stomach. </w:t>
      </w:r>
      <w:r w:rsidRPr="009510DF">
        <w:rPr>
          <w:rFonts w:ascii="Book Antiqua" w:eastAsia="SimSun" w:hAnsi="Book Antiqua" w:cs="SimSun"/>
          <w:i/>
          <w:iCs/>
          <w:color w:val="000000"/>
          <w:kern w:val="0"/>
          <w:sz w:val="24"/>
          <w:szCs w:val="24"/>
          <w:lang w:eastAsia="zh-CN"/>
        </w:rPr>
        <w:t>Am J Surg Pathol</w:t>
      </w:r>
      <w:r w:rsidRPr="009510DF">
        <w:rPr>
          <w:rFonts w:ascii="Book Antiqua" w:eastAsia="SimSun" w:hAnsi="Book Antiqua" w:cs="SimSun"/>
          <w:color w:val="000000"/>
          <w:kern w:val="0"/>
          <w:sz w:val="24"/>
          <w:szCs w:val="24"/>
          <w:lang w:eastAsia="zh-CN"/>
        </w:rPr>
        <w:t> 2012; </w:t>
      </w:r>
      <w:r w:rsidRPr="009510DF">
        <w:rPr>
          <w:rFonts w:ascii="Book Antiqua" w:eastAsia="SimSun" w:hAnsi="Book Antiqua" w:cs="SimSun"/>
          <w:b/>
          <w:bCs/>
          <w:color w:val="000000"/>
          <w:kern w:val="0"/>
          <w:sz w:val="24"/>
          <w:szCs w:val="24"/>
          <w:lang w:eastAsia="zh-CN"/>
        </w:rPr>
        <w:t>36</w:t>
      </w:r>
      <w:r w:rsidRPr="009510DF">
        <w:rPr>
          <w:rFonts w:ascii="Book Antiqua" w:eastAsia="SimSun" w:hAnsi="Book Antiqua" w:cs="SimSun"/>
          <w:color w:val="000000"/>
          <w:kern w:val="0"/>
          <w:sz w:val="24"/>
          <w:szCs w:val="24"/>
          <w:lang w:eastAsia="zh-CN"/>
        </w:rPr>
        <w:t>: 56-65 [PMID: 22173117 DOI: 10.1097/PAS.0b013e31823aafec]</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3 </w:t>
      </w:r>
      <w:r w:rsidRPr="009510DF">
        <w:rPr>
          <w:rFonts w:ascii="Book Antiqua" w:eastAsia="SimSun" w:hAnsi="Book Antiqua" w:cs="SimSun"/>
          <w:b/>
          <w:bCs/>
          <w:color w:val="000000"/>
          <w:kern w:val="0"/>
          <w:sz w:val="24"/>
          <w:szCs w:val="24"/>
          <w:lang w:eastAsia="zh-CN"/>
        </w:rPr>
        <w:t>Yamabuki T</w:t>
      </w:r>
      <w:r w:rsidRPr="009510DF">
        <w:rPr>
          <w:rFonts w:ascii="Book Antiqua" w:eastAsia="SimSun" w:hAnsi="Book Antiqua" w:cs="SimSun"/>
          <w:color w:val="000000"/>
          <w:kern w:val="0"/>
          <w:sz w:val="24"/>
          <w:szCs w:val="24"/>
          <w:lang w:eastAsia="zh-CN"/>
        </w:rPr>
        <w:t>, Omi M, Yonemori A, Misu K, Inomata H, Abiko Y, Mori M, Nihei K. Gastrointestinal Obstruction due to Solitary Lymph Node Recurrence of Alpha-Fetoprotein-Producing Gastric Carcinoma with Enteroblastic Differentiation. </w:t>
      </w:r>
      <w:r w:rsidRPr="009510DF">
        <w:rPr>
          <w:rFonts w:ascii="Book Antiqua" w:eastAsia="SimSun" w:hAnsi="Book Antiqua" w:cs="SimSun"/>
          <w:i/>
          <w:iCs/>
          <w:color w:val="000000"/>
          <w:kern w:val="0"/>
          <w:sz w:val="24"/>
          <w:szCs w:val="24"/>
          <w:lang w:eastAsia="zh-CN"/>
        </w:rPr>
        <w:t>Case Rep Gastroenterol</w:t>
      </w:r>
      <w:r w:rsidRPr="009510DF">
        <w:rPr>
          <w:rFonts w:ascii="Book Antiqua" w:eastAsia="SimSun" w:hAnsi="Book Antiqua" w:cs="SimSun"/>
          <w:color w:val="000000"/>
          <w:kern w:val="0"/>
          <w:sz w:val="24"/>
          <w:szCs w:val="24"/>
          <w:lang w:eastAsia="zh-CN"/>
        </w:rPr>
        <w:t> 2014; </w:t>
      </w:r>
      <w:r w:rsidRPr="009510DF">
        <w:rPr>
          <w:rFonts w:ascii="Book Antiqua" w:eastAsia="SimSun" w:hAnsi="Book Antiqua" w:cs="SimSun"/>
          <w:b/>
          <w:bCs/>
          <w:color w:val="000000"/>
          <w:kern w:val="0"/>
          <w:sz w:val="24"/>
          <w:szCs w:val="24"/>
          <w:lang w:eastAsia="zh-CN"/>
        </w:rPr>
        <w:t>8</w:t>
      </w:r>
      <w:r w:rsidRPr="009510DF">
        <w:rPr>
          <w:rFonts w:ascii="Book Antiqua" w:eastAsia="SimSun" w:hAnsi="Book Antiqua" w:cs="SimSun"/>
          <w:color w:val="000000"/>
          <w:kern w:val="0"/>
          <w:sz w:val="24"/>
          <w:szCs w:val="24"/>
          <w:lang w:eastAsia="zh-CN"/>
        </w:rPr>
        <w:t>: 1-6 [PMID: 24574942 DOI: 10.1159/000358046]</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4 </w:t>
      </w:r>
      <w:r w:rsidRPr="009510DF">
        <w:rPr>
          <w:rFonts w:ascii="Book Antiqua" w:eastAsia="SimSun" w:hAnsi="Book Antiqua" w:cs="SimSun"/>
          <w:b/>
          <w:bCs/>
          <w:color w:val="000000"/>
          <w:kern w:val="0"/>
          <w:sz w:val="24"/>
          <w:szCs w:val="24"/>
          <w:lang w:eastAsia="zh-CN"/>
        </w:rPr>
        <w:t>Murakami T</w:t>
      </w:r>
      <w:r w:rsidRPr="009510DF">
        <w:rPr>
          <w:rFonts w:ascii="Book Antiqua" w:eastAsia="SimSun" w:hAnsi="Book Antiqua" w:cs="SimSun"/>
          <w:color w:val="000000"/>
          <w:kern w:val="0"/>
          <w:sz w:val="24"/>
          <w:szCs w:val="24"/>
          <w:lang w:eastAsia="zh-CN"/>
        </w:rPr>
        <w:t>, Yao T, Mitomi H, Morimoto T, Ueyama H, Matsumoto K, Saito T, Osada T, Nagahara A, Watanabe S. Clinicopathologic and immunohistochemical characteristics of gastric adenocarcinoma with enteroblastic differentiation: a study of 29 cases. </w:t>
      </w:r>
      <w:r w:rsidRPr="009510DF">
        <w:rPr>
          <w:rFonts w:ascii="Book Antiqua" w:eastAsia="SimSun" w:hAnsi="Book Antiqua" w:cs="SimSun"/>
          <w:i/>
          <w:iCs/>
          <w:color w:val="000000"/>
          <w:kern w:val="0"/>
          <w:sz w:val="24"/>
          <w:szCs w:val="24"/>
          <w:lang w:eastAsia="zh-CN"/>
        </w:rPr>
        <w:t>Gastric Cancer</w:t>
      </w:r>
      <w:r w:rsidRPr="009510DF">
        <w:rPr>
          <w:rFonts w:ascii="Book Antiqua" w:eastAsia="SimSun" w:hAnsi="Book Antiqua" w:cs="SimSun"/>
          <w:color w:val="000000"/>
          <w:kern w:val="0"/>
          <w:sz w:val="24"/>
          <w:szCs w:val="24"/>
          <w:lang w:eastAsia="zh-CN"/>
        </w:rPr>
        <w:t> 2016; </w:t>
      </w:r>
      <w:r w:rsidRPr="009510DF">
        <w:rPr>
          <w:rFonts w:ascii="Book Antiqua" w:eastAsia="SimSun" w:hAnsi="Book Antiqua" w:cs="SimSun"/>
          <w:b/>
          <w:bCs/>
          <w:color w:val="000000"/>
          <w:kern w:val="0"/>
          <w:sz w:val="24"/>
          <w:szCs w:val="24"/>
          <w:lang w:eastAsia="zh-CN"/>
        </w:rPr>
        <w:t>19</w:t>
      </w:r>
      <w:r w:rsidRPr="009510DF">
        <w:rPr>
          <w:rFonts w:ascii="Book Antiqua" w:eastAsia="SimSun" w:hAnsi="Book Antiqua" w:cs="SimSun"/>
          <w:color w:val="000000"/>
          <w:kern w:val="0"/>
          <w:sz w:val="24"/>
          <w:szCs w:val="24"/>
          <w:lang w:eastAsia="zh-CN"/>
        </w:rPr>
        <w:t>: 498-507 [PMID: 25893262 DOI: 10.1007/s10120-015-0497-9]</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 xml:space="preserve">5 </w:t>
      </w:r>
      <w:hyperlink r:id="rId8" w:history="1">
        <w:r w:rsidRPr="009510DF">
          <w:rPr>
            <w:rFonts w:ascii="Book Antiqua" w:eastAsia="SimSun" w:hAnsi="Book Antiqua" w:cs="SimSun"/>
            <w:b/>
            <w:kern w:val="0"/>
            <w:sz w:val="24"/>
            <w:szCs w:val="24"/>
            <w:lang w:eastAsia="zh-CN"/>
          </w:rPr>
          <w:t>Japanese Gastric Cancer Association</w:t>
        </w:r>
      </w:hyperlink>
      <w:r w:rsidRPr="009510DF">
        <w:rPr>
          <w:rFonts w:ascii="Book Antiqua" w:eastAsia="SimSun" w:hAnsi="Book Antiqua" w:cs="SimSun"/>
          <w:b/>
          <w:kern w:val="0"/>
          <w:sz w:val="24"/>
          <w:szCs w:val="24"/>
          <w:lang w:eastAsia="zh-CN"/>
        </w:rPr>
        <w:t>.</w:t>
      </w:r>
      <w:r w:rsidRPr="009510DF">
        <w:rPr>
          <w:rFonts w:ascii="Book Antiqua" w:eastAsia="SimSun" w:hAnsi="Book Antiqua" w:cs="SimSun"/>
          <w:color w:val="000000"/>
          <w:kern w:val="0"/>
          <w:sz w:val="24"/>
          <w:szCs w:val="24"/>
          <w:lang w:eastAsia="zh-CN"/>
        </w:rPr>
        <w:t xml:space="preserve"> Japanese gastric cancer treatment guidelines 2010 (ver. 3). </w:t>
      </w:r>
      <w:r w:rsidRPr="009510DF">
        <w:rPr>
          <w:rFonts w:ascii="Book Antiqua" w:eastAsia="SimSun" w:hAnsi="Book Antiqua" w:cs="SimSun"/>
          <w:i/>
          <w:iCs/>
          <w:color w:val="000000"/>
          <w:kern w:val="0"/>
          <w:sz w:val="24"/>
          <w:szCs w:val="24"/>
          <w:lang w:eastAsia="zh-CN"/>
        </w:rPr>
        <w:t>Gastric Cancer</w:t>
      </w:r>
      <w:r w:rsidRPr="009510DF">
        <w:rPr>
          <w:rFonts w:ascii="Book Antiqua" w:eastAsia="SimSun" w:hAnsi="Book Antiqua" w:cs="SimSun"/>
          <w:color w:val="000000"/>
          <w:kern w:val="0"/>
          <w:sz w:val="24"/>
          <w:szCs w:val="24"/>
          <w:lang w:eastAsia="zh-CN"/>
        </w:rPr>
        <w:t> 2011; </w:t>
      </w:r>
      <w:r w:rsidRPr="009510DF">
        <w:rPr>
          <w:rFonts w:ascii="Book Antiqua" w:eastAsia="SimSun" w:hAnsi="Book Antiqua" w:cs="SimSun"/>
          <w:b/>
          <w:bCs/>
          <w:color w:val="000000"/>
          <w:kern w:val="0"/>
          <w:sz w:val="24"/>
          <w:szCs w:val="24"/>
          <w:lang w:eastAsia="zh-CN"/>
        </w:rPr>
        <w:t>14</w:t>
      </w:r>
      <w:r w:rsidRPr="009510DF">
        <w:rPr>
          <w:rFonts w:ascii="Book Antiqua" w:eastAsia="SimSun" w:hAnsi="Book Antiqua" w:cs="SimSun"/>
          <w:color w:val="000000"/>
          <w:kern w:val="0"/>
          <w:sz w:val="24"/>
          <w:szCs w:val="24"/>
          <w:lang w:eastAsia="zh-CN"/>
        </w:rPr>
        <w:t>: 113-123 [PMID: 21573742 DOI: 10.1007/s10120-011-0042-4]</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 xml:space="preserve">6 </w:t>
      </w:r>
      <w:hyperlink r:id="rId9" w:history="1">
        <w:r w:rsidRPr="009510DF">
          <w:rPr>
            <w:rFonts w:ascii="Book Antiqua" w:eastAsia="SimSun" w:hAnsi="Book Antiqua" w:cs="SimSun"/>
            <w:b/>
            <w:kern w:val="0"/>
            <w:sz w:val="24"/>
            <w:szCs w:val="24"/>
            <w:lang w:eastAsia="zh-CN"/>
          </w:rPr>
          <w:t>Japanese Gastric Cancer Association</w:t>
        </w:r>
      </w:hyperlink>
      <w:r w:rsidRPr="009510DF">
        <w:rPr>
          <w:rFonts w:ascii="Book Antiqua" w:eastAsia="SimSun" w:hAnsi="Book Antiqua" w:cs="SimSun"/>
          <w:b/>
          <w:kern w:val="0"/>
          <w:sz w:val="24"/>
          <w:szCs w:val="24"/>
          <w:lang w:eastAsia="zh-CN"/>
        </w:rPr>
        <w:t>.</w:t>
      </w:r>
      <w:r w:rsidRPr="009510DF">
        <w:rPr>
          <w:rFonts w:ascii="Book Antiqua" w:eastAsia="SimSun" w:hAnsi="Book Antiqua" w:cs="SimSun"/>
          <w:color w:val="000000"/>
          <w:kern w:val="0"/>
          <w:sz w:val="24"/>
          <w:szCs w:val="24"/>
          <w:lang w:eastAsia="zh-CN"/>
        </w:rPr>
        <w:t xml:space="preserve"> Japanese gastric cancer treatment guidelines 2014 (ver. 4). </w:t>
      </w:r>
      <w:r w:rsidRPr="009510DF">
        <w:rPr>
          <w:rFonts w:ascii="Book Antiqua" w:eastAsia="SimSun" w:hAnsi="Book Antiqua" w:cs="SimSun"/>
          <w:i/>
          <w:iCs/>
          <w:color w:val="000000"/>
          <w:kern w:val="0"/>
          <w:sz w:val="24"/>
          <w:szCs w:val="24"/>
          <w:lang w:eastAsia="zh-CN"/>
        </w:rPr>
        <w:t>Gastric Cancer</w:t>
      </w:r>
      <w:r w:rsidRPr="009510DF">
        <w:rPr>
          <w:rFonts w:ascii="Book Antiqua" w:eastAsia="SimSun" w:hAnsi="Book Antiqua" w:cs="SimSun"/>
          <w:color w:val="000000"/>
          <w:kern w:val="0"/>
          <w:sz w:val="24"/>
          <w:szCs w:val="24"/>
          <w:lang w:eastAsia="zh-CN"/>
        </w:rPr>
        <w:t> 2016; Epub ahead of print [PMID: 27342689 DOI: 10.1007/s10120-016-0622-4]</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7 </w:t>
      </w:r>
      <w:r w:rsidRPr="009510DF">
        <w:rPr>
          <w:rFonts w:ascii="Book Antiqua" w:eastAsia="SimSun" w:hAnsi="Book Antiqua" w:cs="SimSun"/>
          <w:b/>
          <w:bCs/>
          <w:color w:val="000000"/>
          <w:kern w:val="0"/>
          <w:sz w:val="24"/>
          <w:szCs w:val="24"/>
          <w:lang w:eastAsia="zh-CN"/>
        </w:rPr>
        <w:t>Bergstrand CG</w:t>
      </w:r>
      <w:r w:rsidRPr="009510DF">
        <w:rPr>
          <w:rFonts w:ascii="Book Antiqua" w:eastAsia="SimSun" w:hAnsi="Book Antiqua" w:cs="SimSun"/>
          <w:color w:val="000000"/>
          <w:kern w:val="0"/>
          <w:sz w:val="24"/>
          <w:szCs w:val="24"/>
          <w:lang w:eastAsia="zh-CN"/>
        </w:rPr>
        <w:t>, Czar B. Demonstration of a new protein fraction in serum from the human fetus. </w:t>
      </w:r>
      <w:r w:rsidRPr="009510DF">
        <w:rPr>
          <w:rFonts w:ascii="Book Antiqua" w:eastAsia="SimSun" w:hAnsi="Book Antiqua" w:cs="SimSun"/>
          <w:i/>
          <w:iCs/>
          <w:color w:val="000000"/>
          <w:kern w:val="0"/>
          <w:sz w:val="24"/>
          <w:szCs w:val="24"/>
          <w:lang w:eastAsia="zh-CN"/>
        </w:rPr>
        <w:t>Scand J Clin Lab Invest</w:t>
      </w:r>
      <w:r w:rsidRPr="009510DF">
        <w:rPr>
          <w:rFonts w:ascii="Book Antiqua" w:eastAsia="SimSun" w:hAnsi="Book Antiqua" w:cs="SimSun"/>
          <w:color w:val="000000"/>
          <w:kern w:val="0"/>
          <w:sz w:val="24"/>
          <w:szCs w:val="24"/>
          <w:lang w:eastAsia="zh-CN"/>
        </w:rPr>
        <w:t> 1956; </w:t>
      </w:r>
      <w:r w:rsidRPr="009510DF">
        <w:rPr>
          <w:rFonts w:ascii="Book Antiqua" w:eastAsia="SimSun" w:hAnsi="Book Antiqua" w:cs="SimSun"/>
          <w:b/>
          <w:bCs/>
          <w:color w:val="000000"/>
          <w:kern w:val="0"/>
          <w:sz w:val="24"/>
          <w:szCs w:val="24"/>
          <w:lang w:eastAsia="zh-CN"/>
        </w:rPr>
        <w:t>8</w:t>
      </w:r>
      <w:r w:rsidRPr="009510DF">
        <w:rPr>
          <w:rFonts w:ascii="Book Antiqua" w:eastAsia="SimSun" w:hAnsi="Book Antiqua" w:cs="SimSun"/>
          <w:color w:val="000000"/>
          <w:kern w:val="0"/>
          <w:sz w:val="24"/>
          <w:szCs w:val="24"/>
          <w:lang w:eastAsia="zh-CN"/>
        </w:rPr>
        <w:t>: 174 [PMID: 13351554 DOI: 10.3109/00365515609049266]</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8 </w:t>
      </w:r>
      <w:r w:rsidRPr="009510DF">
        <w:rPr>
          <w:rFonts w:ascii="Book Antiqua" w:eastAsia="SimSun" w:hAnsi="Book Antiqua" w:cs="SimSun"/>
          <w:b/>
          <w:bCs/>
          <w:color w:val="000000"/>
          <w:kern w:val="0"/>
          <w:sz w:val="24"/>
          <w:szCs w:val="24"/>
          <w:lang w:eastAsia="zh-CN"/>
        </w:rPr>
        <w:t>Hamanaka W</w:t>
      </w:r>
      <w:r w:rsidRPr="009510DF">
        <w:rPr>
          <w:rFonts w:ascii="Book Antiqua" w:eastAsia="SimSun" w:hAnsi="Book Antiqua" w:cs="SimSun"/>
          <w:color w:val="000000"/>
          <w:kern w:val="0"/>
          <w:sz w:val="24"/>
          <w:szCs w:val="24"/>
          <w:lang w:eastAsia="zh-CN"/>
        </w:rPr>
        <w:t xml:space="preserve">, Yoneda S, Shirakusa T, Shirahama H, Tashiro Y, Iwasaki A, Shiraishi T, Tsuru H. Alpha-fetoprotein (AFP)-producing adrenocortical </w:t>
      </w:r>
      <w:r w:rsidRPr="009510DF">
        <w:rPr>
          <w:rFonts w:ascii="Book Antiqua" w:eastAsia="SimSun" w:hAnsi="Book Antiqua" w:cs="SimSun"/>
          <w:color w:val="000000"/>
          <w:kern w:val="0"/>
          <w:sz w:val="24"/>
          <w:szCs w:val="24"/>
          <w:lang w:eastAsia="zh-CN"/>
        </w:rPr>
        <w:lastRenderedPageBreak/>
        <w:t>carcinoma--long survival with various therapeutic strategies including a lung resection: report of a case. </w:t>
      </w:r>
      <w:r w:rsidRPr="009510DF">
        <w:rPr>
          <w:rFonts w:ascii="Book Antiqua" w:eastAsia="SimSun" w:hAnsi="Book Antiqua" w:cs="SimSun"/>
          <w:i/>
          <w:iCs/>
          <w:color w:val="000000"/>
          <w:kern w:val="0"/>
          <w:sz w:val="24"/>
          <w:szCs w:val="24"/>
          <w:lang w:eastAsia="zh-CN"/>
        </w:rPr>
        <w:t>Surg Today</w:t>
      </w:r>
      <w:r w:rsidRPr="009510DF">
        <w:rPr>
          <w:rFonts w:ascii="Book Antiqua" w:eastAsia="SimSun" w:hAnsi="Book Antiqua" w:cs="SimSun"/>
          <w:color w:val="000000"/>
          <w:kern w:val="0"/>
          <w:sz w:val="24"/>
          <w:szCs w:val="24"/>
          <w:lang w:eastAsia="zh-CN"/>
        </w:rPr>
        <w:t> 2008; </w:t>
      </w:r>
      <w:r w:rsidRPr="009510DF">
        <w:rPr>
          <w:rFonts w:ascii="Book Antiqua" w:eastAsia="SimSun" w:hAnsi="Book Antiqua" w:cs="SimSun"/>
          <w:b/>
          <w:bCs/>
          <w:color w:val="000000"/>
          <w:kern w:val="0"/>
          <w:sz w:val="24"/>
          <w:szCs w:val="24"/>
          <w:lang w:eastAsia="zh-CN"/>
        </w:rPr>
        <w:t>38</w:t>
      </w:r>
      <w:r w:rsidRPr="009510DF">
        <w:rPr>
          <w:rFonts w:ascii="Book Antiqua" w:eastAsia="SimSun" w:hAnsi="Book Antiqua" w:cs="SimSun"/>
          <w:color w:val="000000"/>
          <w:kern w:val="0"/>
          <w:sz w:val="24"/>
          <w:szCs w:val="24"/>
          <w:lang w:eastAsia="zh-CN"/>
        </w:rPr>
        <w:t>: 275-278 [PMID: 18307006 DOI: 10.1007/s00595-007-3610-9]</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9 </w:t>
      </w:r>
      <w:r w:rsidRPr="009510DF">
        <w:rPr>
          <w:rFonts w:ascii="Book Antiqua" w:eastAsia="SimSun" w:hAnsi="Book Antiqua" w:cs="SimSun"/>
          <w:b/>
          <w:bCs/>
          <w:color w:val="000000"/>
          <w:kern w:val="0"/>
          <w:sz w:val="24"/>
          <w:szCs w:val="24"/>
          <w:lang w:eastAsia="zh-CN"/>
        </w:rPr>
        <w:t>Isonishi S</w:t>
      </w:r>
      <w:r w:rsidRPr="009510DF">
        <w:rPr>
          <w:rFonts w:ascii="Book Antiqua" w:eastAsia="SimSun" w:hAnsi="Book Antiqua" w:cs="SimSun"/>
          <w:color w:val="000000"/>
          <w:kern w:val="0"/>
          <w:sz w:val="24"/>
          <w:szCs w:val="24"/>
          <w:lang w:eastAsia="zh-CN"/>
        </w:rPr>
        <w:t>, Ogura A, Kiyokawa T, Suzuki M, Kunito S, Hirama M, Tachibana T, Ochiai K, Tanaka T. Alpha-fetoprotein (AFP)-producing ovarian tumor in an elderly woman. </w:t>
      </w:r>
      <w:r w:rsidRPr="009510DF">
        <w:rPr>
          <w:rFonts w:ascii="Book Antiqua" w:eastAsia="SimSun" w:hAnsi="Book Antiqua" w:cs="SimSun"/>
          <w:i/>
          <w:iCs/>
          <w:color w:val="000000"/>
          <w:kern w:val="0"/>
          <w:sz w:val="24"/>
          <w:szCs w:val="24"/>
          <w:lang w:eastAsia="zh-CN"/>
        </w:rPr>
        <w:t>Int J Clin Oncol</w:t>
      </w:r>
      <w:r w:rsidRPr="009510DF">
        <w:rPr>
          <w:rFonts w:ascii="Book Antiqua" w:eastAsia="SimSun" w:hAnsi="Book Antiqua" w:cs="SimSun"/>
          <w:color w:val="000000"/>
          <w:kern w:val="0"/>
          <w:sz w:val="24"/>
          <w:szCs w:val="24"/>
          <w:lang w:eastAsia="zh-CN"/>
        </w:rPr>
        <w:t> 2009; </w:t>
      </w:r>
      <w:r w:rsidRPr="009510DF">
        <w:rPr>
          <w:rFonts w:ascii="Book Antiqua" w:eastAsia="SimSun" w:hAnsi="Book Antiqua" w:cs="SimSun"/>
          <w:b/>
          <w:bCs/>
          <w:color w:val="000000"/>
          <w:kern w:val="0"/>
          <w:sz w:val="24"/>
          <w:szCs w:val="24"/>
          <w:lang w:eastAsia="zh-CN"/>
        </w:rPr>
        <w:t>14</w:t>
      </w:r>
      <w:r w:rsidRPr="009510DF">
        <w:rPr>
          <w:rFonts w:ascii="Book Antiqua" w:eastAsia="SimSun" w:hAnsi="Book Antiqua" w:cs="SimSun"/>
          <w:color w:val="000000"/>
          <w:kern w:val="0"/>
          <w:sz w:val="24"/>
          <w:szCs w:val="24"/>
          <w:lang w:eastAsia="zh-CN"/>
        </w:rPr>
        <w:t>: 70-73 [PMID: 19225928 DOI: 10.1007/s10147-008-0800-4]</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10 </w:t>
      </w:r>
      <w:r w:rsidRPr="009510DF">
        <w:rPr>
          <w:rFonts w:ascii="Book Antiqua" w:eastAsia="SimSun" w:hAnsi="Book Antiqua" w:cs="SimSun"/>
          <w:b/>
          <w:bCs/>
          <w:color w:val="000000"/>
          <w:kern w:val="0"/>
          <w:sz w:val="24"/>
          <w:szCs w:val="24"/>
          <w:lang w:eastAsia="zh-CN"/>
        </w:rPr>
        <w:t>Yamagata T</w:t>
      </w:r>
      <w:r w:rsidRPr="009510DF">
        <w:rPr>
          <w:rFonts w:ascii="Book Antiqua" w:eastAsia="SimSun" w:hAnsi="Book Antiqua" w:cs="SimSun"/>
          <w:color w:val="000000"/>
          <w:kern w:val="0"/>
          <w:sz w:val="24"/>
          <w:szCs w:val="24"/>
          <w:lang w:eastAsia="zh-CN"/>
        </w:rPr>
        <w:t>, Yamagata Y, Nakanishi M, Matsunaga K, Minakata Y, Ichinose M. A case of primary lung cancer producing alpha-fetoprotein. </w:t>
      </w:r>
      <w:r w:rsidRPr="009510DF">
        <w:rPr>
          <w:rFonts w:ascii="Book Antiqua" w:eastAsia="SimSun" w:hAnsi="Book Antiqua" w:cs="SimSun"/>
          <w:i/>
          <w:iCs/>
          <w:color w:val="000000"/>
          <w:kern w:val="0"/>
          <w:sz w:val="24"/>
          <w:szCs w:val="24"/>
          <w:lang w:eastAsia="zh-CN"/>
        </w:rPr>
        <w:t>Can Respir J</w:t>
      </w:r>
      <w:r w:rsidRPr="009510DF">
        <w:rPr>
          <w:rFonts w:ascii="Book Antiqua" w:eastAsia="SimSun" w:hAnsi="Book Antiqua" w:cs="SimSun"/>
          <w:color w:val="000000"/>
          <w:kern w:val="0"/>
          <w:sz w:val="24"/>
          <w:szCs w:val="24"/>
          <w:lang w:eastAsia="zh-CN"/>
        </w:rPr>
        <w:t> 2004; </w:t>
      </w:r>
      <w:r w:rsidRPr="009510DF">
        <w:rPr>
          <w:rFonts w:ascii="Book Antiqua" w:eastAsia="SimSun" w:hAnsi="Book Antiqua" w:cs="SimSun"/>
          <w:b/>
          <w:bCs/>
          <w:color w:val="000000"/>
          <w:kern w:val="0"/>
          <w:sz w:val="24"/>
          <w:szCs w:val="24"/>
          <w:lang w:eastAsia="zh-CN"/>
        </w:rPr>
        <w:t>11</w:t>
      </w:r>
      <w:r w:rsidRPr="009510DF">
        <w:rPr>
          <w:rFonts w:ascii="Book Antiqua" w:eastAsia="SimSun" w:hAnsi="Book Antiqua" w:cs="SimSun"/>
          <w:color w:val="000000"/>
          <w:kern w:val="0"/>
          <w:sz w:val="24"/>
          <w:szCs w:val="24"/>
          <w:lang w:eastAsia="zh-CN"/>
        </w:rPr>
        <w:t>: 504-506 [PMID: 15505704]</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11 </w:t>
      </w:r>
      <w:r w:rsidRPr="009510DF">
        <w:rPr>
          <w:rFonts w:ascii="Book Antiqua" w:eastAsia="SimSun" w:hAnsi="Book Antiqua" w:cs="SimSun"/>
          <w:b/>
          <w:bCs/>
          <w:color w:val="000000"/>
          <w:kern w:val="0"/>
          <w:sz w:val="24"/>
          <w:szCs w:val="24"/>
          <w:lang w:eastAsia="zh-CN"/>
        </w:rPr>
        <w:t>Hocking GR</w:t>
      </w:r>
      <w:r w:rsidRPr="009510DF">
        <w:rPr>
          <w:rFonts w:ascii="Book Antiqua" w:eastAsia="SimSun" w:hAnsi="Book Antiqua" w:cs="SimSun"/>
          <w:color w:val="000000"/>
          <w:kern w:val="0"/>
          <w:sz w:val="24"/>
          <w:szCs w:val="24"/>
          <w:lang w:eastAsia="zh-CN"/>
        </w:rPr>
        <w:t>, Shembrey M, Hay D, Ostör AG. Alpha-fetoprotein-producing adenocarcinoma of the sigmoid colon with possible hepatoid differentiation.</w:t>
      </w:r>
      <w:r>
        <w:rPr>
          <w:rFonts w:ascii="Book Antiqua" w:eastAsia="SimSun" w:hAnsi="Book Antiqua" w:cs="SimSun"/>
          <w:color w:val="000000"/>
          <w:kern w:val="0"/>
          <w:sz w:val="24"/>
          <w:szCs w:val="24"/>
          <w:lang w:eastAsia="zh-CN"/>
        </w:rPr>
        <w:t xml:space="preserve"> </w:t>
      </w:r>
      <w:r w:rsidRPr="009510DF">
        <w:rPr>
          <w:rFonts w:ascii="Book Antiqua" w:eastAsia="SimSun" w:hAnsi="Book Antiqua" w:cs="SimSun"/>
          <w:i/>
          <w:iCs/>
          <w:color w:val="000000"/>
          <w:kern w:val="0"/>
          <w:sz w:val="24"/>
          <w:szCs w:val="24"/>
          <w:lang w:eastAsia="zh-CN"/>
        </w:rPr>
        <w:t>Pathology</w:t>
      </w:r>
      <w:r w:rsidRPr="009510DF">
        <w:rPr>
          <w:rFonts w:ascii="Book Antiqua" w:eastAsia="SimSun" w:hAnsi="Book Antiqua" w:cs="SimSun"/>
          <w:color w:val="000000"/>
          <w:kern w:val="0"/>
          <w:sz w:val="24"/>
          <w:szCs w:val="24"/>
          <w:lang w:eastAsia="zh-CN"/>
        </w:rPr>
        <w:t> 1995; </w:t>
      </w:r>
      <w:r w:rsidRPr="009510DF">
        <w:rPr>
          <w:rFonts w:ascii="Book Antiqua" w:eastAsia="SimSun" w:hAnsi="Book Antiqua" w:cs="SimSun"/>
          <w:b/>
          <w:bCs/>
          <w:color w:val="000000"/>
          <w:kern w:val="0"/>
          <w:sz w:val="24"/>
          <w:szCs w:val="24"/>
          <w:lang w:eastAsia="zh-CN"/>
        </w:rPr>
        <w:t>27</w:t>
      </w:r>
      <w:r w:rsidRPr="009510DF">
        <w:rPr>
          <w:rFonts w:ascii="Book Antiqua" w:eastAsia="SimSun" w:hAnsi="Book Antiqua" w:cs="SimSun"/>
          <w:color w:val="000000"/>
          <w:kern w:val="0"/>
          <w:sz w:val="24"/>
          <w:szCs w:val="24"/>
          <w:lang w:eastAsia="zh-CN"/>
        </w:rPr>
        <w:t>: 277-279 [PMID: 8532396]</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12 </w:t>
      </w:r>
      <w:r w:rsidRPr="009510DF">
        <w:rPr>
          <w:rFonts w:ascii="Book Antiqua" w:eastAsia="SimSun" w:hAnsi="Book Antiqua" w:cs="SimSun"/>
          <w:b/>
          <w:bCs/>
          <w:color w:val="000000"/>
          <w:kern w:val="0"/>
          <w:sz w:val="24"/>
          <w:szCs w:val="24"/>
          <w:lang w:eastAsia="zh-CN"/>
        </w:rPr>
        <w:t>Kodama T</w:t>
      </w:r>
      <w:r w:rsidRPr="009510DF">
        <w:rPr>
          <w:rFonts w:ascii="Book Antiqua" w:eastAsia="SimSun" w:hAnsi="Book Antiqua" w:cs="SimSun"/>
          <w:color w:val="000000"/>
          <w:kern w:val="0"/>
          <w:sz w:val="24"/>
          <w:szCs w:val="24"/>
          <w:lang w:eastAsia="zh-CN"/>
        </w:rPr>
        <w:t>, Kameya T, Hirota T, Shimosato Y, Ohkura H, Mukojima T, Kitaoka H. Production of alpha-fetoprotein, normal serum proteins, and human chorionic gonadotropin in stomach cancer: histologic and immunohistochemical analyses of 35 cases. </w:t>
      </w:r>
      <w:r w:rsidRPr="009510DF">
        <w:rPr>
          <w:rFonts w:ascii="Book Antiqua" w:eastAsia="SimSun" w:hAnsi="Book Antiqua" w:cs="SimSun"/>
          <w:i/>
          <w:iCs/>
          <w:color w:val="000000"/>
          <w:kern w:val="0"/>
          <w:sz w:val="24"/>
          <w:szCs w:val="24"/>
          <w:lang w:eastAsia="zh-CN"/>
        </w:rPr>
        <w:t>Cancer</w:t>
      </w:r>
      <w:r w:rsidRPr="009510DF">
        <w:rPr>
          <w:rFonts w:ascii="Book Antiqua" w:eastAsia="SimSun" w:hAnsi="Book Antiqua" w:cs="SimSun"/>
          <w:color w:val="000000"/>
          <w:kern w:val="0"/>
          <w:sz w:val="24"/>
          <w:szCs w:val="24"/>
          <w:lang w:eastAsia="zh-CN"/>
        </w:rPr>
        <w:t> 1981; </w:t>
      </w:r>
      <w:r w:rsidRPr="009510DF">
        <w:rPr>
          <w:rFonts w:ascii="Book Antiqua" w:eastAsia="SimSun" w:hAnsi="Book Antiqua" w:cs="SimSun"/>
          <w:b/>
          <w:bCs/>
          <w:color w:val="000000"/>
          <w:kern w:val="0"/>
          <w:sz w:val="24"/>
          <w:szCs w:val="24"/>
          <w:lang w:eastAsia="zh-CN"/>
        </w:rPr>
        <w:t>48</w:t>
      </w:r>
      <w:r w:rsidRPr="009510DF">
        <w:rPr>
          <w:rFonts w:ascii="Book Antiqua" w:eastAsia="SimSun" w:hAnsi="Book Antiqua" w:cs="SimSun"/>
          <w:color w:val="000000"/>
          <w:kern w:val="0"/>
          <w:sz w:val="24"/>
          <w:szCs w:val="24"/>
          <w:lang w:eastAsia="zh-CN"/>
        </w:rPr>
        <w:t>: 1647-1655 [PMID: 6169423]</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13 </w:t>
      </w:r>
      <w:r w:rsidRPr="009510DF">
        <w:rPr>
          <w:rFonts w:ascii="Book Antiqua" w:eastAsia="SimSun" w:hAnsi="Book Antiqua" w:cs="SimSun"/>
          <w:b/>
          <w:bCs/>
          <w:color w:val="000000"/>
          <w:kern w:val="0"/>
          <w:sz w:val="24"/>
          <w:szCs w:val="24"/>
          <w:lang w:eastAsia="zh-CN"/>
        </w:rPr>
        <w:t>Koyama S</w:t>
      </w:r>
      <w:r w:rsidRPr="009510DF">
        <w:rPr>
          <w:rFonts w:ascii="Book Antiqua" w:eastAsia="SimSun" w:hAnsi="Book Antiqua" w:cs="SimSun"/>
          <w:color w:val="000000"/>
          <w:kern w:val="0"/>
          <w:sz w:val="24"/>
          <w:szCs w:val="24"/>
          <w:lang w:eastAsia="zh-CN"/>
        </w:rPr>
        <w:t>, Ebihara T, Osuga T. Histologic and immunohistochemical studies of alpha-fetoprotein (AFP)-producing gastric carcinoma. </w:t>
      </w:r>
      <w:r w:rsidRPr="009510DF">
        <w:rPr>
          <w:rFonts w:ascii="Book Antiqua" w:eastAsia="SimSun" w:hAnsi="Book Antiqua" w:cs="SimSun"/>
          <w:i/>
          <w:iCs/>
          <w:color w:val="000000"/>
          <w:kern w:val="0"/>
          <w:sz w:val="24"/>
          <w:szCs w:val="24"/>
          <w:lang w:eastAsia="zh-CN"/>
        </w:rPr>
        <w:t>Gastroenterol Jpn</w:t>
      </w:r>
      <w:r w:rsidRPr="009510DF">
        <w:rPr>
          <w:rFonts w:ascii="Book Antiqua" w:eastAsia="SimSun" w:hAnsi="Book Antiqua" w:cs="SimSun"/>
          <w:color w:val="000000"/>
          <w:kern w:val="0"/>
          <w:sz w:val="24"/>
          <w:szCs w:val="24"/>
          <w:lang w:eastAsia="zh-CN"/>
        </w:rPr>
        <w:t> 1987; </w:t>
      </w:r>
      <w:r w:rsidRPr="009510DF">
        <w:rPr>
          <w:rFonts w:ascii="Book Antiqua" w:eastAsia="SimSun" w:hAnsi="Book Antiqua" w:cs="SimSun"/>
          <w:b/>
          <w:bCs/>
          <w:color w:val="000000"/>
          <w:kern w:val="0"/>
          <w:sz w:val="24"/>
          <w:szCs w:val="24"/>
          <w:lang w:eastAsia="zh-CN"/>
        </w:rPr>
        <w:t>22</w:t>
      </w:r>
      <w:r w:rsidRPr="009510DF">
        <w:rPr>
          <w:rFonts w:ascii="Book Antiqua" w:eastAsia="SimSun" w:hAnsi="Book Antiqua" w:cs="SimSun"/>
          <w:color w:val="000000"/>
          <w:kern w:val="0"/>
          <w:sz w:val="24"/>
          <w:szCs w:val="24"/>
          <w:lang w:eastAsia="zh-CN"/>
        </w:rPr>
        <w:t>: 419-427 [PMID: 2444485]</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14 </w:t>
      </w:r>
      <w:r w:rsidRPr="009510DF">
        <w:rPr>
          <w:rFonts w:ascii="Book Antiqua" w:eastAsia="SimSun" w:hAnsi="Book Antiqua" w:cs="SimSun"/>
          <w:b/>
          <w:bCs/>
          <w:color w:val="000000"/>
          <w:kern w:val="0"/>
          <w:sz w:val="24"/>
          <w:szCs w:val="24"/>
          <w:lang w:eastAsia="zh-CN"/>
        </w:rPr>
        <w:t>Masuzawa M</w:t>
      </w:r>
      <w:r w:rsidRPr="009510DF">
        <w:rPr>
          <w:rFonts w:ascii="Book Antiqua" w:eastAsia="SimSun" w:hAnsi="Book Antiqua" w:cs="SimSun"/>
          <w:color w:val="000000"/>
          <w:kern w:val="0"/>
          <w:sz w:val="24"/>
          <w:szCs w:val="24"/>
          <w:lang w:eastAsia="zh-CN"/>
        </w:rPr>
        <w:t>, Lee PK, Kamada T, Akeyama T, Abe H, Shimano T, Mori T, Morino H, Ishiguro S. Carcinoembryonic antigen, alpha-fetoprotein and carcinoplacental alkaline phosphatase in gastric carcinoma metastatic to the liver. </w:t>
      </w:r>
      <w:r w:rsidRPr="009510DF">
        <w:rPr>
          <w:rFonts w:ascii="Book Antiqua" w:eastAsia="SimSun" w:hAnsi="Book Antiqua" w:cs="SimSun"/>
          <w:i/>
          <w:iCs/>
          <w:color w:val="000000"/>
          <w:kern w:val="0"/>
          <w:sz w:val="24"/>
          <w:szCs w:val="24"/>
          <w:lang w:eastAsia="zh-CN"/>
        </w:rPr>
        <w:t>Cancer</w:t>
      </w:r>
      <w:r w:rsidRPr="009510DF">
        <w:rPr>
          <w:rFonts w:ascii="Book Antiqua" w:eastAsia="SimSun" w:hAnsi="Book Antiqua" w:cs="SimSun"/>
          <w:color w:val="000000"/>
          <w:kern w:val="0"/>
          <w:sz w:val="24"/>
          <w:szCs w:val="24"/>
          <w:lang w:eastAsia="zh-CN"/>
        </w:rPr>
        <w:t> 1977; </w:t>
      </w:r>
      <w:r w:rsidRPr="009510DF">
        <w:rPr>
          <w:rFonts w:ascii="Book Antiqua" w:eastAsia="SimSun" w:hAnsi="Book Antiqua" w:cs="SimSun"/>
          <w:b/>
          <w:bCs/>
          <w:color w:val="000000"/>
          <w:kern w:val="0"/>
          <w:sz w:val="24"/>
          <w:szCs w:val="24"/>
          <w:lang w:eastAsia="zh-CN"/>
        </w:rPr>
        <w:t>39</w:t>
      </w:r>
      <w:r w:rsidRPr="009510DF">
        <w:rPr>
          <w:rFonts w:ascii="Book Antiqua" w:eastAsia="SimSun" w:hAnsi="Book Antiqua" w:cs="SimSun"/>
          <w:color w:val="000000"/>
          <w:kern w:val="0"/>
          <w:sz w:val="24"/>
          <w:szCs w:val="24"/>
          <w:lang w:eastAsia="zh-CN"/>
        </w:rPr>
        <w:t>: 1175-1180 [PMID: 71944]</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15 </w:t>
      </w:r>
      <w:r w:rsidRPr="009510DF">
        <w:rPr>
          <w:rFonts w:ascii="Book Antiqua" w:eastAsia="SimSun" w:hAnsi="Book Antiqua" w:cs="SimSun"/>
          <w:b/>
          <w:bCs/>
          <w:color w:val="000000"/>
          <w:kern w:val="0"/>
          <w:sz w:val="24"/>
          <w:szCs w:val="24"/>
          <w:lang w:eastAsia="zh-CN"/>
        </w:rPr>
        <w:t>Nishimura H</w:t>
      </w:r>
      <w:r w:rsidRPr="009510DF">
        <w:rPr>
          <w:rFonts w:ascii="Book Antiqua" w:eastAsia="SimSun" w:hAnsi="Book Antiqua" w:cs="SimSun"/>
          <w:color w:val="000000"/>
          <w:kern w:val="0"/>
          <w:sz w:val="24"/>
          <w:szCs w:val="24"/>
          <w:lang w:eastAsia="zh-CN"/>
        </w:rPr>
        <w:t>, Okamoto Y, Takahashi M, Fujita T. Occurrence of alpha-fetoprotein, Regan isoenzyme, and variant alkaline phosphatase in the serum of a patient with gastric cancer. </w:t>
      </w:r>
      <w:r w:rsidRPr="009510DF">
        <w:rPr>
          <w:rFonts w:ascii="Book Antiqua" w:eastAsia="SimSun" w:hAnsi="Book Antiqua" w:cs="SimSun"/>
          <w:i/>
          <w:iCs/>
          <w:color w:val="000000"/>
          <w:kern w:val="0"/>
          <w:sz w:val="24"/>
          <w:szCs w:val="24"/>
          <w:lang w:eastAsia="zh-CN"/>
        </w:rPr>
        <w:t>Gastroenterology</w:t>
      </w:r>
      <w:r w:rsidRPr="009510DF">
        <w:rPr>
          <w:rFonts w:ascii="Book Antiqua" w:eastAsia="SimSun" w:hAnsi="Book Antiqua" w:cs="SimSun"/>
          <w:color w:val="000000"/>
          <w:kern w:val="0"/>
          <w:sz w:val="24"/>
          <w:szCs w:val="24"/>
          <w:lang w:eastAsia="zh-CN"/>
        </w:rPr>
        <w:t> 1976; </w:t>
      </w:r>
      <w:r w:rsidRPr="009510DF">
        <w:rPr>
          <w:rFonts w:ascii="Book Antiqua" w:eastAsia="SimSun" w:hAnsi="Book Antiqua" w:cs="SimSun"/>
          <w:b/>
          <w:bCs/>
          <w:color w:val="000000"/>
          <w:kern w:val="0"/>
          <w:sz w:val="24"/>
          <w:szCs w:val="24"/>
          <w:lang w:eastAsia="zh-CN"/>
        </w:rPr>
        <w:t>71</w:t>
      </w:r>
      <w:r w:rsidRPr="009510DF">
        <w:rPr>
          <w:rFonts w:ascii="Book Antiqua" w:eastAsia="SimSun" w:hAnsi="Book Antiqua" w:cs="SimSun"/>
          <w:color w:val="000000"/>
          <w:kern w:val="0"/>
          <w:sz w:val="24"/>
          <w:szCs w:val="24"/>
          <w:lang w:eastAsia="zh-CN"/>
        </w:rPr>
        <w:t>: 497-499 [PMID: 59676]</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lastRenderedPageBreak/>
        <w:t>16 </w:t>
      </w:r>
      <w:r w:rsidRPr="009510DF">
        <w:rPr>
          <w:rFonts w:ascii="Book Antiqua" w:eastAsia="SimSun" w:hAnsi="Book Antiqua" w:cs="SimSun"/>
          <w:b/>
          <w:bCs/>
          <w:color w:val="000000"/>
          <w:kern w:val="0"/>
          <w:sz w:val="24"/>
          <w:szCs w:val="24"/>
          <w:lang w:eastAsia="zh-CN"/>
        </w:rPr>
        <w:t>Bourreille J</w:t>
      </w:r>
      <w:r w:rsidRPr="009510DF">
        <w:rPr>
          <w:rFonts w:ascii="Book Antiqua" w:eastAsia="SimSun" w:hAnsi="Book Antiqua" w:cs="SimSun"/>
          <w:color w:val="000000"/>
          <w:kern w:val="0"/>
          <w:sz w:val="24"/>
          <w:szCs w:val="24"/>
          <w:lang w:eastAsia="zh-CN"/>
        </w:rPr>
        <w:t>, Metayer P, Sauger F, Matray F, Fondimare A. [Existence of alpha feto protein during gastric-origin secondary cancer of the liver]. </w:t>
      </w:r>
      <w:r w:rsidRPr="009510DF">
        <w:rPr>
          <w:rFonts w:ascii="Book Antiqua" w:eastAsia="SimSun" w:hAnsi="Book Antiqua" w:cs="SimSun"/>
          <w:i/>
          <w:iCs/>
          <w:color w:val="000000"/>
          <w:kern w:val="0"/>
          <w:sz w:val="24"/>
          <w:szCs w:val="24"/>
          <w:lang w:eastAsia="zh-CN"/>
        </w:rPr>
        <w:t>Presse Med</w:t>
      </w:r>
      <w:r w:rsidRPr="009510DF">
        <w:rPr>
          <w:rFonts w:ascii="Book Antiqua" w:eastAsia="SimSun" w:hAnsi="Book Antiqua" w:cs="SimSun"/>
          <w:color w:val="000000"/>
          <w:kern w:val="0"/>
          <w:sz w:val="24"/>
          <w:szCs w:val="24"/>
          <w:lang w:eastAsia="zh-CN"/>
        </w:rPr>
        <w:t> 1970; </w:t>
      </w:r>
      <w:r w:rsidRPr="009510DF">
        <w:rPr>
          <w:rFonts w:ascii="Book Antiqua" w:eastAsia="SimSun" w:hAnsi="Book Antiqua" w:cs="SimSun"/>
          <w:b/>
          <w:bCs/>
          <w:color w:val="000000"/>
          <w:kern w:val="0"/>
          <w:sz w:val="24"/>
          <w:szCs w:val="24"/>
          <w:lang w:eastAsia="zh-CN"/>
        </w:rPr>
        <w:t>78</w:t>
      </w:r>
      <w:r w:rsidRPr="009510DF">
        <w:rPr>
          <w:rFonts w:ascii="Book Antiqua" w:eastAsia="SimSun" w:hAnsi="Book Antiqua" w:cs="SimSun"/>
          <w:color w:val="000000"/>
          <w:kern w:val="0"/>
          <w:sz w:val="24"/>
          <w:szCs w:val="24"/>
          <w:lang w:eastAsia="zh-CN"/>
        </w:rPr>
        <w:t>: 1277-1278 [PMID: 5426134]</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17 </w:t>
      </w:r>
      <w:r w:rsidRPr="009510DF">
        <w:rPr>
          <w:rFonts w:ascii="Book Antiqua" w:eastAsia="SimSun" w:hAnsi="Book Antiqua" w:cs="SimSun"/>
          <w:b/>
          <w:bCs/>
          <w:color w:val="000000"/>
          <w:kern w:val="0"/>
          <w:sz w:val="24"/>
          <w:szCs w:val="24"/>
          <w:lang w:eastAsia="zh-CN"/>
        </w:rPr>
        <w:t>Ishikura H</w:t>
      </w:r>
      <w:r w:rsidRPr="009510DF">
        <w:rPr>
          <w:rFonts w:ascii="Book Antiqua" w:eastAsia="SimSun" w:hAnsi="Book Antiqua" w:cs="SimSun"/>
          <w:color w:val="000000"/>
          <w:kern w:val="0"/>
          <w:sz w:val="24"/>
          <w:szCs w:val="24"/>
          <w:lang w:eastAsia="zh-CN"/>
        </w:rPr>
        <w:t>, Kirimoto K, Shamoto M, Miyamoto Y, Yamagiwa H, Itoh T, Aizawa M. Hepatoid adenocarcinomas of the stomach. An analysis of seven cases.</w:t>
      </w:r>
      <w:r>
        <w:rPr>
          <w:rFonts w:ascii="Book Antiqua" w:eastAsia="SimSun" w:hAnsi="Book Antiqua" w:cs="SimSun"/>
          <w:color w:val="000000"/>
          <w:kern w:val="0"/>
          <w:sz w:val="24"/>
          <w:szCs w:val="24"/>
          <w:lang w:eastAsia="zh-CN"/>
        </w:rPr>
        <w:t xml:space="preserve"> </w:t>
      </w:r>
      <w:r w:rsidRPr="009510DF">
        <w:rPr>
          <w:rFonts w:ascii="Book Antiqua" w:eastAsia="SimSun" w:hAnsi="Book Antiqua" w:cs="SimSun"/>
          <w:i/>
          <w:iCs/>
          <w:color w:val="000000"/>
          <w:kern w:val="0"/>
          <w:sz w:val="24"/>
          <w:szCs w:val="24"/>
          <w:lang w:eastAsia="zh-CN"/>
        </w:rPr>
        <w:t>Cancer</w:t>
      </w:r>
      <w:r w:rsidRPr="009510DF">
        <w:rPr>
          <w:rFonts w:ascii="Book Antiqua" w:eastAsia="SimSun" w:hAnsi="Book Antiqua" w:cs="SimSun"/>
          <w:color w:val="000000"/>
          <w:kern w:val="0"/>
          <w:sz w:val="24"/>
          <w:szCs w:val="24"/>
          <w:lang w:eastAsia="zh-CN"/>
        </w:rPr>
        <w:t> 1986; </w:t>
      </w:r>
      <w:r w:rsidRPr="009510DF">
        <w:rPr>
          <w:rFonts w:ascii="Book Antiqua" w:eastAsia="SimSun" w:hAnsi="Book Antiqua" w:cs="SimSun"/>
          <w:b/>
          <w:bCs/>
          <w:color w:val="000000"/>
          <w:kern w:val="0"/>
          <w:sz w:val="24"/>
          <w:szCs w:val="24"/>
          <w:lang w:eastAsia="zh-CN"/>
        </w:rPr>
        <w:t>58</w:t>
      </w:r>
      <w:r w:rsidRPr="009510DF">
        <w:rPr>
          <w:rFonts w:ascii="Book Antiqua" w:eastAsia="SimSun" w:hAnsi="Book Antiqua" w:cs="SimSun"/>
          <w:color w:val="000000"/>
          <w:kern w:val="0"/>
          <w:sz w:val="24"/>
          <w:szCs w:val="24"/>
          <w:lang w:eastAsia="zh-CN"/>
        </w:rPr>
        <w:t>: 119-126 [PMID: 2423220]</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18 </w:t>
      </w:r>
      <w:r w:rsidRPr="009510DF">
        <w:rPr>
          <w:rFonts w:ascii="Book Antiqua" w:eastAsia="SimSun" w:hAnsi="Book Antiqua" w:cs="SimSun"/>
          <w:b/>
          <w:bCs/>
          <w:color w:val="000000"/>
          <w:kern w:val="0"/>
          <w:sz w:val="24"/>
          <w:szCs w:val="24"/>
          <w:lang w:eastAsia="zh-CN"/>
        </w:rPr>
        <w:t>Ye MF</w:t>
      </w:r>
      <w:r w:rsidRPr="009510DF">
        <w:rPr>
          <w:rFonts w:ascii="Book Antiqua" w:eastAsia="SimSun" w:hAnsi="Book Antiqua" w:cs="SimSun"/>
          <w:color w:val="000000"/>
          <w:kern w:val="0"/>
          <w:sz w:val="24"/>
          <w:szCs w:val="24"/>
          <w:lang w:eastAsia="zh-CN"/>
        </w:rPr>
        <w:t>, Tao F, Liu F, Sun AJ. Hepatoid adenocarcinoma of the stomach: a report of three cases. </w:t>
      </w:r>
      <w:r w:rsidRPr="009510DF">
        <w:rPr>
          <w:rFonts w:ascii="Book Antiqua" w:eastAsia="SimSun" w:hAnsi="Book Antiqua" w:cs="SimSun"/>
          <w:i/>
          <w:iCs/>
          <w:color w:val="000000"/>
          <w:kern w:val="0"/>
          <w:sz w:val="24"/>
          <w:szCs w:val="24"/>
          <w:lang w:eastAsia="zh-CN"/>
        </w:rPr>
        <w:t>World J Gastroenterol</w:t>
      </w:r>
      <w:r w:rsidRPr="009510DF">
        <w:rPr>
          <w:rFonts w:ascii="Book Antiqua" w:eastAsia="SimSun" w:hAnsi="Book Antiqua" w:cs="SimSun"/>
          <w:color w:val="000000"/>
          <w:kern w:val="0"/>
          <w:sz w:val="24"/>
          <w:szCs w:val="24"/>
          <w:lang w:eastAsia="zh-CN"/>
        </w:rPr>
        <w:t> 2013; </w:t>
      </w:r>
      <w:r w:rsidRPr="009510DF">
        <w:rPr>
          <w:rFonts w:ascii="Book Antiqua" w:eastAsia="SimSun" w:hAnsi="Book Antiqua" w:cs="SimSun"/>
          <w:b/>
          <w:bCs/>
          <w:color w:val="000000"/>
          <w:kern w:val="0"/>
          <w:sz w:val="24"/>
          <w:szCs w:val="24"/>
          <w:lang w:eastAsia="zh-CN"/>
        </w:rPr>
        <w:t>19</w:t>
      </w:r>
      <w:r w:rsidRPr="009510DF">
        <w:rPr>
          <w:rFonts w:ascii="Book Antiqua" w:eastAsia="SimSun" w:hAnsi="Book Antiqua" w:cs="SimSun"/>
          <w:color w:val="000000"/>
          <w:kern w:val="0"/>
          <w:sz w:val="24"/>
          <w:szCs w:val="24"/>
          <w:lang w:eastAsia="zh-CN"/>
        </w:rPr>
        <w:t>: 4437-4442 [PMID: 23885160 DOI: 10.3748/wjg.v19.i27.4437]</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19 </w:t>
      </w:r>
      <w:r w:rsidRPr="009510DF">
        <w:rPr>
          <w:rFonts w:ascii="Book Antiqua" w:eastAsia="SimSun" w:hAnsi="Book Antiqua" w:cs="SimSun"/>
          <w:b/>
          <w:bCs/>
          <w:color w:val="000000"/>
          <w:kern w:val="0"/>
          <w:sz w:val="24"/>
          <w:szCs w:val="24"/>
          <w:lang w:eastAsia="zh-CN"/>
        </w:rPr>
        <w:t>Yang J</w:t>
      </w:r>
      <w:r w:rsidRPr="009510DF">
        <w:rPr>
          <w:rFonts w:ascii="Book Antiqua" w:eastAsia="SimSun" w:hAnsi="Book Antiqua" w:cs="SimSun"/>
          <w:color w:val="000000"/>
          <w:kern w:val="0"/>
          <w:sz w:val="24"/>
          <w:szCs w:val="24"/>
          <w:lang w:eastAsia="zh-CN"/>
        </w:rPr>
        <w:t>, Wang R, Zhang W, Zhuang W, Wang M, Tang C. Clinicopathological and prognostic characteristics of hepatoid adenocarcinoma of the stomach. </w:t>
      </w:r>
      <w:r w:rsidRPr="009510DF">
        <w:rPr>
          <w:rFonts w:ascii="Book Antiqua" w:eastAsia="SimSun" w:hAnsi="Book Antiqua" w:cs="SimSun"/>
          <w:i/>
          <w:iCs/>
          <w:color w:val="000000"/>
          <w:kern w:val="0"/>
          <w:sz w:val="24"/>
          <w:szCs w:val="24"/>
          <w:lang w:eastAsia="zh-CN"/>
        </w:rPr>
        <w:t>Gastroenterol Res Pract</w:t>
      </w:r>
      <w:r w:rsidRPr="009510DF">
        <w:rPr>
          <w:rFonts w:ascii="Book Antiqua" w:eastAsia="SimSun" w:hAnsi="Book Antiqua" w:cs="SimSun"/>
          <w:color w:val="000000"/>
          <w:kern w:val="0"/>
          <w:sz w:val="24"/>
          <w:szCs w:val="24"/>
          <w:lang w:eastAsia="zh-CN"/>
        </w:rPr>
        <w:t> 2014; </w:t>
      </w:r>
      <w:r w:rsidRPr="009510DF">
        <w:rPr>
          <w:rFonts w:ascii="Book Antiqua" w:eastAsia="SimSun" w:hAnsi="Book Antiqua" w:cs="SimSun"/>
          <w:b/>
          <w:bCs/>
          <w:color w:val="000000"/>
          <w:kern w:val="0"/>
          <w:sz w:val="24"/>
          <w:szCs w:val="24"/>
          <w:lang w:eastAsia="zh-CN"/>
        </w:rPr>
        <w:t>2014</w:t>
      </w:r>
      <w:r w:rsidRPr="009510DF">
        <w:rPr>
          <w:rFonts w:ascii="Book Antiqua" w:eastAsia="SimSun" w:hAnsi="Book Antiqua" w:cs="SimSun"/>
          <w:color w:val="000000"/>
          <w:kern w:val="0"/>
          <w:sz w:val="24"/>
          <w:szCs w:val="24"/>
          <w:lang w:eastAsia="zh-CN"/>
        </w:rPr>
        <w:t>: 140587 [PMID: 24669215 DOI: 10.1155/2014/140587]</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20 </w:t>
      </w:r>
      <w:r w:rsidRPr="009510DF">
        <w:rPr>
          <w:rFonts w:ascii="Book Antiqua" w:eastAsia="SimSun" w:hAnsi="Book Antiqua" w:cs="SimSun"/>
          <w:b/>
          <w:bCs/>
          <w:color w:val="000000"/>
          <w:kern w:val="0"/>
          <w:sz w:val="24"/>
          <w:szCs w:val="24"/>
          <w:lang w:eastAsia="zh-CN"/>
        </w:rPr>
        <w:t>Lin CY</w:t>
      </w:r>
      <w:r w:rsidRPr="009510DF">
        <w:rPr>
          <w:rFonts w:ascii="Book Antiqua" w:eastAsia="SimSun" w:hAnsi="Book Antiqua" w:cs="SimSun"/>
          <w:color w:val="000000"/>
          <w:kern w:val="0"/>
          <w:sz w:val="24"/>
          <w:szCs w:val="24"/>
          <w:lang w:eastAsia="zh-CN"/>
        </w:rPr>
        <w:t>, Yeh HC, Hsu CM, Lin WR, Chiu CT. Clinicopathologial features of gastric hepatoid adenocarcinoma. </w:t>
      </w:r>
      <w:r w:rsidRPr="009510DF">
        <w:rPr>
          <w:rFonts w:ascii="Book Antiqua" w:eastAsia="SimSun" w:hAnsi="Book Antiqua" w:cs="SimSun"/>
          <w:i/>
          <w:iCs/>
          <w:color w:val="000000"/>
          <w:kern w:val="0"/>
          <w:sz w:val="24"/>
          <w:szCs w:val="24"/>
          <w:lang w:eastAsia="zh-CN"/>
        </w:rPr>
        <w:t>Biomed J</w:t>
      </w:r>
      <w:r w:rsidRPr="009510DF">
        <w:rPr>
          <w:rFonts w:ascii="Book Antiqua" w:eastAsia="SimSun" w:hAnsi="Book Antiqua" w:cs="SimSun"/>
          <w:color w:val="000000"/>
          <w:kern w:val="0"/>
          <w:sz w:val="24"/>
          <w:szCs w:val="24"/>
          <w:lang w:eastAsia="zh-CN"/>
        </w:rPr>
        <w:t> 2015; </w:t>
      </w:r>
      <w:r w:rsidRPr="009510DF">
        <w:rPr>
          <w:rFonts w:ascii="Book Antiqua" w:eastAsia="SimSun" w:hAnsi="Book Antiqua" w:cs="SimSun"/>
          <w:b/>
          <w:bCs/>
          <w:color w:val="000000"/>
          <w:kern w:val="0"/>
          <w:sz w:val="24"/>
          <w:szCs w:val="24"/>
          <w:lang w:eastAsia="zh-CN"/>
        </w:rPr>
        <w:t>38</w:t>
      </w:r>
      <w:r w:rsidRPr="009510DF">
        <w:rPr>
          <w:rFonts w:ascii="Book Antiqua" w:eastAsia="SimSun" w:hAnsi="Book Antiqua" w:cs="SimSun"/>
          <w:color w:val="000000"/>
          <w:kern w:val="0"/>
          <w:sz w:val="24"/>
          <w:szCs w:val="24"/>
          <w:lang w:eastAsia="zh-CN"/>
        </w:rPr>
        <w:t>: 65-69 [PMID: 25163499 DOI: 10.4103/2319-4170.126860]</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21 </w:t>
      </w:r>
      <w:r w:rsidRPr="009510DF">
        <w:rPr>
          <w:rFonts w:ascii="Book Antiqua" w:eastAsia="SimSun" w:hAnsi="Book Antiqua" w:cs="SimSun"/>
          <w:b/>
          <w:bCs/>
          <w:color w:val="000000"/>
          <w:kern w:val="0"/>
          <w:sz w:val="24"/>
          <w:szCs w:val="24"/>
          <w:lang w:eastAsia="zh-CN"/>
        </w:rPr>
        <w:t>Motoyama T</w:t>
      </w:r>
      <w:r w:rsidRPr="009510DF">
        <w:rPr>
          <w:rFonts w:ascii="Book Antiqua" w:eastAsia="SimSun" w:hAnsi="Book Antiqua" w:cs="SimSun"/>
          <w:color w:val="000000"/>
          <w:kern w:val="0"/>
          <w:sz w:val="24"/>
          <w:szCs w:val="24"/>
          <w:lang w:eastAsia="zh-CN"/>
        </w:rPr>
        <w:t>, Aizawa K, Watanabe H, Fukase M, Saito K. alpha-Fetoprotein producing gastric carcinomas: a comparative study of three different subtypes. </w:t>
      </w:r>
      <w:r w:rsidRPr="009510DF">
        <w:rPr>
          <w:rFonts w:ascii="Book Antiqua" w:eastAsia="SimSun" w:hAnsi="Book Antiqua" w:cs="SimSun"/>
          <w:i/>
          <w:iCs/>
          <w:color w:val="000000"/>
          <w:kern w:val="0"/>
          <w:sz w:val="24"/>
          <w:szCs w:val="24"/>
          <w:lang w:eastAsia="zh-CN"/>
        </w:rPr>
        <w:t>Acta Pathol Jpn</w:t>
      </w:r>
      <w:r w:rsidRPr="009510DF">
        <w:rPr>
          <w:rFonts w:ascii="Book Antiqua" w:eastAsia="SimSun" w:hAnsi="Book Antiqua" w:cs="SimSun"/>
          <w:color w:val="000000"/>
          <w:kern w:val="0"/>
          <w:sz w:val="24"/>
          <w:szCs w:val="24"/>
          <w:lang w:eastAsia="zh-CN"/>
        </w:rPr>
        <w:t> 1993; </w:t>
      </w:r>
      <w:r w:rsidRPr="009510DF">
        <w:rPr>
          <w:rFonts w:ascii="Book Antiqua" w:eastAsia="SimSun" w:hAnsi="Book Antiqua" w:cs="SimSun"/>
          <w:b/>
          <w:bCs/>
          <w:color w:val="000000"/>
          <w:kern w:val="0"/>
          <w:sz w:val="24"/>
          <w:szCs w:val="24"/>
          <w:lang w:eastAsia="zh-CN"/>
        </w:rPr>
        <w:t>43</w:t>
      </w:r>
      <w:r w:rsidRPr="009510DF">
        <w:rPr>
          <w:rFonts w:ascii="Book Antiqua" w:eastAsia="SimSun" w:hAnsi="Book Antiqua" w:cs="SimSun"/>
          <w:color w:val="000000"/>
          <w:kern w:val="0"/>
          <w:sz w:val="24"/>
          <w:szCs w:val="24"/>
          <w:lang w:eastAsia="zh-CN"/>
        </w:rPr>
        <w:t>: 654-661 [PMID: 7508672]</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22 </w:t>
      </w:r>
      <w:r w:rsidRPr="009510DF">
        <w:rPr>
          <w:rFonts w:ascii="Book Antiqua" w:eastAsia="SimSun" w:hAnsi="Book Antiqua" w:cs="SimSun"/>
          <w:b/>
          <w:bCs/>
          <w:color w:val="000000"/>
          <w:kern w:val="0"/>
          <w:sz w:val="24"/>
          <w:szCs w:val="24"/>
          <w:lang w:eastAsia="zh-CN"/>
        </w:rPr>
        <w:t>Abe S</w:t>
      </w:r>
      <w:r w:rsidRPr="009510DF">
        <w:rPr>
          <w:rFonts w:ascii="Book Antiqua" w:eastAsia="SimSun" w:hAnsi="Book Antiqua" w:cs="SimSun"/>
          <w:color w:val="000000"/>
          <w:kern w:val="0"/>
          <w:sz w:val="24"/>
          <w:szCs w:val="24"/>
          <w:lang w:eastAsia="zh-CN"/>
        </w:rPr>
        <w:t>, Oda I, Shimazu T, Kinjo T, Tada K, Sakamoto T, Kusano C, Gotoda T. Depth-predicting score for differentiated early gastric cancer. </w:t>
      </w:r>
      <w:r w:rsidRPr="009510DF">
        <w:rPr>
          <w:rFonts w:ascii="Book Antiqua" w:eastAsia="SimSun" w:hAnsi="Book Antiqua" w:cs="SimSun"/>
          <w:i/>
          <w:iCs/>
          <w:color w:val="000000"/>
          <w:kern w:val="0"/>
          <w:sz w:val="24"/>
          <w:szCs w:val="24"/>
          <w:lang w:eastAsia="zh-CN"/>
        </w:rPr>
        <w:t>Gastric Cancer</w:t>
      </w:r>
      <w:r w:rsidRPr="009510DF">
        <w:rPr>
          <w:rFonts w:ascii="Book Antiqua" w:eastAsia="SimSun" w:hAnsi="Book Antiqua" w:cs="SimSun"/>
          <w:color w:val="000000"/>
          <w:kern w:val="0"/>
          <w:sz w:val="24"/>
          <w:szCs w:val="24"/>
          <w:lang w:eastAsia="zh-CN"/>
        </w:rPr>
        <w:t> 2011; </w:t>
      </w:r>
      <w:r w:rsidRPr="009510DF">
        <w:rPr>
          <w:rFonts w:ascii="Book Antiqua" w:eastAsia="SimSun" w:hAnsi="Book Antiqua" w:cs="SimSun"/>
          <w:b/>
          <w:bCs/>
          <w:color w:val="000000"/>
          <w:kern w:val="0"/>
          <w:sz w:val="24"/>
          <w:szCs w:val="24"/>
          <w:lang w:eastAsia="zh-CN"/>
        </w:rPr>
        <w:t>14</w:t>
      </w:r>
      <w:r w:rsidRPr="009510DF">
        <w:rPr>
          <w:rFonts w:ascii="Book Antiqua" w:eastAsia="SimSun" w:hAnsi="Book Antiqua" w:cs="SimSun"/>
          <w:color w:val="000000"/>
          <w:kern w:val="0"/>
          <w:sz w:val="24"/>
          <w:szCs w:val="24"/>
          <w:lang w:eastAsia="zh-CN"/>
        </w:rPr>
        <w:t>: 35-40 [PMID: 21327924 DOI: 10.1007/s10120-011-0002-z]</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23 </w:t>
      </w:r>
      <w:r w:rsidRPr="009510DF">
        <w:rPr>
          <w:rFonts w:ascii="Book Antiqua" w:eastAsia="SimSun" w:hAnsi="Book Antiqua" w:cs="SimSun"/>
          <w:b/>
          <w:bCs/>
          <w:color w:val="000000"/>
          <w:kern w:val="0"/>
          <w:sz w:val="24"/>
          <w:szCs w:val="24"/>
          <w:lang w:eastAsia="zh-CN"/>
        </w:rPr>
        <w:t>Adachi Y</w:t>
      </w:r>
      <w:r w:rsidRPr="009510DF">
        <w:rPr>
          <w:rFonts w:ascii="Book Antiqua" w:eastAsia="SimSun" w:hAnsi="Book Antiqua" w:cs="SimSun"/>
          <w:color w:val="000000"/>
          <w:kern w:val="0"/>
          <w:sz w:val="24"/>
          <w:szCs w:val="24"/>
          <w:lang w:eastAsia="zh-CN"/>
        </w:rPr>
        <w:t>, Tsuchihashi J, Shiraishi N, Yasuda K, Etoh T, Kitano S. AFP-producing gastric carcinoma: multivariate analysis of prognostic factors in 270 patients. </w:t>
      </w:r>
      <w:r w:rsidRPr="009510DF">
        <w:rPr>
          <w:rFonts w:ascii="Book Antiqua" w:eastAsia="SimSun" w:hAnsi="Book Antiqua" w:cs="SimSun"/>
          <w:i/>
          <w:iCs/>
          <w:color w:val="000000"/>
          <w:kern w:val="0"/>
          <w:sz w:val="24"/>
          <w:szCs w:val="24"/>
          <w:lang w:eastAsia="zh-CN"/>
        </w:rPr>
        <w:t>Oncology</w:t>
      </w:r>
      <w:r w:rsidRPr="009510DF">
        <w:rPr>
          <w:rFonts w:ascii="Book Antiqua" w:eastAsia="SimSun" w:hAnsi="Book Antiqua" w:cs="SimSun"/>
          <w:color w:val="000000"/>
          <w:kern w:val="0"/>
          <w:sz w:val="24"/>
          <w:szCs w:val="24"/>
          <w:lang w:eastAsia="zh-CN"/>
        </w:rPr>
        <w:t> 2003; </w:t>
      </w:r>
      <w:r w:rsidRPr="009510DF">
        <w:rPr>
          <w:rFonts w:ascii="Book Antiqua" w:eastAsia="SimSun" w:hAnsi="Book Antiqua" w:cs="SimSun"/>
          <w:b/>
          <w:bCs/>
          <w:color w:val="000000"/>
          <w:kern w:val="0"/>
          <w:sz w:val="24"/>
          <w:szCs w:val="24"/>
          <w:lang w:eastAsia="zh-CN"/>
        </w:rPr>
        <w:t>65</w:t>
      </w:r>
      <w:r w:rsidRPr="009510DF">
        <w:rPr>
          <w:rFonts w:ascii="Book Antiqua" w:eastAsia="SimSun" w:hAnsi="Book Antiqua" w:cs="SimSun"/>
          <w:color w:val="000000"/>
          <w:kern w:val="0"/>
          <w:sz w:val="24"/>
          <w:szCs w:val="24"/>
          <w:lang w:eastAsia="zh-CN"/>
        </w:rPr>
        <w:t>: 95-101 [PMID: 12931013 DOI: 72332]</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24 </w:t>
      </w:r>
      <w:r w:rsidRPr="009510DF">
        <w:rPr>
          <w:rFonts w:ascii="Book Antiqua" w:eastAsia="SimSun" w:hAnsi="Book Antiqua" w:cs="SimSun"/>
          <w:b/>
          <w:bCs/>
          <w:color w:val="000000"/>
          <w:kern w:val="0"/>
          <w:sz w:val="24"/>
          <w:szCs w:val="24"/>
          <w:lang w:eastAsia="zh-CN"/>
        </w:rPr>
        <w:t>Li XD</w:t>
      </w:r>
      <w:r w:rsidRPr="009510DF">
        <w:rPr>
          <w:rFonts w:ascii="Book Antiqua" w:eastAsia="SimSun" w:hAnsi="Book Antiqua" w:cs="SimSun"/>
          <w:color w:val="000000"/>
          <w:kern w:val="0"/>
          <w:sz w:val="24"/>
          <w:szCs w:val="24"/>
          <w:lang w:eastAsia="zh-CN"/>
        </w:rPr>
        <w:t>, Wu CP, Ji M, Wu J, Lu B, Shi HB, Jiang JT. Characteristic analysis of α-fetoprotein-producing gastric carcinoma in China. </w:t>
      </w:r>
      <w:r w:rsidRPr="009510DF">
        <w:rPr>
          <w:rFonts w:ascii="Book Antiqua" w:eastAsia="SimSun" w:hAnsi="Book Antiqua" w:cs="SimSun"/>
          <w:i/>
          <w:iCs/>
          <w:color w:val="000000"/>
          <w:kern w:val="0"/>
          <w:sz w:val="24"/>
          <w:szCs w:val="24"/>
          <w:lang w:eastAsia="zh-CN"/>
        </w:rPr>
        <w:t>World J Surg Oncol</w:t>
      </w:r>
      <w:r w:rsidRPr="009510DF">
        <w:rPr>
          <w:rFonts w:ascii="Book Antiqua" w:eastAsia="SimSun" w:hAnsi="Book Antiqua" w:cs="SimSun"/>
          <w:color w:val="000000"/>
          <w:kern w:val="0"/>
          <w:sz w:val="24"/>
          <w:szCs w:val="24"/>
          <w:lang w:eastAsia="zh-CN"/>
        </w:rPr>
        <w:t> 2013; </w:t>
      </w:r>
      <w:r w:rsidRPr="009510DF">
        <w:rPr>
          <w:rFonts w:ascii="Book Antiqua" w:eastAsia="SimSun" w:hAnsi="Book Antiqua" w:cs="SimSun"/>
          <w:b/>
          <w:bCs/>
          <w:color w:val="000000"/>
          <w:kern w:val="0"/>
          <w:sz w:val="24"/>
          <w:szCs w:val="24"/>
          <w:lang w:eastAsia="zh-CN"/>
        </w:rPr>
        <w:t>11</w:t>
      </w:r>
      <w:r w:rsidRPr="009510DF">
        <w:rPr>
          <w:rFonts w:ascii="Book Antiqua" w:eastAsia="SimSun" w:hAnsi="Book Antiqua" w:cs="SimSun"/>
          <w:color w:val="000000"/>
          <w:kern w:val="0"/>
          <w:sz w:val="24"/>
          <w:szCs w:val="24"/>
          <w:lang w:eastAsia="zh-CN"/>
        </w:rPr>
        <w:t>: 246 [PMID: 24083471 DOI: 10.1186/1477-7819-11-246]</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lastRenderedPageBreak/>
        <w:t>25 </w:t>
      </w:r>
      <w:r w:rsidRPr="009510DF">
        <w:rPr>
          <w:rFonts w:ascii="Book Antiqua" w:eastAsia="SimSun" w:hAnsi="Book Antiqua" w:cs="SimSun"/>
          <w:b/>
          <w:bCs/>
          <w:color w:val="000000"/>
          <w:kern w:val="0"/>
          <w:sz w:val="24"/>
          <w:szCs w:val="24"/>
          <w:lang w:eastAsia="zh-CN"/>
        </w:rPr>
        <w:t>Liu X</w:t>
      </w:r>
      <w:r w:rsidRPr="009510DF">
        <w:rPr>
          <w:rFonts w:ascii="Book Antiqua" w:eastAsia="SimSun" w:hAnsi="Book Antiqua" w:cs="SimSun"/>
          <w:color w:val="000000"/>
          <w:kern w:val="0"/>
          <w:sz w:val="24"/>
          <w:szCs w:val="24"/>
          <w:lang w:eastAsia="zh-CN"/>
        </w:rPr>
        <w:t>, Cheng Y, Sheng W, Lu H, Xu Y, Long Z, Zhu H, Wang Y. Clinicopathologic features and prognostic factors in alpha-fetoprotein-producing gastric cancers: analysis of 104 cases. </w:t>
      </w:r>
      <w:r w:rsidRPr="009510DF">
        <w:rPr>
          <w:rFonts w:ascii="Book Antiqua" w:eastAsia="SimSun" w:hAnsi="Book Antiqua" w:cs="SimSun"/>
          <w:i/>
          <w:iCs/>
          <w:color w:val="000000"/>
          <w:kern w:val="0"/>
          <w:sz w:val="24"/>
          <w:szCs w:val="24"/>
          <w:lang w:eastAsia="zh-CN"/>
        </w:rPr>
        <w:t>J Surg Oncol</w:t>
      </w:r>
      <w:r w:rsidRPr="009510DF">
        <w:rPr>
          <w:rFonts w:ascii="Book Antiqua" w:eastAsia="SimSun" w:hAnsi="Book Antiqua" w:cs="SimSun"/>
          <w:color w:val="000000"/>
          <w:kern w:val="0"/>
          <w:sz w:val="24"/>
          <w:szCs w:val="24"/>
          <w:lang w:eastAsia="zh-CN"/>
        </w:rPr>
        <w:t xml:space="preserve"> 2010; </w:t>
      </w:r>
      <w:r w:rsidRPr="009510DF">
        <w:rPr>
          <w:rFonts w:ascii="Book Antiqua" w:eastAsia="SimSun" w:hAnsi="Book Antiqua" w:cs="SimSun"/>
          <w:b/>
          <w:bCs/>
          <w:color w:val="000000"/>
          <w:kern w:val="0"/>
          <w:sz w:val="24"/>
          <w:szCs w:val="24"/>
          <w:lang w:eastAsia="zh-CN"/>
        </w:rPr>
        <w:t>102</w:t>
      </w:r>
      <w:r w:rsidRPr="009510DF">
        <w:rPr>
          <w:rFonts w:ascii="Book Antiqua" w:eastAsia="SimSun" w:hAnsi="Book Antiqua" w:cs="SimSun"/>
          <w:color w:val="000000"/>
          <w:kern w:val="0"/>
          <w:sz w:val="24"/>
          <w:szCs w:val="24"/>
          <w:lang w:eastAsia="zh-CN"/>
        </w:rPr>
        <w:t>: 249-255 [PMID: 20740583 DOI: 10.1002/jso.21624]</w:t>
      </w:r>
    </w:p>
    <w:p w:rsidR="009510DF" w:rsidRPr="009510DF" w:rsidRDefault="009510DF" w:rsidP="00B20484">
      <w:pPr>
        <w:widowControl/>
        <w:snapToGrid w:val="0"/>
        <w:spacing w:line="360" w:lineRule="auto"/>
        <w:rPr>
          <w:rFonts w:ascii="Book Antiqua" w:eastAsia="SimSun" w:hAnsi="Book Antiqua" w:cs="SimSun"/>
          <w:color w:val="000000"/>
          <w:kern w:val="0"/>
          <w:sz w:val="24"/>
          <w:szCs w:val="24"/>
          <w:lang w:eastAsia="zh-CN"/>
        </w:rPr>
      </w:pPr>
      <w:r w:rsidRPr="009510DF">
        <w:rPr>
          <w:rFonts w:ascii="Book Antiqua" w:eastAsia="SimSun" w:hAnsi="Book Antiqua" w:cs="SimSun"/>
          <w:color w:val="000000"/>
          <w:kern w:val="0"/>
          <w:sz w:val="24"/>
          <w:szCs w:val="24"/>
          <w:lang w:eastAsia="zh-CN"/>
        </w:rPr>
        <w:t>26 </w:t>
      </w:r>
      <w:r w:rsidRPr="009510DF">
        <w:rPr>
          <w:rFonts w:ascii="Book Antiqua" w:eastAsia="SimSun" w:hAnsi="Book Antiqua" w:cs="SimSun"/>
          <w:b/>
          <w:bCs/>
          <w:color w:val="000000"/>
          <w:kern w:val="0"/>
          <w:sz w:val="24"/>
          <w:szCs w:val="24"/>
          <w:lang w:eastAsia="zh-CN"/>
        </w:rPr>
        <w:t>Hirasaki S</w:t>
      </w:r>
      <w:r w:rsidRPr="009510DF">
        <w:rPr>
          <w:rFonts w:ascii="Book Antiqua" w:eastAsia="SimSun" w:hAnsi="Book Antiqua" w:cs="SimSun"/>
          <w:color w:val="000000"/>
          <w:kern w:val="0"/>
          <w:sz w:val="24"/>
          <w:szCs w:val="24"/>
          <w:lang w:eastAsia="zh-CN"/>
        </w:rPr>
        <w:t>, Tanimizu M, Tsuzuki T, Tsubouchi E, Hidaka S, Hyodo I, Tajiri H. Seronegative alpha-fetoprotein-producing early gastric cancer treated with endoscopic mucosal resection and additional surgery. </w:t>
      </w:r>
      <w:r w:rsidRPr="009510DF">
        <w:rPr>
          <w:rFonts w:ascii="Book Antiqua" w:eastAsia="SimSun" w:hAnsi="Book Antiqua" w:cs="SimSun"/>
          <w:i/>
          <w:iCs/>
          <w:color w:val="000000"/>
          <w:kern w:val="0"/>
          <w:sz w:val="24"/>
          <w:szCs w:val="24"/>
          <w:lang w:eastAsia="zh-CN"/>
        </w:rPr>
        <w:t>Intern Med</w:t>
      </w:r>
      <w:r w:rsidRPr="009510DF">
        <w:rPr>
          <w:rFonts w:ascii="Book Antiqua" w:eastAsia="SimSun" w:hAnsi="Book Antiqua" w:cs="SimSun"/>
          <w:color w:val="000000"/>
          <w:kern w:val="0"/>
          <w:sz w:val="24"/>
          <w:szCs w:val="24"/>
          <w:lang w:eastAsia="zh-CN"/>
        </w:rPr>
        <w:t> 2004; </w:t>
      </w:r>
      <w:r w:rsidRPr="009510DF">
        <w:rPr>
          <w:rFonts w:ascii="Book Antiqua" w:eastAsia="SimSun" w:hAnsi="Book Antiqua" w:cs="SimSun"/>
          <w:b/>
          <w:bCs/>
          <w:color w:val="000000"/>
          <w:kern w:val="0"/>
          <w:sz w:val="24"/>
          <w:szCs w:val="24"/>
          <w:lang w:eastAsia="zh-CN"/>
        </w:rPr>
        <w:t>43</w:t>
      </w:r>
      <w:r w:rsidRPr="009510DF">
        <w:rPr>
          <w:rFonts w:ascii="Book Antiqua" w:eastAsia="SimSun" w:hAnsi="Book Antiqua" w:cs="SimSun"/>
          <w:color w:val="000000"/>
          <w:kern w:val="0"/>
          <w:sz w:val="24"/>
          <w:szCs w:val="24"/>
          <w:lang w:eastAsia="zh-CN"/>
        </w:rPr>
        <w:t>: 926-930 [PMID: 15575241]</w:t>
      </w:r>
    </w:p>
    <w:p w:rsidR="009510DF" w:rsidRPr="009510DF" w:rsidRDefault="009510DF" w:rsidP="00B20484">
      <w:pPr>
        <w:snapToGrid w:val="0"/>
        <w:spacing w:line="360" w:lineRule="auto"/>
        <w:jc w:val="right"/>
        <w:rPr>
          <w:rFonts w:ascii="Book Antiqua" w:eastAsia="SimSun" w:hAnsi="Book Antiqua" w:cs="Times New Roman"/>
          <w:sz w:val="24"/>
          <w:szCs w:val="24"/>
          <w:lang w:eastAsia="zh-CN"/>
        </w:rPr>
      </w:pPr>
      <w:bookmarkStart w:id="11" w:name="OLE_LINK51"/>
      <w:bookmarkStart w:id="12" w:name="OLE_LINK52"/>
      <w:bookmarkStart w:id="13" w:name="OLE_LINK120"/>
      <w:bookmarkStart w:id="14" w:name="OLE_LINK148"/>
      <w:bookmarkStart w:id="15" w:name="OLE_LINK72"/>
      <w:bookmarkStart w:id="16" w:name="OLE_LINK112"/>
      <w:bookmarkStart w:id="17" w:name="OLE_LINK320"/>
      <w:bookmarkStart w:id="18" w:name="OLE_LINK387"/>
      <w:bookmarkStart w:id="19" w:name="OLE_LINK183"/>
      <w:bookmarkStart w:id="20" w:name="OLE_LINK254"/>
      <w:bookmarkStart w:id="21" w:name="OLE_LINK149"/>
      <w:bookmarkStart w:id="22" w:name="OLE_LINK225"/>
      <w:bookmarkStart w:id="23" w:name="OLE_LINK207"/>
      <w:bookmarkStart w:id="24" w:name="OLE_LINK226"/>
      <w:bookmarkStart w:id="25" w:name="OLE_LINK212"/>
      <w:bookmarkStart w:id="26" w:name="OLE_LINK250"/>
      <w:bookmarkStart w:id="27" w:name="OLE_LINK281"/>
      <w:bookmarkStart w:id="28" w:name="OLE_LINK282"/>
      <w:bookmarkStart w:id="29" w:name="OLE_LINK313"/>
      <w:bookmarkStart w:id="30" w:name="OLE_LINK304"/>
      <w:bookmarkStart w:id="31" w:name="OLE_LINK321"/>
      <w:bookmarkStart w:id="32" w:name="OLE_LINK385"/>
      <w:bookmarkStart w:id="33" w:name="OLE_LINK400"/>
      <w:bookmarkStart w:id="34" w:name="OLE_LINK346"/>
      <w:bookmarkStart w:id="35" w:name="OLE_LINK371"/>
      <w:bookmarkStart w:id="36" w:name="OLE_LINK334"/>
      <w:bookmarkStart w:id="37" w:name="OLE_LINK1830"/>
      <w:bookmarkStart w:id="38" w:name="OLE_LINK457"/>
      <w:bookmarkStart w:id="39" w:name="OLE_LINK288"/>
      <w:bookmarkStart w:id="40" w:name="OLE_LINK384"/>
      <w:bookmarkStart w:id="41" w:name="OLE_LINK379"/>
      <w:bookmarkStart w:id="42" w:name="OLE_LINK303"/>
      <w:bookmarkStart w:id="43" w:name="OLE_LINK450"/>
      <w:bookmarkStart w:id="44" w:name="OLE_LINK489"/>
      <w:bookmarkStart w:id="45" w:name="OLE_LINK535"/>
      <w:bookmarkStart w:id="46" w:name="OLE_LINK648"/>
      <w:bookmarkStart w:id="47" w:name="OLE_LINK686"/>
      <w:bookmarkStart w:id="48" w:name="OLE_LINK471"/>
      <w:bookmarkStart w:id="49" w:name="OLE_LINK462"/>
      <w:bookmarkStart w:id="50" w:name="OLE_LINK519"/>
      <w:bookmarkStart w:id="51" w:name="OLE_LINK575"/>
      <w:bookmarkStart w:id="52" w:name="OLE_LINK491"/>
      <w:bookmarkStart w:id="53" w:name="OLE_LINK532"/>
      <w:bookmarkStart w:id="54" w:name="OLE_LINK572"/>
      <w:bookmarkStart w:id="55" w:name="OLE_LINK574"/>
      <w:bookmarkStart w:id="56" w:name="OLE_LINK480"/>
      <w:bookmarkStart w:id="57" w:name="OLE_LINK567"/>
      <w:bookmarkStart w:id="58" w:name="OLE_LINK2700"/>
      <w:bookmarkStart w:id="59" w:name="OLE_LINK581"/>
      <w:bookmarkStart w:id="60" w:name="OLE_LINK639"/>
      <w:bookmarkStart w:id="61" w:name="OLE_LINK688"/>
      <w:bookmarkStart w:id="62" w:name="OLE_LINK722"/>
      <w:bookmarkStart w:id="63" w:name="OLE_LINK542"/>
      <w:bookmarkStart w:id="64" w:name="OLE_LINK589"/>
      <w:bookmarkStart w:id="65" w:name="OLE_LINK582"/>
      <w:bookmarkStart w:id="66" w:name="OLE_LINK640"/>
      <w:bookmarkStart w:id="67" w:name="OLE_LINK714"/>
      <w:bookmarkStart w:id="68" w:name="OLE_LINK593"/>
      <w:bookmarkStart w:id="69" w:name="OLE_LINK716"/>
      <w:bookmarkStart w:id="70" w:name="OLE_LINK770"/>
      <w:bookmarkStart w:id="71" w:name="OLE_LINK801"/>
      <w:bookmarkStart w:id="72" w:name="OLE_LINK660"/>
      <w:bookmarkStart w:id="73" w:name="OLE_LINK781"/>
      <w:bookmarkStart w:id="74" w:name="OLE_LINK833"/>
      <w:bookmarkStart w:id="75" w:name="OLE_LINK642"/>
      <w:bookmarkStart w:id="76" w:name="OLE_LINK700"/>
      <w:bookmarkStart w:id="77" w:name="OLE_LINK792"/>
      <w:bookmarkStart w:id="78" w:name="OLE_LINK2882"/>
      <w:bookmarkStart w:id="79" w:name="OLE_LINK836"/>
      <w:bookmarkStart w:id="80" w:name="OLE_LINK889"/>
      <w:bookmarkStart w:id="81" w:name="OLE_LINK782"/>
      <w:bookmarkStart w:id="82" w:name="OLE_LINK826"/>
      <w:bookmarkStart w:id="83" w:name="OLE_LINK865"/>
      <w:bookmarkStart w:id="84" w:name="OLE_LINK856"/>
      <w:bookmarkStart w:id="85" w:name="OLE_LINK908"/>
      <w:bookmarkStart w:id="86" w:name="OLE_LINK980"/>
      <w:bookmarkStart w:id="87" w:name="OLE_LINK1018"/>
      <w:bookmarkStart w:id="88" w:name="OLE_LINK1049"/>
      <w:bookmarkStart w:id="89" w:name="OLE_LINK1076"/>
      <w:bookmarkStart w:id="90" w:name="OLE_LINK1106"/>
      <w:bookmarkStart w:id="91" w:name="OLE_LINK891"/>
      <w:bookmarkStart w:id="92" w:name="OLE_LINK943"/>
      <w:bookmarkStart w:id="93" w:name="OLE_LINK981"/>
      <w:bookmarkStart w:id="94" w:name="OLE_LINK1030"/>
      <w:bookmarkStart w:id="95" w:name="OLE_LINK847"/>
      <w:bookmarkStart w:id="96" w:name="OLE_LINK909"/>
      <w:bookmarkStart w:id="97" w:name="OLE_LINK906"/>
      <w:bookmarkStart w:id="98" w:name="OLE_LINK992"/>
      <w:bookmarkStart w:id="99" w:name="OLE_LINK993"/>
      <w:bookmarkStart w:id="100" w:name="OLE_LINK1052"/>
      <w:bookmarkStart w:id="101" w:name="OLE_LINK946"/>
      <w:bookmarkStart w:id="102" w:name="OLE_LINK911"/>
      <w:bookmarkStart w:id="103" w:name="OLE_LINK930"/>
      <w:bookmarkStart w:id="104" w:name="OLE_LINK1059"/>
      <w:bookmarkStart w:id="105" w:name="OLE_LINK1174"/>
      <w:bookmarkStart w:id="106" w:name="OLE_LINK1137"/>
      <w:bookmarkStart w:id="107" w:name="OLE_LINK1167"/>
      <w:bookmarkStart w:id="108" w:name="OLE_LINK1200"/>
      <w:bookmarkStart w:id="109" w:name="OLE_LINK1241"/>
      <w:bookmarkStart w:id="110" w:name="OLE_LINK1288"/>
      <w:bookmarkStart w:id="111" w:name="OLE_LINK1056"/>
      <w:bookmarkStart w:id="112" w:name="OLE_LINK1158"/>
      <w:bookmarkStart w:id="113" w:name="OLE_LINK1175"/>
      <w:bookmarkStart w:id="114" w:name="OLE_LINK1074"/>
      <w:bookmarkStart w:id="115" w:name="OLE_LINK1169"/>
      <w:r w:rsidRPr="009510DF">
        <w:rPr>
          <w:rFonts w:ascii="Book Antiqua" w:eastAsia="SimSun" w:hAnsi="Book Antiqua" w:cs="Times New Roman"/>
          <w:b/>
          <w:bCs/>
          <w:sz w:val="24"/>
          <w:szCs w:val="24"/>
          <w:lang w:eastAsia="zh-CN"/>
        </w:rPr>
        <w:t>P-Reviewer:</w:t>
      </w:r>
      <w:r w:rsidRPr="009510DF">
        <w:rPr>
          <w:rFonts w:ascii="Book Antiqua" w:eastAsia="SimSun" w:hAnsi="Book Antiqua" w:cs="Times New Roman" w:hint="eastAsia"/>
          <w:b/>
          <w:bCs/>
          <w:sz w:val="24"/>
          <w:szCs w:val="24"/>
          <w:lang w:eastAsia="zh-CN"/>
        </w:rPr>
        <w:t xml:space="preserve"> </w:t>
      </w:r>
      <w:r w:rsidRPr="009510DF">
        <w:rPr>
          <w:rFonts w:ascii="Book Antiqua" w:eastAsia="SimSun" w:hAnsi="Book Antiqua" w:cs="Times New Roman"/>
          <w:bCs/>
          <w:sz w:val="24"/>
          <w:szCs w:val="24"/>
          <w:lang w:eastAsia="zh-CN"/>
        </w:rPr>
        <w:t>Varona MA</w:t>
      </w:r>
      <w:r w:rsidRPr="009510DF">
        <w:rPr>
          <w:rFonts w:ascii="Book Antiqua" w:eastAsia="SimSun" w:hAnsi="Book Antiqua" w:cs="Times New Roman"/>
          <w:b/>
          <w:bCs/>
          <w:sz w:val="24"/>
          <w:szCs w:val="24"/>
          <w:lang w:eastAsia="zh-CN"/>
        </w:rPr>
        <w:t xml:space="preserve"> S-Editor:</w:t>
      </w:r>
      <w:r w:rsidRPr="009510DF">
        <w:rPr>
          <w:rFonts w:ascii="Book Antiqua" w:eastAsia="SimSun" w:hAnsi="Book Antiqua" w:cs="Times New Roman" w:hint="eastAsia"/>
          <w:sz w:val="24"/>
          <w:szCs w:val="24"/>
          <w:lang w:eastAsia="zh-CN"/>
        </w:rPr>
        <w:t xml:space="preserve"> Gong ZM</w:t>
      </w:r>
    </w:p>
    <w:p w:rsidR="009510DF" w:rsidRPr="00F35654" w:rsidRDefault="009510DF" w:rsidP="00B20484">
      <w:pPr>
        <w:snapToGrid w:val="0"/>
        <w:spacing w:line="360" w:lineRule="auto"/>
        <w:jc w:val="right"/>
        <w:rPr>
          <w:rFonts w:ascii="Book Antiqua" w:eastAsia="SimSun" w:hAnsi="Book Antiqua" w:cs="Times New Roman"/>
          <w:color w:val="000000" w:themeColor="text1"/>
          <w:sz w:val="24"/>
          <w:szCs w:val="24"/>
          <w:lang w:eastAsia="zh-CN"/>
        </w:rPr>
      </w:pPr>
      <w:r w:rsidRPr="00F35654">
        <w:rPr>
          <w:rFonts w:ascii="Book Antiqua" w:eastAsia="SimSun" w:hAnsi="Book Antiqua" w:cs="Times New Roman"/>
          <w:b/>
          <w:bCs/>
          <w:color w:val="000000" w:themeColor="text1"/>
          <w:sz w:val="24"/>
          <w:szCs w:val="24"/>
          <w:lang w:eastAsia="zh-CN"/>
        </w:rPr>
        <w:t>L-Editor:</w:t>
      </w:r>
      <w:r w:rsidRPr="00F35654">
        <w:rPr>
          <w:rFonts w:ascii="Book Antiqua" w:eastAsia="SimSun" w:hAnsi="Book Antiqua" w:cs="Times New Roman"/>
          <w:color w:val="000000" w:themeColor="text1"/>
          <w:sz w:val="24"/>
          <w:szCs w:val="24"/>
          <w:lang w:eastAsia="zh-CN"/>
        </w:rPr>
        <w:t xml:space="preserve"> </w:t>
      </w:r>
      <w:r w:rsidRPr="00F35654">
        <w:rPr>
          <w:rFonts w:ascii="Book Antiqua" w:eastAsia="SimSun" w:hAnsi="Book Antiqua" w:cs="Times New Roman"/>
          <w:b/>
          <w:bCs/>
          <w:color w:val="000000" w:themeColor="text1"/>
          <w:sz w:val="24"/>
          <w:szCs w:val="24"/>
          <w:lang w:eastAsia="zh-CN"/>
        </w:rPr>
        <w:t>E-Editor:</w:t>
      </w:r>
    </w:p>
    <w:p w:rsidR="00152C53" w:rsidRPr="00F35654" w:rsidRDefault="00152C53" w:rsidP="00152C53">
      <w:pPr>
        <w:shd w:val="clear" w:color="auto" w:fill="FFFFFF"/>
        <w:snapToGrid w:val="0"/>
        <w:spacing w:line="360" w:lineRule="auto"/>
        <w:rPr>
          <w:rFonts w:ascii="Book Antiqua" w:hAnsi="Book Antiqua" w:cs="Helvetica"/>
          <w:b/>
          <w:color w:val="000000" w:themeColor="text1"/>
          <w:sz w:val="24"/>
          <w:szCs w:val="24"/>
        </w:rPr>
      </w:pPr>
      <w:bookmarkStart w:id="116" w:name="OLE_LINK497"/>
      <w:bookmarkStart w:id="117" w:name="OLE_LINK81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F35654">
        <w:rPr>
          <w:rFonts w:ascii="Book Antiqua" w:hAnsi="Book Antiqua" w:cs="Helvetica"/>
          <w:b/>
          <w:color w:val="000000" w:themeColor="text1"/>
          <w:sz w:val="24"/>
          <w:szCs w:val="24"/>
        </w:rPr>
        <w:t xml:space="preserve">Specialty </w:t>
      </w:r>
      <w:r w:rsidR="00F35654" w:rsidRPr="00F35654">
        <w:rPr>
          <w:rFonts w:ascii="Book Antiqua" w:hAnsi="Book Antiqua" w:cs="Helvetica"/>
          <w:b/>
          <w:color w:val="000000" w:themeColor="text1"/>
          <w:sz w:val="24"/>
          <w:szCs w:val="24"/>
        </w:rPr>
        <w:t>type</w:t>
      </w:r>
      <w:r w:rsidRPr="00F35654">
        <w:rPr>
          <w:rFonts w:ascii="Book Antiqua" w:hAnsi="Book Antiqua" w:cs="Helvetica"/>
          <w:b/>
          <w:color w:val="000000" w:themeColor="text1"/>
          <w:sz w:val="24"/>
          <w:szCs w:val="24"/>
        </w:rPr>
        <w:t>:</w:t>
      </w:r>
      <w:r w:rsidRPr="00F35654">
        <w:rPr>
          <w:rFonts w:ascii="Book Antiqua" w:eastAsia="SimSun" w:hAnsi="Book Antiqua" w:cs="Helvetica" w:hint="eastAsia"/>
          <w:b/>
          <w:color w:val="000000" w:themeColor="text1"/>
          <w:sz w:val="24"/>
          <w:szCs w:val="24"/>
          <w:lang w:eastAsia="zh-CN"/>
        </w:rPr>
        <w:t xml:space="preserve"> </w:t>
      </w:r>
      <w:r w:rsidRPr="00F35654">
        <w:rPr>
          <w:rFonts w:ascii="Book Antiqua" w:hAnsi="Book Antiqua" w:cs="Helvetica"/>
          <w:color w:val="000000" w:themeColor="text1"/>
          <w:sz w:val="24"/>
          <w:szCs w:val="24"/>
        </w:rPr>
        <w:t>Gastroenterology and</w:t>
      </w:r>
      <w:r w:rsidRPr="00F35654">
        <w:rPr>
          <w:rFonts w:ascii="Book Antiqua" w:hAnsi="Book Antiqua" w:cs="Helvetica" w:hint="eastAsia"/>
          <w:color w:val="000000" w:themeColor="text1"/>
          <w:sz w:val="24"/>
          <w:szCs w:val="24"/>
        </w:rPr>
        <w:t xml:space="preserve"> </w:t>
      </w:r>
      <w:r w:rsidR="00F35654" w:rsidRPr="00F35654">
        <w:rPr>
          <w:rFonts w:ascii="Book Antiqua" w:hAnsi="Book Antiqua" w:cs="Helvetica"/>
          <w:color w:val="000000" w:themeColor="text1"/>
          <w:sz w:val="24"/>
          <w:szCs w:val="24"/>
        </w:rPr>
        <w:t>hepatology</w:t>
      </w:r>
    </w:p>
    <w:p w:rsidR="00152C53" w:rsidRPr="00F35654" w:rsidRDefault="00152C53" w:rsidP="00152C53">
      <w:pPr>
        <w:shd w:val="clear" w:color="auto" w:fill="FFFFFF"/>
        <w:snapToGrid w:val="0"/>
        <w:spacing w:line="360" w:lineRule="auto"/>
        <w:rPr>
          <w:rFonts w:ascii="Book Antiqua" w:hAnsi="Book Antiqua" w:cs="Helvetica"/>
          <w:b/>
          <w:color w:val="000000" w:themeColor="text1"/>
          <w:sz w:val="24"/>
          <w:szCs w:val="24"/>
        </w:rPr>
      </w:pPr>
      <w:r w:rsidRPr="00F35654">
        <w:rPr>
          <w:rFonts w:ascii="Book Antiqua" w:hAnsi="Book Antiqua" w:cs="Helvetica"/>
          <w:b/>
          <w:color w:val="000000" w:themeColor="text1"/>
          <w:sz w:val="24"/>
          <w:szCs w:val="24"/>
        </w:rPr>
        <w:t xml:space="preserve">Country of </w:t>
      </w:r>
      <w:r w:rsidR="00F35654" w:rsidRPr="00F35654">
        <w:rPr>
          <w:rFonts w:ascii="Book Antiqua" w:hAnsi="Book Antiqua" w:cs="Helvetica"/>
          <w:b/>
          <w:color w:val="000000" w:themeColor="text1"/>
          <w:sz w:val="24"/>
          <w:szCs w:val="24"/>
        </w:rPr>
        <w:t>origin</w:t>
      </w:r>
      <w:r w:rsidRPr="00F35654">
        <w:rPr>
          <w:rFonts w:ascii="Book Antiqua" w:hAnsi="Book Antiqua" w:cs="Helvetica"/>
          <w:b/>
          <w:color w:val="000000" w:themeColor="text1"/>
          <w:sz w:val="24"/>
          <w:szCs w:val="24"/>
        </w:rPr>
        <w:t xml:space="preserve">: </w:t>
      </w:r>
      <w:r w:rsidRPr="00F35654">
        <w:rPr>
          <w:rFonts w:ascii="Book Antiqua" w:hAnsi="Book Antiqua" w:cs="Helvetica"/>
          <w:color w:val="000000" w:themeColor="text1"/>
          <w:sz w:val="24"/>
          <w:szCs w:val="24"/>
          <w:lang w:val="en-CA"/>
        </w:rPr>
        <w:t>Japan</w:t>
      </w:r>
    </w:p>
    <w:p w:rsidR="00152C53" w:rsidRPr="00F35654" w:rsidRDefault="00152C53" w:rsidP="00152C53">
      <w:pPr>
        <w:shd w:val="clear" w:color="auto" w:fill="FFFFFF"/>
        <w:snapToGrid w:val="0"/>
        <w:spacing w:line="360" w:lineRule="auto"/>
        <w:rPr>
          <w:rFonts w:ascii="Book Antiqua" w:hAnsi="Book Antiqua" w:cs="Helvetica"/>
          <w:b/>
          <w:color w:val="000000" w:themeColor="text1"/>
          <w:sz w:val="24"/>
          <w:szCs w:val="24"/>
        </w:rPr>
      </w:pPr>
      <w:r w:rsidRPr="00F35654">
        <w:rPr>
          <w:rFonts w:ascii="Book Antiqua" w:hAnsi="Book Antiqua" w:cs="Helvetica"/>
          <w:b/>
          <w:color w:val="000000" w:themeColor="text1"/>
          <w:sz w:val="24"/>
          <w:szCs w:val="24"/>
        </w:rPr>
        <w:t>Peer-</w:t>
      </w:r>
      <w:r w:rsidR="00F35654" w:rsidRPr="00F35654">
        <w:rPr>
          <w:rFonts w:ascii="Book Antiqua" w:hAnsi="Book Antiqua" w:cs="Helvetica"/>
          <w:b/>
          <w:color w:val="000000" w:themeColor="text1"/>
          <w:sz w:val="24"/>
          <w:szCs w:val="24"/>
        </w:rPr>
        <w:t>review report classification</w:t>
      </w:r>
    </w:p>
    <w:p w:rsidR="00152C53" w:rsidRPr="00F35654" w:rsidRDefault="00152C53" w:rsidP="00152C53">
      <w:pPr>
        <w:shd w:val="clear" w:color="auto" w:fill="FFFFFF"/>
        <w:snapToGrid w:val="0"/>
        <w:spacing w:line="360" w:lineRule="auto"/>
        <w:rPr>
          <w:rFonts w:ascii="Book Antiqua" w:hAnsi="Book Antiqua" w:cs="Helvetica"/>
          <w:color w:val="000000" w:themeColor="text1"/>
          <w:sz w:val="24"/>
          <w:szCs w:val="24"/>
        </w:rPr>
      </w:pPr>
      <w:r w:rsidRPr="00F35654">
        <w:rPr>
          <w:rFonts w:ascii="Book Antiqua" w:hAnsi="Book Antiqua" w:cs="Helvetica"/>
          <w:color w:val="000000" w:themeColor="text1"/>
          <w:sz w:val="24"/>
          <w:szCs w:val="24"/>
        </w:rPr>
        <w:t xml:space="preserve">Grade A (Excellent): </w:t>
      </w:r>
      <w:r w:rsidRPr="00F35654">
        <w:rPr>
          <w:rFonts w:ascii="Book Antiqua" w:hAnsi="Book Antiqua" w:cs="Helvetica" w:hint="eastAsia"/>
          <w:color w:val="000000" w:themeColor="text1"/>
          <w:sz w:val="24"/>
          <w:szCs w:val="24"/>
        </w:rPr>
        <w:t>0</w:t>
      </w:r>
    </w:p>
    <w:p w:rsidR="00152C53" w:rsidRPr="00F35654" w:rsidRDefault="00152C53" w:rsidP="00152C53">
      <w:pPr>
        <w:shd w:val="clear" w:color="auto" w:fill="FFFFFF"/>
        <w:snapToGrid w:val="0"/>
        <w:spacing w:line="360" w:lineRule="auto"/>
        <w:rPr>
          <w:rFonts w:ascii="Book Antiqua" w:eastAsia="SimSun" w:hAnsi="Book Antiqua" w:cs="Helvetica"/>
          <w:color w:val="000000" w:themeColor="text1"/>
          <w:sz w:val="24"/>
          <w:szCs w:val="24"/>
          <w:lang w:eastAsia="zh-CN"/>
        </w:rPr>
      </w:pPr>
      <w:r w:rsidRPr="00F35654">
        <w:rPr>
          <w:rFonts w:ascii="Book Antiqua" w:hAnsi="Book Antiqua" w:cs="Helvetica"/>
          <w:color w:val="000000" w:themeColor="text1"/>
          <w:sz w:val="24"/>
          <w:szCs w:val="24"/>
        </w:rPr>
        <w:t xml:space="preserve">Grade B (Very good): </w:t>
      </w:r>
      <w:r w:rsidRPr="00F35654">
        <w:rPr>
          <w:rFonts w:ascii="Book Antiqua" w:eastAsia="SimSun" w:hAnsi="Book Antiqua" w:cs="Helvetica" w:hint="eastAsia"/>
          <w:color w:val="000000" w:themeColor="text1"/>
          <w:sz w:val="24"/>
          <w:szCs w:val="24"/>
          <w:lang w:eastAsia="zh-CN"/>
        </w:rPr>
        <w:t>B</w:t>
      </w:r>
    </w:p>
    <w:p w:rsidR="00152C53" w:rsidRPr="00F35654" w:rsidRDefault="00152C53" w:rsidP="00152C53">
      <w:pPr>
        <w:shd w:val="clear" w:color="auto" w:fill="FFFFFF"/>
        <w:snapToGrid w:val="0"/>
        <w:spacing w:line="360" w:lineRule="auto"/>
        <w:rPr>
          <w:rFonts w:ascii="Book Antiqua" w:eastAsia="SimSun" w:hAnsi="Book Antiqua" w:cs="Helvetica"/>
          <w:color w:val="000000" w:themeColor="text1"/>
          <w:sz w:val="24"/>
          <w:szCs w:val="24"/>
          <w:lang w:eastAsia="zh-CN"/>
        </w:rPr>
      </w:pPr>
      <w:r w:rsidRPr="00F35654">
        <w:rPr>
          <w:rFonts w:ascii="Book Antiqua" w:hAnsi="Book Antiqua" w:cs="Helvetica"/>
          <w:color w:val="000000" w:themeColor="text1"/>
          <w:sz w:val="24"/>
          <w:szCs w:val="24"/>
        </w:rPr>
        <w:t xml:space="preserve">Grade C (Good): </w:t>
      </w:r>
      <w:r w:rsidRPr="00F35654">
        <w:rPr>
          <w:rFonts w:ascii="Book Antiqua" w:eastAsia="SimSun" w:hAnsi="Book Antiqua" w:cs="Helvetica" w:hint="eastAsia"/>
          <w:color w:val="000000" w:themeColor="text1"/>
          <w:sz w:val="24"/>
          <w:szCs w:val="24"/>
          <w:lang w:eastAsia="zh-CN"/>
        </w:rPr>
        <w:t>0</w:t>
      </w:r>
    </w:p>
    <w:p w:rsidR="00152C53" w:rsidRPr="00F35654" w:rsidRDefault="00152C53" w:rsidP="00152C53">
      <w:pPr>
        <w:shd w:val="clear" w:color="auto" w:fill="FFFFFF"/>
        <w:snapToGrid w:val="0"/>
        <w:spacing w:line="360" w:lineRule="auto"/>
        <w:rPr>
          <w:rFonts w:ascii="Book Antiqua" w:hAnsi="Book Antiqua" w:cs="Helvetica"/>
          <w:color w:val="000000" w:themeColor="text1"/>
          <w:sz w:val="24"/>
          <w:szCs w:val="24"/>
        </w:rPr>
      </w:pPr>
      <w:r w:rsidRPr="00F35654">
        <w:rPr>
          <w:rFonts w:ascii="Book Antiqua" w:hAnsi="Book Antiqua" w:cs="Helvetica"/>
          <w:color w:val="000000" w:themeColor="text1"/>
          <w:sz w:val="24"/>
          <w:szCs w:val="24"/>
        </w:rPr>
        <w:t xml:space="preserve">Grade D (Fair): </w:t>
      </w:r>
      <w:r w:rsidRPr="00F35654">
        <w:rPr>
          <w:rFonts w:ascii="Book Antiqua" w:hAnsi="Book Antiqua" w:cs="Helvetica" w:hint="eastAsia"/>
          <w:color w:val="000000" w:themeColor="text1"/>
          <w:sz w:val="24"/>
          <w:szCs w:val="24"/>
        </w:rPr>
        <w:t>0</w:t>
      </w:r>
    </w:p>
    <w:p w:rsidR="00152C53" w:rsidRPr="00F35654" w:rsidRDefault="00152C53" w:rsidP="00152C53">
      <w:pPr>
        <w:shd w:val="clear" w:color="auto" w:fill="FFFFFF"/>
        <w:snapToGrid w:val="0"/>
        <w:spacing w:line="360" w:lineRule="auto"/>
        <w:rPr>
          <w:rFonts w:ascii="Book Antiqua" w:hAnsi="Book Antiqua" w:cs="Helvetica"/>
          <w:color w:val="000000" w:themeColor="text1"/>
          <w:sz w:val="24"/>
          <w:szCs w:val="24"/>
        </w:rPr>
      </w:pPr>
      <w:r w:rsidRPr="00F35654">
        <w:rPr>
          <w:rFonts w:ascii="Book Antiqua" w:hAnsi="Book Antiqua" w:cs="Helvetica"/>
          <w:color w:val="000000" w:themeColor="text1"/>
          <w:sz w:val="24"/>
          <w:szCs w:val="24"/>
        </w:rPr>
        <w:t xml:space="preserve">Grade E (Poor): </w:t>
      </w:r>
      <w:r w:rsidRPr="00F35654">
        <w:rPr>
          <w:rFonts w:ascii="Book Antiqua" w:hAnsi="Book Antiqua" w:cs="Helvetica" w:hint="eastAsia"/>
          <w:color w:val="000000" w:themeColor="text1"/>
          <w:sz w:val="24"/>
          <w:szCs w:val="24"/>
        </w:rPr>
        <w:t>0</w:t>
      </w:r>
    </w:p>
    <w:bookmarkEnd w:id="116"/>
    <w:bookmarkEnd w:id="117"/>
    <w:p w:rsidR="009510DF" w:rsidRPr="00152C53" w:rsidRDefault="009510DF" w:rsidP="00B20484">
      <w:pPr>
        <w:snapToGrid w:val="0"/>
        <w:spacing w:line="360" w:lineRule="auto"/>
        <w:rPr>
          <w:rFonts w:ascii="Book Antiqua" w:eastAsia="SimSun" w:hAnsi="Book Antiqua" w:cs="Times New Roman"/>
          <w:sz w:val="24"/>
          <w:szCs w:val="24"/>
          <w:lang w:eastAsia="zh-CN"/>
        </w:rPr>
      </w:pPr>
    </w:p>
    <w:p w:rsidR="00850653" w:rsidRPr="0032119E" w:rsidRDefault="00850653" w:rsidP="00B20484">
      <w:pPr>
        <w:snapToGrid w:val="0"/>
        <w:spacing w:line="360" w:lineRule="auto"/>
        <w:rPr>
          <w:rFonts w:ascii="Book Antiqua" w:hAnsi="Book Antiqua"/>
        </w:rPr>
      </w:pPr>
      <w:r w:rsidRPr="0032119E">
        <w:rPr>
          <w:rFonts w:ascii="Book Antiqua" w:hAnsi="Book Antiqua"/>
        </w:rPr>
        <w:br w:type="page"/>
      </w:r>
    </w:p>
    <w:p w:rsidR="00850653" w:rsidRPr="00436162" w:rsidRDefault="00850653" w:rsidP="00B20484">
      <w:pPr>
        <w:snapToGrid w:val="0"/>
        <w:spacing w:line="360" w:lineRule="auto"/>
        <w:rPr>
          <w:rFonts w:ascii="Book Antiqua" w:hAnsi="Book Antiqua"/>
          <w:b/>
          <w:sz w:val="24"/>
          <w:szCs w:val="24"/>
        </w:rPr>
      </w:pPr>
      <w:r w:rsidRPr="00436162">
        <w:rPr>
          <w:rFonts w:ascii="Book Antiqua" w:hAnsi="Book Antiqua"/>
          <w:b/>
          <w:sz w:val="24"/>
          <w:szCs w:val="24"/>
        </w:rPr>
        <w:lastRenderedPageBreak/>
        <w:t>Table 1</w:t>
      </w:r>
      <w:r w:rsidR="00B61B5E" w:rsidRPr="00436162">
        <w:rPr>
          <w:rFonts w:ascii="Book Antiqua" w:hAnsi="Book Antiqua"/>
          <w:b/>
          <w:sz w:val="24"/>
          <w:szCs w:val="24"/>
        </w:rPr>
        <w:t xml:space="preserve"> </w:t>
      </w:r>
      <w:r w:rsidRPr="00436162">
        <w:rPr>
          <w:rFonts w:ascii="Book Antiqua" w:hAnsi="Book Antiqua" w:cs="Times New Roman"/>
          <w:b/>
          <w:sz w:val="24"/>
          <w:szCs w:val="24"/>
        </w:rPr>
        <w:t xml:space="preserve">Clinicopathological findings for patients with </w:t>
      </w:r>
      <w:r w:rsidR="00436162" w:rsidRPr="00436162">
        <w:rPr>
          <w:rFonts w:ascii="Book Antiqua" w:hAnsi="Book Antiqua" w:cs="Times New Roman"/>
          <w:b/>
          <w:sz w:val="24"/>
          <w:szCs w:val="24"/>
        </w:rPr>
        <w:t>gastric cancer with enteroblastic differentiation</w:t>
      </w:r>
    </w:p>
    <w:tbl>
      <w:tblPr>
        <w:tblW w:w="10207" w:type="dxa"/>
        <w:tblInd w:w="-752" w:type="dxa"/>
        <w:tblLayout w:type="fixed"/>
        <w:tblCellMar>
          <w:left w:w="99" w:type="dxa"/>
          <w:right w:w="99" w:type="dxa"/>
        </w:tblCellMar>
        <w:tblLook w:val="04A0" w:firstRow="1" w:lastRow="0" w:firstColumn="1" w:lastColumn="0" w:noHBand="0" w:noVBand="1"/>
      </w:tblPr>
      <w:tblGrid>
        <w:gridCol w:w="2978"/>
        <w:gridCol w:w="1204"/>
        <w:gridCol w:w="1205"/>
        <w:gridCol w:w="1205"/>
        <w:gridCol w:w="1205"/>
        <w:gridCol w:w="1205"/>
        <w:gridCol w:w="1205"/>
      </w:tblGrid>
      <w:tr w:rsidR="0032119E" w:rsidRPr="00B61B5E" w:rsidTr="0032119E">
        <w:trPr>
          <w:trHeight w:val="270"/>
        </w:trPr>
        <w:tc>
          <w:tcPr>
            <w:tcW w:w="2978" w:type="dxa"/>
            <w:tcBorders>
              <w:top w:val="single" w:sz="12" w:space="0" w:color="auto"/>
              <w:left w:val="nil"/>
              <w:bottom w:val="single" w:sz="12" w:space="0" w:color="auto"/>
              <w:right w:val="nil"/>
            </w:tcBorders>
            <w:shd w:val="clear" w:color="auto" w:fill="auto"/>
            <w:vAlign w:val="center"/>
            <w:hideMark/>
          </w:tcPr>
          <w:p w:rsidR="00850653" w:rsidRPr="00436162" w:rsidRDefault="00850653" w:rsidP="00B20484">
            <w:pPr>
              <w:widowControl/>
              <w:snapToGrid w:val="0"/>
              <w:spacing w:line="360" w:lineRule="auto"/>
              <w:rPr>
                <w:rFonts w:ascii="Book Antiqua" w:eastAsia="MS PGothic" w:hAnsi="Book Antiqua" w:cs="Times New Roman"/>
                <w:b/>
                <w:kern w:val="0"/>
                <w:sz w:val="24"/>
                <w:szCs w:val="24"/>
              </w:rPr>
            </w:pPr>
            <w:r w:rsidRPr="00436162">
              <w:rPr>
                <w:rFonts w:ascii="Book Antiqua" w:eastAsia="MS PGothic" w:hAnsi="Book Antiqua" w:cs="Times New Roman"/>
                <w:b/>
                <w:kern w:val="0"/>
                <w:sz w:val="24"/>
                <w:szCs w:val="24"/>
              </w:rPr>
              <w:t>Case</w:t>
            </w:r>
          </w:p>
        </w:tc>
        <w:tc>
          <w:tcPr>
            <w:tcW w:w="1204" w:type="dxa"/>
            <w:tcBorders>
              <w:top w:val="single" w:sz="12" w:space="0" w:color="auto"/>
              <w:left w:val="nil"/>
              <w:bottom w:val="single" w:sz="12" w:space="0" w:color="auto"/>
              <w:right w:val="nil"/>
            </w:tcBorders>
            <w:shd w:val="clear" w:color="auto" w:fill="auto"/>
            <w:noWrap/>
            <w:vAlign w:val="center"/>
            <w:hideMark/>
          </w:tcPr>
          <w:p w:rsidR="00850653" w:rsidRPr="00436162" w:rsidRDefault="00850653" w:rsidP="00B20484">
            <w:pPr>
              <w:widowControl/>
              <w:snapToGrid w:val="0"/>
              <w:spacing w:line="360" w:lineRule="auto"/>
              <w:jc w:val="center"/>
              <w:rPr>
                <w:rFonts w:ascii="Book Antiqua" w:eastAsia="MS PGothic" w:hAnsi="Book Antiqua" w:cs="Times New Roman"/>
                <w:b/>
                <w:kern w:val="0"/>
                <w:sz w:val="24"/>
                <w:szCs w:val="24"/>
              </w:rPr>
            </w:pPr>
            <w:r w:rsidRPr="00436162">
              <w:rPr>
                <w:rFonts w:ascii="Book Antiqua" w:eastAsia="MS PGothic" w:hAnsi="Book Antiqua" w:cs="Times New Roman"/>
                <w:b/>
                <w:kern w:val="0"/>
                <w:sz w:val="24"/>
                <w:szCs w:val="24"/>
              </w:rPr>
              <w:t>1</w:t>
            </w:r>
          </w:p>
        </w:tc>
        <w:tc>
          <w:tcPr>
            <w:tcW w:w="1205" w:type="dxa"/>
            <w:tcBorders>
              <w:top w:val="single" w:sz="12" w:space="0" w:color="auto"/>
              <w:left w:val="nil"/>
              <w:bottom w:val="single" w:sz="12" w:space="0" w:color="auto"/>
              <w:right w:val="nil"/>
            </w:tcBorders>
            <w:shd w:val="clear" w:color="auto" w:fill="auto"/>
            <w:noWrap/>
            <w:vAlign w:val="center"/>
            <w:hideMark/>
          </w:tcPr>
          <w:p w:rsidR="00850653" w:rsidRPr="00436162" w:rsidRDefault="00850653" w:rsidP="00B20484">
            <w:pPr>
              <w:widowControl/>
              <w:snapToGrid w:val="0"/>
              <w:spacing w:line="360" w:lineRule="auto"/>
              <w:jc w:val="center"/>
              <w:rPr>
                <w:rFonts w:ascii="Book Antiqua" w:eastAsia="MS PGothic" w:hAnsi="Book Antiqua" w:cs="Times New Roman"/>
                <w:b/>
                <w:kern w:val="0"/>
                <w:sz w:val="24"/>
                <w:szCs w:val="24"/>
              </w:rPr>
            </w:pPr>
            <w:r w:rsidRPr="00436162">
              <w:rPr>
                <w:rFonts w:ascii="Book Antiqua" w:eastAsia="MS PGothic" w:hAnsi="Book Antiqua" w:cs="Times New Roman"/>
                <w:b/>
                <w:kern w:val="0"/>
                <w:sz w:val="24"/>
                <w:szCs w:val="24"/>
              </w:rPr>
              <w:t>2</w:t>
            </w:r>
          </w:p>
        </w:tc>
        <w:tc>
          <w:tcPr>
            <w:tcW w:w="1205" w:type="dxa"/>
            <w:tcBorders>
              <w:top w:val="single" w:sz="12" w:space="0" w:color="auto"/>
              <w:left w:val="nil"/>
              <w:bottom w:val="single" w:sz="12" w:space="0" w:color="auto"/>
              <w:right w:val="nil"/>
            </w:tcBorders>
            <w:shd w:val="clear" w:color="auto" w:fill="auto"/>
            <w:noWrap/>
            <w:vAlign w:val="center"/>
            <w:hideMark/>
          </w:tcPr>
          <w:p w:rsidR="00850653" w:rsidRPr="00436162" w:rsidRDefault="00850653" w:rsidP="00B20484">
            <w:pPr>
              <w:widowControl/>
              <w:snapToGrid w:val="0"/>
              <w:spacing w:line="360" w:lineRule="auto"/>
              <w:jc w:val="center"/>
              <w:rPr>
                <w:rFonts w:ascii="Book Antiqua" w:eastAsia="MS PGothic" w:hAnsi="Book Antiqua" w:cs="Times New Roman"/>
                <w:b/>
                <w:kern w:val="0"/>
                <w:sz w:val="24"/>
                <w:szCs w:val="24"/>
              </w:rPr>
            </w:pPr>
            <w:r w:rsidRPr="00436162">
              <w:rPr>
                <w:rFonts w:ascii="Book Antiqua" w:eastAsia="MS PGothic" w:hAnsi="Book Antiqua" w:cs="Times New Roman"/>
                <w:b/>
                <w:kern w:val="0"/>
                <w:sz w:val="24"/>
                <w:szCs w:val="24"/>
              </w:rPr>
              <w:t>3</w:t>
            </w:r>
          </w:p>
        </w:tc>
        <w:tc>
          <w:tcPr>
            <w:tcW w:w="1205" w:type="dxa"/>
            <w:tcBorders>
              <w:top w:val="single" w:sz="12" w:space="0" w:color="auto"/>
              <w:left w:val="nil"/>
              <w:bottom w:val="single" w:sz="12" w:space="0" w:color="auto"/>
              <w:right w:val="nil"/>
            </w:tcBorders>
            <w:shd w:val="clear" w:color="auto" w:fill="auto"/>
            <w:noWrap/>
            <w:vAlign w:val="center"/>
            <w:hideMark/>
          </w:tcPr>
          <w:p w:rsidR="00850653" w:rsidRPr="00436162" w:rsidRDefault="00850653" w:rsidP="00B20484">
            <w:pPr>
              <w:widowControl/>
              <w:snapToGrid w:val="0"/>
              <w:spacing w:line="360" w:lineRule="auto"/>
              <w:jc w:val="center"/>
              <w:rPr>
                <w:rFonts w:ascii="Book Antiqua" w:eastAsia="MS PGothic" w:hAnsi="Book Antiqua" w:cs="Times New Roman"/>
                <w:b/>
                <w:kern w:val="0"/>
                <w:sz w:val="24"/>
                <w:szCs w:val="24"/>
              </w:rPr>
            </w:pPr>
            <w:r w:rsidRPr="00436162">
              <w:rPr>
                <w:rFonts w:ascii="Book Antiqua" w:eastAsia="MS PGothic" w:hAnsi="Book Antiqua" w:cs="Times New Roman"/>
                <w:b/>
                <w:kern w:val="0"/>
                <w:sz w:val="24"/>
                <w:szCs w:val="24"/>
              </w:rPr>
              <w:t>4</w:t>
            </w:r>
          </w:p>
        </w:tc>
        <w:tc>
          <w:tcPr>
            <w:tcW w:w="1205" w:type="dxa"/>
            <w:tcBorders>
              <w:top w:val="single" w:sz="12" w:space="0" w:color="auto"/>
              <w:left w:val="nil"/>
              <w:bottom w:val="single" w:sz="12" w:space="0" w:color="auto"/>
              <w:right w:val="nil"/>
            </w:tcBorders>
            <w:shd w:val="clear" w:color="auto" w:fill="auto"/>
            <w:noWrap/>
            <w:vAlign w:val="center"/>
            <w:hideMark/>
          </w:tcPr>
          <w:p w:rsidR="00850653" w:rsidRPr="00436162" w:rsidRDefault="00850653" w:rsidP="00B20484">
            <w:pPr>
              <w:widowControl/>
              <w:snapToGrid w:val="0"/>
              <w:spacing w:line="360" w:lineRule="auto"/>
              <w:jc w:val="center"/>
              <w:rPr>
                <w:rFonts w:ascii="Book Antiqua" w:eastAsia="MS PGothic" w:hAnsi="Book Antiqua" w:cs="Times New Roman"/>
                <w:b/>
                <w:kern w:val="0"/>
                <w:sz w:val="24"/>
                <w:szCs w:val="24"/>
              </w:rPr>
            </w:pPr>
            <w:r w:rsidRPr="00436162">
              <w:rPr>
                <w:rFonts w:ascii="Book Antiqua" w:eastAsia="MS PGothic" w:hAnsi="Book Antiqua" w:cs="Times New Roman"/>
                <w:b/>
                <w:kern w:val="0"/>
                <w:sz w:val="24"/>
                <w:szCs w:val="24"/>
              </w:rPr>
              <w:t>5</w:t>
            </w:r>
          </w:p>
        </w:tc>
        <w:tc>
          <w:tcPr>
            <w:tcW w:w="1205" w:type="dxa"/>
            <w:tcBorders>
              <w:top w:val="single" w:sz="12" w:space="0" w:color="auto"/>
              <w:left w:val="nil"/>
              <w:bottom w:val="single" w:sz="12" w:space="0" w:color="auto"/>
              <w:right w:val="nil"/>
            </w:tcBorders>
            <w:shd w:val="clear" w:color="auto" w:fill="auto"/>
            <w:noWrap/>
            <w:vAlign w:val="center"/>
            <w:hideMark/>
          </w:tcPr>
          <w:p w:rsidR="00850653" w:rsidRPr="00436162" w:rsidRDefault="00850653" w:rsidP="00B20484">
            <w:pPr>
              <w:widowControl/>
              <w:snapToGrid w:val="0"/>
              <w:spacing w:line="360" w:lineRule="auto"/>
              <w:jc w:val="center"/>
              <w:rPr>
                <w:rFonts w:ascii="Book Antiqua" w:eastAsia="MS PGothic" w:hAnsi="Book Antiqua" w:cs="Times New Roman"/>
                <w:b/>
                <w:kern w:val="0"/>
                <w:sz w:val="24"/>
                <w:szCs w:val="24"/>
              </w:rPr>
            </w:pPr>
            <w:r w:rsidRPr="00436162">
              <w:rPr>
                <w:rFonts w:ascii="Book Antiqua" w:eastAsia="MS PGothic" w:hAnsi="Book Antiqua" w:cs="Times New Roman"/>
                <w:b/>
                <w:kern w:val="0"/>
                <w:sz w:val="24"/>
                <w:szCs w:val="24"/>
              </w:rPr>
              <w:t>6</w:t>
            </w:r>
          </w:p>
        </w:tc>
      </w:tr>
      <w:tr w:rsidR="0032119E" w:rsidRPr="00B61B5E" w:rsidTr="0032119E">
        <w:trPr>
          <w:trHeight w:val="270"/>
        </w:trPr>
        <w:tc>
          <w:tcPr>
            <w:tcW w:w="2978" w:type="dxa"/>
            <w:tcBorders>
              <w:top w:val="single" w:sz="12" w:space="0" w:color="auto"/>
              <w:left w:val="nil"/>
              <w:bottom w:val="nil"/>
              <w:right w:val="nil"/>
            </w:tcBorders>
            <w:shd w:val="clear" w:color="auto" w:fill="auto"/>
            <w:noWrap/>
            <w:vAlign w:val="center"/>
            <w:hideMark/>
          </w:tcPr>
          <w:p w:rsidR="00850653" w:rsidRPr="00B61B5E" w:rsidRDefault="00436162" w:rsidP="00B20484">
            <w:pPr>
              <w:widowControl/>
              <w:snapToGrid w:val="0"/>
              <w:spacing w:line="360" w:lineRule="auto"/>
              <w:jc w:val="left"/>
              <w:rPr>
                <w:rFonts w:ascii="Book Antiqua" w:eastAsia="MS PGothic" w:hAnsi="Book Antiqua" w:cs="Times New Roman"/>
                <w:kern w:val="0"/>
                <w:sz w:val="24"/>
                <w:szCs w:val="24"/>
              </w:rPr>
            </w:pPr>
            <w:r>
              <w:rPr>
                <w:rFonts w:ascii="Book Antiqua" w:eastAsia="MS PGothic" w:hAnsi="Book Antiqua" w:cs="Times New Roman"/>
                <w:kern w:val="0"/>
                <w:sz w:val="24"/>
                <w:szCs w:val="24"/>
              </w:rPr>
              <w:t>Age, yr</w:t>
            </w:r>
          </w:p>
        </w:tc>
        <w:tc>
          <w:tcPr>
            <w:tcW w:w="1204" w:type="dxa"/>
            <w:tcBorders>
              <w:top w:val="single" w:sz="12" w:space="0" w:color="auto"/>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61</w:t>
            </w:r>
          </w:p>
        </w:tc>
        <w:tc>
          <w:tcPr>
            <w:tcW w:w="1205" w:type="dxa"/>
            <w:tcBorders>
              <w:top w:val="single" w:sz="12" w:space="0" w:color="auto"/>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77</w:t>
            </w:r>
          </w:p>
        </w:tc>
        <w:tc>
          <w:tcPr>
            <w:tcW w:w="1205" w:type="dxa"/>
            <w:tcBorders>
              <w:top w:val="single" w:sz="12" w:space="0" w:color="auto"/>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78</w:t>
            </w:r>
          </w:p>
        </w:tc>
        <w:tc>
          <w:tcPr>
            <w:tcW w:w="1205" w:type="dxa"/>
            <w:tcBorders>
              <w:top w:val="single" w:sz="12" w:space="0" w:color="auto"/>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75</w:t>
            </w:r>
          </w:p>
        </w:tc>
        <w:tc>
          <w:tcPr>
            <w:tcW w:w="1205" w:type="dxa"/>
            <w:tcBorders>
              <w:top w:val="single" w:sz="12" w:space="0" w:color="auto"/>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80</w:t>
            </w:r>
          </w:p>
        </w:tc>
        <w:tc>
          <w:tcPr>
            <w:tcW w:w="1205" w:type="dxa"/>
            <w:tcBorders>
              <w:top w:val="single" w:sz="12" w:space="0" w:color="auto"/>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83</w:t>
            </w:r>
          </w:p>
        </w:tc>
      </w:tr>
      <w:tr w:rsidR="0032119E" w:rsidRPr="00B61B5E" w:rsidTr="0032119E">
        <w:trPr>
          <w:trHeight w:val="270"/>
        </w:trPr>
        <w:tc>
          <w:tcPr>
            <w:tcW w:w="2978"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Male/</w:t>
            </w:r>
            <w:r w:rsidR="00436162" w:rsidRPr="00B61B5E">
              <w:rPr>
                <w:rFonts w:ascii="Book Antiqua" w:eastAsia="MS PGothic" w:hAnsi="Book Antiqua" w:cs="Times New Roman"/>
                <w:kern w:val="0"/>
                <w:sz w:val="24"/>
                <w:szCs w:val="24"/>
              </w:rPr>
              <w:t>f</w:t>
            </w:r>
            <w:r w:rsidRPr="00B61B5E">
              <w:rPr>
                <w:rFonts w:ascii="Book Antiqua" w:eastAsia="MS PGothic" w:hAnsi="Book Antiqua" w:cs="Times New Roman"/>
                <w:kern w:val="0"/>
                <w:sz w:val="24"/>
                <w:szCs w:val="24"/>
              </w:rPr>
              <w:t>emale</w:t>
            </w:r>
          </w:p>
        </w:tc>
        <w:tc>
          <w:tcPr>
            <w:tcW w:w="1204"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Male</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Male</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Male</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Male</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Female</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Male</w:t>
            </w:r>
          </w:p>
        </w:tc>
      </w:tr>
      <w:tr w:rsidR="0032119E" w:rsidRPr="00B61B5E" w:rsidTr="0032119E">
        <w:trPr>
          <w:trHeight w:val="270"/>
        </w:trPr>
        <w:tc>
          <w:tcPr>
            <w:tcW w:w="2978"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Tumor location: U/M/L</w:t>
            </w:r>
          </w:p>
        </w:tc>
        <w:tc>
          <w:tcPr>
            <w:tcW w:w="1204"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L</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M</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U</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U</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L</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M</w:t>
            </w:r>
          </w:p>
        </w:tc>
      </w:tr>
      <w:tr w:rsidR="0032119E" w:rsidRPr="00B61B5E" w:rsidTr="0032119E">
        <w:trPr>
          <w:trHeight w:val="270"/>
        </w:trPr>
        <w:tc>
          <w:tcPr>
            <w:tcW w:w="2978"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Tumor size, mm</w:t>
            </w:r>
          </w:p>
        </w:tc>
        <w:tc>
          <w:tcPr>
            <w:tcW w:w="1204"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8</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11</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14</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18</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6</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36</w:t>
            </w:r>
          </w:p>
        </w:tc>
      </w:tr>
      <w:tr w:rsidR="0032119E" w:rsidRPr="00B61B5E" w:rsidTr="0032119E">
        <w:trPr>
          <w:trHeight w:val="270"/>
        </w:trPr>
        <w:tc>
          <w:tcPr>
            <w:tcW w:w="2978"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Macroscopic type</w:t>
            </w:r>
          </w:p>
        </w:tc>
        <w:tc>
          <w:tcPr>
            <w:tcW w:w="1204"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0-IIc</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0-IIc</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0-IIc</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0-IIa</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0-IIc</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0-IIa</w:t>
            </w:r>
            <w:r w:rsidR="00436162">
              <w:rPr>
                <w:rFonts w:ascii="Book Antiqua" w:eastAsia="MS PGothic" w:hAnsi="Book Antiqua" w:cs="Times New Roman"/>
                <w:kern w:val="0"/>
                <w:sz w:val="24"/>
                <w:szCs w:val="24"/>
              </w:rPr>
              <w:t xml:space="preserve"> </w:t>
            </w:r>
            <w:r w:rsidRPr="00B61B5E">
              <w:rPr>
                <w:rFonts w:ascii="Book Antiqua" w:eastAsia="MS PGothic" w:hAnsi="Book Antiqua" w:cs="Times New Roman"/>
                <w:kern w:val="0"/>
                <w:sz w:val="24"/>
                <w:szCs w:val="24"/>
              </w:rPr>
              <w:t>+</w:t>
            </w:r>
            <w:r w:rsidR="00436162">
              <w:rPr>
                <w:rFonts w:ascii="Book Antiqua" w:eastAsia="MS PGothic" w:hAnsi="Book Antiqua" w:cs="Times New Roman"/>
                <w:kern w:val="0"/>
                <w:sz w:val="24"/>
                <w:szCs w:val="24"/>
              </w:rPr>
              <w:t xml:space="preserve"> </w:t>
            </w:r>
            <w:r w:rsidRPr="00B61B5E">
              <w:rPr>
                <w:rFonts w:ascii="Book Antiqua" w:eastAsia="MS PGothic" w:hAnsi="Book Antiqua" w:cs="Times New Roman"/>
                <w:kern w:val="0"/>
                <w:sz w:val="24"/>
                <w:szCs w:val="24"/>
              </w:rPr>
              <w:t>I</w:t>
            </w:r>
          </w:p>
        </w:tc>
      </w:tr>
      <w:tr w:rsidR="0032119E" w:rsidRPr="00B61B5E" w:rsidTr="0032119E">
        <w:trPr>
          <w:trHeight w:val="270"/>
        </w:trPr>
        <w:tc>
          <w:tcPr>
            <w:tcW w:w="2978"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HP infection</w:t>
            </w:r>
          </w:p>
        </w:tc>
        <w:tc>
          <w:tcPr>
            <w:tcW w:w="1204"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HPIgG+</w:t>
            </w:r>
          </w:p>
        </w:tc>
        <w:tc>
          <w:tcPr>
            <w:tcW w:w="1205"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HPIgG+</w:t>
            </w:r>
          </w:p>
        </w:tc>
        <w:tc>
          <w:tcPr>
            <w:tcW w:w="1205"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HPIgG-</w:t>
            </w:r>
          </w:p>
        </w:tc>
        <w:tc>
          <w:tcPr>
            <w:tcW w:w="1205"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NA</w:t>
            </w:r>
          </w:p>
        </w:tc>
        <w:tc>
          <w:tcPr>
            <w:tcW w:w="1205" w:type="dxa"/>
            <w:tcBorders>
              <w:top w:val="nil"/>
              <w:left w:val="nil"/>
              <w:bottom w:val="nil"/>
              <w:right w:val="nil"/>
            </w:tcBorders>
            <w:shd w:val="clear" w:color="auto" w:fill="auto"/>
            <w:noWrap/>
          </w:tcPr>
          <w:p w:rsidR="00850653" w:rsidRPr="00B61B5E" w:rsidRDefault="00850653" w:rsidP="00B20484">
            <w:pPr>
              <w:snapToGrid w:val="0"/>
              <w:spacing w:line="360" w:lineRule="auto"/>
              <w:jc w:val="center"/>
              <w:rPr>
                <w:rFonts w:ascii="Book Antiqua" w:hAnsi="Book Antiqua"/>
                <w:sz w:val="24"/>
                <w:szCs w:val="24"/>
              </w:rPr>
            </w:pPr>
            <w:r w:rsidRPr="00B61B5E">
              <w:rPr>
                <w:rFonts w:ascii="Book Antiqua" w:eastAsia="MS PGothic" w:hAnsi="Book Antiqua" w:cs="Times New Roman"/>
                <w:kern w:val="0"/>
                <w:sz w:val="24"/>
                <w:szCs w:val="24"/>
              </w:rPr>
              <w:t>HPIgG+</w:t>
            </w:r>
          </w:p>
        </w:tc>
        <w:tc>
          <w:tcPr>
            <w:tcW w:w="1205" w:type="dxa"/>
            <w:tcBorders>
              <w:top w:val="nil"/>
              <w:left w:val="nil"/>
              <w:bottom w:val="nil"/>
              <w:right w:val="nil"/>
            </w:tcBorders>
            <w:shd w:val="clear" w:color="auto" w:fill="auto"/>
            <w:noWrap/>
          </w:tcPr>
          <w:p w:rsidR="00850653" w:rsidRPr="00B61B5E" w:rsidRDefault="00850653" w:rsidP="00B20484">
            <w:pPr>
              <w:snapToGrid w:val="0"/>
              <w:spacing w:line="360" w:lineRule="auto"/>
              <w:jc w:val="center"/>
              <w:rPr>
                <w:rFonts w:ascii="Book Antiqua" w:hAnsi="Book Antiqua"/>
                <w:sz w:val="24"/>
                <w:szCs w:val="24"/>
              </w:rPr>
            </w:pPr>
            <w:r w:rsidRPr="00B61B5E">
              <w:rPr>
                <w:rFonts w:ascii="Book Antiqua" w:eastAsia="MS PGothic" w:hAnsi="Book Antiqua" w:cs="Times New Roman"/>
                <w:kern w:val="0"/>
                <w:sz w:val="24"/>
                <w:szCs w:val="24"/>
              </w:rPr>
              <w:t>HPIgG+</w:t>
            </w:r>
          </w:p>
        </w:tc>
      </w:tr>
      <w:tr w:rsidR="0032119E" w:rsidRPr="00B61B5E" w:rsidTr="0032119E">
        <w:trPr>
          <w:trHeight w:val="810"/>
        </w:trPr>
        <w:tc>
          <w:tcPr>
            <w:tcW w:w="2978" w:type="dxa"/>
            <w:tcBorders>
              <w:top w:val="nil"/>
              <w:left w:val="nil"/>
              <w:bottom w:val="nil"/>
              <w:right w:val="nil"/>
            </w:tcBorders>
            <w:shd w:val="clear" w:color="auto" w:fill="auto"/>
            <w:vAlign w:val="center"/>
          </w:tcPr>
          <w:p w:rsidR="00850653" w:rsidRPr="00B61B5E" w:rsidRDefault="00850653" w:rsidP="00B20484">
            <w:pPr>
              <w:widowControl/>
              <w:snapToGrid w:val="0"/>
              <w:spacing w:line="360" w:lineRule="auto"/>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Procedure method</w:t>
            </w:r>
          </w:p>
        </w:tc>
        <w:tc>
          <w:tcPr>
            <w:tcW w:w="1204"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ESD</w:t>
            </w:r>
          </w:p>
        </w:tc>
        <w:tc>
          <w:tcPr>
            <w:tcW w:w="1205"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ESD</w:t>
            </w:r>
          </w:p>
        </w:tc>
        <w:tc>
          <w:tcPr>
            <w:tcW w:w="1205"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ESD with additional surgery</w:t>
            </w:r>
          </w:p>
        </w:tc>
        <w:tc>
          <w:tcPr>
            <w:tcW w:w="1205"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ESD</w:t>
            </w:r>
          </w:p>
        </w:tc>
        <w:tc>
          <w:tcPr>
            <w:tcW w:w="1205"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ESD</w:t>
            </w:r>
          </w:p>
        </w:tc>
        <w:tc>
          <w:tcPr>
            <w:tcW w:w="1205"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ESD with additional surgery</w:t>
            </w:r>
          </w:p>
        </w:tc>
      </w:tr>
      <w:tr w:rsidR="0032119E" w:rsidRPr="00B61B5E" w:rsidTr="0032119E">
        <w:trPr>
          <w:trHeight w:val="810"/>
        </w:trPr>
        <w:tc>
          <w:tcPr>
            <w:tcW w:w="2978" w:type="dxa"/>
            <w:tcBorders>
              <w:top w:val="nil"/>
              <w:left w:val="nil"/>
              <w:bottom w:val="nil"/>
              <w:right w:val="nil"/>
            </w:tcBorders>
            <w:shd w:val="clear" w:color="auto" w:fill="auto"/>
            <w:vAlign w:val="center"/>
            <w:hideMark/>
          </w:tcPr>
          <w:p w:rsidR="00850653" w:rsidRPr="00B61B5E" w:rsidRDefault="00850653" w:rsidP="00B20484">
            <w:pPr>
              <w:widowControl/>
              <w:snapToGrid w:val="0"/>
              <w:spacing w:line="360" w:lineRule="auto"/>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Depth of invasion (</w:t>
            </w:r>
            <w:r w:rsidR="00436162">
              <w:rPr>
                <w:rFonts w:ascii="Times New Roman" w:eastAsia="MS PGothic" w:hAnsi="Times New Roman" w:cs="Times New Roman"/>
                <w:kern w:val="0"/>
                <w:sz w:val="24"/>
                <w:szCs w:val="24"/>
              </w:rPr>
              <w:t>μ</w:t>
            </w:r>
            <w:r w:rsidR="00436162">
              <w:rPr>
                <w:rFonts w:ascii="Book Antiqua" w:eastAsia="MS PGothic" w:hAnsi="Book Antiqua" w:cs="Times New Roman"/>
                <w:kern w:val="0"/>
                <w:sz w:val="24"/>
                <w:szCs w:val="24"/>
              </w:rPr>
              <w:t>m</w:t>
            </w:r>
            <w:r w:rsidRPr="00B61B5E">
              <w:rPr>
                <w:rFonts w:ascii="Book Antiqua" w:eastAsia="MS PGothic" w:hAnsi="Book Antiqua" w:cs="Times New Roman"/>
                <w:kern w:val="0"/>
                <w:sz w:val="24"/>
                <w:szCs w:val="24"/>
              </w:rPr>
              <w:t>)</w:t>
            </w:r>
          </w:p>
        </w:tc>
        <w:tc>
          <w:tcPr>
            <w:tcW w:w="1204"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M</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SM (1500)</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SM (1000)</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SM (200)</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M</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SM (2000)</w:t>
            </w:r>
          </w:p>
        </w:tc>
      </w:tr>
      <w:tr w:rsidR="0032119E" w:rsidRPr="00B61B5E" w:rsidTr="0032119E">
        <w:trPr>
          <w:trHeight w:val="540"/>
        </w:trPr>
        <w:tc>
          <w:tcPr>
            <w:tcW w:w="2978" w:type="dxa"/>
            <w:tcBorders>
              <w:top w:val="nil"/>
              <w:left w:val="nil"/>
              <w:bottom w:val="nil"/>
              <w:right w:val="nil"/>
            </w:tcBorders>
            <w:shd w:val="clear" w:color="auto" w:fill="auto"/>
            <w:vAlign w:val="center"/>
            <w:hideMark/>
          </w:tcPr>
          <w:p w:rsidR="00850653" w:rsidRPr="00B61B5E" w:rsidRDefault="00850653" w:rsidP="00B20484">
            <w:pPr>
              <w:widowControl/>
              <w:snapToGrid w:val="0"/>
              <w:spacing w:line="360" w:lineRule="auto"/>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Lymphatic invasion</w:t>
            </w:r>
          </w:p>
        </w:tc>
        <w:tc>
          <w:tcPr>
            <w:tcW w:w="1204"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r>
      <w:tr w:rsidR="0032119E" w:rsidRPr="00B61B5E" w:rsidTr="0032119E">
        <w:trPr>
          <w:trHeight w:val="540"/>
        </w:trPr>
        <w:tc>
          <w:tcPr>
            <w:tcW w:w="2978" w:type="dxa"/>
            <w:tcBorders>
              <w:top w:val="nil"/>
              <w:left w:val="nil"/>
              <w:bottom w:val="nil"/>
              <w:right w:val="nil"/>
            </w:tcBorders>
            <w:shd w:val="clear" w:color="auto" w:fill="auto"/>
            <w:vAlign w:val="center"/>
            <w:hideMark/>
          </w:tcPr>
          <w:p w:rsidR="00850653" w:rsidRPr="00B61B5E" w:rsidRDefault="00850653" w:rsidP="00B20484">
            <w:pPr>
              <w:widowControl/>
              <w:snapToGrid w:val="0"/>
              <w:spacing w:line="360" w:lineRule="auto"/>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Venous invasion</w:t>
            </w:r>
          </w:p>
        </w:tc>
        <w:tc>
          <w:tcPr>
            <w:tcW w:w="1204"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r>
      <w:tr w:rsidR="0032119E" w:rsidRPr="00B61B5E" w:rsidTr="0032119E">
        <w:trPr>
          <w:trHeight w:val="540"/>
        </w:trPr>
        <w:tc>
          <w:tcPr>
            <w:tcW w:w="2978" w:type="dxa"/>
            <w:tcBorders>
              <w:top w:val="nil"/>
              <w:left w:val="nil"/>
              <w:bottom w:val="nil"/>
              <w:right w:val="nil"/>
            </w:tcBorders>
            <w:shd w:val="clear" w:color="auto" w:fill="auto"/>
            <w:vAlign w:val="center"/>
            <w:hideMark/>
          </w:tcPr>
          <w:p w:rsidR="00850653" w:rsidRPr="00B61B5E" w:rsidRDefault="00850653" w:rsidP="00B20484">
            <w:pPr>
              <w:widowControl/>
              <w:snapToGrid w:val="0"/>
              <w:spacing w:line="360" w:lineRule="auto"/>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Observation period</w:t>
            </w:r>
            <w:r w:rsidR="00436162">
              <w:rPr>
                <w:rFonts w:ascii="Book Antiqua" w:eastAsia="MS PGothic" w:hAnsi="Book Antiqua" w:cs="Times New Roman"/>
                <w:kern w:val="0"/>
                <w:sz w:val="24"/>
                <w:szCs w:val="24"/>
              </w:rPr>
              <w:t xml:space="preserve"> (mo)</w:t>
            </w:r>
          </w:p>
        </w:tc>
        <w:tc>
          <w:tcPr>
            <w:tcW w:w="1204"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51, ANED</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42, ANED</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N/A</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38, ANED</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N/A</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28, ANED</w:t>
            </w:r>
          </w:p>
        </w:tc>
      </w:tr>
      <w:tr w:rsidR="0032119E" w:rsidRPr="00B61B5E" w:rsidTr="0032119E">
        <w:trPr>
          <w:trHeight w:val="270"/>
        </w:trPr>
        <w:tc>
          <w:tcPr>
            <w:tcW w:w="2978" w:type="dxa"/>
            <w:tcBorders>
              <w:top w:val="nil"/>
              <w:left w:val="nil"/>
              <w:bottom w:val="nil"/>
              <w:right w:val="nil"/>
            </w:tcBorders>
            <w:shd w:val="clear" w:color="auto" w:fill="auto"/>
            <w:vAlign w:val="center"/>
          </w:tcPr>
          <w:p w:rsidR="00850653" w:rsidRPr="00B61B5E" w:rsidRDefault="00850653" w:rsidP="00B20484">
            <w:pPr>
              <w:widowControl/>
              <w:snapToGrid w:val="0"/>
              <w:spacing w:line="360" w:lineRule="auto"/>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Immunohistochemical analysis</w:t>
            </w:r>
          </w:p>
        </w:tc>
        <w:tc>
          <w:tcPr>
            <w:tcW w:w="1204"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p>
        </w:tc>
        <w:tc>
          <w:tcPr>
            <w:tcW w:w="1205"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p>
        </w:tc>
        <w:tc>
          <w:tcPr>
            <w:tcW w:w="1205"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p>
        </w:tc>
        <w:tc>
          <w:tcPr>
            <w:tcW w:w="1205"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p>
        </w:tc>
        <w:tc>
          <w:tcPr>
            <w:tcW w:w="1205"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p>
        </w:tc>
        <w:tc>
          <w:tcPr>
            <w:tcW w:w="1205" w:type="dxa"/>
            <w:tcBorders>
              <w:top w:val="nil"/>
              <w:left w:val="nil"/>
              <w:bottom w:val="nil"/>
              <w:right w:val="nil"/>
            </w:tcBorders>
            <w:shd w:val="clear" w:color="auto" w:fill="auto"/>
            <w:noWrap/>
            <w:vAlign w:val="center"/>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p>
        </w:tc>
      </w:tr>
      <w:tr w:rsidR="0032119E" w:rsidRPr="00B61B5E" w:rsidTr="0032119E">
        <w:trPr>
          <w:trHeight w:val="270"/>
        </w:trPr>
        <w:tc>
          <w:tcPr>
            <w:tcW w:w="2978" w:type="dxa"/>
            <w:tcBorders>
              <w:top w:val="nil"/>
              <w:left w:val="nil"/>
              <w:bottom w:val="nil"/>
              <w:right w:val="nil"/>
            </w:tcBorders>
            <w:shd w:val="clear" w:color="auto" w:fill="auto"/>
            <w:vAlign w:val="center"/>
            <w:hideMark/>
          </w:tcPr>
          <w:p w:rsidR="00850653" w:rsidRPr="00B61B5E" w:rsidRDefault="00850653" w:rsidP="00B20484">
            <w:pPr>
              <w:widowControl/>
              <w:snapToGrid w:val="0"/>
              <w:spacing w:line="360" w:lineRule="auto"/>
              <w:ind w:firstLineChars="100" w:firstLine="240"/>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AFP</w:t>
            </w:r>
          </w:p>
        </w:tc>
        <w:tc>
          <w:tcPr>
            <w:tcW w:w="1204"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r>
      <w:tr w:rsidR="0032119E" w:rsidRPr="00B61B5E" w:rsidTr="0032119E">
        <w:trPr>
          <w:trHeight w:val="270"/>
        </w:trPr>
        <w:tc>
          <w:tcPr>
            <w:tcW w:w="2978" w:type="dxa"/>
            <w:tcBorders>
              <w:top w:val="nil"/>
              <w:left w:val="nil"/>
              <w:bottom w:val="nil"/>
              <w:right w:val="nil"/>
            </w:tcBorders>
            <w:shd w:val="clear" w:color="auto" w:fill="auto"/>
            <w:vAlign w:val="center"/>
            <w:hideMark/>
          </w:tcPr>
          <w:p w:rsidR="00850653" w:rsidRPr="00B61B5E" w:rsidRDefault="00850653" w:rsidP="00B20484">
            <w:pPr>
              <w:widowControl/>
              <w:snapToGrid w:val="0"/>
              <w:spacing w:line="360" w:lineRule="auto"/>
              <w:ind w:firstLineChars="100" w:firstLine="240"/>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Glypican3</w:t>
            </w:r>
          </w:p>
        </w:tc>
        <w:tc>
          <w:tcPr>
            <w:tcW w:w="1204"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r>
      <w:tr w:rsidR="0032119E" w:rsidRPr="00B61B5E" w:rsidTr="0032119E">
        <w:trPr>
          <w:trHeight w:val="270"/>
        </w:trPr>
        <w:tc>
          <w:tcPr>
            <w:tcW w:w="2978" w:type="dxa"/>
            <w:tcBorders>
              <w:top w:val="nil"/>
              <w:left w:val="nil"/>
              <w:bottom w:val="nil"/>
              <w:right w:val="nil"/>
            </w:tcBorders>
            <w:shd w:val="clear" w:color="auto" w:fill="auto"/>
            <w:vAlign w:val="center"/>
            <w:hideMark/>
          </w:tcPr>
          <w:p w:rsidR="00850653" w:rsidRPr="00B61B5E" w:rsidRDefault="00850653" w:rsidP="00B20484">
            <w:pPr>
              <w:widowControl/>
              <w:snapToGrid w:val="0"/>
              <w:spacing w:line="360" w:lineRule="auto"/>
              <w:ind w:firstLineChars="100" w:firstLine="240"/>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SALL4</w:t>
            </w:r>
          </w:p>
        </w:tc>
        <w:tc>
          <w:tcPr>
            <w:tcW w:w="1204"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r>
      <w:tr w:rsidR="0032119E" w:rsidRPr="00B61B5E" w:rsidTr="0032119E">
        <w:trPr>
          <w:trHeight w:val="270"/>
        </w:trPr>
        <w:tc>
          <w:tcPr>
            <w:tcW w:w="2978" w:type="dxa"/>
            <w:tcBorders>
              <w:top w:val="nil"/>
              <w:left w:val="nil"/>
              <w:bottom w:val="nil"/>
              <w:right w:val="nil"/>
            </w:tcBorders>
            <w:shd w:val="clear" w:color="auto" w:fill="auto"/>
            <w:vAlign w:val="center"/>
            <w:hideMark/>
          </w:tcPr>
          <w:p w:rsidR="00850653" w:rsidRPr="00B61B5E" w:rsidRDefault="00850653" w:rsidP="00B20484">
            <w:pPr>
              <w:widowControl/>
              <w:snapToGrid w:val="0"/>
              <w:spacing w:line="360" w:lineRule="auto"/>
              <w:ind w:firstLineChars="100" w:firstLine="240"/>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MUC2</w:t>
            </w:r>
          </w:p>
        </w:tc>
        <w:tc>
          <w:tcPr>
            <w:tcW w:w="1204"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r>
      <w:tr w:rsidR="0032119E" w:rsidRPr="00B61B5E" w:rsidTr="0032119E">
        <w:trPr>
          <w:trHeight w:val="270"/>
        </w:trPr>
        <w:tc>
          <w:tcPr>
            <w:tcW w:w="2978" w:type="dxa"/>
            <w:tcBorders>
              <w:top w:val="nil"/>
              <w:left w:val="nil"/>
              <w:bottom w:val="nil"/>
              <w:right w:val="nil"/>
            </w:tcBorders>
            <w:shd w:val="clear" w:color="auto" w:fill="auto"/>
            <w:vAlign w:val="center"/>
            <w:hideMark/>
          </w:tcPr>
          <w:p w:rsidR="00850653" w:rsidRPr="00B61B5E" w:rsidRDefault="00850653" w:rsidP="00B20484">
            <w:pPr>
              <w:widowControl/>
              <w:snapToGrid w:val="0"/>
              <w:spacing w:line="360" w:lineRule="auto"/>
              <w:ind w:firstLineChars="100" w:firstLine="240"/>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MUC5AC</w:t>
            </w:r>
          </w:p>
        </w:tc>
        <w:tc>
          <w:tcPr>
            <w:tcW w:w="1204"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r>
      <w:tr w:rsidR="0032119E" w:rsidRPr="00B61B5E" w:rsidTr="0032119E">
        <w:trPr>
          <w:trHeight w:val="270"/>
        </w:trPr>
        <w:tc>
          <w:tcPr>
            <w:tcW w:w="2978" w:type="dxa"/>
            <w:tcBorders>
              <w:top w:val="nil"/>
              <w:left w:val="nil"/>
              <w:bottom w:val="nil"/>
              <w:right w:val="nil"/>
            </w:tcBorders>
            <w:shd w:val="clear" w:color="auto" w:fill="auto"/>
            <w:vAlign w:val="center"/>
            <w:hideMark/>
          </w:tcPr>
          <w:p w:rsidR="00850653" w:rsidRPr="00B61B5E" w:rsidRDefault="00850653" w:rsidP="00B20484">
            <w:pPr>
              <w:widowControl/>
              <w:snapToGrid w:val="0"/>
              <w:spacing w:line="360" w:lineRule="auto"/>
              <w:ind w:firstLineChars="100" w:firstLine="240"/>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MUC6</w:t>
            </w:r>
          </w:p>
        </w:tc>
        <w:tc>
          <w:tcPr>
            <w:tcW w:w="1204"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r>
      <w:tr w:rsidR="0032119E" w:rsidRPr="00B61B5E" w:rsidTr="0032119E">
        <w:trPr>
          <w:trHeight w:val="270"/>
        </w:trPr>
        <w:tc>
          <w:tcPr>
            <w:tcW w:w="2978" w:type="dxa"/>
            <w:tcBorders>
              <w:top w:val="nil"/>
              <w:left w:val="nil"/>
              <w:right w:val="nil"/>
            </w:tcBorders>
            <w:shd w:val="clear" w:color="auto" w:fill="auto"/>
            <w:vAlign w:val="center"/>
            <w:hideMark/>
          </w:tcPr>
          <w:p w:rsidR="00850653" w:rsidRPr="00B61B5E" w:rsidRDefault="00850653" w:rsidP="00B20484">
            <w:pPr>
              <w:widowControl/>
              <w:snapToGrid w:val="0"/>
              <w:spacing w:line="360" w:lineRule="auto"/>
              <w:ind w:firstLineChars="100" w:firstLine="240"/>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CD10</w:t>
            </w:r>
          </w:p>
        </w:tc>
        <w:tc>
          <w:tcPr>
            <w:tcW w:w="1204" w:type="dxa"/>
            <w:tcBorders>
              <w:top w:val="nil"/>
              <w:left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r>
      <w:tr w:rsidR="0032119E" w:rsidRPr="00B61B5E" w:rsidTr="0032119E">
        <w:trPr>
          <w:trHeight w:val="270"/>
        </w:trPr>
        <w:tc>
          <w:tcPr>
            <w:tcW w:w="2978" w:type="dxa"/>
            <w:tcBorders>
              <w:top w:val="nil"/>
              <w:left w:val="nil"/>
              <w:bottom w:val="single" w:sz="12" w:space="0" w:color="auto"/>
              <w:right w:val="nil"/>
            </w:tcBorders>
            <w:shd w:val="clear" w:color="auto" w:fill="auto"/>
            <w:vAlign w:val="center"/>
            <w:hideMark/>
          </w:tcPr>
          <w:p w:rsidR="00850653" w:rsidRPr="00B61B5E" w:rsidRDefault="00850653" w:rsidP="00B20484">
            <w:pPr>
              <w:widowControl/>
              <w:snapToGrid w:val="0"/>
              <w:spacing w:line="360" w:lineRule="auto"/>
              <w:ind w:firstLineChars="100" w:firstLine="240"/>
              <w:jc w:val="left"/>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lastRenderedPageBreak/>
              <w:t>P53</w:t>
            </w:r>
          </w:p>
        </w:tc>
        <w:tc>
          <w:tcPr>
            <w:tcW w:w="1204" w:type="dxa"/>
            <w:tcBorders>
              <w:top w:val="nil"/>
              <w:left w:val="nil"/>
              <w:bottom w:val="single" w:sz="12" w:space="0" w:color="auto"/>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single" w:sz="12" w:space="0" w:color="auto"/>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single" w:sz="12" w:space="0" w:color="auto"/>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single" w:sz="12" w:space="0" w:color="auto"/>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single" w:sz="12" w:space="0" w:color="auto"/>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c>
          <w:tcPr>
            <w:tcW w:w="1205" w:type="dxa"/>
            <w:tcBorders>
              <w:top w:val="nil"/>
              <w:left w:val="nil"/>
              <w:bottom w:val="single" w:sz="12" w:space="0" w:color="auto"/>
              <w:right w:val="nil"/>
            </w:tcBorders>
            <w:shd w:val="clear" w:color="auto" w:fill="auto"/>
            <w:noWrap/>
            <w:vAlign w:val="center"/>
            <w:hideMark/>
          </w:tcPr>
          <w:p w:rsidR="00850653" w:rsidRPr="00B61B5E" w:rsidRDefault="00850653" w:rsidP="00B20484">
            <w:pPr>
              <w:widowControl/>
              <w:snapToGrid w:val="0"/>
              <w:spacing w:line="360" w:lineRule="auto"/>
              <w:jc w:val="center"/>
              <w:rPr>
                <w:rFonts w:ascii="Book Antiqua" w:eastAsia="MS PGothic" w:hAnsi="Book Antiqua" w:cs="Times New Roman"/>
                <w:kern w:val="0"/>
                <w:sz w:val="24"/>
                <w:szCs w:val="24"/>
              </w:rPr>
            </w:pPr>
            <w:r w:rsidRPr="00B61B5E">
              <w:rPr>
                <w:rFonts w:ascii="Book Antiqua" w:eastAsia="MS PGothic" w:hAnsi="Book Antiqua" w:cs="Times New Roman"/>
                <w:kern w:val="0"/>
                <w:sz w:val="24"/>
                <w:szCs w:val="24"/>
              </w:rPr>
              <w:t>(-)</w:t>
            </w:r>
          </w:p>
        </w:tc>
      </w:tr>
    </w:tbl>
    <w:p w:rsidR="00850653" w:rsidRPr="0032119E" w:rsidRDefault="00850653" w:rsidP="00B20484">
      <w:pPr>
        <w:snapToGrid w:val="0"/>
        <w:spacing w:line="360" w:lineRule="auto"/>
        <w:rPr>
          <w:rFonts w:ascii="Book Antiqua" w:hAnsi="Book Antiqua" w:cs="Times New Roman"/>
          <w:sz w:val="24"/>
          <w:szCs w:val="24"/>
        </w:rPr>
      </w:pPr>
      <w:r w:rsidRPr="0032119E">
        <w:rPr>
          <w:rFonts w:ascii="Book Antiqua" w:hAnsi="Book Antiqua" w:cs="Times New Roman"/>
          <w:sz w:val="24"/>
          <w:szCs w:val="24"/>
        </w:rPr>
        <w:t xml:space="preserve">U: </w:t>
      </w:r>
      <w:r w:rsidRPr="00436162">
        <w:rPr>
          <w:rFonts w:ascii="Book Antiqua" w:hAnsi="Book Antiqua" w:cs="Times New Roman"/>
          <w:caps/>
          <w:sz w:val="24"/>
          <w:szCs w:val="24"/>
        </w:rPr>
        <w:t>u</w:t>
      </w:r>
      <w:r w:rsidRPr="0032119E">
        <w:rPr>
          <w:rFonts w:ascii="Book Antiqua" w:hAnsi="Book Antiqua" w:cs="Times New Roman"/>
          <w:sz w:val="24"/>
          <w:szCs w:val="24"/>
        </w:rPr>
        <w:t>pper third of stomach</w:t>
      </w:r>
      <w:r w:rsidR="00436162">
        <w:rPr>
          <w:rFonts w:ascii="Book Antiqua" w:hAnsi="Book Antiqua" w:cs="Times New Roman"/>
          <w:sz w:val="24"/>
          <w:szCs w:val="24"/>
        </w:rPr>
        <w:t>;</w:t>
      </w:r>
      <w:r w:rsidRPr="0032119E">
        <w:rPr>
          <w:rFonts w:ascii="Book Antiqua" w:hAnsi="Book Antiqua" w:cs="Times New Roman"/>
          <w:sz w:val="24"/>
          <w:szCs w:val="24"/>
        </w:rPr>
        <w:t xml:space="preserve"> M: </w:t>
      </w:r>
      <w:r w:rsidRPr="00436162">
        <w:rPr>
          <w:rFonts w:ascii="Book Antiqua" w:hAnsi="Book Antiqua" w:cs="Times New Roman"/>
          <w:caps/>
          <w:sz w:val="24"/>
          <w:szCs w:val="24"/>
        </w:rPr>
        <w:t>m</w:t>
      </w:r>
      <w:r w:rsidRPr="0032119E">
        <w:rPr>
          <w:rFonts w:ascii="Book Antiqua" w:hAnsi="Book Antiqua" w:cs="Times New Roman"/>
          <w:sz w:val="24"/>
          <w:szCs w:val="24"/>
        </w:rPr>
        <w:t>iddle third of stomach</w:t>
      </w:r>
      <w:r w:rsidR="00436162">
        <w:rPr>
          <w:rFonts w:ascii="Book Antiqua" w:hAnsi="Book Antiqua" w:cs="Times New Roman"/>
          <w:sz w:val="24"/>
          <w:szCs w:val="24"/>
        </w:rPr>
        <w:t xml:space="preserve">; </w:t>
      </w:r>
      <w:r w:rsidRPr="0032119E">
        <w:rPr>
          <w:rFonts w:ascii="Book Antiqua" w:hAnsi="Book Antiqua" w:cs="Times New Roman"/>
          <w:sz w:val="24"/>
          <w:szCs w:val="24"/>
        </w:rPr>
        <w:t xml:space="preserve">L: </w:t>
      </w:r>
      <w:r w:rsidRPr="00436162">
        <w:rPr>
          <w:rFonts w:ascii="Book Antiqua" w:hAnsi="Book Antiqua" w:cs="Times New Roman"/>
          <w:caps/>
          <w:sz w:val="24"/>
          <w:szCs w:val="24"/>
        </w:rPr>
        <w:t>l</w:t>
      </w:r>
      <w:r w:rsidRPr="0032119E">
        <w:rPr>
          <w:rFonts w:ascii="Book Antiqua" w:hAnsi="Book Antiqua" w:cs="Times New Roman"/>
          <w:sz w:val="24"/>
          <w:szCs w:val="24"/>
        </w:rPr>
        <w:t>ower third of stomach</w:t>
      </w:r>
      <w:r w:rsidR="00436162">
        <w:rPr>
          <w:rFonts w:ascii="Book Antiqua" w:hAnsi="Book Antiqua" w:cs="Times New Roman"/>
          <w:sz w:val="24"/>
          <w:szCs w:val="24"/>
        </w:rPr>
        <w:t xml:space="preserve">; </w:t>
      </w:r>
      <w:r w:rsidRPr="0032119E">
        <w:rPr>
          <w:rFonts w:ascii="Book Antiqua" w:hAnsi="Book Antiqua" w:cs="Times New Roman"/>
          <w:sz w:val="24"/>
          <w:szCs w:val="24"/>
        </w:rPr>
        <w:t xml:space="preserve">HP: </w:t>
      </w:r>
      <w:r w:rsidRPr="0032119E">
        <w:rPr>
          <w:rFonts w:ascii="Book Antiqua" w:hAnsi="Book Antiqua" w:cs="Times New Roman"/>
          <w:i/>
          <w:sz w:val="24"/>
          <w:szCs w:val="24"/>
        </w:rPr>
        <w:t>Helicobacter pylori</w:t>
      </w:r>
      <w:r w:rsidR="00436162">
        <w:rPr>
          <w:rFonts w:ascii="Book Antiqua" w:hAnsi="Book Antiqua" w:cs="Times New Roman"/>
          <w:sz w:val="24"/>
          <w:szCs w:val="24"/>
        </w:rPr>
        <w:t>;</w:t>
      </w:r>
      <w:r w:rsidRPr="0032119E">
        <w:rPr>
          <w:rFonts w:ascii="Book Antiqua" w:hAnsi="Book Antiqua" w:cs="Times New Roman"/>
          <w:sz w:val="24"/>
          <w:szCs w:val="24"/>
        </w:rPr>
        <w:t xml:space="preserve"> IgG: </w:t>
      </w:r>
      <w:r w:rsidRPr="00436162">
        <w:rPr>
          <w:rFonts w:ascii="Book Antiqua" w:hAnsi="Book Antiqua" w:cs="Times New Roman"/>
          <w:caps/>
          <w:sz w:val="24"/>
          <w:szCs w:val="24"/>
        </w:rPr>
        <w:t>i</w:t>
      </w:r>
      <w:r w:rsidRPr="0032119E">
        <w:rPr>
          <w:rFonts w:ascii="Book Antiqua" w:hAnsi="Book Antiqua" w:cs="Times New Roman"/>
          <w:sz w:val="24"/>
          <w:szCs w:val="24"/>
        </w:rPr>
        <w:t>mmunoglobulin G</w:t>
      </w:r>
      <w:r w:rsidR="00436162">
        <w:rPr>
          <w:rFonts w:ascii="Book Antiqua" w:hAnsi="Book Antiqua" w:cs="Times New Roman"/>
          <w:sz w:val="24"/>
          <w:szCs w:val="24"/>
        </w:rPr>
        <w:t>;</w:t>
      </w:r>
      <w:r w:rsidRPr="0032119E">
        <w:rPr>
          <w:rFonts w:ascii="Book Antiqua" w:hAnsi="Book Antiqua" w:cs="Times New Roman"/>
          <w:sz w:val="24"/>
          <w:szCs w:val="24"/>
        </w:rPr>
        <w:t xml:space="preserve"> ESD: </w:t>
      </w:r>
      <w:r w:rsidRPr="00436162">
        <w:rPr>
          <w:rFonts w:ascii="Book Antiqua" w:hAnsi="Book Antiqua" w:cs="Times New Roman"/>
          <w:caps/>
          <w:sz w:val="24"/>
          <w:szCs w:val="24"/>
        </w:rPr>
        <w:t>e</w:t>
      </w:r>
      <w:r w:rsidRPr="0032119E">
        <w:rPr>
          <w:rFonts w:ascii="Book Antiqua" w:hAnsi="Book Antiqua" w:cs="Times New Roman"/>
          <w:sz w:val="24"/>
          <w:szCs w:val="24"/>
        </w:rPr>
        <w:t>ndoscopic submucosal dissection</w:t>
      </w:r>
      <w:r w:rsidR="00436162">
        <w:rPr>
          <w:rFonts w:ascii="Book Antiqua" w:hAnsi="Book Antiqua" w:cs="Times New Roman"/>
          <w:sz w:val="24"/>
          <w:szCs w:val="24"/>
        </w:rPr>
        <w:t>;</w:t>
      </w:r>
      <w:r w:rsidRPr="0032119E">
        <w:rPr>
          <w:rFonts w:ascii="Book Antiqua" w:hAnsi="Book Antiqua" w:cs="Times New Roman"/>
          <w:sz w:val="24"/>
          <w:szCs w:val="24"/>
        </w:rPr>
        <w:t xml:space="preserve"> M: </w:t>
      </w:r>
      <w:r w:rsidRPr="00436162">
        <w:rPr>
          <w:rFonts w:ascii="Book Antiqua" w:hAnsi="Book Antiqua" w:cs="Times New Roman"/>
          <w:caps/>
          <w:sz w:val="24"/>
          <w:szCs w:val="24"/>
        </w:rPr>
        <w:t>m</w:t>
      </w:r>
      <w:r w:rsidRPr="0032119E">
        <w:rPr>
          <w:rFonts w:ascii="Book Antiqua" w:hAnsi="Book Antiqua" w:cs="Times New Roman"/>
          <w:sz w:val="24"/>
          <w:szCs w:val="24"/>
        </w:rPr>
        <w:t>ucosa</w:t>
      </w:r>
      <w:r w:rsidR="00436162">
        <w:rPr>
          <w:rFonts w:ascii="Book Antiqua" w:hAnsi="Book Antiqua" w:cs="Times New Roman"/>
          <w:sz w:val="24"/>
          <w:szCs w:val="24"/>
        </w:rPr>
        <w:t>;</w:t>
      </w:r>
      <w:r w:rsidRPr="0032119E">
        <w:rPr>
          <w:rFonts w:ascii="Book Antiqua" w:hAnsi="Book Antiqua" w:cs="Times New Roman"/>
          <w:sz w:val="24"/>
          <w:szCs w:val="24"/>
        </w:rPr>
        <w:t xml:space="preserve"> SM: </w:t>
      </w:r>
      <w:r w:rsidRPr="00436162">
        <w:rPr>
          <w:rFonts w:ascii="Book Antiqua" w:hAnsi="Book Antiqua" w:cs="Times New Roman"/>
          <w:caps/>
          <w:sz w:val="24"/>
          <w:szCs w:val="24"/>
        </w:rPr>
        <w:t>s</w:t>
      </w:r>
      <w:r w:rsidRPr="0032119E">
        <w:rPr>
          <w:rFonts w:ascii="Book Antiqua" w:hAnsi="Book Antiqua" w:cs="Times New Roman"/>
          <w:sz w:val="24"/>
          <w:szCs w:val="24"/>
        </w:rPr>
        <w:t>ubmucosa</w:t>
      </w:r>
      <w:r w:rsidR="00436162">
        <w:rPr>
          <w:rFonts w:ascii="Book Antiqua" w:hAnsi="Book Antiqua" w:cs="Times New Roman"/>
          <w:sz w:val="24"/>
          <w:szCs w:val="24"/>
        </w:rPr>
        <w:t>;</w:t>
      </w:r>
      <w:r w:rsidRPr="0032119E">
        <w:rPr>
          <w:rFonts w:ascii="Book Antiqua" w:hAnsi="Book Antiqua" w:cs="Times New Roman"/>
          <w:sz w:val="24"/>
          <w:szCs w:val="24"/>
        </w:rPr>
        <w:t xml:space="preserve"> ANED: </w:t>
      </w:r>
      <w:r w:rsidRPr="00436162">
        <w:rPr>
          <w:rFonts w:ascii="Book Antiqua" w:hAnsi="Book Antiqua" w:cs="Times New Roman"/>
          <w:caps/>
          <w:sz w:val="24"/>
          <w:szCs w:val="24"/>
        </w:rPr>
        <w:t>a</w:t>
      </w:r>
      <w:r w:rsidRPr="0032119E">
        <w:rPr>
          <w:rFonts w:ascii="Book Antiqua" w:hAnsi="Book Antiqua" w:cs="Times New Roman"/>
          <w:sz w:val="24"/>
          <w:szCs w:val="24"/>
        </w:rPr>
        <w:t>live with no evidence of disease</w:t>
      </w:r>
      <w:r w:rsidR="00436162">
        <w:rPr>
          <w:rFonts w:ascii="Book Antiqua" w:hAnsi="Book Antiqua" w:cs="Times New Roman"/>
          <w:sz w:val="24"/>
          <w:szCs w:val="24"/>
        </w:rPr>
        <w:t xml:space="preserve">; </w:t>
      </w:r>
      <w:r w:rsidRPr="0032119E">
        <w:rPr>
          <w:rFonts w:ascii="Book Antiqua" w:hAnsi="Book Antiqua" w:cs="Times New Roman"/>
          <w:sz w:val="24"/>
          <w:szCs w:val="24"/>
        </w:rPr>
        <w:t xml:space="preserve">N/A: </w:t>
      </w:r>
      <w:r w:rsidRPr="00436162">
        <w:rPr>
          <w:rFonts w:ascii="Book Antiqua" w:hAnsi="Book Antiqua" w:cs="Times New Roman"/>
          <w:caps/>
          <w:sz w:val="24"/>
          <w:szCs w:val="24"/>
        </w:rPr>
        <w:t>n</w:t>
      </w:r>
      <w:r w:rsidRPr="0032119E">
        <w:rPr>
          <w:rFonts w:ascii="Book Antiqua" w:hAnsi="Book Antiqua" w:cs="Times New Roman"/>
          <w:sz w:val="24"/>
          <w:szCs w:val="24"/>
        </w:rPr>
        <w:t>ot applicable</w:t>
      </w:r>
      <w:r w:rsidR="00436162">
        <w:rPr>
          <w:rFonts w:ascii="Book Antiqua" w:hAnsi="Book Antiqua" w:cs="Times New Roman"/>
          <w:sz w:val="24"/>
          <w:szCs w:val="24"/>
        </w:rPr>
        <w:t>;</w:t>
      </w:r>
      <w:r w:rsidRPr="0032119E">
        <w:rPr>
          <w:rFonts w:ascii="Book Antiqua" w:hAnsi="Book Antiqua" w:cs="Times New Roman"/>
          <w:sz w:val="24"/>
          <w:szCs w:val="24"/>
        </w:rPr>
        <w:t xml:space="preserve"> AFP: </w:t>
      </w:r>
      <w:r w:rsidRPr="00436162">
        <w:rPr>
          <w:rFonts w:ascii="Book Antiqua" w:hAnsi="Book Antiqua" w:cs="Times New Roman"/>
          <w:caps/>
          <w:sz w:val="24"/>
          <w:szCs w:val="24"/>
        </w:rPr>
        <w:t>a</w:t>
      </w:r>
      <w:r w:rsidRPr="0032119E">
        <w:rPr>
          <w:rFonts w:ascii="Book Antiqua" w:hAnsi="Book Antiqua" w:cs="Times New Roman"/>
          <w:sz w:val="24"/>
          <w:szCs w:val="24"/>
        </w:rPr>
        <w:t>lpha-fetoprotein</w:t>
      </w:r>
      <w:r w:rsidR="00436162">
        <w:rPr>
          <w:rFonts w:ascii="Book Antiqua" w:hAnsi="Book Antiqua" w:cs="Times New Roman"/>
          <w:sz w:val="24"/>
          <w:szCs w:val="24"/>
        </w:rPr>
        <w:t>.</w:t>
      </w:r>
    </w:p>
    <w:p w:rsidR="00850653" w:rsidRPr="0032119E" w:rsidRDefault="00850653" w:rsidP="00B20484">
      <w:pPr>
        <w:snapToGrid w:val="0"/>
        <w:spacing w:line="360" w:lineRule="auto"/>
        <w:rPr>
          <w:rFonts w:ascii="Book Antiqua" w:hAnsi="Book Antiqua"/>
        </w:rPr>
      </w:pPr>
      <w:r w:rsidRPr="0032119E">
        <w:rPr>
          <w:rFonts w:ascii="Book Antiqua" w:hAnsi="Book Antiqua"/>
        </w:rPr>
        <w:br w:type="page"/>
      </w:r>
    </w:p>
    <w:p w:rsidR="00850653" w:rsidRPr="00C326A8" w:rsidRDefault="00850653" w:rsidP="00B20484">
      <w:pPr>
        <w:snapToGrid w:val="0"/>
        <w:spacing w:line="360" w:lineRule="auto"/>
        <w:rPr>
          <w:rFonts w:ascii="Book Antiqua" w:eastAsia="SimSun" w:hAnsi="Book Antiqua"/>
          <w:b/>
          <w:sz w:val="24"/>
          <w:szCs w:val="24"/>
          <w:lang w:eastAsia="zh-CN"/>
        </w:rPr>
      </w:pPr>
      <w:r w:rsidRPr="00614698">
        <w:rPr>
          <w:rFonts w:ascii="Book Antiqua" w:hAnsi="Book Antiqua"/>
          <w:b/>
          <w:sz w:val="24"/>
          <w:szCs w:val="24"/>
        </w:rPr>
        <w:lastRenderedPageBreak/>
        <w:t>Table 2</w:t>
      </w:r>
      <w:r w:rsidR="00614698" w:rsidRPr="00614698">
        <w:rPr>
          <w:rFonts w:ascii="Book Antiqua" w:hAnsi="Book Antiqua"/>
          <w:b/>
          <w:sz w:val="24"/>
          <w:szCs w:val="24"/>
        </w:rPr>
        <w:t xml:space="preserve"> </w:t>
      </w:r>
      <w:r w:rsidRPr="00614698">
        <w:rPr>
          <w:rFonts w:ascii="Book Antiqua" w:hAnsi="Book Antiqua"/>
          <w:b/>
          <w:sz w:val="24"/>
          <w:szCs w:val="24"/>
        </w:rPr>
        <w:t>R</w:t>
      </w:r>
      <w:r w:rsidRPr="00614698">
        <w:rPr>
          <w:rFonts w:ascii="Book Antiqua" w:hAnsi="Book Antiqua" w:cs="Times New Roman"/>
          <w:b/>
          <w:kern w:val="0"/>
          <w:sz w:val="24"/>
          <w:szCs w:val="24"/>
        </w:rPr>
        <w:t xml:space="preserve">esults of comparison between patients with </w:t>
      </w:r>
      <w:r w:rsidR="00614698" w:rsidRPr="00614698">
        <w:rPr>
          <w:rFonts w:ascii="Book Antiqua" w:hAnsi="Book Antiqua" w:cs="Times New Roman"/>
          <w:b/>
          <w:kern w:val="0"/>
          <w:sz w:val="24"/>
          <w:szCs w:val="24"/>
        </w:rPr>
        <w:t>gastric cancer with enteroblastic differentiation</w:t>
      </w:r>
      <w:r w:rsidRPr="00614698">
        <w:rPr>
          <w:rFonts w:ascii="Book Antiqua" w:hAnsi="Book Antiqua" w:cs="Times New Roman"/>
          <w:b/>
          <w:kern w:val="0"/>
          <w:sz w:val="24"/>
          <w:szCs w:val="24"/>
        </w:rPr>
        <w:t xml:space="preserve"> and </w:t>
      </w:r>
      <w:r w:rsidR="00614698" w:rsidRPr="00614698">
        <w:rPr>
          <w:rFonts w:ascii="Book Antiqua" w:hAnsi="Book Antiqua" w:cs="Times New Roman"/>
          <w:b/>
          <w:kern w:val="0"/>
          <w:sz w:val="24"/>
          <w:szCs w:val="24"/>
        </w:rPr>
        <w:t>c</w:t>
      </w:r>
      <w:r w:rsidR="00614698" w:rsidRPr="00614698">
        <w:rPr>
          <w:rFonts w:ascii="Book Antiqua" w:hAnsi="Book Antiqua" w:cs="Times New Roman" w:hint="eastAsia"/>
          <w:b/>
          <w:kern w:val="0"/>
          <w:sz w:val="24"/>
          <w:szCs w:val="24"/>
        </w:rPr>
        <w:t>onventional gastric cancer</w:t>
      </w:r>
      <w:r w:rsidR="00C326A8">
        <w:rPr>
          <w:rFonts w:ascii="Book Antiqua" w:eastAsia="SimSun" w:hAnsi="Book Antiqua" w:cs="Times New Roman" w:hint="eastAsia"/>
          <w:b/>
          <w:kern w:val="0"/>
          <w:sz w:val="24"/>
          <w:szCs w:val="24"/>
          <w:lang w:eastAsia="zh-CN"/>
        </w:rPr>
        <w:t xml:space="preserve"> </w:t>
      </w:r>
      <w:r w:rsidR="00C326A8" w:rsidRPr="00C326A8">
        <w:rPr>
          <w:rFonts w:ascii="Book Antiqua" w:eastAsia="SimSun" w:hAnsi="Book Antiqua" w:cs="Times New Roman" w:hint="eastAsia"/>
          <w:b/>
          <w:i/>
          <w:kern w:val="0"/>
          <w:sz w:val="24"/>
          <w:szCs w:val="24"/>
          <w:lang w:eastAsia="zh-CN"/>
        </w:rPr>
        <w:t>n</w:t>
      </w:r>
      <w:r w:rsidR="00C326A8">
        <w:rPr>
          <w:rFonts w:ascii="Book Antiqua" w:eastAsia="SimSun" w:hAnsi="Book Antiqua" w:cs="Times New Roman" w:hint="eastAsia"/>
          <w:b/>
          <w:kern w:val="0"/>
          <w:sz w:val="24"/>
          <w:szCs w:val="24"/>
          <w:lang w:eastAsia="zh-CN"/>
        </w:rPr>
        <w:t xml:space="preserve"> (%)</w:t>
      </w:r>
    </w:p>
    <w:tbl>
      <w:tblPr>
        <w:tblW w:w="10020" w:type="dxa"/>
        <w:tblInd w:w="84" w:type="dxa"/>
        <w:tblCellMar>
          <w:left w:w="99" w:type="dxa"/>
          <w:right w:w="99" w:type="dxa"/>
        </w:tblCellMar>
        <w:tblLook w:val="04A0" w:firstRow="1" w:lastRow="0" w:firstColumn="1" w:lastColumn="0" w:noHBand="0" w:noVBand="1"/>
      </w:tblPr>
      <w:tblGrid>
        <w:gridCol w:w="5240"/>
        <w:gridCol w:w="1758"/>
        <w:gridCol w:w="1942"/>
        <w:gridCol w:w="1080"/>
      </w:tblGrid>
      <w:tr w:rsidR="0032119E" w:rsidRPr="00614698" w:rsidTr="00614698">
        <w:trPr>
          <w:trHeight w:val="765"/>
        </w:trPr>
        <w:tc>
          <w:tcPr>
            <w:tcW w:w="5240" w:type="dxa"/>
            <w:tcBorders>
              <w:top w:val="single" w:sz="12" w:space="0" w:color="auto"/>
              <w:left w:val="nil"/>
              <w:bottom w:val="single" w:sz="12" w:space="0" w:color="auto"/>
              <w:right w:val="nil"/>
            </w:tcBorders>
            <w:shd w:val="clear" w:color="auto" w:fill="auto"/>
            <w:noWrap/>
            <w:hideMark/>
          </w:tcPr>
          <w:p w:rsidR="00850653" w:rsidRPr="00614698" w:rsidRDefault="00850653" w:rsidP="00B20484">
            <w:pPr>
              <w:widowControl/>
              <w:snapToGrid w:val="0"/>
              <w:spacing w:line="360" w:lineRule="auto"/>
              <w:rPr>
                <w:rFonts w:ascii="Book Antiqua" w:eastAsia="MS PGothic" w:hAnsi="Book Antiqua" w:cs="MS PGothic"/>
                <w:kern w:val="0"/>
                <w:sz w:val="24"/>
                <w:szCs w:val="24"/>
              </w:rPr>
            </w:pPr>
            <w:r w:rsidRPr="00614698">
              <w:rPr>
                <w:rFonts w:ascii="Book Antiqua" w:eastAsia="MS PGothic" w:hAnsi="Book Antiqua" w:cs="MS PGothic"/>
                <w:kern w:val="0"/>
                <w:sz w:val="24"/>
                <w:szCs w:val="24"/>
              </w:rPr>
              <w:t xml:space="preserve">　</w:t>
            </w:r>
          </w:p>
        </w:tc>
        <w:tc>
          <w:tcPr>
            <w:tcW w:w="1758" w:type="dxa"/>
            <w:tcBorders>
              <w:top w:val="single" w:sz="12" w:space="0" w:color="auto"/>
              <w:left w:val="nil"/>
              <w:bottom w:val="single" w:sz="12" w:space="0" w:color="auto"/>
              <w:right w:val="nil"/>
            </w:tcBorders>
            <w:shd w:val="clear" w:color="auto" w:fill="auto"/>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b/>
                <w:kern w:val="0"/>
                <w:sz w:val="24"/>
                <w:szCs w:val="24"/>
              </w:rPr>
            </w:pPr>
            <w:r w:rsidRPr="00614698">
              <w:rPr>
                <w:rFonts w:ascii="Book Antiqua" w:eastAsia="MS PGothic" w:hAnsi="Book Antiqua" w:cs="Times New Roman"/>
                <w:b/>
                <w:kern w:val="0"/>
                <w:sz w:val="24"/>
                <w:szCs w:val="24"/>
              </w:rPr>
              <w:t>GCED</w:t>
            </w:r>
          </w:p>
        </w:tc>
        <w:tc>
          <w:tcPr>
            <w:tcW w:w="1942" w:type="dxa"/>
            <w:tcBorders>
              <w:top w:val="single" w:sz="12" w:space="0" w:color="auto"/>
              <w:left w:val="nil"/>
              <w:bottom w:val="single" w:sz="12" w:space="0" w:color="auto"/>
              <w:right w:val="nil"/>
            </w:tcBorders>
            <w:shd w:val="clear" w:color="auto" w:fill="auto"/>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b/>
                <w:kern w:val="0"/>
                <w:sz w:val="24"/>
                <w:szCs w:val="24"/>
              </w:rPr>
            </w:pPr>
            <w:r w:rsidRPr="00614698">
              <w:rPr>
                <w:rFonts w:ascii="Book Antiqua" w:eastAsia="MS PGothic" w:hAnsi="Book Antiqua" w:cs="Times New Roman"/>
                <w:b/>
                <w:kern w:val="0"/>
                <w:sz w:val="24"/>
                <w:szCs w:val="24"/>
              </w:rPr>
              <w:t>CGC</w:t>
            </w:r>
          </w:p>
        </w:tc>
        <w:tc>
          <w:tcPr>
            <w:tcW w:w="1080" w:type="dxa"/>
            <w:tcBorders>
              <w:top w:val="single" w:sz="12" w:space="0" w:color="auto"/>
              <w:left w:val="nil"/>
              <w:bottom w:val="single" w:sz="12" w:space="0" w:color="auto"/>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b/>
                <w:i/>
                <w:iCs/>
                <w:kern w:val="0"/>
                <w:sz w:val="24"/>
                <w:szCs w:val="24"/>
              </w:rPr>
            </w:pPr>
            <w:r w:rsidRPr="00614698">
              <w:rPr>
                <w:rFonts w:ascii="Book Antiqua" w:eastAsia="MS PGothic" w:hAnsi="Book Antiqua" w:cs="Times New Roman"/>
                <w:b/>
                <w:i/>
                <w:iCs/>
                <w:kern w:val="0"/>
                <w:sz w:val="24"/>
                <w:szCs w:val="24"/>
              </w:rPr>
              <w:t>P</w:t>
            </w:r>
            <w:r w:rsidRPr="00614698">
              <w:rPr>
                <w:rFonts w:ascii="Book Antiqua" w:eastAsia="MS PGothic" w:hAnsi="Book Antiqua" w:cs="Times New Roman"/>
                <w:b/>
                <w:kern w:val="0"/>
                <w:sz w:val="24"/>
                <w:szCs w:val="24"/>
              </w:rPr>
              <w:t xml:space="preserve"> value</w:t>
            </w:r>
          </w:p>
        </w:tc>
      </w:tr>
      <w:tr w:rsidR="0032119E" w:rsidRPr="00614698" w:rsidTr="00614698">
        <w:trPr>
          <w:trHeight w:val="300"/>
        </w:trPr>
        <w:tc>
          <w:tcPr>
            <w:tcW w:w="5240" w:type="dxa"/>
            <w:tcBorders>
              <w:top w:val="single" w:sz="12" w:space="0" w:color="auto"/>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 xml:space="preserve">Number of lesions, </w:t>
            </w:r>
            <w:r w:rsidRPr="00614698">
              <w:rPr>
                <w:rFonts w:ascii="Book Antiqua" w:eastAsia="MS PGothic" w:hAnsi="Book Antiqua" w:cs="Times New Roman"/>
                <w:i/>
                <w:kern w:val="0"/>
                <w:sz w:val="24"/>
                <w:szCs w:val="24"/>
              </w:rPr>
              <w:t>n</w:t>
            </w:r>
          </w:p>
        </w:tc>
        <w:tc>
          <w:tcPr>
            <w:tcW w:w="1758" w:type="dxa"/>
            <w:tcBorders>
              <w:top w:val="single" w:sz="12" w:space="0" w:color="auto"/>
              <w:left w:val="nil"/>
              <w:bottom w:val="nil"/>
              <w:right w:val="nil"/>
            </w:tcBorders>
            <w:shd w:val="clear" w:color="auto" w:fill="auto"/>
            <w:noWrap/>
            <w:vAlign w:val="center"/>
            <w:hideMark/>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6 (2.7</w:t>
            </w:r>
            <w:r w:rsidR="00850653" w:rsidRPr="00614698">
              <w:rPr>
                <w:rFonts w:ascii="Book Antiqua" w:eastAsia="MS PGothic" w:hAnsi="Book Antiqua" w:cs="Times New Roman"/>
                <w:kern w:val="0"/>
                <w:sz w:val="24"/>
                <w:szCs w:val="24"/>
              </w:rPr>
              <w:t>)</w:t>
            </w:r>
          </w:p>
        </w:tc>
        <w:tc>
          <w:tcPr>
            <w:tcW w:w="1942" w:type="dxa"/>
            <w:tcBorders>
              <w:top w:val="single" w:sz="12" w:space="0" w:color="auto"/>
              <w:left w:val="nil"/>
              <w:bottom w:val="nil"/>
              <w:right w:val="nil"/>
            </w:tcBorders>
            <w:shd w:val="clear" w:color="auto" w:fill="auto"/>
            <w:vAlign w:val="center"/>
            <w:hideMark/>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209 (97.3</w:t>
            </w:r>
            <w:r w:rsidR="00850653" w:rsidRPr="00614698">
              <w:rPr>
                <w:rFonts w:ascii="Book Antiqua" w:eastAsia="MS PGothic" w:hAnsi="Book Antiqua" w:cs="Times New Roman"/>
                <w:kern w:val="0"/>
                <w:sz w:val="24"/>
                <w:szCs w:val="24"/>
              </w:rPr>
              <w:t>)</w:t>
            </w:r>
          </w:p>
        </w:tc>
        <w:tc>
          <w:tcPr>
            <w:tcW w:w="1080" w:type="dxa"/>
            <w:tcBorders>
              <w:top w:val="single" w:sz="12" w:space="0" w:color="auto"/>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N/A</w:t>
            </w:r>
          </w:p>
        </w:tc>
      </w:tr>
      <w:tr w:rsidR="0032119E" w:rsidRPr="00614698" w:rsidTr="00614698">
        <w:trPr>
          <w:trHeight w:val="300"/>
        </w:trPr>
        <w:tc>
          <w:tcPr>
            <w:tcW w:w="5240" w:type="dxa"/>
            <w:tcBorders>
              <w:top w:val="nil"/>
              <w:left w:val="nil"/>
              <w:bottom w:val="nil"/>
              <w:right w:val="nil"/>
            </w:tcBorders>
            <w:shd w:val="clear" w:color="auto" w:fill="auto"/>
            <w:noWrap/>
            <w:vAlign w:val="center"/>
            <w:hideMark/>
          </w:tcPr>
          <w:p w:rsidR="00850653" w:rsidRPr="00614698" w:rsidRDefault="00614698" w:rsidP="00B20484">
            <w:pPr>
              <w:widowControl/>
              <w:snapToGrid w:val="0"/>
              <w:spacing w:line="360" w:lineRule="auto"/>
              <w:jc w:val="left"/>
              <w:rPr>
                <w:rFonts w:ascii="Book Antiqua" w:eastAsia="MS PGothic" w:hAnsi="Book Antiqua" w:cs="Times New Roman"/>
                <w:kern w:val="0"/>
                <w:sz w:val="24"/>
                <w:szCs w:val="24"/>
              </w:rPr>
            </w:pPr>
            <w:r>
              <w:rPr>
                <w:rFonts w:ascii="Book Antiqua" w:eastAsia="MS PGothic" w:hAnsi="Book Antiqua" w:cs="Times New Roman"/>
                <w:kern w:val="0"/>
                <w:sz w:val="24"/>
                <w:szCs w:val="24"/>
              </w:rPr>
              <w:t>Age, yr;</w:t>
            </w:r>
            <w:r w:rsidR="00850653" w:rsidRPr="00614698">
              <w:rPr>
                <w:rFonts w:ascii="Book Antiqua" w:eastAsia="MS PGothic" w:hAnsi="Book Antiqua" w:cs="Times New Roman"/>
                <w:kern w:val="0"/>
                <w:sz w:val="24"/>
                <w:szCs w:val="24"/>
              </w:rPr>
              <w:t xml:space="preserve"> median (range)</w:t>
            </w:r>
          </w:p>
        </w:tc>
        <w:tc>
          <w:tcPr>
            <w:tcW w:w="1758"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75.7 (61-83)</w:t>
            </w:r>
          </w:p>
        </w:tc>
        <w:tc>
          <w:tcPr>
            <w:tcW w:w="1942" w:type="dxa"/>
            <w:tcBorders>
              <w:top w:val="nil"/>
              <w:left w:val="nil"/>
              <w:bottom w:val="nil"/>
              <w:right w:val="nil"/>
            </w:tcBorders>
            <w:shd w:val="clear" w:color="auto" w:fill="auto"/>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72.7 (40-92)</w:t>
            </w:r>
          </w:p>
        </w:tc>
        <w:tc>
          <w:tcPr>
            <w:tcW w:w="108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0.39</w:t>
            </w:r>
          </w:p>
        </w:tc>
      </w:tr>
      <w:tr w:rsidR="0032119E" w:rsidRPr="00614698" w:rsidTr="00614698">
        <w:trPr>
          <w:trHeight w:val="300"/>
        </w:trPr>
        <w:tc>
          <w:tcPr>
            <w:tcW w:w="524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Male/</w:t>
            </w:r>
            <w:r w:rsidR="00614698" w:rsidRPr="00614698">
              <w:rPr>
                <w:rFonts w:ascii="Book Antiqua" w:eastAsia="MS PGothic" w:hAnsi="Book Antiqua" w:cs="Times New Roman"/>
                <w:kern w:val="0"/>
                <w:sz w:val="24"/>
                <w:szCs w:val="24"/>
              </w:rPr>
              <w:t>f</w:t>
            </w:r>
            <w:r w:rsidRPr="00614698">
              <w:rPr>
                <w:rFonts w:ascii="Book Antiqua" w:eastAsia="MS PGothic" w:hAnsi="Book Antiqua" w:cs="Times New Roman"/>
                <w:kern w:val="0"/>
                <w:sz w:val="24"/>
                <w:szCs w:val="24"/>
              </w:rPr>
              <w:t>emale</w:t>
            </w:r>
          </w:p>
        </w:tc>
        <w:tc>
          <w:tcPr>
            <w:tcW w:w="1758"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5/1</w:t>
            </w:r>
          </w:p>
        </w:tc>
        <w:tc>
          <w:tcPr>
            <w:tcW w:w="1942" w:type="dxa"/>
            <w:tcBorders>
              <w:top w:val="nil"/>
              <w:left w:val="nil"/>
              <w:bottom w:val="nil"/>
              <w:right w:val="nil"/>
            </w:tcBorders>
            <w:shd w:val="clear" w:color="auto" w:fill="auto"/>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139/47</w:t>
            </w:r>
          </w:p>
        </w:tc>
        <w:tc>
          <w:tcPr>
            <w:tcW w:w="108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0.63</w:t>
            </w:r>
          </w:p>
        </w:tc>
      </w:tr>
      <w:tr w:rsidR="0032119E" w:rsidRPr="00614698" w:rsidTr="00614698">
        <w:trPr>
          <w:trHeight w:val="300"/>
        </w:trPr>
        <w:tc>
          <w:tcPr>
            <w:tcW w:w="524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Tumor location: U/M/L</w:t>
            </w:r>
          </w:p>
        </w:tc>
        <w:tc>
          <w:tcPr>
            <w:tcW w:w="1758"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2/2/2</w:t>
            </w:r>
          </w:p>
        </w:tc>
        <w:tc>
          <w:tcPr>
            <w:tcW w:w="1942" w:type="dxa"/>
            <w:tcBorders>
              <w:top w:val="nil"/>
              <w:left w:val="nil"/>
              <w:bottom w:val="nil"/>
              <w:right w:val="nil"/>
            </w:tcBorders>
            <w:shd w:val="clear" w:color="auto" w:fill="auto"/>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23/91/95</w:t>
            </w:r>
          </w:p>
        </w:tc>
        <w:tc>
          <w:tcPr>
            <w:tcW w:w="108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0.24</w:t>
            </w:r>
          </w:p>
        </w:tc>
      </w:tr>
      <w:tr w:rsidR="0032119E" w:rsidRPr="00614698" w:rsidTr="00614698">
        <w:trPr>
          <w:trHeight w:val="300"/>
        </w:trPr>
        <w:tc>
          <w:tcPr>
            <w:tcW w:w="524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Tumor size, mm, mean (range)</w:t>
            </w:r>
          </w:p>
        </w:tc>
        <w:tc>
          <w:tcPr>
            <w:tcW w:w="1758"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15.0 (6-36)</w:t>
            </w:r>
          </w:p>
        </w:tc>
        <w:tc>
          <w:tcPr>
            <w:tcW w:w="1942" w:type="dxa"/>
            <w:tcBorders>
              <w:top w:val="nil"/>
              <w:left w:val="nil"/>
              <w:bottom w:val="nil"/>
              <w:right w:val="nil"/>
            </w:tcBorders>
            <w:shd w:val="clear" w:color="auto" w:fill="auto"/>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15.2 (2-60)</w:t>
            </w:r>
          </w:p>
        </w:tc>
        <w:tc>
          <w:tcPr>
            <w:tcW w:w="108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0.96</w:t>
            </w:r>
          </w:p>
        </w:tc>
      </w:tr>
      <w:tr w:rsidR="0032119E" w:rsidRPr="00614698" w:rsidTr="00614698">
        <w:trPr>
          <w:trHeight w:val="300"/>
        </w:trPr>
        <w:tc>
          <w:tcPr>
            <w:tcW w:w="524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M</w:t>
            </w:r>
            <w:r w:rsidR="00614698">
              <w:rPr>
                <w:rFonts w:ascii="Book Antiqua" w:eastAsia="MS PGothic" w:hAnsi="Book Antiqua" w:cs="Times New Roman"/>
                <w:kern w:val="0"/>
                <w:sz w:val="24"/>
                <w:szCs w:val="24"/>
              </w:rPr>
              <w:t>acroscopic type: elevated type/</w:t>
            </w:r>
            <w:r w:rsidRPr="00614698">
              <w:rPr>
                <w:rFonts w:ascii="Book Antiqua" w:eastAsia="MS PGothic" w:hAnsi="Book Antiqua" w:cs="Times New Roman"/>
                <w:kern w:val="0"/>
                <w:sz w:val="24"/>
                <w:szCs w:val="24"/>
              </w:rPr>
              <w:t>flat or depressed type</w:t>
            </w:r>
          </w:p>
        </w:tc>
        <w:tc>
          <w:tcPr>
            <w:tcW w:w="1758"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2/4</w:t>
            </w:r>
          </w:p>
        </w:tc>
        <w:tc>
          <w:tcPr>
            <w:tcW w:w="1942" w:type="dxa"/>
            <w:tcBorders>
              <w:top w:val="nil"/>
              <w:left w:val="nil"/>
              <w:bottom w:val="nil"/>
              <w:right w:val="nil"/>
            </w:tcBorders>
            <w:shd w:val="clear" w:color="auto" w:fill="auto"/>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92/117</w:t>
            </w:r>
          </w:p>
        </w:tc>
        <w:tc>
          <w:tcPr>
            <w:tcW w:w="108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0.6</w:t>
            </w:r>
          </w:p>
        </w:tc>
      </w:tr>
      <w:tr w:rsidR="0032119E" w:rsidRPr="00614698" w:rsidTr="00614698">
        <w:trPr>
          <w:trHeight w:val="300"/>
        </w:trPr>
        <w:tc>
          <w:tcPr>
            <w:tcW w:w="524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Ulceration</w:t>
            </w:r>
          </w:p>
        </w:tc>
        <w:tc>
          <w:tcPr>
            <w:tcW w:w="1758"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0</w:t>
            </w:r>
          </w:p>
        </w:tc>
        <w:tc>
          <w:tcPr>
            <w:tcW w:w="1942" w:type="dxa"/>
            <w:tcBorders>
              <w:top w:val="nil"/>
              <w:left w:val="nil"/>
              <w:bottom w:val="nil"/>
              <w:right w:val="nil"/>
            </w:tcBorders>
            <w:shd w:val="clear" w:color="auto" w:fill="auto"/>
            <w:vAlign w:val="center"/>
            <w:hideMark/>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19 (9.0</w:t>
            </w:r>
            <w:r w:rsidR="00850653" w:rsidRPr="00614698">
              <w:rPr>
                <w:rFonts w:ascii="Book Antiqua" w:eastAsia="MS PGothic" w:hAnsi="Book Antiqua" w:cs="Times New Roman"/>
                <w:kern w:val="0"/>
                <w:sz w:val="24"/>
                <w:szCs w:val="24"/>
              </w:rPr>
              <w:t>)</w:t>
            </w:r>
          </w:p>
        </w:tc>
        <w:tc>
          <w:tcPr>
            <w:tcW w:w="108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0.43</w:t>
            </w:r>
          </w:p>
        </w:tc>
      </w:tr>
      <w:tr w:rsidR="0032119E" w:rsidRPr="00614698" w:rsidTr="00614698">
        <w:trPr>
          <w:trHeight w:val="300"/>
        </w:trPr>
        <w:tc>
          <w:tcPr>
            <w:tcW w:w="524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Depth of invasion: M/SM</w:t>
            </w:r>
          </w:p>
        </w:tc>
        <w:tc>
          <w:tcPr>
            <w:tcW w:w="1758"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2/4</w:t>
            </w:r>
          </w:p>
        </w:tc>
        <w:tc>
          <w:tcPr>
            <w:tcW w:w="1942" w:type="dxa"/>
            <w:tcBorders>
              <w:top w:val="nil"/>
              <w:left w:val="nil"/>
              <w:bottom w:val="nil"/>
              <w:right w:val="nil"/>
            </w:tcBorders>
            <w:shd w:val="clear" w:color="auto" w:fill="auto"/>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185/24</w:t>
            </w:r>
          </w:p>
        </w:tc>
        <w:tc>
          <w:tcPr>
            <w:tcW w:w="108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&lt;</w:t>
            </w:r>
            <w:r w:rsidR="00614698">
              <w:rPr>
                <w:rFonts w:ascii="Book Antiqua" w:eastAsia="MS PGothic" w:hAnsi="Book Antiqua" w:cs="Times New Roman"/>
                <w:kern w:val="0"/>
                <w:sz w:val="24"/>
                <w:szCs w:val="24"/>
              </w:rPr>
              <w:t xml:space="preserve"> </w:t>
            </w:r>
            <w:r w:rsidRPr="00614698">
              <w:rPr>
                <w:rFonts w:ascii="Book Antiqua" w:eastAsia="MS PGothic" w:hAnsi="Book Antiqua" w:cs="Times New Roman"/>
                <w:kern w:val="0"/>
                <w:sz w:val="24"/>
                <w:szCs w:val="24"/>
              </w:rPr>
              <w:t>0.01</w:t>
            </w:r>
          </w:p>
        </w:tc>
      </w:tr>
      <w:tr w:rsidR="0032119E" w:rsidRPr="00614698" w:rsidTr="00614698">
        <w:trPr>
          <w:trHeight w:val="300"/>
        </w:trPr>
        <w:tc>
          <w:tcPr>
            <w:tcW w:w="524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ind w:firstLineChars="100" w:firstLine="240"/>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Rate of submucosal invasive cancer</w:t>
            </w:r>
          </w:p>
        </w:tc>
        <w:tc>
          <w:tcPr>
            <w:tcW w:w="1758"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66.6%</w:t>
            </w:r>
          </w:p>
        </w:tc>
        <w:tc>
          <w:tcPr>
            <w:tcW w:w="1942" w:type="dxa"/>
            <w:tcBorders>
              <w:top w:val="nil"/>
              <w:left w:val="nil"/>
              <w:bottom w:val="nil"/>
              <w:right w:val="nil"/>
            </w:tcBorders>
            <w:shd w:val="clear" w:color="auto" w:fill="auto"/>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11.4%</w:t>
            </w:r>
          </w:p>
        </w:tc>
        <w:tc>
          <w:tcPr>
            <w:tcW w:w="108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p>
        </w:tc>
      </w:tr>
      <w:tr w:rsidR="0032119E" w:rsidRPr="00614698" w:rsidTr="00614698">
        <w:trPr>
          <w:trHeight w:val="300"/>
        </w:trPr>
        <w:tc>
          <w:tcPr>
            <w:tcW w:w="524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Median SM invasive depth, µm (range)</w:t>
            </w:r>
          </w:p>
        </w:tc>
        <w:tc>
          <w:tcPr>
            <w:tcW w:w="1758"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1500(200-2000)</w:t>
            </w:r>
          </w:p>
        </w:tc>
        <w:tc>
          <w:tcPr>
            <w:tcW w:w="1942" w:type="dxa"/>
            <w:tcBorders>
              <w:top w:val="nil"/>
              <w:left w:val="nil"/>
              <w:bottom w:val="nil"/>
              <w:right w:val="nil"/>
            </w:tcBorders>
            <w:shd w:val="clear" w:color="auto" w:fill="auto"/>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795.8(100-5000)</w:t>
            </w:r>
          </w:p>
        </w:tc>
        <w:tc>
          <w:tcPr>
            <w:tcW w:w="108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0.4</w:t>
            </w:r>
          </w:p>
        </w:tc>
      </w:tr>
      <w:tr w:rsidR="0032119E" w:rsidRPr="00614698" w:rsidTr="00614698">
        <w:trPr>
          <w:trHeight w:val="300"/>
        </w:trPr>
        <w:tc>
          <w:tcPr>
            <w:tcW w:w="5240" w:type="dxa"/>
            <w:tcBorders>
              <w:top w:val="nil"/>
              <w:left w:val="nil"/>
              <w:bottom w:val="nil"/>
              <w:right w:val="nil"/>
            </w:tcBorders>
            <w:shd w:val="clear" w:color="auto" w:fill="auto"/>
            <w:noWrap/>
            <w:vAlign w:val="center"/>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Lymphatic invasion</w:t>
            </w:r>
          </w:p>
        </w:tc>
        <w:tc>
          <w:tcPr>
            <w:tcW w:w="1758" w:type="dxa"/>
            <w:tcBorders>
              <w:top w:val="nil"/>
              <w:left w:val="nil"/>
              <w:bottom w:val="nil"/>
              <w:right w:val="nil"/>
            </w:tcBorders>
            <w:shd w:val="clear" w:color="auto" w:fill="auto"/>
            <w:noWrap/>
            <w:vAlign w:val="center"/>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2 (33.3</w:t>
            </w:r>
            <w:r w:rsidR="00850653" w:rsidRPr="00614698">
              <w:rPr>
                <w:rFonts w:ascii="Book Antiqua" w:eastAsia="MS PGothic" w:hAnsi="Book Antiqua" w:cs="Times New Roman"/>
                <w:kern w:val="0"/>
                <w:sz w:val="24"/>
                <w:szCs w:val="24"/>
              </w:rPr>
              <w:t>)</w:t>
            </w:r>
          </w:p>
        </w:tc>
        <w:tc>
          <w:tcPr>
            <w:tcW w:w="1942" w:type="dxa"/>
            <w:tcBorders>
              <w:top w:val="nil"/>
              <w:left w:val="nil"/>
              <w:bottom w:val="nil"/>
              <w:right w:val="nil"/>
            </w:tcBorders>
            <w:shd w:val="clear" w:color="auto" w:fill="auto"/>
            <w:vAlign w:val="center"/>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5 (2.3</w:t>
            </w:r>
            <w:r w:rsidR="00850653" w:rsidRPr="00614698">
              <w:rPr>
                <w:rFonts w:ascii="Book Antiqua" w:eastAsia="MS PGothic" w:hAnsi="Book Antiqua" w:cs="Times New Roman"/>
                <w:kern w:val="0"/>
                <w:sz w:val="24"/>
                <w:szCs w:val="24"/>
              </w:rPr>
              <w:t>)</w:t>
            </w:r>
          </w:p>
        </w:tc>
        <w:tc>
          <w:tcPr>
            <w:tcW w:w="1080" w:type="dxa"/>
            <w:tcBorders>
              <w:top w:val="nil"/>
              <w:left w:val="nil"/>
              <w:bottom w:val="nil"/>
              <w:right w:val="nil"/>
            </w:tcBorders>
            <w:shd w:val="clear" w:color="auto" w:fill="auto"/>
            <w:noWrap/>
            <w:vAlign w:val="center"/>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&lt;</w:t>
            </w:r>
            <w:r w:rsidR="00614698">
              <w:rPr>
                <w:rFonts w:ascii="Book Antiqua" w:eastAsia="MS PGothic" w:hAnsi="Book Antiqua" w:cs="Times New Roman"/>
                <w:kern w:val="0"/>
                <w:sz w:val="24"/>
                <w:szCs w:val="24"/>
              </w:rPr>
              <w:t xml:space="preserve"> </w:t>
            </w:r>
            <w:r w:rsidRPr="00614698">
              <w:rPr>
                <w:rFonts w:ascii="Book Antiqua" w:eastAsia="MS PGothic" w:hAnsi="Book Antiqua" w:cs="Times New Roman"/>
                <w:kern w:val="0"/>
                <w:sz w:val="24"/>
                <w:szCs w:val="24"/>
              </w:rPr>
              <w:t>0.01</w:t>
            </w:r>
          </w:p>
        </w:tc>
      </w:tr>
      <w:tr w:rsidR="0032119E" w:rsidRPr="00614698" w:rsidTr="00614698">
        <w:trPr>
          <w:trHeight w:val="300"/>
        </w:trPr>
        <w:tc>
          <w:tcPr>
            <w:tcW w:w="5240" w:type="dxa"/>
            <w:tcBorders>
              <w:top w:val="nil"/>
              <w:left w:val="nil"/>
              <w:bottom w:val="nil"/>
              <w:right w:val="nil"/>
            </w:tcBorders>
            <w:shd w:val="clear" w:color="auto" w:fill="auto"/>
            <w:noWrap/>
            <w:vAlign w:val="center"/>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Venous invasion</w:t>
            </w:r>
          </w:p>
        </w:tc>
        <w:tc>
          <w:tcPr>
            <w:tcW w:w="1758" w:type="dxa"/>
            <w:tcBorders>
              <w:top w:val="nil"/>
              <w:left w:val="nil"/>
              <w:bottom w:val="nil"/>
              <w:right w:val="nil"/>
            </w:tcBorders>
            <w:shd w:val="clear" w:color="auto" w:fill="auto"/>
            <w:noWrap/>
            <w:vAlign w:val="center"/>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4 (66.6</w:t>
            </w:r>
            <w:r w:rsidR="00850653" w:rsidRPr="00614698">
              <w:rPr>
                <w:rFonts w:ascii="Book Antiqua" w:eastAsia="MS PGothic" w:hAnsi="Book Antiqua" w:cs="Times New Roman"/>
                <w:kern w:val="0"/>
                <w:sz w:val="24"/>
                <w:szCs w:val="24"/>
              </w:rPr>
              <w:t>)</w:t>
            </w:r>
          </w:p>
        </w:tc>
        <w:tc>
          <w:tcPr>
            <w:tcW w:w="1942" w:type="dxa"/>
            <w:tcBorders>
              <w:top w:val="nil"/>
              <w:left w:val="nil"/>
              <w:bottom w:val="nil"/>
              <w:right w:val="nil"/>
            </w:tcBorders>
            <w:shd w:val="clear" w:color="auto" w:fill="auto"/>
            <w:vAlign w:val="center"/>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1 (0.4</w:t>
            </w:r>
            <w:r w:rsidR="00850653" w:rsidRPr="00614698">
              <w:rPr>
                <w:rFonts w:ascii="Book Antiqua" w:eastAsia="MS PGothic" w:hAnsi="Book Antiqua" w:cs="Times New Roman"/>
                <w:kern w:val="0"/>
                <w:sz w:val="24"/>
                <w:szCs w:val="24"/>
              </w:rPr>
              <w:t>)</w:t>
            </w:r>
          </w:p>
        </w:tc>
        <w:tc>
          <w:tcPr>
            <w:tcW w:w="1080" w:type="dxa"/>
            <w:tcBorders>
              <w:top w:val="nil"/>
              <w:left w:val="nil"/>
              <w:bottom w:val="nil"/>
              <w:right w:val="nil"/>
            </w:tcBorders>
            <w:shd w:val="clear" w:color="auto" w:fill="auto"/>
            <w:noWrap/>
            <w:vAlign w:val="center"/>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&lt;</w:t>
            </w:r>
            <w:r w:rsidR="00614698">
              <w:rPr>
                <w:rFonts w:ascii="Book Antiqua" w:eastAsia="MS PGothic" w:hAnsi="Book Antiqua" w:cs="Times New Roman"/>
                <w:kern w:val="0"/>
                <w:sz w:val="24"/>
                <w:szCs w:val="24"/>
              </w:rPr>
              <w:t xml:space="preserve"> </w:t>
            </w:r>
            <w:r w:rsidRPr="00614698">
              <w:rPr>
                <w:rFonts w:ascii="Book Antiqua" w:eastAsia="MS PGothic" w:hAnsi="Book Antiqua" w:cs="Times New Roman"/>
                <w:kern w:val="0"/>
                <w:sz w:val="24"/>
                <w:szCs w:val="24"/>
              </w:rPr>
              <w:t>0.01</w:t>
            </w:r>
          </w:p>
        </w:tc>
      </w:tr>
      <w:tr w:rsidR="0032119E" w:rsidRPr="00614698" w:rsidTr="00614698">
        <w:trPr>
          <w:trHeight w:val="300"/>
        </w:trPr>
        <w:tc>
          <w:tcPr>
            <w:tcW w:w="5240" w:type="dxa"/>
            <w:tcBorders>
              <w:top w:val="nil"/>
              <w:left w:val="nil"/>
              <w:bottom w:val="nil"/>
              <w:right w:val="nil"/>
            </w:tcBorders>
            <w:shd w:val="clear" w:color="auto" w:fill="auto"/>
            <w:noWrap/>
            <w:vAlign w:val="center"/>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Positive horizontal margin</w:t>
            </w:r>
          </w:p>
        </w:tc>
        <w:tc>
          <w:tcPr>
            <w:tcW w:w="1758" w:type="dxa"/>
            <w:tcBorders>
              <w:top w:val="nil"/>
              <w:left w:val="nil"/>
              <w:bottom w:val="nil"/>
              <w:right w:val="nil"/>
            </w:tcBorders>
            <w:shd w:val="clear" w:color="auto" w:fill="auto"/>
            <w:noWrap/>
            <w:vAlign w:val="center"/>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0</w:t>
            </w:r>
          </w:p>
        </w:tc>
        <w:tc>
          <w:tcPr>
            <w:tcW w:w="1942" w:type="dxa"/>
            <w:tcBorders>
              <w:top w:val="nil"/>
              <w:left w:val="nil"/>
              <w:bottom w:val="nil"/>
              <w:right w:val="nil"/>
            </w:tcBorders>
            <w:shd w:val="clear" w:color="auto" w:fill="auto"/>
            <w:vAlign w:val="center"/>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9</w:t>
            </w:r>
            <w:r w:rsidR="00C326A8">
              <w:rPr>
                <w:rFonts w:ascii="Book Antiqua" w:eastAsia="MS PGothic" w:hAnsi="Book Antiqua" w:cs="Times New Roman"/>
                <w:kern w:val="0"/>
                <w:sz w:val="24"/>
                <w:szCs w:val="24"/>
              </w:rPr>
              <w:t xml:space="preserve"> (4.3</w:t>
            </w:r>
            <w:r w:rsidRPr="00614698">
              <w:rPr>
                <w:rFonts w:ascii="Book Antiqua" w:eastAsia="MS PGothic" w:hAnsi="Book Antiqua" w:cs="Times New Roman"/>
                <w:kern w:val="0"/>
                <w:sz w:val="24"/>
                <w:szCs w:val="24"/>
              </w:rPr>
              <w:t>)</w:t>
            </w:r>
          </w:p>
        </w:tc>
        <w:tc>
          <w:tcPr>
            <w:tcW w:w="1080" w:type="dxa"/>
            <w:tcBorders>
              <w:top w:val="nil"/>
              <w:left w:val="nil"/>
              <w:bottom w:val="nil"/>
              <w:right w:val="nil"/>
            </w:tcBorders>
            <w:shd w:val="clear" w:color="auto" w:fill="auto"/>
            <w:noWrap/>
            <w:vAlign w:val="center"/>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0.6</w:t>
            </w:r>
          </w:p>
        </w:tc>
      </w:tr>
      <w:tr w:rsidR="0032119E" w:rsidRPr="00614698" w:rsidTr="00614698">
        <w:trPr>
          <w:trHeight w:val="300"/>
        </w:trPr>
        <w:tc>
          <w:tcPr>
            <w:tcW w:w="5240" w:type="dxa"/>
            <w:tcBorders>
              <w:top w:val="nil"/>
              <w:left w:val="nil"/>
              <w:bottom w:val="nil"/>
              <w:right w:val="nil"/>
            </w:tcBorders>
            <w:shd w:val="clear" w:color="auto" w:fill="auto"/>
            <w:noWrap/>
            <w:vAlign w:val="center"/>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Positive vertical margin</w:t>
            </w:r>
          </w:p>
        </w:tc>
        <w:tc>
          <w:tcPr>
            <w:tcW w:w="1758" w:type="dxa"/>
            <w:tcBorders>
              <w:top w:val="nil"/>
              <w:left w:val="nil"/>
              <w:bottom w:val="nil"/>
              <w:right w:val="nil"/>
            </w:tcBorders>
            <w:shd w:val="clear" w:color="auto" w:fill="auto"/>
            <w:noWrap/>
            <w:vAlign w:val="center"/>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1 (16.7</w:t>
            </w:r>
            <w:r w:rsidR="00850653" w:rsidRPr="00614698">
              <w:rPr>
                <w:rFonts w:ascii="Book Antiqua" w:eastAsia="MS PGothic" w:hAnsi="Book Antiqua" w:cs="Times New Roman"/>
                <w:kern w:val="0"/>
                <w:sz w:val="24"/>
                <w:szCs w:val="24"/>
              </w:rPr>
              <w:t>)</w:t>
            </w:r>
          </w:p>
        </w:tc>
        <w:tc>
          <w:tcPr>
            <w:tcW w:w="1942" w:type="dxa"/>
            <w:tcBorders>
              <w:top w:val="nil"/>
              <w:left w:val="nil"/>
              <w:bottom w:val="nil"/>
              <w:right w:val="nil"/>
            </w:tcBorders>
            <w:shd w:val="clear" w:color="auto" w:fill="auto"/>
            <w:vAlign w:val="center"/>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5 (2.3</w:t>
            </w:r>
            <w:r w:rsidR="00850653" w:rsidRPr="00614698">
              <w:rPr>
                <w:rFonts w:ascii="Book Antiqua" w:eastAsia="MS PGothic" w:hAnsi="Book Antiqua" w:cs="Times New Roman"/>
                <w:kern w:val="0"/>
                <w:sz w:val="24"/>
                <w:szCs w:val="24"/>
              </w:rPr>
              <w:t>)</w:t>
            </w:r>
          </w:p>
        </w:tc>
        <w:tc>
          <w:tcPr>
            <w:tcW w:w="1080" w:type="dxa"/>
            <w:tcBorders>
              <w:top w:val="nil"/>
              <w:left w:val="nil"/>
              <w:bottom w:val="nil"/>
              <w:right w:val="nil"/>
            </w:tcBorders>
            <w:shd w:val="clear" w:color="auto" w:fill="auto"/>
            <w:noWrap/>
            <w:vAlign w:val="center"/>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&lt;</w:t>
            </w:r>
            <w:r w:rsidR="00614698">
              <w:rPr>
                <w:rFonts w:ascii="Book Antiqua" w:eastAsia="MS PGothic" w:hAnsi="Book Antiqua" w:cs="Times New Roman"/>
                <w:kern w:val="0"/>
                <w:sz w:val="24"/>
                <w:szCs w:val="24"/>
              </w:rPr>
              <w:t xml:space="preserve"> </w:t>
            </w:r>
            <w:r w:rsidRPr="00614698">
              <w:rPr>
                <w:rFonts w:ascii="Book Antiqua" w:eastAsia="MS PGothic" w:hAnsi="Book Antiqua" w:cs="Times New Roman"/>
                <w:kern w:val="0"/>
                <w:sz w:val="24"/>
                <w:szCs w:val="24"/>
              </w:rPr>
              <w:t>0.05</w:t>
            </w:r>
          </w:p>
        </w:tc>
      </w:tr>
      <w:tr w:rsidR="0032119E" w:rsidRPr="00614698" w:rsidTr="00614698">
        <w:trPr>
          <w:trHeight w:val="300"/>
        </w:trPr>
        <w:tc>
          <w:tcPr>
            <w:tcW w:w="5240" w:type="dxa"/>
            <w:tcBorders>
              <w:top w:val="nil"/>
              <w:left w:val="nil"/>
              <w:bottom w:val="nil"/>
              <w:right w:val="nil"/>
            </w:tcBorders>
            <w:shd w:val="clear" w:color="auto" w:fill="auto"/>
            <w:noWrap/>
            <w:vAlign w:val="center"/>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Curative resection</w:t>
            </w:r>
            <w:r w:rsidR="00614698" w:rsidRPr="00614698">
              <w:rPr>
                <w:rFonts w:ascii="Book Antiqua" w:eastAsia="MS PGothic" w:hAnsi="Book Antiqua" w:cs="Times New Roman"/>
                <w:kern w:val="0"/>
                <w:sz w:val="24"/>
                <w:szCs w:val="24"/>
                <w:vertAlign w:val="superscript"/>
              </w:rPr>
              <w:t>1</w:t>
            </w:r>
          </w:p>
        </w:tc>
        <w:tc>
          <w:tcPr>
            <w:tcW w:w="1758" w:type="dxa"/>
            <w:tcBorders>
              <w:top w:val="nil"/>
              <w:left w:val="nil"/>
              <w:bottom w:val="nil"/>
              <w:right w:val="nil"/>
            </w:tcBorders>
            <w:shd w:val="clear" w:color="auto" w:fill="auto"/>
            <w:noWrap/>
            <w:vAlign w:val="center"/>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1 (16.7</w:t>
            </w:r>
            <w:r w:rsidR="00850653" w:rsidRPr="00614698">
              <w:rPr>
                <w:rFonts w:ascii="Book Antiqua" w:eastAsia="MS PGothic" w:hAnsi="Book Antiqua" w:cs="Times New Roman"/>
                <w:kern w:val="0"/>
                <w:sz w:val="24"/>
                <w:szCs w:val="24"/>
              </w:rPr>
              <w:t>)</w:t>
            </w:r>
          </w:p>
        </w:tc>
        <w:tc>
          <w:tcPr>
            <w:tcW w:w="1942" w:type="dxa"/>
            <w:tcBorders>
              <w:top w:val="nil"/>
              <w:left w:val="nil"/>
              <w:bottom w:val="nil"/>
              <w:right w:val="nil"/>
            </w:tcBorders>
            <w:shd w:val="clear" w:color="auto" w:fill="auto"/>
            <w:vAlign w:val="center"/>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186 (89.0</w:t>
            </w:r>
            <w:r w:rsidR="00850653" w:rsidRPr="00614698">
              <w:rPr>
                <w:rFonts w:ascii="Book Antiqua" w:eastAsia="MS PGothic" w:hAnsi="Book Antiqua" w:cs="Times New Roman"/>
                <w:kern w:val="0"/>
                <w:sz w:val="24"/>
                <w:szCs w:val="24"/>
              </w:rPr>
              <w:t>)</w:t>
            </w:r>
          </w:p>
        </w:tc>
        <w:tc>
          <w:tcPr>
            <w:tcW w:w="1080" w:type="dxa"/>
            <w:tcBorders>
              <w:top w:val="nil"/>
              <w:left w:val="nil"/>
              <w:bottom w:val="nil"/>
              <w:right w:val="nil"/>
            </w:tcBorders>
            <w:shd w:val="clear" w:color="auto" w:fill="auto"/>
            <w:noWrap/>
            <w:vAlign w:val="center"/>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&lt;</w:t>
            </w:r>
            <w:r w:rsidR="00614698">
              <w:rPr>
                <w:rFonts w:ascii="Book Antiqua" w:eastAsia="MS PGothic" w:hAnsi="Book Antiqua" w:cs="Times New Roman"/>
                <w:kern w:val="0"/>
                <w:sz w:val="24"/>
                <w:szCs w:val="24"/>
              </w:rPr>
              <w:t xml:space="preserve"> </w:t>
            </w:r>
            <w:r w:rsidRPr="00614698">
              <w:rPr>
                <w:rFonts w:ascii="Book Antiqua" w:eastAsia="MS PGothic" w:hAnsi="Book Antiqua" w:cs="Times New Roman"/>
                <w:kern w:val="0"/>
                <w:sz w:val="24"/>
                <w:szCs w:val="24"/>
              </w:rPr>
              <w:t>0.01</w:t>
            </w:r>
          </w:p>
        </w:tc>
      </w:tr>
      <w:tr w:rsidR="0032119E" w:rsidRPr="00614698" w:rsidTr="0032119E">
        <w:trPr>
          <w:trHeight w:val="300"/>
        </w:trPr>
        <w:tc>
          <w:tcPr>
            <w:tcW w:w="10020" w:type="dxa"/>
            <w:gridSpan w:val="4"/>
            <w:tcBorders>
              <w:top w:val="nil"/>
              <w:left w:val="nil"/>
              <w:bottom w:val="nil"/>
              <w:right w:val="nil"/>
            </w:tcBorders>
            <w:shd w:val="clear" w:color="auto" w:fill="auto"/>
            <w:noWrap/>
            <w:vAlign w:val="center"/>
          </w:tcPr>
          <w:p w:rsidR="00850653" w:rsidRPr="00614698" w:rsidRDefault="00850653" w:rsidP="00B20484">
            <w:pPr>
              <w:widowControl/>
              <w:snapToGrid w:val="0"/>
              <w:spacing w:line="360" w:lineRule="auto"/>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The following is a comparison only for SM invasive cancer</w:t>
            </w:r>
          </w:p>
        </w:tc>
      </w:tr>
      <w:tr w:rsidR="0032119E" w:rsidRPr="00614698" w:rsidTr="00614698">
        <w:trPr>
          <w:trHeight w:val="300"/>
        </w:trPr>
        <w:tc>
          <w:tcPr>
            <w:tcW w:w="5240" w:type="dxa"/>
            <w:tcBorders>
              <w:top w:val="nil"/>
              <w:left w:val="nil"/>
              <w:bottom w:val="nil"/>
              <w:right w:val="nil"/>
            </w:tcBorders>
            <w:shd w:val="clear" w:color="auto" w:fill="auto"/>
            <w:noWrap/>
            <w:vAlign w:val="center"/>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 xml:space="preserve">Number of SM invasive lesions, </w:t>
            </w:r>
            <w:r w:rsidRPr="00614698">
              <w:rPr>
                <w:rFonts w:ascii="Book Antiqua" w:eastAsia="MS PGothic" w:hAnsi="Book Antiqua" w:cs="Times New Roman"/>
                <w:i/>
                <w:kern w:val="0"/>
                <w:sz w:val="24"/>
                <w:szCs w:val="24"/>
              </w:rPr>
              <w:t>n</w:t>
            </w:r>
          </w:p>
        </w:tc>
        <w:tc>
          <w:tcPr>
            <w:tcW w:w="1758" w:type="dxa"/>
            <w:tcBorders>
              <w:top w:val="nil"/>
              <w:left w:val="nil"/>
              <w:bottom w:val="nil"/>
              <w:right w:val="nil"/>
            </w:tcBorders>
            <w:shd w:val="clear" w:color="auto" w:fill="auto"/>
            <w:noWrap/>
            <w:vAlign w:val="center"/>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4</w:t>
            </w:r>
          </w:p>
        </w:tc>
        <w:tc>
          <w:tcPr>
            <w:tcW w:w="1942" w:type="dxa"/>
            <w:tcBorders>
              <w:top w:val="nil"/>
              <w:left w:val="nil"/>
              <w:bottom w:val="nil"/>
              <w:right w:val="nil"/>
            </w:tcBorders>
            <w:shd w:val="clear" w:color="auto" w:fill="auto"/>
            <w:vAlign w:val="center"/>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24</w:t>
            </w:r>
          </w:p>
        </w:tc>
        <w:tc>
          <w:tcPr>
            <w:tcW w:w="1080" w:type="dxa"/>
            <w:tcBorders>
              <w:top w:val="nil"/>
              <w:left w:val="nil"/>
              <w:bottom w:val="nil"/>
              <w:right w:val="nil"/>
            </w:tcBorders>
            <w:shd w:val="clear" w:color="auto" w:fill="auto"/>
            <w:noWrap/>
            <w:vAlign w:val="center"/>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N/A</w:t>
            </w:r>
          </w:p>
        </w:tc>
      </w:tr>
      <w:tr w:rsidR="0032119E" w:rsidRPr="00614698" w:rsidTr="00614698">
        <w:trPr>
          <w:trHeight w:val="300"/>
        </w:trPr>
        <w:tc>
          <w:tcPr>
            <w:tcW w:w="524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Lymphatic invasion</w:t>
            </w:r>
          </w:p>
        </w:tc>
        <w:tc>
          <w:tcPr>
            <w:tcW w:w="1758" w:type="dxa"/>
            <w:tcBorders>
              <w:top w:val="nil"/>
              <w:left w:val="nil"/>
              <w:bottom w:val="nil"/>
              <w:right w:val="nil"/>
            </w:tcBorders>
            <w:shd w:val="clear" w:color="auto" w:fill="auto"/>
            <w:noWrap/>
            <w:vAlign w:val="center"/>
            <w:hideMark/>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1 (25</w:t>
            </w:r>
            <w:r w:rsidR="00850653" w:rsidRPr="00614698">
              <w:rPr>
                <w:rFonts w:ascii="Book Antiqua" w:eastAsia="MS PGothic" w:hAnsi="Book Antiqua" w:cs="Times New Roman"/>
                <w:kern w:val="0"/>
                <w:sz w:val="24"/>
                <w:szCs w:val="24"/>
              </w:rPr>
              <w:t>)</w:t>
            </w:r>
          </w:p>
        </w:tc>
        <w:tc>
          <w:tcPr>
            <w:tcW w:w="1942" w:type="dxa"/>
            <w:tcBorders>
              <w:top w:val="nil"/>
              <w:left w:val="nil"/>
              <w:bottom w:val="nil"/>
              <w:right w:val="nil"/>
            </w:tcBorders>
            <w:shd w:val="clear" w:color="auto" w:fill="auto"/>
            <w:vAlign w:val="center"/>
            <w:hideMark/>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5 (20.8</w:t>
            </w:r>
            <w:r w:rsidR="00850653" w:rsidRPr="00614698">
              <w:rPr>
                <w:rFonts w:ascii="Book Antiqua" w:eastAsia="MS PGothic" w:hAnsi="Book Antiqua" w:cs="Times New Roman"/>
                <w:kern w:val="0"/>
                <w:sz w:val="24"/>
                <w:szCs w:val="24"/>
              </w:rPr>
              <w:t>)</w:t>
            </w:r>
          </w:p>
        </w:tc>
        <w:tc>
          <w:tcPr>
            <w:tcW w:w="108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0.88</w:t>
            </w:r>
          </w:p>
        </w:tc>
      </w:tr>
      <w:tr w:rsidR="0032119E" w:rsidRPr="00614698" w:rsidTr="00614698">
        <w:trPr>
          <w:trHeight w:val="300"/>
        </w:trPr>
        <w:tc>
          <w:tcPr>
            <w:tcW w:w="524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Venous invasion</w:t>
            </w:r>
          </w:p>
        </w:tc>
        <w:tc>
          <w:tcPr>
            <w:tcW w:w="1758" w:type="dxa"/>
            <w:tcBorders>
              <w:top w:val="nil"/>
              <w:left w:val="nil"/>
              <w:bottom w:val="nil"/>
              <w:right w:val="nil"/>
            </w:tcBorders>
            <w:shd w:val="clear" w:color="auto" w:fill="auto"/>
            <w:noWrap/>
            <w:vAlign w:val="center"/>
            <w:hideMark/>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4 (100</w:t>
            </w:r>
            <w:r w:rsidR="00850653" w:rsidRPr="00614698">
              <w:rPr>
                <w:rFonts w:ascii="Book Antiqua" w:eastAsia="MS PGothic" w:hAnsi="Book Antiqua" w:cs="Times New Roman"/>
                <w:kern w:val="0"/>
                <w:sz w:val="24"/>
                <w:szCs w:val="24"/>
              </w:rPr>
              <w:t>)</w:t>
            </w:r>
          </w:p>
        </w:tc>
        <w:tc>
          <w:tcPr>
            <w:tcW w:w="1942" w:type="dxa"/>
            <w:tcBorders>
              <w:top w:val="nil"/>
              <w:left w:val="nil"/>
              <w:bottom w:val="nil"/>
              <w:right w:val="nil"/>
            </w:tcBorders>
            <w:shd w:val="clear" w:color="auto" w:fill="auto"/>
            <w:vAlign w:val="center"/>
            <w:hideMark/>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1 (4.2</w:t>
            </w:r>
            <w:r w:rsidR="00850653" w:rsidRPr="00614698">
              <w:rPr>
                <w:rFonts w:ascii="Book Antiqua" w:eastAsia="MS PGothic" w:hAnsi="Book Antiqua" w:cs="Times New Roman"/>
                <w:kern w:val="0"/>
                <w:sz w:val="24"/>
                <w:szCs w:val="24"/>
              </w:rPr>
              <w:t>)</w:t>
            </w:r>
          </w:p>
        </w:tc>
        <w:tc>
          <w:tcPr>
            <w:tcW w:w="108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&lt;</w:t>
            </w:r>
            <w:r w:rsidR="00614698">
              <w:rPr>
                <w:rFonts w:ascii="Book Antiqua" w:eastAsia="MS PGothic" w:hAnsi="Book Antiqua" w:cs="Times New Roman"/>
                <w:kern w:val="0"/>
                <w:sz w:val="24"/>
                <w:szCs w:val="24"/>
              </w:rPr>
              <w:t xml:space="preserve"> </w:t>
            </w:r>
            <w:r w:rsidRPr="00614698">
              <w:rPr>
                <w:rFonts w:ascii="Book Antiqua" w:eastAsia="MS PGothic" w:hAnsi="Book Antiqua" w:cs="Times New Roman"/>
                <w:kern w:val="0"/>
                <w:sz w:val="24"/>
                <w:szCs w:val="24"/>
              </w:rPr>
              <w:t>0.01</w:t>
            </w:r>
          </w:p>
        </w:tc>
      </w:tr>
      <w:tr w:rsidR="0032119E" w:rsidRPr="00614698" w:rsidTr="00614698">
        <w:trPr>
          <w:trHeight w:val="300"/>
        </w:trPr>
        <w:tc>
          <w:tcPr>
            <w:tcW w:w="524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Positive horizontal margin</w:t>
            </w:r>
          </w:p>
        </w:tc>
        <w:tc>
          <w:tcPr>
            <w:tcW w:w="1758"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0</w:t>
            </w:r>
          </w:p>
        </w:tc>
        <w:tc>
          <w:tcPr>
            <w:tcW w:w="1942" w:type="dxa"/>
            <w:tcBorders>
              <w:top w:val="nil"/>
              <w:left w:val="nil"/>
              <w:bottom w:val="nil"/>
              <w:right w:val="nil"/>
            </w:tcBorders>
            <w:shd w:val="clear" w:color="auto" w:fill="auto"/>
            <w:vAlign w:val="center"/>
            <w:hideMark/>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1 (4.2</w:t>
            </w:r>
            <w:r w:rsidR="00850653" w:rsidRPr="00614698">
              <w:rPr>
                <w:rFonts w:ascii="Book Antiqua" w:eastAsia="MS PGothic" w:hAnsi="Book Antiqua" w:cs="Times New Roman"/>
                <w:kern w:val="0"/>
                <w:sz w:val="24"/>
                <w:szCs w:val="24"/>
              </w:rPr>
              <w:t>)</w:t>
            </w:r>
          </w:p>
        </w:tc>
        <w:tc>
          <w:tcPr>
            <w:tcW w:w="108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0.33</w:t>
            </w:r>
          </w:p>
        </w:tc>
      </w:tr>
      <w:tr w:rsidR="0032119E" w:rsidRPr="00614698" w:rsidTr="00614698">
        <w:trPr>
          <w:trHeight w:val="300"/>
        </w:trPr>
        <w:tc>
          <w:tcPr>
            <w:tcW w:w="524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Positive vertical margin</w:t>
            </w:r>
          </w:p>
        </w:tc>
        <w:tc>
          <w:tcPr>
            <w:tcW w:w="1758" w:type="dxa"/>
            <w:tcBorders>
              <w:top w:val="nil"/>
              <w:left w:val="nil"/>
              <w:bottom w:val="nil"/>
              <w:right w:val="nil"/>
            </w:tcBorders>
            <w:shd w:val="clear" w:color="auto" w:fill="auto"/>
            <w:noWrap/>
            <w:vAlign w:val="center"/>
            <w:hideMark/>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1 (16.7</w:t>
            </w:r>
            <w:r w:rsidR="00850653" w:rsidRPr="00614698">
              <w:rPr>
                <w:rFonts w:ascii="Book Antiqua" w:eastAsia="MS PGothic" w:hAnsi="Book Antiqua" w:cs="Times New Roman"/>
                <w:kern w:val="0"/>
                <w:sz w:val="24"/>
                <w:szCs w:val="24"/>
              </w:rPr>
              <w:t>)</w:t>
            </w:r>
          </w:p>
        </w:tc>
        <w:tc>
          <w:tcPr>
            <w:tcW w:w="1942" w:type="dxa"/>
            <w:tcBorders>
              <w:top w:val="nil"/>
              <w:left w:val="nil"/>
              <w:bottom w:val="nil"/>
              <w:right w:val="nil"/>
            </w:tcBorders>
            <w:shd w:val="clear" w:color="auto" w:fill="auto"/>
            <w:vAlign w:val="center"/>
            <w:hideMark/>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2 (8.3</w:t>
            </w:r>
            <w:r w:rsidR="00850653" w:rsidRPr="00614698">
              <w:rPr>
                <w:rFonts w:ascii="Book Antiqua" w:eastAsia="MS PGothic" w:hAnsi="Book Antiqua" w:cs="Times New Roman"/>
                <w:kern w:val="0"/>
                <w:sz w:val="24"/>
                <w:szCs w:val="24"/>
              </w:rPr>
              <w:t>)</w:t>
            </w:r>
          </w:p>
        </w:tc>
        <w:tc>
          <w:tcPr>
            <w:tcW w:w="1080" w:type="dxa"/>
            <w:tcBorders>
              <w:top w:val="nil"/>
              <w:left w:val="nil"/>
              <w:bottom w:val="nil"/>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0.55</w:t>
            </w:r>
          </w:p>
        </w:tc>
      </w:tr>
      <w:tr w:rsidR="0032119E" w:rsidRPr="00614698" w:rsidTr="00614698">
        <w:trPr>
          <w:trHeight w:val="315"/>
        </w:trPr>
        <w:tc>
          <w:tcPr>
            <w:tcW w:w="5240" w:type="dxa"/>
            <w:tcBorders>
              <w:top w:val="nil"/>
              <w:left w:val="nil"/>
              <w:bottom w:val="single" w:sz="12" w:space="0" w:color="auto"/>
              <w:right w:val="nil"/>
            </w:tcBorders>
            <w:shd w:val="clear" w:color="auto" w:fill="auto"/>
            <w:noWrap/>
            <w:vAlign w:val="center"/>
            <w:hideMark/>
          </w:tcPr>
          <w:p w:rsidR="00850653" w:rsidRPr="00614698" w:rsidRDefault="00850653" w:rsidP="00B20484">
            <w:pPr>
              <w:widowControl/>
              <w:snapToGrid w:val="0"/>
              <w:spacing w:line="360" w:lineRule="auto"/>
              <w:jc w:val="left"/>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Curative resection</w:t>
            </w:r>
            <w:r w:rsidR="00614698" w:rsidRPr="00614698">
              <w:rPr>
                <w:rFonts w:ascii="Book Antiqua" w:eastAsia="MS PGothic" w:hAnsi="Book Antiqua" w:cs="Times New Roman"/>
                <w:kern w:val="0"/>
                <w:sz w:val="24"/>
                <w:szCs w:val="24"/>
                <w:vertAlign w:val="superscript"/>
              </w:rPr>
              <w:t>1</w:t>
            </w:r>
          </w:p>
        </w:tc>
        <w:tc>
          <w:tcPr>
            <w:tcW w:w="1758" w:type="dxa"/>
            <w:tcBorders>
              <w:top w:val="nil"/>
              <w:left w:val="nil"/>
              <w:bottom w:val="single" w:sz="12" w:space="0" w:color="auto"/>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0</w:t>
            </w:r>
          </w:p>
        </w:tc>
        <w:tc>
          <w:tcPr>
            <w:tcW w:w="1942" w:type="dxa"/>
            <w:tcBorders>
              <w:top w:val="nil"/>
              <w:left w:val="nil"/>
              <w:bottom w:val="single" w:sz="12" w:space="0" w:color="auto"/>
              <w:right w:val="nil"/>
            </w:tcBorders>
            <w:shd w:val="clear" w:color="auto" w:fill="auto"/>
            <w:vAlign w:val="center"/>
            <w:hideMark/>
          </w:tcPr>
          <w:p w:rsidR="00850653" w:rsidRPr="00614698" w:rsidRDefault="00C326A8" w:rsidP="00B20484">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12 (50</w:t>
            </w:r>
            <w:r w:rsidR="00850653" w:rsidRPr="00614698">
              <w:rPr>
                <w:rFonts w:ascii="Book Antiqua" w:eastAsia="MS PGothic" w:hAnsi="Book Antiqua" w:cs="Times New Roman"/>
                <w:kern w:val="0"/>
                <w:sz w:val="24"/>
                <w:szCs w:val="24"/>
              </w:rPr>
              <w:t>)</w:t>
            </w:r>
          </w:p>
        </w:tc>
        <w:tc>
          <w:tcPr>
            <w:tcW w:w="1080" w:type="dxa"/>
            <w:tcBorders>
              <w:top w:val="nil"/>
              <w:left w:val="nil"/>
              <w:bottom w:val="single" w:sz="12" w:space="0" w:color="auto"/>
              <w:right w:val="nil"/>
            </w:tcBorders>
            <w:shd w:val="clear" w:color="auto" w:fill="auto"/>
            <w:noWrap/>
            <w:vAlign w:val="center"/>
            <w:hideMark/>
          </w:tcPr>
          <w:p w:rsidR="00850653" w:rsidRPr="00614698" w:rsidRDefault="00850653" w:rsidP="00B20484">
            <w:pPr>
              <w:widowControl/>
              <w:snapToGrid w:val="0"/>
              <w:spacing w:line="360" w:lineRule="auto"/>
              <w:jc w:val="center"/>
              <w:rPr>
                <w:rFonts w:ascii="Book Antiqua" w:eastAsia="MS PGothic" w:hAnsi="Book Antiqua" w:cs="Times New Roman"/>
                <w:kern w:val="0"/>
                <w:sz w:val="24"/>
                <w:szCs w:val="24"/>
              </w:rPr>
            </w:pPr>
            <w:r w:rsidRPr="00614698">
              <w:rPr>
                <w:rFonts w:ascii="Book Antiqua" w:eastAsia="MS PGothic" w:hAnsi="Book Antiqua" w:cs="Times New Roman"/>
                <w:kern w:val="0"/>
                <w:sz w:val="24"/>
                <w:szCs w:val="24"/>
              </w:rPr>
              <w:t>&lt;</w:t>
            </w:r>
            <w:r w:rsidR="00614698">
              <w:rPr>
                <w:rFonts w:ascii="Book Antiqua" w:eastAsia="MS PGothic" w:hAnsi="Book Antiqua" w:cs="Times New Roman"/>
                <w:kern w:val="0"/>
                <w:sz w:val="24"/>
                <w:szCs w:val="24"/>
              </w:rPr>
              <w:t xml:space="preserve"> </w:t>
            </w:r>
            <w:r w:rsidRPr="00614698">
              <w:rPr>
                <w:rFonts w:ascii="Book Antiqua" w:eastAsia="MS PGothic" w:hAnsi="Book Antiqua" w:cs="Times New Roman"/>
                <w:kern w:val="0"/>
                <w:sz w:val="24"/>
                <w:szCs w:val="24"/>
              </w:rPr>
              <w:t>0.01</w:t>
            </w:r>
          </w:p>
        </w:tc>
      </w:tr>
    </w:tbl>
    <w:p w:rsidR="00850653" w:rsidRPr="00614698" w:rsidRDefault="00614698" w:rsidP="00B20484">
      <w:pPr>
        <w:snapToGrid w:val="0"/>
        <w:spacing w:line="360" w:lineRule="auto"/>
        <w:rPr>
          <w:rFonts w:ascii="Book Antiqua" w:hAnsi="Book Antiqua"/>
          <w:sz w:val="24"/>
          <w:szCs w:val="24"/>
        </w:rPr>
      </w:pPr>
      <w:r w:rsidRPr="00614698">
        <w:rPr>
          <w:rFonts w:ascii="Book Antiqua" w:hAnsi="Book Antiqua" w:cs="Times New Roman"/>
          <w:sz w:val="24"/>
          <w:szCs w:val="24"/>
          <w:vertAlign w:val="superscript"/>
        </w:rPr>
        <w:t>1</w:t>
      </w:r>
      <w:r w:rsidRPr="0032119E">
        <w:rPr>
          <w:rFonts w:ascii="Book Antiqua" w:hAnsi="Book Antiqua" w:cs="Times New Roman"/>
          <w:sz w:val="24"/>
          <w:szCs w:val="24"/>
        </w:rPr>
        <w:t xml:space="preserve">Curative resection was according to Gastric Cancer Treatment Guidelines 2010 </w:t>
      </w:r>
      <w:r w:rsidRPr="0032119E">
        <w:rPr>
          <w:rFonts w:ascii="Book Antiqua" w:hAnsi="Book Antiqua" w:cs="Times New Roman" w:hint="eastAsia"/>
          <w:sz w:val="24"/>
          <w:szCs w:val="24"/>
        </w:rPr>
        <w:t xml:space="preserve">or 2014 </w:t>
      </w:r>
      <w:r w:rsidRPr="0032119E">
        <w:rPr>
          <w:rFonts w:ascii="Book Antiqua" w:hAnsi="Book Antiqua" w:cs="Times New Roman"/>
          <w:sz w:val="24"/>
          <w:szCs w:val="24"/>
        </w:rPr>
        <w:t>provided by the Japanese Gastric Cancer Association.</w:t>
      </w:r>
      <w:r>
        <w:rPr>
          <w:rFonts w:ascii="Book Antiqua" w:hAnsi="Book Antiqua"/>
          <w:sz w:val="24"/>
          <w:szCs w:val="24"/>
        </w:rPr>
        <w:t xml:space="preserve"> </w:t>
      </w:r>
      <w:r w:rsidR="00850653" w:rsidRPr="0032119E">
        <w:rPr>
          <w:rFonts w:ascii="Book Antiqua" w:hAnsi="Book Antiqua"/>
          <w:sz w:val="24"/>
          <w:szCs w:val="24"/>
        </w:rPr>
        <w:t xml:space="preserve">GCED: Gastric </w:t>
      </w:r>
      <w:r w:rsidR="00850653" w:rsidRPr="0032119E">
        <w:rPr>
          <w:rFonts w:ascii="Book Antiqua" w:hAnsi="Book Antiqua"/>
          <w:sz w:val="24"/>
          <w:szCs w:val="24"/>
        </w:rPr>
        <w:lastRenderedPageBreak/>
        <w:t>cancer with enteroblastic differentiation</w:t>
      </w:r>
      <w:r>
        <w:rPr>
          <w:rFonts w:ascii="Book Antiqua" w:hAnsi="Book Antiqua"/>
          <w:sz w:val="24"/>
          <w:szCs w:val="24"/>
        </w:rPr>
        <w:t xml:space="preserve">; </w:t>
      </w:r>
      <w:r w:rsidR="00850653" w:rsidRPr="0032119E">
        <w:rPr>
          <w:rFonts w:ascii="Book Antiqua" w:hAnsi="Book Antiqua"/>
          <w:sz w:val="24"/>
          <w:szCs w:val="24"/>
        </w:rPr>
        <w:t xml:space="preserve">CGC: </w:t>
      </w:r>
      <w:r w:rsidR="009570AD" w:rsidRPr="0032119E">
        <w:rPr>
          <w:rFonts w:ascii="Book Antiqua" w:hAnsi="Book Antiqua" w:hint="eastAsia"/>
          <w:sz w:val="24"/>
          <w:szCs w:val="24"/>
        </w:rPr>
        <w:t>Conventional gastric cancer (w</w:t>
      </w:r>
      <w:r w:rsidR="00850653" w:rsidRPr="0032119E">
        <w:rPr>
          <w:rFonts w:ascii="Book Antiqua" w:hAnsi="Book Antiqua"/>
          <w:sz w:val="24"/>
          <w:szCs w:val="24"/>
        </w:rPr>
        <w:t>ell or moderately differentiated carcinoma</w:t>
      </w:r>
      <w:r w:rsidR="009570AD" w:rsidRPr="0032119E">
        <w:rPr>
          <w:rFonts w:ascii="Book Antiqua" w:hAnsi="Book Antiqua" w:hint="eastAsia"/>
          <w:sz w:val="24"/>
          <w:szCs w:val="24"/>
        </w:rPr>
        <w:t>)</w:t>
      </w:r>
      <w:r>
        <w:rPr>
          <w:rFonts w:ascii="Book Antiqua" w:hAnsi="Book Antiqua"/>
          <w:sz w:val="24"/>
          <w:szCs w:val="24"/>
        </w:rPr>
        <w:t xml:space="preserve">; </w:t>
      </w:r>
      <w:r w:rsidR="00850653" w:rsidRPr="0032119E">
        <w:rPr>
          <w:rFonts w:ascii="Book Antiqua" w:hAnsi="Book Antiqua" w:cs="Times New Roman"/>
          <w:sz w:val="24"/>
          <w:szCs w:val="24"/>
        </w:rPr>
        <w:t xml:space="preserve">U: </w:t>
      </w:r>
      <w:r w:rsidR="00850653" w:rsidRPr="00614698">
        <w:rPr>
          <w:rFonts w:ascii="Book Antiqua" w:hAnsi="Book Antiqua" w:cs="Times New Roman"/>
          <w:caps/>
          <w:sz w:val="24"/>
          <w:szCs w:val="24"/>
        </w:rPr>
        <w:t>u</w:t>
      </w:r>
      <w:r w:rsidR="00850653" w:rsidRPr="0032119E">
        <w:rPr>
          <w:rFonts w:ascii="Book Antiqua" w:hAnsi="Book Antiqua" w:cs="Times New Roman"/>
          <w:sz w:val="24"/>
          <w:szCs w:val="24"/>
        </w:rPr>
        <w:t>pper third of stomach</w:t>
      </w:r>
      <w:r>
        <w:rPr>
          <w:rFonts w:ascii="Book Antiqua" w:hAnsi="Book Antiqua" w:cs="Times New Roman"/>
          <w:sz w:val="24"/>
          <w:szCs w:val="24"/>
        </w:rPr>
        <w:t xml:space="preserve">; </w:t>
      </w:r>
      <w:r w:rsidR="00850653" w:rsidRPr="0032119E">
        <w:rPr>
          <w:rFonts w:ascii="Book Antiqua" w:hAnsi="Book Antiqua" w:cs="Times New Roman"/>
          <w:sz w:val="24"/>
          <w:szCs w:val="24"/>
        </w:rPr>
        <w:t xml:space="preserve">M: </w:t>
      </w:r>
      <w:r w:rsidR="00850653" w:rsidRPr="00614698">
        <w:rPr>
          <w:rFonts w:ascii="Book Antiqua" w:hAnsi="Book Antiqua" w:cs="Times New Roman"/>
          <w:caps/>
          <w:sz w:val="24"/>
          <w:szCs w:val="24"/>
        </w:rPr>
        <w:t>m</w:t>
      </w:r>
      <w:r w:rsidR="00850653" w:rsidRPr="0032119E">
        <w:rPr>
          <w:rFonts w:ascii="Book Antiqua" w:hAnsi="Book Antiqua" w:cs="Times New Roman"/>
          <w:sz w:val="24"/>
          <w:szCs w:val="24"/>
        </w:rPr>
        <w:t>iddle third of stomach</w:t>
      </w:r>
      <w:r>
        <w:rPr>
          <w:rFonts w:ascii="Book Antiqua" w:hAnsi="Book Antiqua" w:cs="Times New Roman"/>
          <w:sz w:val="24"/>
          <w:szCs w:val="24"/>
        </w:rPr>
        <w:t xml:space="preserve">; </w:t>
      </w:r>
      <w:r w:rsidR="00850653" w:rsidRPr="0032119E">
        <w:rPr>
          <w:rFonts w:ascii="Book Antiqua" w:hAnsi="Book Antiqua" w:cs="Times New Roman"/>
          <w:sz w:val="24"/>
          <w:szCs w:val="24"/>
        </w:rPr>
        <w:t xml:space="preserve">L: </w:t>
      </w:r>
      <w:r w:rsidR="00850653" w:rsidRPr="00614698">
        <w:rPr>
          <w:rFonts w:ascii="Book Antiqua" w:hAnsi="Book Antiqua" w:cs="Times New Roman"/>
          <w:caps/>
          <w:sz w:val="24"/>
          <w:szCs w:val="24"/>
        </w:rPr>
        <w:t>l</w:t>
      </w:r>
      <w:r w:rsidR="00850653" w:rsidRPr="0032119E">
        <w:rPr>
          <w:rFonts w:ascii="Book Antiqua" w:hAnsi="Book Antiqua" w:cs="Times New Roman"/>
          <w:sz w:val="24"/>
          <w:szCs w:val="24"/>
        </w:rPr>
        <w:t>ower third of stomach</w:t>
      </w:r>
      <w:r>
        <w:rPr>
          <w:rFonts w:ascii="Book Antiqua" w:hAnsi="Book Antiqua" w:cs="Times New Roman"/>
          <w:sz w:val="24"/>
          <w:szCs w:val="24"/>
        </w:rPr>
        <w:t xml:space="preserve">; </w:t>
      </w:r>
      <w:r w:rsidR="00850653" w:rsidRPr="0032119E">
        <w:rPr>
          <w:rFonts w:ascii="Book Antiqua" w:hAnsi="Book Antiqua" w:cs="Times New Roman"/>
          <w:sz w:val="24"/>
          <w:szCs w:val="24"/>
        </w:rPr>
        <w:t xml:space="preserve">M: </w:t>
      </w:r>
      <w:r w:rsidR="00850653" w:rsidRPr="00614698">
        <w:rPr>
          <w:rFonts w:ascii="Book Antiqua" w:hAnsi="Book Antiqua" w:cs="Times New Roman"/>
          <w:caps/>
          <w:sz w:val="24"/>
          <w:szCs w:val="24"/>
        </w:rPr>
        <w:t>m</w:t>
      </w:r>
      <w:r w:rsidR="00850653" w:rsidRPr="0032119E">
        <w:rPr>
          <w:rFonts w:ascii="Book Antiqua" w:hAnsi="Book Antiqua" w:cs="Times New Roman"/>
          <w:sz w:val="24"/>
          <w:szCs w:val="24"/>
        </w:rPr>
        <w:t>ucosa</w:t>
      </w:r>
      <w:r>
        <w:rPr>
          <w:rFonts w:ascii="Book Antiqua" w:hAnsi="Book Antiqua" w:cs="Times New Roman"/>
          <w:sz w:val="24"/>
          <w:szCs w:val="24"/>
        </w:rPr>
        <w:t xml:space="preserve">; </w:t>
      </w:r>
      <w:r w:rsidR="00850653" w:rsidRPr="0032119E">
        <w:rPr>
          <w:rFonts w:ascii="Book Antiqua" w:hAnsi="Book Antiqua" w:cs="Times New Roman"/>
          <w:sz w:val="24"/>
          <w:szCs w:val="24"/>
        </w:rPr>
        <w:t xml:space="preserve">SM: </w:t>
      </w:r>
      <w:r w:rsidR="00850653" w:rsidRPr="00614698">
        <w:rPr>
          <w:rFonts w:ascii="Book Antiqua" w:hAnsi="Book Antiqua" w:cs="Times New Roman"/>
          <w:caps/>
          <w:sz w:val="24"/>
          <w:szCs w:val="24"/>
        </w:rPr>
        <w:t>s</w:t>
      </w:r>
      <w:r w:rsidR="00850653" w:rsidRPr="0032119E">
        <w:rPr>
          <w:rFonts w:ascii="Book Antiqua" w:hAnsi="Book Antiqua" w:cs="Times New Roman"/>
          <w:sz w:val="24"/>
          <w:szCs w:val="24"/>
        </w:rPr>
        <w:t>ubmucosa</w:t>
      </w:r>
      <w:r>
        <w:rPr>
          <w:rFonts w:ascii="Book Antiqua" w:hAnsi="Book Antiqua" w:cs="Times New Roman"/>
          <w:sz w:val="24"/>
          <w:szCs w:val="24"/>
        </w:rPr>
        <w:t>.</w:t>
      </w:r>
    </w:p>
    <w:p w:rsidR="00614698" w:rsidRDefault="00614698" w:rsidP="00B20484">
      <w:pPr>
        <w:widowControl/>
        <w:snapToGrid w:val="0"/>
        <w:spacing w:line="360" w:lineRule="auto"/>
        <w:jc w:val="left"/>
        <w:rPr>
          <w:rFonts w:ascii="Book Antiqua" w:hAnsi="Book Antiqua"/>
          <w:b/>
          <w:sz w:val="24"/>
          <w:szCs w:val="24"/>
        </w:rPr>
      </w:pPr>
      <w:r>
        <w:rPr>
          <w:rFonts w:ascii="Book Antiqua" w:hAnsi="Book Antiqua"/>
          <w:b/>
          <w:sz w:val="24"/>
          <w:szCs w:val="24"/>
        </w:rPr>
        <w:br w:type="page"/>
      </w:r>
    </w:p>
    <w:p w:rsidR="00D17530" w:rsidRDefault="00D17530" w:rsidP="00B20484">
      <w:pPr>
        <w:snapToGrid w:val="0"/>
        <w:spacing w:line="360" w:lineRule="auto"/>
        <w:rPr>
          <w:rFonts w:ascii="Book Antiqua" w:hAnsi="Book Antiqua"/>
          <w:b/>
          <w:sz w:val="24"/>
          <w:szCs w:val="24"/>
        </w:rPr>
      </w:pPr>
      <w:r>
        <w:rPr>
          <w:noProof/>
          <w:lang w:eastAsia="zh-CN"/>
        </w:rPr>
        <w:lastRenderedPageBreak/>
        <w:drawing>
          <wp:inline distT="0" distB="0" distL="0" distR="0" wp14:anchorId="0C054D03" wp14:editId="42683479">
            <wp:extent cx="5400040" cy="1578762"/>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1578762"/>
                    </a:xfrm>
                    <a:prstGeom prst="rect">
                      <a:avLst/>
                    </a:prstGeom>
                  </pic:spPr>
                </pic:pic>
              </a:graphicData>
            </a:graphic>
          </wp:inline>
        </w:drawing>
      </w:r>
    </w:p>
    <w:p w:rsidR="00040A5F" w:rsidRPr="0032119E" w:rsidRDefault="00040A5F" w:rsidP="00B20484">
      <w:pPr>
        <w:snapToGrid w:val="0"/>
        <w:spacing w:line="360" w:lineRule="auto"/>
        <w:rPr>
          <w:rFonts w:ascii="Book Antiqua" w:hAnsi="Book Antiqua"/>
          <w:sz w:val="24"/>
          <w:szCs w:val="24"/>
        </w:rPr>
      </w:pPr>
      <w:r w:rsidRPr="0032119E">
        <w:rPr>
          <w:rFonts w:ascii="Book Antiqua" w:hAnsi="Book Antiqua"/>
          <w:b/>
          <w:sz w:val="24"/>
          <w:szCs w:val="24"/>
        </w:rPr>
        <w:t>Figure 1</w:t>
      </w:r>
      <w:r w:rsidR="00D17530">
        <w:rPr>
          <w:rFonts w:ascii="Book Antiqua" w:hAnsi="Book Antiqua"/>
          <w:b/>
          <w:sz w:val="24"/>
          <w:szCs w:val="24"/>
        </w:rPr>
        <w:t xml:space="preserve"> </w:t>
      </w:r>
      <w:r w:rsidRPr="0032119E">
        <w:rPr>
          <w:rFonts w:ascii="Book Antiqua" w:hAnsi="Book Antiqua"/>
          <w:b/>
          <w:sz w:val="24"/>
          <w:szCs w:val="24"/>
        </w:rPr>
        <w:t>Endoscopic findings (case 1)</w:t>
      </w:r>
      <w:r w:rsidRPr="0032119E">
        <w:rPr>
          <w:rFonts w:ascii="Book Antiqua" w:hAnsi="Book Antiqua" w:hint="eastAsia"/>
          <w:b/>
          <w:sz w:val="24"/>
          <w:szCs w:val="24"/>
        </w:rPr>
        <w:t xml:space="preserve">. </w:t>
      </w:r>
      <w:r w:rsidRPr="0032119E">
        <w:rPr>
          <w:rFonts w:ascii="Book Antiqua" w:hAnsi="Book Antiqua"/>
          <w:sz w:val="24"/>
          <w:szCs w:val="24"/>
        </w:rPr>
        <w:t>A: Endoscopic examination with a white light image revealed a 10 mm reddish depressed lesion on the posterior wall in the middle third of the stomach. There were no specific features of deep submucosal invasion.</w:t>
      </w:r>
      <w:r w:rsidRPr="0032119E">
        <w:rPr>
          <w:rFonts w:ascii="Book Antiqua" w:hAnsi="Book Antiqua" w:hint="eastAsia"/>
          <w:sz w:val="24"/>
          <w:szCs w:val="24"/>
        </w:rPr>
        <w:t xml:space="preserve"> </w:t>
      </w:r>
      <w:r w:rsidRPr="0032119E">
        <w:rPr>
          <w:rFonts w:ascii="Book Antiqua" w:hAnsi="Book Antiqua"/>
          <w:sz w:val="24"/>
          <w:szCs w:val="24"/>
        </w:rPr>
        <w:t>B: Endoscopic examination with narrow band imaging (NBI). A demarcation line was clearly present between a depressed lesion and the surrounding mucosa.</w:t>
      </w:r>
      <w:r w:rsidRPr="0032119E">
        <w:rPr>
          <w:rFonts w:ascii="Book Antiqua" w:hAnsi="Book Antiqua" w:hint="eastAsia"/>
          <w:sz w:val="24"/>
          <w:szCs w:val="24"/>
        </w:rPr>
        <w:t xml:space="preserve"> </w:t>
      </w:r>
      <w:r w:rsidRPr="0032119E">
        <w:rPr>
          <w:rFonts w:ascii="Book Antiqua" w:hAnsi="Book Antiqua"/>
          <w:sz w:val="24"/>
          <w:szCs w:val="24"/>
        </w:rPr>
        <w:t>C:</w:t>
      </w:r>
      <w:r w:rsidRPr="0032119E">
        <w:rPr>
          <w:rFonts w:ascii="Book Antiqua" w:hAnsi="Book Antiqua" w:hint="eastAsia"/>
          <w:sz w:val="24"/>
          <w:szCs w:val="24"/>
        </w:rPr>
        <w:t xml:space="preserve"> </w:t>
      </w:r>
      <w:r w:rsidRPr="0032119E">
        <w:rPr>
          <w:rFonts w:ascii="Book Antiqua" w:hAnsi="Book Antiqua"/>
          <w:sz w:val="24"/>
          <w:szCs w:val="24"/>
        </w:rPr>
        <w:t>Magnifying endoscopy with NBI findings. Within the demarcation line, an irregular microvascular pattern (bizarre and tortuous vessel) and an irregular microsurface pattern (curved marginal crypt epithelium) are demonstrated. There wer</w:t>
      </w:r>
      <w:r w:rsidR="00822FC8">
        <w:rPr>
          <w:rFonts w:ascii="Book Antiqua" w:hAnsi="Book Antiqua"/>
          <w:sz w:val="24"/>
          <w:szCs w:val="24"/>
        </w:rPr>
        <w:t xml:space="preserve">e no specific features of GCED. </w:t>
      </w:r>
      <w:r w:rsidR="00822FC8" w:rsidRPr="0032119E">
        <w:rPr>
          <w:rFonts w:ascii="Book Antiqua" w:hAnsi="Book Antiqua"/>
          <w:sz w:val="24"/>
          <w:szCs w:val="24"/>
        </w:rPr>
        <w:t>GCED: Gastric cancer with enteroblastic differentiation</w:t>
      </w:r>
      <w:r w:rsidR="00822FC8">
        <w:rPr>
          <w:rFonts w:ascii="Book Antiqua" w:hAnsi="Book Antiqua"/>
          <w:sz w:val="24"/>
          <w:szCs w:val="24"/>
        </w:rPr>
        <w:t>.</w:t>
      </w:r>
    </w:p>
    <w:p w:rsidR="00D17530" w:rsidRDefault="00D17530" w:rsidP="00B20484">
      <w:pPr>
        <w:widowControl/>
        <w:snapToGrid w:val="0"/>
        <w:spacing w:line="360" w:lineRule="auto"/>
        <w:jc w:val="left"/>
        <w:rPr>
          <w:rFonts w:ascii="Book Antiqua" w:hAnsi="Book Antiqua"/>
          <w:b/>
          <w:sz w:val="24"/>
          <w:szCs w:val="24"/>
        </w:rPr>
      </w:pPr>
      <w:r>
        <w:rPr>
          <w:rFonts w:ascii="Book Antiqua" w:hAnsi="Book Antiqua"/>
          <w:b/>
          <w:sz w:val="24"/>
          <w:szCs w:val="24"/>
        </w:rPr>
        <w:br w:type="page"/>
      </w:r>
    </w:p>
    <w:p w:rsidR="00D17530" w:rsidRDefault="00D17530" w:rsidP="00B20484">
      <w:pPr>
        <w:snapToGrid w:val="0"/>
        <w:spacing w:line="360" w:lineRule="auto"/>
        <w:rPr>
          <w:rFonts w:ascii="Book Antiqua" w:hAnsi="Book Antiqua"/>
          <w:b/>
          <w:sz w:val="24"/>
          <w:szCs w:val="24"/>
        </w:rPr>
      </w:pPr>
      <w:r>
        <w:rPr>
          <w:noProof/>
          <w:lang w:eastAsia="zh-CN"/>
        </w:rPr>
        <w:lastRenderedPageBreak/>
        <w:drawing>
          <wp:inline distT="0" distB="0" distL="0" distR="0" wp14:anchorId="32B1CB44" wp14:editId="69CFCA37">
            <wp:extent cx="5400040" cy="40669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4066905"/>
                    </a:xfrm>
                    <a:prstGeom prst="rect">
                      <a:avLst/>
                    </a:prstGeom>
                  </pic:spPr>
                </pic:pic>
              </a:graphicData>
            </a:graphic>
          </wp:inline>
        </w:drawing>
      </w:r>
    </w:p>
    <w:p w:rsidR="00040A5F" w:rsidRPr="0032119E" w:rsidRDefault="00040A5F" w:rsidP="00B20484">
      <w:pPr>
        <w:snapToGrid w:val="0"/>
        <w:spacing w:line="360" w:lineRule="auto"/>
        <w:rPr>
          <w:rFonts w:ascii="Book Antiqua" w:hAnsi="Book Antiqua"/>
          <w:sz w:val="24"/>
          <w:szCs w:val="24"/>
        </w:rPr>
      </w:pPr>
      <w:r w:rsidRPr="0032119E">
        <w:rPr>
          <w:rFonts w:ascii="Book Antiqua" w:hAnsi="Book Antiqua"/>
          <w:b/>
          <w:sz w:val="24"/>
          <w:szCs w:val="24"/>
        </w:rPr>
        <w:t>Figure 2</w:t>
      </w:r>
      <w:r w:rsidR="00D17530">
        <w:rPr>
          <w:rFonts w:ascii="Book Antiqua" w:hAnsi="Book Antiqua"/>
          <w:b/>
          <w:sz w:val="24"/>
          <w:szCs w:val="24"/>
        </w:rPr>
        <w:t xml:space="preserve"> </w:t>
      </w:r>
      <w:r w:rsidRPr="0032119E">
        <w:rPr>
          <w:rFonts w:ascii="Book Antiqua" w:hAnsi="Book Antiqua"/>
          <w:b/>
          <w:sz w:val="24"/>
          <w:szCs w:val="24"/>
        </w:rPr>
        <w:t>Histological examination of the resected specimens with hematoxylin and eosin stain (case 1).</w:t>
      </w:r>
      <w:r w:rsidRPr="0032119E">
        <w:rPr>
          <w:rFonts w:ascii="Book Antiqua" w:hAnsi="Book Antiqua" w:hint="eastAsia"/>
          <w:b/>
          <w:sz w:val="24"/>
          <w:szCs w:val="24"/>
        </w:rPr>
        <w:t xml:space="preserve"> </w:t>
      </w:r>
      <w:r w:rsidRPr="0032119E">
        <w:rPr>
          <w:rFonts w:ascii="Book Antiqua" w:hAnsi="Book Antiqua"/>
          <w:sz w:val="24"/>
          <w:szCs w:val="24"/>
        </w:rPr>
        <w:t>A</w:t>
      </w:r>
      <w:r w:rsidR="00D547AB">
        <w:rPr>
          <w:rFonts w:ascii="Book Antiqua" w:hAnsi="Book Antiqua"/>
          <w:sz w:val="24"/>
          <w:szCs w:val="24"/>
        </w:rPr>
        <w:t xml:space="preserve"> and </w:t>
      </w:r>
      <w:r w:rsidRPr="0032119E">
        <w:rPr>
          <w:rFonts w:ascii="Book Antiqua" w:hAnsi="Book Antiqua"/>
          <w:sz w:val="24"/>
          <w:szCs w:val="24"/>
        </w:rPr>
        <w:t>B: The superficial mucosal layer was covered with a well differentiated adenocarcinoma. B-D: Carcinoma cells with clear cytoplasm had tubulopapillary growth, resembling the primitive gut. These carcinoma cells arose from the deeper part of the mucosal layer and invaded into the submucosal layer by venous invasion. There was no severe stromal reaction at the submucosal layer. Pathological diagnosis was as follows: stomach (ESD): adenocarcinoma with enteroblastic differentiation, 0-IIc, 11</w:t>
      </w:r>
      <w:r w:rsidR="00D547AB">
        <w:rPr>
          <w:rFonts w:ascii="Book Antiqua" w:hAnsi="Book Antiqua"/>
          <w:sz w:val="24"/>
          <w:szCs w:val="24"/>
        </w:rPr>
        <w:t xml:space="preserve"> </w:t>
      </w:r>
      <w:r w:rsidR="00D547AB" w:rsidRPr="0032119E">
        <w:rPr>
          <w:rFonts w:ascii="Book Antiqua" w:hAnsi="Book Antiqua"/>
          <w:sz w:val="24"/>
          <w:szCs w:val="24"/>
        </w:rPr>
        <w:t>mm</w:t>
      </w:r>
      <w:r w:rsidR="00D547AB">
        <w:rPr>
          <w:rFonts w:ascii="Book Antiqua" w:hAnsi="Book Antiqua"/>
          <w:sz w:val="24"/>
          <w:szCs w:val="24"/>
        </w:rPr>
        <w:t xml:space="preserve"> </w:t>
      </w:r>
      <w:r w:rsidR="00D547AB">
        <w:rPr>
          <w:rFonts w:ascii="Times New Roman" w:hAnsi="Times New Roman" w:cs="Times New Roman"/>
          <w:sz w:val="24"/>
          <w:szCs w:val="24"/>
        </w:rPr>
        <w:t>×</w:t>
      </w:r>
      <w:r w:rsidR="00D547AB">
        <w:rPr>
          <w:rFonts w:ascii="Book Antiqua" w:hAnsi="Book Antiqua"/>
          <w:sz w:val="24"/>
          <w:szCs w:val="24"/>
        </w:rPr>
        <w:t xml:space="preserve"> </w:t>
      </w:r>
      <w:r w:rsidRPr="0032119E">
        <w:rPr>
          <w:rFonts w:ascii="Book Antiqua" w:hAnsi="Book Antiqua"/>
          <w:sz w:val="24"/>
          <w:szCs w:val="24"/>
        </w:rPr>
        <w:t>9 mm, well-differentiated carcinoma &gt; moderately-differentiated carcinoma, papillary adenocarcinoma, SM (1500 μm), ly</w:t>
      </w:r>
      <w:r w:rsidRPr="0032119E">
        <w:rPr>
          <w:rFonts w:ascii="Book Antiqua" w:hAnsi="Book Antiqua" w:hint="eastAsia"/>
          <w:sz w:val="24"/>
          <w:szCs w:val="24"/>
        </w:rPr>
        <w:t xml:space="preserve"> </w:t>
      </w:r>
      <w:r w:rsidRPr="0032119E">
        <w:rPr>
          <w:rFonts w:ascii="Book Antiqua" w:hAnsi="Book Antiqua"/>
          <w:sz w:val="24"/>
          <w:szCs w:val="24"/>
        </w:rPr>
        <w:t>(-), v</w:t>
      </w:r>
      <w:r w:rsidRPr="0032119E">
        <w:rPr>
          <w:rFonts w:ascii="Book Antiqua" w:hAnsi="Book Antiqua" w:hint="eastAsia"/>
          <w:sz w:val="24"/>
          <w:szCs w:val="24"/>
        </w:rPr>
        <w:t xml:space="preserve"> </w:t>
      </w:r>
      <w:r w:rsidRPr="0032119E">
        <w:rPr>
          <w:rFonts w:ascii="Book Antiqua" w:hAnsi="Book Antiqua"/>
          <w:sz w:val="24"/>
          <w:szCs w:val="24"/>
        </w:rPr>
        <w:t>(+), HM0, VM0</w:t>
      </w:r>
      <w:r w:rsidR="00822FC8">
        <w:rPr>
          <w:rFonts w:ascii="Book Antiqua" w:hAnsi="Book Antiqua"/>
          <w:sz w:val="24"/>
          <w:szCs w:val="24"/>
        </w:rPr>
        <w:t xml:space="preserve">. </w:t>
      </w:r>
      <w:r w:rsidR="00822FC8" w:rsidRPr="0032119E">
        <w:rPr>
          <w:rFonts w:ascii="Book Antiqua" w:hAnsi="Book Antiqua" w:cs="Times New Roman"/>
          <w:sz w:val="24"/>
          <w:szCs w:val="24"/>
        </w:rPr>
        <w:t xml:space="preserve">SM: </w:t>
      </w:r>
      <w:r w:rsidR="00822FC8" w:rsidRPr="00614698">
        <w:rPr>
          <w:rFonts w:ascii="Book Antiqua" w:hAnsi="Book Antiqua" w:cs="Times New Roman"/>
          <w:caps/>
          <w:sz w:val="24"/>
          <w:szCs w:val="24"/>
        </w:rPr>
        <w:t>s</w:t>
      </w:r>
      <w:r w:rsidR="00822FC8" w:rsidRPr="0032119E">
        <w:rPr>
          <w:rFonts w:ascii="Book Antiqua" w:hAnsi="Book Antiqua" w:cs="Times New Roman"/>
          <w:sz w:val="24"/>
          <w:szCs w:val="24"/>
        </w:rPr>
        <w:t>ubmucosa</w:t>
      </w:r>
      <w:r w:rsidR="00822FC8">
        <w:rPr>
          <w:rFonts w:ascii="Book Antiqua" w:hAnsi="Book Antiqua" w:cs="Times New Roman"/>
          <w:sz w:val="24"/>
          <w:szCs w:val="24"/>
        </w:rPr>
        <w:t xml:space="preserve">; </w:t>
      </w:r>
      <w:r w:rsidR="00822FC8" w:rsidRPr="0032119E">
        <w:rPr>
          <w:rFonts w:ascii="Book Antiqua" w:hAnsi="Book Antiqua" w:cs="Times New Roman"/>
          <w:sz w:val="24"/>
          <w:szCs w:val="24"/>
        </w:rPr>
        <w:t xml:space="preserve">ESD: </w:t>
      </w:r>
      <w:r w:rsidR="00822FC8" w:rsidRPr="00436162">
        <w:rPr>
          <w:rFonts w:ascii="Book Antiqua" w:hAnsi="Book Antiqua" w:cs="Times New Roman"/>
          <w:caps/>
          <w:sz w:val="24"/>
          <w:szCs w:val="24"/>
        </w:rPr>
        <w:t>e</w:t>
      </w:r>
      <w:r w:rsidR="00822FC8" w:rsidRPr="0032119E">
        <w:rPr>
          <w:rFonts w:ascii="Book Antiqua" w:hAnsi="Book Antiqua" w:cs="Times New Roman"/>
          <w:sz w:val="24"/>
          <w:szCs w:val="24"/>
        </w:rPr>
        <w:t>ndoscopic submucosal dissection</w:t>
      </w:r>
      <w:r w:rsidR="00822FC8">
        <w:rPr>
          <w:rFonts w:ascii="Book Antiqua" w:hAnsi="Book Antiqua" w:cs="Times New Roman"/>
          <w:sz w:val="24"/>
          <w:szCs w:val="24"/>
        </w:rPr>
        <w:t>.</w:t>
      </w:r>
    </w:p>
    <w:p w:rsidR="00040A5F" w:rsidRPr="0032119E" w:rsidRDefault="00040A5F" w:rsidP="00B20484">
      <w:pPr>
        <w:snapToGrid w:val="0"/>
        <w:spacing w:line="360" w:lineRule="auto"/>
        <w:rPr>
          <w:rFonts w:ascii="Book Antiqua" w:hAnsi="Book Antiqua"/>
          <w:sz w:val="24"/>
          <w:szCs w:val="24"/>
        </w:rPr>
      </w:pPr>
    </w:p>
    <w:p w:rsidR="00D547AB" w:rsidRDefault="00D547AB" w:rsidP="00B20484">
      <w:pPr>
        <w:widowControl/>
        <w:snapToGrid w:val="0"/>
        <w:spacing w:line="360" w:lineRule="auto"/>
        <w:jc w:val="left"/>
        <w:rPr>
          <w:rFonts w:ascii="Book Antiqua" w:hAnsi="Book Antiqua"/>
          <w:b/>
          <w:sz w:val="24"/>
          <w:szCs w:val="24"/>
        </w:rPr>
      </w:pPr>
      <w:r>
        <w:rPr>
          <w:rFonts w:ascii="Book Antiqua" w:hAnsi="Book Antiqua"/>
          <w:b/>
          <w:sz w:val="24"/>
          <w:szCs w:val="24"/>
        </w:rPr>
        <w:br w:type="page"/>
      </w:r>
    </w:p>
    <w:p w:rsidR="00D547AB" w:rsidRDefault="00D547AB" w:rsidP="00B20484">
      <w:pPr>
        <w:snapToGrid w:val="0"/>
        <w:spacing w:line="360" w:lineRule="auto"/>
        <w:rPr>
          <w:rFonts w:ascii="Book Antiqua" w:hAnsi="Book Antiqua"/>
          <w:b/>
          <w:sz w:val="24"/>
          <w:szCs w:val="24"/>
        </w:rPr>
      </w:pPr>
      <w:r>
        <w:rPr>
          <w:noProof/>
          <w:lang w:eastAsia="zh-CN"/>
        </w:rPr>
        <w:lastRenderedPageBreak/>
        <w:drawing>
          <wp:inline distT="0" distB="0" distL="0" distR="0" wp14:anchorId="638D8A01" wp14:editId="47F42307">
            <wp:extent cx="5400040" cy="243876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2438768"/>
                    </a:xfrm>
                    <a:prstGeom prst="rect">
                      <a:avLst/>
                    </a:prstGeom>
                  </pic:spPr>
                </pic:pic>
              </a:graphicData>
            </a:graphic>
          </wp:inline>
        </w:drawing>
      </w:r>
    </w:p>
    <w:p w:rsidR="00040A5F" w:rsidRPr="00D547AB" w:rsidRDefault="00040A5F" w:rsidP="00B20484">
      <w:pPr>
        <w:snapToGrid w:val="0"/>
        <w:spacing w:line="360" w:lineRule="auto"/>
        <w:rPr>
          <w:rFonts w:ascii="Book Antiqua" w:hAnsi="Book Antiqua"/>
          <w:sz w:val="24"/>
          <w:szCs w:val="24"/>
        </w:rPr>
      </w:pPr>
      <w:r w:rsidRPr="0032119E">
        <w:rPr>
          <w:rFonts w:ascii="Book Antiqua" w:hAnsi="Book Antiqua"/>
          <w:b/>
          <w:sz w:val="24"/>
          <w:szCs w:val="24"/>
        </w:rPr>
        <w:t>Figure 3</w:t>
      </w:r>
      <w:r w:rsidR="00D547AB">
        <w:rPr>
          <w:rFonts w:ascii="Book Antiqua" w:hAnsi="Book Antiqua"/>
          <w:b/>
          <w:sz w:val="24"/>
          <w:szCs w:val="24"/>
        </w:rPr>
        <w:t xml:space="preserve"> </w:t>
      </w:r>
      <w:r w:rsidRPr="0032119E">
        <w:rPr>
          <w:rFonts w:ascii="Book Antiqua" w:hAnsi="Book Antiqua"/>
          <w:b/>
          <w:sz w:val="24"/>
          <w:szCs w:val="24"/>
        </w:rPr>
        <w:t xml:space="preserve">Immunohistochemical examination of resected specimens (case 1). </w:t>
      </w:r>
      <w:r w:rsidRPr="0032119E">
        <w:rPr>
          <w:rFonts w:ascii="Book Antiqua" w:hAnsi="Book Antiqua"/>
          <w:sz w:val="24"/>
          <w:szCs w:val="24"/>
        </w:rPr>
        <w:t>A: MUC2; B: MUC5AC; C: MUC6; D: CD10; E: AFP; F: Glypican 3; G: SALL 4. The lesion had focal positivity for MUC6, diffuse positivity for CD10, weak positivity for Glypican</w:t>
      </w:r>
      <w:r w:rsidR="00016AC3">
        <w:rPr>
          <w:rFonts w:ascii="Book Antiqua" w:hAnsi="Book Antiqua"/>
          <w:sz w:val="24"/>
          <w:szCs w:val="24"/>
        </w:rPr>
        <w:t xml:space="preserve"> </w:t>
      </w:r>
      <w:r w:rsidRPr="0032119E">
        <w:rPr>
          <w:rFonts w:ascii="Book Antiqua" w:hAnsi="Book Antiqua"/>
          <w:sz w:val="24"/>
          <w:szCs w:val="24"/>
        </w:rPr>
        <w:t>3 and negative staining f</w:t>
      </w:r>
      <w:r w:rsidR="00D547AB">
        <w:rPr>
          <w:rFonts w:ascii="Book Antiqua" w:hAnsi="Book Antiqua"/>
          <w:sz w:val="24"/>
          <w:szCs w:val="24"/>
        </w:rPr>
        <w:t>or MUC2, MUC5AC, AFP and SALL4.</w:t>
      </w:r>
    </w:p>
    <w:sectPr w:rsidR="00040A5F" w:rsidRPr="00D547A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F1A" w:rsidRDefault="00E22F1A" w:rsidP="007E5D1B">
      <w:r>
        <w:separator/>
      </w:r>
    </w:p>
  </w:endnote>
  <w:endnote w:type="continuationSeparator" w:id="0">
    <w:p w:rsidR="00E22F1A" w:rsidRDefault="00E22F1A" w:rsidP="007E5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F1A" w:rsidRDefault="00E22F1A" w:rsidP="007E5D1B">
      <w:r>
        <w:separator/>
      </w:r>
    </w:p>
  </w:footnote>
  <w:footnote w:type="continuationSeparator" w:id="0">
    <w:p w:rsidR="00E22F1A" w:rsidRDefault="00E22F1A" w:rsidP="007E5D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A4F56"/>
    <w:rsid w:val="00000974"/>
    <w:rsid w:val="00000AA0"/>
    <w:rsid w:val="00002C26"/>
    <w:rsid w:val="000037C3"/>
    <w:rsid w:val="00003FE2"/>
    <w:rsid w:val="00006008"/>
    <w:rsid w:val="00006526"/>
    <w:rsid w:val="00010FC1"/>
    <w:rsid w:val="000135AA"/>
    <w:rsid w:val="00015240"/>
    <w:rsid w:val="00015F73"/>
    <w:rsid w:val="00016AC3"/>
    <w:rsid w:val="00017742"/>
    <w:rsid w:val="0002110D"/>
    <w:rsid w:val="00021359"/>
    <w:rsid w:val="00021D7C"/>
    <w:rsid w:val="000221E6"/>
    <w:rsid w:val="000256C2"/>
    <w:rsid w:val="00027F07"/>
    <w:rsid w:val="00031AB2"/>
    <w:rsid w:val="00031BED"/>
    <w:rsid w:val="000326EC"/>
    <w:rsid w:val="000342A9"/>
    <w:rsid w:val="00034C14"/>
    <w:rsid w:val="000355EB"/>
    <w:rsid w:val="00035782"/>
    <w:rsid w:val="00035D4D"/>
    <w:rsid w:val="0003753A"/>
    <w:rsid w:val="00037A03"/>
    <w:rsid w:val="00040A5F"/>
    <w:rsid w:val="00043C65"/>
    <w:rsid w:val="00044F10"/>
    <w:rsid w:val="00045FF4"/>
    <w:rsid w:val="00051D0E"/>
    <w:rsid w:val="000520A9"/>
    <w:rsid w:val="000534CE"/>
    <w:rsid w:val="00053F1F"/>
    <w:rsid w:val="0005637A"/>
    <w:rsid w:val="00056B25"/>
    <w:rsid w:val="000578C4"/>
    <w:rsid w:val="0006071E"/>
    <w:rsid w:val="00063924"/>
    <w:rsid w:val="000640D4"/>
    <w:rsid w:val="000641BB"/>
    <w:rsid w:val="00064864"/>
    <w:rsid w:val="000649D7"/>
    <w:rsid w:val="00064D9B"/>
    <w:rsid w:val="0006665A"/>
    <w:rsid w:val="000669BA"/>
    <w:rsid w:val="00067AF1"/>
    <w:rsid w:val="00070246"/>
    <w:rsid w:val="0007165E"/>
    <w:rsid w:val="00072CEB"/>
    <w:rsid w:val="00072E6E"/>
    <w:rsid w:val="0007370D"/>
    <w:rsid w:val="00075815"/>
    <w:rsid w:val="0007681C"/>
    <w:rsid w:val="00080139"/>
    <w:rsid w:val="00093E69"/>
    <w:rsid w:val="00095225"/>
    <w:rsid w:val="00096157"/>
    <w:rsid w:val="000A18C8"/>
    <w:rsid w:val="000A1D55"/>
    <w:rsid w:val="000A6865"/>
    <w:rsid w:val="000B1290"/>
    <w:rsid w:val="000B6096"/>
    <w:rsid w:val="000B64EB"/>
    <w:rsid w:val="000B664C"/>
    <w:rsid w:val="000C0605"/>
    <w:rsid w:val="000C22D6"/>
    <w:rsid w:val="000C3B99"/>
    <w:rsid w:val="000C7FE2"/>
    <w:rsid w:val="000D11D2"/>
    <w:rsid w:val="000D4325"/>
    <w:rsid w:val="000D6F60"/>
    <w:rsid w:val="000D73D6"/>
    <w:rsid w:val="000E41B6"/>
    <w:rsid w:val="000E6830"/>
    <w:rsid w:val="000E727D"/>
    <w:rsid w:val="000E7C9A"/>
    <w:rsid w:val="000F01AC"/>
    <w:rsid w:val="000F120F"/>
    <w:rsid w:val="000F3655"/>
    <w:rsid w:val="000F5734"/>
    <w:rsid w:val="000F6547"/>
    <w:rsid w:val="000F7253"/>
    <w:rsid w:val="001047B7"/>
    <w:rsid w:val="001057A0"/>
    <w:rsid w:val="00107DDF"/>
    <w:rsid w:val="001100E9"/>
    <w:rsid w:val="001111C3"/>
    <w:rsid w:val="00111C03"/>
    <w:rsid w:val="001135F5"/>
    <w:rsid w:val="001146E5"/>
    <w:rsid w:val="00115209"/>
    <w:rsid w:val="00123C22"/>
    <w:rsid w:val="00125382"/>
    <w:rsid w:val="0012582C"/>
    <w:rsid w:val="00130923"/>
    <w:rsid w:val="00130F3E"/>
    <w:rsid w:val="001319F0"/>
    <w:rsid w:val="0013351B"/>
    <w:rsid w:val="00133D67"/>
    <w:rsid w:val="001344BE"/>
    <w:rsid w:val="00136030"/>
    <w:rsid w:val="00137C44"/>
    <w:rsid w:val="001410BD"/>
    <w:rsid w:val="001422F7"/>
    <w:rsid w:val="001427CF"/>
    <w:rsid w:val="00142EC9"/>
    <w:rsid w:val="0014334E"/>
    <w:rsid w:val="00143629"/>
    <w:rsid w:val="00144259"/>
    <w:rsid w:val="00144A39"/>
    <w:rsid w:val="0014707F"/>
    <w:rsid w:val="001473C3"/>
    <w:rsid w:val="0015093E"/>
    <w:rsid w:val="00151BF0"/>
    <w:rsid w:val="00152315"/>
    <w:rsid w:val="00152C53"/>
    <w:rsid w:val="0015401A"/>
    <w:rsid w:val="00154439"/>
    <w:rsid w:val="00154C97"/>
    <w:rsid w:val="00157BEB"/>
    <w:rsid w:val="00163D32"/>
    <w:rsid w:val="00164C04"/>
    <w:rsid w:val="00164C6F"/>
    <w:rsid w:val="00165271"/>
    <w:rsid w:val="00166791"/>
    <w:rsid w:val="00166927"/>
    <w:rsid w:val="00166FE9"/>
    <w:rsid w:val="00172CD1"/>
    <w:rsid w:val="00177D84"/>
    <w:rsid w:val="00181054"/>
    <w:rsid w:val="001871D7"/>
    <w:rsid w:val="00190404"/>
    <w:rsid w:val="00191BAA"/>
    <w:rsid w:val="00195CD1"/>
    <w:rsid w:val="00196281"/>
    <w:rsid w:val="001A2889"/>
    <w:rsid w:val="001A387F"/>
    <w:rsid w:val="001A49F0"/>
    <w:rsid w:val="001A57EC"/>
    <w:rsid w:val="001B08E9"/>
    <w:rsid w:val="001B1615"/>
    <w:rsid w:val="001B260D"/>
    <w:rsid w:val="001C0608"/>
    <w:rsid w:val="001C0962"/>
    <w:rsid w:val="001C316B"/>
    <w:rsid w:val="001C4904"/>
    <w:rsid w:val="001C556D"/>
    <w:rsid w:val="001C5FFF"/>
    <w:rsid w:val="001D0FD3"/>
    <w:rsid w:val="001D3240"/>
    <w:rsid w:val="001D3521"/>
    <w:rsid w:val="001D45C6"/>
    <w:rsid w:val="001D58AA"/>
    <w:rsid w:val="001F03AE"/>
    <w:rsid w:val="001F16E8"/>
    <w:rsid w:val="001F69C4"/>
    <w:rsid w:val="002026B7"/>
    <w:rsid w:val="00205955"/>
    <w:rsid w:val="00210C85"/>
    <w:rsid w:val="002111ED"/>
    <w:rsid w:val="0021363F"/>
    <w:rsid w:val="00213807"/>
    <w:rsid w:val="00214C9B"/>
    <w:rsid w:val="00214E76"/>
    <w:rsid w:val="00215BD8"/>
    <w:rsid w:val="00216305"/>
    <w:rsid w:val="0021679A"/>
    <w:rsid w:val="00217C19"/>
    <w:rsid w:val="002236B0"/>
    <w:rsid w:val="002241EA"/>
    <w:rsid w:val="002257B5"/>
    <w:rsid w:val="002258C9"/>
    <w:rsid w:val="002259BA"/>
    <w:rsid w:val="002270B1"/>
    <w:rsid w:val="00235830"/>
    <w:rsid w:val="0023709D"/>
    <w:rsid w:val="00237BA3"/>
    <w:rsid w:val="00240019"/>
    <w:rsid w:val="00240975"/>
    <w:rsid w:val="002409A0"/>
    <w:rsid w:val="00242AEE"/>
    <w:rsid w:val="00242F62"/>
    <w:rsid w:val="00250B6D"/>
    <w:rsid w:val="00253E54"/>
    <w:rsid w:val="0025411A"/>
    <w:rsid w:val="00256B70"/>
    <w:rsid w:val="002602C5"/>
    <w:rsid w:val="00260366"/>
    <w:rsid w:val="002675EE"/>
    <w:rsid w:val="00270814"/>
    <w:rsid w:val="0027287F"/>
    <w:rsid w:val="0027419B"/>
    <w:rsid w:val="00275BED"/>
    <w:rsid w:val="00275D17"/>
    <w:rsid w:val="00275EFB"/>
    <w:rsid w:val="0027669E"/>
    <w:rsid w:val="0027712B"/>
    <w:rsid w:val="00277F5C"/>
    <w:rsid w:val="00282DAB"/>
    <w:rsid w:val="002833F3"/>
    <w:rsid w:val="00284CE0"/>
    <w:rsid w:val="0028545A"/>
    <w:rsid w:val="0028605B"/>
    <w:rsid w:val="00287091"/>
    <w:rsid w:val="00287417"/>
    <w:rsid w:val="00290093"/>
    <w:rsid w:val="00291265"/>
    <w:rsid w:val="00292ABF"/>
    <w:rsid w:val="0029352D"/>
    <w:rsid w:val="00296010"/>
    <w:rsid w:val="00296C46"/>
    <w:rsid w:val="002A4AE1"/>
    <w:rsid w:val="002A61A9"/>
    <w:rsid w:val="002A6325"/>
    <w:rsid w:val="002B01E2"/>
    <w:rsid w:val="002B4861"/>
    <w:rsid w:val="002B54D6"/>
    <w:rsid w:val="002C0648"/>
    <w:rsid w:val="002C2D3B"/>
    <w:rsid w:val="002C337E"/>
    <w:rsid w:val="002C41F6"/>
    <w:rsid w:val="002C49E2"/>
    <w:rsid w:val="002C70FE"/>
    <w:rsid w:val="002D1893"/>
    <w:rsid w:val="002D3469"/>
    <w:rsid w:val="002D5463"/>
    <w:rsid w:val="002D551E"/>
    <w:rsid w:val="002E4E7D"/>
    <w:rsid w:val="002E5510"/>
    <w:rsid w:val="002E56F1"/>
    <w:rsid w:val="002E6E13"/>
    <w:rsid w:val="002F0DE7"/>
    <w:rsid w:val="002F1645"/>
    <w:rsid w:val="002F1936"/>
    <w:rsid w:val="002F4341"/>
    <w:rsid w:val="002F5AE7"/>
    <w:rsid w:val="002F6410"/>
    <w:rsid w:val="00302B17"/>
    <w:rsid w:val="00302EE3"/>
    <w:rsid w:val="003041C0"/>
    <w:rsid w:val="00304BDB"/>
    <w:rsid w:val="0030555F"/>
    <w:rsid w:val="003060FA"/>
    <w:rsid w:val="00311679"/>
    <w:rsid w:val="00311AA8"/>
    <w:rsid w:val="00312CBC"/>
    <w:rsid w:val="00313B57"/>
    <w:rsid w:val="00315EEC"/>
    <w:rsid w:val="00316410"/>
    <w:rsid w:val="003175DF"/>
    <w:rsid w:val="0032119E"/>
    <w:rsid w:val="00322B1A"/>
    <w:rsid w:val="003236AD"/>
    <w:rsid w:val="00326EA9"/>
    <w:rsid w:val="00327E16"/>
    <w:rsid w:val="003305AE"/>
    <w:rsid w:val="003313D8"/>
    <w:rsid w:val="003321CC"/>
    <w:rsid w:val="003323A0"/>
    <w:rsid w:val="003323E6"/>
    <w:rsid w:val="00333185"/>
    <w:rsid w:val="00334FC9"/>
    <w:rsid w:val="00337B30"/>
    <w:rsid w:val="003413B1"/>
    <w:rsid w:val="00344599"/>
    <w:rsid w:val="003455B2"/>
    <w:rsid w:val="003501C5"/>
    <w:rsid w:val="00356652"/>
    <w:rsid w:val="0036384C"/>
    <w:rsid w:val="00365BE1"/>
    <w:rsid w:val="00371B36"/>
    <w:rsid w:val="003728EB"/>
    <w:rsid w:val="00373CB6"/>
    <w:rsid w:val="003752A0"/>
    <w:rsid w:val="00380B73"/>
    <w:rsid w:val="00381B4E"/>
    <w:rsid w:val="00381E6B"/>
    <w:rsid w:val="00382179"/>
    <w:rsid w:val="00382FEE"/>
    <w:rsid w:val="00383208"/>
    <w:rsid w:val="003852F3"/>
    <w:rsid w:val="003858A5"/>
    <w:rsid w:val="00386AE2"/>
    <w:rsid w:val="0039096D"/>
    <w:rsid w:val="00390D80"/>
    <w:rsid w:val="0039110A"/>
    <w:rsid w:val="003949F6"/>
    <w:rsid w:val="003968CE"/>
    <w:rsid w:val="00397B68"/>
    <w:rsid w:val="003A14C6"/>
    <w:rsid w:val="003A14EC"/>
    <w:rsid w:val="003A3626"/>
    <w:rsid w:val="003A3FBF"/>
    <w:rsid w:val="003A4781"/>
    <w:rsid w:val="003A625E"/>
    <w:rsid w:val="003A6619"/>
    <w:rsid w:val="003A6626"/>
    <w:rsid w:val="003A6EAA"/>
    <w:rsid w:val="003A7028"/>
    <w:rsid w:val="003B19E6"/>
    <w:rsid w:val="003B1A6D"/>
    <w:rsid w:val="003B1C21"/>
    <w:rsid w:val="003B21D6"/>
    <w:rsid w:val="003B2C3B"/>
    <w:rsid w:val="003B51CD"/>
    <w:rsid w:val="003B7924"/>
    <w:rsid w:val="003C2338"/>
    <w:rsid w:val="003C2AE2"/>
    <w:rsid w:val="003C2B5D"/>
    <w:rsid w:val="003C512C"/>
    <w:rsid w:val="003C6EEC"/>
    <w:rsid w:val="003C7A50"/>
    <w:rsid w:val="003D2DAF"/>
    <w:rsid w:val="003D2E33"/>
    <w:rsid w:val="003D3045"/>
    <w:rsid w:val="003D384D"/>
    <w:rsid w:val="003D3931"/>
    <w:rsid w:val="003D3D22"/>
    <w:rsid w:val="003D3E37"/>
    <w:rsid w:val="003D6A5A"/>
    <w:rsid w:val="003D6A8E"/>
    <w:rsid w:val="003E08F7"/>
    <w:rsid w:val="003E2726"/>
    <w:rsid w:val="003E2ED1"/>
    <w:rsid w:val="003E4537"/>
    <w:rsid w:val="003F1920"/>
    <w:rsid w:val="003F2797"/>
    <w:rsid w:val="003F468F"/>
    <w:rsid w:val="003F4A92"/>
    <w:rsid w:val="003F5AD9"/>
    <w:rsid w:val="003F5F37"/>
    <w:rsid w:val="003F61A1"/>
    <w:rsid w:val="0040140E"/>
    <w:rsid w:val="00403C89"/>
    <w:rsid w:val="00406B64"/>
    <w:rsid w:val="0041050A"/>
    <w:rsid w:val="00413894"/>
    <w:rsid w:val="004144E1"/>
    <w:rsid w:val="00414D5C"/>
    <w:rsid w:val="00415193"/>
    <w:rsid w:val="00416578"/>
    <w:rsid w:val="0041780D"/>
    <w:rsid w:val="00420A74"/>
    <w:rsid w:val="00426ED7"/>
    <w:rsid w:val="004271B8"/>
    <w:rsid w:val="004327EF"/>
    <w:rsid w:val="00432B24"/>
    <w:rsid w:val="0043328E"/>
    <w:rsid w:val="004346AE"/>
    <w:rsid w:val="00436162"/>
    <w:rsid w:val="00437BA2"/>
    <w:rsid w:val="00441589"/>
    <w:rsid w:val="00442BD4"/>
    <w:rsid w:val="00442DEC"/>
    <w:rsid w:val="004453CD"/>
    <w:rsid w:val="00445FBA"/>
    <w:rsid w:val="0044691C"/>
    <w:rsid w:val="00453CFA"/>
    <w:rsid w:val="00454F5D"/>
    <w:rsid w:val="004551DA"/>
    <w:rsid w:val="0045559D"/>
    <w:rsid w:val="00455E7F"/>
    <w:rsid w:val="00455F2B"/>
    <w:rsid w:val="00457DA4"/>
    <w:rsid w:val="00460EE8"/>
    <w:rsid w:val="0046130E"/>
    <w:rsid w:val="00462E0F"/>
    <w:rsid w:val="00463D11"/>
    <w:rsid w:val="00464E3F"/>
    <w:rsid w:val="004713C1"/>
    <w:rsid w:val="00472EC7"/>
    <w:rsid w:val="00473E94"/>
    <w:rsid w:val="00475026"/>
    <w:rsid w:val="00475DAB"/>
    <w:rsid w:val="00476446"/>
    <w:rsid w:val="00476C08"/>
    <w:rsid w:val="004778F4"/>
    <w:rsid w:val="00480BA6"/>
    <w:rsid w:val="0048144E"/>
    <w:rsid w:val="00481618"/>
    <w:rsid w:val="00482244"/>
    <w:rsid w:val="00482787"/>
    <w:rsid w:val="00482B50"/>
    <w:rsid w:val="00483568"/>
    <w:rsid w:val="00484004"/>
    <w:rsid w:val="00487A83"/>
    <w:rsid w:val="0049015A"/>
    <w:rsid w:val="00490345"/>
    <w:rsid w:val="004910EF"/>
    <w:rsid w:val="00496C33"/>
    <w:rsid w:val="004A42EF"/>
    <w:rsid w:val="004A4E3D"/>
    <w:rsid w:val="004A5348"/>
    <w:rsid w:val="004B055E"/>
    <w:rsid w:val="004B0CE0"/>
    <w:rsid w:val="004B418B"/>
    <w:rsid w:val="004B4CB7"/>
    <w:rsid w:val="004C0EB0"/>
    <w:rsid w:val="004C1633"/>
    <w:rsid w:val="004C42B0"/>
    <w:rsid w:val="004C6427"/>
    <w:rsid w:val="004C77FB"/>
    <w:rsid w:val="004D0B9A"/>
    <w:rsid w:val="004D267E"/>
    <w:rsid w:val="004D3C07"/>
    <w:rsid w:val="004D3DA8"/>
    <w:rsid w:val="004D3F25"/>
    <w:rsid w:val="004E0C1E"/>
    <w:rsid w:val="004E0FCA"/>
    <w:rsid w:val="004E1144"/>
    <w:rsid w:val="004E3544"/>
    <w:rsid w:val="004E3A58"/>
    <w:rsid w:val="004E503C"/>
    <w:rsid w:val="004E5122"/>
    <w:rsid w:val="004E5324"/>
    <w:rsid w:val="004E5769"/>
    <w:rsid w:val="004E582F"/>
    <w:rsid w:val="004E60C2"/>
    <w:rsid w:val="004E7D2A"/>
    <w:rsid w:val="004F09E6"/>
    <w:rsid w:val="004F3073"/>
    <w:rsid w:val="004F5EDC"/>
    <w:rsid w:val="004F6276"/>
    <w:rsid w:val="004F7F0E"/>
    <w:rsid w:val="0050246B"/>
    <w:rsid w:val="00504080"/>
    <w:rsid w:val="00504270"/>
    <w:rsid w:val="00510266"/>
    <w:rsid w:val="00511CC0"/>
    <w:rsid w:val="00514AA2"/>
    <w:rsid w:val="00514DFA"/>
    <w:rsid w:val="00517142"/>
    <w:rsid w:val="00517C06"/>
    <w:rsid w:val="00520E8F"/>
    <w:rsid w:val="005226CF"/>
    <w:rsid w:val="00522BE4"/>
    <w:rsid w:val="0052361C"/>
    <w:rsid w:val="00524CF3"/>
    <w:rsid w:val="005304BB"/>
    <w:rsid w:val="00531B06"/>
    <w:rsid w:val="005337AD"/>
    <w:rsid w:val="00535E1D"/>
    <w:rsid w:val="00542080"/>
    <w:rsid w:val="00545CDC"/>
    <w:rsid w:val="00545EE6"/>
    <w:rsid w:val="005465F9"/>
    <w:rsid w:val="005471DA"/>
    <w:rsid w:val="005503F8"/>
    <w:rsid w:val="005529B5"/>
    <w:rsid w:val="005546CF"/>
    <w:rsid w:val="00555D2F"/>
    <w:rsid w:val="0055667F"/>
    <w:rsid w:val="00562515"/>
    <w:rsid w:val="00562DB5"/>
    <w:rsid w:val="00564490"/>
    <w:rsid w:val="005652AD"/>
    <w:rsid w:val="005715E9"/>
    <w:rsid w:val="00573752"/>
    <w:rsid w:val="005756F9"/>
    <w:rsid w:val="00577978"/>
    <w:rsid w:val="00580370"/>
    <w:rsid w:val="0058190E"/>
    <w:rsid w:val="0058288A"/>
    <w:rsid w:val="00583677"/>
    <w:rsid w:val="00584FB1"/>
    <w:rsid w:val="00586C2C"/>
    <w:rsid w:val="00587906"/>
    <w:rsid w:val="005909A9"/>
    <w:rsid w:val="0059345E"/>
    <w:rsid w:val="005958AA"/>
    <w:rsid w:val="00595E4B"/>
    <w:rsid w:val="005A0678"/>
    <w:rsid w:val="005A0D6D"/>
    <w:rsid w:val="005A43A1"/>
    <w:rsid w:val="005A5187"/>
    <w:rsid w:val="005A5833"/>
    <w:rsid w:val="005A707F"/>
    <w:rsid w:val="005B0864"/>
    <w:rsid w:val="005B0EA3"/>
    <w:rsid w:val="005B12F2"/>
    <w:rsid w:val="005B1FCF"/>
    <w:rsid w:val="005B4228"/>
    <w:rsid w:val="005B44BD"/>
    <w:rsid w:val="005B7723"/>
    <w:rsid w:val="005B7724"/>
    <w:rsid w:val="005C1601"/>
    <w:rsid w:val="005C1E71"/>
    <w:rsid w:val="005C1F32"/>
    <w:rsid w:val="005C2058"/>
    <w:rsid w:val="005D062B"/>
    <w:rsid w:val="005D6B8A"/>
    <w:rsid w:val="005E0966"/>
    <w:rsid w:val="005E2701"/>
    <w:rsid w:val="005E5C00"/>
    <w:rsid w:val="005E5F43"/>
    <w:rsid w:val="005E662A"/>
    <w:rsid w:val="005E670B"/>
    <w:rsid w:val="005E6DED"/>
    <w:rsid w:val="005F051E"/>
    <w:rsid w:val="005F0E92"/>
    <w:rsid w:val="005F2097"/>
    <w:rsid w:val="005F2D31"/>
    <w:rsid w:val="005F6981"/>
    <w:rsid w:val="005F69FD"/>
    <w:rsid w:val="0061012C"/>
    <w:rsid w:val="006115CC"/>
    <w:rsid w:val="00612A58"/>
    <w:rsid w:val="00612D4D"/>
    <w:rsid w:val="00612FB3"/>
    <w:rsid w:val="006142BC"/>
    <w:rsid w:val="00614698"/>
    <w:rsid w:val="006171D9"/>
    <w:rsid w:val="00621043"/>
    <w:rsid w:val="006242D8"/>
    <w:rsid w:val="00627461"/>
    <w:rsid w:val="006279D6"/>
    <w:rsid w:val="00630D86"/>
    <w:rsid w:val="00631D8D"/>
    <w:rsid w:val="00634A33"/>
    <w:rsid w:val="00634D4D"/>
    <w:rsid w:val="0063589A"/>
    <w:rsid w:val="00635F95"/>
    <w:rsid w:val="00636F4C"/>
    <w:rsid w:val="0064266B"/>
    <w:rsid w:val="0064314D"/>
    <w:rsid w:val="006441A5"/>
    <w:rsid w:val="00646B7C"/>
    <w:rsid w:val="00647B1B"/>
    <w:rsid w:val="00650428"/>
    <w:rsid w:val="00650B7B"/>
    <w:rsid w:val="006518F8"/>
    <w:rsid w:val="00653086"/>
    <w:rsid w:val="00656A88"/>
    <w:rsid w:val="00657A55"/>
    <w:rsid w:val="00661AD4"/>
    <w:rsid w:val="00661C81"/>
    <w:rsid w:val="00663674"/>
    <w:rsid w:val="00663AFE"/>
    <w:rsid w:val="00663C49"/>
    <w:rsid w:val="00667F74"/>
    <w:rsid w:val="006706D2"/>
    <w:rsid w:val="00671161"/>
    <w:rsid w:val="0067256B"/>
    <w:rsid w:val="0067342C"/>
    <w:rsid w:val="00673A7D"/>
    <w:rsid w:val="0067429D"/>
    <w:rsid w:val="00674672"/>
    <w:rsid w:val="0068024B"/>
    <w:rsid w:val="00680766"/>
    <w:rsid w:val="00683C0D"/>
    <w:rsid w:val="00684907"/>
    <w:rsid w:val="00684BE4"/>
    <w:rsid w:val="006904CC"/>
    <w:rsid w:val="006927AD"/>
    <w:rsid w:val="00694D3F"/>
    <w:rsid w:val="0069520F"/>
    <w:rsid w:val="00697ED3"/>
    <w:rsid w:val="00697FA4"/>
    <w:rsid w:val="006A332A"/>
    <w:rsid w:val="006A75B5"/>
    <w:rsid w:val="006B1320"/>
    <w:rsid w:val="006B38C4"/>
    <w:rsid w:val="006C202C"/>
    <w:rsid w:val="006C2CEA"/>
    <w:rsid w:val="006C3005"/>
    <w:rsid w:val="006C523B"/>
    <w:rsid w:val="006C554D"/>
    <w:rsid w:val="006C7DEF"/>
    <w:rsid w:val="006D0AAB"/>
    <w:rsid w:val="006D1203"/>
    <w:rsid w:val="006D1C27"/>
    <w:rsid w:val="006D31DE"/>
    <w:rsid w:val="006D3434"/>
    <w:rsid w:val="006D3F13"/>
    <w:rsid w:val="006D4FCC"/>
    <w:rsid w:val="006D53A7"/>
    <w:rsid w:val="006D6249"/>
    <w:rsid w:val="006D67E6"/>
    <w:rsid w:val="006D6B7A"/>
    <w:rsid w:val="006E0415"/>
    <w:rsid w:val="006E0AEB"/>
    <w:rsid w:val="006E64E4"/>
    <w:rsid w:val="006E6CB5"/>
    <w:rsid w:val="006F12CA"/>
    <w:rsid w:val="006F1D87"/>
    <w:rsid w:val="006F1E91"/>
    <w:rsid w:val="006F2CAA"/>
    <w:rsid w:val="006F434D"/>
    <w:rsid w:val="00701C42"/>
    <w:rsid w:val="00701D04"/>
    <w:rsid w:val="00703119"/>
    <w:rsid w:val="00705346"/>
    <w:rsid w:val="00706452"/>
    <w:rsid w:val="00706498"/>
    <w:rsid w:val="00706575"/>
    <w:rsid w:val="00707BEB"/>
    <w:rsid w:val="00710AA9"/>
    <w:rsid w:val="00711EE1"/>
    <w:rsid w:val="00712EFA"/>
    <w:rsid w:val="007132BE"/>
    <w:rsid w:val="00714ACE"/>
    <w:rsid w:val="00715370"/>
    <w:rsid w:val="0071656B"/>
    <w:rsid w:val="007213AF"/>
    <w:rsid w:val="00721A01"/>
    <w:rsid w:val="007233CF"/>
    <w:rsid w:val="00723531"/>
    <w:rsid w:val="00723909"/>
    <w:rsid w:val="007250ED"/>
    <w:rsid w:val="007269BD"/>
    <w:rsid w:val="00727D68"/>
    <w:rsid w:val="00731A6B"/>
    <w:rsid w:val="007366EC"/>
    <w:rsid w:val="0073729B"/>
    <w:rsid w:val="00737D37"/>
    <w:rsid w:val="00740FCD"/>
    <w:rsid w:val="00743037"/>
    <w:rsid w:val="007432AD"/>
    <w:rsid w:val="00744A8F"/>
    <w:rsid w:val="00746FDD"/>
    <w:rsid w:val="00750D85"/>
    <w:rsid w:val="00754051"/>
    <w:rsid w:val="0075520A"/>
    <w:rsid w:val="007562DC"/>
    <w:rsid w:val="007575E2"/>
    <w:rsid w:val="0076081F"/>
    <w:rsid w:val="007630C9"/>
    <w:rsid w:val="00763543"/>
    <w:rsid w:val="007675A0"/>
    <w:rsid w:val="00771383"/>
    <w:rsid w:val="00771F09"/>
    <w:rsid w:val="007724E3"/>
    <w:rsid w:val="007726D8"/>
    <w:rsid w:val="00773FD9"/>
    <w:rsid w:val="00776076"/>
    <w:rsid w:val="00776289"/>
    <w:rsid w:val="00777CB2"/>
    <w:rsid w:val="007809AB"/>
    <w:rsid w:val="00781635"/>
    <w:rsid w:val="00782139"/>
    <w:rsid w:val="007861FE"/>
    <w:rsid w:val="007862CD"/>
    <w:rsid w:val="00796A26"/>
    <w:rsid w:val="007979D9"/>
    <w:rsid w:val="00797ACF"/>
    <w:rsid w:val="00797C7A"/>
    <w:rsid w:val="007A06B8"/>
    <w:rsid w:val="007A0F6C"/>
    <w:rsid w:val="007A1811"/>
    <w:rsid w:val="007A391D"/>
    <w:rsid w:val="007A3DEE"/>
    <w:rsid w:val="007A40A5"/>
    <w:rsid w:val="007A5FCB"/>
    <w:rsid w:val="007B156A"/>
    <w:rsid w:val="007B1674"/>
    <w:rsid w:val="007B1B94"/>
    <w:rsid w:val="007B673B"/>
    <w:rsid w:val="007B6908"/>
    <w:rsid w:val="007C1087"/>
    <w:rsid w:val="007C1E4B"/>
    <w:rsid w:val="007C2E29"/>
    <w:rsid w:val="007C4C07"/>
    <w:rsid w:val="007C5F3D"/>
    <w:rsid w:val="007C67B9"/>
    <w:rsid w:val="007D2509"/>
    <w:rsid w:val="007D2876"/>
    <w:rsid w:val="007D5B42"/>
    <w:rsid w:val="007D5EEA"/>
    <w:rsid w:val="007D6A67"/>
    <w:rsid w:val="007D7C8A"/>
    <w:rsid w:val="007E0075"/>
    <w:rsid w:val="007E1D81"/>
    <w:rsid w:val="007E2771"/>
    <w:rsid w:val="007E4038"/>
    <w:rsid w:val="007E43F5"/>
    <w:rsid w:val="007E563F"/>
    <w:rsid w:val="007E5D1B"/>
    <w:rsid w:val="007E611F"/>
    <w:rsid w:val="007E6CF7"/>
    <w:rsid w:val="007E7ADB"/>
    <w:rsid w:val="007E7D62"/>
    <w:rsid w:val="007F36A3"/>
    <w:rsid w:val="007F38AF"/>
    <w:rsid w:val="007F5097"/>
    <w:rsid w:val="008004EA"/>
    <w:rsid w:val="00800AC5"/>
    <w:rsid w:val="00801BD6"/>
    <w:rsid w:val="00802440"/>
    <w:rsid w:val="008042C0"/>
    <w:rsid w:val="00804968"/>
    <w:rsid w:val="00804FCD"/>
    <w:rsid w:val="00805834"/>
    <w:rsid w:val="008063E2"/>
    <w:rsid w:val="00806A80"/>
    <w:rsid w:val="00812551"/>
    <w:rsid w:val="00814C98"/>
    <w:rsid w:val="008152D8"/>
    <w:rsid w:val="00815A05"/>
    <w:rsid w:val="008164F0"/>
    <w:rsid w:val="00820BFE"/>
    <w:rsid w:val="00821130"/>
    <w:rsid w:val="00821881"/>
    <w:rsid w:val="00821942"/>
    <w:rsid w:val="008229B1"/>
    <w:rsid w:val="00822FC8"/>
    <w:rsid w:val="0082309D"/>
    <w:rsid w:val="00824724"/>
    <w:rsid w:val="0082592F"/>
    <w:rsid w:val="008315FA"/>
    <w:rsid w:val="008339A9"/>
    <w:rsid w:val="0083757B"/>
    <w:rsid w:val="008375C8"/>
    <w:rsid w:val="00840B57"/>
    <w:rsid w:val="00840C1A"/>
    <w:rsid w:val="00843F2C"/>
    <w:rsid w:val="00845EC5"/>
    <w:rsid w:val="00847A11"/>
    <w:rsid w:val="00847E44"/>
    <w:rsid w:val="00850653"/>
    <w:rsid w:val="00850A07"/>
    <w:rsid w:val="00850E19"/>
    <w:rsid w:val="00854A60"/>
    <w:rsid w:val="008550DE"/>
    <w:rsid w:val="00860399"/>
    <w:rsid w:val="008624FF"/>
    <w:rsid w:val="00862AC0"/>
    <w:rsid w:val="008636DC"/>
    <w:rsid w:val="0086385C"/>
    <w:rsid w:val="008639D7"/>
    <w:rsid w:val="00864E73"/>
    <w:rsid w:val="0086542B"/>
    <w:rsid w:val="00870AE2"/>
    <w:rsid w:val="0087109C"/>
    <w:rsid w:val="008774EC"/>
    <w:rsid w:val="00877A0F"/>
    <w:rsid w:val="00880C9F"/>
    <w:rsid w:val="00880D57"/>
    <w:rsid w:val="00881380"/>
    <w:rsid w:val="00881B3F"/>
    <w:rsid w:val="00886A51"/>
    <w:rsid w:val="0088748F"/>
    <w:rsid w:val="0089372F"/>
    <w:rsid w:val="00897737"/>
    <w:rsid w:val="00897F5C"/>
    <w:rsid w:val="008A0E80"/>
    <w:rsid w:val="008A2BAD"/>
    <w:rsid w:val="008A2C9E"/>
    <w:rsid w:val="008A4F56"/>
    <w:rsid w:val="008A5CE3"/>
    <w:rsid w:val="008A74A9"/>
    <w:rsid w:val="008A7D55"/>
    <w:rsid w:val="008B0504"/>
    <w:rsid w:val="008B0743"/>
    <w:rsid w:val="008B2AE6"/>
    <w:rsid w:val="008B4219"/>
    <w:rsid w:val="008B51A1"/>
    <w:rsid w:val="008B5AA5"/>
    <w:rsid w:val="008B5F20"/>
    <w:rsid w:val="008B7DF8"/>
    <w:rsid w:val="008C091C"/>
    <w:rsid w:val="008C2FA4"/>
    <w:rsid w:val="008C75B1"/>
    <w:rsid w:val="008D127F"/>
    <w:rsid w:val="008D3A1C"/>
    <w:rsid w:val="008D5005"/>
    <w:rsid w:val="008D626B"/>
    <w:rsid w:val="008D698E"/>
    <w:rsid w:val="008F00FB"/>
    <w:rsid w:val="008F0C88"/>
    <w:rsid w:val="008F1247"/>
    <w:rsid w:val="008F12AC"/>
    <w:rsid w:val="008F430D"/>
    <w:rsid w:val="008F5814"/>
    <w:rsid w:val="008F594F"/>
    <w:rsid w:val="008F5CD0"/>
    <w:rsid w:val="008F6F20"/>
    <w:rsid w:val="00902384"/>
    <w:rsid w:val="009036C1"/>
    <w:rsid w:val="00903EB0"/>
    <w:rsid w:val="00905B85"/>
    <w:rsid w:val="00912A68"/>
    <w:rsid w:val="00913650"/>
    <w:rsid w:val="00913DFB"/>
    <w:rsid w:val="00915051"/>
    <w:rsid w:val="009163B5"/>
    <w:rsid w:val="009168EE"/>
    <w:rsid w:val="0092028F"/>
    <w:rsid w:val="009235D5"/>
    <w:rsid w:val="00924A83"/>
    <w:rsid w:val="00934399"/>
    <w:rsid w:val="009344F3"/>
    <w:rsid w:val="00934EDD"/>
    <w:rsid w:val="009368EB"/>
    <w:rsid w:val="00940CAD"/>
    <w:rsid w:val="0094146B"/>
    <w:rsid w:val="0094266B"/>
    <w:rsid w:val="00943F9B"/>
    <w:rsid w:val="00944120"/>
    <w:rsid w:val="0094485C"/>
    <w:rsid w:val="0094687F"/>
    <w:rsid w:val="00946F38"/>
    <w:rsid w:val="00947365"/>
    <w:rsid w:val="00950E32"/>
    <w:rsid w:val="009510DF"/>
    <w:rsid w:val="00951B8D"/>
    <w:rsid w:val="00952B80"/>
    <w:rsid w:val="00954FF0"/>
    <w:rsid w:val="009570AD"/>
    <w:rsid w:val="009571FF"/>
    <w:rsid w:val="00962A03"/>
    <w:rsid w:val="00963968"/>
    <w:rsid w:val="00965044"/>
    <w:rsid w:val="00965551"/>
    <w:rsid w:val="009675FA"/>
    <w:rsid w:val="0097404E"/>
    <w:rsid w:val="0097632B"/>
    <w:rsid w:val="00981A55"/>
    <w:rsid w:val="00983AEB"/>
    <w:rsid w:val="00990ED3"/>
    <w:rsid w:val="00991104"/>
    <w:rsid w:val="00992174"/>
    <w:rsid w:val="00997011"/>
    <w:rsid w:val="00997DB1"/>
    <w:rsid w:val="009A25ED"/>
    <w:rsid w:val="009A6FBE"/>
    <w:rsid w:val="009B348E"/>
    <w:rsid w:val="009B4029"/>
    <w:rsid w:val="009B56B6"/>
    <w:rsid w:val="009C44DF"/>
    <w:rsid w:val="009C65AC"/>
    <w:rsid w:val="009C6EE4"/>
    <w:rsid w:val="009C7405"/>
    <w:rsid w:val="009C75F4"/>
    <w:rsid w:val="009D00C7"/>
    <w:rsid w:val="009D0A93"/>
    <w:rsid w:val="009D1856"/>
    <w:rsid w:val="009D1F33"/>
    <w:rsid w:val="009D5DE4"/>
    <w:rsid w:val="009E077F"/>
    <w:rsid w:val="009E0A2A"/>
    <w:rsid w:val="009E1BE4"/>
    <w:rsid w:val="009E1D07"/>
    <w:rsid w:val="009E2997"/>
    <w:rsid w:val="009E6398"/>
    <w:rsid w:val="009F16D6"/>
    <w:rsid w:val="009F2C4C"/>
    <w:rsid w:val="009F55AE"/>
    <w:rsid w:val="00A00772"/>
    <w:rsid w:val="00A01158"/>
    <w:rsid w:val="00A01608"/>
    <w:rsid w:val="00A02096"/>
    <w:rsid w:val="00A02C10"/>
    <w:rsid w:val="00A04189"/>
    <w:rsid w:val="00A041A2"/>
    <w:rsid w:val="00A04E4E"/>
    <w:rsid w:val="00A05066"/>
    <w:rsid w:val="00A06B56"/>
    <w:rsid w:val="00A10186"/>
    <w:rsid w:val="00A104D8"/>
    <w:rsid w:val="00A11C61"/>
    <w:rsid w:val="00A12EAD"/>
    <w:rsid w:val="00A14EA6"/>
    <w:rsid w:val="00A15DDB"/>
    <w:rsid w:val="00A1641C"/>
    <w:rsid w:val="00A204FB"/>
    <w:rsid w:val="00A2175F"/>
    <w:rsid w:val="00A25F52"/>
    <w:rsid w:val="00A272A5"/>
    <w:rsid w:val="00A304B4"/>
    <w:rsid w:val="00A3120A"/>
    <w:rsid w:val="00A31B60"/>
    <w:rsid w:val="00A3235C"/>
    <w:rsid w:val="00A33313"/>
    <w:rsid w:val="00A340D0"/>
    <w:rsid w:val="00A3414E"/>
    <w:rsid w:val="00A356EC"/>
    <w:rsid w:val="00A357A8"/>
    <w:rsid w:val="00A35990"/>
    <w:rsid w:val="00A40DFA"/>
    <w:rsid w:val="00A41969"/>
    <w:rsid w:val="00A452F1"/>
    <w:rsid w:val="00A4536B"/>
    <w:rsid w:val="00A51045"/>
    <w:rsid w:val="00A5554F"/>
    <w:rsid w:val="00A55775"/>
    <w:rsid w:val="00A5615D"/>
    <w:rsid w:val="00A57168"/>
    <w:rsid w:val="00A60C6F"/>
    <w:rsid w:val="00A664CC"/>
    <w:rsid w:val="00A66EB3"/>
    <w:rsid w:val="00A72CD5"/>
    <w:rsid w:val="00A72F16"/>
    <w:rsid w:val="00A75B50"/>
    <w:rsid w:val="00A80B4E"/>
    <w:rsid w:val="00A84F51"/>
    <w:rsid w:val="00A86409"/>
    <w:rsid w:val="00A87FB3"/>
    <w:rsid w:val="00A919BF"/>
    <w:rsid w:val="00A930E1"/>
    <w:rsid w:val="00A94260"/>
    <w:rsid w:val="00A957F4"/>
    <w:rsid w:val="00A97515"/>
    <w:rsid w:val="00AA28CC"/>
    <w:rsid w:val="00AA3B4D"/>
    <w:rsid w:val="00AA4BCB"/>
    <w:rsid w:val="00AA5BB8"/>
    <w:rsid w:val="00AA7144"/>
    <w:rsid w:val="00AA73C0"/>
    <w:rsid w:val="00AB0230"/>
    <w:rsid w:val="00AB145B"/>
    <w:rsid w:val="00AB3AED"/>
    <w:rsid w:val="00AB42BB"/>
    <w:rsid w:val="00AC0E0E"/>
    <w:rsid w:val="00AC2B8B"/>
    <w:rsid w:val="00AC3471"/>
    <w:rsid w:val="00AC546F"/>
    <w:rsid w:val="00AD03D3"/>
    <w:rsid w:val="00AD1669"/>
    <w:rsid w:val="00AD49F7"/>
    <w:rsid w:val="00AD6A01"/>
    <w:rsid w:val="00AE147D"/>
    <w:rsid w:val="00AE26D6"/>
    <w:rsid w:val="00AE38BC"/>
    <w:rsid w:val="00AE3F91"/>
    <w:rsid w:val="00AE49D3"/>
    <w:rsid w:val="00AE69EE"/>
    <w:rsid w:val="00AE73AE"/>
    <w:rsid w:val="00AF1359"/>
    <w:rsid w:val="00AF31DC"/>
    <w:rsid w:val="00AF60DA"/>
    <w:rsid w:val="00AF703F"/>
    <w:rsid w:val="00AF742D"/>
    <w:rsid w:val="00B00447"/>
    <w:rsid w:val="00B01FC2"/>
    <w:rsid w:val="00B021BD"/>
    <w:rsid w:val="00B06ECB"/>
    <w:rsid w:val="00B07518"/>
    <w:rsid w:val="00B0786E"/>
    <w:rsid w:val="00B10A42"/>
    <w:rsid w:val="00B10DC4"/>
    <w:rsid w:val="00B1140E"/>
    <w:rsid w:val="00B11692"/>
    <w:rsid w:val="00B144C4"/>
    <w:rsid w:val="00B148AD"/>
    <w:rsid w:val="00B16179"/>
    <w:rsid w:val="00B17F70"/>
    <w:rsid w:val="00B20484"/>
    <w:rsid w:val="00B2068F"/>
    <w:rsid w:val="00B21913"/>
    <w:rsid w:val="00B27223"/>
    <w:rsid w:val="00B276D2"/>
    <w:rsid w:val="00B30C9F"/>
    <w:rsid w:val="00B3304A"/>
    <w:rsid w:val="00B367BE"/>
    <w:rsid w:val="00B36C86"/>
    <w:rsid w:val="00B407B8"/>
    <w:rsid w:val="00B41B9E"/>
    <w:rsid w:val="00B43D5D"/>
    <w:rsid w:val="00B45754"/>
    <w:rsid w:val="00B460A5"/>
    <w:rsid w:val="00B47852"/>
    <w:rsid w:val="00B50AC3"/>
    <w:rsid w:val="00B52BCC"/>
    <w:rsid w:val="00B536CE"/>
    <w:rsid w:val="00B5408E"/>
    <w:rsid w:val="00B54BD3"/>
    <w:rsid w:val="00B60434"/>
    <w:rsid w:val="00B612F3"/>
    <w:rsid w:val="00B61B5E"/>
    <w:rsid w:val="00B621F1"/>
    <w:rsid w:val="00B62584"/>
    <w:rsid w:val="00B626B4"/>
    <w:rsid w:val="00B62A2E"/>
    <w:rsid w:val="00B64AD0"/>
    <w:rsid w:val="00B6547C"/>
    <w:rsid w:val="00B669F4"/>
    <w:rsid w:val="00B66EC2"/>
    <w:rsid w:val="00B6771B"/>
    <w:rsid w:val="00B703B7"/>
    <w:rsid w:val="00B7080E"/>
    <w:rsid w:val="00B7109B"/>
    <w:rsid w:val="00B71FBB"/>
    <w:rsid w:val="00B72A1C"/>
    <w:rsid w:val="00B771BB"/>
    <w:rsid w:val="00B772A7"/>
    <w:rsid w:val="00B77AF2"/>
    <w:rsid w:val="00B8101C"/>
    <w:rsid w:val="00B85062"/>
    <w:rsid w:val="00B85A84"/>
    <w:rsid w:val="00B876A0"/>
    <w:rsid w:val="00B876C0"/>
    <w:rsid w:val="00B87755"/>
    <w:rsid w:val="00B90F43"/>
    <w:rsid w:val="00B91A81"/>
    <w:rsid w:val="00B92CE6"/>
    <w:rsid w:val="00B9349A"/>
    <w:rsid w:val="00B967A1"/>
    <w:rsid w:val="00BA13D4"/>
    <w:rsid w:val="00BA1528"/>
    <w:rsid w:val="00BA1D52"/>
    <w:rsid w:val="00BA446C"/>
    <w:rsid w:val="00BB2097"/>
    <w:rsid w:val="00BB344F"/>
    <w:rsid w:val="00BB4364"/>
    <w:rsid w:val="00BB52C8"/>
    <w:rsid w:val="00BC2364"/>
    <w:rsid w:val="00BC2881"/>
    <w:rsid w:val="00BC4147"/>
    <w:rsid w:val="00BC53E2"/>
    <w:rsid w:val="00BC7167"/>
    <w:rsid w:val="00BD32CC"/>
    <w:rsid w:val="00BE0372"/>
    <w:rsid w:val="00BE0869"/>
    <w:rsid w:val="00BE0B0F"/>
    <w:rsid w:val="00BE0FD6"/>
    <w:rsid w:val="00BE2256"/>
    <w:rsid w:val="00BE5CD7"/>
    <w:rsid w:val="00BE72F6"/>
    <w:rsid w:val="00BF68B8"/>
    <w:rsid w:val="00C00FAE"/>
    <w:rsid w:val="00C03A65"/>
    <w:rsid w:val="00C04295"/>
    <w:rsid w:val="00C0709A"/>
    <w:rsid w:val="00C07107"/>
    <w:rsid w:val="00C07A22"/>
    <w:rsid w:val="00C12556"/>
    <w:rsid w:val="00C12CAB"/>
    <w:rsid w:val="00C138FF"/>
    <w:rsid w:val="00C155DD"/>
    <w:rsid w:val="00C15CF1"/>
    <w:rsid w:val="00C166A5"/>
    <w:rsid w:val="00C17A59"/>
    <w:rsid w:val="00C21D0F"/>
    <w:rsid w:val="00C25F47"/>
    <w:rsid w:val="00C27343"/>
    <w:rsid w:val="00C30103"/>
    <w:rsid w:val="00C326A8"/>
    <w:rsid w:val="00C37A02"/>
    <w:rsid w:val="00C40A06"/>
    <w:rsid w:val="00C4224C"/>
    <w:rsid w:val="00C42E6F"/>
    <w:rsid w:val="00C449D1"/>
    <w:rsid w:val="00C44ADF"/>
    <w:rsid w:val="00C44E1E"/>
    <w:rsid w:val="00C4524C"/>
    <w:rsid w:val="00C479A2"/>
    <w:rsid w:val="00C47BB7"/>
    <w:rsid w:val="00C57E02"/>
    <w:rsid w:val="00C60BA5"/>
    <w:rsid w:val="00C61C2A"/>
    <w:rsid w:val="00C64268"/>
    <w:rsid w:val="00C64FE7"/>
    <w:rsid w:val="00C71B6C"/>
    <w:rsid w:val="00C725A9"/>
    <w:rsid w:val="00C73682"/>
    <w:rsid w:val="00C73DE5"/>
    <w:rsid w:val="00C75EFD"/>
    <w:rsid w:val="00C768EC"/>
    <w:rsid w:val="00C77897"/>
    <w:rsid w:val="00C77CE4"/>
    <w:rsid w:val="00C77DAE"/>
    <w:rsid w:val="00C80B27"/>
    <w:rsid w:val="00C80C51"/>
    <w:rsid w:val="00C81FBE"/>
    <w:rsid w:val="00C8208F"/>
    <w:rsid w:val="00C83DED"/>
    <w:rsid w:val="00C84946"/>
    <w:rsid w:val="00C867BE"/>
    <w:rsid w:val="00C906A8"/>
    <w:rsid w:val="00C90B06"/>
    <w:rsid w:val="00C926BF"/>
    <w:rsid w:val="00C929E1"/>
    <w:rsid w:val="00C96814"/>
    <w:rsid w:val="00C968E7"/>
    <w:rsid w:val="00CA01DB"/>
    <w:rsid w:val="00CA1EE8"/>
    <w:rsid w:val="00CA76B1"/>
    <w:rsid w:val="00CA7B0B"/>
    <w:rsid w:val="00CB0D02"/>
    <w:rsid w:val="00CB1B73"/>
    <w:rsid w:val="00CB71AB"/>
    <w:rsid w:val="00CB75AF"/>
    <w:rsid w:val="00CC5652"/>
    <w:rsid w:val="00CC5C69"/>
    <w:rsid w:val="00CD21D0"/>
    <w:rsid w:val="00CD3B84"/>
    <w:rsid w:val="00CD5527"/>
    <w:rsid w:val="00CE1C89"/>
    <w:rsid w:val="00CE2688"/>
    <w:rsid w:val="00CE2A6D"/>
    <w:rsid w:val="00CE34EA"/>
    <w:rsid w:val="00CE4729"/>
    <w:rsid w:val="00CE6F22"/>
    <w:rsid w:val="00CF1E3F"/>
    <w:rsid w:val="00CF203A"/>
    <w:rsid w:val="00CF2171"/>
    <w:rsid w:val="00CF271A"/>
    <w:rsid w:val="00CF72AA"/>
    <w:rsid w:val="00D00608"/>
    <w:rsid w:val="00D008F8"/>
    <w:rsid w:val="00D00FC2"/>
    <w:rsid w:val="00D01D00"/>
    <w:rsid w:val="00D02C59"/>
    <w:rsid w:val="00D0390B"/>
    <w:rsid w:val="00D05792"/>
    <w:rsid w:val="00D10087"/>
    <w:rsid w:val="00D1066A"/>
    <w:rsid w:val="00D11408"/>
    <w:rsid w:val="00D13761"/>
    <w:rsid w:val="00D13BB8"/>
    <w:rsid w:val="00D149F8"/>
    <w:rsid w:val="00D15291"/>
    <w:rsid w:val="00D15A29"/>
    <w:rsid w:val="00D16719"/>
    <w:rsid w:val="00D16802"/>
    <w:rsid w:val="00D16E66"/>
    <w:rsid w:val="00D17530"/>
    <w:rsid w:val="00D21DD3"/>
    <w:rsid w:val="00D2304C"/>
    <w:rsid w:val="00D2324D"/>
    <w:rsid w:val="00D25579"/>
    <w:rsid w:val="00D25848"/>
    <w:rsid w:val="00D26864"/>
    <w:rsid w:val="00D33664"/>
    <w:rsid w:val="00D363E3"/>
    <w:rsid w:val="00D36E2E"/>
    <w:rsid w:val="00D36FAC"/>
    <w:rsid w:val="00D40156"/>
    <w:rsid w:val="00D40320"/>
    <w:rsid w:val="00D44DE0"/>
    <w:rsid w:val="00D45DCF"/>
    <w:rsid w:val="00D46397"/>
    <w:rsid w:val="00D5381F"/>
    <w:rsid w:val="00D54234"/>
    <w:rsid w:val="00D547AB"/>
    <w:rsid w:val="00D54E0C"/>
    <w:rsid w:val="00D5643F"/>
    <w:rsid w:val="00D60929"/>
    <w:rsid w:val="00D6171B"/>
    <w:rsid w:val="00D62C27"/>
    <w:rsid w:val="00D64DE4"/>
    <w:rsid w:val="00D66582"/>
    <w:rsid w:val="00D72AEF"/>
    <w:rsid w:val="00D73C5B"/>
    <w:rsid w:val="00D74E08"/>
    <w:rsid w:val="00D76FB3"/>
    <w:rsid w:val="00D8006C"/>
    <w:rsid w:val="00D836F1"/>
    <w:rsid w:val="00D85B56"/>
    <w:rsid w:val="00D86D16"/>
    <w:rsid w:val="00D91D88"/>
    <w:rsid w:val="00D91DC5"/>
    <w:rsid w:val="00D937E4"/>
    <w:rsid w:val="00D9709E"/>
    <w:rsid w:val="00DA1B16"/>
    <w:rsid w:val="00DA1CA6"/>
    <w:rsid w:val="00DA22F5"/>
    <w:rsid w:val="00DA61CC"/>
    <w:rsid w:val="00DA66F7"/>
    <w:rsid w:val="00DA79A1"/>
    <w:rsid w:val="00DB0BC1"/>
    <w:rsid w:val="00DB5237"/>
    <w:rsid w:val="00DB58EF"/>
    <w:rsid w:val="00DB5D0A"/>
    <w:rsid w:val="00DB5D11"/>
    <w:rsid w:val="00DB7A5F"/>
    <w:rsid w:val="00DC0A04"/>
    <w:rsid w:val="00DC1090"/>
    <w:rsid w:val="00DC281D"/>
    <w:rsid w:val="00DC5663"/>
    <w:rsid w:val="00DC5D5F"/>
    <w:rsid w:val="00DD1A82"/>
    <w:rsid w:val="00DD2B1B"/>
    <w:rsid w:val="00DD3435"/>
    <w:rsid w:val="00DD5B0B"/>
    <w:rsid w:val="00DD6564"/>
    <w:rsid w:val="00DD68AF"/>
    <w:rsid w:val="00DD7254"/>
    <w:rsid w:val="00DE2A98"/>
    <w:rsid w:val="00DE3A5E"/>
    <w:rsid w:val="00DE58AB"/>
    <w:rsid w:val="00DF09A6"/>
    <w:rsid w:val="00DF14F5"/>
    <w:rsid w:val="00DF1C2B"/>
    <w:rsid w:val="00DF3200"/>
    <w:rsid w:val="00DF5F2F"/>
    <w:rsid w:val="00DF691A"/>
    <w:rsid w:val="00DF6A2B"/>
    <w:rsid w:val="00DF6A2C"/>
    <w:rsid w:val="00DF7341"/>
    <w:rsid w:val="00E00D8A"/>
    <w:rsid w:val="00E01B26"/>
    <w:rsid w:val="00E033D4"/>
    <w:rsid w:val="00E045EC"/>
    <w:rsid w:val="00E069AB"/>
    <w:rsid w:val="00E14D40"/>
    <w:rsid w:val="00E22B18"/>
    <w:rsid w:val="00E22F1A"/>
    <w:rsid w:val="00E26C8B"/>
    <w:rsid w:val="00E27C2D"/>
    <w:rsid w:val="00E30FDD"/>
    <w:rsid w:val="00E314C5"/>
    <w:rsid w:val="00E31A69"/>
    <w:rsid w:val="00E32056"/>
    <w:rsid w:val="00E344A2"/>
    <w:rsid w:val="00E35641"/>
    <w:rsid w:val="00E37320"/>
    <w:rsid w:val="00E41074"/>
    <w:rsid w:val="00E42274"/>
    <w:rsid w:val="00E456A8"/>
    <w:rsid w:val="00E46615"/>
    <w:rsid w:val="00E4666F"/>
    <w:rsid w:val="00E4744F"/>
    <w:rsid w:val="00E52CBC"/>
    <w:rsid w:val="00E536FF"/>
    <w:rsid w:val="00E53748"/>
    <w:rsid w:val="00E553A6"/>
    <w:rsid w:val="00E559EF"/>
    <w:rsid w:val="00E56957"/>
    <w:rsid w:val="00E573A3"/>
    <w:rsid w:val="00E57593"/>
    <w:rsid w:val="00E639D8"/>
    <w:rsid w:val="00E63C04"/>
    <w:rsid w:val="00E66FCC"/>
    <w:rsid w:val="00E738AE"/>
    <w:rsid w:val="00E745E6"/>
    <w:rsid w:val="00E746B8"/>
    <w:rsid w:val="00E7768D"/>
    <w:rsid w:val="00E77CE9"/>
    <w:rsid w:val="00E80C33"/>
    <w:rsid w:val="00E80F07"/>
    <w:rsid w:val="00E82EDE"/>
    <w:rsid w:val="00E83DC0"/>
    <w:rsid w:val="00E91B7E"/>
    <w:rsid w:val="00E91EBC"/>
    <w:rsid w:val="00E95697"/>
    <w:rsid w:val="00E95DBF"/>
    <w:rsid w:val="00E9771E"/>
    <w:rsid w:val="00EA1102"/>
    <w:rsid w:val="00EA1116"/>
    <w:rsid w:val="00EA327D"/>
    <w:rsid w:val="00EA3F98"/>
    <w:rsid w:val="00EA40A1"/>
    <w:rsid w:val="00EA469F"/>
    <w:rsid w:val="00EA4D52"/>
    <w:rsid w:val="00EA54BE"/>
    <w:rsid w:val="00EA558C"/>
    <w:rsid w:val="00EB34D6"/>
    <w:rsid w:val="00EB6B71"/>
    <w:rsid w:val="00EC2F8D"/>
    <w:rsid w:val="00EC4641"/>
    <w:rsid w:val="00ED3198"/>
    <w:rsid w:val="00ED53C4"/>
    <w:rsid w:val="00ED74E7"/>
    <w:rsid w:val="00EE0491"/>
    <w:rsid w:val="00EE0A55"/>
    <w:rsid w:val="00EE0C37"/>
    <w:rsid w:val="00EE3152"/>
    <w:rsid w:val="00EE3E05"/>
    <w:rsid w:val="00EE3EB9"/>
    <w:rsid w:val="00EE47A9"/>
    <w:rsid w:val="00EE5AA6"/>
    <w:rsid w:val="00EE6771"/>
    <w:rsid w:val="00EE7BAD"/>
    <w:rsid w:val="00EF2EF3"/>
    <w:rsid w:val="00EF325A"/>
    <w:rsid w:val="00EF425D"/>
    <w:rsid w:val="00EF5D41"/>
    <w:rsid w:val="00EF7853"/>
    <w:rsid w:val="00F00277"/>
    <w:rsid w:val="00F007D9"/>
    <w:rsid w:val="00F01925"/>
    <w:rsid w:val="00F0375B"/>
    <w:rsid w:val="00F06193"/>
    <w:rsid w:val="00F064C8"/>
    <w:rsid w:val="00F0797C"/>
    <w:rsid w:val="00F07D72"/>
    <w:rsid w:val="00F1114B"/>
    <w:rsid w:val="00F12A2A"/>
    <w:rsid w:val="00F15F16"/>
    <w:rsid w:val="00F17D88"/>
    <w:rsid w:val="00F17F1F"/>
    <w:rsid w:val="00F20277"/>
    <w:rsid w:val="00F245A5"/>
    <w:rsid w:val="00F24F50"/>
    <w:rsid w:val="00F25002"/>
    <w:rsid w:val="00F26C75"/>
    <w:rsid w:val="00F32499"/>
    <w:rsid w:val="00F324CE"/>
    <w:rsid w:val="00F34DA7"/>
    <w:rsid w:val="00F35379"/>
    <w:rsid w:val="00F35654"/>
    <w:rsid w:val="00F35A50"/>
    <w:rsid w:val="00F36AFE"/>
    <w:rsid w:val="00F3722F"/>
    <w:rsid w:val="00F3739B"/>
    <w:rsid w:val="00F40D16"/>
    <w:rsid w:val="00F436CB"/>
    <w:rsid w:val="00F438FF"/>
    <w:rsid w:val="00F43D7A"/>
    <w:rsid w:val="00F4510B"/>
    <w:rsid w:val="00F50588"/>
    <w:rsid w:val="00F5169D"/>
    <w:rsid w:val="00F51C3D"/>
    <w:rsid w:val="00F5217C"/>
    <w:rsid w:val="00F54824"/>
    <w:rsid w:val="00F61064"/>
    <w:rsid w:val="00F61347"/>
    <w:rsid w:val="00F64392"/>
    <w:rsid w:val="00F6552E"/>
    <w:rsid w:val="00F66636"/>
    <w:rsid w:val="00F67389"/>
    <w:rsid w:val="00F678B1"/>
    <w:rsid w:val="00F67BE6"/>
    <w:rsid w:val="00F7154E"/>
    <w:rsid w:val="00F726BB"/>
    <w:rsid w:val="00F729EC"/>
    <w:rsid w:val="00F74509"/>
    <w:rsid w:val="00F761A4"/>
    <w:rsid w:val="00F761D2"/>
    <w:rsid w:val="00F82246"/>
    <w:rsid w:val="00F825DA"/>
    <w:rsid w:val="00F837F2"/>
    <w:rsid w:val="00F84981"/>
    <w:rsid w:val="00F90C7D"/>
    <w:rsid w:val="00F9111F"/>
    <w:rsid w:val="00F913E6"/>
    <w:rsid w:val="00F95690"/>
    <w:rsid w:val="00FA0686"/>
    <w:rsid w:val="00FA17EB"/>
    <w:rsid w:val="00FA1FE4"/>
    <w:rsid w:val="00FA3800"/>
    <w:rsid w:val="00FA48DB"/>
    <w:rsid w:val="00FA5497"/>
    <w:rsid w:val="00FA63F7"/>
    <w:rsid w:val="00FB07E6"/>
    <w:rsid w:val="00FB087F"/>
    <w:rsid w:val="00FB0B00"/>
    <w:rsid w:val="00FB19FA"/>
    <w:rsid w:val="00FB54B8"/>
    <w:rsid w:val="00FB5AF6"/>
    <w:rsid w:val="00FB6167"/>
    <w:rsid w:val="00FB75E5"/>
    <w:rsid w:val="00FC295C"/>
    <w:rsid w:val="00FC2998"/>
    <w:rsid w:val="00FC2A8C"/>
    <w:rsid w:val="00FC57A4"/>
    <w:rsid w:val="00FC7D7A"/>
    <w:rsid w:val="00FD0B19"/>
    <w:rsid w:val="00FD0BAB"/>
    <w:rsid w:val="00FD4CCC"/>
    <w:rsid w:val="00FE02A2"/>
    <w:rsid w:val="00FE0870"/>
    <w:rsid w:val="00FE6004"/>
    <w:rsid w:val="00FE74C7"/>
    <w:rsid w:val="00FF0E74"/>
    <w:rsid w:val="00FF3475"/>
    <w:rsid w:val="00FF4E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88962C6F-0C0B-4047-B4BE-33D0C0C0C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032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40320"/>
    <w:rPr>
      <w:rFonts w:asciiTheme="majorHAnsi" w:eastAsiaTheme="majorEastAsia" w:hAnsiTheme="majorHAnsi" w:cstheme="majorBidi"/>
      <w:sz w:val="18"/>
      <w:szCs w:val="18"/>
    </w:rPr>
  </w:style>
  <w:style w:type="character" w:styleId="Strong">
    <w:name w:val="Strong"/>
    <w:basedOn w:val="DefaultParagraphFont"/>
    <w:uiPriority w:val="22"/>
    <w:qFormat/>
    <w:rsid w:val="00D5381F"/>
    <w:rPr>
      <w:b/>
      <w:bCs/>
    </w:rPr>
  </w:style>
  <w:style w:type="paragraph" w:styleId="Header">
    <w:name w:val="header"/>
    <w:basedOn w:val="Normal"/>
    <w:link w:val="HeaderChar"/>
    <w:uiPriority w:val="99"/>
    <w:unhideWhenUsed/>
    <w:rsid w:val="007E5D1B"/>
    <w:pPr>
      <w:tabs>
        <w:tab w:val="center" w:pos="4252"/>
        <w:tab w:val="right" w:pos="8504"/>
      </w:tabs>
      <w:snapToGrid w:val="0"/>
    </w:pPr>
  </w:style>
  <w:style w:type="character" w:customStyle="1" w:styleId="HeaderChar">
    <w:name w:val="Header Char"/>
    <w:basedOn w:val="DefaultParagraphFont"/>
    <w:link w:val="Header"/>
    <w:uiPriority w:val="99"/>
    <w:rsid w:val="007E5D1B"/>
  </w:style>
  <w:style w:type="paragraph" w:styleId="Footer">
    <w:name w:val="footer"/>
    <w:basedOn w:val="Normal"/>
    <w:link w:val="FooterChar"/>
    <w:uiPriority w:val="99"/>
    <w:unhideWhenUsed/>
    <w:rsid w:val="007E5D1B"/>
    <w:pPr>
      <w:tabs>
        <w:tab w:val="center" w:pos="4252"/>
        <w:tab w:val="right" w:pos="8504"/>
      </w:tabs>
      <w:snapToGrid w:val="0"/>
    </w:pPr>
  </w:style>
  <w:style w:type="character" w:customStyle="1" w:styleId="FooterChar">
    <w:name w:val="Footer Char"/>
    <w:basedOn w:val="DefaultParagraphFont"/>
    <w:link w:val="Footer"/>
    <w:uiPriority w:val="99"/>
    <w:rsid w:val="007E5D1B"/>
  </w:style>
  <w:style w:type="paragraph" w:customStyle="1" w:styleId="EndNoteBibliographyTitle">
    <w:name w:val="EndNote Bibliography Title"/>
    <w:basedOn w:val="Normal"/>
    <w:link w:val="EndNoteBibliographyTitle0"/>
    <w:rsid w:val="00432B24"/>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432B24"/>
    <w:rPr>
      <w:rFonts w:ascii="Century" w:hAnsi="Century"/>
      <w:noProof/>
      <w:sz w:val="20"/>
    </w:rPr>
  </w:style>
  <w:style w:type="paragraph" w:customStyle="1" w:styleId="EndNoteBibliography">
    <w:name w:val="EndNote Bibliography"/>
    <w:basedOn w:val="Normal"/>
    <w:link w:val="EndNoteBibliography0"/>
    <w:rsid w:val="00432B24"/>
    <w:rPr>
      <w:rFonts w:ascii="Century" w:hAnsi="Century"/>
      <w:noProof/>
      <w:sz w:val="20"/>
    </w:rPr>
  </w:style>
  <w:style w:type="character" w:customStyle="1" w:styleId="EndNoteBibliography0">
    <w:name w:val="EndNote Bibliography (文字)"/>
    <w:basedOn w:val="DefaultParagraphFont"/>
    <w:link w:val="EndNoteBibliography"/>
    <w:rsid w:val="00432B24"/>
    <w:rPr>
      <w:rFonts w:ascii="Century" w:hAnsi="Century"/>
      <w:noProof/>
      <w:sz w:val="20"/>
    </w:rPr>
  </w:style>
  <w:style w:type="paragraph" w:customStyle="1" w:styleId="1">
    <w:name w:val="正文1"/>
    <w:uiPriority w:val="99"/>
    <w:rsid w:val="00DA22F5"/>
    <w:pPr>
      <w:spacing w:line="276" w:lineRule="auto"/>
    </w:pPr>
    <w:rPr>
      <w:rFonts w:ascii="Arial" w:eastAsia="SimSun" w:hAnsi="Arial" w:cs="Arial"/>
      <w:color w:val="000000"/>
      <w:kern w:val="0"/>
      <w:sz w:val="22"/>
      <w:szCs w:val="20"/>
      <w:lang w:val="pl-PL" w:eastAsia="pl-PL"/>
    </w:rPr>
  </w:style>
  <w:style w:type="character" w:styleId="Hyperlink">
    <w:name w:val="Hyperlink"/>
    <w:basedOn w:val="DefaultParagraphFont"/>
    <w:uiPriority w:val="99"/>
    <w:unhideWhenUsed/>
    <w:rsid w:val="00DA2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Japanese%20Gastric%20Cancer%20Association%5BCorporate%20Author%5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ncbi.nlm.nih.gov/pubmed/?term=Japanese%20Gastric%20Cancer%20Association%5BCorporate%20Author%5D"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17976-8116-4B4B-A6EE-CE721A55D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5110</Words>
  <Characters>29128</Characters>
  <Application>Microsoft Office Word</Application>
  <DocSecurity>0</DocSecurity>
  <Lines>242</Lines>
  <Paragraphs>68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kohei</dc:creator>
  <cp:lastModifiedBy>LS Ma</cp:lastModifiedBy>
  <cp:revision>2</cp:revision>
  <cp:lastPrinted>2016-07-21T03:36:00Z</cp:lastPrinted>
  <dcterms:created xsi:type="dcterms:W3CDTF">2016-08-06T23:32:00Z</dcterms:created>
  <dcterms:modified xsi:type="dcterms:W3CDTF">2016-08-06T23:32:00Z</dcterms:modified>
</cp:coreProperties>
</file>