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786063" w14:textId="77777777" w:rsidR="00F26BF6" w:rsidRPr="004A6DDB" w:rsidRDefault="00F26BF6" w:rsidP="00422EBA">
      <w:pPr>
        <w:adjustRightInd w:val="0"/>
        <w:snapToGrid w:val="0"/>
        <w:spacing w:after="0" w:line="360" w:lineRule="auto"/>
        <w:jc w:val="both"/>
        <w:rPr>
          <w:rFonts w:ascii="Book Antiqua" w:hAnsi="Book Antiqua" w:cs="Arial"/>
          <w:b/>
          <w:color w:val="222222"/>
          <w:shd w:val="clear" w:color="auto" w:fill="FFFFFF"/>
        </w:rPr>
      </w:pPr>
      <w:r w:rsidRPr="004A6DDB">
        <w:rPr>
          <w:rFonts w:ascii="Book Antiqua" w:hAnsi="Book Antiqua" w:cs="Arial"/>
          <w:b/>
          <w:color w:val="222222"/>
          <w:shd w:val="clear" w:color="auto" w:fill="FFFFFF"/>
        </w:rPr>
        <w:t>Name of Journal: World Journal of Gastroenterology</w:t>
      </w:r>
    </w:p>
    <w:p w14:paraId="7E168BFB" w14:textId="4FBAA4E5" w:rsidR="00F26BF6" w:rsidRPr="004A6DDB" w:rsidRDefault="00F26BF6" w:rsidP="00422EBA">
      <w:pPr>
        <w:adjustRightInd w:val="0"/>
        <w:snapToGrid w:val="0"/>
        <w:spacing w:after="0" w:line="360" w:lineRule="auto"/>
        <w:jc w:val="both"/>
        <w:rPr>
          <w:rFonts w:ascii="Book Antiqua" w:hAnsi="Book Antiqua" w:cs="Arial"/>
          <w:b/>
          <w:color w:val="222222"/>
          <w:shd w:val="clear" w:color="auto" w:fill="FFFFFF"/>
        </w:rPr>
      </w:pPr>
      <w:r w:rsidRPr="004A6DDB">
        <w:rPr>
          <w:rFonts w:ascii="Book Antiqua" w:hAnsi="Book Antiqua" w:cs="Arial"/>
          <w:b/>
          <w:color w:val="222222"/>
          <w:shd w:val="clear" w:color="auto" w:fill="FFFFFF"/>
        </w:rPr>
        <w:t xml:space="preserve">ESPS Manuscript NO: </w:t>
      </w:r>
      <w:r w:rsidRPr="00F26BF6">
        <w:rPr>
          <w:rFonts w:ascii="Book Antiqua" w:eastAsiaTheme="minorEastAsia" w:hAnsi="Book Antiqua" w:cs="Arial"/>
          <w:b/>
          <w:color w:val="222222"/>
          <w:shd w:val="clear" w:color="auto" w:fill="FFFFFF"/>
          <w:lang w:eastAsia="zh-CN"/>
        </w:rPr>
        <w:t>25824</w:t>
      </w:r>
    </w:p>
    <w:p w14:paraId="0222B013" w14:textId="09438293" w:rsidR="007A0925" w:rsidRPr="00F061D5" w:rsidRDefault="00F26BF6" w:rsidP="00422EBA">
      <w:pPr>
        <w:adjustRightInd w:val="0"/>
        <w:snapToGrid w:val="0"/>
        <w:spacing w:after="0" w:line="360" w:lineRule="auto"/>
        <w:jc w:val="both"/>
        <w:rPr>
          <w:rFonts w:ascii="Book Antiqua" w:eastAsiaTheme="minorEastAsia" w:hAnsi="Book Antiqua"/>
          <w:sz w:val="24"/>
          <w:szCs w:val="24"/>
          <w:lang w:val="en-GB" w:eastAsia="zh-CN"/>
        </w:rPr>
      </w:pPr>
      <w:r w:rsidRPr="004A6DDB">
        <w:rPr>
          <w:rFonts w:ascii="Book Antiqua" w:hAnsi="Book Antiqua" w:cs="Arial"/>
          <w:b/>
          <w:color w:val="222222"/>
          <w:shd w:val="clear" w:color="auto" w:fill="FFFFFF"/>
        </w:rPr>
        <w:t xml:space="preserve">Manuscript Type: </w:t>
      </w:r>
      <w:r w:rsidR="00F061D5" w:rsidRPr="00F061D5">
        <w:rPr>
          <w:rFonts w:ascii="Book Antiqua" w:hAnsi="Book Antiqua"/>
          <w:b/>
          <w:caps/>
          <w:sz w:val="24"/>
          <w:szCs w:val="24"/>
          <w:lang w:val="en-GB"/>
        </w:rPr>
        <w:t>TOPIC HIGHLIGHT</w:t>
      </w:r>
      <w:r w:rsidR="00F061D5">
        <w:rPr>
          <w:rFonts w:ascii="Book Antiqua" w:eastAsiaTheme="minorEastAsia" w:hAnsi="Book Antiqua" w:hint="eastAsia"/>
          <w:b/>
          <w:caps/>
          <w:sz w:val="24"/>
          <w:szCs w:val="24"/>
          <w:lang w:val="en-GB" w:eastAsia="zh-CN"/>
        </w:rPr>
        <w:t>S</w:t>
      </w:r>
    </w:p>
    <w:p w14:paraId="6ED440B2" w14:textId="77777777" w:rsidR="00F26BF6" w:rsidRPr="00F061D5" w:rsidRDefault="00F26BF6" w:rsidP="00422EBA">
      <w:pPr>
        <w:pStyle w:val="NormalWeb"/>
        <w:shd w:val="clear" w:color="auto" w:fill="FFFFFF"/>
        <w:adjustRightInd w:val="0"/>
        <w:snapToGrid w:val="0"/>
        <w:spacing w:before="0" w:after="0" w:line="360" w:lineRule="auto"/>
        <w:jc w:val="both"/>
        <w:rPr>
          <w:rFonts w:ascii="Book Antiqua" w:eastAsiaTheme="minorEastAsia" w:hAnsi="Book Antiqua"/>
          <w:b/>
          <w:lang w:val="en-GB" w:eastAsia="zh-CN"/>
        </w:rPr>
      </w:pPr>
    </w:p>
    <w:p w14:paraId="33ACDCB6" w14:textId="49AEF4BB" w:rsidR="00F061D5" w:rsidRPr="00652264" w:rsidRDefault="00F061D5" w:rsidP="00422EBA">
      <w:pPr>
        <w:pStyle w:val="NormalWeb"/>
        <w:shd w:val="clear" w:color="auto" w:fill="FFFFFF"/>
        <w:adjustRightInd w:val="0"/>
        <w:snapToGrid w:val="0"/>
        <w:spacing w:before="0" w:after="0" w:line="360" w:lineRule="auto"/>
        <w:jc w:val="both"/>
        <w:rPr>
          <w:rFonts w:ascii="Book Antiqua" w:eastAsiaTheme="minorEastAsia" w:hAnsi="Book Antiqua"/>
          <w:lang w:val="en-GB" w:eastAsia="zh-CN"/>
        </w:rPr>
      </w:pPr>
      <w:r w:rsidRPr="00652264">
        <w:rPr>
          <w:rFonts w:ascii="Book Antiqua" w:eastAsiaTheme="minorEastAsia" w:hAnsi="Book Antiqua"/>
          <w:lang w:val="en-GB" w:eastAsia="zh-CN"/>
        </w:rPr>
        <w:t>2016 Liver Transplantation: Global view</w:t>
      </w:r>
    </w:p>
    <w:p w14:paraId="57EF965B" w14:textId="77777777" w:rsidR="00F061D5" w:rsidRDefault="00F061D5" w:rsidP="00422EBA">
      <w:pPr>
        <w:pStyle w:val="NormalWeb"/>
        <w:shd w:val="clear" w:color="auto" w:fill="FFFFFF"/>
        <w:adjustRightInd w:val="0"/>
        <w:snapToGrid w:val="0"/>
        <w:spacing w:before="0" w:after="0" w:line="360" w:lineRule="auto"/>
        <w:jc w:val="both"/>
        <w:rPr>
          <w:rFonts w:ascii="Book Antiqua" w:eastAsiaTheme="minorEastAsia" w:hAnsi="Book Antiqua"/>
          <w:lang w:val="en-GB" w:eastAsia="zh-CN"/>
        </w:rPr>
      </w:pPr>
    </w:p>
    <w:p w14:paraId="07C985F9" w14:textId="0CEFA424" w:rsidR="007A0925" w:rsidRDefault="00F26BF6" w:rsidP="00422EBA">
      <w:pPr>
        <w:pStyle w:val="NormalWeb"/>
        <w:shd w:val="clear" w:color="auto" w:fill="FFFFFF"/>
        <w:adjustRightInd w:val="0"/>
        <w:snapToGrid w:val="0"/>
        <w:spacing w:before="0" w:after="0" w:line="360" w:lineRule="auto"/>
        <w:jc w:val="both"/>
        <w:rPr>
          <w:rFonts w:ascii="Book Antiqua" w:eastAsiaTheme="minorEastAsia" w:hAnsi="Book Antiqua" w:cs="Arial"/>
          <w:b/>
          <w:lang w:val="en-GB" w:eastAsia="zh-CN"/>
        </w:rPr>
      </w:pPr>
      <w:bookmarkStart w:id="0" w:name="_GoBack"/>
      <w:r>
        <w:rPr>
          <w:rFonts w:ascii="Book Antiqua" w:hAnsi="Book Antiqua" w:cs="Arial"/>
          <w:b/>
          <w:lang w:val="en-GB"/>
        </w:rPr>
        <w:t xml:space="preserve">Predictive factors of short term outcome after liver transplantation: </w:t>
      </w:r>
      <w:r w:rsidRPr="00F26BF6">
        <w:rPr>
          <w:rFonts w:ascii="Book Antiqua" w:hAnsi="Book Antiqua" w:cs="Arial"/>
          <w:b/>
          <w:caps/>
          <w:lang w:val="en-GB"/>
        </w:rPr>
        <w:t>a</w:t>
      </w:r>
      <w:r>
        <w:rPr>
          <w:rFonts w:ascii="Book Antiqua" w:hAnsi="Book Antiqua" w:cs="Arial"/>
          <w:b/>
          <w:lang w:val="en-GB"/>
        </w:rPr>
        <w:t xml:space="preserve"> review</w:t>
      </w:r>
    </w:p>
    <w:bookmarkEnd w:id="0"/>
    <w:p w14:paraId="5FC2CC6C" w14:textId="77777777" w:rsidR="00F26BF6" w:rsidRPr="00F26BF6" w:rsidRDefault="00F26BF6" w:rsidP="00422EBA">
      <w:pPr>
        <w:pStyle w:val="NormalWeb"/>
        <w:shd w:val="clear" w:color="auto" w:fill="FFFFFF"/>
        <w:adjustRightInd w:val="0"/>
        <w:snapToGrid w:val="0"/>
        <w:spacing w:before="0" w:after="0" w:line="360" w:lineRule="auto"/>
        <w:jc w:val="both"/>
        <w:rPr>
          <w:rFonts w:eastAsiaTheme="minorEastAsia"/>
          <w:lang w:val="en-GB" w:eastAsia="zh-CN"/>
        </w:rPr>
      </w:pPr>
    </w:p>
    <w:p w14:paraId="5925565C" w14:textId="3059F139" w:rsidR="007A0925" w:rsidRDefault="00E35182" w:rsidP="00422EBA">
      <w:pPr>
        <w:adjustRightInd w:val="0"/>
        <w:snapToGrid w:val="0"/>
        <w:spacing w:after="0" w:line="360" w:lineRule="auto"/>
        <w:jc w:val="both"/>
        <w:rPr>
          <w:rFonts w:ascii="Book Antiqua" w:eastAsiaTheme="minorEastAsia" w:hAnsi="Book Antiqua"/>
          <w:b/>
          <w:sz w:val="24"/>
          <w:szCs w:val="24"/>
          <w:lang w:val="en-GB" w:eastAsia="zh-CN"/>
        </w:rPr>
      </w:pPr>
      <w:r w:rsidRPr="00E35182">
        <w:rPr>
          <w:rFonts w:ascii="Book Antiqua" w:hAnsi="Book Antiqua"/>
          <w:sz w:val="24"/>
          <w:szCs w:val="24"/>
        </w:rPr>
        <w:t>Bolondi</w:t>
      </w:r>
      <w:r w:rsidRPr="00E35182">
        <w:rPr>
          <w:rFonts w:ascii="Book Antiqua" w:hAnsi="Book Antiqua"/>
          <w:sz w:val="24"/>
          <w:szCs w:val="24"/>
          <w:lang w:val="en-GB"/>
        </w:rPr>
        <w:t xml:space="preserve"> </w:t>
      </w:r>
      <w:r>
        <w:rPr>
          <w:rFonts w:ascii="Book Antiqua" w:eastAsiaTheme="minorEastAsia" w:hAnsi="Book Antiqua" w:hint="eastAsia"/>
          <w:sz w:val="24"/>
          <w:szCs w:val="24"/>
          <w:lang w:val="en-GB" w:eastAsia="zh-CN"/>
        </w:rPr>
        <w:t xml:space="preserve">G </w:t>
      </w:r>
      <w:r w:rsidRPr="00E35182">
        <w:rPr>
          <w:rFonts w:ascii="Book Antiqua" w:eastAsiaTheme="minorEastAsia" w:hAnsi="Book Antiqua" w:hint="eastAsia"/>
          <w:i/>
          <w:sz w:val="24"/>
          <w:szCs w:val="24"/>
          <w:lang w:val="en-GB" w:eastAsia="zh-CN"/>
        </w:rPr>
        <w:t>et al</w:t>
      </w:r>
      <w:r>
        <w:rPr>
          <w:rFonts w:ascii="Book Antiqua" w:eastAsiaTheme="minorEastAsia" w:hAnsi="Book Antiqua" w:hint="eastAsia"/>
          <w:sz w:val="24"/>
          <w:szCs w:val="24"/>
          <w:lang w:val="en-GB" w:eastAsia="zh-CN"/>
        </w:rPr>
        <w:t xml:space="preserve">. </w:t>
      </w:r>
      <w:r w:rsidR="00481056" w:rsidRPr="00E35182">
        <w:rPr>
          <w:rFonts w:ascii="Book Antiqua" w:hAnsi="Book Antiqua"/>
          <w:sz w:val="24"/>
          <w:szCs w:val="24"/>
          <w:lang w:val="en-GB"/>
        </w:rPr>
        <w:t>Predictive factors</w:t>
      </w:r>
      <w:r w:rsidR="00BD4107" w:rsidRPr="00E35182">
        <w:rPr>
          <w:rFonts w:ascii="Book Antiqua" w:hAnsi="Book Antiqua"/>
          <w:sz w:val="24"/>
          <w:szCs w:val="24"/>
          <w:lang w:val="en-GB"/>
        </w:rPr>
        <w:t xml:space="preserve"> of liver </w:t>
      </w:r>
      <w:r w:rsidR="007A0925" w:rsidRPr="00E35182">
        <w:rPr>
          <w:rFonts w:ascii="Book Antiqua" w:hAnsi="Book Antiqua"/>
          <w:sz w:val="24"/>
          <w:szCs w:val="24"/>
          <w:lang w:val="en-GB"/>
        </w:rPr>
        <w:t>allograft dysfunction</w:t>
      </w:r>
      <w:r w:rsidR="00BD4107" w:rsidRPr="00E35182">
        <w:rPr>
          <w:rFonts w:ascii="Book Antiqua" w:hAnsi="Book Antiqua"/>
          <w:sz w:val="24"/>
          <w:szCs w:val="24"/>
          <w:lang w:val="en-GB"/>
        </w:rPr>
        <w:t xml:space="preserve"> </w:t>
      </w:r>
    </w:p>
    <w:p w14:paraId="4F292A51" w14:textId="77777777" w:rsidR="00F26BF6" w:rsidRPr="00F26BF6" w:rsidRDefault="00F26BF6" w:rsidP="00422EBA">
      <w:pPr>
        <w:adjustRightInd w:val="0"/>
        <w:snapToGrid w:val="0"/>
        <w:spacing w:after="0" w:line="360" w:lineRule="auto"/>
        <w:jc w:val="both"/>
        <w:rPr>
          <w:rFonts w:eastAsiaTheme="minorEastAsia"/>
          <w:lang w:val="en-GB" w:eastAsia="zh-CN"/>
        </w:rPr>
      </w:pPr>
    </w:p>
    <w:p w14:paraId="086EDB09" w14:textId="2DFE2EA5" w:rsidR="007A0925" w:rsidRPr="00E35182" w:rsidRDefault="007A0925" w:rsidP="00422EBA">
      <w:pPr>
        <w:adjustRightInd w:val="0"/>
        <w:snapToGrid w:val="0"/>
        <w:spacing w:after="0" w:line="360" w:lineRule="auto"/>
        <w:jc w:val="both"/>
        <w:rPr>
          <w:rFonts w:ascii="Book Antiqua" w:eastAsiaTheme="minorEastAsia" w:hAnsi="Book Antiqua"/>
          <w:bCs/>
          <w:sz w:val="24"/>
          <w:szCs w:val="24"/>
          <w:lang w:eastAsia="zh-CN"/>
        </w:rPr>
      </w:pPr>
      <w:r w:rsidRPr="00E35182">
        <w:rPr>
          <w:rFonts w:ascii="Book Antiqua" w:hAnsi="Book Antiqua"/>
          <w:sz w:val="24"/>
          <w:szCs w:val="24"/>
        </w:rPr>
        <w:t>Giuliano Bolondi</w:t>
      </w:r>
      <w:r w:rsidRPr="00E35182">
        <w:rPr>
          <w:rFonts w:ascii="Book Antiqua" w:hAnsi="Book Antiqua"/>
          <w:bCs/>
          <w:sz w:val="24"/>
          <w:szCs w:val="24"/>
        </w:rPr>
        <w:t>, Federico Moccheggiani, Roberto Montalti, Daniele Nicolini, Ma</w:t>
      </w:r>
      <w:r w:rsidR="00F26BF6" w:rsidRPr="00E35182">
        <w:rPr>
          <w:rFonts w:ascii="Book Antiqua" w:hAnsi="Book Antiqua"/>
          <w:bCs/>
          <w:sz w:val="24"/>
          <w:szCs w:val="24"/>
        </w:rPr>
        <w:t>rco Vivarelli, Lesley De Pietri</w:t>
      </w:r>
    </w:p>
    <w:p w14:paraId="70600073" w14:textId="77777777" w:rsidR="00F26BF6" w:rsidRPr="00F26BF6" w:rsidRDefault="00F26BF6" w:rsidP="00422EBA">
      <w:pPr>
        <w:adjustRightInd w:val="0"/>
        <w:snapToGrid w:val="0"/>
        <w:spacing w:after="0" w:line="360" w:lineRule="auto"/>
        <w:jc w:val="both"/>
        <w:rPr>
          <w:rFonts w:eastAsiaTheme="minorEastAsia"/>
          <w:lang w:eastAsia="zh-CN"/>
        </w:rPr>
      </w:pPr>
    </w:p>
    <w:p w14:paraId="1F0C3348" w14:textId="77777777" w:rsidR="00F26BF6" w:rsidRDefault="007D7ACC" w:rsidP="00422EBA">
      <w:pPr>
        <w:adjustRightInd w:val="0"/>
        <w:snapToGrid w:val="0"/>
        <w:spacing w:after="0" w:line="360" w:lineRule="auto"/>
        <w:jc w:val="both"/>
        <w:rPr>
          <w:rFonts w:ascii="Book Antiqua" w:eastAsiaTheme="minorEastAsia" w:hAnsi="Book Antiqua"/>
          <w:sz w:val="24"/>
          <w:szCs w:val="24"/>
          <w:lang w:eastAsia="zh-CN"/>
        </w:rPr>
      </w:pPr>
      <w:r w:rsidRPr="00F26BF6">
        <w:rPr>
          <w:rFonts w:ascii="Book Antiqua" w:hAnsi="Book Antiqua"/>
          <w:b/>
          <w:sz w:val="24"/>
          <w:szCs w:val="24"/>
        </w:rPr>
        <w:t>Giuliano Bolondi</w:t>
      </w:r>
      <w:r w:rsidRPr="00F26BF6">
        <w:rPr>
          <w:rFonts w:ascii="Book Antiqua" w:hAnsi="Book Antiqua"/>
          <w:sz w:val="24"/>
          <w:szCs w:val="24"/>
        </w:rPr>
        <w:t>, Anaesthesiology, Intensive Care and Pain Therapy Medical Residency, University of Modena and Reggio Emilia, 41124 Modena, Italy</w:t>
      </w:r>
    </w:p>
    <w:p w14:paraId="635BD423" w14:textId="77777777" w:rsidR="00F26BF6" w:rsidRDefault="00F26BF6" w:rsidP="00422EBA">
      <w:pPr>
        <w:adjustRightInd w:val="0"/>
        <w:snapToGrid w:val="0"/>
        <w:spacing w:after="0" w:line="360" w:lineRule="auto"/>
        <w:jc w:val="both"/>
        <w:rPr>
          <w:rFonts w:ascii="Book Antiqua" w:eastAsiaTheme="minorEastAsia" w:hAnsi="Book Antiqua"/>
          <w:sz w:val="24"/>
          <w:szCs w:val="24"/>
          <w:lang w:eastAsia="zh-CN"/>
        </w:rPr>
      </w:pPr>
    </w:p>
    <w:p w14:paraId="630B0758" w14:textId="2AF46DD8" w:rsidR="007A0925" w:rsidRDefault="007D7ACC" w:rsidP="00422EBA">
      <w:pPr>
        <w:adjustRightInd w:val="0"/>
        <w:snapToGrid w:val="0"/>
        <w:spacing w:after="0" w:line="360" w:lineRule="auto"/>
        <w:jc w:val="both"/>
        <w:rPr>
          <w:rFonts w:ascii="Book Antiqua" w:eastAsiaTheme="minorEastAsia" w:hAnsi="Book Antiqua"/>
          <w:sz w:val="24"/>
          <w:szCs w:val="24"/>
          <w:lang w:eastAsia="zh-CN"/>
        </w:rPr>
      </w:pPr>
      <w:r w:rsidRPr="00F26BF6">
        <w:rPr>
          <w:rFonts w:ascii="Book Antiqua" w:hAnsi="Book Antiqua"/>
          <w:b/>
          <w:bCs/>
          <w:sz w:val="24"/>
          <w:szCs w:val="24"/>
        </w:rPr>
        <w:t>Federico Moccheggiani, Roberto Montalti, Daniele Nicolini</w:t>
      </w:r>
      <w:r w:rsidR="00F26BF6">
        <w:rPr>
          <w:rFonts w:ascii="Book Antiqua" w:eastAsiaTheme="minorEastAsia" w:hAnsi="Book Antiqua" w:hint="eastAsia"/>
          <w:b/>
          <w:bCs/>
          <w:sz w:val="24"/>
          <w:szCs w:val="24"/>
          <w:lang w:eastAsia="zh-CN"/>
        </w:rPr>
        <w:t>,</w:t>
      </w:r>
      <w:r w:rsidRPr="00F26BF6">
        <w:rPr>
          <w:rFonts w:ascii="Book Antiqua" w:hAnsi="Book Antiqua"/>
          <w:b/>
          <w:bCs/>
          <w:sz w:val="24"/>
          <w:szCs w:val="24"/>
        </w:rPr>
        <w:t xml:space="preserve"> Marco Vivarelli,</w:t>
      </w:r>
      <w:r w:rsidRPr="00F26BF6">
        <w:rPr>
          <w:rFonts w:ascii="Book Antiqua" w:hAnsi="Book Antiqua"/>
          <w:sz w:val="24"/>
          <w:szCs w:val="24"/>
        </w:rPr>
        <w:t xml:space="preserve"> Division of Hepatobiliary and Transplant Surgery, Department of Experimental Medicine, Polytechnic University of Marche, </w:t>
      </w:r>
      <w:r w:rsidR="00874A41" w:rsidRPr="00874A41">
        <w:rPr>
          <w:rFonts w:ascii="Book Antiqua" w:hAnsi="Book Antiqua"/>
          <w:sz w:val="24"/>
          <w:szCs w:val="24"/>
        </w:rPr>
        <w:t xml:space="preserve">60121 </w:t>
      </w:r>
      <w:r w:rsidRPr="00F26BF6">
        <w:rPr>
          <w:rFonts w:ascii="Book Antiqua" w:hAnsi="Book Antiqua"/>
          <w:sz w:val="24"/>
          <w:szCs w:val="24"/>
        </w:rPr>
        <w:t>Ancona, Italy</w:t>
      </w:r>
    </w:p>
    <w:p w14:paraId="0EFC11D7" w14:textId="77777777" w:rsidR="00F26BF6" w:rsidRPr="00F26BF6" w:rsidRDefault="00F26BF6" w:rsidP="00422EBA">
      <w:pPr>
        <w:adjustRightInd w:val="0"/>
        <w:snapToGrid w:val="0"/>
        <w:spacing w:after="0" w:line="360" w:lineRule="auto"/>
        <w:jc w:val="both"/>
        <w:rPr>
          <w:rFonts w:ascii="Book Antiqua" w:eastAsiaTheme="minorEastAsia" w:hAnsi="Book Antiqua"/>
          <w:sz w:val="24"/>
          <w:szCs w:val="24"/>
          <w:lang w:eastAsia="zh-CN"/>
        </w:rPr>
      </w:pPr>
    </w:p>
    <w:p w14:paraId="7348E9AB" w14:textId="32732741" w:rsidR="002D7F73" w:rsidRDefault="00246F40" w:rsidP="00422EBA">
      <w:pPr>
        <w:adjustRightInd w:val="0"/>
        <w:snapToGrid w:val="0"/>
        <w:spacing w:after="0" w:line="360" w:lineRule="auto"/>
        <w:jc w:val="both"/>
        <w:rPr>
          <w:rFonts w:ascii="Book Antiqua" w:hAnsi="Book Antiqua"/>
          <w:color w:val="000000"/>
          <w:sz w:val="24"/>
          <w:szCs w:val="24"/>
          <w:shd w:val="clear" w:color="auto" w:fill="FFFFFF"/>
        </w:rPr>
      </w:pPr>
      <w:r>
        <w:rPr>
          <w:rFonts w:ascii="Book Antiqua" w:hAnsi="Book Antiqua"/>
          <w:b/>
          <w:sz w:val="24"/>
          <w:szCs w:val="24"/>
          <w:lang w:val="en-GB"/>
        </w:rPr>
        <w:t>Lesley De Pietri</w:t>
      </w:r>
      <w:r>
        <w:rPr>
          <w:rFonts w:ascii="Book Antiqua" w:hAnsi="Book Antiqua"/>
          <w:sz w:val="24"/>
          <w:szCs w:val="24"/>
          <w:lang w:val="en-GB"/>
        </w:rPr>
        <w:t xml:space="preserve">, </w:t>
      </w:r>
      <w:r w:rsidR="00F200E6" w:rsidRPr="00F26BF6">
        <w:rPr>
          <w:rFonts w:ascii="Book Antiqua" w:hAnsi="Book Antiqua"/>
          <w:color w:val="000000"/>
          <w:sz w:val="24"/>
          <w:szCs w:val="24"/>
          <w:shd w:val="clear" w:color="auto" w:fill="FFFFFF"/>
          <w:lang w:val="en-US"/>
        </w:rPr>
        <w:t>Division of Anaesthesiology and Intensive Care Unit, Department of Cardiology, Thoracic and Vascular Surgery, Critical Care Medicine</w:t>
      </w:r>
      <w:r w:rsidR="00874A41">
        <w:rPr>
          <w:rFonts w:ascii="Book Antiqua" w:eastAsiaTheme="minorEastAsia" w:hAnsi="Book Antiqua" w:hint="eastAsia"/>
          <w:color w:val="000000"/>
          <w:sz w:val="24"/>
          <w:szCs w:val="24"/>
          <w:shd w:val="clear" w:color="auto" w:fill="FFFFFF"/>
          <w:lang w:val="en-US" w:eastAsia="zh-CN"/>
        </w:rPr>
        <w:t>,</w:t>
      </w:r>
      <w:r w:rsidR="00F200E6" w:rsidRPr="00F26BF6">
        <w:rPr>
          <w:rFonts w:ascii="Book Antiqua" w:hAnsi="Book Antiqua"/>
          <w:color w:val="000000"/>
          <w:sz w:val="24"/>
          <w:szCs w:val="24"/>
          <w:shd w:val="clear" w:color="auto" w:fill="FFFFFF"/>
          <w:lang w:val="en-US"/>
        </w:rPr>
        <w:t xml:space="preserve"> </w:t>
      </w:r>
      <w:r w:rsidR="00F200E6" w:rsidRPr="00F26BF6">
        <w:rPr>
          <w:rFonts w:ascii="Book Antiqua" w:hAnsi="Book Antiqua"/>
          <w:color w:val="000000"/>
          <w:sz w:val="24"/>
          <w:szCs w:val="24"/>
          <w:shd w:val="clear" w:color="auto" w:fill="FFFFFF"/>
        </w:rPr>
        <w:t>Arcispedale Santa Maria Nu</w:t>
      </w:r>
      <w:r w:rsidR="00F26BF6">
        <w:rPr>
          <w:rFonts w:ascii="Book Antiqua" w:hAnsi="Book Antiqua"/>
          <w:color w:val="000000"/>
          <w:sz w:val="24"/>
          <w:szCs w:val="24"/>
          <w:shd w:val="clear" w:color="auto" w:fill="FFFFFF"/>
        </w:rPr>
        <w:t xml:space="preserve">ova-IRCCS, Reggio Emilia, </w:t>
      </w:r>
      <w:r w:rsidR="00874A41" w:rsidRPr="00F26BF6">
        <w:rPr>
          <w:rFonts w:ascii="Book Antiqua" w:hAnsi="Book Antiqua"/>
          <w:sz w:val="24"/>
          <w:szCs w:val="24"/>
        </w:rPr>
        <w:t>41124 Modena,</w:t>
      </w:r>
      <w:r w:rsidR="00874A41">
        <w:rPr>
          <w:rFonts w:ascii="Book Antiqua" w:eastAsiaTheme="minorEastAsia" w:hAnsi="Book Antiqua" w:hint="eastAsia"/>
          <w:sz w:val="24"/>
          <w:szCs w:val="24"/>
          <w:lang w:eastAsia="zh-CN"/>
        </w:rPr>
        <w:t xml:space="preserve"> </w:t>
      </w:r>
      <w:r w:rsidR="00F26BF6">
        <w:rPr>
          <w:rFonts w:ascii="Book Antiqua" w:hAnsi="Book Antiqua"/>
          <w:color w:val="000000"/>
          <w:sz w:val="24"/>
          <w:szCs w:val="24"/>
          <w:shd w:val="clear" w:color="auto" w:fill="FFFFFF"/>
        </w:rPr>
        <w:t>Italy</w:t>
      </w:r>
    </w:p>
    <w:p w14:paraId="33705F69" w14:textId="77777777" w:rsidR="00F26BF6" w:rsidRPr="00F26BF6" w:rsidRDefault="00F26BF6" w:rsidP="00422EBA">
      <w:pPr>
        <w:adjustRightInd w:val="0"/>
        <w:snapToGrid w:val="0"/>
        <w:spacing w:after="0" w:line="360" w:lineRule="auto"/>
        <w:jc w:val="both"/>
        <w:rPr>
          <w:rFonts w:eastAsiaTheme="minorEastAsia"/>
          <w:lang w:val="en-GB" w:eastAsia="zh-CN"/>
        </w:rPr>
      </w:pPr>
    </w:p>
    <w:p w14:paraId="616D86C2" w14:textId="3AC1965B" w:rsidR="007A0925" w:rsidRDefault="00F26BF6" w:rsidP="00422EBA">
      <w:pPr>
        <w:adjustRightInd w:val="0"/>
        <w:snapToGrid w:val="0"/>
        <w:spacing w:after="0" w:line="360" w:lineRule="auto"/>
        <w:jc w:val="both"/>
        <w:rPr>
          <w:rFonts w:ascii="Book Antiqua" w:hAnsi="Book Antiqua"/>
          <w:sz w:val="24"/>
          <w:szCs w:val="24"/>
          <w:highlight w:val="yellow"/>
          <w:lang w:val="en-GB"/>
        </w:rPr>
      </w:pPr>
      <w:r>
        <w:rPr>
          <w:rFonts w:ascii="Book Antiqua" w:hAnsi="Book Antiqua"/>
          <w:b/>
          <w:sz w:val="24"/>
          <w:szCs w:val="24"/>
          <w:lang w:val="en-GB"/>
        </w:rPr>
        <w:t>Author</w:t>
      </w:r>
      <w:r w:rsidR="0093632F" w:rsidRPr="00C37FB2">
        <w:rPr>
          <w:rFonts w:ascii="Book Antiqua" w:hAnsi="Book Antiqua"/>
          <w:b/>
          <w:sz w:val="24"/>
          <w:szCs w:val="24"/>
          <w:lang w:val="en-GB"/>
        </w:rPr>
        <w:t xml:space="preserve"> contribution</w:t>
      </w:r>
      <w:r>
        <w:rPr>
          <w:rFonts w:ascii="Book Antiqua" w:eastAsiaTheme="minorEastAsia" w:hAnsi="Book Antiqua" w:hint="eastAsia"/>
          <w:b/>
          <w:sz w:val="24"/>
          <w:szCs w:val="24"/>
          <w:lang w:val="en-GB" w:eastAsia="zh-CN"/>
        </w:rPr>
        <w:t>s</w:t>
      </w:r>
      <w:r w:rsidR="0093632F" w:rsidRPr="00C37FB2">
        <w:rPr>
          <w:rFonts w:ascii="Book Antiqua" w:hAnsi="Book Antiqua"/>
          <w:b/>
          <w:sz w:val="24"/>
          <w:szCs w:val="24"/>
          <w:lang w:val="en-GB"/>
        </w:rPr>
        <w:t>:</w:t>
      </w:r>
      <w:r w:rsidR="0093632F" w:rsidRPr="00C37FB2">
        <w:rPr>
          <w:rFonts w:ascii="Book Antiqua" w:hAnsi="Book Antiqua"/>
          <w:sz w:val="24"/>
          <w:szCs w:val="24"/>
          <w:lang w:val="en-GB"/>
        </w:rPr>
        <w:t xml:space="preserve"> De Pietri L designed the literature review strategy, critically planned the article structure and wrote the paper; Bolondi G contributed to the literature review and article writing; Moccheggiani F, Montalti R, Nicolini D and Vivarelli M critically reviewed the article and contributed to the literature review.</w:t>
      </w:r>
    </w:p>
    <w:p w14:paraId="2FB1F50E" w14:textId="77777777" w:rsidR="00F26BF6" w:rsidRDefault="00F26BF6" w:rsidP="00422EBA">
      <w:pPr>
        <w:adjustRightInd w:val="0"/>
        <w:snapToGrid w:val="0"/>
        <w:spacing w:after="0" w:line="360" w:lineRule="auto"/>
        <w:jc w:val="both"/>
        <w:rPr>
          <w:rFonts w:ascii="Book Antiqua" w:eastAsiaTheme="minorEastAsia" w:hAnsi="Book Antiqua"/>
          <w:b/>
          <w:sz w:val="24"/>
          <w:szCs w:val="24"/>
          <w:lang w:val="en-GB" w:eastAsia="zh-CN"/>
        </w:rPr>
      </w:pPr>
    </w:p>
    <w:p w14:paraId="41D7B883" w14:textId="73072E32" w:rsidR="007A0925" w:rsidRPr="00874A41" w:rsidRDefault="0093632F" w:rsidP="00422EBA">
      <w:pPr>
        <w:adjustRightInd w:val="0"/>
        <w:snapToGrid w:val="0"/>
        <w:spacing w:after="0" w:line="360" w:lineRule="auto"/>
        <w:jc w:val="both"/>
        <w:rPr>
          <w:rFonts w:ascii="Book Antiqua" w:eastAsiaTheme="minorEastAsia" w:hAnsi="Book Antiqua"/>
          <w:sz w:val="24"/>
          <w:szCs w:val="24"/>
          <w:highlight w:val="yellow"/>
          <w:lang w:val="en-GB" w:eastAsia="zh-CN"/>
        </w:rPr>
      </w:pPr>
      <w:r w:rsidRPr="00C37FB2">
        <w:rPr>
          <w:rFonts w:ascii="Book Antiqua" w:hAnsi="Book Antiqua"/>
          <w:b/>
          <w:sz w:val="24"/>
          <w:szCs w:val="24"/>
          <w:lang w:val="en-GB"/>
        </w:rPr>
        <w:t>Conflict of interest statement:</w:t>
      </w:r>
      <w:r w:rsidR="00874A41">
        <w:rPr>
          <w:rFonts w:ascii="Book Antiqua" w:eastAsiaTheme="minorEastAsia" w:hAnsi="Book Antiqua" w:hint="eastAsia"/>
          <w:sz w:val="24"/>
          <w:szCs w:val="24"/>
          <w:lang w:val="en-GB" w:eastAsia="zh-CN"/>
        </w:rPr>
        <w:t xml:space="preserve"> All authors have no conflict interests to declare.</w:t>
      </w:r>
    </w:p>
    <w:p w14:paraId="5912E550" w14:textId="77777777" w:rsidR="00F26BF6" w:rsidRPr="00874A41" w:rsidRDefault="00F26BF6" w:rsidP="00422EBA">
      <w:pPr>
        <w:adjustRightInd w:val="0"/>
        <w:snapToGrid w:val="0"/>
        <w:spacing w:after="0" w:line="360" w:lineRule="auto"/>
        <w:jc w:val="both"/>
        <w:rPr>
          <w:rFonts w:ascii="Book Antiqua" w:eastAsiaTheme="minorEastAsia" w:hAnsi="Book Antiqua"/>
          <w:b/>
          <w:sz w:val="24"/>
          <w:szCs w:val="24"/>
          <w:lang w:val="en-GB" w:eastAsia="zh-CN"/>
        </w:rPr>
      </w:pPr>
    </w:p>
    <w:p w14:paraId="51BDB640" w14:textId="77777777" w:rsidR="00BD393B" w:rsidRDefault="00BD393B" w:rsidP="00422EBA">
      <w:pPr>
        <w:adjustRightInd w:val="0"/>
        <w:snapToGrid w:val="0"/>
        <w:spacing w:after="0" w:line="360" w:lineRule="auto"/>
        <w:jc w:val="both"/>
        <w:rPr>
          <w:rFonts w:ascii="Book Antiqua" w:hAnsi="Book Antiqua"/>
          <w:color w:val="000000"/>
          <w:sz w:val="24"/>
        </w:rPr>
      </w:pPr>
      <w:bookmarkStart w:id="1" w:name="OLE_LINK507"/>
      <w:bookmarkStart w:id="2" w:name="OLE_LINK506"/>
      <w:bookmarkStart w:id="3" w:name="OLE_LINK496"/>
      <w:bookmarkStart w:id="4" w:name="OLE_LINK479"/>
      <w:r w:rsidRPr="00C05FCE">
        <w:rPr>
          <w:rFonts w:ascii="Book Antiqua" w:hAnsi="Book Antiqua"/>
          <w:b/>
          <w:color w:val="000000"/>
          <w:sz w:val="24"/>
        </w:rPr>
        <w:t xml:space="preserve">Open-Access: </w:t>
      </w:r>
      <w:r w:rsidRPr="00C05FCE">
        <w:rPr>
          <w:rFonts w:ascii="Book Antiqua" w:hAnsi="Book Antiqua"/>
          <w:color w:val="000000"/>
          <w:sz w:val="24"/>
        </w:rPr>
        <w:t>This article is an open-access</w:t>
      </w:r>
      <w:r w:rsidRPr="00C05FCE">
        <w:rPr>
          <w:rFonts w:ascii="Book Antiqua" w:hAnsi="Book Antiqua" w:hint="eastAsia"/>
          <w:color w:val="000000"/>
          <w:sz w:val="24"/>
        </w:rPr>
        <w:t xml:space="preserve"> </w:t>
      </w:r>
      <w:r w:rsidRPr="00C05FCE">
        <w:rPr>
          <w:rFonts w:ascii="Book Antiqua" w:hAnsi="Book Antiqua"/>
          <w:color w:val="000000"/>
          <w:sz w:val="24"/>
        </w:rPr>
        <w:t>article</w:t>
      </w:r>
      <w:r w:rsidRPr="00C05FCE">
        <w:rPr>
          <w:rFonts w:ascii="Book Antiqua" w:hAnsi="Book Antiqua" w:hint="eastAsia"/>
          <w:color w:val="000000"/>
          <w:sz w:val="24"/>
        </w:rPr>
        <w:t xml:space="preserve"> </w:t>
      </w:r>
      <w:r w:rsidRPr="00C05FCE">
        <w:rPr>
          <w:rFonts w:ascii="Book Antiqua" w:hAnsi="Book Antiqua"/>
          <w:color w:val="000000"/>
          <w:sz w:val="24"/>
        </w:rPr>
        <w:t>which was selected by an in-house editor and fully peer-reviewed by external reviewers. It is distributed</w:t>
      </w:r>
      <w:r w:rsidRPr="00C05FCE">
        <w:rPr>
          <w:rFonts w:ascii="Book Antiqua" w:hAnsi="Book Antiqua" w:hint="eastAsia"/>
          <w:color w:val="000000"/>
          <w:sz w:val="24"/>
        </w:rPr>
        <w:t xml:space="preserve"> </w:t>
      </w:r>
      <w:r w:rsidRPr="00C05FCE">
        <w:rPr>
          <w:rFonts w:ascii="Book Antiqua" w:hAnsi="Book Antiqua"/>
          <w:color w:val="000000"/>
          <w:sz w:val="24"/>
        </w:rPr>
        <w:t>in</w:t>
      </w:r>
      <w:r w:rsidRPr="00C05FCE">
        <w:rPr>
          <w:rFonts w:ascii="Book Antiqua" w:hAnsi="Book Antiqua" w:hint="eastAsia"/>
          <w:color w:val="000000"/>
          <w:sz w:val="24"/>
        </w:rPr>
        <w:t xml:space="preserve"> </w:t>
      </w:r>
      <w:r w:rsidRPr="00C05FCE">
        <w:rPr>
          <w:rFonts w:ascii="Book Antiqua" w:hAnsi="Book Antiqua"/>
          <w:color w:val="000000"/>
          <w:sz w:val="24"/>
        </w:rPr>
        <w:t>accordance</w:t>
      </w:r>
      <w:r w:rsidRPr="00C05FCE">
        <w:rPr>
          <w:rFonts w:ascii="Book Antiqua" w:hAnsi="Book Antiqua" w:hint="eastAsia"/>
          <w:color w:val="000000"/>
          <w:sz w:val="24"/>
        </w:rPr>
        <w:t xml:space="preserve"> </w:t>
      </w:r>
      <w:r w:rsidRPr="00C05FCE">
        <w:rPr>
          <w:rFonts w:ascii="Book Antiqua" w:hAnsi="Book Antiqua"/>
          <w:color w:val="000000"/>
          <w:sz w:val="24"/>
        </w:rPr>
        <w:t xml:space="preserve">with </w:t>
      </w:r>
      <w:r w:rsidRPr="00C05FCE">
        <w:rPr>
          <w:rFonts w:ascii="Book Antiqua" w:hAnsi="Book Antiqua"/>
          <w:color w:val="000000"/>
          <w:sz w:val="24"/>
        </w:rPr>
        <w:lastRenderedPageBreak/>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C77E2B">
          <w:rPr>
            <w:rStyle w:val="Hyperlink"/>
            <w:rFonts w:ascii="Book Antiqua" w:hAnsi="Book Antiqua"/>
            <w:sz w:val="24"/>
          </w:rPr>
          <w:t>http://creativecommons.org/licenses/by-nc/4.0/</w:t>
        </w:r>
      </w:hyperlink>
      <w:bookmarkEnd w:id="1"/>
      <w:bookmarkEnd w:id="2"/>
      <w:bookmarkEnd w:id="3"/>
      <w:bookmarkEnd w:id="4"/>
    </w:p>
    <w:p w14:paraId="06B5C11B" w14:textId="77777777" w:rsidR="00874A41" w:rsidRDefault="00874A41" w:rsidP="00422EBA">
      <w:pPr>
        <w:adjustRightInd w:val="0"/>
        <w:snapToGrid w:val="0"/>
        <w:spacing w:after="0" w:line="360" w:lineRule="auto"/>
        <w:jc w:val="both"/>
        <w:rPr>
          <w:rFonts w:ascii="Book Antiqua" w:eastAsiaTheme="minorEastAsia" w:hAnsi="Book Antiqua"/>
          <w:b/>
          <w:sz w:val="24"/>
          <w:szCs w:val="24"/>
          <w:lang w:val="en-GB" w:eastAsia="zh-CN"/>
        </w:rPr>
      </w:pPr>
    </w:p>
    <w:p w14:paraId="44722B66" w14:textId="77777777" w:rsidR="00600215" w:rsidRPr="00B757B8" w:rsidRDefault="00600215" w:rsidP="00600215">
      <w:pPr>
        <w:spacing w:line="360" w:lineRule="auto"/>
        <w:rPr>
          <w:rFonts w:ascii="Book Antiqua" w:hAnsi="Book Antiqua"/>
          <w:sz w:val="24"/>
        </w:rPr>
      </w:pPr>
      <w:r w:rsidRPr="00B757B8">
        <w:rPr>
          <w:rFonts w:ascii="Book Antiqua" w:hAnsi="Book Antiqua"/>
          <w:b/>
          <w:sz w:val="24"/>
        </w:rPr>
        <w:t xml:space="preserve">Manuscript source: </w:t>
      </w:r>
      <w:r w:rsidRPr="00B757B8">
        <w:rPr>
          <w:rFonts w:ascii="Book Antiqua" w:hAnsi="Book Antiqua"/>
          <w:sz w:val="24"/>
        </w:rPr>
        <w:t>Invited manuscript</w:t>
      </w:r>
    </w:p>
    <w:p w14:paraId="2832EB1B" w14:textId="77777777" w:rsidR="00600215" w:rsidRPr="00600215" w:rsidRDefault="00600215" w:rsidP="00422EBA">
      <w:pPr>
        <w:adjustRightInd w:val="0"/>
        <w:snapToGrid w:val="0"/>
        <w:spacing w:after="0" w:line="360" w:lineRule="auto"/>
        <w:jc w:val="both"/>
        <w:rPr>
          <w:rFonts w:ascii="Book Antiqua" w:eastAsiaTheme="minorEastAsia" w:hAnsi="Book Antiqua"/>
          <w:b/>
          <w:sz w:val="24"/>
          <w:szCs w:val="24"/>
          <w:lang w:eastAsia="zh-CN"/>
        </w:rPr>
      </w:pPr>
    </w:p>
    <w:p w14:paraId="036D36FB" w14:textId="77777777" w:rsidR="00026F1B" w:rsidRDefault="0093632F" w:rsidP="00422EBA">
      <w:pPr>
        <w:adjustRightInd w:val="0"/>
        <w:snapToGrid w:val="0"/>
        <w:spacing w:after="0" w:line="360" w:lineRule="auto"/>
        <w:jc w:val="both"/>
        <w:rPr>
          <w:rFonts w:ascii="Book Antiqua" w:eastAsiaTheme="minorEastAsia" w:hAnsi="Book Antiqua"/>
          <w:sz w:val="24"/>
          <w:szCs w:val="24"/>
          <w:lang w:val="en-GB" w:eastAsia="zh-CN"/>
        </w:rPr>
      </w:pPr>
      <w:r w:rsidRPr="00C37FB2">
        <w:rPr>
          <w:rFonts w:ascii="Book Antiqua" w:hAnsi="Book Antiqua"/>
          <w:b/>
          <w:sz w:val="24"/>
          <w:szCs w:val="24"/>
          <w:lang w:val="en-GB"/>
        </w:rPr>
        <w:t>Correspondence to:</w:t>
      </w:r>
      <w:r w:rsidRPr="00C37FB2">
        <w:rPr>
          <w:rFonts w:ascii="Book Antiqua" w:hAnsi="Book Antiqua"/>
          <w:sz w:val="24"/>
          <w:szCs w:val="24"/>
          <w:lang w:val="en-GB"/>
        </w:rPr>
        <w:t xml:space="preserve"> </w:t>
      </w:r>
      <w:r w:rsidR="00C37FB2" w:rsidRPr="00026F1B">
        <w:rPr>
          <w:rFonts w:ascii="Book Antiqua" w:hAnsi="Book Antiqua"/>
          <w:b/>
          <w:bCs/>
          <w:sz w:val="24"/>
          <w:szCs w:val="24"/>
          <w:lang w:val="en-GB"/>
        </w:rPr>
        <w:t>Federico Moccheggiani</w:t>
      </w:r>
      <w:r w:rsidRPr="00026F1B">
        <w:rPr>
          <w:rFonts w:ascii="Book Antiqua" w:hAnsi="Book Antiqua"/>
          <w:b/>
          <w:sz w:val="24"/>
          <w:szCs w:val="24"/>
          <w:lang w:val="en-GB"/>
        </w:rPr>
        <w:t>, MD,</w:t>
      </w:r>
      <w:r w:rsidRPr="00C37FB2">
        <w:rPr>
          <w:rFonts w:ascii="Book Antiqua" w:hAnsi="Book Antiqua"/>
          <w:sz w:val="24"/>
          <w:szCs w:val="24"/>
          <w:lang w:val="en-GB"/>
        </w:rPr>
        <w:t xml:space="preserve"> </w:t>
      </w:r>
      <w:r w:rsidR="00C37FB2" w:rsidRPr="00C37FB2">
        <w:rPr>
          <w:rFonts w:ascii="Book Antiqua" w:hAnsi="Book Antiqua"/>
          <w:sz w:val="24"/>
          <w:szCs w:val="24"/>
          <w:lang w:val="en-GB"/>
        </w:rPr>
        <w:t xml:space="preserve">Division of Hepatobiliary and Transplant Surgery, Department of Experimental Medicine, Polytechnic University of Marche, </w:t>
      </w:r>
      <w:r w:rsidRPr="00C37FB2">
        <w:rPr>
          <w:rFonts w:ascii="Book Antiqua" w:hAnsi="Book Antiqua"/>
          <w:sz w:val="24"/>
          <w:szCs w:val="24"/>
          <w:lang w:val="en-GB"/>
        </w:rPr>
        <w:t xml:space="preserve">via </w:t>
      </w:r>
      <w:r w:rsidR="00C37FB2">
        <w:rPr>
          <w:rFonts w:ascii="Book Antiqua" w:hAnsi="Book Antiqua"/>
          <w:sz w:val="24"/>
          <w:szCs w:val="24"/>
          <w:lang w:val="en-GB"/>
        </w:rPr>
        <w:t>Conca</w:t>
      </w:r>
      <w:r w:rsidRPr="00C37FB2">
        <w:rPr>
          <w:rFonts w:ascii="Book Antiqua" w:hAnsi="Book Antiqua"/>
          <w:sz w:val="24"/>
          <w:szCs w:val="24"/>
          <w:lang w:val="en-GB"/>
        </w:rPr>
        <w:t xml:space="preserve"> 71, </w:t>
      </w:r>
      <w:r w:rsidR="00C37FB2">
        <w:rPr>
          <w:rFonts w:ascii="Book Antiqua" w:hAnsi="Book Antiqua"/>
          <w:sz w:val="24"/>
          <w:szCs w:val="24"/>
          <w:lang w:val="en-GB"/>
        </w:rPr>
        <w:t>60126 Ancona</w:t>
      </w:r>
      <w:r w:rsidRPr="00C37FB2">
        <w:rPr>
          <w:rFonts w:ascii="Book Antiqua" w:hAnsi="Book Antiqua"/>
          <w:sz w:val="24"/>
          <w:szCs w:val="24"/>
          <w:lang w:val="en-GB"/>
        </w:rPr>
        <w:t xml:space="preserve">, Italy. </w:t>
      </w:r>
      <w:r w:rsidR="00C37FB2" w:rsidRPr="00C37FB2">
        <w:rPr>
          <w:rFonts w:ascii="Book Antiqua" w:hAnsi="Book Antiqua"/>
          <w:sz w:val="24"/>
          <w:szCs w:val="24"/>
          <w:lang w:val="en-GB"/>
        </w:rPr>
        <w:t xml:space="preserve">federicomocchegiani@hotmail.com </w:t>
      </w:r>
    </w:p>
    <w:p w14:paraId="542101AF" w14:textId="77777777" w:rsidR="00D74A20" w:rsidRPr="00D74A20" w:rsidRDefault="00D74A20" w:rsidP="00422EBA">
      <w:pPr>
        <w:adjustRightInd w:val="0"/>
        <w:snapToGrid w:val="0"/>
        <w:spacing w:after="0" w:line="360" w:lineRule="auto"/>
        <w:jc w:val="both"/>
        <w:rPr>
          <w:rFonts w:ascii="Book Antiqua" w:eastAsiaTheme="minorEastAsia" w:hAnsi="Book Antiqua"/>
          <w:sz w:val="24"/>
          <w:lang w:eastAsia="zh-CN"/>
        </w:rPr>
      </w:pPr>
      <w:r w:rsidRPr="00D74A20">
        <w:rPr>
          <w:rFonts w:ascii="Book Antiqua" w:hAnsi="Book Antiqua"/>
          <w:b/>
          <w:sz w:val="24"/>
        </w:rPr>
        <w:t xml:space="preserve">Telephone: </w:t>
      </w:r>
      <w:r w:rsidRPr="00D74A20">
        <w:rPr>
          <w:rFonts w:ascii="Book Antiqua" w:hAnsi="Book Antiqua"/>
          <w:sz w:val="24"/>
        </w:rPr>
        <w:t xml:space="preserve">+39-71-5965051 </w:t>
      </w:r>
    </w:p>
    <w:p w14:paraId="70520A3D" w14:textId="114A8027" w:rsidR="00FE07F8" w:rsidRDefault="00D74A20" w:rsidP="00422EBA">
      <w:pPr>
        <w:adjustRightInd w:val="0"/>
        <w:snapToGrid w:val="0"/>
        <w:spacing w:after="0" w:line="360" w:lineRule="auto"/>
        <w:jc w:val="both"/>
        <w:rPr>
          <w:rFonts w:ascii="Book Antiqua" w:eastAsiaTheme="minorEastAsia" w:hAnsi="Book Antiqua"/>
          <w:sz w:val="24"/>
          <w:lang w:eastAsia="zh-CN"/>
        </w:rPr>
      </w:pPr>
      <w:r w:rsidRPr="00D74A20">
        <w:rPr>
          <w:rFonts w:ascii="Book Antiqua" w:hAnsi="Book Antiqua"/>
          <w:b/>
          <w:sz w:val="24"/>
        </w:rPr>
        <w:t xml:space="preserve">Fax: </w:t>
      </w:r>
      <w:r w:rsidRPr="00D74A20">
        <w:rPr>
          <w:rFonts w:ascii="Book Antiqua" w:hAnsi="Book Antiqua"/>
          <w:sz w:val="24"/>
        </w:rPr>
        <w:t>+39-71-5965100</w:t>
      </w:r>
    </w:p>
    <w:p w14:paraId="72230905" w14:textId="77777777" w:rsidR="00D74A20" w:rsidRPr="00D74A20" w:rsidRDefault="00D74A20" w:rsidP="00422EBA">
      <w:pPr>
        <w:adjustRightInd w:val="0"/>
        <w:snapToGrid w:val="0"/>
        <w:spacing w:after="0" w:line="360" w:lineRule="auto"/>
        <w:jc w:val="both"/>
        <w:rPr>
          <w:rFonts w:ascii="Book Antiqua" w:eastAsiaTheme="minorEastAsia" w:hAnsi="Book Antiqua"/>
          <w:sz w:val="24"/>
          <w:lang w:eastAsia="zh-CN"/>
        </w:rPr>
      </w:pPr>
    </w:p>
    <w:p w14:paraId="165FBCD0" w14:textId="2BD42330" w:rsidR="00FE07F8" w:rsidRPr="00867A3A" w:rsidRDefault="00FE07F8" w:rsidP="00422EBA">
      <w:pPr>
        <w:adjustRightInd w:val="0"/>
        <w:snapToGrid w:val="0"/>
        <w:spacing w:after="0" w:line="360" w:lineRule="auto"/>
        <w:jc w:val="both"/>
        <w:rPr>
          <w:rFonts w:ascii="Book Antiqua" w:hAnsi="Book Antiqua"/>
          <w:b/>
          <w:sz w:val="24"/>
        </w:rPr>
      </w:pPr>
      <w:r w:rsidRPr="00867A3A">
        <w:rPr>
          <w:rFonts w:ascii="Book Antiqua" w:hAnsi="Book Antiqua"/>
          <w:b/>
          <w:sz w:val="24"/>
        </w:rPr>
        <w:t xml:space="preserve">Received: </w:t>
      </w:r>
      <w:r w:rsidR="00F64F9D" w:rsidRPr="00A11C75">
        <w:rPr>
          <w:rFonts w:ascii="Book Antiqua" w:hAnsi="Book Antiqua"/>
          <w:sz w:val="24"/>
        </w:rPr>
        <w:t>March</w:t>
      </w:r>
      <w:r w:rsidR="00F64F9D">
        <w:rPr>
          <w:rFonts w:ascii="Book Antiqua" w:eastAsiaTheme="minorEastAsia" w:hAnsi="Book Antiqua" w:hint="eastAsia"/>
          <w:sz w:val="24"/>
          <w:lang w:eastAsia="zh-CN"/>
        </w:rPr>
        <w:t xml:space="preserve"> 23, 2016</w:t>
      </w:r>
      <w:r w:rsidRPr="00867A3A">
        <w:rPr>
          <w:rFonts w:ascii="Book Antiqua" w:hAnsi="Book Antiqua"/>
          <w:b/>
          <w:sz w:val="24"/>
        </w:rPr>
        <w:t xml:space="preserve">  </w:t>
      </w:r>
    </w:p>
    <w:p w14:paraId="71DB2FFB" w14:textId="19064A37" w:rsidR="00FE07F8" w:rsidRPr="00F64F9D" w:rsidRDefault="00FE07F8" w:rsidP="00422EBA">
      <w:pPr>
        <w:adjustRightInd w:val="0"/>
        <w:snapToGrid w:val="0"/>
        <w:spacing w:after="0" w:line="360" w:lineRule="auto"/>
        <w:jc w:val="both"/>
        <w:rPr>
          <w:rFonts w:ascii="Book Antiqua" w:eastAsiaTheme="minorEastAsia" w:hAnsi="Book Antiqua"/>
          <w:b/>
          <w:sz w:val="24"/>
          <w:lang w:eastAsia="zh-CN"/>
        </w:rPr>
      </w:pPr>
      <w:r w:rsidRPr="00867A3A">
        <w:rPr>
          <w:rFonts w:ascii="Book Antiqua" w:hAnsi="Book Antiqua"/>
          <w:b/>
          <w:sz w:val="24"/>
        </w:rPr>
        <w:t>Peer-review started:</w:t>
      </w:r>
      <w:r w:rsidR="00F64F9D">
        <w:rPr>
          <w:rFonts w:ascii="Book Antiqua" w:eastAsiaTheme="minorEastAsia" w:hAnsi="Book Antiqua" w:hint="eastAsia"/>
          <w:b/>
          <w:sz w:val="24"/>
          <w:lang w:eastAsia="zh-CN"/>
        </w:rPr>
        <w:t xml:space="preserve"> </w:t>
      </w:r>
      <w:r w:rsidR="00F64F9D" w:rsidRPr="00A11C75">
        <w:rPr>
          <w:rFonts w:ascii="Book Antiqua" w:hAnsi="Book Antiqua"/>
          <w:sz w:val="24"/>
        </w:rPr>
        <w:t>March</w:t>
      </w:r>
      <w:r w:rsidR="00F64F9D">
        <w:rPr>
          <w:rFonts w:ascii="Book Antiqua" w:eastAsiaTheme="minorEastAsia" w:hAnsi="Book Antiqua" w:hint="eastAsia"/>
          <w:sz w:val="24"/>
          <w:lang w:eastAsia="zh-CN"/>
        </w:rPr>
        <w:t xml:space="preserve"> 24, 2016</w:t>
      </w:r>
    </w:p>
    <w:p w14:paraId="00CCA7C6" w14:textId="0E029CAF" w:rsidR="00FE07F8" w:rsidRPr="00DF3C82" w:rsidRDefault="00FE07F8" w:rsidP="00422EBA">
      <w:pPr>
        <w:adjustRightInd w:val="0"/>
        <w:snapToGrid w:val="0"/>
        <w:spacing w:after="0" w:line="360" w:lineRule="auto"/>
        <w:jc w:val="both"/>
        <w:rPr>
          <w:rFonts w:ascii="Book Antiqua" w:eastAsiaTheme="minorEastAsia" w:hAnsi="Book Antiqua"/>
          <w:b/>
          <w:sz w:val="24"/>
          <w:lang w:eastAsia="zh-CN"/>
        </w:rPr>
      </w:pPr>
      <w:r w:rsidRPr="00867A3A">
        <w:rPr>
          <w:rFonts w:ascii="Book Antiqua" w:hAnsi="Book Antiqua"/>
          <w:b/>
          <w:sz w:val="24"/>
        </w:rPr>
        <w:t>First decision:</w:t>
      </w:r>
      <w:r w:rsidR="00DF3C82">
        <w:rPr>
          <w:rFonts w:ascii="Book Antiqua" w:eastAsiaTheme="minorEastAsia" w:hAnsi="Book Antiqua" w:hint="eastAsia"/>
          <w:b/>
          <w:sz w:val="24"/>
          <w:lang w:eastAsia="zh-CN"/>
        </w:rPr>
        <w:t xml:space="preserve"> </w:t>
      </w:r>
      <w:r w:rsidR="00DF3C82" w:rsidRPr="00A11C75">
        <w:rPr>
          <w:rFonts w:ascii="Book Antiqua" w:hAnsi="Book Antiqua"/>
          <w:sz w:val="24"/>
        </w:rPr>
        <w:t>May</w:t>
      </w:r>
      <w:r w:rsidR="00DF3C82">
        <w:rPr>
          <w:rFonts w:ascii="Book Antiqua" w:eastAsiaTheme="minorEastAsia" w:hAnsi="Book Antiqua" w:hint="eastAsia"/>
          <w:sz w:val="24"/>
          <w:lang w:eastAsia="zh-CN"/>
        </w:rPr>
        <w:t xml:space="preserve"> 12, 2016</w:t>
      </w:r>
    </w:p>
    <w:p w14:paraId="464D0682" w14:textId="1398D6DE" w:rsidR="00FE07F8" w:rsidRPr="00867A3A" w:rsidRDefault="00FE07F8" w:rsidP="00422EBA">
      <w:pPr>
        <w:adjustRightInd w:val="0"/>
        <w:snapToGrid w:val="0"/>
        <w:spacing w:after="0" w:line="360" w:lineRule="auto"/>
        <w:jc w:val="both"/>
        <w:rPr>
          <w:rFonts w:ascii="Book Antiqua" w:hAnsi="Book Antiqua"/>
          <w:b/>
          <w:sz w:val="24"/>
        </w:rPr>
      </w:pPr>
      <w:r w:rsidRPr="00867A3A">
        <w:rPr>
          <w:rFonts w:ascii="Book Antiqua" w:hAnsi="Book Antiqua"/>
          <w:b/>
          <w:sz w:val="24"/>
        </w:rPr>
        <w:t xml:space="preserve">Revised: </w:t>
      </w:r>
      <w:r w:rsidR="00DF3C82" w:rsidRPr="00A11C75">
        <w:rPr>
          <w:rFonts w:ascii="Book Antiqua" w:hAnsi="Book Antiqua"/>
          <w:sz w:val="24"/>
        </w:rPr>
        <w:t>May</w:t>
      </w:r>
      <w:r w:rsidR="00DF3C82">
        <w:rPr>
          <w:rFonts w:ascii="Book Antiqua" w:eastAsiaTheme="minorEastAsia" w:hAnsi="Book Antiqua" w:hint="eastAsia"/>
          <w:sz w:val="24"/>
          <w:lang w:eastAsia="zh-CN"/>
        </w:rPr>
        <w:t xml:space="preserve"> 17, 2016</w:t>
      </w:r>
      <w:r w:rsidRPr="00867A3A">
        <w:rPr>
          <w:rFonts w:ascii="Book Antiqua" w:hAnsi="Book Antiqua"/>
          <w:b/>
          <w:sz w:val="24"/>
        </w:rPr>
        <w:t xml:space="preserve"> </w:t>
      </w:r>
    </w:p>
    <w:p w14:paraId="13FF902F" w14:textId="280F18AB" w:rsidR="00FE07F8" w:rsidRPr="005A29B1" w:rsidRDefault="00FE07F8" w:rsidP="005A29B1">
      <w:pPr>
        <w:spacing w:line="360" w:lineRule="auto"/>
        <w:rPr>
          <w:rFonts w:ascii="Book Antiqua" w:hAnsi="Book Antiqua"/>
          <w:color w:val="000000" w:themeColor="text1"/>
          <w:sz w:val="24"/>
        </w:rPr>
      </w:pPr>
      <w:r w:rsidRPr="00867A3A">
        <w:rPr>
          <w:rFonts w:ascii="Book Antiqua" w:hAnsi="Book Antiqua"/>
          <w:b/>
          <w:sz w:val="24"/>
        </w:rPr>
        <w:t>Accepted:</w:t>
      </w:r>
      <w:r w:rsidR="005A29B1" w:rsidRPr="005A29B1">
        <w:rPr>
          <w:rFonts w:ascii="Book Antiqua" w:hAnsi="Book Antiqua"/>
          <w:color w:val="000000" w:themeColor="text1"/>
          <w:sz w:val="24"/>
        </w:rPr>
        <w:t xml:space="preserve"> </w:t>
      </w:r>
      <w:r w:rsidR="005A29B1" w:rsidRPr="00641408">
        <w:rPr>
          <w:rFonts w:ascii="Book Antiqua" w:hAnsi="Book Antiqua"/>
          <w:color w:val="000000" w:themeColor="text1"/>
          <w:sz w:val="24"/>
        </w:rPr>
        <w:t>June 2, 2016</w:t>
      </w:r>
      <w:r w:rsidRPr="00867A3A">
        <w:rPr>
          <w:rFonts w:ascii="Book Antiqua" w:hAnsi="Book Antiqua"/>
          <w:b/>
          <w:sz w:val="24"/>
        </w:rPr>
        <w:t xml:space="preserve">  </w:t>
      </w:r>
    </w:p>
    <w:p w14:paraId="4E4B09AE" w14:textId="77777777" w:rsidR="00FE07F8" w:rsidRPr="00867A3A" w:rsidRDefault="00FE07F8" w:rsidP="00422EBA">
      <w:pPr>
        <w:adjustRightInd w:val="0"/>
        <w:snapToGrid w:val="0"/>
        <w:spacing w:after="0" w:line="360" w:lineRule="auto"/>
        <w:jc w:val="both"/>
        <w:rPr>
          <w:rFonts w:ascii="Book Antiqua" w:hAnsi="Book Antiqua"/>
          <w:b/>
          <w:sz w:val="24"/>
        </w:rPr>
      </w:pPr>
      <w:r w:rsidRPr="00867A3A">
        <w:rPr>
          <w:rFonts w:ascii="Book Antiqua" w:hAnsi="Book Antiqua"/>
          <w:b/>
          <w:sz w:val="24"/>
        </w:rPr>
        <w:t>Article in press:</w:t>
      </w:r>
    </w:p>
    <w:p w14:paraId="2FBF314D" w14:textId="77777777" w:rsidR="00FE07F8" w:rsidRPr="009E3692" w:rsidRDefault="00FE07F8" w:rsidP="00422EBA">
      <w:pPr>
        <w:adjustRightInd w:val="0"/>
        <w:snapToGrid w:val="0"/>
        <w:spacing w:after="0" w:line="360" w:lineRule="auto"/>
        <w:jc w:val="both"/>
        <w:rPr>
          <w:rFonts w:ascii="Book Antiqua" w:hAnsi="Book Antiqua"/>
          <w:sz w:val="24"/>
        </w:rPr>
      </w:pPr>
      <w:r w:rsidRPr="00867A3A">
        <w:rPr>
          <w:rFonts w:ascii="Book Antiqua" w:hAnsi="Book Antiqua"/>
          <w:b/>
          <w:sz w:val="24"/>
        </w:rPr>
        <w:t>Published online:</w:t>
      </w:r>
    </w:p>
    <w:p w14:paraId="6D2120BE" w14:textId="77777777" w:rsidR="00026F1B" w:rsidRDefault="00026F1B" w:rsidP="00422EBA">
      <w:pPr>
        <w:adjustRightInd w:val="0"/>
        <w:snapToGrid w:val="0"/>
        <w:spacing w:after="0" w:line="360" w:lineRule="auto"/>
        <w:jc w:val="both"/>
        <w:rPr>
          <w:rFonts w:ascii="Book Antiqua" w:eastAsiaTheme="minorEastAsia" w:hAnsi="Book Antiqua"/>
          <w:sz w:val="24"/>
          <w:szCs w:val="24"/>
          <w:lang w:val="en-GB" w:eastAsia="zh-CN"/>
        </w:rPr>
      </w:pPr>
    </w:p>
    <w:p w14:paraId="0BCE52FC" w14:textId="0FE2FAE0" w:rsidR="007A0925" w:rsidRPr="007A0925" w:rsidRDefault="007A0925" w:rsidP="00422EBA">
      <w:pPr>
        <w:adjustRightInd w:val="0"/>
        <w:snapToGrid w:val="0"/>
        <w:spacing w:after="0" w:line="360" w:lineRule="auto"/>
        <w:jc w:val="both"/>
        <w:rPr>
          <w:lang w:val="en-US"/>
        </w:rPr>
      </w:pPr>
      <w:r w:rsidRPr="007A0925">
        <w:rPr>
          <w:lang w:val="en-US"/>
        </w:rPr>
        <w:br w:type="page"/>
      </w:r>
    </w:p>
    <w:p w14:paraId="62FC6246" w14:textId="77777777" w:rsidR="00F26BF6" w:rsidRDefault="007A0925" w:rsidP="00422EBA">
      <w:pPr>
        <w:adjustRightInd w:val="0"/>
        <w:snapToGrid w:val="0"/>
        <w:spacing w:after="0" w:line="360" w:lineRule="auto"/>
        <w:jc w:val="both"/>
        <w:rPr>
          <w:rFonts w:ascii="Book Antiqua" w:eastAsiaTheme="minorEastAsia" w:hAnsi="Book Antiqua"/>
          <w:sz w:val="24"/>
          <w:szCs w:val="24"/>
          <w:lang w:val="en-GB" w:eastAsia="zh-CN"/>
        </w:rPr>
      </w:pPr>
      <w:r w:rsidRPr="002D7F73">
        <w:rPr>
          <w:rFonts w:ascii="Book Antiqua" w:hAnsi="Book Antiqua"/>
          <w:b/>
          <w:sz w:val="24"/>
          <w:szCs w:val="24"/>
          <w:lang w:val="en-GB"/>
        </w:rPr>
        <w:lastRenderedPageBreak/>
        <w:t>Abstra</w:t>
      </w:r>
      <w:r w:rsidRPr="00F26BF6">
        <w:rPr>
          <w:rFonts w:ascii="Book Antiqua" w:hAnsi="Book Antiqua"/>
          <w:b/>
          <w:sz w:val="24"/>
          <w:szCs w:val="24"/>
          <w:lang w:val="en-GB"/>
        </w:rPr>
        <w:t>ct</w:t>
      </w:r>
    </w:p>
    <w:p w14:paraId="3DD7C8E6" w14:textId="3F3BB335" w:rsidR="007A0925" w:rsidRDefault="007A0925" w:rsidP="00422EBA">
      <w:pPr>
        <w:adjustRightInd w:val="0"/>
        <w:snapToGrid w:val="0"/>
        <w:spacing w:after="0" w:line="360" w:lineRule="auto"/>
        <w:jc w:val="both"/>
        <w:rPr>
          <w:rFonts w:ascii="Book Antiqua" w:eastAsiaTheme="minorEastAsia" w:hAnsi="Book Antiqua"/>
          <w:color w:val="000000"/>
          <w:sz w:val="24"/>
          <w:szCs w:val="24"/>
          <w:lang w:val="en-GB" w:eastAsia="zh-CN"/>
        </w:rPr>
      </w:pPr>
      <w:r>
        <w:rPr>
          <w:rFonts w:ascii="Book Antiqua" w:hAnsi="Book Antiqua"/>
          <w:color w:val="000000"/>
          <w:sz w:val="24"/>
          <w:szCs w:val="24"/>
          <w:lang w:val="en-GB"/>
        </w:rPr>
        <w:t>Liver transplantation represents</w:t>
      </w:r>
      <w:r w:rsidR="00BD4107">
        <w:rPr>
          <w:rFonts w:ascii="Book Antiqua" w:hAnsi="Book Antiqua"/>
          <w:color w:val="000000"/>
          <w:sz w:val="24"/>
          <w:szCs w:val="24"/>
          <w:lang w:val="en-GB"/>
        </w:rPr>
        <w:t xml:space="preserve"> </w:t>
      </w:r>
      <w:r w:rsidR="004745B7">
        <w:rPr>
          <w:rFonts w:ascii="Book Antiqua" w:hAnsi="Book Antiqua"/>
          <w:color w:val="000000"/>
          <w:sz w:val="24"/>
          <w:szCs w:val="24"/>
          <w:lang w:val="en-GB"/>
        </w:rPr>
        <w:t xml:space="preserve">a fundamental </w:t>
      </w:r>
      <w:r>
        <w:rPr>
          <w:rFonts w:ascii="Book Antiqua" w:hAnsi="Book Antiqua"/>
          <w:color w:val="000000"/>
          <w:sz w:val="24"/>
          <w:szCs w:val="24"/>
          <w:lang w:val="en-GB"/>
        </w:rPr>
        <w:t>therapeutic solution to end-stage liver disease. The need for liver allografts has extended the set of criteria for organ acceptability, increasing the risk of adverse outcomes</w:t>
      </w:r>
      <w:r>
        <w:rPr>
          <w:rFonts w:ascii="Book Antiqua" w:hAnsi="Book Antiqua" w:cs="AdvOT1ef757c0"/>
          <w:color w:val="000000"/>
          <w:sz w:val="24"/>
          <w:szCs w:val="24"/>
          <w:lang w:val="en-GB"/>
        </w:rPr>
        <w:t xml:space="preserve">. </w:t>
      </w:r>
      <w:r>
        <w:rPr>
          <w:rFonts w:ascii="Book Antiqua" w:hAnsi="Book Antiqua"/>
          <w:color w:val="000000"/>
          <w:sz w:val="24"/>
          <w:szCs w:val="24"/>
          <w:lang w:val="en-GB"/>
        </w:rPr>
        <w:t xml:space="preserve">Little is known about the early postoperative parameters that can be used as valid predictive indices for early graft function, retransplantation or surgical reintervention, secondary complications, long intensive care unit stay or death. In this review, we present state-of-the-art knowledge regarding the early post-transplantation tests and scores that can be applied during the first postoperative week to predict liver allograft function and patient outcome, thereby guiding the therapeutic and surgical decisions of the medical staff. </w:t>
      </w:r>
      <w:r w:rsidR="00481056">
        <w:rPr>
          <w:rFonts w:ascii="Book Antiqua" w:hAnsi="Book Antiqua"/>
          <w:color w:val="000000"/>
          <w:sz w:val="24"/>
          <w:szCs w:val="24"/>
          <w:lang w:val="en-GB"/>
        </w:rPr>
        <w:t>Post-transplant c</w:t>
      </w:r>
      <w:r>
        <w:rPr>
          <w:rFonts w:ascii="Book Antiqua" w:hAnsi="Book Antiqua"/>
          <w:color w:val="000000"/>
          <w:sz w:val="24"/>
          <w:szCs w:val="24"/>
          <w:lang w:val="en-GB"/>
        </w:rPr>
        <w:t xml:space="preserve">linical and biochemical assessment of patients through laboratory tests (platelet count, transaminase and bilirubin levels, INR, factor V, lactates, and Insulin Growth Factor 1) and scores </w:t>
      </w:r>
      <w:r w:rsidR="00246F40">
        <w:rPr>
          <w:rFonts w:ascii="Book Antiqua" w:hAnsi="Book Antiqua"/>
          <w:color w:val="000000"/>
          <w:sz w:val="24"/>
          <w:szCs w:val="24"/>
          <w:lang w:val="en-GB"/>
        </w:rPr>
        <w:t>(</w:t>
      </w:r>
      <w:r>
        <w:rPr>
          <w:rFonts w:ascii="Book Antiqua" w:hAnsi="Book Antiqua"/>
          <w:color w:val="000000"/>
          <w:sz w:val="24"/>
          <w:szCs w:val="24"/>
          <w:lang w:val="en-GB"/>
        </w:rPr>
        <w:t>model for end-stage liver disease, acute physiology and chronic health evaluation, sequential organ failure assessment and model of early allograft function have been reported to have good performance, but they only allow late evaluation of patient status and graft function, requiring days to be quantified. The indocyanine green plasma disappearance rate has long been used as a liver function assessment technique and has produced interesting, although not univocal, results when performed between the 1</w:t>
      </w:r>
      <w:r>
        <w:rPr>
          <w:rFonts w:ascii="Book Antiqua" w:hAnsi="Book Antiqua"/>
          <w:color w:val="000000"/>
          <w:sz w:val="24"/>
          <w:szCs w:val="24"/>
          <w:vertAlign w:val="superscript"/>
          <w:lang w:val="en-GB"/>
        </w:rPr>
        <w:t>th</w:t>
      </w:r>
      <w:r>
        <w:rPr>
          <w:rFonts w:ascii="Book Antiqua" w:hAnsi="Book Antiqua"/>
          <w:color w:val="000000"/>
          <w:sz w:val="24"/>
          <w:szCs w:val="24"/>
          <w:lang w:val="en-GB"/>
        </w:rPr>
        <w:t xml:space="preserve"> and </w:t>
      </w:r>
      <w:r w:rsidR="002D7F73">
        <w:rPr>
          <w:rFonts w:ascii="Book Antiqua" w:hAnsi="Book Antiqua"/>
          <w:color w:val="000000"/>
          <w:sz w:val="24"/>
          <w:szCs w:val="24"/>
          <w:lang w:val="en-GB"/>
        </w:rPr>
        <w:t xml:space="preserve">the </w:t>
      </w:r>
      <w:r>
        <w:rPr>
          <w:rFonts w:ascii="Book Antiqua" w:hAnsi="Book Antiqua"/>
          <w:color w:val="000000"/>
          <w:sz w:val="24"/>
          <w:szCs w:val="24"/>
          <w:lang w:val="en-GB"/>
        </w:rPr>
        <w:t>5</w:t>
      </w:r>
      <w:r>
        <w:rPr>
          <w:rFonts w:ascii="Book Antiqua" w:hAnsi="Book Antiqua"/>
          <w:color w:val="000000"/>
          <w:sz w:val="24"/>
          <w:szCs w:val="24"/>
          <w:vertAlign w:val="superscript"/>
          <w:lang w:val="en-GB"/>
        </w:rPr>
        <w:t>th</w:t>
      </w:r>
      <w:r>
        <w:rPr>
          <w:rFonts w:ascii="Book Antiqua" w:hAnsi="Book Antiqua"/>
          <w:color w:val="000000"/>
          <w:sz w:val="24"/>
          <w:szCs w:val="24"/>
          <w:lang w:val="en-GB"/>
        </w:rPr>
        <w:t xml:space="preserve"> day after transplantation. The liver maximal function capacity test is a promising method of metabolic liver activity assessment, but its use is limited by economic cost and extrahepatic factors. To date, </w:t>
      </w:r>
      <w:r w:rsidR="00246F40">
        <w:rPr>
          <w:rFonts w:ascii="Book Antiqua" w:hAnsi="Book Antiqua"/>
          <w:color w:val="000000"/>
          <w:sz w:val="24"/>
          <w:szCs w:val="24"/>
          <w:lang w:val="en-GB"/>
        </w:rPr>
        <w:t>a consensual</w:t>
      </w:r>
      <w:r>
        <w:rPr>
          <w:rFonts w:ascii="Book Antiqua" w:hAnsi="Book Antiqua"/>
          <w:color w:val="000000"/>
          <w:sz w:val="24"/>
          <w:szCs w:val="24"/>
          <w:lang w:val="en-GB"/>
        </w:rPr>
        <w:t xml:space="preserve"> definition of early allograft dysfunction</w:t>
      </w:r>
      <w:r w:rsidR="0029102E">
        <w:rPr>
          <w:rFonts w:ascii="Book Antiqua" w:hAnsi="Book Antiqua"/>
          <w:color w:val="000000"/>
          <w:sz w:val="24"/>
          <w:szCs w:val="24"/>
          <w:lang w:val="en-GB"/>
        </w:rPr>
        <w:t xml:space="preserve"> and</w:t>
      </w:r>
      <w:r>
        <w:rPr>
          <w:rFonts w:ascii="Book Antiqua" w:hAnsi="Book Antiqua"/>
          <w:color w:val="000000"/>
          <w:sz w:val="24"/>
          <w:szCs w:val="24"/>
          <w:lang w:val="en-GB"/>
        </w:rPr>
        <w:t xml:space="preserve"> the integration </w:t>
      </w:r>
      <w:r w:rsidR="00246F40">
        <w:rPr>
          <w:rFonts w:ascii="Book Antiqua" w:hAnsi="Book Antiqua"/>
          <w:color w:val="000000"/>
          <w:sz w:val="24"/>
          <w:szCs w:val="24"/>
          <w:lang w:val="en-GB"/>
        </w:rPr>
        <w:t xml:space="preserve">and validation </w:t>
      </w:r>
      <w:r>
        <w:rPr>
          <w:rFonts w:ascii="Book Antiqua" w:hAnsi="Book Antiqua"/>
          <w:color w:val="000000"/>
          <w:sz w:val="24"/>
          <w:szCs w:val="24"/>
          <w:lang w:val="en-GB"/>
        </w:rPr>
        <w:t>of the above-mentioned techniques</w:t>
      </w:r>
      <w:r w:rsidR="0029102E">
        <w:rPr>
          <w:rFonts w:ascii="Book Antiqua" w:hAnsi="Book Antiqua"/>
          <w:color w:val="000000"/>
          <w:sz w:val="24"/>
          <w:szCs w:val="24"/>
          <w:lang w:val="en-GB"/>
        </w:rPr>
        <w:t>,</w:t>
      </w:r>
      <w:r>
        <w:rPr>
          <w:rFonts w:ascii="Book Antiqua" w:hAnsi="Book Antiqua"/>
          <w:color w:val="000000"/>
          <w:sz w:val="24"/>
          <w:szCs w:val="24"/>
          <w:lang w:val="en-GB"/>
        </w:rPr>
        <w:t xml:space="preserve"> through the development of numerically consistent multicentric prospective randomised trials</w:t>
      </w:r>
      <w:r w:rsidR="00246F40">
        <w:rPr>
          <w:rFonts w:ascii="Book Antiqua" w:hAnsi="Book Antiqua"/>
          <w:color w:val="000000"/>
          <w:sz w:val="24"/>
          <w:szCs w:val="24"/>
          <w:lang w:val="en-GB"/>
        </w:rPr>
        <w:t>,</w:t>
      </w:r>
      <w:r>
        <w:rPr>
          <w:rFonts w:ascii="Book Antiqua" w:hAnsi="Book Antiqua"/>
          <w:color w:val="000000"/>
          <w:sz w:val="24"/>
          <w:szCs w:val="24"/>
          <w:lang w:val="en-GB"/>
        </w:rPr>
        <w:t xml:space="preserve"> are necessary. The medical and surgical management of transplanted patients could be greatly improved by using clinically reliable tools to predict early graft function.</w:t>
      </w:r>
    </w:p>
    <w:p w14:paraId="40539AD8" w14:textId="77777777" w:rsidR="00F26BF6" w:rsidRPr="00F26BF6" w:rsidRDefault="00F26BF6" w:rsidP="00422EBA">
      <w:pPr>
        <w:adjustRightInd w:val="0"/>
        <w:snapToGrid w:val="0"/>
        <w:spacing w:after="0" w:line="360" w:lineRule="auto"/>
        <w:jc w:val="both"/>
        <w:rPr>
          <w:rFonts w:ascii="Book Antiqua" w:eastAsiaTheme="minorEastAsia" w:hAnsi="Book Antiqua"/>
          <w:color w:val="000000"/>
          <w:sz w:val="24"/>
          <w:szCs w:val="24"/>
          <w:lang w:val="en-GB" w:eastAsia="zh-CN"/>
        </w:rPr>
      </w:pPr>
    </w:p>
    <w:p w14:paraId="1A42EB89" w14:textId="5EAA8F4A" w:rsidR="007A0925" w:rsidRDefault="007A0925" w:rsidP="00422EBA">
      <w:pPr>
        <w:adjustRightInd w:val="0"/>
        <w:snapToGrid w:val="0"/>
        <w:spacing w:after="0" w:line="360" w:lineRule="auto"/>
        <w:jc w:val="both"/>
        <w:rPr>
          <w:rFonts w:ascii="Book Antiqua" w:eastAsiaTheme="minorEastAsia" w:hAnsi="Book Antiqua"/>
          <w:sz w:val="24"/>
          <w:szCs w:val="24"/>
          <w:lang w:val="en-GB" w:eastAsia="zh-CN"/>
        </w:rPr>
      </w:pPr>
      <w:r>
        <w:rPr>
          <w:rFonts w:ascii="Book Antiqua" w:hAnsi="Book Antiqua"/>
          <w:b/>
          <w:sz w:val="24"/>
          <w:szCs w:val="24"/>
          <w:lang w:val="en-GB"/>
        </w:rPr>
        <w:t>Key words</w:t>
      </w:r>
      <w:r>
        <w:rPr>
          <w:rFonts w:ascii="Book Antiqua" w:hAnsi="Book Antiqua"/>
          <w:sz w:val="24"/>
          <w:szCs w:val="24"/>
          <w:lang w:val="en-GB"/>
        </w:rPr>
        <w:t xml:space="preserve">: </w:t>
      </w:r>
      <w:r w:rsidR="00C032DE">
        <w:rPr>
          <w:rFonts w:ascii="Book Antiqua" w:hAnsi="Book Antiqua"/>
          <w:sz w:val="24"/>
          <w:szCs w:val="24"/>
          <w:lang w:val="en-GB"/>
        </w:rPr>
        <w:t xml:space="preserve">Liver </w:t>
      </w:r>
      <w:r>
        <w:rPr>
          <w:rFonts w:ascii="Book Antiqua" w:hAnsi="Book Antiqua"/>
          <w:sz w:val="24"/>
          <w:szCs w:val="24"/>
          <w:lang w:val="en-GB"/>
        </w:rPr>
        <w:t xml:space="preserve">transplant; </w:t>
      </w:r>
      <w:r w:rsidR="00C032DE">
        <w:rPr>
          <w:rFonts w:ascii="Book Antiqua" w:hAnsi="Book Antiqua"/>
          <w:sz w:val="24"/>
          <w:szCs w:val="24"/>
          <w:lang w:val="en-GB"/>
        </w:rPr>
        <w:t xml:space="preserve">Liver </w:t>
      </w:r>
      <w:r w:rsidR="00981AC6">
        <w:rPr>
          <w:rFonts w:ascii="Book Antiqua" w:hAnsi="Book Antiqua"/>
          <w:sz w:val="24"/>
          <w:szCs w:val="24"/>
          <w:lang w:val="en-GB"/>
        </w:rPr>
        <w:t xml:space="preserve">failure; </w:t>
      </w:r>
      <w:r w:rsidR="00C032DE">
        <w:rPr>
          <w:rFonts w:ascii="Book Antiqua" w:hAnsi="Book Antiqua"/>
          <w:sz w:val="24"/>
          <w:szCs w:val="24"/>
          <w:lang w:val="en-GB"/>
        </w:rPr>
        <w:t xml:space="preserve">Early </w:t>
      </w:r>
      <w:r>
        <w:rPr>
          <w:rFonts w:ascii="Book Antiqua" w:hAnsi="Book Antiqua"/>
          <w:sz w:val="24"/>
          <w:szCs w:val="24"/>
          <w:lang w:val="en-GB"/>
        </w:rPr>
        <w:t xml:space="preserve">allograft dysfunction; </w:t>
      </w:r>
      <w:r w:rsidR="00C032DE">
        <w:rPr>
          <w:rFonts w:ascii="Book Antiqua" w:hAnsi="Book Antiqua"/>
          <w:sz w:val="24"/>
          <w:szCs w:val="24"/>
          <w:lang w:val="en-GB"/>
        </w:rPr>
        <w:t xml:space="preserve">Primary </w:t>
      </w:r>
      <w:r>
        <w:rPr>
          <w:rFonts w:ascii="Book Antiqua" w:hAnsi="Book Antiqua"/>
          <w:sz w:val="24"/>
          <w:szCs w:val="24"/>
          <w:lang w:val="en-GB"/>
        </w:rPr>
        <w:t>n</w:t>
      </w:r>
      <w:r w:rsidR="00981AC6">
        <w:rPr>
          <w:rFonts w:ascii="Book Antiqua" w:hAnsi="Book Antiqua"/>
          <w:sz w:val="24"/>
          <w:szCs w:val="24"/>
          <w:lang w:val="en-GB"/>
        </w:rPr>
        <w:t xml:space="preserve">on-function; </w:t>
      </w:r>
      <w:r w:rsidR="00C032DE">
        <w:rPr>
          <w:rFonts w:ascii="Book Antiqua" w:hAnsi="Book Antiqua"/>
          <w:sz w:val="24"/>
          <w:szCs w:val="24"/>
          <w:lang w:val="en-GB"/>
        </w:rPr>
        <w:t xml:space="preserve">Initial </w:t>
      </w:r>
      <w:r w:rsidR="00246F40">
        <w:rPr>
          <w:rFonts w:ascii="Book Antiqua" w:hAnsi="Book Antiqua"/>
          <w:sz w:val="24"/>
          <w:szCs w:val="24"/>
          <w:lang w:val="en-GB"/>
        </w:rPr>
        <w:t xml:space="preserve">poor function; </w:t>
      </w:r>
      <w:r w:rsidR="00C032DE">
        <w:rPr>
          <w:rFonts w:ascii="Book Antiqua" w:hAnsi="Book Antiqua"/>
          <w:sz w:val="24"/>
          <w:szCs w:val="24"/>
          <w:lang w:val="en-GB"/>
        </w:rPr>
        <w:t xml:space="preserve">Outcome </w:t>
      </w:r>
      <w:r w:rsidR="00981AC6">
        <w:rPr>
          <w:rFonts w:ascii="Book Antiqua" w:hAnsi="Book Antiqua"/>
          <w:sz w:val="24"/>
          <w:szCs w:val="24"/>
          <w:lang w:val="en-GB"/>
        </w:rPr>
        <w:t>predictors</w:t>
      </w:r>
      <w:r w:rsidR="00246F40">
        <w:rPr>
          <w:rFonts w:ascii="Book Antiqua" w:hAnsi="Book Antiqua"/>
          <w:sz w:val="24"/>
          <w:szCs w:val="24"/>
          <w:lang w:val="en-GB"/>
        </w:rPr>
        <w:t xml:space="preserve">; </w:t>
      </w:r>
      <w:r w:rsidR="00C032DE">
        <w:rPr>
          <w:rFonts w:ascii="Book Antiqua" w:hAnsi="Book Antiqua"/>
          <w:sz w:val="24"/>
          <w:szCs w:val="24"/>
          <w:lang w:val="en-GB"/>
        </w:rPr>
        <w:t xml:space="preserve">Post </w:t>
      </w:r>
      <w:r w:rsidR="00246F40">
        <w:rPr>
          <w:rFonts w:ascii="Book Antiqua" w:hAnsi="Book Antiqua"/>
          <w:sz w:val="24"/>
          <w:szCs w:val="24"/>
          <w:lang w:val="en-GB"/>
        </w:rPr>
        <w:t xml:space="preserve">operative; </w:t>
      </w:r>
      <w:r w:rsidR="00C032DE">
        <w:rPr>
          <w:rFonts w:ascii="Book Antiqua" w:hAnsi="Book Antiqua"/>
          <w:sz w:val="24"/>
          <w:szCs w:val="24"/>
          <w:lang w:val="en-GB"/>
        </w:rPr>
        <w:t xml:space="preserve">Scoring </w:t>
      </w:r>
      <w:r w:rsidR="00246F40">
        <w:rPr>
          <w:rFonts w:ascii="Book Antiqua" w:hAnsi="Book Antiqua"/>
          <w:sz w:val="24"/>
          <w:szCs w:val="24"/>
          <w:lang w:val="en-GB"/>
        </w:rPr>
        <w:t xml:space="preserve">system; </w:t>
      </w:r>
      <w:r w:rsidR="00C032DE">
        <w:rPr>
          <w:rFonts w:ascii="Book Antiqua" w:hAnsi="Book Antiqua"/>
          <w:sz w:val="24"/>
          <w:szCs w:val="24"/>
          <w:lang w:val="en-GB"/>
        </w:rPr>
        <w:t xml:space="preserve">Indocyanine </w:t>
      </w:r>
      <w:r w:rsidR="00246F40">
        <w:rPr>
          <w:rFonts w:ascii="Book Antiqua" w:hAnsi="Book Antiqua"/>
          <w:sz w:val="24"/>
          <w:szCs w:val="24"/>
          <w:lang w:val="en-GB"/>
        </w:rPr>
        <w:t xml:space="preserve">green; </w:t>
      </w:r>
      <w:r w:rsidR="00C032DE">
        <w:rPr>
          <w:rFonts w:ascii="Book Antiqua" w:hAnsi="Book Antiqua"/>
          <w:sz w:val="24"/>
          <w:szCs w:val="24"/>
          <w:lang w:val="en-GB"/>
        </w:rPr>
        <w:t xml:space="preserve">Liver </w:t>
      </w:r>
      <w:r w:rsidR="00246F40">
        <w:rPr>
          <w:rFonts w:ascii="Book Antiqua" w:hAnsi="Book Antiqua"/>
          <w:sz w:val="24"/>
          <w:szCs w:val="24"/>
          <w:lang w:val="en-GB"/>
        </w:rPr>
        <w:t>maximal functional capacity</w:t>
      </w:r>
    </w:p>
    <w:p w14:paraId="4EB666B1" w14:textId="77777777" w:rsidR="00F26BF6" w:rsidRPr="00F26BF6" w:rsidRDefault="00F26BF6" w:rsidP="00422EBA">
      <w:pPr>
        <w:adjustRightInd w:val="0"/>
        <w:snapToGrid w:val="0"/>
        <w:spacing w:after="0" w:line="360" w:lineRule="auto"/>
        <w:jc w:val="both"/>
        <w:rPr>
          <w:rFonts w:ascii="Book Antiqua" w:eastAsiaTheme="minorEastAsia" w:hAnsi="Book Antiqua"/>
          <w:sz w:val="24"/>
          <w:szCs w:val="24"/>
          <w:lang w:val="en-GB" w:eastAsia="zh-CN"/>
        </w:rPr>
      </w:pPr>
    </w:p>
    <w:p w14:paraId="25D2FF7A" w14:textId="77777777" w:rsidR="00C032DE" w:rsidRDefault="00C032DE" w:rsidP="00422EBA">
      <w:pPr>
        <w:autoSpaceDE w:val="0"/>
        <w:autoSpaceDN w:val="0"/>
        <w:adjustRightInd w:val="0"/>
        <w:snapToGrid w:val="0"/>
        <w:spacing w:after="0" w:line="360" w:lineRule="auto"/>
        <w:jc w:val="both"/>
        <w:rPr>
          <w:rFonts w:ascii="Book Antiqua" w:hAnsi="Book Antiqua" w:cs="Arial Unicode MS"/>
          <w:sz w:val="24"/>
        </w:rPr>
      </w:pPr>
      <w:bookmarkStart w:id="5" w:name="OLE_LINK98"/>
      <w:bookmarkStart w:id="6" w:name="OLE_LINK156"/>
      <w:bookmarkStart w:id="7" w:name="OLE_LINK196"/>
      <w:bookmarkStart w:id="8" w:name="OLE_LINK217"/>
      <w:bookmarkStart w:id="9" w:name="OLE_LINK242"/>
      <w:bookmarkStart w:id="10" w:name="OLE_LINK247"/>
      <w:bookmarkStart w:id="11" w:name="OLE_LINK311"/>
      <w:bookmarkStart w:id="12" w:name="OLE_LINK312"/>
      <w:bookmarkStart w:id="13" w:name="OLE_LINK325"/>
      <w:bookmarkStart w:id="14" w:name="OLE_LINK330"/>
      <w:bookmarkStart w:id="15" w:name="OLE_LINK513"/>
      <w:bookmarkStart w:id="16" w:name="OLE_LINK514"/>
      <w:bookmarkStart w:id="17" w:name="OLE_LINK464"/>
      <w:bookmarkStart w:id="18" w:name="OLE_LINK465"/>
      <w:bookmarkStart w:id="19" w:name="OLE_LINK466"/>
      <w:bookmarkStart w:id="20" w:name="OLE_LINK470"/>
      <w:bookmarkStart w:id="21" w:name="OLE_LINK471"/>
      <w:bookmarkStart w:id="22" w:name="OLE_LINK472"/>
      <w:bookmarkStart w:id="23" w:name="OLE_LINK474"/>
      <w:bookmarkStart w:id="24" w:name="OLE_LINK512"/>
      <w:bookmarkStart w:id="25" w:name="OLE_LINK800"/>
      <w:bookmarkStart w:id="26" w:name="OLE_LINK982"/>
      <w:bookmarkStart w:id="27" w:name="OLE_LINK1027"/>
      <w:bookmarkStart w:id="28" w:name="OLE_LINK504"/>
      <w:bookmarkStart w:id="29" w:name="OLE_LINK546"/>
      <w:bookmarkStart w:id="30" w:name="OLE_LINK547"/>
      <w:bookmarkStart w:id="31" w:name="OLE_LINK575"/>
      <w:bookmarkStart w:id="32" w:name="OLE_LINK640"/>
      <w:bookmarkStart w:id="33" w:name="OLE_LINK672"/>
      <w:bookmarkStart w:id="34" w:name="OLE_LINK714"/>
      <w:bookmarkStart w:id="35" w:name="OLE_LINK651"/>
      <w:bookmarkStart w:id="36" w:name="OLE_LINK652"/>
      <w:bookmarkStart w:id="37" w:name="OLE_LINK744"/>
      <w:bookmarkStart w:id="38" w:name="OLE_LINK758"/>
      <w:bookmarkStart w:id="39" w:name="OLE_LINK787"/>
      <w:bookmarkStart w:id="40" w:name="OLE_LINK807"/>
      <w:bookmarkStart w:id="41" w:name="OLE_LINK820"/>
      <w:bookmarkStart w:id="42" w:name="OLE_LINK862"/>
      <w:bookmarkStart w:id="43" w:name="OLE_LINK879"/>
      <w:bookmarkStart w:id="44" w:name="OLE_LINK906"/>
      <w:bookmarkStart w:id="45" w:name="OLE_LINK928"/>
      <w:bookmarkStart w:id="46" w:name="OLE_LINK960"/>
      <w:bookmarkStart w:id="47" w:name="OLE_LINK861"/>
      <w:bookmarkStart w:id="48" w:name="OLE_LINK983"/>
      <w:bookmarkStart w:id="49" w:name="OLE_LINK1334"/>
      <w:bookmarkStart w:id="50" w:name="OLE_LINK1029"/>
      <w:bookmarkStart w:id="51" w:name="OLE_LINK1060"/>
      <w:bookmarkStart w:id="52" w:name="OLE_LINK1061"/>
      <w:bookmarkStart w:id="53" w:name="OLE_LINK1348"/>
      <w:bookmarkStart w:id="54" w:name="OLE_LINK1086"/>
      <w:bookmarkStart w:id="55" w:name="OLE_LINK1100"/>
      <w:bookmarkStart w:id="56" w:name="OLE_LINK1125"/>
      <w:bookmarkStart w:id="57" w:name="OLE_LINK1163"/>
      <w:bookmarkStart w:id="58" w:name="OLE_LINK1193"/>
      <w:bookmarkStart w:id="59" w:name="OLE_LINK1219"/>
      <w:bookmarkStart w:id="60" w:name="OLE_LINK1247"/>
      <w:bookmarkStart w:id="61" w:name="OLE_LINK1284"/>
      <w:bookmarkStart w:id="62" w:name="OLE_LINK1313"/>
      <w:bookmarkStart w:id="63" w:name="OLE_LINK1361"/>
      <w:bookmarkStart w:id="64" w:name="OLE_LINK1384"/>
      <w:bookmarkStart w:id="65" w:name="OLE_LINK1403"/>
      <w:bookmarkStart w:id="66" w:name="OLE_LINK1437"/>
      <w:bookmarkStart w:id="67" w:name="OLE_LINK1454"/>
      <w:bookmarkStart w:id="68" w:name="OLE_LINK1480"/>
      <w:bookmarkStart w:id="69" w:name="OLE_LINK1504"/>
      <w:bookmarkStart w:id="70" w:name="OLE_LINK1516"/>
      <w:bookmarkStart w:id="71" w:name="OLE_LINK135"/>
      <w:bookmarkStart w:id="72" w:name="OLE_LINK216"/>
      <w:bookmarkStart w:id="73" w:name="OLE_LINK259"/>
      <w:bookmarkStart w:id="74" w:name="OLE_LINK1186"/>
      <w:bookmarkStart w:id="75" w:name="OLE_LINK1265"/>
      <w:bookmarkStart w:id="76" w:name="OLE_LINK1373"/>
      <w:bookmarkStart w:id="77" w:name="OLE_LINK1478"/>
      <w:bookmarkStart w:id="78" w:name="OLE_LINK1644"/>
      <w:bookmarkStart w:id="79" w:name="OLE_LINK1884"/>
      <w:bookmarkStart w:id="80" w:name="OLE_LINK1885"/>
      <w:bookmarkStart w:id="81" w:name="OLE_LINK1538"/>
      <w:bookmarkStart w:id="82" w:name="OLE_LINK1539"/>
      <w:bookmarkStart w:id="83" w:name="OLE_LINK1543"/>
      <w:bookmarkStart w:id="84" w:name="OLE_LINK1549"/>
      <w:bookmarkStart w:id="85" w:name="OLE_LINK1778"/>
      <w:bookmarkStart w:id="86" w:name="OLE_LINK1756"/>
      <w:bookmarkStart w:id="87" w:name="OLE_LINK1776"/>
      <w:bookmarkStart w:id="88" w:name="OLE_LINK1777"/>
      <w:bookmarkStart w:id="89" w:name="OLE_LINK1868"/>
      <w:bookmarkStart w:id="90" w:name="OLE_LINK1744"/>
      <w:bookmarkStart w:id="91" w:name="OLE_LINK1817"/>
      <w:bookmarkStart w:id="92" w:name="OLE_LINK1835"/>
      <w:bookmarkStart w:id="93" w:name="OLE_LINK1866"/>
      <w:bookmarkStart w:id="94" w:name="OLE_LINK1882"/>
      <w:bookmarkStart w:id="95" w:name="OLE_LINK1901"/>
      <w:bookmarkStart w:id="96" w:name="OLE_LINK1902"/>
      <w:bookmarkStart w:id="97" w:name="OLE_LINK2013"/>
      <w:bookmarkStart w:id="98" w:name="OLE_LINK1894"/>
      <w:bookmarkStart w:id="99" w:name="OLE_LINK1929"/>
      <w:bookmarkStart w:id="100" w:name="OLE_LINK1941"/>
      <w:bookmarkStart w:id="101" w:name="OLE_LINK1995"/>
      <w:bookmarkStart w:id="102" w:name="OLE_LINK1938"/>
      <w:bookmarkStart w:id="103" w:name="OLE_LINK2081"/>
      <w:bookmarkStart w:id="104" w:name="OLE_LINK2082"/>
      <w:bookmarkStart w:id="105" w:name="OLE_LINK2292"/>
      <w:bookmarkStart w:id="106" w:name="OLE_LINK1931"/>
      <w:bookmarkStart w:id="107" w:name="OLE_LINK1964"/>
      <w:bookmarkStart w:id="108" w:name="OLE_LINK2020"/>
      <w:bookmarkStart w:id="109" w:name="OLE_LINK2071"/>
      <w:bookmarkStart w:id="110" w:name="OLE_LINK2134"/>
      <w:bookmarkStart w:id="111" w:name="OLE_LINK2265"/>
      <w:bookmarkStart w:id="112" w:name="OLE_LINK2562"/>
      <w:bookmarkStart w:id="113" w:name="OLE_LINK1923"/>
      <w:bookmarkStart w:id="114" w:name="OLE_LINK2192"/>
      <w:bookmarkStart w:id="115" w:name="OLE_LINK2110"/>
      <w:bookmarkStart w:id="116" w:name="OLE_LINK2445"/>
      <w:bookmarkStart w:id="117" w:name="OLE_LINK2446"/>
      <w:bookmarkStart w:id="118" w:name="OLE_LINK2169"/>
      <w:bookmarkStart w:id="119" w:name="OLE_LINK2190"/>
      <w:bookmarkStart w:id="120" w:name="OLE_LINK2331"/>
      <w:bookmarkStart w:id="121" w:name="OLE_LINK2345"/>
      <w:bookmarkStart w:id="122" w:name="OLE_LINK2467"/>
      <w:bookmarkStart w:id="123" w:name="OLE_LINK2484"/>
      <w:bookmarkStart w:id="124" w:name="OLE_LINK2157"/>
      <w:bookmarkStart w:id="125" w:name="OLE_LINK2221"/>
      <w:bookmarkStart w:id="126" w:name="OLE_LINK2252"/>
      <w:bookmarkStart w:id="127" w:name="OLE_LINK2348"/>
      <w:bookmarkStart w:id="128" w:name="OLE_LINK2451"/>
      <w:bookmarkStart w:id="129" w:name="OLE_LINK2627"/>
      <w:bookmarkStart w:id="130" w:name="OLE_LINK2482"/>
      <w:bookmarkStart w:id="131" w:name="OLE_LINK2663"/>
      <w:bookmarkStart w:id="132" w:name="OLE_LINK2761"/>
      <w:bookmarkStart w:id="133" w:name="OLE_LINK2856"/>
      <w:bookmarkStart w:id="134" w:name="OLE_LINK2993"/>
      <w:bookmarkStart w:id="135" w:name="OLE_LINK2643"/>
      <w:bookmarkStart w:id="136" w:name="OLE_LINK2583"/>
      <w:bookmarkStart w:id="137" w:name="OLE_LINK2762"/>
      <w:bookmarkStart w:id="138" w:name="OLE_LINK2962"/>
      <w:bookmarkStart w:id="139" w:name="OLE_LINK2582"/>
      <w:r w:rsidRPr="00412B34">
        <w:rPr>
          <w:rFonts w:ascii="Book Antiqua" w:hAnsi="Book Antiqua"/>
          <w:b/>
          <w:color w:val="000000"/>
          <w:sz w:val="24"/>
          <w:lang w:val="en-GB"/>
        </w:rPr>
        <w:t xml:space="preserve">© </w:t>
      </w:r>
      <w:r w:rsidRPr="00412B34">
        <w:rPr>
          <w:rFonts w:ascii="Book Antiqua" w:eastAsia="AdvTimes" w:hAnsi="Book Antiqua" w:cs="AdvTimes"/>
          <w:b/>
          <w:color w:val="000000"/>
          <w:sz w:val="24"/>
        </w:rPr>
        <w:t>The Author(s) 201</w:t>
      </w:r>
      <w:r w:rsidRPr="00E6284C">
        <w:rPr>
          <w:rFonts w:ascii="Book Antiqua" w:hAnsi="Book Antiqua" w:cs="AdvTimes" w:hint="eastAsia"/>
          <w:b/>
          <w:color w:val="000000"/>
          <w:sz w:val="24"/>
        </w:rPr>
        <w:t>6</w:t>
      </w:r>
      <w:r w:rsidRPr="00412B34">
        <w:rPr>
          <w:rFonts w:ascii="Book Antiqua" w:eastAsia="AdvTimes" w:hAnsi="Book Antiqua" w:cs="AdvTimes"/>
          <w:b/>
          <w:color w:val="000000"/>
          <w:sz w:val="24"/>
        </w:rPr>
        <w:t>.</w:t>
      </w:r>
      <w:r w:rsidRPr="004269F8">
        <w:rPr>
          <w:rFonts w:ascii="Book Antiqua" w:eastAsia="AdvTimes" w:hAnsi="Book Antiqua" w:cs="AdvTimes"/>
          <w:color w:val="000000"/>
          <w:sz w:val="24"/>
        </w:rPr>
        <w:t xml:space="preserve"> </w:t>
      </w:r>
      <w:r w:rsidRPr="00897D49">
        <w:rPr>
          <w:rFonts w:ascii="Book Antiqua" w:eastAsia="AdvTimes" w:hAnsi="Book Antiqua" w:cs="AdvTimes"/>
          <w:color w:val="000000"/>
          <w:sz w:val="24"/>
        </w:rPr>
        <w:t>Published by</w:t>
      </w:r>
      <w:r w:rsidRPr="004269F8">
        <w:rPr>
          <w:rFonts w:ascii="Book Antiqua" w:eastAsia="AdvTimes" w:hAnsi="Book Antiqua" w:cs="AdvTimes"/>
          <w:color w:val="000000"/>
          <w:sz w:val="24"/>
        </w:rPr>
        <w:t xml:space="preserve"> </w:t>
      </w:r>
      <w:r w:rsidRPr="004269F8">
        <w:rPr>
          <w:rFonts w:ascii="Book Antiqua" w:hAnsi="Book Antiqua" w:cs="Arial Unicode MS"/>
          <w:color w:val="000000"/>
          <w:sz w:val="24"/>
          <w:lang w:val="en-GB"/>
        </w:rPr>
        <w:t>Baishideng Publishing Group Inc.</w:t>
      </w:r>
      <w:r w:rsidRPr="008E6844">
        <w:rPr>
          <w:rFonts w:ascii="Book Antiqua" w:hAnsi="Book Antiqua" w:cs="Arial Unicode MS"/>
          <w:sz w:val="24"/>
        </w:rPr>
        <w:t xml:space="preserve"> </w:t>
      </w:r>
      <w:r w:rsidRPr="00836DCC">
        <w:rPr>
          <w:rFonts w:ascii="Book Antiqua" w:hAnsi="Book Antiqua" w:cs="Arial Unicode MS"/>
          <w:sz w:val="24"/>
        </w:rPr>
        <w:t>All rights reserved.</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14:paraId="64182ABC" w14:textId="77777777" w:rsidR="00F26BF6" w:rsidRPr="00F26BF6" w:rsidRDefault="00F26BF6" w:rsidP="00422EBA">
      <w:pPr>
        <w:adjustRightInd w:val="0"/>
        <w:snapToGrid w:val="0"/>
        <w:spacing w:after="0" w:line="360" w:lineRule="auto"/>
        <w:jc w:val="both"/>
        <w:rPr>
          <w:rFonts w:ascii="Book Antiqua" w:eastAsiaTheme="minorEastAsia" w:hAnsi="Book Antiqua"/>
          <w:sz w:val="24"/>
          <w:szCs w:val="24"/>
          <w:lang w:val="en-GB" w:eastAsia="zh-CN"/>
        </w:rPr>
      </w:pPr>
    </w:p>
    <w:p w14:paraId="41026867" w14:textId="49FAF3C1" w:rsidR="007A0925" w:rsidRDefault="007A0925" w:rsidP="00422EBA">
      <w:pPr>
        <w:adjustRightInd w:val="0"/>
        <w:snapToGrid w:val="0"/>
        <w:spacing w:after="0" w:line="360" w:lineRule="auto"/>
        <w:jc w:val="both"/>
        <w:rPr>
          <w:lang w:val="en-GB"/>
        </w:rPr>
      </w:pPr>
      <w:r>
        <w:rPr>
          <w:rFonts w:ascii="Book Antiqua" w:hAnsi="Book Antiqua"/>
          <w:b/>
          <w:sz w:val="24"/>
          <w:szCs w:val="24"/>
          <w:lang w:val="en-GB"/>
        </w:rPr>
        <w:lastRenderedPageBreak/>
        <w:t>Core tip:</w:t>
      </w:r>
      <w:r>
        <w:rPr>
          <w:rFonts w:ascii="Book Antiqua" w:hAnsi="Book Antiqua"/>
          <w:sz w:val="24"/>
          <w:szCs w:val="24"/>
          <w:lang w:val="en-GB"/>
        </w:rPr>
        <w:t xml:space="preserve"> </w:t>
      </w:r>
      <w:r>
        <w:rPr>
          <w:rFonts w:ascii="Book Antiqua" w:hAnsi="Book Antiqua"/>
          <w:color w:val="000000"/>
          <w:sz w:val="24"/>
          <w:szCs w:val="24"/>
          <w:lang w:val="en-GB"/>
        </w:rPr>
        <w:t xml:space="preserve">The shortage of available livers and long waiting lists have led to increased transplantation of marginal organs. The </w:t>
      </w:r>
      <w:r w:rsidR="00DF3C82">
        <w:rPr>
          <w:rFonts w:ascii="Book Antiqua" w:hAnsi="Book Antiqua"/>
          <w:color w:val="000000"/>
          <w:sz w:val="24"/>
          <w:szCs w:val="24"/>
          <w:lang w:val="en-GB"/>
        </w:rPr>
        <w:t xml:space="preserve">model for end-stage liver disease </w:t>
      </w:r>
      <w:r>
        <w:rPr>
          <w:rFonts w:ascii="Book Antiqua" w:hAnsi="Book Antiqua"/>
          <w:color w:val="000000"/>
          <w:sz w:val="24"/>
          <w:szCs w:val="24"/>
          <w:lang w:val="en-GB"/>
        </w:rPr>
        <w:t>allocation system distributes transplants to sicker patients, potentially impairing the final outcome.</w:t>
      </w:r>
      <w:r>
        <w:rPr>
          <w:rFonts w:ascii="Book Antiqua" w:hAnsi="Book Antiqua"/>
          <w:sz w:val="24"/>
          <w:szCs w:val="24"/>
          <w:lang w:val="en-GB"/>
        </w:rPr>
        <w:t xml:space="preserve"> A serious pitfall is the lack of early postoperative tools to predict short-term outcome for grafts and patients after liver transplant. Here, we review the currently available functional tests and clinical scores that assess graft and patient status during the first week after liver transplantation </w:t>
      </w:r>
      <w:r>
        <w:rPr>
          <w:rFonts w:ascii="Book Antiqua" w:hAnsi="Book Antiqua"/>
          <w:color w:val="000000"/>
          <w:sz w:val="24"/>
          <w:szCs w:val="24"/>
          <w:lang w:val="en-GB"/>
        </w:rPr>
        <w:t>to quickly guide the early postoperative surgical and intensive care management.</w:t>
      </w:r>
    </w:p>
    <w:p w14:paraId="146C0D10" w14:textId="0EA9F823" w:rsidR="007A0925" w:rsidRDefault="007A0925" w:rsidP="00422EBA">
      <w:pPr>
        <w:adjustRightInd w:val="0"/>
        <w:snapToGrid w:val="0"/>
        <w:spacing w:after="0" w:line="360" w:lineRule="auto"/>
        <w:jc w:val="both"/>
        <w:rPr>
          <w:rFonts w:eastAsiaTheme="minorEastAsia"/>
          <w:lang w:val="en-GB" w:eastAsia="zh-CN"/>
        </w:rPr>
      </w:pPr>
    </w:p>
    <w:p w14:paraId="132A88EA" w14:textId="77777777" w:rsidR="00C032DE" w:rsidRDefault="00C032DE" w:rsidP="00422EBA">
      <w:pPr>
        <w:adjustRightInd w:val="0"/>
        <w:snapToGrid w:val="0"/>
        <w:spacing w:after="0" w:line="360" w:lineRule="auto"/>
        <w:jc w:val="both"/>
        <w:rPr>
          <w:rFonts w:ascii="Book Antiqua" w:hAnsi="Book Antiqua"/>
          <w:sz w:val="24"/>
        </w:rPr>
      </w:pPr>
      <w:r w:rsidRPr="00E35182">
        <w:rPr>
          <w:rFonts w:ascii="Book Antiqua" w:hAnsi="Book Antiqua"/>
          <w:sz w:val="24"/>
          <w:szCs w:val="24"/>
        </w:rPr>
        <w:t>Bolondi</w:t>
      </w:r>
      <w:r>
        <w:rPr>
          <w:rFonts w:ascii="Book Antiqua" w:eastAsiaTheme="minorEastAsia" w:hAnsi="Book Antiqua" w:hint="eastAsia"/>
          <w:sz w:val="24"/>
          <w:szCs w:val="24"/>
          <w:lang w:eastAsia="zh-CN"/>
        </w:rPr>
        <w:t xml:space="preserve"> G</w:t>
      </w:r>
      <w:r w:rsidRPr="00E35182">
        <w:rPr>
          <w:rFonts w:ascii="Book Antiqua" w:hAnsi="Book Antiqua"/>
          <w:bCs/>
          <w:sz w:val="24"/>
          <w:szCs w:val="24"/>
        </w:rPr>
        <w:t>, Moccheggiani</w:t>
      </w:r>
      <w:r>
        <w:rPr>
          <w:rFonts w:ascii="Book Antiqua" w:eastAsiaTheme="minorEastAsia" w:hAnsi="Book Antiqua" w:hint="eastAsia"/>
          <w:bCs/>
          <w:sz w:val="24"/>
          <w:szCs w:val="24"/>
          <w:lang w:eastAsia="zh-CN"/>
        </w:rPr>
        <w:t xml:space="preserve"> F</w:t>
      </w:r>
      <w:r w:rsidRPr="00E35182">
        <w:rPr>
          <w:rFonts w:ascii="Book Antiqua" w:hAnsi="Book Antiqua"/>
          <w:bCs/>
          <w:sz w:val="24"/>
          <w:szCs w:val="24"/>
        </w:rPr>
        <w:t>, Montalti</w:t>
      </w:r>
      <w:r>
        <w:rPr>
          <w:rFonts w:ascii="Book Antiqua" w:eastAsiaTheme="minorEastAsia" w:hAnsi="Book Antiqua" w:hint="eastAsia"/>
          <w:bCs/>
          <w:sz w:val="24"/>
          <w:szCs w:val="24"/>
          <w:lang w:eastAsia="zh-CN"/>
        </w:rPr>
        <w:t xml:space="preserve"> R</w:t>
      </w:r>
      <w:r w:rsidRPr="00E35182">
        <w:rPr>
          <w:rFonts w:ascii="Book Antiqua" w:hAnsi="Book Antiqua"/>
          <w:bCs/>
          <w:sz w:val="24"/>
          <w:szCs w:val="24"/>
        </w:rPr>
        <w:t>, Nicolini</w:t>
      </w:r>
      <w:r>
        <w:rPr>
          <w:rFonts w:ascii="Book Antiqua" w:eastAsiaTheme="minorEastAsia" w:hAnsi="Book Antiqua" w:hint="eastAsia"/>
          <w:bCs/>
          <w:sz w:val="24"/>
          <w:szCs w:val="24"/>
          <w:lang w:eastAsia="zh-CN"/>
        </w:rPr>
        <w:t xml:space="preserve"> D</w:t>
      </w:r>
      <w:r w:rsidRPr="00E35182">
        <w:rPr>
          <w:rFonts w:ascii="Book Antiqua" w:hAnsi="Book Antiqua"/>
          <w:bCs/>
          <w:sz w:val="24"/>
          <w:szCs w:val="24"/>
        </w:rPr>
        <w:t>, Vivarelli</w:t>
      </w:r>
      <w:r>
        <w:rPr>
          <w:rFonts w:ascii="Book Antiqua" w:eastAsiaTheme="minorEastAsia" w:hAnsi="Book Antiqua" w:hint="eastAsia"/>
          <w:bCs/>
          <w:sz w:val="24"/>
          <w:szCs w:val="24"/>
          <w:lang w:eastAsia="zh-CN"/>
        </w:rPr>
        <w:t xml:space="preserve"> M</w:t>
      </w:r>
      <w:r w:rsidRPr="00E35182">
        <w:rPr>
          <w:rFonts w:ascii="Book Antiqua" w:hAnsi="Book Antiqua"/>
          <w:bCs/>
          <w:sz w:val="24"/>
          <w:szCs w:val="24"/>
        </w:rPr>
        <w:t>, De Pietri</w:t>
      </w:r>
      <w:r>
        <w:rPr>
          <w:rFonts w:ascii="Book Antiqua" w:eastAsiaTheme="minorEastAsia" w:hAnsi="Book Antiqua" w:hint="eastAsia"/>
          <w:bCs/>
          <w:sz w:val="24"/>
          <w:szCs w:val="24"/>
          <w:lang w:eastAsia="zh-CN"/>
        </w:rPr>
        <w:t xml:space="preserve"> L. </w:t>
      </w:r>
      <w:r w:rsidRPr="00C032DE">
        <w:rPr>
          <w:rFonts w:ascii="Book Antiqua" w:hAnsi="Book Antiqua" w:cs="Arial"/>
          <w:lang w:val="en-GB"/>
        </w:rPr>
        <w:t xml:space="preserve">Predictive factors of short term outcome after liver transplantation: </w:t>
      </w:r>
      <w:r w:rsidRPr="00C032DE">
        <w:rPr>
          <w:rFonts w:ascii="Book Antiqua" w:hAnsi="Book Antiqua" w:cs="Arial"/>
          <w:caps/>
          <w:lang w:val="en-GB"/>
        </w:rPr>
        <w:t>a</w:t>
      </w:r>
      <w:r w:rsidRPr="00C032DE">
        <w:rPr>
          <w:rFonts w:ascii="Book Antiqua" w:hAnsi="Book Antiqua" w:cs="Arial"/>
          <w:lang w:val="en-GB"/>
        </w:rPr>
        <w:t xml:space="preserve"> review</w:t>
      </w:r>
      <w:r>
        <w:rPr>
          <w:rFonts w:ascii="Book Antiqua" w:eastAsiaTheme="minorEastAsia" w:hAnsi="Book Antiqua" w:cs="Arial" w:hint="eastAsia"/>
          <w:lang w:val="en-GB" w:eastAsia="zh-CN"/>
        </w:rPr>
        <w:t xml:space="preserve">. </w:t>
      </w:r>
      <w:r w:rsidRPr="009E3692">
        <w:rPr>
          <w:rFonts w:ascii="Book Antiqua" w:hAnsi="Book Antiqua"/>
          <w:i/>
          <w:sz w:val="24"/>
        </w:rPr>
        <w:t>World J Gastroenterol</w:t>
      </w:r>
      <w:r w:rsidRPr="009E3692">
        <w:rPr>
          <w:rFonts w:ascii="Book Antiqua" w:hAnsi="Book Antiqua"/>
          <w:sz w:val="24"/>
        </w:rPr>
        <w:t xml:space="preserve"> 201</w:t>
      </w:r>
      <w:r>
        <w:rPr>
          <w:rFonts w:ascii="Book Antiqua" w:hAnsi="Book Antiqua" w:hint="eastAsia"/>
          <w:sz w:val="24"/>
        </w:rPr>
        <w:t>6</w:t>
      </w:r>
      <w:r w:rsidRPr="009E3692">
        <w:rPr>
          <w:rFonts w:ascii="Book Antiqua" w:hAnsi="Book Antiqua"/>
          <w:sz w:val="24"/>
        </w:rPr>
        <w:t>; In press</w:t>
      </w:r>
    </w:p>
    <w:p w14:paraId="16DB895E" w14:textId="7110839D" w:rsidR="00C032DE" w:rsidRPr="00C032DE" w:rsidRDefault="00C032DE" w:rsidP="00422EBA">
      <w:pPr>
        <w:adjustRightInd w:val="0"/>
        <w:snapToGrid w:val="0"/>
        <w:spacing w:after="0" w:line="360" w:lineRule="auto"/>
        <w:jc w:val="both"/>
        <w:rPr>
          <w:rFonts w:ascii="Book Antiqua" w:eastAsiaTheme="minorEastAsia" w:hAnsi="Book Antiqua"/>
          <w:bCs/>
          <w:sz w:val="24"/>
          <w:szCs w:val="24"/>
          <w:lang w:eastAsia="zh-CN"/>
        </w:rPr>
      </w:pPr>
    </w:p>
    <w:p w14:paraId="2A9FA072" w14:textId="008BDE20" w:rsidR="00C032DE" w:rsidRDefault="00C032DE" w:rsidP="00422EBA">
      <w:pPr>
        <w:adjustRightInd w:val="0"/>
        <w:snapToGrid w:val="0"/>
        <w:spacing w:after="0" w:line="360" w:lineRule="auto"/>
        <w:jc w:val="both"/>
        <w:rPr>
          <w:rFonts w:eastAsiaTheme="minorEastAsia"/>
          <w:lang w:val="en-GB" w:eastAsia="zh-CN"/>
        </w:rPr>
      </w:pPr>
      <w:r>
        <w:rPr>
          <w:rFonts w:eastAsiaTheme="minorEastAsia"/>
          <w:lang w:val="en-GB" w:eastAsia="zh-CN"/>
        </w:rPr>
        <w:br w:type="page"/>
      </w:r>
    </w:p>
    <w:p w14:paraId="103DE9E5" w14:textId="24BE0109" w:rsidR="007A0925" w:rsidRPr="00C032DE" w:rsidRDefault="007A0925" w:rsidP="00422EBA">
      <w:pPr>
        <w:adjustRightInd w:val="0"/>
        <w:snapToGrid w:val="0"/>
        <w:spacing w:after="0" w:line="360" w:lineRule="auto"/>
        <w:jc w:val="both"/>
        <w:rPr>
          <w:rFonts w:ascii="Book Antiqua" w:hAnsi="Book Antiqua"/>
          <w:b/>
          <w:caps/>
          <w:sz w:val="24"/>
          <w:szCs w:val="24"/>
          <w:lang w:val="en-GB"/>
        </w:rPr>
      </w:pPr>
      <w:r w:rsidRPr="00C032DE">
        <w:rPr>
          <w:rFonts w:ascii="Book Antiqua" w:hAnsi="Book Antiqua"/>
          <w:b/>
          <w:caps/>
          <w:sz w:val="24"/>
          <w:szCs w:val="24"/>
          <w:lang w:val="en-GB"/>
        </w:rPr>
        <w:lastRenderedPageBreak/>
        <w:t>Introduction</w:t>
      </w:r>
    </w:p>
    <w:p w14:paraId="3242A9D1" w14:textId="3E0D8DFD" w:rsidR="007A0925" w:rsidRDefault="007A0925" w:rsidP="00422EBA">
      <w:pPr>
        <w:adjustRightInd w:val="0"/>
        <w:snapToGrid w:val="0"/>
        <w:spacing w:after="0" w:line="360" w:lineRule="auto"/>
        <w:jc w:val="both"/>
        <w:rPr>
          <w:rFonts w:ascii="Book Antiqua" w:hAnsi="Book Antiqua"/>
          <w:sz w:val="24"/>
          <w:szCs w:val="24"/>
          <w:lang w:val="en-GB"/>
        </w:rPr>
      </w:pPr>
      <w:r>
        <w:rPr>
          <w:rFonts w:ascii="Book Antiqua" w:hAnsi="Book Antiqua"/>
          <w:sz w:val="24"/>
          <w:szCs w:val="24"/>
          <w:lang w:val="en-GB"/>
        </w:rPr>
        <w:t>Liver transpla</w:t>
      </w:r>
      <w:r>
        <w:rPr>
          <w:rFonts w:ascii="Book Antiqua" w:hAnsi="Book Antiqua"/>
          <w:color w:val="000000"/>
          <w:sz w:val="24"/>
          <w:szCs w:val="24"/>
          <w:lang w:val="en-GB"/>
        </w:rPr>
        <w:t xml:space="preserve">nt (LT) is </w:t>
      </w:r>
      <w:r w:rsidR="00CA2EB9">
        <w:rPr>
          <w:rFonts w:ascii="Book Antiqua" w:hAnsi="Book Antiqua"/>
          <w:color w:val="000000"/>
          <w:sz w:val="24"/>
          <w:szCs w:val="24"/>
          <w:lang w:val="en-GB"/>
        </w:rPr>
        <w:t>a</w:t>
      </w:r>
      <w:r w:rsidR="00246F40">
        <w:rPr>
          <w:rFonts w:ascii="Book Antiqua" w:hAnsi="Book Antiqua"/>
          <w:color w:val="000000"/>
          <w:sz w:val="24"/>
          <w:szCs w:val="24"/>
          <w:lang w:val="en-GB"/>
        </w:rPr>
        <w:t xml:space="preserve"> life-saving</w:t>
      </w:r>
      <w:r>
        <w:rPr>
          <w:rFonts w:ascii="Book Antiqua" w:hAnsi="Book Antiqua"/>
          <w:color w:val="000000"/>
          <w:sz w:val="24"/>
          <w:szCs w:val="24"/>
          <w:lang w:val="en-GB"/>
        </w:rPr>
        <w:t xml:space="preserve"> treatment for several end-stage liver diseases</w:t>
      </w:r>
      <w:r w:rsidR="00C032DE">
        <w:rPr>
          <w:rStyle w:val="A8136"/>
          <w:rFonts w:ascii="Book Antiqua" w:hAnsi="Book Antiqua" w:cs="Minion"/>
          <w:sz w:val="24"/>
          <w:szCs w:val="24"/>
          <w:lang w:val="en-GB"/>
        </w:rPr>
        <w:fldChar w:fldCharType="begin" w:fldLock="1"/>
      </w:r>
      <w:r w:rsidR="00C032DE">
        <w:rPr>
          <w:rStyle w:val="A8136"/>
          <w:rFonts w:ascii="Book Antiqua" w:hAnsi="Book Antiqua" w:cs="Minion"/>
          <w:sz w:val="24"/>
          <w:szCs w:val="24"/>
          <w:lang w:val="en-GB"/>
        </w:rPr>
        <w:instrText>ADDIN CSL_CITATION { "citationItems" : [ { "id" : "ITEM-1", "itemData" : { "ISSN" : "1527-3350", "PMID" : "24716201", "author" : [ { "dropping-particle" : "", "family" : "Martin", "given" : "Paul", "non-dropping-particle" : "", "parse-names" : false, "suffix" : "" }, { "dropping-particle" : "", "family" : "DiMartini", "given" : "Andrea", "non-dropping-particle" : "", "parse-names" : false, "suffix" : "" }, { "dropping-particle" : "", "family" : "Feng", "given" : "Sandy", "non-dropping-particle" : "", "parse-names" : false, "suffix" : "" }, { "dropping-particle" : "", "family" : "Brown", "given" : "Robert", "non-dropping-particle" : "", "parse-names" : false, "suffix" : "" }, { "dropping-particle" : "", "family" : "Fallon", "given" : "Michael", "non-dropping-particle" : "", "parse-names" : false, "suffix" : "" } ], "container-title" : "Hepatology (Baltimore, Md.)", "id" : "ITEM-1", "issue" : "3", "issued" : { "date-parts" : [ [ "2014", "3" ] ] }, "page" : "1144-65", "title" : "Evaluation for liver transplantation in adults: 2013 practice guideline by the American Association for the Study of Liver Diseases and the American Society of Transplantation.", "type" : "article-journal", "volume" : "59" }, "uris" : [ "http://www.mendeley.com/documents/?uuid=ba61cff4-b0a1-44fb-9c98-75d3830f9317" ] }, { "id" : "ITEM-2", "itemData" : { "DOI" : "10.1016/j.jhep.2015.10.006", "ISSN" : "1600-0641", "PMID" : "26597456", "container-title" : "Journal of hepatology", "id" : "ITEM-2", "issue" : "2", "issued" : { "date-parts" : [ [ "2015", "11", "17" ] ] }, "page" : "433-85", "title" : "EASL Clinical Practice Guidelines: Liver transplantation.", "type" : "article-journal", "volume" : "64" }, "uris" : [ "http://www.mendeley.com/documents/?uuid=21de0184-1d65-42b3-ac5f-0ed23c5a18b4" ] } ], "mendeley" : { "formattedCitation" : "&lt;sup&gt;[1,2]&lt;/sup&gt;", "plainTextFormattedCitation" : "[1,2]", "previouslyFormattedCitation" : "&lt;sup&gt;[1,2]&lt;/sup&gt;" }, "properties" : { "noteIndex" : 0 }, "schema" : "https://github.com/citation-style-language/schema/raw/master/csl-citation.json" }</w:instrText>
      </w:r>
      <w:r w:rsidR="00C032DE">
        <w:rPr>
          <w:rStyle w:val="A8136"/>
          <w:rFonts w:ascii="Book Antiqua" w:hAnsi="Book Antiqua" w:cs="Minion"/>
          <w:sz w:val="24"/>
          <w:szCs w:val="24"/>
          <w:lang w:val="en-GB"/>
        </w:rPr>
        <w:fldChar w:fldCharType="separate"/>
      </w:r>
      <w:r w:rsidR="00C032DE" w:rsidRPr="007A0925">
        <w:rPr>
          <w:rStyle w:val="A8136"/>
          <w:rFonts w:ascii="Book Antiqua" w:hAnsi="Book Antiqua" w:cs="Minion"/>
          <w:noProof/>
          <w:sz w:val="24"/>
          <w:szCs w:val="24"/>
          <w:vertAlign w:val="superscript"/>
          <w:lang w:val="en-GB"/>
        </w:rPr>
        <w:t>[1,2]</w:t>
      </w:r>
      <w:r w:rsidR="00C032DE">
        <w:rPr>
          <w:rStyle w:val="A8136"/>
          <w:rFonts w:ascii="Book Antiqua" w:hAnsi="Book Antiqua" w:cs="Minion"/>
          <w:sz w:val="24"/>
          <w:szCs w:val="24"/>
          <w:lang w:val="en-GB"/>
        </w:rPr>
        <w:fldChar w:fldCharType="end"/>
      </w:r>
      <w:r w:rsidR="00291BB9">
        <w:rPr>
          <w:rFonts w:ascii="Book Antiqua" w:hAnsi="Book Antiqua"/>
          <w:color w:val="000000"/>
          <w:sz w:val="24"/>
          <w:szCs w:val="24"/>
          <w:lang w:val="en-GB"/>
        </w:rPr>
        <w:t>.</w:t>
      </w:r>
      <w:r>
        <w:rPr>
          <w:rStyle w:val="A8136"/>
          <w:rFonts w:ascii="Book Antiqua" w:hAnsi="Book Antiqua" w:cs="Minion"/>
          <w:sz w:val="24"/>
          <w:szCs w:val="24"/>
          <w:lang w:val="en-GB"/>
        </w:rPr>
        <w:t xml:space="preserve"> Access to LT</w:t>
      </w:r>
      <w:r>
        <w:rPr>
          <w:rFonts w:ascii="Book Antiqua" w:hAnsi="Book Antiqua"/>
          <w:sz w:val="24"/>
          <w:szCs w:val="24"/>
          <w:lang w:val="en-GB"/>
        </w:rPr>
        <w:t xml:space="preserve"> is now generally performed using the Model for End-Stage Liver Disease (MELD) score</w:t>
      </w:r>
      <w:r w:rsidR="00246F40">
        <w:rPr>
          <w:rStyle w:val="A8136"/>
          <w:rFonts w:ascii="Book Antiqua" w:hAnsi="Book Antiqua" w:cs="Minion"/>
          <w:sz w:val="24"/>
          <w:szCs w:val="24"/>
          <w:lang w:val="en-GB"/>
        </w:rPr>
        <w:t>. Although</w:t>
      </w:r>
      <w:r>
        <w:rPr>
          <w:rFonts w:ascii="Book Antiqua" w:hAnsi="Book Antiqua"/>
          <w:sz w:val="24"/>
          <w:szCs w:val="24"/>
          <w:lang w:val="en-GB"/>
        </w:rPr>
        <w:t xml:space="preserve"> created </w:t>
      </w:r>
      <w:r w:rsidR="00246F40">
        <w:rPr>
          <w:rFonts w:ascii="Book Antiqua" w:hAnsi="Book Antiqua"/>
          <w:sz w:val="24"/>
          <w:szCs w:val="24"/>
          <w:lang w:val="en-GB"/>
        </w:rPr>
        <w:t xml:space="preserve">for different purposes, </w:t>
      </w:r>
      <w:r w:rsidR="002D7F73">
        <w:rPr>
          <w:rFonts w:ascii="Book Antiqua" w:hAnsi="Book Antiqua"/>
          <w:sz w:val="24"/>
          <w:szCs w:val="24"/>
          <w:lang w:val="en-GB"/>
        </w:rPr>
        <w:t>MELD</w:t>
      </w:r>
      <w:r w:rsidR="00246F40">
        <w:rPr>
          <w:rFonts w:ascii="Book Antiqua" w:hAnsi="Book Antiqua"/>
          <w:sz w:val="24"/>
          <w:szCs w:val="24"/>
          <w:lang w:val="en-GB"/>
        </w:rPr>
        <w:t xml:space="preserve"> is</w:t>
      </w:r>
      <w:r>
        <w:rPr>
          <w:rFonts w:ascii="Book Antiqua" w:hAnsi="Book Antiqua"/>
          <w:sz w:val="24"/>
          <w:szCs w:val="24"/>
          <w:lang w:val="en-GB"/>
        </w:rPr>
        <w:t xml:space="preserve"> a simple and highly predictive system for 3-month mortality for patients on the LT waiting list</w:t>
      </w:r>
      <w:r w:rsidR="00C032DE">
        <w:rPr>
          <w:rFonts w:ascii="Book Antiqua" w:hAnsi="Book Antiqua"/>
          <w:sz w:val="24"/>
          <w:szCs w:val="24"/>
          <w:lang w:val="en-GB"/>
        </w:rPr>
        <w:fldChar w:fldCharType="begin" w:fldLock="1"/>
      </w:r>
      <w:r w:rsidR="00C032DE">
        <w:rPr>
          <w:rFonts w:ascii="Book Antiqua" w:hAnsi="Book Antiqua"/>
          <w:sz w:val="24"/>
          <w:szCs w:val="24"/>
          <w:lang w:val="en-GB"/>
        </w:rPr>
        <w:instrText>ADDIN CSL_CITATION { "citationItems" : [ { "id" : "ITEM-1", "itemData" : { "DOI" : "10.1053/gast.2003.50016", "ISSN" : "0016-5085", "PMID" : "12512033", "abstract" : "BACKGROUND &amp; AIMS: A consensus has been reached that liver donor allocation should be based primarily on liver disease severity and that waiting time should not be a major determining factor. Our aim was to assess the capability of the Model for End-Stage Liver Disease (MELD) score to correctly rank potential liver recipients according to their severity of liver disease and mortality risk on the OPTN liver waiting list. METHODS: The MELD model predicts liver disease severity based on serum creatinine, serum total bilirubin, and INR and has been shown to be useful in predicting mortality in patients with compensated and decompensated cirrhosis. In this study, we prospectively applied the MELD score to estimate 3-month mortality to 3437 adult liver transplant candidates with chronic liver disease who were added to the OPTN waiting list at 2A or 2B status between November, 1999, and December, 2001. RESULTS: In this study cohort with chronic liver disease, 412 (12%) died during the 3-month follow-up period. Waiting list mortality increased directly in proportion to the listing MELD score. Patients having a MELD score &lt;9 experienced a 1.9% mortality, whereas patients having a MELD score &gt; or =40 had a mortality rate of 71.3%. Using the c-statistic with 3-month mortality as the end point, the area under the receiver operating characteristic (ROC) curve for the MELD score was 0.83 compared with 0.76 for the Child-Turcotte-Pugh (CTP) score (P &lt; 0.001). CONCLUSIONS: These data suggest that the MELD score is able to accurately predict 3-month mortality among patients with chronic liver disease on the liver waiting list and can be applied for allocation of donor livers.", "author" : [ { "dropping-particle" : "", "family" : "Wiesner", "given" : "Russell", "non-dropping-particle" : "", "parse-names" : false, "suffix" : "" }, { "dropping-particle" : "", "family" : "Edwards", "given" : "Erick", "non-dropping-particle" : "", "parse-names" : false, "suffix" : "" }, { "dropping-particle" : "", "family" : "Freeman", "given" : "Richard", "non-dropping-particle" : "", "parse-names" : false, "suffix" : "" }, { "dropping-particle" : "", "family" : "Harper", "given" : "Ann", "non-dropping-particle" : "", "parse-names" : false, "suffix" : "" }, { "dropping-particle" : "", "family" : "Kim", "given" : "Ray", "non-dropping-particle" : "", "parse-names" : false, "suffix" : "" }, { "dropping-particle" : "", "family" : "Kamath", "given" : "Patrick", "non-dropping-particle" : "", "parse-names" : false, "suffix" : "" }, { "dropping-particle" : "", "family" : "Kremers", "given" : "Walter", "non-dropping-particle" : "", "parse-names" : false, "suffix" : "" }, { "dropping-particle" : "", "family" : "Lake", "given" : "John", "non-dropping-particle" : "", "parse-names" : false, "suffix" : "" }, { "dropping-particle" : "", "family" : "Howard", "given" : "Todd", "non-dropping-particle" : "", "parse-names" : false, "suffix" : "" }, { "dropping-particle" : "", "family" : "Merion", "given" : "Robert M", "non-dropping-particle" : "", "parse-names" : false, "suffix" : "" }, { "dropping-particle" : "", "family" : "Wolfe", "given" : "Robert A", "non-dropping-particle" : "", "parse-names" : false, "suffix" : "" }, { "dropping-particle" : "", "family" : "Krom", "given" : "Ruud", "non-dropping-particle" : "", "parse-names" : false, "suffix" : "" } ], "container-title" : "Gastroenterology", "id" : "ITEM-1", "issue" : "1", "issued" : { "date-parts" : [ [ "2003", "1" ] ] }, "page" : "91-6", "title" : "Model for end-stage liver disease (MELD) and allocation of donor livers.", "type" : "article-journal", "volume" : "124" }, "uris" : [ "http://www.mendeley.com/documents/?uuid=eb865240-f37f-4f25-b9c5-f1331240e368" ] } ], "mendeley" : { "formattedCitation" : "&lt;sup&gt;[3]&lt;/sup&gt;", "plainTextFormattedCitation" : "[3]", "previouslyFormattedCitation" : "&lt;sup&gt;[3]&lt;/sup&gt;" }, "properties" : { "noteIndex" : 0 }, "schema" : "https://github.com/citation-style-language/schema/raw/master/csl-citation.json" }</w:instrText>
      </w:r>
      <w:r w:rsidR="00C032DE">
        <w:rPr>
          <w:rFonts w:ascii="Book Antiqua" w:hAnsi="Book Antiqua"/>
          <w:sz w:val="24"/>
          <w:szCs w:val="24"/>
          <w:lang w:val="en-GB"/>
        </w:rPr>
        <w:fldChar w:fldCharType="separate"/>
      </w:r>
      <w:r w:rsidR="00C032DE" w:rsidRPr="00246F40">
        <w:rPr>
          <w:rFonts w:ascii="Book Antiqua" w:hAnsi="Book Antiqua"/>
          <w:noProof/>
          <w:sz w:val="24"/>
          <w:szCs w:val="24"/>
          <w:vertAlign w:val="superscript"/>
          <w:lang w:val="en-GB"/>
        </w:rPr>
        <w:t>[3]</w:t>
      </w:r>
      <w:r w:rsidR="00C032DE">
        <w:rPr>
          <w:rFonts w:ascii="Book Antiqua" w:hAnsi="Book Antiqua"/>
          <w:sz w:val="24"/>
          <w:szCs w:val="24"/>
          <w:lang w:val="en-GB"/>
        </w:rPr>
        <w:fldChar w:fldCharType="end"/>
      </w:r>
      <w:r>
        <w:rPr>
          <w:rFonts w:ascii="Book Antiqua" w:hAnsi="Book Antiqua"/>
          <w:sz w:val="24"/>
          <w:szCs w:val="24"/>
          <w:lang w:val="en-GB"/>
        </w:rPr>
        <w:t>.</w:t>
      </w:r>
      <w:r w:rsidR="00C032DE">
        <w:rPr>
          <w:rFonts w:ascii="Book Antiqua" w:hAnsi="Book Antiqua"/>
          <w:sz w:val="24"/>
          <w:szCs w:val="24"/>
          <w:lang w:val="en-GB"/>
        </w:rPr>
        <w:t xml:space="preserve"> </w:t>
      </w:r>
    </w:p>
    <w:p w14:paraId="42799689" w14:textId="06468357" w:rsidR="00785E88" w:rsidRDefault="001C1CE4" w:rsidP="00422EBA">
      <w:pPr>
        <w:adjustRightInd w:val="0"/>
        <w:snapToGrid w:val="0"/>
        <w:spacing w:after="0" w:line="360" w:lineRule="auto"/>
        <w:ind w:firstLineChars="200" w:firstLine="480"/>
        <w:jc w:val="both"/>
        <w:rPr>
          <w:rStyle w:val="A8136"/>
          <w:rFonts w:ascii="Book Antiqua" w:hAnsi="Book Antiqua" w:cs="Minion"/>
          <w:color w:val="FF0000"/>
          <w:sz w:val="24"/>
          <w:szCs w:val="24"/>
          <w:lang w:val="en-GB"/>
        </w:rPr>
      </w:pPr>
      <w:r>
        <w:rPr>
          <w:rFonts w:ascii="Book Antiqua" w:hAnsi="Book Antiqua"/>
          <w:sz w:val="24"/>
          <w:szCs w:val="24"/>
          <w:lang w:val="en-GB"/>
        </w:rPr>
        <w:t>Because of the reduced number of available organs, extended-criteria donors (ECD) are</w:t>
      </w:r>
      <w:r w:rsidR="00785E88">
        <w:rPr>
          <w:rFonts w:ascii="Book Antiqua" w:hAnsi="Book Antiqua"/>
          <w:sz w:val="24"/>
          <w:szCs w:val="24"/>
          <w:lang w:val="en-GB"/>
        </w:rPr>
        <w:t xml:space="preserve"> now</w:t>
      </w:r>
      <w:r>
        <w:rPr>
          <w:rFonts w:ascii="Book Antiqua" w:hAnsi="Book Antiqua"/>
          <w:sz w:val="24"/>
          <w:szCs w:val="24"/>
          <w:lang w:val="en-GB"/>
        </w:rPr>
        <w:t xml:space="preserve"> routinely used for recipients with higher MELD scores</w:t>
      </w:r>
      <w:r w:rsidR="00F577F1">
        <w:rPr>
          <w:rFonts w:ascii="Book Antiqua" w:hAnsi="Book Antiqua"/>
          <w:sz w:val="24"/>
          <w:szCs w:val="24"/>
          <w:lang w:val="en-GB"/>
        </w:rPr>
        <w:t>,</w:t>
      </w:r>
      <w:r>
        <w:rPr>
          <w:rFonts w:ascii="Book Antiqua" w:hAnsi="Book Antiqua"/>
          <w:sz w:val="24"/>
          <w:szCs w:val="24"/>
          <w:lang w:val="en-GB"/>
        </w:rPr>
        <w:t xml:space="preserve"> </w:t>
      </w:r>
      <w:r w:rsidR="00246F40">
        <w:rPr>
          <w:rFonts w:ascii="Book Antiqua" w:hAnsi="Book Antiqua"/>
          <w:color w:val="000000"/>
          <w:sz w:val="24"/>
          <w:szCs w:val="24"/>
          <w:lang w:val="en-GB"/>
        </w:rPr>
        <w:t>who cannot further delay intervention</w:t>
      </w:r>
      <w:r w:rsidR="00C032DE">
        <w:rPr>
          <w:rFonts w:ascii="Book Antiqua" w:hAnsi="Book Antiqua"/>
          <w:sz w:val="24"/>
          <w:szCs w:val="24"/>
          <w:lang w:val="en-GB"/>
        </w:rPr>
        <w:fldChar w:fldCharType="begin" w:fldLock="1"/>
      </w:r>
      <w:r w:rsidR="00C032DE">
        <w:rPr>
          <w:rFonts w:ascii="Book Antiqua" w:hAnsi="Book Antiqua"/>
          <w:sz w:val="24"/>
          <w:szCs w:val="24"/>
          <w:lang w:val="en-GB"/>
        </w:rPr>
        <w:instrText>ADDIN CSL_CITATION { "citationItems" : [ { "id" : "ITEM-1", "itemData" : { "DOI" : "10.1097/01.tp.0000250571.41361.21", "ISSN" : "0041-1337", "PMID" : "17198254", "abstract" : "BACKGROUND: The goal of this analysis was to determine if outcomes from the use of extended criteria donor (ECD) livers were dependent upon the Model for End-Stage Liver Disease (MELD) score of the recipient. METHODS: The Organ Procurement and Transplantation Network (OPTN) database as of March 4, 2006 was used for the analysis. Data from 12,056 adult liver transplant (LTx) recipients between June 1, 2002 and June 30, 2005 was analyzed. The donor risk index (DRI) was calculated as previously reported. A DRI of &gt; or =1.7 was classified as ECD. Relative risk (RR) estimates were derived from Cox regression models adjusted for DRI, recipient MELD, age, sex, ethnicity, diagnosis, and year of transplant. RESULTS: Data from 2,873 grafts falling in the ECD category (23.8%) and their recipients were analyzed. Recipients with low MELD scores (&lt;15) received the highest proportion of ECD livers (33%). ECD livers were associated with a significant increase in the RR of graft failure within each MELD category. However, this effect held within each of the three MELD categories. CONCLUSION: The use of ECD grafts expands the organ pool at expense of increased RR of liver failure. Our analysis showed no significant interaction between DRI and MELD score of the recipient. The fact that there is no additional impact of ECD livers in recipients with high MELD scores suggests that this group of patients may benefit from this pool of grafts.", "author" : [ { "dropping-particle" : "", "family" : "Maluf", "given" : "Daniel G", "non-dropping-particle" : "", "parse-names" : false, "suffix" : "" }, { "dropping-particle" : "", "family" : "Edwards", "given" : "Erick B", "non-dropping-particle" : "", "parse-names" : false, "suffix" : "" }, { "dropping-particle" : "", "family" : "Kauffman", "given" : "H Myron", "non-dropping-particle" : "", "parse-names" : false, "suffix" : "" } ], "container-title" : "Transplantation", "id" : "ITEM-1", "issue" : "12", "issued" : { "date-parts" : [ [ "2006", "12", "27" ] ] }, "page" : "1653-7", "title" : "Utilization of extended donor criteria liver allograft: Is the elevated risk of failure independent of the model for end-stage liver disease score of the recipient?", "type" : "article-journal", "volume" : "82" }, "uris" : [ "http://www.mendeley.com/documents/?uuid=243f0acf-e7ab-4749-8f50-964eb542627a" ] }, { "id" : "ITEM-2", "itemData" : { "DOI" : "10.1097/TP.0b013e3181a75b37", "ISSN" : "1534-6080", "PMID" : "19543065", "abstract" : "INTRODUCTION: Feng et al. described the donor risk index (DRI) in North American liver transplant recipients. We evaluated the effect of the DRI and model for end-stage liver disease (MELD) score on liver transplant recipients from a single center in the United Kingdom. METHOD: Prospectively, collected data of all patients transplanted at our center between January 1995 and December 2005 were included in the analysis (n=1090). Outcomes evaluated included patient-censored and death-censored graft survival. Outcomes of liver transplantation from \"high\" and \"low\" DRI groups (&gt; or =1.8 and &lt;1.8, respectively) on patients categorized into low (&lt;15), intermediate (15-30), and high (&gt;30) MELD categories were analyzed. RESULTS: MELD at transplant was the only significant predictor of patient survival. MELD at transplant and DRI more than 1.7 were associated with a poorer graft survival (P=0.03). There was a trend toward poorer graft survival in high DRI grafts transplanted in low and \"intermediate\" MELD categories (P=0.47 and 0.006, respectively). However, in the high MELD category, there was a similar graft survival for both high and low DRI grafts. CONCLUSION: Patients with low and intermediate MELDs at transplantation may be better served by a low DRI graft, whereas patients with high MELD may not be compromised by receiving a high DRI graft.", "author" : [ { "dropping-particle" : "", "family" : "Bonney", "given" : "Glenn K", "non-dropping-particle" : "", "parse-names" : false, "suffix" : "" }, { "dropping-particle" : "", "family" : "Aldersley", "given" : "Mark A", "non-dropping-particle" : "", "parse-names" : false, "suffix" : "" }, { "dropping-particle" : "", "family" : "Asthana", "given" : "Sonal", "non-dropping-particle" : "", "parse-names" : false, "suffix" : "" }, { "dropping-particle" : "", "family" : "Toogood", "given" : "Giles J", "non-dropping-particle" : "", "parse-names" : false, "suffix" : "" }, { "dropping-particle" : "", "family" : "Pollard", "given" : "Stephen G", "non-dropping-particle" : "", "parse-names" : false, "suffix" : "" }, { "dropping-particle" : "", "family" : "Lodge", "given" : "J Peter A", "non-dropping-particle" : "", "parse-names" : false, "suffix" : "" }, { "dropping-particle" : "", "family" : "Prasad", "given" : "K Rajendra", "non-dropping-particle" : "", "parse-names" : false, "suffix" : "" } ], "container-title" : "Transplantation", "id" : "ITEM-2", "issue" : "12", "issued" : { "date-parts" : [ [ "2009", "6", "27" ] ] }, "page" : "1858-63", "title" : "Donor risk index and MELD interactions in predicting long-term graft survival: a single-centre experience.", "type" : "article-journal", "volume" : "87" }, "uris" : [ "http://www.mendeley.com/documents/?uuid=367e68a6-693f-4acc-929b-4855710361a5" ] } ], "mendeley" : { "formattedCitation" : "&lt;sup&gt;[4,5]&lt;/sup&gt;", "plainTextFormattedCitation" : "[4,5]", "previouslyFormattedCitation" : "&lt;sup&gt;[4,5]&lt;/sup&gt;" }, "properties" : { "noteIndex" : 0 }, "schema" : "https://github.com/citation-style-language/schema/raw/master/csl-citation.json" }</w:instrText>
      </w:r>
      <w:r w:rsidR="00C032DE">
        <w:rPr>
          <w:rFonts w:ascii="Book Antiqua" w:hAnsi="Book Antiqua"/>
          <w:sz w:val="24"/>
          <w:szCs w:val="24"/>
          <w:lang w:val="en-GB"/>
        </w:rPr>
        <w:fldChar w:fldCharType="separate"/>
      </w:r>
      <w:r w:rsidR="00C032DE" w:rsidRPr="00246F40">
        <w:rPr>
          <w:rFonts w:ascii="Book Antiqua" w:hAnsi="Book Antiqua"/>
          <w:noProof/>
          <w:sz w:val="24"/>
          <w:szCs w:val="24"/>
          <w:vertAlign w:val="superscript"/>
          <w:lang w:val="en-GB"/>
        </w:rPr>
        <w:t>[4,5]</w:t>
      </w:r>
      <w:r w:rsidR="00C032DE">
        <w:rPr>
          <w:rFonts w:ascii="Book Antiqua" w:hAnsi="Book Antiqua"/>
          <w:sz w:val="24"/>
          <w:szCs w:val="24"/>
          <w:lang w:val="en-GB"/>
        </w:rPr>
        <w:fldChar w:fldCharType="end"/>
      </w:r>
      <w:r w:rsidR="00F577F1">
        <w:rPr>
          <w:rFonts w:ascii="Book Antiqua" w:hAnsi="Book Antiqua"/>
          <w:color w:val="000000"/>
          <w:sz w:val="24"/>
          <w:szCs w:val="24"/>
          <w:lang w:val="en-GB"/>
        </w:rPr>
        <w:t>,</w:t>
      </w:r>
      <w:r>
        <w:rPr>
          <w:rFonts w:ascii="Book Antiqua" w:hAnsi="Book Antiqua"/>
          <w:color w:val="FF0000"/>
          <w:sz w:val="24"/>
          <w:szCs w:val="24"/>
          <w:lang w:val="en-GB"/>
        </w:rPr>
        <w:t xml:space="preserve"> </w:t>
      </w:r>
      <w:r w:rsidR="0005335D">
        <w:rPr>
          <w:rStyle w:val="A8136"/>
          <w:rFonts w:ascii="Book Antiqua" w:hAnsi="Book Antiqua" w:cs="Minion"/>
          <w:sz w:val="24"/>
          <w:szCs w:val="24"/>
          <w:lang w:val="en-GB"/>
        </w:rPr>
        <w:t>increasing</w:t>
      </w:r>
      <w:r>
        <w:rPr>
          <w:rStyle w:val="A8136"/>
          <w:rFonts w:ascii="Book Antiqua" w:hAnsi="Book Antiqua" w:cs="Minion"/>
          <w:sz w:val="24"/>
          <w:szCs w:val="24"/>
          <w:lang w:val="en-GB"/>
        </w:rPr>
        <w:t xml:space="preserve"> postoperative mortality and complications in some</w:t>
      </w:r>
      <w:r w:rsidR="00785E88">
        <w:rPr>
          <w:rStyle w:val="A8136"/>
          <w:rFonts w:ascii="Book Antiqua" w:hAnsi="Book Antiqua" w:cs="Minion"/>
          <w:sz w:val="24"/>
          <w:szCs w:val="24"/>
          <w:lang w:val="en-GB"/>
        </w:rPr>
        <w:t xml:space="preserve"> reports</w:t>
      </w:r>
      <w:r w:rsidR="00C032DE">
        <w:rPr>
          <w:rStyle w:val="A8136"/>
          <w:rFonts w:ascii="Book Antiqua" w:hAnsi="Book Antiqua" w:cs="Minion"/>
          <w:sz w:val="24"/>
          <w:szCs w:val="24"/>
          <w:lang w:val="en-GB"/>
        </w:rPr>
        <w:fldChar w:fldCharType="begin" w:fldLock="1"/>
      </w:r>
      <w:r w:rsidR="00C032DE">
        <w:rPr>
          <w:rStyle w:val="A8136"/>
          <w:rFonts w:ascii="Book Antiqua" w:hAnsi="Book Antiqua" w:cs="Minion"/>
          <w:sz w:val="24"/>
          <w:szCs w:val="24"/>
          <w:lang w:val="en-GB"/>
        </w:rPr>
        <w:instrText>ADDIN CSL_CITATION { "citationItems" : [ { "id" : "ITEM-1", "itemData" : { "DOI" : "10.1111/j.1432-2277.2009.00915.x", "ISSN" : "1432-2277", "PMID" : "19619170", "abstract" : "Introduction of the model of end-stage liver disease (MELD) for organ allocation has changed the waiting-list management. Despite reports of unaffected survival after orthotopic liver transplantation (OLT) in the MELD era, survival rates have decreased in our center. The aim of this study was to identify factors contributing to reduced survival. Three-month survival, recipient and graft parameters of all 323 OLT between 2004 and 2008, which fall into a pre- (N = 220) and a post-MELD (n = 103) era, were analysed by Kaplan-Meier-, Mann-Whitney- and Fisher tests. After the introduction of MELD, mean scores at OLT increased (14.8 vs. 18.6, P = 0.002). The main indications for OLT were not statistically different between eras. Post-MELD recipients were older (47.9 vs. 50.9 years, P = 0.025), donors younger (NS), cold ischemia time shorter (696 vs. 635 min., P = 0.001), and duration of surgery longer (218 vs. 245 min., P = 0.001). Procedure time significantly correlated with MELD and international normalized ratio (INR). Three-month survival dropped (from 88.6% to 79.6%, P = 0.03). Independent variables of survival were creatinine, urea and duration of surgery. Reduced 3-month survival was associated with longer surgery duration, higher creatinine and urea likely reflecting higher recipient morbidity. Survival probability should be incorporated into MELD-based graft allocation.", "author" : [ { "dropping-particle" : "", "family" : "Weism\u00fcller", "given" : "Tobias J", "non-dropping-particle" : "", "parse-names" : false, "suffix" : "" }, { "dropping-particle" : "", "family" : "Negm", "given" : "Ahmed", "non-dropping-particle" : "", "parse-names" : false, "suffix" : "" }, { "dropping-particle" : "", "family" : "Becker", "given" : "Thomas", "non-dropping-particle" : "", "parse-names" : false, "suffix" : "" }, { "dropping-particle" : "", "family" : "Barg-Hock", "given" : "Hannelore", "non-dropping-particle" : "", "parse-names" : false, "suffix" : "" }, { "dropping-particle" : "", "family" : "Klempnauer", "given" : "J\u00fcrgen", "non-dropping-particle" : "", "parse-names" : false, "suffix" : "" }, { "dropping-particle" : "", "family" : "Manns", "given" : "Michael P", "non-dropping-particle" : "", "parse-names" : false, "suffix" : "" }, { "dropping-particle" : "", "family" : "Strassburg", "given" : "Christian P", "non-dropping-particle" : "", "parse-names" : false, "suffix" : "" } ], "container-title" : "Transplant international : official journal of the European Society for Organ Transplantation", "id" : "ITEM-1", "issue" : "10", "issued" : { "date-parts" : [ [ "2009", "10" ] ] }, "page" : "970-8", "title" : "The introduction of MELD-based organ allocation impacts 3-month survival after liver transplantation by influencing pretransplant patient characteristics.", "type" : "article-journal", "volume" : "22" }, "uris" : [ "http://www.mendeley.com/documents/?uuid=9dcd43a8-6c76-4d60-b94c-47d1489b81e3" ] }, { "id" : "ITEM-2", "itemData" : { "DOI" : "10.1055/s-0029-1245946", "ISSN" : "1439-7803", "PMID" : "21225535", "abstract" : "Liver transplantation represents a successful and well-established therapeutic concept for patients with advanced liver diseases. Organ donor shortage continues to pose a significant problem. To ensure fair and transparent allocation of too few post-mortem grafts, the model of end-stage liver disease (MELD)-based allocation was implemented in December 2006. This has decreased waiting list mortality from 20 to 10 % but at the same time has reduced post OLT survival (1-year survival from almost 90% to below 80%), which is largely due to patients with a labMELD score &gt; 30. Following MELD introduction the regular allocation threshold has increased from a matchMELD of initially 25 to meanwhile 34. At the same time the quality of donor organs has seen a continuous deterioration over the last 10 - 15 years: 63% of organs are \"suboptimal\" with a donor risk index of &gt; 1.5. Moreover, the numbers of living-related liver transplantations have decreased. In Germany incentives for transplant centres are inappropriate: patients with decompensated cirrhosis, high MELD scores and high post-transplant mortality as well as marginal liver grafts are accepted for transplantation without the necessary consideration of outcomes, and against a background of the still absent publication and transparency of outcome results. The outlined development calls for measures for improvement: (i) the increase of donor grafts (e. g., living donation, opt-out solutions, non-heart beating donors), (ii) the elimination of inappropriate incentives for transplant centres, (iii) changes of allocation guidelines, that take the current situation and suboptimal donor grafts into account, and (iv) the systematic and complete collection of transplant-related data in order to allow for the development of improved prognostic scores.", "author" : [ { "dropping-particle" : "", "family" : "Schlitt", "given" : "H J", "non-dropping-particle" : "", "parse-names" : false, "suffix" : "" }, { "dropping-particle" : "", "family" : "Loss", "given" : "M", "non-dropping-particle" : "", "parse-names" : false, "suffix" : "" }, { "dropping-particle" : "", "family" : "Scherer", "given" : "M N", "non-dropping-particle" : "", "parse-names" : false, "suffix" : "" }, { "dropping-particle" : "", "family" : "Becker", "given" : "T", "non-dropping-particle" : "", "parse-names" : false, "suffix" : "" }, { "dropping-particle" : "", "family" : "Jauch", "given" : "K-W", "non-dropping-particle" : "", "parse-names" : false, "suffix" : "" }, { "dropping-particle" : "", "family" : "Nashan", "given" : "B", "non-dropping-particle" : "", "parse-names" : false, "suffix" : "" }, { "dropping-particle" : "", "family" : "Schmidt", "given" : "H", "non-dropping-particle" : "", "parse-names" : false, "suffix" : "" }, { "dropping-particle" : "", "family" : "Settmacher", "given" : "U", "non-dropping-particle" : "", "parse-names" : false, "suffix" : "" }, { "dropping-particle" : "", "family" : "Rogiers", "given" : "X", "non-dropping-particle" : "", "parse-names" : false, "suffix" : "" }, { "dropping-particle" : "", "family" : "Neuhaus", "given" : "P", "non-dropping-particle" : "", "parse-names" : false, "suffix" : "" }, { "dropping-particle" : "", "family" : "Strassburg", "given" : "C", "non-dropping-particle" : "", "parse-names" : false, "suffix" : "" } ], "container-title" : "Zeitschrift fu\u0308r Gastroenterologie", "id" : "ITEM-2", "issue" : "1", "issued" : { "date-parts" : [ [ "2011", "1" ] ] }, "page" : "30-8", "title" : "[Current developments in liver transplantation in Germany: MELD-based organ allocation and incentives for transplant centres].", "type" : "article-journal", "volume" : "49" }, "uris" : [ "http://www.mendeley.com/documents/?uuid=85f55f37-78e5-4091-b0f6-624dcc4f8267" ] } ], "mendeley" : { "formattedCitation" : "&lt;sup&gt;[6,7]&lt;/sup&gt;", "plainTextFormattedCitation" : "[6,7]", "previouslyFormattedCitation" : "&lt;sup&gt;[6,7]&lt;/sup&gt;" }, "properties" : { "noteIndex" : 0 }, "schema" : "https://github.com/citation-style-language/schema/raw/master/csl-citation.json" }</w:instrText>
      </w:r>
      <w:r w:rsidR="00C032DE">
        <w:rPr>
          <w:rStyle w:val="A8136"/>
          <w:rFonts w:ascii="Book Antiqua" w:hAnsi="Book Antiqua" w:cs="Minion"/>
          <w:sz w:val="24"/>
          <w:szCs w:val="24"/>
          <w:lang w:val="en-GB"/>
        </w:rPr>
        <w:fldChar w:fldCharType="separate"/>
      </w:r>
      <w:r w:rsidR="00C032DE" w:rsidRPr="00785E88">
        <w:rPr>
          <w:rStyle w:val="A8136"/>
          <w:rFonts w:ascii="Book Antiqua" w:hAnsi="Book Antiqua" w:cs="Minion"/>
          <w:noProof/>
          <w:sz w:val="24"/>
          <w:szCs w:val="24"/>
          <w:vertAlign w:val="superscript"/>
          <w:lang w:val="en-GB"/>
        </w:rPr>
        <w:t>[6,7]</w:t>
      </w:r>
      <w:r w:rsidR="00C032DE">
        <w:rPr>
          <w:rStyle w:val="A8136"/>
          <w:rFonts w:ascii="Book Antiqua" w:hAnsi="Book Antiqua" w:cs="Minion"/>
          <w:sz w:val="24"/>
          <w:szCs w:val="24"/>
          <w:lang w:val="en-GB"/>
        </w:rPr>
        <w:fldChar w:fldCharType="end"/>
      </w:r>
      <w:r w:rsidR="00A31169">
        <w:fldChar w:fldCharType="begin"/>
      </w:r>
      <w:r w:rsidR="00A31169">
        <w:fldChar w:fldCharType="separate"/>
      </w:r>
      <w:r>
        <w:rPr>
          <w:rStyle w:val="A8136"/>
          <w:rFonts w:ascii="Book Antiqua" w:hAnsi="Book Antiqua" w:cs="Minion"/>
          <w:noProof/>
          <w:sz w:val="24"/>
          <w:szCs w:val="24"/>
          <w:lang w:val="en-GB"/>
        </w:rPr>
        <w:t>reports[7,9–11]</w:t>
      </w:r>
      <w:r w:rsidR="00A31169">
        <w:rPr>
          <w:rStyle w:val="A8136"/>
          <w:rFonts w:ascii="Book Antiqua" w:hAnsi="Book Antiqua" w:cs="Minion"/>
          <w:noProof/>
          <w:sz w:val="24"/>
          <w:szCs w:val="24"/>
          <w:lang w:val="en-GB"/>
        </w:rPr>
        <w:fldChar w:fldCharType="end"/>
      </w:r>
      <w:r>
        <w:rPr>
          <w:rStyle w:val="A8136"/>
          <w:rFonts w:ascii="Book Antiqua" w:hAnsi="Book Antiqua" w:cs="Minion"/>
          <w:sz w:val="24"/>
          <w:szCs w:val="24"/>
          <w:lang w:val="en-GB"/>
        </w:rPr>
        <w:t>.</w:t>
      </w:r>
      <w:r w:rsidR="00785E88">
        <w:rPr>
          <w:rStyle w:val="A8136"/>
          <w:rFonts w:ascii="Book Antiqua" w:hAnsi="Book Antiqua" w:cs="Minion"/>
          <w:sz w:val="24"/>
          <w:szCs w:val="24"/>
          <w:lang w:val="en-GB"/>
        </w:rPr>
        <w:t xml:space="preserve"> Due to the complexity of the surgical intervention and the critical status </w:t>
      </w:r>
      <w:r w:rsidR="00785E88" w:rsidRPr="00006BFB">
        <w:rPr>
          <w:rStyle w:val="A8136"/>
          <w:rFonts w:ascii="Book Antiqua" w:hAnsi="Book Antiqua" w:cs="Minion"/>
          <w:color w:val="auto"/>
          <w:sz w:val="24"/>
          <w:szCs w:val="24"/>
          <w:lang w:val="en-GB"/>
        </w:rPr>
        <w:t xml:space="preserve">of </w:t>
      </w:r>
      <w:r w:rsidR="0005335D">
        <w:rPr>
          <w:rStyle w:val="A8136"/>
          <w:rFonts w:ascii="Book Antiqua" w:hAnsi="Book Antiqua" w:cs="Minion"/>
          <w:color w:val="auto"/>
          <w:sz w:val="24"/>
          <w:szCs w:val="24"/>
          <w:lang w:val="en-GB"/>
        </w:rPr>
        <w:t>transplanted</w:t>
      </w:r>
      <w:r w:rsidR="00785E88" w:rsidRPr="00006BFB">
        <w:rPr>
          <w:rStyle w:val="A8136"/>
          <w:rFonts w:ascii="Book Antiqua" w:hAnsi="Book Antiqua" w:cs="Minion"/>
          <w:color w:val="auto"/>
          <w:sz w:val="24"/>
          <w:szCs w:val="24"/>
          <w:lang w:val="en-GB"/>
        </w:rPr>
        <w:t xml:space="preserve"> patients, a large proportion of the overall complications occur within the first postoperative week after LT</w:t>
      </w:r>
      <w:r w:rsidR="00785E88">
        <w:rPr>
          <w:rStyle w:val="A8136"/>
          <w:rFonts w:ascii="Book Antiqua" w:hAnsi="Book Antiqua" w:cs="Minion"/>
          <w:color w:val="auto"/>
          <w:sz w:val="24"/>
          <w:szCs w:val="24"/>
          <w:lang w:val="en-GB"/>
        </w:rPr>
        <w:t>.</w:t>
      </w:r>
    </w:p>
    <w:p w14:paraId="4891C458" w14:textId="67AAC8D0" w:rsidR="001C1CE4" w:rsidRDefault="001C1CE4" w:rsidP="00422EBA">
      <w:pPr>
        <w:adjustRightInd w:val="0"/>
        <w:snapToGrid w:val="0"/>
        <w:spacing w:after="0" w:line="360" w:lineRule="auto"/>
        <w:ind w:firstLineChars="200" w:firstLine="480"/>
        <w:jc w:val="both"/>
        <w:rPr>
          <w:lang w:val="en-GB"/>
        </w:rPr>
      </w:pPr>
      <w:r>
        <w:rPr>
          <w:rStyle w:val="A8136"/>
          <w:rFonts w:ascii="Book Antiqua" w:hAnsi="Book Antiqua" w:cs="Minion"/>
          <w:sz w:val="24"/>
          <w:szCs w:val="24"/>
          <w:lang w:val="en-GB"/>
        </w:rPr>
        <w:t>In this review, we will refer to e</w:t>
      </w:r>
      <w:r>
        <w:rPr>
          <w:rFonts w:ascii="Book Antiqua" w:hAnsi="Book Antiqua"/>
          <w:sz w:val="24"/>
          <w:szCs w:val="24"/>
          <w:lang w:val="en-GB"/>
        </w:rPr>
        <w:t>arly allograft dysfunction (EAD) as the sum of initial poor function (IPF) and primary nonfunction (PNF). EAD, sepsis, secondary complications leading to revision surgery (</w:t>
      </w:r>
      <w:r w:rsidRPr="00C032DE">
        <w:rPr>
          <w:rFonts w:ascii="Book Antiqua" w:hAnsi="Book Antiqua"/>
          <w:i/>
          <w:sz w:val="24"/>
          <w:szCs w:val="24"/>
          <w:lang w:val="en-GB"/>
        </w:rPr>
        <w:t>i.e.</w:t>
      </w:r>
      <w:r>
        <w:rPr>
          <w:rFonts w:ascii="Book Antiqua" w:hAnsi="Book Antiqua"/>
          <w:sz w:val="24"/>
          <w:szCs w:val="24"/>
          <w:lang w:val="en-GB"/>
        </w:rPr>
        <w:t>, arterial or venous thrombosis)</w:t>
      </w:r>
      <w:r w:rsidR="00785E88">
        <w:rPr>
          <w:rFonts w:ascii="Book Antiqua" w:hAnsi="Book Antiqua"/>
          <w:sz w:val="24"/>
          <w:szCs w:val="24"/>
          <w:lang w:val="en-GB"/>
        </w:rPr>
        <w:t xml:space="preserve"> and the</w:t>
      </w:r>
      <w:r>
        <w:rPr>
          <w:rFonts w:ascii="Book Antiqua" w:hAnsi="Book Antiqua"/>
          <w:sz w:val="24"/>
          <w:szCs w:val="24"/>
          <w:lang w:val="en-GB"/>
        </w:rPr>
        <w:t xml:space="preserve"> increased morbidity and mortality of transplanted patients </w:t>
      </w:r>
      <w:r>
        <w:rPr>
          <w:rStyle w:val="A8136"/>
          <w:rFonts w:ascii="Book Antiqua" w:hAnsi="Book Antiqua" w:cs="Minion"/>
          <w:sz w:val="24"/>
          <w:szCs w:val="24"/>
          <w:lang w:val="en-GB"/>
        </w:rPr>
        <w:t>prolong intensive care unit length of stay (ICU-LOS) and hospital length of stay (H-LOS), profoundly impacting the cost of patient management</w:t>
      </w:r>
      <w:r w:rsidR="00C032DE">
        <w:rPr>
          <w:rStyle w:val="A8136"/>
          <w:rFonts w:ascii="Book Antiqua" w:hAnsi="Book Antiqua" w:cs="Minion"/>
          <w:sz w:val="24"/>
          <w:szCs w:val="24"/>
          <w:lang w:val="en-GB"/>
        </w:rPr>
        <w:fldChar w:fldCharType="begin" w:fldLock="1"/>
      </w:r>
      <w:r w:rsidR="00C032DE">
        <w:rPr>
          <w:rStyle w:val="A8136"/>
          <w:rFonts w:ascii="Book Antiqua" w:hAnsi="Book Antiqua" w:cs="Minion"/>
          <w:sz w:val="24"/>
          <w:szCs w:val="24"/>
          <w:lang w:val="en-GB"/>
        </w:rPr>
        <w:instrText>ADDIN CSL_CITATION { "citationItems" : [ { "id" : "ITEM-1", "itemData" : { "DOI" : "10.1007/s00423-009-0518-4", "ISSN" : "1435-2451", "PMID" : "19533168", "abstract" : "PURPOSE: Postoperative liver failure (PLF) is a relatively frequent and life-threatening complication after extended liver resection. This study describes the economic burden of PLF from the hospitals' perspective and explores the role of liver function capacity. MATERIALS AND METHODS: Economic data of total costs and cost distribution were analyzed for 48 patients who had participated in a prospective study with the LiMAx test, a novel test for liver function capacity. For this population, detailed individual data were available. The economic data were analyzed and adjusted for relevant covariates. In addition, economic data of 916 patients who had undergone liver resection during 2005-2007 were retrieved from the hospitals' medical controlling office for comparison. RESULTS: A significant difference between the costs of patients with regular recovery (25,980 Euro [95% confidence interval (95%CI) = 9,559 to 42,401]) versus patients developing PLF (82,199 Euro [95%CI = 42,812 to 121,586]; p = 0.013) was observed. The mean additional costs of PLF were 56,219 Euro. An equivalent cost difference of mortality was obtained from the analysis of 916 patients. Patients developing PLF had a decreased LiMAx of 61 microg/kg/h compared to the regular group 122 microg/kg/h (p &lt; 0.001) after surgery. Initial postoperative LiMAx and total costs revealed a linear correlation coefficient of r = -0.340 (p = 0.018). CONCLUSIONS: PLF is a very relevant medical and economic problem. Liver function capacity does not only predict PLF but also correlates with total costs in general.", "author" : [ { "dropping-particle" : "", "family" : "Lock", "given" : "J F", "non-dropping-particle" : "", "parse-names" : false, "suffix" : "" }, { "dropping-particle" : "", "family" : "Reinhold", "given" : "T", "non-dropping-particle" : "", "parse-names" : false, "suffix" : "" }, { "dropping-particle" : "", "family" : "Malinowski", "given" : "M", "non-dropping-particle" : "", "parse-names" : false, "suffix" : "" }, { "dropping-particle" : "", "family" : "Pratschke", "given" : "J", "non-dropping-particle" : "", "parse-names" : false, "suffix" : "" }, { "dropping-particle" : "", "family" : "Neuhaus", "given" : "P", "non-dropping-particle" : "", "parse-names" : false, "suffix" : "" }, { "dropping-particle" : "", "family" : "Stockmann", "given" : "M", "non-dropping-particle" : "", "parse-names" : false, "suffix" : "" } ], "container-title" : "Langenbeck's archives of surgery / Deutsche Gesellschaft fu\u0308r Chirurgie", "id" : "ITEM-1", "issue" : "6", "issued" : { "date-parts" : [ [ "2009", "12" ] ] }, "page" : "1047-56", "title" : "The costs of postoperative liver failure and the economic impact of liver function capacity after extended liver resection--a single-center experience.", "type" : "article-journal", "volume" : "394" }, "uris" : [ "http://www.mendeley.com/documents/?uuid=5fc38cb0-29a5-4523-92f2-5f2f5d19e0ce" ] }, { "id" : "ITEM-2", "itemData" : { "DOI" : "10.1002/lt.22027", "ISSN" : "1527-6473", "PMID" : "20440776", "abstract" : "Organ allocation based on Model for End-Stage Liver Disease (MELD) resulted in decreased waiting list mortality in the United States. However, reports suggest an increase in resource utilization as a consequence of this. The aim of this study is to assess the correlation of MELD at transplant with post-liver transplant (LT) intensive care unit (ICU) costs. We assessed clinical and demographic variables of 402 adult patients who underwent LT at King's College Hospital, London, UK, between January 2000 and December 2003. ICU cost calculations were based on the therapeutic intervention scoring system (TISS). Graft quality was assessed using the donor risk index (DRI). Patients with a MELD score &gt; 24 had significantly longer post-LT ICU stay (P &lt; 0.0001) and total post-LT hospital stay (P = 0.008). In addition, they had significantly increased TISS scores, ICU cost, and need for renal replacement therapy (RRT) (P &lt; 0.001). MELD score (by point) and MELD &gt; 24 was associated with prolonged ICU stay (P = 0.004 and P = 0.005, respectively). On univariate analysis, etiology of alcohol-related liver disease (ALD), repeat LT, Budd-Chiari syndrome, and refractory ascites were associated with prolonged ICU stay. Using multivariate analysis, MELD &gt; 24, refractory ascites, ALD and Budd-Chiari syndrome were associated with prolonged ICU stay. There was no association between using grafts with higher DRI and longer ICU stay, need for RRT, increased cost, or hospital survival on univariate analyses (P = not significant). Use of MELD as a method of organ allocation results in significant increase in ICU cost after LT. Using TISS as surrogate marker for ICU costs reveals that the cost implications are related to the need for RRT and prolonged ICU stay.", "author" : [ { "dropping-particle" : "", "family" : "Foxton", "given" : "Matthew R", "non-dropping-particle" : "", "parse-names" : false, "suffix" : "" }, { "dropping-particle" : "", "family" : "Al-Freah", "given" : "Mohammad A B", "non-dropping-particle" : "", "parse-names" : false, "suffix" : "" }, { "dropping-particle" : "", "family" : "Portal", "given" : "Andrew J", "non-dropping-particle" : "", "parse-names" : false, "suffix" : "" }, { "dropping-particle" : "", "family" : "Sizer", "given" : "Elizabeth", "non-dropping-particle" : "", "parse-names" : false, "suffix" : "" }, { "dropping-particle" : "", "family" : "Bernal", "given" : "William", "non-dropping-particle" : "", "parse-names" : false, "suffix" : "" }, { "dropping-particle" : "", "family" : "Auzinger", "given" : "Georg", "non-dropping-particle" : "", "parse-names" : false, "suffix" : "" }, { "dropping-particle" : "", "family" : "Rela", "given" : "Mohamed", "non-dropping-particle" : "", "parse-names" : false, "suffix" : "" }, { "dropping-particle" : "", "family" : "Wendon", "given" : "Julia A", "non-dropping-particle" : "", "parse-names" : false, "suffix" : "" }, { "dropping-particle" : "", "family" : "Heaton", "given" : "Nigel D", "non-dropping-particle" : "", "parse-names" : false, "suffix" : "" }, { "dropping-particle" : "", "family" : "O'Grady", "given" : "John G", "non-dropping-particle" : "", "parse-names" : false, "suffix" : "" }, { "dropping-particle" : "", "family" : "Heneghan", "given" : "Michael A", "non-dropping-particle" : "", "parse-names" : false, "suffix" : "" } ], "container-title" : "Liver transplantation : official publication of the American Association for the Study of Liver Diseases and the International Liver Transplantation Society", "id" : "ITEM-2", "issue" : "5", "issued" : { "date-parts" : [ [ "2010", "5" ] ] }, "page" : "668-77", "title" : "Increased model for end-stage liver disease score at the time of liver transplant results in prolonged hospitalization and overall intensive care unit costs.", "type" : "article-journal", "volume" : "16" }, "uris" : [ "http://www.mendeley.com/documents/?uuid=872d1a86-c21b-49b3-a067-2adf69f9118e" ] }, { "id" : "ITEM-3", "itemData" : { "DOI" : "10.12659/AOT.892322", "ISSN" : "2329-0358", "PMID" : "25630462", "abstract" : "BACKGROUND: After introduction of MELD-based allocation in Germany, decreased waiting list mortality and increased mortality after transplantation have been reported. MATERIAL AND METHODS: This study compares relevant outcome parameters in patients with high MELD \u226530 versus lower MELD scores in a retrospective analysis including 454 consecutively performed liver transplantations in adults (age &gt;16 years) at Hannover Medical School between 01/01/2007 and 31/12/2012 and a follow-up until 31/12/2013. Multivariable risk-adjusted models were applied to identify independent risk factors for 90-day and long-term mortality. RESULTS: MELD score \u226530 (n=117; 26.1%) was an independent risk factor for 90-day mortality (p=0.004, odds ratio: 3.045, 95% CI 1.439-6.498) and long-term mortality (p=0.016, hazard ratio: 1.620, 95% CI 1.095-2.396) and was associated with significantly longer hospital and intensive care unit stays (p&lt;0.001), and death occurred in more cases earlier after transplantation (90-day mortality 21.6% vs. 13.0%; p=0.029). Portal vein thrombosis at transplantation was significantly associated with 90-day mortality after transplantation in patients with MELD scores \u226530 (p=0.041), but this was not the case for patients with MELD scores &lt;30, although portal vein thrombosis was equally frequent in individuals of both groups (3.0% vs. 3.4%, p=0.824). CONCLUSIONS: Results of this study suggest that liver transplant recipients with portal vein thrombosis at transplantation should be transplanted before reaching a MELD score \u226530.", "author" : [ { "dropping-particle" : "", "family" : "Kaltenborn", "given" : "A", "non-dropping-particle" : "", "parse-names" : false, "suffix" : "" }, { "dropping-particle" : "", "family" : "Hartmann", "given" : "C", "non-dropping-particle" : "", "parse-names" : false, "suffix" : "" }, { "dropping-particle" : "", "family" : "Salinas", "given" : "R", "non-dropping-particle" : "", "parse-names" : false, "suffix" : "" }, { "dropping-particle" : "", "family" : "Ramackers", "given" : "W", "non-dropping-particle" : "", "parse-names" : false, "suffix" : "" }, { "dropping-particle" : "", "family" : "Kleine", "given" : "M", "non-dropping-particle" : "", "parse-names" : false, "suffix" : "" }, { "dropping-particle" : "", "family" : "Vondran", "given" : "FW", "non-dropping-particle" : "", "parse-names" : false, "suffix" : "" }, { "dropping-particle" : "", "family" : "Barthold", "given" : "M", "non-dropping-particle" : "", "parse-names" : false, "suffix" : "" }, { "dropping-particle" : "", "family" : "Lehner", "given" : "F", "non-dropping-particle" : "", "parse-names" : false, "suffix" : "" }, { "dropping-particle" : "", "family" : "Klempnauer", "given" : "J", "non-dropping-particle" : "", "parse-names" : false, "suffix" : "" }, { "dropping-particle" : "", "family" : "Schrem", "given" : "H.", "non-dropping-particle" : "", "parse-names" : false, "suffix" : "" } ], "container-title" : "Annals of Transplantation", "id" : "ITEM-3", "issued" : { "date-parts" : [ [ "2015", "1" ] ] }, "page" : "59-69", "title" : "Risk Factors for Short- and Long-Term Mortality in Liver Transplant Recipients with MELD Score \u226530", "type" : "article-journal", "volume" : "20" }, "uris" : [ "http://www.mendeley.com/documents/?uuid=a79c9db4-b106-423b-93b2-6bc727e7caec" ] } ], "mendeley" : { "formattedCitation" : "&lt;sup&gt;[8\u201310]&lt;/sup&gt;", "plainTextFormattedCitation" : "[8\u201310]", "previouslyFormattedCitation" : "&lt;sup&gt;[8\u201310]&lt;/sup&gt;" }, "properties" : { "noteIndex" : 0 }, "schema" : "https://github.com/citation-style-language/schema/raw/master/csl-citation.json" }</w:instrText>
      </w:r>
      <w:r w:rsidR="00C032DE">
        <w:rPr>
          <w:rStyle w:val="A8136"/>
          <w:rFonts w:ascii="Book Antiqua" w:hAnsi="Book Antiqua" w:cs="Minion"/>
          <w:sz w:val="24"/>
          <w:szCs w:val="24"/>
          <w:lang w:val="en-GB"/>
        </w:rPr>
        <w:fldChar w:fldCharType="separate"/>
      </w:r>
      <w:r w:rsidR="00C032DE" w:rsidRPr="00785E88">
        <w:rPr>
          <w:rStyle w:val="A8136"/>
          <w:rFonts w:ascii="Book Antiqua" w:hAnsi="Book Antiqua" w:cs="Minion"/>
          <w:noProof/>
          <w:sz w:val="24"/>
          <w:szCs w:val="24"/>
          <w:vertAlign w:val="superscript"/>
          <w:lang w:val="en-GB"/>
        </w:rPr>
        <w:t>[8–10]</w:t>
      </w:r>
      <w:r w:rsidR="00C032DE">
        <w:rPr>
          <w:rStyle w:val="A8136"/>
          <w:rFonts w:ascii="Book Antiqua" w:hAnsi="Book Antiqua" w:cs="Minion"/>
          <w:sz w:val="24"/>
          <w:szCs w:val="24"/>
          <w:lang w:val="en-GB"/>
        </w:rPr>
        <w:fldChar w:fldCharType="end"/>
      </w:r>
      <w:r w:rsidR="00A31169">
        <w:rPr>
          <w:rStyle w:val="A8136"/>
          <w:rFonts w:ascii="Book Antiqua" w:hAnsi="Book Antiqua" w:cs="Minion"/>
          <w:sz w:val="24"/>
          <w:szCs w:val="24"/>
          <w:lang w:val="en-GB"/>
        </w:rPr>
        <w:t>.</w:t>
      </w:r>
      <w:r w:rsidR="00A31169">
        <w:fldChar w:fldCharType="begin"/>
      </w:r>
      <w:r w:rsidR="00A31169">
        <w:fldChar w:fldCharType="separate"/>
      </w:r>
      <w:r>
        <w:rPr>
          <w:rStyle w:val="A8136"/>
          <w:rFonts w:ascii="Book Antiqua" w:hAnsi="Book Antiqua" w:cs="Minion"/>
          <w:noProof/>
          <w:sz w:val="24"/>
          <w:szCs w:val="24"/>
          <w:lang w:val="en-GB"/>
        </w:rPr>
        <w:t>[15–17]</w:t>
      </w:r>
      <w:r w:rsidR="00A31169">
        <w:rPr>
          <w:rStyle w:val="A8136"/>
          <w:rFonts w:ascii="Book Antiqua" w:hAnsi="Book Antiqua" w:cs="Minion"/>
          <w:noProof/>
          <w:sz w:val="24"/>
          <w:szCs w:val="24"/>
          <w:lang w:val="en-GB"/>
        </w:rPr>
        <w:fldChar w:fldCharType="end"/>
      </w:r>
      <w:r>
        <w:rPr>
          <w:rStyle w:val="A8136"/>
          <w:rFonts w:ascii="Book Antiqua" w:hAnsi="Book Antiqua" w:cs="Minion"/>
          <w:sz w:val="24"/>
          <w:szCs w:val="24"/>
          <w:lang w:val="en-GB"/>
        </w:rPr>
        <w:t xml:space="preserve"> </w:t>
      </w:r>
      <w:r w:rsidR="00785E88">
        <w:rPr>
          <w:rFonts w:ascii="Book Antiqua" w:hAnsi="Book Antiqua"/>
          <w:sz w:val="24"/>
          <w:szCs w:val="24"/>
          <w:lang w:val="en-GB"/>
        </w:rPr>
        <w:t>The initial function of the allograft after LT is determined by</w:t>
      </w:r>
      <w:r>
        <w:rPr>
          <w:rFonts w:ascii="Book Antiqua" w:hAnsi="Book Antiqua"/>
          <w:sz w:val="24"/>
          <w:szCs w:val="24"/>
          <w:lang w:val="en-GB"/>
        </w:rPr>
        <w:t xml:space="preserve"> donor</w:t>
      </w:r>
      <w:r w:rsidR="0056346B">
        <w:rPr>
          <w:rFonts w:ascii="Book Antiqua" w:hAnsi="Book Antiqua"/>
          <w:sz w:val="24"/>
          <w:szCs w:val="24"/>
          <w:lang w:val="en-GB"/>
        </w:rPr>
        <w:t>, surgical and recipient</w:t>
      </w:r>
      <w:r>
        <w:rPr>
          <w:rFonts w:ascii="Book Antiqua" w:hAnsi="Book Antiqua"/>
          <w:sz w:val="24"/>
          <w:szCs w:val="24"/>
          <w:lang w:val="en-GB"/>
        </w:rPr>
        <w:t xml:space="preserve"> factors, causing IPF incidence ranges between 8.7% to 2</w:t>
      </w:r>
      <w:r w:rsidR="00315B8B">
        <w:rPr>
          <w:rFonts w:ascii="Book Antiqua" w:hAnsi="Book Antiqua"/>
          <w:sz w:val="24"/>
          <w:szCs w:val="24"/>
          <w:lang w:val="en-GB"/>
        </w:rPr>
        <w:t>4.7</w:t>
      </w:r>
      <w:r>
        <w:rPr>
          <w:rFonts w:ascii="Book Antiqua" w:hAnsi="Book Antiqua"/>
          <w:sz w:val="24"/>
          <w:szCs w:val="24"/>
          <w:lang w:val="en-GB"/>
        </w:rPr>
        <w:t xml:space="preserve">% and PNF incidence ranges between 0.9% to </w:t>
      </w:r>
      <w:r w:rsidR="00315B8B">
        <w:rPr>
          <w:rFonts w:ascii="Book Antiqua" w:hAnsi="Book Antiqua"/>
          <w:sz w:val="24"/>
          <w:szCs w:val="24"/>
          <w:lang w:val="en-GB"/>
        </w:rPr>
        <w:t>7.2</w:t>
      </w:r>
      <w:r>
        <w:rPr>
          <w:rFonts w:ascii="Book Antiqua" w:hAnsi="Book Antiqua"/>
          <w:sz w:val="24"/>
          <w:szCs w:val="24"/>
          <w:lang w:val="en-GB"/>
        </w:rPr>
        <w:t xml:space="preserve">% </w:t>
      </w:r>
      <w:r w:rsidR="00785E88">
        <w:rPr>
          <w:rFonts w:ascii="Book Antiqua" w:hAnsi="Book Antiqua"/>
          <w:sz w:val="24"/>
          <w:szCs w:val="24"/>
          <w:lang w:val="en-GB"/>
        </w:rPr>
        <w:t>in different LT casuistries</w:t>
      </w:r>
      <w:r w:rsidR="00C032DE">
        <w:rPr>
          <w:rFonts w:ascii="Book Antiqua" w:hAnsi="Book Antiqua"/>
          <w:sz w:val="24"/>
          <w:szCs w:val="24"/>
          <w:lang w:val="en-GB"/>
        </w:rPr>
        <w:fldChar w:fldCharType="begin" w:fldLock="1"/>
      </w:r>
      <w:r w:rsidR="00C032DE">
        <w:rPr>
          <w:rFonts w:ascii="Book Antiqua" w:hAnsi="Book Antiqua"/>
          <w:sz w:val="24"/>
          <w:szCs w:val="24"/>
          <w:lang w:val="en-GB"/>
        </w:rPr>
        <w:instrText>ADDIN CSL_CITATION { "citationItems" : [ { "id" : "ITEM-1", "itemData" : { "DOI" : "10.1016/j.transproceed.2012.01.065", "ISSN" : "1873-2623", "PMID" : "22410056", "abstract" : "BACKGROUND: Orthotopic liver transplantation (OLT) is currently considered to be the ultimate form of therapy for most patients with end-stage liver diseases. The identification of recipient and various perioperative factors that may affect the graft outcomes is critical. This study sought to analyze the preoperative and perioperative factors associated with graft outcomes in our institute. METHODS: This retrospective study of liver transplanted patients from January 2002 to December 2009 determined the incidence of 2 forms of primary dysfunction (PDF): Primary nonfunction (PNF) and initial poor function (IPF). RESULTS: The 97 posttransplant patients included in the study had an average age of 52.74 years. The majority of indications for OLT were hepatitis B and/or C cirrhosis, alcoholic cirrhosis, and hepatocellular carcinoma. The incidence of PDF was 31.9% (31/97) with 7.2% (7/97) PNF and 24.7% (24/97) IPF. Additionally, we observed 68.1% (66/97) to display immediate function (IF). Warm ischemic time (WIT) and operative time were significantly longer in the PDF compared with the IF group. The logistic regression model showed a WIT of &gt;45 minutes to be a risk factor leading to PDF (odds ratio, 11.74; P&lt;.05). An operative time of &gt;6 hours and operative blood loss of &gt;2 L were possible risk factors. CONCLUSION: Prolonged WIT (&gt;45 minutes) was the only significant risk factor among other established parameters for graft function. Nevertheless, reduced operative times and blood loss may improve the outcomes of OLT.", "author" : [ { "dropping-particle" : "", "family" : "Sirivatanauksorn", "given" : "Y", "non-dropping-particle" : "", "parse-names" : false, "suffix" : "" }, { "dropping-particle" : "", "family" : "Taweerutchana", "given" : "V", "non-dropping-particle" : "", "parse-names" : false, "suffix" : "" }, { "dropping-particle" : "", "family" : "Limsrichamrern", "given" : "S", "non-dropping-particle" : "", "parse-names" : false, "suffix" : "" }, { "dropping-particle" : "", "family" : "Kositamongkol", "given" : "P", "non-dropping-particle" : "", "parse-names" : false, "suffix" : "" }, { "dropping-particle" : "", "family" : "Mahawithitwong", "given" : "P", "non-dropping-particle" : "", "parse-names" : false, "suffix" : "" }, { "dropping-particle" : "", "family" : "Asavakarn", "given" : "S", "non-dropping-particle" : "", "parse-names" : false, "suffix" : "" }, { "dropping-particle" : "", "family" : "Tovikkai", "given" : "C", "non-dropping-particle" : "", "parse-names" : false, "suffix" : "" } ], "container-title" : "Transplantation proceedings", "id" : "ITEM-1", "issue" : "2", "issued" : { "date-parts" : [ [ "2012", "3" ] ] }, "page" : "505-8", "title" : "Recipient and perioperative risk factors associated with liver transplant graft outcomes.", "type" : "article-journal", "volume" : "44" }, "uris" : [ "http://www.mendeley.com/documents/?uuid=68465912-91e3-4860-bc1b-f0e633979d38" ] }, { "id" : "ITEM-2", "itemData" : { "DOI" : "10.1016/S1499-3872(14)60023-0", "ISSN" : "14993872", "author" : [ { "dropping-particle" : "", "family" : "Chen", "given" : "Xiao-Bo", "non-dropping-particle" : "", "parse-names" : false, "suffix" : "" }, { "dropping-particle" : "", "family" : "Xu", "given" : "Ming-Qing", "non-dropping-particle" : "", "parse-names" : false, "suffix" : "" } ], "container-title" : "Hepatobiliary &amp; Pancreatic Diseases International", "id" : "ITEM-2", "issue" : "2", "issued" : { "date-parts" : [ [ "2014" ] ] }, "page" : "125-137", "title" : "Primary graft dysfunction after liver transplantation", "type" : "article-journal", "volume" : "13" }, "uris" : [ "http://www.mendeley.com/documents/?uuid=8879568c-9d80-4848-a10e-0173908740dd" ] } ], "mendeley" : { "formattedCitation" : "&lt;sup&gt;[11,12]&lt;/sup&gt;", "plainTextFormattedCitation" : "[11,12]", "previouslyFormattedCitation" : "&lt;sup&gt;[11,12]&lt;/sup&gt;" }, "properties" : { "noteIndex" : 0 }, "schema" : "https://github.com/citation-style-language/schema/raw/master/csl-citation.json" }</w:instrText>
      </w:r>
      <w:r w:rsidR="00C032DE">
        <w:rPr>
          <w:rFonts w:ascii="Book Antiqua" w:hAnsi="Book Antiqua"/>
          <w:sz w:val="24"/>
          <w:szCs w:val="24"/>
          <w:lang w:val="en-GB"/>
        </w:rPr>
        <w:fldChar w:fldCharType="separate"/>
      </w:r>
      <w:r w:rsidR="00C032DE" w:rsidRPr="00315B8B">
        <w:rPr>
          <w:rFonts w:ascii="Book Antiqua" w:hAnsi="Book Antiqua"/>
          <w:noProof/>
          <w:sz w:val="24"/>
          <w:szCs w:val="24"/>
          <w:vertAlign w:val="superscript"/>
          <w:lang w:val="en-GB"/>
        </w:rPr>
        <w:t>[11,12]</w:t>
      </w:r>
      <w:r w:rsidR="00C032DE">
        <w:rPr>
          <w:rFonts w:ascii="Book Antiqua" w:hAnsi="Book Antiqua"/>
          <w:sz w:val="24"/>
          <w:szCs w:val="24"/>
          <w:lang w:val="en-GB"/>
        </w:rPr>
        <w:fldChar w:fldCharType="end"/>
      </w:r>
      <w:r w:rsidR="00A31169">
        <w:fldChar w:fldCharType="begin"/>
      </w:r>
      <w:r w:rsidR="00A31169">
        <w:fldChar w:fldCharType="separate"/>
      </w:r>
      <w:r>
        <w:rPr>
          <w:rFonts w:ascii="Book Antiqua" w:hAnsi="Book Antiqua"/>
          <w:noProof/>
          <w:sz w:val="24"/>
          <w:szCs w:val="24"/>
          <w:lang w:val="en-GB"/>
        </w:rPr>
        <w:t>[15,18]</w:t>
      </w:r>
      <w:r w:rsidR="00A31169">
        <w:rPr>
          <w:rFonts w:ascii="Book Antiqua" w:hAnsi="Book Antiqua"/>
          <w:noProof/>
          <w:sz w:val="24"/>
          <w:szCs w:val="24"/>
          <w:lang w:val="en-GB"/>
        </w:rPr>
        <w:fldChar w:fldCharType="end"/>
      </w:r>
      <w:r>
        <w:rPr>
          <w:rFonts w:ascii="Book Antiqua" w:hAnsi="Book Antiqua"/>
          <w:sz w:val="24"/>
          <w:szCs w:val="24"/>
          <w:lang w:val="en-GB"/>
        </w:rPr>
        <w:t>.</w:t>
      </w:r>
    </w:p>
    <w:p w14:paraId="1B264F0B" w14:textId="3FF028AA" w:rsidR="001C1CE4" w:rsidRDefault="00785E88" w:rsidP="00422EBA">
      <w:pPr>
        <w:adjustRightInd w:val="0"/>
        <w:snapToGrid w:val="0"/>
        <w:spacing w:after="0" w:line="360" w:lineRule="auto"/>
        <w:ind w:firstLineChars="200" w:firstLine="480"/>
        <w:jc w:val="both"/>
        <w:rPr>
          <w:lang w:val="en-GB"/>
        </w:rPr>
      </w:pPr>
      <w:r>
        <w:rPr>
          <w:rFonts w:ascii="Book Antiqua" w:hAnsi="Book Antiqua"/>
          <w:color w:val="auto"/>
          <w:sz w:val="24"/>
          <w:szCs w:val="24"/>
          <w:lang w:val="en-GB"/>
        </w:rPr>
        <w:t xml:space="preserve">Early EAD diagnosis could allow health care professionals to promptly individuate and treat those patients facing the most </w:t>
      </w:r>
      <w:r w:rsidR="0056346B">
        <w:rPr>
          <w:rFonts w:ascii="Book Antiqua" w:hAnsi="Book Antiqua"/>
          <w:color w:val="auto"/>
          <w:sz w:val="24"/>
          <w:szCs w:val="24"/>
          <w:lang w:val="en-GB"/>
        </w:rPr>
        <w:t>worrying</w:t>
      </w:r>
      <w:r>
        <w:rPr>
          <w:rFonts w:ascii="Book Antiqua" w:hAnsi="Book Antiqua"/>
          <w:color w:val="auto"/>
          <w:sz w:val="24"/>
          <w:szCs w:val="24"/>
          <w:lang w:val="en-GB"/>
        </w:rPr>
        <w:t xml:space="preserve"> conditions. To date, we </w:t>
      </w:r>
      <w:r w:rsidRPr="0059438A">
        <w:rPr>
          <w:rFonts w:ascii="Book Antiqua" w:hAnsi="Book Antiqua"/>
          <w:color w:val="auto"/>
          <w:sz w:val="24"/>
          <w:szCs w:val="24"/>
          <w:lang w:val="en-GB"/>
        </w:rPr>
        <w:t xml:space="preserve">lack </w:t>
      </w:r>
      <w:r>
        <w:rPr>
          <w:rFonts w:ascii="Book Antiqua" w:hAnsi="Book Antiqua"/>
          <w:color w:val="auto"/>
          <w:sz w:val="24"/>
          <w:szCs w:val="24"/>
          <w:lang w:val="en-GB"/>
        </w:rPr>
        <w:t>efficient</w:t>
      </w:r>
      <w:r w:rsidDel="00785E88">
        <w:rPr>
          <w:rFonts w:ascii="Book Antiqua" w:hAnsi="Book Antiqua"/>
          <w:sz w:val="24"/>
          <w:szCs w:val="24"/>
          <w:lang w:val="en-GB"/>
        </w:rPr>
        <w:t xml:space="preserve"> </w:t>
      </w:r>
      <w:r w:rsidR="001C1CE4">
        <w:rPr>
          <w:rFonts w:ascii="Book Antiqua" w:hAnsi="Book Antiqua"/>
          <w:sz w:val="24"/>
          <w:szCs w:val="24"/>
          <w:lang w:val="en-GB"/>
        </w:rPr>
        <w:t xml:space="preserve">techniques to detect the initial signs of EAD during the first few postoperative days (POD). </w:t>
      </w:r>
      <w:r w:rsidR="00F62A8B">
        <w:rPr>
          <w:rFonts w:ascii="Book Antiqua" w:hAnsi="Book Antiqua"/>
          <w:sz w:val="24"/>
          <w:szCs w:val="24"/>
          <w:lang w:val="en-GB"/>
        </w:rPr>
        <w:t xml:space="preserve">In fact, </w:t>
      </w:r>
      <w:r w:rsidR="00F62A8B">
        <w:rPr>
          <w:rStyle w:val="A8136"/>
          <w:rFonts w:ascii="Book Antiqua" w:hAnsi="Book Antiqua" w:cs="Minion"/>
          <w:sz w:val="24"/>
          <w:szCs w:val="24"/>
          <w:lang w:val="en-GB"/>
        </w:rPr>
        <w:t>despite several years of study on this topic, no concordant definition of EAD and PNF can be found in scientific literature, increasing confusion and contrasting results (see Table 1).</w:t>
      </w:r>
      <w:r w:rsidR="00F62A8B">
        <w:rPr>
          <w:rFonts w:ascii="Book Antiqua" w:hAnsi="Book Antiqua"/>
          <w:sz w:val="24"/>
          <w:szCs w:val="24"/>
          <w:lang w:val="en-GB"/>
        </w:rPr>
        <w:t xml:space="preserve"> </w:t>
      </w:r>
    </w:p>
    <w:p w14:paraId="27B32221" w14:textId="4D9872F5" w:rsidR="001C1CE4" w:rsidRDefault="001C1CE4" w:rsidP="00422EBA">
      <w:pPr>
        <w:adjustRightInd w:val="0"/>
        <w:snapToGrid w:val="0"/>
        <w:spacing w:after="0" w:line="360" w:lineRule="auto"/>
        <w:ind w:firstLineChars="200" w:firstLine="480"/>
        <w:jc w:val="both"/>
        <w:rPr>
          <w:lang w:val="en-GB"/>
        </w:rPr>
      </w:pPr>
      <w:r>
        <w:rPr>
          <w:rStyle w:val="A8136"/>
          <w:rFonts w:ascii="Book Antiqua" w:hAnsi="Book Antiqua" w:cs="Minion"/>
          <w:sz w:val="24"/>
          <w:szCs w:val="24"/>
          <w:lang w:val="en-GB"/>
        </w:rPr>
        <w:t xml:space="preserve">Here, we aim to review the </w:t>
      </w:r>
      <w:r w:rsidR="00F62A8B" w:rsidRPr="0059438A">
        <w:rPr>
          <w:rStyle w:val="A8136"/>
          <w:rFonts w:ascii="Book Antiqua" w:hAnsi="Book Antiqua" w:cs="Minion"/>
          <w:color w:val="auto"/>
          <w:sz w:val="24"/>
          <w:szCs w:val="24"/>
          <w:lang w:val="en-GB"/>
        </w:rPr>
        <w:t>state-of-the-art technologies and tests to assess general patient status, initial graft function and risk of PNF and death</w:t>
      </w:r>
      <w:r w:rsidR="00F62A8B">
        <w:rPr>
          <w:rStyle w:val="A8136"/>
          <w:rFonts w:ascii="Book Antiqua" w:hAnsi="Book Antiqua" w:cs="Minion"/>
          <w:color w:val="auto"/>
          <w:sz w:val="24"/>
          <w:szCs w:val="24"/>
          <w:lang w:val="en-GB"/>
        </w:rPr>
        <w:t xml:space="preserve"> after LT, with a specific focus </w:t>
      </w:r>
      <w:r>
        <w:rPr>
          <w:rStyle w:val="A8136"/>
          <w:rFonts w:ascii="Book Antiqua" w:hAnsi="Book Antiqua" w:cs="Minion"/>
          <w:sz w:val="24"/>
          <w:szCs w:val="24"/>
          <w:lang w:val="en-GB"/>
        </w:rPr>
        <w:t>on the tools applicable during the first postoperative week.</w:t>
      </w:r>
    </w:p>
    <w:p w14:paraId="1E310A42" w14:textId="77777777" w:rsidR="001C1CE4" w:rsidRDefault="001C1CE4" w:rsidP="00422EBA">
      <w:pPr>
        <w:adjustRightInd w:val="0"/>
        <w:snapToGrid w:val="0"/>
        <w:spacing w:after="0" w:line="360" w:lineRule="auto"/>
        <w:jc w:val="both"/>
        <w:rPr>
          <w:lang w:val="en-GB"/>
        </w:rPr>
      </w:pPr>
    </w:p>
    <w:p w14:paraId="5A633747" w14:textId="180281D3" w:rsidR="001C1CE4" w:rsidRPr="00C032DE" w:rsidRDefault="007D7ACC" w:rsidP="00422EBA">
      <w:pPr>
        <w:adjustRightInd w:val="0"/>
        <w:snapToGrid w:val="0"/>
        <w:spacing w:after="0" w:line="360" w:lineRule="auto"/>
        <w:jc w:val="both"/>
        <w:rPr>
          <w:b/>
          <w:caps/>
          <w:lang w:val="en-US"/>
        </w:rPr>
      </w:pPr>
      <w:r w:rsidRPr="00C032DE">
        <w:rPr>
          <w:rStyle w:val="A8136"/>
          <w:rFonts w:ascii="Book Antiqua" w:hAnsi="Book Antiqua" w:cs="Minion"/>
          <w:b/>
          <w:caps/>
          <w:sz w:val="24"/>
          <w:szCs w:val="24"/>
          <w:lang w:val="en-US"/>
        </w:rPr>
        <w:t>Pre- and intra-operative</w:t>
      </w:r>
      <w:r w:rsidR="004745B7" w:rsidRPr="00C032DE">
        <w:rPr>
          <w:rStyle w:val="A8136"/>
          <w:rFonts w:ascii="Book Antiqua" w:hAnsi="Book Antiqua" w:cs="Minion"/>
          <w:b/>
          <w:caps/>
          <w:sz w:val="24"/>
          <w:szCs w:val="24"/>
          <w:lang w:val="en-US"/>
        </w:rPr>
        <w:t xml:space="preserve"> parameters</w:t>
      </w:r>
      <w:r w:rsidRPr="00C032DE">
        <w:rPr>
          <w:rStyle w:val="A8136"/>
          <w:rFonts w:ascii="Book Antiqua" w:hAnsi="Book Antiqua" w:cs="Minion"/>
          <w:b/>
          <w:caps/>
          <w:sz w:val="24"/>
          <w:szCs w:val="24"/>
          <w:lang w:val="en-US"/>
        </w:rPr>
        <w:t xml:space="preserve"> </w:t>
      </w:r>
    </w:p>
    <w:p w14:paraId="2B4C8C91" w14:textId="77777777" w:rsidR="00AF268D" w:rsidRPr="0064162C" w:rsidRDefault="00AF268D" w:rsidP="00422EBA">
      <w:pPr>
        <w:adjustRightInd w:val="0"/>
        <w:snapToGrid w:val="0"/>
        <w:spacing w:after="0" w:line="360" w:lineRule="auto"/>
        <w:jc w:val="both"/>
        <w:rPr>
          <w:color w:val="auto"/>
          <w:lang w:val="en-GB"/>
        </w:rPr>
      </w:pPr>
      <w:r w:rsidRPr="0064162C">
        <w:rPr>
          <w:rStyle w:val="A8136"/>
          <w:rFonts w:ascii="Book Antiqua" w:hAnsi="Book Antiqua" w:cs="Minion"/>
          <w:color w:val="auto"/>
          <w:sz w:val="24"/>
          <w:szCs w:val="24"/>
          <w:lang w:val="en-GB"/>
        </w:rPr>
        <w:t>Several scor</w:t>
      </w:r>
      <w:r>
        <w:rPr>
          <w:rStyle w:val="A8136"/>
          <w:rFonts w:ascii="Book Antiqua" w:hAnsi="Book Antiqua" w:cs="Minion"/>
          <w:color w:val="auto"/>
          <w:sz w:val="24"/>
          <w:szCs w:val="24"/>
          <w:lang w:val="en-GB"/>
        </w:rPr>
        <w:t>ing systems</w:t>
      </w:r>
      <w:r w:rsidR="0029102E">
        <w:rPr>
          <w:rStyle w:val="A8136"/>
          <w:rFonts w:ascii="Book Antiqua" w:hAnsi="Book Antiqua" w:cs="Minion"/>
          <w:color w:val="auto"/>
          <w:sz w:val="24"/>
          <w:szCs w:val="24"/>
          <w:lang w:val="en-GB"/>
        </w:rPr>
        <w:t xml:space="preserve"> </w:t>
      </w:r>
      <w:r>
        <w:rPr>
          <w:rStyle w:val="A8136"/>
          <w:rFonts w:ascii="Book Antiqua" w:hAnsi="Book Antiqua" w:cs="Minion"/>
          <w:color w:val="auto"/>
          <w:sz w:val="24"/>
          <w:szCs w:val="24"/>
          <w:lang w:val="en-GB"/>
        </w:rPr>
        <w:t xml:space="preserve">have been </w:t>
      </w:r>
      <w:r w:rsidR="0029102E">
        <w:rPr>
          <w:rStyle w:val="A8136"/>
          <w:rFonts w:ascii="Book Antiqua" w:hAnsi="Book Antiqua" w:cs="Minion"/>
          <w:color w:val="auto"/>
          <w:sz w:val="24"/>
          <w:szCs w:val="24"/>
          <w:lang w:val="en-GB"/>
        </w:rPr>
        <w:t>applied</w:t>
      </w:r>
      <w:r w:rsidR="00FB2777">
        <w:rPr>
          <w:rStyle w:val="A8136"/>
          <w:rFonts w:ascii="Book Antiqua" w:hAnsi="Book Antiqua" w:cs="Minion"/>
          <w:color w:val="auto"/>
          <w:sz w:val="24"/>
          <w:szCs w:val="24"/>
          <w:lang w:val="en-GB"/>
        </w:rPr>
        <w:t xml:space="preserve"> preoperatively</w:t>
      </w:r>
      <w:r w:rsidR="0029102E">
        <w:rPr>
          <w:rStyle w:val="A8136"/>
          <w:rFonts w:ascii="Book Antiqua" w:hAnsi="Book Antiqua" w:cs="Minion"/>
          <w:color w:val="auto"/>
          <w:sz w:val="24"/>
          <w:szCs w:val="24"/>
          <w:lang w:val="en-GB"/>
        </w:rPr>
        <w:t xml:space="preserve"> to predict LT outcome</w:t>
      </w:r>
      <w:r>
        <w:rPr>
          <w:rStyle w:val="A8136"/>
          <w:rFonts w:ascii="Book Antiqua" w:hAnsi="Book Antiqua" w:cs="Minion"/>
          <w:color w:val="auto"/>
          <w:sz w:val="24"/>
          <w:szCs w:val="24"/>
          <w:lang w:val="en-GB"/>
        </w:rPr>
        <w:t xml:space="preserve">. </w:t>
      </w:r>
      <w:r w:rsidR="0029102E">
        <w:rPr>
          <w:rStyle w:val="A8136"/>
          <w:rFonts w:ascii="Book Antiqua" w:hAnsi="Book Antiqua" w:cs="Minion"/>
          <w:color w:val="auto"/>
          <w:sz w:val="24"/>
          <w:szCs w:val="24"/>
          <w:lang w:val="en-GB"/>
        </w:rPr>
        <w:t>Not being</w:t>
      </w:r>
      <w:r>
        <w:rPr>
          <w:rStyle w:val="A8136"/>
          <w:rFonts w:ascii="Book Antiqua" w:hAnsi="Book Antiqua" w:cs="Minion"/>
          <w:color w:val="auto"/>
          <w:sz w:val="24"/>
          <w:szCs w:val="24"/>
          <w:lang w:val="en-GB"/>
        </w:rPr>
        <w:t xml:space="preserve"> the main focus of this review, </w:t>
      </w:r>
      <w:r w:rsidR="0029102E">
        <w:rPr>
          <w:rStyle w:val="A8136"/>
          <w:rFonts w:ascii="Book Antiqua" w:hAnsi="Book Antiqua" w:cs="Minion"/>
          <w:color w:val="auto"/>
          <w:sz w:val="24"/>
          <w:szCs w:val="24"/>
          <w:lang w:val="en-GB"/>
        </w:rPr>
        <w:t>we briefly</w:t>
      </w:r>
      <w:r>
        <w:rPr>
          <w:rStyle w:val="A8136"/>
          <w:rFonts w:ascii="Book Antiqua" w:hAnsi="Book Antiqua" w:cs="Minion"/>
          <w:color w:val="auto"/>
          <w:sz w:val="24"/>
          <w:szCs w:val="24"/>
          <w:lang w:val="en-GB"/>
        </w:rPr>
        <w:t xml:space="preserve"> </w:t>
      </w:r>
      <w:r w:rsidR="0029102E">
        <w:rPr>
          <w:rStyle w:val="A8136"/>
          <w:rFonts w:ascii="Book Antiqua" w:hAnsi="Book Antiqua" w:cs="Minion"/>
          <w:color w:val="auto"/>
          <w:sz w:val="24"/>
          <w:szCs w:val="24"/>
          <w:lang w:val="en-GB"/>
        </w:rPr>
        <w:t>describe</w:t>
      </w:r>
      <w:r>
        <w:rPr>
          <w:rStyle w:val="A8136"/>
          <w:rFonts w:ascii="Book Antiqua" w:hAnsi="Book Antiqua" w:cs="Minion"/>
          <w:color w:val="auto"/>
          <w:sz w:val="24"/>
          <w:szCs w:val="24"/>
          <w:lang w:val="en-GB"/>
        </w:rPr>
        <w:t xml:space="preserve"> </w:t>
      </w:r>
      <w:r w:rsidR="0029102E">
        <w:rPr>
          <w:rStyle w:val="A8136"/>
          <w:rFonts w:ascii="Book Antiqua" w:hAnsi="Book Antiqua" w:cs="Minion"/>
          <w:color w:val="auto"/>
          <w:sz w:val="24"/>
          <w:szCs w:val="24"/>
          <w:lang w:val="en-GB"/>
        </w:rPr>
        <w:t>the most used ones</w:t>
      </w:r>
      <w:r>
        <w:rPr>
          <w:rStyle w:val="A8136"/>
          <w:rFonts w:ascii="Book Antiqua" w:hAnsi="Book Antiqua" w:cs="Minion"/>
          <w:color w:val="auto"/>
          <w:sz w:val="24"/>
          <w:szCs w:val="24"/>
          <w:lang w:val="en-GB"/>
        </w:rPr>
        <w:t>.</w:t>
      </w:r>
    </w:p>
    <w:p w14:paraId="5FBB7CB3" w14:textId="5AE6B516" w:rsidR="002D7F73" w:rsidRDefault="001C1CE4" w:rsidP="00422EBA">
      <w:pPr>
        <w:adjustRightInd w:val="0"/>
        <w:snapToGrid w:val="0"/>
        <w:spacing w:after="0" w:line="360" w:lineRule="auto"/>
        <w:ind w:firstLineChars="200" w:firstLine="480"/>
        <w:jc w:val="both"/>
        <w:rPr>
          <w:lang w:val="en-GB"/>
        </w:rPr>
      </w:pPr>
      <w:r>
        <w:rPr>
          <w:rStyle w:val="A8136"/>
          <w:rFonts w:ascii="Book Antiqua" w:hAnsi="Book Antiqua" w:cs="Minion"/>
          <w:sz w:val="24"/>
          <w:szCs w:val="24"/>
          <w:lang w:val="en-GB"/>
        </w:rPr>
        <w:lastRenderedPageBreak/>
        <w:t xml:space="preserve">MELD uses three objective laboratory parameters (INR, creatinine, and bilirubin). </w:t>
      </w:r>
      <w:r w:rsidR="0029102E">
        <w:rPr>
          <w:rStyle w:val="A8136"/>
          <w:rFonts w:ascii="Book Antiqua" w:hAnsi="Book Antiqua" w:cs="Minion"/>
          <w:sz w:val="24"/>
          <w:szCs w:val="24"/>
          <w:lang w:val="en-GB"/>
        </w:rPr>
        <w:t>Low discriminatory power</w:t>
      </w:r>
      <w:r w:rsidR="007D7ACC">
        <w:rPr>
          <w:rStyle w:val="A8136"/>
          <w:rFonts w:ascii="Book Antiqua" w:hAnsi="Book Antiqua" w:cs="Minion"/>
          <w:sz w:val="24"/>
          <w:szCs w:val="24"/>
          <w:lang w:val="en-GB"/>
        </w:rPr>
        <w:fldChar w:fldCharType="begin" w:fldLock="1"/>
      </w:r>
      <w:r w:rsidR="002D7F73">
        <w:rPr>
          <w:rStyle w:val="A8136"/>
          <w:rFonts w:ascii="Book Antiqua" w:hAnsi="Book Antiqua" w:cs="Minion"/>
          <w:sz w:val="24"/>
          <w:szCs w:val="24"/>
          <w:lang w:val="en-GB"/>
        </w:rPr>
        <w:instrText>ADDIN CSL_CITATION { "citationItems" : [ { "id" : "ITEM-1", "itemData" : { "DOI" : "10.1053/jlts.2003.50122", "ISSN" : "1527-6465", "PMID" : "12827562", "abstract" : "Although living donor liver transplantation (LDLT) is a successful procedure for most recipients, outcomes in patients who undergo transplantation as United Network for Organ Sharing status 2A are marginal. There are no published data on living donor liver transplant recipient outcomes relative to Model for End-Stage Liver Disease (MELD) scores. Such information could be useful in living donor liver transplant recipient selection. We retrospectively analyzed all non-fulminant hepatic failure, right hepatic lobe, adult-to-adult living donor liver transplant recipients at our center between August 1997 and March 2002. We calculated MELD scores at the time of LDLT and correlated scores with 1-year patient and graft survival and hospital days during the 90-day post-LDLT period. There were 62 recipients with greater than 6 months of follow-up: 38 men, 24 women; mean age, 47.9 years; 42 white, 1 black, 17 Hispanic, and 2 Asian patients. Twenty-nine patients had hepatitis C virus infection; 4 patients, hepatitis C virus infection and alcoholic liver disease; 4 patients, alcoholic liver disease; 4 patients, cryptogenic cirrhosis; 13 patients, primary sclerosing cholangitis; 5 patients, autoimmune hepatitis; and 3 patients, primary biliary cirrhosis. Mean and median MELD scores were 15.2 and 13, respectively (range, 6 to 40). One-year patient and graft survival were 59 of 62 patients (95%) and 52 of 62 patients (84%), respectively. There was no statistically significant difference between median MELD scores of dead versus living patients (15 v 13; P =.15) or patients who underwent retransplantation versus those who did not (16.5 v 13; P =.30). Mean and median hospital days in the 90-day post-LDLT period were 23.7 and 16.0 days, respectively. Living donor liver transplant recipients with a MELD score of 18 or greater had significantly more hospital days compared with recipients with a MELD score less than 18 (35.2 v 19.8 days; P =.01). In conclusion, MELD scores did not predict post-LDLT patient or graft survival at 1 year. However, higher MELD scores (&gt; or =18) were associated with more hospital days during the 3-month post-LDLT period.", "author" : [ { "dropping-particle" : "", "family" : "Hayashi", "given" : "Paul H", "non-dropping-particle" : "", "parse-names" : false, "suffix" : "" }, { "dropping-particle" : "", "family" : "Forman", "given" : "Lisa", "non-dropping-particle" : "", "parse-names" : false, "suffix" : "" }, { "dropping-particle" : "", "family" : "Steinberg", "given" : "Tracy", "non-dropping-particle" : "", "parse-names" : false, "suffix" : "" }, { "dropping-particle" : "", "family" : "Bak", "given" : "Thomas", "non-dropping-particle" : "", "parse-names" : false, "suffix" : "" }, { "dropping-particle" : "", "family" : "Wachs", "given" : "Michael", "non-dropping-particle" : "", "parse-names" : false, "suffix" : "" }, { "dropping-particle" : "", "family" : "Kugelmas", "given" : "Marcelo", "non-dropping-particle" : "", "parse-names" : false, "suffix" : "" }, { "dropping-particle" : "", "family" : "Everson", "given" : "Gregory T", "non-dropping-particle" : "", "parse-names" : false, "suffix" : "" }, { "dropping-particle" : "", "family" : "Kam", "given" : "Igal", "non-dropping-particle" : "", "parse-names" : false, "suffix" : "" }, { "dropping-particle" : "", "family" : "Trotter", "given" : "James F", "non-dropping-particle" : "", "parse-names" : false, "suffix" : "" } ], "container-title" : "Liver transplantation : official publication of the American Association for the Study of Liver Diseases and the International Liver Transplantation Society", "id" : "ITEM-1", "issue" : "7", "issued" : { "date-parts" : [ [ "2003", "7" ] ] }, "page" : "737-40", "title" : "Model for End-Stage Liver Disease score does not predict patient or graft survival in living donor liver transplant recipients.", "type" : "article-journal", "volume" : "9" }, "uris" : [ "http://www.mendeley.com/documents/?uuid=f82f17b8-8636-4328-965a-7b8dee498b9a" ] }, { "id" : "ITEM-2", "itemData" : { "DOI" : "10.1002/lt.20169", "ISSN" : "1527-6465", "PMID" : "15237375", "abstract" : "It has been shown that the model for end-stage liver disease (MELD) score is an accurate predictor of survival in patients with liver disease without transplantation. Four recent studies carried out in the United States have demonstrated that the MELD score obtained immediately prior to transplantation is also associated with post-transplant patient survival. Our aim was to evaluate how accurately the MELD score predicts 90-day post-transplant survival in adult patients with chronic liver disease in the UK and Ireland. The UK and Ireland Liver Transplant Audit has data on all liver transplants since 1994. We studied survival of 3838 adult patients after first elective liver transplantation according to United Network for Organ Sharing categories of their MELD scores (&lt; or = 10, 11-18, 19-24, 25-35, &gt; or =36). The overall survival at 90-days was 90.2%. The 90-day survival varied according to the United Network for Organ Sharing MELD categories (92.6%, 91.9%, 89.7%, 89.7%, and 70.8%, respectively; P &lt; 0.01). Therefore, only those patients with a MELD score of 36 or higher (3% of the patients) had a survival that was markedly lower than the rest. As a consequence, the ability of the MELD score to discriminate between patients who were dead or alive was poor (c-statistic 0.58). Re-estimating the coefficients in the MELD regression model, even allowing for nonlinear relationships, did not improve its discriminatory ability. In conclusion, in the UK and Ireland the MELD score is significantly associated with post-transplant survival, but its predictive ability is poor. These results are in agreement with results found in the United States. Therefore, the most appropriate system to support patient selection for transplantation will be one that combines a pretransplant survival model (e.g., MELD score) with a properly developed post-transplant survival model.", "author" : [ { "dropping-particle" : "", "family" : "Jacob", "given" : "Mathew", "non-dropping-particle" : "", "parse-names" : false, "suffix" : "" }, { "dropping-particle" : "", "family" : "Copley", "given" : "Lynn P", "non-dropping-particle" : "", "parse-names" : false, "suffix" : "" }, { "dropping-particle" : "", "family" : "Lewsey", "given" : "James D", "non-dropping-particle" : "", "parse-names" : false, "suffix" : "" }, { "dropping-particle" : "", "family" : "Gimson", "given" : "Alex", "non-dropping-particle" : "", "parse-names" : false, "suffix" : "" }, { "dropping-particle" : "", "family" : "Toogood", "given" : "Giles J", "non-dropping-particle" : "", "parse-names" : false, "suffix" : "" }, { "dropping-particle" : "", "family" : "Rela", "given" : "Mohamed", "non-dropping-particle" : "", "parse-names" : false, "suffix" : "" }, { "dropping-particle" : "", "family" : "Meulen", "given" : "Jan H P", "non-dropping-particle" : "van der", "parse-names" : false, "suffix" : "" } ], "container-title" : "Liver transplantation : official publication of the American Association for the Study of Liver Diseases and the International Liver Transplantation Society", "id" : "ITEM-2", "issue" : "7", "issued" : { "date-parts" : [ [ "2004", "7" ] ] }, "page" : "903-7", "title" : "Pretransplant MELD score and post liver transplantation survival in the UK and Ireland.", "type" : "article-journal", "volume" : "10" }, "uris" : [ "http://www.mendeley.com/documents/?uuid=55460620-d115-4f28-a84c-e28d635716be" ] } ], "mendeley" : { "formattedCitation" : "&lt;sup&gt;[13,14]&lt;/sup&gt;", "plainTextFormattedCitation" : "[13,14]", "previouslyFormattedCitation" : "&lt;sup&gt;[13,14]&lt;/sup&gt;" }, "properties" : { "noteIndex" : 0 }, "schema" : "https://github.com/citation-style-language/schema/raw/master/csl-citation.json" }</w:instrText>
      </w:r>
      <w:r w:rsidR="007D7ACC">
        <w:rPr>
          <w:rStyle w:val="A8136"/>
          <w:rFonts w:ascii="Book Antiqua" w:hAnsi="Book Antiqua" w:cs="Minion"/>
          <w:sz w:val="24"/>
          <w:szCs w:val="24"/>
          <w:lang w:val="en-GB"/>
        </w:rPr>
        <w:fldChar w:fldCharType="separate"/>
      </w:r>
      <w:r w:rsidR="00315B8B" w:rsidRPr="00315B8B">
        <w:rPr>
          <w:rStyle w:val="A8136"/>
          <w:rFonts w:ascii="Book Antiqua" w:hAnsi="Book Antiqua" w:cs="Minion"/>
          <w:noProof/>
          <w:sz w:val="24"/>
          <w:szCs w:val="24"/>
          <w:vertAlign w:val="superscript"/>
          <w:lang w:val="en-GB"/>
        </w:rPr>
        <w:t>[13,14]</w:t>
      </w:r>
      <w:r w:rsidR="007D7ACC">
        <w:rPr>
          <w:rStyle w:val="A8136"/>
          <w:rFonts w:ascii="Book Antiqua" w:hAnsi="Book Antiqua" w:cs="Minion"/>
          <w:sz w:val="24"/>
          <w:szCs w:val="24"/>
          <w:lang w:val="en-GB"/>
        </w:rPr>
        <w:fldChar w:fldCharType="end"/>
      </w:r>
      <w:r w:rsidR="0029102E">
        <w:rPr>
          <w:rStyle w:val="A8136"/>
          <w:rFonts w:ascii="Book Antiqua" w:hAnsi="Book Antiqua" w:cs="Minion"/>
          <w:sz w:val="24"/>
          <w:szCs w:val="24"/>
          <w:lang w:val="en-GB"/>
        </w:rPr>
        <w:t xml:space="preserve"> relegated it to be </w:t>
      </w:r>
      <w:r>
        <w:rPr>
          <w:rStyle w:val="A8136"/>
          <w:rFonts w:ascii="Book Antiqua" w:hAnsi="Book Antiqua" w:cs="Minion"/>
          <w:sz w:val="24"/>
          <w:szCs w:val="24"/>
          <w:lang w:val="en-GB"/>
        </w:rPr>
        <w:t xml:space="preserve">just one of the possible factors </w:t>
      </w:r>
      <w:r w:rsidR="007A3B7C">
        <w:rPr>
          <w:rStyle w:val="A8136"/>
          <w:rFonts w:ascii="Book Antiqua" w:hAnsi="Book Antiqua" w:cs="Minion"/>
          <w:sz w:val="24"/>
          <w:szCs w:val="24"/>
          <w:lang w:val="en-GB"/>
        </w:rPr>
        <w:t>predicting</w:t>
      </w:r>
      <w:r>
        <w:rPr>
          <w:rStyle w:val="A8136"/>
          <w:rFonts w:ascii="Book Antiqua" w:hAnsi="Book Antiqua" w:cs="Minion"/>
          <w:sz w:val="24"/>
          <w:szCs w:val="24"/>
          <w:lang w:val="en-GB"/>
        </w:rPr>
        <w:t xml:space="preserve"> patient survival rate</w:t>
      </w:r>
      <w:r w:rsidR="00A31169">
        <w:fldChar w:fldCharType="begin"/>
      </w:r>
      <w:r w:rsidR="00A31169">
        <w:fldChar w:fldCharType="separate"/>
      </w:r>
      <w:r>
        <w:rPr>
          <w:rStyle w:val="A8136"/>
          <w:rFonts w:ascii="Book Antiqua" w:hAnsi="Book Antiqua" w:cs="Minion"/>
          <w:noProof/>
          <w:sz w:val="24"/>
          <w:szCs w:val="24"/>
          <w:lang w:val="en-GB"/>
        </w:rPr>
        <w:t>s[27]</w:t>
      </w:r>
      <w:r w:rsidR="00A31169">
        <w:rPr>
          <w:rStyle w:val="A8136"/>
          <w:rFonts w:ascii="Book Antiqua" w:hAnsi="Book Antiqua" w:cs="Minion"/>
          <w:noProof/>
          <w:sz w:val="24"/>
          <w:szCs w:val="24"/>
          <w:lang w:val="en-GB"/>
        </w:rPr>
        <w:fldChar w:fldCharType="end"/>
      </w:r>
      <w:r>
        <w:rPr>
          <w:rStyle w:val="A8136"/>
          <w:rFonts w:ascii="Book Antiqua" w:hAnsi="Book Antiqua" w:cs="Minion"/>
          <w:sz w:val="24"/>
          <w:szCs w:val="24"/>
          <w:lang w:val="en-GB"/>
        </w:rPr>
        <w:t xml:space="preserve">, along with other </w:t>
      </w:r>
      <w:r w:rsidR="007A3B7C">
        <w:rPr>
          <w:rStyle w:val="A8136"/>
          <w:rFonts w:ascii="Book Antiqua" w:hAnsi="Book Antiqua" w:cs="Minion"/>
          <w:sz w:val="24"/>
          <w:szCs w:val="24"/>
          <w:lang w:val="en-GB"/>
        </w:rPr>
        <w:t xml:space="preserve">sometimes </w:t>
      </w:r>
      <w:r>
        <w:rPr>
          <w:rStyle w:val="A8136"/>
          <w:rFonts w:ascii="Book Antiqua" w:hAnsi="Book Antiqua" w:cs="Minion"/>
          <w:sz w:val="24"/>
          <w:szCs w:val="24"/>
          <w:lang w:val="en-GB"/>
        </w:rPr>
        <w:t>better performing scores</w:t>
      </w:r>
      <w:r w:rsidR="00C032DE">
        <w:rPr>
          <w:rStyle w:val="A8136"/>
          <w:rFonts w:ascii="Book Antiqua" w:hAnsi="Book Antiqua" w:cs="Minion"/>
          <w:sz w:val="24"/>
          <w:szCs w:val="24"/>
          <w:lang w:val="en-GB"/>
        </w:rPr>
        <w:fldChar w:fldCharType="begin" w:fldLock="1"/>
      </w:r>
      <w:r w:rsidR="00C032DE">
        <w:rPr>
          <w:rStyle w:val="A8136"/>
          <w:rFonts w:ascii="Book Antiqua" w:hAnsi="Book Antiqua" w:cs="Minion"/>
          <w:sz w:val="24"/>
          <w:szCs w:val="24"/>
          <w:lang w:val="en-GB"/>
        </w:rPr>
        <w:instrText>ADDIN CSL_CITATION { "citationItems" : [ { "id" : "ITEM-1", "itemData" : { "DOI" : "10.1016/j.transproceed.2013.02.125", "ISSN" : "1873-2623", "PMID" : "23953541", "abstract" : "OBJECTIVES: The Model for End-Stage Liver Disease score and King's College Hospital (KCH) criteria are accepted prognostic models acute liver failure (ALF), while the use of (APACHE) scores predict to outcomes of emergency liver transplantation is rare. MATERIALS AND METHODS: The present study included 87 patients with ALF who underwent liver transplantation. We calculated (KCH) criteria, as well as MELD, APACHE II, and APACHE III scores at the listing date for comparison with 3-month outcomes. RESULTS: According to the Youden-Index, the best cut-off value for the APACHE II score was 8.5 with 100% sensitivity, 49% specificity, 24% positive predictive value (PPV), and 100% negative predictive value (NPV). Patients with &lt;8.5 points had a significantly higher survival rate (P &lt; .05). The proposed APACHE III cut-off was 80. The APACHE III score demonstrated the highest specificity and PPV (90% specificity, 50% PPV). The NPV was 92%. With a 90-point threshold the specificity increased to 98% with 75% PPV and 89% NPV. Only 1 of 4 patients with a score &gt;90 survived transplantation (P = .001). MELD score and KCH criteria were not significant (P &gt; .05). According to the Hosmer-Lemeshow test, only the APACHE III score adequately describe the data. CONCLUSIONS: The APACHE III score was superior to KCH criteria, MELD score, and APACHE II score to predict outcomes after transplantation for ALF. It is a valuable parameter for pretransplantation patient selection.", "author" : [ { "dropping-particle" : "", "family" : "Fikatas", "given" : "P", "non-dropping-particle" : "", "parse-names" : false, "suffix" : "" }, { "dropping-particle" : "", "family" : "Lee", "given" : "J-E", "non-dropping-particle" : "", "parse-names" : false, "suffix" : "" }, { "dropping-particle" : "", "family" : "Sauer", "given" : "I M", "non-dropping-particle" : "", "parse-names" : false, "suffix" : "" }, { "dropping-particle" : "", "family" : "Schmidt", "given" : "S C", "non-dropping-particle" : "", "parse-names" : false, "suffix" : "" }, { "dropping-particle" : "", "family" : "Seehofer", "given" : "D", "non-dropping-particle" : "", "parse-names" : false, "suffix" : "" }, { "dropping-particle" : "", "family" : "Puhl", "given" : "G", "non-dropping-particle" : "", "parse-names" : false, "suffix" : "" }, { "dropping-particle" : "", "family" : "Guckelberger", "given" : "O", "non-dropping-particle" : "", "parse-names" : false, "suffix" : "" } ], "container-title" : "Transplantation proceedings", "id" : "ITEM-1", "issue" : "6", "issued" : { "date-parts" : [ [ "2013", "1" ] ] }, "page" : "2295-301", "title" : "APACHE III score is superior to King's College Hospital criteria, MELD score and APACHE II score to predict outcomes after liver transplantation for acute liver failure.", "type" : "article-journal", "volume" : "45" }, "uris" : [ "http://www.mendeley.com/documents/?uuid=39a12980-b09a-4897-b6b8-5a81cb17b5e8" ] } ], "mendeley" : { "formattedCitation" : "&lt;sup&gt;[15]&lt;/sup&gt;", "plainTextFormattedCitation" : "[15]", "previouslyFormattedCitation" : "&lt;sup&gt;[15]&lt;/sup&gt;" }, "properties" : { "noteIndex" : 0 }, "schema" : "https://github.com/citation-style-language/schema/raw/master/csl-citation.json" }</w:instrText>
      </w:r>
      <w:r w:rsidR="00C032DE">
        <w:rPr>
          <w:rStyle w:val="A8136"/>
          <w:rFonts w:ascii="Book Antiqua" w:hAnsi="Book Antiqua" w:cs="Minion"/>
          <w:sz w:val="24"/>
          <w:szCs w:val="24"/>
          <w:lang w:val="en-GB"/>
        </w:rPr>
        <w:fldChar w:fldCharType="separate"/>
      </w:r>
      <w:r w:rsidR="00C032DE" w:rsidRPr="00315B8B">
        <w:rPr>
          <w:rStyle w:val="A8136"/>
          <w:rFonts w:ascii="Book Antiqua" w:hAnsi="Book Antiqua" w:cs="Minion"/>
          <w:noProof/>
          <w:sz w:val="24"/>
          <w:szCs w:val="24"/>
          <w:vertAlign w:val="superscript"/>
          <w:lang w:val="en-GB"/>
        </w:rPr>
        <w:t>[15]</w:t>
      </w:r>
      <w:r w:rsidR="00C032DE">
        <w:rPr>
          <w:rStyle w:val="A8136"/>
          <w:rFonts w:ascii="Book Antiqua" w:hAnsi="Book Antiqua" w:cs="Minion"/>
          <w:sz w:val="24"/>
          <w:szCs w:val="24"/>
          <w:lang w:val="en-GB"/>
        </w:rPr>
        <w:fldChar w:fldCharType="end"/>
      </w:r>
      <w:r w:rsidR="00A31169">
        <w:fldChar w:fldCharType="begin"/>
      </w:r>
      <w:r w:rsidR="00A31169">
        <w:fldChar w:fldCharType="separate"/>
      </w:r>
      <w:r>
        <w:rPr>
          <w:rStyle w:val="A8136"/>
          <w:rFonts w:ascii="Book Antiqua" w:hAnsi="Book Antiqua" w:cs="Minion"/>
          <w:noProof/>
          <w:sz w:val="24"/>
          <w:szCs w:val="24"/>
          <w:lang w:val="en-GB"/>
        </w:rPr>
        <w:t>[28]</w:t>
      </w:r>
      <w:r w:rsidR="00A31169">
        <w:rPr>
          <w:rStyle w:val="A8136"/>
          <w:rFonts w:ascii="Book Antiqua" w:hAnsi="Book Antiqua" w:cs="Minion"/>
          <w:noProof/>
          <w:sz w:val="24"/>
          <w:szCs w:val="24"/>
          <w:lang w:val="en-GB"/>
        </w:rPr>
        <w:fldChar w:fldCharType="end"/>
      </w:r>
      <w:r w:rsidR="007D7ACC" w:rsidRPr="00F26BF6">
        <w:rPr>
          <w:lang w:val="en-US"/>
        </w:rPr>
        <w:t>.</w:t>
      </w:r>
      <w:r>
        <w:rPr>
          <w:rStyle w:val="A8136"/>
          <w:rFonts w:ascii="Book Antiqua" w:hAnsi="Book Antiqua" w:cs="Minion"/>
          <w:sz w:val="24"/>
          <w:szCs w:val="24"/>
          <w:lang w:val="en-GB"/>
        </w:rPr>
        <w:t xml:space="preserve"> </w:t>
      </w:r>
      <w:r w:rsidR="007A3B7C">
        <w:rPr>
          <w:rStyle w:val="A8136"/>
          <w:rFonts w:ascii="Book Antiqua" w:hAnsi="Book Antiqua" w:cs="Minion"/>
          <w:sz w:val="24"/>
          <w:szCs w:val="24"/>
          <w:lang w:val="en-GB"/>
        </w:rPr>
        <w:t>MELD evolutions, such as MELD-Na</w:t>
      </w:r>
      <w:r w:rsidR="00C032DE">
        <w:rPr>
          <w:rStyle w:val="A8136"/>
          <w:rFonts w:ascii="Book Antiqua" w:hAnsi="Book Antiqua" w:cs="Minion"/>
          <w:sz w:val="24"/>
          <w:szCs w:val="24"/>
          <w:lang w:val="en-GB"/>
        </w:rPr>
        <w:fldChar w:fldCharType="begin" w:fldLock="1"/>
      </w:r>
      <w:r w:rsidR="00C032DE">
        <w:rPr>
          <w:rStyle w:val="A8136"/>
          <w:rFonts w:ascii="Book Antiqua" w:hAnsi="Book Antiqua" w:cs="Minion"/>
          <w:sz w:val="24"/>
          <w:szCs w:val="24"/>
          <w:lang w:val="en-GB"/>
        </w:rPr>
        <w:instrText>ADDIN CSL_CITATION { "citationItems" : [ { "id" : "ITEM-1", "itemData" : { "DOI" : "10.1111/j.1478-3231.2007.01445.x", "ISSN" : "1478-3223", "PMID" : "17403190", "abstract" : "BACKGROUND: The models for end-stage liver disease (MELD) and serum sodium (SNa) are important prognostic markers in cirrhosis. A novel index, MELD to SNa ratio (MESO), was developed to amplify the opposing effect of MELD and SNa on outcome prediction.\n\nMETHODS: A total of 213 cirrhotic patients undergoing hepatic venous pressure gradient (HVPG) measurement were retrospectively analyzed.\n\nRESULTS: The MESO index correlated with HVPG (r=0.258, P&lt;0.001) and Child-Pugh score (rho=0.749, P&lt;0.001). Using mortality as the end point, the area under receiver operating characteristic curve (AUC) was 0.860 for SNa, 0.795 for the MESO index and 0.789 for MELD (P values all &gt;0.3) at 3 months. Among patients with Child-Pugh class A or B, the MESO index had a significantly higher AUC compared with MELD (0.80 vs. 0.766, P&lt;0.001). A MESO index &lt;1.6 identified 97% of patients who survived at 3 months and the predicted survival rate was 96.5%. In survival analysis, MESO index &gt;1.6 independently predicted a higher mortality rate (relative risk: 3.32, P&lt;0001) using the Cox model.\n\nCONCLUSIONS: The MESO index, which takes into account the predictive power of both MELD and SNa, is a useful prognostic predictor for both short- and long-term survival in cirrhotic patients.", "author" : [ { "dropping-particle" : "", "family" : "Huo", "given" : "Teh-Ia", "non-dropping-particle" : "", "parse-names" : false, "suffix" : "" }, { "dropping-particle" : "", "family" : "Wang", "given" : "Ying-Wen", "non-dropping-particle" : "", "parse-names" : false, "suffix" : "" }, { "dropping-particle" : "", "family" : "Yang", "given" : "Ying-Ying", "non-dropping-particle" : "", "parse-names" : false, "suffix" : "" }, { "dropping-particle" : "", "family" : "Lin", "given" : "Han-Chieh", "non-dropping-particle" : "", "parse-names" : false, "suffix" : "" }, { "dropping-particle" : "", "family" : "Lee", "given" : "Pui-Ching", "non-dropping-particle" : "", "parse-names" : false, "suffix" : "" }, { "dropping-particle" : "", "family" : "Hou", "given" : "Ming-Chih", "non-dropping-particle" : "", "parse-names" : false, "suffix" : "" }, { "dropping-particle" : "", "family" : "Lee", "given" : "Fa-Yauh", "non-dropping-particle" : "", "parse-names" : false, "suffix" : "" }, { "dropping-particle" : "", "family" : "Lee", "given" : "Shou-Dong", "non-dropping-particle" : "", "parse-names" : false, "suffix" : "" } ], "container-title" : "Liver international : official journal of the International Association for the Study of the Liver", "id" : "ITEM-1", "issue" : "4", "issued" : { "date-parts" : [ [ "2007", "5" ] ] }, "page" : "498-506", "title" : "Model for end-stage liver disease score to serum sodium ratio index as a prognostic predictor and its correlation with portal pressure in patients with liver cirrhosis.", "type" : "article-journal", "volume" : "27" }, "uris" : [ "http://www.mendeley.com/documents/?uuid=3cd45251-4ec2-486c-b1a9-1c9dfb49e533" ] }, { "id" : "ITEM-2", "itemData" : { "DOI" : "10.1056/NEJMoa0801209", "ISSN" : "1533-4406", "PMID" : "18768945", "abstract" : "BACKGROUND: Under the current liver-transplantation policy, donor organs are offered to patients with the highest risk of death.\n\nMETHODS: Using data derived from all adult candidates for primary liver transplantation who were registered with the Organ Procurement and Transplantation Network in 2005 and 2006, we developed and validated a multivariable survival model to predict mortality at 90 days after registration. The predictor variable was the Model for End-Stage Liver Disease (MELD) score with and without the addition of the serum sodium concentration. The MELD score (on a scale of 6 to 40, with higher values indicating more severe disease) is calculated on the basis of the serum bilirubin and creatinine concentrations and the international normalized ratio for the prothrombin time.\n\nRESULTS: In 2005, there were 6769 registrants, including 1781 who underwent liver transplantation and 422 who died within 90 days after registration on the waiting list. Both the MELD score and the serum sodium concentration were significantly associated with mortality (hazard ratio for death, 1.21 per MELD point and 1.05 per 1-unit decrease in the serum sodium concentration for values between 125 and 140 mmol per liter; P&lt;0.001 for both variables). Furthermore, a significant interaction was found between the MELD score and the serum sodium concentration, indicating that the effect of the serum sodium concentration was greater in patients with a low MELD score. When applied to the data from 2006, when 477 patients died within 3 months after registration on the waiting list, the combination of the MELD score and the serum sodium concentration was considerably higher than the MELD score alone in 32 patients who died (7%). Thus, assignment of priority according to the MELD score combined with the serum sodium concentration might have resulted in transplantation and prevented death.\n\nCONCLUSIONS: This population-wide study shows that the MELD score and the serum sodium concentration are important predictors of survival among candidates for liver transplantation.", "author" : [ { "dropping-particle" : "", "family" : "Kim", "given" : "W Ray", "non-dropping-particle" : "", "parse-names" : false, "suffix" : "" }, { "dropping-particle" : "", "family" : "Biggins", "given" : "Scott W", "non-dropping-particle" : "", "parse-names" : false, "suffix" : "" }, { "dropping-particle" : "", "family" : "Kremers", "given" : "Walter K", "non-dropping-particle" : "", "parse-names" : false, "suffix" : "" }, { "dropping-particle" : "", "family" : "Wiesner", "given" : "Russell H", "non-dropping-particle" : "", "parse-names" : false, "suffix" : "" }, { "dropping-particle" : "", "family" : "Kamath", "given" : "Patrick S", "non-dropping-particle" : "", "parse-names" : false, "suffix" : "" }, { "dropping-particle" : "", "family" : "Benson", "given" : "Joanne T", "non-dropping-particle" : "", "parse-names" : false, "suffix" : "" }, { "dropping-particle" : "", "family" : "Edwards", "given" : "Erick", "non-dropping-particle" : "", "parse-names" : false, "suffix" : "" }, { "dropping-particle" : "", "family" : "Therneau", "given" : "Terry M", "non-dropping-particle" : "", "parse-names" : false, "suffix" : "" } ], "container-title" : "The New England journal of medicine", "id" : "ITEM-2", "issue" : "10", "issued" : { "date-parts" : [ [ "2008", "10", "4" ] ] }, "page" : "1018-26", "title" : "Hyponatremia and mortality among patients on the liver-transplant waiting list.", "type" : "article-journal", "volume" : "359" }, "uris" : [ "http://www.mendeley.com/documents/?uuid=1806ee87-f0db-4f5d-85c8-0ef0851526f3" ] } ], "mendeley" : { "formattedCitation" : "&lt;sup&gt;[16,17]&lt;/sup&gt;", "plainTextFormattedCitation" : "[16,17]", "previouslyFormattedCitation" : "&lt;sup&gt;[16,17]&lt;/sup&gt;" }, "properties" : { "noteIndex" : 0 }, "schema" : "https://github.com/citation-style-language/schema/raw/master/csl-citation.json" }</w:instrText>
      </w:r>
      <w:r w:rsidR="00C032DE">
        <w:rPr>
          <w:rStyle w:val="A8136"/>
          <w:rFonts w:ascii="Book Antiqua" w:hAnsi="Book Antiqua" w:cs="Minion"/>
          <w:sz w:val="24"/>
          <w:szCs w:val="24"/>
          <w:lang w:val="en-GB"/>
        </w:rPr>
        <w:fldChar w:fldCharType="separate"/>
      </w:r>
      <w:r w:rsidR="00C032DE" w:rsidRPr="00315B8B">
        <w:rPr>
          <w:rStyle w:val="A8136"/>
          <w:rFonts w:ascii="Book Antiqua" w:hAnsi="Book Antiqua" w:cs="Minion"/>
          <w:noProof/>
          <w:sz w:val="24"/>
          <w:szCs w:val="24"/>
          <w:vertAlign w:val="superscript"/>
          <w:lang w:val="en-GB"/>
        </w:rPr>
        <w:t>[16,17]</w:t>
      </w:r>
      <w:r w:rsidR="00C032DE">
        <w:rPr>
          <w:rStyle w:val="A8136"/>
          <w:rFonts w:ascii="Book Antiqua" w:hAnsi="Book Antiqua" w:cs="Minion"/>
          <w:sz w:val="24"/>
          <w:szCs w:val="24"/>
          <w:lang w:val="en-GB"/>
        </w:rPr>
        <w:fldChar w:fldCharType="end"/>
      </w:r>
      <w:r w:rsidR="00F577F1">
        <w:rPr>
          <w:rStyle w:val="A8136"/>
          <w:rFonts w:ascii="Book Antiqua" w:hAnsi="Book Antiqua" w:cs="Minion"/>
          <w:sz w:val="24"/>
          <w:szCs w:val="24"/>
          <w:lang w:val="en-GB"/>
        </w:rPr>
        <w:t>,</w:t>
      </w:r>
      <w:r w:rsidR="007A3B7C">
        <w:rPr>
          <w:rStyle w:val="A8136"/>
          <w:rFonts w:ascii="Book Antiqua" w:hAnsi="Book Antiqua" w:cs="Minion"/>
          <w:sz w:val="24"/>
          <w:szCs w:val="24"/>
          <w:lang w:val="en-GB"/>
        </w:rPr>
        <w:t xml:space="preserve"> D-MELD</w:t>
      </w:r>
      <w:r w:rsidR="007D7ACC">
        <w:rPr>
          <w:rStyle w:val="A8136"/>
          <w:rFonts w:ascii="Book Antiqua" w:hAnsi="Book Antiqua" w:cs="Minion"/>
          <w:sz w:val="24"/>
          <w:szCs w:val="24"/>
          <w:lang w:val="en-GB"/>
        </w:rPr>
        <w:fldChar w:fldCharType="begin" w:fldLock="1"/>
      </w:r>
      <w:r w:rsidR="002D7F73">
        <w:rPr>
          <w:rStyle w:val="A8136"/>
          <w:rFonts w:ascii="Book Antiqua" w:hAnsi="Book Antiqua" w:cs="Minion"/>
          <w:sz w:val="24"/>
          <w:szCs w:val="24"/>
          <w:lang w:val="en-GB"/>
        </w:rPr>
        <w:instrText>ADDIN CSL_CITATION { "citationItems" : [ { "id" : "ITEM-1", "itemData" : { "DOI" : "10.1111/j.1600-6143.2008.02491.x", "ISSN" : "1600-6143", "PMID" : "19120079", "abstract" : "Numerous donor and recipient risk factors interact to influence the probability of survival after liver transplantation. We developed a statistic, D-MELD, the product of donor age and preoperative MELD, calculated from laboratory values. Using the UNOS STAR national transplant data base, we analyzed survival for first liver transplant recipients with chronic liver failure from deceased after brain death donors. Preoperative D-MELD score effectively stratified posttransplant survival. Using a cutoff D-MELD score of 1600, we defined a subgroup of donor-recipient matches with significantly poorer short- and long-term outcomes as measured by survival and length of stay (LOS). Avoidance of D-MELD scores above 1600 improved results for subgroups of high-risk patients with donor age &gt;/=60 and those with preoperative MELD &gt;/=30. D-MELD &gt;/=1600 accurately predicted worse outcome in recipients with and without hepatitis C. There is significant regional variation in average D-MELD scores at transplant, however, regions with larger numbers of high D-MELD matches do not have higher survival rates. D-MELD is a simple, highly predictive tool for estimating outcomes after liver transplantation. This statistic could assist surgeons and their patients in making organ acceptance decisions. Applying D-MELD to liver allocation could eliminate many donor/recipient matches likely to have inferior outcome.", "author" : [ { "dropping-particle" : "", "family" : "Halldorson", "given" : "J B", "non-dropping-particle" : "", "parse-names" : false, "suffix" : "" }, { "dropping-particle" : "", "family" : "Bakthavatsalam", "given" : "R", "non-dropping-particle" : "", "parse-names" : false, "suffix" : "" }, { "dropping-particle" : "", "family" : "Fix", "given" : "O", "non-dropping-particle" : "", "parse-names" : false, "suffix" : "" }, { "dropping-particle" : "", "family" : "Reyes", "given" : "J D", "non-dropping-particle" : "", "parse-names" : false, "suffix" : "" }, { "dropping-particle" : "", "family" : "Perkins", "given" : "J D", "non-dropping-particle" : "", "parse-names" : false, "suffix" : "" } ], "container-title" : "American journal of transplantation : official journal of the American Society of Transplantation and the American Society of Transplant Surgeons", "id" : "ITEM-1", "issue" : "2", "issued" : { "date-parts" : [ [ "2009", "3" ] ] }, "page" : "318-26", "title" : "D-MELD, a simple predictor of post liver transplant mortality for optimization of donor/recipient matching.", "type" : "article-journal", "volume" : "9" }, "uris" : [ "http://www.mendeley.com/documents/?uuid=df59f23a-753a-4a00-bcbe-0272ff1b1f23" ] } ], "mendeley" : { "formattedCitation" : "&lt;sup&gt;[18]&lt;/sup&gt;", "plainTextFormattedCitation" : "[18]", "previouslyFormattedCitation" : "&lt;sup&gt;[18]&lt;/sup&gt;" }, "properties" : { "noteIndex" : 0 }, "schema" : "https://github.com/citation-style-language/schema/raw/master/csl-citation.json" }</w:instrText>
      </w:r>
      <w:r w:rsidR="007D7ACC">
        <w:rPr>
          <w:rStyle w:val="A8136"/>
          <w:rFonts w:ascii="Book Antiqua" w:hAnsi="Book Antiqua" w:cs="Minion"/>
          <w:sz w:val="24"/>
          <w:szCs w:val="24"/>
          <w:lang w:val="en-GB"/>
        </w:rPr>
        <w:fldChar w:fldCharType="separate"/>
      </w:r>
      <w:r w:rsidR="00315B8B" w:rsidRPr="00315B8B">
        <w:rPr>
          <w:rStyle w:val="A8136"/>
          <w:rFonts w:ascii="Book Antiqua" w:hAnsi="Book Antiqua" w:cs="Minion"/>
          <w:noProof/>
          <w:sz w:val="24"/>
          <w:szCs w:val="24"/>
          <w:vertAlign w:val="superscript"/>
          <w:lang w:val="en-GB"/>
        </w:rPr>
        <w:t>[18]</w:t>
      </w:r>
      <w:r w:rsidR="007D7ACC">
        <w:rPr>
          <w:rStyle w:val="A8136"/>
          <w:rFonts w:ascii="Book Antiqua" w:hAnsi="Book Antiqua" w:cs="Minion"/>
          <w:sz w:val="24"/>
          <w:szCs w:val="24"/>
          <w:lang w:val="en-GB"/>
        </w:rPr>
        <w:fldChar w:fldCharType="end"/>
      </w:r>
      <w:r w:rsidR="00413FC8">
        <w:rPr>
          <w:rStyle w:val="A8136"/>
          <w:rFonts w:ascii="Book Antiqua" w:hAnsi="Book Antiqua" w:cs="Minion"/>
          <w:sz w:val="24"/>
          <w:szCs w:val="24"/>
          <w:lang w:val="en-GB"/>
        </w:rPr>
        <w:t xml:space="preserve"> and others</w:t>
      </w:r>
      <w:r w:rsidR="007D7ACC">
        <w:rPr>
          <w:rStyle w:val="A8136"/>
          <w:rFonts w:ascii="Book Antiqua" w:hAnsi="Book Antiqua" w:cs="Minion"/>
          <w:sz w:val="24"/>
          <w:szCs w:val="24"/>
          <w:lang w:val="en-GB"/>
        </w:rPr>
        <w:fldChar w:fldCharType="begin" w:fldLock="1"/>
      </w:r>
      <w:r w:rsidR="002D7F73">
        <w:rPr>
          <w:rStyle w:val="A8136"/>
          <w:rFonts w:ascii="Book Antiqua" w:hAnsi="Book Antiqua" w:cs="Minion"/>
          <w:sz w:val="24"/>
          <w:szCs w:val="24"/>
          <w:lang w:val="en-GB"/>
        </w:rPr>
        <w:instrText>ADDIN CSL_CITATION { "citationItems" : [ { "id" : "ITEM-1", "itemData" : { "DOI" : "10.1053/j.gastro.2008.08.004", "ISSN" : "1528-0012", "PMID" : "18835388", "abstract" : "BACKGROUND &amp; AIMS: Liver transplant candidates with mild hepatic synthetic dysfunction and marked renal insufficiency may have higher Model for End-Stage Liver Disease (MELD) scores than candidates with severe liver disease and normal renal function. We re-estimated MELD coefficients and evaluated the effect of updated MELD on the liver transplant waiting list ranking.\n\nMETHODS: Scientific Registry of Transplant Recipients data was analyzed for 38,899 adults wait-listed between September, 2001 and December, 2006. A time-dependent Cox regression waiting list mortality model estimated updated MELD component coefficients. Rank correlation between existing and updated MELD scores was computed.\n\nRESULTS: Existing MELD component coefficient (log(e) creatinine, 0.957 vs 1.266 [95% confidence interval (CI), 1.21-1.32]; log(e) bilirubin, 0.378 vs 0.939 [95% CI, 0.91-0.97]; log(e) international normalized ratio, 1.120 vs 1.658 [95% CI, 1.58-1.74]) was significantly different than updated counterpart. Index of concordance was higher for updated MELD than existing MELD for predicting overall (0.68 vs. 0.64) and 90-day waiting list mortality (0.77 vs. 0.75). Rank correlation between existing and updated MELD scores was 0.95 for all candidates and 0.72 for candidates with existing MELD &gt;or=20. Among candidates with equal existing MELD, those with lower creatinine and higher bilirubin had significantly higher waiting list mortality.\n\nCONCLUSIONS: Existing MELD coefficient components are significantly different than those calculated from national waiting list data. Updated MELD assigns lower weight to creatinine and international normalized ratio and higher weight to bilirubin. Updated MELD better predicts waiting list mortality. Using updated MELD for liver allocation would alter waiting list candidate ranking.", "author" : [ { "dropping-particle" : "", "family" : "Sharma", "given" : "Pratima", "non-dropping-particle" : "", "parse-names" : false, "suffix" : "" }, { "dropping-particle" : "", "family" : "Schaubel", "given" : "Douglas E", "non-dropping-particle" : "", "parse-names" : false, "suffix" : "" }, { "dropping-particle" : "", "family" : "Sima", "given" : "Camelia S", "non-dropping-particle" : "", "parse-names" : false, "suffix" : "" }, { "dropping-particle" : "", "family" : "Merion", "given" : "Robert M", "non-dropping-particle" : "", "parse-names" : false, "suffix" : "" }, { "dropping-particle" : "", "family" : "Lok", "given" : "Anna S F", "non-dropping-particle" : "", "parse-names" : false, "suffix" : "" } ], "container-title" : "Gastroenterology", "id" : "ITEM-1", "issue" : "5", "issued" : { "date-parts" : [ [ "2008", "11" ] ] }, "page" : "1575-81", "title" : "Re-weighting the model for end-stage liver disease score components.", "type" : "article-journal", "volume" : "135" }, "uris" : [ "http://www.mendeley.com/documents/?uuid=cd6ab77d-9751-451a-8d29-f3bcf4d5288a" ] } ], "mendeley" : { "formattedCitation" : "&lt;sup&gt;[19]&lt;/sup&gt;", "plainTextFormattedCitation" : "[19]", "previouslyFormattedCitation" : "&lt;sup&gt;[19]&lt;/sup&gt;" }, "properties" : { "noteIndex" : 0 }, "schema" : "https://github.com/citation-style-language/schema/raw/master/csl-citation.json" }</w:instrText>
      </w:r>
      <w:r w:rsidR="007D7ACC">
        <w:rPr>
          <w:rStyle w:val="A8136"/>
          <w:rFonts w:ascii="Book Antiqua" w:hAnsi="Book Antiqua" w:cs="Minion"/>
          <w:sz w:val="24"/>
          <w:szCs w:val="24"/>
          <w:lang w:val="en-GB"/>
        </w:rPr>
        <w:fldChar w:fldCharType="separate"/>
      </w:r>
      <w:r w:rsidR="00315B8B" w:rsidRPr="00315B8B">
        <w:rPr>
          <w:rStyle w:val="A8136"/>
          <w:rFonts w:ascii="Book Antiqua" w:hAnsi="Book Antiqua" w:cs="Minion"/>
          <w:noProof/>
          <w:sz w:val="24"/>
          <w:szCs w:val="24"/>
          <w:vertAlign w:val="superscript"/>
          <w:lang w:val="en-GB"/>
        </w:rPr>
        <w:t>[19]</w:t>
      </w:r>
      <w:r w:rsidR="007D7ACC">
        <w:rPr>
          <w:rStyle w:val="A8136"/>
          <w:rFonts w:ascii="Book Antiqua" w:hAnsi="Book Antiqua" w:cs="Minion"/>
          <w:sz w:val="24"/>
          <w:szCs w:val="24"/>
          <w:lang w:val="en-GB"/>
        </w:rPr>
        <w:fldChar w:fldCharType="end"/>
      </w:r>
      <w:r w:rsidR="007A3B7C">
        <w:rPr>
          <w:rStyle w:val="A8136"/>
          <w:rFonts w:ascii="Book Antiqua" w:hAnsi="Book Antiqua" w:cs="Minion"/>
          <w:sz w:val="24"/>
          <w:szCs w:val="24"/>
          <w:lang w:val="en-GB"/>
        </w:rPr>
        <w:t>, did not reach acceptable performance</w:t>
      </w:r>
      <w:r w:rsidR="00676CBD">
        <w:rPr>
          <w:rStyle w:val="A8136"/>
          <w:rFonts w:ascii="Book Antiqua" w:hAnsi="Book Antiqua" w:cs="Minion"/>
          <w:sz w:val="24"/>
          <w:szCs w:val="24"/>
          <w:lang w:val="en-GB"/>
        </w:rPr>
        <w:t>s</w:t>
      </w:r>
      <w:r w:rsidR="007A3B7C">
        <w:rPr>
          <w:rStyle w:val="A8136"/>
          <w:rFonts w:ascii="Book Antiqua" w:hAnsi="Book Antiqua" w:cs="Minion"/>
          <w:sz w:val="24"/>
          <w:szCs w:val="24"/>
          <w:lang w:val="en-GB"/>
        </w:rPr>
        <w:t>.</w:t>
      </w:r>
      <w:r w:rsidR="004745B7">
        <w:rPr>
          <w:lang w:val="en-GB"/>
        </w:rPr>
        <w:t xml:space="preserve"> </w:t>
      </w:r>
      <w:r w:rsidR="006676E7">
        <w:rPr>
          <w:rFonts w:ascii="Book Antiqua" w:hAnsi="Book Antiqua"/>
          <w:sz w:val="24"/>
          <w:szCs w:val="24"/>
          <w:lang w:val="en-GB"/>
        </w:rPr>
        <w:t>The</w:t>
      </w:r>
      <w:r>
        <w:rPr>
          <w:rFonts w:ascii="Book Antiqua" w:hAnsi="Book Antiqua"/>
          <w:sz w:val="24"/>
          <w:szCs w:val="24"/>
          <w:lang w:val="en-GB"/>
        </w:rPr>
        <w:t xml:space="preserve"> analysis of donor characteristics </w:t>
      </w:r>
      <w:r w:rsidR="00676CBD">
        <w:rPr>
          <w:rFonts w:ascii="Book Antiqua" w:hAnsi="Book Antiqua"/>
          <w:sz w:val="24"/>
          <w:szCs w:val="24"/>
          <w:lang w:val="en-GB"/>
        </w:rPr>
        <w:t xml:space="preserve">is also </w:t>
      </w:r>
      <w:r w:rsidR="00BE7351">
        <w:rPr>
          <w:rFonts w:ascii="Book Antiqua" w:hAnsi="Book Antiqua"/>
          <w:sz w:val="24"/>
          <w:szCs w:val="24"/>
          <w:lang w:val="en-GB"/>
        </w:rPr>
        <w:t>fundamental to</w:t>
      </w:r>
      <w:r w:rsidR="006676E7">
        <w:rPr>
          <w:rFonts w:ascii="Book Antiqua" w:hAnsi="Book Antiqua"/>
          <w:sz w:val="24"/>
          <w:szCs w:val="24"/>
          <w:lang w:val="en-GB"/>
        </w:rPr>
        <w:t xml:space="preserve"> optimise graft-recipient matching and to predict LT outcome</w:t>
      </w:r>
      <w:r>
        <w:rPr>
          <w:rFonts w:ascii="Book Antiqua" w:hAnsi="Book Antiqua"/>
          <w:sz w:val="24"/>
          <w:szCs w:val="24"/>
          <w:lang w:val="en-GB"/>
        </w:rPr>
        <w:t xml:space="preserve">. </w:t>
      </w:r>
      <w:r w:rsidR="006676E7">
        <w:rPr>
          <w:rFonts w:ascii="Book Antiqua" w:hAnsi="Book Antiqua"/>
          <w:sz w:val="24"/>
          <w:szCs w:val="24"/>
          <w:lang w:val="en-GB"/>
        </w:rPr>
        <w:t>So,</w:t>
      </w:r>
      <w:r>
        <w:rPr>
          <w:rFonts w:ascii="Book Antiqua" w:hAnsi="Book Antiqua"/>
          <w:sz w:val="24"/>
          <w:szCs w:val="24"/>
          <w:lang w:val="en-GB"/>
        </w:rPr>
        <w:t xml:space="preserve"> donor-risk index (DRI)</w:t>
      </w:r>
      <w:r w:rsidR="007D7ACC">
        <w:rPr>
          <w:rFonts w:ascii="Book Antiqua" w:hAnsi="Book Antiqua"/>
          <w:sz w:val="24"/>
          <w:szCs w:val="24"/>
          <w:lang w:val="en-GB"/>
        </w:rPr>
        <w:fldChar w:fldCharType="begin" w:fldLock="1"/>
      </w:r>
      <w:r w:rsidR="002D7F73">
        <w:rPr>
          <w:rFonts w:ascii="Book Antiqua" w:hAnsi="Book Antiqua"/>
          <w:sz w:val="24"/>
          <w:szCs w:val="24"/>
          <w:lang w:val="en-GB"/>
        </w:rPr>
        <w:instrText>ADDIN CSL_CITATION { "citationItems" : [ { "id" : "ITEM-1", "itemData" : { "DOI" : "10.1111/j.1600-6143.2006.01242.x", "ISSN" : "1600-6135", "PMID" : "16539636", "abstract" : "Transplant physicians and candidates have become increasingly aware that donor characteristics significantly impact liver transplantation outcomes. Although the qualitative effect of individual donor variables are understood, the quantitative risk associated with combinations of characteristics are unclear. Using national data from 1998 to 2002, we developed a quantitative donor risk index. Cox regression models identified seven donor characteristics that independently predicted significantly increased risk of graft failure. Donor age over 40 years (and particularly over 60 years), donation after cardiac death (DCD), and split/partial grafts were strongly associated with graft failure, while African-American race, less height, cerebrovascular accident and 'other' causes of brain death were more modestly but still significantly associated with graft failure. Grafts with an increased donor risk index have been preferentially transplanted into older candidates (&gt;50 years of age) with moderate disease severity (nonstatus 1 with lower model for end-stage liver disease (MELD) scores) and without hepatitis C. Quantitative assessment of the risk of donor liver graft failure using a donor risk index is useful to inform the process of organ acceptance.", "author" : [ { "dropping-particle" : "", "family" : "Feng", "given" : "S", "non-dropping-particle" : "", "parse-names" : false, "suffix" : "" }, { "dropping-particle" : "", "family" : "Goodrich", "given" : "N P", "non-dropping-particle" : "", "parse-names" : false, "suffix" : "" }, { "dropping-particle" : "", "family" : "Bragg-Gresham", "given" : "J L", "non-dropping-particle" : "", "parse-names" : false, "suffix" : "" }, { "dropping-particle" : "", "family" : "Dykstra", "given" : "D M", "non-dropping-particle" : "", "parse-names" : false, "suffix" : "" }, { "dropping-particle" : "", "family" : "Punch", "given" : "J D", "non-dropping-particle" : "", "parse-names" : false, "suffix" : "" }, { "dropping-particle" : "", "family" : "DebRoy", "given" : "M A", "non-dropping-particle" : "", "parse-names" : false, "suffix" : "" }, { "dropping-particle" : "", "family" : "Greenstein", "given" : "S M", "non-dropping-particle" : "", "parse-names" : false, "suffix" : "" }, { "dropping-particle" : "", "family" : "Merion", "given" : "R M", "non-dropping-particle" : "", "parse-names" : false, "suffix" : "" } ], "container-title" : "American journal of transplantation : official journal of the American Society of Transplantation and the American Society of Transplant Surgeons", "id" : "ITEM-1", "issue" : "4", "issued" : { "date-parts" : [ [ "2006", "4" ] ] }, "page" : "783-90", "title" : "Characteristics associated with liver graft failure: the concept of a donor risk index.", "type" : "article-journal", "volume" : "6" }, "uris" : [ "http://www.mendeley.com/documents/?uuid=f763e966-5969-4c0a-8948-a43bef726580" ] } ], "mendeley" : { "formattedCitation" : "&lt;sup&gt;[20]&lt;/sup&gt;", "plainTextFormattedCitation" : "[20]", "previouslyFormattedCitation" : "&lt;sup&gt;[20]&lt;/sup&gt;" }, "properties" : { "noteIndex" : 0 }, "schema" : "https://github.com/citation-style-language/schema/raw/master/csl-citation.json" }</w:instrText>
      </w:r>
      <w:r w:rsidR="007D7ACC">
        <w:rPr>
          <w:rFonts w:ascii="Book Antiqua" w:hAnsi="Book Antiqua"/>
          <w:sz w:val="24"/>
          <w:szCs w:val="24"/>
          <w:lang w:val="en-GB"/>
        </w:rPr>
        <w:fldChar w:fldCharType="separate"/>
      </w:r>
      <w:r w:rsidR="00315B8B" w:rsidRPr="00315B8B">
        <w:rPr>
          <w:rFonts w:ascii="Book Antiqua" w:hAnsi="Book Antiqua"/>
          <w:noProof/>
          <w:sz w:val="24"/>
          <w:szCs w:val="24"/>
          <w:vertAlign w:val="superscript"/>
          <w:lang w:val="en-GB"/>
        </w:rPr>
        <w:t>[20]</w:t>
      </w:r>
      <w:r w:rsidR="007D7ACC">
        <w:rPr>
          <w:rFonts w:ascii="Book Antiqua" w:hAnsi="Book Antiqua"/>
          <w:sz w:val="24"/>
          <w:szCs w:val="24"/>
          <w:lang w:val="en-GB"/>
        </w:rPr>
        <w:fldChar w:fldCharType="end"/>
      </w:r>
      <w:r>
        <w:rPr>
          <w:rFonts w:ascii="Book Antiqua" w:hAnsi="Book Antiqua"/>
          <w:sz w:val="24"/>
          <w:szCs w:val="24"/>
          <w:lang w:val="en-GB"/>
        </w:rPr>
        <w:t xml:space="preserve"> </w:t>
      </w:r>
      <w:r w:rsidR="006676E7">
        <w:rPr>
          <w:rFonts w:ascii="Book Antiqua" w:hAnsi="Book Antiqua"/>
          <w:sz w:val="24"/>
          <w:szCs w:val="24"/>
          <w:lang w:val="en-GB"/>
        </w:rPr>
        <w:t>and</w:t>
      </w:r>
      <w:r>
        <w:rPr>
          <w:rFonts w:ascii="Book Antiqua" w:hAnsi="Book Antiqua"/>
          <w:sz w:val="24"/>
          <w:szCs w:val="24"/>
          <w:lang w:val="en-GB"/>
        </w:rPr>
        <w:t xml:space="preserve"> extended criteria donor score (ECDS)</w:t>
      </w:r>
      <w:r w:rsidR="007D7ACC">
        <w:rPr>
          <w:rFonts w:ascii="Book Antiqua" w:hAnsi="Book Antiqua"/>
          <w:sz w:val="24"/>
          <w:szCs w:val="24"/>
          <w:lang w:val="en-GB"/>
        </w:rPr>
        <w:fldChar w:fldCharType="begin" w:fldLock="1"/>
      </w:r>
      <w:r w:rsidR="002D7F73">
        <w:rPr>
          <w:rFonts w:ascii="Book Antiqua" w:hAnsi="Book Antiqua"/>
          <w:sz w:val="24"/>
          <w:szCs w:val="24"/>
          <w:lang w:val="en-GB"/>
        </w:rPr>
        <w:instrText>ADDIN CSL_CITATION { "citationItems" : [ { "id" : "ITEM-1", "itemData" : { "DOI" : "10.1097/01.sla.0000219669.84192.b3", "ISSN" : "0003-4932", "PMID" : "16772778", "abstract" : "OBJECTIVE: Severely limited organ resources mandate maximum utilization of donor allografts for orthotopic liver transplantation (OLT). This work aimed to identify factors that impact survival outcomes for extended criteria donors (ECD) and developed an ECD scoring system to facilitate graft-recipient matching and optimize utilization of ECDs.\n\nMETHODS: Retrospective analysis of over 1000 primary adult OLTs at UCLA. Extended criteria (EC) considered included donor age (&gt;55 years), donor hospital stay (&gt;5 days), cold ischemia time (&gt;10 hours), and warm ischemia time (&gt;40 minutes). One point was assigned for each extended criterion. Cox proportional hazard regression model was used for multivariate analysis.\n\nRESULTS: Of 1153 allografts considered in the study, 568 organs exhibited no extended criteria (0 score), while 429, 135 and 21 donor allografts exhibited an EC score of 1, 2 and 3, respectively. Overall 1-year patient survival rates were 88%, 82%, 77% and 48% for recipients with EC scores of 0, 1, 2 and 3 respectively (P &lt; 0.001). Adjusting for recipient age and urgency at the time of transplantation, multivariate analysis identified an ascending mortality risk ratio of 1.4 and 1.8 compared to a score of 0 for an EC score of 1, and 2 (P &lt; 0.01) respectively. In contrast, an EC score of 3 was associated with a mortality risk ratio of 4.5 (P &lt; 0.001). Further, advanced recipient age linearly increased the death hazard ratio, while an urgent recipient status increased the risk ratio of death by 50%.\n\nCONCLUSIONS: Extended criteria donors can be scored using readily available parameters. Optimizing perioperative variables and matching ECD allografts to appropriately selected recipients are crucial to maintain acceptable outcomes and represent a preferable alternative to both high waiting list mortality and to a potentially futile transplant that utilizes an ECD for a critically ill recipient.", "author" : [ { "dropping-particle" : "", "family" : "Cameron", "given" : "Andrew M", "non-dropping-particle" : "", "parse-names" : false, "suffix" : "" }, { "dropping-particle" : "", "family" : "Ghobrial", "given" : "R Mark", "non-dropping-particle" : "", "parse-names" : false, "suffix" : "" }, { "dropping-particle" : "", "family" : "Yersiz", "given" : "Hasan", "non-dropping-particle" : "", "parse-names" : false, "suffix" : "" }, { "dropping-particle" : "", "family" : "Farmer", "given" : "Douglas G", "non-dropping-particle" : "", "parse-names" : false, "suffix" : "" }, { "dropping-particle" : "", "family" : "Lipshutz", "given" : "Gerald S", "non-dropping-particle" : "", "parse-names" : false, "suffix" : "" }, { "dropping-particle" : "", "family" : "Gordon", "given" : "Sherilyn A", "non-dropping-particle" : "", "parse-names" : false, "suffix" : "" }, { "dropping-particle" : "", "family" : "Zimmerman", "given" : "Michael", "non-dropping-particle" : "", "parse-names" : false, "suffix" : "" }, { "dropping-particle" : "", "family" : "Hong", "given" : "Johnny", "non-dropping-particle" : "", "parse-names" : false, "suffix" : "" }, { "dropping-particle" : "", "family" : "Collins", "given" : "Thomas E", "non-dropping-particle" : "", "parse-names" : false, "suffix" : "" }, { "dropping-particle" : "", "family" : "Gornbein", "given" : "Jeffery", "non-dropping-particle" : "", "parse-names" : false, "suffix" : "" }, { "dropping-particle" : "", "family" : "Amersi", "given" : "Farin", "non-dropping-particle" : "", "parse-names" : false, "suffix" : "" }, { "dropping-particle" : "", "family" : "Weaver", "given" : "Michael", "non-dropping-particle" : "", "parse-names" : false, "suffix" : "" }, { "dropping-particle" : "", "family" : "Cao", "given" : "Carlos", "non-dropping-particle" : "", "parse-names" : false, "suffix" : "" }, { "dropping-particle" : "", "family" : "Chen", "given" : "Tony", "non-dropping-particle" : "", "parse-names" : false, "suffix" : "" }, { "dropping-particle" : "", "family" : "Hiatt", "given" : "Jonathan R", "non-dropping-particle" : "", "parse-names" : false, "suffix" : "" }, { "dropping-particle" : "", "family" : "Busuttil", "given" : "Ronald W", "non-dropping-particle" : "", "parse-names" : false, "suffix" : "" } ], "container-title" : "Annals of surgery", "id" : "ITEM-1", "issue" : "6", "issued" : { "date-parts" : [ [ "2006", "6" ] ] }, "page" : "748-53; discussion 753-5", "title" : "Optimal utilization of donor grafts with extended criteria: a single-center experience in over 1000 liver transplants.", "type" : "article-journal", "volume" : "243" }, "uris" : [ "http://www.mendeley.com/documents/?uuid=16d0fa34-7cdb-4453-86ec-f2d8e66451e4" ] } ], "mendeley" : { "formattedCitation" : "&lt;sup&gt;[21]&lt;/sup&gt;", "plainTextFormattedCitation" : "[21]", "previouslyFormattedCitation" : "&lt;sup&gt;[21]&lt;/sup&gt;" }, "properties" : { "noteIndex" : 0 }, "schema" : "https://github.com/citation-style-language/schema/raw/master/csl-citation.json" }</w:instrText>
      </w:r>
      <w:r w:rsidR="007D7ACC">
        <w:rPr>
          <w:rFonts w:ascii="Book Antiqua" w:hAnsi="Book Antiqua"/>
          <w:sz w:val="24"/>
          <w:szCs w:val="24"/>
          <w:lang w:val="en-GB"/>
        </w:rPr>
        <w:fldChar w:fldCharType="separate"/>
      </w:r>
      <w:r w:rsidR="00315B8B" w:rsidRPr="00315B8B">
        <w:rPr>
          <w:rFonts w:ascii="Book Antiqua" w:hAnsi="Book Antiqua"/>
          <w:noProof/>
          <w:sz w:val="24"/>
          <w:szCs w:val="24"/>
          <w:vertAlign w:val="superscript"/>
          <w:lang w:val="en-GB"/>
        </w:rPr>
        <w:t>[21]</w:t>
      </w:r>
      <w:r w:rsidR="007D7ACC">
        <w:rPr>
          <w:rFonts w:ascii="Book Antiqua" w:hAnsi="Book Antiqua"/>
          <w:sz w:val="24"/>
          <w:szCs w:val="24"/>
          <w:lang w:val="en-GB"/>
        </w:rPr>
        <w:fldChar w:fldCharType="end"/>
      </w:r>
      <w:r>
        <w:rPr>
          <w:rFonts w:ascii="Book Antiqua" w:hAnsi="Book Antiqua"/>
          <w:sz w:val="24"/>
          <w:szCs w:val="24"/>
          <w:lang w:val="en-GB"/>
        </w:rPr>
        <w:t xml:space="preserve"> were proposed. ECDS, DRI and D-MELD, despite providing statistically significant results, had insufficient discriminatory power for short-term graft and patient survival</w:t>
      </w:r>
      <w:r w:rsidR="00C032DE">
        <w:rPr>
          <w:rFonts w:ascii="Book Antiqua" w:hAnsi="Book Antiqua"/>
          <w:sz w:val="24"/>
          <w:szCs w:val="24"/>
          <w:lang w:val="en-GB"/>
        </w:rPr>
        <w:fldChar w:fldCharType="begin" w:fldLock="1"/>
      </w:r>
      <w:r w:rsidR="00C032DE">
        <w:rPr>
          <w:rFonts w:ascii="Book Antiqua" w:hAnsi="Book Antiqua"/>
          <w:sz w:val="24"/>
          <w:szCs w:val="24"/>
          <w:lang w:val="en-GB"/>
        </w:rPr>
        <w:instrText>ADDIN CSL_CITATION { "citationItems" : [ { "id" : "ITEM-1", "itemData" : { "ISBN" : "2329-0358; 1425-9524", "ISSN" : "14259524", "PMID" : "23018250", "abstract" : "BACKGROUND: Expansion of the donor pool by the use of grafts with extended donor criteria reduces waiting list mortality with an increased risk for graft and patient survival after liver transplantation. This study investigates the ability of the Donor-Risk-Index (DRI), the Extended-Criteria-Donor-Score (ECD-score) and the D-MELD-score to predict early outcome after liver transplantation. MATERIAL/METHODS: 291 consecutive adult liver transplants (01.01.2007-31.12.2010) were analysed in a single centre study with ongoing data collection. Primary study endpoints were 30-day mortality, 3-month mortality, 3-month patient and graft survival and the necessity of acute retransplantation within 30 days. For the primary study endpoints ROC-curve analysis was performed to calculate the sensitivity, specificity, and overall model correctness of the Donor-Risk-Index (DRI), Extended-Criteria-Donor-Score (ECD-score) and the D-MELD-Score as predictive models. Cut-off values were selected with the best Youden index. RESULTS: ROC-curve analysis showed areas under the curve (AUROCs) &lt;0.7 for the DRI, the ECD-Score and the D-MELD-Score as models for the prediction of 30-day mortality, 3-month mortality, 3-month patient survival, 3-month graft survival as well as the necessity of acute retransplantation within 30 days after transplantation with unacceptable low levels of overall model correctness (&lt;62%) and specificity (&lt;56%). CONCLUSIONS: The DRI, the ECD-Score and the D-MELD-Score all fail to predict short-term outcome after liver transplantation with acceptable overall model correctness in a current European transplant setting.", "author" : [ { "dropping-particle" : "", "family" : "Schrem", "given" : "Harald", "non-dropping-particle" : "", "parse-names" : false, "suffix" : "" }, { "dropping-particle" : "", "family" : "Reichert", "given" : "Benedikt", "non-dropping-particle" : "", "parse-names" : false, "suffix" : "" }, { "dropping-particle" : "", "family" : "Fr\u00fchauf", "given" : "Nils", "non-dropping-particle" : "", "parse-names" : false, "suffix" : "" }, { "dropping-particle" : "", "family" : "Becker", "given" : "Thomas", "non-dropping-particle" : "", "parse-names" : false, "suffix" : "" }, { "dropping-particle" : "", "family" : "Lehner", "given" : "Frank", "non-dropping-particle" : "", "parse-names" : false, "suffix" : "" }, { "dropping-particle" : "", "family" : "Kleine", "given" : "Moritz", "non-dropping-particle" : "", "parse-names" : false, "suffix" : "" }, { "dropping-particle" : "", "family" : "Bektas", "given" : "H\u00fcseyin", "non-dropping-particle" : "", "parse-names" : false, "suffix" : "" }, { "dropping-particle" : "", "family" : "Zachau", "given" : "Lea", "non-dropping-particle" : "", "parse-names" : false, "suffix" : "" }, { "dropping-particle" : "", "family" : "Klempnauer", "given" : "J\u00fcrgen", "non-dropping-particle" : "", "parse-names" : false, "suffix" : "" } ], "container-title" : "Annals of Transplantation", "id" : "ITEM-1", "issue" : "3", "issued" : { "date-parts" : [ [ "2012" ] ] }, "page" : "5-13", "title" : "The Donor-Risk-Index, ECD-Score and D-MELD-Score all fail to predict short-term outcome after liver transplantation with acceptable sensitivity and specificity", "type" : "article-journal", "volume" : "17" }, "uris" : [ "http://www.mendeley.com/documents/?uuid=e3a94390-5227-4abc-b714-8cc646f967ff" ] } ], "mendeley" : { "formattedCitation" : "&lt;sup&gt;[22]&lt;/sup&gt;", "plainTextFormattedCitation" : "[22]", "previouslyFormattedCitation" : "&lt;sup&gt;[22]&lt;/sup&gt;" }, "properties" : { "noteIndex" : 0 }, "schema" : "https://github.com/citation-style-language/schema/raw/master/csl-citation.json" }</w:instrText>
      </w:r>
      <w:r w:rsidR="00C032DE">
        <w:rPr>
          <w:rFonts w:ascii="Book Antiqua" w:hAnsi="Book Antiqua"/>
          <w:sz w:val="24"/>
          <w:szCs w:val="24"/>
          <w:lang w:val="en-GB"/>
        </w:rPr>
        <w:fldChar w:fldCharType="separate"/>
      </w:r>
      <w:r w:rsidR="00C032DE" w:rsidRPr="00315B8B">
        <w:rPr>
          <w:rFonts w:ascii="Book Antiqua" w:hAnsi="Book Antiqua"/>
          <w:noProof/>
          <w:sz w:val="24"/>
          <w:szCs w:val="24"/>
          <w:vertAlign w:val="superscript"/>
          <w:lang w:val="en-GB"/>
        </w:rPr>
        <w:t>[22]</w:t>
      </w:r>
      <w:r w:rsidR="00C032DE">
        <w:rPr>
          <w:rFonts w:ascii="Book Antiqua" w:hAnsi="Book Antiqua"/>
          <w:sz w:val="24"/>
          <w:szCs w:val="24"/>
          <w:lang w:val="en-GB"/>
        </w:rPr>
        <w:fldChar w:fldCharType="end"/>
      </w:r>
      <w:r w:rsidR="00E816C6">
        <w:rPr>
          <w:rFonts w:ascii="Book Antiqua" w:hAnsi="Book Antiqua"/>
          <w:sz w:val="24"/>
          <w:szCs w:val="24"/>
          <w:lang w:val="en-GB"/>
        </w:rPr>
        <w:t>.</w:t>
      </w:r>
      <w:r w:rsidR="00C032DE">
        <w:rPr>
          <w:lang w:val="en-GB"/>
        </w:rPr>
        <w:t xml:space="preserve"> </w:t>
      </w:r>
    </w:p>
    <w:p w14:paraId="761C2017" w14:textId="73F885C5" w:rsidR="001C1CE4" w:rsidRPr="001C1CE4" w:rsidRDefault="001C1CE4" w:rsidP="00422EBA">
      <w:pPr>
        <w:adjustRightInd w:val="0"/>
        <w:snapToGrid w:val="0"/>
        <w:spacing w:after="0" w:line="360" w:lineRule="auto"/>
        <w:ind w:firstLineChars="200" w:firstLine="480"/>
        <w:jc w:val="both"/>
        <w:rPr>
          <w:lang w:val="en-US"/>
        </w:rPr>
      </w:pPr>
      <w:r>
        <w:rPr>
          <w:rFonts w:ascii="Book Antiqua" w:hAnsi="Book Antiqua"/>
          <w:sz w:val="24"/>
          <w:szCs w:val="24"/>
          <w:lang w:val="en-GB"/>
        </w:rPr>
        <w:t>Survival outcome following liver transplantation (SOFT)</w:t>
      </w:r>
      <w:r w:rsidR="007D7ACC">
        <w:rPr>
          <w:rFonts w:ascii="Book Antiqua" w:hAnsi="Book Antiqua"/>
          <w:sz w:val="24"/>
          <w:szCs w:val="24"/>
          <w:lang w:val="en-GB"/>
        </w:rPr>
        <w:fldChar w:fldCharType="begin" w:fldLock="1"/>
      </w:r>
      <w:r w:rsidR="002D7F73">
        <w:rPr>
          <w:rFonts w:ascii="Book Antiqua" w:hAnsi="Book Antiqua"/>
          <w:sz w:val="24"/>
          <w:szCs w:val="24"/>
          <w:lang w:val="en-GB"/>
        </w:rPr>
        <w:instrText>ADDIN CSL_CITATION { "citationItems" : [ { "id" : "ITEM-1", "itemData" : { "DOI" : "10.1111/j.1600-6143.2008.02400.x", "ISSN" : "1600-6143", "PMID" : "18945283", "abstract" : "It is critical to balance waitlist mortality against posttransplant mortality. Our objective was to devise a scoring system that predicts recipient survival at 3 months following liver transplantation to complement MELD-predicted waitlist mortality. Univariate and multivariate analysis on 21,673 liver transplant recipients identified independent recipient and donor risk factors for posttransplant mortality. A retrospective analysis conducted on 30,321 waitlisted candidates reevaluated the predictive ability of the Model for End-Stage Liver Disease (MELD) score. We identified 13 recipient factors, 4 donor factors and 2 operative factors (warm and cold ischemia) as significant predictors of recipient mortality following liver transplantation at 3 months. The Survival Outcomes Following Liver Transplant (SOFT) Score utilized 18 risk factors (excluding warm ischemia) to successfully predict 3-month recipient survival following liver transplantation. This analysis represents a study of waitlisted candidates and transplant recipients of liver allografts after the MELD score was implemented. Unlike MELD, the SOFT score can accurately predict 3-month survival following liver transplantation. The most significant risk factors were previous transplantation and life support pretransplant. The SOFT score can help clinicians determine in real time which candidates should be transplanted with which allografts. Combined with MELD, SOFT can better quantify survival benefit for individual transplant procedures.", "author" : [ { "dropping-particle" : "", "family" : "Rana", "given" : "a", "non-dropping-particle" : "", "parse-names" : false, "suffix" : "" }, { "dropping-particle" : "", "family" : "Hardy", "given" : "M a", "non-dropping-particle" : "", "parse-names" : false, "suffix" : "" }, { "dropping-particle" : "", "family" : "Halazun", "given" : "K J", "non-dropping-particle" : "", "parse-names" : false, "suffix" : "" }, { "dropping-particle" : "", "family" : "Woodland", "given" : "D C", "non-dropping-particle" : "", "parse-names" : false, "suffix" : "" }, { "dropping-particle" : "", "family" : "Ratner", "given" : "L E", "non-dropping-particle" : "", "parse-names" : false, "suffix" : "" }, { "dropping-particle" : "", "family" : "Samstein", "given" : "B", "non-dropping-particle" : "", "parse-names" : false, "suffix" : "" }, { "dropping-particle" : "V", "family" : "Guarrera", "given" : "J", "non-dropping-particle" : "", "parse-names" : false, "suffix" : "" }, { "dropping-particle" : "", "family" : "Brown", "given" : "R S", "non-dropping-particle" : "", "parse-names" : false, "suffix" : "" }, { "dropping-particle" : "", "family" : "Emond", "given" : "J C", "non-dropping-particle" : "", "parse-names" : false, "suffix" : "" } ], "container-title" : "American Journal of Transplantation", "id" : "ITEM-1", "issue" : "12", "issued" : { "date-parts" : [ [ "2008" ] ] }, "page" : "2537-46", "title" : "Survival outcomes following liver transplantation (SOFT) score: a novel method to predict patient survival following liver transplantation.", "type" : "article-journal", "volume" : "8" }, "uris" : [ "http://www.mendeley.com/documents/?uuid=fa654be8-2483-4f18-9ca9-e36f4844a027" ] }, { "id" : "ITEM-2", "itemData" : { "DOI" : "10.1111/ctr.12181", "ISSN" : "09020063", "author" : [ { "dropping-particle" : "", "family" : "Rana", "given" : "Abbas", "non-dropping-particle" : "", "parse-names" : false, "suffix" : "" }, { "dropping-particle" : "", "family" : "Jie", "given" : "Tun", "non-dropping-particle" : "", "parse-names" : false, "suffix" : "" }, { "dropping-particle" : "", "family" : "Porubsky", "given" : "Marian", "non-dropping-particle" : "", "parse-names" : false, "suffix" : "" }, { "dropping-particle" : "", "family" : "Habib", "given" : "Shahid", "non-dropping-particle" : "", "parse-names" : false, "suffix" : "" }, { "dropping-particle" : "", "family" : "Rilo", "given" : "Horacio", "non-dropping-particle" : "", "parse-names" : false, "suffix" : "" }, { "dropping-particle" : "", "family" : "Kaplan", "given" : "Bruce", "non-dropping-particle" : "", "parse-names" : false, "suffix" : "" }, { "dropping-particle" : "", "family" : "Gruessner", "given" : "Angelika", "non-dropping-particle" : "", "parse-names" : false, "suffix" : "" }, { "dropping-particle" : "", "family" : "Gruessner", "given" : "Rainer", "non-dropping-particle" : "", "parse-names" : false, "suffix" : "" } ], "container-title" : "Clinical Transplantation", "id" : "ITEM-2", "issue" : "4", "issued" : { "date-parts" : [ [ "2013" ] ] }, "page" : "627-632", "title" : "The survival outcomes following liver transplantation (SOFT) score: validation with contemporaneous data and stratification of high-risk cohorts", "type" : "article-journal", "volume" : "27" }, "uris" : [ "http://www.mendeley.com/documents/?uuid=f61b2774-9986-4097-aa09-e3dbc1d5a0ec" ] } ], "mendeley" : { "formattedCitation" : "&lt;sup&gt;[23,24]&lt;/sup&gt;", "plainTextFormattedCitation" : "[23,24]", "previouslyFormattedCitation" : "&lt;sup&gt;[23,24]&lt;/sup&gt;" }, "properties" : { "noteIndex" : 0 }, "schema" : "https://github.com/citation-style-language/schema/raw/master/csl-citation.json" }</w:instrText>
      </w:r>
      <w:r w:rsidR="007D7ACC">
        <w:rPr>
          <w:rFonts w:ascii="Book Antiqua" w:hAnsi="Book Antiqua"/>
          <w:sz w:val="24"/>
          <w:szCs w:val="24"/>
          <w:lang w:val="en-GB"/>
        </w:rPr>
        <w:fldChar w:fldCharType="separate"/>
      </w:r>
      <w:r w:rsidR="00315B8B" w:rsidRPr="00315B8B">
        <w:rPr>
          <w:rFonts w:ascii="Book Antiqua" w:hAnsi="Book Antiqua"/>
          <w:noProof/>
          <w:sz w:val="24"/>
          <w:szCs w:val="24"/>
          <w:vertAlign w:val="superscript"/>
          <w:lang w:val="en-GB"/>
        </w:rPr>
        <w:t>[23,24]</w:t>
      </w:r>
      <w:r w:rsidR="007D7ACC">
        <w:rPr>
          <w:rFonts w:ascii="Book Antiqua" w:hAnsi="Book Antiqua"/>
          <w:sz w:val="24"/>
          <w:szCs w:val="24"/>
          <w:lang w:val="en-GB"/>
        </w:rPr>
        <w:fldChar w:fldCharType="end"/>
      </w:r>
      <w:r>
        <w:rPr>
          <w:rFonts w:ascii="Book Antiqua" w:hAnsi="Book Antiqua"/>
          <w:sz w:val="24"/>
          <w:szCs w:val="24"/>
          <w:lang w:val="en-GB"/>
        </w:rPr>
        <w:t xml:space="preserve"> and balance of risk (BAR)</w:t>
      </w:r>
      <w:r w:rsidR="007D7ACC">
        <w:rPr>
          <w:rFonts w:ascii="Book Antiqua" w:hAnsi="Book Antiqua"/>
          <w:sz w:val="24"/>
          <w:szCs w:val="24"/>
          <w:lang w:val="en-GB"/>
        </w:rPr>
        <w:fldChar w:fldCharType="begin" w:fldLock="1"/>
      </w:r>
      <w:r w:rsidR="002D7F73">
        <w:rPr>
          <w:rFonts w:ascii="Book Antiqua" w:hAnsi="Book Antiqua"/>
          <w:sz w:val="24"/>
          <w:szCs w:val="24"/>
          <w:lang w:val="en-GB"/>
        </w:rPr>
        <w:instrText>ADDIN CSL_CITATION { "citationItems" : [ { "id" : "ITEM-1", "itemData" : { "DOI" : "10.1097/SLA.0b013e3182365081", "ISSN" : "1528-1140", "PMID" : "22042468", "abstract" : "OBJECTIVES: To design a new score on risk assessment for orthotopic liver transplantation (OLT) based on both donor and recipient parameters.\n\nBACKGROUND: The balance of waiting list mortality and posttransplant outcome remains a difficult task in the era of the model for end-stage liver disease (MELD).\n\nMETHODS: Using the United Network for Organ Sharing database, a risk analysis was performed in adult recipients of OLT in the United States of America between 2002 and 2010 (n = 37,255). Living donor-, partial-, or combined-, and donation after cardiac death liver transplants were excluded. Next, a risk score was calculated (balance of risk score, BAR score) on the basis of logistic regression factors, and validated using our own OLT database (n = 233). Finally, the new score was compared with other prediction systems including donor risk index, survival outcome following liver transplantation, donor-age combined with MELD, and MELD score alone.\n\nRESULTS: Six strongest predictors of posttransplant survival were identified: recipient MELD score, cold ischemia time, recipient age, donor age, previous OLT, and life support dependence prior to transplant. The new balance of risk score stratified recipients best in terms of patient survival in the United Network for Organ Sharing data, as in our European population.\n\nCONCLUSIONS: The BAR system provides a new, simple and reliable tool to detect unfavorable combinations of donor and recipient factors, and is readily available before decision making of accepting or not an organ for a specific recipient. This score may offer great potential for better justice and utility, as it revealed to be superior to recent developed other prediction scores.", "author" : [ { "dropping-particle" : "", "family" : "Dutkowski", "given" : "Philipp", "non-dropping-particle" : "", "parse-names" : false, "suffix" : "" }, { "dropping-particle" : "", "family" : "Oberkofler", "given" : "Christian E", "non-dropping-particle" : "", "parse-names" : false, "suffix" : "" }, { "dropping-particle" : "", "family" : "Slankamenac", "given" : "Ksenija", "non-dropping-particle" : "", "parse-names" : false, "suffix" : "" }, { "dropping-particle" : "", "family" : "Puhan", "given" : "Milo A", "non-dropping-particle" : "", "parse-names" : false, "suffix" : "" }, { "dropping-particle" : "", "family" : "Schadde", "given" : "Erik", "non-dropping-particle" : "", "parse-names" : false, "suffix" : "" }, { "dropping-particle" : "", "family" : "M\u00fcllhaupt", "given" : "Beat", "non-dropping-particle" : "", "parse-names" : false, "suffix" : "" }, { "dropping-particle" : "", "family" : "Geier", "given" : "Andreas", "non-dropping-particle" : "", "parse-names" : false, "suffix" : "" }, { "dropping-particle" : "", "family" : "Clavien", "given" : "Pierre A", "non-dropping-particle" : "", "parse-names" : false, "suffix" : "" } ], "container-title" : "Annals of surgery", "id" : "ITEM-1", "issue" : "5", "issued" : { "date-parts" : [ [ "2011", "11" ] ] }, "page" : "745-53; discussion 753", "title" : "Are there better guidelines for allocation in liver transplantation? A novel score targeting justice and utility in the model for end-stage liver disease era.", "type" : "article-journal", "volume" : "254" }, "uris" : [ "http://www.mendeley.com/documents/?uuid=a78f91a6-0511-4f66-8a23-2c62abbdaf60" ] } ], "mendeley" : { "formattedCitation" : "&lt;sup&gt;[25]&lt;/sup&gt;", "plainTextFormattedCitation" : "[25]", "previouslyFormattedCitation" : "&lt;sup&gt;[25]&lt;/sup&gt;" }, "properties" : { "noteIndex" : 0 }, "schema" : "https://github.com/citation-style-language/schema/raw/master/csl-citation.json" }</w:instrText>
      </w:r>
      <w:r w:rsidR="007D7ACC">
        <w:rPr>
          <w:rFonts w:ascii="Book Antiqua" w:hAnsi="Book Antiqua"/>
          <w:sz w:val="24"/>
          <w:szCs w:val="24"/>
          <w:lang w:val="en-GB"/>
        </w:rPr>
        <w:fldChar w:fldCharType="separate"/>
      </w:r>
      <w:r w:rsidR="00315B8B" w:rsidRPr="00315B8B">
        <w:rPr>
          <w:rFonts w:ascii="Book Antiqua" w:hAnsi="Book Antiqua"/>
          <w:noProof/>
          <w:sz w:val="24"/>
          <w:szCs w:val="24"/>
          <w:vertAlign w:val="superscript"/>
          <w:lang w:val="en-GB"/>
        </w:rPr>
        <w:t>[25]</w:t>
      </w:r>
      <w:r w:rsidR="007D7ACC">
        <w:rPr>
          <w:rFonts w:ascii="Book Antiqua" w:hAnsi="Book Antiqua"/>
          <w:sz w:val="24"/>
          <w:szCs w:val="24"/>
          <w:lang w:val="en-GB"/>
        </w:rPr>
        <w:fldChar w:fldCharType="end"/>
      </w:r>
      <w:r>
        <w:rPr>
          <w:rFonts w:ascii="Book Antiqua" w:hAnsi="Book Antiqua"/>
          <w:sz w:val="24"/>
          <w:szCs w:val="24"/>
          <w:lang w:val="en-GB"/>
        </w:rPr>
        <w:t xml:space="preserve"> scores were designed to integrate donor, surgical and recipient risk factors (18 and 6 independent variables, respectively). </w:t>
      </w:r>
      <w:r w:rsidR="00D6716A">
        <w:rPr>
          <w:rFonts w:ascii="Book Antiqua" w:hAnsi="Book Antiqua"/>
          <w:sz w:val="24"/>
          <w:szCs w:val="24"/>
          <w:lang w:val="en-GB"/>
        </w:rPr>
        <w:t xml:space="preserve">BAR is a simpler score with extremely high specificity (98%) for identifying patients with high mortality risk. </w:t>
      </w:r>
      <w:r w:rsidR="00092854">
        <w:rPr>
          <w:rFonts w:ascii="Book Antiqua" w:hAnsi="Book Antiqua"/>
          <w:sz w:val="24"/>
          <w:szCs w:val="24"/>
          <w:lang w:val="en-GB"/>
        </w:rPr>
        <w:t>The Charlson Comorbidity Index (CCI)</w:t>
      </w:r>
      <w:r w:rsidR="007D7ACC">
        <w:rPr>
          <w:rFonts w:ascii="Book Antiqua" w:hAnsi="Book Antiqua"/>
          <w:sz w:val="24"/>
          <w:szCs w:val="24"/>
          <w:lang w:val="en-GB"/>
        </w:rPr>
        <w:fldChar w:fldCharType="begin" w:fldLock="1"/>
      </w:r>
      <w:r w:rsidR="002D7F73">
        <w:rPr>
          <w:rFonts w:ascii="Book Antiqua" w:hAnsi="Book Antiqua"/>
          <w:sz w:val="24"/>
          <w:szCs w:val="24"/>
          <w:lang w:val="en-GB"/>
        </w:rPr>
        <w:instrText>ADDIN CSL_CITATION { "citationItems" : [ { "id" : "ITEM-1", "itemData" : { "ISSN" : "0021-9681", "PMID" : "3558716", "abstract" : "The objective of this study was to develop a prospectively applicable method for classifying comorbid conditions which might alter the risk of mortality for use in longitudinal studies. A weighted index that takes into account the number and the seriousness of comorbid disease was developed in a cohort of 559 medical patients. The 1-yr mortality rates for the different scores were: \"0\", 12% (181); \"1-2\", 26% (225); \"3-4\", 52% (71); and \"greater than or equal to 5\", 85% (82). The index was tested for its ability to predict risk of death from comorbid disease in the second cohort of 685 patients during a 10-yr follow-up. The percent of patients who died of comorbid disease for the different scores were: \"0\", 8% (588); \"1\", 25% (54); \"2\", 48% (25); \"greater than or equal to 3\", 59% (18). With each increased level of the comorbidity index, there were stepwise increases in the cumulative mortality attributable to comorbid disease (log rank chi 2 = 165; p less than 0.0001). In this longer follow-up, age was also a predictor of mortality (p less than 0.001). The new index performed similarly to a previous system devised by Kaplan and Feinstein. The method of classifying comorbidity provides a simple, readily applicable and valid method of estimating risk of death from comorbid disease for use in longitudinal studies. Further work in larger populations is still required to refine the approach because the number of patients with any given condition in this study was relatively small.", "author" : [ { "dropping-particle" : "", "family" : "Charlson", "given" : "M E", "non-dropping-particle" : "", "parse-names" : false, "suffix" : "" }, { "dropping-particle" : "", "family" : "Pompei", "given" : "P", "non-dropping-particle" : "", "parse-names" : false, "suffix" : "" }, { "dropping-particle" : "", "family" : "Ales", "given" : "K L", "non-dropping-particle" : "", "parse-names" : false, "suffix" : "" }, { "dropping-particle" : "", "family" : "MacKenzie", "given" : "C R", "non-dropping-particle" : "", "parse-names" : false, "suffix" : "" } ], "container-title" : "Journal of chronic diseases", "id" : "ITEM-1", "issue" : "5", "issued" : { "date-parts" : [ [ "1987", "1" ] ] }, "page" : "373-83", "title" : "A new method of classifying prognostic comorbidity in longitudinal studies: development and validation.", "type" : "article-journal", "volume" : "40" }, "uris" : [ "http://www.mendeley.com/documents/?uuid=dad26783-0c60-4855-a9f8-d401a9b80103" ] } ], "mendeley" : { "formattedCitation" : "&lt;sup&gt;[26]&lt;/sup&gt;", "plainTextFormattedCitation" : "[26]", "previouslyFormattedCitation" : "&lt;sup&gt;[26]&lt;/sup&gt;" }, "properties" : { "noteIndex" : 0 }, "schema" : "https://github.com/citation-style-language/schema/raw/master/csl-citation.json" }</w:instrText>
      </w:r>
      <w:r w:rsidR="007D7ACC">
        <w:rPr>
          <w:rFonts w:ascii="Book Antiqua" w:hAnsi="Book Antiqua"/>
          <w:sz w:val="24"/>
          <w:szCs w:val="24"/>
          <w:lang w:val="en-GB"/>
        </w:rPr>
        <w:fldChar w:fldCharType="separate"/>
      </w:r>
      <w:r w:rsidR="00315B8B" w:rsidRPr="00315B8B">
        <w:rPr>
          <w:rFonts w:ascii="Book Antiqua" w:hAnsi="Book Antiqua"/>
          <w:noProof/>
          <w:sz w:val="24"/>
          <w:szCs w:val="24"/>
          <w:vertAlign w:val="superscript"/>
          <w:lang w:val="en-GB"/>
        </w:rPr>
        <w:t>[26]</w:t>
      </w:r>
      <w:r w:rsidR="007D7ACC">
        <w:rPr>
          <w:rFonts w:ascii="Book Antiqua" w:hAnsi="Book Antiqua"/>
          <w:sz w:val="24"/>
          <w:szCs w:val="24"/>
          <w:lang w:val="en-GB"/>
        </w:rPr>
        <w:fldChar w:fldCharType="end"/>
      </w:r>
      <w:r w:rsidR="007D7ACC">
        <w:fldChar w:fldCharType="begin"/>
      </w:r>
      <w:r w:rsidR="007D7ACC">
        <w:fldChar w:fldCharType="separate"/>
      </w:r>
      <w:r w:rsidR="00092854">
        <w:rPr>
          <w:rFonts w:ascii="Book Antiqua" w:hAnsi="Book Antiqua"/>
          <w:noProof/>
          <w:sz w:val="24"/>
          <w:szCs w:val="24"/>
          <w:lang w:val="en-GB"/>
        </w:rPr>
        <w:t>[55]</w:t>
      </w:r>
      <w:r w:rsidR="007D7ACC">
        <w:fldChar w:fldCharType="end"/>
      </w:r>
      <w:r w:rsidR="00092854">
        <w:rPr>
          <w:rFonts w:ascii="Book Antiqua" w:hAnsi="Book Antiqua"/>
          <w:sz w:val="24"/>
          <w:szCs w:val="24"/>
          <w:lang w:val="en-GB"/>
        </w:rPr>
        <w:t xml:space="preserve"> modified for specific LT needs (CCI-OLT) comprehensively assesses recipient clinical status before LT. </w:t>
      </w:r>
      <w:r w:rsidR="00982EAF">
        <w:rPr>
          <w:rFonts w:ascii="Book Antiqua" w:hAnsi="Book Antiqua"/>
          <w:sz w:val="24"/>
          <w:szCs w:val="24"/>
          <w:lang w:val="en-GB"/>
        </w:rPr>
        <w:t>All of them were affected by low discriminatory power, limiting their usefulness in individual cases, and scarce prediction of very short-term (1 month) post-LT survival</w:t>
      </w:r>
      <w:r w:rsidR="00C032DE">
        <w:rPr>
          <w:rFonts w:ascii="Book Antiqua" w:hAnsi="Book Antiqua"/>
          <w:sz w:val="24"/>
          <w:szCs w:val="24"/>
          <w:lang w:val="en-GB"/>
        </w:rPr>
        <w:fldChar w:fldCharType="begin" w:fldLock="1"/>
      </w:r>
      <w:r w:rsidR="00C032DE">
        <w:rPr>
          <w:rFonts w:ascii="Book Antiqua" w:hAnsi="Book Antiqua"/>
          <w:sz w:val="24"/>
          <w:szCs w:val="24"/>
          <w:lang w:val="en-GB"/>
        </w:rPr>
        <w:instrText>ADDIN CSL_CITATION { "citationItems" : [ { "id" : "ITEM-1", "itemData" : { "DOI" : "10.1002/lt.21172", "ISSN" : "1527-6465", "PMID" : "17969207", "abstract" : "The benefit of liver transplantation (LT) is determined not only by the severity of illness, but also by the likelihood of posttransplantation survival. Current models are unable to accurately predict which patients will have the best posttransplant survival. We hypothesized that the Charlson Comorbidity Index (CCI), which includes nine comorbidities, could be used to predict survival after LT. We performed a retrospective study of 624 patients undergoing LT, with a median follow-up time of 4.3 yr. Data on pretransplant comorbidities were collected, along with potential confounders such as age, gender, etiology, and severity of liver disease. Proportional hazards analysis was performed to determine the independent effect of each variable on posttransplantation survival, and to recalibrate the CCI for use in the liver transplant population. A total of 40% of patients had 1 or more comorbidities prior to transplantation. In the multivariate analysis, CCI was an independent predictor of posttransplantation survival (hazard ratio [HR] 1.21 per unit, P &lt; 0.001). When the individual components of the CCI were analyzed, coronary disease (HR 2.33), diabetes (HR 1.38), chronic obstructive pulmonary disease (COPD) (HR 2.67), connective tissue disease (HR 2.32), and renal insufficiency (HR 1.61) were all independent predictors of posttransplant survival. The CCI was recalibrated using a simplified weighting system to create the CCI-orthotopic LT (OLT), which improved the likelihood ratio chi-squared value from 15 to 24 for predicting posttransplantation survival. In conclusion, survival after LT is diminished in patients with pretransplantation coronary disease, diabetes, COPD, connective tissue disease, and renal insufficiency. We demonstrate the usefulness of a modified comorbidity index, the CCI-OLT, for predicting posttransplantation survival.", "author" : [ { "dropping-particle" : "", "family" : "Volk", "given" : "Michael L", "non-dropping-particle" : "", "parse-names" : false, "suffix" : "" }, { "dropping-particle" : "", "family" : "Hernandez", "given" : "Jose C", "non-dropping-particle" : "", "parse-names" : false, "suffix" : "" }, { "dropping-particle" : "", "family" : "Lok", "given" : "Anna S", "non-dropping-particle" : "", "parse-names" : false, "suffix" : "" }, { "dropping-particle" : "", "family" : "Marrero", "given" : "Jorge A", "non-dropping-particle" : "", "parse-names" : false, "suffix" : "" } ], "container-title" : "Liver transplantation : official publication of the American Association for the Study of Liver Diseases and the International Liver Transplantation Society", "id" : "ITEM-1", "issue" : "11", "issued" : { "date-parts" : [ [ "2007", "12" ] ] }, "page" : "1515-20", "title" : "Modified Charlson comorbidity index for predicting survival after liver transplantation.", "type" : "article-journal", "volume" : "13" }, "uris" : [ "http://www.mendeley.com/documents/?uuid=81549349-6dec-449c-8d47-279b1eeedd03" ] }, { "id" : "ITEM-2", "itemData" : { "DOI" : "10.1016/j.transproceed.2009.07.097", "ISSN" : "1873-2623", "PMID" : "19857690", "abstract" : "BACKGROUND: The Charlson Comorbidity Index for orthotopic liver transplantation (CCI-OLT) is a modified clinical score recently proposed to be useful for the assessment of long-term survival after OLT. It includes 9 associated conditions selected upon a multivariate analysis of a large cohort of transplant recipients. Its role in predicting early mortality after OLT has not yet been investigated. We sought to CCI-OLT as a potential predictor of 1-month mortality after OLT. MATERIALS/METHODS: One hundred ninety-seven OLT were performed in our center between March 2002 and February 2009. After exclusion of patients who underwent transplantation for fulminant hepatic failure or those who underwent regrafting, we included a group of 169 patients. Viral (39%) and alcohol-induced (23%) cirrhosis were the most common indications for OLT. The CCI-OLT index was assessed in all patients. RESULTS: In total, 146 (86%) subjects survived and 23 (14%) died within 1 month after LT. Fifty-one (30%) patients suffered at least 1 comorbidity that was included in the CCI-OLT. Direct comparison between survivor versus nonsurvivor groups showed no significant difference in terms of the total frequency of comorbidities (30.1% vs 30.4%; P &gt; .99) or the number or the type of comorbidity. The most commonly associated condition in both groups was diabetes mellitus. CONCLUSION: Unlike the case of long-term survival, CCI-OLT did not seem to predict early (1-month) mortality after OLT.", "author" : [ { "dropping-particle" : "", "family" : "Wasilewicz", "given" : "M", "non-dropping-particle" : "", "parse-names" : false, "suffix" : "" }, { "dropping-particle" : "", "family" : "Raszeja-Wyszomirska", "given" : "J", "non-dropping-particle" : "", "parse-names" : false, "suffix" : "" }, { "dropping-particle" : "", "family" : "Wunsch", "given" : "E", "non-dropping-particle" : "", "parse-names" : false, "suffix" : "" }, { "dropping-particle" : "", "family" : "W\u00f3jcicki", "given" : "M", "non-dropping-particle" : "", "parse-names" : false, "suffix" : "" }, { "dropping-particle" : "", "family" : "Milkiewicz", "given" : "P", "non-dropping-particle" : "", "parse-names" : false, "suffix" : "" } ], "container-title" : "Transplantation proceedings", "id" : "ITEM-2", "issue" : "8", "issued" : { "date-parts" : [ [ "2009", "10" ] ] }, "page" : "3117-8", "title" : "Modified Charlson Comorbidity Index in predicting early mortality after liver transplantation.", "type" : "article-journal", "volume" : "41" }, "uris" : [ "http://www.mendeley.com/documents/?uuid=b2fe3f2e-daea-43ff-ad9e-b360e4bcd88c" ] } ], "mendeley" : { "formattedCitation" : "&lt;sup&gt;[27,28]&lt;/sup&gt;", "plainTextFormattedCitation" : "[27,28]", "previouslyFormattedCitation" : "&lt;sup&gt;[27,28]&lt;/sup&gt;" }, "properties" : { "noteIndex" : 0 }, "schema" : "https://github.com/citation-style-language/schema/raw/master/csl-citation.json" }</w:instrText>
      </w:r>
      <w:r w:rsidR="00C032DE">
        <w:rPr>
          <w:rFonts w:ascii="Book Antiqua" w:hAnsi="Book Antiqua"/>
          <w:sz w:val="24"/>
          <w:szCs w:val="24"/>
          <w:lang w:val="en-GB"/>
        </w:rPr>
        <w:fldChar w:fldCharType="separate"/>
      </w:r>
      <w:r w:rsidR="00C032DE" w:rsidRPr="00315B8B">
        <w:rPr>
          <w:rFonts w:ascii="Book Antiqua" w:hAnsi="Book Antiqua"/>
          <w:noProof/>
          <w:sz w:val="24"/>
          <w:szCs w:val="24"/>
          <w:vertAlign w:val="superscript"/>
          <w:lang w:val="en-GB"/>
        </w:rPr>
        <w:t>[27,28]</w:t>
      </w:r>
      <w:r w:rsidR="00C032DE">
        <w:rPr>
          <w:rFonts w:ascii="Book Antiqua" w:hAnsi="Book Antiqua"/>
          <w:sz w:val="24"/>
          <w:szCs w:val="24"/>
          <w:lang w:val="en-GB"/>
        </w:rPr>
        <w:fldChar w:fldCharType="end"/>
      </w:r>
      <w:r w:rsidR="00F577F1">
        <w:rPr>
          <w:rFonts w:ascii="Book Antiqua" w:hAnsi="Book Antiqua"/>
          <w:sz w:val="24"/>
          <w:szCs w:val="24"/>
          <w:lang w:val="en-GB"/>
        </w:rPr>
        <w:t>.</w:t>
      </w:r>
      <w:bookmarkStart w:id="140" w:name="Mendeley_Bookmark_cBECkCyiXW"/>
      <w:bookmarkEnd w:id="140"/>
      <w:r w:rsidR="00C032DE">
        <w:rPr>
          <w:rFonts w:ascii="Book Antiqua" w:hAnsi="Book Antiqua"/>
          <w:sz w:val="24"/>
          <w:szCs w:val="24"/>
          <w:lang w:val="en-GB"/>
        </w:rPr>
        <w:t xml:space="preserve"> </w:t>
      </w:r>
      <w:r w:rsidR="0044030A">
        <w:rPr>
          <w:rFonts w:ascii="Book Antiqua" w:hAnsi="Book Antiqua"/>
          <w:sz w:val="24"/>
          <w:szCs w:val="24"/>
          <w:lang w:val="en-GB"/>
        </w:rPr>
        <w:fldChar w:fldCharType="begin"/>
      </w:r>
      <w:r w:rsidR="0044030A">
        <w:rPr>
          <w:rFonts w:ascii="Book Antiqua" w:hAnsi="Book Antiqua"/>
          <w:sz w:val="24"/>
          <w:szCs w:val="24"/>
          <w:lang w:val="en-GB"/>
        </w:rPr>
        <w:fldChar w:fldCharType="end"/>
      </w:r>
      <w:r w:rsidR="00A31169">
        <w:fldChar w:fldCharType="begin"/>
      </w:r>
      <w:r w:rsidR="00A31169">
        <w:fldChar w:fldCharType="end"/>
      </w:r>
      <w:r w:rsidR="00A31169">
        <w:fldChar w:fldCharType="begin"/>
      </w:r>
      <w:r w:rsidR="00A31169">
        <w:fldChar w:fldCharType="end"/>
      </w:r>
      <w:r w:rsidR="00A31169">
        <w:fldChar w:fldCharType="begin"/>
      </w:r>
      <w:r w:rsidR="00A31169">
        <w:fldChar w:fldCharType="end"/>
      </w:r>
      <w:r w:rsidR="00A31169">
        <w:fldChar w:fldCharType="begin"/>
      </w:r>
      <w:r w:rsidR="00A31169">
        <w:fldChar w:fldCharType="end"/>
      </w:r>
      <w:r w:rsidR="00A31169">
        <w:fldChar w:fldCharType="begin"/>
      </w:r>
      <w:r w:rsidR="00A31169">
        <w:fldChar w:fldCharType="end"/>
      </w:r>
      <w:r w:rsidR="007D7ACC">
        <w:rPr>
          <w:rFonts w:ascii="Book Antiqua" w:hAnsi="Book Antiqua"/>
          <w:sz w:val="24"/>
          <w:szCs w:val="24"/>
          <w:lang w:val="en-GB"/>
        </w:rPr>
        <w:fldChar w:fldCharType="begin"/>
      </w:r>
      <w:r w:rsidR="007D7ACC">
        <w:rPr>
          <w:rFonts w:ascii="Book Antiqua" w:hAnsi="Book Antiqua"/>
          <w:sz w:val="24"/>
          <w:szCs w:val="24"/>
          <w:lang w:val="en-GB"/>
        </w:rPr>
        <w:fldChar w:fldCharType="end"/>
      </w:r>
      <w:r w:rsidR="00A31169">
        <w:fldChar w:fldCharType="begin"/>
      </w:r>
      <w:r w:rsidR="00A31169">
        <w:fldChar w:fldCharType="end"/>
      </w:r>
      <w:r w:rsidR="00A31169">
        <w:fldChar w:fldCharType="begin"/>
      </w:r>
      <w:r w:rsidR="00A31169">
        <w:fldChar w:fldCharType="end"/>
      </w:r>
      <w:r w:rsidR="00A31169">
        <w:fldChar w:fldCharType="begin"/>
      </w:r>
      <w:r w:rsidR="00A31169">
        <w:fldChar w:fldCharType="end"/>
      </w:r>
      <w:r w:rsidR="00A31169">
        <w:fldChar w:fldCharType="begin"/>
      </w:r>
      <w:r w:rsidR="00A31169">
        <w:fldChar w:fldCharType="end"/>
      </w:r>
      <w:r w:rsidR="00A31169">
        <w:fldChar w:fldCharType="begin"/>
      </w:r>
      <w:r w:rsidR="00A31169">
        <w:fldChar w:fldCharType="end"/>
      </w:r>
      <w:r w:rsidR="00A31169">
        <w:fldChar w:fldCharType="begin"/>
      </w:r>
      <w:r w:rsidR="00A31169">
        <w:fldChar w:fldCharType="end"/>
      </w:r>
      <w:r w:rsidR="00A31169">
        <w:fldChar w:fldCharType="begin"/>
      </w:r>
      <w:r w:rsidR="00A31169">
        <w:fldChar w:fldCharType="end"/>
      </w:r>
      <w:r w:rsidR="00A31169">
        <w:fldChar w:fldCharType="begin"/>
      </w:r>
      <w:r w:rsidR="00A31169">
        <w:fldChar w:fldCharType="end"/>
      </w:r>
      <w:r w:rsidR="00A31169">
        <w:fldChar w:fldCharType="begin"/>
      </w:r>
      <w:r w:rsidR="00A31169">
        <w:fldChar w:fldCharType="end"/>
      </w:r>
      <w:r w:rsidR="00A31169">
        <w:fldChar w:fldCharType="begin"/>
      </w:r>
      <w:r w:rsidR="00A31169">
        <w:fldChar w:fldCharType="end"/>
      </w:r>
      <w:r w:rsidR="00A31169">
        <w:fldChar w:fldCharType="begin"/>
      </w:r>
      <w:r w:rsidR="00A31169">
        <w:fldChar w:fldCharType="end"/>
      </w:r>
      <w:r w:rsidR="00A31169">
        <w:fldChar w:fldCharType="begin"/>
      </w:r>
      <w:r w:rsidR="00A31169">
        <w:fldChar w:fldCharType="end"/>
      </w:r>
      <w:r w:rsidR="00A31169">
        <w:fldChar w:fldCharType="begin"/>
      </w:r>
      <w:r w:rsidR="00A31169">
        <w:fldChar w:fldCharType="end"/>
      </w:r>
      <w:r w:rsidR="00A31169">
        <w:fldChar w:fldCharType="begin"/>
      </w:r>
      <w:r w:rsidR="00A31169">
        <w:fldChar w:fldCharType="end"/>
      </w:r>
      <w:r w:rsidR="00A31169">
        <w:fldChar w:fldCharType="begin"/>
      </w:r>
      <w:r w:rsidR="00A31169">
        <w:fldChar w:fldCharType="end"/>
      </w:r>
      <w:r w:rsidR="00A31169">
        <w:fldChar w:fldCharType="begin"/>
      </w:r>
      <w:r w:rsidR="00A31169">
        <w:fldChar w:fldCharType="end"/>
      </w:r>
      <w:r w:rsidR="00A31169">
        <w:fldChar w:fldCharType="begin"/>
      </w:r>
      <w:r w:rsidR="00A31169">
        <w:fldChar w:fldCharType="end"/>
      </w:r>
      <w:r w:rsidR="00A31169">
        <w:fldChar w:fldCharType="begin"/>
      </w:r>
      <w:r w:rsidR="00A31169">
        <w:fldChar w:fldCharType="end"/>
      </w:r>
      <w:r w:rsidR="00A31169">
        <w:fldChar w:fldCharType="begin"/>
      </w:r>
      <w:r w:rsidR="00A31169">
        <w:fldChar w:fldCharType="end"/>
      </w:r>
      <w:r w:rsidR="00A31169">
        <w:fldChar w:fldCharType="begin"/>
      </w:r>
      <w:r w:rsidR="00A31169">
        <w:fldChar w:fldCharType="end"/>
      </w:r>
      <w:r w:rsidR="00A31169">
        <w:fldChar w:fldCharType="begin"/>
      </w:r>
      <w:r w:rsidR="00A31169">
        <w:fldChar w:fldCharType="end"/>
      </w:r>
      <w:r w:rsidR="00A31169">
        <w:fldChar w:fldCharType="begin"/>
      </w:r>
      <w:r w:rsidR="00A31169">
        <w:fldChar w:fldCharType="end"/>
      </w:r>
      <w:r w:rsidR="00A31169">
        <w:fldChar w:fldCharType="begin"/>
      </w:r>
      <w:r w:rsidR="00A31169">
        <w:fldChar w:fldCharType="end"/>
      </w:r>
      <w:r w:rsidR="007D7ACC">
        <w:rPr>
          <w:rFonts w:ascii="Book Antiqua" w:hAnsi="Book Antiqua"/>
          <w:sz w:val="24"/>
          <w:szCs w:val="24"/>
          <w:lang w:val="en-GB"/>
        </w:rPr>
        <w:fldChar w:fldCharType="begin"/>
      </w:r>
      <w:r w:rsidR="007D7ACC">
        <w:rPr>
          <w:rFonts w:ascii="Book Antiqua" w:hAnsi="Book Antiqua"/>
          <w:sz w:val="24"/>
          <w:szCs w:val="24"/>
          <w:lang w:val="en-GB"/>
        </w:rPr>
        <w:fldChar w:fldCharType="end"/>
      </w:r>
      <w:r w:rsidR="007D7ACC">
        <w:fldChar w:fldCharType="begin"/>
      </w:r>
      <w:r w:rsidR="007D7ACC">
        <w:fldChar w:fldCharType="end"/>
      </w:r>
      <w:r w:rsidR="007D7ACC">
        <w:fldChar w:fldCharType="begin"/>
      </w:r>
      <w:r w:rsidR="007D7ACC">
        <w:fldChar w:fldCharType="end"/>
      </w:r>
      <w:r w:rsidR="007D7ACC">
        <w:fldChar w:fldCharType="begin"/>
      </w:r>
      <w:r w:rsidR="007D7ACC">
        <w:fldChar w:fldCharType="end"/>
      </w:r>
      <w:r w:rsidR="007D7ACC">
        <w:fldChar w:fldCharType="begin"/>
      </w:r>
      <w:r w:rsidR="007D7ACC">
        <w:fldChar w:fldCharType="end"/>
      </w:r>
      <w:r w:rsidR="007D7ACC">
        <w:fldChar w:fldCharType="begin"/>
      </w:r>
      <w:r w:rsidR="007D7ACC">
        <w:fldChar w:fldCharType="end"/>
      </w:r>
      <w:r w:rsidR="007D7ACC">
        <w:fldChar w:fldCharType="begin"/>
      </w:r>
      <w:r w:rsidR="007D7ACC">
        <w:fldChar w:fldCharType="end"/>
      </w:r>
      <w:r w:rsidR="007D7ACC">
        <w:fldChar w:fldCharType="begin"/>
      </w:r>
      <w:r w:rsidR="007D7ACC">
        <w:fldChar w:fldCharType="end"/>
      </w:r>
      <w:r w:rsidR="007D7ACC">
        <w:fldChar w:fldCharType="begin"/>
      </w:r>
      <w:r w:rsidR="007D7ACC">
        <w:fldChar w:fldCharType="end"/>
      </w:r>
      <w:r w:rsidR="007D7ACC">
        <w:fldChar w:fldCharType="begin"/>
      </w:r>
      <w:r w:rsidR="007D7ACC">
        <w:fldChar w:fldCharType="end"/>
      </w:r>
      <w:r w:rsidR="007D7ACC">
        <w:fldChar w:fldCharType="begin"/>
      </w:r>
      <w:r w:rsidR="007D7ACC">
        <w:fldChar w:fldCharType="end"/>
      </w:r>
      <w:r w:rsidR="007D7ACC">
        <w:fldChar w:fldCharType="begin"/>
      </w:r>
      <w:r w:rsidR="007D7ACC">
        <w:fldChar w:fldCharType="end"/>
      </w:r>
      <w:r w:rsidR="007D7ACC">
        <w:fldChar w:fldCharType="begin"/>
      </w:r>
      <w:r w:rsidR="007D7ACC">
        <w:fldChar w:fldCharType="end"/>
      </w:r>
      <w:r w:rsidR="007D7ACC">
        <w:fldChar w:fldCharType="begin"/>
      </w:r>
      <w:r w:rsidR="007D7ACC">
        <w:fldChar w:fldCharType="end"/>
      </w:r>
      <w:r w:rsidR="007D7ACC">
        <w:fldChar w:fldCharType="begin"/>
      </w:r>
      <w:r w:rsidR="007D7ACC">
        <w:fldChar w:fldCharType="end"/>
      </w:r>
      <w:r w:rsidR="007D7ACC">
        <w:fldChar w:fldCharType="begin"/>
      </w:r>
      <w:r w:rsidR="007D7ACC">
        <w:fldChar w:fldCharType="end"/>
      </w:r>
      <w:r w:rsidR="007D7ACC">
        <w:fldChar w:fldCharType="begin"/>
      </w:r>
      <w:r w:rsidR="007D7ACC">
        <w:fldChar w:fldCharType="end"/>
      </w:r>
      <w:r w:rsidR="007D7ACC">
        <w:fldChar w:fldCharType="begin"/>
      </w:r>
      <w:r w:rsidR="007D7ACC">
        <w:fldChar w:fldCharType="end"/>
      </w:r>
      <w:r w:rsidR="007D7ACC">
        <w:fldChar w:fldCharType="begin"/>
      </w:r>
      <w:r w:rsidR="007D7ACC">
        <w:fldChar w:fldCharType="end"/>
      </w:r>
      <w:r w:rsidR="007D7ACC">
        <w:fldChar w:fldCharType="begin"/>
      </w:r>
      <w:r w:rsidR="007D7ACC">
        <w:fldChar w:fldCharType="end"/>
      </w:r>
      <w:r w:rsidR="007D7ACC">
        <w:fldChar w:fldCharType="begin"/>
      </w:r>
      <w:r w:rsidR="007D7ACC">
        <w:fldChar w:fldCharType="end"/>
      </w:r>
      <w:r w:rsidR="007D7ACC">
        <w:fldChar w:fldCharType="begin"/>
      </w:r>
      <w:r w:rsidR="007D7ACC">
        <w:fldChar w:fldCharType="end"/>
      </w:r>
      <w:r w:rsidR="007D7ACC">
        <w:fldChar w:fldCharType="begin"/>
      </w:r>
      <w:r w:rsidR="007D7ACC">
        <w:fldChar w:fldCharType="end"/>
      </w:r>
      <w:r w:rsidR="007D7ACC">
        <w:fldChar w:fldCharType="begin"/>
      </w:r>
      <w:r w:rsidR="007D7ACC">
        <w:fldChar w:fldCharType="end"/>
      </w:r>
      <w:r w:rsidR="007D7ACC">
        <w:fldChar w:fldCharType="begin"/>
      </w:r>
      <w:r w:rsidR="007D7ACC">
        <w:fldChar w:fldCharType="end"/>
      </w:r>
      <w:r w:rsidR="007D7ACC">
        <w:fldChar w:fldCharType="begin"/>
      </w:r>
      <w:r w:rsidR="007D7ACC">
        <w:fldChar w:fldCharType="end"/>
      </w:r>
      <w:r w:rsidR="007D7ACC">
        <w:fldChar w:fldCharType="begin"/>
      </w:r>
      <w:r w:rsidR="007D7ACC">
        <w:fldChar w:fldCharType="end"/>
      </w:r>
      <w:r w:rsidR="007D7ACC">
        <w:fldChar w:fldCharType="begin"/>
      </w:r>
      <w:r w:rsidR="007D7ACC">
        <w:fldChar w:fldCharType="end"/>
      </w:r>
      <w:r w:rsidR="007D7ACC">
        <w:fldChar w:fldCharType="begin"/>
      </w:r>
      <w:r w:rsidR="007D7ACC">
        <w:fldChar w:fldCharType="end"/>
      </w:r>
      <w:r w:rsidR="007D7ACC">
        <w:fldChar w:fldCharType="begin"/>
      </w:r>
      <w:r w:rsidR="007D7ACC">
        <w:fldChar w:fldCharType="end"/>
      </w:r>
      <w:r w:rsidR="007D7ACC">
        <w:fldChar w:fldCharType="begin"/>
      </w:r>
      <w:r w:rsidR="007D7ACC">
        <w:fldChar w:fldCharType="end"/>
      </w:r>
      <w:r w:rsidR="007D7ACC">
        <w:fldChar w:fldCharType="begin"/>
      </w:r>
      <w:r w:rsidR="007D7ACC">
        <w:fldChar w:fldCharType="end"/>
      </w:r>
      <w:r w:rsidR="007D7ACC">
        <w:fldChar w:fldCharType="begin"/>
      </w:r>
      <w:r w:rsidR="007D7ACC">
        <w:fldChar w:fldCharType="end"/>
      </w:r>
      <w:r w:rsidR="007D7ACC">
        <w:fldChar w:fldCharType="begin"/>
      </w:r>
      <w:r w:rsidR="007D7ACC">
        <w:fldChar w:fldCharType="end"/>
      </w:r>
      <w:r w:rsidR="007D7ACC">
        <w:fldChar w:fldCharType="begin"/>
      </w:r>
      <w:r w:rsidR="007D7ACC">
        <w:fldChar w:fldCharType="end"/>
      </w:r>
      <w:r w:rsidR="007D7ACC">
        <w:fldChar w:fldCharType="begin"/>
      </w:r>
      <w:r w:rsidR="007D7ACC">
        <w:fldChar w:fldCharType="end"/>
      </w:r>
      <w:r w:rsidR="007D7ACC">
        <w:fldChar w:fldCharType="begin"/>
      </w:r>
      <w:r w:rsidR="007D7ACC">
        <w:fldChar w:fldCharType="end"/>
      </w:r>
      <w:r w:rsidR="007D7ACC">
        <w:fldChar w:fldCharType="begin"/>
      </w:r>
      <w:r w:rsidR="007D7ACC">
        <w:fldChar w:fldCharType="end"/>
      </w:r>
      <w:r w:rsidR="007D7ACC">
        <w:fldChar w:fldCharType="begin"/>
      </w:r>
      <w:r w:rsidR="007D7ACC">
        <w:fldChar w:fldCharType="end"/>
      </w:r>
      <w:r w:rsidR="007D7ACC">
        <w:fldChar w:fldCharType="begin"/>
      </w:r>
      <w:r w:rsidR="007D7ACC">
        <w:fldChar w:fldCharType="end"/>
      </w:r>
      <w:r w:rsidR="007D7ACC">
        <w:fldChar w:fldCharType="begin"/>
      </w:r>
      <w:r w:rsidR="007D7ACC">
        <w:fldChar w:fldCharType="end"/>
      </w:r>
      <w:r w:rsidR="007D7ACC">
        <w:fldChar w:fldCharType="begin"/>
      </w:r>
      <w:r w:rsidR="007D7ACC">
        <w:fldChar w:fldCharType="end"/>
      </w:r>
      <w:r w:rsidR="007D7ACC">
        <w:fldChar w:fldCharType="begin"/>
      </w:r>
      <w:r w:rsidR="007D7ACC">
        <w:fldChar w:fldCharType="end"/>
      </w:r>
      <w:r w:rsidR="007D7ACC">
        <w:fldChar w:fldCharType="begin"/>
      </w:r>
      <w:r w:rsidR="007D7ACC">
        <w:fldChar w:fldCharType="end"/>
      </w:r>
      <w:r w:rsidR="007D7ACC">
        <w:fldChar w:fldCharType="begin"/>
      </w:r>
      <w:r w:rsidR="007D7ACC">
        <w:fldChar w:fldCharType="end"/>
      </w:r>
      <w:r w:rsidR="007D7ACC">
        <w:fldChar w:fldCharType="begin"/>
      </w:r>
      <w:r w:rsidR="007D7ACC">
        <w:fldChar w:fldCharType="end"/>
      </w:r>
      <w:r w:rsidR="007D7ACC">
        <w:fldChar w:fldCharType="begin"/>
      </w:r>
      <w:r w:rsidR="007D7ACC">
        <w:fldChar w:fldCharType="end"/>
      </w:r>
      <w:r w:rsidR="007D7ACC">
        <w:fldChar w:fldCharType="begin"/>
      </w:r>
      <w:r w:rsidR="007D7ACC">
        <w:fldChar w:fldCharType="end"/>
      </w:r>
      <w:r w:rsidR="007D7ACC">
        <w:fldChar w:fldCharType="begin"/>
      </w:r>
      <w:r w:rsidR="007D7ACC">
        <w:fldChar w:fldCharType="end"/>
      </w:r>
      <w:r w:rsidR="007D7ACC">
        <w:fldChar w:fldCharType="begin"/>
      </w:r>
      <w:r w:rsidR="007D7ACC">
        <w:fldChar w:fldCharType="end"/>
      </w:r>
      <w:r w:rsidR="007D7ACC">
        <w:fldChar w:fldCharType="begin"/>
      </w:r>
      <w:r w:rsidR="007D7ACC">
        <w:fldChar w:fldCharType="end"/>
      </w:r>
      <w:r w:rsidR="007D7ACC">
        <w:fldChar w:fldCharType="begin"/>
      </w:r>
      <w:r w:rsidR="007D7ACC">
        <w:fldChar w:fldCharType="end"/>
      </w:r>
      <w:r w:rsidR="007D7ACC">
        <w:fldChar w:fldCharType="begin"/>
      </w:r>
      <w:r w:rsidR="007D7ACC">
        <w:fldChar w:fldCharType="end"/>
      </w:r>
      <w:r w:rsidR="007D7ACC">
        <w:fldChar w:fldCharType="begin"/>
      </w:r>
      <w:r w:rsidR="007D7ACC">
        <w:fldChar w:fldCharType="end"/>
      </w:r>
      <w:r w:rsidR="007D7ACC">
        <w:fldChar w:fldCharType="begin"/>
      </w:r>
      <w:r w:rsidR="007D7ACC">
        <w:fldChar w:fldCharType="end"/>
      </w:r>
      <w:r w:rsidR="007D7ACC">
        <w:fldChar w:fldCharType="begin"/>
      </w:r>
      <w:r w:rsidR="007D7ACC">
        <w:fldChar w:fldCharType="end"/>
      </w:r>
      <w:r w:rsidR="007D7ACC">
        <w:rPr>
          <w:rFonts w:ascii="Book Antiqua" w:hAnsi="Book Antiqua"/>
          <w:sz w:val="24"/>
          <w:szCs w:val="24"/>
          <w:lang w:val="en-GB"/>
        </w:rPr>
        <w:fldChar w:fldCharType="begin"/>
      </w:r>
      <w:r w:rsidR="007D7ACC">
        <w:rPr>
          <w:rFonts w:ascii="Book Antiqua" w:hAnsi="Book Antiqua"/>
          <w:sz w:val="24"/>
          <w:szCs w:val="24"/>
          <w:lang w:val="en-GB"/>
        </w:rPr>
        <w:fldChar w:fldCharType="end"/>
      </w:r>
      <w:r w:rsidR="007D7ACC">
        <w:fldChar w:fldCharType="begin"/>
      </w:r>
      <w:r w:rsidR="007D7ACC">
        <w:fldChar w:fldCharType="end"/>
      </w:r>
      <w:r w:rsidR="007D7ACC">
        <w:fldChar w:fldCharType="begin"/>
      </w:r>
      <w:r w:rsidR="007D7ACC">
        <w:fldChar w:fldCharType="end"/>
      </w:r>
      <w:r w:rsidR="007D7ACC">
        <w:fldChar w:fldCharType="begin"/>
      </w:r>
      <w:r w:rsidR="007D7ACC">
        <w:fldChar w:fldCharType="end"/>
      </w:r>
      <w:r w:rsidR="007D7ACC">
        <w:fldChar w:fldCharType="begin"/>
      </w:r>
      <w:r w:rsidR="007D7ACC">
        <w:fldChar w:fldCharType="end"/>
      </w:r>
      <w:r w:rsidR="007D7ACC">
        <w:fldChar w:fldCharType="begin"/>
      </w:r>
      <w:r w:rsidR="007D7ACC">
        <w:fldChar w:fldCharType="end"/>
      </w:r>
      <w:r w:rsidR="007D7ACC">
        <w:fldChar w:fldCharType="begin"/>
      </w:r>
      <w:r w:rsidR="007D7ACC">
        <w:fldChar w:fldCharType="end"/>
      </w:r>
      <w:r w:rsidR="007D7ACC">
        <w:fldChar w:fldCharType="begin"/>
      </w:r>
      <w:r w:rsidR="007D7ACC">
        <w:fldChar w:fldCharType="end"/>
      </w:r>
      <w:r w:rsidR="007D7ACC">
        <w:fldChar w:fldCharType="begin"/>
      </w:r>
      <w:r w:rsidR="007D7ACC">
        <w:fldChar w:fldCharType="end"/>
      </w:r>
      <w:r w:rsidR="007D7ACC">
        <w:fldChar w:fldCharType="begin"/>
      </w:r>
      <w:r w:rsidR="007D7ACC">
        <w:fldChar w:fldCharType="end"/>
      </w:r>
      <w:r w:rsidR="007D7ACC">
        <w:fldChar w:fldCharType="begin"/>
      </w:r>
      <w:r w:rsidR="007D7ACC">
        <w:fldChar w:fldCharType="end"/>
      </w:r>
      <w:r w:rsidR="007D7ACC">
        <w:fldChar w:fldCharType="begin"/>
      </w:r>
      <w:r w:rsidR="007D7ACC">
        <w:fldChar w:fldCharType="end"/>
      </w:r>
      <w:r w:rsidR="007D7ACC">
        <w:fldChar w:fldCharType="begin"/>
      </w:r>
      <w:r w:rsidR="007D7ACC">
        <w:fldChar w:fldCharType="end"/>
      </w:r>
      <w:r w:rsidR="007D7ACC">
        <w:fldChar w:fldCharType="begin"/>
      </w:r>
      <w:r w:rsidR="007D7ACC">
        <w:fldChar w:fldCharType="end"/>
      </w:r>
      <w:r w:rsidR="007D7ACC">
        <w:fldChar w:fldCharType="begin"/>
      </w:r>
      <w:r w:rsidR="007D7ACC">
        <w:fldChar w:fldCharType="end"/>
      </w:r>
      <w:r w:rsidR="007D7ACC">
        <w:fldChar w:fldCharType="begin"/>
      </w:r>
      <w:r w:rsidR="007D7ACC">
        <w:fldChar w:fldCharType="end"/>
      </w:r>
      <w:r w:rsidR="007D7ACC">
        <w:fldChar w:fldCharType="begin"/>
      </w:r>
      <w:r w:rsidR="007D7ACC">
        <w:fldChar w:fldCharType="end"/>
      </w:r>
      <w:r w:rsidR="007D7ACC">
        <w:fldChar w:fldCharType="begin"/>
      </w:r>
      <w:r w:rsidR="007D7ACC">
        <w:fldChar w:fldCharType="end"/>
      </w:r>
      <w:r w:rsidR="007D7ACC">
        <w:fldChar w:fldCharType="begin"/>
      </w:r>
      <w:r w:rsidR="007D7ACC">
        <w:fldChar w:fldCharType="end"/>
      </w:r>
      <w:r w:rsidR="007D7ACC">
        <w:fldChar w:fldCharType="begin"/>
      </w:r>
      <w:r w:rsidR="007D7ACC">
        <w:fldChar w:fldCharType="end"/>
      </w:r>
      <w:r w:rsidR="007D7ACC">
        <w:fldChar w:fldCharType="begin"/>
      </w:r>
      <w:r w:rsidR="007D7ACC">
        <w:fldChar w:fldCharType="end"/>
      </w:r>
      <w:r w:rsidR="007D7ACC">
        <w:fldChar w:fldCharType="begin"/>
      </w:r>
      <w:r w:rsidR="007D7ACC">
        <w:fldChar w:fldCharType="end"/>
      </w:r>
      <w:r w:rsidR="007D7ACC">
        <w:fldChar w:fldCharType="begin"/>
      </w:r>
      <w:r w:rsidR="007D7ACC">
        <w:fldChar w:fldCharType="end"/>
      </w:r>
      <w:r w:rsidR="007D7ACC">
        <w:fldChar w:fldCharType="begin"/>
      </w:r>
      <w:r w:rsidR="007D7ACC">
        <w:fldChar w:fldCharType="end"/>
      </w:r>
      <w:r w:rsidR="007D7ACC">
        <w:fldChar w:fldCharType="begin"/>
      </w:r>
      <w:r w:rsidR="007D7ACC">
        <w:fldChar w:fldCharType="end"/>
      </w:r>
      <w:r w:rsidR="007D7ACC">
        <w:fldChar w:fldCharType="begin"/>
      </w:r>
      <w:r w:rsidR="007D7ACC">
        <w:fldChar w:fldCharType="end"/>
      </w:r>
      <w:r w:rsidR="007D7ACC">
        <w:fldChar w:fldCharType="begin"/>
      </w:r>
      <w:r w:rsidR="007D7ACC">
        <w:fldChar w:fldCharType="end"/>
      </w:r>
      <w:r w:rsidR="007D7ACC">
        <w:fldChar w:fldCharType="begin"/>
      </w:r>
      <w:r w:rsidR="007D7ACC">
        <w:fldChar w:fldCharType="end"/>
      </w:r>
      <w:r w:rsidR="007D7ACC">
        <w:fldChar w:fldCharType="begin"/>
      </w:r>
      <w:r w:rsidR="007D7ACC">
        <w:fldChar w:fldCharType="end"/>
      </w:r>
      <w:r w:rsidR="007D7ACC">
        <w:fldChar w:fldCharType="begin"/>
      </w:r>
      <w:r w:rsidR="007D7ACC">
        <w:fldChar w:fldCharType="end"/>
      </w:r>
      <w:r w:rsidR="007D7ACC">
        <w:fldChar w:fldCharType="begin"/>
      </w:r>
      <w:r w:rsidR="007D7ACC">
        <w:fldChar w:fldCharType="end"/>
      </w:r>
      <w:r w:rsidR="007D7ACC">
        <w:fldChar w:fldCharType="begin"/>
      </w:r>
      <w:r w:rsidR="007D7ACC">
        <w:fldChar w:fldCharType="end"/>
      </w:r>
      <w:r w:rsidR="007D7ACC">
        <w:fldChar w:fldCharType="begin"/>
      </w:r>
      <w:r w:rsidR="007D7ACC">
        <w:fldChar w:fldCharType="end"/>
      </w:r>
      <w:r w:rsidR="007D7ACC">
        <w:fldChar w:fldCharType="begin"/>
      </w:r>
      <w:r w:rsidR="007D7ACC">
        <w:fldChar w:fldCharType="end"/>
      </w:r>
      <w:r w:rsidR="007D7ACC">
        <w:fldChar w:fldCharType="begin"/>
      </w:r>
      <w:r w:rsidR="007D7ACC">
        <w:fldChar w:fldCharType="end"/>
      </w:r>
      <w:r w:rsidR="007D7ACC">
        <w:fldChar w:fldCharType="begin"/>
      </w:r>
      <w:r w:rsidR="007D7ACC">
        <w:fldChar w:fldCharType="end"/>
      </w:r>
      <w:r w:rsidR="007D7ACC">
        <w:fldChar w:fldCharType="begin"/>
      </w:r>
      <w:r w:rsidR="007D7ACC">
        <w:fldChar w:fldCharType="end"/>
      </w:r>
      <w:r w:rsidR="007D7ACC">
        <w:fldChar w:fldCharType="begin"/>
      </w:r>
      <w:r w:rsidR="007D7ACC">
        <w:fldChar w:fldCharType="end"/>
      </w:r>
      <w:r w:rsidR="007D7ACC">
        <w:fldChar w:fldCharType="begin"/>
      </w:r>
      <w:r w:rsidR="007D7ACC">
        <w:fldChar w:fldCharType="end"/>
      </w:r>
      <w:r w:rsidR="007D7ACC">
        <w:fldChar w:fldCharType="begin"/>
      </w:r>
      <w:r w:rsidR="007D7ACC">
        <w:fldChar w:fldCharType="end"/>
      </w:r>
      <w:r w:rsidR="007D7ACC">
        <w:fldChar w:fldCharType="begin"/>
      </w:r>
      <w:r w:rsidR="007D7ACC">
        <w:fldChar w:fldCharType="end"/>
      </w:r>
      <w:r w:rsidR="007D7ACC">
        <w:fldChar w:fldCharType="begin"/>
      </w:r>
      <w:r w:rsidR="007D7ACC">
        <w:fldChar w:fldCharType="end"/>
      </w:r>
      <w:r w:rsidR="007D7ACC">
        <w:fldChar w:fldCharType="begin"/>
      </w:r>
      <w:r w:rsidR="007D7ACC">
        <w:fldChar w:fldCharType="end"/>
      </w:r>
      <w:r w:rsidR="007D7ACC">
        <w:fldChar w:fldCharType="begin"/>
      </w:r>
      <w:r w:rsidR="007D7ACC">
        <w:fldChar w:fldCharType="end"/>
      </w:r>
      <w:r w:rsidR="007D7ACC">
        <w:fldChar w:fldCharType="begin"/>
      </w:r>
      <w:r w:rsidR="007D7ACC">
        <w:fldChar w:fldCharType="end"/>
      </w:r>
      <w:r w:rsidR="007D7ACC">
        <w:fldChar w:fldCharType="begin"/>
      </w:r>
      <w:r w:rsidR="007D7ACC">
        <w:fldChar w:fldCharType="end"/>
      </w:r>
      <w:r>
        <w:rPr>
          <w:rFonts w:ascii="Book Antiqua" w:hAnsi="Book Antiqua"/>
          <w:sz w:val="24"/>
          <w:szCs w:val="24"/>
          <w:lang w:val="en-GB"/>
        </w:rPr>
        <w:t xml:space="preserve"> </w:t>
      </w:r>
    </w:p>
    <w:p w14:paraId="0DC6F867" w14:textId="0702AAE5" w:rsidR="00B50912" w:rsidRDefault="001C1CE4" w:rsidP="00422EBA">
      <w:pPr>
        <w:adjustRightInd w:val="0"/>
        <w:snapToGrid w:val="0"/>
        <w:spacing w:after="0" w:line="360" w:lineRule="auto"/>
        <w:ind w:firstLineChars="200" w:firstLine="480"/>
        <w:jc w:val="both"/>
        <w:rPr>
          <w:rStyle w:val="A8136"/>
          <w:rFonts w:ascii="Book Antiqua" w:hAnsi="Book Antiqua" w:cs="Minion"/>
          <w:b/>
          <w:sz w:val="24"/>
          <w:szCs w:val="24"/>
          <w:lang w:val="en-GB"/>
        </w:rPr>
      </w:pPr>
      <w:r>
        <w:rPr>
          <w:rFonts w:ascii="Book Antiqua" w:hAnsi="Book Antiqua"/>
          <w:sz w:val="24"/>
          <w:szCs w:val="24"/>
          <w:lang w:val="en-GB"/>
        </w:rPr>
        <w:t xml:space="preserve">Several of these studies focused only on patient outcome. For this reason, early retransplantation was a frequent criterion of exclusion in these publications, which consequently do not </w:t>
      </w:r>
      <w:r w:rsidR="0005335D">
        <w:rPr>
          <w:rFonts w:ascii="Book Antiqua" w:hAnsi="Book Antiqua"/>
          <w:sz w:val="24"/>
          <w:szCs w:val="24"/>
          <w:lang w:val="en-GB"/>
        </w:rPr>
        <w:t>provide information</w:t>
      </w:r>
      <w:r>
        <w:rPr>
          <w:rFonts w:ascii="Book Antiqua" w:hAnsi="Book Antiqua"/>
          <w:sz w:val="24"/>
          <w:szCs w:val="24"/>
          <w:lang w:val="en-GB"/>
        </w:rPr>
        <w:t xml:space="preserve"> about graft function and survival.</w:t>
      </w:r>
    </w:p>
    <w:p w14:paraId="1B8458B6" w14:textId="3E476D37" w:rsidR="001C1CE4" w:rsidRDefault="001C1CE4" w:rsidP="00422EBA">
      <w:pPr>
        <w:adjustRightInd w:val="0"/>
        <w:snapToGrid w:val="0"/>
        <w:spacing w:after="0" w:line="360" w:lineRule="auto"/>
        <w:ind w:firstLineChars="200" w:firstLine="480"/>
        <w:jc w:val="both"/>
        <w:rPr>
          <w:lang w:val="en-GB"/>
        </w:rPr>
      </w:pPr>
      <w:r>
        <w:rPr>
          <w:rFonts w:ascii="Book Antiqua" w:hAnsi="Book Antiqua"/>
          <w:sz w:val="24"/>
          <w:szCs w:val="24"/>
          <w:lang w:val="en-GB"/>
        </w:rPr>
        <w:t>Intraoperative anaesthetic management and surgical techniques can strongly influence postoperative patient and graft function. Duration of the intervention, difficult arterial anastomosis, high blood loss and red blood cell transfusion</w:t>
      </w:r>
      <w:r w:rsidR="007D7ACC">
        <w:rPr>
          <w:rFonts w:ascii="Book Antiqua" w:hAnsi="Book Antiqua"/>
          <w:sz w:val="24"/>
          <w:szCs w:val="24"/>
          <w:lang w:val="en-GB"/>
        </w:rPr>
        <w:fldChar w:fldCharType="begin" w:fldLock="1"/>
      </w:r>
      <w:r w:rsidR="002D7F73">
        <w:rPr>
          <w:rFonts w:ascii="Book Antiqua" w:hAnsi="Book Antiqua"/>
          <w:sz w:val="24"/>
          <w:szCs w:val="24"/>
          <w:lang w:val="en-GB"/>
        </w:rPr>
        <w:instrText>ADDIN CSL_CITATION { "citationItems" : [ { "id" : "ITEM-1", "itemData" : { "DOI" : "10.1016/j.cca.2015.04.022", "ISSN" : "1873-3492", "PMID" : "25916692", "abstract" : "BACKGROUND: Optimal haemostasis management can improve patient outcomes and reduce blood loss and transfusion volume in orthotopic-liver-transplant (OLT).\\n\\nMETHODS: We performed a prospective study including 200 consecutive OLTs. The first 100 patients were treated according to the clinic's standards and the next 100 patients were treated using the new point-of-care (POC)-based haemostasis management strategy. Transfusion parameters and other outcomes were compared between groups.\\n\\nRESULTS: Transfusion requirements were reduced in the POC group. The median and IQR of red-blood-cells (RBC) transfusion units were reduced from 5 [2-8] to 3 [0-5] (p&lt;0.001), plasma from 2 [0-4] to 0 (p&lt;0.001), platelets from 1 [0-4] to 0 [0-1] (p&lt;0.001), into the POC group only four patients received tranexamic acid and fibrinogen transfusion rate was 1.13\u00b11.44 g (p=0.001). We also improved the incidence of transfusion avoidance, 5 % vs. 24% (p&lt;0.001) and reduced the incidence of massive transfusion (defined as the transfusion of more than 10 RBC units), 13% vs. 2% (p=0.005). We also observed a relationship between RBC transfusion requirements and preoperative haemoglobin, and between platelets transfusion and preoperative fibrinogen levels. The incidence of postoperative complications, such as, reoperation for bleeding, acute-kidney-failure or haemodynamic instability was significantly lower (13.0% vs. 5%, p=0.048, 17% vs. 2%, p&lt;0.001, and 29% vs. 16%, p=0.028). Overall, blood product transfusion was associated with increased risk of postoperative complications.\\n\\nCONCLUSIONS: A haemostatic therapy algorithm based on POC monitoring reduced transfusion and improved outcome in OLT.", "author" : [ { "dropping-particle" : "", "family" : "Leon-Justel", "given" : "Antonio", "non-dropping-particle" : "", "parse-names" : false, "suffix" : "" }, { "dropping-particle" : "", "family" : "Noval-Padillo", "given" : "Jose a", "non-dropping-particle" : "", "parse-names" : false, "suffix" : "" }, { "dropping-particle" : "", "family" : "Alvarez-Rios", "given" : "Ana I", "non-dropping-particle" : "", "parse-names" : false, "suffix" : "" }, { "dropping-particle" : "", "family" : "Mellado", "given" : "Patricia", "non-dropping-particle" : "", "parse-names" : false, "suffix" : "" }, { "dropping-particle" : "", "family" : "Gomez-Bravo", "given" : "Miguel a", "non-dropping-particle" : "", "parse-names" : false, "suffix" : "" }, { "dropping-particle" : "", "family" : "\u00c1lamo", "given" : "Jose M", "non-dropping-particle" : "", "parse-names" : false, "suffix" : "" }, { "dropping-particle" : "", "family" : "Porras", "given" : "Manuel", "non-dropping-particle" : "", "parse-names" : false, "suffix" : "" }, { "dropping-particle" : "", "family" : "Barrero", "given" : "Lydia", "non-dropping-particle" : "", "parse-names" : false, "suffix" : "" }, { "dropping-particle" : "", "family" : "Hinojosa", "given" : "Rafael", "non-dropping-particle" : "", "parse-names" : false, "suffix" : "" }, { "dropping-particle" : "", "family" : "Carmona", "given" : "Magdalena", "non-dropping-particle" : "", "parse-names" : false, "suffix" : "" }, { "dropping-particle" : "", "family" : "Vilches-Arenas", "given" : "Angel", "non-dropping-particle" : "", "parse-names" : false, "suffix" : "" }, { "dropping-particle" : "", "family" : "Guerrero", "given" : "Juan M", "non-dropping-particle" : "", "parse-names" : false, "suffix" : "" } ], "container-title" : "Clinica chimica acta; international journal of clinical chemistry", "id" : "ITEM-1", "issued" : { "date-parts" : [ [ "2015" ] ] }, "page" : "277-283", "publisher" : "Elsevier B.V.", "title" : "Point-of-care haemostasis monitoring during liver transplantation reduces transfusion requirements and improves patient outcome.", "type" : "article-journal", "volume" : "446" }, "uris" : [ "http://www.mendeley.com/documents/?uuid=6f9c38b7-f74a-4fe9-b7af-78ca2922d17b" ] } ], "mendeley" : { "formattedCitation" : "&lt;sup&gt;[29]&lt;/sup&gt;", "plainTextFormattedCitation" : "[29]", "previouslyFormattedCitation" : "&lt;sup&gt;[29]&lt;/sup&gt;" }, "properties" : { "noteIndex" : 0 }, "schema" : "https://github.com/citation-style-language/schema/raw/master/csl-citation.json" }</w:instrText>
      </w:r>
      <w:r w:rsidR="007D7ACC">
        <w:rPr>
          <w:rFonts w:ascii="Book Antiqua" w:hAnsi="Book Antiqua"/>
          <w:sz w:val="24"/>
          <w:szCs w:val="24"/>
          <w:lang w:val="en-GB"/>
        </w:rPr>
        <w:fldChar w:fldCharType="separate"/>
      </w:r>
      <w:r w:rsidR="00315B8B" w:rsidRPr="00315B8B">
        <w:rPr>
          <w:rFonts w:ascii="Book Antiqua" w:hAnsi="Book Antiqua"/>
          <w:noProof/>
          <w:sz w:val="24"/>
          <w:szCs w:val="24"/>
          <w:vertAlign w:val="superscript"/>
          <w:lang w:val="en-GB"/>
        </w:rPr>
        <w:t>[29]</w:t>
      </w:r>
      <w:r w:rsidR="007D7ACC">
        <w:rPr>
          <w:rFonts w:ascii="Book Antiqua" w:hAnsi="Book Antiqua"/>
          <w:sz w:val="24"/>
          <w:szCs w:val="24"/>
          <w:lang w:val="en-GB"/>
        </w:rPr>
        <w:fldChar w:fldCharType="end"/>
      </w:r>
      <w:r w:rsidR="00676CBD">
        <w:rPr>
          <w:rFonts w:ascii="Book Antiqua" w:hAnsi="Book Antiqua"/>
          <w:sz w:val="24"/>
          <w:szCs w:val="24"/>
          <w:lang w:val="en-GB"/>
        </w:rPr>
        <w:t>,</w:t>
      </w:r>
      <w:r>
        <w:rPr>
          <w:rFonts w:ascii="Book Antiqua" w:hAnsi="Book Antiqua"/>
          <w:sz w:val="24"/>
          <w:szCs w:val="24"/>
          <w:lang w:val="en-GB"/>
        </w:rPr>
        <w:t xml:space="preserve"> intraoperative hemodynamic instability</w:t>
      </w:r>
      <w:r w:rsidR="007D7ACC">
        <w:rPr>
          <w:rFonts w:ascii="Book Antiqua" w:hAnsi="Book Antiqua"/>
          <w:sz w:val="24"/>
          <w:szCs w:val="24"/>
          <w:lang w:val="en-GB"/>
        </w:rPr>
        <w:fldChar w:fldCharType="begin" w:fldLock="1"/>
      </w:r>
      <w:r w:rsidR="002D7F73">
        <w:rPr>
          <w:rFonts w:ascii="Book Antiqua" w:hAnsi="Book Antiqua"/>
          <w:sz w:val="24"/>
          <w:szCs w:val="24"/>
          <w:lang w:val="en-GB"/>
        </w:rPr>
        <w:instrText>ADDIN CSL_CITATION { "citationItems" : [ { "id" : "ITEM-1", "itemData" : { "PMID" : "23104662", "abstract" : "Tuberous sclerosis (TS) known as Epiloia and Bourneville's disease is an autosomal dominant inherited disorder that can affect many organ systems. Tuberous sclerosis has many forms of clinical presentation. Rarely, multiple facial angiofibromas of unilateral distribution have been reported. We describe a patient with unilateral facial angiofibromas, periungual fibromas and Shagreen patch.", "author" : [ { "dropping-particle" : "", "family" : "Perilli", "given" : "V", "non-dropping-particle" : "", "parse-names" : false, "suffix" : "" }, { "dropping-particle" : "", "family" : "Aceto", "given" : "P", "non-dropping-particle" : "", "parse-names" : false, "suffix" : "" }, { "dropping-particle" : "", "family" : "Modesti", "given" : "C", "non-dropping-particle" : "", "parse-names" : false, "suffix" : "" }, { "dropping-particle" : "", "family" : "Ciocchetti", "given" : "P", "non-dropping-particle" : "", "parse-names" : false, "suffix" : "" }, { "dropping-particle" : "", "family" : "Sacco", "given" : "T", "non-dropping-particle" : "", "parse-names" : false, "suffix" : "" }, { "dropping-particle" : "", "family" : "Vitale", "given" : "F", "non-dropping-particle" : "", "parse-names" : false, "suffix" : "" }, { "dropping-particle" : "", "family" : "Lai", "given" : "C", "non-dropping-particle" : "", "parse-names" : false, "suffix" : "" }, { "dropping-particle" : "", "family" : "Magalini", "given" : "SC", "non-dropping-particle" : "", "parse-names" : false, "suffix" : "" }, { "dropping-particle" : "", "family" : "Avolio", "given" : "AW", "non-dropping-particle" : "", "parse-names" : false, "suffix" : "" }, { "dropping-particle" : "", "family" : "Sollazzi", "given" : "L", "non-dropping-particle" : "", "parse-names" : false, "suffix" : "" } ], "container-title" : "Eur Rev Med Pharmacol Sci", "id" : "ITEM-1", "issued" : { "date-parts" : [ [ "2012" ] ] }, "page" : "1433-40", "title" : "Low values of left ventricular ejection time in the post-anhepatic phase may be associated with occurrence of primary graft dysfunction after orthotopic liver transplantation: results of a single-centre case-control study", "type" : "article-journal", "volume" : "16" }, "uris" : [ "http://www.mendeley.com/documents/?uuid=c6302252-78fd-4f67-a06f-2f77f33fd687" ] } ], "mendeley" : { "formattedCitation" : "&lt;sup&gt;[30]&lt;/sup&gt;", "plainTextFormattedCitation" : "[30]", "previouslyFormattedCitation" : "&lt;sup&gt;[30]&lt;/sup&gt;" }, "properties" : { "noteIndex" : 0 }, "schema" : "https://github.com/citation-style-language/schema/raw/master/csl-citation.json" }</w:instrText>
      </w:r>
      <w:r w:rsidR="007D7ACC">
        <w:rPr>
          <w:rFonts w:ascii="Book Antiqua" w:hAnsi="Book Antiqua"/>
          <w:sz w:val="24"/>
          <w:szCs w:val="24"/>
          <w:lang w:val="en-GB"/>
        </w:rPr>
        <w:fldChar w:fldCharType="separate"/>
      </w:r>
      <w:r w:rsidR="00315B8B" w:rsidRPr="00315B8B">
        <w:rPr>
          <w:rFonts w:ascii="Book Antiqua" w:hAnsi="Book Antiqua"/>
          <w:noProof/>
          <w:sz w:val="24"/>
          <w:szCs w:val="24"/>
          <w:vertAlign w:val="superscript"/>
          <w:lang w:val="en-GB"/>
        </w:rPr>
        <w:t>[30]</w:t>
      </w:r>
      <w:r w:rsidR="007D7ACC">
        <w:rPr>
          <w:rFonts w:ascii="Book Antiqua" w:hAnsi="Book Antiqua"/>
          <w:sz w:val="24"/>
          <w:szCs w:val="24"/>
          <w:lang w:val="en-GB"/>
        </w:rPr>
        <w:fldChar w:fldCharType="end"/>
      </w:r>
      <w:r w:rsidR="00676CBD">
        <w:rPr>
          <w:rFonts w:ascii="Book Antiqua" w:hAnsi="Book Antiqua"/>
          <w:sz w:val="24"/>
          <w:szCs w:val="24"/>
          <w:lang w:val="en-GB"/>
        </w:rPr>
        <w:t>,</w:t>
      </w:r>
      <w:r>
        <w:rPr>
          <w:rFonts w:ascii="Book Antiqua" w:hAnsi="Book Antiqua"/>
          <w:sz w:val="24"/>
          <w:szCs w:val="24"/>
          <w:lang w:val="en-GB"/>
        </w:rPr>
        <w:t xml:space="preserve"> cold and warm organ ischemia</w:t>
      </w:r>
      <w:r>
        <w:rPr>
          <w:rFonts w:ascii="Book Antiqua" w:hAnsi="Book Antiqua"/>
          <w:color w:val="FF0000"/>
          <w:sz w:val="24"/>
          <w:szCs w:val="24"/>
          <w:lang w:val="en-GB"/>
        </w:rPr>
        <w:t xml:space="preserve"> </w:t>
      </w:r>
      <w:r>
        <w:rPr>
          <w:rFonts w:ascii="Book Antiqua" w:hAnsi="Book Antiqua"/>
          <w:color w:val="000000"/>
          <w:sz w:val="24"/>
          <w:szCs w:val="24"/>
          <w:lang w:val="en-GB"/>
        </w:rPr>
        <w:t>time</w:t>
      </w:r>
      <w:r w:rsidR="007D7ACC">
        <w:rPr>
          <w:rFonts w:ascii="Book Antiqua" w:hAnsi="Book Antiqua"/>
          <w:color w:val="000000"/>
          <w:sz w:val="24"/>
          <w:szCs w:val="24"/>
          <w:lang w:val="en-GB"/>
        </w:rPr>
        <w:fldChar w:fldCharType="begin" w:fldLock="1"/>
      </w:r>
      <w:r w:rsidR="00B50912">
        <w:rPr>
          <w:rFonts w:ascii="Book Antiqua" w:hAnsi="Book Antiqua"/>
          <w:color w:val="000000"/>
          <w:sz w:val="24"/>
          <w:szCs w:val="24"/>
          <w:lang w:val="en-GB"/>
        </w:rPr>
        <w:instrText>ADDIN CSL_CITATION { "citationItems" : [ { "id" : "ITEM-1", "itemData" : { "DOI" : "10.1002/lt.21791", "ISSN" : "1527-6473", "PMID" : "19718649", "abstract" : "This study assesses the relation between the anhepatic phase duration and the outcome after liver transplantation. Of 645 patients who underwent transplantation between 1994 and 2006, 194 were recipients of consecutive adult primary piggyback liver transplants using heart-beating donors. The anhepatic phase was defined as the time from the physical removal of the liver from the recipient to recirculation of the graft. Other noted study variables were the cold and warm ischemia times, donor and recipient age, donor and recipient body mass index, perioperative red blood cell (RBC) transfusion, indication for transplantation, and Model for End-Stage Liver Disease score. The primary outcome parameter was graft dysfunction, which was defined as either primary nonfunction or initial poor function according to the Ploeg-Maring criteria. The median anhepatic phase was 71 minutes (37-321 minutes). Graft dysfunction occurred in 27 patients (14%). Logistic regression analysis showed an anhepatic phase over 100 minutes [odds ratio (OR), 4.28], a recipient body mass index over 25 kg/m(2) (OR, 3.21), and perioperative RBC transfusion (OR, 3.04) to be independently significant predictive factors for graft dysfunction. One-year patient survival in patients with graft dysfunction was 67% versus 92% in patients without graft dysfunction (P &lt; 0.001). A direct relation between the anhepatic phase duration and patient survival could, however, not be established. In conclusion, this study shows that liver transplant patients with an anhepatic phase over 100 minutes have a higher incidence of graft dysfunction. Patients with graft dysfunction have significantly worse 1-year patient survival.", "author" : [ { "dropping-particle" : "", "family" : "Ijtsma", "given" : "Alexander J C", "non-dropping-particle" : "", "parse-names" : false, "suffix" : "" }, { "dropping-particle" : "", "family" : "Hilst", "given" : "Christian S", "non-dropping-particle" : "van der", "parse-names" : false, "suffix" : "" }, { "dropping-particle" : "", "family" : "Boer", "given" : "Marieke T", "non-dropping-particle" : "de", "parse-names" : false, "suffix" : "" }, { "dropping-particle" : "", "family" : "Jong", "given" : "Koert P", "non-dropping-particle" : "de", "parse-names" : false, "suffix" : "" }, { "dropping-particle" : "", "family" : "Peeters", "given" : "Paul M J G", "non-dropping-particle" : "", "parse-names" : false, "suffix" : "" }, { "dropping-particle" : "", "family" : "Porte", "given" : "Robert J", "non-dropping-particle" : "", "parse-names" : false, "suffix" : "" }, { "dropping-particle" : "", "family" : "Slooff", "given" : "Maarten J H", "non-dropping-particle" : "", "parse-names" : false, "suffix" : "" } ], "container-title" : "Liver transplantation : official publication of the American Association for the Study of Liver Diseases and the International Liver Transplantation Society", "id" : "ITEM-1", "issue" : "9", "issued" : { "date-parts" : [ [ "2009", "9" ] ] }, "page" : "1050-5", "title" : "The clinical relevance of the anhepatic phase during liver transplantation.", "type" : "article-journal", "volume" : "15" }, "uris" : [ "http://www.mendeley.com/documents/?uuid=659f8d98-3f3e-4f84-bfd3-5d9dac53f4da" ] }, { "id" : "ITEM-2", "itemData" : { "DOI" : "10.1016/j.transproceed.2012.01.065", "ISSN" : "1873-2623", "PMID" : "22410056", "abstract" : "BACKGROUND: Orthotopic liver transplantation (OLT) is currently considered to be the ultimate form of therapy for most patients with end-stage liver diseases. The identification of recipient and various perioperative factors that may affect the graft outcomes is critical. This study sought to analyze the preoperative and perioperative factors associated with graft outcomes in our institute. METHODS: This retrospective study of liver transplanted patients from January 2002 to December 2009 determined the incidence of 2 forms of primary dysfunction (PDF): Primary nonfunction (PNF) and initial poor function (IPF). RESULTS: The 97 posttransplant patients included in the study had an average age of 52.74 years. The majority of indications for OLT were hepatitis B and/or C cirrhosis, alcoholic cirrhosis, and hepatocellular carcinoma. The incidence of PDF was 31.9% (31/97) with 7.2% (7/97) PNF and 24.7% (24/97) IPF. Additionally, we observed 68.1% (66/97) to display immediate function (IF). Warm ischemic time (WIT) and operative time were significantly longer in the PDF compared with the IF group. The logistic regression model showed a WIT of &gt;45 minutes to be a risk factor leading to PDF (odds ratio, 11.74; P&lt;.05). An operative time of &gt;6 hours and operative blood loss of &gt;2 L were possible risk factors. CONCLUSION: Prolonged WIT (&gt;45 minutes) was the only significant risk factor among other established parameters for graft function. Nevertheless, reduced operative times and blood loss may improve the outcomes of OLT.", "author" : [ { "dropping-particle" : "", "family" : "Sirivatanauksorn", "given" : "Y", "non-dropping-particle" : "", "parse-names" : false, "suffix" : "" }, { "dropping-particle" : "", "family" : "Taweerutchana", "given" : "V", "non-dropping-particle" : "", "parse-names" : false, "suffix" : "" }, { "dropping-particle" : "", "family" : "Limsrichamrern", "given" : "S", "non-dropping-particle" : "", "parse-names" : false, "suffix" : "" }, { "dropping-particle" : "", "family" : "Kositamongkol", "given" : "P", "non-dropping-particle" : "", "parse-names" : false, "suffix" : "" }, { "dropping-particle" : "", "family" : "Mahawithitwong", "given" : "P", "non-dropping-particle" : "", "parse-names" : false, "suffix" : "" }, { "dropping-particle" : "", "family" : "Asavakarn", "given" : "S", "non-dropping-particle" : "", "parse-names" : false, "suffix" : "" }, { "dropping-particle" : "", "family" : "Tovikkai", "given" : "C", "non-dropping-particle" : "", "parse-names" : false, "suffix" : "" } ], "container-title" : "Transplantation proceedings", "id" : "ITEM-2", "issue" : "2", "issued" : { "date-parts" : [ [ "2012", "3" ] ] }, "page" : "505-8", "title" : "Recipient and perioperative risk factors associated with liver transplant graft outcomes.", "type" : "article-journal", "volume" : "44" }, "uris" : [ "http://www.mendeley.com/documents/?uuid=68465912-91e3-4860-bc1b-f0e633979d38" ] } ], "mendeley" : { "formattedCitation" : "&lt;sup&gt;[11,31]&lt;/sup&gt;", "plainTextFormattedCitation" : "[11,31]", "previouslyFormattedCitation" : "&lt;sup&gt;[11,31]&lt;/sup&gt;" }, "properties" : { "noteIndex" : 0 }, "schema" : "https://github.com/citation-style-language/schema/raw/master/csl-citation.json" }</w:instrText>
      </w:r>
      <w:r w:rsidR="007D7ACC">
        <w:rPr>
          <w:rFonts w:ascii="Book Antiqua" w:hAnsi="Book Antiqua"/>
          <w:color w:val="000000"/>
          <w:sz w:val="24"/>
          <w:szCs w:val="24"/>
          <w:lang w:val="en-GB"/>
        </w:rPr>
        <w:fldChar w:fldCharType="separate"/>
      </w:r>
      <w:r w:rsidR="002D7F73" w:rsidRPr="002D7F73">
        <w:rPr>
          <w:rFonts w:ascii="Book Antiqua" w:hAnsi="Book Antiqua"/>
          <w:noProof/>
          <w:color w:val="000000"/>
          <w:sz w:val="24"/>
          <w:szCs w:val="24"/>
          <w:vertAlign w:val="superscript"/>
          <w:lang w:val="en-GB"/>
        </w:rPr>
        <w:t>[11,31]</w:t>
      </w:r>
      <w:r w:rsidR="007D7ACC">
        <w:rPr>
          <w:rFonts w:ascii="Book Antiqua" w:hAnsi="Book Antiqua"/>
          <w:color w:val="000000"/>
          <w:sz w:val="24"/>
          <w:szCs w:val="24"/>
          <w:lang w:val="en-GB"/>
        </w:rPr>
        <w:fldChar w:fldCharType="end"/>
      </w:r>
      <w:r w:rsidR="00676CBD">
        <w:rPr>
          <w:rFonts w:ascii="Book Antiqua" w:hAnsi="Book Antiqua"/>
          <w:color w:val="000000"/>
          <w:sz w:val="24"/>
          <w:szCs w:val="24"/>
          <w:lang w:val="en-GB"/>
        </w:rPr>
        <w:t>,</w:t>
      </w:r>
      <w:r w:rsidR="006D2F86">
        <w:rPr>
          <w:rFonts w:ascii="Book Antiqua" w:hAnsi="Book Antiqua"/>
          <w:color w:val="000000"/>
          <w:sz w:val="24"/>
          <w:szCs w:val="24"/>
          <w:lang w:val="en-GB"/>
        </w:rPr>
        <w:t xml:space="preserve"> </w:t>
      </w:r>
      <w:r>
        <w:rPr>
          <w:rFonts w:ascii="Book Antiqua" w:hAnsi="Book Antiqua"/>
          <w:sz w:val="24"/>
          <w:szCs w:val="24"/>
          <w:lang w:val="en-GB"/>
        </w:rPr>
        <w:t>ischaemia/reperfusion (I/R) injury</w:t>
      </w:r>
      <w:r w:rsidR="007D7ACC">
        <w:rPr>
          <w:rFonts w:ascii="Book Antiqua" w:hAnsi="Book Antiqua"/>
          <w:sz w:val="24"/>
          <w:szCs w:val="24"/>
          <w:lang w:val="en-GB"/>
        </w:rPr>
        <w:fldChar w:fldCharType="begin" w:fldLock="1"/>
      </w:r>
      <w:r w:rsidR="005F5C48">
        <w:rPr>
          <w:rFonts w:ascii="Book Antiqua" w:hAnsi="Book Antiqua"/>
          <w:sz w:val="24"/>
          <w:szCs w:val="24"/>
          <w:lang w:val="en-GB"/>
        </w:rPr>
        <w:instrText>ADDIN CSL_CITATION { "citationItems" : [ { "id" : "ITEM-1", "itemData" : { "DOI" : "10.1097/TP.0b013e3181e86b11", "ISSN" : "1534-6080", "PMID" : "20581766", "abstract" : "BACKGROUND: To explain the influence of recipient status combined with the accumulation of extended criteria donor (ECD) variables on the appearance of severe ischemia-reperfusion injury and graft survival in a model for end-stage liver disease (MELD)-based system, we analyzed our most recent consecutive liver transplantations (LTs), dividing them into two periods: 400 LTs (1992-2002; pre-MELD era) and 275 LTs (2002-2007; post-MELD era). METHODS: Primary dysfunction (PD) was defined as primary graft failure that required emergency retransplantation or as initial poor function. Donor variables were included in a regression model to assess the probability of PD. RESULTS: Donor age, macrovesicular steatosis more than 30%, and cold ischemia time were associated with allograft dysfunction. Mean probability of PD was 14.8%, 19.2%, 27.5%, and 37.4% for ECD 0, 1, 2, and more than or equal to 3, respectively (P=0.003). Distribution of no-mild, moderate, and severe ischemia-reperfusion injuries among MELD categories was 72.53%, 24.17%, and 3.30% (MELD group=12-19); 56.52%, 36.96%, and 6.5% (MELD group=20-28); and 23.91%, 54.35%, and 21.74% (MELD group &gt;or=29), respectively (P=0.043). The development of PD according to ECD variables was 18.8%, 18.1%, 28.0%, and 35.3% for ECD 0, 1, 2, and more than or equal to 3, respectively (P=0.047). These variables were independent predictors of PD (Cox proportional regression model): ECD 2 (relative risk [RR]=1.59; 95% confidence interval [CI]=1.25-1.62), ECD 3 (RR=2.74; 95% CI=2.38-3.13), MELD 21 to 30 (RR=1.89; 95% CI=1.32-2.06), and MELD more than or equal to 30 (RR=3.38; 95% CI=2.43-3.86). Graft survival decreased, whereas MELD and the number of ECD variables increased. CONCLUSION: The combination of three or more ECD variables and an MELD more than or equal to 29 is the worst scenario for graft success after LT.", "author" : [ { "dropping-particle" : "", "family" : "Brice\u00f1o", "given" : "Javier", "non-dropping-particle" : "", "parse-names" : false, "suffix" : "" }, { "dropping-particle" : "", "family" : "Ciria", "given" : "Rub\u00e9n", "non-dropping-particle" : "", "parse-names" : false, "suffix" : "" }, { "dropping-particle" : "", "family" : "la Mata", "given" : "Manuel", "non-dropping-particle" : "de", "parse-names" : false, "suffix" : "" }, { "dropping-particle" : "", "family" : "Rufi\u00e1n", "given" : "Sebasti\u00e1n", "non-dropping-particle" : "", "parse-names" : false, "suffix" : "" }, { "dropping-particle" : "", "family" : "L\u00f3pez-Cillero", "given" : "Pedro", "non-dropping-particle" : "", "parse-names" : false, "suffix" : "" } ], "container-title" : "Transplantation", "id" : "ITEM-1", "issue" : "5", "issued" : { "date-parts" : [ [ "2010", "9", "15" ] ] }, "page" : "530-9", "title" : "Prediction of graft dysfunction based on extended criteria donors in the model for end-stage liver disease score era.", "type" : "article-journal", "volume" : "90" }, "uris" : [ "http://www.mendeley.com/documents/?uuid=9979ac37-2192-47dd-9acd-143ebde8a4d0" ] } ], "mendeley" : { "formattedCitation" : "&lt;sup&gt;[32]&lt;/sup&gt;", "plainTextFormattedCitation" : "[32]", "previouslyFormattedCitation" : "&lt;sup&gt;[32]&lt;/sup&gt;" }, "properties" : { "noteIndex" : 0 }, "schema" : "https://github.com/citation-style-language/schema/raw/master/csl-citation.json" }</w:instrText>
      </w:r>
      <w:r w:rsidR="007D7ACC">
        <w:rPr>
          <w:rFonts w:ascii="Book Antiqua" w:hAnsi="Book Antiqua"/>
          <w:sz w:val="24"/>
          <w:szCs w:val="24"/>
          <w:lang w:val="en-GB"/>
        </w:rPr>
        <w:fldChar w:fldCharType="separate"/>
      </w:r>
      <w:r w:rsidR="005F5C48" w:rsidRPr="005F5C48">
        <w:rPr>
          <w:rFonts w:ascii="Book Antiqua" w:hAnsi="Book Antiqua"/>
          <w:noProof/>
          <w:sz w:val="24"/>
          <w:szCs w:val="24"/>
          <w:vertAlign w:val="superscript"/>
          <w:lang w:val="en-GB"/>
        </w:rPr>
        <w:t>[32]</w:t>
      </w:r>
      <w:r w:rsidR="007D7ACC">
        <w:rPr>
          <w:rFonts w:ascii="Book Antiqua" w:hAnsi="Book Antiqua"/>
          <w:sz w:val="24"/>
          <w:szCs w:val="24"/>
          <w:lang w:val="en-GB"/>
        </w:rPr>
        <w:fldChar w:fldCharType="end"/>
      </w:r>
      <w:r w:rsidR="006D2F86">
        <w:rPr>
          <w:rFonts w:ascii="Book Antiqua" w:hAnsi="Book Antiqua"/>
          <w:sz w:val="24"/>
          <w:szCs w:val="24"/>
          <w:lang w:val="en-GB"/>
        </w:rPr>
        <w:t xml:space="preserve"> </w:t>
      </w:r>
      <w:r>
        <w:rPr>
          <w:rFonts w:ascii="Book Antiqua" w:hAnsi="Book Antiqua"/>
          <w:sz w:val="24"/>
          <w:szCs w:val="24"/>
          <w:lang w:val="en-GB"/>
        </w:rPr>
        <w:t>and the need for and number of necessary revision surgeries can have high impacts on graft functional restoration and patient outcome</w:t>
      </w:r>
      <w:r w:rsidR="007D7ACC">
        <w:rPr>
          <w:rFonts w:ascii="Book Antiqua" w:hAnsi="Book Antiqua"/>
          <w:sz w:val="24"/>
          <w:szCs w:val="24"/>
          <w:lang w:val="en-GB"/>
        </w:rPr>
        <w:fldChar w:fldCharType="begin" w:fldLock="1"/>
      </w:r>
      <w:r w:rsidR="002D7F73">
        <w:rPr>
          <w:rFonts w:ascii="Book Antiqua" w:hAnsi="Book Antiqua"/>
          <w:sz w:val="24"/>
          <w:szCs w:val="24"/>
          <w:lang w:val="en-GB"/>
        </w:rPr>
        <w:instrText>ADDIN CSL_CITATION { "citationItems" : [ { "id" : "ITEM-1", "itemData" : { "DOI" : "10.12659/AOT.892322", "ISSN" : "2329-0358", "PMID" : "25630462", "abstract" : "BACKGROUND: After introduction of MELD-based allocation in Germany, decreased waiting list mortality and increased mortality after transplantation have been reported. MATERIAL AND METHODS: This study compares relevant outcome parameters in patients with high MELD \u226530 versus lower MELD scores in a retrospective analysis including 454 consecutively performed liver transplantations in adults (age &gt;16 years) at Hannover Medical School between 01/01/2007 and 31/12/2012 and a follow-up until 31/12/2013. Multivariable risk-adjusted models were applied to identify independent risk factors for 90-day and long-term mortality. RESULTS: MELD score \u226530 (n=117; 26.1%) was an independent risk factor for 90-day mortality (p=0.004, odds ratio: 3.045, 95% CI 1.439-6.498) and long-term mortality (p=0.016, hazard ratio: 1.620, 95% CI 1.095-2.396) and was associated with significantly longer hospital and intensive care unit stays (p&lt;0.001), and death occurred in more cases earlier after transplantation (90-day mortality 21.6% vs. 13.0%; p=0.029). Portal vein thrombosis at transplantation was significantly associated with 90-day mortality after transplantation in patients with MELD scores \u226530 (p=0.041), but this was not the case for patients with MELD scores &lt;30, although portal vein thrombosis was equally frequent in individuals of both groups (3.0% vs. 3.4%, p=0.824). CONCLUSIONS: Results of this study suggest that liver transplant recipients with portal vein thrombosis at transplantation should be transplanted before reaching a MELD score \u226530.", "author" : [ { "dropping-particle" : "", "family" : "Kaltenborn", "given" : "A", "non-dropping-particle" : "", "parse-names" : false, "suffix" : "" }, { "dropping-particle" : "", "family" : "Hartmann", "given" : "C", "non-dropping-particle" : "", "parse-names" : false, "suffix" : "" }, { "dropping-particle" : "", "family" : "Salinas", "given" : "R", "non-dropping-particle" : "", "parse-names" : false, "suffix" : "" }, { "dropping-particle" : "", "family" : "Ramackers", "given" : "W", "non-dropping-particle" : "", "parse-names" : false, "suffix" : "" }, { "dropping-particle" : "", "family" : "Kleine", "given" : "M", "non-dropping-particle" : "", "parse-names" : false, "suffix" : "" }, { "dropping-particle" : "", "family" : "Vondran", "given" : "FW", "non-dropping-particle" : "", "parse-names" : false, "suffix" : "" }, { "dropping-particle" : "", "family" : "Barthold", "given" : "M", "non-dropping-particle" : "", "parse-names" : false, "suffix" : "" }, { "dropping-particle" : "", "family" : "Lehner", "given" : "F", "non-dropping-particle" : "", "parse-names" : false, "suffix" : "" }, { "dropping-particle" : "", "family" : "Klempnauer", "given" : "J", "non-dropping-particle" : "", "parse-names" : false, "suffix" : "" }, { "dropping-particle" : "", "family" : "Schrem", "given" : "H.", "non-dropping-particle" : "", "parse-names" : false, "suffix" : "" } ], "container-title" : "Annals of Transplantation", "id" : "ITEM-1", "issued" : { "date-parts" : [ [ "2015", "1" ] ] }, "page" : "59-69", "title" : "Risk Factors for Short- and Long-Term Mortality in Liver Transplant Recipients with MELD Score \u226530", "type" : "article-journal", "volume" : "20" }, "uris" : [ "http://www.mendeley.com/documents/?uuid=a79c9db4-b106-423b-93b2-6bc727e7caec" ] }, { "id" : "ITEM-2", "itemData" : { "DOI" : "10.1016/S1499-3872(14)60023-0", "ISSN" : "14993872", "author" : [ { "dropping-particle" : "", "family" : "Chen", "given" : "Xiao-Bo", "non-dropping-particle" : "", "parse-names" : false, "suffix" : "" }, { "dropping-particle" : "", "family" : "Xu", "given" : "Ming-Qing", "non-dropping-particle" : "", "parse-names" : false, "suffix" : "" } ], "container-title" : "Hepatobiliary &amp; Pancreatic Diseases International", "id" : "ITEM-2", "issue" : "2", "issued" : { "date-parts" : [ [ "2014" ] ] }, "page" : "125-137", "title" : "Primary graft dysfunction after liver transplantation", "type" : "article-journal", "volume" : "13" }, "uris" : [ "http://www.mendeley.com/documents/?uuid=8879568c-9d80-4848-a10e-0173908740dd" ] } ], "mendeley" : { "formattedCitation" : "&lt;sup&gt;[10,12]&lt;/sup&gt;", "plainTextFormattedCitation" : "[10,12]", "previouslyFormattedCitation" : "&lt;sup&gt;[10,12]&lt;/sup&gt;" }, "properties" : { "noteIndex" : 0 }, "schema" : "https://github.com/citation-style-language/schema/raw/master/csl-citation.json" }</w:instrText>
      </w:r>
      <w:r w:rsidR="007D7ACC">
        <w:rPr>
          <w:rFonts w:ascii="Book Antiqua" w:hAnsi="Book Antiqua"/>
          <w:sz w:val="24"/>
          <w:szCs w:val="24"/>
          <w:lang w:val="en-GB"/>
        </w:rPr>
        <w:fldChar w:fldCharType="separate"/>
      </w:r>
      <w:r w:rsidR="00315B8B" w:rsidRPr="00315B8B">
        <w:rPr>
          <w:rFonts w:ascii="Book Antiqua" w:hAnsi="Book Antiqua"/>
          <w:noProof/>
          <w:sz w:val="24"/>
          <w:szCs w:val="24"/>
          <w:vertAlign w:val="superscript"/>
          <w:lang w:val="en-GB"/>
        </w:rPr>
        <w:t>[10,12]</w:t>
      </w:r>
      <w:r w:rsidR="007D7ACC">
        <w:rPr>
          <w:rFonts w:ascii="Book Antiqua" w:hAnsi="Book Antiqua"/>
          <w:sz w:val="24"/>
          <w:szCs w:val="24"/>
          <w:lang w:val="en-GB"/>
        </w:rPr>
        <w:fldChar w:fldCharType="end"/>
      </w:r>
      <w:r w:rsidR="00F577F1">
        <w:rPr>
          <w:rFonts w:ascii="Book Antiqua" w:hAnsi="Book Antiqua"/>
          <w:sz w:val="24"/>
          <w:szCs w:val="24"/>
          <w:lang w:val="en-GB"/>
        </w:rPr>
        <w:t>.</w:t>
      </w:r>
    </w:p>
    <w:p w14:paraId="3F4C0586" w14:textId="77777777" w:rsidR="00F577F1" w:rsidRDefault="00F577F1" w:rsidP="00422EBA">
      <w:pPr>
        <w:adjustRightInd w:val="0"/>
        <w:snapToGrid w:val="0"/>
        <w:spacing w:after="0" w:line="360" w:lineRule="auto"/>
        <w:ind w:firstLineChars="200" w:firstLine="480"/>
        <w:jc w:val="both"/>
        <w:rPr>
          <w:rFonts w:ascii="Book Antiqua" w:hAnsi="Book Antiqua"/>
          <w:color w:val="000000"/>
          <w:sz w:val="24"/>
          <w:szCs w:val="24"/>
          <w:lang w:val="en-GB"/>
        </w:rPr>
      </w:pPr>
      <w:r>
        <w:rPr>
          <w:rFonts w:ascii="Book Antiqua" w:hAnsi="Book Antiqua"/>
          <w:color w:val="000000"/>
          <w:sz w:val="24"/>
          <w:szCs w:val="24"/>
          <w:lang w:val="en-GB"/>
        </w:rPr>
        <w:t xml:space="preserve">To assess all of these variables, functional and analytic tests have been </w:t>
      </w:r>
      <w:r w:rsidR="00BE7351">
        <w:rPr>
          <w:rFonts w:ascii="Book Antiqua" w:hAnsi="Book Antiqua"/>
          <w:color w:val="000000"/>
          <w:sz w:val="24"/>
          <w:szCs w:val="24"/>
          <w:lang w:val="en-GB"/>
        </w:rPr>
        <w:t>applied to</w:t>
      </w:r>
      <w:r w:rsidR="00425EE0">
        <w:rPr>
          <w:rFonts w:ascii="Book Antiqua" w:hAnsi="Book Antiqua"/>
          <w:color w:val="000000"/>
          <w:sz w:val="24"/>
          <w:szCs w:val="24"/>
          <w:lang w:val="en-GB"/>
        </w:rPr>
        <w:t xml:space="preserve"> LT.</w:t>
      </w:r>
    </w:p>
    <w:p w14:paraId="627CC37D" w14:textId="0C84C16D" w:rsidR="001C1CE4" w:rsidRDefault="00F577F1" w:rsidP="00422EBA">
      <w:pPr>
        <w:adjustRightInd w:val="0"/>
        <w:snapToGrid w:val="0"/>
        <w:spacing w:after="0" w:line="360" w:lineRule="auto"/>
        <w:ind w:firstLineChars="200" w:firstLine="480"/>
        <w:jc w:val="both"/>
        <w:rPr>
          <w:lang w:val="en-GB"/>
        </w:rPr>
      </w:pPr>
      <w:r>
        <w:rPr>
          <w:rFonts w:ascii="Book Antiqua" w:hAnsi="Book Antiqua"/>
          <w:sz w:val="24"/>
          <w:szCs w:val="24"/>
          <w:lang w:val="en-GB"/>
        </w:rPr>
        <w:t>A preoperative score implementing</w:t>
      </w:r>
      <w:r>
        <w:rPr>
          <w:rFonts w:ascii="Book Antiqua" w:hAnsi="Book Antiqua"/>
          <w:color w:val="FF0000"/>
          <w:sz w:val="24"/>
          <w:szCs w:val="24"/>
          <w:lang w:val="en-GB"/>
        </w:rPr>
        <w:t xml:space="preserve"> </w:t>
      </w:r>
      <w:r>
        <w:rPr>
          <w:rFonts w:ascii="Book Antiqua" w:hAnsi="Book Antiqua"/>
          <w:sz w:val="24"/>
          <w:szCs w:val="24"/>
          <w:lang w:val="en-GB"/>
        </w:rPr>
        <w:t>MELD+ICG improved survival prediction power in patients with intermediate MELD (10-30), who are often more difficult to correctly prioritise for LT</w:t>
      </w:r>
      <w:r w:rsidR="00C032DE">
        <w:rPr>
          <w:rFonts w:ascii="Book Antiqua" w:hAnsi="Book Antiqua"/>
          <w:sz w:val="24"/>
          <w:szCs w:val="24"/>
          <w:lang w:val="en-GB"/>
        </w:rPr>
        <w:fldChar w:fldCharType="begin" w:fldLock="1"/>
      </w:r>
      <w:r w:rsidR="00C032DE">
        <w:rPr>
          <w:rFonts w:ascii="Book Antiqua" w:hAnsi="Book Antiqua"/>
          <w:sz w:val="24"/>
          <w:szCs w:val="24"/>
          <w:lang w:val="en-GB"/>
        </w:rPr>
        <w:instrText>ADDIN CSL_CITATION { "citationItems" : [ { "id" : "ITEM-1", "itemData" : { "DOI" : "10.1136/gut.2010.208595", "ISSN" : "1468-3288", "PMID" : "20581243", "abstract" : "BACKGROUND: The Model for End Stage Liver Disease (MELD) predicts mortality in end stage liver disease. Incorporation of serum sodium into the MELD may improve diagnostic accuracy in decompensated patients with ascites. However, other complications of cirrhosis are not reflected. This study investigates whether quantitative liver function tests predict survival and increase prognostic accuracy of the MELD. METHODS: 604 patients with suspected cirrhosis were staged clinically and haemodynamically. Galactose-elimination-capacity, sorbitol clearance, lidocaine metabolism and indocyanin green (ICG) half life were determined. Survival was the primary end point of the study. Prognostic effects of individual parameters were calculated using Cox regression models and ROC curves. RESULTS: 321 patients on standard pharmacological and endoscopic treatment (PET) and 74 patients undergoing transjugular portosystemic shunting (TIPS) were studied. Of all quantitative liver function tests, ICG half life was the most accurate in predicting survival. Upon incorporation into the MELD, it modified the score in patients with PET up to 35 points. Clinically relevant changes to the score, however, occurred in patients with a MELD score between 10 and 30, allowing an objective prognostic discrimination of individual survival based on laboratory liver function and blood flow. The MELD-ICG was validated in the second cohort of patients undergoing TIPS implantation. CONCLUSION: ICG had the highest predictive value of the examined tests. Its incorporation into the MELD adds an estimation of liver blood flow and renders the new score MELD-ICG more accurate in predicting survival in intermediate to advanced cirrhosis than the MELD and MELD-Na.", "author" : [ { "dropping-particle" : "", "family" : "Zipprich", "given" : "Alexander", "non-dropping-particle" : "", "parse-names" : false, "suffix" : "" }, { "dropping-particle" : "", "family" : "Kuss", "given" : "Oliver", "non-dropping-particle" : "", "parse-names" : false, "suffix" : "" }, { "dropping-particle" : "", "family" : "Rogowski", "given" : "Sebastian", "non-dropping-particle" : "", "parse-names" : false, "suffix" : "" }, { "dropping-particle" : "", "family" : "Kleber", "given" : "Gerhard", "non-dropping-particle" : "", "parse-names" : false, "suffix" : "" }, { "dropping-particle" : "", "family" : "Lotterer", "given" : "Erich", "non-dropping-particle" : "", "parse-names" : false, "suffix" : "" }, { "dropping-particle" : "", "family" : "Seufferlein", "given" : "Thomas", "non-dropping-particle" : "", "parse-names" : false, "suffix" : "" }, { "dropping-particle" : "", "family" : "Fleig", "given" : "Wolfgang E", "non-dropping-particle" : "", "parse-names" : false, "suffix" : "" }, { "dropping-particle" : "", "family" : "Dollinger", "given" : "Matthias M", "non-dropping-particle" : "", "parse-names" : false, "suffix" : "" } ], "container-title" : "Gut", "id" : "ITEM-1", "issue" : "7", "issued" : { "date-parts" : [ [ "2010", "7" ] ] }, "page" : "963-8", "title" : "Incorporating indocyanin green clearance into the Model for End Stage Liver Disease (MELD-ICG) improves prognostic accuracy in intermediate to advanced cirrhosis.", "type" : "article-journal", "volume" : "59" }, "uris" : [ "http://www.mendeley.com/documents/?uuid=3719f465-3002-42e5-a097-8f3a5efd723b" ] } ], "mendeley" : { "formattedCitation" : "&lt;sup&gt;[33]&lt;/sup&gt;", "plainTextFormattedCitation" : "[33]", "previouslyFormattedCitation" : "&lt;sup&gt;[33]&lt;/sup&gt;" }, "properties" : { "noteIndex" : 0 }, "schema" : "https://github.com/citation-style-language/schema/raw/master/csl-citation.json" }</w:instrText>
      </w:r>
      <w:r w:rsidR="00C032DE">
        <w:rPr>
          <w:rFonts w:ascii="Book Antiqua" w:hAnsi="Book Antiqua"/>
          <w:sz w:val="24"/>
          <w:szCs w:val="24"/>
          <w:lang w:val="en-GB"/>
        </w:rPr>
        <w:fldChar w:fldCharType="separate"/>
      </w:r>
      <w:r w:rsidR="00C032DE" w:rsidRPr="005F5C48">
        <w:rPr>
          <w:rFonts w:ascii="Book Antiqua" w:hAnsi="Book Antiqua"/>
          <w:noProof/>
          <w:sz w:val="24"/>
          <w:szCs w:val="24"/>
          <w:vertAlign w:val="superscript"/>
          <w:lang w:val="en-GB"/>
        </w:rPr>
        <w:t>[33]</w:t>
      </w:r>
      <w:r w:rsidR="00C032DE">
        <w:rPr>
          <w:rFonts w:ascii="Book Antiqua" w:hAnsi="Book Antiqua"/>
          <w:sz w:val="24"/>
          <w:szCs w:val="24"/>
          <w:lang w:val="en-GB"/>
        </w:rPr>
        <w:fldChar w:fldCharType="end"/>
      </w:r>
      <w:r w:rsidR="007D7ACC">
        <w:fldChar w:fldCharType="begin"/>
      </w:r>
      <w:r w:rsidR="007D7ACC">
        <w:fldChar w:fldCharType="separate"/>
      </w:r>
      <w:r>
        <w:rPr>
          <w:rFonts w:ascii="Book Antiqua" w:hAnsi="Book Antiqua"/>
          <w:noProof/>
          <w:sz w:val="24"/>
          <w:szCs w:val="24"/>
          <w:lang w:val="en-GB"/>
        </w:rPr>
        <w:t>[46]</w:t>
      </w:r>
      <w:r w:rsidR="007D7ACC">
        <w:fldChar w:fldCharType="end"/>
      </w:r>
      <w:r>
        <w:rPr>
          <w:rFonts w:ascii="Book Antiqua" w:hAnsi="Book Antiqua"/>
          <w:sz w:val="24"/>
          <w:szCs w:val="24"/>
          <w:lang w:val="en-GB"/>
        </w:rPr>
        <w:t xml:space="preserve">. </w:t>
      </w:r>
      <w:r w:rsidR="00BE7351">
        <w:rPr>
          <w:rFonts w:ascii="Book Antiqua" w:hAnsi="Book Antiqua"/>
          <w:sz w:val="24"/>
          <w:szCs w:val="24"/>
          <w:lang w:val="en-GB"/>
        </w:rPr>
        <w:t>Moreover,</w:t>
      </w:r>
      <w:r>
        <w:rPr>
          <w:rFonts w:ascii="Book Antiqua" w:hAnsi="Book Antiqua"/>
          <w:sz w:val="24"/>
          <w:szCs w:val="24"/>
          <w:lang w:val="en-GB"/>
        </w:rPr>
        <w:t xml:space="preserve"> donor </w:t>
      </w:r>
      <w:r w:rsidR="00C032DE">
        <w:rPr>
          <w:rFonts w:ascii="Book Antiqua" w:hAnsi="Book Antiqua"/>
          <w:color w:val="000000"/>
          <w:sz w:val="24"/>
          <w:szCs w:val="24"/>
          <w:lang w:val="en-GB"/>
        </w:rPr>
        <w:t>indocyanine green plasma disappearance rate (ICG-PDR)</w:t>
      </w:r>
      <w:r>
        <w:rPr>
          <w:rFonts w:ascii="Book Antiqua" w:hAnsi="Book Antiqua"/>
          <w:sz w:val="24"/>
          <w:szCs w:val="24"/>
          <w:lang w:val="en-GB"/>
        </w:rPr>
        <w:t xml:space="preserve"> before liver </w:t>
      </w:r>
      <w:r w:rsidR="004745B7">
        <w:rPr>
          <w:rFonts w:ascii="Book Antiqua" w:hAnsi="Book Antiqua"/>
          <w:sz w:val="24"/>
          <w:szCs w:val="24"/>
          <w:lang w:val="en-GB"/>
        </w:rPr>
        <w:t>removal</w:t>
      </w:r>
      <w:r>
        <w:rPr>
          <w:rFonts w:ascii="Book Antiqua" w:hAnsi="Book Antiqua"/>
          <w:sz w:val="24"/>
          <w:szCs w:val="24"/>
          <w:lang w:val="en-GB"/>
        </w:rPr>
        <w:t xml:space="preserve"> was </w:t>
      </w:r>
      <w:r w:rsidR="00E35182">
        <w:rPr>
          <w:rFonts w:ascii="Book Antiqua" w:hAnsi="Book Antiqua"/>
          <w:sz w:val="24"/>
          <w:szCs w:val="24"/>
          <w:lang w:val="en-GB"/>
        </w:rPr>
        <w:t>the only factor predicting 7-d</w:t>
      </w:r>
      <w:r>
        <w:rPr>
          <w:rFonts w:ascii="Book Antiqua" w:hAnsi="Book Antiqua"/>
          <w:sz w:val="24"/>
          <w:szCs w:val="24"/>
          <w:lang w:val="en-GB"/>
        </w:rPr>
        <w:t xml:space="preserve"> graft survival (DRI and donor age were not correlated to graft survival)</w:t>
      </w:r>
      <w:r w:rsidR="00C032DE">
        <w:rPr>
          <w:rFonts w:ascii="Book Antiqua" w:hAnsi="Book Antiqua"/>
          <w:sz w:val="24"/>
          <w:szCs w:val="24"/>
          <w:lang w:val="en-GB"/>
        </w:rPr>
        <w:fldChar w:fldCharType="begin" w:fldLock="1"/>
      </w:r>
      <w:r w:rsidR="00C032DE">
        <w:rPr>
          <w:rFonts w:ascii="Book Antiqua" w:hAnsi="Book Antiqua"/>
          <w:sz w:val="24"/>
          <w:szCs w:val="24"/>
          <w:lang w:val="en-GB"/>
        </w:rPr>
        <w:instrText>ADDIN CSL_CITATION { "citationItems" : [ { "id" : "ITEM-1", "itemData" : { "DOI" : "10.1016/j.jss.2015.03.093", "ISBN" : "0022-4804", "ISSN" : "00224804", "PMID" : "25940156", "author" : [ { "dropping-particle" : "", "family" : "Zarrinpar", "given" : "Ali", "non-dropping-particle" : "", "parse-names" : false, "suffix" : "" }, { "dropping-particle" : "", "family" : "Lee", "given" : "Coney", "non-dropping-particle" : "", "parse-names" : false, "suffix" : "" }, { "dropping-particle" : "", "family" : "Noguchi", "given" : "Emily", "non-dropping-particle" : "", "parse-names" : false, "suffix" : "" }, { "dropping-particle" : "", "family" : "Yersiz", "given" : "Hasan", "non-dropping-particle" : "", "parse-names" : false, "suffix" : "" }, { "dropping-particle" : "", "family" : "Agopian", "given" : "Vatche G.", "non-dropping-particle" : "", "parse-names" : false, "suffix" : "" }, { "dropping-particle" : "", "family" : "Kaldas", "given" : "Fady M.", "non-dropping-particle" : "", "parse-names" : false, "suffix" : "" }, { "dropping-particle" : "", "family" : "Farmer", "given" : "Douglas G.", "non-dropping-particle" : "", "parse-names" : false, "suffix" : "" }, { "dropping-particle" : "", "family" : "Busuttil", "given" : "Ronald W.", "non-dropping-particle" : "", "parse-names" : false, "suffix" : "" } ], "container-title" : "Journal of Surgical Research", "id" : "ITEM-1", "issue" : "1", "issued" : { "date-parts" : [ [ "2015" ] ] }, "page" : "183-190", "publisher" : "Elsevier Inc", "title" : "A rapid, reproducible, noninvasive predictor of liver graft survival", "type" : "article-journal", "volume" : "197" }, "uris" : [ "http://www.mendeley.com/documents/?uuid=1b81bf1c-fb11-44e8-8c7d-78a39f4f02e8" ] } ], "mendeley" : { "formattedCitation" : "&lt;sup&gt;[34]&lt;/sup&gt;", "plainTextFormattedCitation" : "[34]", "previouslyFormattedCitation" : "&lt;sup&gt;[34]&lt;/sup&gt;" }, "properties" : { "noteIndex" : 0 }, "schema" : "https://github.com/citation-style-language/schema/raw/master/csl-citation.json" }</w:instrText>
      </w:r>
      <w:r w:rsidR="00C032DE">
        <w:rPr>
          <w:rFonts w:ascii="Book Antiqua" w:hAnsi="Book Antiqua"/>
          <w:sz w:val="24"/>
          <w:szCs w:val="24"/>
          <w:lang w:val="en-GB"/>
        </w:rPr>
        <w:fldChar w:fldCharType="separate"/>
      </w:r>
      <w:r w:rsidR="00C032DE" w:rsidRPr="005F5C48">
        <w:rPr>
          <w:rFonts w:ascii="Book Antiqua" w:hAnsi="Book Antiqua"/>
          <w:noProof/>
          <w:sz w:val="24"/>
          <w:szCs w:val="24"/>
          <w:vertAlign w:val="superscript"/>
          <w:lang w:val="en-GB"/>
        </w:rPr>
        <w:t>[34]</w:t>
      </w:r>
      <w:r w:rsidR="00C032DE">
        <w:rPr>
          <w:rFonts w:ascii="Book Antiqua" w:hAnsi="Book Antiqua"/>
          <w:sz w:val="24"/>
          <w:szCs w:val="24"/>
          <w:lang w:val="en-GB"/>
        </w:rPr>
        <w:fldChar w:fldCharType="end"/>
      </w:r>
      <w:r>
        <w:rPr>
          <w:rFonts w:ascii="Book Antiqua" w:hAnsi="Book Antiqua"/>
          <w:sz w:val="24"/>
          <w:szCs w:val="24"/>
          <w:lang w:val="en-GB"/>
        </w:rPr>
        <w:t>.</w:t>
      </w:r>
      <w:r w:rsidR="007D7ACC">
        <w:fldChar w:fldCharType="begin"/>
      </w:r>
      <w:r w:rsidR="007D7ACC">
        <w:fldChar w:fldCharType="separate"/>
      </w:r>
      <w:r>
        <w:rPr>
          <w:rFonts w:ascii="Book Antiqua" w:hAnsi="Book Antiqua"/>
          <w:noProof/>
          <w:sz w:val="24"/>
          <w:szCs w:val="24"/>
          <w:lang w:val="en-GB"/>
        </w:rPr>
        <w:t>[47]</w:t>
      </w:r>
      <w:r w:rsidR="007D7ACC">
        <w:fldChar w:fldCharType="end"/>
      </w:r>
      <w:r>
        <w:rPr>
          <w:rFonts w:ascii="Book Antiqua" w:hAnsi="Book Antiqua"/>
          <w:sz w:val="24"/>
          <w:szCs w:val="24"/>
          <w:lang w:val="en-GB"/>
        </w:rPr>
        <w:t xml:space="preserve"> </w:t>
      </w:r>
      <w:r w:rsidR="00425EE0">
        <w:rPr>
          <w:rFonts w:ascii="Book Antiqua" w:hAnsi="Book Antiqua"/>
          <w:color w:val="000000"/>
          <w:sz w:val="24"/>
          <w:szCs w:val="24"/>
          <w:lang w:val="en-GB"/>
        </w:rPr>
        <w:t xml:space="preserve">Intraoperative </w:t>
      </w:r>
      <w:r w:rsidR="00C032DE">
        <w:rPr>
          <w:rFonts w:ascii="Book Antiqua" w:hAnsi="Book Antiqua"/>
          <w:color w:val="000000"/>
          <w:sz w:val="24"/>
          <w:szCs w:val="24"/>
          <w:lang w:val="en-GB"/>
        </w:rPr>
        <w:t>ICG-PDR of 10.8%</w:t>
      </w:r>
      <w:r w:rsidR="00C032DE">
        <w:rPr>
          <w:rFonts w:ascii="Book Antiqua" w:eastAsiaTheme="minorEastAsia" w:hAnsi="Book Antiqua" w:hint="eastAsia"/>
          <w:color w:val="000000"/>
          <w:sz w:val="24"/>
          <w:szCs w:val="24"/>
          <w:lang w:val="en-GB" w:eastAsia="zh-CN"/>
        </w:rPr>
        <w:t>/</w:t>
      </w:r>
      <w:r w:rsidR="001C1CE4">
        <w:rPr>
          <w:rFonts w:ascii="Book Antiqua" w:hAnsi="Book Antiqua"/>
          <w:color w:val="000000"/>
          <w:sz w:val="24"/>
          <w:szCs w:val="24"/>
          <w:lang w:val="en-GB"/>
        </w:rPr>
        <w:t xml:space="preserve">min </w:t>
      </w:r>
      <w:r w:rsidR="001C1CE4">
        <w:rPr>
          <w:rFonts w:ascii="Book Antiqua" w:hAnsi="Book Antiqua"/>
          <w:color w:val="000000"/>
          <w:sz w:val="24"/>
          <w:szCs w:val="24"/>
          <w:lang w:val="en-GB"/>
        </w:rPr>
        <w:lastRenderedPageBreak/>
        <w:t>measured 60 min after organ reperfusion had the best specificity and sensitivity in predicting the development of severe EAD with</w:t>
      </w:r>
      <w:r w:rsidR="00DD281B">
        <w:rPr>
          <w:rFonts w:ascii="Book Antiqua" w:hAnsi="Book Antiqua"/>
          <w:color w:val="000000"/>
          <w:sz w:val="24"/>
          <w:szCs w:val="24"/>
          <w:lang w:val="en-GB"/>
        </w:rPr>
        <w:t xml:space="preserve"> an area under receiver operating characteristics</w:t>
      </w:r>
      <w:r w:rsidR="001C1CE4">
        <w:rPr>
          <w:rFonts w:ascii="Book Antiqua" w:hAnsi="Book Antiqua"/>
          <w:color w:val="000000"/>
          <w:sz w:val="24"/>
          <w:szCs w:val="24"/>
          <w:lang w:val="en-GB"/>
        </w:rPr>
        <w:t xml:space="preserve"> </w:t>
      </w:r>
      <w:r w:rsidR="00DD281B">
        <w:rPr>
          <w:rFonts w:ascii="Book Antiqua" w:hAnsi="Book Antiqua"/>
          <w:color w:val="000000"/>
          <w:sz w:val="24"/>
          <w:szCs w:val="24"/>
          <w:lang w:val="en-GB"/>
        </w:rPr>
        <w:t>(</w:t>
      </w:r>
      <w:r w:rsidR="001C1CE4">
        <w:rPr>
          <w:rFonts w:ascii="Book Antiqua" w:hAnsi="Book Antiqua"/>
          <w:color w:val="000000"/>
          <w:sz w:val="24"/>
          <w:szCs w:val="24"/>
          <w:lang w:val="en-GB"/>
        </w:rPr>
        <w:t>AUROC</w:t>
      </w:r>
      <w:r w:rsidR="00DD281B">
        <w:rPr>
          <w:rFonts w:ascii="Book Antiqua" w:hAnsi="Book Antiqua"/>
          <w:color w:val="000000"/>
          <w:sz w:val="24"/>
          <w:szCs w:val="24"/>
          <w:lang w:val="en-GB"/>
        </w:rPr>
        <w:t>)</w:t>
      </w:r>
      <w:r w:rsidR="001C1CE4">
        <w:rPr>
          <w:rFonts w:ascii="Book Antiqua" w:hAnsi="Book Antiqua"/>
          <w:color w:val="000000"/>
          <w:sz w:val="24"/>
          <w:szCs w:val="24"/>
          <w:lang w:val="en-GB"/>
        </w:rPr>
        <w:t xml:space="preserve"> = 0.944, performing better than any other clinical and laboratory parameter and with </w:t>
      </w:r>
      <w:r w:rsidR="00B50912">
        <w:rPr>
          <w:rFonts w:ascii="Book Antiqua" w:hAnsi="Book Antiqua"/>
          <w:color w:val="000000"/>
          <w:sz w:val="24"/>
          <w:szCs w:val="24"/>
          <w:lang w:val="en-GB"/>
        </w:rPr>
        <w:t>a negative predictive value (</w:t>
      </w:r>
      <w:r w:rsidR="001C1CE4">
        <w:rPr>
          <w:rFonts w:ascii="Book Antiqua" w:hAnsi="Book Antiqua"/>
          <w:color w:val="000000"/>
          <w:sz w:val="24"/>
          <w:szCs w:val="24"/>
          <w:lang w:val="en-GB"/>
        </w:rPr>
        <w:t>NPV</w:t>
      </w:r>
      <w:r w:rsidR="00B50912">
        <w:rPr>
          <w:rFonts w:ascii="Book Antiqua" w:hAnsi="Book Antiqua"/>
          <w:color w:val="000000"/>
          <w:sz w:val="24"/>
          <w:szCs w:val="24"/>
          <w:lang w:val="en-GB"/>
        </w:rPr>
        <w:t>)</w:t>
      </w:r>
      <w:r w:rsidR="001C1CE4">
        <w:rPr>
          <w:rFonts w:ascii="Book Antiqua" w:hAnsi="Book Antiqua"/>
          <w:color w:val="000000"/>
          <w:sz w:val="24"/>
          <w:szCs w:val="24"/>
          <w:lang w:val="en-GB"/>
        </w:rPr>
        <w:t xml:space="preserve"> of 99.2</w:t>
      </w:r>
      <w:r w:rsidR="006D2F86">
        <w:rPr>
          <w:rFonts w:ascii="Book Antiqua" w:hAnsi="Book Antiqua"/>
          <w:color w:val="000000"/>
          <w:sz w:val="24"/>
          <w:szCs w:val="24"/>
          <w:lang w:val="en-GB"/>
        </w:rPr>
        <w:t>%</w:t>
      </w:r>
      <w:r w:rsidR="00C032DE">
        <w:rPr>
          <w:rFonts w:ascii="Book Antiqua" w:hAnsi="Book Antiqua"/>
          <w:color w:val="000000"/>
          <w:sz w:val="24"/>
          <w:szCs w:val="24"/>
          <w:lang w:val="en-GB"/>
        </w:rPr>
        <w:fldChar w:fldCharType="begin" w:fldLock="1"/>
      </w:r>
      <w:r w:rsidR="00C032DE">
        <w:rPr>
          <w:rFonts w:ascii="Book Antiqua" w:hAnsi="Book Antiqua"/>
          <w:color w:val="000000"/>
          <w:sz w:val="24"/>
          <w:szCs w:val="24"/>
          <w:lang w:val="en-GB"/>
        </w:rPr>
        <w:instrText>ADDIN CSL_CITATION { "citationItems" : [ { "id" : "ITEM-1", "itemData" : { "DOI" : "10.1002/lt.21841", "ISSN" : "1527-6473", "PMID" : "19790138", "abstract" : "Early diagnosis of graft dysfunction in liver transplantation is essential for taking appropriate action. Indocyanine green clearance is closely related to liver function and can be measured noninvasively by spectrophotometry. The objectives of this study were to prospectively analyze the relationship between the indocyanine green plasma disappearance rate (ICGPDR) and early graft function after liver transplantation and to evaluate the role of ICGPDR in the prediction of severe graft dysfunction (SGD). One hundred seventy-two liver transplants from deceased donors were analyzed. Ten patients had SGD: 6 were retransplanted, and 4 died while waiting for a new graft. The plasma disappearance rate was measured 1 hour (PDRr60) and within the first 24 hours (PDR1) after reperfusion, and it was significantly lower in the SGD group. PDRr60 and PDR1 were excellent predictors of SGD. A threshold PDRr60 value of 10.8%/minute and a PDR1 value of 10%/minute accurately predicted SGD with areas under the receiver operating curve of 0.94 (95% confidence interval, 0.89-0.97) and 0.96 (95% confidence interval, 0.92-0.98), respectively. In addition, survival was significantly lower in patients with PDRr60 values below 10.8%/minute (53%, 47%, and 47% versus 95%, 94%, and 90% at 3, 6, and 12 months, respectively) and with PDR1 values below 10%/minute (62%, 62%, and 62% versus 94%, 92%, and 88%). In conclusion, very early noninvasive measurement of ICGPDR can accurately predict early severe graft dysfunction and mortality after liver transplantation.", "author" : [ { "dropping-particle" : "", "family" : "Olmedilla", "given" : "Luis", "non-dropping-particle" : "", "parse-names" : false, "suffix" : "" }, { "dropping-particle" : "", "family" : "P\u00e9rez-Pe\u00f1a", "given" : "Jos\u00e9 Mar\u00eda", "non-dropping-particle" : "", "parse-names" : false, "suffix" : "" }, { "dropping-particle" : "", "family" : "Ripoll", "given" : "Cristina", "non-dropping-particle" : "", "parse-names" : false, "suffix" : "" }, { "dropping-particle" : "", "family" : "Garutti", "given" : "Ignacio", "non-dropping-particle" : "", "parse-names" : false, "suffix" : "" }, { "dropping-particle" : "", "family" : "Diego", "given" : "Roberto", "non-dropping-particle" : "de", "parse-names" : false, "suffix" : "" }, { "dropping-particle" : "", "family" : "Salcedo", "given" : "Magdalena", "non-dropping-particle" : "", "parse-names" : false, "suffix" : "" }, { "dropping-particle" : "", "family" : "Jim\u00e9nez", "given" : "Consuelo", "non-dropping-particle" : "", "parse-names" : false, "suffix" : "" }, { "dropping-particle" : "", "family" : "Ba\u00f1ares", "given" : "Rafael", "non-dropping-particle" : "", "parse-names" : false, "suffix" : "" } ], "container-title" : "Liver transplantation : official publication of the American Association for the Study of Liver Diseases and the International Liver Transplantation Society", "id" : "ITEM-1", "issue" : "10", "issued" : { "date-parts" : [ [ "2009", "10" ] ] }, "page" : "1247-53", "title" : "Early noninvasive measurement of the indocyanine green plasma disappearance rate accurately predicts early graft dysfunction and mortality after deceased donor liver transplantation.", "type" : "article-journal", "volume" : "15" }, "uris" : [ "http://www.mendeley.com/documents/?uuid=f52f486e-a667-47c0-8803-76345b8528f7" ] } ], "mendeley" : { "formattedCitation" : "&lt;sup&gt;[35]&lt;/sup&gt;", "plainTextFormattedCitation" : "[35]", "previouslyFormattedCitation" : "&lt;sup&gt;[35]&lt;/sup&gt;" }, "properties" : { "noteIndex" : 0 }, "schema" : "https://github.com/citation-style-language/schema/raw/master/csl-citation.json" }</w:instrText>
      </w:r>
      <w:r w:rsidR="00C032DE">
        <w:rPr>
          <w:rFonts w:ascii="Book Antiqua" w:hAnsi="Book Antiqua"/>
          <w:color w:val="000000"/>
          <w:sz w:val="24"/>
          <w:szCs w:val="24"/>
          <w:lang w:val="en-GB"/>
        </w:rPr>
        <w:fldChar w:fldCharType="separate"/>
      </w:r>
      <w:r w:rsidR="00C032DE" w:rsidRPr="005F5C48">
        <w:rPr>
          <w:rFonts w:ascii="Book Antiqua" w:hAnsi="Book Antiqua"/>
          <w:noProof/>
          <w:color w:val="000000"/>
          <w:sz w:val="24"/>
          <w:szCs w:val="24"/>
          <w:vertAlign w:val="superscript"/>
          <w:lang w:val="en-GB"/>
        </w:rPr>
        <w:t>[35]</w:t>
      </w:r>
      <w:r w:rsidR="00C032DE">
        <w:rPr>
          <w:rFonts w:ascii="Book Antiqua" w:hAnsi="Book Antiqua"/>
          <w:color w:val="000000"/>
          <w:sz w:val="24"/>
          <w:szCs w:val="24"/>
          <w:lang w:val="en-GB"/>
        </w:rPr>
        <w:fldChar w:fldCharType="end"/>
      </w:r>
      <w:r w:rsidR="006D2F86">
        <w:rPr>
          <w:rFonts w:ascii="Book Antiqua" w:hAnsi="Book Antiqua"/>
          <w:color w:val="000000"/>
          <w:sz w:val="24"/>
          <w:szCs w:val="24"/>
          <w:lang w:val="en-GB"/>
        </w:rPr>
        <w:t>.</w:t>
      </w:r>
    </w:p>
    <w:p w14:paraId="67647C22" w14:textId="23342179" w:rsidR="006D2F86" w:rsidRDefault="001C1CE4" w:rsidP="00422EBA">
      <w:pPr>
        <w:adjustRightInd w:val="0"/>
        <w:snapToGrid w:val="0"/>
        <w:spacing w:after="0" w:line="360" w:lineRule="auto"/>
        <w:ind w:firstLineChars="200" w:firstLine="480"/>
        <w:jc w:val="both"/>
        <w:rPr>
          <w:rFonts w:ascii="Book Antiqua" w:hAnsi="Book Antiqua"/>
          <w:color w:val="000000"/>
          <w:sz w:val="24"/>
          <w:szCs w:val="24"/>
          <w:lang w:val="en-GB"/>
        </w:rPr>
      </w:pPr>
      <w:r>
        <w:rPr>
          <w:rFonts w:ascii="Book Antiqua" w:hAnsi="Book Antiqua"/>
          <w:color w:val="000000"/>
          <w:sz w:val="24"/>
          <w:szCs w:val="24"/>
          <w:lang w:val="en-GB"/>
        </w:rPr>
        <w:t xml:space="preserve">Post-reperfusion lactate levels measured intra-operatively showed significant correlation with 3-mo patient mortality. Patients whose lactate values showed no </w:t>
      </w:r>
      <w:r w:rsidR="0099705C">
        <w:rPr>
          <w:rFonts w:ascii="Book Antiqua" w:hAnsi="Book Antiqua"/>
          <w:color w:val="000000"/>
          <w:sz w:val="24"/>
          <w:szCs w:val="24"/>
          <w:lang w:val="en-GB"/>
        </w:rPr>
        <w:t>reduction</w:t>
      </w:r>
      <w:r>
        <w:rPr>
          <w:rFonts w:ascii="Book Antiqua" w:hAnsi="Book Antiqua"/>
          <w:color w:val="000000"/>
          <w:sz w:val="24"/>
          <w:szCs w:val="24"/>
          <w:lang w:val="en-GB"/>
        </w:rPr>
        <w:t xml:space="preserve"> for 2 hours after graft vascularisation experienced higher bilirubin levels from POD5 to POD23. These data came from a small study of 15 </w:t>
      </w:r>
      <w:r w:rsidR="00DD281B">
        <w:rPr>
          <w:rFonts w:ascii="Book Antiqua" w:hAnsi="Book Antiqua"/>
          <w:color w:val="000000"/>
          <w:sz w:val="24"/>
          <w:szCs w:val="24"/>
          <w:lang w:val="en-GB"/>
        </w:rPr>
        <w:t>living donor liver transplant (</w:t>
      </w:r>
      <w:r>
        <w:rPr>
          <w:rFonts w:ascii="Book Antiqua" w:hAnsi="Book Antiqua"/>
          <w:color w:val="000000"/>
          <w:sz w:val="24"/>
          <w:szCs w:val="24"/>
          <w:lang w:val="en-GB"/>
        </w:rPr>
        <w:t>LDLT</w:t>
      </w:r>
      <w:r w:rsidR="00DD281B">
        <w:rPr>
          <w:rFonts w:ascii="Book Antiqua" w:hAnsi="Book Antiqua"/>
          <w:color w:val="000000"/>
          <w:sz w:val="24"/>
          <w:szCs w:val="24"/>
          <w:lang w:val="en-GB"/>
        </w:rPr>
        <w:t>)</w:t>
      </w:r>
      <w:r>
        <w:rPr>
          <w:rFonts w:ascii="Book Antiqua" w:hAnsi="Book Antiqua"/>
          <w:color w:val="000000"/>
          <w:sz w:val="24"/>
          <w:szCs w:val="24"/>
          <w:lang w:val="en-GB"/>
        </w:rPr>
        <w:t xml:space="preserve"> recipient</w:t>
      </w:r>
      <w:r w:rsidR="006D2F86">
        <w:rPr>
          <w:rFonts w:ascii="Book Antiqua" w:hAnsi="Book Antiqua"/>
          <w:color w:val="000000"/>
          <w:sz w:val="24"/>
          <w:szCs w:val="24"/>
          <w:lang w:val="en-GB"/>
        </w:rPr>
        <w:t>s</w:t>
      </w:r>
      <w:r w:rsidR="00C032DE">
        <w:rPr>
          <w:rFonts w:ascii="Book Antiqua" w:hAnsi="Book Antiqua"/>
          <w:color w:val="000000"/>
          <w:sz w:val="24"/>
          <w:szCs w:val="24"/>
          <w:lang w:val="en-GB"/>
        </w:rPr>
        <w:fldChar w:fldCharType="begin" w:fldLock="1"/>
      </w:r>
      <w:r w:rsidR="00C032DE">
        <w:rPr>
          <w:rFonts w:ascii="Book Antiqua" w:hAnsi="Book Antiqua"/>
          <w:color w:val="000000"/>
          <w:sz w:val="24"/>
          <w:szCs w:val="24"/>
          <w:lang w:val="en-GB"/>
        </w:rPr>
        <w:instrText>ADDIN CSL_CITATION { "citationItems" : [ { "id" : "ITEM-1", "itemData" : { "DOI" : "10.1016/j.transproceed.2004.08.051", "ISSN" : "00411345", "PMID" : "15561207", "abstract" : "This study was performed to investigate whether intraoperative changes in blood lactate levels after hepatic allograft reperfusion reflect initial graft function in living donor liver transplantation (LDLT). From 1994 to 2003, 15 of LDLT cases were divided into two groups based on the intraoperative blood lactate levels. Group A consisted of seven recipients whose new liver grafts started to consume lactate immediately after portal perfusion. Group B consisted of the remaining eight recipients whose intraoperative blood lactate values showed no change or an elevation for 2 hours after graft revascularization. All Group A patients survived, whereas three out of eight patients in Group B died of infection and portal vein thrombosis within 3 months after LDLT. There was no significant difference in preoperative donor and recipient laboratory data. The recipient age and body size in Group B were significantly higher than those in Group A, indicating that Group B consisted of small-for-size liver transplant cases. Serum total bilirubin concentrations in Group B were significantly higher than Group A from postoperative day 5 to 23, whereas postoperative liver enzyme levels and prothrombin time were similar between the two groups. The change in intraoperative blood lactate after hepatic allograft reperfusion served as an accurate predictor of initial graft function which was associated with graft size in human LDLT.", "author" : [ { "dropping-particle" : "", "family" : "Nishimura", "given" : "A.", "non-dropping-particle" : "", "parse-names" : false, "suffix" : "" }, { "dropping-particle" : "", "family" : "Hakamada", "given" : "K.", "non-dropping-particle" : "", "parse-names" : false, "suffix" : "" }, { "dropping-particle" : "", "family" : "Narumi", "given" : "S.", "non-dropping-particle" : "", "parse-names" : false, "suffix" : "" }, { "dropping-particle" : "", "family" : "Totsuka", "given" : "E.", "non-dropping-particle" : "", "parse-names" : false, "suffix" : "" }, { "dropping-particle" : "", "family" : "Toyoki", "given" : "Y.", "non-dropping-particle" : "", "parse-names" : false, "suffix" : "" }, { "dropping-particle" : "", "family" : "Ishizawa", "given" : "Y.", "non-dropping-particle" : "", "parse-names" : false, "suffix" : "" }, { "dropping-particle" : "", "family" : "Umehara", "given" : "M.", "non-dropping-particle" : "", "parse-names" : false, "suffix" : "" }, { "dropping-particle" : "", "family" : "Yoshida", "given" : "A.", "non-dropping-particle" : "", "parse-names" : false, "suffix" : "" }, { "dropping-particle" : "", "family" : "Umehara", "given" : "Y.", "non-dropping-particle" : "", "parse-names" : false, "suffix" : "" }, { "dropping-particle" : "", "family" : "Sasaki", "given" : "M.", "non-dropping-particle" : "", "parse-names" : false, "suffix" : "" } ], "container-title" : "Transplantation Proceedings", "id" : "ITEM-1", "issue" : "8", "issued" : { "date-parts" : [ [ "2004" ] ] }, "page" : "2246-2248", "title" : "Intraoperative blood lactate level as an early predictor of initial graft function in human living donor liver transplantation", "type" : "article-journal", "volume" : "36" }, "uris" : [ "http://www.mendeley.com/documents/?uuid=e3a553da-a83f-462e-80db-7d1343862093" ] } ], "mendeley" : { "formattedCitation" : "&lt;sup&gt;[36]&lt;/sup&gt;", "plainTextFormattedCitation" : "[36]", "previouslyFormattedCitation" : "&lt;sup&gt;[36]&lt;/sup&gt;" }, "properties" : { "noteIndex" : 0 }, "schema" : "https://github.com/citation-style-language/schema/raw/master/csl-citation.json" }</w:instrText>
      </w:r>
      <w:r w:rsidR="00C032DE">
        <w:rPr>
          <w:rFonts w:ascii="Book Antiqua" w:hAnsi="Book Antiqua"/>
          <w:color w:val="000000"/>
          <w:sz w:val="24"/>
          <w:szCs w:val="24"/>
          <w:lang w:val="en-GB"/>
        </w:rPr>
        <w:fldChar w:fldCharType="separate"/>
      </w:r>
      <w:r w:rsidR="00C032DE" w:rsidRPr="005F5C48">
        <w:rPr>
          <w:rFonts w:ascii="Book Antiqua" w:hAnsi="Book Antiqua"/>
          <w:noProof/>
          <w:color w:val="000000"/>
          <w:sz w:val="24"/>
          <w:szCs w:val="24"/>
          <w:vertAlign w:val="superscript"/>
          <w:lang w:val="en-GB"/>
        </w:rPr>
        <w:t>[36]</w:t>
      </w:r>
      <w:r w:rsidR="00C032DE">
        <w:rPr>
          <w:rFonts w:ascii="Book Antiqua" w:hAnsi="Book Antiqua"/>
          <w:color w:val="000000"/>
          <w:sz w:val="24"/>
          <w:szCs w:val="24"/>
          <w:lang w:val="en-GB"/>
        </w:rPr>
        <w:fldChar w:fldCharType="end"/>
      </w:r>
      <w:r w:rsidR="006D2F86">
        <w:rPr>
          <w:rFonts w:ascii="Book Antiqua" w:hAnsi="Book Antiqua"/>
          <w:color w:val="000000"/>
          <w:sz w:val="24"/>
          <w:szCs w:val="24"/>
          <w:lang w:val="en-GB"/>
        </w:rPr>
        <w:t>.</w:t>
      </w:r>
      <w:r w:rsidR="00C032DE">
        <w:rPr>
          <w:rFonts w:ascii="Book Antiqua" w:hAnsi="Book Antiqua"/>
          <w:color w:val="000000"/>
          <w:sz w:val="24"/>
          <w:szCs w:val="24"/>
          <w:lang w:val="en-GB"/>
        </w:rPr>
        <w:t xml:space="preserve"> </w:t>
      </w:r>
    </w:p>
    <w:p w14:paraId="14FB0982" w14:textId="24C12D3D" w:rsidR="006D2F86" w:rsidRDefault="006D2F86" w:rsidP="00422EBA">
      <w:pPr>
        <w:adjustRightInd w:val="0"/>
        <w:snapToGrid w:val="0"/>
        <w:spacing w:after="0" w:line="360" w:lineRule="auto"/>
        <w:jc w:val="both"/>
        <w:rPr>
          <w:rFonts w:ascii="Book Antiqua" w:hAnsi="Book Antiqua"/>
          <w:color w:val="000000"/>
          <w:sz w:val="24"/>
          <w:szCs w:val="24"/>
          <w:lang w:val="en-GB"/>
        </w:rPr>
      </w:pPr>
    </w:p>
    <w:p w14:paraId="7DA87BF1" w14:textId="15250F0F" w:rsidR="006D2F86" w:rsidRPr="00C032DE" w:rsidRDefault="006D2F86" w:rsidP="00422EBA">
      <w:pPr>
        <w:adjustRightInd w:val="0"/>
        <w:snapToGrid w:val="0"/>
        <w:spacing w:after="0" w:line="360" w:lineRule="auto"/>
        <w:jc w:val="both"/>
        <w:rPr>
          <w:rFonts w:ascii="Book Antiqua" w:hAnsi="Book Antiqua"/>
          <w:b/>
          <w:caps/>
          <w:sz w:val="24"/>
          <w:szCs w:val="24"/>
          <w:lang w:val="en-GB"/>
        </w:rPr>
      </w:pPr>
      <w:r w:rsidRPr="00C032DE">
        <w:rPr>
          <w:rFonts w:ascii="Book Antiqua" w:hAnsi="Book Antiqua"/>
          <w:b/>
          <w:caps/>
          <w:sz w:val="24"/>
          <w:szCs w:val="24"/>
          <w:lang w:val="en-GB"/>
        </w:rPr>
        <w:t>Postoperative parameters</w:t>
      </w:r>
    </w:p>
    <w:p w14:paraId="43A7C3D6" w14:textId="0BCCD2AD" w:rsidR="006D2F86" w:rsidRDefault="006D2F86" w:rsidP="00422EBA">
      <w:pPr>
        <w:adjustRightInd w:val="0"/>
        <w:snapToGrid w:val="0"/>
        <w:spacing w:after="0" w:line="360" w:lineRule="auto"/>
        <w:jc w:val="both"/>
        <w:rPr>
          <w:rFonts w:ascii="Book Antiqua" w:hAnsi="Book Antiqua"/>
          <w:sz w:val="24"/>
          <w:szCs w:val="24"/>
          <w:lang w:val="en-GB"/>
        </w:rPr>
      </w:pPr>
      <w:r>
        <w:rPr>
          <w:rFonts w:ascii="Book Antiqua" w:hAnsi="Book Antiqua"/>
          <w:sz w:val="24"/>
          <w:szCs w:val="24"/>
          <w:lang w:val="en-GB"/>
        </w:rPr>
        <w:t xml:space="preserve">These parameters are the main focus of our review. Table </w:t>
      </w:r>
      <w:r w:rsidR="00DF3889">
        <w:rPr>
          <w:rFonts w:ascii="Book Antiqua" w:hAnsi="Book Antiqua"/>
          <w:sz w:val="24"/>
          <w:szCs w:val="24"/>
          <w:lang w:val="en-GB"/>
        </w:rPr>
        <w:t>2</w:t>
      </w:r>
      <w:r w:rsidR="00A50A84">
        <w:rPr>
          <w:rFonts w:ascii="Book Antiqua" w:hAnsi="Book Antiqua"/>
          <w:sz w:val="24"/>
          <w:szCs w:val="24"/>
          <w:lang w:val="en-GB"/>
        </w:rPr>
        <w:t xml:space="preserve"> </w:t>
      </w:r>
      <w:r>
        <w:rPr>
          <w:rFonts w:ascii="Book Antiqua" w:hAnsi="Book Antiqua"/>
          <w:sz w:val="24"/>
          <w:szCs w:val="24"/>
          <w:lang w:val="en-GB"/>
        </w:rPr>
        <w:t>summarises the relevant studies mentioned below and their statistics.</w:t>
      </w:r>
      <w:r w:rsidR="00BE7351">
        <w:rPr>
          <w:rFonts w:ascii="Book Antiqua" w:hAnsi="Book Antiqua"/>
          <w:sz w:val="24"/>
          <w:szCs w:val="24"/>
          <w:lang w:val="en-GB"/>
        </w:rPr>
        <w:t xml:space="preserve"> They are divided in functional tests (ICG-PDR, LiMAX, others), analytic tests </w:t>
      </w:r>
      <w:r w:rsidR="00C032DE">
        <w:rPr>
          <w:rFonts w:ascii="Book Antiqua" w:eastAsiaTheme="minorEastAsia" w:hAnsi="Book Antiqua" w:hint="eastAsia"/>
          <w:sz w:val="24"/>
          <w:szCs w:val="24"/>
          <w:lang w:val="en-GB" w:eastAsia="zh-CN"/>
        </w:rPr>
        <w:t>[</w:t>
      </w:r>
      <w:r w:rsidR="00BE7351">
        <w:rPr>
          <w:rFonts w:ascii="Book Antiqua" w:hAnsi="Book Antiqua"/>
          <w:sz w:val="24"/>
          <w:szCs w:val="24"/>
          <w:lang w:val="en-GB"/>
        </w:rPr>
        <w:t xml:space="preserve">platelet counts, factor V, transaminases, bilirubin, INR, lactates and </w:t>
      </w:r>
      <w:r w:rsidR="00C032DE" w:rsidRPr="00C032DE">
        <w:rPr>
          <w:rFonts w:ascii="Book Antiqua" w:hAnsi="Book Antiqua"/>
          <w:sz w:val="24"/>
          <w:szCs w:val="24"/>
          <w:lang w:val="en-GB"/>
        </w:rPr>
        <w:t>insulin growth factor 1 (IGF1)</w:t>
      </w:r>
      <w:r w:rsidR="00C032DE">
        <w:rPr>
          <w:rFonts w:ascii="Book Antiqua" w:eastAsiaTheme="minorEastAsia" w:hAnsi="Book Antiqua" w:hint="eastAsia"/>
          <w:sz w:val="24"/>
          <w:szCs w:val="24"/>
          <w:lang w:val="en-GB" w:eastAsia="zh-CN"/>
        </w:rPr>
        <w:t>]</w:t>
      </w:r>
      <w:r w:rsidR="00BE7351">
        <w:rPr>
          <w:rFonts w:ascii="Book Antiqua" w:hAnsi="Book Antiqua"/>
          <w:sz w:val="24"/>
          <w:szCs w:val="24"/>
          <w:lang w:val="en-GB"/>
        </w:rPr>
        <w:t xml:space="preserve"> and clinical scores </w:t>
      </w:r>
      <w:r w:rsidR="00491865">
        <w:rPr>
          <w:rFonts w:ascii="Book Antiqua" w:eastAsiaTheme="minorEastAsia" w:hAnsi="Book Antiqua" w:hint="eastAsia"/>
          <w:sz w:val="24"/>
          <w:szCs w:val="24"/>
          <w:lang w:val="en-GB" w:eastAsia="zh-CN"/>
        </w:rPr>
        <w:t>[</w:t>
      </w:r>
      <w:r w:rsidR="00BE7351">
        <w:rPr>
          <w:rFonts w:ascii="Book Antiqua" w:hAnsi="Book Antiqua"/>
          <w:sz w:val="24"/>
          <w:szCs w:val="24"/>
          <w:lang w:val="en-GB"/>
        </w:rPr>
        <w:t xml:space="preserve">MELD, </w:t>
      </w:r>
      <w:r w:rsidR="00C032DE">
        <w:rPr>
          <w:rFonts w:ascii="Book Antiqua" w:hAnsi="Book Antiqua"/>
          <w:color w:val="000000"/>
          <w:sz w:val="24"/>
          <w:szCs w:val="24"/>
          <w:lang w:val="en-GB"/>
        </w:rPr>
        <w:t>acute physiology and chronic health evaluation (APACHE)</w:t>
      </w:r>
      <w:r w:rsidR="00BE7351">
        <w:rPr>
          <w:rFonts w:ascii="Book Antiqua" w:hAnsi="Book Antiqua"/>
          <w:sz w:val="24"/>
          <w:szCs w:val="24"/>
          <w:lang w:val="en-GB"/>
        </w:rPr>
        <w:t xml:space="preserve">, </w:t>
      </w:r>
      <w:r w:rsidR="00491865" w:rsidRPr="00491865">
        <w:rPr>
          <w:rFonts w:ascii="Book Antiqua" w:hAnsi="Book Antiqua"/>
          <w:sz w:val="24"/>
          <w:szCs w:val="24"/>
          <w:lang w:val="en-GB"/>
        </w:rPr>
        <w:t>chronic liver failure – sequential organ failure assessment (CLIF-SOFA)</w:t>
      </w:r>
      <w:r w:rsidR="00BE7351">
        <w:rPr>
          <w:rFonts w:ascii="Book Antiqua" w:hAnsi="Book Antiqua"/>
          <w:sz w:val="24"/>
          <w:szCs w:val="24"/>
          <w:lang w:val="en-GB"/>
        </w:rPr>
        <w:t xml:space="preserve"> and </w:t>
      </w:r>
      <w:r w:rsidR="00491865" w:rsidRPr="00491865">
        <w:rPr>
          <w:rFonts w:ascii="Book Antiqua" w:hAnsi="Book Antiqua"/>
          <w:sz w:val="24"/>
          <w:szCs w:val="24"/>
          <w:lang w:val="en-GB"/>
        </w:rPr>
        <w:t>model for early allograft function scoring (MEAF)</w:t>
      </w:r>
      <w:r w:rsidR="00491865">
        <w:rPr>
          <w:rFonts w:ascii="Book Antiqua" w:eastAsiaTheme="minorEastAsia" w:hAnsi="Book Antiqua" w:hint="eastAsia"/>
          <w:sz w:val="24"/>
          <w:szCs w:val="24"/>
          <w:lang w:val="en-GB" w:eastAsia="zh-CN"/>
        </w:rPr>
        <w:t>]</w:t>
      </w:r>
      <w:r w:rsidR="00BE7351">
        <w:rPr>
          <w:rFonts w:ascii="Book Antiqua" w:hAnsi="Book Antiqua"/>
          <w:sz w:val="24"/>
          <w:szCs w:val="24"/>
          <w:lang w:val="en-GB"/>
        </w:rPr>
        <w:t>.</w:t>
      </w:r>
    </w:p>
    <w:p w14:paraId="1D02946C" w14:textId="40C93BF0" w:rsidR="006D2F86" w:rsidRDefault="00BE7351" w:rsidP="00422EBA">
      <w:pPr>
        <w:adjustRightInd w:val="0"/>
        <w:snapToGrid w:val="0"/>
        <w:spacing w:after="0" w:line="360" w:lineRule="auto"/>
        <w:ind w:firstLineChars="200" w:firstLine="480"/>
        <w:jc w:val="both"/>
        <w:rPr>
          <w:rFonts w:ascii="Book Antiqua" w:hAnsi="Book Antiqua"/>
          <w:color w:val="000000"/>
          <w:sz w:val="24"/>
          <w:szCs w:val="24"/>
          <w:lang w:val="en-GB"/>
        </w:rPr>
      </w:pPr>
      <w:r>
        <w:rPr>
          <w:rFonts w:ascii="Book Antiqua" w:hAnsi="Book Antiqua"/>
          <w:color w:val="000000"/>
          <w:sz w:val="24"/>
          <w:szCs w:val="24"/>
          <w:lang w:val="en-GB"/>
        </w:rPr>
        <w:t xml:space="preserve">Functional </w:t>
      </w:r>
      <w:r w:rsidR="006D2F86">
        <w:rPr>
          <w:rFonts w:ascii="Book Antiqua" w:hAnsi="Book Antiqua"/>
          <w:color w:val="000000"/>
          <w:sz w:val="24"/>
          <w:szCs w:val="24"/>
          <w:lang w:val="en-GB"/>
        </w:rPr>
        <w:t>tests directly quantify hepatic function</w:t>
      </w:r>
      <w:r w:rsidR="00A66513">
        <w:rPr>
          <w:rFonts w:ascii="Book Antiqua" w:hAnsi="Book Antiqua"/>
          <w:color w:val="000000"/>
          <w:sz w:val="24"/>
          <w:szCs w:val="24"/>
          <w:lang w:val="en-GB"/>
        </w:rPr>
        <w:t>.</w:t>
      </w:r>
      <w:r w:rsidR="006D2F86">
        <w:rPr>
          <w:rFonts w:ascii="Book Antiqua" w:hAnsi="Book Antiqua"/>
          <w:color w:val="000000"/>
          <w:sz w:val="24"/>
          <w:szCs w:val="24"/>
          <w:lang w:val="en-GB"/>
        </w:rPr>
        <w:t xml:space="preserve"> </w:t>
      </w:r>
      <w:r w:rsidR="00A66513">
        <w:rPr>
          <w:rFonts w:ascii="Book Antiqua" w:hAnsi="Book Antiqua"/>
          <w:color w:val="000000"/>
          <w:sz w:val="24"/>
          <w:szCs w:val="24"/>
          <w:lang w:val="en-GB"/>
        </w:rPr>
        <w:t>It means</w:t>
      </w:r>
      <w:r w:rsidR="006D2F86">
        <w:rPr>
          <w:rFonts w:ascii="Book Antiqua" w:hAnsi="Book Antiqua"/>
          <w:color w:val="000000"/>
          <w:sz w:val="24"/>
          <w:szCs w:val="24"/>
          <w:lang w:val="en-GB"/>
        </w:rPr>
        <w:t xml:space="preserve"> that they do not only account for patient and donor risk factors</w:t>
      </w:r>
      <w:r w:rsidR="00A66513">
        <w:rPr>
          <w:rFonts w:ascii="Book Antiqua" w:hAnsi="Book Antiqua"/>
          <w:color w:val="000000"/>
          <w:sz w:val="24"/>
          <w:szCs w:val="24"/>
          <w:lang w:val="en-GB"/>
        </w:rPr>
        <w:t xml:space="preserve">, but </w:t>
      </w:r>
      <w:r w:rsidR="006D2F86">
        <w:rPr>
          <w:rFonts w:ascii="Book Antiqua" w:hAnsi="Book Antiqua"/>
          <w:color w:val="000000"/>
          <w:sz w:val="24"/>
          <w:szCs w:val="24"/>
          <w:lang w:val="en-GB"/>
        </w:rPr>
        <w:t>also estimate graft conservation, intra-operative organ insult and early postoperative graft function, offering a quantitative and comprehensive value of liver activity.</w:t>
      </w:r>
    </w:p>
    <w:p w14:paraId="21F4D848" w14:textId="77777777" w:rsidR="00C032DE" w:rsidRDefault="00C032DE" w:rsidP="00422EBA">
      <w:pPr>
        <w:adjustRightInd w:val="0"/>
        <w:snapToGrid w:val="0"/>
        <w:spacing w:after="0" w:line="360" w:lineRule="auto"/>
        <w:jc w:val="both"/>
        <w:rPr>
          <w:rFonts w:ascii="Book Antiqua" w:eastAsiaTheme="minorEastAsia" w:hAnsi="Book Antiqua"/>
          <w:b/>
          <w:sz w:val="24"/>
          <w:szCs w:val="24"/>
          <w:lang w:val="en-GB" w:eastAsia="zh-CN"/>
        </w:rPr>
      </w:pPr>
    </w:p>
    <w:p w14:paraId="0704BB3F" w14:textId="030D45F3" w:rsidR="006D2F86" w:rsidRPr="00C032DE" w:rsidRDefault="006D2F86" w:rsidP="00422EBA">
      <w:pPr>
        <w:adjustRightInd w:val="0"/>
        <w:snapToGrid w:val="0"/>
        <w:spacing w:after="0" w:line="360" w:lineRule="auto"/>
        <w:jc w:val="both"/>
        <w:rPr>
          <w:rFonts w:ascii="Book Antiqua" w:hAnsi="Book Antiqua"/>
          <w:b/>
          <w:caps/>
          <w:sz w:val="24"/>
          <w:szCs w:val="24"/>
          <w:lang w:val="en-GB"/>
        </w:rPr>
      </w:pPr>
      <w:r w:rsidRPr="00C032DE">
        <w:rPr>
          <w:rFonts w:ascii="Book Antiqua" w:hAnsi="Book Antiqua"/>
          <w:b/>
          <w:caps/>
          <w:sz w:val="24"/>
          <w:szCs w:val="24"/>
          <w:lang w:val="en-GB"/>
        </w:rPr>
        <w:t>Indocyanine green - plasma disappearance rate (ICG-PDR)</w:t>
      </w:r>
    </w:p>
    <w:p w14:paraId="5B90025A" w14:textId="3A3925C0" w:rsidR="006D2F86" w:rsidRDefault="006D2F86" w:rsidP="00422EBA">
      <w:pPr>
        <w:adjustRightInd w:val="0"/>
        <w:snapToGrid w:val="0"/>
        <w:spacing w:after="0" w:line="360" w:lineRule="auto"/>
        <w:jc w:val="both"/>
        <w:rPr>
          <w:lang w:val="en-GB"/>
        </w:rPr>
      </w:pPr>
      <w:r>
        <w:rPr>
          <w:rFonts w:ascii="Book Antiqua" w:hAnsi="Book Antiqua"/>
          <w:sz w:val="24"/>
          <w:szCs w:val="24"/>
          <w:lang w:val="en-GB"/>
        </w:rPr>
        <w:t>ICG has been used for 25 years to estimate liver function</w:t>
      </w:r>
      <w:r w:rsidR="00C032DE">
        <w:rPr>
          <w:rFonts w:ascii="Book Antiqua" w:hAnsi="Book Antiqua"/>
          <w:sz w:val="24"/>
          <w:szCs w:val="24"/>
          <w:lang w:val="en-GB"/>
        </w:rPr>
        <w:fldChar w:fldCharType="begin" w:fldLock="1"/>
      </w:r>
      <w:r w:rsidR="00C032DE">
        <w:rPr>
          <w:rFonts w:ascii="Book Antiqua" w:hAnsi="Book Antiqua"/>
          <w:sz w:val="24"/>
          <w:szCs w:val="24"/>
          <w:lang w:val="en-GB"/>
        </w:rPr>
        <w:instrText>ADDIN CSL_CITATION { "citationItems" : [ { "id" : "ITEM-1", "itemData" : { "ISSN" : "0143-5221", "PMID" : "1848168", "abstract" : "1. The validity of a two-compartment pharmacokinetic model for the estimation of the hepatic extraction ratio of Indocyanine Green was tested in six patients with cirrhosis of the liver. 2. No agreement was found between the value of the hepatic extraction ratio measured directly and that calculated using the two-compartment model. 3. To investigate the reasons for the failure of the model, an extended sampling period was used to define the time course of Indocyanine Green in plasma in six healthy subjects and in six patients with cirrhosis of the liver after a bolus injection of the dye. 4. Indocyanine Green was measurable in the plasma for up to 10 h after injection in healthy subjects, and up to 48 h after injection in the patients. The plasma elimination curve in both groups was best described by a triexponential function. 5. The clearance of Indocyanine Green calculated using data collected in the first 20 min after injection overestimated that calculated using data collected for as long as Indocyanine Green was measurable in the plasma. In the patients with cirrhosis the mean overestimate was 87%. 6. Thus, a two-compartment pharmacokinetic model was inappropriate for the description of the disposition of Indocyanine Green and estimates of the hepatic extraction ratio obtained using this model in patients with cirrhosis were inaccurate.", "author" : [ { "dropping-particle" : "", "family" : "Burns", "given" : "E", "non-dropping-particle" : "", "parse-names" : false, "suffix" : "" }, { "dropping-particle" : "", "family" : "Triger", "given" : "D R", "non-dropping-particle" : "", "parse-names" : false, "suffix" : "" }, { "dropping-particle" : "", "family" : "Tucker", "given" : "G T", "non-dropping-particle" : "", "parse-names" : false, "suffix" : "" }, { "dropping-particle" : "", "family" : "Bax", "given" : "N D", "non-dropping-particle" : "", "parse-names" : false, "suffix" : "" } ], "container-title" : "Clinical science (London, England : 1979)", "id" : "ITEM-1", "issue" : "2", "issued" : { "date-parts" : [ [ "1991", "2" ] ] }, "page" : "155-60", "title" : "Indocyanine green elimination in patients with liver disease and in normal subjects.", "type" : "article-journal", "volume" : "80" }, "uris" : [ "http://www.mendeley.com/documents/?uuid=6876b259-c5f2-4f21-98b9-74189d899b0c" ] } ], "mendeley" : { "formattedCitation" : "&lt;sup&gt;[37]&lt;/sup&gt;", "plainTextFormattedCitation" : "[37]", "previouslyFormattedCitation" : "&lt;sup&gt;[37]&lt;/sup&gt;" }, "properties" : { "noteIndex" : 0 }, "schema" : "https://github.com/citation-style-language/schema/raw/master/csl-citation.json" }</w:instrText>
      </w:r>
      <w:r w:rsidR="00C032DE">
        <w:rPr>
          <w:rFonts w:ascii="Book Antiqua" w:hAnsi="Book Antiqua"/>
          <w:sz w:val="24"/>
          <w:szCs w:val="24"/>
          <w:lang w:val="en-GB"/>
        </w:rPr>
        <w:fldChar w:fldCharType="separate"/>
      </w:r>
      <w:r w:rsidR="00C032DE" w:rsidRPr="005F5C48">
        <w:rPr>
          <w:rFonts w:ascii="Book Antiqua" w:hAnsi="Book Antiqua"/>
          <w:noProof/>
          <w:sz w:val="24"/>
          <w:szCs w:val="24"/>
          <w:vertAlign w:val="superscript"/>
          <w:lang w:val="en-GB"/>
        </w:rPr>
        <w:t>[37]</w:t>
      </w:r>
      <w:r w:rsidR="00C032DE">
        <w:rPr>
          <w:rFonts w:ascii="Book Antiqua" w:hAnsi="Book Antiqua"/>
          <w:sz w:val="24"/>
          <w:szCs w:val="24"/>
          <w:lang w:val="en-GB"/>
        </w:rPr>
        <w:fldChar w:fldCharType="end"/>
      </w:r>
      <w:r>
        <w:rPr>
          <w:rFonts w:ascii="Book Antiqua" w:hAnsi="Book Antiqua"/>
          <w:sz w:val="24"/>
          <w:szCs w:val="24"/>
          <w:lang w:val="en-GB"/>
        </w:rPr>
        <w:t>. ICG is a non-toxic dye that can be administered intravenously and detected by transcutaneous non-invasive densitometry</w:t>
      </w:r>
      <w:r w:rsidR="00C032DE">
        <w:rPr>
          <w:rFonts w:ascii="Book Antiqua" w:hAnsi="Book Antiqua"/>
          <w:sz w:val="24"/>
          <w:szCs w:val="24"/>
          <w:lang w:val="en-GB"/>
        </w:rPr>
        <w:fldChar w:fldCharType="begin" w:fldLock="1"/>
      </w:r>
      <w:r w:rsidR="00C032DE">
        <w:rPr>
          <w:rFonts w:ascii="Book Antiqua" w:hAnsi="Book Antiqua"/>
          <w:sz w:val="24"/>
          <w:szCs w:val="24"/>
          <w:lang w:val="en-GB"/>
        </w:rPr>
        <w:instrText>ADDIN CSL_CITATION { "citationItems" : [ { "id" : "ITEM-1", "itemData" : { "PMID" : "15285026", "abstract" : "AIM: To investigate whether the non-invasive real-time Indocynine green (ICG) clearance is a sensitive index of liver viability in patients before, during, and after liver transplantation. METHODS: Thirteen patients were studied, two before, three during, and eight following liver transplantation, with two patients suffering acute rejection. The conventional invasive ICG clearance test and ICG pulse spectrophotometry non-invasive real-time ICG clearance test were performed simultaneously. Using linear regression analysis we tested the correlation between these two methods. The transplantation condition of these patients and serum total bilirubin (T. Bil), alanine aminotransferase (ALT), and platelet count were also evaluated. RESULTS: The correlation between these two methods was excellent (r 2 =0.977). CONCLUSION: ICG pulse spectrophotometry clearance is a quick, non-invasive, and reliable liver function test in transplantation patients.", "author" : [ { "dropping-particle" : "", "family" : "Hsieh", "given" : "Chung-Bao", "non-dropping-particle" : "", "parse-names" : false, "suffix" : "" }, { "dropping-particle" : "", "family" : "Chen", "given" : "Chung-Jueng", "non-dropping-particle" : "", "parse-names" : false, "suffix" : "" }, { "dropping-particle" : "", "family" : "Chen", "given" : "Teng-Wei", "non-dropping-particle" : "", "parse-names" : false, "suffix" : "" }, { "dropping-particle" : "", "family" : "Yu", "given" : "Jyh-Cherng", "non-dropping-particle" : "", "parse-names" : false, "suffix" : "" }, { "dropping-particle" : "", "family" : "Shen", "given" : "Kuo-Liang", "non-dropping-particle" : "", "parse-names" : false, "suffix" : "" }, { "dropping-particle" : "", "family" : "Chang", "given" : "Tzu-Ming", "non-dropping-particle" : "", "parse-names" : false, "suffix" : "" }, { "dropping-particle" : "", "family" : "Liu", "given" : "Yao-Chi", "non-dropping-particle" : "", "parse-names" : false, "suffix" : "" }, { "dropping-particle" : "", "family" : "Cb", "given" : "Hsieh", "non-dropping-particle" : "", "parse-names" : false, "suffix" : "" }, { "dropping-particle" : "", "family" : "Cj", "given" : "Chen", "non-dropping-particle" : "", "parse-names" : false, "suffix" : "" }, { "dropping-particle" : "", "family" : "Tw", "given" : "Chen", "non-dropping-particle" : "", "parse-names" : false, "suffix" : "" }, { "dropping-particle" : "", "family" : "Jc", "given" : "Yu", "non-dropping-particle" : "", "parse-names" : false, "suffix" : "" }, { "dropping-particle" : "", "family" : "Kl", "given" : "Shen", "non-dropping-particle" : "", "parse-names" : false, "suffix" : "" }, { "dropping-particle" : "", "family" : "Tm", "given" : "Chang", "non-dropping-particle" : "", "parse-names" : false, "suffix" : "" }, { "dropping-particle" : "", "family" : "Liu", "given" : "Yc", "non-dropping-particle" : "", "parse-names" : false, "suffix" : "" } ], "container-title" : "World J Gastroenterol World Journal of Gastroenterology. World J Gastroenterol", "id" : "ITEM-1", "issue" : "1016", "issued" : { "date-parts" : [ [ "2004" ] ] }, "page" : "2394-2396", "title" : "Accuracy of indocyanine green pulse spectrophotometry clearance test for liver function prediction in transplanted patients", "type" : "article-journal", "volume" : "10" }, "uris" : [ "http://www.mendeley.com/documents/?uuid=bd5e64df-ae6d-3315-9133-d37f793fdcc2" ] }, { "id" : "ITEM-2", "itemData" : { "DOI" : "10.1007/s00101-002-0290-0", "abstract" : "Introduction. Indocyanine green (ICG) elimination tests have been repeatedly sug-gested as an early predictor of graft function in patients with liver transplantation.Con-ventionally,ICG clearance (ClICG ) is measured by a series of blood samples with subse-quent laboratory analysis.More recently bedside techniques have become available to measure ICG concentrations in vivo and in addition to ClICG, the plasma disappearance rate of ICG (PDRICG ) is increasingly being used.The aim of this study was to assess and to compare the normal time courses of Cl ICG and PDRICG in liver transplant recipients. Methods.ClICGand PDRICG were measured perioperatively and at various times up to 24h after liver transplantation.The bedside transpulmonary indicator dilution technique with an arterial fiberoptic-thermistor cathe-ter was used to assess the ICG concentration time curve together with total circulating blood volume (Vd circ ). Results. Similar patterns of the time courses of ClICGand PDRICG with a fast recovery of ICG elimination in the early reperfusion period were observed.Compared to healthy sub-jects,ClICGwas supranormal and PDRICG was slightly subnormal.In this study,Vd circ was increased at baseline and remained increas-ed during surgery. Conclusions.PDRICGand ClICG are well suited to monitor onset and maintenance of graft function in patients undergoing liver trans-plantation.The PDRICG values measured tend to be relatively lower than ClICG because of an increased blood volume in these patients.", "author" : [ { "dropping-particle" : "", "family" : "Spiegel", "given" : "T", "non-dropping-particle" : "Von", "parse-names" : false, "suffix" : "" }, { "dropping-particle" : "", "family" : "Scholz", "given" : "M", "non-dropping-particle" : "", "parse-names" : false, "suffix" : "" }, { "dropping-particle" : "", "family" : "Wietasch", "given" : "G", "non-dropping-particle" : "", "parse-names" : false, "suffix" : "" }, { "dropping-particle" : "", "family" : "Hering", "given" : "R", "non-dropping-particle" : "", "parse-names" : false, "suffix" : "" }, { "dropping-particle" : "", "family" : "Allen", "given" : "S J", "non-dropping-particle" : "", "parse-names" : false, "suffix" : "" }, { "dropping-particle" : "", "family" : "Wood", "given" : "P", "non-dropping-particle" : "", "parse-names" : false, "suffix" : "" }, { "dropping-particle" : "", "family" : "Hoeft", "given" : "\u00b7 A", "non-dropping-particle" : "", "parse-names" : false, "suffix" : "" } ], "container-title" : "Der Anaesthesist", "id" : "ITEM-2", "issue" : "51", "issued" : { "date-parts" : [ [ "2002" ] ] }, "page" : "359-66", "title" : "Perioperative monitoring of indo-cyanine green clearance and plasma disappearance rate in patients undergoing liver transplantation", "type" : "article-journal" }, "uris" : [ "http://www.mendeley.com/documents/?uuid=89c4126f-eb78-3896-801d-6facc541c469" ] } ], "mendeley" : { "formattedCitation" : "&lt;sup&gt;[38,39]&lt;/sup&gt;", "plainTextFormattedCitation" : "[38,39]", "previouslyFormattedCitation" : "&lt;sup&gt;[38,39]&lt;/sup&gt;" }, "properties" : { "noteIndex" : 0 }, "schema" : "https://github.com/citation-style-language/schema/raw/master/csl-citation.json" }</w:instrText>
      </w:r>
      <w:r w:rsidR="00C032DE">
        <w:rPr>
          <w:rFonts w:ascii="Book Antiqua" w:hAnsi="Book Antiqua"/>
          <w:sz w:val="24"/>
          <w:szCs w:val="24"/>
          <w:lang w:val="en-GB"/>
        </w:rPr>
        <w:fldChar w:fldCharType="separate"/>
      </w:r>
      <w:r w:rsidR="00C032DE" w:rsidRPr="005F5C48">
        <w:rPr>
          <w:rFonts w:ascii="Book Antiqua" w:hAnsi="Book Antiqua"/>
          <w:noProof/>
          <w:sz w:val="24"/>
          <w:szCs w:val="24"/>
          <w:vertAlign w:val="superscript"/>
          <w:lang w:val="en-GB"/>
        </w:rPr>
        <w:t>[38,39]</w:t>
      </w:r>
      <w:r w:rsidR="00C032DE">
        <w:rPr>
          <w:rFonts w:ascii="Book Antiqua" w:hAnsi="Book Antiqua"/>
          <w:sz w:val="24"/>
          <w:szCs w:val="24"/>
          <w:lang w:val="en-GB"/>
        </w:rPr>
        <w:fldChar w:fldCharType="end"/>
      </w:r>
      <w:r>
        <w:rPr>
          <w:rFonts w:ascii="Book Antiqua" w:hAnsi="Book Antiqua"/>
          <w:sz w:val="24"/>
          <w:szCs w:val="24"/>
          <w:lang w:val="en-GB"/>
        </w:rPr>
        <w:t>. Normal ICG-PDR values range from 18</w:t>
      </w:r>
      <w:r w:rsidR="00C032DE">
        <w:rPr>
          <w:rFonts w:ascii="Book Antiqua" w:eastAsiaTheme="minorEastAsia" w:hAnsi="Book Antiqua" w:hint="eastAsia"/>
          <w:sz w:val="24"/>
          <w:szCs w:val="24"/>
          <w:lang w:val="en-GB" w:eastAsia="zh-CN"/>
        </w:rPr>
        <w:t>%</w:t>
      </w:r>
      <w:r>
        <w:rPr>
          <w:rFonts w:ascii="Book Antiqua" w:hAnsi="Book Antiqua"/>
          <w:sz w:val="24"/>
          <w:szCs w:val="24"/>
          <w:lang w:val="en-GB"/>
        </w:rPr>
        <w:t xml:space="preserve"> to 25</w:t>
      </w:r>
      <w:r w:rsidR="00C032DE">
        <w:rPr>
          <w:rFonts w:ascii="Book Antiqua" w:eastAsiaTheme="minorEastAsia" w:hAnsi="Book Antiqua" w:hint="eastAsia"/>
          <w:sz w:val="24"/>
          <w:szCs w:val="24"/>
          <w:lang w:val="en-GB" w:eastAsia="zh-CN"/>
        </w:rPr>
        <w:t>%</w:t>
      </w:r>
      <w:r>
        <w:rPr>
          <w:rFonts w:ascii="Book Antiqua" w:hAnsi="Book Antiqua"/>
          <w:sz w:val="24"/>
          <w:szCs w:val="24"/>
          <w:lang w:val="en-GB"/>
        </w:rPr>
        <w:t>-30%/min</w:t>
      </w:r>
      <w:r w:rsidR="00C032DE">
        <w:rPr>
          <w:rFonts w:ascii="Book Antiqua" w:hAnsi="Book Antiqua"/>
          <w:sz w:val="24"/>
          <w:szCs w:val="24"/>
          <w:lang w:val="en-GB"/>
        </w:rPr>
        <w:fldChar w:fldCharType="begin" w:fldLock="1"/>
      </w:r>
      <w:r w:rsidR="00C032DE">
        <w:rPr>
          <w:rFonts w:ascii="Book Antiqua" w:hAnsi="Book Antiqua"/>
          <w:sz w:val="24"/>
          <w:szCs w:val="24"/>
          <w:lang w:val="en-GB"/>
        </w:rPr>
        <w:instrText>ADDIN CSL_CITATION { "citationItems" : [ { "id" : "ITEM-1", "itemData" : { "PMID" : "15285026", "abstract" : "AIM: To investigate whether the non-invasive real-time Indocynine green (ICG) clearance is a sensitive index of liver viability in patients before, during, and after liver transplantation. METHODS: Thirteen patients were studied, two before, three during, and eight following liver transplantation, with two patients suffering acute rejection. The conventional invasive ICG clearance test and ICG pulse spectrophotometry non-invasive real-time ICG clearance test were performed simultaneously. Using linear regression analysis we tested the correlation between these two methods. The transplantation condition of these patients and serum total bilirubin (T. Bil), alanine aminotransferase (ALT), and platelet count were also evaluated. RESULTS: The correlation between these two methods was excellent (r 2 =0.977). CONCLUSION: ICG pulse spectrophotometry clearance is a quick, non-invasive, and reliable liver function test in transplantation patients.", "author" : [ { "dropping-particle" : "", "family" : "Hsieh", "given" : "Chung-Bao", "non-dropping-particle" : "", "parse-names" : false, "suffix" : "" }, { "dropping-particle" : "", "family" : "Chen", "given" : "Chung-Jueng", "non-dropping-particle" : "", "parse-names" : false, "suffix" : "" }, { "dropping-particle" : "", "family" : "Chen", "given" : "Teng-Wei", "non-dropping-particle" : "", "parse-names" : false, "suffix" : "" }, { "dropping-particle" : "", "family" : "Yu", "given" : "Jyh-Cherng", "non-dropping-particle" : "", "parse-names" : false, "suffix" : "" }, { "dropping-particle" : "", "family" : "Shen", "given" : "Kuo-Liang", "non-dropping-particle" : "", "parse-names" : false, "suffix" : "" }, { "dropping-particle" : "", "family" : "Chang", "given" : "Tzu-Ming", "non-dropping-particle" : "", "parse-names" : false, "suffix" : "" }, { "dropping-particle" : "", "family" : "Liu", "given" : "Yao-Chi", "non-dropping-particle" : "", "parse-names" : false, "suffix" : "" }, { "dropping-particle" : "", "family" : "Cb", "given" : "Hsieh", "non-dropping-particle" : "", "parse-names" : false, "suffix" : "" }, { "dropping-particle" : "", "family" : "Cj", "given" : "Chen", "non-dropping-particle" : "", "parse-names" : false, "suffix" : "" }, { "dropping-particle" : "", "family" : "Tw", "given" : "Chen", "non-dropping-particle" : "", "parse-names" : false, "suffix" : "" }, { "dropping-particle" : "", "family" : "Jc", "given" : "Yu", "non-dropping-particle" : "", "parse-names" : false, "suffix" : "" }, { "dropping-particle" : "", "family" : "Kl", "given" : "Shen", "non-dropping-particle" : "", "parse-names" : false, "suffix" : "" }, { "dropping-particle" : "", "family" : "Tm", "given" : "Chang", "non-dropping-particle" : "", "parse-names" : false, "suffix" : "" }, { "dropping-particle" : "", "family" : "Liu", "given" : "Yc", "non-dropping-particle" : "", "parse-names" : false, "suffix" : "" } ], "container-title" : "World J Gastroenterol World Journal of Gastroenterology. World J Gastroenterol", "id" : "ITEM-1", "issue" : "1016", "issued" : { "date-parts" : [ [ "2004" ] ] }, "page" : "2394-2396", "title" : "Accuracy of indocyanine green pulse spectrophotometry clearance test for liver function prediction in transplanted patients", "type" : "article-journal", "volume" : "10" }, "uris" : [ "http://www.mendeley.com/documents/?uuid=bd5e64df-ae6d-3315-9133-d37f793fdcc2" ] }, { "id" : "ITEM-2", "itemData" : { "DOI" : "10.1002/lt.20205", "ISSN" : "1527-6465", "PMID" : "15390334", "abstract" : "Plasma disappearance rate of indocyanine green (PDRICG) has been proposed for assessment of liver function in liver transplants donors and recipients, in patients with chronic liver failure, and as a prognostic factor in critically ill patients. The assessment of PDRICG using a newly developed noninvasive digital pulse densitometry method was simultaneously compared to invasive aortic fiber-optic method in patients undergoing orthotopic liver transplantation (OLT). Fourteen consecutive liver transplant candidates (11 male, 3 female) were prospectively enrolled into the study. A 4F aortic catheter with an integrated fiber-optic device and a thermistor was inserted via a femoral artery sheath for invasive aortic (INV) PDRICG assessment in all patients. The fiber-optic device was connected to a computer system (COLD-Z021, PULSION Medical Systems, Munich, Germany). A finger-piece sensor was used for non-invasive (NINV) pulse-densitometric PDRICG assessment. For the PDRICG assessment.5 mg/kg of ICG in cooled saline (10-15 mL) was injected through a central venous catheter. The assessments of PDRICG were performed after induction of anesthesia, after clamping of the hepatic artery, after clamping of the inferior vena cava, after reperfusion of the graft, and on the first postoperative day. During the PDRICG measurements, the investigators were blinded for the results of the noninvasive monitoring. Seventy-one pairs of measurements were performed successfully. PDRICG ranged from 0%/min to 43.8 %/min (11.6%/min +/- 9.6 %/min, mean +/- SD) for invasive and from 2.6%/min to 36.1 %/min (10%/min +/- 7.6 %/min, mean +/- SD) for noninvasive assessment method. The linear regression analysis yielded the equation: PDRICG(NINV) = 1.493 +/- 0.735 x PDRICG(INV), with a correlation coefficient of r = 0.93 (P &lt;.0001). The analysis according to Bland and Altman showed a good agreement between the PDRICG(NINV) and PDRICG(INV) with a mean bias 1.5 +/- 3.8 for all measurements. In conclusion, according to these results, the noninvasive transcutaneous pulse-densitometric method correlates well with the invasive aortic fiber-optic method and thus can be used in patients undergoing liver transplantation.", "author" : [ { "dropping-particle" : "", "family" : "Faybik", "given" : "Peter", "non-dropping-particle" : "", "parse-names" : false, "suffix" : "" }, { "dropping-particle" : "", "family" : "Krenn", "given" : "Claus-Georg", "non-dropping-particle" : "", "parse-names" : false, "suffix" : "" }, { "dropping-particle" : "", "family" : "Baker", "given" : "Amir", "non-dropping-particle" : "", "parse-names" : false, "suffix" : "" }, { "dropping-particle" : "", "family" : "Lahner", "given" : "Daniel", "non-dropping-particle" : "", "parse-names" : false, "suffix" : "" }, { "dropping-particle" : "", "family" : "Berlakovich", "given" : "Gabriela", "non-dropping-particle" : "", "parse-names" : false, "suffix" : "" }, { "dropping-particle" : "", "family" : "Steltzer", "given" : "Heinz", "non-dropping-particle" : "", "parse-names" : false, "suffix" : "" }, { "dropping-particle" : "", "family" : "Hetz", "given" : "Hubert", "non-dropping-particle" : "", "parse-names" : false, "suffix" : "" } ], "container-title" : "Liver transplantation : official publication of the American Association for the Study of Liver Diseases and the International Liver Transplantation Society", "id" : "ITEM-2", "issue" : "8", "issued" : { "date-parts" : [ [ "2004", "8" ] ] }, "page" : "1060-4", "title" : "Comparison of invasive and noninvasive measurement of plasma disappearance rate of indocyanine green in patients undergoing liver transplantation: a prospective investigator-blinded study.", "type" : "article-journal", "volume" : "10" }, "uris" : [ "http://www.mendeley.com/documents/?uuid=db3966e8-d490-43b4-b7b9-1a3db6fdaf48" ] } ], "mendeley" : { "formattedCitation" : "&lt;sup&gt;[38,40]&lt;/sup&gt;", "plainTextFormattedCitation" : "[38,40]", "previouslyFormattedCitation" : "&lt;sup&gt;[38,40]&lt;/sup&gt;" }, "properties" : { "noteIndex" : 0 }, "schema" : "https://github.com/citation-style-language/schema/raw/master/csl-citation.json" }</w:instrText>
      </w:r>
      <w:r w:rsidR="00C032DE">
        <w:rPr>
          <w:rFonts w:ascii="Book Antiqua" w:hAnsi="Book Antiqua"/>
          <w:sz w:val="24"/>
          <w:szCs w:val="24"/>
          <w:lang w:val="en-GB"/>
        </w:rPr>
        <w:fldChar w:fldCharType="separate"/>
      </w:r>
      <w:r w:rsidR="00C032DE" w:rsidRPr="005F5C48">
        <w:rPr>
          <w:rFonts w:ascii="Book Antiqua" w:hAnsi="Book Antiqua"/>
          <w:noProof/>
          <w:sz w:val="24"/>
          <w:szCs w:val="24"/>
          <w:vertAlign w:val="superscript"/>
          <w:lang w:val="en-GB"/>
        </w:rPr>
        <w:t>[38,40]</w:t>
      </w:r>
      <w:r w:rsidR="00C032DE">
        <w:rPr>
          <w:rFonts w:ascii="Book Antiqua" w:hAnsi="Book Antiqua"/>
          <w:sz w:val="24"/>
          <w:szCs w:val="24"/>
          <w:lang w:val="en-GB"/>
        </w:rPr>
        <w:fldChar w:fldCharType="end"/>
      </w:r>
      <w:r>
        <w:rPr>
          <w:rFonts w:ascii="Book Antiqua" w:hAnsi="Book Antiqua"/>
          <w:sz w:val="24"/>
          <w:szCs w:val="24"/>
          <w:lang w:val="en-GB"/>
        </w:rPr>
        <w:t>.</w:t>
      </w:r>
      <w:r>
        <w:rPr>
          <w:rFonts w:ascii="Book Antiqua" w:hAnsi="Book Antiqua"/>
          <w:sz w:val="24"/>
          <w:szCs w:val="24"/>
          <w:vertAlign w:val="superscript"/>
          <w:lang w:val="en-GB"/>
        </w:rPr>
        <w:t xml:space="preserve"> </w:t>
      </w:r>
      <w:r>
        <w:rPr>
          <w:rFonts w:ascii="Book Antiqua" w:hAnsi="Book Antiqua"/>
          <w:sz w:val="24"/>
          <w:szCs w:val="24"/>
          <w:lang w:val="en-GB"/>
        </w:rPr>
        <w:t xml:space="preserve">Being water-soluble, its distribution volume equals plasma volume. ICG is extracted by the liver and excreted through the biliary system without undergoing metabolism or recirculation. For this reason, elimination rates are assumed to depend only on hepatic arterial blood flow and liver functionality. Very few allergic/anaphylactic reactions or thyrotoxicosis due to the iodine component of the solution have been reported. For this reason, ICG is </w:t>
      </w:r>
      <w:r>
        <w:rPr>
          <w:rFonts w:ascii="Book Antiqua" w:hAnsi="Book Antiqua"/>
          <w:sz w:val="24"/>
          <w:szCs w:val="24"/>
          <w:lang w:val="en-GB"/>
        </w:rPr>
        <w:lastRenderedPageBreak/>
        <w:t>considered a safe bedside tool for the dynamic assessment of implanted liver functionality</w:t>
      </w:r>
      <w:r w:rsidR="00C032DE">
        <w:rPr>
          <w:rFonts w:ascii="Book Antiqua" w:hAnsi="Book Antiqua"/>
          <w:sz w:val="24"/>
          <w:szCs w:val="24"/>
          <w:lang w:val="en-GB"/>
        </w:rPr>
        <w:fldChar w:fldCharType="begin" w:fldLock="1"/>
      </w:r>
      <w:r w:rsidR="00C032DE">
        <w:rPr>
          <w:rFonts w:ascii="Book Antiqua" w:hAnsi="Book Antiqua"/>
          <w:sz w:val="24"/>
          <w:szCs w:val="24"/>
          <w:lang w:val="en-GB"/>
        </w:rPr>
        <w:instrText>ADDIN CSL_CITATION { "citationItems" : [ { "id" : "ITEM-1", "itemData" : { "DOI" : "10.1111/anae.12755", "PMID" : "24894115", "abstract" : "The dye indocyanine green is familiar to anaesthetists, and has been studied for more than half a century for cardio-vascular and hepatic function monitoring. It is still, however, not yet in routine clinical use in anaesthesia and critical care, at least in Europe. This review is intended to provide a critical analysis of the available evidence concerning the indications for clinical measurement of indocyanine green elimination as a diagnostic and prognostic tool in two areas: its role in peri-operative liver function monitoring during major hepatic resection and liver transplantation; and its role in critically ill patients on the intensive care unit, where it is used for prediction of mortality, and for assessment of the severity of acute liver failure or that of intra-abdominal hypertension. Although numerous studies have demonstrated that indocyanine green elimination measurements in these patient populations can provide diag-nostic or prognostic information to the clinician, 'hard' evidence \u2013 i.e. high-quality prospective randomised con-trolled trials \u2013 is lacking, and therefore it is not yet time to give a green light for use of indocyanine green in routine clinical practice.", "author" : [ { "dropping-particle" : "", "family" : "Vos", "given" : "J J", "non-dropping-particle" : "", "parse-names" : false, "suffix" : "" }, { "dropping-particle" : "", "family" : "Wietasch", "given" : "J K G", "non-dropping-particle" : "", "parse-names" : false, "suffix" : "" }, { "dropping-particle" : "", "family" : "Absalom", "given" : "A R", "non-dropping-particle" : "", "parse-names" : false, "suffix" : "" }, { "dropping-particle" : "", "family" : "Hendriks", "given" : "H G D", "non-dropping-particle" : "", "parse-names" : false, "suffix" : "" }, { "dropping-particle" : "", "family" : "Scheeren", "given" : "T W L", "non-dropping-particle" : "", "parse-names" : false, "suffix" : "" } ], "container-title" : "Anaesthesia", "id" : "ITEM-1", "issue" : "12", "issued" : { "date-parts" : [ [ "2014" ] ] }, "page" : "1364-76", "title" : "Green light for liver function monitoring using indocyanine green? An overview of current clinical applications", "type" : "article-journal", "volume" : "69" }, "uris" : [ "http://www.mendeley.com/documents/?uuid=282ab25a-924f-389d-b146-52f209451992" ] } ], "mendeley" : { "formattedCitation" : "&lt;sup&gt;[41]&lt;/sup&gt;", "plainTextFormattedCitation" : "[41]", "previouslyFormattedCitation" : "&lt;sup&gt;[41]&lt;/sup&gt;" }, "properties" : { "noteIndex" : 0 }, "schema" : "https://github.com/citation-style-language/schema/raw/master/csl-citation.json" }</w:instrText>
      </w:r>
      <w:r w:rsidR="00C032DE">
        <w:rPr>
          <w:rFonts w:ascii="Book Antiqua" w:hAnsi="Book Antiqua"/>
          <w:sz w:val="24"/>
          <w:szCs w:val="24"/>
          <w:lang w:val="en-GB"/>
        </w:rPr>
        <w:fldChar w:fldCharType="separate"/>
      </w:r>
      <w:r w:rsidR="00C032DE" w:rsidRPr="005F5C48">
        <w:rPr>
          <w:rFonts w:ascii="Book Antiqua" w:hAnsi="Book Antiqua"/>
          <w:noProof/>
          <w:sz w:val="24"/>
          <w:szCs w:val="24"/>
          <w:vertAlign w:val="superscript"/>
          <w:lang w:val="en-GB"/>
        </w:rPr>
        <w:t>[41]</w:t>
      </w:r>
      <w:r w:rsidR="00C032DE">
        <w:rPr>
          <w:rFonts w:ascii="Book Antiqua" w:hAnsi="Book Antiqua"/>
          <w:sz w:val="24"/>
          <w:szCs w:val="24"/>
          <w:lang w:val="en-GB"/>
        </w:rPr>
        <w:fldChar w:fldCharType="end"/>
      </w:r>
      <w:r>
        <w:rPr>
          <w:rFonts w:ascii="Book Antiqua" w:hAnsi="Book Antiqua"/>
          <w:sz w:val="24"/>
          <w:szCs w:val="24"/>
          <w:lang w:val="en-GB"/>
        </w:rPr>
        <w:t>.</w:t>
      </w:r>
      <w:r w:rsidR="00C032DE">
        <w:rPr>
          <w:lang w:val="en-GB"/>
        </w:rPr>
        <w:t xml:space="preserve"> </w:t>
      </w:r>
    </w:p>
    <w:p w14:paraId="3EB725D0" w14:textId="7FC7000B" w:rsidR="006D2F86" w:rsidRDefault="006D2F86" w:rsidP="00422EBA">
      <w:pPr>
        <w:adjustRightInd w:val="0"/>
        <w:snapToGrid w:val="0"/>
        <w:spacing w:after="0" w:line="360" w:lineRule="auto"/>
        <w:ind w:firstLineChars="200" w:firstLine="480"/>
        <w:jc w:val="both"/>
        <w:rPr>
          <w:lang w:val="en-GB"/>
        </w:rPr>
      </w:pPr>
      <w:r>
        <w:rPr>
          <w:rFonts w:ascii="Book Antiqua" w:hAnsi="Book Antiqua"/>
          <w:sz w:val="24"/>
          <w:szCs w:val="24"/>
          <w:lang w:val="en-GB"/>
        </w:rPr>
        <w:t>During LT intervention, ICG-PDR falls due to anaesthetic drugs causing haemodynamic hypotension and reduced/absent hepatic function (anhepatic phase). Immediately after graft reperfusion, supra-normal ICG-PDR is observed</w:t>
      </w:r>
      <w:r w:rsidR="00C032DE">
        <w:rPr>
          <w:rFonts w:ascii="Book Antiqua" w:hAnsi="Book Antiqua"/>
          <w:sz w:val="24"/>
          <w:szCs w:val="24"/>
          <w:lang w:val="en-GB"/>
        </w:rPr>
        <w:fldChar w:fldCharType="begin" w:fldLock="1"/>
      </w:r>
      <w:r w:rsidR="00C032DE">
        <w:rPr>
          <w:rFonts w:ascii="Book Antiqua" w:hAnsi="Book Antiqua"/>
          <w:sz w:val="24"/>
          <w:szCs w:val="24"/>
          <w:lang w:val="en-GB"/>
        </w:rPr>
        <w:instrText>ADDIN CSL_CITATION { "citationItems" : [ { "id" : "ITEM-1", "itemData" : { "DOI" : "10.1007/s00101-002-0290-0", "abstract" : "Introduction. Indocyanine green (ICG) elimination tests have been repeatedly sug-gested as an early predictor of graft function in patients with liver transplantation.Con-ventionally,ICG clearance (ClICG ) is measured by a series of blood samples with subse-quent laboratory analysis.More recently bedside techniques have become available to measure ICG concentrations in vivo and in addition to ClICG, the plasma disappearance rate of ICG (PDRICG ) is increasingly being used.The aim of this study was to assess and to compare the normal time courses of Cl ICG and PDRICG in liver transplant recipients. Methods.ClICGand PDRICG were measured perioperatively and at various times up to 24h after liver transplantation.The bedside transpulmonary indicator dilution technique with an arterial fiberoptic-thermistor cathe-ter was used to assess the ICG concentration time curve together with total circulating blood volume (Vd circ ). Results. Similar patterns of the time courses of ClICGand PDRICG with a fast recovery of ICG elimination in the early reperfusion period were observed.Compared to healthy sub-jects,ClICGwas supranormal and PDRICG was slightly subnormal.In this study,Vd circ was increased at baseline and remained increas-ed during surgery. Conclusions.PDRICGand ClICG are well suited to monitor onset and maintenance of graft function in patients undergoing liver trans-plantation.The PDRICG values measured tend to be relatively lower than ClICG because of an increased blood volume in these patients.", "author" : [ { "dropping-particle" : "", "family" : "Spiegel", "given" : "T", "non-dropping-particle" : "Von", "parse-names" : false, "suffix" : "" }, { "dropping-particle" : "", "family" : "Scholz", "given" : "M", "non-dropping-particle" : "", "parse-names" : false, "suffix" : "" }, { "dropping-particle" : "", "family" : "Wietasch", "given" : "G", "non-dropping-particle" : "", "parse-names" : false, "suffix" : "" }, { "dropping-particle" : "", "family" : "Hering", "given" : "R", "non-dropping-particle" : "", "parse-names" : false, "suffix" : "" }, { "dropping-particle" : "", "family" : "Allen", "given" : "S J", "non-dropping-particle" : "", "parse-names" : false, "suffix" : "" }, { "dropping-particle" : "", "family" : "Wood", "given" : "P", "non-dropping-particle" : "", "parse-names" : false, "suffix" : "" }, { "dropping-particle" : "", "family" : "Hoeft", "given" : "\u00b7 A", "non-dropping-particle" : "", "parse-names" : false, "suffix" : "" } ], "container-title" : "Der Anaesthesist", "id" : "ITEM-1", "issue" : "51", "issued" : { "date-parts" : [ [ "2002" ] ] }, "page" : "359-66", "title" : "Perioperative monitoring of indo-cyanine green clearance and plasma disappearance rate in patients undergoing liver transplantation", "type" : "article-journal" }, "uris" : [ "http://www.mendeley.com/documents/?uuid=89c4126f-eb78-3896-801d-6facc541c469" ] } ], "mendeley" : { "formattedCitation" : "&lt;sup&gt;[39]&lt;/sup&gt;", "plainTextFormattedCitation" : "[39]", "previouslyFormattedCitation" : "&lt;sup&gt;[39]&lt;/sup&gt;" }, "properties" : { "noteIndex" : 0 }, "schema" : "https://github.com/citation-style-language/schema/raw/master/csl-citation.json" }</w:instrText>
      </w:r>
      <w:r w:rsidR="00C032DE">
        <w:rPr>
          <w:rFonts w:ascii="Book Antiqua" w:hAnsi="Book Antiqua"/>
          <w:sz w:val="24"/>
          <w:szCs w:val="24"/>
          <w:lang w:val="en-GB"/>
        </w:rPr>
        <w:fldChar w:fldCharType="separate"/>
      </w:r>
      <w:r w:rsidR="00C032DE" w:rsidRPr="005F5C48">
        <w:rPr>
          <w:rFonts w:ascii="Book Antiqua" w:hAnsi="Book Antiqua"/>
          <w:noProof/>
          <w:sz w:val="24"/>
          <w:szCs w:val="24"/>
          <w:vertAlign w:val="superscript"/>
          <w:lang w:val="en-GB"/>
        </w:rPr>
        <w:t>[39]</w:t>
      </w:r>
      <w:r w:rsidR="00C032DE">
        <w:rPr>
          <w:rFonts w:ascii="Book Antiqua" w:hAnsi="Book Antiqua"/>
          <w:sz w:val="24"/>
          <w:szCs w:val="24"/>
          <w:lang w:val="en-GB"/>
        </w:rPr>
        <w:fldChar w:fldCharType="end"/>
      </w:r>
      <w:r>
        <w:rPr>
          <w:rFonts w:ascii="Book Antiqua" w:hAnsi="Book Antiqua"/>
          <w:sz w:val="24"/>
          <w:szCs w:val="24"/>
          <w:lang w:val="en-GB"/>
        </w:rPr>
        <w:t>. Daily quantification of ICG-PDR from immediately after ICU admittance until POD7 has shown a rapid recuperation in values when appropriate graft function recovery was observed</w:t>
      </w:r>
      <w:r w:rsidR="00C032DE">
        <w:rPr>
          <w:rFonts w:ascii="Book Antiqua" w:hAnsi="Book Antiqua"/>
          <w:sz w:val="24"/>
          <w:szCs w:val="24"/>
          <w:lang w:val="en-GB"/>
        </w:rPr>
        <w:fldChar w:fldCharType="begin" w:fldLock="1"/>
      </w:r>
      <w:r w:rsidR="00C032DE">
        <w:rPr>
          <w:rFonts w:ascii="Book Antiqua" w:hAnsi="Book Antiqua"/>
          <w:sz w:val="24"/>
          <w:szCs w:val="24"/>
          <w:lang w:val="en-GB"/>
        </w:rPr>
        <w:instrText>ADDIN CSL_CITATION { "citationItems" : [ { "id" : "ITEM-1", "itemData" : { "DOI" : "10.1002/lt.21805", "abstract" : "Indocyanine green clearance (Cl-ICG) has been used to assess liver function and hepatic blood flow mainly before and after hepatic surgery. Cl-ICG (invasive method) has been reported to be a good marker of early graft function after liver transplantation (LT). The goal of this study was to determine if the indocyanine green plasma disappearance rate (PDR-ICG), measured by a noninvasive technique (LiMON, Impulse Medical System, Munich, Germany), is predictive of complications and graft outcome after LT. From September 2005 to June 2006, 72 LT recipients were included in the study. PDR-ICG was measured daily (from day 0 to day 5 after LT) with a digital sensor after patients were injected with 0.25 mg/kg indocyanine green. A PDR-ICG cutoff level of 12.85%/minute was predictive of the development of a serious postoperative complication. The sequential changes of PDR-ICG enabled us to differentiate 2 groups: (1) patients with early severe complications (hepatic artery thrombosis, primary graft nonfunction, or sepsis) who had a low value of PDR-ICG during the first 5 posttransplantation days (average, 8.8 \u03ee 4.5%/minute) and (2) patients who developed acute rejection and who had a progressive reduction of PDR-ICG between days 0 and 5 (from 25.5 \u03ee 4.8 to 10.3 \u03ee 2.5%/minute; P \u03fd 0.002). In conclusion, after LT, PDR-ICG (a noninvasive technique), measured regularly during the first 5 postoperative days, is a safe technique that can predict early postoperative complications.", "author" : [ { "dropping-particle" : "", "family" : "Levesque", "given" : "Eric", "non-dropping-particle" : "", "parse-names" : false, "suffix" : "" }, { "dropping-particle" : "", "family" : "Saliba", "given" : "Faouzi", "non-dropping-particle" : "", "parse-names" : false, "suffix" : "" }, { "dropping-particle" : "", "family" : "Benhamida", "given" : "Sonia", "non-dropping-particle" : "", "parse-names" : false, "suffix" : "" }, { "dropping-particle" : "", "family" : "Icha", "given" : "Philippe", "non-dropping-particle" : "", "parse-names" : false, "suffix" : "" }, { "dropping-particle" : "", "family" : "Azoulay", "given" : "Daniel", "non-dropping-particle" : "", "parse-names" : false, "suffix" : "" }, { "dropping-particle" : "", "family" : "Adam", "given" : "Ren\u00e9", "non-dropping-particle" : "", "parse-names" : false, "suffix" : "" }, { "dropping-particle" : "", "family" : "Castaing", "given" : "Denis", "non-dropping-particle" : "", "parse-names" : false, "suffix" : "" }, { "dropping-particle" : "", "family" : "Samuel", "given" : "Didier", "non-dropping-particle" : "", "parse-names" : false, "suffix" : "" } ], "container-title" : "Liver Transpl", "id" : "ITEM-1", "issued" : { "date-parts" : [ [ "2009" ] ] }, "page" : "1358-1364", "title" : "Plasma Disappearance Rate of Indocyanine Green: A Tool To Evaluate Early Graft Outcome After Liver Transplantation", "type" : "article-journal", "volume" : "15" }, "uris" : [ "http://www.mendeley.com/documents/?uuid=85d2310f-f0e2-3a14-8c55-611624d7591c" ] }, { "id" : "ITEM-2", "itemData" : { "PMID" : "21813383", "abstract" : "BACKGROUND: Early detection of graft malfunction or postoperative complications is essential to save patients and organs after orthotopic liver transplantation (OLT). Predictive tests for graft dysfunction are needed to enable earlier implementation of organ-saving interventions following transplantation. This study was undertaken to assess the value of indocyanine green plasma disappearance rates (ICG-PDRs) for predicting postoperative complications, graft dysfunction, and patient survival following OLT. METHODS: Eighty-six patients undergoing OLT were included in this single-centre trial. ICG-PDR was assessed daily for the first 7 days following OLT. Endpoints were graft loss or death within 30 days and postoperative complications, graft loss, or death within 30 days. RESULTS: Postoperative complications of 31 patients included deaths (12 patients) or graft losses. ICG-PDR was significantly different in patients whose endpoints were graft loss or death beginning from day 3 and in those whose endpoints were graft-loss, death, or postoperative complications beginning from day 4 after OLT. For day 7 measurements, receiver operating characteristic curve analysis revealed an ICG-PDR cut-off for predicting death or graft loss of 9.6% per min (a sensitivity of 75.0%, a specificity of 72.6%, positive predictive value 0.35, negative predictive value 0.94). For prediction of graft loss, death, or postoperative complications, the ICG-PDR cut-off was 12.3% per min (a sensitivity of 68.9%, a specificity of 66.7%, positive predictive value 0.57, negative predictive value 0.77). CONCLUSIONS: ICG-PDR measurements on postoperative day 7 are predictive of early patient outcomes following OLT. The added value over that of routinely determined laboratory parameters is low.", "author" : [ { "dropping-particle" : "", "family" : "Schneider", "given" : "L", "non-dropping-particle" : "", "parse-names" : false, "suffix" : "" }, { "dropping-particle" : "", "family" : "Spiegel", "given" : "M", "non-dropping-particle" : "", "parse-names" : false, "suffix" : "" }, { "dropping-particle" : "", "family" : "Latanowicz", "given" : "S", "non-dropping-particle" : "", "parse-names" : false, "suffix" : "" }, { "dropping-particle" : "", "family" : "Weigand", "given" : "MA", "non-dropping-particle" : "", "parse-names" : false, "suffix" : "" }, { "dropping-particle" : "", "family" : "Schmidt", "given" : "J", "non-dropping-particle" : "", "parse-names" : false, "suffix" : "" }, { "dropping-particle" : "", "family" : "Werner", "given" : "J", "non-dropping-particle" : "", "parse-names" : false, "suffix" : "" }, { "dropping-particle" : "", "family" : "Stremmel", "given" : "W", "non-dropping-particle" : "", "parse-names" : false, "suffix" : "" }, { "dropping-particle" : "", "family" : "Eisenbach", "given" : "C", "non-dropping-particle" : "", "parse-names" : false, "suffix" : "" } ], "container-title" : "Hepatobiliary Pancreat Dis Int", "id" : "ITEM-2", "issue" : "4", "issued" : { "date-parts" : [ [ "2011" ] ] }, "page" : "362-8", "title" : "Noninvasive indocyanine green plasma disappearance rate predicts early complications, graft failure or death after liver transplantation.", "type" : "article-journal", "volume" : "10" }, "uris" : [ "http://www.mendeley.com/documents/?uuid=3edca98b-7042-37b5-aadb-59c24f584d65" ] } ], "mendeley" : { "formattedCitation" : "&lt;sup&gt;[42,43]&lt;/sup&gt;", "plainTextFormattedCitation" : "[42,43]", "previouslyFormattedCitation" : "&lt;sup&gt;[42,43]&lt;/sup&gt;" }, "properties" : { "noteIndex" : 0 }, "schema" : "https://github.com/citation-style-language/schema/raw/master/csl-citation.json" }</w:instrText>
      </w:r>
      <w:r w:rsidR="00C032DE">
        <w:rPr>
          <w:rFonts w:ascii="Book Antiqua" w:hAnsi="Book Antiqua"/>
          <w:sz w:val="24"/>
          <w:szCs w:val="24"/>
          <w:lang w:val="en-GB"/>
        </w:rPr>
        <w:fldChar w:fldCharType="separate"/>
      </w:r>
      <w:r w:rsidR="00C032DE" w:rsidRPr="005F5C48">
        <w:rPr>
          <w:rFonts w:ascii="Book Antiqua" w:hAnsi="Book Antiqua"/>
          <w:noProof/>
          <w:sz w:val="24"/>
          <w:szCs w:val="24"/>
          <w:vertAlign w:val="superscript"/>
          <w:lang w:val="en-GB"/>
        </w:rPr>
        <w:t>[42,43]</w:t>
      </w:r>
      <w:r w:rsidR="00C032DE">
        <w:rPr>
          <w:rFonts w:ascii="Book Antiqua" w:hAnsi="Book Antiqua"/>
          <w:sz w:val="24"/>
          <w:szCs w:val="24"/>
          <w:lang w:val="en-GB"/>
        </w:rPr>
        <w:fldChar w:fldCharType="end"/>
      </w:r>
      <w:r>
        <w:rPr>
          <w:rFonts w:ascii="Book Antiqua" w:hAnsi="Book Antiqua"/>
          <w:sz w:val="24"/>
          <w:szCs w:val="24"/>
          <w:lang w:val="en-GB"/>
        </w:rPr>
        <w:t>. Harmful conditions for the transplanted patient (EAD, hepatic artery thrombosis, acute rejection or sepsis) and mortality have been associated in those with smoother or absent amelioration of test values. The POD on which this difference becomes significant changes from POD1 to POD4 depending on the study. The critical PDR cut-offs found by Receiver Operating Characteristics analysis (ROC) were 9.6</w:t>
      </w:r>
      <w:r w:rsidR="00C032DE">
        <w:rPr>
          <w:rFonts w:ascii="Book Antiqua" w:eastAsiaTheme="minorEastAsia" w:hAnsi="Book Antiqua" w:hint="eastAsia"/>
          <w:sz w:val="24"/>
          <w:szCs w:val="24"/>
          <w:lang w:val="en-GB" w:eastAsia="zh-CN"/>
        </w:rPr>
        <w:t>%</w:t>
      </w:r>
      <w:r>
        <w:rPr>
          <w:rFonts w:ascii="Book Antiqua" w:hAnsi="Book Antiqua"/>
          <w:sz w:val="24"/>
          <w:szCs w:val="24"/>
          <w:lang w:val="en-GB"/>
        </w:rPr>
        <w:t>-12.85%/min</w:t>
      </w:r>
      <w:r w:rsidR="00C032DE">
        <w:rPr>
          <w:rFonts w:ascii="Book Antiqua" w:hAnsi="Book Antiqua"/>
          <w:sz w:val="24"/>
          <w:szCs w:val="24"/>
          <w:lang w:val="en-GB"/>
        </w:rPr>
        <w:fldChar w:fldCharType="begin" w:fldLock="1"/>
      </w:r>
      <w:r w:rsidR="00C032DE">
        <w:rPr>
          <w:rFonts w:ascii="Book Antiqua" w:hAnsi="Book Antiqua"/>
          <w:sz w:val="24"/>
          <w:szCs w:val="24"/>
          <w:lang w:val="en-GB"/>
        </w:rPr>
        <w:instrText>ADDIN CSL_CITATION { "citationItems" : [ { "id" : "ITEM-1", "itemData" : { "DOI" : "10.1002/lt.21841", "ISSN" : "1527-6473", "PMID" : "19790138", "abstract" : "Early diagnosis of graft dysfunction in liver transplantation is essential for taking appropriate action. Indocyanine green clearance is closely related to liver function and can be measured noninvasively by spectrophotometry. The objectives of this study were to prospectively analyze the relationship between the indocyanine green plasma disappearance rate (ICGPDR) and early graft function after liver transplantation and to evaluate the role of ICGPDR in the prediction of severe graft dysfunction (SGD). One hundred seventy-two liver transplants from deceased donors were analyzed. Ten patients had SGD: 6 were retransplanted, and 4 died while waiting for a new graft. The plasma disappearance rate was measured 1 hour (PDRr60) and within the first 24 hours (PDR1) after reperfusion, and it was significantly lower in the SGD group. PDRr60 and PDR1 were excellent predictors of SGD. A threshold PDRr60 value of 10.8%/minute and a PDR1 value of 10%/minute accurately predicted SGD with areas under the receiver operating curve of 0.94 (95% confidence interval, 0.89-0.97) and 0.96 (95% confidence interval, 0.92-0.98), respectively. In addition, survival was significantly lower in patients with PDRr60 values below 10.8%/minute (53%, 47%, and 47% versus 95%, 94%, and 90% at 3, 6, and 12 months, respectively) and with PDR1 values below 10%/minute (62%, 62%, and 62% versus 94%, 92%, and 88%). In conclusion, very early noninvasive measurement of ICGPDR can accurately predict early severe graft dysfunction and mortality after liver transplantation.", "author" : [ { "dropping-particle" : "", "family" : "Olmedilla", "given" : "Luis", "non-dropping-particle" : "", "parse-names" : false, "suffix" : "" }, { "dropping-particle" : "", "family" : "P\u00e9rez-Pe\u00f1a", "given" : "Jos\u00e9 Mar\u00eda", "non-dropping-particle" : "", "parse-names" : false, "suffix" : "" }, { "dropping-particle" : "", "family" : "Ripoll", "given" : "Cristina", "non-dropping-particle" : "", "parse-names" : false, "suffix" : "" }, { "dropping-particle" : "", "family" : "Garutti", "given" : "Ignacio", "non-dropping-particle" : "", "parse-names" : false, "suffix" : "" }, { "dropping-particle" : "", "family" : "Diego", "given" : "Roberto", "non-dropping-particle" : "de", "parse-names" : false, "suffix" : "" }, { "dropping-particle" : "", "family" : "Salcedo", "given" : "Magdalena", "non-dropping-particle" : "", "parse-names" : false, "suffix" : "" }, { "dropping-particle" : "", "family" : "Jim\u00e9nez", "given" : "Consuelo", "non-dropping-particle" : "", "parse-names" : false, "suffix" : "" }, { "dropping-particle" : "", "family" : "Ba\u00f1ares", "given" : "Rafael", "non-dropping-particle" : "", "parse-names" : false, "suffix" : "" } ], "container-title" : "Liver transplantation : official publication of the American Association for the Study of Liver Diseases and the International Liver Transplantation Society", "id" : "ITEM-1", "issue" : "10", "issued" : { "date-parts" : [ [ "2009", "10" ] ] }, "page" : "1247-53", "title" : "Early noninvasive measurement of the indocyanine green plasma disappearance rate accurately predicts early graft dysfunction and mortality after deceased donor liver transplantation.", "type" : "article-journal", "volume" : "15" }, "uris" : [ "http://www.mendeley.com/documents/?uuid=f52f486e-a667-47c0-8803-76345b8528f7" ] }, { "id" : "ITEM-2", "itemData" : { "DOI" : "10.1002/lt.21805", "abstract" : "Indocyanine green clearance (Cl-ICG) has been used to assess liver function and hepatic blood flow mainly before and after hepatic surgery. Cl-ICG (invasive method) has been reported to be a good marker of early graft function after liver transplantation (LT). The goal of this study was to determine if the indocyanine green plasma disappearance rate (PDR-ICG), measured by a noninvasive technique (LiMON, Impulse Medical System, Munich, Germany), is predictive of complications and graft outcome after LT. From September 2005 to June 2006, 72 LT recipients were included in the study. PDR-ICG was measured daily (from day 0 to day 5 after LT) with a digital sensor after patients were injected with 0.25 mg/kg indocyanine green. A PDR-ICG cutoff level of 12.85%/minute was predictive of the development of a serious postoperative complication. The sequential changes of PDR-ICG enabled us to differentiate 2 groups: (1) patients with early severe complications (hepatic artery thrombosis, primary graft nonfunction, or sepsis) who had a low value of PDR-ICG during the first 5 posttransplantation days (average, 8.8 \u03ee 4.5%/minute) and (2) patients who developed acute rejection and who had a progressive reduction of PDR-ICG between days 0 and 5 (from 25.5 \u03ee 4.8 to 10.3 \u03ee 2.5%/minute; P \u03fd 0.002). In conclusion, after LT, PDR-ICG (a noninvasive technique), measured regularly during the first 5 postoperative days, is a safe technique that can predict early postoperative complications.", "author" : [ { "dropping-particle" : "", "family" : "Levesque", "given" : "Eric", "non-dropping-particle" : "", "parse-names" : false, "suffix" : "" }, { "dropping-particle" : "", "family" : "Saliba", "given" : "Faouzi", "non-dropping-particle" : "", "parse-names" : false, "suffix" : "" }, { "dropping-particle" : "", "family" : "Benhamida", "given" : "Sonia", "non-dropping-particle" : "", "parse-names" : false, "suffix" : "" }, { "dropping-particle" : "", "family" : "Icha", "given" : "Philippe", "non-dropping-particle" : "", "parse-names" : false, "suffix" : "" }, { "dropping-particle" : "", "family" : "Azoulay", "given" : "Daniel", "non-dropping-particle" : "", "parse-names" : false, "suffix" : "" }, { "dropping-particle" : "", "family" : "Adam", "given" : "Ren\u00e9", "non-dropping-particle" : "", "parse-names" : false, "suffix" : "" }, { "dropping-particle" : "", "family" : "Castaing", "given" : "Denis", "non-dropping-particle" : "", "parse-names" : false, "suffix" : "" }, { "dropping-particle" : "", "family" : "Samuel", "given" : "Didier", "non-dropping-particle" : "", "parse-names" : false, "suffix" : "" } ], "container-title" : "Liver Transpl", "id" : "ITEM-2", "issued" : { "date-parts" : [ [ "2009" ] ] }, "page" : "1358-1364", "title" : "Plasma Disappearance Rate of Indocyanine Green: A Tool To Evaluate Early Graft Outcome After Liver Transplantation", "type" : "article-journal", "volume" : "15" }, "uris" : [ "http://www.mendeley.com/documents/?uuid=85d2310f-f0e2-3a14-8c55-611624d7591c" ] }, { "id" : "ITEM-3", "itemData" : { "PMID" : "21813383", "abstract" : "BACKGROUND: Early detection of graft malfunction or postoperative complications is essential to save patients and organs after orthotopic liver transplantation (OLT). Predictive tests for graft dysfunction are needed to enable earlier implementation of organ-saving interventions following transplantation. This study was undertaken to assess the value of indocyanine green plasma disappearance rates (ICG-PDRs) for predicting postoperative complications, graft dysfunction, and patient survival following OLT. METHODS: Eighty-six patients undergoing OLT were included in this single-centre trial. ICG-PDR was assessed daily for the first 7 days following OLT. Endpoints were graft loss or death within 30 days and postoperative complications, graft loss, or death within 30 days. RESULTS: Postoperative complications of 31 patients included deaths (12 patients) or graft losses. ICG-PDR was significantly different in patients whose endpoints were graft loss or death beginning from day 3 and in those whose endpoints were graft-loss, death, or postoperative complications beginning from day 4 after OLT. For day 7 measurements, receiver operating characteristic curve analysis revealed an ICG-PDR cut-off for predicting death or graft loss of 9.6% per min (a sensitivity of 75.0%, a specificity of 72.6%, positive predictive value 0.35, negative predictive value 0.94). For prediction of graft loss, death, or postoperative complications, the ICG-PDR cut-off was 12.3% per min (a sensitivity of 68.9%, a specificity of 66.7%, positive predictive value 0.57, negative predictive value 0.77). CONCLUSIONS: ICG-PDR measurements on postoperative day 7 are predictive of early patient outcomes following OLT. The added value over that of routinely determined laboratory parameters is low.", "author" : [ { "dropping-particle" : "", "family" : "Schneider", "given" : "L", "non-dropping-particle" : "", "parse-names" : false, "suffix" : "" }, { "dropping-particle" : "", "family" : "Spiegel", "given" : "M", "non-dropping-particle" : "", "parse-names" : false, "suffix" : "" }, { "dropping-particle" : "", "family" : "Latanowicz", "given" : "S", "non-dropping-particle" : "", "parse-names" : false, "suffix" : "" }, { "dropping-particle" : "", "family" : "Weigand", "given" : "MA", "non-dropping-particle" : "", "parse-names" : false, "suffix" : "" }, { "dropping-particle" : "", "family" : "Schmidt", "given" : "J", "non-dropping-particle" : "", "parse-names" : false, "suffix" : "" }, { "dropping-particle" : "", "family" : "Werner", "given" : "J", "non-dropping-particle" : "", "parse-names" : false, "suffix" : "" }, { "dropping-particle" : "", "family" : "Stremmel", "given" : "W", "non-dropping-particle" : "", "parse-names" : false, "suffix" : "" }, { "dropping-particle" : "", "family" : "Eisenbach", "given" : "C", "non-dropping-particle" : "", "parse-names" : false, "suffix" : "" } ], "container-title" : "Hepatobiliary Pancreat Dis Int", "id" : "ITEM-3", "issue" : "4", "issued" : { "date-parts" : [ [ "2011" ] ] }, "page" : "362-8", "title" : "Noninvasive indocyanine green plasma disappearance rate predicts early complications, graft failure or death after liver transplantation.", "type" : "article-journal", "volume" : "10" }, "uris" : [ "http://www.mendeley.com/documents/?uuid=3edca98b-7042-37b5-aadb-59c24f584d65" ] }, { "id" : "ITEM-4", "itemData" : { "DOI" : "10.1097/TP.0000000000000980", "ISBN" : "0000000000000", "ISSN" : "0041-1337", "author" : [ { "dropping-particle" : "", "family" : "Olmedilla", "given" : "Luis", "non-dropping-particle" : "", "parse-names" : false, "suffix" : "" }, { "dropping-particle" : "", "family" : "Lisbona", "given" : "Cristina J.", "non-dropping-particle" : "", "parse-names" : false, "suffix" : "" }, { "dropping-particle" : "", "family" : "P\u00e9rez-Pe\u00f1a", "given" : "Jos\u00e9 M.", "non-dropping-particle" : "", "parse-names" : false, "suffix" : "" }, { "dropping-particle" : "", "family" : "L\u00f3pez-Baena", "given" : "Jos\u00e9 A.", "non-dropping-particle" : "", "parse-names" : false, "suffix" : "" }, { "dropping-particle" : "", "family" : "Garutti", "given" : "Ignacio", "non-dropping-particle" : "", "parse-names" : false, "suffix" : "" }, { "dropping-particle" : "", "family" : "Salcedo", "given" : "Magdalena", "non-dropping-particle" : "", "parse-names" : false, "suffix" : "" }, { "dropping-particle" : "", "family" : "Sanz", "given" : "Javier", "non-dropping-particle" : "", "parse-names" : false, "suffix" : "" }, { "dropping-particle" : "", "family" : "Tisner", "given" : "Manuel", "non-dropping-particle" : "", "parse-names" : false, "suffix" : "" }, { "dropping-particle" : "", "family" : "Asencio", "given" : "Jos\u00e9 M.", "non-dropping-particle" : "", "parse-names" : false, "suffix" : "" }, { "dropping-particle" : "", "family" : "Fern\u00e1ndez-Quero", "given" : "Lorenzo", "non-dropping-particle" : "", "parse-names" : false, "suffix" : "" }, { "dropping-particle" : "", "family" : "Ba\u00f1ares", "given" : "Rafael", "non-dropping-particle" : "", "parse-names" : false, "suffix" : "" } ], "container-title" : "Transplantation", "id" : "ITEM-4", "issue" : "00", "issued" : { "date-parts" : [ [ "2015" ] ] }, "page" : "1", "title" : "Early Measurement of Indocyanine Green Clearance Accurately Predicts Short-Term Outcomes After Liver Transplantation", "type" : "article-journal", "volume" : "00" }, "uris" : [ "http://www.mendeley.com/documents/?uuid=f33f60ff-1761-454f-85fc-2f0a8f20304d" ] } ], "mendeley" : { "formattedCitation" : "&lt;sup&gt;[35,42\u201344]&lt;/sup&gt;", "plainTextFormattedCitation" : "[35,42\u201344]", "previouslyFormattedCitation" : "&lt;sup&gt;[35,42\u201344]&lt;/sup&gt;" }, "properties" : { "noteIndex" : 0 }, "schema" : "https://github.com/citation-style-language/schema/raw/master/csl-citation.json" }</w:instrText>
      </w:r>
      <w:r w:rsidR="00C032DE">
        <w:rPr>
          <w:rFonts w:ascii="Book Antiqua" w:hAnsi="Book Antiqua"/>
          <w:sz w:val="24"/>
          <w:szCs w:val="24"/>
          <w:lang w:val="en-GB"/>
        </w:rPr>
        <w:fldChar w:fldCharType="separate"/>
      </w:r>
      <w:r w:rsidR="00C032DE" w:rsidRPr="005F5C48">
        <w:rPr>
          <w:rFonts w:ascii="Book Antiqua" w:hAnsi="Book Antiqua"/>
          <w:noProof/>
          <w:sz w:val="24"/>
          <w:szCs w:val="24"/>
          <w:vertAlign w:val="superscript"/>
          <w:lang w:val="en-GB"/>
        </w:rPr>
        <w:t>[35,42–44]</w:t>
      </w:r>
      <w:r w:rsidR="00C032DE">
        <w:rPr>
          <w:rFonts w:ascii="Book Antiqua" w:hAnsi="Book Antiqua"/>
          <w:sz w:val="24"/>
          <w:szCs w:val="24"/>
          <w:lang w:val="en-GB"/>
        </w:rPr>
        <w:fldChar w:fldCharType="end"/>
      </w:r>
      <w:r>
        <w:rPr>
          <w:rFonts w:ascii="Book Antiqua" w:hAnsi="Book Antiqua"/>
          <w:sz w:val="24"/>
          <w:szCs w:val="24"/>
          <w:lang w:val="en-GB"/>
        </w:rPr>
        <w:t>.</w:t>
      </w:r>
      <w:r w:rsidR="00C032DE">
        <w:rPr>
          <w:lang w:val="en-GB"/>
        </w:rPr>
        <w:t xml:space="preserve"> </w:t>
      </w:r>
    </w:p>
    <w:p w14:paraId="141A2664" w14:textId="43304E9F" w:rsidR="006D2F86" w:rsidRDefault="008F6700" w:rsidP="00422EBA">
      <w:pPr>
        <w:adjustRightInd w:val="0"/>
        <w:snapToGrid w:val="0"/>
        <w:spacing w:after="0" w:line="360" w:lineRule="auto"/>
        <w:ind w:firstLineChars="200" w:firstLine="480"/>
        <w:jc w:val="both"/>
        <w:rPr>
          <w:lang w:val="en-GB"/>
        </w:rPr>
      </w:pPr>
      <w:r>
        <w:rPr>
          <w:rFonts w:ascii="Book Antiqua" w:hAnsi="Book Antiqua"/>
          <w:sz w:val="24"/>
          <w:szCs w:val="24"/>
          <w:lang w:val="en-GB"/>
        </w:rPr>
        <w:t>A</w:t>
      </w:r>
      <w:r w:rsidR="006D2F86">
        <w:rPr>
          <w:rFonts w:ascii="Book Antiqua" w:hAnsi="Book Antiqua"/>
          <w:sz w:val="24"/>
          <w:szCs w:val="24"/>
          <w:lang w:val="en-GB"/>
        </w:rPr>
        <w:t xml:space="preserve"> score was developed that considered the only two independent variables correlating with 1-month mortality or retransplantation within POD7 (the two primary end-points of the study), assigning 1 point for INR </w:t>
      </w:r>
      <w:r w:rsidR="006D2F86">
        <w:rPr>
          <w:rFonts w:ascii="Book Antiqua" w:eastAsia="Book Antiqua" w:hAnsi="Book Antiqua" w:cs="Book Antiqua"/>
          <w:sz w:val="24"/>
          <w:szCs w:val="24"/>
          <w:lang w:val="en-GB"/>
        </w:rPr>
        <w:t xml:space="preserve">≥ </w:t>
      </w:r>
      <w:r w:rsidR="006D2F86">
        <w:rPr>
          <w:rFonts w:ascii="Book Antiqua" w:hAnsi="Book Antiqua"/>
          <w:sz w:val="24"/>
          <w:szCs w:val="24"/>
          <w:lang w:val="en-GB"/>
        </w:rPr>
        <w:t xml:space="preserve">2.2 and 2 points for ICG-PDR &lt; 10%. </w:t>
      </w:r>
      <w:r>
        <w:rPr>
          <w:rFonts w:ascii="Book Antiqua" w:hAnsi="Book Antiqua"/>
          <w:sz w:val="24"/>
          <w:szCs w:val="24"/>
          <w:lang w:val="en-GB"/>
        </w:rPr>
        <w:t>When</w:t>
      </w:r>
      <w:r w:rsidR="006D2F86">
        <w:rPr>
          <w:rFonts w:ascii="Book Antiqua" w:hAnsi="Book Antiqua"/>
          <w:sz w:val="24"/>
          <w:szCs w:val="24"/>
          <w:lang w:val="en-GB"/>
        </w:rPr>
        <w:t xml:space="preserve"> calculated on POD1, </w:t>
      </w:r>
      <w:r>
        <w:rPr>
          <w:rFonts w:ascii="Book Antiqua" w:hAnsi="Book Antiqua"/>
          <w:sz w:val="24"/>
          <w:szCs w:val="24"/>
          <w:lang w:val="en-GB"/>
        </w:rPr>
        <w:t xml:space="preserve">it </w:t>
      </w:r>
      <w:r w:rsidR="006D2F86">
        <w:rPr>
          <w:rFonts w:ascii="Book Antiqua" w:hAnsi="Book Antiqua"/>
          <w:sz w:val="24"/>
          <w:szCs w:val="24"/>
          <w:lang w:val="en-GB"/>
        </w:rPr>
        <w:t>had strong sensitivity (95%) and NPV (94%) for patients scoring 3. These results were confirmed in a validation cohort</w:t>
      </w:r>
      <w:r w:rsidR="00C032DE">
        <w:rPr>
          <w:rFonts w:ascii="Book Antiqua" w:hAnsi="Book Antiqua"/>
          <w:sz w:val="24"/>
          <w:szCs w:val="24"/>
          <w:lang w:val="en-GB"/>
        </w:rPr>
        <w:fldChar w:fldCharType="begin" w:fldLock="1"/>
      </w:r>
      <w:r w:rsidR="00C032DE">
        <w:rPr>
          <w:rFonts w:ascii="Book Antiqua" w:hAnsi="Book Antiqua"/>
          <w:sz w:val="24"/>
          <w:szCs w:val="24"/>
          <w:lang w:val="en-GB"/>
        </w:rPr>
        <w:instrText>ADDIN CSL_CITATION { "citationItems" : [ { "id" : "ITEM-1", "itemData" : { "DOI" : "10.1097/TP.0000000000000980", "ISBN" : "0000000000000", "ISSN" : "0041-1337", "author" : [ { "dropping-particle" : "", "family" : "Olmedilla", "given" : "Luis", "non-dropping-particle" : "", "parse-names" : false, "suffix" : "" }, { "dropping-particle" : "", "family" : "Lisbona", "given" : "Cristina J.", "non-dropping-particle" : "", "parse-names" : false, "suffix" : "" }, { "dropping-particle" : "", "family" : "P\u00e9rez-Pe\u00f1a", "given" : "Jos\u00e9 M.", "non-dropping-particle" : "", "parse-names" : false, "suffix" : "" }, { "dropping-particle" : "", "family" : "L\u00f3pez-Baena", "given" : "Jos\u00e9 A.", "non-dropping-particle" : "", "parse-names" : false, "suffix" : "" }, { "dropping-particle" : "", "family" : "Garutti", "given" : "Ignacio", "non-dropping-particle" : "", "parse-names" : false, "suffix" : "" }, { "dropping-particle" : "", "family" : "Salcedo", "given" : "Magdalena", "non-dropping-particle" : "", "parse-names" : false, "suffix" : "" }, { "dropping-particle" : "", "family" : "Sanz", "given" : "Javier", "non-dropping-particle" : "", "parse-names" : false, "suffix" : "" }, { "dropping-particle" : "", "family" : "Tisner", "given" : "Manuel", "non-dropping-particle" : "", "parse-names" : false, "suffix" : "" }, { "dropping-particle" : "", "family" : "Asencio", "given" : "Jos\u00e9 M.", "non-dropping-particle" : "", "parse-names" : false, "suffix" : "" }, { "dropping-particle" : "", "family" : "Fern\u00e1ndez-Quero", "given" : "Lorenzo", "non-dropping-particle" : "", "parse-names" : false, "suffix" : "" }, { "dropping-particle" : "", "family" : "Ba\u00f1ares", "given" : "Rafael", "non-dropping-particle" : "", "parse-names" : false, "suffix" : "" } ], "container-title" : "Transplantation", "id" : "ITEM-1", "issue" : "00", "issued" : { "date-parts" : [ [ "2015" ] ] }, "page" : "1", "title" : "Early Measurement of Indocyanine Green Clearance Accurately Predicts Short-Term Outcomes After Liver Transplantation", "type" : "article-journal", "volume" : "00" }, "uris" : [ "http://www.mendeley.com/documents/?uuid=f33f60ff-1761-454f-85fc-2f0a8f20304d" ] } ], "mendeley" : { "formattedCitation" : "&lt;sup&gt;[44]&lt;/sup&gt;", "plainTextFormattedCitation" : "[44]", "previouslyFormattedCitation" : "&lt;sup&gt;[44]&lt;/sup&gt;" }, "properties" : { "noteIndex" : 0 }, "schema" : "https://github.com/citation-style-language/schema/raw/master/csl-citation.json" }</w:instrText>
      </w:r>
      <w:r w:rsidR="00C032DE">
        <w:rPr>
          <w:rFonts w:ascii="Book Antiqua" w:hAnsi="Book Antiqua"/>
          <w:sz w:val="24"/>
          <w:szCs w:val="24"/>
          <w:lang w:val="en-GB"/>
        </w:rPr>
        <w:fldChar w:fldCharType="separate"/>
      </w:r>
      <w:r w:rsidR="00C032DE" w:rsidRPr="005F5C48">
        <w:rPr>
          <w:rFonts w:ascii="Book Antiqua" w:hAnsi="Book Antiqua"/>
          <w:noProof/>
          <w:sz w:val="24"/>
          <w:szCs w:val="24"/>
          <w:vertAlign w:val="superscript"/>
          <w:lang w:val="en-GB"/>
        </w:rPr>
        <w:t>[44]</w:t>
      </w:r>
      <w:r w:rsidR="00C032DE">
        <w:rPr>
          <w:rFonts w:ascii="Book Antiqua" w:hAnsi="Book Antiqua"/>
          <w:sz w:val="24"/>
          <w:szCs w:val="24"/>
          <w:lang w:val="en-GB"/>
        </w:rPr>
        <w:fldChar w:fldCharType="end"/>
      </w:r>
      <w:r w:rsidR="006D2F86">
        <w:rPr>
          <w:rFonts w:ascii="Book Antiqua" w:hAnsi="Book Antiqua"/>
          <w:sz w:val="24"/>
          <w:szCs w:val="24"/>
          <w:lang w:val="en-GB"/>
        </w:rPr>
        <w:t>.</w:t>
      </w:r>
      <w:r w:rsidR="00713360">
        <w:rPr>
          <w:rFonts w:ascii="Book Antiqua" w:hAnsi="Book Antiqua"/>
          <w:sz w:val="24"/>
          <w:szCs w:val="24"/>
          <w:lang w:val="en-GB"/>
        </w:rPr>
        <w:t xml:space="preserve"> </w:t>
      </w:r>
      <w:r w:rsidR="006D2F86">
        <w:rPr>
          <w:rFonts w:ascii="Book Antiqua" w:hAnsi="Book Antiqua"/>
          <w:sz w:val="24"/>
          <w:szCs w:val="24"/>
          <w:lang w:val="en-GB"/>
        </w:rPr>
        <w:t>Confirming the utility of integrating common clinical data with ICG-PDR to increase their specificity, a post hoc study showed that preoperative MELD &gt; 25 and ICG-PDR &lt; 20% within 6 hours after ICU admission provided extremely rapid and sensitive results (up to 100%, AUROC = 0.79) for ICU- and H-LOS and H-mortality</w:t>
      </w:r>
      <w:r w:rsidR="00C032DE">
        <w:rPr>
          <w:rFonts w:ascii="Book Antiqua" w:hAnsi="Book Antiqua"/>
          <w:sz w:val="24"/>
          <w:szCs w:val="24"/>
          <w:lang w:val="en-GB"/>
        </w:rPr>
        <w:fldChar w:fldCharType="begin" w:fldLock="1"/>
      </w:r>
      <w:r w:rsidR="00C032DE">
        <w:rPr>
          <w:rFonts w:ascii="Book Antiqua" w:hAnsi="Book Antiqua"/>
          <w:sz w:val="24"/>
          <w:szCs w:val="24"/>
          <w:lang w:val="en-GB"/>
        </w:rPr>
        <w:instrText>ADDIN CSL_CITATION { "citationItems" : [ { "id" : "ITEM-1", "itemData" : { "DOI" : "10.1186/1471-2253-14-103", "ISBN" : "1471-2253", "PMID" : "25844060", "abstract" : "Background: Early prediction of outcome would be useful for an optimal intensive care management of liver transplant recipients. Indocyanine green clearance can be measured non-invasively by pulse spectrophometry and is closely related to liver function. Methods: This study was undertaken to assess the predictive value of a combination of the model of end stage liver disease (MELD) score and early indocyanine plasma disappearance rates (ICG-PDR) for length of stay in the intensive care unit (ICU), length of stay in the hospital and hospital mortality in liver transplant recipients. Results: Fifty consecutive liver transplant recipients were included in this post Hoc single-center study. ICG-PDR was determined within 6 hours after ICU admission. Endpoints were length of stay in the ICU, length of hospital stay and hospital mortality. The combination of a high MELD score (MELD &gt;25) and a low ICG-PDR clearance (ICG-PDR &lt; 20%/minute) predicts a significant longer st ay in the ICU (p = 0.004), a significant longer stay in the hospital (p &lt; 0.001) and a hospital mortality of 40% vs. 0% (p = 0.003). Conclusion: The combination of MELD scores and a singular ICG-PDR measurement in the early postoperative phase is an accurate predictor for outcome in liver transplant recipients. This easy-to-assess tool might be valuable for an optimal intensive care management of those patients. Keywords: MELD score, Indocyanine green liver testing, Hospital mortality, Length of stay in the ICU", "author" : [ { "dropping-particle" : "", "family" : "Klinzing", "given" : "Stephanie", "non-dropping-particle" : "", "parse-names" : false, "suffix" : "" }, { "dropping-particle" : "", "family" : "Brandi", "given" : "Giovanna", "non-dropping-particle" : "", "parse-names" : false, "suffix" : "" }, { "dropping-particle" : "", "family" : "Stehberger", "given" : "Paul A", "non-dropping-particle" : "", "parse-names" : false, "suffix" : "" }, { "dropping-particle" : "", "family" : "Raptis", "given" : "Dimitri A", "non-dropping-particle" : "", "parse-names" : false, "suffix" : "" }, { "dropping-particle" : "", "family" : "B\u00e9chir", "given" : "Markus", "non-dropping-particle" : "", "parse-names" : false, "suffix" : "" } ], "container-title" : "BMC Anesthesiology", "id" : "ITEM-1", "issue" : "103", "issued" : { "date-parts" : [ [ "2014" ] ] }, "page" : "0-6", "title" : "The combination of MELD score and ICG liver testing predicts length of stay in the ICU and hospital mortality in liver transplant recipients", "type" : "article-journal", "volume" : "14" }, "uris" : [ "http://www.mendeley.com/documents/?uuid=efac1f5e-c477-4c72-85e4-59f696b8ca7a" ] } ], "mendeley" : { "formattedCitation" : "&lt;sup&gt;[45]&lt;/sup&gt;", "plainTextFormattedCitation" : "[45]", "previouslyFormattedCitation" : "&lt;sup&gt;[45]&lt;/sup&gt;" }, "properties" : { "noteIndex" : 0 }, "schema" : "https://github.com/citation-style-language/schema/raw/master/csl-citation.json" }</w:instrText>
      </w:r>
      <w:r w:rsidR="00C032DE">
        <w:rPr>
          <w:rFonts w:ascii="Book Antiqua" w:hAnsi="Book Antiqua"/>
          <w:sz w:val="24"/>
          <w:szCs w:val="24"/>
          <w:lang w:val="en-GB"/>
        </w:rPr>
        <w:fldChar w:fldCharType="separate"/>
      </w:r>
      <w:r w:rsidR="00C032DE" w:rsidRPr="005F5C48">
        <w:rPr>
          <w:rFonts w:ascii="Book Antiqua" w:hAnsi="Book Antiqua"/>
          <w:noProof/>
          <w:sz w:val="24"/>
          <w:szCs w:val="24"/>
          <w:vertAlign w:val="superscript"/>
          <w:lang w:val="en-GB"/>
        </w:rPr>
        <w:t>[45]</w:t>
      </w:r>
      <w:r w:rsidR="00C032DE">
        <w:rPr>
          <w:rFonts w:ascii="Book Antiqua" w:hAnsi="Book Antiqua"/>
          <w:sz w:val="24"/>
          <w:szCs w:val="24"/>
          <w:lang w:val="en-GB"/>
        </w:rPr>
        <w:fldChar w:fldCharType="end"/>
      </w:r>
      <w:r w:rsidR="006D2F86">
        <w:rPr>
          <w:rFonts w:ascii="Book Antiqua" w:hAnsi="Book Antiqua"/>
          <w:sz w:val="24"/>
          <w:szCs w:val="24"/>
          <w:lang w:val="en-GB"/>
        </w:rPr>
        <w:t>.</w:t>
      </w:r>
      <w:r w:rsidR="00C032DE">
        <w:rPr>
          <w:lang w:val="en-GB"/>
        </w:rPr>
        <w:t xml:space="preserve"> </w:t>
      </w:r>
    </w:p>
    <w:p w14:paraId="4A3F8FDC" w14:textId="06AC1661" w:rsidR="006D2F86" w:rsidRDefault="006D2F86" w:rsidP="00422EBA">
      <w:pPr>
        <w:adjustRightInd w:val="0"/>
        <w:snapToGrid w:val="0"/>
        <w:spacing w:after="0" w:line="360" w:lineRule="auto"/>
        <w:ind w:firstLineChars="200" w:firstLine="480"/>
        <w:jc w:val="both"/>
        <w:rPr>
          <w:lang w:val="en-GB"/>
        </w:rPr>
      </w:pPr>
      <w:r>
        <w:rPr>
          <w:rFonts w:ascii="Book Antiqua" w:hAnsi="Book Antiqua"/>
          <w:sz w:val="24"/>
          <w:szCs w:val="24"/>
          <w:lang w:val="en-GB"/>
        </w:rPr>
        <w:t xml:space="preserve">A prospective study designed specifically for LDLT investigated 30 patients. </w:t>
      </w:r>
      <w:r w:rsidR="001122DC">
        <w:rPr>
          <w:rFonts w:ascii="Book Antiqua" w:hAnsi="Book Antiqua"/>
          <w:sz w:val="24"/>
          <w:szCs w:val="24"/>
          <w:lang w:val="en-GB"/>
        </w:rPr>
        <w:t>EAD</w:t>
      </w:r>
      <w:r>
        <w:rPr>
          <w:rFonts w:ascii="Book Antiqua" w:hAnsi="Book Antiqua"/>
          <w:sz w:val="24"/>
          <w:szCs w:val="24"/>
          <w:lang w:val="en-GB"/>
        </w:rPr>
        <w:t xml:space="preserve"> patients </w:t>
      </w:r>
      <w:r w:rsidR="001122DC">
        <w:rPr>
          <w:rFonts w:ascii="Book Antiqua" w:hAnsi="Book Antiqua"/>
          <w:sz w:val="24"/>
          <w:szCs w:val="24"/>
          <w:lang w:val="en-GB"/>
        </w:rPr>
        <w:t xml:space="preserve">were </w:t>
      </w:r>
      <w:r>
        <w:rPr>
          <w:rFonts w:ascii="Book Antiqua" w:hAnsi="Book Antiqua"/>
          <w:sz w:val="24"/>
          <w:szCs w:val="24"/>
          <w:lang w:val="en-GB"/>
        </w:rPr>
        <w:t xml:space="preserve">characterised by a longer ICU-LOS and higher death rate (50%). </w:t>
      </w:r>
      <w:r w:rsidR="001122DC">
        <w:rPr>
          <w:rFonts w:ascii="Book Antiqua" w:hAnsi="Book Antiqua"/>
          <w:sz w:val="24"/>
          <w:szCs w:val="24"/>
          <w:lang w:val="en-GB"/>
        </w:rPr>
        <w:t xml:space="preserve">Both EAD and non-EAD patients faced a decrease in PDR during the first 48 h after LDLT. Already </w:t>
      </w:r>
      <w:r w:rsidR="001759EB">
        <w:rPr>
          <w:rFonts w:ascii="Book Antiqua" w:hAnsi="Book Antiqua"/>
          <w:sz w:val="24"/>
          <w:szCs w:val="24"/>
          <w:lang w:val="en-GB"/>
        </w:rPr>
        <w:t>from POD1</w:t>
      </w:r>
      <w:r w:rsidR="001122DC">
        <w:rPr>
          <w:rFonts w:ascii="Book Antiqua" w:hAnsi="Book Antiqua"/>
          <w:sz w:val="24"/>
          <w:szCs w:val="24"/>
          <w:lang w:val="en-GB"/>
        </w:rPr>
        <w:t xml:space="preserve"> </w:t>
      </w:r>
      <w:r w:rsidR="001759EB">
        <w:rPr>
          <w:rFonts w:ascii="Book Antiqua" w:hAnsi="Book Antiqua"/>
          <w:sz w:val="24"/>
          <w:szCs w:val="24"/>
          <w:lang w:val="en-GB"/>
        </w:rPr>
        <w:t>up to POD28,</w:t>
      </w:r>
      <w:r w:rsidR="001122DC">
        <w:rPr>
          <w:rFonts w:ascii="Book Antiqua" w:hAnsi="Book Antiqua"/>
          <w:sz w:val="24"/>
          <w:szCs w:val="24"/>
          <w:lang w:val="en-GB"/>
        </w:rPr>
        <w:t xml:space="preserve"> the non-EAD group had significantly higher PDR, while t</w:t>
      </w:r>
      <w:r>
        <w:rPr>
          <w:rFonts w:ascii="Book Antiqua" w:hAnsi="Book Antiqua"/>
          <w:sz w:val="24"/>
          <w:szCs w:val="24"/>
          <w:lang w:val="en-GB"/>
        </w:rPr>
        <w:t xml:space="preserve">he EAD group showed a progressive deterioration of PDR </w:t>
      </w:r>
      <w:r w:rsidR="001759EB">
        <w:rPr>
          <w:rFonts w:ascii="Book Antiqua" w:hAnsi="Book Antiqua"/>
          <w:sz w:val="24"/>
          <w:szCs w:val="24"/>
          <w:lang w:val="en-GB"/>
        </w:rPr>
        <w:t>(</w:t>
      </w:r>
      <w:r>
        <w:rPr>
          <w:rFonts w:ascii="Book Antiqua" w:hAnsi="Book Antiqua"/>
          <w:sz w:val="24"/>
          <w:szCs w:val="24"/>
          <w:lang w:val="en-GB"/>
        </w:rPr>
        <w:t>confirmed by histopathological analysis of the graft parenchyma</w:t>
      </w:r>
      <w:r w:rsidR="001759EB">
        <w:rPr>
          <w:rFonts w:ascii="Book Antiqua" w:hAnsi="Book Antiqua"/>
          <w:sz w:val="24"/>
          <w:szCs w:val="24"/>
          <w:lang w:val="en-GB"/>
        </w:rPr>
        <w:t>)</w:t>
      </w:r>
      <w:r>
        <w:rPr>
          <w:rFonts w:ascii="Book Antiqua" w:hAnsi="Book Antiqua"/>
          <w:sz w:val="24"/>
          <w:szCs w:val="24"/>
          <w:lang w:val="en-GB"/>
        </w:rPr>
        <w:t xml:space="preserve">. </w:t>
      </w:r>
      <w:r w:rsidR="00713360">
        <w:rPr>
          <w:rFonts w:ascii="Book Antiqua" w:hAnsi="Book Antiqua"/>
          <w:sz w:val="24"/>
          <w:szCs w:val="24"/>
          <w:lang w:val="en-GB"/>
        </w:rPr>
        <w:t xml:space="preserve">Independently by the absolute values, </w:t>
      </w:r>
      <w:r>
        <w:rPr>
          <w:rFonts w:ascii="Book Antiqua" w:hAnsi="Book Antiqua"/>
          <w:sz w:val="24"/>
          <w:szCs w:val="24"/>
          <w:lang w:val="en-GB"/>
        </w:rPr>
        <w:t xml:space="preserve">individual trends might be indicative of graft function and clinical complications. </w:t>
      </w:r>
      <w:r w:rsidR="001122DC">
        <w:rPr>
          <w:rFonts w:ascii="Book Antiqua" w:hAnsi="Book Antiqua"/>
          <w:sz w:val="24"/>
          <w:szCs w:val="24"/>
          <w:lang w:val="en-GB"/>
        </w:rPr>
        <w:t>N</w:t>
      </w:r>
      <w:r>
        <w:rPr>
          <w:rFonts w:ascii="Book Antiqua" w:hAnsi="Book Antiqua"/>
          <w:sz w:val="24"/>
          <w:szCs w:val="24"/>
          <w:lang w:val="en-GB"/>
        </w:rPr>
        <w:t>o other laboratory data correlated with the EAD diagnosis at any moment perioperatively</w:t>
      </w:r>
      <w:r w:rsidR="002B32C6">
        <w:rPr>
          <w:rFonts w:ascii="Book Antiqua" w:hAnsi="Book Antiqua"/>
          <w:sz w:val="24"/>
          <w:szCs w:val="24"/>
          <w:lang w:val="en-GB"/>
        </w:rPr>
        <w:fldChar w:fldCharType="begin" w:fldLock="1"/>
      </w:r>
      <w:r w:rsidR="002B32C6">
        <w:rPr>
          <w:rFonts w:ascii="Book Antiqua" w:hAnsi="Book Antiqua"/>
          <w:sz w:val="24"/>
          <w:szCs w:val="24"/>
          <w:lang w:val="en-GB"/>
        </w:rPr>
        <w:instrText>ADDIN CSL_CITATION { "citationItems" : [ { "id" : "ITEM-1", "itemData" : { "DOI" : "10.1002/lt.20713", "abstract" : "Reliable monitoring enabling evaluation of graft function is crucial after living-donor liver transplantation (LDLT). A method to identify poor graft function at an early postoperative period would allow opportune intensive clinical management to bring about further improvements in LDLT outcomes. This study assessed the reliability of the indocyanine green (ICG) elimination rate constant (K ICG) value as an estimator of graft function and determined the actual temporal changes of K ICG after LDLT. K ICG values were measured using a noninvasive method in 30 adult recipients up to 28 days after LDLT. The receptor index (LHL15) based on liver scintigraphy, and graft parenchymal damage score based on histopathological findings were evaluated after LDLT and correlated well with simultaneous K ICG . Thus, K ICG measured by noninvasive method was confirmed as accurately evaluating graft function. Changes of K ICG after LDLT in recipients with good graft function were maintained, after some falls in the early periods, and had a significant difference compared with those for recipients without good graft function; moreover, there were already significant differences in K ICG 24 hours after LDLT. Mean transit time reflecting systemic hemodynamics revealed that recipients without good outcomes fell into an unstable systemic hemodynamic state, and effective hepatic blood flow has a large influence on liver regeneration after LDLT. In conclusion, we suggested that K ICG values can predict clinical outcomes at the early postoperative period after LDLT by sharply reflecting the influence of systemic dynamics on splanchnic circulation. Liver Transpl 12:605-613, 2006. Liver allografts suffer several types of attacks, such as ischemia reperfusion injury and acute rejection, and they are exposed to risks, including hepatic blood flow disorders. Therefore, a precise estimation of graft func-tion after living donor liver transplantation (LDLT) is extremely important; indeed, it is indispensable for ap-propriate postoperative treatments. However, conven-tional simple liver function tests, such as the aspartate aminotransferase (AST), alanine aminotransferase (ALT), and prothrombin time international normalized ratio (PT-INR), can assist in evaluating graft function but are not always conclusive. Though 81 LDLT (51 right-lobe, 21 left-lobe, and 9 lateral-segment grafts) to 73 adult and 8 pediatric recipients have been per-formed to date in our facilities, we have had concerns\u2026", "author" : [ { "dropping-particle" : "", "family" : "Hori", "given" : "Tomohide", "non-dropping-particle" : "", "parse-names" : false, "suffix" : "" }, { "dropping-particle" : "", "family" : "Iida", "given" : "Taku", "non-dropping-particle" : "", "parse-names" : false, "suffix" : "" }, { "dropping-particle" : "", "family" : "Yagi", "given" : "Shintaro", "non-dropping-particle" : "", "parse-names" : false, "suffix" : "" }, { "dropping-particle" : "", "family" : "Taniguchi", "given" : "Kentaro", "non-dropping-particle" : "", "parse-names" : false, "suffix" : "" }, { "dropping-particle" : "", "family" : "Yamamoto", "given" : "Chiduru", "non-dropping-particle" : "", "parse-names" : false, "suffix" : "" }, { "dropping-particle" : "", "family" : "Mizuno", "given" : "Shugo", "non-dropping-particle" : "", "parse-names" : false, "suffix" : "" }, { "dropping-particle" : "", "family" : "Yamagiwa", "given" : "Kentaro", "non-dropping-particle" : "", "parse-names" : false, "suffix" : "" }, { "dropping-particle" : "", "family" : "Isaji", "given" : "Shuji", "non-dropping-particle" : "", "parse-names" : false, "suffix" : "" }, { "dropping-particle" : "", "family" : "Uemoto", "given" : "Shinji", "non-dropping-particle" : "", "parse-names" : false, "suffix" : "" } ], "container-title" : "Liver TRansplantation", "id" : "ITEM-1", "issued" : { "date-parts" : [ [ "2006" ] ] }, "title" : "K ICG Value, a Reliable Real-Time Estimator of Graft Function, Accurately Predicts Outcomes in Adult Living-Donor Liver Transplantation", "type" : "article-journal" }, "uris" : [ "http://www.mendeley.com/documents/?uuid=cc6d1dec-b9c7-3725-a421-37050165b52c" ] } ], "mendeley" : { "formattedCitation" : "&lt;sup&gt;[46]&lt;/sup&gt;", "plainTextFormattedCitation" : "[46]", "previouslyFormattedCitation" : "&lt;sup&gt;[46]&lt;/sup&gt;" }, "properties" : { "noteIndex" : 0 }, "schema" : "https://github.com/citation-style-language/schema/raw/master/csl-citation.json" }</w:instrText>
      </w:r>
      <w:r w:rsidR="002B32C6">
        <w:rPr>
          <w:rFonts w:ascii="Book Antiqua" w:hAnsi="Book Antiqua"/>
          <w:sz w:val="24"/>
          <w:szCs w:val="24"/>
          <w:lang w:val="en-GB"/>
        </w:rPr>
        <w:fldChar w:fldCharType="separate"/>
      </w:r>
      <w:r w:rsidR="002B32C6" w:rsidRPr="005F5C48">
        <w:rPr>
          <w:rFonts w:ascii="Book Antiqua" w:hAnsi="Book Antiqua"/>
          <w:noProof/>
          <w:sz w:val="24"/>
          <w:szCs w:val="24"/>
          <w:vertAlign w:val="superscript"/>
          <w:lang w:val="en-GB"/>
        </w:rPr>
        <w:t>[46]</w:t>
      </w:r>
      <w:r w:rsidR="002B32C6">
        <w:rPr>
          <w:rFonts w:ascii="Book Antiqua" w:hAnsi="Book Antiqua"/>
          <w:sz w:val="24"/>
          <w:szCs w:val="24"/>
          <w:lang w:val="en-GB"/>
        </w:rPr>
        <w:fldChar w:fldCharType="end"/>
      </w:r>
      <w:r>
        <w:rPr>
          <w:rFonts w:ascii="Book Antiqua" w:hAnsi="Book Antiqua"/>
          <w:sz w:val="24"/>
          <w:szCs w:val="24"/>
          <w:lang w:val="en-GB"/>
        </w:rPr>
        <w:t>.</w:t>
      </w:r>
      <w:r w:rsidR="002B32C6">
        <w:rPr>
          <w:lang w:val="en-GB"/>
        </w:rPr>
        <w:t xml:space="preserve"> </w:t>
      </w:r>
    </w:p>
    <w:p w14:paraId="037EDA58" w14:textId="4FE8676F" w:rsidR="006D2F86" w:rsidRDefault="006D2F86" w:rsidP="00422EBA">
      <w:pPr>
        <w:adjustRightInd w:val="0"/>
        <w:snapToGrid w:val="0"/>
        <w:spacing w:after="0" w:line="360" w:lineRule="auto"/>
        <w:ind w:firstLineChars="200" w:firstLine="480"/>
        <w:jc w:val="both"/>
        <w:rPr>
          <w:lang w:val="en-GB"/>
        </w:rPr>
      </w:pPr>
      <w:r>
        <w:rPr>
          <w:rFonts w:ascii="Book Antiqua" w:hAnsi="Book Antiqua"/>
          <w:sz w:val="24"/>
          <w:szCs w:val="24"/>
          <w:lang w:val="en-GB"/>
        </w:rPr>
        <w:t xml:space="preserve">Finally, ICG-PDR was also proposed as a predictive tool for </w:t>
      </w:r>
      <w:r w:rsidR="005616C7">
        <w:rPr>
          <w:rFonts w:ascii="Book Antiqua" w:hAnsi="Book Antiqua"/>
          <w:sz w:val="24"/>
          <w:szCs w:val="24"/>
          <w:lang w:val="en-GB"/>
        </w:rPr>
        <w:t xml:space="preserve">hepatic artery thrombosis </w:t>
      </w:r>
      <w:r>
        <w:rPr>
          <w:rFonts w:ascii="Book Antiqua" w:hAnsi="Book Antiqua"/>
          <w:sz w:val="24"/>
          <w:szCs w:val="24"/>
          <w:lang w:val="en-GB"/>
        </w:rPr>
        <w:t>and its management</w:t>
      </w:r>
      <w:r w:rsidR="002B32C6">
        <w:rPr>
          <w:rFonts w:ascii="Book Antiqua" w:hAnsi="Book Antiqua"/>
          <w:sz w:val="24"/>
          <w:szCs w:val="24"/>
          <w:lang w:val="en-GB"/>
        </w:rPr>
        <w:fldChar w:fldCharType="begin" w:fldLock="1"/>
      </w:r>
      <w:r w:rsidR="002B32C6">
        <w:rPr>
          <w:rFonts w:ascii="Book Antiqua" w:hAnsi="Book Antiqua"/>
          <w:sz w:val="24"/>
          <w:szCs w:val="24"/>
          <w:lang w:val="en-GB"/>
        </w:rPr>
        <w:instrText>ADDIN CSL_CITATION { "citationItems" : [ { "id" : "ITEM-1", "itemData" : { "DOI" : "10.1111/j.1399-0012.2010.01252.x", "ISSN" : "1399-0012", "PMID" : "20412097", "abstract" : "BACKGROUND: The clinical presentation of hepatic artery thrombosis (HAT) post-liver transplantation (LT) varies considerably. Doppler ultrasonography (Doppler US) is the first line investigation, with a diagnostic sensitivity for HAT as high as 92%. Because indocyanine green (ICG) elimination from the blood depends among other factors on the hepatic blood flow, we hypothesized that plasma disappearance rate of indocyanine green (PDR-ICG) can be influenced by the flow in the hepatic artery. Thus, we evaluated the role of PDR-ICG measurement in HAT diagnosis in post-LT patients. PATIENTS AND METHODS: Fourteen liver transplant patients with no visible flow in the hepatic artery (Doppler US) were identified. Of the 14, seven patients had HAT confirmed by CT-angiography. The PDR-ICG measurement, an investigation routinely used in our center, was performed in all 14 patients. RESULTS: The PDR-ICG in patients with HAT was significantly lower than in patients without HAT (5.8 \u00b1 4.3 vs. 23.8 \u00b1 7.4%/min, p= 0.0009). In patients with HAT, after the revascularization, the PDR-ICG value increased (5.8 \u00b1 4.3 vs. 15.6 \u00b1 3.5%/min, p = 0.006). CONCLUSION: The ICG elimination may be an adjunct diagnostic tool in the management of patients with suspected HAT following LT.", "author" : [ { "dropping-particle" : "", "family" : "Levesque", "given" : "E", "non-dropping-particle" : "", "parse-names" : false, "suffix" : "" }, { "dropping-particle" : "", "family" : "Hoti", "given" : "E", "non-dropping-particle" : "", "parse-names" : false, "suffix" : "" }, { "dropping-particle" : "", "family" : "Azoulay", "given" : "D", "non-dropping-particle" : "", "parse-names" : false, "suffix" : "" }, { "dropping-particle" : "", "family" : "Adam", "given" : "R", "non-dropping-particle" : "", "parse-names" : false, "suffix" : "" }, { "dropping-particle" : "", "family" : "Samuel", "given" : "D", "non-dropping-particle" : "", "parse-names" : false, "suffix" : "" }, { "dropping-particle" : "", "family" : "Castaing", "given" : "D", "non-dropping-particle" : "", "parse-names" : false, "suffix" : "" }, { "dropping-particle" : "", "family" : "Saliba", "given" : "F", "non-dropping-particle" : "", "parse-names" : false, "suffix" : "" } ], "container-title" : "Clinical transplantation", "id" : "ITEM-1", "issue" : "2", "issued" : { "date-parts" : [ [ "2011", "1" ] ] }, "page" : "297-301", "title" : "Non-invasive ICG-clearance: a useful tool for the management of hepatic artery thrombosis following liver transplantation.", "type" : "article-journal", "volume" : "25" }, "uris" : [ "http://www.mendeley.com/documents/?uuid=b21140f5-498a-4455-9116-c5bdc9b433f4" ] } ], "mendeley" : { "formattedCitation" : "&lt;sup&gt;[47]&lt;/sup&gt;", "plainTextFormattedCitation" : "[47]", "previouslyFormattedCitation" : "&lt;sup&gt;[47]&lt;/sup&gt;" }, "properties" : { "noteIndex" : 0 }, "schema" : "https://github.com/citation-style-language/schema/raw/master/csl-citation.json" }</w:instrText>
      </w:r>
      <w:r w:rsidR="002B32C6">
        <w:rPr>
          <w:rFonts w:ascii="Book Antiqua" w:hAnsi="Book Antiqua"/>
          <w:sz w:val="24"/>
          <w:szCs w:val="24"/>
          <w:lang w:val="en-GB"/>
        </w:rPr>
        <w:fldChar w:fldCharType="separate"/>
      </w:r>
      <w:r w:rsidR="002B32C6" w:rsidRPr="005F5C48">
        <w:rPr>
          <w:rFonts w:ascii="Book Antiqua" w:hAnsi="Book Antiqua"/>
          <w:noProof/>
          <w:sz w:val="24"/>
          <w:szCs w:val="24"/>
          <w:vertAlign w:val="superscript"/>
          <w:lang w:val="en-GB"/>
        </w:rPr>
        <w:t>[47]</w:t>
      </w:r>
      <w:r w:rsidR="002B32C6">
        <w:rPr>
          <w:rFonts w:ascii="Book Antiqua" w:hAnsi="Book Antiqua"/>
          <w:sz w:val="24"/>
          <w:szCs w:val="24"/>
          <w:lang w:val="en-GB"/>
        </w:rPr>
        <w:fldChar w:fldCharType="end"/>
      </w:r>
      <w:r>
        <w:rPr>
          <w:rFonts w:ascii="Book Antiqua" w:hAnsi="Book Antiqua"/>
          <w:sz w:val="24"/>
          <w:szCs w:val="24"/>
          <w:lang w:val="en-GB"/>
        </w:rPr>
        <w:t>.</w:t>
      </w:r>
      <w:r w:rsidR="002B32C6">
        <w:rPr>
          <w:lang w:val="en-GB"/>
        </w:rPr>
        <w:t xml:space="preserve"> </w:t>
      </w:r>
    </w:p>
    <w:p w14:paraId="5755217D" w14:textId="770C75B4" w:rsidR="006D2F86" w:rsidRDefault="00B0240F" w:rsidP="00422EBA">
      <w:pPr>
        <w:adjustRightInd w:val="0"/>
        <w:snapToGrid w:val="0"/>
        <w:spacing w:after="0" w:line="360" w:lineRule="auto"/>
        <w:ind w:firstLineChars="200" w:firstLine="480"/>
        <w:jc w:val="both"/>
        <w:rPr>
          <w:rFonts w:ascii="Book Antiqua" w:eastAsiaTheme="minorEastAsia" w:hAnsi="Book Antiqua" w:cs="Arial"/>
          <w:bCs/>
          <w:color w:val="000000"/>
          <w:sz w:val="24"/>
          <w:szCs w:val="24"/>
          <w:lang w:val="en-GB" w:eastAsia="zh-CN"/>
        </w:rPr>
      </w:pPr>
      <w:r>
        <w:rPr>
          <w:rFonts w:ascii="Book Antiqua" w:hAnsi="Book Antiqua"/>
          <w:sz w:val="24"/>
          <w:szCs w:val="24"/>
          <w:lang w:val="en-GB"/>
        </w:rPr>
        <w:lastRenderedPageBreak/>
        <w:t>A primary</w:t>
      </w:r>
      <w:r w:rsidR="006D2F86">
        <w:rPr>
          <w:rFonts w:ascii="Book Antiqua" w:hAnsi="Book Antiqua"/>
          <w:sz w:val="24"/>
          <w:szCs w:val="24"/>
          <w:lang w:val="en-GB"/>
        </w:rPr>
        <w:t xml:space="preserve"> limitation </w:t>
      </w:r>
      <w:r>
        <w:rPr>
          <w:rFonts w:ascii="Book Antiqua" w:hAnsi="Book Antiqua"/>
          <w:sz w:val="24"/>
          <w:szCs w:val="24"/>
          <w:lang w:val="en-GB"/>
        </w:rPr>
        <w:t xml:space="preserve">to </w:t>
      </w:r>
      <w:r w:rsidR="006D2F86">
        <w:rPr>
          <w:rFonts w:ascii="Book Antiqua" w:hAnsi="Book Antiqua"/>
          <w:sz w:val="24"/>
          <w:szCs w:val="24"/>
          <w:lang w:val="en-GB"/>
        </w:rPr>
        <w:t>ICG-PDR</w:t>
      </w:r>
      <w:r>
        <w:rPr>
          <w:rFonts w:ascii="Book Antiqua" w:hAnsi="Book Antiqua"/>
          <w:sz w:val="24"/>
          <w:szCs w:val="24"/>
          <w:lang w:val="en-GB"/>
        </w:rPr>
        <w:t xml:space="preserve"> reliability</w:t>
      </w:r>
      <w:r w:rsidR="006D2F86">
        <w:rPr>
          <w:rFonts w:ascii="Book Antiqua" w:hAnsi="Book Antiqua"/>
          <w:sz w:val="24"/>
          <w:szCs w:val="24"/>
          <w:lang w:val="en-GB"/>
        </w:rPr>
        <w:t xml:space="preserve"> </w:t>
      </w:r>
      <w:r>
        <w:rPr>
          <w:rFonts w:ascii="Book Antiqua" w:hAnsi="Book Antiqua"/>
          <w:sz w:val="24"/>
          <w:szCs w:val="24"/>
          <w:lang w:val="en-GB"/>
        </w:rPr>
        <w:t xml:space="preserve">is </w:t>
      </w:r>
      <w:r w:rsidR="00C43554">
        <w:rPr>
          <w:rFonts w:ascii="Book Antiqua" w:hAnsi="Book Antiqua"/>
          <w:sz w:val="24"/>
          <w:szCs w:val="24"/>
          <w:lang w:val="en-GB"/>
        </w:rPr>
        <w:t>given by</w:t>
      </w:r>
      <w:r w:rsidR="006D2F86">
        <w:rPr>
          <w:rFonts w:ascii="Book Antiqua" w:hAnsi="Book Antiqua"/>
          <w:sz w:val="24"/>
          <w:szCs w:val="24"/>
          <w:lang w:val="en-GB"/>
        </w:rPr>
        <w:t xml:space="preserve"> </w:t>
      </w:r>
      <w:r w:rsidR="00C43554">
        <w:rPr>
          <w:rFonts w:ascii="Book Antiqua" w:hAnsi="Book Antiqua"/>
          <w:sz w:val="24"/>
          <w:szCs w:val="24"/>
          <w:lang w:val="en-GB"/>
        </w:rPr>
        <w:t>hemodynamic instability (a frequent perioperative condition in LT) and altered</w:t>
      </w:r>
      <w:r w:rsidR="006D2F86">
        <w:rPr>
          <w:rFonts w:ascii="Book Antiqua" w:hAnsi="Book Antiqua"/>
          <w:sz w:val="24"/>
          <w:szCs w:val="24"/>
          <w:lang w:val="en-GB"/>
        </w:rPr>
        <w:t xml:space="preserve"> hepatic blood flow</w:t>
      </w:r>
      <w:r w:rsidR="002B32C6">
        <w:rPr>
          <w:rFonts w:ascii="Book Antiqua" w:hAnsi="Book Antiqua"/>
          <w:sz w:val="24"/>
          <w:szCs w:val="24"/>
          <w:lang w:val="en-GB"/>
        </w:rPr>
        <w:fldChar w:fldCharType="begin" w:fldLock="1"/>
      </w:r>
      <w:r w:rsidR="002B32C6">
        <w:rPr>
          <w:rFonts w:ascii="Book Antiqua" w:hAnsi="Book Antiqua"/>
          <w:sz w:val="24"/>
          <w:szCs w:val="24"/>
          <w:lang w:val="en-GB"/>
        </w:rPr>
        <w:instrText>ADDIN CSL_CITATION { "citationItems" : [ { "id" : "ITEM-1", "itemData" : { "DOI" : "10.1007/s00534-009-0160-0", "ISSN" : "1868-6982", "PMID" : "19760140", "abstract" : "BACKGROUND: Indocyanine green (ICG) is a synthetic dye that is widely used to evaluate liver function in critically ill patients, before liver resection or after liver transplantation. Controversy still exists about the impact exerted on the ICG ratio after 15 min (ICG R15) by differences in liver perfusion rates, hyperdynamic states, or patient cardiac output. We studied the role of different liver perfusion rates on the ICG R15 ratio in a normothermic extracorporeal liver perfusion system under standardized conditions.\n\nMETHODS: Livers from landrace pigs (40-50 kg) were perfused with fresh porcine blood. Normal and high perfusion rates were defined as 1 ml and 2 ml/g liver/min, respectively. Perfusate pressure of the hepatic artery and portal vein were within the physiological range in both groups. According to manufacturer's instructions, 0.5 mg of ICG per kg was applied and the ICG R15 was calculated. Calculations were based on fifteen experiments in five liver perfusions. Bile production, liver function and histology were analyzed.\n\nRESULTS: All perfusions were characterized by physiological bile production, lack of hepatocellular damage and normal histology. ICG R15 ratio in group I, perfused with 1 ml/g liver, was 18.9 +/- 6%. In group II, perfused with 2 ml/g liver, the ICG R15 ratio was 7.2 +/- 3%. The difference between groups 1 and 2 was statistically significant (p &lt; 0.05).\n\nCONCLUSION: ICG R15 is reliable within one group at defined perfusion rates. Doubled perfusion rates contribute to higher ICG clearance. For clinical application we would like to suggest considering cardiac output of the patient for interpretation of ICG ratios.", "author" : [ { "dropping-particle" : "", "family" : "Janssen", "given" : "Martin W W", "non-dropping-particle" : "", "parse-names" : false, "suffix" : "" }, { "dropping-particle" : "", "family" : "Druckrey-Fiskaaen", "given" : "Karl T", "non-dropping-particle" : "", "parse-names" : false, "suffix" : "" }, { "dropping-particle" : "", "family" : "Omidi", "given" : "Leyla", "non-dropping-particle" : "", "parse-names" : false, "suffix" : "" }, { "dropping-particle" : "", "family" : "Sliwinski", "given" : "Grzegorz", "non-dropping-particle" : "", "parse-names" : false, "suffix" : "" }, { "dropping-particle" : "", "family" : "Thiele", "given" : "Christine", "non-dropping-particle" : "", "parse-names" : false, "suffix" : "" }, { "dropping-particle" : "", "family" : "Donaubauer", "given" : "Bernd", "non-dropping-particle" : "", "parse-names" : false, "suffix" : "" }, { "dropping-particle" : "", "family" : "Polze", "given" : "Nina", "non-dropping-particle" : "", "parse-names" : false, "suffix" : "" }, { "dropping-particle" : "", "family" : "Kaisers", "given" : "Udo X", "non-dropping-particle" : "", "parse-names" : false, "suffix" : "" }, { "dropping-particle" : "", "family" : "Thiery", "given" : "Joachim", "non-dropping-particle" : "", "parse-names" : false, "suffix" : "" }, { "dropping-particle" : "", "family" : "Wittekind", "given" : "Christian", "non-dropping-particle" : "", "parse-names" : false, "suffix" : "" }, { "dropping-particle" : "", "family" : "Hauss", "given" : "Johann P", "non-dropping-particle" : "", "parse-names" : false, "suffix" : "" }, { "dropping-particle" : "", "family" : "Sch\u00f6n", "given" : "Michael R", "non-dropping-particle" : "", "parse-names" : false, "suffix" : "" } ], "container-title" : "Journal of hepato-biliary-pancreatic sciences", "id" : "ITEM-1", "issue" : "2", "issued" : { "date-parts" : [ [ "2010", "3" ] ] }, "page" : "180-5", "title" : "Indocyanine green R15 ratio depends directly on liver perfusion flow rate.", "type" : "article-journal", "volume" : "17" }, "uris" : [ "http://www.mendeley.com/documents/?uuid=ae4de536-0774-4bac-80cb-b6c63a181058" ] } ], "mendeley" : { "formattedCitation" : "&lt;sup&gt;[48]&lt;/sup&gt;", "plainTextFormattedCitation" : "[48]", "previouslyFormattedCitation" : "&lt;sup&gt;[48]&lt;/sup&gt;" }, "properties" : { "noteIndex" : 0 }, "schema" : "https://github.com/citation-style-language/schema/raw/master/csl-citation.json" }</w:instrText>
      </w:r>
      <w:r w:rsidR="002B32C6">
        <w:rPr>
          <w:rFonts w:ascii="Book Antiqua" w:hAnsi="Book Antiqua"/>
          <w:sz w:val="24"/>
          <w:szCs w:val="24"/>
          <w:lang w:val="en-GB"/>
        </w:rPr>
        <w:fldChar w:fldCharType="separate"/>
      </w:r>
      <w:r w:rsidR="002B32C6" w:rsidRPr="005F5C48">
        <w:rPr>
          <w:rFonts w:ascii="Book Antiqua" w:hAnsi="Book Antiqua"/>
          <w:noProof/>
          <w:sz w:val="24"/>
          <w:szCs w:val="24"/>
          <w:vertAlign w:val="superscript"/>
          <w:lang w:val="en-GB"/>
        </w:rPr>
        <w:t>[48]</w:t>
      </w:r>
      <w:r w:rsidR="002B32C6">
        <w:rPr>
          <w:rFonts w:ascii="Book Antiqua" w:hAnsi="Book Antiqua"/>
          <w:sz w:val="24"/>
          <w:szCs w:val="24"/>
          <w:lang w:val="en-GB"/>
        </w:rPr>
        <w:fldChar w:fldCharType="end"/>
      </w:r>
      <w:r w:rsidR="006D2F86">
        <w:rPr>
          <w:rFonts w:ascii="Book Antiqua" w:hAnsi="Book Antiqua"/>
          <w:sz w:val="24"/>
          <w:szCs w:val="24"/>
          <w:lang w:val="en-GB"/>
        </w:rPr>
        <w:t>.</w:t>
      </w:r>
      <w:r w:rsidR="006D2F86">
        <w:rPr>
          <w:rFonts w:ascii="Book Antiqua" w:hAnsi="Book Antiqua" w:cs="Arial"/>
          <w:bCs/>
          <w:color w:val="000000"/>
          <w:sz w:val="24"/>
          <w:szCs w:val="24"/>
          <w:highlight w:val="white"/>
          <w:lang w:val="en-GB"/>
        </w:rPr>
        <w:t xml:space="preserve"> PDR is also altered by clinical conditions that burden the delicate function of an implanted liver, including cholestasis, hyperbilirubinaemia and capillary leakage</w:t>
      </w:r>
      <w:r w:rsidR="007D7ACC">
        <w:rPr>
          <w:rFonts w:ascii="Book Antiqua" w:hAnsi="Book Antiqua" w:cs="Arial"/>
          <w:bCs/>
          <w:color w:val="000000"/>
          <w:sz w:val="24"/>
          <w:szCs w:val="24"/>
          <w:highlight w:val="white"/>
          <w:lang w:val="en-GB"/>
        </w:rPr>
        <w:fldChar w:fldCharType="begin" w:fldLock="1"/>
      </w:r>
      <w:r w:rsidR="005F5C48">
        <w:rPr>
          <w:rFonts w:ascii="Book Antiqua" w:hAnsi="Book Antiqua" w:cs="Arial"/>
          <w:bCs/>
          <w:color w:val="000000"/>
          <w:sz w:val="24"/>
          <w:szCs w:val="24"/>
          <w:highlight w:val="white"/>
          <w:lang w:val="en-GB"/>
        </w:rPr>
        <w:instrText>ADDIN CSL_CITATION { "citationItems" : [ { "id" : "ITEM-1", "itemData" : { "PMID" : "19621693", "abstract" : "BACKGROUND/AIMS:\r\nThe indocyanine green (ICG) test has been described as a useful tool for evaluation of liver function. The aim of this study was to investigate an additional effect of acute cholestasis on the result of the ICG-test.\r\nMETHODOLOGY:\r\nThree Patients with suspected obstructive jaundice after liver surgery or transplantation without any symptoms of liver insufficiency but disproportionate impaired ICG-test were selected for repetitive ICG-test measurement after endoscopic intervention. Additionally experiments in a rat model of short-term common bile duct ligation (BDL) were performed. ICG plasma disappearance rate (PDR) and ICG retention at 15 min (R15) were determined by pulse dye densitometry before and 30 and 60 min after BDL.\r\nRESULTS:\r\nThe impaired ICG-test in patients resolved directly after endoscopic treatment of proven obstructive jaundice. Correspondingly, in rat experiments BDL compared to sham operation caused a marked reduction in ICG-PDR by 75% (p&lt;0.005) and an increase of ICG-R15 (p&lt;0.005). No alterations in conventional histology and only slight elevations of bilirubin and ALT were observed.\r\nCONCLUSIONS:\r\nAcute cholestasis might be one additional factor directly influencing the ICG-test. This should be taken into account for correct interpretation of the ICG-test in respective clinical situations.", "author" : [ { "dropping-particle" : "", "family" : "Stockmann", "given" : "M", "non-dropping-particle" : "", "parse-names" : false, "suffix" : "" }, { "dropping-particle" : "", "family" : "Malinowski", "given" : "M", "non-dropping-particle" : "", "parse-names" : false, "suffix" : "" }, { "dropping-particle" : "", "family" : "Lock", "given" : "JF", "non-dropping-particle" : "", "parse-names" : false, "suffix" : "" }, { "dropping-particle" : "", "family" : "Seehofer", "given" : "D", "non-dropping-particle" : "", "parse-names" : false, "suffix" : "" }, { "dropping-particle" : "", "family" : "Neuhaus", "given" : "P", "non-dropping-particle" : "", "parse-names" : false, "suffix" : "" } ], "container-title" : "Hepatogastroenterology.", "id" : "ITEM-1", "issue" : "91-92", "issued" : { "date-parts" : [ [ "2009" ] ] }, "page" : "734-8", "title" : "Factors influencing the indocyanine green (ICG) test: additional impact of acute cholestasis.", "type" : "article-journal", "volume" : "56" }, "uris" : [ "http://www.mendeley.com/documents/?uuid=40573574-0e5b-3ace-a242-3426e987ddeb" ] }, { "id" : "ITEM-2", "itemData" : { "DOI" : "10.1111/j.1399-0012.2011.01516.x", "abstract" : "Background: Ischemia/reperfusion injury after liver transplantation (LT) may be associated with primary graft dysfunction (PDF) or non-function. Prostaglandins were demonstrated to be beneficial in reducing ischemic injury by improving microcirculation and protecting endothelial cells. The aim of this study was to analyze the effect of the continuously administered prostaglandin I2 analog iloprost on allograft function after LT. Methods: Eighty patients were prospectively randomized and assigned to two groups. Patients in the treatment group received iloprost for seven d after transplantation, and those in the control group did not. The primary end point was graft dysfunction. Results: The incidence of PDF was 20% (n = 8) in the control group and 5% (n = 2) in the treatment group, respectively (p = 0.087). Four patients in the control group underwent re-transplantation for initial non-function (INF). There was no evidence for INF in the treatment group. Iloprost was associated with improved allograft function. Clinical course and outcome were comparable. Conclusions: We suggest iloprost to be beneficial for early post-transplant liver function. If the rate of PDF can be significantly reduced with this treatment concept, it should be analyzed in a larger number of patients (ISRCTN95672167).", "author" : [ { "dropping-particle" : "", "family" : "Barthel", "given" : "E", "non-dropping-particle" : "", "parse-names" : false, "suffix" : "" }, { "dropping-particle" : "", "family" : "Rauchfu\u00df", "given" : "F", "non-dropping-particle" : "", "parse-names" : false, "suffix" : "" }, { "dropping-particle" : "", "family" : "Hoyer", "given" : "H", "non-dropping-particle" : "", "parse-names" : false, "suffix" : "" }, { "dropping-particle" : "", "family" : "Habrecht", "given" : "O", "non-dropping-particle" : "", "parse-names" : false, "suffix" : "" }, { "dropping-particle" : "", "family" : "Jandt", "given" : "K", "non-dropping-particle" : "", "parse-names" : false, "suffix" : "" }, { "dropping-particle" : "", "family" : "Gotza", "given" : "M", "non-dropping-particle" : "", "parse-names" : false, "suffix" : "" }, { "dropping-particle" : "", "family" : "Voigt", "given" : "R", "non-dropping-particle" : "", "parse-names" : false, "suffix" : "" }, { "dropping-particle" : "", "family" : "Heise", "given" : "M", "non-dropping-particle" : "", "parse-names" : false, "suffix" : "" }, { "dropping-particle" : "", "family" : "Marx", "given" : "G", "non-dropping-particle" : "", "parse-names" : false, "suffix" : "" }, { "dropping-particle" : "", "family" : "Settmacher", "given" : "U", "non-dropping-particle" : "", "parse-names" : false, "suffix" : "" } ], "container-title" : "Clin Transplant", "id" : "ITEM-2", "issued" : { "date-parts" : [ [ "2012" ] ] }, "page" : "E38-E47", "title" : "Impact of stable PGI 2 analog iloprost on early graft viability after liver transplantation: a pilot study", "type" : "article-journal", "volume" : "26" }, "uris" : [ "http://www.mendeley.com/documents/?uuid=7edfda84-3243-3968-83b5-b02f4116413c" ] } ], "mendeley" : { "formattedCitation" : "&lt;sup&gt;[49,50]&lt;/sup&gt;", "plainTextFormattedCitation" : "[49,50]", "previouslyFormattedCitation" : "&lt;sup&gt;[49,50]&lt;/sup&gt;" }, "properties" : { "noteIndex" : 0 }, "schema" : "https://github.com/citation-style-language/schema/raw/master/csl-citation.json" }</w:instrText>
      </w:r>
      <w:r w:rsidR="007D7ACC">
        <w:rPr>
          <w:rFonts w:ascii="Book Antiqua" w:hAnsi="Book Antiqua" w:cs="Arial"/>
          <w:bCs/>
          <w:color w:val="000000"/>
          <w:sz w:val="24"/>
          <w:szCs w:val="24"/>
          <w:highlight w:val="white"/>
          <w:lang w:val="en-GB"/>
        </w:rPr>
        <w:fldChar w:fldCharType="separate"/>
      </w:r>
      <w:r w:rsidR="005F5C48" w:rsidRPr="005F5C48">
        <w:rPr>
          <w:rFonts w:ascii="Book Antiqua" w:hAnsi="Book Antiqua" w:cs="Arial"/>
          <w:bCs/>
          <w:noProof/>
          <w:color w:val="000000"/>
          <w:sz w:val="24"/>
          <w:szCs w:val="24"/>
          <w:highlight w:val="white"/>
          <w:vertAlign w:val="superscript"/>
          <w:lang w:val="en-GB"/>
        </w:rPr>
        <w:t>[49,50]</w:t>
      </w:r>
      <w:r w:rsidR="007D7ACC">
        <w:rPr>
          <w:rFonts w:ascii="Book Antiqua" w:hAnsi="Book Antiqua" w:cs="Arial"/>
          <w:bCs/>
          <w:color w:val="000000"/>
          <w:sz w:val="24"/>
          <w:szCs w:val="24"/>
          <w:highlight w:val="white"/>
          <w:lang w:val="en-GB"/>
        </w:rPr>
        <w:fldChar w:fldCharType="end"/>
      </w:r>
      <w:r w:rsidR="006D2F86">
        <w:rPr>
          <w:rFonts w:ascii="Book Antiqua" w:hAnsi="Book Antiqua" w:cs="Arial"/>
          <w:bCs/>
          <w:color w:val="000000"/>
          <w:sz w:val="24"/>
          <w:szCs w:val="24"/>
          <w:highlight w:val="white"/>
          <w:lang w:val="en-GB"/>
        </w:rPr>
        <w:t xml:space="preserve"> because ICG and bilirubin use the same plasmatic transporter</w:t>
      </w:r>
      <w:r w:rsidR="002B32C6">
        <w:rPr>
          <w:rFonts w:ascii="Book Antiqua" w:hAnsi="Book Antiqua" w:cs="Arial"/>
          <w:bCs/>
          <w:color w:val="000000"/>
          <w:sz w:val="24"/>
          <w:szCs w:val="24"/>
          <w:highlight w:val="white"/>
          <w:lang w:val="en-GB"/>
        </w:rPr>
        <w:fldChar w:fldCharType="begin" w:fldLock="1"/>
      </w:r>
      <w:r w:rsidR="002B32C6">
        <w:rPr>
          <w:rFonts w:ascii="Book Antiqua" w:hAnsi="Book Antiqua" w:cs="Arial"/>
          <w:bCs/>
          <w:color w:val="000000"/>
          <w:sz w:val="24"/>
          <w:szCs w:val="24"/>
          <w:highlight w:val="white"/>
          <w:lang w:val="en-GB"/>
        </w:rPr>
        <w:instrText>ADDIN CSL_CITATION { "citationItems" : [ { "id" : "ITEM-1", "itemData" : { "DOI" : "10.1074/jbc.M004968200", "abstract" : "Bilirubin, the end product of heme catabolism, is taken up from the blood circulation into the liver. This work identifies a high-affinity transport protein medi-ating the uptake of bilirubin and its conjugates into human hepatocytes. Human embryonic kidney cells (HEK293) permanently expressing the recombinant or-ganic anion-transporting polypeptide 2 (human OATP2, also known as LST-1 or OATP-C; symbol SLC21A6) showed uptake of [ 3 H]monoglucuronosyl bilirubin, [ 3 H]bisglucuronosyl bilirubin, and [ 3 H]sulfobromoph-thalein with K m values of 0.10, 0.28, and 0.14 \u242eM, respec-tively. High-affinity uptake of unconjugated [ 3 H]biliru-bin by OATP2 occurred in the presence of albumin and was not mediated by another basolateral hepatic uptake transporter, human OATP8 (symbol SLC21A8). OATP2 and OATP8 differed by their capacity to extract sub-strates from albumin before transport. In comparison to the high-affinity transport by OATP2, OATP8 trans-ported [ 3 H]sulfobromophthalein and [ 3 H]monoglucu-ronosyl bilirubin with lower affinity, with K m values of 3.3 and 0.5 \u242eM, respectively. The organic anion indocya-nine green potently inhibited transport mediated by OATP2, with a K i value of 112 nM, but did not inhibit transport mediated by OATP8. Human OATP2 may play a key role in the prevention of hyperbilirubinemia by facilitating the selective entry of unconjugated bilirubin and its glucuronate conjugates into human hepatocytes. Bilirubin, the main bile pigment in most mammals, is the end product of heme catabolism (1). In the blood circulation, bilirubin is bound to serum albumin, which prevents its poten-tial toxicity thought to be caused by the free ligand (2). Despite high-affinity binding to albumin, bilirubin is rapidly and selec-tively taken up into the liver (3, 4), biotransformed upon con-jugation with glucuronate (5), and secreted into bile across the canalicular membrane of hepatocytes by an ATP-dependent conjugate export pump termed multidrug resistance protein 2 (transporter symbol ABCC2) (6, 7). In addition to a reduction of UDP-glucuronosyl transferase activity (8), impaired bilirubin uptake from the blood circulation into liver has been suggested to contribute to a subgroup of patients with Gilbert's syndrome (9), which is characterized by a mild unconjugated hyperbiliru-binemia. Uptake of bilirubin by hepatocytes was considered to", "author" : [ { "dropping-particle" : "", "family" : "Cui", "given" : "Yunhai", "non-dropping-particle" : "", "parse-names" : false, "suffix" : "" }, { "dropping-particle" : "", "family" : "Rg", "given" : "J\u00f6", "non-dropping-particle" : "", "parse-names" : false, "suffix" : "" }, { "dropping-particle" : "", "family" : "Nig", "given" : "K\u00f6", "non-dropping-particle" : "", "parse-names" : false, "suffix" : "" }, { "dropping-particle" : "", "family" : "Leier", "given" : "Inka", "non-dropping-particle" : "", "parse-names" : false, "suffix" : "" }, { "dropping-particle" : "", "family" : "Buchholz", "given" : "Ulrike", "non-dropping-particle" : "", "parse-names" : false, "suffix" : "" }, { "dropping-particle" : "", "family" : "Keppler", "given" : "Dietrich", "non-dropping-particle" : "", "parse-names" : false, "suffix" : "" } ], "container-title" : "J Biol Chem", "id" : "ITEM-1", "issue" : "13", "issued" : { "date-parts" : [ [ "2001" ] ] }, "page" : "9626-30", "title" : "Hepatic Uptake of Bilirubin and Its Conjugates by the Human Organic Anion Transporter SLC21A6*", "type" : "article-journal", "volume" : "276" }, "uris" : [ "http://www.mendeley.com/documents/?uuid=ec9e4c02-cae2-3792-bcf8-b87ab1e86a95" ] } ], "mendeley" : { "formattedCitation" : "&lt;sup&gt;[51]&lt;/sup&gt;", "plainTextFormattedCitation" : "[51]", "previouslyFormattedCitation" : "&lt;sup&gt;[51]&lt;/sup&gt;" }, "properties" : { "noteIndex" : 0 }, "schema" : "https://github.com/citation-style-language/schema/raw/master/csl-citation.json" }</w:instrText>
      </w:r>
      <w:r w:rsidR="002B32C6">
        <w:rPr>
          <w:rFonts w:ascii="Book Antiqua" w:hAnsi="Book Antiqua" w:cs="Arial"/>
          <w:bCs/>
          <w:color w:val="000000"/>
          <w:sz w:val="24"/>
          <w:szCs w:val="24"/>
          <w:highlight w:val="white"/>
          <w:lang w:val="en-GB"/>
        </w:rPr>
        <w:fldChar w:fldCharType="separate"/>
      </w:r>
      <w:r w:rsidR="002B32C6" w:rsidRPr="005F5C48">
        <w:rPr>
          <w:rFonts w:ascii="Book Antiqua" w:hAnsi="Book Antiqua" w:cs="Arial"/>
          <w:bCs/>
          <w:noProof/>
          <w:color w:val="000000"/>
          <w:sz w:val="24"/>
          <w:szCs w:val="24"/>
          <w:highlight w:val="white"/>
          <w:vertAlign w:val="superscript"/>
          <w:lang w:val="en-GB"/>
        </w:rPr>
        <w:t>[51]</w:t>
      </w:r>
      <w:r w:rsidR="002B32C6">
        <w:rPr>
          <w:rFonts w:ascii="Book Antiqua" w:hAnsi="Book Antiqua" w:cs="Arial"/>
          <w:bCs/>
          <w:color w:val="000000"/>
          <w:sz w:val="24"/>
          <w:szCs w:val="24"/>
          <w:highlight w:val="white"/>
          <w:lang w:val="en-GB"/>
        </w:rPr>
        <w:fldChar w:fldCharType="end"/>
      </w:r>
      <w:r w:rsidR="006D2F86">
        <w:rPr>
          <w:rFonts w:ascii="Book Antiqua" w:hAnsi="Book Antiqua" w:cs="Arial"/>
          <w:bCs/>
          <w:color w:val="000000"/>
          <w:sz w:val="24"/>
          <w:szCs w:val="24"/>
          <w:highlight w:val="white"/>
          <w:lang w:val="en-GB"/>
        </w:rPr>
        <w:t>. The multiple confounders affecting PDR might explain the poor specificity and positive predictive value detected with this technique. Finally, ICG-PDR reference values vary among different studies (from 9.6</w:t>
      </w:r>
      <w:r w:rsidR="002B32C6">
        <w:rPr>
          <w:rFonts w:ascii="Book Antiqua" w:eastAsiaTheme="minorEastAsia" w:hAnsi="Book Antiqua" w:cs="Arial" w:hint="eastAsia"/>
          <w:bCs/>
          <w:color w:val="000000"/>
          <w:sz w:val="24"/>
          <w:szCs w:val="24"/>
          <w:highlight w:val="white"/>
          <w:lang w:val="en-GB" w:eastAsia="zh-CN"/>
        </w:rPr>
        <w:t>%</w:t>
      </w:r>
      <w:r w:rsidR="006D2F86">
        <w:rPr>
          <w:rFonts w:ascii="Book Antiqua" w:hAnsi="Book Antiqua" w:cs="Arial"/>
          <w:bCs/>
          <w:color w:val="000000"/>
          <w:sz w:val="24"/>
          <w:szCs w:val="24"/>
          <w:highlight w:val="white"/>
          <w:lang w:val="en-GB"/>
        </w:rPr>
        <w:t xml:space="preserve"> to 20%) and appear to be context-dependent, depending on the POD of evaluation and clinical complications affecting the patients. For example, sepsis </w:t>
      </w:r>
      <w:r w:rsidR="001122DC">
        <w:rPr>
          <w:rFonts w:ascii="Book Antiqua" w:hAnsi="Book Antiqua" w:cs="Arial"/>
          <w:bCs/>
          <w:color w:val="000000"/>
          <w:sz w:val="24"/>
          <w:szCs w:val="24"/>
          <w:highlight w:val="white"/>
          <w:lang w:val="en-GB"/>
        </w:rPr>
        <w:t xml:space="preserve">is </w:t>
      </w:r>
      <w:r>
        <w:rPr>
          <w:rFonts w:ascii="Book Antiqua" w:hAnsi="Book Antiqua" w:cs="Arial"/>
          <w:bCs/>
          <w:color w:val="000000"/>
          <w:sz w:val="24"/>
          <w:szCs w:val="24"/>
          <w:highlight w:val="white"/>
          <w:lang w:val="en-GB"/>
        </w:rPr>
        <w:t>main</w:t>
      </w:r>
      <w:r w:rsidR="001122DC">
        <w:rPr>
          <w:rFonts w:ascii="Book Antiqua" w:hAnsi="Book Antiqua" w:cs="Arial"/>
          <w:bCs/>
          <w:color w:val="000000"/>
          <w:sz w:val="24"/>
          <w:szCs w:val="24"/>
          <w:highlight w:val="white"/>
          <w:lang w:val="en-GB"/>
        </w:rPr>
        <w:t xml:space="preserve"> cause of patient mortality after LT that </w:t>
      </w:r>
      <w:r w:rsidR="006D2F86">
        <w:rPr>
          <w:rFonts w:ascii="Book Antiqua" w:hAnsi="Book Antiqua" w:cs="Arial"/>
          <w:bCs/>
          <w:color w:val="000000"/>
          <w:sz w:val="24"/>
          <w:szCs w:val="24"/>
          <w:highlight w:val="white"/>
          <w:lang w:val="en-GB"/>
        </w:rPr>
        <w:t>consistently alters PDR values, increasing the confusion about reliable cut-off values for this technique</w:t>
      </w:r>
      <w:r w:rsidR="002B32C6">
        <w:rPr>
          <w:rFonts w:ascii="Book Antiqua" w:hAnsi="Book Antiqua" w:cs="Arial"/>
          <w:bCs/>
          <w:color w:val="000000"/>
          <w:sz w:val="24"/>
          <w:szCs w:val="24"/>
          <w:highlight w:val="white"/>
          <w:lang w:val="en-GB"/>
        </w:rPr>
        <w:fldChar w:fldCharType="begin" w:fldLock="1"/>
      </w:r>
      <w:r w:rsidR="002B32C6">
        <w:rPr>
          <w:rFonts w:ascii="Book Antiqua" w:hAnsi="Book Antiqua" w:cs="Arial"/>
          <w:bCs/>
          <w:color w:val="000000"/>
          <w:sz w:val="24"/>
          <w:szCs w:val="24"/>
          <w:highlight w:val="white"/>
          <w:lang w:val="en-GB"/>
        </w:rPr>
        <w:instrText>ADDIN CSL_CITATION { "citationItems" : [ { "id" : "ITEM-1", "itemData" : { "DOI" : "10.1002/lt.21805", "abstract" : "Indocyanine green clearance (Cl-ICG) has been used to assess liver function and hepatic blood flow mainly before and after hepatic surgery. Cl-ICG (invasive method) has been reported to be a good marker of early graft function after liver transplantation (LT). The goal of this study was to determine if the indocyanine green plasma disappearance rate (PDR-ICG), measured by a noninvasive technique (LiMON, Impulse Medical System, Munich, Germany), is predictive of complications and graft outcome after LT. From September 2005 to June 2006, 72 LT recipients were included in the study. PDR-ICG was measured daily (from day 0 to day 5 after LT) with a digital sensor after patients were injected with 0.25 mg/kg indocyanine green. A PDR-ICG cutoff level of 12.85%/minute was predictive of the development of a serious postoperative complication. The sequential changes of PDR-ICG enabled us to differentiate 2 groups: (1) patients with early severe complications (hepatic artery thrombosis, primary graft nonfunction, or sepsis) who had a low value of PDR-ICG during the first 5 posttransplantation days (average, 8.8 \u03ee 4.5%/minute) and (2) patients who developed acute rejection and who had a progressive reduction of PDR-ICG between days 0 and 5 (from 25.5 \u03ee 4.8 to 10.3 \u03ee 2.5%/minute; P \u03fd 0.002). In conclusion, after LT, PDR-ICG (a noninvasive technique), measured regularly during the first 5 postoperative days, is a safe technique that can predict early postoperative complications.", "author" : [ { "dropping-particle" : "", "family" : "Levesque", "given" : "Eric", "non-dropping-particle" : "", "parse-names" : false, "suffix" : "" }, { "dropping-particle" : "", "family" : "Saliba", "given" : "Faouzi", "non-dropping-particle" : "", "parse-names" : false, "suffix" : "" }, { "dropping-particle" : "", "family" : "Benhamida", "given" : "Sonia", "non-dropping-particle" : "", "parse-names" : false, "suffix" : "" }, { "dropping-particle" : "", "family" : "Icha", "given" : "Philippe", "non-dropping-particle" : "", "parse-names" : false, "suffix" : "" }, { "dropping-particle" : "", "family" : "Azoulay", "given" : "Daniel", "non-dropping-particle" : "", "parse-names" : false, "suffix" : "" }, { "dropping-particle" : "", "family" : "Adam", "given" : "Ren\u00e9", "non-dropping-particle" : "", "parse-names" : false, "suffix" : "" }, { "dropping-particle" : "", "family" : "Castaing", "given" : "Denis", "non-dropping-particle" : "", "parse-names" : false, "suffix" : "" }, { "dropping-particle" : "", "family" : "Samuel", "given" : "Didier", "non-dropping-particle" : "", "parse-names" : false, "suffix" : "" } ], "container-title" : "Liver Transpl", "id" : "ITEM-1", "issued" : { "date-parts" : [ [ "2009" ] ] }, "page" : "1358-1364", "title" : "Plasma Disappearance Rate of Indocyanine Green: A Tool To Evaluate Early Graft Outcome After Liver Transplantation", "type" : "article-journal", "volume" : "15" }, "uris" : [ "http://www.mendeley.com/documents/?uuid=85d2310f-f0e2-3a14-8c55-611624d7591c" ] }, { "id" : "ITEM-2", "itemData" : { "ISSN" : "0090-3493", "PMID" : "11395594", "abstract" : "OBJECTIVE: To determine whether indocyanine green clearance is an early indicator of hepatocellular injury in septic shock and to assess its predictive value. DESIGN: Observational study with prospective data collection. SETTING: Traumatology and critical care unit in a city hospital, staffed by traumatology and intensive care clinicians. PATIENTS: Twelve patients in septic shock who survived at least 2 months (group S) and nine patients who died within 2 wks (group N). INTERVENTIONS: Routine resuscitation from septic shock (surgery, fluid loading, and administration of catecholamines and antibiotic drugs). MEASUREMENTS AND MAIN RESULTS: Pulmonary artery occlusion pressure, cardiac index, oxygen delivery index, oxygen consumption index, and the indocyanine green elimination rate constant (KICG; or the slope of the loge [indocyanine green concentration] vs. time curve) 3-9 mins after injection were measured within 12 hrs of the onset of hypotension, then at 24 hrs, and every 24 hrs thereafter. Alanine aminotransferase and total bilirubin were measured on day 0 and day 1. Volume of fluid administered and duration of shock were the same in survivors and nonsurvivors. The oxygen consumption index was higher in survivors at 12 hrs, but no intergroup difference in pulmonary artery occlusion pressure, cardiac index, or oxygen delivery index was significant at any time point. KICG in nonsurvivors was lower than in survivors both initially and after 24 hrs, and it was subnormal in all patients except one survivor (p &lt;.05). The KICG increased between 24 and 120 hrs in 11 survivors but progressively decreased and remained below 0.05 in seven nonsurvivors. The remaining two nonsurvivors died within 24 hrs of the initial measurement of KICG, which was &gt;0.05. Alanine aminotransferase and total bilirubin were less sensitive measures of hepatic dysfunction in the first 24 hrs than the KICG. CONCLUSIONS: The KICG can identify reversible liver injury in septic shock, suggesting good prognosis. Either failure to increase the KICG within 120 hrs or an extremely low KICG is a poor prognostic sign.", "author" : [ { "dropping-particle" : "", "family" : "Kimura", "given" : "S", "non-dropping-particle" : "", "parse-names" : false, "suffix" : "" }, { "dropping-particle" : "", "family" : "Yoshioka", "given" : "T", "non-dropping-particle" : "", "parse-names" : false, "suffix" : "" }, { "dropping-particle" : "", "family" : "Shibuya", "given" : "M", "non-dropping-particle" : "", "parse-names" : false, "suffix" : "" }, { "dropping-particle" : "", "family" : "Sakano", "given" : "T", "non-dropping-particle" : "", "parse-names" : false, "suffix" : "" }, { "dropping-particle" : "", "family" : "Tanaka", "given" : "R", "non-dropping-particle" : "", "parse-names" : false, "suffix" : "" }, { "dropping-particle" : "", "family" : "Matsuyama", "given" : "S", "non-dropping-particle" : "", "parse-names" : false, "suffix" : "" } ], "container-title" : "Critical care medicine", "id" : "ITEM-2", "issue" : "6", "issued" : { "date-parts" : [ [ "2001", "6" ] ] }, "page" : "1159-63", "title" : "Indocyanine green elimination rate detects hepatocellular dysfunction early in septic shock and correlates with survival.", "type" : "article-journal", "volume" : "29" }, "uris" : [ "http://www.mendeley.com/documents/?uuid=dba90ea8-57b7-4870-b659-a6bc53f5a7e4" ] } ], "mendeley" : { "formattedCitation" : "&lt;sup&gt;[42,52]&lt;/sup&gt;", "plainTextFormattedCitation" : "[42,52]", "previouslyFormattedCitation" : "&lt;sup&gt;[42,52]&lt;/sup&gt;" }, "properties" : { "noteIndex" : 0 }, "schema" : "https://github.com/citation-style-language/schema/raw/master/csl-citation.json" }</w:instrText>
      </w:r>
      <w:r w:rsidR="002B32C6">
        <w:rPr>
          <w:rFonts w:ascii="Book Antiqua" w:hAnsi="Book Antiqua" w:cs="Arial"/>
          <w:bCs/>
          <w:color w:val="000000"/>
          <w:sz w:val="24"/>
          <w:szCs w:val="24"/>
          <w:highlight w:val="white"/>
          <w:lang w:val="en-GB"/>
        </w:rPr>
        <w:fldChar w:fldCharType="separate"/>
      </w:r>
      <w:r w:rsidR="002B32C6" w:rsidRPr="005F5C48">
        <w:rPr>
          <w:rFonts w:ascii="Book Antiqua" w:hAnsi="Book Antiqua" w:cs="Arial"/>
          <w:bCs/>
          <w:noProof/>
          <w:color w:val="000000"/>
          <w:sz w:val="24"/>
          <w:szCs w:val="24"/>
          <w:highlight w:val="white"/>
          <w:vertAlign w:val="superscript"/>
          <w:lang w:val="en-GB"/>
        </w:rPr>
        <w:t>[42,52]</w:t>
      </w:r>
      <w:r w:rsidR="002B32C6">
        <w:rPr>
          <w:rFonts w:ascii="Book Antiqua" w:hAnsi="Book Antiqua" w:cs="Arial"/>
          <w:bCs/>
          <w:color w:val="000000"/>
          <w:sz w:val="24"/>
          <w:szCs w:val="24"/>
          <w:highlight w:val="white"/>
          <w:lang w:val="en-GB"/>
        </w:rPr>
        <w:fldChar w:fldCharType="end"/>
      </w:r>
      <w:r w:rsidR="006D2F86">
        <w:rPr>
          <w:rFonts w:ascii="Book Antiqua" w:hAnsi="Book Antiqua" w:cs="Arial"/>
          <w:bCs/>
          <w:color w:val="000000"/>
          <w:sz w:val="24"/>
          <w:szCs w:val="24"/>
          <w:highlight w:val="white"/>
          <w:lang w:val="en-GB"/>
        </w:rPr>
        <w:t xml:space="preserve">. As criticised by Stockmann </w:t>
      </w:r>
      <w:r w:rsidR="00E35182" w:rsidRPr="00E35182">
        <w:rPr>
          <w:rFonts w:ascii="Book Antiqua" w:hAnsi="Book Antiqua" w:cs="Arial"/>
          <w:bCs/>
          <w:i/>
          <w:color w:val="000000"/>
          <w:sz w:val="24"/>
          <w:szCs w:val="24"/>
          <w:highlight w:val="white"/>
          <w:lang w:val="en-GB"/>
        </w:rPr>
        <w:t>et al</w:t>
      </w:r>
      <w:r w:rsidR="007D7ACC">
        <w:rPr>
          <w:rFonts w:ascii="Book Antiqua" w:hAnsi="Book Antiqua" w:cs="Arial"/>
          <w:bCs/>
          <w:color w:val="000000"/>
          <w:sz w:val="24"/>
          <w:szCs w:val="24"/>
          <w:highlight w:val="white"/>
          <w:lang w:val="en-GB"/>
        </w:rPr>
        <w:fldChar w:fldCharType="begin" w:fldLock="1"/>
      </w:r>
      <w:r w:rsidR="005F5C48">
        <w:rPr>
          <w:rFonts w:ascii="Book Antiqua" w:hAnsi="Book Antiqua" w:cs="Arial"/>
          <w:bCs/>
          <w:color w:val="000000"/>
          <w:sz w:val="24"/>
          <w:szCs w:val="24"/>
          <w:highlight w:val="white"/>
          <w:lang w:val="en-GB"/>
        </w:rPr>
        <w:instrText>ADDIN CSL_CITATION { "citationItems" : [ { "id" : "ITEM-1", "itemData" : { "DOI" : "10.1002/lt.22068", "abstract" : "A recent issue of Liver Transplantation presented 2 novel studies, 1,2 both of which applied the indocya-nine green plasma disappearance rate (ICG-PDR) to evaluate early graft performance after deceased donor liver transplantation (LT). We read both articles with particular interest as our group has been intensively working in the same field. Olmedilla et al. 2 performed a large single-center study with 172 liver recipients and compared post-transplant ICG-PDR values with the graft function score (grades I-IV) developed by Greig et al. 3 However, Greig et al.'s classification is only one exemplary score among various others and had already been developed in the period of 1985-1988. 3 Thereafter, more scores, using different specific patterns of biochemical and clinical parameters of the early posttransplant period, were developed for the same purpose. It has been shown that different scores provide conflicting results. 4 As a result, the degree of association between ICG-PDR and graft function could be dependent on the particu-lar score applied. Moreover, such scores provide only a surrogate parameter of graft function and are not nec-essarily connected to individual complications and out-comes. Therefore, from our perspective, graft function scores should not be applied as references or gold standards for diagnostic studies after LT. We believe that any diagnostic test providing useful information should be evaluated by outcome analysis. In the second study, Levesque et al.", "author" : [ { "dropping-particle" : "", "family" : "Stockmann", "given" : "M", "non-dropping-particle" : "", "parse-names" : false, "suffix" : "" }, { "dropping-particle" : "", "family" : "Lock", "given" : "J", "non-dropping-particle" : "", "parse-names" : false, "suffix" : "" } ], "container-title" : "Liver Transplantation", "id" : "ITEM-1", "issued" : { "date-parts" : [ [ "2010" ] ] }, "title" : "Evaluation of Early Liver Graft Performance by the Indocyanine Green Plasma Disappearance Rate", "type" : "article-journal" }, "uris" : [ "http://www.mendeley.com/documents/?uuid=3d1fee8f-272a-377b-b80e-2f369036dd6e" ] } ], "mendeley" : { "formattedCitation" : "&lt;sup&gt;[53]&lt;/sup&gt;", "plainTextFormattedCitation" : "[53]", "previouslyFormattedCitation" : "&lt;sup&gt;[53]&lt;/sup&gt;" }, "properties" : { "noteIndex" : 0 }, "schema" : "https://github.com/citation-style-language/schema/raw/master/csl-citation.json" }</w:instrText>
      </w:r>
      <w:r w:rsidR="007D7ACC">
        <w:rPr>
          <w:rFonts w:ascii="Book Antiqua" w:hAnsi="Book Antiqua" w:cs="Arial"/>
          <w:bCs/>
          <w:color w:val="000000"/>
          <w:sz w:val="24"/>
          <w:szCs w:val="24"/>
          <w:highlight w:val="white"/>
          <w:lang w:val="en-GB"/>
        </w:rPr>
        <w:fldChar w:fldCharType="separate"/>
      </w:r>
      <w:r w:rsidR="005F5C48" w:rsidRPr="005F5C48">
        <w:rPr>
          <w:rFonts w:ascii="Book Antiqua" w:hAnsi="Book Antiqua" w:cs="Arial"/>
          <w:bCs/>
          <w:noProof/>
          <w:color w:val="000000"/>
          <w:sz w:val="24"/>
          <w:szCs w:val="24"/>
          <w:highlight w:val="white"/>
          <w:vertAlign w:val="superscript"/>
          <w:lang w:val="en-GB"/>
        </w:rPr>
        <w:t>[53]</w:t>
      </w:r>
      <w:r w:rsidR="007D7ACC">
        <w:rPr>
          <w:rFonts w:ascii="Book Antiqua" w:hAnsi="Book Antiqua" w:cs="Arial"/>
          <w:bCs/>
          <w:color w:val="000000"/>
          <w:sz w:val="24"/>
          <w:szCs w:val="24"/>
          <w:highlight w:val="white"/>
          <w:lang w:val="en-GB"/>
        </w:rPr>
        <w:fldChar w:fldCharType="end"/>
      </w:r>
      <w:r w:rsidR="006D2F86">
        <w:rPr>
          <w:rFonts w:ascii="Book Antiqua" w:hAnsi="Book Antiqua" w:cs="Arial"/>
          <w:bCs/>
          <w:color w:val="000000"/>
          <w:sz w:val="24"/>
          <w:szCs w:val="24"/>
          <w:highlight w:val="white"/>
          <w:lang w:val="en-GB"/>
        </w:rPr>
        <w:t>, the scoring systems chosen to define IPF and PNF in some of these studies</w:t>
      </w:r>
      <w:r w:rsidR="007D7ACC">
        <w:rPr>
          <w:rFonts w:ascii="Book Antiqua" w:hAnsi="Book Antiqua" w:cs="Arial"/>
          <w:bCs/>
          <w:color w:val="000000"/>
          <w:sz w:val="24"/>
          <w:szCs w:val="24"/>
          <w:highlight w:val="white"/>
          <w:lang w:val="en-GB"/>
        </w:rPr>
        <w:fldChar w:fldCharType="begin" w:fldLock="1"/>
      </w:r>
      <w:r w:rsidR="005F5C48">
        <w:rPr>
          <w:rFonts w:ascii="Book Antiqua" w:hAnsi="Book Antiqua" w:cs="Arial"/>
          <w:bCs/>
          <w:color w:val="000000"/>
          <w:sz w:val="24"/>
          <w:szCs w:val="24"/>
          <w:highlight w:val="white"/>
          <w:lang w:val="en-GB"/>
        </w:rPr>
        <w:instrText>ADDIN CSL_CITATION { "citationItems" : [ { "id" : "ITEM-1", "itemData" : { "DOI" : "10.1002/lt.21805", "abstract" : "Indocyanine green clearance (Cl-ICG) has been used to assess liver function and hepatic blood flow mainly before and after hepatic surgery. Cl-ICG (invasive method) has been reported to be a good marker of early graft function after liver transplantation (LT). The goal of this study was to determine if the indocyanine green plasma disappearance rate (PDR-ICG), measured by a noninvasive technique (LiMON, Impulse Medical System, Munich, Germany), is predictive of complications and graft outcome after LT. From September 2005 to June 2006, 72 LT recipients were included in the study. PDR-ICG was measured daily (from day 0 to day 5 after LT) with a digital sensor after patients were injected with 0.25 mg/kg indocyanine green. A PDR-ICG cutoff level of 12.85%/minute was predictive of the development of a serious postoperative complication. The sequential changes of PDR-ICG enabled us to differentiate 2 groups: (1) patients with early severe complications (hepatic artery thrombosis, primary graft nonfunction, or sepsis) who had a low value of PDR-ICG during the first 5 posttransplantation days (average, 8.8 \u03ee 4.5%/minute) and (2) patients who developed acute rejection and who had a progressive reduction of PDR-ICG between days 0 and 5 (from 25.5 \u03ee 4.8 to 10.3 \u03ee 2.5%/minute; P \u03fd 0.002). In conclusion, after LT, PDR-ICG (a noninvasive technique), measured regularly during the first 5 postoperative days, is a safe technique that can predict early postoperative complications.", "author" : [ { "dropping-particle" : "", "family" : "Levesque", "given" : "Eric", "non-dropping-particle" : "", "parse-names" : false, "suffix" : "" }, { "dropping-particle" : "", "family" : "Saliba", "given" : "Faouzi", "non-dropping-particle" : "", "parse-names" : false, "suffix" : "" }, { "dropping-particle" : "", "family" : "Benhamida", "given" : "Sonia", "non-dropping-particle" : "", "parse-names" : false, "suffix" : "" }, { "dropping-particle" : "", "family" : "Icha", "given" : "Philippe", "non-dropping-particle" : "", "parse-names" : false, "suffix" : "" }, { "dropping-particle" : "", "family" : "Azoulay", "given" : "Daniel", "non-dropping-particle" : "", "parse-names" : false, "suffix" : "" }, { "dropping-particle" : "", "family" : "Adam", "given" : "Ren\u00e9", "non-dropping-particle" : "", "parse-names" : false, "suffix" : "" }, { "dropping-particle" : "", "family" : "Castaing", "given" : "Denis", "non-dropping-particle" : "", "parse-names" : false, "suffix" : "" }, { "dropping-particle" : "", "family" : "Samuel", "given" : "Didier", "non-dropping-particle" : "", "parse-names" : false, "suffix" : "" } ], "container-title" : "Liver Transpl", "id" : "ITEM-1", "issued" : { "date-parts" : [ [ "2009" ] ] }, "page" : "1358-1364", "title" : "Plasma Disappearance Rate of Indocyanine Green: A Tool To Evaluate Early Graft Outcome After Liver Transplantation", "type" : "article-journal", "volume" : "15" }, "uris" : [ "http://www.mendeley.com/documents/?uuid=85d2310f-f0e2-3a14-8c55-611624d7591c" ] }, { "id" : "ITEM-2", "itemData" : { "PMID" : "21813383", "abstract" : "BACKGROUND: Early detection of graft malfunction or postoperative complications is essential to save patients and organs after orthotopic liver transplantation (OLT). Predictive tests for graft dysfunction are needed to enable earlier implementation of organ-saving interventions following transplantation. This study was undertaken to assess the value of indocyanine green plasma disappearance rates (ICG-PDRs) for predicting postoperative complications, graft dysfunction, and patient survival following OLT. METHODS: Eighty-six patients undergoing OLT were included in this single-centre trial. ICG-PDR was assessed daily for the first 7 days following OLT. Endpoints were graft loss or death within 30 days and postoperative complications, graft loss, or death within 30 days. RESULTS: Postoperative complications of 31 patients included deaths (12 patients) or graft losses. ICG-PDR was significantly different in patients whose endpoints were graft loss or death beginning from day 3 and in those whose endpoints were graft-loss, death, or postoperative complications beginning from day 4 after OLT. For day 7 measurements, receiver operating characteristic curve analysis revealed an ICG-PDR cut-off for predicting death or graft loss of 9.6% per min (a sensitivity of 75.0%, a specificity of 72.6%, positive predictive value 0.35, negative predictive value 0.94). For prediction of graft loss, death, or postoperative complications, the ICG-PDR cut-off was 12.3% per min (a sensitivity of 68.9%, a specificity of 66.7%, positive predictive value 0.57, negative predictive value 0.77). CONCLUSIONS: ICG-PDR measurements on postoperative day 7 are predictive of early patient outcomes following OLT. The added value over that of routinely determined laboratory parameters is low.", "author" : [ { "dropping-particle" : "", "family" : "Schneider", "given" : "L", "non-dropping-particle" : "", "parse-names" : false, "suffix" : "" }, { "dropping-particle" : "", "family" : "Spiegel", "given" : "M", "non-dropping-particle" : "", "parse-names" : false, "suffix" : "" }, { "dropping-particle" : "", "family" : "Latanowicz", "given" : "S", "non-dropping-particle" : "", "parse-names" : false, "suffix" : "" }, { "dropping-particle" : "", "family" : "Weigand", "given" : "MA", "non-dropping-particle" : "", "parse-names" : false, "suffix" : "" }, { "dropping-particle" : "", "family" : "Schmidt", "given" : "J", "non-dropping-particle" : "", "parse-names" : false, "suffix" : "" }, { "dropping-particle" : "", "family" : "Werner", "given" : "J", "non-dropping-particle" : "", "parse-names" : false, "suffix" : "" }, { "dropping-particle" : "", "family" : "Stremmel", "given" : "W", "non-dropping-particle" : "", "parse-names" : false, "suffix" : "" }, { "dropping-particle" : "", "family" : "Eisenbach", "given" : "C", "non-dropping-particle" : "", "parse-names" : false, "suffix" : "" } ], "container-title" : "Hepatobiliary Pancreat Dis Int", "id" : "ITEM-2", "issue" : "4", "issued" : { "date-parts" : [ [ "2011" ] ] }, "page" : "362-8", "title" : "Noninvasive indocyanine green plasma disappearance rate predicts early complications, graft failure or death after liver transplantation.", "type" : "article-journal", "volume" : "10" }, "uris" : [ "http://www.mendeley.com/documents/?uuid=3edca98b-7042-37b5-aadb-59c24f584d65" ] }, { "id" : "ITEM-3", "itemData" : { "DOI" : "10.1097/TP.0000000000000980", "ISBN" : "0000000000000", "ISSN" : "0041-1337", "author" : [ { "dropping-particle" : "", "family" : "Olmedilla", "given" : "Luis", "non-dropping-particle" : "", "parse-names" : false, "suffix" : "" }, { "dropping-particle" : "", "family" : "Lisbona", "given" : "Cristina J.", "non-dropping-particle" : "", "parse-names" : false, "suffix" : "" }, { "dropping-particle" : "", "family" : "P\u00e9rez-Pe\u00f1a", "given" : "Jos\u00e9 M.", "non-dropping-particle" : "", "parse-names" : false, "suffix" : "" }, { "dropping-particle" : "", "family" : "L\u00f3pez-Baena", "given" : "Jos\u00e9 A.", "non-dropping-particle" : "", "parse-names" : false, "suffix" : "" }, { "dropping-particle" : "", "family" : "Garutti", "given" : "Ignacio", "non-dropping-particle" : "", "parse-names" : false, "suffix" : "" }, { "dropping-particle" : "", "family" : "Salcedo", "given" : "Magdalena", "non-dropping-particle" : "", "parse-names" : false, "suffix" : "" }, { "dropping-particle" : "", "family" : "Sanz", "given" : "Javier", "non-dropping-particle" : "", "parse-names" : false, "suffix" : "" }, { "dropping-particle" : "", "family" : "Tisner", "given" : "Manuel", "non-dropping-particle" : "", "parse-names" : false, "suffix" : "" }, { "dropping-particle" : "", "family" : "Asencio", "given" : "Jos\u00e9 M.", "non-dropping-particle" : "", "parse-names" : false, "suffix" : "" }, { "dropping-particle" : "", "family" : "Fern\u00e1ndez-Quero", "given" : "Lorenzo", "non-dropping-particle" : "", "parse-names" : false, "suffix" : "" }, { "dropping-particle" : "", "family" : "Ba\u00f1ares", "given" : "Rafael", "non-dropping-particle" : "", "parse-names" : false, "suffix" : "" } ], "container-title" : "Transplantation", "id" : "ITEM-3", "issue" : "00", "issued" : { "date-parts" : [ [ "2015" ] ] }, "page" : "1", "title" : "Early Measurement of Indocyanine Green Clearance Accurately Predicts Short-Term Outcomes After Liver Transplantation", "type" : "article-journal", "volume" : "00" }, "uris" : [ "http://www.mendeley.com/documents/?uuid=f33f60ff-1761-454f-85fc-2f0a8f20304d" ] } ], "mendeley" : { "formattedCitation" : "&lt;sup&gt;[42\u201344]&lt;/sup&gt;", "plainTextFormattedCitation" : "[42\u201344]", "previouslyFormattedCitation" : "&lt;sup&gt;[42\u201344]&lt;/sup&gt;" }, "properties" : { "noteIndex" : 0 }, "schema" : "https://github.com/citation-style-language/schema/raw/master/csl-citation.json" }</w:instrText>
      </w:r>
      <w:r w:rsidR="007D7ACC">
        <w:rPr>
          <w:rFonts w:ascii="Book Antiqua" w:hAnsi="Book Antiqua" w:cs="Arial"/>
          <w:bCs/>
          <w:color w:val="000000"/>
          <w:sz w:val="24"/>
          <w:szCs w:val="24"/>
          <w:highlight w:val="white"/>
          <w:lang w:val="en-GB"/>
        </w:rPr>
        <w:fldChar w:fldCharType="separate"/>
      </w:r>
      <w:r w:rsidR="005F5C48" w:rsidRPr="005F5C48">
        <w:rPr>
          <w:rFonts w:ascii="Book Antiqua" w:hAnsi="Book Antiqua" w:cs="Arial"/>
          <w:bCs/>
          <w:noProof/>
          <w:color w:val="000000"/>
          <w:sz w:val="24"/>
          <w:szCs w:val="24"/>
          <w:highlight w:val="white"/>
          <w:vertAlign w:val="superscript"/>
          <w:lang w:val="en-GB"/>
        </w:rPr>
        <w:t>[42–44]</w:t>
      </w:r>
      <w:r w:rsidR="007D7ACC">
        <w:rPr>
          <w:rFonts w:ascii="Book Antiqua" w:hAnsi="Book Antiqua" w:cs="Arial"/>
          <w:bCs/>
          <w:color w:val="000000"/>
          <w:sz w:val="24"/>
          <w:szCs w:val="24"/>
          <w:highlight w:val="white"/>
          <w:lang w:val="en-GB"/>
        </w:rPr>
        <w:fldChar w:fldCharType="end"/>
      </w:r>
      <w:r w:rsidR="006D2F86">
        <w:rPr>
          <w:rFonts w:ascii="Book Antiqua" w:hAnsi="Book Antiqua" w:cs="Arial"/>
          <w:bCs/>
          <w:color w:val="000000"/>
          <w:sz w:val="24"/>
          <w:szCs w:val="24"/>
          <w:highlight w:val="white"/>
          <w:lang w:val="en-GB"/>
        </w:rPr>
        <w:t xml:space="preserve"> may have created biases or result overestimation. Because of the inability to uniformly diagnose these clinical conditions from the actual scores</w:t>
      </w:r>
      <w:r w:rsidR="002B32C6">
        <w:rPr>
          <w:rFonts w:ascii="Book Antiqua" w:hAnsi="Book Antiqua" w:cs="Arial"/>
          <w:bCs/>
          <w:color w:val="000000"/>
          <w:sz w:val="24"/>
          <w:szCs w:val="24"/>
          <w:highlight w:val="white"/>
          <w:lang w:val="en-GB"/>
        </w:rPr>
        <w:fldChar w:fldCharType="begin" w:fldLock="1"/>
      </w:r>
      <w:r w:rsidR="002B32C6">
        <w:rPr>
          <w:rFonts w:ascii="Book Antiqua" w:hAnsi="Book Antiqua" w:cs="Arial"/>
          <w:bCs/>
          <w:color w:val="000000"/>
          <w:sz w:val="24"/>
          <w:szCs w:val="24"/>
          <w:highlight w:val="white"/>
          <w:lang w:val="en-GB"/>
        </w:rPr>
        <w:instrText>ADDIN CSL_CITATION { "citationItems" : [ { "id" : "ITEM-1", "itemData" : { "ISSN" : "0902-0063", "PMID" : "9361926", "abstract" : "Donor liver shortage is a persistent problem in liver transplantation. A more liberal donor acceptance policy may be a possible solution. However, this might put recipients at risk for initial poor function or even non-function of the graft. Therefore risk factors for initial graft dysfunction should be identified, preferably by using an uniform definition of primary graft dysfunction or non-function. We retrospectively analysed 125 adult liver transplantations in order to identify risk factors for initial poor function and primary non-function. Donor, recipient pretransplant and surgical parameters were evaluated. Since there is no consensus on the criteria of dysfunction we used two definitions known from literature. No risk factors for postoperative dysfunction could be identified for either of the two definition sets. Furthermore, the definition set that included ALAT, prothrombin time and bile production in the first 72 h to identify poor graft function showed no relation with graft or recipient outcome. The other set, using ASAT and prothrombin time, determined from day 2 to day 7, showed that patients with a primary dysfunction had significantly higher morbidity and mortality compared to patients with a well functioning graft. We conclude that initial poor function after liver transplantation remains unpredictable, irrespective of the way it is defined. Moreover, our analysis shows that initial poor function can also develop in recipients that receive 'non-marginal' grafts without prolonged ischemia times. These results may support a more liberal selection of donor livers.", "author" : [ { "dropping-particle" : "", "family" : "Maring", "given" : "J K", "non-dropping-particle" : "", "parse-names" : false, "suffix" : "" }, { "dropping-particle" : "", "family" : "Klompmaker", "given" : "I J", "non-dropping-particle" : "", "parse-names" : false, "suffix" : "" }, { "dropping-particle" : "", "family" : "Zwaveling", "given" : "J H", "non-dropping-particle" : "", "parse-names" : false, "suffix" : "" }, { "dropping-particle" : "", "family" : "Kranenburg", "given" : "K", "non-dropping-particle" : "", "parse-names" : false, "suffix" : "" }, { "dropping-particle" : "", "family" : "Vergert", "given" : "E M", "non-dropping-particle" : "Ten", "parse-names" : false, "suffix" : "" }, { "dropping-particle" : "", "family" : "Slooff", "given" : "M J", "non-dropping-particle" : "", "parse-names" : false, "suffix" : "" } ], "container-title" : "Clinical transplantation", "id" : "ITEM-1", "issue" : "5 Pt 1", "issued" : { "date-parts" : [ [ "1997", "10" ] ] }, "page" : "373-9", "title" : "Poor initial graft function after orthotopic liver transplantation: can it be predicted and does it affect outcome? An analysis of 125 adult primary transplantations.", "type" : "article-journal", "volume" : "11" }, "uris" : [ "http://www.mendeley.com/documents/?uuid=6942a939-15ed-482d-82e2-126fdb30e7e5" ] } ], "mendeley" : { "formattedCitation" : "&lt;sup&gt;[54]&lt;/sup&gt;", "plainTextFormattedCitation" : "[54]", "previouslyFormattedCitation" : "&lt;sup&gt;[54]&lt;/sup&gt;" }, "properties" : { "noteIndex" : 0 }, "schema" : "https://github.com/citation-style-language/schema/raw/master/csl-citation.json" }</w:instrText>
      </w:r>
      <w:r w:rsidR="002B32C6">
        <w:rPr>
          <w:rFonts w:ascii="Book Antiqua" w:hAnsi="Book Antiqua" w:cs="Arial"/>
          <w:bCs/>
          <w:color w:val="000000"/>
          <w:sz w:val="24"/>
          <w:szCs w:val="24"/>
          <w:highlight w:val="white"/>
          <w:lang w:val="en-GB"/>
        </w:rPr>
        <w:fldChar w:fldCharType="separate"/>
      </w:r>
      <w:r w:rsidR="002B32C6" w:rsidRPr="005F5C48">
        <w:rPr>
          <w:rFonts w:ascii="Book Antiqua" w:hAnsi="Book Antiqua" w:cs="Arial"/>
          <w:bCs/>
          <w:noProof/>
          <w:color w:val="000000"/>
          <w:sz w:val="24"/>
          <w:szCs w:val="24"/>
          <w:highlight w:val="white"/>
          <w:vertAlign w:val="superscript"/>
          <w:lang w:val="en-GB"/>
        </w:rPr>
        <w:t>[54]</w:t>
      </w:r>
      <w:r w:rsidR="002B32C6">
        <w:rPr>
          <w:rFonts w:ascii="Book Antiqua" w:hAnsi="Book Antiqua" w:cs="Arial"/>
          <w:bCs/>
          <w:color w:val="000000"/>
          <w:sz w:val="24"/>
          <w:szCs w:val="24"/>
          <w:highlight w:val="white"/>
          <w:lang w:val="en-GB"/>
        </w:rPr>
        <w:fldChar w:fldCharType="end"/>
      </w:r>
      <w:r w:rsidR="006D2F86">
        <w:rPr>
          <w:rFonts w:ascii="Book Antiqua" w:hAnsi="Book Antiqua" w:cs="Arial"/>
          <w:bCs/>
          <w:color w:val="000000"/>
          <w:sz w:val="24"/>
          <w:szCs w:val="24"/>
          <w:highlight w:val="white"/>
          <w:lang w:val="en-GB"/>
        </w:rPr>
        <w:t xml:space="preserve">, a better assessment would focus on patient outcome, as performed by Olmedilla </w:t>
      </w:r>
      <w:r w:rsidR="00E35182" w:rsidRPr="00E35182">
        <w:rPr>
          <w:rFonts w:ascii="Book Antiqua" w:hAnsi="Book Antiqua" w:cs="Arial"/>
          <w:bCs/>
          <w:i/>
          <w:color w:val="000000"/>
          <w:sz w:val="24"/>
          <w:szCs w:val="24"/>
          <w:highlight w:val="white"/>
          <w:lang w:val="en-GB"/>
        </w:rPr>
        <w:t>et al</w:t>
      </w:r>
      <w:r w:rsidR="007D7ACC">
        <w:rPr>
          <w:rFonts w:ascii="Book Antiqua" w:hAnsi="Book Antiqua" w:cs="Arial"/>
          <w:bCs/>
          <w:color w:val="000000"/>
          <w:sz w:val="24"/>
          <w:szCs w:val="24"/>
          <w:highlight w:val="white"/>
          <w:lang w:val="en-GB"/>
        </w:rPr>
        <w:fldChar w:fldCharType="begin" w:fldLock="1"/>
      </w:r>
      <w:r w:rsidR="005F5C48">
        <w:rPr>
          <w:rFonts w:ascii="Book Antiqua" w:hAnsi="Book Antiqua" w:cs="Arial"/>
          <w:bCs/>
          <w:color w:val="000000"/>
          <w:sz w:val="24"/>
          <w:szCs w:val="24"/>
          <w:highlight w:val="white"/>
          <w:lang w:val="en-GB"/>
        </w:rPr>
        <w:instrText>ADDIN CSL_CITATION { "citationItems" : [ { "id" : "ITEM-1", "itemData" : { "DOI" : "10.1097/TP.0000000000000980", "ISBN" : "0000000000000", "ISSN" : "0041-1337", "author" : [ { "dropping-particle" : "", "family" : "Olmedilla", "given" : "Luis", "non-dropping-particle" : "", "parse-names" : false, "suffix" : "" }, { "dropping-particle" : "", "family" : "Lisbona", "given" : "Cristina J.", "non-dropping-particle" : "", "parse-names" : false, "suffix" : "" }, { "dropping-particle" : "", "family" : "P\u00e9rez-Pe\u00f1a", "given" : "Jos\u00e9 M.", "non-dropping-particle" : "", "parse-names" : false, "suffix" : "" }, { "dropping-particle" : "", "family" : "L\u00f3pez-Baena", "given" : "Jos\u00e9 A.", "non-dropping-particle" : "", "parse-names" : false, "suffix" : "" }, { "dropping-particle" : "", "family" : "Garutti", "given" : "Ignacio", "non-dropping-particle" : "", "parse-names" : false, "suffix" : "" }, { "dropping-particle" : "", "family" : "Salcedo", "given" : "Magdalena", "non-dropping-particle" : "", "parse-names" : false, "suffix" : "" }, { "dropping-particle" : "", "family" : "Sanz", "given" : "Javier", "non-dropping-particle" : "", "parse-names" : false, "suffix" : "" }, { "dropping-particle" : "", "family" : "Tisner", "given" : "Manuel", "non-dropping-particle" : "", "parse-names" : false, "suffix" : "" }, { "dropping-particle" : "", "family" : "Asencio", "given" : "Jos\u00e9 M.", "non-dropping-particle" : "", "parse-names" : false, "suffix" : "" }, { "dropping-particle" : "", "family" : "Fern\u00e1ndez-Quero", "given" : "Lorenzo", "non-dropping-particle" : "", "parse-names" : false, "suffix" : "" }, { "dropping-particle" : "", "family" : "Ba\u00f1ares", "given" : "Rafael", "non-dropping-particle" : "", "parse-names" : false, "suffix" : "" } ], "container-title" : "Transplantation", "id" : "ITEM-1", "issue" : "00", "issued" : { "date-parts" : [ [ "2015" ] ] }, "page" : "1", "title" : "Early Measurement of Indocyanine Green Clearance Accurately Predicts Short-Term Outcomes After Liver Transplantation", "type" : "article-journal", "volume" : "00" }, "uris" : [ "http://www.mendeley.com/documents/?uuid=f33f60ff-1761-454f-85fc-2f0a8f20304d" ] } ], "mendeley" : { "formattedCitation" : "&lt;sup&gt;[44]&lt;/sup&gt;", "plainTextFormattedCitation" : "[44]", "previouslyFormattedCitation" : "&lt;sup&gt;[44]&lt;/sup&gt;" }, "properties" : { "noteIndex" : 0 }, "schema" : "https://github.com/citation-style-language/schema/raw/master/csl-citation.json" }</w:instrText>
      </w:r>
      <w:r w:rsidR="007D7ACC">
        <w:rPr>
          <w:rFonts w:ascii="Book Antiqua" w:hAnsi="Book Antiqua" w:cs="Arial"/>
          <w:bCs/>
          <w:color w:val="000000"/>
          <w:sz w:val="24"/>
          <w:szCs w:val="24"/>
          <w:highlight w:val="white"/>
          <w:lang w:val="en-GB"/>
        </w:rPr>
        <w:fldChar w:fldCharType="separate"/>
      </w:r>
      <w:r w:rsidR="005F5C48" w:rsidRPr="005F5C48">
        <w:rPr>
          <w:rFonts w:ascii="Book Antiqua" w:hAnsi="Book Antiqua" w:cs="Arial"/>
          <w:bCs/>
          <w:noProof/>
          <w:color w:val="000000"/>
          <w:sz w:val="24"/>
          <w:szCs w:val="24"/>
          <w:highlight w:val="white"/>
          <w:vertAlign w:val="superscript"/>
          <w:lang w:val="en-GB"/>
        </w:rPr>
        <w:t>[44]</w:t>
      </w:r>
      <w:r w:rsidR="007D7ACC">
        <w:rPr>
          <w:rFonts w:ascii="Book Antiqua" w:hAnsi="Book Antiqua" w:cs="Arial"/>
          <w:bCs/>
          <w:color w:val="000000"/>
          <w:sz w:val="24"/>
          <w:szCs w:val="24"/>
          <w:highlight w:val="white"/>
          <w:lang w:val="en-GB"/>
        </w:rPr>
        <w:fldChar w:fldCharType="end"/>
      </w:r>
      <w:r w:rsidR="006D2F86">
        <w:rPr>
          <w:rFonts w:ascii="Book Antiqua" w:hAnsi="Book Antiqua" w:cs="Arial"/>
          <w:bCs/>
          <w:color w:val="000000"/>
          <w:sz w:val="24"/>
          <w:szCs w:val="24"/>
          <w:lang w:val="en-GB"/>
        </w:rPr>
        <w:t>.</w:t>
      </w:r>
    </w:p>
    <w:p w14:paraId="3D342B44" w14:textId="77777777" w:rsidR="00E35182" w:rsidRPr="00E35182" w:rsidRDefault="00E35182" w:rsidP="00422EBA">
      <w:pPr>
        <w:adjustRightInd w:val="0"/>
        <w:snapToGrid w:val="0"/>
        <w:spacing w:after="0" w:line="360" w:lineRule="auto"/>
        <w:jc w:val="both"/>
        <w:rPr>
          <w:rFonts w:eastAsiaTheme="minorEastAsia"/>
          <w:lang w:val="en-GB" w:eastAsia="zh-CN"/>
        </w:rPr>
      </w:pPr>
    </w:p>
    <w:p w14:paraId="77F2A5CD" w14:textId="1BCA9194" w:rsidR="006D2F86" w:rsidRPr="002B32C6" w:rsidRDefault="006D2F86" w:rsidP="00422EBA">
      <w:pPr>
        <w:adjustRightInd w:val="0"/>
        <w:snapToGrid w:val="0"/>
        <w:spacing w:after="0" w:line="360" w:lineRule="auto"/>
        <w:jc w:val="both"/>
        <w:rPr>
          <w:rFonts w:ascii="Book Antiqua" w:hAnsi="Book Antiqua" w:cs="Arial"/>
          <w:b/>
          <w:bCs/>
          <w:caps/>
          <w:color w:val="000000"/>
          <w:sz w:val="24"/>
          <w:szCs w:val="24"/>
          <w:highlight w:val="white"/>
          <w:lang w:val="en-GB"/>
        </w:rPr>
      </w:pPr>
      <w:r w:rsidRPr="002B32C6">
        <w:rPr>
          <w:rFonts w:ascii="Book Antiqua" w:hAnsi="Book Antiqua" w:cs="Arial"/>
          <w:b/>
          <w:bCs/>
          <w:caps/>
          <w:color w:val="000000"/>
          <w:sz w:val="24"/>
          <w:szCs w:val="24"/>
          <w:highlight w:val="white"/>
          <w:lang w:val="en-GB"/>
        </w:rPr>
        <w:t>Liver Maximal Function Capacity (LiMax)</w:t>
      </w:r>
    </w:p>
    <w:p w14:paraId="32CFB12B" w14:textId="16A75C2C" w:rsidR="006D2F86" w:rsidRDefault="006D2F86" w:rsidP="00422EBA">
      <w:pPr>
        <w:adjustRightInd w:val="0"/>
        <w:snapToGrid w:val="0"/>
        <w:spacing w:after="0" w:line="360" w:lineRule="auto"/>
        <w:jc w:val="both"/>
        <w:rPr>
          <w:lang w:val="en-GB"/>
        </w:rPr>
      </w:pPr>
      <w:r>
        <w:rPr>
          <w:rFonts w:ascii="Book Antiqua" w:hAnsi="Book Antiqua" w:cs="Arial"/>
          <w:bCs/>
          <w:color w:val="000000"/>
          <w:sz w:val="24"/>
          <w:szCs w:val="24"/>
          <w:highlight w:val="white"/>
          <w:lang w:val="en-GB"/>
        </w:rPr>
        <w:t>LiMax is a real time breath test</w:t>
      </w:r>
      <w:r w:rsidR="00B05699">
        <w:rPr>
          <w:rFonts w:ascii="Book Antiqua" w:hAnsi="Book Antiqua" w:cs="Arial"/>
          <w:bCs/>
          <w:color w:val="000000"/>
          <w:sz w:val="24"/>
          <w:szCs w:val="24"/>
          <w:highlight w:val="white"/>
          <w:lang w:val="en-GB"/>
        </w:rPr>
        <w:t>:</w:t>
      </w:r>
      <w:r>
        <w:rPr>
          <w:rFonts w:ascii="Book Antiqua" w:hAnsi="Book Antiqua" w:cs="Arial"/>
          <w:bCs/>
          <w:color w:val="000000"/>
          <w:sz w:val="24"/>
          <w:szCs w:val="24"/>
          <w:highlight w:val="white"/>
          <w:lang w:val="en-GB"/>
        </w:rPr>
        <w:t xml:space="preserve"> </w:t>
      </w:r>
      <w:r>
        <w:rPr>
          <w:rFonts w:ascii="Book Antiqua" w:hAnsi="Book Antiqua" w:cs="Arial"/>
          <w:bCs/>
          <w:color w:val="000000"/>
          <w:sz w:val="24"/>
          <w:szCs w:val="24"/>
          <w:highlight w:val="white"/>
          <w:vertAlign w:val="superscript"/>
          <w:lang w:val="en-GB"/>
        </w:rPr>
        <w:t>13</w:t>
      </w:r>
      <w:r>
        <w:rPr>
          <w:rFonts w:ascii="Book Antiqua" w:hAnsi="Book Antiqua" w:cs="Arial"/>
          <w:bCs/>
          <w:color w:val="000000"/>
          <w:sz w:val="24"/>
          <w:szCs w:val="24"/>
          <w:highlight w:val="white"/>
          <w:lang w:val="en-GB"/>
        </w:rPr>
        <w:t xml:space="preserve">C methacetin is administered intravenously, selectively metabolised by cytochrome P450 1A2 (CYP1A2), an enzyme exclusively expressed by hepatocytes, and excreted by ventilation. Quantification of the </w:t>
      </w:r>
      <w:r>
        <w:rPr>
          <w:rFonts w:ascii="Book Antiqua" w:hAnsi="Book Antiqua" w:cs="Arial"/>
          <w:bCs/>
          <w:color w:val="000000"/>
          <w:sz w:val="24"/>
          <w:szCs w:val="24"/>
          <w:highlight w:val="white"/>
          <w:vertAlign w:val="superscript"/>
          <w:lang w:val="en-GB"/>
        </w:rPr>
        <w:t>13</w:t>
      </w:r>
      <w:r>
        <w:rPr>
          <w:rFonts w:ascii="Book Antiqua" w:hAnsi="Book Antiqua" w:cs="Arial"/>
          <w:bCs/>
          <w:color w:val="000000"/>
          <w:sz w:val="24"/>
          <w:szCs w:val="24"/>
          <w:highlight w:val="white"/>
          <w:lang w:val="en-GB"/>
        </w:rPr>
        <w:t>CO</w:t>
      </w:r>
      <w:r>
        <w:rPr>
          <w:rFonts w:ascii="Book Antiqua" w:hAnsi="Book Antiqua" w:cs="Arial"/>
          <w:bCs/>
          <w:color w:val="000000"/>
          <w:sz w:val="24"/>
          <w:szCs w:val="24"/>
          <w:highlight w:val="white"/>
          <w:vertAlign w:val="subscript"/>
          <w:lang w:val="en-GB"/>
        </w:rPr>
        <w:t>2</w:t>
      </w:r>
      <w:r>
        <w:rPr>
          <w:rFonts w:ascii="Book Antiqua" w:hAnsi="Book Antiqua" w:cs="Arial"/>
          <w:bCs/>
          <w:color w:val="000000"/>
          <w:sz w:val="24"/>
          <w:szCs w:val="24"/>
          <w:highlight w:val="white"/>
          <w:lang w:val="en-GB"/>
        </w:rPr>
        <w:t>/</w:t>
      </w:r>
      <w:r>
        <w:rPr>
          <w:rFonts w:ascii="Book Antiqua" w:hAnsi="Book Antiqua" w:cs="Arial"/>
          <w:bCs/>
          <w:color w:val="000000"/>
          <w:sz w:val="24"/>
          <w:szCs w:val="24"/>
          <w:highlight w:val="white"/>
          <w:vertAlign w:val="superscript"/>
          <w:lang w:val="en-GB"/>
        </w:rPr>
        <w:t>12</w:t>
      </w:r>
      <w:r>
        <w:rPr>
          <w:rFonts w:ascii="Book Antiqua" w:hAnsi="Book Antiqua" w:cs="Arial"/>
          <w:bCs/>
          <w:color w:val="000000"/>
          <w:sz w:val="24"/>
          <w:szCs w:val="24"/>
          <w:highlight w:val="white"/>
          <w:lang w:val="en-GB"/>
        </w:rPr>
        <w:t>CO</w:t>
      </w:r>
      <w:r>
        <w:rPr>
          <w:rFonts w:ascii="Book Antiqua" w:hAnsi="Book Antiqua" w:cs="Arial"/>
          <w:bCs/>
          <w:color w:val="000000"/>
          <w:sz w:val="24"/>
          <w:szCs w:val="24"/>
          <w:highlight w:val="white"/>
          <w:vertAlign w:val="subscript"/>
          <w:lang w:val="en-GB"/>
        </w:rPr>
        <w:t>2</w:t>
      </w:r>
      <w:r>
        <w:rPr>
          <w:rFonts w:ascii="Book Antiqua" w:hAnsi="Book Antiqua" w:cs="Arial"/>
          <w:bCs/>
          <w:color w:val="000000"/>
          <w:sz w:val="24"/>
          <w:szCs w:val="24"/>
          <w:highlight w:val="white"/>
          <w:lang w:val="en-GB"/>
        </w:rPr>
        <w:t xml:space="preserve"> ratio after at least 6 hours of fasting provides a specific estimation of enzyme kinetics. The systemic liberation of paracetamol is a reaction product. Healthy controls showed normal LiMax values &gt; 315 </w:t>
      </w:r>
      <w:r>
        <w:rPr>
          <w:rFonts w:ascii="Times New Roman" w:hAnsi="Times New Roman"/>
          <w:bCs/>
          <w:color w:val="000000"/>
          <w:sz w:val="24"/>
          <w:szCs w:val="24"/>
          <w:highlight w:val="white"/>
          <w:lang w:val="en-GB"/>
        </w:rPr>
        <w:t>μ</w:t>
      </w:r>
      <w:r>
        <w:rPr>
          <w:rFonts w:ascii="Book Antiqua" w:hAnsi="Book Antiqua" w:cs="Arial"/>
          <w:bCs/>
          <w:color w:val="000000"/>
          <w:sz w:val="24"/>
          <w:szCs w:val="24"/>
          <w:highlight w:val="white"/>
          <w:lang w:val="en-GB"/>
        </w:rPr>
        <w:t>g/kg</w:t>
      </w:r>
      <w:r w:rsidR="002B32C6">
        <w:rPr>
          <w:rFonts w:ascii="Book Antiqua" w:eastAsiaTheme="minorEastAsia" w:hAnsi="Book Antiqua" w:cs="Arial" w:hint="eastAsia"/>
          <w:bCs/>
          <w:color w:val="000000"/>
          <w:sz w:val="24"/>
          <w:szCs w:val="24"/>
          <w:highlight w:val="white"/>
          <w:lang w:val="en-GB" w:eastAsia="zh-CN"/>
        </w:rPr>
        <w:t xml:space="preserve"> per </w:t>
      </w:r>
      <w:r>
        <w:rPr>
          <w:rFonts w:ascii="Book Antiqua" w:hAnsi="Book Antiqua" w:cs="Arial"/>
          <w:bCs/>
          <w:color w:val="000000"/>
          <w:sz w:val="24"/>
          <w:szCs w:val="24"/>
          <w:highlight w:val="white"/>
          <w:lang w:val="en-GB"/>
        </w:rPr>
        <w:t>h</w:t>
      </w:r>
      <w:r w:rsidR="002B32C6">
        <w:rPr>
          <w:rFonts w:ascii="Book Antiqua" w:eastAsiaTheme="minorEastAsia" w:hAnsi="Book Antiqua" w:cs="Arial" w:hint="eastAsia"/>
          <w:bCs/>
          <w:color w:val="000000"/>
          <w:sz w:val="24"/>
          <w:szCs w:val="24"/>
          <w:lang w:val="en-GB" w:eastAsia="zh-CN"/>
        </w:rPr>
        <w:t>our</w:t>
      </w:r>
      <w:r w:rsidR="002B32C6">
        <w:rPr>
          <w:rFonts w:ascii="Book Antiqua" w:hAnsi="Book Antiqua" w:cs="Arial"/>
          <w:bCs/>
          <w:color w:val="000000"/>
          <w:sz w:val="24"/>
          <w:szCs w:val="24"/>
          <w:highlight w:val="white"/>
          <w:lang w:val="en-GB"/>
        </w:rPr>
        <w:fldChar w:fldCharType="begin" w:fldLock="1"/>
      </w:r>
      <w:r w:rsidR="002B32C6">
        <w:rPr>
          <w:rFonts w:ascii="Book Antiqua" w:hAnsi="Book Antiqua" w:cs="Arial"/>
          <w:bCs/>
          <w:color w:val="000000"/>
          <w:sz w:val="24"/>
          <w:szCs w:val="24"/>
          <w:highlight w:val="white"/>
          <w:lang w:val="en-GB"/>
        </w:rPr>
        <w:instrText>ADDIN CSL_CITATION { "citationItems" : [ { "id" : "ITEM-1", "itemData" : { "DOI" : "10.1097/SLA.0b013e3181ad85b5", "abstract" : "Objective: To validate the LiMAx test, a new bedside test for the determi-nation of maximal liver function capacity based on 13 C-methacetin kinetics. To investigate the diagnostic performance of different liver function tests and scores including the LiMAx test for the prediction of postoperative outcome after hepatectomy. Summary Background Data: Liver failure is a major cause of mortality after hepatectomy. Preoperative prediction of residual liver function has been limited so far. Methods: Sixty-four patients undergoing hepatectomy were analyzed in a prospective observational study. Volumetric analysis of the liver was carried out using preoperative computed tomography and intraoperative measure-ments. Perioperative factors associated with morbidity and mortality were analyzed. Cutoff values of the LiMAx test were evaluated by receiver operating characteristic. Results: Residual LiMAx demonstrated an excellent linear correlation with residual liver volume (r \u03ed 0.94, P \u03fd 0.001) after hepatectomy. The multivariate analysis revealed LiMAx on postoperative day 1 as the only predictor of liver failure (P \u03ed 0.003) and mortality (P \u03ed 0.004). AUROC for the prediction of liver failure and liver failure related death by the LiMAx test was both 0.99. Preoperative volume/function analysis combining CT volumetry and LiMAx allowed an accurate calculation of the remnant liver function capacity prior to surgery (r \u03ed 0.85, P \u03fd 0.001). Conclusions: Residual liver function is the major factor influencing the outcome of patients after hepatectomy and can be predicted preoperatively by a combination of LiMAx and CT volumetry.", "author" : [ { "dropping-particle" : "", "family" : "Stockmann", "given" : "Martin", "non-dropping-particle" : "", "parse-names" : false, "suffix" : "" }, { "dropping-particle" : "", "family" : "Lock", "given" : "Johan F", "non-dropping-particle" : "", "parse-names" : false, "suffix" : "" }, { "dropping-particle" : "", "family" : "Riecke", "given" : "Bj\u00f6rn", "non-dropping-particle" : "", "parse-names" : false, "suffix" : "" }, { "dropping-particle" : "", "family" : "Heyne", "given" : "Karsten", "non-dropping-particle" : "", "parse-names" : false, "suffix" : "" }, { "dropping-particle" : "", "family" : "Martus", "given" : "Peter", "non-dropping-particle" : "", "parse-names" : false, "suffix" : "" }, { "dropping-particle" : "", "family" : "Fricke", "given" : "Michael", "non-dropping-particle" : "", "parse-names" : false, "suffix" : "" }, { "dropping-particle" : "", "family" : "Lehmann", "given" : "Sina", "non-dropping-particle" : "", "parse-names" : false, "suffix" : "" }, { "dropping-particle" : "", "family" : "Niehues", "given" : "Stefan M", "non-dropping-particle" : "", "parse-names" : false, "suffix" : "" }, { "dropping-particle" : "", "family" : "Schwabe", "given" : "Michael", "non-dropping-particle" : "", "parse-names" : false, "suffix" : "" }, { "dropping-particle" : "", "family" : "Lemke", "given" : "Arne-J\u00f6rn", "non-dropping-particle" : "", "parse-names" : false, "suffix" : "" }, { "dropping-particle" : "", "family" : "Neuhaus", "given" : "Peter", "non-dropping-particle" : "", "parse-names" : false, "suffix" : "" } ], "container-title" : "Ann Surg", "id" : "ITEM-1", "issued" : { "date-parts" : [ [ "2009" ] ] }, "page" : "119-125", "title" : "Prediction of Postoperative Outcome After Hepatectomy With a New Bedside Test for Maximal Liver Function Capacity", "type" : "article-journal", "volume" : "250" }, "uris" : [ "http://www.mendeley.com/documents/?uuid=c78d0907-3101-35ba-960b-0aac5d00c1a8" ] } ], "mendeley" : { "formattedCitation" : "&lt;sup&gt;[55]&lt;/sup&gt;", "plainTextFormattedCitation" : "[55]", "previouslyFormattedCitation" : "&lt;sup&gt;[55]&lt;/sup&gt;" }, "properties" : { "noteIndex" : 0 }, "schema" : "https://github.com/citation-style-language/schema/raw/master/csl-citation.json" }</w:instrText>
      </w:r>
      <w:r w:rsidR="002B32C6">
        <w:rPr>
          <w:rFonts w:ascii="Book Antiqua" w:hAnsi="Book Antiqua" w:cs="Arial"/>
          <w:bCs/>
          <w:color w:val="000000"/>
          <w:sz w:val="24"/>
          <w:szCs w:val="24"/>
          <w:highlight w:val="white"/>
          <w:lang w:val="en-GB"/>
        </w:rPr>
        <w:fldChar w:fldCharType="separate"/>
      </w:r>
      <w:r w:rsidR="002B32C6" w:rsidRPr="005F5C48">
        <w:rPr>
          <w:rFonts w:ascii="Book Antiqua" w:hAnsi="Book Antiqua" w:cs="Arial"/>
          <w:bCs/>
          <w:noProof/>
          <w:color w:val="000000"/>
          <w:sz w:val="24"/>
          <w:szCs w:val="24"/>
          <w:highlight w:val="white"/>
          <w:vertAlign w:val="superscript"/>
          <w:lang w:val="en-GB"/>
        </w:rPr>
        <w:t>[55]</w:t>
      </w:r>
      <w:r w:rsidR="002B32C6">
        <w:rPr>
          <w:rFonts w:ascii="Book Antiqua" w:hAnsi="Book Antiqua" w:cs="Arial"/>
          <w:bCs/>
          <w:color w:val="000000"/>
          <w:sz w:val="24"/>
          <w:szCs w:val="24"/>
          <w:highlight w:val="white"/>
          <w:lang w:val="en-GB"/>
        </w:rPr>
        <w:fldChar w:fldCharType="end"/>
      </w:r>
      <w:r w:rsidR="00577E50">
        <w:rPr>
          <w:rFonts w:ascii="Book Antiqua" w:hAnsi="Book Antiqua" w:cs="Arial"/>
          <w:bCs/>
          <w:color w:val="000000"/>
          <w:sz w:val="24"/>
          <w:szCs w:val="24"/>
          <w:lang w:val="en-GB"/>
        </w:rPr>
        <w:t>.</w:t>
      </w:r>
      <w:r w:rsidR="002B32C6">
        <w:rPr>
          <w:lang w:val="en-GB"/>
        </w:rPr>
        <w:t xml:space="preserve"> </w:t>
      </w:r>
    </w:p>
    <w:p w14:paraId="64CC96A9" w14:textId="17910471" w:rsidR="006D2F86" w:rsidRDefault="006D2F86" w:rsidP="00422EBA">
      <w:pPr>
        <w:adjustRightInd w:val="0"/>
        <w:snapToGrid w:val="0"/>
        <w:spacing w:after="0" w:line="360" w:lineRule="auto"/>
        <w:jc w:val="both"/>
        <w:rPr>
          <w:lang w:val="en-GB"/>
        </w:rPr>
      </w:pPr>
      <w:r>
        <w:rPr>
          <w:rFonts w:ascii="Book Antiqua" w:hAnsi="Book Antiqua" w:cs="Arial"/>
          <w:bCs/>
          <w:color w:val="000000"/>
          <w:sz w:val="24"/>
          <w:szCs w:val="24"/>
          <w:highlight w:val="white"/>
          <w:lang w:val="en-GB"/>
        </w:rPr>
        <w:t xml:space="preserve">LiMax test was first </w:t>
      </w:r>
      <w:r w:rsidR="00B05699">
        <w:rPr>
          <w:rFonts w:ascii="Book Antiqua" w:hAnsi="Book Antiqua" w:cs="Arial"/>
          <w:bCs/>
          <w:color w:val="000000"/>
          <w:sz w:val="24"/>
          <w:szCs w:val="24"/>
          <w:highlight w:val="white"/>
          <w:lang w:val="en-GB"/>
        </w:rPr>
        <w:t xml:space="preserve">tested </w:t>
      </w:r>
      <w:r>
        <w:rPr>
          <w:rFonts w:ascii="Book Antiqua" w:hAnsi="Book Antiqua" w:cs="Arial"/>
          <w:bCs/>
          <w:color w:val="000000"/>
          <w:sz w:val="24"/>
          <w:szCs w:val="24"/>
          <w:highlight w:val="white"/>
          <w:lang w:val="en-GB"/>
        </w:rPr>
        <w:t xml:space="preserve">in hepatic surgery. </w:t>
      </w:r>
      <w:r w:rsidR="008343B6">
        <w:rPr>
          <w:rFonts w:ascii="Book Antiqua" w:hAnsi="Book Antiqua" w:cs="Arial"/>
          <w:bCs/>
          <w:color w:val="000000"/>
          <w:sz w:val="24"/>
          <w:szCs w:val="24"/>
          <w:highlight w:val="white"/>
          <w:lang w:val="en-GB"/>
        </w:rPr>
        <w:t>The extremely encouraging results</w:t>
      </w:r>
      <w:r w:rsidR="007D7ACC">
        <w:rPr>
          <w:rFonts w:ascii="Book Antiqua" w:hAnsi="Book Antiqua" w:cs="Arial"/>
          <w:bCs/>
          <w:color w:val="000000"/>
          <w:sz w:val="24"/>
          <w:szCs w:val="24"/>
          <w:highlight w:val="white"/>
          <w:lang w:val="en-GB"/>
        </w:rPr>
        <w:fldChar w:fldCharType="begin" w:fldLock="1"/>
      </w:r>
      <w:r w:rsidR="005F5C48">
        <w:rPr>
          <w:rFonts w:ascii="Book Antiqua" w:hAnsi="Book Antiqua" w:cs="Arial"/>
          <w:bCs/>
          <w:color w:val="000000"/>
          <w:sz w:val="24"/>
          <w:szCs w:val="24"/>
          <w:highlight w:val="white"/>
          <w:lang w:val="en-GB"/>
        </w:rPr>
        <w:instrText>ADDIN CSL_CITATION { "citationItems" : [ { "id" : "ITEM-1", "itemData" : { "DOI" : "10.1097/SLA.0b013e3181ad85b5", "abstract" : "Objective: To validate the LiMAx test, a new bedside test for the determi-nation of maximal liver function capacity based on 13 C-methacetin kinetics. To investigate the diagnostic performance of different liver function tests and scores including the LiMAx test for the prediction of postoperative outcome after hepatectomy. Summary Background Data: Liver failure is a major cause of mortality after hepatectomy. Preoperative prediction of residual liver function has been limited so far. Methods: Sixty-four patients undergoing hepatectomy were analyzed in a prospective observational study. Volumetric analysis of the liver was carried out using preoperative computed tomography and intraoperative measure-ments. Perioperative factors associated with morbidity and mortality were analyzed. Cutoff values of the LiMAx test were evaluated by receiver operating characteristic. Results: Residual LiMAx demonstrated an excellent linear correlation with residual liver volume (r \u03ed 0.94, P \u03fd 0.001) after hepatectomy. The multivariate analysis revealed LiMAx on postoperative day 1 as the only predictor of liver failure (P \u03ed 0.003) and mortality (P \u03ed 0.004). AUROC for the prediction of liver failure and liver failure related death by the LiMAx test was both 0.99. Preoperative volume/function analysis combining CT volumetry and LiMAx allowed an accurate calculation of the remnant liver function capacity prior to surgery (r \u03ed 0.85, P \u03fd 0.001). Conclusions: Residual liver function is the major factor influencing the outcome of patients after hepatectomy and can be predicted preoperatively by a combination of LiMAx and CT volumetry.", "author" : [ { "dropping-particle" : "", "family" : "Stockmann", "given" : "Martin", "non-dropping-particle" : "", "parse-names" : false, "suffix" : "" }, { "dropping-particle" : "", "family" : "Lock", "given" : "Johan F", "non-dropping-particle" : "", "parse-names" : false, "suffix" : "" }, { "dropping-particle" : "", "family" : "Riecke", "given" : "Bj\u00f6rn", "non-dropping-particle" : "", "parse-names" : false, "suffix" : "" }, { "dropping-particle" : "", "family" : "Heyne", "given" : "Karsten", "non-dropping-particle" : "", "parse-names" : false, "suffix" : "" }, { "dropping-particle" : "", "family" : "Martus", "given" : "Peter", "non-dropping-particle" : "", "parse-names" : false, "suffix" : "" }, { "dropping-particle" : "", "family" : "Fricke", "given" : "Michael", "non-dropping-particle" : "", "parse-names" : false, "suffix" : "" }, { "dropping-particle" : "", "family" : "Lehmann", "given" : "Sina", "non-dropping-particle" : "", "parse-names" : false, "suffix" : "" }, { "dropping-particle" : "", "family" : "Niehues", "given" : "Stefan M", "non-dropping-particle" : "", "parse-names" : false, "suffix" : "" }, { "dropping-particle" : "", "family" : "Schwabe", "given" : "Michael", "non-dropping-particle" : "", "parse-names" : false, "suffix" : "" }, { "dropping-particle" : "", "family" : "Lemke", "given" : "Arne-J\u00f6rn", "non-dropping-particle" : "", "parse-names" : false, "suffix" : "" }, { "dropping-particle" : "", "family" : "Neuhaus", "given" : "Peter", "non-dropping-particle" : "", "parse-names" : false, "suffix" : "" } ], "container-title" : "Ann Surg", "id" : "ITEM-1", "issued" : { "date-parts" : [ [ "2009" ] ] }, "page" : "119-125", "title" : "Prediction of Postoperative Outcome After Hepatectomy With a New Bedside Test for Maximal Liver Function Capacity", "type" : "article-journal", "volume" : "250" }, "uris" : [ "http://www.mendeley.com/documents/?uuid=c78d0907-3101-35ba-960b-0aac5d00c1a8" ] } ], "mendeley" : { "formattedCitation" : "&lt;sup&gt;[55]&lt;/sup&gt;", "plainTextFormattedCitation" : "[55]", "previouslyFormattedCitation" : "&lt;sup&gt;[55]&lt;/sup&gt;" }, "properties" : { "noteIndex" : 0 }, "schema" : "https://github.com/citation-style-language/schema/raw/master/csl-citation.json" }</w:instrText>
      </w:r>
      <w:r w:rsidR="007D7ACC">
        <w:rPr>
          <w:rFonts w:ascii="Book Antiqua" w:hAnsi="Book Antiqua" w:cs="Arial"/>
          <w:bCs/>
          <w:color w:val="000000"/>
          <w:sz w:val="24"/>
          <w:szCs w:val="24"/>
          <w:highlight w:val="white"/>
          <w:lang w:val="en-GB"/>
        </w:rPr>
        <w:fldChar w:fldCharType="separate"/>
      </w:r>
      <w:r w:rsidR="005F5C48" w:rsidRPr="005F5C48">
        <w:rPr>
          <w:rFonts w:ascii="Book Antiqua" w:hAnsi="Book Antiqua" w:cs="Arial"/>
          <w:bCs/>
          <w:noProof/>
          <w:color w:val="000000"/>
          <w:sz w:val="24"/>
          <w:szCs w:val="24"/>
          <w:highlight w:val="white"/>
          <w:vertAlign w:val="superscript"/>
          <w:lang w:val="en-GB"/>
        </w:rPr>
        <w:t>[55]</w:t>
      </w:r>
      <w:r w:rsidR="007D7ACC">
        <w:rPr>
          <w:rFonts w:ascii="Book Antiqua" w:hAnsi="Book Antiqua" w:cs="Arial"/>
          <w:bCs/>
          <w:color w:val="000000"/>
          <w:sz w:val="24"/>
          <w:szCs w:val="24"/>
          <w:highlight w:val="white"/>
          <w:lang w:val="en-GB"/>
        </w:rPr>
        <w:fldChar w:fldCharType="end"/>
      </w:r>
      <w:r w:rsidR="008343B6">
        <w:rPr>
          <w:rFonts w:ascii="Book Antiqua" w:hAnsi="Book Antiqua" w:cs="Arial"/>
          <w:bCs/>
          <w:color w:val="000000"/>
          <w:sz w:val="24"/>
          <w:szCs w:val="24"/>
          <w:highlight w:val="white"/>
          <w:lang w:val="en-GB"/>
        </w:rPr>
        <w:t xml:space="preserve"> allowed the development of </w:t>
      </w:r>
      <w:r>
        <w:rPr>
          <w:rFonts w:ascii="Book Antiqua" w:hAnsi="Book Antiqua" w:cs="Arial"/>
          <w:bCs/>
          <w:color w:val="000000"/>
          <w:sz w:val="24"/>
          <w:szCs w:val="24"/>
          <w:highlight w:val="white"/>
          <w:lang w:val="en-GB"/>
        </w:rPr>
        <w:t>single-patient decision algorithms</w:t>
      </w:r>
      <w:r w:rsidR="002B32C6">
        <w:rPr>
          <w:rFonts w:ascii="Book Antiqua" w:hAnsi="Book Antiqua" w:cs="Arial"/>
          <w:bCs/>
          <w:color w:val="000000"/>
          <w:sz w:val="24"/>
          <w:szCs w:val="24"/>
          <w:highlight w:val="white"/>
          <w:lang w:val="en-GB"/>
        </w:rPr>
        <w:fldChar w:fldCharType="begin" w:fldLock="1"/>
      </w:r>
      <w:r w:rsidR="002B32C6">
        <w:rPr>
          <w:rFonts w:ascii="Book Antiqua" w:hAnsi="Book Antiqua" w:cs="Arial"/>
          <w:bCs/>
          <w:color w:val="000000"/>
          <w:sz w:val="24"/>
          <w:szCs w:val="24"/>
          <w:highlight w:val="white"/>
          <w:lang w:val="en-GB"/>
        </w:rPr>
        <w:instrText>ADDIN CSL_CITATION { "citationItems" : [ { "id" : "ITEM-1", "itemData" : { "DOI" : "10.1111/hpb.12424", "ISSN" : "1477-2574", "PMID" : "26058324", "abstract" : "OBJECTIVES: Post-hepatectomy liver failure has a major impact on patient outcome. This study aims to explore the impact of the integration of a novel patient-centred evaluation, the LiMAx algorithm, on perioperative patient outcome after hepatectomy.\n\nMETHODS: Trends in perioperative variables and morbidity and mortality rates in 1170 consecutive patients undergoing elective hepatectomy between January 2006 and December 2011 were analysed retrospectively. Propensity score matching was used to compare the effects on morbidity and mortality of the integration of the LiMAx algorithm into clinical practice.\n\nRESULTS: Over the study period, the proportion of complex hepatectomies increased from 29.1% in 2006 to 37.7% in 2011 (P = 0.034). Similarly, the proportion of patients with liver cirrhosis selected for hepatic surgery rose from 6.9% in 2006 to 11.3% in 2011 (P = 0.039). Despite these increases, rates of post-hepatectomy liver failure fell from 24.7% in 2006 to 9.0% in 2011 (P &lt; 0.001) and liver failure-related postoperative mortality decreased from 4.0% in 2006 to 0.9% in 2011 (P = 0.014). Propensity score matching was associated with reduced rates of post-hepatectomy liver failure [24.7% (n = 77) versus 11.2% (n = 35); P &lt; 0.001] and related mortality [3.8% (n = 12) versus 1.0% (n = 3); P = 0.035].\n\nCONCLUSIONS: Postoperative liver failure and postoperative liver failure-related mortality decreased in patients undergoing hepatectomy following the implementation of the LiMAx algorithm.", "author" : [ { "dropping-particle" : "", "family" : "Jara", "given" : "Maximilian", "non-dropping-particle" : "", "parse-names" : false, "suffix" : "" }, { "dropping-particle" : "", "family" : "Reese", "given" : "Tim", "non-dropping-particle" : "", "parse-names" : false, "suffix" : "" }, { "dropping-particle" : "", "family" : "Malinowski", "given" : "Maciej", "non-dropping-particle" : "", "parse-names" : false, "suffix" : "" }, { "dropping-particle" : "", "family" : "Valle", "given" : "Erika", "non-dropping-particle" : "", "parse-names" : false, "suffix" : "" }, { "dropping-particle" : "", "family" : "Seehofer", "given" : "Daniel", "non-dropping-particle" : "", "parse-names" : false, "suffix" : "" }, { "dropping-particle" : "", "family" : "Puhl", "given" : "Gero", "non-dropping-particle" : "", "parse-names" : false, "suffix" : "" }, { "dropping-particle" : "", "family" : "Neuhaus", "given" : "Peter", "non-dropping-particle" : "", "parse-names" : false, "suffix" : "" }, { "dropping-particle" : "", "family" : "Pratschke", "given" : "Johann", "non-dropping-particle" : "", "parse-names" : false, "suffix" : "" }, { "dropping-particle" : "", "family" : "Stockmann", "given" : "Martin", "non-dropping-particle" : "", "parse-names" : false, "suffix" : "" } ], "container-title" : "HPB : the official journal of the International Hepato Pancreato Biliary Association", "id" : "ITEM-1", "issue" : "7", "issued" : { "date-parts" : [ [ "2015", "7" ] ] }, "page" : "651-8", "title" : "Reductions in post-hepatectomy liver failure and related mortality after implementation of the LiMAx algorithm in preoperative work-up: a single-centre analysis of 1170 hepatectomies of one or more segments.", "type" : "article-journal", "volume" : "17" }, "uris" : [ "http://www.mendeley.com/documents/?uuid=21f02d03-81a8-4c4e-b9e5-d3ba0966da0e" ] } ], "mendeley" : { "formattedCitation" : "&lt;sup&gt;[56]&lt;/sup&gt;", "plainTextFormattedCitation" : "[56]", "previouslyFormattedCitation" : "&lt;sup&gt;[56]&lt;/sup&gt;" }, "properties" : { "noteIndex" : 0 }, "schema" : "https://github.com/citation-style-language/schema/raw/master/csl-citation.json" }</w:instrText>
      </w:r>
      <w:r w:rsidR="002B32C6">
        <w:rPr>
          <w:rFonts w:ascii="Book Antiqua" w:hAnsi="Book Antiqua" w:cs="Arial"/>
          <w:bCs/>
          <w:color w:val="000000"/>
          <w:sz w:val="24"/>
          <w:szCs w:val="24"/>
          <w:highlight w:val="white"/>
          <w:lang w:val="en-GB"/>
        </w:rPr>
        <w:fldChar w:fldCharType="separate"/>
      </w:r>
      <w:r w:rsidR="002B32C6" w:rsidRPr="005F5C48">
        <w:rPr>
          <w:rFonts w:ascii="Book Antiqua" w:hAnsi="Book Antiqua" w:cs="Arial"/>
          <w:bCs/>
          <w:noProof/>
          <w:color w:val="000000"/>
          <w:sz w:val="24"/>
          <w:szCs w:val="24"/>
          <w:highlight w:val="white"/>
          <w:vertAlign w:val="superscript"/>
          <w:lang w:val="en-GB"/>
        </w:rPr>
        <w:t>[56]</w:t>
      </w:r>
      <w:r w:rsidR="002B32C6">
        <w:rPr>
          <w:rFonts w:ascii="Book Antiqua" w:hAnsi="Book Antiqua" w:cs="Arial"/>
          <w:bCs/>
          <w:color w:val="000000"/>
          <w:sz w:val="24"/>
          <w:szCs w:val="24"/>
          <w:highlight w:val="white"/>
          <w:lang w:val="en-GB"/>
        </w:rPr>
        <w:fldChar w:fldCharType="end"/>
      </w:r>
      <w:r w:rsidR="00577E50">
        <w:rPr>
          <w:rFonts w:ascii="Book Antiqua" w:hAnsi="Book Antiqua" w:cs="Arial"/>
          <w:bCs/>
          <w:color w:val="000000"/>
          <w:sz w:val="24"/>
          <w:szCs w:val="24"/>
          <w:highlight w:val="white"/>
          <w:lang w:val="en-GB"/>
        </w:rPr>
        <w:t xml:space="preserve">. </w:t>
      </w:r>
      <w:r>
        <w:rPr>
          <w:rFonts w:ascii="Book Antiqua" w:hAnsi="Book Antiqua" w:cs="Arial"/>
          <w:bCs/>
          <w:color w:val="000000"/>
          <w:sz w:val="24"/>
          <w:szCs w:val="24"/>
          <w:highlight w:val="white"/>
          <w:lang w:val="en-GB"/>
        </w:rPr>
        <w:t>Non-critical but infra-normal LiMax test levels correlated with post-surgical complications, highlighting their relevance in patient monitoring during the postoperative ICU stay</w:t>
      </w:r>
      <w:r w:rsidR="002B32C6">
        <w:rPr>
          <w:rFonts w:ascii="Book Antiqua" w:hAnsi="Book Antiqua" w:cs="Arial"/>
          <w:bCs/>
          <w:color w:val="000000"/>
          <w:sz w:val="24"/>
          <w:szCs w:val="24"/>
          <w:highlight w:val="white"/>
          <w:lang w:val="en-GB"/>
        </w:rPr>
        <w:fldChar w:fldCharType="begin" w:fldLock="1"/>
      </w:r>
      <w:r w:rsidR="002B32C6">
        <w:rPr>
          <w:rFonts w:ascii="Book Antiqua" w:hAnsi="Book Antiqua" w:cs="Arial"/>
          <w:bCs/>
          <w:color w:val="000000"/>
          <w:sz w:val="24"/>
          <w:szCs w:val="24"/>
          <w:highlight w:val="white"/>
          <w:lang w:val="en-GB"/>
        </w:rPr>
        <w:instrText>ADDIN CSL_CITATION { "citationItems" : [ { "id" : "ITEM-1", "itemData" : { "DOI" : "10.1111/j.1477-2574.2009.00151.x", "abstract" : "BACKGROUND:\r\nLiver failure has remained a major cause of mortality after hepatectomy, but it is difficult to predict preoperatively. This study describes the introduction into clinical practice of the new LiMAx test and provides an algorithm for its use in the clinical management of hepatic tumours.\r\nMETHODS:\r\nPatients with hepatic tumours and indications for hepatectomy were investigated perioperatively with the LiMAx test. In one patient, analysis of liver volume was carried out with preoperative three-dimensional virtual resection.\r\nRESULTS:\r\nA total of 329 patients with hepatic tumours were evaluated for hepatectomy. Blinded preoperative LiMAx values were significantly higher before resection (n= 139; mean 351 microg/kg/h, range 285-451 microg/kg/h) than before refusal (n= 29; mean 299 microg/kg/h, range 223-376 microg/kg/h; P= 0.009). In-hospital mortality rates were 38.1% (8/21 patients), 10.5% (2/19 patients) and 1.0% (1/99 patients) for postoperative LiMAx of &lt;80 microg/kg/h, 80-100 microg/kg/h and &gt;100 microg/kg/h, respectively (P &lt; 0.0001). A decision tree was developed to avoid critical values and its prospective preoperative application revealed a reduction in mortality from 9.4% to 3.4% (P= 0.019).\r\nDISCUSSION:\r\nThe LiMAx test can validly determine liver function capacity and is feasible in every clinical situation. Combination with virtual resection could enable the calculation of residual liver function. The LiMAx decision tree algorithm for hepatectomy might significantly improve preoperative evaluation and postoperative outcome in liver surgery.", "author" : [ { "dropping-particle" : "", "family" : "Stockmann", "given" : "Martin", "non-dropping-particle" : "", "parse-names" : false, "suffix" : "" }, { "dropping-particle" : "", "family" : "Lock", "given" : "Johan F", "non-dropping-particle" : "", "parse-names" : false, "suffix" : "" }, { "dropping-particle" : "", "family" : "Malinowski", "given" : "Maciej", "non-dropping-particle" : "", "parse-names" : false, "suffix" : "" }, { "dropping-particle" : "", "family" : "Niehues", "given" : "Stefan M", "non-dropping-particle" : "", "parse-names" : false, "suffix" : "" }, { "dropping-particle" : "", "family" : "Seehofer", "given" : "Daniel", "non-dropping-particle" : "", "parse-names" : false, "suffix" : "" }, { "dropping-particle" : "", "family" : "Neuhaus", "given" : "Peter", "non-dropping-particle" : "", "parse-names" : false, "suffix" : "" } ], "container-title" : "HPB (Oxford)", "id" : "ITEM-1", "issued" : { "date-parts" : [ [ "2010" ] ] }, "title" : "The LiMAx test: a new liver function test for predicting postoperative outcome in liver surgery", "type" : "article-journal" }, "uris" : [ "http://www.mendeley.com/documents/?uuid=c79247f6-38f3-30b1-8bc0-f5de9033a9e0" ] } ], "mendeley" : { "formattedCitation" : "&lt;sup&gt;[57]&lt;/sup&gt;", "plainTextFormattedCitation" : "[57]", "previouslyFormattedCitation" : "&lt;sup&gt;[57]&lt;/sup&gt;" }, "properties" : { "noteIndex" : 0 }, "schema" : "https://github.com/citation-style-language/schema/raw/master/csl-citation.json" }</w:instrText>
      </w:r>
      <w:r w:rsidR="002B32C6">
        <w:rPr>
          <w:rFonts w:ascii="Book Antiqua" w:hAnsi="Book Antiqua" w:cs="Arial"/>
          <w:bCs/>
          <w:color w:val="000000"/>
          <w:sz w:val="24"/>
          <w:szCs w:val="24"/>
          <w:highlight w:val="white"/>
          <w:lang w:val="en-GB"/>
        </w:rPr>
        <w:fldChar w:fldCharType="separate"/>
      </w:r>
      <w:r w:rsidR="002B32C6" w:rsidRPr="005F5C48">
        <w:rPr>
          <w:rFonts w:ascii="Book Antiqua" w:hAnsi="Book Antiqua" w:cs="Arial"/>
          <w:bCs/>
          <w:noProof/>
          <w:color w:val="000000"/>
          <w:sz w:val="24"/>
          <w:szCs w:val="24"/>
          <w:highlight w:val="white"/>
          <w:vertAlign w:val="superscript"/>
          <w:lang w:val="en-GB"/>
        </w:rPr>
        <w:t>[57]</w:t>
      </w:r>
      <w:r w:rsidR="002B32C6">
        <w:rPr>
          <w:rFonts w:ascii="Book Antiqua" w:hAnsi="Book Antiqua" w:cs="Arial"/>
          <w:bCs/>
          <w:color w:val="000000"/>
          <w:sz w:val="24"/>
          <w:szCs w:val="24"/>
          <w:highlight w:val="white"/>
          <w:lang w:val="en-GB"/>
        </w:rPr>
        <w:fldChar w:fldCharType="end"/>
      </w:r>
      <w:r w:rsidR="00577E50">
        <w:rPr>
          <w:rFonts w:ascii="Book Antiqua" w:hAnsi="Book Antiqua" w:cs="Arial"/>
          <w:bCs/>
          <w:color w:val="000000"/>
          <w:sz w:val="24"/>
          <w:szCs w:val="24"/>
          <w:highlight w:val="white"/>
          <w:lang w:val="en-GB"/>
        </w:rPr>
        <w:t xml:space="preserve">. </w:t>
      </w:r>
      <w:r>
        <w:rPr>
          <w:rFonts w:ascii="Book Antiqua" w:hAnsi="Book Antiqua" w:cs="Arial"/>
          <w:bCs/>
          <w:color w:val="000000"/>
          <w:sz w:val="24"/>
          <w:szCs w:val="24"/>
          <w:highlight w:val="white"/>
          <w:lang w:val="en-GB"/>
        </w:rPr>
        <w:t>From these initial studies, the field of investigation moved towards LT.</w:t>
      </w:r>
    </w:p>
    <w:p w14:paraId="17BCBBA5" w14:textId="7AEF3BAA" w:rsidR="006D2F86" w:rsidRDefault="007970DD" w:rsidP="00422EBA">
      <w:pPr>
        <w:adjustRightInd w:val="0"/>
        <w:snapToGrid w:val="0"/>
        <w:spacing w:after="0" w:line="360" w:lineRule="auto"/>
        <w:ind w:firstLineChars="200" w:firstLine="480"/>
        <w:jc w:val="both"/>
        <w:rPr>
          <w:lang w:val="en-GB"/>
        </w:rPr>
      </w:pPr>
      <w:r>
        <w:rPr>
          <w:rFonts w:ascii="Book Antiqua" w:hAnsi="Book Antiqua" w:cs="Arial"/>
          <w:bCs/>
          <w:color w:val="000000"/>
          <w:sz w:val="24"/>
          <w:szCs w:val="24"/>
          <w:lang w:val="en-GB"/>
        </w:rPr>
        <w:t>N</w:t>
      </w:r>
      <w:r w:rsidRPr="007970DD">
        <w:rPr>
          <w:rFonts w:ascii="Book Antiqua" w:hAnsi="Book Antiqua" w:cs="Arial"/>
          <w:bCs/>
          <w:color w:val="000000"/>
          <w:sz w:val="24"/>
          <w:szCs w:val="24"/>
          <w:lang w:val="en-GB"/>
        </w:rPr>
        <w:t>inety-nine</w:t>
      </w:r>
      <w:r>
        <w:rPr>
          <w:rFonts w:ascii="Book Antiqua" w:hAnsi="Book Antiqua" w:cs="Arial"/>
          <w:bCs/>
          <w:color w:val="000000"/>
          <w:sz w:val="24"/>
          <w:szCs w:val="24"/>
          <w:lang w:val="en-GB"/>
        </w:rPr>
        <w:t xml:space="preserve"> </w:t>
      </w:r>
      <w:r w:rsidR="006D2F86">
        <w:rPr>
          <w:rFonts w:ascii="Book Antiqua" w:hAnsi="Book Antiqua" w:cs="Arial"/>
          <w:bCs/>
          <w:color w:val="000000"/>
          <w:sz w:val="24"/>
          <w:szCs w:val="24"/>
          <w:highlight w:val="white"/>
          <w:lang w:val="en-GB"/>
        </w:rPr>
        <w:t xml:space="preserve">LT patients were studied, and non-EAD patients showed significantly higher LiMax within 6 h after LT than EAD patients. The best discriminating cut-off point was 64 </w:t>
      </w:r>
      <w:r w:rsidR="006D2F86">
        <w:rPr>
          <w:rFonts w:ascii="Times New Roman" w:hAnsi="Times New Roman"/>
          <w:bCs/>
          <w:color w:val="000000"/>
          <w:sz w:val="24"/>
          <w:szCs w:val="24"/>
          <w:highlight w:val="white"/>
          <w:lang w:val="en-GB"/>
        </w:rPr>
        <w:t>μ</w:t>
      </w:r>
      <w:r w:rsidR="006D2F86">
        <w:rPr>
          <w:rFonts w:ascii="Book Antiqua" w:hAnsi="Book Antiqua" w:cs="Arial"/>
          <w:bCs/>
          <w:color w:val="000000"/>
          <w:sz w:val="24"/>
          <w:szCs w:val="24"/>
          <w:highlight w:val="white"/>
          <w:lang w:val="en-GB"/>
        </w:rPr>
        <w:t>g/kg</w:t>
      </w:r>
      <w:r w:rsidR="002B32C6">
        <w:rPr>
          <w:rFonts w:ascii="Book Antiqua" w:eastAsiaTheme="minorEastAsia" w:hAnsi="Book Antiqua" w:cs="Arial" w:hint="eastAsia"/>
          <w:bCs/>
          <w:color w:val="000000"/>
          <w:sz w:val="24"/>
          <w:szCs w:val="24"/>
          <w:highlight w:val="white"/>
          <w:lang w:val="en-GB" w:eastAsia="zh-CN"/>
        </w:rPr>
        <w:t xml:space="preserve"> per </w:t>
      </w:r>
      <w:r w:rsidR="006D2F86">
        <w:rPr>
          <w:rFonts w:ascii="Book Antiqua" w:hAnsi="Book Antiqua" w:cs="Arial"/>
          <w:bCs/>
          <w:color w:val="000000"/>
          <w:sz w:val="24"/>
          <w:szCs w:val="24"/>
          <w:highlight w:val="white"/>
          <w:lang w:val="en-GB"/>
        </w:rPr>
        <w:t>h</w:t>
      </w:r>
      <w:r w:rsidR="002B32C6">
        <w:rPr>
          <w:rFonts w:ascii="Book Antiqua" w:eastAsiaTheme="minorEastAsia" w:hAnsi="Book Antiqua" w:cs="Arial" w:hint="eastAsia"/>
          <w:bCs/>
          <w:color w:val="000000"/>
          <w:sz w:val="24"/>
          <w:szCs w:val="24"/>
          <w:highlight w:val="white"/>
          <w:lang w:val="en-GB" w:eastAsia="zh-CN"/>
        </w:rPr>
        <w:t>our</w:t>
      </w:r>
      <w:r w:rsidR="006D2F86">
        <w:rPr>
          <w:rFonts w:ascii="Book Antiqua" w:hAnsi="Book Antiqua" w:cs="Arial"/>
          <w:bCs/>
          <w:color w:val="000000"/>
          <w:sz w:val="24"/>
          <w:szCs w:val="24"/>
          <w:highlight w:val="white"/>
          <w:lang w:val="en-GB"/>
        </w:rPr>
        <w:t xml:space="preserve">. False positive patients with late LiMax recovery on POD2-3 showed increased ICU-LOS and hemodialysis, justifying special attention from ICU </w:t>
      </w:r>
      <w:r w:rsidR="006D2F86">
        <w:rPr>
          <w:rFonts w:ascii="Book Antiqua" w:hAnsi="Book Antiqua" w:cs="Arial"/>
          <w:bCs/>
          <w:color w:val="000000"/>
          <w:sz w:val="24"/>
          <w:szCs w:val="24"/>
          <w:highlight w:val="white"/>
          <w:lang w:val="en-GB"/>
        </w:rPr>
        <w:lastRenderedPageBreak/>
        <w:t>doctors. No other variables were independently associated with EAD</w:t>
      </w:r>
      <w:r w:rsidR="008343B6">
        <w:rPr>
          <w:rFonts w:ascii="Book Antiqua" w:hAnsi="Book Antiqua" w:cs="Arial"/>
          <w:bCs/>
          <w:color w:val="000000"/>
          <w:sz w:val="24"/>
          <w:szCs w:val="24"/>
          <w:highlight w:val="white"/>
          <w:lang w:val="en-GB"/>
        </w:rPr>
        <w:t xml:space="preserve"> so early</w:t>
      </w:r>
      <w:r w:rsidR="006D2F86">
        <w:rPr>
          <w:rFonts w:ascii="Book Antiqua" w:hAnsi="Book Antiqua" w:cs="Arial"/>
          <w:bCs/>
          <w:color w:val="000000"/>
          <w:sz w:val="24"/>
          <w:szCs w:val="24"/>
          <w:highlight w:val="white"/>
          <w:lang w:val="en-GB"/>
        </w:rPr>
        <w:t xml:space="preserve"> </w:t>
      </w:r>
      <w:r w:rsidR="008343B6">
        <w:rPr>
          <w:rFonts w:ascii="Book Antiqua" w:hAnsi="Book Antiqua" w:cs="Arial"/>
          <w:bCs/>
          <w:color w:val="000000"/>
          <w:sz w:val="24"/>
          <w:szCs w:val="24"/>
          <w:highlight w:val="white"/>
          <w:lang w:val="en-GB"/>
        </w:rPr>
        <w:t xml:space="preserve">(not </w:t>
      </w:r>
      <w:r w:rsidR="006D2F86">
        <w:rPr>
          <w:rFonts w:ascii="Book Antiqua" w:hAnsi="Book Antiqua" w:cs="Arial"/>
          <w:bCs/>
          <w:color w:val="000000"/>
          <w:sz w:val="24"/>
          <w:szCs w:val="24"/>
          <w:highlight w:val="white"/>
          <w:lang w:val="en-GB"/>
        </w:rPr>
        <w:t>even ICG-PDR</w:t>
      </w:r>
      <w:r w:rsidR="008343B6">
        <w:rPr>
          <w:rFonts w:ascii="Book Antiqua" w:hAnsi="Book Antiqua" w:cs="Arial"/>
          <w:bCs/>
          <w:color w:val="000000"/>
          <w:sz w:val="24"/>
          <w:szCs w:val="24"/>
          <w:highlight w:val="white"/>
          <w:lang w:val="en-GB"/>
        </w:rPr>
        <w:t>)</w:t>
      </w:r>
      <w:r w:rsidR="002B32C6">
        <w:rPr>
          <w:rFonts w:ascii="Book Antiqua" w:hAnsi="Book Antiqua" w:cs="Arial"/>
          <w:bCs/>
          <w:color w:val="000000"/>
          <w:sz w:val="24"/>
          <w:szCs w:val="24"/>
          <w:highlight w:val="white"/>
          <w:lang w:val="en-GB"/>
        </w:rPr>
        <w:fldChar w:fldCharType="begin" w:fldLock="1"/>
      </w:r>
      <w:r w:rsidR="002B32C6">
        <w:rPr>
          <w:rFonts w:ascii="Book Antiqua" w:hAnsi="Book Antiqua" w:cs="Arial"/>
          <w:bCs/>
          <w:color w:val="000000"/>
          <w:sz w:val="24"/>
          <w:szCs w:val="24"/>
          <w:highlight w:val="white"/>
          <w:lang w:val="en-GB"/>
        </w:rPr>
        <w:instrText>ADDIN CSL_CITATION { "citationItems" : [ { "id" : "ITEM-1", "itemData" : { "DOI" : "10.1002/lt.21973", "abstract" : "Initial graft function is a major factor influencing the clinical outcome after liver transplantation (LTX), but a reliable method for assessing and predicting graft dysfunction directly after LTX is not available. Ninety-nine patients undergoing deceased-donor LTX were studied in a prospective pilot study to evaluate the LiMAx test, the indocyanine green test, and conventional biochemical parameters with respect to their sensitivity and prognostic power for the diagnosis of initial graft dysfunction. Patients suffering from initial graft dysfunction (defined as technical complications or primary nonfunction (n \u00bc 8)) had signif-icantly decreased LiMAx readouts (43 6 18 versus 184 6 98 lg/kg/hour, P &lt; 0.001) immediately after LTX. Univariate anal-ysis also showed significant differences for serum bilirubin, ammonia, glutamate dehydrogenase, and the international normalized ratio (P &lt; 0.05), but multivariate analysis revealed LiMAx as the single independent predictor of initial dysfunc-tion (P \u00bc 0.008) with an area under the receiver operating characteristic curve (AUROC) of 0.960 (95% confidence interval \u00bc 0.921-0.998, P &lt; 0.001). In addition, the diagnosis of primary nonfunction (n \u00bc 3) was evaluated with LiMAx and aspar-tate aminotransferase (AST) activity on the first postoperative day. The calculated AUROC values were 0.992 (0.975-1.0, P \u00bc 0.004) for LiMAx and 0.967 (0.929-1.0, P \u00bc 0.006) for AST. By a combination of test results obtained directly after LTX and on the first day, LiMAx indicated primary nonfunction with a sensitivity of 1.0 (0.31-1.0) and a positive predictive value of 1.0 (0.31-1.0), whereas AST classification showed a sensitivity of 0.67 (0.13-0.98) and a positive predictive value of 0.29 (0.05-0.70). In conclusion, the assessment of initial graft function using the LiMAx test might be effective for identifying criti-cal complications that could threaten graft survival within 24 hours after LTX.", "author" : [ { "dropping-particle" : "", "family" : "Lock", "given" : "JF", "non-dropping-particle" : "", "parse-names" : false, "suffix" : "" }, { "dropping-particle" : "", "family" : "Schwabauer", "given" : "Eugen", "non-dropping-particle" : "", "parse-names" : false, "suffix" : "" }, { "dropping-particle" : "", "family" : "Martus", "given" : "Peter", "non-dropping-particle" : "", "parse-names" : false, "suffix" : "" }, { "dropping-particle" : "", "family" : "Videv", "given" : "Nikolay", "non-dropping-particle" : "", "parse-names" : false, "suffix" : "" }, { "dropping-particle" : "", "family" : "Pratschke", "given" : "Johann", "non-dropping-particle" : "", "parse-names" : false, "suffix" : "" }, { "dropping-particle" : "", "family" : "Malinowski", "given" : "Maciej", "non-dropping-particle" : "", "parse-names" : false, "suffix" : "" }, { "dropping-particle" : "", "family" : "Neuhaus", "given" : "Peter", "non-dropping-particle" : "", "parse-names" : false, "suffix" : "" }, { "dropping-particle" : "", "family" : "Stockmann", "given" : "Martin", "non-dropping-particle" : "", "parse-names" : false, "suffix" : "" } ], "container-title" : "Liver Transpl", "id" : "ITEM-1", "issued" : { "date-parts" : [ [ "2010" ] ] }, "page" : "172-180", "title" : "Early Diagnosis of Primary Nonfunction and Indication for Reoperation After Liver Transplantation", "type" : "article-journal", "volume" : "16" }, "uris" : [ "http://www.mendeley.com/documents/?uuid=8bf56ff6-7e17-3446-9241-f9657575ad88" ] } ], "mendeley" : { "formattedCitation" : "&lt;sup&gt;[58]&lt;/sup&gt;", "plainTextFormattedCitation" : "[58]", "previouslyFormattedCitation" : "&lt;sup&gt;[58]&lt;/sup&gt;" }, "properties" : { "noteIndex" : 0 }, "schema" : "https://github.com/citation-style-language/schema/raw/master/csl-citation.json" }</w:instrText>
      </w:r>
      <w:r w:rsidR="002B32C6">
        <w:rPr>
          <w:rFonts w:ascii="Book Antiqua" w:hAnsi="Book Antiqua" w:cs="Arial"/>
          <w:bCs/>
          <w:color w:val="000000"/>
          <w:sz w:val="24"/>
          <w:szCs w:val="24"/>
          <w:highlight w:val="white"/>
          <w:lang w:val="en-GB"/>
        </w:rPr>
        <w:fldChar w:fldCharType="separate"/>
      </w:r>
      <w:r w:rsidR="002B32C6" w:rsidRPr="005F5C48">
        <w:rPr>
          <w:rFonts w:ascii="Book Antiqua" w:hAnsi="Book Antiqua" w:cs="Arial"/>
          <w:bCs/>
          <w:noProof/>
          <w:color w:val="000000"/>
          <w:sz w:val="24"/>
          <w:szCs w:val="24"/>
          <w:highlight w:val="white"/>
          <w:vertAlign w:val="superscript"/>
          <w:lang w:val="en-GB"/>
        </w:rPr>
        <w:t>[58]</w:t>
      </w:r>
      <w:r w:rsidR="002B32C6">
        <w:rPr>
          <w:rFonts w:ascii="Book Antiqua" w:hAnsi="Book Antiqua" w:cs="Arial"/>
          <w:bCs/>
          <w:color w:val="000000"/>
          <w:sz w:val="24"/>
          <w:szCs w:val="24"/>
          <w:highlight w:val="white"/>
          <w:lang w:val="en-GB"/>
        </w:rPr>
        <w:fldChar w:fldCharType="end"/>
      </w:r>
      <w:r w:rsidR="006D2F86">
        <w:rPr>
          <w:rFonts w:ascii="Book Antiqua" w:hAnsi="Book Antiqua" w:cs="Arial"/>
          <w:bCs/>
          <w:color w:val="000000"/>
          <w:sz w:val="24"/>
          <w:szCs w:val="24"/>
          <w:highlight w:val="white"/>
          <w:lang w:val="en-GB"/>
        </w:rPr>
        <w:t>.</w:t>
      </w:r>
      <w:r w:rsidR="002B32C6">
        <w:rPr>
          <w:lang w:val="en-GB"/>
        </w:rPr>
        <w:t xml:space="preserve"> </w:t>
      </w:r>
    </w:p>
    <w:p w14:paraId="3E777226" w14:textId="2319F20E" w:rsidR="006D2F86" w:rsidRDefault="006D2F86" w:rsidP="00422EBA">
      <w:pPr>
        <w:adjustRightInd w:val="0"/>
        <w:snapToGrid w:val="0"/>
        <w:spacing w:after="0" w:line="360" w:lineRule="auto"/>
        <w:ind w:firstLineChars="200" w:firstLine="480"/>
        <w:jc w:val="both"/>
        <w:rPr>
          <w:lang w:val="en-GB"/>
        </w:rPr>
      </w:pPr>
      <w:r>
        <w:rPr>
          <w:rFonts w:ascii="Book Antiqua" w:hAnsi="Book Antiqua" w:cs="Arial"/>
          <w:bCs/>
          <w:color w:val="000000"/>
          <w:sz w:val="24"/>
          <w:szCs w:val="24"/>
          <w:highlight w:val="white"/>
          <w:lang w:val="en-GB"/>
        </w:rPr>
        <w:t xml:space="preserve">A quantitative and precise definition of EAD was determined using LiMax. Two cut-offs were arbitrarily decided at 60 and 120 </w:t>
      </w:r>
      <w:r>
        <w:rPr>
          <w:rFonts w:ascii="Times New Roman" w:hAnsi="Times New Roman"/>
          <w:bCs/>
          <w:color w:val="000000"/>
          <w:sz w:val="24"/>
          <w:szCs w:val="24"/>
          <w:highlight w:val="white"/>
          <w:lang w:val="en-GB"/>
        </w:rPr>
        <w:t>μ</w:t>
      </w:r>
      <w:r>
        <w:rPr>
          <w:rFonts w:ascii="Book Antiqua" w:hAnsi="Book Antiqua" w:cs="Arial"/>
          <w:bCs/>
          <w:color w:val="000000"/>
          <w:sz w:val="24"/>
          <w:szCs w:val="24"/>
          <w:highlight w:val="white"/>
          <w:lang w:val="en-GB"/>
        </w:rPr>
        <w:t>g/kg</w:t>
      </w:r>
      <w:r w:rsidR="002B32C6">
        <w:rPr>
          <w:rFonts w:ascii="Book Antiqua" w:eastAsiaTheme="minorEastAsia" w:hAnsi="Book Antiqua" w:cs="Arial" w:hint="eastAsia"/>
          <w:bCs/>
          <w:color w:val="000000"/>
          <w:sz w:val="24"/>
          <w:szCs w:val="24"/>
          <w:highlight w:val="white"/>
          <w:lang w:val="en-GB" w:eastAsia="zh-CN"/>
        </w:rPr>
        <w:t xml:space="preserve"> per </w:t>
      </w:r>
      <w:r>
        <w:rPr>
          <w:rFonts w:ascii="Book Antiqua" w:hAnsi="Book Antiqua" w:cs="Arial"/>
          <w:bCs/>
          <w:color w:val="000000"/>
          <w:sz w:val="24"/>
          <w:szCs w:val="24"/>
          <w:highlight w:val="white"/>
          <w:lang w:val="en-GB"/>
        </w:rPr>
        <w:t>h</w:t>
      </w:r>
      <w:r w:rsidR="002B32C6">
        <w:rPr>
          <w:rFonts w:ascii="Book Antiqua" w:eastAsiaTheme="minorEastAsia" w:hAnsi="Book Antiqua" w:cs="Arial" w:hint="eastAsia"/>
          <w:bCs/>
          <w:color w:val="000000"/>
          <w:sz w:val="24"/>
          <w:szCs w:val="24"/>
          <w:highlight w:val="white"/>
          <w:lang w:val="en-GB" w:eastAsia="zh-CN"/>
        </w:rPr>
        <w:t>our</w:t>
      </w:r>
      <w:r>
        <w:rPr>
          <w:rFonts w:ascii="Book Antiqua" w:hAnsi="Book Antiqua" w:cs="Arial"/>
          <w:bCs/>
          <w:color w:val="000000"/>
          <w:sz w:val="24"/>
          <w:szCs w:val="24"/>
          <w:highlight w:val="white"/>
          <w:lang w:val="en-GB"/>
        </w:rPr>
        <w:t xml:space="preserve">. PNF was defined as LiMax &lt; 60 </w:t>
      </w:r>
      <w:r>
        <w:rPr>
          <w:rFonts w:ascii="Times New Roman" w:hAnsi="Times New Roman"/>
          <w:bCs/>
          <w:color w:val="000000"/>
          <w:sz w:val="24"/>
          <w:szCs w:val="24"/>
          <w:highlight w:val="white"/>
          <w:lang w:val="en-GB"/>
        </w:rPr>
        <w:t>μ</w:t>
      </w:r>
      <w:r>
        <w:rPr>
          <w:rFonts w:ascii="Book Antiqua" w:hAnsi="Book Antiqua" w:cs="Arial"/>
          <w:bCs/>
          <w:color w:val="000000"/>
          <w:sz w:val="24"/>
          <w:szCs w:val="24"/>
          <w:highlight w:val="white"/>
          <w:lang w:val="en-GB"/>
        </w:rPr>
        <w:t>g/kg</w:t>
      </w:r>
      <w:r w:rsidR="00C17DDB" w:rsidRPr="00C17DDB">
        <w:rPr>
          <w:rFonts w:ascii="Book Antiqua" w:eastAsiaTheme="minorEastAsia" w:hAnsi="Book Antiqua" w:cs="Arial" w:hint="eastAsia"/>
          <w:bCs/>
          <w:color w:val="000000"/>
          <w:sz w:val="24"/>
          <w:szCs w:val="24"/>
          <w:highlight w:val="white"/>
          <w:lang w:val="en-GB" w:eastAsia="zh-CN"/>
        </w:rPr>
        <w:t xml:space="preserve"> </w:t>
      </w:r>
      <w:r w:rsidR="00C17DDB">
        <w:rPr>
          <w:rFonts w:ascii="Book Antiqua" w:eastAsiaTheme="minorEastAsia" w:hAnsi="Book Antiqua" w:cs="Arial" w:hint="eastAsia"/>
          <w:bCs/>
          <w:color w:val="000000"/>
          <w:sz w:val="24"/>
          <w:szCs w:val="24"/>
          <w:highlight w:val="white"/>
          <w:lang w:val="en-GB" w:eastAsia="zh-CN"/>
        </w:rPr>
        <w:t xml:space="preserve">per </w:t>
      </w:r>
      <w:r w:rsidR="00C17DDB">
        <w:rPr>
          <w:rFonts w:ascii="Book Antiqua" w:hAnsi="Book Antiqua" w:cs="Arial"/>
          <w:bCs/>
          <w:color w:val="000000"/>
          <w:sz w:val="24"/>
          <w:szCs w:val="24"/>
          <w:highlight w:val="white"/>
          <w:lang w:val="en-GB"/>
        </w:rPr>
        <w:t>h</w:t>
      </w:r>
      <w:r w:rsidR="00C17DDB">
        <w:rPr>
          <w:rFonts w:ascii="Book Antiqua" w:eastAsiaTheme="minorEastAsia" w:hAnsi="Book Antiqua" w:cs="Arial" w:hint="eastAsia"/>
          <w:bCs/>
          <w:color w:val="000000"/>
          <w:sz w:val="24"/>
          <w:szCs w:val="24"/>
          <w:highlight w:val="white"/>
          <w:lang w:val="en-GB" w:eastAsia="zh-CN"/>
        </w:rPr>
        <w:t>our</w:t>
      </w:r>
      <w:r>
        <w:rPr>
          <w:rFonts w:ascii="Book Antiqua" w:hAnsi="Book Antiqua" w:cs="Arial"/>
          <w:bCs/>
          <w:color w:val="000000"/>
          <w:sz w:val="24"/>
          <w:szCs w:val="24"/>
          <w:highlight w:val="white"/>
          <w:lang w:val="en-GB"/>
        </w:rPr>
        <w:t xml:space="preserve">, IPF was LiMax 60-120 </w:t>
      </w:r>
      <w:r>
        <w:rPr>
          <w:rFonts w:ascii="Times New Roman" w:hAnsi="Times New Roman"/>
          <w:bCs/>
          <w:color w:val="000000"/>
          <w:sz w:val="24"/>
          <w:szCs w:val="24"/>
          <w:highlight w:val="white"/>
          <w:lang w:val="en-GB"/>
        </w:rPr>
        <w:t>μ</w:t>
      </w:r>
      <w:r w:rsidR="001D36E2">
        <w:rPr>
          <w:rFonts w:ascii="Book Antiqua" w:hAnsi="Book Antiqua" w:cs="Arial"/>
          <w:bCs/>
          <w:color w:val="000000"/>
          <w:sz w:val="24"/>
          <w:szCs w:val="24"/>
          <w:highlight w:val="white"/>
          <w:lang w:val="en-GB"/>
        </w:rPr>
        <w:t>g/kg per hour</w:t>
      </w:r>
      <w:r>
        <w:rPr>
          <w:rFonts w:ascii="Book Antiqua" w:hAnsi="Book Antiqua" w:cs="Arial"/>
          <w:bCs/>
          <w:color w:val="000000"/>
          <w:sz w:val="24"/>
          <w:szCs w:val="24"/>
          <w:highlight w:val="white"/>
          <w:lang w:val="en-GB"/>
        </w:rPr>
        <w:t xml:space="preserve">, and immediate function was LiMax &gt; 120 </w:t>
      </w:r>
      <w:r>
        <w:rPr>
          <w:rFonts w:ascii="Times New Roman" w:hAnsi="Times New Roman"/>
          <w:bCs/>
          <w:color w:val="000000"/>
          <w:sz w:val="24"/>
          <w:szCs w:val="24"/>
          <w:highlight w:val="white"/>
          <w:lang w:val="en-GB"/>
        </w:rPr>
        <w:t>μ</w:t>
      </w:r>
      <w:r>
        <w:rPr>
          <w:rFonts w:ascii="Book Antiqua" w:hAnsi="Book Antiqua" w:cs="Arial"/>
          <w:bCs/>
          <w:color w:val="000000"/>
          <w:sz w:val="24"/>
          <w:szCs w:val="24"/>
          <w:highlight w:val="white"/>
          <w:lang w:val="en-GB"/>
        </w:rPr>
        <w:t>g/kg</w:t>
      </w:r>
      <w:r w:rsidR="00C17DDB" w:rsidRPr="00C17DDB">
        <w:rPr>
          <w:rFonts w:ascii="Book Antiqua" w:eastAsiaTheme="minorEastAsia" w:hAnsi="Book Antiqua" w:cs="Arial" w:hint="eastAsia"/>
          <w:bCs/>
          <w:color w:val="000000"/>
          <w:sz w:val="24"/>
          <w:szCs w:val="24"/>
          <w:highlight w:val="white"/>
          <w:lang w:val="en-GB" w:eastAsia="zh-CN"/>
        </w:rPr>
        <w:t xml:space="preserve"> </w:t>
      </w:r>
      <w:r w:rsidR="00C17DDB">
        <w:rPr>
          <w:rFonts w:ascii="Book Antiqua" w:eastAsiaTheme="minorEastAsia" w:hAnsi="Book Antiqua" w:cs="Arial" w:hint="eastAsia"/>
          <w:bCs/>
          <w:color w:val="000000"/>
          <w:sz w:val="24"/>
          <w:szCs w:val="24"/>
          <w:highlight w:val="white"/>
          <w:lang w:val="en-GB" w:eastAsia="zh-CN"/>
        </w:rPr>
        <w:t xml:space="preserve">per </w:t>
      </w:r>
      <w:r w:rsidR="00C17DDB">
        <w:rPr>
          <w:rFonts w:ascii="Book Antiqua" w:hAnsi="Book Antiqua" w:cs="Arial"/>
          <w:bCs/>
          <w:color w:val="000000"/>
          <w:sz w:val="24"/>
          <w:szCs w:val="24"/>
          <w:highlight w:val="white"/>
          <w:lang w:val="en-GB"/>
        </w:rPr>
        <w:t>h</w:t>
      </w:r>
      <w:r w:rsidR="00C17DDB">
        <w:rPr>
          <w:rFonts w:ascii="Book Antiqua" w:eastAsiaTheme="minorEastAsia" w:hAnsi="Book Antiqua" w:cs="Arial" w:hint="eastAsia"/>
          <w:bCs/>
          <w:color w:val="000000"/>
          <w:sz w:val="24"/>
          <w:szCs w:val="24"/>
          <w:highlight w:val="white"/>
          <w:lang w:val="en-GB" w:eastAsia="zh-CN"/>
        </w:rPr>
        <w:t>our</w:t>
      </w:r>
      <w:r>
        <w:rPr>
          <w:rFonts w:ascii="Book Antiqua" w:hAnsi="Book Antiqua" w:cs="Arial"/>
          <w:bCs/>
          <w:color w:val="000000"/>
          <w:sz w:val="24"/>
          <w:szCs w:val="24"/>
          <w:highlight w:val="white"/>
          <w:lang w:val="en-GB"/>
        </w:rPr>
        <w:t>. Values were measured within 24 h after LT in the same previous 99 recipients, and post hoc analysis was performed. Using these cut-offs, IPF correlated with biochemical laboratory values (transaminases, bilirubin, INR, creatinine) and higher rates of post-transplant complications (hemodialysis and catecholamine support) but not with H-LOS and 2-year patient and graft survival. Slower restoration of LiMax values was detected in IPF patients up to POD28, while all immediate function patients recovered normal LiMax values by POD5. Three cases of PNF underwent immediate retransplantation. EAD patients were characterised by significantly higher DRI and donor age (no preoperative MELD differences were evaluated), showing postoperative LiMax correlating with both donor characteristics and recipient clinical progression</w:t>
      </w:r>
      <w:r w:rsidR="00C17DDB">
        <w:rPr>
          <w:rFonts w:ascii="Book Antiqua" w:hAnsi="Book Antiqua" w:cs="Arial"/>
          <w:bCs/>
          <w:color w:val="000000"/>
          <w:sz w:val="24"/>
          <w:szCs w:val="24"/>
          <w:highlight w:val="white"/>
          <w:lang w:val="en-GB"/>
        </w:rPr>
        <w:fldChar w:fldCharType="begin" w:fldLock="1"/>
      </w:r>
      <w:r w:rsidR="00C17DDB">
        <w:rPr>
          <w:rFonts w:ascii="Book Antiqua" w:hAnsi="Book Antiqua" w:cs="Arial"/>
          <w:bCs/>
          <w:color w:val="000000"/>
          <w:sz w:val="24"/>
          <w:szCs w:val="24"/>
          <w:highlight w:val="white"/>
          <w:lang w:val="en-GB"/>
        </w:rPr>
        <w:instrText>ADDIN CSL_CITATION { "citationItems" : [ { "id" : "ITEM-1", "itemData" : { "DOI" : "10.1111/j.1432-2277.2010.01089.x", "abstract" : "Initial  poor  function  (IPF)  is  a  frequent  complication  after  liver  transplanta-tion,  but  there  is  no  consensus  on  its  definition.  Ninety-nine  patients  under-going   primary   deceased-donor   liver   transplantation   were   examined   in   a prospective  clinical  trial.  A  new  functional  classification  for  initial  graft  func-tion  was  developed  based  on  two  LiMAx  readouts  during  24 h  after  transplan-tation  with  a  cutoff  LiMAx  of  60  and  120l g/kg/h  using  a  simple  algorithm. Patients  were  classified  as  non-  (3/99),  poor-  (23/99)  and  immediate  function (73/99).  The  functional  regeneration  of  IPF  grafts  was  delayed  until  day  28 (P &lt; 0.05).   Significant   differences   were   observed   for   postoperative   maximal transaminase  activity,  bilirubin,  albumin,  coagulation  and  creatinine.  Recipi-ents\u2019  MELD  score,  the  donor  risk  index  and  donor  age  were  increased  in  the IPF  group.  Incidence  of  haemodialysis  (P = 0.003)  and  catecholamine  support (P&lt; 0.0001)  was  higher  for  IPF,  resulting  in  higher  therapy  costs  (P = 0.049). However,  IPF  did  not  influence  either  the  length  of  stay  (P = 0.434)  or  2-year recipient  (P= 0.415)  or  graft  survival  (P = 0.495).  In  conclusion,  the  LiMAx test  might  provide  the  first  adequate  functional  parameter  to  assess  and  classify liver  graft  performance  from  the  beginning.  Patients  with  IPF  frequently  suffer from  secondary  complications,  but  ultimately  develop  satisfactory  outcome  and thus worth intensive and expensive therapy.", "author" : [ { "dropping-particle" : "", "family" : "Stockmann", "given" : "Martin", "non-dropping-particle" : "", "parse-names" : false, "suffix" : "" }, { "dropping-particle" : "", "family" : "Lock", "given" : "Johan F", "non-dropping-particle" : "", "parse-names" : false, "suffix" : "" }, { "dropping-particle" : "", "family" : "Malinowski", "given" : "Maciej", "non-dropping-particle" : "", "parse-names" : false, "suffix" : "" }, { "dropping-particle" : "", "family" : "Seehofer", "given" : "Daniel", "non-dropping-particle" : "", "parse-names" : false, "suffix" : "" }, { "dropping-particle" : "", "family" : "Puhl", "given" : "Gero", "non-dropping-particle" : "", "parse-names" : false, "suffix" : "" }, { "dropping-particle" : "", "family" : "Pratschke", "given" : "Johann", "non-dropping-particle" : "", "parse-names" : false, "suffix" : "" }, { "dropping-particle" : "", "family" : "Neuhaus", "given" : "Peter", "non-dropping-particle" : "", "parse-names" : false, "suffix" : "" } ], "container-title" : "Transplantation International", "id" : "ITEM-1", "issued" : { "date-parts" : [ [ "2010" ] ] }, "title" : "How to define initial poor graft function after liver transplantation? \u2013 a new functional definition by the LiMAx test", "type" : "article-journal" }, "uris" : [ "http://www.mendeley.com/documents/?uuid=8475ade6-248d-3c0d-baf5-98a2423049e6" ] } ], "mendeley" : { "formattedCitation" : "&lt;sup&gt;[59]&lt;/sup&gt;", "plainTextFormattedCitation" : "[59]", "previouslyFormattedCitation" : "&lt;sup&gt;[59]&lt;/sup&gt;" }, "properties" : { "noteIndex" : 0 }, "schema" : "https://github.com/citation-style-language/schema/raw/master/csl-citation.json" }</w:instrText>
      </w:r>
      <w:r w:rsidR="00C17DDB">
        <w:rPr>
          <w:rFonts w:ascii="Book Antiqua" w:hAnsi="Book Antiqua" w:cs="Arial"/>
          <w:bCs/>
          <w:color w:val="000000"/>
          <w:sz w:val="24"/>
          <w:szCs w:val="24"/>
          <w:highlight w:val="white"/>
          <w:lang w:val="en-GB"/>
        </w:rPr>
        <w:fldChar w:fldCharType="separate"/>
      </w:r>
      <w:r w:rsidR="00C17DDB" w:rsidRPr="005F5C48">
        <w:rPr>
          <w:rFonts w:ascii="Book Antiqua" w:hAnsi="Book Antiqua" w:cs="Arial"/>
          <w:bCs/>
          <w:noProof/>
          <w:color w:val="000000"/>
          <w:sz w:val="24"/>
          <w:szCs w:val="24"/>
          <w:highlight w:val="white"/>
          <w:vertAlign w:val="superscript"/>
          <w:lang w:val="en-GB"/>
        </w:rPr>
        <w:t>[59]</w:t>
      </w:r>
      <w:r w:rsidR="00C17DDB">
        <w:rPr>
          <w:rFonts w:ascii="Book Antiqua" w:hAnsi="Book Antiqua" w:cs="Arial"/>
          <w:bCs/>
          <w:color w:val="000000"/>
          <w:sz w:val="24"/>
          <w:szCs w:val="24"/>
          <w:highlight w:val="white"/>
          <w:lang w:val="en-GB"/>
        </w:rPr>
        <w:fldChar w:fldCharType="end"/>
      </w:r>
      <w:r w:rsidR="00577E50">
        <w:rPr>
          <w:rFonts w:ascii="Book Antiqua" w:hAnsi="Book Antiqua" w:cs="Arial"/>
          <w:bCs/>
          <w:color w:val="000000"/>
          <w:sz w:val="24"/>
          <w:szCs w:val="24"/>
          <w:lang w:val="en-GB"/>
        </w:rPr>
        <w:t>.</w:t>
      </w:r>
      <w:r w:rsidR="00C17DDB">
        <w:rPr>
          <w:lang w:val="en-GB"/>
        </w:rPr>
        <w:t xml:space="preserve"> </w:t>
      </w:r>
    </w:p>
    <w:p w14:paraId="0762E10B" w14:textId="733A677B" w:rsidR="006D2F86" w:rsidRDefault="006D2F86" w:rsidP="00422EBA">
      <w:pPr>
        <w:adjustRightInd w:val="0"/>
        <w:snapToGrid w:val="0"/>
        <w:spacing w:after="0" w:line="360" w:lineRule="auto"/>
        <w:ind w:firstLineChars="200" w:firstLine="480"/>
        <w:jc w:val="both"/>
        <w:rPr>
          <w:lang w:val="en-GB"/>
        </w:rPr>
      </w:pPr>
      <w:r>
        <w:rPr>
          <w:rFonts w:ascii="Book Antiqua" w:hAnsi="Book Antiqua" w:cs="Arial"/>
          <w:bCs/>
          <w:color w:val="000000"/>
          <w:sz w:val="24"/>
          <w:szCs w:val="24"/>
          <w:highlight w:val="white"/>
          <w:lang w:val="en-GB"/>
        </w:rPr>
        <w:t>Immunosuppression is a principal treatment after LT. Tacrolimus, one of the most frequently used immunosuppressants, is metabolised by hepatocytes. Normal blood concentrations of tacrolimus might be toxic for patients developing EAD. In a following prospective observational study, graft function was quantified by LiMax during the first 5 days after LT. LiMax levels predicted the development of toxic levels of tacrolimus in patients with EAD and tacrolimus under-dosage in those with good graft function</w:t>
      </w:r>
      <w:r w:rsidR="00C17DDB">
        <w:rPr>
          <w:rFonts w:ascii="Book Antiqua" w:hAnsi="Book Antiqua" w:cs="Arial"/>
          <w:bCs/>
          <w:color w:val="000000"/>
          <w:sz w:val="24"/>
          <w:szCs w:val="24"/>
          <w:highlight w:val="white"/>
          <w:lang w:val="en-GB"/>
        </w:rPr>
        <w:fldChar w:fldCharType="begin" w:fldLock="1"/>
      </w:r>
      <w:r w:rsidR="00C17DDB">
        <w:rPr>
          <w:rFonts w:ascii="Book Antiqua" w:hAnsi="Book Antiqua" w:cs="Arial"/>
          <w:bCs/>
          <w:color w:val="000000"/>
          <w:sz w:val="24"/>
          <w:szCs w:val="24"/>
          <w:highlight w:val="white"/>
          <w:lang w:val="en-GB"/>
        </w:rPr>
        <w:instrText>ADDIN CSL_CITATION { "citationItems" : [ { "id" : "ITEM-1", "itemData" : { "DOI" : "10.1111/j.1399-0012.2010.01264.x", "abstract" : "The narrow therapeutic range of tacrolimus requires careful management after liver transplantation (LT). The aim of this study was to investigate the influence of graft function on tacrolimus trough levels during the first post-transplant week. Ninety-three patients receiving deceased-donor LT were observed in a prospective observational study. Graft func-tion was determined by the new LiMAx test (maximal liver function capacity). Significant correlations between LiMAx readouts and consecutive tacrolimus levels, up to r =) 0.529 (p &lt; 0.0001), were determined throughout the observed period of time. Patients with initially poor graft function revealed higher trough levels (n = 24; 20.1 \u00b1 11.6 ng/mL) in comparison with fair (n = 40; 13.7 \u00b1 7.8 ng/mL) and good function (n = 29; 9.5 \u00b1 4.4 ng/mL; p &lt; 0.0001) already at the second post-trans-plant day. Toxic levels could be predicted with an area under receiver operating characteristic analysis AUROC=0.751 (p = 0.001) with high sensitivity and specificity. Insufficient levels could be predicted with AUROC=0.800 (p = 0.003). In conclusion, initial graft function is a major factor influencing the pharmacokinetics of tacrolimus and can be validly determined by the LiMAx test. Thus, recipients with poor functioning grafts are prone of developing toxic levels within the first week after LT, whereas patients with good functioning grafts frequently develop insufficient levels with the current immunosuppressive protocols.", "author" : [ { "dropping-particle" : "", "family" : "Lock", "given" : "J", "non-dropping-particle" : "", "parse-names" : false, "suffix" : "" }, { "dropping-particle" : "", "family" : "Malinowski", "given" : "M", "non-dropping-particle" : "", "parse-names" : false, "suffix" : "" }, { "dropping-particle" : "", "family" : "Schwabauer", "given" : "E", "non-dropping-particle" : "", "parse-names" : false, "suffix" : "" }, { "dropping-particle" : "", "family" : "Martus", "given" : "P", "non-dropping-particle" : "", "parse-names" : false, "suffix" : "" }, { "dropping-particle" : "", "family" : "Pratschke", "given" : "J", "non-dropping-particle" : "", "parse-names" : false, "suffix" : "" }, { "dropping-particle" : "", "family" : "Seehofer", "given" : "D", "non-dropping-particle" : "", "parse-names" : false, "suffix" : "" }, { "dropping-particle" : "", "family" : "Puhl", "given" : "G", "non-dropping-particle" : "", "parse-names" : false, "suffix" : "" }, { "dropping-particle" : "", "family" : "Neuhaus", "given" : "P", "non-dropping-particle" : "", "parse-names" : false, "suffix" : "" }, { "dropping-particle" : "", "family" : "Stockmann", "given" : "M", "non-dropping-particle" : "", "parse-names" : false, "suffix" : "" } ], "container-title" : "Clin Transplant", "id" : "ITEM-1", "issued" : { "date-parts" : [ [ "2011" ] ] }, "page" : "436-43", "title" : "Initial liver graft function is a reliable predictor of tacrolimus trough levels during the first post-transplant week", "type" : "article-journal", "volume" : "25" }, "uris" : [ "http://www.mendeley.com/documents/?uuid=d44df44f-cb4d-3586-b275-f6b9d475ff0f" ] } ], "mendeley" : { "formattedCitation" : "&lt;sup&gt;[60]&lt;/sup&gt;", "plainTextFormattedCitation" : "[60]", "previouslyFormattedCitation" : "&lt;sup&gt;[60]&lt;/sup&gt;" }, "properties" : { "noteIndex" : 0 }, "schema" : "https://github.com/citation-style-language/schema/raw/master/csl-citation.json" }</w:instrText>
      </w:r>
      <w:r w:rsidR="00C17DDB">
        <w:rPr>
          <w:rFonts w:ascii="Book Antiqua" w:hAnsi="Book Antiqua" w:cs="Arial"/>
          <w:bCs/>
          <w:color w:val="000000"/>
          <w:sz w:val="24"/>
          <w:szCs w:val="24"/>
          <w:highlight w:val="white"/>
          <w:lang w:val="en-GB"/>
        </w:rPr>
        <w:fldChar w:fldCharType="separate"/>
      </w:r>
      <w:r w:rsidR="00C17DDB" w:rsidRPr="005F5C48">
        <w:rPr>
          <w:rFonts w:ascii="Book Antiqua" w:hAnsi="Book Antiqua" w:cs="Arial"/>
          <w:bCs/>
          <w:noProof/>
          <w:color w:val="000000"/>
          <w:sz w:val="24"/>
          <w:szCs w:val="24"/>
          <w:highlight w:val="white"/>
          <w:vertAlign w:val="superscript"/>
          <w:lang w:val="en-GB"/>
        </w:rPr>
        <w:t>[60]</w:t>
      </w:r>
      <w:r w:rsidR="00C17DDB">
        <w:rPr>
          <w:rFonts w:ascii="Book Antiqua" w:hAnsi="Book Antiqua" w:cs="Arial"/>
          <w:bCs/>
          <w:color w:val="000000"/>
          <w:sz w:val="24"/>
          <w:szCs w:val="24"/>
          <w:highlight w:val="white"/>
          <w:lang w:val="en-GB"/>
        </w:rPr>
        <w:fldChar w:fldCharType="end"/>
      </w:r>
      <w:r w:rsidR="00577E50">
        <w:rPr>
          <w:rFonts w:ascii="Book Antiqua" w:hAnsi="Book Antiqua" w:cs="Arial"/>
          <w:bCs/>
          <w:color w:val="000000"/>
          <w:sz w:val="24"/>
          <w:szCs w:val="24"/>
          <w:highlight w:val="white"/>
          <w:lang w:val="en-GB"/>
        </w:rPr>
        <w:t xml:space="preserve">. </w:t>
      </w:r>
      <w:r>
        <w:rPr>
          <w:rFonts w:ascii="Book Antiqua" w:hAnsi="Book Antiqua" w:cs="Arial"/>
          <w:bCs/>
          <w:color w:val="000000"/>
          <w:sz w:val="24"/>
          <w:szCs w:val="24"/>
          <w:highlight w:val="white"/>
          <w:lang w:val="en-GB"/>
        </w:rPr>
        <w:t>Immunosuppression modulation of tacrolimus blood concentrations poorly correlates with ICG-PDR</w:t>
      </w:r>
      <w:r w:rsidR="00C17DDB">
        <w:rPr>
          <w:rFonts w:ascii="Book Antiqua" w:hAnsi="Book Antiqua" w:cs="Arial"/>
          <w:bCs/>
          <w:color w:val="000000"/>
          <w:sz w:val="24"/>
          <w:szCs w:val="24"/>
          <w:highlight w:val="white"/>
          <w:lang w:val="en-GB"/>
        </w:rPr>
        <w:fldChar w:fldCharType="begin" w:fldLock="1"/>
      </w:r>
      <w:r w:rsidR="00C17DDB">
        <w:rPr>
          <w:rFonts w:ascii="Book Antiqua" w:hAnsi="Book Antiqua" w:cs="Arial"/>
          <w:bCs/>
          <w:color w:val="000000"/>
          <w:sz w:val="24"/>
          <w:szCs w:val="24"/>
          <w:highlight w:val="white"/>
          <w:lang w:val="en-GB"/>
        </w:rPr>
        <w:instrText>ADDIN CSL_CITATION { "citationItems" : [ { "id" : "ITEM-1", "itemData" : { "DOI" : "10.1002/lt.21308", "ISSN" : "1527-6465", "PMID" : "18161838", "abstract" : "Twenty adult patients undergoing orthotopic liver transplantation (OLT) were enrolled in this study, with the noninvasive indocyanine green plasma disappearance rate (ICG-PDR) measured both during and after OLT to assess the relationship between ICG-PDR and the ability of patients to achieve therapeutic postoperative tacrolimus immunosuppressant blood levels. Liver function was determined at both 2 and 18 hours post reperfusion with the ICG-PDR k value (1/min). Postoperative standard serum measures of liver function as well as liver biopsies were also collected and analyzed. The median ICG-PDR k value for the study group at 2 hours post reperfusion was 0.20 (0.16, 0.27), whereas at 18 hours post reperfusion, it was 0.22 (0.18, 0.35). The median change in the k value between the two ICG-PDR measurements was 0.05 (-0.02, 0.07) with P = 0.02. There was an interaction between the postoperative day 1 (18 hours post reperfusion) ICG-PDR k value and the linear increase in the tacrolimus blood level, such that the greater the k value was, the more gradual the observed rise was in tacrolimus over time [that is, the longer it took to achieve a therapeutic blood level (&gt;12 ng/mL), P = 0.003]. Of the 16 patients that received tacrolimus, comparable dosing on a per kilogram body weight basis was observed. Also, no significant association between ICG-PDR k values and postoperative liver biopsy results was seen. This study demonstrates that the ICG-PDR measurement is a modality with the potential to assist in achieving adequate blood levels of tacrolimus following OLT.", "author" : [ { "dropping-particle" : "", "family" : "Parker", "given" : "Brian M", "non-dropping-particle" : "", "parse-names" : false, "suffix" : "" }, { "dropping-particle" : "", "family" : "Cywinski", "given" : "Jacek B", "non-dropping-particle" : "", "parse-names" : false, "suffix" : "" }, { "dropping-particle" : "", "family" : "Alster", "given" : "Joan M", "non-dropping-particle" : "", "parse-names" : false, "suffix" : "" }, { "dropping-particle" : "", "family" : "Irefin", "given" : "Samuel A", "non-dropping-particle" : "", "parse-names" : false, "suffix" : "" }, { "dropping-particle" : "", "family" : "Popovich", "given" : "Marc", "non-dropping-particle" : "", "parse-names" : false, "suffix" : "" }, { "dropping-particle" : "", "family" : "Beven", "given" : "Michael", "non-dropping-particle" : "", "parse-names" : false, "suffix" : "" }, { "dropping-particle" : "", "family" : "Fung", "given" : "John J", "non-dropping-particle" : "", "parse-names" : false, "suffix" : "" } ], "container-title" : "Liver transplantation : official publication of the American Association for the Study of Liver Diseases and the International Liver Transplantation Society", "id" : "ITEM-1", "issue" : "1", "issued" : { "date-parts" : [ [ "2008", "1" ] ] }, "page" : "46-52", "title" : "Predicting immunosuppressant dosing in the early postoperative period with noninvasive indocyanine green elimination following orthotopic liver transplantation.", "type" : "article-journal", "volume" : "14" }, "uris" : [ "http://www.mendeley.com/documents/?uuid=7d5eb2d1-879d-4e39-b97d-4c5ddf7e5bec" ] } ], "mendeley" : { "formattedCitation" : "&lt;sup&gt;[61]&lt;/sup&gt;", "plainTextFormattedCitation" : "[61]", "previouslyFormattedCitation" : "&lt;sup&gt;[61]&lt;/sup&gt;" }, "properties" : { "noteIndex" : 0 }, "schema" : "https://github.com/citation-style-language/schema/raw/master/csl-citation.json" }</w:instrText>
      </w:r>
      <w:r w:rsidR="00C17DDB">
        <w:rPr>
          <w:rFonts w:ascii="Book Antiqua" w:hAnsi="Book Antiqua" w:cs="Arial"/>
          <w:bCs/>
          <w:color w:val="000000"/>
          <w:sz w:val="24"/>
          <w:szCs w:val="24"/>
          <w:highlight w:val="white"/>
          <w:lang w:val="en-GB"/>
        </w:rPr>
        <w:fldChar w:fldCharType="separate"/>
      </w:r>
      <w:r w:rsidR="00C17DDB" w:rsidRPr="005F5C48">
        <w:rPr>
          <w:rFonts w:ascii="Book Antiqua" w:hAnsi="Book Antiqua" w:cs="Arial"/>
          <w:bCs/>
          <w:noProof/>
          <w:color w:val="000000"/>
          <w:sz w:val="24"/>
          <w:szCs w:val="24"/>
          <w:highlight w:val="white"/>
          <w:vertAlign w:val="superscript"/>
          <w:lang w:val="en-GB"/>
        </w:rPr>
        <w:t>[61]</w:t>
      </w:r>
      <w:r w:rsidR="00C17DDB">
        <w:rPr>
          <w:rFonts w:ascii="Book Antiqua" w:hAnsi="Book Antiqua" w:cs="Arial"/>
          <w:bCs/>
          <w:color w:val="000000"/>
          <w:sz w:val="24"/>
          <w:szCs w:val="24"/>
          <w:highlight w:val="white"/>
          <w:lang w:val="en-GB"/>
        </w:rPr>
        <w:fldChar w:fldCharType="end"/>
      </w:r>
      <w:r w:rsidR="00577E50">
        <w:rPr>
          <w:rFonts w:ascii="Book Antiqua" w:hAnsi="Book Antiqua" w:cs="Arial"/>
          <w:bCs/>
          <w:color w:val="000000"/>
          <w:sz w:val="24"/>
          <w:szCs w:val="24"/>
          <w:lang w:val="en-GB"/>
        </w:rPr>
        <w:t>.</w:t>
      </w:r>
      <w:r w:rsidR="00C17DDB">
        <w:rPr>
          <w:lang w:val="en-GB"/>
        </w:rPr>
        <w:t xml:space="preserve"> </w:t>
      </w:r>
    </w:p>
    <w:p w14:paraId="7760102D" w14:textId="6EB3B7D9" w:rsidR="006D2F86" w:rsidRDefault="006D2F86" w:rsidP="00422EBA">
      <w:pPr>
        <w:adjustRightInd w:val="0"/>
        <w:snapToGrid w:val="0"/>
        <w:spacing w:after="0" w:line="360" w:lineRule="auto"/>
        <w:ind w:firstLineChars="200" w:firstLine="480"/>
        <w:jc w:val="both"/>
        <w:rPr>
          <w:rFonts w:ascii="Book Antiqua" w:eastAsiaTheme="minorEastAsia" w:hAnsi="Book Antiqua" w:cs="Arial"/>
          <w:bCs/>
          <w:color w:val="000000"/>
          <w:sz w:val="24"/>
          <w:szCs w:val="24"/>
          <w:lang w:val="en-GB" w:eastAsia="zh-CN"/>
        </w:rPr>
      </w:pPr>
      <w:r>
        <w:rPr>
          <w:rFonts w:ascii="Book Antiqua" w:hAnsi="Book Antiqua" w:cs="Arial"/>
          <w:bCs/>
          <w:color w:val="000000"/>
          <w:sz w:val="24"/>
          <w:szCs w:val="24"/>
          <w:highlight w:val="white"/>
          <w:lang w:val="en-GB"/>
        </w:rPr>
        <w:t xml:space="preserve">A major concern about this technique is that it was developed and clinically applied by only a single study group. Although encouraging, few publications are available. The two major publications on LiMax and LT used the same group of 99 LT patients, limiting their significance. Wider, multicentre applications are required to verify reliability in different cohorts and clinical settings. </w:t>
      </w:r>
      <w:r w:rsidR="00714760">
        <w:rPr>
          <w:rFonts w:ascii="Book Antiqua" w:hAnsi="Book Antiqua" w:cs="Arial"/>
          <w:bCs/>
          <w:color w:val="000000"/>
          <w:sz w:val="24"/>
          <w:szCs w:val="24"/>
          <w:highlight w:val="white"/>
          <w:lang w:val="en-GB"/>
        </w:rPr>
        <w:t>B</w:t>
      </w:r>
      <w:r>
        <w:rPr>
          <w:rFonts w:ascii="Book Antiqua" w:hAnsi="Book Antiqua" w:cs="Arial"/>
          <w:bCs/>
          <w:color w:val="000000"/>
          <w:sz w:val="24"/>
          <w:szCs w:val="24"/>
          <w:highlight w:val="white"/>
          <w:lang w:val="en-GB"/>
        </w:rPr>
        <w:t>ecause of the extreme variability of cytochrome activity depending on external factors, some scepticism may arise, and extensive studies to confirm the inter-individual reliability and standardised cut-off values of this specific technique are needed.</w:t>
      </w:r>
    </w:p>
    <w:p w14:paraId="156CA8CC" w14:textId="77777777" w:rsidR="00E35182" w:rsidRPr="00E35182" w:rsidRDefault="00E35182" w:rsidP="00422EBA">
      <w:pPr>
        <w:adjustRightInd w:val="0"/>
        <w:snapToGrid w:val="0"/>
        <w:spacing w:after="0" w:line="360" w:lineRule="auto"/>
        <w:jc w:val="both"/>
        <w:rPr>
          <w:rFonts w:ascii="Book Antiqua" w:eastAsiaTheme="minorEastAsia" w:hAnsi="Book Antiqua" w:cs="Arial"/>
          <w:bCs/>
          <w:color w:val="000000"/>
          <w:sz w:val="24"/>
          <w:szCs w:val="24"/>
          <w:lang w:val="en-GB" w:eastAsia="zh-CN"/>
        </w:rPr>
      </w:pPr>
    </w:p>
    <w:p w14:paraId="3B597C7E" w14:textId="7FA0FE75" w:rsidR="006D2F86" w:rsidRPr="00C17DDB" w:rsidRDefault="006D2F86" w:rsidP="00422EBA">
      <w:pPr>
        <w:adjustRightInd w:val="0"/>
        <w:snapToGrid w:val="0"/>
        <w:spacing w:after="0" w:line="360" w:lineRule="auto"/>
        <w:jc w:val="both"/>
        <w:rPr>
          <w:rFonts w:ascii="Book Antiqua" w:hAnsi="Book Antiqua" w:cs="Arial"/>
          <w:b/>
          <w:bCs/>
          <w:caps/>
          <w:color w:val="000000"/>
          <w:sz w:val="24"/>
          <w:szCs w:val="24"/>
          <w:highlight w:val="white"/>
          <w:lang w:val="en-GB"/>
        </w:rPr>
      </w:pPr>
      <w:r w:rsidRPr="00C17DDB">
        <w:rPr>
          <w:rFonts w:ascii="Book Antiqua" w:hAnsi="Book Antiqua" w:cs="Arial"/>
          <w:b/>
          <w:bCs/>
          <w:caps/>
          <w:color w:val="000000"/>
          <w:sz w:val="24"/>
          <w:szCs w:val="24"/>
          <w:highlight w:val="white"/>
          <w:lang w:val="en-GB"/>
        </w:rPr>
        <w:t>Other functional tests</w:t>
      </w:r>
    </w:p>
    <w:p w14:paraId="7309C836" w14:textId="10348951" w:rsidR="006D2F86" w:rsidRPr="00577E50" w:rsidRDefault="006D2F86" w:rsidP="00422EBA">
      <w:pPr>
        <w:adjustRightInd w:val="0"/>
        <w:snapToGrid w:val="0"/>
        <w:spacing w:after="0" w:line="360" w:lineRule="auto"/>
        <w:jc w:val="both"/>
        <w:rPr>
          <w:rFonts w:ascii="Book Antiqua" w:hAnsi="Book Antiqua"/>
          <w:bCs/>
          <w:color w:val="auto"/>
          <w:sz w:val="24"/>
          <w:szCs w:val="24"/>
          <w:highlight w:val="white"/>
          <w:lang w:val="en-GB"/>
        </w:rPr>
      </w:pPr>
      <w:r w:rsidRPr="00577E50">
        <w:rPr>
          <w:rFonts w:ascii="Book Antiqua" w:hAnsi="Book Antiqua"/>
          <w:bCs/>
          <w:color w:val="auto"/>
          <w:sz w:val="24"/>
          <w:szCs w:val="24"/>
          <w:highlight w:val="white"/>
          <w:lang w:val="en-GB"/>
        </w:rPr>
        <w:t>Several other functional techniques were tested decades ago</w:t>
      </w:r>
      <w:r w:rsidR="001352DB">
        <w:rPr>
          <w:rFonts w:ascii="Book Antiqua" w:hAnsi="Book Antiqua"/>
          <w:bCs/>
          <w:color w:val="auto"/>
          <w:sz w:val="24"/>
          <w:szCs w:val="24"/>
          <w:highlight w:val="white"/>
          <w:lang w:val="en-GB"/>
        </w:rPr>
        <w:t xml:space="preserve"> with promising results, such as the </w:t>
      </w:r>
      <w:r w:rsidR="001352DB" w:rsidRPr="00577E50">
        <w:rPr>
          <w:rFonts w:ascii="Book Antiqua" w:hAnsi="Book Antiqua"/>
          <w:bCs/>
          <w:color w:val="auto"/>
          <w:sz w:val="24"/>
          <w:szCs w:val="24"/>
          <w:highlight w:val="white"/>
          <w:lang w:val="en-GB"/>
        </w:rPr>
        <w:t>lidocaine-monoethylglycinexylidide (MEGX) injection test</w:t>
      </w:r>
      <w:r w:rsidR="007D7ACC">
        <w:rPr>
          <w:rFonts w:ascii="Book Antiqua" w:hAnsi="Book Antiqua"/>
          <w:bCs/>
          <w:color w:val="auto"/>
          <w:sz w:val="24"/>
          <w:szCs w:val="24"/>
          <w:highlight w:val="white"/>
          <w:lang w:val="en-GB"/>
        </w:rPr>
        <w:fldChar w:fldCharType="begin" w:fldLock="1"/>
      </w:r>
      <w:r w:rsidR="005F5C48">
        <w:rPr>
          <w:rFonts w:ascii="Book Antiqua" w:hAnsi="Book Antiqua"/>
          <w:bCs/>
          <w:color w:val="auto"/>
          <w:sz w:val="24"/>
          <w:szCs w:val="24"/>
          <w:highlight w:val="white"/>
          <w:lang w:val="en-GB"/>
        </w:rPr>
        <w:instrText>ADDIN CSL_CITATION { "citationItems" : [ { "id" : "ITEM-1", "itemData" : { "ISSN" : "1074-3022", "PMID" : "9346651", "abstract" : "The hepatic metabolism of lidocaine to monoethyl-glycinexylidide (MEGX) is the basis of a dynamic test of liver function. To understand its potential value in liver transplantation, the latter has been considered in the following three separate stages: pretransplantation assessment of potential candidates, potential liver donors, and the transplant recipient. In pretransplantation patients, data support its role in assessing risk of morbidity and mortality. In assessment of the liver transplant donor, there are differences concerning apparent usefulness, and these must be resolved. In the liver transplant recipient, serial measurements are useful to measure real-time hepatic metabolic activity. Low MEGX values reflect the clinical condition of the patient, and the importance of entirely assessing the patient, not just noting the test result, is paramount. This review has considered the role of the MEGX test in liver transplantation.", "author" : [ { "dropping-particle" : "", "family" : "Potter", "given" : "J M", "non-dropping-particle" : "", "parse-names" : false, "suffix" : "" }, { "dropping-particle" : "", "family" : "Oellerich", "given" : "M", "non-dropping-particle" : "", "parse-names" : false, "suffix" : "" } ], "container-title" : "Liver transplantation and surgery : official publication of the American Association for the Study of Liver Diseases and the International Liver Transplantation Society", "id" : "ITEM-1", "issue" : "3", "issued" : { "date-parts" : [ [ "1996", "5" ] ] }, "page" : "211-24", "title" : "The use of lidocaine as a test of liver function in liver transplantation.", "type" : "article-journal", "volume" : "2" }, "uris" : [ "http://www.mendeley.com/documents/?uuid=ccaf6154-ad2c-41a0-8534-cbac15235850" ] }, { "id" : "ITEM-2", "itemData" : { "ISSN" : "0163-4356", "PMID" : "8857555", "abstract" : "The lidocaine-monoethylglycinexylidide (MEGX) test is used to monitor liver function in liver transplant recipients. Serial studies have been undertaken after 155 allografts. The initial MEGX concentration is significantly correlated with the donor MEGX concentration. It is also influenced by the recipient's pretransplant bilirubin concentration, being lowest among patients with very high bilirubin levels. Use of segmental grafts is also accompanied by low MEGX concentrations. The flow-dependent clearance of lidocaine makes it a sensitive indicator of disturbed liver blood flow, with decreased MEGX concentrations occurring in hepatic artery thrombosis and rejection and as a result of cardiac failure and pulmonary effusions. Significant hepatic ischemia resulting in delayed initial function or cholestasis also is associated with low MEGX concentrations. The initial median MEGX concentrations were lowest among patients who required retransplantation or who died within 2 months of allografting.", "author" : [ { "dropping-particle" : "", "family" : "Potter", "given" : "J M", "non-dropping-particle" : "", "parse-names" : false, "suffix" : "" }, { "dropping-particle" : "", "family" : "Hickman", "given" : "P E", "non-dropping-particle" : "", "parse-names" : false, "suffix" : "" }, { "dropping-particle" : "", "family" : "Henderson", "given" : "A", "non-dropping-particle" : "", "parse-names" : false, "suffix" : "" }, { "dropping-particle" : "", "family" : "Balderson", "given" : "G A", "non-dropping-particle" : "", "parse-names" : false, "suffix" : "" }, { "dropping-particle" : "V", "family" : "Lynch", "given" : "S", "non-dropping-particle" : "", "parse-names" : false, "suffix" : "" }, { "dropping-particle" : "", "family" : "Strong", "given" : "R W", "non-dropping-particle" : "", "parse-names" : false, "suffix" : "" } ], "container-title" : "Therapeutic drug monitoring", "id" : "ITEM-2", "issue" : "4", "issued" : { "date-parts" : [ [ "1996", "8" ] ] }, "page" : "383-7", "title" : "The use of the lidocaine-monoethylglycinexylidide test in the liver transplant recipient.", "type" : "article-journal", "volume" : "18" }, "uris" : [ "http://www.mendeley.com/documents/?uuid=0f4565e0-5722-4892-91de-d9b1010a7bb6" ] } ], "mendeley" : { "formattedCitation" : "&lt;sup&gt;[62,63]&lt;/sup&gt;", "plainTextFormattedCitation" : "[62,63]", "previouslyFormattedCitation" : "&lt;sup&gt;[62,63]&lt;/sup&gt;" }, "properties" : { "noteIndex" : 0 }, "schema" : "https://github.com/citation-style-language/schema/raw/master/csl-citation.json" }</w:instrText>
      </w:r>
      <w:r w:rsidR="007D7ACC">
        <w:rPr>
          <w:rFonts w:ascii="Book Antiqua" w:hAnsi="Book Antiqua"/>
          <w:bCs/>
          <w:color w:val="auto"/>
          <w:sz w:val="24"/>
          <w:szCs w:val="24"/>
          <w:highlight w:val="white"/>
          <w:lang w:val="en-GB"/>
        </w:rPr>
        <w:fldChar w:fldCharType="separate"/>
      </w:r>
      <w:r w:rsidR="005F5C48" w:rsidRPr="005F5C48">
        <w:rPr>
          <w:rFonts w:ascii="Book Antiqua" w:hAnsi="Book Antiqua"/>
          <w:bCs/>
          <w:noProof/>
          <w:color w:val="auto"/>
          <w:sz w:val="24"/>
          <w:szCs w:val="24"/>
          <w:highlight w:val="white"/>
          <w:vertAlign w:val="superscript"/>
          <w:lang w:val="en-GB"/>
        </w:rPr>
        <w:t>[62,63]</w:t>
      </w:r>
      <w:r w:rsidR="007D7ACC">
        <w:rPr>
          <w:rFonts w:ascii="Book Antiqua" w:hAnsi="Book Antiqua"/>
          <w:bCs/>
          <w:color w:val="auto"/>
          <w:sz w:val="24"/>
          <w:szCs w:val="24"/>
          <w:highlight w:val="white"/>
          <w:lang w:val="en-GB"/>
        </w:rPr>
        <w:fldChar w:fldCharType="end"/>
      </w:r>
      <w:r w:rsidR="001352DB">
        <w:rPr>
          <w:rFonts w:ascii="Book Antiqua" w:hAnsi="Book Antiqua"/>
          <w:bCs/>
          <w:color w:val="auto"/>
          <w:sz w:val="24"/>
          <w:szCs w:val="24"/>
          <w:highlight w:val="white"/>
          <w:lang w:val="en-GB"/>
        </w:rPr>
        <w:t xml:space="preserve"> and the galactose elimination capacity</w:t>
      </w:r>
      <w:r w:rsidR="007D7ACC">
        <w:rPr>
          <w:rFonts w:ascii="Book Antiqua" w:hAnsi="Book Antiqua"/>
          <w:bCs/>
          <w:color w:val="auto"/>
          <w:sz w:val="24"/>
          <w:szCs w:val="24"/>
          <w:highlight w:val="white"/>
          <w:lang w:val="en-GB"/>
        </w:rPr>
        <w:fldChar w:fldCharType="begin" w:fldLock="1"/>
      </w:r>
      <w:r w:rsidR="005F5C48">
        <w:rPr>
          <w:rFonts w:ascii="Book Antiqua" w:hAnsi="Book Antiqua"/>
          <w:bCs/>
          <w:color w:val="auto"/>
          <w:sz w:val="24"/>
          <w:szCs w:val="24"/>
          <w:highlight w:val="white"/>
          <w:lang w:val="en-GB"/>
        </w:rPr>
        <w:instrText>ADDIN CSL_CITATION { "citationItems" : [ { "id" : "ITEM-1", "itemData" : { "ISSN" : "0003-4932", "PMID" : "11753045", "abstract" : "OBJECTIVE: To analyze a single center's 6-year experience with 258 consecutive patients undergoing major hepatic resection for primary or secondary malignancy of the liver, and to examine the predictive value of preoperative liver function assessment.\n\nSUMMARY BACKGROUND DATA: Despite the substantial improvements in diagnostic and surgical techniques that have made liver surgery a safer procedure, careful patient selection remains mandatory to achieve good results in patients with hepatic tumors.\n\nMETHODS: In this prospective study, 258 patients undergoing hepatic resection were enrolled: 111 for metastases, 78 for hepatocellular carcinoma (HCC), 21 for cholangiocellular carcinoma, and 48 for other primary hepatic tumors. One hundred fifty-eight patients underwent segment-oriented liver resection, including hemihepatectomies, and 100 had subsegmental resections. Thirty-two clinical and biochemical parameters were analyzed, including liver function assessment by the galactose elimination capacity (GEC) test, a measure of hepatic functional reserve, to predict postoperative (60-day) rates of death and complications and long-term survival. All variables were determined within 5 days before surgery. Data were subjected to univariate and multivariate analysis for two patient subgroups (HCC and non-HCC). The cutoffs for GEC in both groups were predefined. Long-term survival (&gt;60 days) was subjected to Kaplan-Meier analysis and the Cox proportional hazard model.\n\nRESULTS: In the entire group of 258 patients, a GEC less than 6 mg/min/kg was the only preoperative biochemical parameter that predicted postoperative complications and death by univariate and stepwise regression analysis. A GEC of more than 6 mg/min/kg was also significantly associated with longer survival. This predictive value could also be shown in the subgroup of 180 patients with tumors other than HCC. In the subgroup of 78 patients with HCC, a GEC less than 4 mg/min/kg predicted postoperative complications and death by univariate and stepwise regression analysis. Further, a GEC of more than 4 mg/min/kg was also associated with longer survival.\n\nCONCLUSIONS: This prospective study establishes the preoperative determination of the hepatic reserve by GEC as a strong independent and valuable predictor for short- and long-term outcome in patients with primary and secondary hepatic tumors undergoing resection.", "author" : [ { "dropping-particle" : "", "family" : "Redaelli", "given" : "Claudio A", "non-dropping-particle" : "", "parse-names" : false, "suffix" : "" }, { "dropping-particle" : "", "family" : "Dufour", "given" : "Jean-Fran\u00e7ois", "non-dropping-particle" : "", "parse-names" : false, "suffix" : "" }, { "dropping-particle" : "", "family" : "Wagner", "given" : "Markus", "non-dropping-particle" : "", "parse-names" : false, "suffix" : "" }, { "dropping-particle" : "", "family" : "Schilling", "given" : "Martin", "non-dropping-particle" : "", "parse-names" : false, "suffix" : "" }, { "dropping-particle" : "", "family" : "H\u00fcsler", "given" : "J\u00fcrg", "non-dropping-particle" : "", "parse-names" : false, "suffix" : "" }, { "dropping-particle" : "", "family" : "Kr\u00e4henb\u00fchl", "given" : "Lukas", "non-dropping-particle" : "", "parse-names" : false, "suffix" : "" }, { "dropping-particle" : "", "family" : "B\u00fcchler", "given" : "Markus W", "non-dropping-particle" : "", "parse-names" : false, "suffix" : "" }, { "dropping-particle" : "", "family" : "Reichen", "given" : "J\u00fcrg", "non-dropping-particle" : "", "parse-names" : false, "suffix" : "" } ], "container-title" : "Annals of surgery", "id" : "ITEM-1", "issue" : "1", "issued" : { "date-parts" : [ [ "2002", "1" ] ] }, "page" : "77-85", "title" : "Preoperative galactose elimination capacity predicts complications and survival after hepatic resection.", "type" : "article-journal", "volume" : "235" }, "uris" : [ "http://www.mendeley.com/documents/?uuid=8cb9726a-f4e0-48f3-bd33-fdcaaa0bc290" ] } ], "mendeley" : { "formattedCitation" : "&lt;sup&gt;[64]&lt;/sup&gt;", "plainTextFormattedCitation" : "[64]", "previouslyFormattedCitation" : "&lt;sup&gt;[64]&lt;/sup&gt;" }, "properties" : { "noteIndex" : 0 }, "schema" : "https://github.com/citation-style-language/schema/raw/master/csl-citation.json" }</w:instrText>
      </w:r>
      <w:r w:rsidR="007D7ACC">
        <w:rPr>
          <w:rFonts w:ascii="Book Antiqua" w:hAnsi="Book Antiqua"/>
          <w:bCs/>
          <w:color w:val="auto"/>
          <w:sz w:val="24"/>
          <w:szCs w:val="24"/>
          <w:highlight w:val="white"/>
          <w:lang w:val="en-GB"/>
        </w:rPr>
        <w:fldChar w:fldCharType="separate"/>
      </w:r>
      <w:r w:rsidR="005F5C48" w:rsidRPr="005F5C48">
        <w:rPr>
          <w:rFonts w:ascii="Book Antiqua" w:hAnsi="Book Antiqua"/>
          <w:bCs/>
          <w:noProof/>
          <w:color w:val="auto"/>
          <w:sz w:val="24"/>
          <w:szCs w:val="24"/>
          <w:highlight w:val="white"/>
          <w:vertAlign w:val="superscript"/>
          <w:lang w:val="en-GB"/>
        </w:rPr>
        <w:t>[64]</w:t>
      </w:r>
      <w:r w:rsidR="007D7ACC">
        <w:rPr>
          <w:rFonts w:ascii="Book Antiqua" w:hAnsi="Book Antiqua"/>
          <w:bCs/>
          <w:color w:val="auto"/>
          <w:sz w:val="24"/>
          <w:szCs w:val="24"/>
          <w:highlight w:val="white"/>
          <w:lang w:val="en-GB"/>
        </w:rPr>
        <w:fldChar w:fldCharType="end"/>
      </w:r>
      <w:r w:rsidRPr="00577E50">
        <w:rPr>
          <w:rFonts w:ascii="Book Antiqua" w:hAnsi="Book Antiqua"/>
          <w:bCs/>
          <w:color w:val="auto"/>
          <w:sz w:val="24"/>
          <w:szCs w:val="24"/>
          <w:highlight w:val="white"/>
          <w:lang w:val="en-GB"/>
        </w:rPr>
        <w:t>. Unfortunately, hepatic blood flow, genetically-determined variation of enzymatic function, and different hepatic functionality consequences due to different pathologies, treatments and other external factors (such as drugs, dietary habits, nutritional status and coexisting pathologies) result</w:t>
      </w:r>
      <w:r w:rsidR="00767E94">
        <w:rPr>
          <w:rFonts w:ascii="Book Antiqua" w:hAnsi="Book Antiqua"/>
          <w:bCs/>
          <w:color w:val="auto"/>
          <w:sz w:val="24"/>
          <w:szCs w:val="24"/>
          <w:highlight w:val="white"/>
          <w:lang w:val="en-GB"/>
        </w:rPr>
        <w:t>ed</w:t>
      </w:r>
      <w:r w:rsidRPr="00577E50">
        <w:rPr>
          <w:rFonts w:ascii="Book Antiqua" w:hAnsi="Book Antiqua"/>
          <w:bCs/>
          <w:color w:val="auto"/>
          <w:sz w:val="24"/>
          <w:szCs w:val="24"/>
          <w:highlight w:val="white"/>
          <w:lang w:val="en-GB"/>
        </w:rPr>
        <w:t xml:space="preserve"> in extremely high inter-individual variability and the impossibility in defining reliable cut-off values. Frequently, non-univocal experimental </w:t>
      </w:r>
      <w:r w:rsidR="00767E94">
        <w:rPr>
          <w:rFonts w:ascii="Book Antiqua" w:hAnsi="Book Antiqua"/>
          <w:bCs/>
          <w:color w:val="auto"/>
          <w:sz w:val="24"/>
          <w:szCs w:val="24"/>
          <w:highlight w:val="white"/>
          <w:lang w:val="en-GB"/>
        </w:rPr>
        <w:t>results</w:t>
      </w:r>
      <w:r w:rsidR="00767E94" w:rsidRPr="00577E50">
        <w:rPr>
          <w:rFonts w:ascii="Book Antiqua" w:hAnsi="Book Antiqua"/>
          <w:bCs/>
          <w:color w:val="auto"/>
          <w:sz w:val="24"/>
          <w:szCs w:val="24"/>
          <w:highlight w:val="white"/>
          <w:lang w:val="en-GB"/>
        </w:rPr>
        <w:t xml:space="preserve"> </w:t>
      </w:r>
      <w:r w:rsidR="001352DB">
        <w:rPr>
          <w:rFonts w:ascii="Book Antiqua" w:hAnsi="Book Antiqua"/>
          <w:bCs/>
          <w:color w:val="auto"/>
          <w:sz w:val="24"/>
          <w:szCs w:val="24"/>
          <w:highlight w:val="white"/>
          <w:lang w:val="en-GB"/>
        </w:rPr>
        <w:t xml:space="preserve">and time-consuming techniques </w:t>
      </w:r>
      <w:r w:rsidRPr="00577E50">
        <w:rPr>
          <w:rFonts w:ascii="Book Antiqua" w:hAnsi="Book Antiqua"/>
          <w:bCs/>
          <w:color w:val="auto"/>
          <w:sz w:val="24"/>
          <w:szCs w:val="24"/>
          <w:highlight w:val="white"/>
          <w:lang w:val="en-GB"/>
        </w:rPr>
        <w:t xml:space="preserve">discouraged further clinical experimentation, and </w:t>
      </w:r>
      <w:r w:rsidR="00767E94">
        <w:rPr>
          <w:rFonts w:ascii="Book Antiqua" w:hAnsi="Book Antiqua"/>
          <w:bCs/>
          <w:color w:val="auto"/>
          <w:sz w:val="24"/>
          <w:szCs w:val="24"/>
          <w:highlight w:val="white"/>
          <w:lang w:val="en-GB"/>
        </w:rPr>
        <w:t>they</w:t>
      </w:r>
      <w:r w:rsidR="00767E94" w:rsidRPr="00577E50">
        <w:rPr>
          <w:rFonts w:ascii="Book Antiqua" w:hAnsi="Book Antiqua"/>
          <w:bCs/>
          <w:color w:val="auto"/>
          <w:sz w:val="24"/>
          <w:szCs w:val="24"/>
          <w:highlight w:val="white"/>
          <w:lang w:val="en-GB"/>
        </w:rPr>
        <w:t xml:space="preserve"> </w:t>
      </w:r>
      <w:r w:rsidRPr="00577E50">
        <w:rPr>
          <w:rFonts w:ascii="Book Antiqua" w:hAnsi="Book Antiqua"/>
          <w:bCs/>
          <w:color w:val="auto"/>
          <w:sz w:val="24"/>
          <w:szCs w:val="24"/>
          <w:highlight w:val="white"/>
          <w:lang w:val="en-GB"/>
        </w:rPr>
        <w:t>never reached bedside utilisation.</w:t>
      </w:r>
    </w:p>
    <w:p w14:paraId="36200B08" w14:textId="092A13F4" w:rsidR="006D2F86" w:rsidRDefault="006D2F86" w:rsidP="00422EBA">
      <w:pPr>
        <w:adjustRightInd w:val="0"/>
        <w:snapToGrid w:val="0"/>
        <w:spacing w:after="0" w:line="360" w:lineRule="auto"/>
        <w:ind w:firstLineChars="200" w:firstLine="480"/>
        <w:jc w:val="both"/>
        <w:rPr>
          <w:rFonts w:ascii="Book Antiqua" w:eastAsiaTheme="minorEastAsia" w:hAnsi="Book Antiqua"/>
          <w:color w:val="auto"/>
          <w:sz w:val="24"/>
          <w:szCs w:val="24"/>
          <w:lang w:val="en-GB" w:eastAsia="zh-CN"/>
        </w:rPr>
      </w:pPr>
      <w:r w:rsidRPr="00577E50">
        <w:rPr>
          <w:rFonts w:ascii="Book Antiqua" w:hAnsi="Book Antiqua"/>
          <w:color w:val="auto"/>
          <w:sz w:val="24"/>
          <w:szCs w:val="24"/>
          <w:lang w:val="en-GB"/>
        </w:rPr>
        <w:t xml:space="preserve">Other breath tests based on stable isotopes </w:t>
      </w:r>
      <w:r w:rsidR="005F5C48">
        <w:rPr>
          <w:rFonts w:ascii="Book Antiqua" w:hAnsi="Book Antiqua"/>
          <w:color w:val="auto"/>
          <w:sz w:val="24"/>
          <w:szCs w:val="24"/>
          <w:lang w:val="en-GB"/>
        </w:rPr>
        <w:t xml:space="preserve">or </w:t>
      </w:r>
      <w:r w:rsidR="005F5C48" w:rsidRPr="00577E50">
        <w:rPr>
          <w:rFonts w:ascii="Book Antiqua" w:hAnsi="Book Antiqua"/>
          <w:color w:val="auto"/>
          <w:sz w:val="24"/>
          <w:szCs w:val="24"/>
          <w:lang w:val="en-GB"/>
        </w:rPr>
        <w:t xml:space="preserve">on specific mitochondrial functions </w:t>
      </w:r>
      <w:r w:rsidRPr="00577E50">
        <w:rPr>
          <w:rFonts w:ascii="Book Antiqua" w:hAnsi="Book Antiqua"/>
          <w:color w:val="auto"/>
          <w:sz w:val="24"/>
          <w:szCs w:val="24"/>
          <w:lang w:val="en-GB"/>
        </w:rPr>
        <w:t>were proposed to assess liver function capacity</w:t>
      </w:r>
      <w:r w:rsidR="005F5C48">
        <w:rPr>
          <w:rFonts w:ascii="Book Antiqua" w:hAnsi="Book Antiqua"/>
          <w:color w:val="auto"/>
          <w:sz w:val="24"/>
          <w:szCs w:val="24"/>
          <w:lang w:val="en-GB"/>
        </w:rPr>
        <w:t>,</w:t>
      </w:r>
      <w:r w:rsidR="005F5C48" w:rsidRPr="00577E50">
        <w:rPr>
          <w:rFonts w:ascii="Book Antiqua" w:hAnsi="Book Antiqua"/>
          <w:color w:val="auto"/>
          <w:sz w:val="24"/>
          <w:szCs w:val="24"/>
          <w:lang w:val="en-GB"/>
        </w:rPr>
        <w:t xml:space="preserve"> </w:t>
      </w:r>
      <w:r w:rsidR="005F5C48">
        <w:rPr>
          <w:rFonts w:ascii="Book Antiqua" w:hAnsi="Book Antiqua"/>
          <w:color w:val="auto"/>
          <w:sz w:val="24"/>
          <w:szCs w:val="24"/>
          <w:lang w:val="en-GB"/>
        </w:rPr>
        <w:t>but m</w:t>
      </w:r>
      <w:r w:rsidRPr="00577E50">
        <w:rPr>
          <w:rFonts w:ascii="Book Antiqua" w:hAnsi="Book Antiqua"/>
          <w:color w:val="auto"/>
          <w:sz w:val="24"/>
          <w:szCs w:val="24"/>
          <w:lang w:val="en-GB"/>
        </w:rPr>
        <w:t>ost of these techniques have never been used in specific correlation with the assessment of liver transplant patients and graft function</w:t>
      </w:r>
      <w:r w:rsidR="00C17DDB">
        <w:rPr>
          <w:rFonts w:ascii="Book Antiqua" w:hAnsi="Book Antiqua"/>
          <w:color w:val="auto"/>
          <w:sz w:val="24"/>
          <w:szCs w:val="24"/>
          <w:lang w:val="en-GB"/>
        </w:rPr>
        <w:fldChar w:fldCharType="begin" w:fldLock="1"/>
      </w:r>
      <w:r w:rsidR="00C17DDB">
        <w:rPr>
          <w:rFonts w:ascii="Book Antiqua" w:hAnsi="Book Antiqua"/>
          <w:color w:val="auto"/>
          <w:sz w:val="24"/>
          <w:szCs w:val="24"/>
          <w:lang w:val="en-GB"/>
        </w:rPr>
        <w:instrText>ADDIN CSL_CITATION { "citationItems" : [ { "id" : "ITEM-1", "itemData" : { "ISSN" : "0269-2813", "PMID" : "12452932", "abstract" : "Carbon-labelled breath tests were proposed as tools for the evaluation of human liver function 30 years ago, but have never become part of clinical routine. One reason for this is the complex role of the liver in metabolic regulation, making it difficult to provide essential information for the management of patients with liver disease with a single test and to satisfy the hepatology community. As a result, a battery of breath tests have been developed. Depending on the test compound administered, different metabolic pathways (microsomal, cytosolic, mitochondrial) can be examined. Most available data come from microsomal function tests, whilst information about cytosolic and mitochondrial liver function is more limited. However, breath tests have shown promise in some studies, in particular to predict the outcome of patients with chronic liver disease or to monitor hepatic function after treatment. Whilst we await new substrates that can be used to measure liver function in a more valid manner, and large prospective studies to assess the usefulness of available test compounds, the aim of this review is to describe how far we have come in this controversial and unresolved issue.", "author" : [ { "dropping-particle" : "", "family" : "Armuzzi", "given" : "A", "non-dropping-particle" : "", "parse-names" : false, "suffix" : "" }, { "dropping-particle" : "", "family" : "Candelli", "given" : "M", "non-dropping-particle" : "", "parse-names" : false, "suffix" : "" }, { "dropping-particle" : "", "family" : "Zocco", "given" : "M A", "non-dropping-particle" : "", "parse-names" : false, "suffix" : "" }, { "dropping-particle" : "", "family" : "Andreoli", "given" : "A", "non-dropping-particle" : "", "parse-names" : false, "suffix" : "" }, { "dropping-particle" : "", "family" : "Lorenzo", "given" : "A", "non-dropping-particle" : "De", "parse-names" : false, "suffix" : "" }, { "dropping-particle" : "", "family" : "Nista", "given" : "E C", "non-dropping-particle" : "", "parse-names" : false, "suffix" : "" }, { "dropping-particle" : "", "family" : "Miele", "given" : "L", "non-dropping-particle" : "", "parse-names" : false, "suffix" : "" }, { "dropping-particle" : "", "family" : "Cremonini", "given" : "F", "non-dropping-particle" : "", "parse-names" : false, "suffix" : "" }, { "dropping-particle" : "", "family" : "Cazzato", "given" : "I A", "non-dropping-particle" : "", "parse-names" : false, "suffix" : "" }, { "dropping-particle" : "", "family" : "Grieco", "given" : "A", "non-dropping-particle" : "", "parse-names" : false, "suffix" : "" }, { "dropping-particle" : "", "family" : "Gasbarrini", "given" : "G", "non-dropping-particle" : "", "parse-names" : false, "suffix" : "" }, { "dropping-particle" : "", "family" : "Gasbarrini", "given" : "A", "non-dropping-particle" : "", "parse-names" : false, "suffix" : "" } ], "container-title" : "Alimentary pharmacology &amp; therapeutics", "id" : "ITEM-1", "issue" : "12", "issued" : { "date-parts" : [ [ "2002", "12" ] ] }, "page" : "1977-96", "title" : "Review article: breath testing for human liver function assessment.", "type" : "article-journal", "volume" : "16" }, "uris" : [ "http://www.mendeley.com/documents/?uuid=eeaa1c5b-89b7-47f8-aeaa-6708a935e900" ] } ], "mendeley" : { "formattedCitation" : "&lt;sup&gt;[65]&lt;/sup&gt;", "plainTextFormattedCitation" : "[65]", "previouslyFormattedCitation" : "&lt;sup&gt;[65]&lt;/sup&gt;" }, "properties" : { "noteIndex" : 0 }, "schema" : "https://github.com/citation-style-language/schema/raw/master/csl-citation.json" }</w:instrText>
      </w:r>
      <w:r w:rsidR="00C17DDB">
        <w:rPr>
          <w:rFonts w:ascii="Book Antiqua" w:hAnsi="Book Antiqua"/>
          <w:color w:val="auto"/>
          <w:sz w:val="24"/>
          <w:szCs w:val="24"/>
          <w:lang w:val="en-GB"/>
        </w:rPr>
        <w:fldChar w:fldCharType="separate"/>
      </w:r>
      <w:r w:rsidR="00C17DDB" w:rsidRPr="005F5C48">
        <w:rPr>
          <w:rFonts w:ascii="Book Antiqua" w:hAnsi="Book Antiqua"/>
          <w:noProof/>
          <w:color w:val="auto"/>
          <w:sz w:val="24"/>
          <w:szCs w:val="24"/>
          <w:vertAlign w:val="superscript"/>
          <w:lang w:val="en-GB"/>
        </w:rPr>
        <w:t>[65]</w:t>
      </w:r>
      <w:r w:rsidR="00C17DDB">
        <w:rPr>
          <w:rFonts w:ascii="Book Antiqua" w:hAnsi="Book Antiqua"/>
          <w:color w:val="auto"/>
          <w:sz w:val="24"/>
          <w:szCs w:val="24"/>
          <w:lang w:val="en-GB"/>
        </w:rPr>
        <w:fldChar w:fldCharType="end"/>
      </w:r>
      <w:r w:rsidRPr="00577E50">
        <w:rPr>
          <w:rFonts w:ascii="Book Antiqua" w:hAnsi="Book Antiqua"/>
          <w:color w:val="auto"/>
          <w:sz w:val="24"/>
          <w:szCs w:val="24"/>
          <w:lang w:val="en-GB"/>
        </w:rPr>
        <w:t>.</w:t>
      </w:r>
      <w:r w:rsidR="00C17DDB">
        <w:rPr>
          <w:rFonts w:ascii="Book Antiqua" w:eastAsiaTheme="minorEastAsia" w:hAnsi="Book Antiqua" w:hint="eastAsia"/>
          <w:color w:val="auto"/>
          <w:sz w:val="24"/>
          <w:szCs w:val="24"/>
          <w:lang w:val="en-GB" w:eastAsia="zh-CN"/>
        </w:rPr>
        <w:t xml:space="preserve"> </w:t>
      </w:r>
    </w:p>
    <w:p w14:paraId="04944C77" w14:textId="77777777" w:rsidR="00E35182" w:rsidRPr="00E35182" w:rsidRDefault="00E35182" w:rsidP="00422EBA">
      <w:pPr>
        <w:adjustRightInd w:val="0"/>
        <w:snapToGrid w:val="0"/>
        <w:spacing w:after="0" w:line="360" w:lineRule="auto"/>
        <w:jc w:val="both"/>
        <w:rPr>
          <w:rFonts w:eastAsiaTheme="minorEastAsia"/>
          <w:color w:val="auto"/>
          <w:lang w:val="en-GB" w:eastAsia="zh-CN"/>
        </w:rPr>
      </w:pPr>
    </w:p>
    <w:p w14:paraId="106FC68E" w14:textId="6E98BF89" w:rsidR="00577E50" w:rsidRPr="00C17DDB" w:rsidRDefault="00577E50" w:rsidP="00422EBA">
      <w:pPr>
        <w:adjustRightInd w:val="0"/>
        <w:snapToGrid w:val="0"/>
        <w:spacing w:after="0" w:line="360" w:lineRule="auto"/>
        <w:jc w:val="both"/>
        <w:rPr>
          <w:rFonts w:ascii="Book Antiqua" w:hAnsi="Book Antiqua"/>
          <w:b/>
          <w:caps/>
          <w:sz w:val="24"/>
          <w:szCs w:val="24"/>
          <w:lang w:val="en-GB"/>
        </w:rPr>
      </w:pPr>
      <w:r w:rsidRPr="00C17DDB">
        <w:rPr>
          <w:rFonts w:ascii="Book Antiqua" w:hAnsi="Book Antiqua"/>
          <w:b/>
          <w:caps/>
          <w:sz w:val="24"/>
          <w:szCs w:val="24"/>
          <w:lang w:val="en-GB"/>
        </w:rPr>
        <w:t>Platelet counts</w:t>
      </w:r>
    </w:p>
    <w:p w14:paraId="2B20ED7C" w14:textId="53F6DB0B" w:rsidR="00577E50" w:rsidRDefault="00577E50" w:rsidP="00422EBA">
      <w:pPr>
        <w:adjustRightInd w:val="0"/>
        <w:snapToGrid w:val="0"/>
        <w:spacing w:after="0" w:line="360" w:lineRule="auto"/>
        <w:jc w:val="both"/>
        <w:rPr>
          <w:rFonts w:ascii="Book Antiqua" w:hAnsi="Book Antiqua"/>
          <w:sz w:val="24"/>
          <w:szCs w:val="24"/>
          <w:lang w:val="en-GB"/>
        </w:rPr>
      </w:pPr>
      <w:r>
        <w:rPr>
          <w:rFonts w:ascii="Book Antiqua" w:hAnsi="Book Antiqua"/>
          <w:sz w:val="24"/>
          <w:szCs w:val="24"/>
          <w:lang w:val="en-GB"/>
        </w:rPr>
        <w:t xml:space="preserve">Platelets are a blood component </w:t>
      </w:r>
      <w:r w:rsidR="000D2522">
        <w:rPr>
          <w:rFonts w:ascii="Book Antiqua" w:hAnsi="Book Antiqua"/>
          <w:sz w:val="24"/>
          <w:szCs w:val="24"/>
          <w:lang w:val="en-GB"/>
        </w:rPr>
        <w:t>with</w:t>
      </w:r>
      <w:r>
        <w:rPr>
          <w:rFonts w:ascii="Book Antiqua" w:hAnsi="Book Antiqua"/>
          <w:sz w:val="24"/>
          <w:szCs w:val="24"/>
          <w:lang w:val="en-GB"/>
        </w:rPr>
        <w:t xml:space="preserve"> a wide range of acute conditions, including inflammation, infections, tissue insults from I/R injury and tissue regeneration</w:t>
      </w:r>
      <w:r w:rsidR="000D2522">
        <w:rPr>
          <w:rFonts w:ascii="Book Antiqua" w:hAnsi="Book Antiqua"/>
          <w:sz w:val="24"/>
          <w:szCs w:val="24"/>
          <w:lang w:val="en-GB"/>
        </w:rPr>
        <w:t>, acting an active role</w:t>
      </w:r>
      <w:r>
        <w:rPr>
          <w:rFonts w:ascii="Book Antiqua" w:hAnsi="Book Antiqua"/>
          <w:sz w:val="24"/>
          <w:szCs w:val="24"/>
          <w:lang w:val="en-GB"/>
        </w:rPr>
        <w:t xml:space="preserve"> in LT</w:t>
      </w:r>
      <w:r w:rsidR="00C17DDB">
        <w:rPr>
          <w:rFonts w:ascii="Book Antiqua" w:hAnsi="Book Antiqua"/>
          <w:sz w:val="24"/>
          <w:szCs w:val="24"/>
          <w:lang w:val="en-GB"/>
        </w:rPr>
        <w:fldChar w:fldCharType="begin" w:fldLock="1"/>
      </w:r>
      <w:r w:rsidR="00C17DDB">
        <w:rPr>
          <w:rFonts w:ascii="Book Antiqua" w:hAnsi="Book Antiqua"/>
          <w:sz w:val="24"/>
          <w:szCs w:val="24"/>
          <w:lang w:val="en-GB"/>
        </w:rPr>
        <w:instrText>ADDIN CSL_CITATION { "citationItems" : [ { "id" : "ITEM-1", "itemData" : { "DOI" : "10.1002/lt.21510", "ISSN" : "1527-6473", "PMID" : "18581510", "abstract" : "Apart from the well-known role of blood platelets in hemostasis, there is emerging evidence that platelets have various nonhemostatic properties that play a critical role in inflammation, angiogenesis, tissue repair and regeneration, and ischemia/reperfusion (I/R) injury. All these processes may be involved in the (patho)physiological alterations occurring in patients undergoing liver transplantation. Experimental and clinical research points toward a dualistic role of platelets in patients undergoing liver transplantation, resulting in both beneficial and detrimental effects. Although a low platelet count is generally considered a risk factor for perioperative bleeding, recent studies have indicated that platelet function in patients with cirrhosis may not be as abnormal as previously assumed. Platelet transfusions are frequently considered in liver transplant recipients to correct low platelet counts and to prevent bleeding; however, evidence-based transfusion thresholds are lacking, and the other detrimental and nonhemostatic properties of platelets are generally not weighed in this respect. First, platelets have been shown to contribute to I/R injury of the liver graft via induction of sinusoidal endothelial cell apoptosis. Second, platelet transfusion has been identified as an independent risk factor for reduced survival via mechanisms that are not completely understood yet. On the other hand, recent studies indicate that platelets are critically involved in restoration after liver injury and in liver regeneration via serotonin-mediated mechanisms. These findings make platelets both friend and foe in liver transplantation. The scientific challenge will be to further dissect the mechanisms and clinical relevance of these contrasting roles of platelets in liver transplantation.", "author" : [ { "dropping-particle" : "", "family" : "Pereboom", "given" : "Ilona T A", "non-dropping-particle" : "", "parse-names" : false, "suffix" : "" }, { "dropping-particle" : "", "family" : "Lisman", "given" : "Ton", "non-dropping-particle" : "", "parse-names" : false, "suffix" : "" }, { "dropping-particle" : "", "family" : "Porte", "given" : "Robert J", "non-dropping-particle" : "", "parse-names" : false, "suffix" : "" } ], "container-title" : "Liver transplantation : official publication of the American Association for the Study of Liver Diseases and the International Liver Transplantation Society", "id" : "ITEM-1", "issue" : "7", "issued" : { "date-parts" : [ [ "2008", "7" ] ] }, "page" : "923-31", "title" : "Platelets in liver transplantation: friend or foe?", "type" : "article-journal", "volume" : "14" }, "uris" : [ "http://www.mendeley.com/documents/?uuid=918573cd-d7d1-4c38-ac65-50b20448e506" ] } ], "mendeley" : { "formattedCitation" : "&lt;sup&gt;[66]&lt;/sup&gt;", "plainTextFormattedCitation" : "[66]", "previouslyFormattedCitation" : "&lt;sup&gt;[66]&lt;/sup&gt;" }, "properties" : { "noteIndex" : 0 }, "schema" : "https://github.com/citation-style-language/schema/raw/master/csl-citation.json" }</w:instrText>
      </w:r>
      <w:r w:rsidR="00C17DDB">
        <w:rPr>
          <w:rFonts w:ascii="Book Antiqua" w:hAnsi="Book Antiqua"/>
          <w:sz w:val="24"/>
          <w:szCs w:val="24"/>
          <w:lang w:val="en-GB"/>
        </w:rPr>
        <w:fldChar w:fldCharType="separate"/>
      </w:r>
      <w:r w:rsidR="00C17DDB" w:rsidRPr="00CD2CDC">
        <w:rPr>
          <w:rFonts w:ascii="Book Antiqua" w:hAnsi="Book Antiqua"/>
          <w:noProof/>
          <w:sz w:val="24"/>
          <w:szCs w:val="24"/>
          <w:vertAlign w:val="superscript"/>
          <w:lang w:val="en-GB"/>
        </w:rPr>
        <w:t>[66]</w:t>
      </w:r>
      <w:r w:rsidR="00C17DDB">
        <w:rPr>
          <w:rFonts w:ascii="Book Antiqua" w:hAnsi="Book Antiqua"/>
          <w:sz w:val="24"/>
          <w:szCs w:val="24"/>
          <w:lang w:val="en-GB"/>
        </w:rPr>
        <w:fldChar w:fldCharType="end"/>
      </w:r>
      <w:r w:rsidR="00103660">
        <w:rPr>
          <w:rFonts w:ascii="Book Antiqua" w:hAnsi="Book Antiqua"/>
          <w:sz w:val="24"/>
          <w:szCs w:val="24"/>
          <w:lang w:val="en-GB"/>
        </w:rPr>
        <w:t xml:space="preserve">. </w:t>
      </w:r>
      <w:r>
        <w:rPr>
          <w:rFonts w:ascii="Book Antiqua" w:hAnsi="Book Antiqua"/>
          <w:sz w:val="24"/>
          <w:szCs w:val="24"/>
          <w:lang w:val="en-GB"/>
        </w:rPr>
        <w:t>LT candidates frequently present low platelet counts due to congested splanchnic circulation, increased mechanical stress and reduced bone marrow activity. These causes are not immediately reverted by LT</w:t>
      </w:r>
      <w:r w:rsidR="00C17DDB">
        <w:rPr>
          <w:rFonts w:ascii="Book Antiqua" w:hAnsi="Book Antiqua"/>
          <w:sz w:val="24"/>
          <w:szCs w:val="24"/>
          <w:lang w:val="en-GB"/>
        </w:rPr>
        <w:fldChar w:fldCharType="begin" w:fldLock="1"/>
      </w:r>
      <w:r w:rsidR="00C17DDB">
        <w:rPr>
          <w:rFonts w:ascii="Book Antiqua" w:hAnsi="Book Antiqua"/>
          <w:sz w:val="24"/>
          <w:szCs w:val="24"/>
          <w:lang w:val="en-GB"/>
        </w:rPr>
        <w:instrText>ADDIN CSL_CITATION { "citationItems" : [ { "id" : "ITEM-1", "itemData" : { "DOI" : "10.1016/j.jhep.2007.06.012", "ISSN" : "0168-8278", "PMID" : "17716776", "abstract" : "BACKGROUND/AIMS: Thrombocytopenia is common after liver transplantation due to platelet sequestration secondary to hypersplenism. The aim of this study was to further investigate the causes of this condition, as well as the response of thrombocytopenia to high dose intravenous immunoglobulins. METHODS: We retrospectively studied 73 patients who underwent liver transplantation. Out of these 73 patients, 27 had severe thrombocytopenia and were treated with high dose intravenous immunoglobulin. Additionally, we retrospectively studied 8 patients undergoing liver transplantation. RESULTS: Our data suggest that splenomegaly is not the only factor responsible for thrombocytopenia after liver transplantion and two additional phenomena, namely, reduced platelet production due to reduced thrombopoietin levels and sustained platelets activation take part in the pathogenesis of this condition. The infusion of high dose immunoglobulins induced a safe, prompt, complete and persistent resolution of severe thrombocytopenia in more than 70% of patients. CONCLUSIONS: Based on these findings, treatment with high dose intravenous immunoglobulins should be considered in the management of severe thrombocytopenia after liver transplant, although additional randomized trials are warranted.", "author" : [ { "dropping-particle" : "", "family" : "Nascimbene", "given" : "Angelo", "non-dropping-particle" : "", "parse-names" : false, "suffix" : "" }, { "dropping-particle" : "", "family" : "Iannacone", "given" : "Matteo", "non-dropping-particle" : "", "parse-names" : false, "suffix" : "" }, { "dropping-particle" : "", "family" : "Brando", "given" : "Bruno", "non-dropping-particle" : "", "parse-names" : false, "suffix" : "" }, { "dropping-particle" : "", "family" : "Gasperi", "given" : "Andrea", "non-dropping-particle" : "De", "parse-names" : false, "suffix" : "" } ], "container-title" : "Journal of hepatology", "id" : "ITEM-1", "issue" : "5", "issued" : { "date-parts" : [ [ "2007", "11" ] ] }, "page" : "651-7", "title" : "Acute thrombocytopenia after liver transplant: role of platelet activation, thrombopoietin deficiency and response to high dose intravenous IgG treatment.", "type" : "article-journal", "volume" : "47" }, "uris" : [ "http://www.mendeley.com/documents/?uuid=39f54f8c-fc21-47ff-a354-872fdfea597d" ] } ], "mendeley" : { "formattedCitation" : "&lt;sup&gt;[67]&lt;/sup&gt;", "plainTextFormattedCitation" : "[67]", "previouslyFormattedCitation" : "&lt;sup&gt;[67]&lt;/sup&gt;" }, "properties" : { "noteIndex" : 0 }, "schema" : "https://github.com/citation-style-language/schema/raw/master/csl-citation.json" }</w:instrText>
      </w:r>
      <w:r w:rsidR="00C17DDB">
        <w:rPr>
          <w:rFonts w:ascii="Book Antiqua" w:hAnsi="Book Antiqua"/>
          <w:sz w:val="24"/>
          <w:szCs w:val="24"/>
          <w:lang w:val="en-GB"/>
        </w:rPr>
        <w:fldChar w:fldCharType="separate"/>
      </w:r>
      <w:r w:rsidR="00C17DDB" w:rsidRPr="00CD2CDC">
        <w:rPr>
          <w:rFonts w:ascii="Book Antiqua" w:hAnsi="Book Antiqua"/>
          <w:noProof/>
          <w:sz w:val="24"/>
          <w:szCs w:val="24"/>
          <w:vertAlign w:val="superscript"/>
          <w:lang w:val="en-GB"/>
        </w:rPr>
        <w:t>[67]</w:t>
      </w:r>
      <w:r w:rsidR="00C17DDB">
        <w:rPr>
          <w:rFonts w:ascii="Book Antiqua" w:hAnsi="Book Antiqua"/>
          <w:sz w:val="24"/>
          <w:szCs w:val="24"/>
          <w:lang w:val="en-GB"/>
        </w:rPr>
        <w:fldChar w:fldCharType="end"/>
      </w:r>
      <w:r w:rsidR="00103660">
        <w:rPr>
          <w:rFonts w:ascii="Book Antiqua" w:hAnsi="Book Antiqua"/>
          <w:sz w:val="24"/>
          <w:szCs w:val="24"/>
          <w:lang w:val="en-GB"/>
        </w:rPr>
        <w:t>.</w:t>
      </w:r>
      <w:r w:rsidR="00C17DDB">
        <w:rPr>
          <w:rFonts w:ascii="Book Antiqua" w:hAnsi="Book Antiqua"/>
          <w:sz w:val="24"/>
          <w:szCs w:val="24"/>
          <w:lang w:val="en-GB"/>
        </w:rPr>
        <w:t xml:space="preserve"> </w:t>
      </w:r>
    </w:p>
    <w:p w14:paraId="294374DB" w14:textId="1D70C0F4" w:rsidR="00577E50" w:rsidRDefault="00577E50" w:rsidP="00422EBA">
      <w:pPr>
        <w:adjustRightInd w:val="0"/>
        <w:snapToGrid w:val="0"/>
        <w:spacing w:after="0" w:line="360" w:lineRule="auto"/>
        <w:ind w:firstLineChars="200" w:firstLine="480"/>
        <w:jc w:val="both"/>
        <w:rPr>
          <w:rFonts w:ascii="Book Antiqua" w:hAnsi="Book Antiqua"/>
          <w:sz w:val="24"/>
          <w:szCs w:val="24"/>
          <w:lang w:val="en-GB"/>
        </w:rPr>
      </w:pPr>
      <w:r>
        <w:rPr>
          <w:rFonts w:ascii="Book Antiqua" w:hAnsi="Book Antiqua"/>
          <w:sz w:val="24"/>
          <w:szCs w:val="24"/>
          <w:lang w:val="en-GB"/>
        </w:rPr>
        <w:t>Interestingly, red blood cells</w:t>
      </w:r>
      <w:r w:rsidR="00A96F6C">
        <w:rPr>
          <w:rFonts w:ascii="Book Antiqua" w:hAnsi="Book Antiqua"/>
          <w:sz w:val="24"/>
          <w:szCs w:val="24"/>
          <w:lang w:val="en-GB"/>
        </w:rPr>
        <w:t>, plasma</w:t>
      </w:r>
      <w:r>
        <w:rPr>
          <w:rFonts w:ascii="Book Antiqua" w:hAnsi="Book Antiqua"/>
          <w:sz w:val="24"/>
          <w:szCs w:val="24"/>
          <w:lang w:val="en-GB"/>
        </w:rPr>
        <w:t xml:space="preserve"> and platelet transfusions have been correlated with negative outcome after LT and might be associated with a lower nadir in postoperative platelet count</w:t>
      </w:r>
      <w:r w:rsidR="00C17DDB">
        <w:rPr>
          <w:rFonts w:ascii="Book Antiqua" w:hAnsi="Book Antiqua"/>
          <w:sz w:val="24"/>
          <w:szCs w:val="24"/>
          <w:lang w:val="en-GB"/>
        </w:rPr>
        <w:fldChar w:fldCharType="begin" w:fldLock="1"/>
      </w:r>
      <w:r w:rsidR="00C17DDB">
        <w:rPr>
          <w:rFonts w:ascii="Book Antiqua" w:hAnsi="Book Antiqua"/>
          <w:sz w:val="24"/>
          <w:szCs w:val="24"/>
          <w:lang w:val="en-GB"/>
        </w:rPr>
        <w:instrText>ADDIN CSL_CITATION { "citationItems" : [ { "id" : "ITEM-1", "itemData" : { "ISSN" : "0041-1337", "PMID" : "10653383", "abstract" : "BACKGROUND: Thrombocytopenia is a frequent and potentially serious complication in liver transplant recipients. The role of endogenous thrombopoietin level in posttransplant thrombocytopenia, has not been fully defined in liver transplant recipients. Additionally, there is accumulating evidence to suggest that platelets play a important role in antimicrobial host defense.\n\nMETHODS: There were 50 consecutive liver transplant recipients studied. Variables predictive of thrombocytopenia, its impact on infectious morbidity and outcome, and serial thrombopoietin (TPO) serum concentration were assessed.\n\nRESULTS: The median pretransplant platelet count was 67 x 10(3)/cmm. After the liver transplantation, the median nadir platelet count was 33 x 10(3)/cmm and was reached a mean of 6 days after the transplant. A lower pretransplant platelet count (r= +.068, P=.0001), lower serum albumin before the transplants (r=+0.39, P=.014), longer operation time (r=0.27, P=.05), higher intraoperative packed red cells (r=0.28, P=.049) and fresh frozen plasma transfusions (r=0.42, P=.004), higher bilirubin at Day 7 (r=-.386, P=.005), and higher serum creatinine at Day 7 after the transplants (r=-.031, P=.025) correlated significantly with a lower nadir in platelets after the transplant. Nadir in platelet count was significantly lower in nonsurvivors compared with survivors (16 vs. 36 x 10(3)/cmm, P=.0001). Forty-three percent (9 of 21) of the patients with nadir platelet counts of &lt; or =30 x 10(3)/cmm had a major infection within 30 days of the transplant compared with 17% (5 of 29) with nadir platelet counts &gt; 30 x 10(3)/cmm (P=.04). Fungal infections occurred in 14% of the patients with nadir platelet counts of &lt; or =30 x 10(3)/cmm versus 0% in those with nadir platelet counts of &gt; 30 x 10(3)/cmm (P=.06); all patients with fungal infections had nadir platelet counts of &lt; or =30 x 10(3)/cmm before fungal infection. Nadir in platelet count preceded the first major infection by a median of 7 days. Pretransplant TPO level did not differ between survivors (mean 103 pg/ml) or nonsurvivors (mean 144 pg/ml). After the transplantation, TPO levels increased in both groups. TPO level peaked at Day 7 and subsequently declined in survivors. Nonsurvivors had persistent thrombocytopenia despite a progressive rise in TPO level; TPO level was significantly higher at Day 7 (P=.02), Day 9 (P=.0019), and Day 14 (P=.04) in nonsurvivors compared with survivors.\n\nCONCLUSION: Persistent thrombocyt\u2026", "author" : [ { "dropping-particle" : "", "family" : "Chang", "given" : "F Y", "non-dropping-particle" : "", "parse-names" : false, "suffix" : "" }, { "dropping-particle" : "", "family" : "Singh", "given" : "N", "non-dropping-particle" : "", "parse-names" : false, "suffix" : "" }, { "dropping-particle" : "", "family" : "Gayowski", "given" : "T", "non-dropping-particle" : "", "parse-names" : false, "suffix" : "" }, { "dropping-particle" : "", "family" : "Wagener", "given" : "M M", "non-dropping-particle" : "", "parse-names" : false, "suffix" : "" }, { "dropping-particle" : "", "family" : "Mietzner", "given" : "S M", "non-dropping-particle" : "", "parse-names" : false, "suffix" : "" }, { "dropping-particle" : "", "family" : "Stout", "given" : "J E", "non-dropping-particle" : "", "parse-names" : false, "suffix" : "" }, { "dropping-particle" : "", "family" : "Marino", "given" : "I R", "non-dropping-particle" : "", "parse-names" : false, "suffix" : "" } ], "container-title" : "Transplantation", "id" : "ITEM-1", "issue" : "1", "issued" : { "date-parts" : [ [ "2000", "1", "15" ] ] }, "page" : "70-5", "title" : "Thrombocytopenia in liver transplant recipients: predictors, impact on fungal infections, and role of endogenous thrombopoietin.", "type" : "article-journal", "volume" : "69" }, "uris" : [ "http://www.mendeley.com/documents/?uuid=3c953401-c686-4c34-b046-245924229353" ] }, { "id" : "ITEM-2", "itemData" : { "DOI" : "10.1213/01.ane.0000289638.26666.ed", "ISSN" : "1526-7598", "PMID" : "18165548", "abstract" : "BACKGROUND: Intraoperative transfusion of red blood cells (RBC) is associated with adverse outcome after orthotopic liver transplantation (OLT). Although experimental studies have shown that platelets contribute to reperfusion injury of the liver, the influence of allogeneic platelet transfusion on outcome has not been studied in detail. In this study, we evaluate the impact of various blood products on outcome after OLT. METHODS: Twenty-nine variables, including blood product transfusions, were studied in relation to outcome in 433 adult patients undergoing a first OLT between 1989 and 2004. Data were analyzed using uni- and multivariate stepwise Cox's proportional hazards analyses, as well as propensity score-adjusted analyses for platelet transfusion to control for selection bias in the use of blood products. RESULTS: The proportion of patients receiving transfusion of any blood component decreased from 100% in the period 1989-1996 to 74% in the period 1997-2004. In uni- and multivariate analyses, the indication for transplantation, transfusion of platelets and RBC were highly dominant in predicting 1-yr patient survival. These risk factors were independent from well-accepted indices of disease, such as the Model for End-Stage Liver Disease score and Karnofsky score. The effect on 1-yr survival was dose-related with a hazard ratio of 1.377 per unit of platelets (P = 0.01) and 1.057 per unit of RBC (P = 0.001). The negative impact of platelet transfusion on survival was confirmed by propensity-adjusted analysis. CONCLUSION: This retrospective study indicates that, in addition to RBC, platelet transfusions are an independent risk factor for survival after OLT. These findings have important implications for transfusion practice in liver transplant recipients.", "author" : [ { "dropping-particle" : "", "family" : "Boer", "given" : "Marieke T", "non-dropping-particle" : "de", "parse-names" : false, "suffix" : "" }, { "dropping-particle" : "", "family" : "Christensen", "given" : "Michael C", "non-dropping-particle" : "", "parse-names" : false, "suffix" : "" }, { "dropping-particle" : "", "family" : "Asmussen", "given" : "Mikael", "non-dropping-particle" : "", "parse-names" : false, "suffix" : "" }, { "dropping-particle" : "", "family" : "Hilst", "given" : "Christian S", "non-dropping-particle" : "van der", "parse-names" : false, "suffix" : "" }, { "dropping-particle" : "", "family" : "Hendriks", "given" : "Herman G D", "non-dropping-particle" : "", "parse-names" : false, "suffix" : "" }, { "dropping-particle" : "", "family" : "Slooff", "given" : "Maarten J H", "non-dropping-particle" : "", "parse-names" : false, "suffix" : "" }, { "dropping-particle" : "", "family" : "Porte", "given" : "Robert J", "non-dropping-particle" : "", "parse-names" : false, "suffix" : "" } ], "container-title" : "Anesthesia and analgesia", "id" : "ITEM-2", "issue" : "1", "issued" : { "date-parts" : [ [ "2008", "1" ] ] }, "page" : "32-44, table of contents", "title" : "The impact of intraoperative transfusion of platelets and red blood cells on survival after liver transplantation.", "type" : "article-journal", "volume" : "106" }, "uris" : [ "http://www.mendeley.com/documents/?uuid=2ffcdb63-e1ac-4480-81e9-8450fa6ba2db" ] }, { "id" : "ITEM-3", "itemData" : { "DOI" : "10.1097/md.0000000000001373", "ISBN" : "0025-7974", "ISSN" : "0025-7974", "PMID" : "26313775", "abstract" : "To investigate whether the platelets can improve liver function by mediating liver regeneration. Using a retrospective cohort with 234 consecutive adult-to-adult living donor liver transplantation recipients, we have discussed the relationship between immediate postoperative platelet count and outcome. Patients have been stratified into Low Platelet Group (106 patients) with platelet &lt;/=68 x 10/L and High Platelet Group (128 patients) with platelet &gt;68 x 10/L.Low Platelet Group has a higher rate of preoperative thrombocytopenia (90.6% vs. 32.8%, P&lt;0.001), higher model for end-stage liver disease score (15 vs. 11, P&lt;0.001), cirrhosis (86.8% vs. 76.6%, P=0.046), hepatorenal syndrome (18.2% vs. 4.0%, P=0.005) and fulminant hepatic failure (26.4% vs. 7.8%, P&lt;0.001). The packed red blood cells transfusion (7.5 vs. 5, P = 0.023) and plasma transfusion (1275 mL vs. 800 mL, P=0.001) are more in patients with low platelet count. Low Platelet Group has a higher early allograft dysfunction (EAD) (22.6% vs. 7.0%, P=0.001) and severe complications (22.6% vs. 10.9%, P = 0.016). The 90-day mortality between the 2 groups is similar. The multivariate analysis has found that postoperative platelet &lt;/=68 x 10/L is an independent risk factor for EAD.Platelet maybe influences the functional status of the liver by promoting graft regeneration after liver transplantation.", "author" : [ { "dropping-particle" : "", "family" : "Li", "given" : "L", "non-dropping-particle" : "", "parse-names" : false, "suffix" : "" }, { "dropping-particle" : "", "family" : "Wang", "given" : "H", "non-dropping-particle" : "", "parse-names" : false, "suffix" : "" }, { "dropping-particle" : "", "family" : "Yang", "given" : "J", "non-dropping-particle" : "", "parse-names" : false, "suffix" : "" }, { "dropping-particle" : "", "family" : "Jiang", "given" : "L", "non-dropping-particle" : "", "parse-names" : false, "suffix" : "" }, { "dropping-particle" : "", "family" : "Yang", "given" : "J", "non-dropping-particle" : "", "parse-names" : false, "suffix" : "" }, { "dropping-particle" : "", "family" : "Wang", "given" : "W", "non-dropping-particle" : "", "parse-names" : false, "suffix" : "" }, { "dropping-particle" : "", "family" : "Yan", "given" : "L", "non-dropping-particle" : "", "parse-names" : false, "suffix" : "" }, { "dropping-particle" : "", "family" : "Wen", "given" : "T", "non-dropping-particle" : "", "parse-names" : false, "suffix" : "" }, { "dropping-particle" : "", "family" : "Li", "given" : "B", "non-dropping-particle" : "", "parse-names" : false, "suffix" : "" }, { "dropping-particle" : "", "family" : "Xu", "given" : "M", "non-dropping-particle" : "", "parse-names" : false, "suffix" : "" } ], "container-title" : "Medicine (Baltimore)", "id" : "ITEM-3", "issue" : "34", "issued" : { "date-parts" : [ [ "2015" ] ] }, "page" : "e1373", "title" : "Immediate Postoperative Low Platelet Counts After Living Donor Liver Transplantation Predict Early Allograft Dysfunction", "type" : "article-journal", "volume" : "94" }, "uris" : [ "http://www.mendeley.com/documents/?uuid=a4d4c47b-65f5-4a2c-a1cb-b0fbb3baee28" ] } ], "mendeley" : { "formattedCitation" : "&lt;sup&gt;[68\u201370]&lt;/sup&gt;", "plainTextFormattedCitation" : "[68\u201370]", "previouslyFormattedCitation" : "&lt;sup&gt;[68\u201370]&lt;/sup&gt;" }, "properties" : { "noteIndex" : 0 }, "schema" : "https://github.com/citation-style-language/schema/raw/master/csl-citation.json" }</w:instrText>
      </w:r>
      <w:r w:rsidR="00C17DDB">
        <w:rPr>
          <w:rFonts w:ascii="Book Antiqua" w:hAnsi="Book Antiqua"/>
          <w:sz w:val="24"/>
          <w:szCs w:val="24"/>
          <w:lang w:val="en-GB"/>
        </w:rPr>
        <w:fldChar w:fldCharType="separate"/>
      </w:r>
      <w:r w:rsidR="00C17DDB" w:rsidRPr="00CD2CDC">
        <w:rPr>
          <w:rFonts w:ascii="Book Antiqua" w:hAnsi="Book Antiqua"/>
          <w:noProof/>
          <w:sz w:val="24"/>
          <w:szCs w:val="24"/>
          <w:vertAlign w:val="superscript"/>
          <w:lang w:val="en-GB"/>
        </w:rPr>
        <w:t>[68–70]</w:t>
      </w:r>
      <w:r w:rsidR="00C17DDB">
        <w:rPr>
          <w:rFonts w:ascii="Book Antiqua" w:hAnsi="Book Antiqua"/>
          <w:sz w:val="24"/>
          <w:szCs w:val="24"/>
          <w:lang w:val="en-GB"/>
        </w:rPr>
        <w:fldChar w:fldCharType="end"/>
      </w:r>
      <w:r w:rsidR="00103660">
        <w:rPr>
          <w:rFonts w:ascii="Book Antiqua" w:hAnsi="Book Antiqua"/>
          <w:sz w:val="24"/>
          <w:szCs w:val="24"/>
          <w:lang w:val="en-GB"/>
        </w:rPr>
        <w:t xml:space="preserve">. </w:t>
      </w:r>
      <w:r w:rsidR="000D2522">
        <w:rPr>
          <w:rFonts w:ascii="Book Antiqua" w:hAnsi="Book Antiqua"/>
          <w:sz w:val="24"/>
          <w:szCs w:val="24"/>
          <w:lang w:val="en-GB"/>
        </w:rPr>
        <w:t>T</w:t>
      </w:r>
      <w:r>
        <w:rPr>
          <w:rFonts w:ascii="Book Antiqua" w:hAnsi="Book Antiqua"/>
          <w:sz w:val="24"/>
          <w:szCs w:val="24"/>
          <w:lang w:val="en-GB"/>
        </w:rPr>
        <w:t xml:space="preserve">hrombocytopenia after LT </w:t>
      </w:r>
      <w:r w:rsidR="000D2522">
        <w:rPr>
          <w:rFonts w:ascii="Book Antiqua" w:hAnsi="Book Antiqua"/>
          <w:sz w:val="24"/>
          <w:szCs w:val="24"/>
          <w:lang w:val="en-GB"/>
        </w:rPr>
        <w:t xml:space="preserve">is </w:t>
      </w:r>
      <w:r>
        <w:rPr>
          <w:rFonts w:ascii="Book Antiqua" w:hAnsi="Book Antiqua"/>
          <w:sz w:val="24"/>
          <w:szCs w:val="24"/>
          <w:lang w:val="en-GB"/>
        </w:rPr>
        <w:t>associated with increased EAD, early development of bacterial and fungal infections (before POD14), and patient mortality</w:t>
      </w:r>
      <w:r w:rsidR="00C17DDB">
        <w:rPr>
          <w:rFonts w:ascii="Book Antiqua" w:hAnsi="Book Antiqua"/>
          <w:sz w:val="24"/>
          <w:szCs w:val="24"/>
          <w:lang w:val="en-GB"/>
        </w:rPr>
        <w:fldChar w:fldCharType="begin" w:fldLock="1"/>
      </w:r>
      <w:r w:rsidR="00C17DDB">
        <w:rPr>
          <w:rFonts w:ascii="Book Antiqua" w:hAnsi="Book Antiqua"/>
          <w:sz w:val="24"/>
          <w:szCs w:val="24"/>
          <w:lang w:val="en-GB"/>
        </w:rPr>
        <w:instrText>ADDIN CSL_CITATION { "citationItems" : [ { "id" : "ITEM-1", "itemData" : { "ISSN" : "0041-1337", "PMID" : "10653383", "abstract" : "BACKGROUND: Thrombocytopenia is a frequent and potentially serious complication in liver transplant recipients. The role of endogenous thrombopoietin level in posttransplant thrombocytopenia, has not been fully defined in liver transplant recipients. Additionally, there is accumulating evidence to suggest that platelets play a important role in antimicrobial host defense.\n\nMETHODS: There were 50 consecutive liver transplant recipients studied. Variables predictive of thrombocytopenia, its impact on infectious morbidity and outcome, and serial thrombopoietin (TPO) serum concentration were assessed.\n\nRESULTS: The median pretransplant platelet count was 67 x 10(3)/cmm. After the liver transplantation, the median nadir platelet count was 33 x 10(3)/cmm and was reached a mean of 6 days after the transplant. A lower pretransplant platelet count (r= +.068, P=.0001), lower serum albumin before the transplants (r=+0.39, P=.014), longer operation time (r=0.27, P=.05), higher intraoperative packed red cells (r=0.28, P=.049) and fresh frozen plasma transfusions (r=0.42, P=.004), higher bilirubin at Day 7 (r=-.386, P=.005), and higher serum creatinine at Day 7 after the transplants (r=-.031, P=.025) correlated significantly with a lower nadir in platelets after the transplant. Nadir in platelet count was significantly lower in nonsurvivors compared with survivors (16 vs. 36 x 10(3)/cmm, P=.0001). Forty-three percent (9 of 21) of the patients with nadir platelet counts of &lt; or =30 x 10(3)/cmm had a major infection within 30 days of the transplant compared with 17% (5 of 29) with nadir platelet counts &gt; 30 x 10(3)/cmm (P=.04). Fungal infections occurred in 14% of the patients with nadir platelet counts of &lt; or =30 x 10(3)/cmm versus 0% in those with nadir platelet counts of &gt; 30 x 10(3)/cmm (P=.06); all patients with fungal infections had nadir platelet counts of &lt; or =30 x 10(3)/cmm before fungal infection. Nadir in platelet count preceded the first major infection by a median of 7 days. Pretransplant TPO level did not differ between survivors (mean 103 pg/ml) or nonsurvivors (mean 144 pg/ml). After the transplantation, TPO levels increased in both groups. TPO level peaked at Day 7 and subsequently declined in survivors. Nonsurvivors had persistent thrombocytopenia despite a progressive rise in TPO level; TPO level was significantly higher at Day 7 (P=.02), Day 9 (P=.0019), and Day 14 (P=.04) in nonsurvivors compared with survivors.\n\nCONCLUSION: Persistent thrombocyt\u2026", "author" : [ { "dropping-particle" : "", "family" : "Chang", "given" : "F Y", "non-dropping-particle" : "", "parse-names" : false, "suffix" : "" }, { "dropping-particle" : "", "family" : "Singh", "given" : "N", "non-dropping-particle" : "", "parse-names" : false, "suffix" : "" }, { "dropping-particle" : "", "family" : "Gayowski", "given" : "T", "non-dropping-particle" : "", "parse-names" : false, "suffix" : "" }, { "dropping-particle" : "", "family" : "Wagener", "given" : "M M", "non-dropping-particle" : "", "parse-names" : false, "suffix" : "" }, { "dropping-particle" : "", "family" : "Mietzner", "given" : "S M", "non-dropping-particle" : "", "parse-names" : false, "suffix" : "" }, { "dropping-particle" : "", "family" : "Stout", "given" : "J E", "non-dropping-particle" : "", "parse-names" : false, "suffix" : "" }, { "dropping-particle" : "", "family" : "Marino", "given" : "I R", "non-dropping-particle" : "", "parse-names" : false, "suffix" : "" } ], "container-title" : "Transplantation", "id" : "ITEM-1", "issue" : "1", "issued" : { "date-parts" : [ [ "2000", "1", "15" ] ] }, "page" : "70-5", "title" : "Thrombocytopenia in liver transplant recipients: predictors, impact on fungal infections, and role of endogenous thrombopoietin.", "type" : "article-journal", "volume" : "69" }, "uris" : [ "http://www.mendeley.com/documents/?uuid=3c953401-c686-4c34-b046-245924229353" ] }, { "id" : "ITEM-2", "itemData" : { "ISSN" : "0041-1337", "PMID" : "10096525", "abstract" : "BACKGROUND: Thrombocytopenia after orthotopic liver transplantation (OLT) is a well recognized and prevalent early postoperative complication. The etiology, as well as the effect of this phenomenon on transplant outcome, however, are vague. The aims of this study are to identify factors contributing to thrombocytopenia and to ascertain whether there is any correlation with early rejection and ultimate survival.\n\nMETHODS: This study examines 541 OLTs (541 grafts in 494 patients) that were transplanted at the University of Miami during the 3-year period from June 1994 to September 1997. The patients with severe postoperative thrombocytopenia (nadir platelet count [PLT] &lt; 20,000/mm3), as well as the whole group of patients, were analyzed. The preoperative PLT, intra-operative platelet transfusion requirements, cross-match, recipient and donor cytomegalovirus (CMV) status, infusion of donor bone marrow cells (DBMC), occurrence of early rejection episodes (in the first posttransplant month), and re-transplantation were factors examined for any association with thrombocytopenia. Total bilirubin (TB) and direct bilirubin (dB), hematocrit, white blood cell count (WBC), aspartate aminotransferase and alanine aminotransferase, determined on the day that platelets reached a nadir (nadir day), were also analyzed.\n\nRESULTS: In 90.9% of the cases, there was a 56.5%+/-23.5% fall in platelets in the immediate posttransplant period (first 2 weeks), but the mean PLT exceeded preoperative levels during the 3rd and 4th postoperative weeks. The nadir of the drop in the PLT most commonly occurred on posttransplant day 4. For preoperative PLT, platelet transfusions during the operation, re-transplantation, early rejection, cross-match, and recipient CMV status, there was significant statistical correlation with any degree of postoperative thrombocytopenia. Four of these factors, preoperative PLT, intra-operative platelet transfusions, re-transplantation, and early rejection, were found to be independently associated with thrombocytopenia in general. None of them was found to be independently correlated with severe thrombocytopenia. A statistically significant correlation between bilirubin and WBC on the nadir day and the degree of thrombocytopenia was observed. No correlation was found between infusion of DBMC or donor CMV serology and thrombocytopenia. Both the nadir PLT and the percentage of the platelet fall were independent predictive factors (p&lt;0.01 and 0.005, respective\u2026", "author" : [ { "dropping-particle" : "", "family" : "Chatzipetrou", "given" : "M A", "non-dropping-particle" : "", "parse-names" : false, "suffix" : "" }, { "dropping-particle" : "", "family" : "Tsaroucha", "given" : "A K", "non-dropping-particle" : "", "parse-names" : false, "suffix" : "" }, { "dropping-particle" : "", "family" : "Weppler", "given" : "D", "non-dropping-particle" : "", "parse-names" : false, "suffix" : "" }, { "dropping-particle" : "", "family" : "Pappas", "given" : "P A", "non-dropping-particle" : "", "parse-names" : false, "suffix" : "" }, { "dropping-particle" : "", "family" : "Kenyon", "given" : "N S", "non-dropping-particle" : "", "parse-names" : false, "suffix" : "" }, { "dropping-particle" : "", "family" : "Nery", "given" : "J R", "non-dropping-particle" : "", "parse-names" : false, "suffix" : "" }, { "dropping-particle" : "", "family" : "Khan", "given" : "M F", "non-dropping-particle" : "", "parse-names" : false, "suffix" : "" }, { "dropping-particle" : "", "family" : "Kato", "given" : "T", "non-dropping-particle" : "", "parse-names" : false, "suffix" : "" }, { "dropping-particle" : "", "family" : "Pinna", "given" : "A D", "non-dropping-particle" : "", "parse-names" : false, "suffix" : "" }, { "dropping-particle" : "", "family" : "O'Brien", "given" : "C", "non-dropping-particle" : "", "parse-names" : false, "suffix" : "" }, { "dropping-particle" : "", "family" : "Viciana", "given" : "A", "non-dropping-particle" : "", "parse-names" : false, "suffix" : "" }, { "dropping-particle" : "", "family" : "Ricordi", "given" : "C", "non-dropping-particle" : "", "parse-names" : false, "suffix" : "" }, { "dropping-particle" : "", "family" : "Tzakis", "given" : "A G", "non-dropping-particle" : "", "parse-names" : false, "suffix" : "" } ], "container-title" : "Transplantation", "id" : "ITEM-2", "issue" : "5", "issued" : { "date-parts" : [ [ "1999", "3", "15" ] ] }, "page" : "702-6", "title" : "Thrombocytopenia after liver transplantation.", "type" : "article-journal", "volume" : "67" }, "uris" : [ "http://www.mendeley.com/documents/?uuid=4b9977b2-1778-4b8d-9cfd-78e242d11c36" ] } ], "mendeley" : { "formattedCitation" : "&lt;sup&gt;[68,71]&lt;/sup&gt;", "plainTextFormattedCitation" : "[68,71]", "previouslyFormattedCitation" : "&lt;sup&gt;[68,71]&lt;/sup&gt;" }, "properties" : { "noteIndex" : 0 }, "schema" : "https://github.com/citation-style-language/schema/raw/master/csl-citation.json" }</w:instrText>
      </w:r>
      <w:r w:rsidR="00C17DDB">
        <w:rPr>
          <w:rFonts w:ascii="Book Antiqua" w:hAnsi="Book Antiqua"/>
          <w:sz w:val="24"/>
          <w:szCs w:val="24"/>
          <w:lang w:val="en-GB"/>
        </w:rPr>
        <w:fldChar w:fldCharType="separate"/>
      </w:r>
      <w:r w:rsidR="00C17DDB" w:rsidRPr="00CD2CDC">
        <w:rPr>
          <w:rFonts w:ascii="Book Antiqua" w:hAnsi="Book Antiqua"/>
          <w:noProof/>
          <w:sz w:val="24"/>
          <w:szCs w:val="24"/>
          <w:vertAlign w:val="superscript"/>
          <w:lang w:val="en-GB"/>
        </w:rPr>
        <w:t>[68,71]</w:t>
      </w:r>
      <w:r w:rsidR="00C17DDB">
        <w:rPr>
          <w:rFonts w:ascii="Book Antiqua" w:hAnsi="Book Antiqua"/>
          <w:sz w:val="24"/>
          <w:szCs w:val="24"/>
          <w:lang w:val="en-GB"/>
        </w:rPr>
        <w:fldChar w:fldCharType="end"/>
      </w:r>
      <w:r w:rsidR="00103660">
        <w:rPr>
          <w:rFonts w:ascii="Book Antiqua" w:hAnsi="Book Antiqua"/>
          <w:sz w:val="24"/>
          <w:szCs w:val="24"/>
          <w:lang w:val="en-GB"/>
        </w:rPr>
        <w:t>.</w:t>
      </w:r>
      <w:r w:rsidR="00C17DDB">
        <w:rPr>
          <w:rFonts w:ascii="Book Antiqua" w:hAnsi="Book Antiqua"/>
          <w:sz w:val="24"/>
          <w:szCs w:val="24"/>
          <w:lang w:val="en-GB"/>
        </w:rPr>
        <w:t xml:space="preserve"> </w:t>
      </w:r>
    </w:p>
    <w:p w14:paraId="1BE6C1FD" w14:textId="547CBAC5" w:rsidR="00577E50" w:rsidRDefault="00357686" w:rsidP="00422EBA">
      <w:pPr>
        <w:adjustRightInd w:val="0"/>
        <w:snapToGrid w:val="0"/>
        <w:spacing w:after="0" w:line="360" w:lineRule="auto"/>
        <w:ind w:firstLineChars="200" w:firstLine="480"/>
        <w:jc w:val="both"/>
        <w:rPr>
          <w:lang w:val="en-GB"/>
        </w:rPr>
      </w:pPr>
      <w:r>
        <w:rPr>
          <w:rFonts w:ascii="Book Antiqua" w:hAnsi="Book Antiqua"/>
          <w:sz w:val="24"/>
          <w:szCs w:val="24"/>
          <w:lang w:val="en-GB"/>
        </w:rPr>
        <w:t>In a retrospective study, p</w:t>
      </w:r>
      <w:r w:rsidR="00577E50">
        <w:rPr>
          <w:rFonts w:ascii="Book Antiqua" w:hAnsi="Book Antiqua"/>
          <w:sz w:val="24"/>
          <w:szCs w:val="24"/>
          <w:lang w:val="en-GB"/>
        </w:rPr>
        <w:t>atients were divided into two groups based on their platelet count on POD5 after LT, and a cut-off value was set at 60</w:t>
      </w:r>
      <w:r w:rsidR="00C17DDB">
        <w:rPr>
          <w:rFonts w:ascii="Book Antiqua" w:eastAsiaTheme="minorEastAsia" w:hAnsi="Book Antiqua" w:hint="eastAsia"/>
          <w:sz w:val="24"/>
          <w:szCs w:val="24"/>
          <w:lang w:val="en-GB" w:eastAsia="zh-CN"/>
        </w:rPr>
        <w:t xml:space="preserve"> </w:t>
      </w:r>
      <w:r w:rsidR="00577E50">
        <w:rPr>
          <w:rFonts w:ascii="Book Antiqua" w:hAnsi="Book Antiqua"/>
          <w:sz w:val="24"/>
          <w:szCs w:val="24"/>
          <w:lang w:val="en-GB"/>
        </w:rPr>
        <w:t>x</w:t>
      </w:r>
      <w:r w:rsidR="00C17DDB">
        <w:rPr>
          <w:rFonts w:ascii="Book Antiqua" w:eastAsiaTheme="minorEastAsia" w:hAnsi="Book Antiqua" w:hint="eastAsia"/>
          <w:sz w:val="24"/>
          <w:szCs w:val="24"/>
          <w:lang w:val="en-GB" w:eastAsia="zh-CN"/>
        </w:rPr>
        <w:t xml:space="preserve"> </w:t>
      </w:r>
      <w:r w:rsidR="00577E50">
        <w:rPr>
          <w:rFonts w:ascii="Book Antiqua" w:hAnsi="Book Antiqua"/>
          <w:sz w:val="24"/>
          <w:szCs w:val="24"/>
          <w:lang w:val="en-GB"/>
        </w:rPr>
        <w:t>10</w:t>
      </w:r>
      <w:r w:rsidR="00577E50">
        <w:rPr>
          <w:rFonts w:ascii="Book Antiqua" w:hAnsi="Book Antiqua"/>
          <w:sz w:val="24"/>
          <w:szCs w:val="24"/>
          <w:vertAlign w:val="superscript"/>
          <w:lang w:val="en-GB"/>
        </w:rPr>
        <w:t>9</w:t>
      </w:r>
      <w:r w:rsidR="00577E50">
        <w:rPr>
          <w:rFonts w:ascii="Book Antiqua" w:hAnsi="Book Antiqua"/>
          <w:position w:val="24"/>
          <w:sz w:val="24"/>
          <w:szCs w:val="24"/>
          <w:lang w:val="en-GB"/>
        </w:rPr>
        <w:t xml:space="preserve"> </w:t>
      </w:r>
      <w:r w:rsidR="00577E50">
        <w:rPr>
          <w:rFonts w:ascii="Book Antiqua" w:hAnsi="Book Antiqua"/>
          <w:sz w:val="24"/>
          <w:szCs w:val="24"/>
          <w:lang w:val="en-GB"/>
        </w:rPr>
        <w:t>platelets/L based on the best AUROC. MELD &gt; 25 and platelet count &lt; 60</w:t>
      </w:r>
      <w:r w:rsidR="00C17DDB">
        <w:rPr>
          <w:rFonts w:ascii="Book Antiqua" w:eastAsiaTheme="minorEastAsia" w:hAnsi="Book Antiqua" w:hint="eastAsia"/>
          <w:sz w:val="24"/>
          <w:szCs w:val="24"/>
          <w:lang w:val="en-GB" w:eastAsia="zh-CN"/>
        </w:rPr>
        <w:t xml:space="preserve"> </w:t>
      </w:r>
      <w:r w:rsidR="00577E50">
        <w:rPr>
          <w:rFonts w:ascii="Book Antiqua" w:hAnsi="Book Antiqua"/>
          <w:sz w:val="24"/>
          <w:szCs w:val="24"/>
          <w:lang w:val="en-GB"/>
        </w:rPr>
        <w:t>x</w:t>
      </w:r>
      <w:r w:rsidR="00C17DDB">
        <w:rPr>
          <w:rFonts w:ascii="Book Antiqua" w:eastAsiaTheme="minorEastAsia" w:hAnsi="Book Antiqua" w:hint="eastAsia"/>
          <w:sz w:val="24"/>
          <w:szCs w:val="24"/>
          <w:lang w:val="en-GB" w:eastAsia="zh-CN"/>
        </w:rPr>
        <w:t xml:space="preserve"> </w:t>
      </w:r>
      <w:r w:rsidR="00577E50">
        <w:rPr>
          <w:rFonts w:ascii="Book Antiqua" w:hAnsi="Book Antiqua"/>
          <w:sz w:val="24"/>
          <w:szCs w:val="24"/>
          <w:lang w:val="en-GB"/>
        </w:rPr>
        <w:t>10</w:t>
      </w:r>
      <w:r w:rsidR="00577E50">
        <w:rPr>
          <w:rFonts w:ascii="Book Antiqua" w:hAnsi="Book Antiqua"/>
          <w:sz w:val="24"/>
          <w:szCs w:val="24"/>
          <w:vertAlign w:val="superscript"/>
          <w:lang w:val="en-GB"/>
        </w:rPr>
        <w:t>9</w:t>
      </w:r>
      <w:r w:rsidR="00577E50">
        <w:rPr>
          <w:rFonts w:ascii="Book Antiqua" w:hAnsi="Book Antiqua"/>
          <w:sz w:val="24"/>
          <w:szCs w:val="24"/>
          <w:lang w:val="en-GB"/>
        </w:rPr>
        <w:t xml:space="preserve"> platelets/L were the best predictors of severe postoperative complications and mortality</w:t>
      </w:r>
      <w:r>
        <w:rPr>
          <w:rFonts w:ascii="Book Antiqua" w:hAnsi="Book Antiqua"/>
          <w:sz w:val="24"/>
          <w:szCs w:val="24"/>
          <w:lang w:val="en-GB"/>
        </w:rPr>
        <w:t xml:space="preserve">, </w:t>
      </w:r>
      <w:r w:rsidR="00577E50">
        <w:rPr>
          <w:rFonts w:ascii="Book Antiqua" w:hAnsi="Book Antiqua"/>
          <w:sz w:val="24"/>
          <w:szCs w:val="24"/>
          <w:lang w:val="en-GB"/>
        </w:rPr>
        <w:t>increased ICU-LOS and H-LOS independent</w:t>
      </w:r>
      <w:r>
        <w:rPr>
          <w:rFonts w:ascii="Book Antiqua" w:hAnsi="Book Antiqua"/>
          <w:sz w:val="24"/>
          <w:szCs w:val="24"/>
          <w:lang w:val="en-GB"/>
        </w:rPr>
        <w:t>ly</w:t>
      </w:r>
      <w:r w:rsidR="00577E50">
        <w:rPr>
          <w:rFonts w:ascii="Book Antiqua" w:hAnsi="Book Antiqua"/>
          <w:sz w:val="24"/>
          <w:szCs w:val="24"/>
          <w:lang w:val="en-GB"/>
        </w:rPr>
        <w:t xml:space="preserve"> of preoperative levels and intraoperative transfusions. </w:t>
      </w:r>
      <w:r w:rsidR="001D6992">
        <w:rPr>
          <w:rFonts w:ascii="Book Antiqua" w:hAnsi="Book Antiqua"/>
          <w:sz w:val="24"/>
          <w:szCs w:val="24"/>
          <w:lang w:val="en-GB"/>
        </w:rPr>
        <w:t xml:space="preserve">POD5 platelet count </w:t>
      </w:r>
      <w:r w:rsidR="001D6992">
        <w:rPr>
          <w:rFonts w:ascii="Book Antiqua" w:hAnsi="Book Antiqua"/>
          <w:sz w:val="24"/>
          <w:szCs w:val="24"/>
          <w:lang w:val="en-GB"/>
        </w:rPr>
        <w:lastRenderedPageBreak/>
        <w:t>showed to be a reliable predictor of short-term outcome after LT (within POD90)</w:t>
      </w:r>
      <w:r w:rsidR="00577E50">
        <w:rPr>
          <w:rFonts w:ascii="Book Antiqua" w:hAnsi="Book Antiqua"/>
          <w:sz w:val="24"/>
          <w:szCs w:val="24"/>
          <w:lang w:val="en-GB"/>
        </w:rPr>
        <w:t>. Unfortunately, platelet counts decrease from immediately post-transplant until POD 3-6, returning to preoperative levels by week 1-2, thus severely limiting the utility and power of this parameter in early graft assessment</w:t>
      </w:r>
      <w:r w:rsidR="00C17DDB">
        <w:rPr>
          <w:rFonts w:ascii="Book Antiqua" w:hAnsi="Book Antiqua"/>
          <w:sz w:val="24"/>
          <w:szCs w:val="24"/>
          <w:lang w:val="en-GB"/>
        </w:rPr>
        <w:fldChar w:fldCharType="begin" w:fldLock="1"/>
      </w:r>
      <w:r w:rsidR="00C17DDB">
        <w:rPr>
          <w:rFonts w:ascii="Book Antiqua" w:hAnsi="Book Antiqua"/>
          <w:sz w:val="24"/>
          <w:szCs w:val="24"/>
          <w:lang w:val="en-GB"/>
        </w:rPr>
        <w:instrText>ADDIN CSL_CITATION { "citationItems" : [ { "id" : "ITEM-1", "itemData" : { "DOI" : "10.1002/lt.23759", "ISSN" : "1527-6473", "PMID" : "24123804", "abstract" : "Platelets play a critical role in liver injury and regeneration. Thrombocytopenia is associated with increases in postoperative complications after partial hepatectomy, but it is unknown whether platelet counts could also predict outcomes after transplantation, a procedure that is often performed in thrombocytopenic patients. Therefore, the aim of this study was to evaluate whether platelet counts could be indicators of short- and long-term outcomes after liver transplantation (LT). Two hundred fifty-seven consecutive LT recipients (January 2003-December 2011) from our prospective database were analyzed. Preoperative and daily postoperative platelet counts were recorded until postoperative day 7 (POD7). Univariate and multivariate analyses were performed to assess whether low perioperative platelet counts were a risk factor for postoperative complications and graft and patient survival. The median pretransplant platelet count was 88 \u00d7 10(9) /L [interquartile range (IQR) = 58-127 \u00d7 10(9) /L]. The lowest platelet counts occurred on POD3: the median was 56 \u00d7 10(9) /L (IQR = 41-86 \u00d7 10(9) /L). Patients with low platelet counts on POD5 had higher rates of severe (grade IIIb/IV) complications [39% versus 29%, odds ratio (OR) = 1.09 (95% CI = 1.1-3.3), P = 0.02] and 90-day mortality [16% versus 8%, OR = 2.25 (95% CI = 1.0-5.0), P = 0.05]. In the multivariate analysis, POD5 platelet counts &lt; 60 \u00d7 10(9) /L were identified as an independent risk factor for grade IIIb/IV complications [OR = 1.96 (95% CI = 1.07-3.56), P = 0.03)], graft survival [hazard ratio (HR) = 2.0 (95% CI = 1.1-3.6), P = 0.03)], and patient survival [HR = 2.2 (95% CI = 1.1-4.6), P = 0.03)]. The predictive value of platelet counts for graft and patient survival was lost in patients who survived 90 days. In conclusion, after LT, platelet counts &lt; 60 \u00d7 10(9) /L on POD5 (the 60-5 criterion) are an independent factor associated with severe complications and early graft and patient survival. These findings may help us to develop protective strategies or specific interventions for high-risk patients.", "author" : [ { "dropping-particle" : "", "family" : "Lesurtel", "given" : "Micka\u00ebl", "non-dropping-particle" : "", "parse-names" : false, "suffix" : "" }, { "dropping-particle" : "", "family" : "Raptis", "given" : "Dimitri A", "non-dropping-particle" : "", "parse-names" : false, "suffix" : "" }, { "dropping-particle" : "", "family" : "Melloul", "given" : "Emmanuel", "non-dropping-particle" : "", "parse-names" : false, "suffix" : "" }, { "dropping-particle" : "", "family" : "Schlegel", "given" : "Andrea", "non-dropping-particle" : "", "parse-names" : false, "suffix" : "" }, { "dropping-particle" : "", "family" : "Oberkofler", "given" : "Christian", "non-dropping-particle" : "", "parse-names" : false, "suffix" : "" }, { "dropping-particle" : "", "family" : "El-Badry", "given" : "Ashraf Mohammad", "non-dropping-particle" : "", "parse-names" : false, "suffix" : "" }, { "dropping-particle" : "", "family" : "Weber", "given" : "Annina", "non-dropping-particle" : "", "parse-names" : false, "suffix" : "" }, { "dropping-particle" : "", "family" : "Mueller", "given" : "Nicolas", "non-dropping-particle" : "", "parse-names" : false, "suffix" : "" }, { "dropping-particle" : "", "family" : "Dutkowski", "given" : "Philipp", "non-dropping-particle" : "", "parse-names" : false, "suffix" : "" }, { "dropping-particle" : "", "family" : "Clavien", "given" : "Pierre-Alain", "non-dropping-particle" : "", "parse-names" : false, "suffix" : "" } ], "container-title" : "Liver transplantation : official publication of the American Association for the Study of Liver Diseases and the International Liver Transplantation Society", "id" : "ITEM-1", "issue" : "2", "issued" : { "date-parts" : [ [ "2014", "2" ] ] }, "page" : "147-55", "title" : "Low platelet counts after liver transplantation predict early posttransplant survival: the 60-5 criterion.", "type" : "article-journal", "volume" : "20" }, "uris" : [ "http://www.mendeley.com/documents/?uuid=1ab4ce0c-5d52-42d0-9228-d9890f1aaceb" ] } ], "mendeley" : { "formattedCitation" : "&lt;sup&gt;[72]&lt;/sup&gt;", "plainTextFormattedCitation" : "[72]", "previouslyFormattedCitation" : "&lt;sup&gt;[72]&lt;/sup&gt;" }, "properties" : { "noteIndex" : 0 }, "schema" : "https://github.com/citation-style-language/schema/raw/master/csl-citation.json" }</w:instrText>
      </w:r>
      <w:r w:rsidR="00C17DDB">
        <w:rPr>
          <w:rFonts w:ascii="Book Antiqua" w:hAnsi="Book Antiqua"/>
          <w:sz w:val="24"/>
          <w:szCs w:val="24"/>
          <w:lang w:val="en-GB"/>
        </w:rPr>
        <w:fldChar w:fldCharType="separate"/>
      </w:r>
      <w:r w:rsidR="00C17DDB" w:rsidRPr="00CD2CDC">
        <w:rPr>
          <w:rFonts w:ascii="Book Antiqua" w:hAnsi="Book Antiqua"/>
          <w:noProof/>
          <w:sz w:val="24"/>
          <w:szCs w:val="24"/>
          <w:vertAlign w:val="superscript"/>
          <w:lang w:val="en-GB"/>
        </w:rPr>
        <w:t>[72]</w:t>
      </w:r>
      <w:r w:rsidR="00C17DDB">
        <w:rPr>
          <w:rFonts w:ascii="Book Antiqua" w:hAnsi="Book Antiqua"/>
          <w:sz w:val="24"/>
          <w:szCs w:val="24"/>
          <w:lang w:val="en-GB"/>
        </w:rPr>
        <w:fldChar w:fldCharType="end"/>
      </w:r>
      <w:r w:rsidR="00577E50">
        <w:rPr>
          <w:rFonts w:ascii="Book Antiqua" w:hAnsi="Book Antiqua"/>
          <w:sz w:val="24"/>
          <w:szCs w:val="24"/>
          <w:lang w:val="en-GB"/>
        </w:rPr>
        <w:t>.</w:t>
      </w:r>
      <w:r w:rsidR="00C17DDB">
        <w:rPr>
          <w:lang w:val="en-GB"/>
        </w:rPr>
        <w:t xml:space="preserve"> </w:t>
      </w:r>
    </w:p>
    <w:p w14:paraId="7EACC4DF" w14:textId="3804D8E7" w:rsidR="00577E50" w:rsidRDefault="00577E50" w:rsidP="00422EBA">
      <w:pPr>
        <w:adjustRightInd w:val="0"/>
        <w:snapToGrid w:val="0"/>
        <w:spacing w:after="0" w:line="360" w:lineRule="auto"/>
        <w:ind w:firstLineChars="200" w:firstLine="480"/>
        <w:jc w:val="both"/>
        <w:rPr>
          <w:lang w:val="en-GB"/>
        </w:rPr>
      </w:pPr>
      <w:r>
        <w:rPr>
          <w:rFonts w:ascii="Book Antiqua" w:hAnsi="Book Antiqua"/>
          <w:sz w:val="24"/>
          <w:szCs w:val="24"/>
          <w:lang w:val="en-GB"/>
        </w:rPr>
        <w:t>Another retrospective study investigated the role of postoperative platelet count in 234 LDLT patients</w:t>
      </w:r>
      <w:r w:rsidR="00C17DDB">
        <w:rPr>
          <w:rFonts w:ascii="Book Antiqua" w:hAnsi="Book Antiqua"/>
          <w:sz w:val="24"/>
          <w:szCs w:val="24"/>
          <w:lang w:val="en-GB"/>
        </w:rPr>
        <w:fldChar w:fldCharType="begin" w:fldLock="1"/>
      </w:r>
      <w:r w:rsidR="00C17DDB">
        <w:rPr>
          <w:rFonts w:ascii="Book Antiqua" w:hAnsi="Book Antiqua"/>
          <w:sz w:val="24"/>
          <w:szCs w:val="24"/>
          <w:lang w:val="en-GB"/>
        </w:rPr>
        <w:instrText>ADDIN CSL_CITATION { "citationItems" : [ { "id" : "ITEM-1", "itemData" : { "DOI" : "10.1097/md.0000000000001373", "ISBN" : "0025-7974", "ISSN" : "0025-7974", "PMID" : "26313775", "abstract" : "To investigate whether the platelets can improve liver function by mediating liver regeneration. Using a retrospective cohort with 234 consecutive adult-to-adult living donor liver transplantation recipients, we have discussed the relationship between immediate postoperative platelet count and outcome. Patients have been stratified into Low Platelet Group (106 patients) with platelet &lt;/=68 x 10/L and High Platelet Group (128 patients) with platelet &gt;68 x 10/L.Low Platelet Group has a higher rate of preoperative thrombocytopenia (90.6% vs. 32.8%, P&lt;0.001), higher model for end-stage liver disease score (15 vs. 11, P&lt;0.001), cirrhosis (86.8% vs. 76.6%, P=0.046), hepatorenal syndrome (18.2% vs. 4.0%, P=0.005) and fulminant hepatic failure (26.4% vs. 7.8%, P&lt;0.001). The packed red blood cells transfusion (7.5 vs. 5, P = 0.023) and plasma transfusion (1275 mL vs. 800 mL, P=0.001) are more in patients with low platelet count. Low Platelet Group has a higher early allograft dysfunction (EAD) (22.6% vs. 7.0%, P=0.001) and severe complications (22.6% vs. 10.9%, P = 0.016). The 90-day mortality between the 2 groups is similar. The multivariate analysis has found that postoperative platelet &lt;/=68 x 10/L is an independent risk factor for EAD.Platelet maybe influences the functional status of the liver by promoting graft regeneration after liver transplantation.", "author" : [ { "dropping-particle" : "", "family" : "Li", "given" : "L", "non-dropping-particle" : "", "parse-names" : false, "suffix" : "" }, { "dropping-particle" : "", "family" : "Wang", "given" : "H", "non-dropping-particle" : "", "parse-names" : false, "suffix" : "" }, { "dropping-particle" : "", "family" : "Yang", "given" : "J", "non-dropping-particle" : "", "parse-names" : false, "suffix" : "" }, { "dropping-particle" : "", "family" : "Jiang", "given" : "L", "non-dropping-particle" : "", "parse-names" : false, "suffix" : "" }, { "dropping-particle" : "", "family" : "Yang", "given" : "J", "non-dropping-particle" : "", "parse-names" : false, "suffix" : "" }, { "dropping-particle" : "", "family" : "Wang", "given" : "W", "non-dropping-particle" : "", "parse-names" : false, "suffix" : "" }, { "dropping-particle" : "", "family" : "Yan", "given" : "L", "non-dropping-particle" : "", "parse-names" : false, "suffix" : "" }, { "dropping-particle" : "", "family" : "Wen", "given" : "T", "non-dropping-particle" : "", "parse-names" : false, "suffix" : "" }, { "dropping-particle" : "", "family" : "Li", "given" : "B", "non-dropping-particle" : "", "parse-names" : false, "suffix" : "" }, { "dropping-particle" : "", "family" : "Xu", "given" : "M", "non-dropping-particle" : "", "parse-names" : false, "suffix" : "" } ], "container-title" : "Medicine (Baltimore)", "id" : "ITEM-1", "issue" : "34", "issued" : { "date-parts" : [ [ "2015" ] ] }, "page" : "e1373", "title" : "Immediate Postoperative Low Platelet Counts After Living Donor Liver Transplantation Predict Early Allograft Dysfunction", "type" : "article-journal", "volume" : "94" }, "uris" : [ "http://www.mendeley.com/documents/?uuid=a4d4c47b-65f5-4a2c-a1cb-b0fbb3baee28" ] } ], "mendeley" : { "formattedCitation" : "&lt;sup&gt;[70]&lt;/sup&gt;", "plainTextFormattedCitation" : "[70]", "previouslyFormattedCitation" : "&lt;sup&gt;[70]&lt;/sup&gt;" }, "properties" : { "noteIndex" : 0 }, "schema" : "https://github.com/citation-style-language/schema/raw/master/csl-citation.json" }</w:instrText>
      </w:r>
      <w:r w:rsidR="00C17DDB">
        <w:rPr>
          <w:rFonts w:ascii="Book Antiqua" w:hAnsi="Book Antiqua"/>
          <w:sz w:val="24"/>
          <w:szCs w:val="24"/>
          <w:lang w:val="en-GB"/>
        </w:rPr>
        <w:fldChar w:fldCharType="separate"/>
      </w:r>
      <w:r w:rsidR="00C17DDB" w:rsidRPr="00CD2CDC">
        <w:rPr>
          <w:rFonts w:ascii="Book Antiqua" w:hAnsi="Book Antiqua"/>
          <w:noProof/>
          <w:sz w:val="24"/>
          <w:szCs w:val="24"/>
          <w:vertAlign w:val="superscript"/>
          <w:lang w:val="en-GB"/>
        </w:rPr>
        <w:t>[70]</w:t>
      </w:r>
      <w:r w:rsidR="00C17DDB">
        <w:rPr>
          <w:rFonts w:ascii="Book Antiqua" w:hAnsi="Book Antiqua"/>
          <w:sz w:val="24"/>
          <w:szCs w:val="24"/>
          <w:lang w:val="en-GB"/>
        </w:rPr>
        <w:fldChar w:fldCharType="end"/>
      </w:r>
      <w:r w:rsidR="0072168C">
        <w:rPr>
          <w:rFonts w:ascii="Book Antiqua" w:hAnsi="Book Antiqua"/>
          <w:sz w:val="24"/>
          <w:szCs w:val="24"/>
          <w:lang w:val="en-GB"/>
        </w:rPr>
        <w:t xml:space="preserve">. </w:t>
      </w:r>
      <w:r>
        <w:rPr>
          <w:rFonts w:ascii="Book Antiqua" w:hAnsi="Book Antiqua"/>
          <w:sz w:val="24"/>
          <w:szCs w:val="24"/>
          <w:lang w:val="en-GB"/>
        </w:rPr>
        <w:t>In this specific field of hepatic surgery, platelet transfusions have been reported to improve graft regeneration</w:t>
      </w:r>
      <w:r w:rsidR="00C17DDB">
        <w:rPr>
          <w:rFonts w:ascii="Book Antiqua" w:hAnsi="Book Antiqua"/>
          <w:sz w:val="24"/>
          <w:szCs w:val="24"/>
          <w:lang w:val="en-GB"/>
        </w:rPr>
        <w:fldChar w:fldCharType="begin" w:fldLock="1"/>
      </w:r>
      <w:r w:rsidR="00C17DDB">
        <w:rPr>
          <w:rFonts w:ascii="Book Antiqua" w:hAnsi="Book Antiqua"/>
          <w:sz w:val="24"/>
          <w:szCs w:val="24"/>
          <w:lang w:val="en-GB"/>
        </w:rPr>
        <w:instrText>ADDIN CSL_CITATION { "citationItems" : [ { "id" : "ITEM-1", "itemData" : { "DOI" : "10.1007/s00268-010-0464-x", "ISSN" : "1432-2323", "PMID" : "20151125", "abstract" : "BACKGROUND: Although liver regeneration is a fundamental aspect of living donor liver transplantation (LDLT), the factors that affect liver regeneration during the early post-transplantation period have not been thoroughly investigated. Recently it was suggested that platelets contribute to liver regeneration. The aim of the present study was to identify the major factors that affect liver graft regeneration during the early post-transplantation period. MATERIALS AND METHODS: Eighty-seven right liver grafted, adult-to-adult LDLT patients were retrospectively analyzed. Liver regeneration was assessed by volumetry from computed tomographic (CT) scans obtained between the 9th and 11th postoperative days. The authors investigated relationships between clinical variables and liver graft regeneration rates, and they conducted multiple regression analysis on factors found to be significant by univariate analysis. RESULTS: Mean graft weight at operation was 722.9 +/- 109.7 g, and mean graft volume assessed by follow-up CT was 1,042.2 +/- 155.6 ml, reflecting a mean liver graft regeneration of 45.9 +/- 22.3%. The graft regeneration was found to correlate inversely with graft-to-recipient weight ratio (GRWR, r = -0.406, p &lt; 0.001) and directly with portal flow velocity (cm/s; r = 0.307; p = 0.004) and splenic index (cm(3); r = 0.282; p = 0.009). Moreover, the total amount (units) of platelets transfused was found to be significantly associated with graft regeneration (r = 0.293; p = -.006). Stepwise regression analysis showed that GRWR (beta = -33.124; p = 0.001), total amount of platelets transfused (beta = 0.771; p = 0.012), and splenic index (beta = -0.010; p = 0.049) were independently associated with graft regeneration. CONCLUSIONS: The results of the present study suggest that platelets play a significant role in human liver regeneration after LDLT.", "author" : [ { "dropping-particle" : "", "family" : "Kim", "given" : "Joohyun", "non-dropping-particle" : "", "parse-names" : false, "suffix" : "" }, { "dropping-particle" : "", "family" : "Yi", "given" : "Nam-Joon", "non-dropping-particle" : "", "parse-names" : false, "suffix" : "" }, { "dropping-particle" : "", "family" : "Shin", "given" : "Woo Young", "non-dropping-particle" : "", "parse-names" : false, "suffix" : "" }, { "dropping-particle" : "", "family" : "Kim", "given" : "Taehoon", "non-dropping-particle" : "", "parse-names" : false, "suffix" : "" }, { "dropping-particle" : "", "family" : "Lee", "given" : "Kuhn Uk", "non-dropping-particle" : "", "parse-names" : false, "suffix" : "" }, { "dropping-particle" : "", "family" : "Suh", "given" : "Kyung-Suk", "non-dropping-particle" : "", "parse-names" : false, "suffix" : "" } ], "container-title" : "World journal of surgery", "id" : "ITEM-1", "issue" : "5", "issued" : { "date-parts" : [ [ "2010", "5" ] ] }, "page" : "1052-8", "title" : "Platelet transfusion can be related to liver regeneration after living donor liver transplantation.", "type" : "article-journal", "volume" : "34" }, "uris" : [ "http://www.mendeley.com/documents/?uuid=c4f01bc1-d3f6-4621-8f7f-c5a1a3d2ec97" ] }, { "id" : "ITEM-2", "itemData" : { "DOI" : "10.1097/SLA.0000000000001526", "ISSN" : "1528-1140", "PMID" : "26720430", "abstract" : "OBJECTIVE: To evaluate the association between anesthetic management before and after graft reperfusion and early graft regeneration in living donor liver transplantation (LDLT). BACKGROUND: Sufficient graft regeneration is essential for the success of LDLT. Diverse signals start to trigger liver regeneration immediately after graft reperfusion. METHODS: Graft volume at 14 \u00b1 2 days after LDLT was measured in 379 consecutive recipients using computed tomography images with 3-dimensional reconstruction. The association between anesthetic variables and the degree of graft regeneration for 2 weeks was analyzed using simple and multiple linear regressions. The anesthetic variables included hemodynamics, laboratory measurements, vasoactive drugs, and blood products transfusion. RESULTS: The degree of graft regeneration for 2 weeks was 52% in median and ranged from 5% to 123%. Platelet transfusion was identified as the sole independent anesthetic factor contributing to graft regeneration. Platelet concentrate transfusion of 1 to 6 units vs none was correlated with a 6.5% increase in graft regeneration (P = 0.012). Platelet concentrate transfusion of more than 6 units vs none was further correlated with an 18.4% increase in regeneration (P &lt; 0.001). In the subgroup of recipients without intraoperative platelet transfusion, mean platelet count measured during the intraoperative reperfusion phase was positively associated with graft regeneration (P = 0.033). CONCLUSIONS: Graft regeneration after LDLT increased in relation to a graded increase in the amount of transfused platelets and higher postreperfusion platelet counts during surgery. These results offer additional evidence regarding the important role of platelets in initiating liver regeneration and, furthermore, the indications for and the benefits vs risks of platelet transfusion during LDLT.", "author" : [ { "dropping-particle" : "", "family" : "Han", "given" : "Sangbin", "non-dropping-particle" : "", "parse-names" : false, "suffix" : "" }, { "dropping-particle" : "", "family" : "Park", "given" : "Hyo-Won", "non-dropping-particle" : "", "parse-names" : false, "suffix" : "" }, { "dropping-particle" : "", "family" : "Song", "given" : "Ji Hyeon", "non-dropping-particle" : "", "parse-names" : false, "suffix" : "" }, { "dropping-particle" : "", "family" : "Gwak", "given" : "Mi Sook", "non-dropping-particle" : "", "parse-names" : false, "suffix" : "" }, { "dropping-particle" : "", "family" : "Lee", "given" : "Won Jae", "non-dropping-particle" : "", "parse-names" : false, "suffix" : "" }, { "dropping-particle" : "", "family" : "Kim", "given" : "Gaabsoo", "non-dropping-particle" : "", "parse-names" : false, "suffix" : "" }, { "dropping-particle" : "", "family" : "Lee", "given" : "Suk-Koo", "non-dropping-particle" : "", "parse-names" : false, "suffix" : "" }, { "dropping-particle" : "", "family" : "Ko", "given" : "Justin Sangwook", "non-dropping-particle" : "", "parse-names" : false, "suffix" : "" } ], "container-title" : "Annals of surgery", "id" : "ITEM-2", "issued" : { "date-parts" : [ [ "2015", "12", "29" ] ] }, "title" : "Association Between Intraoperative Platelet Transfusion and Early Graft Regeneration in Living Donor Liver Transplantation.", "type" : "article-journal" }, "uris" : [ "http://www.mendeley.com/documents/?uuid=05eb7f8b-2787-45c8-8923-6c79e2f22057" ] } ], "mendeley" : { "formattedCitation" : "&lt;sup&gt;[73,74]&lt;/sup&gt;", "plainTextFormattedCitation" : "[73,74]", "previouslyFormattedCitation" : "&lt;sup&gt;[73,74]&lt;/sup&gt;" }, "properties" : { "noteIndex" : 0 }, "schema" : "https://github.com/citation-style-language/schema/raw/master/csl-citation.json" }</w:instrText>
      </w:r>
      <w:r w:rsidR="00C17DDB">
        <w:rPr>
          <w:rFonts w:ascii="Book Antiqua" w:hAnsi="Book Antiqua"/>
          <w:sz w:val="24"/>
          <w:szCs w:val="24"/>
          <w:lang w:val="en-GB"/>
        </w:rPr>
        <w:fldChar w:fldCharType="separate"/>
      </w:r>
      <w:r w:rsidR="00C17DDB" w:rsidRPr="00CD2CDC">
        <w:rPr>
          <w:rFonts w:ascii="Book Antiqua" w:hAnsi="Book Antiqua"/>
          <w:noProof/>
          <w:sz w:val="24"/>
          <w:szCs w:val="24"/>
          <w:vertAlign w:val="superscript"/>
          <w:lang w:val="en-GB"/>
        </w:rPr>
        <w:t>[73,74]</w:t>
      </w:r>
      <w:r w:rsidR="00C17DDB">
        <w:rPr>
          <w:rFonts w:ascii="Book Antiqua" w:hAnsi="Book Antiqua"/>
          <w:sz w:val="24"/>
          <w:szCs w:val="24"/>
          <w:lang w:val="en-GB"/>
        </w:rPr>
        <w:fldChar w:fldCharType="end"/>
      </w:r>
      <w:r w:rsidR="0072168C">
        <w:rPr>
          <w:rFonts w:ascii="Book Antiqua" w:hAnsi="Book Antiqua"/>
          <w:sz w:val="24"/>
          <w:szCs w:val="24"/>
          <w:lang w:val="en-GB"/>
        </w:rPr>
        <w:t xml:space="preserve">. </w:t>
      </w:r>
      <w:r>
        <w:rPr>
          <w:rFonts w:ascii="Book Antiqua" w:hAnsi="Book Antiqua"/>
          <w:sz w:val="24"/>
          <w:szCs w:val="24"/>
          <w:lang w:val="en-GB"/>
        </w:rPr>
        <w:t>A cut-off of 68</w:t>
      </w:r>
      <w:r w:rsidR="00E35182">
        <w:rPr>
          <w:rFonts w:ascii="Book Antiqua" w:eastAsiaTheme="minorEastAsia" w:hAnsi="Book Antiqua" w:hint="eastAsia"/>
          <w:sz w:val="24"/>
          <w:szCs w:val="24"/>
          <w:lang w:val="en-GB" w:eastAsia="zh-CN"/>
        </w:rPr>
        <w:t xml:space="preserve"> </w:t>
      </w:r>
      <w:r>
        <w:rPr>
          <w:rFonts w:ascii="Book Antiqua" w:hAnsi="Book Antiqua"/>
          <w:sz w:val="24"/>
          <w:szCs w:val="24"/>
          <w:lang w:val="en-GB"/>
        </w:rPr>
        <w:t>x</w:t>
      </w:r>
      <w:r w:rsidR="00E35182">
        <w:rPr>
          <w:rFonts w:ascii="Book Antiqua" w:eastAsiaTheme="minorEastAsia" w:hAnsi="Book Antiqua" w:hint="eastAsia"/>
          <w:sz w:val="24"/>
          <w:szCs w:val="24"/>
          <w:lang w:val="en-GB" w:eastAsia="zh-CN"/>
        </w:rPr>
        <w:t xml:space="preserve"> </w:t>
      </w:r>
      <w:r>
        <w:rPr>
          <w:rFonts w:ascii="Book Antiqua" w:hAnsi="Book Antiqua"/>
          <w:sz w:val="24"/>
          <w:szCs w:val="24"/>
          <w:lang w:val="en-GB"/>
        </w:rPr>
        <w:t>10</w:t>
      </w:r>
      <w:r>
        <w:rPr>
          <w:rFonts w:ascii="Book Antiqua" w:hAnsi="Book Antiqua"/>
          <w:sz w:val="24"/>
          <w:szCs w:val="24"/>
          <w:vertAlign w:val="superscript"/>
          <w:lang w:val="en-GB"/>
        </w:rPr>
        <w:t>9</w:t>
      </w:r>
      <w:r>
        <w:rPr>
          <w:rFonts w:ascii="Book Antiqua" w:hAnsi="Book Antiqua"/>
          <w:sz w:val="24"/>
          <w:szCs w:val="24"/>
          <w:lang w:val="en-GB"/>
        </w:rPr>
        <w:t xml:space="preserve"> platelets/L for the immediate postoperative platelet count was determined following ROC analysis. </w:t>
      </w:r>
      <w:r w:rsidR="001643FA">
        <w:rPr>
          <w:rFonts w:ascii="Book Antiqua" w:hAnsi="Book Antiqua"/>
          <w:sz w:val="24"/>
          <w:szCs w:val="24"/>
          <w:lang w:val="en-GB"/>
        </w:rPr>
        <w:t>Values</w:t>
      </w:r>
      <w:r>
        <w:rPr>
          <w:rFonts w:ascii="Book Antiqua" w:hAnsi="Book Antiqua"/>
          <w:sz w:val="24"/>
          <w:szCs w:val="24"/>
          <w:lang w:val="en-GB"/>
        </w:rPr>
        <w:t xml:space="preserve"> </w:t>
      </w:r>
      <w:r>
        <w:rPr>
          <w:rFonts w:ascii="Book Antiqua" w:hAnsi="Book Antiqua"/>
          <w:color w:val="000000"/>
          <w:sz w:val="24"/>
          <w:szCs w:val="24"/>
          <w:lang w:val="en-GB"/>
        </w:rPr>
        <w:t xml:space="preserve">lower than this cut off </w:t>
      </w:r>
      <w:r>
        <w:rPr>
          <w:rFonts w:ascii="Book Antiqua" w:hAnsi="Book Antiqua"/>
          <w:sz w:val="24"/>
          <w:szCs w:val="24"/>
          <w:lang w:val="en-GB"/>
        </w:rPr>
        <w:t>were found to be a risk factor for IPF incidence and severe complications. No differences were found for the 90-d mortality rate, PNF and ICU-LOS.</w:t>
      </w:r>
    </w:p>
    <w:p w14:paraId="1E6CE473" w14:textId="443BBEBA" w:rsidR="00577E50" w:rsidRDefault="00577E50" w:rsidP="00422EBA">
      <w:pPr>
        <w:adjustRightInd w:val="0"/>
        <w:snapToGrid w:val="0"/>
        <w:spacing w:after="0" w:line="360" w:lineRule="auto"/>
        <w:ind w:firstLineChars="200" w:firstLine="480"/>
        <w:jc w:val="both"/>
        <w:rPr>
          <w:rFonts w:ascii="Book Antiqua" w:eastAsiaTheme="minorEastAsia" w:hAnsi="Book Antiqua"/>
          <w:sz w:val="24"/>
          <w:szCs w:val="24"/>
          <w:lang w:val="en-GB" w:eastAsia="zh-CN"/>
        </w:rPr>
      </w:pPr>
      <w:r>
        <w:rPr>
          <w:rFonts w:ascii="Book Antiqua" w:hAnsi="Book Antiqua"/>
          <w:sz w:val="24"/>
          <w:szCs w:val="24"/>
          <w:lang w:val="en-GB"/>
        </w:rPr>
        <w:t xml:space="preserve">Weak statistics in few retrospective studies limit our knowledge of the meaning of platelet count post-LT. </w:t>
      </w:r>
      <w:r w:rsidR="001643FA">
        <w:rPr>
          <w:rFonts w:ascii="Book Antiqua" w:hAnsi="Book Antiqua"/>
          <w:sz w:val="24"/>
          <w:szCs w:val="24"/>
          <w:lang w:val="en-GB"/>
        </w:rPr>
        <w:t>Finally,</w:t>
      </w:r>
      <w:r>
        <w:rPr>
          <w:rFonts w:ascii="Book Antiqua" w:hAnsi="Book Antiqua"/>
          <w:sz w:val="24"/>
          <w:szCs w:val="24"/>
          <w:lang w:val="en-GB"/>
        </w:rPr>
        <w:t xml:space="preserve"> it is not easy to understand if </w:t>
      </w:r>
      <w:r w:rsidR="001643FA">
        <w:rPr>
          <w:rFonts w:ascii="Book Antiqua" w:hAnsi="Book Antiqua"/>
          <w:sz w:val="24"/>
          <w:szCs w:val="24"/>
          <w:lang w:val="en-GB"/>
        </w:rPr>
        <w:t>postoperative thrombocytopenia</w:t>
      </w:r>
      <w:r w:rsidR="001643FA" w:rsidDel="001643FA">
        <w:rPr>
          <w:rFonts w:ascii="Book Antiqua" w:hAnsi="Book Antiqua"/>
          <w:sz w:val="24"/>
          <w:szCs w:val="24"/>
          <w:lang w:val="en-GB"/>
        </w:rPr>
        <w:t xml:space="preserve"> </w:t>
      </w:r>
      <w:r>
        <w:rPr>
          <w:rFonts w:ascii="Book Antiqua" w:hAnsi="Book Antiqua"/>
          <w:sz w:val="24"/>
          <w:szCs w:val="24"/>
          <w:lang w:val="en-GB"/>
        </w:rPr>
        <w:t>is a cause or a consequence of EAD.</w:t>
      </w:r>
    </w:p>
    <w:p w14:paraId="2D01F5AE" w14:textId="77777777" w:rsidR="00C17DDB" w:rsidRPr="00C17DDB" w:rsidRDefault="00C17DDB" w:rsidP="00422EBA">
      <w:pPr>
        <w:adjustRightInd w:val="0"/>
        <w:snapToGrid w:val="0"/>
        <w:spacing w:after="0" w:line="360" w:lineRule="auto"/>
        <w:ind w:firstLineChars="200" w:firstLine="440"/>
        <w:jc w:val="both"/>
        <w:rPr>
          <w:rFonts w:eastAsiaTheme="minorEastAsia"/>
          <w:lang w:val="en-GB" w:eastAsia="zh-CN"/>
        </w:rPr>
      </w:pPr>
    </w:p>
    <w:p w14:paraId="5284D3A9" w14:textId="4310CC39" w:rsidR="00577E50" w:rsidRPr="00C17DDB" w:rsidRDefault="00577E50" w:rsidP="00422EBA">
      <w:pPr>
        <w:adjustRightInd w:val="0"/>
        <w:snapToGrid w:val="0"/>
        <w:spacing w:after="0" w:line="360" w:lineRule="auto"/>
        <w:jc w:val="both"/>
        <w:rPr>
          <w:rFonts w:ascii="Book Antiqua" w:hAnsi="Book Antiqua"/>
          <w:b/>
          <w:caps/>
          <w:sz w:val="24"/>
          <w:szCs w:val="24"/>
          <w:lang w:val="en-GB"/>
        </w:rPr>
      </w:pPr>
      <w:r w:rsidRPr="00C17DDB">
        <w:rPr>
          <w:rFonts w:ascii="Book Antiqua" w:hAnsi="Book Antiqua"/>
          <w:b/>
          <w:caps/>
          <w:sz w:val="24"/>
          <w:szCs w:val="24"/>
          <w:lang w:val="en-GB"/>
        </w:rPr>
        <w:t>Factor V</w:t>
      </w:r>
    </w:p>
    <w:p w14:paraId="4CB8E9F6" w14:textId="26F2736A" w:rsidR="00577E50" w:rsidRDefault="00577E50" w:rsidP="00422EBA">
      <w:pPr>
        <w:adjustRightInd w:val="0"/>
        <w:snapToGrid w:val="0"/>
        <w:spacing w:after="0" w:line="360" w:lineRule="auto"/>
        <w:jc w:val="both"/>
        <w:rPr>
          <w:rFonts w:ascii="Book Antiqua" w:hAnsi="Book Antiqua"/>
          <w:sz w:val="24"/>
          <w:szCs w:val="24"/>
          <w:lang w:val="en-GB"/>
        </w:rPr>
      </w:pPr>
      <w:r>
        <w:rPr>
          <w:rFonts w:ascii="Book Antiqua" w:hAnsi="Book Antiqua"/>
          <w:sz w:val="24"/>
          <w:szCs w:val="24"/>
          <w:lang w:val="en-GB"/>
        </w:rPr>
        <w:t>Coagulation factors I, II, VII, VIII, IX, X, and XI, protein C, protein S and anti-thrombin are produced by the liver. Thus, coagulation relies heavily on its conserved synthetic capacity. Factor V is a cofactor for the prothrombinase complex</w:t>
      </w:r>
      <w:r w:rsidR="00677704">
        <w:rPr>
          <w:rFonts w:ascii="Book Antiqua" w:hAnsi="Book Antiqua"/>
          <w:sz w:val="24"/>
          <w:szCs w:val="24"/>
          <w:lang w:val="en-GB"/>
        </w:rPr>
        <w:t>,</w:t>
      </w:r>
      <w:r>
        <w:rPr>
          <w:rFonts w:ascii="Book Antiqua" w:hAnsi="Book Antiqua"/>
          <w:sz w:val="24"/>
          <w:szCs w:val="24"/>
          <w:lang w:val="en-GB"/>
        </w:rPr>
        <w:t xml:space="preserve"> that activates prothrombin to thrombin, interacts with several coagulation factors, and also modulates the anticoagulant pathway by down-regulating factor VIII activity. Factor V does not depend on vitamin K for its production and is characterised by a short half-life (&lt; 24 h), strictly tracing liver function at the moment of its dosage. For this reason, it has been found to be a good prognostic marker of fulminant liver failure</w:t>
      </w:r>
      <w:r w:rsidR="00C17DDB">
        <w:rPr>
          <w:rFonts w:ascii="Book Antiqua" w:hAnsi="Book Antiqua"/>
          <w:sz w:val="24"/>
          <w:szCs w:val="24"/>
          <w:lang w:val="en-GB"/>
        </w:rPr>
        <w:fldChar w:fldCharType="begin" w:fldLock="1"/>
      </w:r>
      <w:r w:rsidR="00C17DDB">
        <w:rPr>
          <w:rFonts w:ascii="Book Antiqua" w:hAnsi="Book Antiqua"/>
          <w:sz w:val="24"/>
          <w:szCs w:val="24"/>
          <w:lang w:val="en-GB"/>
        </w:rPr>
        <w:instrText>ADDIN CSL_CITATION { "citationItems" : [ { "id" : "ITEM-1", "itemData" : { "DOI" : "10.1016/j.jhep.2004.09.009", "ISSN" : "0168-8278", "PMID" : "15629511", "abstract" : "BACKGROUND/AIMS: Low factor V and VII levels are bad prognostic indicators in fulminant hepatic failure (FHF). The prognostic importance of admission versus follow up levels of these factors in patients with acute hepatitis and coagulopathy without encephalopathy has not been evaluated. METHODS: Clinical and laboratory data from 68 consecutive patients with acute hepatitis and coagulopathy but without encephalopathy, during a 6-year period, was retrospectively evaluated. RESULTS: Sixty patients (88%) demonstrated improvement in liver function and coagulation ('survivors'), while 8 patients (12%) died or underwent OLT ('non-survivors'). Survivors had higher admission (P &lt; 0.005) and follow up factor VII levels (P &lt; 0.005) than non-survivors. Follow up factor V levels were higher in survivors (P &lt; 0.02), while admission factor V level was not different between groups (P = NS). Multivariate logistic regression analysis demonstrated that admission factor VII levels predicted outcome (P &lt; 0.006). Area under the ROC curve of factor VII was larger than that of factor V (0.885 and 0.715, respectively, P &lt; 0.02). After 3 days of hospitalization, factor V levels, but not factor VII, independently predicted outcome (P &lt; 0.04). CONCLUSIONS: In patients with hepatitis and coagulopathy without encephalopathy at presentation, admission factor VII level may serve as a reliable prognostic marker. Subsequently, during hospitalization, changes in factor V are better outcome indicators.", "author" : [ { "dropping-particle" : "", "family" : "Elinav", "given" : "Eran", "non-dropping-particle" : "", "parse-names" : false, "suffix" : "" }, { "dropping-particle" : "", "family" : "Ben-Dov", "given" : "Iddo", "non-dropping-particle" : "", "parse-names" : false, "suffix" : "" }, { "dropping-particle" : "", "family" : "Hai-Am", "given" : "Esther", "non-dropping-particle" : "", "parse-names" : false, "suffix" : "" }, { "dropping-particle" : "", "family" : "Ackerman", "given" : "Zvi", "non-dropping-particle" : "", "parse-names" : false, "suffix" : "" }, { "dropping-particle" : "", "family" : "Ofran", "given" : "Yishai", "non-dropping-particle" : "", "parse-names" : false, "suffix" : "" } ], "container-title" : "Journal of hepatology", "id" : "ITEM-1", "issue" : "1", "issued" : { "date-parts" : [ [ "2005", "1" ] ] }, "page" : "82-6", "title" : "The predictive value of admission and follow up factor V and VII levels in patients with acute hepatitis and coagulopathy.", "type" : "article-journal", "volume" : "42" }, "uris" : [ "http://www.mendeley.com/documents/?uuid=e86f0a9d-c7d1-4b14-802e-60d0d5ce51a1" ] } ], "mendeley" : { "formattedCitation" : "&lt;sup&gt;[75]&lt;/sup&gt;", "plainTextFormattedCitation" : "[75]", "previouslyFormattedCitation" : "&lt;sup&gt;[75]&lt;/sup&gt;" }, "properties" : { "noteIndex" : 0 }, "schema" : "https://github.com/citation-style-language/schema/raw/master/csl-citation.json" }</w:instrText>
      </w:r>
      <w:r w:rsidR="00C17DDB">
        <w:rPr>
          <w:rFonts w:ascii="Book Antiqua" w:hAnsi="Book Antiqua"/>
          <w:sz w:val="24"/>
          <w:szCs w:val="24"/>
          <w:lang w:val="en-GB"/>
        </w:rPr>
        <w:fldChar w:fldCharType="separate"/>
      </w:r>
      <w:r w:rsidR="00C17DDB" w:rsidRPr="00CD2CDC">
        <w:rPr>
          <w:rFonts w:ascii="Book Antiqua" w:hAnsi="Book Antiqua"/>
          <w:noProof/>
          <w:sz w:val="24"/>
          <w:szCs w:val="24"/>
          <w:vertAlign w:val="superscript"/>
          <w:lang w:val="en-GB"/>
        </w:rPr>
        <w:t>[75]</w:t>
      </w:r>
      <w:r w:rsidR="00C17DDB">
        <w:rPr>
          <w:rFonts w:ascii="Book Antiqua" w:hAnsi="Book Antiqua"/>
          <w:sz w:val="24"/>
          <w:szCs w:val="24"/>
          <w:lang w:val="en-GB"/>
        </w:rPr>
        <w:fldChar w:fldCharType="end"/>
      </w:r>
      <w:r w:rsidR="0072168C">
        <w:rPr>
          <w:rFonts w:ascii="Book Antiqua" w:hAnsi="Book Antiqua"/>
          <w:sz w:val="24"/>
          <w:szCs w:val="24"/>
          <w:lang w:val="en-GB"/>
        </w:rPr>
        <w:t>.</w:t>
      </w:r>
      <w:r w:rsidR="00C17DDB">
        <w:rPr>
          <w:rFonts w:ascii="Book Antiqua" w:hAnsi="Book Antiqua"/>
          <w:sz w:val="24"/>
          <w:szCs w:val="24"/>
          <w:lang w:val="en-GB"/>
        </w:rPr>
        <w:t xml:space="preserve"> </w:t>
      </w:r>
    </w:p>
    <w:p w14:paraId="782B7046" w14:textId="51B57E97" w:rsidR="00577E50" w:rsidRDefault="00577E50" w:rsidP="00422EBA">
      <w:pPr>
        <w:adjustRightInd w:val="0"/>
        <w:snapToGrid w:val="0"/>
        <w:spacing w:after="0" w:line="360" w:lineRule="auto"/>
        <w:ind w:firstLineChars="200" w:firstLine="480"/>
        <w:jc w:val="both"/>
        <w:rPr>
          <w:rFonts w:ascii="Book Antiqua" w:eastAsiaTheme="minorEastAsia" w:hAnsi="Book Antiqua"/>
          <w:sz w:val="24"/>
          <w:szCs w:val="24"/>
          <w:lang w:val="en-GB" w:eastAsia="zh-CN"/>
        </w:rPr>
      </w:pPr>
      <w:r>
        <w:rPr>
          <w:rFonts w:ascii="Book Antiqua" w:hAnsi="Book Antiqua"/>
          <w:color w:val="000000"/>
          <w:sz w:val="24"/>
          <w:szCs w:val="24"/>
          <w:lang w:val="en-GB"/>
        </w:rPr>
        <w:t>When specifically tested for LT, fa</w:t>
      </w:r>
      <w:r>
        <w:rPr>
          <w:rFonts w:ascii="Book Antiqua" w:hAnsi="Book Antiqua"/>
          <w:sz w:val="24"/>
          <w:szCs w:val="24"/>
          <w:lang w:val="en-GB"/>
        </w:rPr>
        <w:t>ctor V measurement on POD2 was retrospectively found to be an indep</w:t>
      </w:r>
      <w:r w:rsidR="00E35182">
        <w:rPr>
          <w:rFonts w:ascii="Book Antiqua" w:hAnsi="Book Antiqua"/>
          <w:sz w:val="24"/>
          <w:szCs w:val="24"/>
          <w:lang w:val="en-GB"/>
        </w:rPr>
        <w:t>endent predictor for both 90-d</w:t>
      </w:r>
      <w:r>
        <w:rPr>
          <w:rFonts w:ascii="Book Antiqua" w:hAnsi="Book Antiqua"/>
          <w:sz w:val="24"/>
          <w:szCs w:val="24"/>
          <w:lang w:val="en-GB"/>
        </w:rPr>
        <w:t xml:space="preserve"> graft function and overall survival</w:t>
      </w:r>
      <w:r w:rsidR="00C17DDB">
        <w:rPr>
          <w:rFonts w:ascii="Book Antiqua" w:hAnsi="Book Antiqua"/>
          <w:sz w:val="24"/>
          <w:szCs w:val="24"/>
          <w:lang w:val="en-GB"/>
        </w:rPr>
        <w:fldChar w:fldCharType="begin" w:fldLock="1"/>
      </w:r>
      <w:r w:rsidR="00C17DDB">
        <w:rPr>
          <w:rFonts w:ascii="Book Antiqua" w:hAnsi="Book Antiqua"/>
          <w:sz w:val="24"/>
          <w:szCs w:val="24"/>
          <w:lang w:val="en-GB"/>
        </w:rPr>
        <w:instrText>ADDIN CSL_CITATION { "citationItems" : [ { "id" : "ITEM-1", "itemData" : { "DOI" : "10.1007/s00423-015-1290-2", "ISSN" : "1435-2451", "PMID" : "25708642", "abstract" : "PURPOSE: According to the current criteria, the diagnosis of early allograft dysfunction usually cannot be established before the end of the first week after liver transplantation. Thus, early predictive tests for detecting allograft dysfunction are still warranted to prevent allograft failure. This study was undertaken to assess the role of low serum factor V activity as an early prognostic factor (postoperative day 2) after liver transplantation. METHODS: A retrospective review of all consecutive adult patients who underwent first orthotopic whole-graft liver transplant at our institution between March 2002 and June 2011 was undertaken. Primary endpoint was graft failure within 90 days after transplantation. RESULTS: Of all 105 patients analyzed in this study, 39 (37.1 %) were female and 66 (62.9 %) were male. Mean age was 52.7 \u00b1 11.7 years, and median follow-up period was 2474 \u00b1 164 days. There were overall 33 (31.4 %) deaths, 13 of those occurring on the first 90 post-transplant days. Multivariate analysis demonstrated that serum factor V lower than 41.5 % and female gender had a negative impact not only on allograft failure/death within 90 days after transplantation (RR = 5.30, CI = 1.40-20.2, p = 0.015 and RR = 5.23, CI = 1.53-21.33, p = 0.008) but also on overall mortality. For prediction of allograft failure/death occurring during the first 3 months, serum factor V level of 41.5 % or lower exhibited a specificity of 87.9 %, a sensitivity of 42.9 %, an accuracy of 81.9 %, a positive predictive value of 35.3 %, and a negative predictive value of 90.9 %. CONCLUSIONS: Assessment of serum factor V levels on postoperative day 2 might be a promising prognostic tool for early prediction of inferior outcomes after liver transplantation.", "author" : [ { "dropping-particle" : "", "family" : "Zulian", "given" : "Mauricio C", "non-dropping-particle" : "", "parse-names" : false, "suffix" : "" }, { "dropping-particle" : "", "family" : "Chedid", "given" : "Marcio F", "non-dropping-particle" : "", "parse-names" : false, "suffix" : "" }, { "dropping-particle" : "", "family" : "Chedid", "given" : "Aljamir D", "non-dropping-particle" : "", "parse-names" : false, "suffix" : "" }, { "dropping-particle" : "", "family" : "Grezzana Filho", "given" : "Tomaz J M", "non-dropping-particle" : "", "parse-names" : false, "suffix" : "" }, { "dropping-particle" : "", "family" : "Leipnitz", "given" : "Ian", "non-dropping-particle" : "", "parse-names" : false, "suffix" : "" }, { "dropping-particle" : "", "family" : "Araujo", "given" : "Alexandre", "non-dropping-particle" : "de", "parse-names" : false, "suffix" : "" }, { "dropping-particle" : "", "family" : "Alvares-da-Silva", "given" : "Mario R", "non-dropping-particle" : "", "parse-names" : false, "suffix" : "" }, { "dropping-particle" : "", "family" : "Cardoni", "given" : "Mario G", "non-dropping-particle" : "", "parse-names" : false, "suffix" : "" }, { "dropping-particle" : "", "family" : "Guimaraes", "given" : "Luciano S", "non-dropping-particle" : "", "parse-names" : false, "suffix" : "" }, { "dropping-particle" : "", "family" : "Kruel", "given" : "Cleber D P", "non-dropping-particle" : "", "parse-names" : false, "suffix" : "" }, { "dropping-particle" : "", "family" : "Kruel", "given" : "Cleber R P", "non-dropping-particle" : "", "parse-names" : false, "suffix" : "" } ], "container-title" : "Langenbeck's archives of surgery / Deutsche Gesellschaft fu\u0308r Chirurgie", "id" : "ITEM-1", "issue" : "5", "issued" : { "date-parts" : [ [ "2015", "7" ] ] }, "page" : "589-97", "title" : "Low serum factor V level: early predictor of allograft failure and death following liver transplantation.", "type" : "article-journal", "volume" : "400" }, "uris" : [ "http://www.mendeley.com/documents/?uuid=4738e504-fe1d-416d-a508-04da2fb3d87d" ] } ], "mendeley" : { "formattedCitation" : "&lt;sup&gt;[76]&lt;/sup&gt;", "plainTextFormattedCitation" : "[76]", "previouslyFormattedCitation" : "&lt;sup&gt;[76]&lt;/sup&gt;" }, "properties" : { "noteIndex" : 0 }, "schema" : "https://github.com/citation-style-language/schema/raw/master/csl-citation.json" }</w:instrText>
      </w:r>
      <w:r w:rsidR="00C17DDB">
        <w:rPr>
          <w:rFonts w:ascii="Book Antiqua" w:hAnsi="Book Antiqua"/>
          <w:sz w:val="24"/>
          <w:szCs w:val="24"/>
          <w:lang w:val="en-GB"/>
        </w:rPr>
        <w:fldChar w:fldCharType="separate"/>
      </w:r>
      <w:r w:rsidR="00C17DDB" w:rsidRPr="00CD2CDC">
        <w:rPr>
          <w:rFonts w:ascii="Book Antiqua" w:hAnsi="Book Antiqua"/>
          <w:noProof/>
          <w:sz w:val="24"/>
          <w:szCs w:val="24"/>
          <w:vertAlign w:val="superscript"/>
          <w:lang w:val="en-GB"/>
        </w:rPr>
        <w:t>[76]</w:t>
      </w:r>
      <w:r w:rsidR="00C17DDB">
        <w:rPr>
          <w:rFonts w:ascii="Book Antiqua" w:hAnsi="Book Antiqua"/>
          <w:sz w:val="24"/>
          <w:szCs w:val="24"/>
          <w:lang w:val="en-GB"/>
        </w:rPr>
        <w:fldChar w:fldCharType="end"/>
      </w:r>
      <w:r>
        <w:rPr>
          <w:rFonts w:ascii="Book Antiqua" w:hAnsi="Book Antiqua"/>
          <w:sz w:val="24"/>
          <w:szCs w:val="24"/>
          <w:lang w:val="en-GB"/>
        </w:rPr>
        <w:t xml:space="preserve">. A cut-off was set at 41.5% after ROC analysis. No differences in preoperative data distinguished the groups with high </w:t>
      </w:r>
      <w:r w:rsidRPr="00E35182">
        <w:rPr>
          <w:rFonts w:ascii="Book Antiqua" w:hAnsi="Book Antiqua"/>
          <w:i/>
          <w:sz w:val="24"/>
          <w:szCs w:val="24"/>
          <w:lang w:val="en-GB"/>
        </w:rPr>
        <w:t>vs</w:t>
      </w:r>
      <w:r>
        <w:rPr>
          <w:rFonts w:ascii="Book Antiqua" w:hAnsi="Book Antiqua"/>
          <w:sz w:val="24"/>
          <w:szCs w:val="24"/>
          <w:lang w:val="en-GB"/>
        </w:rPr>
        <w:t xml:space="preserve"> low POD2 factor V. Plasma transfusions did not differ significantly between these two groups and therefore did not create misleading artefacts in data interpretation. Good specificity (87.9%) and NPV (90.9%) were detected for 3-mo graft survival</w:t>
      </w:r>
      <w:r w:rsidR="0072168C">
        <w:rPr>
          <w:rFonts w:ascii="Book Antiqua" w:hAnsi="Book Antiqua"/>
          <w:sz w:val="24"/>
          <w:szCs w:val="24"/>
          <w:lang w:val="en-GB"/>
        </w:rPr>
        <w:t xml:space="preserve">. </w:t>
      </w:r>
      <w:r w:rsidR="008B0015">
        <w:rPr>
          <w:rFonts w:ascii="Book Antiqua" w:hAnsi="Book Antiqua"/>
          <w:sz w:val="24"/>
          <w:szCs w:val="24"/>
          <w:lang w:val="en-GB"/>
        </w:rPr>
        <w:t>A</w:t>
      </w:r>
      <w:r w:rsidR="00677704">
        <w:rPr>
          <w:rFonts w:ascii="Book Antiqua" w:hAnsi="Book Antiqua"/>
          <w:sz w:val="24"/>
          <w:szCs w:val="24"/>
          <w:lang w:val="en-GB"/>
        </w:rPr>
        <w:t xml:space="preserve">lso </w:t>
      </w:r>
      <w:r>
        <w:rPr>
          <w:rFonts w:ascii="Book Antiqua" w:hAnsi="Book Antiqua"/>
          <w:sz w:val="24"/>
          <w:szCs w:val="24"/>
          <w:lang w:val="en-GB"/>
        </w:rPr>
        <w:t>the 5-year patient survival rate correlated with Factor V levels on POD2.</w:t>
      </w:r>
    </w:p>
    <w:p w14:paraId="3AC64AA9" w14:textId="77777777" w:rsidR="00C17DDB" w:rsidRPr="00C17DDB" w:rsidRDefault="00C17DDB" w:rsidP="00422EBA">
      <w:pPr>
        <w:adjustRightInd w:val="0"/>
        <w:snapToGrid w:val="0"/>
        <w:spacing w:after="0" w:line="360" w:lineRule="auto"/>
        <w:ind w:firstLineChars="200" w:firstLine="480"/>
        <w:jc w:val="both"/>
        <w:rPr>
          <w:rFonts w:ascii="Book Antiqua" w:eastAsiaTheme="minorEastAsia" w:hAnsi="Book Antiqua"/>
          <w:sz w:val="24"/>
          <w:szCs w:val="24"/>
          <w:lang w:val="en-US" w:eastAsia="zh-CN"/>
        </w:rPr>
      </w:pPr>
    </w:p>
    <w:p w14:paraId="357F1BA6" w14:textId="45A23CE3" w:rsidR="00577E50" w:rsidRPr="00C17DDB" w:rsidRDefault="00577E50" w:rsidP="00422EBA">
      <w:pPr>
        <w:adjustRightInd w:val="0"/>
        <w:snapToGrid w:val="0"/>
        <w:spacing w:after="0" w:line="360" w:lineRule="auto"/>
        <w:jc w:val="both"/>
        <w:rPr>
          <w:rFonts w:ascii="Book Antiqua" w:hAnsi="Book Antiqua"/>
          <w:b/>
          <w:caps/>
          <w:sz w:val="24"/>
          <w:szCs w:val="24"/>
          <w:lang w:val="en-GB"/>
        </w:rPr>
      </w:pPr>
      <w:r w:rsidRPr="00C17DDB">
        <w:rPr>
          <w:rFonts w:ascii="Book Antiqua" w:hAnsi="Book Antiqua"/>
          <w:b/>
          <w:caps/>
          <w:sz w:val="24"/>
          <w:szCs w:val="24"/>
          <w:lang w:val="en-GB"/>
        </w:rPr>
        <w:lastRenderedPageBreak/>
        <w:t>Transaminases, bilirubin and INR</w:t>
      </w:r>
    </w:p>
    <w:p w14:paraId="0F3D952F" w14:textId="4D72964B" w:rsidR="00577E50" w:rsidRDefault="00577E50" w:rsidP="00422EBA">
      <w:pPr>
        <w:adjustRightInd w:val="0"/>
        <w:snapToGrid w:val="0"/>
        <w:spacing w:after="0" w:line="360" w:lineRule="auto"/>
        <w:jc w:val="both"/>
        <w:rPr>
          <w:rFonts w:ascii="Book Antiqua" w:hAnsi="Book Antiqua"/>
          <w:sz w:val="24"/>
          <w:szCs w:val="24"/>
          <w:lang w:val="en-GB"/>
        </w:rPr>
      </w:pPr>
      <w:r>
        <w:rPr>
          <w:rFonts w:ascii="Book Antiqua" w:hAnsi="Book Antiqua"/>
          <w:sz w:val="24"/>
          <w:szCs w:val="24"/>
          <w:lang w:val="en-GB"/>
        </w:rPr>
        <w:t>Aspartate and alanine transaminases (AST and ALT) are enzymes involved in amino acid metabolism. ALTs are more liver-specific, but ASTs occur at higher concentrations in the liver</w:t>
      </w:r>
      <w:r w:rsidR="00C17DDB">
        <w:rPr>
          <w:rFonts w:ascii="Book Antiqua" w:hAnsi="Book Antiqua"/>
          <w:sz w:val="24"/>
          <w:szCs w:val="24"/>
          <w:lang w:val="en-GB"/>
        </w:rPr>
        <w:fldChar w:fldCharType="begin" w:fldLock="1"/>
      </w:r>
      <w:r w:rsidR="00C17DDB">
        <w:rPr>
          <w:rFonts w:ascii="Book Antiqua" w:hAnsi="Book Antiqua"/>
          <w:sz w:val="24"/>
          <w:szCs w:val="24"/>
          <w:lang w:val="en-GB"/>
        </w:rPr>
        <w:instrText>ADDIN CSL_CITATION { "citationItems" : [ { "id" : "ITEM-1", "itemData" : { "DOI" : "10.1002/hep.25656", "ISSN" : "1527-3350", "PMID" : "22331703", "abstract" : "UNLABELLED: Acetaminophen (APAP) is the leading cause of acute liver injury in the developed world. Timely administration of N-acetylcysteine (N-Ac) prevents the progression of serious liver injury and disease, whereas failure to administer N-Ac within a critical time frame allows disease progression and in the most severe cases may result in liver failure or death. In this situation, liver transplantation may be the only life-saving measure. Thus, the outcome of an APAP overdose depends on the size of the overdose and the time to first administration of N-Ac. We developed a system of differential equations to describe acute liver injury due to APAP overdose. The Model for Acetaminophen-induced Liver Damage (MALD) uses a patient's aspartate aminotransferase (AST), alanine aminotransferase (ALT), and international normalized ratio (INR) measurements on admission to estimate overdose amount, time elapsed since overdose, and outcome. The mathematical model was then tested on 53 patients from the University of Utah. With the addition of serum creatinine, eventual death was predicted with 100% sensitivity, 91% specificity, 67% positive predictive value (PPV), and 100% negative predictive value (NPV) in this retrospective study. Using only initial AST, ALT, and INR measurements, the model accurately predicted subsequent laboratory values for the majority of individual patients. This is the first dynamical rather than statistical approach to determine poor prognosis in patients with life-threatening liver disease due to APAP overdose.\n\nCONCLUSION: MALD provides a method to estimate overdose amount, time elapsed since overdose, and outcome from patient laboratory values commonly available on admission in cases of acute liver failure due to APAP overdose and should be validated in multicenter prospective evaluation.", "author" : [ { "dropping-particle" : "", "family" : "Remien", "given" : "Christopher H", "non-dropping-particle" : "", "parse-names" : false, "suffix" : "" }, { "dropping-particle" : "", "family" : "Adler", "given" : "Frederick R", "non-dropping-particle" : "", "parse-names" : false, "suffix" : "" }, { "dropping-particle" : "", "family" : "Waddoups", "given" : "Lindsey", "non-dropping-particle" : "", "parse-names" : false, "suffix" : "" }, { "dropping-particle" : "", "family" : "Box", "given" : "Terry D", "non-dropping-particle" : "", "parse-names" : false, "suffix" : "" }, { "dropping-particle" : "", "family" : "Sussman", "given" : "Norman L", "non-dropping-particle" : "", "parse-names" : false, "suffix" : "" } ], "container-title" : "Hepatology (Baltimore, Md.)", "id" : "ITEM-1", "issue" : "2", "issued" : { "date-parts" : [ [ "2012", "8" ] ] }, "page" : "727-34", "title" : "Mathematical modeling of liver injury and dysfunction after acetaminophen overdose: early discrimination between survival and death.", "type" : "article-journal", "volume" : "56" }, "uris" : [ "http://www.mendeley.com/documents/?uuid=0545a893-2326-4304-a3e0-d7c8ebd2a296" ] } ], "mendeley" : { "formattedCitation" : "&lt;sup&gt;[77]&lt;/sup&gt;", "plainTextFormattedCitation" : "[77]", "previouslyFormattedCitation" : "&lt;sup&gt;[77]&lt;/sup&gt;" }, "properties" : { "noteIndex" : 0 }, "schema" : "https://github.com/citation-style-language/schema/raw/master/csl-citation.json" }</w:instrText>
      </w:r>
      <w:r w:rsidR="00C17DDB">
        <w:rPr>
          <w:rFonts w:ascii="Book Antiqua" w:hAnsi="Book Antiqua"/>
          <w:sz w:val="24"/>
          <w:szCs w:val="24"/>
          <w:lang w:val="en-GB"/>
        </w:rPr>
        <w:fldChar w:fldCharType="separate"/>
      </w:r>
      <w:r w:rsidR="00C17DDB" w:rsidRPr="00CD2CDC">
        <w:rPr>
          <w:rFonts w:ascii="Book Antiqua" w:hAnsi="Book Antiqua"/>
          <w:noProof/>
          <w:sz w:val="24"/>
          <w:szCs w:val="24"/>
          <w:vertAlign w:val="superscript"/>
          <w:lang w:val="en-GB"/>
        </w:rPr>
        <w:t>[77]</w:t>
      </w:r>
      <w:r w:rsidR="00C17DDB">
        <w:rPr>
          <w:rFonts w:ascii="Book Antiqua" w:hAnsi="Book Antiqua"/>
          <w:sz w:val="24"/>
          <w:szCs w:val="24"/>
          <w:lang w:val="en-GB"/>
        </w:rPr>
        <w:fldChar w:fldCharType="end"/>
      </w:r>
      <w:r w:rsidR="0072168C">
        <w:rPr>
          <w:rFonts w:ascii="Book Antiqua" w:hAnsi="Book Antiqua"/>
          <w:sz w:val="24"/>
          <w:szCs w:val="24"/>
          <w:lang w:val="en-GB"/>
        </w:rPr>
        <w:t xml:space="preserve">. </w:t>
      </w:r>
      <w:r>
        <w:rPr>
          <w:rFonts w:ascii="Book Antiqua" w:hAnsi="Book Antiqua"/>
          <w:sz w:val="24"/>
          <w:szCs w:val="24"/>
          <w:lang w:val="en-GB"/>
        </w:rPr>
        <w:t xml:space="preserve">IPF and PNF </w:t>
      </w:r>
      <w:r w:rsidR="009D42C1">
        <w:rPr>
          <w:rFonts w:ascii="Book Antiqua" w:hAnsi="Book Antiqua"/>
          <w:sz w:val="24"/>
          <w:szCs w:val="24"/>
          <w:lang w:val="en-GB"/>
        </w:rPr>
        <w:t>definitions</w:t>
      </w:r>
      <w:r>
        <w:rPr>
          <w:rFonts w:ascii="Book Antiqua" w:hAnsi="Book Antiqua"/>
          <w:sz w:val="24"/>
          <w:szCs w:val="24"/>
          <w:lang w:val="en-GB"/>
        </w:rPr>
        <w:t xml:space="preserve"> in the </w:t>
      </w:r>
      <w:r w:rsidR="008606E9">
        <w:rPr>
          <w:rFonts w:ascii="Book Antiqua" w:hAnsi="Book Antiqua"/>
          <w:sz w:val="24"/>
          <w:szCs w:val="24"/>
          <w:lang w:val="en-GB"/>
        </w:rPr>
        <w:t xml:space="preserve">early </w:t>
      </w:r>
      <w:r>
        <w:rPr>
          <w:rFonts w:ascii="Book Antiqua" w:hAnsi="Book Antiqua"/>
          <w:sz w:val="24"/>
          <w:szCs w:val="24"/>
          <w:lang w:val="en-GB"/>
        </w:rPr>
        <w:t xml:space="preserve">1990s </w:t>
      </w:r>
      <w:r w:rsidR="009D42C1">
        <w:rPr>
          <w:rFonts w:ascii="Book Antiqua" w:hAnsi="Book Antiqua"/>
          <w:sz w:val="24"/>
          <w:szCs w:val="24"/>
          <w:lang w:val="en-GB"/>
        </w:rPr>
        <w:t xml:space="preserve">were based on </w:t>
      </w:r>
      <w:r>
        <w:rPr>
          <w:rFonts w:ascii="Book Antiqua" w:hAnsi="Book Antiqua"/>
          <w:sz w:val="24"/>
          <w:szCs w:val="24"/>
          <w:lang w:val="en-GB"/>
        </w:rPr>
        <w:t>extremely high levels of transaminases</w:t>
      </w:r>
      <w:r w:rsidR="009D42C1">
        <w:rPr>
          <w:rFonts w:ascii="Book Antiqua" w:hAnsi="Book Antiqua"/>
          <w:sz w:val="24"/>
          <w:szCs w:val="24"/>
          <w:lang w:val="en-GB"/>
        </w:rPr>
        <w:t xml:space="preserve"> as</w:t>
      </w:r>
      <w:r>
        <w:rPr>
          <w:rFonts w:ascii="Book Antiqua" w:hAnsi="Book Antiqua"/>
          <w:sz w:val="24"/>
          <w:szCs w:val="24"/>
          <w:lang w:val="en-GB"/>
        </w:rPr>
        <w:t xml:space="preserve"> an estimate of hepatic damage and hepatocellular lysis. </w:t>
      </w:r>
      <w:r w:rsidR="008606E9">
        <w:rPr>
          <w:rFonts w:ascii="Book Antiqua" w:hAnsi="Book Antiqua"/>
          <w:sz w:val="24"/>
          <w:szCs w:val="24"/>
          <w:lang w:val="en-GB"/>
        </w:rPr>
        <w:t xml:space="preserve"> Then, </w:t>
      </w:r>
      <w:r>
        <w:rPr>
          <w:rFonts w:ascii="Book Antiqua" w:hAnsi="Book Antiqua"/>
          <w:sz w:val="24"/>
          <w:szCs w:val="24"/>
          <w:lang w:val="en-GB"/>
        </w:rPr>
        <w:t>both bile production/bilirubin levels and prothrombin time (PT)</w:t>
      </w:r>
      <w:r w:rsidR="008606E9">
        <w:rPr>
          <w:rFonts w:ascii="Book Antiqua" w:hAnsi="Book Antiqua"/>
          <w:sz w:val="24"/>
          <w:szCs w:val="24"/>
          <w:lang w:val="en-GB"/>
        </w:rPr>
        <w:t xml:space="preserve"> were investigated</w:t>
      </w:r>
      <w:r>
        <w:rPr>
          <w:rFonts w:ascii="Book Antiqua" w:hAnsi="Book Antiqua"/>
          <w:sz w:val="24"/>
          <w:szCs w:val="24"/>
          <w:lang w:val="en-GB"/>
        </w:rPr>
        <w:t>, focusing attention on the synthetic activity and functional state of the liver.</w:t>
      </w:r>
    </w:p>
    <w:p w14:paraId="4890E8FE" w14:textId="751D1C4A" w:rsidR="00577E50" w:rsidRDefault="00577E50" w:rsidP="00422EBA">
      <w:pPr>
        <w:adjustRightInd w:val="0"/>
        <w:snapToGrid w:val="0"/>
        <w:spacing w:after="0" w:line="360" w:lineRule="auto"/>
        <w:ind w:firstLineChars="200" w:firstLine="480"/>
        <w:jc w:val="both"/>
        <w:rPr>
          <w:rFonts w:ascii="Book Antiqua" w:hAnsi="Book Antiqua"/>
          <w:sz w:val="24"/>
          <w:szCs w:val="24"/>
          <w:lang w:val="en-GB"/>
        </w:rPr>
      </w:pPr>
      <w:r>
        <w:rPr>
          <w:rFonts w:ascii="Book Antiqua" w:hAnsi="Book Antiqua"/>
          <w:sz w:val="24"/>
          <w:szCs w:val="24"/>
          <w:lang w:val="en-GB"/>
        </w:rPr>
        <w:t xml:space="preserve">Recently, a large prospective study found that AST on POD3 plus AST and ALT on POD7 are predictors of early (within POD90) graft failure from both general and liver-specific causes. The best AUROC with an extremely high NPV (99.34%) was detected for AST on POD3. Accordingly, patients were divided into 4 risk groups, which also correlated with 1-, 3- and 12-mo mortality rates, ICU-LOS, renal replacement therapy and incidence of septic complications. For the first time, </w:t>
      </w:r>
      <w:r w:rsidR="008606E9">
        <w:rPr>
          <w:rFonts w:ascii="Book Antiqua" w:hAnsi="Book Antiqua"/>
          <w:sz w:val="24"/>
          <w:szCs w:val="24"/>
          <w:lang w:val="en-GB"/>
        </w:rPr>
        <w:t xml:space="preserve">non arbitrary </w:t>
      </w:r>
      <w:r>
        <w:rPr>
          <w:rFonts w:ascii="Book Antiqua" w:hAnsi="Book Antiqua"/>
          <w:sz w:val="24"/>
          <w:szCs w:val="24"/>
          <w:lang w:val="en-GB"/>
        </w:rPr>
        <w:t xml:space="preserve">cut-off levels and POD of measurement for transaminases were defined. Moreover, AST on POD3 mirrors hepatic damage due to long times in performing vascular reconstruction, long </w:t>
      </w:r>
      <w:r>
        <w:rPr>
          <w:rFonts w:ascii="Book Antiqua" w:hAnsi="Book Antiqua"/>
          <w:color w:val="000000"/>
          <w:sz w:val="24"/>
          <w:szCs w:val="24"/>
          <w:lang w:val="en-GB"/>
        </w:rPr>
        <w:t xml:space="preserve">cold </w:t>
      </w:r>
      <w:r w:rsidR="008606E9">
        <w:rPr>
          <w:rFonts w:ascii="Book Antiqua" w:hAnsi="Book Antiqua"/>
          <w:color w:val="000000"/>
          <w:sz w:val="24"/>
          <w:szCs w:val="24"/>
          <w:lang w:val="en-GB"/>
        </w:rPr>
        <w:t>ischemia</w:t>
      </w:r>
      <w:r>
        <w:rPr>
          <w:rFonts w:ascii="Book Antiqua" w:hAnsi="Book Antiqua"/>
          <w:color w:val="000000"/>
          <w:sz w:val="24"/>
          <w:szCs w:val="24"/>
          <w:lang w:val="en-GB"/>
        </w:rPr>
        <w:t xml:space="preserve"> times</w:t>
      </w:r>
      <w:r>
        <w:rPr>
          <w:rFonts w:ascii="Book Antiqua" w:hAnsi="Book Antiqua"/>
          <w:sz w:val="24"/>
          <w:szCs w:val="24"/>
          <w:lang w:val="en-GB"/>
        </w:rPr>
        <w:t xml:space="preserve"> and preoperative MELD values</w:t>
      </w:r>
      <w:r w:rsidR="00491865">
        <w:rPr>
          <w:rFonts w:ascii="Book Antiqua" w:hAnsi="Book Antiqua"/>
          <w:sz w:val="24"/>
          <w:szCs w:val="24"/>
          <w:lang w:val="en-GB"/>
        </w:rPr>
        <w:fldChar w:fldCharType="begin" w:fldLock="1"/>
      </w:r>
      <w:r w:rsidR="00491865">
        <w:rPr>
          <w:rFonts w:ascii="Book Antiqua" w:hAnsi="Book Antiqua"/>
          <w:sz w:val="24"/>
          <w:szCs w:val="24"/>
          <w:lang w:val="en-GB"/>
        </w:rPr>
        <w:instrText>ADDIN CSL_CITATION { "citationItems" : [ { "id" : "ITEM-1", "itemData" : { "DOI" : "10.1111/tri.12723", "ISSN" : "09340874", "author" : [ { "dropping-particle" : "", "family" : "Robertson", "given" : "Francis P", "non-dropping-particle" : "", "parse-names" : false, "suffix" : "" }, { "dropping-particle" : "", "family" : "Bessell", "given" : "Paul R", "non-dropping-particle" : "", "parse-names" : false, "suffix" : "" }, { "dropping-particle" : "", "family" : "Diaz-Nieto", "given" : "Rafael", "non-dropping-particle" : "", "parse-names" : false, "suffix" : "" }, { "dropping-particle" : "", "family" : "Thomas", "given" : "Niclas", "non-dropping-particle" : "", "parse-names" : false, "suffix" : "" }, { "dropping-particle" : "", "family" : "Rolando", "given" : "Nancy", "non-dropping-particle" : "", "parse-names" : false, "suffix" : "" }, { "dropping-particle" : "", "family" : "Fuller", "given" : "Barry", "non-dropping-particle" : "", "parse-names" : false, "suffix" : "" }, { "dropping-particle" : "", "family" : "Davidson", "given" : "Brian R", "non-dropping-particle" : "", "parse-names" : false, "suffix" : "" } ], "container-title" : "Transplant International", "id" : "ITEM-1", "issued" : { "date-parts" : [ [ "2015" ] ] }, "page" : "n/a-n/a", "title" : "High serum Aspartate Transaminase (AST) levels on day 3 post liver transplantation correlates with graft and patient survival and would be a valid surrogate for outcome in liver transplantation clinical trials", "type" : "article-journal" }, "uris" : [ "http://www.mendeley.com/documents/?uuid=e062f591-069a-4970-b37a-f2f3a6c5e2bb" ] } ], "mendeley" : { "formattedCitation" : "&lt;sup&gt;[78]&lt;/sup&gt;", "plainTextFormattedCitation" : "[78]", "previouslyFormattedCitation" : "&lt;sup&gt;[78]&lt;/sup&gt;" }, "properties" : { "noteIndex" : 0 }, "schema" : "https://github.com/citation-style-language/schema/raw/master/csl-citation.json" }</w:instrText>
      </w:r>
      <w:r w:rsidR="00491865">
        <w:rPr>
          <w:rFonts w:ascii="Book Antiqua" w:hAnsi="Book Antiqua"/>
          <w:sz w:val="24"/>
          <w:szCs w:val="24"/>
          <w:lang w:val="en-GB"/>
        </w:rPr>
        <w:fldChar w:fldCharType="separate"/>
      </w:r>
      <w:r w:rsidR="00491865" w:rsidRPr="00CD2CDC">
        <w:rPr>
          <w:rFonts w:ascii="Book Antiqua" w:hAnsi="Book Antiqua"/>
          <w:noProof/>
          <w:sz w:val="24"/>
          <w:szCs w:val="24"/>
          <w:vertAlign w:val="superscript"/>
          <w:lang w:val="en-GB"/>
        </w:rPr>
        <w:t>[78]</w:t>
      </w:r>
      <w:r w:rsidR="00491865">
        <w:rPr>
          <w:rFonts w:ascii="Book Antiqua" w:hAnsi="Book Antiqua"/>
          <w:sz w:val="24"/>
          <w:szCs w:val="24"/>
          <w:lang w:val="en-GB"/>
        </w:rPr>
        <w:fldChar w:fldCharType="end"/>
      </w:r>
      <w:r w:rsidR="0072168C">
        <w:rPr>
          <w:rFonts w:ascii="Book Antiqua" w:hAnsi="Book Antiqua"/>
          <w:sz w:val="24"/>
          <w:szCs w:val="24"/>
          <w:lang w:val="en-GB"/>
        </w:rPr>
        <w:t>.</w:t>
      </w:r>
      <w:r w:rsidR="00491865">
        <w:rPr>
          <w:rFonts w:ascii="Book Antiqua" w:hAnsi="Book Antiqua"/>
          <w:sz w:val="24"/>
          <w:szCs w:val="24"/>
          <w:lang w:val="en-GB"/>
        </w:rPr>
        <w:t xml:space="preserve"> </w:t>
      </w:r>
    </w:p>
    <w:p w14:paraId="7A472599" w14:textId="6E142814" w:rsidR="0000613C" w:rsidRDefault="0000613C" w:rsidP="00422EBA">
      <w:pPr>
        <w:adjustRightInd w:val="0"/>
        <w:snapToGrid w:val="0"/>
        <w:spacing w:after="0" w:line="360" w:lineRule="auto"/>
        <w:ind w:firstLineChars="200" w:firstLine="480"/>
        <w:jc w:val="both"/>
        <w:rPr>
          <w:rFonts w:ascii="Book Antiqua" w:hAnsi="Book Antiqua"/>
          <w:sz w:val="24"/>
          <w:szCs w:val="24"/>
          <w:lang w:val="en-GB"/>
        </w:rPr>
      </w:pPr>
      <w:r>
        <w:rPr>
          <w:rFonts w:ascii="Book Antiqua" w:hAnsi="Book Antiqua"/>
          <w:sz w:val="24"/>
          <w:szCs w:val="24"/>
          <w:lang w:val="en-GB"/>
        </w:rPr>
        <w:t xml:space="preserve">After deceased cardiac donor LT, non-anastomotic biliary strictures are a major cause of ALT peak </w:t>
      </w:r>
      <w:r>
        <w:rPr>
          <w:rFonts w:ascii="Book Antiqua" w:eastAsia="Book Antiqua" w:hAnsi="Book Antiqua" w:cs="Book Antiqua"/>
          <w:sz w:val="24"/>
          <w:szCs w:val="24"/>
          <w:lang w:val="en-GB"/>
        </w:rPr>
        <w:t>≥</w:t>
      </w:r>
      <w:r>
        <w:rPr>
          <w:rFonts w:ascii="Book Antiqua" w:hAnsi="Book Antiqua"/>
          <w:sz w:val="24"/>
          <w:szCs w:val="24"/>
          <w:lang w:val="en-GB"/>
        </w:rPr>
        <w:t xml:space="preserve"> 1300 IU/L and EAD, likely because of longer ischemia time and immunological causes</w:t>
      </w:r>
      <w:r w:rsidR="00491865">
        <w:rPr>
          <w:rFonts w:ascii="Book Antiqua" w:hAnsi="Book Antiqua"/>
          <w:sz w:val="24"/>
          <w:szCs w:val="24"/>
          <w:lang w:val="en-GB"/>
        </w:rPr>
        <w:fldChar w:fldCharType="begin" w:fldLock="1"/>
      </w:r>
      <w:r w:rsidR="00491865">
        <w:rPr>
          <w:rFonts w:ascii="Book Antiqua" w:hAnsi="Book Antiqua"/>
          <w:sz w:val="24"/>
          <w:szCs w:val="24"/>
          <w:lang w:val="en-GB"/>
        </w:rPr>
        <w:instrText>ADDIN CSL_CITATION { "citationItems" : [ { "id" : "ITEM-1", "itemData" : { "DOI" : "10.1111/tri.12524", "ISSN" : "1432-2277", "PMID" : "25601020", "abstract" : "Orthotopic liver transplantation (OLT) with donation after circulatory death (DCD) often leads to a higher first week peak alanine aminotransferase (ALT) and a higher rate of biliary nonanastomotic strictures (NAS) as compared to donation after brain death (DBD). This retrospective study was to evaluate whether an association exists between peak ALT and the development of NAS in OLT with livers from DBD (n = 399) or DCD (n = 97) from two transplantation centers. Optimal cutoff value of peak ALT for risk of development of NAS post-DCD-OLT was 1300 IU/l. The 4-year cumulative incidence of NAS after DCD-OLT was 49.5% in patients with a high ALT peak post-OLT, compared with 11.3% in patients with a low ALT peak. (P &lt; 0.001). No relation between peak ALT and NAS was observed after DBD-OLT. Multivariate analysis revealed peak ALT \u22651300 IU/l [adjusted hazard ratio (aHR) = 3.71, confidence interval (CI) (1.26-10.91)] and donor age [aHR = 1.04, CI 1.00-1.07] to be independently associated with development of NAS post-DCD-OLT. A peak ALT of &lt;1300 IU/l carries a risk for NAS similar to DBD-OLT. Thus, in DCD-OLT, but not in DBD-OLT, peak ALT discriminates patients at high or low risk for NAS.", "author" : [ { "dropping-particle" : "", "family" : "Dulk", "given" : "A Claire", "non-dropping-particle" : "den", "parse-names" : false, "suffix" : "" }, { "dropping-particle" : "", "family" : "Sebib Korkmaz", "given" : "Kerem", "non-dropping-particle" : "", "parse-names" : false, "suffix" : "" }, { "dropping-particle" : "", "family" : "Rooij", "given" : "Bert-Jan F", "non-dropping-particle" : "de", "parse-names" : false, "suffix" : "" }, { "dropping-particle" : "", "family" : "Sutton", "given" : "Michael E", "non-dropping-particle" : "", "parse-names" : false, "suffix" : "" }, { "dropping-particle" : "", "family" : "Braat", "given" : "Andries E", "non-dropping-particle" : "", "parse-names" : false, "suffix" : "" }, { "dropping-particle" : "", "family" : "Inderson", "given" : "Akin", "non-dropping-particle" : "", "parse-names" : false, "suffix" : "" }, { "dropping-particle" : "", "family" : "Dubbeld", "given" : "Jeroen", "non-dropping-particle" : "", "parse-names" : false, "suffix" : "" }, { "dropping-particle" : "", "family" : "Verspaget", "given" : "Hein W", "non-dropping-particle" : "", "parse-names" : false, "suffix" : "" }, { "dropping-particle" : "", "family" : "Porte", "given" : "Robert J", "non-dropping-particle" : "", "parse-names" : false, "suffix" : "" }, { "dropping-particle" : "", "family" : "Hoek", "given" : "Bart", "non-dropping-particle" : "van", "parse-names" : false, "suffix" : "" } ], "container-title" : "Transplant international : official journal of the European Society for Organ Transplantation", "id" : "ITEM-1", "issue" : "4", "issued" : { "date-parts" : [ [ "2015", "4" ] ] }, "page" : "492-501", "title" : "High peak alanine aminotransferase determines extra risk for nonanastomotic biliary strictures after liver transplantation with donation after circulatory death.", "type" : "article-journal", "volume" : "28" }, "uris" : [ "http://www.mendeley.com/documents/?uuid=dfd67acf-80e7-4833-bb7a-ea53b6d80726" ] } ], "mendeley" : { "formattedCitation" : "&lt;sup&gt;[79]&lt;/sup&gt;", "plainTextFormattedCitation" : "[79]", "previouslyFormattedCitation" : "&lt;sup&gt;[79]&lt;/sup&gt;" }, "properties" : { "noteIndex" : 0 }, "schema" : "https://github.com/citation-style-language/schema/raw/master/csl-citation.json" }</w:instrText>
      </w:r>
      <w:r w:rsidR="00491865">
        <w:rPr>
          <w:rFonts w:ascii="Book Antiqua" w:hAnsi="Book Antiqua"/>
          <w:sz w:val="24"/>
          <w:szCs w:val="24"/>
          <w:lang w:val="en-GB"/>
        </w:rPr>
        <w:fldChar w:fldCharType="separate"/>
      </w:r>
      <w:r w:rsidR="00491865" w:rsidRPr="00CD2CDC">
        <w:rPr>
          <w:rFonts w:ascii="Book Antiqua" w:hAnsi="Book Antiqua"/>
          <w:noProof/>
          <w:sz w:val="24"/>
          <w:szCs w:val="24"/>
          <w:vertAlign w:val="superscript"/>
          <w:lang w:val="en-GB"/>
        </w:rPr>
        <w:t>[79]</w:t>
      </w:r>
      <w:r w:rsidR="00491865">
        <w:rPr>
          <w:rFonts w:ascii="Book Antiqua" w:hAnsi="Book Antiqua"/>
          <w:sz w:val="24"/>
          <w:szCs w:val="24"/>
          <w:lang w:val="en-GB"/>
        </w:rPr>
        <w:fldChar w:fldCharType="end"/>
      </w:r>
      <w:r>
        <w:rPr>
          <w:rFonts w:ascii="Book Antiqua" w:hAnsi="Book Antiqua"/>
          <w:sz w:val="24"/>
          <w:szCs w:val="24"/>
          <w:lang w:val="en-GB"/>
        </w:rPr>
        <w:t>.</w:t>
      </w:r>
      <w:r w:rsidR="00491865">
        <w:rPr>
          <w:rFonts w:ascii="Book Antiqua" w:hAnsi="Book Antiqua"/>
          <w:sz w:val="24"/>
          <w:szCs w:val="24"/>
          <w:lang w:val="en-GB"/>
        </w:rPr>
        <w:t xml:space="preserve"> </w:t>
      </w:r>
    </w:p>
    <w:p w14:paraId="6C6E3AFA" w14:textId="0B6594F5" w:rsidR="00577E50" w:rsidRDefault="007E3AA6" w:rsidP="00422EBA">
      <w:pPr>
        <w:adjustRightInd w:val="0"/>
        <w:snapToGrid w:val="0"/>
        <w:spacing w:after="0" w:line="360" w:lineRule="auto"/>
        <w:ind w:firstLineChars="200" w:firstLine="480"/>
        <w:jc w:val="both"/>
        <w:rPr>
          <w:rFonts w:ascii="Book Antiqua" w:hAnsi="Book Antiqua"/>
          <w:sz w:val="24"/>
          <w:szCs w:val="24"/>
          <w:lang w:val="en-GB"/>
        </w:rPr>
      </w:pPr>
      <w:r>
        <w:rPr>
          <w:rFonts w:ascii="Book Antiqua" w:hAnsi="Book Antiqua"/>
          <w:sz w:val="24"/>
          <w:szCs w:val="24"/>
          <w:lang w:val="en-GB"/>
        </w:rPr>
        <w:t>A</w:t>
      </w:r>
      <w:r w:rsidR="00577E50">
        <w:rPr>
          <w:rFonts w:ascii="Book Antiqua" w:hAnsi="Book Antiqua"/>
          <w:sz w:val="24"/>
          <w:szCs w:val="24"/>
          <w:lang w:val="en-GB"/>
        </w:rPr>
        <w:t xml:space="preserve"> monocentric retrospective analysis, postoperative AST (POD1-5), creatinine (POD3-7), INR (POD0-7), bilirubin (POD0-7) and MELD scores (POD0-7) strictly correlated with graft dysfunction within POD90. The best AUROCs, for MELD on POD5 and bilirubin on POD2, did not statistically differ in their predictiveness. Thus, total bilirubin &gt; 6.55 mg/dL on POD1-2 should alert clinicians</w:t>
      </w:r>
      <w:r w:rsidR="00491865">
        <w:rPr>
          <w:rFonts w:ascii="Book Antiqua" w:hAnsi="Book Antiqua"/>
          <w:sz w:val="24"/>
          <w:szCs w:val="24"/>
          <w:lang w:val="en-GB"/>
        </w:rPr>
        <w:fldChar w:fldCharType="begin" w:fldLock="1"/>
      </w:r>
      <w:r w:rsidR="00491865">
        <w:rPr>
          <w:rFonts w:ascii="Book Antiqua" w:hAnsi="Book Antiqua"/>
          <w:sz w:val="24"/>
          <w:szCs w:val="24"/>
          <w:lang w:val="en-GB"/>
        </w:rPr>
        <w:instrText>ADDIN CSL_CITATION { "citationItems" : [ { "id" : "ITEM-1", "itemData" : { "DOI" : "10.1002/lt.23634", "ISSN" : "1527-6473", "PMID" : "23576469", "abstract" : "Early allograft dysfunction (EAD) is a serious complication after liver transplantation (LT). There is no uniform definition of EAD, and most definitions are based on arbitrary laboratory values. The aim of this study was to devise a definition of EAD that maximizes the predictive power for early death and graft failure. In this single-center, retrospective study, the ability of the international normalized ratio (INR), total bilirubin, aspartate aminotransferase (AST), physiological Model for End-Stage Liver Disease (MELD) score, and serum albumin levels within 7 days after LT to predict 90-day mortality or graft loss was compared with 2 previously used definitions of EAD: (1) peak total bilirubin level &gt;10 mg/dL on days 2 to 7 and (2) either a total bilirubin level &gt;10 mg/dL or an INR &gt;1.6 on day 7 or an AST or alanine aminotransferase level &gt;2000 IU/L within the first 7 days. Of 572 enrolled LT patients 38 died or required retransplantation within 90 days. Peak INR, total bilirubin level, AST levels, and MELD scores were predictors of 90-day graft failure. MELD score on postoperative day 5 was the best predictor with an area under the curve of the receiver operating characteristic curve of 0.812 (95% CI: 0.739-0.886, P &lt; 0.001). The best cutoff of MELD score on day 5 for predicting 90-day mortality or graft loss was 18.9. A MELD score &gt;18.9 on postoperative day 5 was a better predictor than any other laboratory value or definition of EAD. This study has demonstrated that the MELD score can be a useful tool not only for pretransplant graft allocation but also for postoperative risk stratification.", "author" : [ { "dropping-particle" : "", "family" : "Wagener", "given" : "Gebhard", "non-dropping-particle" : "", "parse-names" : false, "suffix" : "" }, { "dropping-particle" : "", "family" : "Raffel", "given" : "Brian", "non-dropping-particle" : "", "parse-names" : false, "suffix" : "" }, { "dropping-particle" : "", "family" : "Young", "given" : "Andrew T", "non-dropping-particle" : "", "parse-names" : false, "suffix" : "" }, { "dropping-particle" : "", "family" : "Minhaz", "given" : "Moury", "non-dropping-particle" : "", "parse-names" : false, "suffix" : "" }, { "dropping-particle" : "", "family" : "Emond", "given" : "Jean", "non-dropping-particle" : "", "parse-names" : false, "suffix" : "" } ], "container-title" : "Liver transplantation : official publication of the American Association for the Study of Liver Diseases and the International Liver Transplantation Society", "id" : "ITEM-1", "issue" : "5", "issued" : { "date-parts" : [ [ "2013", "5" ] ] }, "page" : "534-42", "title" : "Predicting early allograft failure and mortality after liver transplantation: the role of the postoperative model for end-stage liver disease score.", "type" : "article-journal", "volume" : "19" }, "uris" : [ "http://www.mendeley.com/documents/?uuid=c8445831-07ff-4862-986a-e45e29f1d7fd" ] } ], "mendeley" : { "formattedCitation" : "&lt;sup&gt;[80]&lt;/sup&gt;", "plainTextFormattedCitation" : "[80]", "previouslyFormattedCitation" : "&lt;sup&gt;[80]&lt;/sup&gt;" }, "properties" : { "noteIndex" : 0 }, "schema" : "https://github.com/citation-style-language/schema/raw/master/csl-citation.json" }</w:instrText>
      </w:r>
      <w:r w:rsidR="00491865">
        <w:rPr>
          <w:rFonts w:ascii="Book Antiqua" w:hAnsi="Book Antiqua"/>
          <w:sz w:val="24"/>
          <w:szCs w:val="24"/>
          <w:lang w:val="en-GB"/>
        </w:rPr>
        <w:fldChar w:fldCharType="separate"/>
      </w:r>
      <w:r w:rsidR="00491865" w:rsidRPr="00CD2CDC">
        <w:rPr>
          <w:rFonts w:ascii="Book Antiqua" w:hAnsi="Book Antiqua"/>
          <w:noProof/>
          <w:sz w:val="24"/>
          <w:szCs w:val="24"/>
          <w:vertAlign w:val="superscript"/>
          <w:lang w:val="en-GB"/>
        </w:rPr>
        <w:t>[80]</w:t>
      </w:r>
      <w:r w:rsidR="00491865">
        <w:rPr>
          <w:rFonts w:ascii="Book Antiqua" w:hAnsi="Book Antiqua"/>
          <w:sz w:val="24"/>
          <w:szCs w:val="24"/>
          <w:lang w:val="en-GB"/>
        </w:rPr>
        <w:fldChar w:fldCharType="end"/>
      </w:r>
      <w:r w:rsidR="00577E50">
        <w:rPr>
          <w:rFonts w:ascii="Book Antiqua" w:hAnsi="Book Antiqua"/>
          <w:sz w:val="24"/>
          <w:szCs w:val="24"/>
          <w:lang w:val="en-GB"/>
        </w:rPr>
        <w:t>.</w:t>
      </w:r>
      <w:r w:rsidR="00491865">
        <w:rPr>
          <w:rFonts w:ascii="Book Antiqua" w:hAnsi="Book Antiqua"/>
          <w:sz w:val="24"/>
          <w:szCs w:val="24"/>
          <w:lang w:val="en-GB"/>
        </w:rPr>
        <w:t xml:space="preserve"> </w:t>
      </w:r>
    </w:p>
    <w:p w14:paraId="5BD96C2D" w14:textId="2EA8D84C" w:rsidR="007C42D7" w:rsidRDefault="00577E50" w:rsidP="00422EBA">
      <w:pPr>
        <w:adjustRightInd w:val="0"/>
        <w:snapToGrid w:val="0"/>
        <w:spacing w:after="0" w:line="360" w:lineRule="auto"/>
        <w:ind w:firstLineChars="200" w:firstLine="480"/>
        <w:jc w:val="both"/>
        <w:rPr>
          <w:rFonts w:ascii="Book Antiqua" w:hAnsi="Book Antiqua"/>
          <w:sz w:val="24"/>
          <w:szCs w:val="24"/>
          <w:lang w:val="en-GB"/>
        </w:rPr>
      </w:pPr>
      <w:r>
        <w:rPr>
          <w:rFonts w:ascii="Book Antiqua" w:hAnsi="Book Antiqua"/>
          <w:sz w:val="24"/>
          <w:szCs w:val="24"/>
          <w:lang w:val="en-GB"/>
        </w:rPr>
        <w:t xml:space="preserve">Olthoff </w:t>
      </w:r>
      <w:r w:rsidR="00E35182" w:rsidRPr="00E35182">
        <w:rPr>
          <w:rFonts w:ascii="Book Antiqua" w:hAnsi="Book Antiqua"/>
          <w:i/>
          <w:sz w:val="24"/>
          <w:szCs w:val="24"/>
          <w:lang w:val="en-GB"/>
        </w:rPr>
        <w:t>et al</w:t>
      </w:r>
      <w:r w:rsidR="007D7ACC">
        <w:rPr>
          <w:rFonts w:ascii="Book Antiqua" w:hAnsi="Book Antiqua"/>
          <w:sz w:val="24"/>
          <w:szCs w:val="24"/>
          <w:lang w:val="en-GB"/>
        </w:rPr>
        <w:fldChar w:fldCharType="begin" w:fldLock="1"/>
      </w:r>
      <w:r w:rsidR="00362C55">
        <w:rPr>
          <w:rFonts w:ascii="Book Antiqua" w:hAnsi="Book Antiqua"/>
          <w:sz w:val="24"/>
          <w:szCs w:val="24"/>
          <w:lang w:val="en-GB"/>
        </w:rPr>
        <w:instrText>ADDIN CSL_CITATION { "citationItems" : [ { "id" : "ITEM-1", "itemData" : { "DOI" : "10.1002/lt.22091", "ISSN" : "1527-6473", "PMID" : "20677285", "abstract" : "Translational studies in liver transplantation often require an endpoint of graft function or dysfunction beyond graft loss. Prior definitions of early allograft dysfunction (EAD) vary, and none have been validated in a large multicenter population in the Model for End-Stage Liver Disease (MELD) era. We examined an updated definition of EAD to validate previously used criteria, and correlated this definition with graft and patient outcome. We performed a cohort study of 300 deceased donor liver transplants at 3 U.S. programs. EAD was defined as the presence of one or more of the following previously defined postoperative laboratory analyses reflective of liver injury and function: bilirubin &gt;or=10mg/dL on day 7, international normalized ratio &gt;or=1.6 on day 7, and alanine or aspartate aminotransferases &gt;2000 IU/L within the first 7 days. To assess predictive validity, the EAD definition was tested for association with graft and patient survival. Risk factors for EAD were assessed using multivariable logistic regression. Overall incidence of EAD was 23.2%. Most grafts met the definition with increased bilirubin at day 7 or high levels of aminotransferases. Of recipients meeting the EAD definition, 18.8% died, as opposed to 1.8% of recipients without EAD (relative risk = 10.7 [95% confidence interval: 3.6, 31.9] P &lt; 0.0001). More recipients with EAD lost their grafts (26.1%) than recipients with no EAD (3.5%) (relative risk = 7.4 [95% confidence interval: 3.4, 16.3] P &lt; 0.0001). Donor age and MELD score were significant EAD risk factors in a multivariate model. In summary a simple definition of EAD using objective posttransplant criteria identified a 23% incidence, and was highly associated with graft loss and patient mortality, validating previously published criteria. This definition can be used as an endpoint in translational studies aiming to identify mechanistic pathways leading to a subgroup of liver grafts with clinical expression of suboptimal function.", "author" : [ { "dropping-particle" : "", "family" : "Olthoff", "given" : "Kim M", "non-dropping-particle" : "", "parse-names" : false, "suffix" : "" }, { "dropping-particle" : "", "family" : "Kulik", "given" : "Laura", "non-dropping-particle" : "", "parse-names" : false, "suffix" : "" }, { "dropping-particle" : "", "family" : "Samstein", "given" : "Benjamin", "non-dropping-particle" : "", "parse-names" : false, "suffix" : "" }, { "dropping-particle" : "", "family" : "Kaminski", "given" : "Mary", "non-dropping-particle" : "", "parse-names" : false, "suffix" : "" }, { "dropping-particle" : "", "family" : "Abecassis", "given" : "Michael", "non-dropping-particle" : "", "parse-names" : false, "suffix" : "" }, { "dropping-particle" : "", "family" : "Emond", "given" : "Jean", "non-dropping-particle" : "", "parse-names" : false, "suffix" : "" }, { "dropping-particle" : "", "family" : "Shaked", "given" : "Abraham", "non-dropping-particle" : "", "parse-names" : false, "suffix" : "" }, { "dropping-particle" : "", "family" : "Christie", "given" : "Jason D", "non-dropping-particle" : "", "parse-names" : false, "suffix" : "" } ], "container-title" : "Liver transplantation : official publication of the American Association for the Study of Liver Diseases and the International Liver Transplantation Society", "id" : "ITEM-1", "issue" : "8", "issued" : { "date-parts" : [ [ "2010", "8" ] ] }, "page" : "943-9", "title" : "Validation of a current definition of early allograft dysfunction in liver transplant recipients and analysis of risk factors.", "type" : "article-journal", "volume" : "16" }, "uris" : [ "http://www.mendeley.com/documents/?uuid=b25b40d2-8006-48d3-bd41-5921e7311510" ] } ], "mendeley" : { "formattedCitation" : "&lt;sup&gt;[81]&lt;/sup&gt;", "plainTextFormattedCitation" : "[81]", "previouslyFormattedCitation" : "&lt;sup&gt;[81]&lt;/sup&gt;" }, "properties" : { "noteIndex" : 0 }, "schema" : "https://github.com/citation-style-language/schema/raw/master/csl-citation.json" }</w:instrText>
      </w:r>
      <w:r w:rsidR="007D7ACC">
        <w:rPr>
          <w:rFonts w:ascii="Book Antiqua" w:hAnsi="Book Antiqua"/>
          <w:sz w:val="24"/>
          <w:szCs w:val="24"/>
          <w:lang w:val="en-GB"/>
        </w:rPr>
        <w:fldChar w:fldCharType="separate"/>
      </w:r>
      <w:r w:rsidR="00CD2CDC" w:rsidRPr="00CD2CDC">
        <w:rPr>
          <w:rFonts w:ascii="Book Antiqua" w:hAnsi="Book Antiqua"/>
          <w:noProof/>
          <w:sz w:val="24"/>
          <w:szCs w:val="24"/>
          <w:vertAlign w:val="superscript"/>
          <w:lang w:val="en-GB"/>
        </w:rPr>
        <w:t>[81]</w:t>
      </w:r>
      <w:r w:rsidR="007D7ACC">
        <w:rPr>
          <w:rFonts w:ascii="Book Antiqua" w:hAnsi="Book Antiqua"/>
          <w:sz w:val="24"/>
          <w:szCs w:val="24"/>
          <w:lang w:val="en-GB"/>
        </w:rPr>
        <w:fldChar w:fldCharType="end"/>
      </w:r>
      <w:r>
        <w:rPr>
          <w:rFonts w:ascii="Book Antiqua" w:hAnsi="Book Antiqua"/>
          <w:sz w:val="24"/>
          <w:szCs w:val="24"/>
          <w:lang w:val="en-GB"/>
        </w:rPr>
        <w:t xml:space="preserve"> excluded INR and bilirubin </w:t>
      </w:r>
      <w:r w:rsidR="007C42D7">
        <w:rPr>
          <w:rFonts w:ascii="Book Antiqua" w:hAnsi="Book Antiqua"/>
          <w:sz w:val="24"/>
          <w:szCs w:val="24"/>
          <w:lang w:val="en-GB"/>
        </w:rPr>
        <w:t xml:space="preserve">up to </w:t>
      </w:r>
      <w:r>
        <w:rPr>
          <w:rFonts w:ascii="Book Antiqua" w:hAnsi="Book Antiqua"/>
          <w:sz w:val="24"/>
          <w:szCs w:val="24"/>
          <w:lang w:val="en-GB"/>
        </w:rPr>
        <w:t>POD</w:t>
      </w:r>
      <w:r w:rsidR="007C42D7">
        <w:rPr>
          <w:rFonts w:ascii="Book Antiqua" w:hAnsi="Book Antiqua"/>
          <w:sz w:val="24"/>
          <w:szCs w:val="24"/>
          <w:lang w:val="en-GB"/>
        </w:rPr>
        <w:t>7</w:t>
      </w:r>
      <w:r>
        <w:rPr>
          <w:rFonts w:ascii="Book Antiqua" w:hAnsi="Book Antiqua"/>
          <w:sz w:val="24"/>
          <w:szCs w:val="24"/>
          <w:lang w:val="en-GB"/>
        </w:rPr>
        <w:t>, suggesting that those values might still reflect recipient pre</w:t>
      </w:r>
      <w:r w:rsidR="00B558BF">
        <w:rPr>
          <w:rFonts w:ascii="Book Antiqua" w:hAnsi="Book Antiqua"/>
          <w:sz w:val="24"/>
          <w:szCs w:val="24"/>
          <w:lang w:val="en-GB"/>
        </w:rPr>
        <w:t>-</w:t>
      </w:r>
      <w:r>
        <w:rPr>
          <w:rFonts w:ascii="Book Antiqua" w:hAnsi="Book Antiqua"/>
          <w:sz w:val="24"/>
          <w:szCs w:val="24"/>
          <w:lang w:val="en-GB"/>
        </w:rPr>
        <w:t>transplant status and not graft functionality. However, AST and ALT were evaluated</w:t>
      </w:r>
      <w:r w:rsidR="007C42D7">
        <w:rPr>
          <w:rFonts w:ascii="Book Antiqua" w:hAnsi="Book Antiqua"/>
          <w:sz w:val="24"/>
          <w:szCs w:val="24"/>
          <w:lang w:val="en-GB"/>
        </w:rPr>
        <w:t xml:space="preserve"> daily</w:t>
      </w:r>
      <w:r>
        <w:rPr>
          <w:rFonts w:ascii="Book Antiqua" w:hAnsi="Book Antiqua"/>
          <w:sz w:val="24"/>
          <w:szCs w:val="24"/>
          <w:lang w:val="en-GB"/>
        </w:rPr>
        <w:t xml:space="preserve"> on POD1-7, immediately reflecting eventual graft injury. </w:t>
      </w:r>
      <w:r w:rsidR="0000613C">
        <w:rPr>
          <w:rFonts w:ascii="Book Antiqua" w:hAnsi="Book Antiqua"/>
          <w:sz w:val="24"/>
          <w:szCs w:val="24"/>
          <w:lang w:val="en-GB"/>
        </w:rPr>
        <w:t>Their EAD definition</w:t>
      </w:r>
      <w:r>
        <w:rPr>
          <w:rFonts w:ascii="Book Antiqua" w:hAnsi="Book Antiqua"/>
          <w:sz w:val="24"/>
          <w:szCs w:val="24"/>
          <w:lang w:val="en-GB"/>
        </w:rPr>
        <w:t xml:space="preserve"> showed good prediction of 6-mo mortality, with a relative risk = 10.7 (</w:t>
      </w:r>
      <w:r w:rsidR="00E35182">
        <w:rPr>
          <w:rFonts w:ascii="Book Antiqua" w:hAnsi="Book Antiqua"/>
          <w:sz w:val="24"/>
          <w:szCs w:val="24"/>
          <w:lang w:val="en-GB"/>
        </w:rPr>
        <w:t>95%CI:</w:t>
      </w:r>
      <w:r>
        <w:rPr>
          <w:rFonts w:ascii="Book Antiqua" w:hAnsi="Book Antiqua"/>
          <w:sz w:val="24"/>
          <w:szCs w:val="24"/>
          <w:lang w:val="en-GB"/>
        </w:rPr>
        <w:t xml:space="preserve"> 3.5-31.9). Similar results were found for 6-mo graft loss.</w:t>
      </w:r>
    </w:p>
    <w:p w14:paraId="3F17CECB" w14:textId="2DCD84C3" w:rsidR="00A55477" w:rsidRDefault="00A55477" w:rsidP="00422EBA">
      <w:pPr>
        <w:adjustRightInd w:val="0"/>
        <w:snapToGrid w:val="0"/>
        <w:spacing w:after="0" w:line="360" w:lineRule="auto"/>
        <w:ind w:firstLineChars="200" w:firstLine="480"/>
        <w:jc w:val="both"/>
        <w:rPr>
          <w:rFonts w:ascii="Book Antiqua" w:eastAsiaTheme="minorEastAsia" w:hAnsi="Book Antiqua"/>
          <w:sz w:val="24"/>
          <w:szCs w:val="24"/>
          <w:lang w:val="en-GB" w:eastAsia="zh-CN"/>
        </w:rPr>
      </w:pPr>
      <w:r>
        <w:rPr>
          <w:rFonts w:ascii="Book Antiqua" w:hAnsi="Book Antiqua"/>
          <w:sz w:val="24"/>
          <w:szCs w:val="24"/>
          <w:lang w:val="en-GB"/>
        </w:rPr>
        <w:t xml:space="preserve">The rapid kinetics of AST and ALT should be considered to assess graft viability and trial endpoints in LT. The majority of peak ASTs are detected at 6 h post-reperfusion, with a time window between 5 and 11 h. These could be missed if AST determination relies </w:t>
      </w:r>
      <w:r w:rsidR="00B558BF">
        <w:rPr>
          <w:rFonts w:ascii="Book Antiqua" w:hAnsi="Book Antiqua"/>
          <w:sz w:val="24"/>
          <w:szCs w:val="24"/>
          <w:lang w:val="en-GB"/>
        </w:rPr>
        <w:lastRenderedPageBreak/>
        <w:t>only on routinely taken samples, usually after ICU arrival. The precise timing of the first blood sample or a specific time window should be indicated to make the results more reproducible and avoid erroneous classification of serum transaminases</w:t>
      </w:r>
      <w:r w:rsidR="00491865">
        <w:rPr>
          <w:rFonts w:ascii="Book Antiqua" w:hAnsi="Book Antiqua"/>
          <w:sz w:val="24"/>
          <w:szCs w:val="24"/>
          <w:lang w:val="en-GB"/>
        </w:rPr>
        <w:fldChar w:fldCharType="begin" w:fldLock="1"/>
      </w:r>
      <w:r w:rsidR="00491865">
        <w:rPr>
          <w:rFonts w:ascii="Book Antiqua" w:hAnsi="Book Antiqua"/>
          <w:sz w:val="24"/>
          <w:szCs w:val="24"/>
          <w:lang w:val="en-GB"/>
        </w:rPr>
        <w:instrText>ADDIN CSL_CITATION { "citationItems" : [ { "id" : "ITEM-1", "itemData" : { "DOI" : "10.1016/j.jhep.2014.07.021", "ISSN" : "16000641", "PMID" : "25051295", "author" : [ { "dropping-particle" : "", "family" : "Jochmans", "given" : "Ina", "non-dropping-particle" : "", "parse-names" : false, "suffix" : "" }, { "dropping-particle" : "", "family" : "Monbaliu", "given" : "Diethard", "non-dropping-particle" : "", "parse-names" : false, "suffix" : "" }, { "dropping-particle" : "", "family" : "Pirenne", "given" : "Jacques", "non-dropping-particle" : "", "parse-names" : false, "suffix" : "" } ], "container-title" : "Journal of Hepatology", "id" : "ITEM-1", "issue" : "5", "issued" : { "date-parts" : [ [ "2014" ] ] }, "page" : "1186-1187", "publisher" : "European Association for the Study of the Liver", "title" : "The beginning of an end point: Peak AST in liver transplantation", "type" : "article-journal", "volume" : "61" }, "uris" : [ "http://www.mendeley.com/documents/?uuid=3ef4d8f1-0d69-4b47-b468-72bf1136c083" ] } ], "mendeley" : { "formattedCitation" : "&lt;sup&gt;[82]&lt;/sup&gt;", "plainTextFormattedCitation" : "[82]", "previouslyFormattedCitation" : "&lt;sup&gt;[82]&lt;/sup&gt;" }, "properties" : { "noteIndex" : 0 }, "schema" : "https://github.com/citation-style-language/schema/raw/master/csl-citation.json" }</w:instrText>
      </w:r>
      <w:r w:rsidR="00491865">
        <w:rPr>
          <w:rFonts w:ascii="Book Antiqua" w:hAnsi="Book Antiqua"/>
          <w:sz w:val="24"/>
          <w:szCs w:val="24"/>
          <w:lang w:val="en-GB"/>
        </w:rPr>
        <w:fldChar w:fldCharType="separate"/>
      </w:r>
      <w:r w:rsidR="00491865" w:rsidRPr="00CD2CDC">
        <w:rPr>
          <w:rFonts w:ascii="Book Antiqua" w:hAnsi="Book Antiqua"/>
          <w:noProof/>
          <w:sz w:val="24"/>
          <w:szCs w:val="24"/>
          <w:vertAlign w:val="superscript"/>
          <w:lang w:val="en-GB"/>
        </w:rPr>
        <w:t>[82]</w:t>
      </w:r>
      <w:r w:rsidR="00491865">
        <w:rPr>
          <w:rFonts w:ascii="Book Antiqua" w:hAnsi="Book Antiqua"/>
          <w:sz w:val="24"/>
          <w:szCs w:val="24"/>
          <w:lang w:val="en-GB"/>
        </w:rPr>
        <w:fldChar w:fldCharType="end"/>
      </w:r>
      <w:r w:rsidR="00B558BF">
        <w:rPr>
          <w:rFonts w:ascii="Book Antiqua" w:hAnsi="Book Antiqua"/>
          <w:sz w:val="24"/>
          <w:szCs w:val="24"/>
          <w:lang w:val="en-GB"/>
        </w:rPr>
        <w:t>.</w:t>
      </w:r>
      <w:r w:rsidR="00491865">
        <w:rPr>
          <w:rFonts w:ascii="Book Antiqua" w:hAnsi="Book Antiqua"/>
          <w:sz w:val="24"/>
          <w:szCs w:val="24"/>
          <w:lang w:val="en-GB"/>
        </w:rPr>
        <w:t xml:space="preserve"> </w:t>
      </w:r>
    </w:p>
    <w:p w14:paraId="50A6E5DF" w14:textId="77777777" w:rsidR="00491865" w:rsidRPr="00491865" w:rsidRDefault="00491865" w:rsidP="00422EBA">
      <w:pPr>
        <w:adjustRightInd w:val="0"/>
        <w:snapToGrid w:val="0"/>
        <w:spacing w:after="0" w:line="360" w:lineRule="auto"/>
        <w:ind w:firstLineChars="200" w:firstLine="480"/>
        <w:jc w:val="both"/>
        <w:rPr>
          <w:rFonts w:ascii="Book Antiqua" w:eastAsiaTheme="minorEastAsia" w:hAnsi="Book Antiqua"/>
          <w:sz w:val="24"/>
          <w:szCs w:val="24"/>
          <w:lang w:val="en-GB" w:eastAsia="zh-CN"/>
        </w:rPr>
      </w:pPr>
    </w:p>
    <w:p w14:paraId="79EB4750" w14:textId="4351B834" w:rsidR="00577E50" w:rsidRPr="00491865" w:rsidRDefault="00577E50" w:rsidP="00422EBA">
      <w:pPr>
        <w:adjustRightInd w:val="0"/>
        <w:snapToGrid w:val="0"/>
        <w:spacing w:after="0" w:line="360" w:lineRule="auto"/>
        <w:jc w:val="both"/>
        <w:rPr>
          <w:rFonts w:ascii="Book Antiqua" w:hAnsi="Book Antiqua"/>
          <w:b/>
          <w:caps/>
          <w:sz w:val="24"/>
          <w:szCs w:val="24"/>
          <w:lang w:val="en-GB"/>
        </w:rPr>
      </w:pPr>
      <w:r w:rsidRPr="00491865">
        <w:rPr>
          <w:rFonts w:ascii="Book Antiqua" w:hAnsi="Book Antiqua"/>
          <w:b/>
          <w:caps/>
          <w:sz w:val="24"/>
          <w:szCs w:val="24"/>
          <w:lang w:val="en-GB"/>
        </w:rPr>
        <w:t>Lactates</w:t>
      </w:r>
    </w:p>
    <w:p w14:paraId="10A7B5F7" w14:textId="3114747D" w:rsidR="00470777" w:rsidRDefault="00577E50" w:rsidP="00422EBA">
      <w:pPr>
        <w:adjustRightInd w:val="0"/>
        <w:snapToGrid w:val="0"/>
        <w:spacing w:after="0" w:line="360" w:lineRule="auto"/>
        <w:jc w:val="both"/>
        <w:rPr>
          <w:rFonts w:ascii="Book Antiqua" w:hAnsi="Book Antiqua"/>
          <w:sz w:val="24"/>
          <w:szCs w:val="24"/>
          <w:lang w:val="en-GB"/>
        </w:rPr>
      </w:pPr>
      <w:r>
        <w:rPr>
          <w:rFonts w:ascii="Book Antiqua" w:hAnsi="Book Antiqua"/>
          <w:sz w:val="24"/>
          <w:szCs w:val="24"/>
          <w:lang w:val="en-GB"/>
        </w:rPr>
        <w:t>Lactates, the waste products of cellular metabolism, are mainly metabolised by the liver. Thus, liver function and its restoration after LT might be reflected by abnormally elevated lactate levels. A damaged liver can itself be a source of lactate.</w:t>
      </w:r>
    </w:p>
    <w:p w14:paraId="4E2BE8F3" w14:textId="5593E238" w:rsidR="00577E50" w:rsidRDefault="00577E50" w:rsidP="00422EBA">
      <w:pPr>
        <w:adjustRightInd w:val="0"/>
        <w:snapToGrid w:val="0"/>
        <w:spacing w:after="0" w:line="360" w:lineRule="auto"/>
        <w:ind w:firstLineChars="200" w:firstLine="480"/>
        <w:jc w:val="both"/>
        <w:rPr>
          <w:rFonts w:ascii="Book Antiqua" w:hAnsi="Book Antiqua"/>
          <w:sz w:val="24"/>
          <w:szCs w:val="24"/>
          <w:lang w:val="en-GB"/>
        </w:rPr>
      </w:pPr>
      <w:r>
        <w:rPr>
          <w:rFonts w:ascii="Book Antiqua" w:hAnsi="Book Antiqua"/>
          <w:sz w:val="24"/>
          <w:szCs w:val="24"/>
          <w:lang w:val="en-GB"/>
        </w:rPr>
        <w:t>ICU survival has been predicted by calculating the percentage of lactate reduction between the time of admission and 6 h after admission</w:t>
      </w:r>
      <w:r w:rsidR="00491865">
        <w:rPr>
          <w:rFonts w:ascii="Book Antiqua" w:hAnsi="Book Antiqua"/>
          <w:sz w:val="24"/>
          <w:szCs w:val="24"/>
          <w:lang w:val="en-GB"/>
        </w:rPr>
        <w:fldChar w:fldCharType="begin" w:fldLock="1"/>
      </w:r>
      <w:r w:rsidR="00491865">
        <w:rPr>
          <w:rFonts w:ascii="Book Antiqua" w:hAnsi="Book Antiqua"/>
          <w:sz w:val="24"/>
          <w:szCs w:val="24"/>
          <w:lang w:val="en-GB"/>
        </w:rPr>
        <w:instrText>ADDIN CSL_CITATION { "citationItems" : [ { "id" : "ITEM-1", "itemData" : { "ISSN" : "0090-3493", "PMID" : "15286537", "abstract" : "OBJECTIVE: Serial lactate concentrations can be used to examine disease severity in the intensive care unit. This study examines the clinical utility of the lactate clearance before intensive care unit admission (during the most proximal period of disease presentation) as an indicator of outcome in severe sepsis and septic shock. We hypothesize that a high lactate clearance in 6 hrs is associated with decreased mortality rate.\n\nDESIGN: Prospective observational study.\n\nSETTING: An urban emergency department and intensive care unit over a 1-yr period.\n\nPATIENTS: A convenience cohort of patients with severe sepsis or septic shock.\n\nINTERVENTIONS: Therapy was initiated in the emergency department and continued in the intensive care unit, including central venous and arterial catheterization, antibiotics, fluid resuscitation, mechanical ventilation, vasopressors, and inotropes when appropriate.\n\nMEASUREMENTS AND MAIN RESULTS: Vital signs, laboratory values, and Acute Physiology and Chronic Health Evaluation (APACHE) II score were obtained at hour 0 (emergency department presentation), hour 6, and over the first 72 hrs of hospitalization. Therapy given in the emergency department and intensive care unit was recorded. Lactate clearance was defined as the percent decrease in lactate from emergency department presentation to hour 6. Logistic regression analysis was performed to determine independent variables associated with mortality. One hundred and eleven patients were enrolled with mean age 64.9 +/- 16.7 yrs, emergency department length of stay 6.3 +/- 3.2 hrs, and overall in-hospital mortality rate 42.3%. Baseline APACHE II score was 20.2 +/- 6.8 and lactate 6.9 +/- 4.6 mmol/L. Survivors compared with nonsurvivors had a lactate clearance of 38.1 +/- 34.6 vs. 12.0 +/- 51.6%, respectively (p =.005). Multivariate logistic regression analysis of statistically significant univariate variables showed lactate clearance to have a significant inverse relationship with mortality (p =.04). There was an approximately 11% decrease likelihood of mortality for each 10% increase in lactate clearance. Patients with a lactate clearance&gt; or =10%, relative to patients with a lactate clearance &lt;10%, had a greater decrease in APACHE II score over the 72-hr study period and a lower 60-day mortality rate (p =.007).\n\nCONCLUSIONS: Lactate clearance early in the hospital course may indicate a resolution of global tissue hypoxia and is associated with decreased mortality rate. Patien\u2026", "author" : [ { "dropping-particle" : "", "family" : "Nguyen", "given" : "H Bryant", "non-dropping-particle" : "", "parse-names" : false, "suffix" : "" }, { "dropping-particle" : "", "family" : "Rivers", "given" : "Emanuel P", "non-dropping-particle" : "", "parse-names" : false, "suffix" : "" }, { "dropping-particle" : "", "family" : "Knoblich", "given" : "Bernhard P", "non-dropping-particle" : "", "parse-names" : false, "suffix" : "" }, { "dropping-particle" : "", "family" : "Jacobsen", "given" : "Gordon", "non-dropping-particle" : "", "parse-names" : false, "suffix" : "" }, { "dropping-particle" : "", "family" : "Muzzin", "given" : "Alexandria", "non-dropping-particle" : "", "parse-names" : false, "suffix" : "" }, { "dropping-particle" : "", "family" : "Ressler", "given" : "Julie A", "non-dropping-particle" : "", "parse-names" : false, "suffix" : "" }, { "dropping-particle" : "", "family" : "Tomlanovich", "given" : "Michael C", "non-dropping-particle" : "", "parse-names" : false, "suffix" : "" } ], "container-title" : "Critical care medicine", "id" : "ITEM-1", "issue" : "8", "issued" : { "date-parts" : [ [ "2004", "8" ] ] }, "page" : "1637-42", "title" : "Early lactate clearance is associated with improved outcome in severe sepsis and septic shock.", "type" : "article-journal", "volume" : "32" }, "uris" : [ "http://www.mendeley.com/documents/?uuid=6acd5897-21bf-4811-bc45-b9ea094896bc" ] } ], "mendeley" : { "formattedCitation" : "&lt;sup&gt;[83]&lt;/sup&gt;", "plainTextFormattedCitation" : "[83]", "previouslyFormattedCitation" : "&lt;sup&gt;[83]&lt;/sup&gt;" }, "properties" : { "noteIndex" : 0 }, "schema" : "https://github.com/citation-style-language/schema/raw/master/csl-citation.json" }</w:instrText>
      </w:r>
      <w:r w:rsidR="00491865">
        <w:rPr>
          <w:rFonts w:ascii="Book Antiqua" w:hAnsi="Book Antiqua"/>
          <w:sz w:val="24"/>
          <w:szCs w:val="24"/>
          <w:lang w:val="en-GB"/>
        </w:rPr>
        <w:fldChar w:fldCharType="separate"/>
      </w:r>
      <w:r w:rsidR="00491865" w:rsidRPr="00CD2CDC">
        <w:rPr>
          <w:rFonts w:ascii="Book Antiqua" w:hAnsi="Book Antiqua"/>
          <w:noProof/>
          <w:sz w:val="24"/>
          <w:szCs w:val="24"/>
          <w:vertAlign w:val="superscript"/>
          <w:lang w:val="en-GB"/>
        </w:rPr>
        <w:t>[83]</w:t>
      </w:r>
      <w:r w:rsidR="00491865">
        <w:rPr>
          <w:rFonts w:ascii="Book Antiqua" w:hAnsi="Book Antiqua"/>
          <w:sz w:val="24"/>
          <w:szCs w:val="24"/>
          <w:lang w:val="en-GB"/>
        </w:rPr>
        <w:fldChar w:fldCharType="end"/>
      </w:r>
      <w:r w:rsidR="0072168C">
        <w:rPr>
          <w:rFonts w:ascii="Book Antiqua" w:hAnsi="Book Antiqua"/>
          <w:sz w:val="24"/>
          <w:szCs w:val="24"/>
          <w:lang w:val="en-GB"/>
        </w:rPr>
        <w:t>.</w:t>
      </w:r>
      <w:r w:rsidR="00470777">
        <w:rPr>
          <w:rFonts w:ascii="Book Antiqua" w:hAnsi="Book Antiqua"/>
          <w:sz w:val="24"/>
          <w:szCs w:val="24"/>
          <w:lang w:val="en-GB"/>
        </w:rPr>
        <w:t xml:space="preserve"> </w:t>
      </w:r>
      <w:r>
        <w:rPr>
          <w:rFonts w:ascii="Book Antiqua" w:hAnsi="Book Antiqua"/>
          <w:sz w:val="24"/>
          <w:szCs w:val="24"/>
          <w:lang w:val="en-GB"/>
        </w:rPr>
        <w:t xml:space="preserve">An observational prospective study </w:t>
      </w:r>
      <w:r w:rsidR="00C55A21">
        <w:rPr>
          <w:rFonts w:ascii="Book Antiqua" w:hAnsi="Book Antiqua"/>
          <w:sz w:val="24"/>
          <w:szCs w:val="24"/>
          <w:lang w:val="en-GB"/>
        </w:rPr>
        <w:t>divided 222 consecutive LT patients into two groups, those who developed EAD and those who did not. I</w:t>
      </w:r>
      <w:r>
        <w:rPr>
          <w:rFonts w:ascii="Book Antiqua" w:hAnsi="Book Antiqua"/>
          <w:sz w:val="24"/>
          <w:szCs w:val="24"/>
          <w:lang w:val="en-GB"/>
        </w:rPr>
        <w:t xml:space="preserve">nitial absolute lactate values did not differ between the two groups, </w:t>
      </w:r>
      <w:r w:rsidR="00C55A21">
        <w:rPr>
          <w:rFonts w:ascii="Book Antiqua" w:hAnsi="Book Antiqua"/>
          <w:sz w:val="24"/>
          <w:szCs w:val="24"/>
          <w:lang w:val="en-GB"/>
        </w:rPr>
        <w:t xml:space="preserve">but </w:t>
      </w:r>
      <w:r>
        <w:rPr>
          <w:rFonts w:ascii="Book Antiqua" w:hAnsi="Book Antiqua"/>
          <w:sz w:val="24"/>
          <w:szCs w:val="24"/>
          <w:lang w:val="en-GB"/>
        </w:rPr>
        <w:t xml:space="preserve">clearance during the first 6 hours of ICU stay was significantly higher in the non-EAD group. </w:t>
      </w:r>
      <w:r w:rsidR="00C55A21">
        <w:rPr>
          <w:rFonts w:ascii="Book Antiqua" w:hAnsi="Book Antiqua"/>
          <w:sz w:val="24"/>
          <w:szCs w:val="24"/>
          <w:lang w:val="en-GB"/>
        </w:rPr>
        <w:t xml:space="preserve">AUROC of 0.961, for a </w:t>
      </w:r>
      <w:r>
        <w:rPr>
          <w:rFonts w:ascii="Book Antiqua" w:hAnsi="Book Antiqua"/>
          <w:sz w:val="24"/>
          <w:szCs w:val="24"/>
          <w:lang w:val="en-GB"/>
        </w:rPr>
        <w:t>cut-off point of 24.8% of clearance</w:t>
      </w:r>
      <w:r w:rsidR="00C55A21">
        <w:rPr>
          <w:rFonts w:ascii="Book Antiqua" w:hAnsi="Book Antiqua"/>
          <w:sz w:val="24"/>
          <w:szCs w:val="24"/>
          <w:lang w:val="en-GB"/>
        </w:rPr>
        <w:t>,</w:t>
      </w:r>
      <w:r>
        <w:rPr>
          <w:rFonts w:ascii="Book Antiqua" w:hAnsi="Book Antiqua"/>
          <w:sz w:val="24"/>
          <w:szCs w:val="24"/>
          <w:lang w:val="en-GB"/>
        </w:rPr>
        <w:t xml:space="preserve"> was much higher than other significant parameters</w:t>
      </w:r>
      <w:r w:rsidR="00C55A21">
        <w:rPr>
          <w:rFonts w:ascii="Book Antiqua" w:hAnsi="Book Antiqua"/>
          <w:sz w:val="24"/>
          <w:szCs w:val="24"/>
          <w:lang w:val="en-GB"/>
        </w:rPr>
        <w:t>;</w:t>
      </w:r>
      <w:r>
        <w:rPr>
          <w:rFonts w:ascii="Book Antiqua" w:hAnsi="Book Antiqua"/>
          <w:sz w:val="24"/>
          <w:szCs w:val="24"/>
          <w:lang w:val="en-GB"/>
        </w:rPr>
        <w:t xml:space="preserve"> an odds ratio of 169 (</w:t>
      </w:r>
      <w:r w:rsidR="00E35182">
        <w:rPr>
          <w:rFonts w:ascii="Book Antiqua" w:hAnsi="Book Antiqua"/>
          <w:sz w:val="24"/>
          <w:szCs w:val="24"/>
          <w:lang w:val="en-GB"/>
        </w:rPr>
        <w:t>95%CI:</w:t>
      </w:r>
      <w:r>
        <w:rPr>
          <w:rFonts w:ascii="Book Antiqua" w:hAnsi="Book Antiqua"/>
          <w:sz w:val="24"/>
          <w:szCs w:val="24"/>
          <w:lang w:val="en-GB"/>
        </w:rPr>
        <w:t xml:space="preserve"> 52.49-544.13) was calculated for the prediction of EAD. </w:t>
      </w:r>
      <w:r w:rsidR="00C55A21">
        <w:rPr>
          <w:rFonts w:ascii="Book Antiqua" w:hAnsi="Book Antiqua"/>
          <w:sz w:val="24"/>
          <w:szCs w:val="24"/>
          <w:lang w:val="en-GB"/>
        </w:rPr>
        <w:t xml:space="preserve">The group </w:t>
      </w:r>
      <w:r>
        <w:rPr>
          <w:rFonts w:ascii="Book Antiqua" w:hAnsi="Book Antiqua"/>
          <w:sz w:val="24"/>
          <w:szCs w:val="24"/>
          <w:lang w:val="en-GB"/>
        </w:rPr>
        <w:t xml:space="preserve">with a </w:t>
      </w:r>
      <w:r w:rsidR="00C55A21">
        <w:rPr>
          <w:rFonts w:ascii="Book Antiqua" w:hAnsi="Book Antiqua"/>
          <w:sz w:val="24"/>
          <w:szCs w:val="24"/>
          <w:lang w:val="en-GB"/>
        </w:rPr>
        <w:t xml:space="preserve">lower </w:t>
      </w:r>
      <w:r>
        <w:rPr>
          <w:rFonts w:ascii="Book Antiqua" w:hAnsi="Book Antiqua"/>
          <w:sz w:val="24"/>
          <w:szCs w:val="24"/>
          <w:lang w:val="en-GB"/>
        </w:rPr>
        <w:t xml:space="preserve">clearance showed higher in-hospital mortality but no differences in 1-year mortality. </w:t>
      </w:r>
      <w:r w:rsidR="00C55A21">
        <w:rPr>
          <w:rFonts w:ascii="Book Antiqua" w:hAnsi="Book Antiqua"/>
          <w:sz w:val="24"/>
          <w:szCs w:val="24"/>
          <w:lang w:val="en-GB"/>
        </w:rPr>
        <w:t>So,</w:t>
      </w:r>
      <w:r>
        <w:rPr>
          <w:rFonts w:ascii="Book Antiqua" w:hAnsi="Book Antiqua"/>
          <w:sz w:val="24"/>
          <w:szCs w:val="24"/>
          <w:lang w:val="en-GB"/>
        </w:rPr>
        <w:t xml:space="preserve"> early measurement of lactates </w:t>
      </w:r>
      <w:r w:rsidR="00C55A21">
        <w:rPr>
          <w:rFonts w:ascii="Book Antiqua" w:hAnsi="Book Antiqua"/>
          <w:sz w:val="24"/>
          <w:szCs w:val="24"/>
          <w:lang w:val="en-GB"/>
        </w:rPr>
        <w:t>allows</w:t>
      </w:r>
      <w:r>
        <w:rPr>
          <w:rFonts w:ascii="Book Antiqua" w:hAnsi="Book Antiqua"/>
          <w:sz w:val="24"/>
          <w:szCs w:val="24"/>
          <w:lang w:val="en-GB"/>
        </w:rPr>
        <w:t xml:space="preserve"> immediate functional graft assessment rather than a medium- or long-term clinical outcome</w:t>
      </w:r>
      <w:r w:rsidR="00C55A21">
        <w:rPr>
          <w:rFonts w:ascii="Book Antiqua" w:hAnsi="Book Antiqua"/>
          <w:sz w:val="24"/>
          <w:szCs w:val="24"/>
          <w:lang w:val="en-GB"/>
        </w:rPr>
        <w:t xml:space="preserve"> prediction</w:t>
      </w:r>
      <w:r>
        <w:rPr>
          <w:rFonts w:ascii="Book Antiqua" w:hAnsi="Book Antiqua"/>
          <w:sz w:val="24"/>
          <w:szCs w:val="24"/>
          <w:lang w:val="en-GB"/>
        </w:rPr>
        <w:t>. The ease of the technique makes it readily available at the bedside.</w:t>
      </w:r>
      <w:r w:rsidR="007D7ACC">
        <w:rPr>
          <w:rFonts w:ascii="Book Antiqua" w:hAnsi="Book Antiqua"/>
          <w:sz w:val="24"/>
          <w:szCs w:val="24"/>
          <w:lang w:val="en-GB"/>
        </w:rPr>
        <w:fldChar w:fldCharType="begin" w:fldLock="1"/>
      </w:r>
      <w:r w:rsidR="00362C55">
        <w:rPr>
          <w:rFonts w:ascii="Book Antiqua" w:hAnsi="Book Antiqua"/>
          <w:sz w:val="24"/>
          <w:szCs w:val="24"/>
          <w:lang w:val="en-GB"/>
        </w:rPr>
        <w:instrText>ADDIN CSL_CITATION { "citationItems" : [ { "id" : "ITEM-1", "itemData" : { "DOI" : "10.1016/S1499-3872(11)60100-8", "ISBN" : "1499-3872", "ISSN" : "14993872", "PMID" : "2011677941", "abstract" : "Initial poor graft function (IPGF) following orthotopic liver transplantation is a major determinant of postoperative survival and morbidity. Lactate clearance is a good marker of liver function. In this study, we investigated the clinical utility of early lactate clearance as an early and accurate predictor for IPGF following liver transplantation. METHODS: This was a prospective observational study of 222 patients referred to the surgical intensive care unit (SICU) after orthotopic liver transplantation. The IPGF group consisted of patients with alanine aminotransferase (ALT) and/or aspartate aminotransferase (AST) &gt;1500 IU/L within 72 hours after orthotopic liver transplantation. Early lactate clearance was defined as lactate at SICU presentation (hour 0) minus lactate at hour 6, divided by lactate at SICU presentation. The model for end-stage liver disease (MELD) score, Child-Pugh score and laboratory data including AST, ALT, total bilirubin (TB) and prothrombin time (PT) were recorded at SICU presentation and compared between the non-IPGF and IPGF groups. Receiver operating characteristic (ROC) curves were plotted to measure the performance of early lactate clearance, MELD score, Child-Pugh score, TB and PT. RESULTS: IPGF occurred in 45 of the 222 patients (20.3%). The early lactate clearance in the non-IPGF group was markedly higher than that in the IPGF group (43.2\u00b113.8% vs 13.4\u00b113.7% P&lt;0.001). The optimum cut-off value for early lactate clearance predicting IPGF was 24.8% (sensitivity 95.5%, specificity 88.9%). The area under the curve of the ROC was 0.961, which was significantly superior to MELD score, Child-Pugh score, TB and PT. Patients with early lactate clearance \u226424.8% had a higher IPGF rate (OR=169) and a higher risk of in-hospital mortality (OR=3.625). CONCLUSIONS: Early lactate clearance can serve as a prompt and accurate bedside predictor of IPGF. Patients with early lactate clearance less than 24.8% are associated with a higher incidence of IPGF. \u00a9 2011, Hepatobiliary Pancreat Dis Int. All rights reserved.", "author" : [ { "dropping-particle" : "", "family" : "Wu", "given" : "Jian Feng", "non-dropping-particle" : "", "parse-names" : false, "suffix" : "" }, { "dropping-particle" : "", "family" : "Wu", "given" : "Rong Yao", "non-dropping-particle" : "", "parse-names" : false, "suffix" : "" }, { "dropping-particle" : "", "family" : "Chen", "given" : "Juan", "non-dropping-particle" : "", "parse-names" : false, "suffix" : "" }, { "dropping-particle" : "", "family" : "Ou-Yang", "given" : "Bin", "non-dropping-particle" : "", "parse-names" : false, "suffix" : "" }, { "dropping-particle" : "", "family" : "Chen", "given" : "Min Ying", "non-dropping-particle" : "", "parse-names" : false, "suffix" : "" }, { "dropping-particle" : "", "family" : "Guan", "given" : "Xiang Dong", "non-dropping-particle" : "", "parse-names" : false, "suffix" : "" } ], "container-title" : "Hepatobiliary and Pancreatic Diseases International", "id" : "ITEM-1", "issue" : "6", "issued" : { "date-parts" : [ [ "2011" ] ] }, "page" : "587-589", "title" : "Early lactate clearance as a reliable predictor of initial poor graft function after orthotopic liver transplantation", "type" : "article-journal", "volume" : "10" }, "uris" : [ "http://www.mendeley.com/documents/?uuid=b184b6df-002b-45ee-a1f3-ef348c5f6573" ] } ], "mendeley" : { "formattedCitation" : "&lt;sup&gt;[84]&lt;/sup&gt;", "plainTextFormattedCitation" : "[84]", "previouslyFormattedCitation" : "&lt;sup&gt;[84]&lt;/sup&gt;" }, "properties" : { "noteIndex" : 0 }, "schema" : "https://github.com/citation-style-language/schema/raw/master/csl-citation.json" }</w:instrText>
      </w:r>
      <w:r w:rsidR="007D7ACC">
        <w:rPr>
          <w:rFonts w:ascii="Book Antiqua" w:hAnsi="Book Antiqua"/>
          <w:sz w:val="24"/>
          <w:szCs w:val="24"/>
          <w:lang w:val="en-GB"/>
        </w:rPr>
        <w:fldChar w:fldCharType="separate"/>
      </w:r>
      <w:r w:rsidR="00CD2CDC" w:rsidRPr="00CD2CDC">
        <w:rPr>
          <w:rFonts w:ascii="Book Antiqua" w:hAnsi="Book Antiqua"/>
          <w:noProof/>
          <w:sz w:val="24"/>
          <w:szCs w:val="24"/>
          <w:vertAlign w:val="superscript"/>
          <w:lang w:val="en-GB"/>
        </w:rPr>
        <w:t>[84]</w:t>
      </w:r>
      <w:r w:rsidR="007D7ACC">
        <w:rPr>
          <w:rFonts w:ascii="Book Antiqua" w:hAnsi="Book Antiqua"/>
          <w:sz w:val="24"/>
          <w:szCs w:val="24"/>
          <w:lang w:val="en-GB"/>
        </w:rPr>
        <w:fldChar w:fldCharType="end"/>
      </w:r>
    </w:p>
    <w:p w14:paraId="255A5EA1" w14:textId="77777777" w:rsidR="00491865" w:rsidRDefault="00491865" w:rsidP="00422EBA">
      <w:pPr>
        <w:adjustRightInd w:val="0"/>
        <w:snapToGrid w:val="0"/>
        <w:spacing w:after="0" w:line="360" w:lineRule="auto"/>
        <w:jc w:val="both"/>
        <w:rPr>
          <w:rFonts w:ascii="Book Antiqua" w:eastAsiaTheme="minorEastAsia" w:hAnsi="Book Antiqua"/>
          <w:b/>
          <w:sz w:val="24"/>
          <w:szCs w:val="24"/>
          <w:lang w:val="en-GB" w:eastAsia="zh-CN"/>
        </w:rPr>
      </w:pPr>
    </w:p>
    <w:p w14:paraId="2F2388D2" w14:textId="24359DF5" w:rsidR="00577E50" w:rsidRPr="00491865" w:rsidRDefault="00491865" w:rsidP="00422EBA">
      <w:pPr>
        <w:adjustRightInd w:val="0"/>
        <w:snapToGrid w:val="0"/>
        <w:spacing w:after="0" w:line="360" w:lineRule="auto"/>
        <w:jc w:val="both"/>
        <w:rPr>
          <w:rFonts w:ascii="Book Antiqua" w:eastAsiaTheme="minorEastAsia" w:hAnsi="Book Antiqua"/>
          <w:b/>
          <w:sz w:val="24"/>
          <w:szCs w:val="24"/>
          <w:lang w:val="en-GB" w:eastAsia="zh-CN"/>
        </w:rPr>
      </w:pPr>
      <w:r>
        <w:rPr>
          <w:rFonts w:ascii="Book Antiqua" w:hAnsi="Book Antiqua"/>
          <w:b/>
          <w:sz w:val="24"/>
          <w:szCs w:val="24"/>
          <w:lang w:val="en-GB"/>
        </w:rPr>
        <w:t>IGF1</w:t>
      </w:r>
    </w:p>
    <w:p w14:paraId="0FD4A7DF" w14:textId="68C2BAE2" w:rsidR="00577E50" w:rsidRDefault="009044FB" w:rsidP="00422EBA">
      <w:pPr>
        <w:adjustRightInd w:val="0"/>
        <w:snapToGrid w:val="0"/>
        <w:spacing w:after="0" w:line="360" w:lineRule="auto"/>
        <w:jc w:val="both"/>
        <w:rPr>
          <w:rFonts w:ascii="Book Antiqua" w:hAnsi="Book Antiqua"/>
          <w:sz w:val="24"/>
          <w:szCs w:val="24"/>
          <w:lang w:val="en-GB"/>
        </w:rPr>
      </w:pPr>
      <w:r>
        <w:rPr>
          <w:rFonts w:ascii="Book Antiqua" w:hAnsi="Book Antiqua"/>
          <w:sz w:val="24"/>
          <w:szCs w:val="24"/>
          <w:lang w:val="en-GB"/>
        </w:rPr>
        <w:t xml:space="preserve">Hepatic dysfunction affects several biochemical processes taking place in this organ. </w:t>
      </w:r>
      <w:r w:rsidR="00577E50">
        <w:rPr>
          <w:rFonts w:ascii="Book Antiqua" w:hAnsi="Book Antiqua"/>
          <w:sz w:val="24"/>
          <w:szCs w:val="24"/>
          <w:lang w:val="en-GB"/>
        </w:rPr>
        <w:t>One fundamental endocrine axis involving the liver</w:t>
      </w:r>
      <w:r w:rsidR="00B2353B">
        <w:rPr>
          <w:rFonts w:ascii="Book Antiqua" w:hAnsi="Book Antiqua"/>
          <w:sz w:val="24"/>
          <w:szCs w:val="24"/>
          <w:lang w:val="en-GB"/>
        </w:rPr>
        <w:t>,</w:t>
      </w:r>
      <w:r w:rsidR="00577E50">
        <w:rPr>
          <w:rFonts w:ascii="Book Antiqua" w:hAnsi="Book Antiqua"/>
          <w:sz w:val="24"/>
          <w:szCs w:val="24"/>
          <w:lang w:val="en-GB"/>
        </w:rPr>
        <w:t xml:space="preserve"> is the Growth Hormone (GH) – IGF1 axis. Liver damage measured through clinical scales such as MELD or Child-Pugh correlate</w:t>
      </w:r>
      <w:r>
        <w:rPr>
          <w:rFonts w:ascii="Book Antiqua" w:hAnsi="Book Antiqua"/>
          <w:sz w:val="24"/>
          <w:szCs w:val="24"/>
          <w:lang w:val="en-GB"/>
        </w:rPr>
        <w:t>s</w:t>
      </w:r>
      <w:r w:rsidR="00577E50">
        <w:rPr>
          <w:rFonts w:ascii="Book Antiqua" w:hAnsi="Book Antiqua"/>
          <w:sz w:val="24"/>
          <w:szCs w:val="24"/>
          <w:lang w:val="en-GB"/>
        </w:rPr>
        <w:t xml:space="preserve"> with decreased levels of IGF1, which is synthesised by the hepatocytes, and consequently with increased GH levels</w:t>
      </w:r>
      <w:r w:rsidR="00491865">
        <w:rPr>
          <w:rFonts w:ascii="Book Antiqua" w:hAnsi="Book Antiqua"/>
          <w:sz w:val="24"/>
          <w:szCs w:val="24"/>
          <w:lang w:val="en-GB"/>
        </w:rPr>
        <w:fldChar w:fldCharType="begin" w:fldLock="1"/>
      </w:r>
      <w:r w:rsidR="00491865">
        <w:rPr>
          <w:rFonts w:ascii="Book Antiqua" w:hAnsi="Book Antiqua"/>
          <w:sz w:val="24"/>
          <w:szCs w:val="24"/>
          <w:lang w:val="en-GB"/>
        </w:rPr>
        <w:instrText>ADDIN CSL_CITATION { "citationItems" : [ { "id" : "ITEM-1", "itemData" : { "DOI" : "10.1016/j.jhep.2008.02.013", "ISSN" : "0168-8278", "PMID" : "18456366", "abstract" : "BACKGROUND/AIMS: Previous studies reported decreased serum IGF-1 levels in cirrhosis. We aimed to correlate GH-stimulated IGF-1 responses with both MELD and Child-Pugh scores and determine the impact of portal hypertension and nutrition on IGF-1 responses. METHODS: Fifty-three patients (56+/-2 yrs) with cirrhosis were enrolled. Serum IGF-1 levels were measured by RIA before and 24h after a single injection of GH (0.06 mg/kg). RESULTS: Compared to controls, basal IGF-1 levels were significantly decreased in patients with cirrhosis (17.3+/-6.3 vs 13.6+/-5.1, P&lt;0.001). Increments in IGF-1 levels were significantly lower in cirrhotic patients (controls: 133% vs 49% in MELD score &lt;10, 38% in MELD score 11-18, and 13% in MELD score 19-24, p&lt;0.001). 37% of patients had blunted IGF-1 responses. Increments in IGF-1 levels correlated with albumin (r=0.6), portal congestive index (r=0.4), and MAMC (r=0.25). By multivariate analysis, only CP (OR 5.7) and MELD scores (OR 4.5) accurately differentiated between blunted or non-blunted IGF-1 responses and not portal hypertension (OR 0.9) or malnutrition (OR 1.35). CONCLUSIONS: Cirrhosis is associated with low IGF-1 levels and an attenuated response to exogenous GH. These findings correlate better with the extent of hepatic dysfunction rather than the presence of portal hypertension or malnutrition.", "author" : [ { "dropping-particle" : "", "family" : "Assy", "given" : "Nimer", "non-dropping-particle" : "", "parse-names" : false, "suffix" : "" }, { "dropping-particle" : "", "family" : "Pruzansky", "given" : "Yosef", "non-dropping-particle" : "", "parse-names" : false, "suffix" : "" }, { "dropping-particle" : "", "family" : "Gaitini", "given" : "Diana", "non-dropping-particle" : "", "parse-names" : false, "suffix" : "" }, { "dropping-particle" : "", "family" : "Shen Orr", "given" : "Zila", "non-dropping-particle" : "", "parse-names" : false, "suffix" : "" }, { "dropping-particle" : "", "family" : "Hochberg", "given" : "Ze'ev", "non-dropping-particle" : "", "parse-names" : false, "suffix" : "" }, { "dropping-particle" : "", "family" : "Baruch", "given" : "Yaacov", "non-dropping-particle" : "", "parse-names" : false, "suffix" : "" } ], "container-title" : "Journal of hepatology", "id" : "ITEM-1", "issue" : "1", "issued" : { "date-parts" : [ [ "2008", "7" ] ] }, "page" : "34-42", "title" : "Growth hormone-stimulated IGF-1 generation in cirrhosis reflects hepatocellular dysfunction.", "type" : "article-journal", "volume" : "49" }, "uris" : [ "http://www.mendeley.com/documents/?uuid=26156775-16a3-4dc2-b91a-de327b5fdb56" ] }, { "id" : "ITEM-2", "itemData" : { "ISSN" : "1007-9327", "PMID" : "15309731", "abstract" : "AIM: To investigate the relationship between insulin-like growth factor-I, -II (IGF-I and IGF-II), IGF-binding protein 3 (IGFBP-3) and Child-Pugh score in patients with liver cirrhosis, and to search for potential clinical markers of liver function.\n\nMETHODS: Forty-four patients with advanced liver cirrhosis of viral origin were divided into 3 groups according to severity of cirrhosis (Child-Pugh score) and 38 healthy subjects served as controls. Serum levels of IGF-I, IGF-II and IGFBP-3 were measured by immunoradiometric assay.\n\nRESULTS: Serum IGF-I, IGF-II and IGFBP-3 levels were significantly lower in patients with cirrhosis than in controls, and serum concentrations of IGF-I, IGF-II and IGFBP-3 were associated with the severity of liver dysfunction, and dropped sharply during the progression of liver failure. Among these 3 parameters, serum IGF-II was the most sensitive and effective indicator for liver dysfunction. Concentrations of IGF-I &lt;30 ng/mL, IGF-II &lt;200 ng/mL and IGFBP-3 &lt;6 ng/mL implied a negative prognosis for patients with liver cirrhosis.\n\nCONCLUSION: Serum IGF-I, IGF-II and IGFBP-3 may provide a new dimension in the assessment of liver dysfunction. Combined detection of serum IGF-I, IGF-II and IGFBP-3 with Child-Pugh score is more effective in predicting prognosis than Child-Pugh score alone.", "author" : [ { "dropping-particle" : "", "family" : "Wu", "given" : "Yun-Lin", "non-dropping-particle" : "", "parse-names" : false, "suffix" : "" }, { "dropping-particle" : "", "family" : "Ye", "given" : "Jing", "non-dropping-particle" : "", "parse-names" : false, "suffix" : "" }, { "dropping-particle" : "", "family" : "Zhang", "given" : "Shu", "non-dropping-particle" : "", "parse-names" : false, "suffix" : "" }, { "dropping-particle" : "", "family" : "Zhong", "given" : "Jie", "non-dropping-particle" : "", "parse-names" : false, "suffix" : "" }, { "dropping-particle" : "", "family" : "Xi", "given" : "Rong-Ping", "non-dropping-particle" : "", "parse-names" : false, "suffix" : "" } ], "container-title" : "World journal of gastroenterology", "id" : "ITEM-2", "issue" : "18", "issued" : { "date-parts" : [ [ "2004", "9", "15" ] ] }, "page" : "2740-3", "title" : "Clinical significance of serum IGF-I, IGF-II and IGFBP-3 in liver cirrhosis.", "type" : "article-journal", "volume" : "10" }, "uris" : [ "http://www.mendeley.com/documents/?uuid=dec6214b-52fe-4501-a2c3-d40a923423b8" ] } ], "mendeley" : { "formattedCitation" : "&lt;sup&gt;[85,86]&lt;/sup&gt;", "plainTextFormattedCitation" : "[85,86]", "previouslyFormattedCitation" : "&lt;sup&gt;[85,86]&lt;/sup&gt;" }, "properties" : { "noteIndex" : 0 }, "schema" : "https://github.com/citation-style-language/schema/raw/master/csl-citation.json" }</w:instrText>
      </w:r>
      <w:r w:rsidR="00491865">
        <w:rPr>
          <w:rFonts w:ascii="Book Antiqua" w:hAnsi="Book Antiqua"/>
          <w:sz w:val="24"/>
          <w:szCs w:val="24"/>
          <w:lang w:val="en-GB"/>
        </w:rPr>
        <w:fldChar w:fldCharType="separate"/>
      </w:r>
      <w:r w:rsidR="00491865" w:rsidRPr="00CD2CDC">
        <w:rPr>
          <w:rFonts w:ascii="Book Antiqua" w:hAnsi="Book Antiqua"/>
          <w:noProof/>
          <w:sz w:val="24"/>
          <w:szCs w:val="24"/>
          <w:vertAlign w:val="superscript"/>
          <w:lang w:val="en-GB"/>
        </w:rPr>
        <w:t>[85,86]</w:t>
      </w:r>
      <w:r w:rsidR="00491865">
        <w:rPr>
          <w:rFonts w:ascii="Book Antiqua" w:hAnsi="Book Antiqua"/>
          <w:sz w:val="24"/>
          <w:szCs w:val="24"/>
          <w:lang w:val="en-GB"/>
        </w:rPr>
        <w:fldChar w:fldCharType="end"/>
      </w:r>
      <w:r w:rsidR="0072168C">
        <w:rPr>
          <w:rFonts w:ascii="Book Antiqua" w:hAnsi="Book Antiqua"/>
          <w:sz w:val="24"/>
          <w:szCs w:val="24"/>
          <w:lang w:val="en-GB"/>
        </w:rPr>
        <w:t>.</w:t>
      </w:r>
      <w:r w:rsidR="001610A1">
        <w:rPr>
          <w:rFonts w:ascii="Book Antiqua" w:hAnsi="Book Antiqua"/>
          <w:sz w:val="24"/>
          <w:szCs w:val="24"/>
          <w:lang w:val="en-GB"/>
        </w:rPr>
        <w:t xml:space="preserve"> IGF-1 and GH levels correlate with common enzymes to assess liver function and to describe post-LDLT liver regeneration in both donors and recipients</w:t>
      </w:r>
      <w:r w:rsidR="00491865">
        <w:rPr>
          <w:rFonts w:ascii="Book Antiqua" w:hAnsi="Book Antiqua"/>
          <w:sz w:val="24"/>
          <w:szCs w:val="24"/>
          <w:lang w:val="en-GB"/>
        </w:rPr>
        <w:fldChar w:fldCharType="begin" w:fldLock="1"/>
      </w:r>
      <w:r w:rsidR="00491865">
        <w:rPr>
          <w:rFonts w:ascii="Book Antiqua" w:hAnsi="Book Antiqua"/>
          <w:sz w:val="24"/>
          <w:szCs w:val="24"/>
          <w:lang w:val="en-GB"/>
        </w:rPr>
        <w:instrText>ADDIN CSL_CITATION { "citationItems" : [ { "id" : "ITEM-1", "itemData" : { "DOI" : "10.1002/lt.23922", "ISSN" : "1527-6473", "PMID" : "24889799", "abstract" : "End-stage liver disease is accompanied by decreased serum levels of insulin-like growth factor 1 (IGF1) and inversely increased serum levels of growth hormone (GH). Previous reports have demonstrated rapid GH/IGF1 axis recovery after orthotopic liver transplantation. This study investigated the effect in an adult-to-adult living donor liver transplantation (LDLT) model and characterized GH/IGF1 alterations and liver regeneration in both donors and recipients. Sequential blood samples were prospectively collected from 30 donor-recipient pairs during the perioperative course of LDLT. A distinct set of biochemical parameters, including serum GH, serum IGF1, and standard liver blood tests, was analyzed at different time points (preoperatively and during 12 months of follow-up after surgery). Recipients showed significantly higher GH serum levels and lower IGF1 serum levels in comparison with donors before surgery and throughout the first postoperative days (PODs). The GH serum levels of recipients declined, whereas donor levels inversely increased during the early postoperative period to a normal range. Recipients' IGF1 serum levels were restored within the first operative week. In parallel, donor IGF1 levels decreased by 50% after living donation, and preoperative serum levels were restored after 6 months. Donors showed delayed recovery of liver function in comparison with recipients. The dynamics of IGF1 strongly correlated with routine laboratory parameters of liver function. In conclusion, recipients showed a rapid recovery of the GH/IGF1 hormonal axis and liver function after LDLT, whereas donors showed altered GH signaling and regenerative delay in the early PODs after living donation.", "author" : [ { "dropping-particle" : "", "family" : "Jara", "given" : "Maximilian", "non-dropping-particle" : "", "parse-names" : false, "suffix" : "" }, { "dropping-particle" : "", "family" : "Schulz", "given" : "Antje", "non-dropping-particle" : "", "parse-names" : false, "suffix" : "" }, { "dropping-particle" : "", "family" : "Malinowski", "given" : "Maciej", "non-dropping-particle" : "", "parse-names" : false, "suffix" : "" }, { "dropping-particle" : "", "family" : "Puhl", "given" : "Gero", "non-dropping-particle" : "", "parse-names" : false, "suffix" : "" }, { "dropping-particle" : "", "family" : "Lock", "given" : "Johan Friso", "non-dropping-particle" : "", "parse-names" : false, "suffix" : "" }, { "dropping-particle" : "", "family" : "Seehofer", "given" : "Daniel", "non-dropping-particle" : "", "parse-names" : false, "suffix" : "" }, { "dropping-particle" : "", "family" : "Neuhaus", "given" : "Peter", "non-dropping-particle" : "", "parse-names" : false, "suffix" : "" }, { "dropping-particle" : "", "family" : "Stockmann", "given" : "Martin", "non-dropping-particle" : "", "parse-names" : false, "suffix" : "" } ], "container-title" : "Liver transplantation : official publication of the American Association for the Study of Liver Diseases and the International Liver Transplantation Society", "id" : "ITEM-1", "issue" : "9", "issued" : { "date-parts" : [ [ "2014", "9" ] ] }, "page" : "1118-26", "title" : "Growth hormone/insulin-like growth factor 1 dynamics in adult living donor liver transplantation.", "type" : "article-journal", "volume" : "20" }, "uris" : [ "http://www.mendeley.com/documents/?uuid=1e8c44d1-e8e7-43f3-aef3-004a441e7687" ] } ], "mendeley" : { "formattedCitation" : "&lt;sup&gt;[87]&lt;/sup&gt;", "plainTextFormattedCitation" : "[87]", "previouslyFormattedCitation" : "&lt;sup&gt;[87]&lt;/sup&gt;" }, "properties" : { "noteIndex" : 0 }, "schema" : "https://github.com/citation-style-language/schema/raw/master/csl-citation.json" }</w:instrText>
      </w:r>
      <w:r w:rsidR="00491865">
        <w:rPr>
          <w:rFonts w:ascii="Book Antiqua" w:hAnsi="Book Antiqua"/>
          <w:sz w:val="24"/>
          <w:szCs w:val="24"/>
          <w:lang w:val="en-GB"/>
        </w:rPr>
        <w:fldChar w:fldCharType="separate"/>
      </w:r>
      <w:r w:rsidR="00491865" w:rsidRPr="00CD2CDC">
        <w:rPr>
          <w:rFonts w:ascii="Book Antiqua" w:hAnsi="Book Antiqua"/>
          <w:noProof/>
          <w:sz w:val="24"/>
          <w:szCs w:val="24"/>
          <w:vertAlign w:val="superscript"/>
          <w:lang w:val="en-GB"/>
        </w:rPr>
        <w:t>[87]</w:t>
      </w:r>
      <w:r w:rsidR="00491865">
        <w:rPr>
          <w:rFonts w:ascii="Book Antiqua" w:hAnsi="Book Antiqua"/>
          <w:sz w:val="24"/>
          <w:szCs w:val="24"/>
          <w:lang w:val="en-GB"/>
        </w:rPr>
        <w:fldChar w:fldCharType="end"/>
      </w:r>
      <w:r w:rsidR="001610A1">
        <w:rPr>
          <w:rFonts w:ascii="Book Antiqua" w:hAnsi="Book Antiqua"/>
          <w:sz w:val="24"/>
          <w:szCs w:val="24"/>
          <w:lang w:val="en-GB"/>
        </w:rPr>
        <w:t>.</w:t>
      </w:r>
      <w:r w:rsidR="005F5C48">
        <w:rPr>
          <w:lang w:val="en-GB"/>
        </w:rPr>
        <w:t xml:space="preserve"> </w:t>
      </w:r>
      <w:r>
        <w:rPr>
          <w:rFonts w:ascii="Book Antiqua" w:hAnsi="Book Antiqua"/>
          <w:sz w:val="24"/>
          <w:szCs w:val="24"/>
          <w:lang w:val="en-GB"/>
        </w:rPr>
        <w:t>In LT, peri-operative quantification of I</w:t>
      </w:r>
      <w:r w:rsidR="00577E50">
        <w:rPr>
          <w:rFonts w:ascii="Book Antiqua" w:hAnsi="Book Antiqua"/>
          <w:sz w:val="24"/>
          <w:szCs w:val="24"/>
          <w:lang w:val="en-GB"/>
        </w:rPr>
        <w:t xml:space="preserve">GF-1 </w:t>
      </w:r>
      <w:r>
        <w:rPr>
          <w:rFonts w:ascii="Book Antiqua" w:hAnsi="Book Antiqua"/>
          <w:sz w:val="24"/>
          <w:szCs w:val="24"/>
          <w:lang w:val="en-GB"/>
        </w:rPr>
        <w:t xml:space="preserve">showed </w:t>
      </w:r>
      <w:r w:rsidR="00577E50">
        <w:rPr>
          <w:rFonts w:ascii="Book Antiqua" w:hAnsi="Book Antiqua"/>
          <w:sz w:val="24"/>
          <w:szCs w:val="24"/>
          <w:lang w:val="en-GB"/>
        </w:rPr>
        <w:t xml:space="preserve">a dramatic decrease during the anhepatic phase, with levels already significantly rising 30 min after the completion of the surgery and completely normalising between POD7 and 28. </w:t>
      </w:r>
      <w:r w:rsidR="001610A1">
        <w:rPr>
          <w:rFonts w:ascii="Book Antiqua" w:hAnsi="Book Antiqua"/>
          <w:sz w:val="24"/>
          <w:szCs w:val="24"/>
          <w:lang w:val="en-GB"/>
        </w:rPr>
        <w:t>F</w:t>
      </w:r>
      <w:r w:rsidR="00577E50">
        <w:rPr>
          <w:rFonts w:ascii="Book Antiqua" w:hAnsi="Book Antiqua"/>
          <w:sz w:val="24"/>
          <w:szCs w:val="24"/>
          <w:lang w:val="en-GB"/>
        </w:rPr>
        <w:t>rom POD7</w:t>
      </w:r>
      <w:r w:rsidR="001610A1">
        <w:rPr>
          <w:rFonts w:ascii="Book Antiqua" w:hAnsi="Book Antiqua"/>
          <w:sz w:val="24"/>
          <w:szCs w:val="24"/>
          <w:lang w:val="en-GB"/>
        </w:rPr>
        <w:t>,</w:t>
      </w:r>
      <w:r w:rsidR="00577E50">
        <w:rPr>
          <w:rFonts w:ascii="Book Antiqua" w:hAnsi="Book Antiqua"/>
          <w:sz w:val="24"/>
          <w:szCs w:val="24"/>
          <w:lang w:val="en-GB"/>
        </w:rPr>
        <w:t xml:space="preserve"> significantly lower levels were detected in patients who developed IPF</w:t>
      </w:r>
      <w:r w:rsidR="00491865">
        <w:rPr>
          <w:rFonts w:ascii="Book Antiqua" w:hAnsi="Book Antiqua"/>
          <w:sz w:val="24"/>
          <w:szCs w:val="24"/>
          <w:lang w:val="en-GB"/>
        </w:rPr>
        <w:fldChar w:fldCharType="begin" w:fldLock="1"/>
      </w:r>
      <w:r w:rsidR="00491865">
        <w:rPr>
          <w:rFonts w:ascii="Book Antiqua" w:hAnsi="Book Antiqua"/>
          <w:sz w:val="24"/>
          <w:szCs w:val="24"/>
          <w:lang w:val="en-GB"/>
        </w:rPr>
        <w:instrText>ADDIN CSL_CITATION { "citationItems" : [ { "id" : "ITEM-1", "itemData" : { "DOI" : "10.1002/lt.20111", "ISSN" : "1527-6465", "PMID" : "15108263", "abstract" : "Many studies on cirrhotic patients have shown that insulin-like growth factor 1 (IGF-1) plasma levels are related to the severity of liver dysfunction. This result suggests that IGF-1 is probably useful for monitoring liver function in the perioperative course of orthotopic liver transplantation (OLT). Growth hormone (GH), IGF-1 plasma levels, and routine liver function tests were measured in 15 adult cirrhotic patients undergoing OLT. Measurements were made at the beginning of the operation; during OLT; 24 hours after reperfusion; and in the morning on days 7, 30, and 90. Twenty age-matched healthy volunteers with normal liver function served as controls. The study group had significantly higher GH levels and lower IGF-1 levels in the preoperative period compared with the controls. All patients achieved a complete functional hepatic recovery 1 month after OLT, although in 6 of them, the graft had an initial poor function (Group-IPF). GH and IGF-1 levels achieved near normal range within 1 week after OLT, and they had no significant correlations with other routine biochemistry tests in this period. IGF-1 levels in Group-IPF rose more slowly than in the group with a normal recovery of graft function. Surprisingly, 24 hours after reperfusion, IGF-1 levels were higher in Group-IPF than in the group with normal graft function. In conclusion, the severe GH/IGF-1 axis impairment found in patients with end-stage cirrhosis reverted very rapidly in the first days after successful OLT. Such a quick, postoperative modulation of IGF-1 plasma level by the graft suggests that this hormone has the potential to become one of the early indicators of post-OLT liver function recovery.", "author" : [ { "dropping-particle" : "", "family" : "Bassanello", "given" : "Marco", "non-dropping-particle" : "", "parse-names" : false, "suffix" : "" }, { "dropping-particle" : "", "family" : "Palo", "given" : "Elio Franco", "non-dropping-particle" : "De", "parse-names" : false, "suffix" : "" }, { "dropping-particle" : "", "family" : "Lancerin", "given" : "Federica", "non-dropping-particle" : "", "parse-names" : false, "suffix" : "" }, { "dropping-particle" : "", "family" : "Vitale", "given" : "Alessandro", "non-dropping-particle" : "", "parse-names" : false, "suffix" : "" }, { "dropping-particle" : "", "family" : "Gatti", "given" : "Rosalba", "non-dropping-particle" : "", "parse-names" : false, "suffix" : "" }, { "dropping-particle" : "", "family" : "Montin", "given" : "Umberto", "non-dropping-particle" : "", "parse-names" : false, "suffix" : "" }, { "dropping-particle" : "", "family" : "Ciarleglio", "given" : "Francesco Antonio", "non-dropping-particle" : "", "parse-names" : false, "suffix" : "" }, { "dropping-particle" : "", "family" : "Senzolo", "given" : "Marco", "non-dropping-particle" : "", "parse-names" : false, "suffix" : "" }, { "dropping-particle" : "", "family" : "Burra", "given" : "Patrizia", "non-dropping-particle" : "", "parse-names" : false, "suffix" : "" }, { "dropping-particle" : "", "family" : "Brolese", "given" : "Alberto", "non-dropping-particle" : "", "parse-names" : false, "suffix" : "" }, { "dropping-particle" : "", "family" : "Zanus", "given" : "Giacomo", "non-dropping-particle" : "", "parse-names" : false, "suffix" : "" }, { "dropping-particle" : "", "family" : "D'Amico", "given" : "Davide Francesco", "non-dropping-particle" : "", "parse-names" : false, "suffix" : "" }, { "dropping-particle" : "", "family" : "Cillo", "given" : "Umberto", "non-dropping-particle" : "", "parse-names" : false, "suffix" : "" } ], "container-title" : "Liver transplantation : official publication of the American Association for the Study of Liver Diseases and the International Liver Transplantation Society", "id" : "ITEM-1", "issue" : "5", "issued" : { "date-parts" : [ [ "2004", "5" ] ] }, "page" : "692-8", "title" : "Growth hormone/insulin-like growth factor 1 axis recovery after liver transplantation: a preliminary prospective study.", "type" : "article-journal", "volume" : "10" }, "uris" : [ "http://www.mendeley.com/documents/?uuid=195da103-82c4-47d6-ab93-4b402a4ab6bc" ] } ], "mendeley" : { "formattedCitation" : "&lt;sup&gt;[88]&lt;/sup&gt;", "plainTextFormattedCitation" : "[88]", "previouslyFormattedCitation" : "&lt;sup&gt;[88]&lt;/sup&gt;" }, "properties" : { "noteIndex" : 0 }, "schema" : "https://github.com/citation-style-language/schema/raw/master/csl-citation.json" }</w:instrText>
      </w:r>
      <w:r w:rsidR="00491865">
        <w:rPr>
          <w:rFonts w:ascii="Book Antiqua" w:hAnsi="Book Antiqua"/>
          <w:sz w:val="24"/>
          <w:szCs w:val="24"/>
          <w:lang w:val="en-GB"/>
        </w:rPr>
        <w:fldChar w:fldCharType="separate"/>
      </w:r>
      <w:r w:rsidR="00491865" w:rsidRPr="00CD2CDC">
        <w:rPr>
          <w:rFonts w:ascii="Book Antiqua" w:hAnsi="Book Antiqua"/>
          <w:noProof/>
          <w:sz w:val="24"/>
          <w:szCs w:val="24"/>
          <w:vertAlign w:val="superscript"/>
          <w:lang w:val="en-GB"/>
        </w:rPr>
        <w:t>[88]</w:t>
      </w:r>
      <w:r w:rsidR="00491865">
        <w:rPr>
          <w:rFonts w:ascii="Book Antiqua" w:hAnsi="Book Antiqua"/>
          <w:sz w:val="24"/>
          <w:szCs w:val="24"/>
          <w:lang w:val="en-GB"/>
        </w:rPr>
        <w:fldChar w:fldCharType="end"/>
      </w:r>
      <w:r w:rsidR="00577E50">
        <w:rPr>
          <w:rFonts w:ascii="Book Antiqua" w:hAnsi="Book Antiqua"/>
          <w:sz w:val="24"/>
          <w:szCs w:val="24"/>
          <w:lang w:val="en-GB"/>
        </w:rPr>
        <w:t xml:space="preserve">. </w:t>
      </w:r>
      <w:r w:rsidR="001610A1">
        <w:rPr>
          <w:rFonts w:ascii="Book Antiqua" w:hAnsi="Book Antiqua"/>
          <w:sz w:val="24"/>
          <w:szCs w:val="24"/>
          <w:lang w:val="en-GB"/>
        </w:rPr>
        <w:t>Consequently</w:t>
      </w:r>
      <w:r w:rsidR="00577E50">
        <w:rPr>
          <w:rFonts w:ascii="Book Antiqua" w:hAnsi="Book Antiqua"/>
          <w:sz w:val="24"/>
          <w:szCs w:val="24"/>
          <w:lang w:val="en-GB"/>
        </w:rPr>
        <w:t xml:space="preserve">, </w:t>
      </w:r>
      <w:r w:rsidR="001610A1">
        <w:rPr>
          <w:rFonts w:ascii="Book Antiqua" w:hAnsi="Book Antiqua"/>
          <w:sz w:val="24"/>
          <w:szCs w:val="24"/>
          <w:lang w:val="en-GB"/>
        </w:rPr>
        <w:t xml:space="preserve">the prospective 3-years </w:t>
      </w:r>
      <w:r w:rsidR="00577E50">
        <w:rPr>
          <w:rFonts w:ascii="Book Antiqua" w:hAnsi="Book Antiqua"/>
          <w:sz w:val="24"/>
          <w:szCs w:val="24"/>
          <w:lang w:val="en-GB"/>
        </w:rPr>
        <w:t xml:space="preserve">follow up a small group of 31 transplanted patients </w:t>
      </w:r>
      <w:r w:rsidR="001610A1">
        <w:rPr>
          <w:rFonts w:ascii="Book Antiqua" w:hAnsi="Book Antiqua"/>
          <w:sz w:val="24"/>
          <w:szCs w:val="24"/>
          <w:lang w:val="en-GB"/>
        </w:rPr>
        <w:lastRenderedPageBreak/>
        <w:t>showed that</w:t>
      </w:r>
      <w:r w:rsidR="00577E50">
        <w:rPr>
          <w:rFonts w:ascii="Book Antiqua" w:hAnsi="Book Antiqua"/>
          <w:sz w:val="24"/>
          <w:szCs w:val="24"/>
          <w:lang w:val="en-GB"/>
        </w:rPr>
        <w:t xml:space="preserve"> 18 </w:t>
      </w:r>
      <w:r w:rsidR="001610A1">
        <w:rPr>
          <w:rFonts w:ascii="Book Antiqua" w:hAnsi="Book Antiqua"/>
          <w:sz w:val="24"/>
          <w:szCs w:val="24"/>
          <w:lang w:val="en-GB"/>
        </w:rPr>
        <w:t xml:space="preserve">of them </w:t>
      </w:r>
      <w:r w:rsidR="00577E50">
        <w:rPr>
          <w:rFonts w:ascii="Book Antiqua" w:hAnsi="Book Antiqua"/>
          <w:sz w:val="24"/>
          <w:szCs w:val="24"/>
          <w:lang w:val="en-GB"/>
        </w:rPr>
        <w:t xml:space="preserve">already had normalised IGF-1 levels on POD15, and their actual 3-year survival rates were significantly improved. </w:t>
      </w:r>
      <w:r w:rsidR="001610A1">
        <w:rPr>
          <w:rFonts w:ascii="Book Antiqua" w:hAnsi="Book Antiqua"/>
          <w:color w:val="000000"/>
          <w:sz w:val="24"/>
          <w:szCs w:val="24"/>
          <w:lang w:val="en-GB"/>
        </w:rPr>
        <w:t>D</w:t>
      </w:r>
      <w:r w:rsidR="00577E50">
        <w:rPr>
          <w:rFonts w:ascii="Book Antiqua" w:hAnsi="Book Antiqua"/>
          <w:color w:val="000000"/>
          <w:sz w:val="24"/>
          <w:szCs w:val="24"/>
          <w:lang w:val="en-GB"/>
        </w:rPr>
        <w:t>ecreased</w:t>
      </w:r>
      <w:r w:rsidR="00577E50">
        <w:rPr>
          <w:rFonts w:ascii="Book Antiqua" w:hAnsi="Book Antiqua"/>
          <w:color w:val="FF0000"/>
          <w:sz w:val="24"/>
          <w:szCs w:val="24"/>
          <w:lang w:val="en-GB"/>
        </w:rPr>
        <w:t xml:space="preserve"> </w:t>
      </w:r>
      <w:r w:rsidR="00577E50">
        <w:rPr>
          <w:rFonts w:ascii="Book Antiqua" w:hAnsi="Book Antiqua"/>
          <w:sz w:val="24"/>
          <w:szCs w:val="24"/>
          <w:lang w:val="en-GB"/>
        </w:rPr>
        <w:t>levels of IGF-1 during the whole 1</w:t>
      </w:r>
      <w:r w:rsidR="00577E50">
        <w:rPr>
          <w:rFonts w:ascii="Book Antiqua" w:hAnsi="Book Antiqua"/>
          <w:sz w:val="24"/>
          <w:szCs w:val="24"/>
          <w:vertAlign w:val="superscript"/>
          <w:lang w:val="en-GB"/>
        </w:rPr>
        <w:t>st</w:t>
      </w:r>
      <w:r w:rsidR="00577E50">
        <w:rPr>
          <w:rFonts w:ascii="Book Antiqua" w:hAnsi="Book Antiqua"/>
          <w:sz w:val="24"/>
          <w:szCs w:val="24"/>
          <w:lang w:val="en-GB"/>
        </w:rPr>
        <w:t xml:space="preserve"> year after LT were found in patients transplanted with livers from donors older than 65. From POD90, low IGF-1 levels significantly correlated with increased ECD score</w:t>
      </w:r>
      <w:r w:rsidR="00491865">
        <w:rPr>
          <w:rFonts w:ascii="Book Antiqua" w:hAnsi="Book Antiqua"/>
          <w:sz w:val="24"/>
          <w:szCs w:val="24"/>
          <w:lang w:val="en-GB"/>
        </w:rPr>
        <w:fldChar w:fldCharType="begin" w:fldLock="1"/>
      </w:r>
      <w:r w:rsidR="00491865">
        <w:rPr>
          <w:rFonts w:ascii="Book Antiqua" w:hAnsi="Book Antiqua"/>
          <w:sz w:val="24"/>
          <w:szCs w:val="24"/>
          <w:lang w:val="en-GB"/>
        </w:rPr>
        <w:instrText>ADDIN CSL_CITATION { "citationItems" : [ { "id" : "ITEM-1", "itemData" : { "DOI" : "10.1371/journal.pone.0133153", "ISSN" : "1932-6203", "PMID" : "26186540", "abstract" : "BACKGROUND: The reduction of insulin-like growth factor 1 (IGF-1) plasma levels is associated with the degree of liver dysfunction and mortality in cirrhotic patients. However, little research is available on the recovery of the IGF-1 level and its prognostic role after liver transplantation (LT).\n\nMETHODS: From April 2010 to May 2011, 31 patients were prospectively enrolled (25/6 M/F; mean age\u00b1SEM: 55.2\u00b11.4 years), and IGF-1 serum levels were assessed preoperatively and at 15, 30, 90, 180 and 365 days after transplantation. The influence of the donor and recipient characteristics (age, use of extended criteria donor grafts, D-MELD and incidence of early allograft dysfunction) on hormonal concentration was analyzed. The prognostic role of IGF-1 level on patient survival and its correlation with routine liver function tests were also investigated.\n\nRESULTS: All patients showed low preoperative IGF-1 levels (mean\u00b1SEM: 29.5\u00b12.1), and on postoperative day 15, a significant increase in the IGF-1 plasma level was observed (102.7\u00b111.7 ng/ml; p&lt;0.0001). During the first year after LT, the IGF-1 concentration remained significantly lower in recipients transplanted with older donors (&gt;65 years) or extended criteria donor grafts. An inverse correlation between IGF-1 and bilirubin serum levels at day 15 (r = -0.3924, p = 0.0320) and 30 (r = -0.3894, p = 0.0368) was found. After multivariate analysis, early (within 15 days) IGF-1 normalization [Exp(b) = 3.913; p = 0.0484] was the only prognostic factor associated with an increased 3-year survival rate.\n\nCONCLUSION: IGF-1 postoperative levels are correlated with the graft's quality and reflect liver function. Early IGF-1 recovery is associated with a higher 3-year survival rate after LT.", "author" : [ { "dropping-particle" : "", "family" : "Nicolini", "given" : "Daniele", "non-dropping-particle" : "", "parse-names" : false, "suffix" : "" }, { "dropping-particle" : "", "family" : "Mocchegiani", "given" : "Federico", "non-dropping-particle" : "", "parse-names" : false, "suffix" : "" }, { "dropping-particle" : "", "family" : "Palmonella", "given" : "Gioia", "non-dropping-particle" : "", "parse-names" : false, "suffix" : "" }, { "dropping-particle" : "", "family" : "Coletta", "given" : "Martina", "non-dropping-particle" : "", "parse-names" : false, "suffix" : "" }, { "dropping-particle" : "", "family" : "Brugia", "given" : "Marina", "non-dropping-particle" : "", "parse-names" : false, "suffix" : "" }, { "dropping-particle" : "", "family" : "Montalti", "given" : "Roberto", "non-dropping-particle" : "", "parse-names" : false, "suffix" : "" }, { "dropping-particle" : "", "family" : "Fava", "given" : "Giammarco", "non-dropping-particle" : "", "parse-names" : false, "suffix" : "" }, { "dropping-particle" : "", "family" : "Taccaliti", "given" : "Augusto", "non-dropping-particle" : "", "parse-names" : false, "suffix" : "" }, { "dropping-particle" : "", "family" : "Risaliti", "given" : "Andrea", "non-dropping-particle" : "", "parse-names" : false, "suffix" : "" }, { "dropping-particle" : "", "family" : "Vivarelli", "given" : "Marco", "non-dropping-particle" : "", "parse-names" : false, "suffix" : "" } ], "container-title" : "PloS one", "id" : "ITEM-1", "issue" : "7", "issued" : { "date-parts" : [ [ "2015", "1" ] ] }, "page" : "e0133153", "title" : "Postoperative Insulin-Like Growth Factor 1 Levels Reflect the Graft's Function and Predict Survival after Liver Transplantation.", "type" : "article-journal", "volume" : "10" }, "uris" : [ "http://www.mendeley.com/documents/?uuid=527f3f92-71cb-43a0-b577-dc5b60b10051" ] } ], "mendeley" : { "formattedCitation" : "&lt;sup&gt;[89]&lt;/sup&gt;", "plainTextFormattedCitation" : "[89]", "previouslyFormattedCitation" : "&lt;sup&gt;[89]&lt;/sup&gt;" }, "properties" : { "noteIndex" : 0 }, "schema" : "https://github.com/citation-style-language/schema/raw/master/csl-citation.json" }</w:instrText>
      </w:r>
      <w:r w:rsidR="00491865">
        <w:rPr>
          <w:rFonts w:ascii="Book Antiqua" w:hAnsi="Book Antiqua"/>
          <w:sz w:val="24"/>
          <w:szCs w:val="24"/>
          <w:lang w:val="en-GB"/>
        </w:rPr>
        <w:fldChar w:fldCharType="separate"/>
      </w:r>
      <w:r w:rsidR="00491865" w:rsidRPr="00CD2CDC">
        <w:rPr>
          <w:rFonts w:ascii="Book Antiqua" w:hAnsi="Book Antiqua"/>
          <w:noProof/>
          <w:sz w:val="24"/>
          <w:szCs w:val="24"/>
          <w:vertAlign w:val="superscript"/>
          <w:lang w:val="en-GB"/>
        </w:rPr>
        <w:t>[89]</w:t>
      </w:r>
      <w:r w:rsidR="00491865">
        <w:rPr>
          <w:rFonts w:ascii="Book Antiqua" w:hAnsi="Book Antiqua"/>
          <w:sz w:val="24"/>
          <w:szCs w:val="24"/>
          <w:lang w:val="en-GB"/>
        </w:rPr>
        <w:fldChar w:fldCharType="end"/>
      </w:r>
      <w:r w:rsidR="00577E50">
        <w:rPr>
          <w:rFonts w:ascii="Book Antiqua" w:hAnsi="Book Antiqua"/>
          <w:sz w:val="24"/>
          <w:szCs w:val="24"/>
          <w:lang w:val="en-GB"/>
        </w:rPr>
        <w:t>.</w:t>
      </w:r>
      <w:r w:rsidR="00491865">
        <w:rPr>
          <w:rFonts w:ascii="Book Antiqua" w:hAnsi="Book Antiqua"/>
          <w:sz w:val="24"/>
          <w:szCs w:val="24"/>
          <w:lang w:val="en-GB"/>
        </w:rPr>
        <w:t xml:space="preserve"> </w:t>
      </w:r>
      <w:r w:rsidR="00577E50">
        <w:rPr>
          <w:rFonts w:ascii="Book Antiqua" w:hAnsi="Book Antiqua"/>
          <w:sz w:val="24"/>
          <w:szCs w:val="24"/>
          <w:lang w:val="en-GB"/>
        </w:rPr>
        <w:t>The IGF-1 serum test is a quick, inexpensive and reproducible immunometric assay, giving this parameter an advantage over other molecules in the prediction of initial graft function. Unlike ICG-PDR, IGF-1 determination is not influenced by patient hemodynamic instability or hyperbilirubinaemia.</w:t>
      </w:r>
    </w:p>
    <w:p w14:paraId="6C38CDE8" w14:textId="09B6C51B" w:rsidR="00B122DF" w:rsidRDefault="001610A1" w:rsidP="00422EBA">
      <w:pPr>
        <w:adjustRightInd w:val="0"/>
        <w:snapToGrid w:val="0"/>
        <w:spacing w:after="0" w:line="360" w:lineRule="auto"/>
        <w:ind w:firstLineChars="200" w:firstLine="480"/>
        <w:jc w:val="both"/>
        <w:rPr>
          <w:rFonts w:ascii="Book Antiqua" w:hAnsi="Book Antiqua"/>
          <w:sz w:val="24"/>
          <w:szCs w:val="24"/>
          <w:lang w:val="en-GB"/>
        </w:rPr>
      </w:pPr>
      <w:r>
        <w:rPr>
          <w:rFonts w:ascii="Book Antiqua" w:hAnsi="Book Antiqua"/>
          <w:sz w:val="24"/>
          <w:szCs w:val="24"/>
          <w:lang w:val="en-US"/>
        </w:rPr>
        <w:t>Unfortunately, in the above mentioned studies, significant results were found only starting from POD7</w:t>
      </w:r>
      <w:r w:rsidR="007D7ACC">
        <w:rPr>
          <w:rFonts w:ascii="Book Antiqua" w:hAnsi="Book Antiqua"/>
          <w:sz w:val="24"/>
          <w:szCs w:val="24"/>
          <w:lang w:val="en-US"/>
        </w:rPr>
        <w:fldChar w:fldCharType="begin" w:fldLock="1"/>
      </w:r>
      <w:r w:rsidR="00362C55">
        <w:rPr>
          <w:rFonts w:ascii="Book Antiqua" w:hAnsi="Book Antiqua"/>
          <w:sz w:val="24"/>
          <w:szCs w:val="24"/>
          <w:lang w:val="en-US"/>
        </w:rPr>
        <w:instrText>ADDIN CSL_CITATION { "citationItems" : [ { "id" : "ITEM-1", "itemData" : { "DOI" : "10.1002/lt.20111", "ISSN" : "1527-6465", "PMID" : "15108263", "abstract" : "Many studies on cirrhotic patients have shown that insulin-like growth factor 1 (IGF-1) plasma levels are related to the severity of liver dysfunction. This result suggests that IGF-1 is probably useful for monitoring liver function in the perioperative course of orthotopic liver transplantation (OLT). Growth hormone (GH), IGF-1 plasma levels, and routine liver function tests were measured in 15 adult cirrhotic patients undergoing OLT. Measurements were made at the beginning of the operation; during OLT; 24 hours after reperfusion; and in the morning on days 7, 30, and 90. Twenty age-matched healthy volunteers with normal liver function served as controls. The study group had significantly higher GH levels and lower IGF-1 levels in the preoperative period compared with the controls. All patients achieved a complete functional hepatic recovery 1 month after OLT, although in 6 of them, the graft had an initial poor function (Group-IPF). GH and IGF-1 levels achieved near normal range within 1 week after OLT, and they had no significant correlations with other routine biochemistry tests in this period. IGF-1 levels in Group-IPF rose more slowly than in the group with a normal recovery of graft function. Surprisingly, 24 hours after reperfusion, IGF-1 levels were higher in Group-IPF than in the group with normal graft function. In conclusion, the severe GH/IGF-1 axis impairment found in patients with end-stage cirrhosis reverted very rapidly in the first days after successful OLT. Such a quick, postoperative modulation of IGF-1 plasma level by the graft suggests that this hormone has the potential to become one of the early indicators of post-OLT liver function recovery.", "author" : [ { "dropping-particle" : "", "family" : "Bassanello", "given" : "Marco", "non-dropping-particle" : "", "parse-names" : false, "suffix" : "" }, { "dropping-particle" : "", "family" : "Palo", "given" : "Elio Franco", "non-dropping-particle" : "De", "parse-names" : false, "suffix" : "" }, { "dropping-particle" : "", "family" : "Lancerin", "given" : "Federica", "non-dropping-particle" : "", "parse-names" : false, "suffix" : "" }, { "dropping-particle" : "", "family" : "Vitale", "given" : "Alessandro", "non-dropping-particle" : "", "parse-names" : false, "suffix" : "" }, { "dropping-particle" : "", "family" : "Gatti", "given" : "Rosalba", "non-dropping-particle" : "", "parse-names" : false, "suffix" : "" }, { "dropping-particle" : "", "family" : "Montin", "given" : "Umberto", "non-dropping-particle" : "", "parse-names" : false, "suffix" : "" }, { "dropping-particle" : "", "family" : "Ciarleglio", "given" : "Francesco Antonio", "non-dropping-particle" : "", "parse-names" : false, "suffix" : "" }, { "dropping-particle" : "", "family" : "Senzolo", "given" : "Marco", "non-dropping-particle" : "", "parse-names" : false, "suffix" : "" }, { "dropping-particle" : "", "family" : "Burra", "given" : "Patrizia", "non-dropping-particle" : "", "parse-names" : false, "suffix" : "" }, { "dropping-particle" : "", "family" : "Brolese", "given" : "Alberto", "non-dropping-particle" : "", "parse-names" : false, "suffix" : "" }, { "dropping-particle" : "", "family" : "Zanus", "given" : "Giacomo", "non-dropping-particle" : "", "parse-names" : false, "suffix" : "" }, { "dropping-particle" : "", "family" : "D'Amico", "given" : "Davide Francesco", "non-dropping-particle" : "", "parse-names" : false, "suffix" : "" }, { "dropping-particle" : "", "family" : "Cillo", "given" : "Umberto", "non-dropping-particle" : "", "parse-names" : false, "suffix" : "" } ], "container-title" : "Liver transplantation : official publication of the American Association for the Study of Liver Diseases and the International Liver Transplantation Society", "id" : "ITEM-1", "issue" : "5", "issued" : { "date-parts" : [ [ "2004", "5" ] ] }, "page" : "692-8", "title" : "Growth hormone/insulin-like growth factor 1 axis recovery after liver transplantation: a preliminary prospective study.", "type" : "article-journal", "volume" : "10" }, "uris" : [ "http://www.mendeley.com/documents/?uuid=195da103-82c4-47d6-ab93-4b402a4ab6bc" ] } ], "mendeley" : { "formattedCitation" : "&lt;sup&gt;[88]&lt;/sup&gt;", "plainTextFormattedCitation" : "[88]", "previouslyFormattedCitation" : "&lt;sup&gt;[88]&lt;/sup&gt;" }, "properties" : { "noteIndex" : 0 }, "schema" : "https://github.com/citation-style-language/schema/raw/master/csl-citation.json" }</w:instrText>
      </w:r>
      <w:r w:rsidR="007D7ACC">
        <w:rPr>
          <w:rFonts w:ascii="Book Antiqua" w:hAnsi="Book Antiqua"/>
          <w:sz w:val="24"/>
          <w:szCs w:val="24"/>
          <w:lang w:val="en-US"/>
        </w:rPr>
        <w:fldChar w:fldCharType="separate"/>
      </w:r>
      <w:r w:rsidR="00CD2CDC" w:rsidRPr="00CD2CDC">
        <w:rPr>
          <w:rFonts w:ascii="Book Antiqua" w:hAnsi="Book Antiqua"/>
          <w:noProof/>
          <w:sz w:val="24"/>
          <w:szCs w:val="24"/>
          <w:vertAlign w:val="superscript"/>
          <w:lang w:val="en-US"/>
        </w:rPr>
        <w:t>[88]</w:t>
      </w:r>
      <w:r w:rsidR="007D7ACC">
        <w:rPr>
          <w:rFonts w:ascii="Book Antiqua" w:hAnsi="Book Antiqua"/>
          <w:sz w:val="24"/>
          <w:szCs w:val="24"/>
          <w:lang w:val="en-US"/>
        </w:rPr>
        <w:fldChar w:fldCharType="end"/>
      </w:r>
      <w:r>
        <w:rPr>
          <w:rFonts w:ascii="Book Antiqua" w:hAnsi="Book Antiqua"/>
          <w:sz w:val="24"/>
          <w:szCs w:val="24"/>
          <w:lang w:val="en-US"/>
        </w:rPr>
        <w:t xml:space="preserve"> and POD15</w:t>
      </w:r>
      <w:r w:rsidR="007D7ACC">
        <w:rPr>
          <w:rFonts w:ascii="Book Antiqua" w:hAnsi="Book Antiqua"/>
          <w:sz w:val="24"/>
          <w:szCs w:val="24"/>
          <w:lang w:val="en-US"/>
        </w:rPr>
        <w:fldChar w:fldCharType="begin" w:fldLock="1"/>
      </w:r>
      <w:r w:rsidR="00362C55">
        <w:rPr>
          <w:rFonts w:ascii="Book Antiqua" w:hAnsi="Book Antiqua"/>
          <w:sz w:val="24"/>
          <w:szCs w:val="24"/>
          <w:lang w:val="en-US"/>
        </w:rPr>
        <w:instrText>ADDIN CSL_CITATION { "citationItems" : [ { "id" : "ITEM-1", "itemData" : { "DOI" : "10.1371/journal.pone.0133153", "ISSN" : "1932-6203", "PMID" : "26186540", "abstract" : "BACKGROUND: The reduction of insulin-like growth factor 1 (IGF-1) plasma levels is associated with the degree of liver dysfunction and mortality in cirrhotic patients. However, little research is available on the recovery of the IGF-1 level and its prognostic role after liver transplantation (LT).\n\nMETHODS: From April 2010 to May 2011, 31 patients were prospectively enrolled (25/6 M/F; mean age\u00b1SEM: 55.2\u00b11.4 years), and IGF-1 serum levels were assessed preoperatively and at 15, 30, 90, 180 and 365 days after transplantation. The influence of the donor and recipient characteristics (age, use of extended criteria donor grafts, D-MELD and incidence of early allograft dysfunction) on hormonal concentration was analyzed. The prognostic role of IGF-1 level on patient survival and its correlation with routine liver function tests were also investigated.\n\nRESULTS: All patients showed low preoperative IGF-1 levels (mean\u00b1SEM: 29.5\u00b12.1), and on postoperative day 15, a significant increase in the IGF-1 plasma level was observed (102.7\u00b111.7 ng/ml; p&lt;0.0001). During the first year after LT, the IGF-1 concentration remained significantly lower in recipients transplanted with older donors (&gt;65 years) or extended criteria donor grafts. An inverse correlation between IGF-1 and bilirubin serum levels at day 15 (r = -0.3924, p = 0.0320) and 30 (r = -0.3894, p = 0.0368) was found. After multivariate analysis, early (within 15 days) IGF-1 normalization [Exp(b) = 3.913; p = 0.0484] was the only prognostic factor associated with an increased 3-year survival rate.\n\nCONCLUSION: IGF-1 postoperative levels are correlated with the graft's quality and reflect liver function. Early IGF-1 recovery is associated with a higher 3-year survival rate after LT.", "author" : [ { "dropping-particle" : "", "family" : "Nicolini", "given" : "Daniele", "non-dropping-particle" : "", "parse-names" : false, "suffix" : "" }, { "dropping-particle" : "", "family" : "Mocchegiani", "given" : "Federico", "non-dropping-particle" : "", "parse-names" : false, "suffix" : "" }, { "dropping-particle" : "", "family" : "Palmonella", "given" : "Gioia", "non-dropping-particle" : "", "parse-names" : false, "suffix" : "" }, { "dropping-particle" : "", "family" : "Coletta", "given" : "Martina", "non-dropping-particle" : "", "parse-names" : false, "suffix" : "" }, { "dropping-particle" : "", "family" : "Brugia", "given" : "Marina", "non-dropping-particle" : "", "parse-names" : false, "suffix" : "" }, { "dropping-particle" : "", "family" : "Montalti", "given" : "Roberto", "non-dropping-particle" : "", "parse-names" : false, "suffix" : "" }, { "dropping-particle" : "", "family" : "Fava", "given" : "Giammarco", "non-dropping-particle" : "", "parse-names" : false, "suffix" : "" }, { "dropping-particle" : "", "family" : "Taccaliti", "given" : "Augusto", "non-dropping-particle" : "", "parse-names" : false, "suffix" : "" }, { "dropping-particle" : "", "family" : "Risaliti", "given" : "Andrea", "non-dropping-particle" : "", "parse-names" : false, "suffix" : "" }, { "dropping-particle" : "", "family" : "Vivarelli", "given" : "Marco", "non-dropping-particle" : "", "parse-names" : false, "suffix" : "" } ], "container-title" : "PloS one", "id" : "ITEM-1", "issue" : "7", "issued" : { "date-parts" : [ [ "2015", "1" ] ] }, "page" : "e0133153", "title" : "Postoperative Insulin-Like Growth Factor 1 Levels Reflect the Graft's Function and Predict Survival after Liver Transplantation.", "type" : "article-journal", "volume" : "10" }, "uris" : [ "http://www.mendeley.com/documents/?uuid=527f3f92-71cb-43a0-b577-dc5b60b10051" ] } ], "mendeley" : { "formattedCitation" : "&lt;sup&gt;[89]&lt;/sup&gt;", "plainTextFormattedCitation" : "[89]", "previouslyFormattedCitation" : "&lt;sup&gt;[89]&lt;/sup&gt;" }, "properties" : { "noteIndex" : 0 }, "schema" : "https://github.com/citation-style-language/schema/raw/master/csl-citation.json" }</w:instrText>
      </w:r>
      <w:r w:rsidR="007D7ACC">
        <w:rPr>
          <w:rFonts w:ascii="Book Antiqua" w:hAnsi="Book Antiqua"/>
          <w:sz w:val="24"/>
          <w:szCs w:val="24"/>
          <w:lang w:val="en-US"/>
        </w:rPr>
        <w:fldChar w:fldCharType="separate"/>
      </w:r>
      <w:r w:rsidR="00CD2CDC" w:rsidRPr="00CD2CDC">
        <w:rPr>
          <w:rFonts w:ascii="Book Antiqua" w:hAnsi="Book Antiqua"/>
          <w:noProof/>
          <w:sz w:val="24"/>
          <w:szCs w:val="24"/>
          <w:vertAlign w:val="superscript"/>
          <w:lang w:val="en-US"/>
        </w:rPr>
        <w:t>[89]</w:t>
      </w:r>
      <w:r w:rsidR="007D7ACC">
        <w:rPr>
          <w:rFonts w:ascii="Book Antiqua" w:hAnsi="Book Antiqua"/>
          <w:sz w:val="24"/>
          <w:szCs w:val="24"/>
          <w:lang w:val="en-US"/>
        </w:rPr>
        <w:fldChar w:fldCharType="end"/>
      </w:r>
      <w:r>
        <w:rPr>
          <w:rFonts w:ascii="Book Antiqua" w:hAnsi="Book Antiqua"/>
          <w:sz w:val="24"/>
          <w:szCs w:val="24"/>
          <w:lang w:val="en-US"/>
        </w:rPr>
        <w:t xml:space="preserve"> respectively. </w:t>
      </w:r>
      <w:r w:rsidR="00577E50">
        <w:rPr>
          <w:rFonts w:ascii="Book Antiqua" w:hAnsi="Book Antiqua"/>
          <w:sz w:val="24"/>
          <w:szCs w:val="24"/>
          <w:lang w:val="en-GB"/>
        </w:rPr>
        <w:t>Similar results were found in another retrospective study with a small sample of 30 LT patients who only found predic</w:t>
      </w:r>
      <w:r w:rsidR="00491865">
        <w:rPr>
          <w:rFonts w:ascii="Book Antiqua" w:hAnsi="Book Antiqua"/>
          <w:sz w:val="24"/>
          <w:szCs w:val="24"/>
          <w:lang w:val="en-GB"/>
        </w:rPr>
        <w:t>tive IGF-1 values for the 90-d</w:t>
      </w:r>
      <w:r w:rsidR="00577E50">
        <w:rPr>
          <w:rFonts w:ascii="Book Antiqua" w:hAnsi="Book Antiqua"/>
          <w:sz w:val="24"/>
          <w:szCs w:val="24"/>
          <w:lang w:val="en-GB"/>
        </w:rPr>
        <w:t xml:space="preserve"> survival rate on POD15</w:t>
      </w:r>
      <w:r w:rsidR="00491865">
        <w:rPr>
          <w:rFonts w:ascii="Book Antiqua" w:hAnsi="Book Antiqua"/>
          <w:sz w:val="24"/>
          <w:szCs w:val="24"/>
          <w:lang w:val="en-GB"/>
        </w:rPr>
        <w:fldChar w:fldCharType="begin" w:fldLock="1"/>
      </w:r>
      <w:r w:rsidR="00491865">
        <w:rPr>
          <w:rFonts w:ascii="Book Antiqua" w:hAnsi="Book Antiqua"/>
          <w:sz w:val="24"/>
          <w:szCs w:val="24"/>
          <w:lang w:val="en-GB"/>
        </w:rPr>
        <w:instrText>ADDIN CSL_CITATION { "citationItems" : [ { "id" : "ITEM-1", "itemData" : { "DOI" : "10.1155/2014/240873", "ISSN" : "2314-6141", "PMID" : "24804205", "abstract" : "BACKGROUND: High levels of IGF-1 have been reported in patients with initial poor function of the graft after liver transplantation (LT). Correlation with other clinical variables or early survival has not been extensively investigated.\n\nAIM: To evaluate the GH/IGF-1 profile as a function of liver recovery and patients' early survival after LT.\n\nMETHODS: 30 transplanted patients (23 survivors and 7 nonsurvivors), were retrospectively enrolled in the study. GH and IGF-1 serum levels were assessed at baseline, graft reperfusion, and 1, 7, 15, 30 , 90, and 360 days after LT. Individual biochemical variables were also recorded.\n\nRESULTS: After grafting, IGF-1 in blood linearly correlated with cholesterol (r = 0.6, P = 0.001). IGF-1 levels from day 15 after surgery were statistically higher in survivors as compared to nonsurvivors. ROC curves analysis identified an IGF-1 cut-off &gt;90 \u03bcg/L, from day 15 after surgery, as a good predictor of survival (sensitivity 86%, specificity 95%, and P &lt; 0.001).\n\nCONCLUSIONS: After LT, GH levels correlate with the extent of cytolysis, while IGF-1 is an indicator of liver synthetic function recovery. IGF-1 levels &gt;90 \u03bcg/L (day 15-30) seem to be an indicator of short-term survival.", "author" : [ { "dropping-particle" : "", "family" : "Salso", "given" : "Angela", "non-dropping-particle" : "", "parse-names" : false, "suffix" : "" }, { "dropping-particle" : "", "family" : "Tisone", "given" : "Giuseppe", "non-dropping-particle" : "", "parse-names" : false, "suffix" : "" }, { "dropping-particle" : "", "family" : "Tariciotti", "given" : "Laura", "non-dropping-particle" : "", "parse-names" : false, "suffix" : "" }, { "dropping-particle" : "", "family" : "Lenci", "given" : "Ilaria", "non-dropping-particle" : "", "parse-names" : false, "suffix" : "" }, { "dropping-particle" : "", "family" : "Manzia", "given" : "Tommaso Maria", "non-dropping-particle" : "", "parse-names" : false, "suffix" : "" }, { "dropping-particle" : "", "family" : "Baiocchi", "given" : "Leonardo", "non-dropping-particle" : "", "parse-names" : false, "suffix" : "" } ], "container-title" : "BioMed research international", "id" : "ITEM-1", "issued" : { "date-parts" : [ [ "2014", "1" ] ] }, "page" : "240873", "title" : "Relationship between GH/IGF-1 axis, graft recovery, and early survival in patients undergoing liver transplantation.", "type" : "article-journal", "volume" : "2014" }, "uris" : [ "http://www.mendeley.com/documents/?uuid=5cbc6836-e9fa-4628-a0d6-1b11d6a837af" ] } ], "mendeley" : { "formattedCitation" : "&lt;sup&gt;[90]&lt;/sup&gt;", "plainTextFormattedCitation" : "[90]", "previouslyFormattedCitation" : "&lt;sup&gt;[90]&lt;/sup&gt;" }, "properties" : { "noteIndex" : 0 }, "schema" : "https://github.com/citation-style-language/schema/raw/master/csl-citation.json" }</w:instrText>
      </w:r>
      <w:r w:rsidR="00491865">
        <w:rPr>
          <w:rFonts w:ascii="Book Antiqua" w:hAnsi="Book Antiqua"/>
          <w:sz w:val="24"/>
          <w:szCs w:val="24"/>
          <w:lang w:val="en-GB"/>
        </w:rPr>
        <w:fldChar w:fldCharType="separate"/>
      </w:r>
      <w:r w:rsidR="00491865" w:rsidRPr="00CD2CDC">
        <w:rPr>
          <w:rFonts w:ascii="Book Antiqua" w:hAnsi="Book Antiqua"/>
          <w:noProof/>
          <w:sz w:val="24"/>
          <w:szCs w:val="24"/>
          <w:vertAlign w:val="superscript"/>
          <w:lang w:val="en-GB"/>
        </w:rPr>
        <w:t>[90]</w:t>
      </w:r>
      <w:r w:rsidR="00491865">
        <w:rPr>
          <w:rFonts w:ascii="Book Antiqua" w:hAnsi="Book Antiqua"/>
          <w:sz w:val="24"/>
          <w:szCs w:val="24"/>
          <w:lang w:val="en-GB"/>
        </w:rPr>
        <w:fldChar w:fldCharType="end"/>
      </w:r>
      <w:r w:rsidR="0072168C">
        <w:rPr>
          <w:rFonts w:ascii="Book Antiqua" w:hAnsi="Book Antiqua"/>
          <w:sz w:val="24"/>
          <w:szCs w:val="24"/>
          <w:lang w:val="en-GB"/>
        </w:rPr>
        <w:t xml:space="preserve">. </w:t>
      </w:r>
      <w:r w:rsidR="00767E94">
        <w:rPr>
          <w:rFonts w:ascii="Book Antiqua" w:hAnsi="Book Antiqua"/>
          <w:sz w:val="24"/>
          <w:szCs w:val="24"/>
          <w:lang w:val="en-GB"/>
        </w:rPr>
        <w:t xml:space="preserve">Thus, </w:t>
      </w:r>
      <w:r w:rsidR="00577E50">
        <w:rPr>
          <w:rFonts w:ascii="Book Antiqua" w:hAnsi="Book Antiqua"/>
          <w:sz w:val="24"/>
          <w:szCs w:val="24"/>
          <w:lang w:val="en-GB"/>
        </w:rPr>
        <w:t>to date this technique cannot be applied during the first postoperative week in the ICU to guide treatments and strategies.</w:t>
      </w:r>
    </w:p>
    <w:p w14:paraId="43B453E2" w14:textId="77777777" w:rsidR="00491865" w:rsidRPr="00491865" w:rsidRDefault="00491865" w:rsidP="00422EBA">
      <w:pPr>
        <w:adjustRightInd w:val="0"/>
        <w:snapToGrid w:val="0"/>
        <w:spacing w:after="0" w:line="360" w:lineRule="auto"/>
        <w:jc w:val="both"/>
        <w:rPr>
          <w:rFonts w:ascii="Book Antiqua" w:eastAsiaTheme="minorEastAsia" w:hAnsi="Book Antiqua"/>
          <w:b/>
          <w:caps/>
          <w:sz w:val="24"/>
          <w:szCs w:val="24"/>
          <w:lang w:val="en-GB" w:eastAsia="zh-CN"/>
        </w:rPr>
      </w:pPr>
    </w:p>
    <w:p w14:paraId="6F3A2568" w14:textId="2629B8A9" w:rsidR="00B122DF" w:rsidRPr="00491865" w:rsidRDefault="00B122DF" w:rsidP="00422EBA">
      <w:pPr>
        <w:adjustRightInd w:val="0"/>
        <w:snapToGrid w:val="0"/>
        <w:spacing w:after="0" w:line="360" w:lineRule="auto"/>
        <w:jc w:val="both"/>
        <w:rPr>
          <w:rFonts w:ascii="Book Antiqua" w:hAnsi="Book Antiqua"/>
          <w:b/>
          <w:caps/>
          <w:sz w:val="24"/>
          <w:szCs w:val="24"/>
          <w:lang w:val="en-GB"/>
        </w:rPr>
      </w:pPr>
      <w:r w:rsidRPr="00491865">
        <w:rPr>
          <w:rFonts w:ascii="Book Antiqua" w:hAnsi="Book Antiqua"/>
          <w:b/>
          <w:caps/>
          <w:sz w:val="24"/>
          <w:szCs w:val="24"/>
          <w:lang w:val="en-GB"/>
        </w:rPr>
        <w:t>Postoperative MELD score, MELD lactate</w:t>
      </w:r>
    </w:p>
    <w:p w14:paraId="0F6E717A" w14:textId="0EEFDE62" w:rsidR="00B122DF" w:rsidRDefault="00B122DF" w:rsidP="00422EBA">
      <w:pPr>
        <w:adjustRightInd w:val="0"/>
        <w:snapToGrid w:val="0"/>
        <w:spacing w:after="0" w:line="360" w:lineRule="auto"/>
        <w:jc w:val="both"/>
        <w:rPr>
          <w:lang w:val="en-GB"/>
        </w:rPr>
      </w:pPr>
      <w:r>
        <w:rPr>
          <w:rFonts w:ascii="Book Antiqua" w:hAnsi="Book Antiqua"/>
          <w:sz w:val="24"/>
          <w:szCs w:val="24"/>
          <w:lang w:val="en-GB"/>
        </w:rPr>
        <w:t xml:space="preserve">The poor performance of preoperative MELD in predicting post-LT graft and patient survival has already been </w:t>
      </w:r>
      <w:r w:rsidR="00C00A3E">
        <w:rPr>
          <w:rFonts w:ascii="Book Antiqua" w:hAnsi="Book Antiqua"/>
          <w:sz w:val="24"/>
          <w:szCs w:val="24"/>
          <w:lang w:val="en-GB"/>
        </w:rPr>
        <w:t>discussed. Despite</w:t>
      </w:r>
      <w:r>
        <w:rPr>
          <w:rFonts w:ascii="Book Antiqua" w:hAnsi="Book Antiqua"/>
          <w:sz w:val="24"/>
          <w:szCs w:val="24"/>
          <w:lang w:val="en-GB"/>
        </w:rPr>
        <w:t xml:space="preserve"> this consideration, postoperative MELD has been used repeatedly for </w:t>
      </w:r>
      <w:r w:rsidR="008919D1">
        <w:rPr>
          <w:rFonts w:ascii="Book Antiqua" w:hAnsi="Book Antiqua"/>
          <w:sz w:val="24"/>
          <w:szCs w:val="24"/>
          <w:lang w:val="en-GB"/>
        </w:rPr>
        <w:t>this</w:t>
      </w:r>
      <w:r w:rsidR="00C00A3E">
        <w:rPr>
          <w:rFonts w:ascii="Book Antiqua" w:hAnsi="Book Antiqua"/>
          <w:sz w:val="24"/>
          <w:szCs w:val="24"/>
          <w:lang w:val="en-GB"/>
        </w:rPr>
        <w:t xml:space="preserve"> </w:t>
      </w:r>
      <w:r>
        <w:rPr>
          <w:rFonts w:ascii="Book Antiqua" w:hAnsi="Book Antiqua"/>
          <w:sz w:val="24"/>
          <w:szCs w:val="24"/>
          <w:lang w:val="en-GB"/>
        </w:rPr>
        <w:t xml:space="preserve">purpose because of its simplicity and easily measurable </w:t>
      </w:r>
      <w:r w:rsidR="00265585">
        <w:rPr>
          <w:rFonts w:ascii="Book Antiqua" w:hAnsi="Book Antiqua"/>
          <w:sz w:val="24"/>
          <w:szCs w:val="24"/>
          <w:lang w:val="en-GB"/>
        </w:rPr>
        <w:t xml:space="preserve">variables. It </w:t>
      </w:r>
      <w:r>
        <w:rPr>
          <w:rFonts w:ascii="Book Antiqua" w:hAnsi="Book Antiqua"/>
          <w:sz w:val="24"/>
          <w:szCs w:val="24"/>
          <w:lang w:val="en-GB"/>
        </w:rPr>
        <w:t>performs well as a predictor of 90-day graft failure (defined as patient death or re-transplantation). MELD &gt; 18.9 on POD5 had the best performance</w:t>
      </w:r>
      <w:r w:rsidR="00265585">
        <w:rPr>
          <w:rFonts w:ascii="Book Antiqua" w:hAnsi="Book Antiqua"/>
          <w:sz w:val="24"/>
          <w:szCs w:val="24"/>
          <w:lang w:val="en-GB"/>
        </w:rPr>
        <w:t xml:space="preserve"> and better predictive power</w:t>
      </w:r>
      <w:r>
        <w:rPr>
          <w:rFonts w:ascii="Book Antiqua" w:hAnsi="Book Antiqua"/>
          <w:sz w:val="24"/>
          <w:szCs w:val="24"/>
          <w:lang w:val="en-GB"/>
        </w:rPr>
        <w:t xml:space="preserve"> of all commonly available data. No significant difference was found between MELD values recorded from POD0 to POD7, but the best AUROC (&gt; 0.8) was on POD5</w:t>
      </w:r>
      <w:r w:rsidR="00491865">
        <w:rPr>
          <w:rFonts w:ascii="Book Antiqua" w:hAnsi="Book Antiqua"/>
          <w:sz w:val="24"/>
          <w:szCs w:val="24"/>
          <w:lang w:val="en-GB"/>
        </w:rPr>
        <w:fldChar w:fldCharType="begin" w:fldLock="1"/>
      </w:r>
      <w:r w:rsidR="00491865">
        <w:rPr>
          <w:rFonts w:ascii="Book Antiqua" w:hAnsi="Book Antiqua"/>
          <w:sz w:val="24"/>
          <w:szCs w:val="24"/>
          <w:lang w:val="en-GB"/>
        </w:rPr>
        <w:instrText>ADDIN CSL_CITATION { "citationItems" : [ { "id" : "ITEM-1", "itemData" : { "DOI" : "10.1002/lt.23634", "ISSN" : "1527-6473", "PMID" : "23576469", "abstract" : "Early allograft dysfunction (EAD) is a serious complication after liver transplantation (LT). There is no uniform definition of EAD, and most definitions are based on arbitrary laboratory values. The aim of this study was to devise a definition of EAD that maximizes the predictive power for early death and graft failure. In this single-center, retrospective study, the ability of the international normalized ratio (INR), total bilirubin, aspartate aminotransferase (AST), physiological Model for End-Stage Liver Disease (MELD) score, and serum albumin levels within 7 days after LT to predict 90-day mortality or graft loss was compared with 2 previously used definitions of EAD: (1) peak total bilirubin level &gt;10 mg/dL on days 2 to 7 and (2) either a total bilirubin level &gt;10 mg/dL or an INR &gt;1.6 on day 7 or an AST or alanine aminotransferase level &gt;2000 IU/L within the first 7 days. Of 572 enrolled LT patients 38 died or required retransplantation within 90 days. Peak INR, total bilirubin level, AST levels, and MELD scores were predictors of 90-day graft failure. MELD score on postoperative day 5 was the best predictor with an area under the curve of the receiver operating characteristic curve of 0.812 (95% CI: 0.739-0.886, P &lt; 0.001). The best cutoff of MELD score on day 5 for predicting 90-day mortality or graft loss was 18.9. A MELD score &gt;18.9 on postoperative day 5 was a better predictor than any other laboratory value or definition of EAD. This study has demonstrated that the MELD score can be a useful tool not only for pretransplant graft allocation but also for postoperative risk stratification.", "author" : [ { "dropping-particle" : "", "family" : "Wagener", "given" : "Gebhard", "non-dropping-particle" : "", "parse-names" : false, "suffix" : "" }, { "dropping-particle" : "", "family" : "Raffel", "given" : "Brian", "non-dropping-particle" : "", "parse-names" : false, "suffix" : "" }, { "dropping-particle" : "", "family" : "Young", "given" : "Andrew T", "non-dropping-particle" : "", "parse-names" : false, "suffix" : "" }, { "dropping-particle" : "", "family" : "Minhaz", "given" : "Moury", "non-dropping-particle" : "", "parse-names" : false, "suffix" : "" }, { "dropping-particle" : "", "family" : "Emond", "given" : "Jean", "non-dropping-particle" : "", "parse-names" : false, "suffix" : "" } ], "container-title" : "Liver transplantation : official publication of the American Association for the Study of Liver Diseases and the International Liver Transplantation Society", "id" : "ITEM-1", "issue" : "5", "issued" : { "date-parts" : [ [ "2013", "5" ] ] }, "page" : "534-42", "title" : "Predicting early allograft failure and mortality after liver transplantation: the role of the postoperative model for end-stage liver disease score.", "type" : "article-journal", "volume" : "19" }, "uris" : [ "http://www.mendeley.com/documents/?uuid=c8445831-07ff-4862-986a-e45e29f1d7fd" ] } ], "mendeley" : { "formattedCitation" : "&lt;sup&gt;[80]&lt;/sup&gt;", "plainTextFormattedCitation" : "[80]", "previouslyFormattedCitation" : "&lt;sup&gt;[80]&lt;/sup&gt;" }, "properties" : { "noteIndex" : 0 }, "schema" : "https://github.com/citation-style-language/schema/raw/master/csl-citation.json" }</w:instrText>
      </w:r>
      <w:r w:rsidR="00491865">
        <w:rPr>
          <w:rFonts w:ascii="Book Antiqua" w:hAnsi="Book Antiqua"/>
          <w:sz w:val="24"/>
          <w:szCs w:val="24"/>
          <w:lang w:val="en-GB"/>
        </w:rPr>
        <w:fldChar w:fldCharType="separate"/>
      </w:r>
      <w:r w:rsidR="00491865" w:rsidRPr="00CD2CDC">
        <w:rPr>
          <w:rFonts w:ascii="Book Antiqua" w:hAnsi="Book Antiqua"/>
          <w:noProof/>
          <w:sz w:val="24"/>
          <w:szCs w:val="24"/>
          <w:vertAlign w:val="superscript"/>
          <w:lang w:val="en-GB"/>
        </w:rPr>
        <w:t>[80]</w:t>
      </w:r>
      <w:r w:rsidR="00491865">
        <w:rPr>
          <w:rFonts w:ascii="Book Antiqua" w:hAnsi="Book Antiqua"/>
          <w:sz w:val="24"/>
          <w:szCs w:val="24"/>
          <w:lang w:val="en-GB"/>
        </w:rPr>
        <w:fldChar w:fldCharType="end"/>
      </w:r>
      <w:r>
        <w:rPr>
          <w:rFonts w:ascii="Book Antiqua" w:hAnsi="Book Antiqua"/>
          <w:sz w:val="24"/>
          <w:szCs w:val="24"/>
          <w:lang w:val="en-GB"/>
        </w:rPr>
        <w:t>.</w:t>
      </w:r>
      <w:r w:rsidR="00491865">
        <w:rPr>
          <w:lang w:val="en-GB"/>
        </w:rPr>
        <w:t xml:space="preserve"> </w:t>
      </w:r>
    </w:p>
    <w:p w14:paraId="425B8E17" w14:textId="0F45A850" w:rsidR="00B122DF" w:rsidRDefault="00265585" w:rsidP="00422EBA">
      <w:pPr>
        <w:adjustRightInd w:val="0"/>
        <w:snapToGrid w:val="0"/>
        <w:spacing w:after="0" w:line="360" w:lineRule="auto"/>
        <w:ind w:firstLineChars="200" w:firstLine="480"/>
        <w:jc w:val="both"/>
        <w:rPr>
          <w:rFonts w:ascii="Book Antiqua" w:eastAsiaTheme="minorEastAsia" w:hAnsi="Book Antiqua"/>
          <w:sz w:val="24"/>
          <w:szCs w:val="24"/>
          <w:lang w:val="en-GB" w:eastAsia="zh-CN"/>
        </w:rPr>
      </w:pPr>
      <w:r>
        <w:rPr>
          <w:rFonts w:ascii="Book Antiqua" w:hAnsi="Book Antiqua"/>
          <w:sz w:val="24"/>
          <w:szCs w:val="24"/>
          <w:lang w:val="en-GB"/>
        </w:rPr>
        <w:t>After LDLT, p</w:t>
      </w:r>
      <w:r w:rsidR="00B122DF">
        <w:rPr>
          <w:rFonts w:ascii="Book Antiqua" w:hAnsi="Book Antiqua"/>
          <w:sz w:val="24"/>
          <w:szCs w:val="24"/>
          <w:lang w:val="en-GB"/>
        </w:rPr>
        <w:t>ostoperative MELD &lt; 19 on POD2 (up to POD14) performed better than preoperative MELD in predicting 6-month graft survival</w:t>
      </w:r>
      <w:r>
        <w:rPr>
          <w:rFonts w:ascii="Book Antiqua" w:hAnsi="Book Antiqua"/>
          <w:sz w:val="24"/>
          <w:szCs w:val="24"/>
          <w:lang w:val="en-GB"/>
        </w:rPr>
        <w:t xml:space="preserve">, with a peak of </w:t>
      </w:r>
      <w:r w:rsidR="002D4EF1">
        <w:rPr>
          <w:rFonts w:ascii="Book Antiqua" w:hAnsi="Book Antiqua"/>
          <w:sz w:val="24"/>
          <w:szCs w:val="24"/>
          <w:lang w:val="en-GB"/>
        </w:rPr>
        <w:t>AUROC (</w:t>
      </w:r>
      <w:r>
        <w:rPr>
          <w:rFonts w:ascii="Book Antiqua" w:hAnsi="Book Antiqua"/>
          <w:sz w:val="24"/>
          <w:szCs w:val="24"/>
          <w:lang w:val="en-GB"/>
        </w:rPr>
        <w:t>0.933</w:t>
      </w:r>
      <w:r w:rsidR="002D4EF1">
        <w:rPr>
          <w:rFonts w:ascii="Book Antiqua" w:hAnsi="Book Antiqua"/>
          <w:sz w:val="24"/>
          <w:szCs w:val="24"/>
          <w:lang w:val="en-GB"/>
        </w:rPr>
        <w:t>)</w:t>
      </w:r>
      <w:r>
        <w:rPr>
          <w:rFonts w:ascii="Book Antiqua" w:hAnsi="Book Antiqua"/>
          <w:sz w:val="24"/>
          <w:szCs w:val="24"/>
          <w:lang w:val="en-GB"/>
        </w:rPr>
        <w:t xml:space="preserve"> and specificity </w:t>
      </w:r>
      <w:r w:rsidR="002D4EF1">
        <w:rPr>
          <w:rFonts w:ascii="Book Antiqua" w:hAnsi="Book Antiqua"/>
          <w:sz w:val="24"/>
          <w:szCs w:val="24"/>
          <w:lang w:val="en-GB"/>
        </w:rPr>
        <w:t>(</w:t>
      </w:r>
      <w:r>
        <w:rPr>
          <w:rFonts w:ascii="Book Antiqua" w:hAnsi="Book Antiqua"/>
          <w:sz w:val="24"/>
          <w:szCs w:val="24"/>
          <w:lang w:val="en-GB"/>
        </w:rPr>
        <w:t>100%</w:t>
      </w:r>
      <w:r w:rsidR="002D4EF1">
        <w:rPr>
          <w:rFonts w:ascii="Book Antiqua" w:hAnsi="Book Antiqua"/>
          <w:sz w:val="24"/>
          <w:szCs w:val="24"/>
          <w:lang w:val="en-GB"/>
        </w:rPr>
        <w:t>)</w:t>
      </w:r>
      <w:r>
        <w:rPr>
          <w:rFonts w:ascii="Book Antiqua" w:hAnsi="Book Antiqua"/>
          <w:sz w:val="24"/>
          <w:szCs w:val="24"/>
          <w:lang w:val="en-GB"/>
        </w:rPr>
        <w:t xml:space="preserve"> on POD7</w:t>
      </w:r>
      <w:r w:rsidR="00491865">
        <w:rPr>
          <w:rFonts w:ascii="Book Antiqua" w:hAnsi="Book Antiqua"/>
          <w:sz w:val="24"/>
          <w:szCs w:val="24"/>
          <w:lang w:val="en-GB"/>
        </w:rPr>
        <w:fldChar w:fldCharType="begin" w:fldLock="1"/>
      </w:r>
      <w:r w:rsidR="00491865">
        <w:rPr>
          <w:rFonts w:ascii="Book Antiqua" w:hAnsi="Book Antiqua"/>
          <w:sz w:val="24"/>
          <w:szCs w:val="24"/>
          <w:lang w:val="en-GB"/>
        </w:rPr>
        <w:instrText>ADDIN CSL_CITATION { "citationItems" : [ { "id" : "ITEM-1", "itemData" : { "DOI" : "10.1016/j.transproceed.2013.09.034", "ISSN" : "00411345", "author" : [ { "dropping-particle" : "", "family" : "Toshima", "given" : "T.", "non-dropping-particle" : "", "parse-names" : false, "suffix" : "" }, { "dropping-particle" : "", "family" : "Ikegami", "given" : "T.", "non-dropping-particle" : "", "parse-names" : false, "suffix" : "" }, { "dropping-particle" : "", "family" : "Kimura", "given" : "K.", "non-dropping-particle" : "", "parse-names" : false, "suffix" : "" }, { "dropping-particle" : "", "family" : "Harimoto", "given" : "N.", "non-dropping-particle" : "", "parse-names" : false, "suffix" : "" }, { "dropping-particle" : "", "family" : "Yamashita", "given" : "Y.", "non-dropping-particle" : "", "parse-names" : false, "suffix" : "" }, { "dropping-particle" : "", "family" : "Yoshizumi", "given" : "T.", "non-dropping-particle" : "", "parse-names" : false, "suffix" : "" }, { "dropping-particle" : "", "family" : "Soejima", "given" : "Y.", "non-dropping-particle" : "", "parse-names" : false, "suffix" : "" }, { "dropping-particle" : "", "family" : "Ikeda", "given" : "T.", "non-dropping-particle" : "", "parse-names" : false, "suffix" : "" }, { "dropping-particle" : "", "family" : "Shirabe", "given" : "K.", "non-dropping-particle" : "", "parse-names" : false, "suffix" : "" }, { "dropping-particle" : "", "family" : "Maehara", "given" : "Y.", "non-dropping-particle" : "", "parse-names" : false, "suffix" : "" } ], "container-title" : "Transplantation Proceedings", "id" : "ITEM-1", "issue" : "1", "issued" : { "date-parts" : [ [ "2014" ] ] }, "page" : "81-86", "publisher" : "Elsevier Inc", "title" : "Application of Postoperative Model for End-Stage Liver Disease Scoring System for Evaluating Liver Graft Function After Living Donor Liver Transplantation", "type" : "article-journal", "volume" : "46" }, "uris" : [ "http://www.mendeley.com/documents/?uuid=0b8b0a43-45f8-46fe-9f3b-a525be12be4c" ] } ], "mendeley" : { "formattedCitation" : "&lt;sup&gt;[91]&lt;/sup&gt;", "plainTextFormattedCitation" : "[91]", "previouslyFormattedCitation" : "&lt;sup&gt;[91]&lt;/sup&gt;" }, "properties" : { "noteIndex" : 0 }, "schema" : "https://github.com/citation-style-language/schema/raw/master/csl-citation.json" }</w:instrText>
      </w:r>
      <w:r w:rsidR="00491865">
        <w:rPr>
          <w:rFonts w:ascii="Book Antiqua" w:hAnsi="Book Antiqua"/>
          <w:sz w:val="24"/>
          <w:szCs w:val="24"/>
          <w:lang w:val="en-GB"/>
        </w:rPr>
        <w:fldChar w:fldCharType="separate"/>
      </w:r>
      <w:r w:rsidR="00491865" w:rsidRPr="00CD2CDC">
        <w:rPr>
          <w:rFonts w:ascii="Book Antiqua" w:hAnsi="Book Antiqua"/>
          <w:noProof/>
          <w:sz w:val="24"/>
          <w:szCs w:val="24"/>
          <w:vertAlign w:val="superscript"/>
          <w:lang w:val="en-GB"/>
        </w:rPr>
        <w:t>[91]</w:t>
      </w:r>
      <w:r w:rsidR="00491865">
        <w:rPr>
          <w:rFonts w:ascii="Book Antiqua" w:hAnsi="Book Antiqua"/>
          <w:sz w:val="24"/>
          <w:szCs w:val="24"/>
          <w:lang w:val="en-GB"/>
        </w:rPr>
        <w:fldChar w:fldCharType="end"/>
      </w:r>
      <w:r w:rsidR="00B122DF">
        <w:rPr>
          <w:rFonts w:ascii="Book Antiqua" w:hAnsi="Book Antiqua"/>
          <w:sz w:val="24"/>
          <w:szCs w:val="24"/>
          <w:lang w:val="en-GB"/>
        </w:rPr>
        <w:t>.</w:t>
      </w:r>
      <w:r w:rsidR="00491865">
        <w:rPr>
          <w:rFonts w:ascii="Book Antiqua" w:hAnsi="Book Antiqua"/>
          <w:sz w:val="24"/>
          <w:szCs w:val="24"/>
          <w:lang w:val="en-GB"/>
        </w:rPr>
        <w:t xml:space="preserve"> </w:t>
      </w:r>
      <w:r w:rsidR="00B122DF">
        <w:rPr>
          <w:rFonts w:ascii="Book Antiqua" w:hAnsi="Book Antiqua"/>
          <w:sz w:val="24"/>
          <w:szCs w:val="24"/>
          <w:lang w:val="en-GB"/>
        </w:rPr>
        <w:t>The MELD lactate score 1 h after the end of the LT surgery was found to be a predictor of 30-day patient survival. At that time of early patient recovery, lactates are able to account for I/R liver damage, donor liver problems (not always predictable before LT), general recipient status, infections and surgical problems. Most non-survivors with high MELD-lactate scores died in ICU within a few days after LT</w:t>
      </w:r>
      <w:r w:rsidR="00491865">
        <w:rPr>
          <w:rFonts w:ascii="Book Antiqua" w:hAnsi="Book Antiqua"/>
          <w:sz w:val="24"/>
          <w:szCs w:val="24"/>
          <w:lang w:val="en-GB"/>
        </w:rPr>
        <w:fldChar w:fldCharType="begin" w:fldLock="1"/>
      </w:r>
      <w:r w:rsidR="00491865">
        <w:rPr>
          <w:rFonts w:ascii="Book Antiqua" w:hAnsi="Book Antiqua"/>
          <w:sz w:val="24"/>
          <w:szCs w:val="24"/>
          <w:lang w:val="en-GB"/>
        </w:rPr>
        <w:instrText>ADDIN CSL_CITATION { "citationItems" : [ { "id" : "ITEM-1", "itemData" : { "DOI" : "10.1016/j.transproceed.2013.12.067", "ISSN" : "1873-2623", "PMID" : "24935305", "abstract" : "INTRODUCTION: Liver transplantation (OLT) involves a 5% to 10% 30-day mortality rate. Multiple scores have been used as predictors of early postoperative mortality, such as the original Model for End-stage Liver Disease (MELD) and MELD sodium. Investigations have been conducted over the last 5 years to find new predictors of early post-OLT mortality.\\n\\nOBJECTIVE: The aim of this study was to develop a new mathematical model to predict the individual chance of 30-day mortality after OLT.\\n\\nMETHODS: The study was conducted on 58 patients submitted to OLT at the University Hospital, between October 2008 and March 2012. The 29 latest survivor and 29 latest nonsurvivor cases were selected. Arterial blood sodium, lactate, international normalized ratio, total bilirubin, and creatinine values were determined 1 hour after the end of surgery. The MELD original equation, MELD sodium, and new MELD lactate were also elaborated. The results were analyzed by the Mann-Whitney and Wilcoxon tests. The level of significance was set at .05.\\n\\nRESULTS: The new formula elaborated was as follows: MELD lactate = 5.68 \u00d7 loge (lactate) + 0.64 \u00d7 (Original MELD) + 2.68. The MELD lactate values were significantly higher than the MELD sodium and original MELD values (P &lt; .05). The area under the receiver operating characteristic curve of MELD lactate in predicting the outcome of patients submitted to OLT was 0.80, as opposed to 0.71 for the original MELD and 0.72 for MELD sodium (P &lt; .05).\\n\\nCONCLUSION: The postoperative MELD lactate score proved to be more specific and sensitive than the original MELD and MELD sodium as a predictive model of the outcome of patients submitted to OLT.", "author" : [ { "dropping-particle" : "", "family" : "Cardoso", "given" : "N M", "non-dropping-particle" : "", "parse-names" : false, "suffix" : "" }, { "dropping-particle" : "", "family" : "Silva", "given" : "T", "non-dropping-particle" : "", "parse-names" : false, "suffix" : "" }, { "dropping-particle" : "", "family" : "Basile-Filho", "given" : "a", "non-dropping-particle" : "", "parse-names" : false, "suffix" : "" }, { "dropping-particle" : "", "family" : "Mente", "given" : "E D", "non-dropping-particle" : "", "parse-names" : false, "suffix" : "" }, { "dropping-particle" : "", "family" : "Castro-e-Silva", "given" : "O", "non-dropping-particle" : "", "parse-names" : false, "suffix" : "" } ], "container-title" : "Transplantation proceedings", "id" : "ITEM-1", "issue" : "5", "issued" : { "date-parts" : [ [ "2014" ] ] }, "page" : "1407-12", "publisher" : "Elsevier Inc.", "title" : "A new formula as a predictive score of post-liver transplantation outcome: postoperative MELD-lactate.", "type" : "article-journal", "volume" : "46" }, "uris" : [ "http://www.mendeley.com/documents/?uuid=78e23453-51b7-4f4f-8c0d-ce966e5236ef" ] } ], "mendeley" : { "formattedCitation" : "&lt;sup&gt;[92]&lt;/sup&gt;", "plainTextFormattedCitation" : "[92]", "previouslyFormattedCitation" : "&lt;sup&gt;[92]&lt;/sup&gt;" }, "properties" : { "noteIndex" : 0 }, "schema" : "https://github.com/citation-style-language/schema/raw/master/csl-citation.json" }</w:instrText>
      </w:r>
      <w:r w:rsidR="00491865">
        <w:rPr>
          <w:rFonts w:ascii="Book Antiqua" w:hAnsi="Book Antiqua"/>
          <w:sz w:val="24"/>
          <w:szCs w:val="24"/>
          <w:lang w:val="en-GB"/>
        </w:rPr>
        <w:fldChar w:fldCharType="separate"/>
      </w:r>
      <w:r w:rsidR="00491865" w:rsidRPr="00CD2CDC">
        <w:rPr>
          <w:rFonts w:ascii="Book Antiqua" w:hAnsi="Book Antiqua"/>
          <w:noProof/>
          <w:sz w:val="24"/>
          <w:szCs w:val="24"/>
          <w:vertAlign w:val="superscript"/>
          <w:lang w:val="en-GB"/>
        </w:rPr>
        <w:t>[92]</w:t>
      </w:r>
      <w:r w:rsidR="00491865">
        <w:rPr>
          <w:rFonts w:ascii="Book Antiqua" w:hAnsi="Book Antiqua"/>
          <w:sz w:val="24"/>
          <w:szCs w:val="24"/>
          <w:lang w:val="en-GB"/>
        </w:rPr>
        <w:fldChar w:fldCharType="end"/>
      </w:r>
      <w:r w:rsidR="00B122DF">
        <w:rPr>
          <w:rFonts w:ascii="Book Antiqua" w:hAnsi="Book Antiqua"/>
          <w:sz w:val="24"/>
          <w:szCs w:val="24"/>
          <w:lang w:val="en-GB"/>
        </w:rPr>
        <w:t>.</w:t>
      </w:r>
      <w:r w:rsidR="00491865">
        <w:rPr>
          <w:rFonts w:ascii="Book Antiqua" w:hAnsi="Book Antiqua"/>
          <w:sz w:val="24"/>
          <w:szCs w:val="24"/>
          <w:lang w:val="en-GB"/>
        </w:rPr>
        <w:t xml:space="preserve"> </w:t>
      </w:r>
    </w:p>
    <w:p w14:paraId="7E56AD85" w14:textId="77777777" w:rsidR="00491865" w:rsidRPr="00491865" w:rsidRDefault="00491865" w:rsidP="00422EBA">
      <w:pPr>
        <w:adjustRightInd w:val="0"/>
        <w:snapToGrid w:val="0"/>
        <w:spacing w:after="0" w:line="360" w:lineRule="auto"/>
        <w:ind w:firstLineChars="200" w:firstLine="480"/>
        <w:jc w:val="both"/>
        <w:rPr>
          <w:rFonts w:ascii="Book Antiqua" w:eastAsiaTheme="minorEastAsia" w:hAnsi="Book Antiqua"/>
          <w:sz w:val="24"/>
          <w:szCs w:val="24"/>
          <w:lang w:val="en-GB" w:eastAsia="zh-CN"/>
        </w:rPr>
      </w:pPr>
    </w:p>
    <w:p w14:paraId="018CEC7C" w14:textId="548D33A9" w:rsidR="00B122DF" w:rsidRPr="00C032DE" w:rsidRDefault="00C032DE" w:rsidP="00422EBA">
      <w:pPr>
        <w:adjustRightInd w:val="0"/>
        <w:snapToGrid w:val="0"/>
        <w:spacing w:after="0" w:line="360" w:lineRule="auto"/>
        <w:jc w:val="both"/>
        <w:rPr>
          <w:rFonts w:ascii="Book Antiqua" w:eastAsiaTheme="minorEastAsia" w:hAnsi="Book Antiqua"/>
          <w:b/>
          <w:sz w:val="24"/>
          <w:szCs w:val="24"/>
          <w:lang w:val="en-GB" w:eastAsia="zh-CN"/>
        </w:rPr>
      </w:pPr>
      <w:r>
        <w:rPr>
          <w:rFonts w:ascii="Book Antiqua" w:hAnsi="Book Antiqua"/>
          <w:b/>
          <w:sz w:val="24"/>
          <w:szCs w:val="24"/>
          <w:lang w:val="en-GB"/>
        </w:rPr>
        <w:lastRenderedPageBreak/>
        <w:t>APACHE</w:t>
      </w:r>
    </w:p>
    <w:p w14:paraId="26341BC9" w14:textId="4F83598B" w:rsidR="00B122DF" w:rsidRDefault="00B122DF" w:rsidP="00422EBA">
      <w:pPr>
        <w:adjustRightInd w:val="0"/>
        <w:snapToGrid w:val="0"/>
        <w:spacing w:after="0" w:line="360" w:lineRule="auto"/>
        <w:jc w:val="both"/>
        <w:rPr>
          <w:rFonts w:ascii="Book Antiqua" w:hAnsi="Book Antiqua"/>
          <w:sz w:val="24"/>
          <w:szCs w:val="24"/>
          <w:lang w:val="en-GB"/>
        </w:rPr>
      </w:pPr>
      <w:r>
        <w:rPr>
          <w:rFonts w:ascii="Book Antiqua" w:hAnsi="Book Antiqua"/>
          <w:sz w:val="24"/>
          <w:szCs w:val="24"/>
          <w:lang w:val="en-GB"/>
        </w:rPr>
        <w:t>This score, created in the 1980s</w:t>
      </w:r>
      <w:r w:rsidR="007D7ACC" w:rsidRPr="00F26BF6">
        <w:rPr>
          <w:rFonts w:ascii="Book Antiqua" w:hAnsi="Book Antiqua"/>
          <w:sz w:val="24"/>
          <w:szCs w:val="24"/>
          <w:lang w:val="en-GB"/>
        </w:rPr>
        <w:fldChar w:fldCharType="begin" w:fldLock="1"/>
      </w:r>
      <w:r w:rsidR="00362C55" w:rsidRPr="00F26BF6">
        <w:rPr>
          <w:rFonts w:ascii="Book Antiqua" w:hAnsi="Book Antiqua"/>
          <w:sz w:val="24"/>
          <w:szCs w:val="24"/>
          <w:lang w:val="en-GB"/>
        </w:rPr>
        <w:instrText>ADDIN CSL_CITATION { "citationItems" : [ { "id" : "ITEM-1", "itemData" : { "ISSN" : "0090-3493", "PMID" : "7261642", "abstract" : "Investigations describing the utilization pattern and documenting the value of intensive care are limited by the lack of a reliable and valid classification system. In this paper, the authors describe the development and initial validation of acute physiology and chronic health evaluation (APACHE), a physiologically based classification system for measuring severity of illness in groups of critically ill patients. APACHE uses information available in the medical record. In studies on 582 admissions to a university hospital ICU and 223 admissions to a community hospital ICU, APACHE was reliable in classifying ICU admissions. In validation studies involving these 805 admissions, the acute physiology score of APACHE demonstrated consistent agreement with subsequent therapeutic effort and mortality. This was true for a broad range of patient groups using a variety of sensitivity analyses. After successful completion of multi-institutional validation studies, the APACHE classification system could be used to control for case mix, compare outcomes, evaluate new therapies, and study the utilization of ICUs.", "author" : [ { "dropping-particle" : "", "family" : "Knaus", "given" : "W A", "non-dropping-particle" : "", "parse-names" : false, "suffix" : "" }, { "dropping-particle" : "", "family" : "Zimmerman", "given" : "J E", "non-dropping-particle" : "", "parse-names" : false, "suffix" : "" }, { "dropping-particle" : "", "family" : "Wagner", "given" : "D P", "non-dropping-particle" : "", "parse-names" : false, "suffix" : "" }, { "dropping-particle" : "", "family" : "Draper", "given" : "E A", "non-dropping-particle" : "", "parse-names" : false, "suffix" : "" }, { "dropping-particle" : "", "family" : "Lawrence", "given" : "D E", "non-dropping-particle" : "", "parse-names" : false, "suffix" : "" } ], "container-title" : "Critical care medicine", "id" : "ITEM-1", "issue" : "8", "issued" : { "date-parts" : [ [ "1981", "8" ] ] }, "page" : "591-7", "title" : "APACHE-acute physiology and chronic health evaluation: a physiologically based classification system.", "type" : "article-journal", "volume" : "9" }, "uris" : [ "http://www.mendeley.com/documents/?uuid=15aa2a1d-46fe-4793-a801-d8d3f974a00b" ] } ], "mendeley" : { "formattedCitation" : "&lt;sup&gt;[93]&lt;/sup&gt;", "plainTextFormattedCitation" : "[93]", "previouslyFormattedCitation" : "&lt;sup&gt;[93]&lt;/sup&gt;" }, "properties" : { "noteIndex" : 0 }, "schema" : "https://github.com/citation-style-language/schema/raw/master/csl-citation.json" }</w:instrText>
      </w:r>
      <w:r w:rsidR="007D7ACC" w:rsidRPr="00F26BF6">
        <w:rPr>
          <w:rFonts w:ascii="Book Antiqua" w:hAnsi="Book Antiqua"/>
          <w:sz w:val="24"/>
          <w:szCs w:val="24"/>
          <w:lang w:val="en-GB"/>
        </w:rPr>
        <w:fldChar w:fldCharType="separate"/>
      </w:r>
      <w:r w:rsidR="00CD2CDC" w:rsidRPr="00F26BF6">
        <w:rPr>
          <w:rFonts w:ascii="Book Antiqua" w:hAnsi="Book Antiqua"/>
          <w:noProof/>
          <w:sz w:val="24"/>
          <w:szCs w:val="24"/>
          <w:vertAlign w:val="superscript"/>
          <w:lang w:val="en-GB"/>
        </w:rPr>
        <w:t>[93]</w:t>
      </w:r>
      <w:r w:rsidR="007D7ACC" w:rsidRPr="00F26BF6">
        <w:rPr>
          <w:rFonts w:ascii="Book Antiqua" w:hAnsi="Book Antiqua"/>
          <w:sz w:val="24"/>
          <w:szCs w:val="24"/>
          <w:lang w:val="en-GB"/>
        </w:rPr>
        <w:fldChar w:fldCharType="end"/>
      </w:r>
      <w:r>
        <w:rPr>
          <w:rFonts w:ascii="Book Antiqua" w:hAnsi="Book Antiqua"/>
          <w:sz w:val="24"/>
          <w:szCs w:val="24"/>
          <w:lang w:val="en-GB"/>
        </w:rPr>
        <w:t xml:space="preserve"> and successively modified until APACHE IV</w:t>
      </w:r>
      <w:r w:rsidR="00491865">
        <w:rPr>
          <w:rFonts w:ascii="Book Antiqua" w:hAnsi="Book Antiqua"/>
          <w:sz w:val="24"/>
          <w:szCs w:val="24"/>
          <w:lang w:val="en-GB"/>
        </w:rPr>
        <w:fldChar w:fldCharType="begin" w:fldLock="1"/>
      </w:r>
      <w:r w:rsidR="00491865">
        <w:rPr>
          <w:rFonts w:ascii="Book Antiqua" w:hAnsi="Book Antiqua"/>
          <w:sz w:val="24"/>
          <w:szCs w:val="24"/>
          <w:lang w:val="en-GB"/>
        </w:rPr>
        <w:instrText>ADDIN CSL_CITATION { "citationItems" : [ { "id" : "ITEM-1", "itemData" : { "ISSN" : "0090-3493", "PMID" : "3928249", "abstract" : "This paper presents the form and validation results of APACHE II, a severity of disease classification system. APACHE II uses a point score based upon initial values of 12 routine physiologic measurements, age, and previous health status to provide a general measure of severity of disease. An increasing score (range 0 to 71) was closely correlated with the subsequent risk of hospital death for 5815 intensive care admissions from 13 hospitals. This relationship was also found for many common diseases. When APACHE II scores are combined with an accurate description of disease, they can prognostically stratify acutely ill patients and assist investigators comparing the success of new or differing forms of therapy. This scoring index can be used to evaluate the use of hospital resources and compare the efficacy of intensive care in different hospitals or over time.", "author" : [ { "dropping-particle" : "", "family" : "Knaus", "given" : "W A", "non-dropping-particle" : "", "parse-names" : false, "suffix" : "" }, { "dropping-particle" : "", "family" : "Draper", "given" : "E A", "non-dropping-particle" : "", "parse-names" : false, "suffix" : "" }, { "dropping-particle" : "", "family" : "Wagner", "given" : "D P", "non-dropping-particle" : "", "parse-names" : false, "suffix" : "" }, { "dropping-particle" : "", "family" : "Zimmerman", "given" : "J E", "non-dropping-particle" : "", "parse-names" : false, "suffix" : "" } ], "container-title" : "Critical care medicine", "id" : "ITEM-1", "issue" : "10", "issued" : { "date-parts" : [ [ "1985", "10" ] ] }, "page" : "818-29", "title" : "APACHE II: a severity of disease classification system.", "type" : "article-journal", "volume" : "13" }, "uris" : [ "http://www.mendeley.com/documents/?uuid=105235b7-1219-4aa5-b3f5-274b2f2c7205" ] }, { "id" : "ITEM-2", "itemData" : { "ISSN" : "0012-3692", "PMID" : "1959406", "abstract" : "The objective of this study was to refine the APACHE (Acute Physiology, Age, Chronic Health Evaluation) methodology in order to more accurately predict hospital mortality risk for critically ill hospitalized adults. We prospectively collected data on 17,440 unselected adult medical/surgical intensive care unit (ICU) admissions at 40 US hospitals (14 volunteer tertiary-care institutions and 26 hospitals randomly chosen to represent intensive care services nationwide). We analyzed the relationship between the patient's likelihood of surviving to hospital discharge and the following predictive variables: major medical and surgical disease categories, acute physiologic abnormalities, age, preexisting functional limitations, major comorbidities, and treatment location immediately prior to ICU admission. The APACHE III prognostic system consists of two options: (1) an APACHE III score, which can provide initial risk stratification for severely ill hospitalized patients within independently defined patient groups; and (2) an APACHE III predictive equation, which uses APACHE III score and reference data on major disease categories and treatment location immediately prior to ICU admission to provide risk estimates for hospital mortality for individual ICU patients. A five-point increase in APACHE III score (range, 0 to 299) is independently associated with a statistically significant increase in the relative risk of hospital death (odds ratio, 1.10 to 1.78) within each of 78 major medical and surgical disease categories. The overall predictive accuracy of the first-day APACHE III equation was such that, within 24 h of ICU admission, 95 percent of ICU admissions could be given a risk estimate for hospital death that was within 3 percent of that actually observed (r2 = 0.41; receiver operating characteristic = 0.90). Recording changes in the APACHE III score on each subsequent day of ICU therapy provided daily updates in these risk estimates. When applied across the individual ICUs, the first-day APACHE III equation accounted for the majority of variation in observed death rates (r2 = 0.90, p less than 0.0001).", "author" : [ { "dropping-particle" : "", "family" : "Knaus", "given" : "W A", "non-dropping-particle" : "", "parse-names" : false, "suffix" : "" }, { "dropping-particle" : "", "family" : "Wagner", "given" : "D P", "non-dropping-particle" : "", "parse-names" : false, "suffix" : "" }, { "dropping-particle" : "", "family" : "Draper", "given" : "E A", "non-dropping-particle" : "", "parse-names" : false, "suffix" : "" }, { "dropping-particle" : "", "family" : "Zimmerman", "given" : "J E", "non-dropping-particle" : "", "parse-names" : false, "suffix" : "" }, { "dropping-particle" : "", "family" : "Bergner", "given" : "M", "non-dropping-particle" : "", "parse-names" : false, "suffix" : "" }, { "dropping-particle" : "", "family" : "Bastos", "given" : "P G", "non-dropping-particle" : "", "parse-names" : false, "suffix" : "" }, { "dropping-particle" : "", "family" : "Sirio", "given" : "C A", "non-dropping-particle" : "", "parse-names" : false, "suffix" : "" }, { "dropping-particle" : "", "family" : "Murphy", "given" : "D J", "non-dropping-particle" : "", "parse-names" : false, "suffix" : "" }, { "dropping-particle" : "", "family" : "Lotring", "given" : "T", "non-dropping-particle" : "", "parse-names" : false, "suffix" : "" }, { "dropping-particle" : "", "family" : "Damiano", "given" : "A", "non-dropping-particle" : "", "parse-names" : false, "suffix" : "" } ], "container-title" : "Chest", "id" : "ITEM-2", "issue" : "6", "issued" : { "date-parts" : [ [ "1991", "12" ] ] }, "page" : "1619-36", "title" : "The APACHE III prognostic system. Risk prediction of hospital mortality for critically ill hospitalized adults.", "type" : "article-journal", "volume" : "100" }, "uris" : [ "http://www.mendeley.com/documents/?uuid=4559a633-e77c-45d1-8c01-37d3d76b1bdc" ] }, { "id" : "ITEM-3", "itemData" : { "DOI" : "10.1097/01.CCM.0000215112.84523.F0", "ISSN" : "0090-3493", "PMID" : "16540951", "abstract" : "OBJECTIVE: To improve the accuracy of the Acute Physiology and Chronic Health Evaluation (APACHE) method for predicting hospital mortality among critically ill adults and to evaluate changes in the accuracy of earlier APACHE models. DESIGN: : Observational cohort study. SETTING: A total of 104 intensive care units (ICUs) in 45 U.S. hospitals. PATIENTS: A total of 131,618 consecutive ICU admissions during 2002 and 2003, of which 110,558 met inclusion criteria and had complete data. INTERVENTIONS: None. MEASUREMENTS AND MAIN RESULTS: We developed APACHE IV using ICU day 1 information and a multivariate logistic regression procedure to estimate the probability of hospital death for randomly selected patients who comprised 60% of the database. Predictor variables were similar to those in APACHE III, but new variables were added and different statistical modeling used. We assessed the accuracy of APACHE IV predictions by comparing observed and predicted hospital mortality for the excluded patients (validation set). We tested discrimination and used multiple tests of calibration in aggregate and for patient subgroups. APACHE IV had good discrimination (area under the receiver operating characteristic curve = 0.88) and calibration (Hosmer-Lemeshow C statistic = 16.9, p = .08). For 90% of 116 ICU admission diagnoses, the ratio of observed to predicted mortality was not significantly different from 1.0. We also used the validation data set to compare the accuracy of APACHE IV predictions to those using APACHE III versions developed 7 and 14 yrs previously. There was little change in discrimination, but aggregate mortality was systematically overestimated as model age increased. When examined across disease, predictive accuracy was maintained for some diagnoses but for others seemed to reflect changes in practice or therapy. CONCLUSIONS: APACHE IV predictions of hospital mortality have good discrimination and calibration and should be useful for benchmarking performance in U.S. ICUs. The accuracy of predictive models is dynamic and should be periodically retested. When accuracy deteriorates they should be revised and updated.", "author" : [ { "dropping-particle" : "", "family" : "Zimmerman", "given" : "Jack E", "non-dropping-particle" : "", "parse-names" : false, "suffix" : "" }, { "dropping-particle" : "", "family" : "Kramer", "given" : "Andrew A", "non-dropping-particle" : "", "parse-names" : false, "suffix" : "" }, { "dropping-particle" : "", "family" : "McNair", "given" : "Douglas S", "non-dropping-particle" : "", "parse-names" : false, "suffix" : "" }, { "dropping-particle" : "", "family" : "Malila", "given" : "Fern M", "non-dropping-particle" : "", "parse-names" : false, "suffix" : "" } ], "container-title" : "Critical care medicine", "id" : "ITEM-3", "issue" : "5", "issued" : { "date-parts" : [ [ "2006", "5" ] ] }, "page" : "1297-310", "title" : "Acute Physiology and Chronic Health Evaluation (APACHE) IV: hospital mortality assessment for today's critically ill patients.", "type" : "article-journal", "volume" : "34" }, "uris" : [ "http://www.mendeley.com/documents/?uuid=a886d96e-c084-4a59-88e3-5f4a3e667e95" ] } ], "mendeley" : { "formattedCitation" : "&lt;sup&gt;[94\u201396]&lt;/sup&gt;", "plainTextFormattedCitation" : "[94\u201396]", "previouslyFormattedCitation" : "&lt;sup&gt;[94\u201396]&lt;/sup&gt;" }, "properties" : { "noteIndex" : 0 }, "schema" : "https://github.com/citation-style-language/schema/raw/master/csl-citation.json" }</w:instrText>
      </w:r>
      <w:r w:rsidR="00491865">
        <w:rPr>
          <w:rFonts w:ascii="Book Antiqua" w:hAnsi="Book Antiqua"/>
          <w:sz w:val="24"/>
          <w:szCs w:val="24"/>
          <w:lang w:val="en-GB"/>
        </w:rPr>
        <w:fldChar w:fldCharType="separate"/>
      </w:r>
      <w:r w:rsidR="00491865" w:rsidRPr="00CD2CDC">
        <w:rPr>
          <w:rFonts w:ascii="Book Antiqua" w:hAnsi="Book Antiqua"/>
          <w:noProof/>
          <w:sz w:val="24"/>
          <w:szCs w:val="24"/>
          <w:vertAlign w:val="superscript"/>
          <w:lang w:val="en-GB"/>
        </w:rPr>
        <w:t>[94–96]</w:t>
      </w:r>
      <w:r w:rsidR="00491865">
        <w:rPr>
          <w:rFonts w:ascii="Book Antiqua" w:hAnsi="Book Antiqua"/>
          <w:sz w:val="24"/>
          <w:szCs w:val="24"/>
          <w:lang w:val="en-GB"/>
        </w:rPr>
        <w:fldChar w:fldCharType="end"/>
      </w:r>
      <w:r>
        <w:rPr>
          <w:rFonts w:ascii="Book Antiqua" w:hAnsi="Book Antiqua"/>
          <w:sz w:val="24"/>
          <w:szCs w:val="24"/>
          <w:lang w:val="en-GB"/>
        </w:rPr>
        <w:t xml:space="preserve">, aimed to predict mortality in critically ill patients. </w:t>
      </w:r>
      <w:r w:rsidR="002F1D60">
        <w:rPr>
          <w:rFonts w:ascii="Book Antiqua" w:hAnsi="Book Antiqua"/>
          <w:sz w:val="24"/>
          <w:szCs w:val="24"/>
          <w:lang w:val="en-GB"/>
        </w:rPr>
        <w:t>Not being</w:t>
      </w:r>
      <w:r>
        <w:rPr>
          <w:rFonts w:ascii="Book Antiqua" w:hAnsi="Book Antiqua"/>
          <w:sz w:val="24"/>
          <w:szCs w:val="24"/>
          <w:lang w:val="en-GB"/>
        </w:rPr>
        <w:t xml:space="preserve"> specifically designed for transplanted patients, when used alone APACHE II displays overestimation problems regarding patient mortality and low AUROC values</w:t>
      </w:r>
      <w:r w:rsidR="00491865">
        <w:rPr>
          <w:rFonts w:ascii="Book Antiqua" w:hAnsi="Book Antiqua"/>
          <w:sz w:val="24"/>
          <w:szCs w:val="24"/>
          <w:lang w:val="en-GB"/>
        </w:rPr>
        <w:fldChar w:fldCharType="begin" w:fldLock="1"/>
      </w:r>
      <w:r w:rsidR="00491865">
        <w:rPr>
          <w:rFonts w:ascii="Book Antiqua" w:hAnsi="Book Antiqua"/>
          <w:sz w:val="24"/>
          <w:szCs w:val="24"/>
          <w:lang w:val="en-GB"/>
        </w:rPr>
        <w:instrText>ADDIN CSL_CITATION { "citationItems" : [ { "id" : "ITEM-1", "itemData" : { "ISSN" : "0090-3493", "PMID" : "10667515", "abstract" : "OBJECTIVE: To evaluate the relationship between the postoperative Acute Physiology and Chronic Health Evaluation (APACHE) II score and mortality at hospital discharge and at 1 yr in liver transplant recipients.\n\nPOPULATION: Adult orthotopic liver transplant (OLTX) recipients (n = 599) admitted to the intensive care unit postoperatively at a university hospital.\n\nMETHODS: The cohort was split randomly into development and validation sets. Three models were compared for each end point: a) the original APACHE II slope with the original APACHE II postgastrointestinal surgery intercept; b) the original APACHE II slope with an OLTX-specific intercept generated from the development set; and c) an OLTX-specific slope and intercept generated from the development set. Goodness-of-fit and calibration were assessed by the Hosmer-Lemeshow C statistic (where p&gt;.05 suggests good fit) and standardized mortality ratios. Discrimination was assessed by receiver operator characteristic area under the curve analysis.\n\nMEASUREMENTS AND MAIN RESULTS: Hospital and 1-yr mortality rates were 9.9% and 15.9%, respectively. The APACHE II score was strongly associated with mortality (chi-square, p&lt;.0001), but when used with the original equation, it significantly overestimated hospital mortality (standardized mortality ratio, 0.73 [confidence interval, 0.58-0.99]). Using the OLTX-specific approaches, goodness-of-fit for both hospital and 1-yr mortality was good (p = .2-.57) but discrimination was only moderate (receiver operator characteristic area under the curve, 0.675-0.723).\n\nCONCLUSIONS: APACHE II is a good predictor of short- and long-term mortality after liver transplantation, especially when using OLTX-specific coefficients. Because fit and calibration were better than discrimination, APACHE II will be most useful in the prediction of risk for groups of patients (e.g., in clinical trials or institutional comparisons) rather than for individuals. This study raises the possibility that APACHE II may be useful for long-term mortality prediction in other critically ill populations. The overestimation of mortality using the original equation suggests that orthotopic liver transplantation, by reversing the underlying pathophysiology, may modify risk.", "author" : [ { "dropping-particle" : "", "family" : "Angus", "given" : "D C", "non-dropping-particle" : "", "parse-names" : false, "suffix" : "" }, { "dropping-particle" : "", "family" : "Clermont", "given" : "G", "non-dropping-particle" : "", "parse-names" : false, "suffix" : "" }, { "dropping-particle" : "", "family" : "Kramer", "given" : "D J", "non-dropping-particle" : "", "parse-names" : false, "suffix" : "" }, { "dropping-particle" : "", "family" : "Linde-Zwirble", "given" : "W T", "non-dropping-particle" : "", "parse-names" : false, "suffix" : "" }, { "dropping-particle" : "", "family" : "Pinsky", "given" : "M R", "non-dropping-particle" : "", "parse-names" : false, "suffix" : "" } ], "container-title" : "Critical care medicine", "id" : "ITEM-1", "issue" : "1", "issued" : { "date-parts" : [ [ "2000", "1" ] ] }, "page" : "150-6", "title" : "Short-term and long-term outcome prediction with the Acute Physiology and Chronic Health Evaluation II system after orthotopic liver transplantation.", "type" : "article-journal", "volume" : "28" }, "uris" : [ "http://www.mendeley.com/documents/?uuid=e047ca94-1a2d-4e86-9bd1-031b3e38fdbd" ] }, { "id" : "ITEM-2", "itemData" : { "ISSN" : "1980-5322", "PMID" : "23525309", "abstract" : "OBJECTIVES: This study compared the accuracy of the Simplified Acute Physiology Score 3 with that of Acute Physiology and Chronic Health Evaluation II at predicting hospital mortality in patients from a transplant intensive care unit.\n\nMETHOD: A total of 501 patients were enrolled in the study (152 liver transplants, 271 kidney transplants, 54 lung transplants, 24 kidney-pancreas transplants) between May 2006 and January 2007. The Simplified Acute Physiology Score 3 was calculated using the global equation (customized for South America) and the Acute Physiology and Chronic Health Evaluation II score; the scores were calculated within 24 hours of admission. A receiver-operating characteristic curve was generated, and the area under the receiver-operating characteristic curve was calculated to identify the patients at the greatest risk of death according to Simplified Acute Physiology Score 3 and Acute Physiology and Chronic Health Evaluation II scores. The Hosmer-Lemeshow goodness-of-fit test was used for statistically significant results and indicated a difference in performance over deciles. The standardized mortality ratio was used to estimate the overall model performance.\n\nRESULTS: The ability of both scores to predict hospital mortality was poor in the liver and renal transplant groups and average in the lung transplant group (area under the receiver-operating characteristic curve = 0.696 for Simplified Acute Physiology Score 3 and 0.670 for Acute Physiology and Chronic Health Evaluation II). The calibration of both scores was poor, even after customizing the Simplified Acute Physiology Score 3 score for South America.\n\nCONCLUSIONS: The low predictive accuracy of the Simplified Acute Physiology Score 3 and Acute Physiology and Chronic Health Evaluation II scores does not warrant the use of these scores in critically ill transplant patients.", "author" : [ { "dropping-particle" : "de", "family" : "Oliveira", "given" : "Vanessa M", "non-dropping-particle" : "", "parse-names" : false, "suffix" : "" }, { "dropping-particle" : "", "family" : "Brauner", "given" : "Janete S", "non-dropping-particle" : "", "parse-names" : false, "suffix" : "" }, { "dropping-particle" : "", "family" : "Rodrigues Filho", "given" : "Edison", "non-dropping-particle" : "", "parse-names" : false, "suffix" : "" }, { "dropping-particle" : "", "family" : "Susin", "given" : "Ruth G A", "non-dropping-particle" : "", "parse-names" : false, "suffix" : "" }, { "dropping-particle" : "", "family" : "Draghetti", "given" : "Viviane", "non-dropping-particle" : "", "parse-names" : false, "suffix" : "" }, { "dropping-particle" : "", "family" : "Bolzan", "given" : "Simone T", "non-dropping-particle" : "", "parse-names" : false, "suffix" : "" }, { "dropping-particle" : "", "family" : "Vieira", "given" : "Silvia R R", "non-dropping-particle" : "", "parse-names" : false, "suffix" : "" } ], "container-title" : "Clinics (Sa\u0303o Paulo, Brazil)", "id" : "ITEM-2", "issue" : "2", "issued" : { "date-parts" : [ [ "2013", "1" ] ] }, "page" : "153-8", "title" : "Is SAPS 3 better than APACHE II at predicting mortality in critically ill transplant patients?", "type" : "article-journal", "volume" : "68" }, "uris" : [ "http://www.mendeley.com/documents/?uuid=939dbcdf-3f7d-47ea-acfc-3acdc00584c2" ] } ], "mendeley" : { "formattedCitation" : "&lt;sup&gt;[97,98]&lt;/sup&gt;", "plainTextFormattedCitation" : "[97,98]", "previouslyFormattedCitation" : "&lt;sup&gt;[97,98]&lt;/sup&gt;" }, "properties" : { "noteIndex" : 0 }, "schema" : "https://github.com/citation-style-language/schema/raw/master/csl-citation.json" }</w:instrText>
      </w:r>
      <w:r w:rsidR="00491865">
        <w:rPr>
          <w:rFonts w:ascii="Book Antiqua" w:hAnsi="Book Antiqua"/>
          <w:sz w:val="24"/>
          <w:szCs w:val="24"/>
          <w:lang w:val="en-GB"/>
        </w:rPr>
        <w:fldChar w:fldCharType="separate"/>
      </w:r>
      <w:r w:rsidR="00491865" w:rsidRPr="00CD2CDC">
        <w:rPr>
          <w:rFonts w:ascii="Book Antiqua" w:hAnsi="Book Antiqua"/>
          <w:noProof/>
          <w:sz w:val="24"/>
          <w:szCs w:val="24"/>
          <w:vertAlign w:val="superscript"/>
          <w:lang w:val="en-GB"/>
        </w:rPr>
        <w:t>[97,98]</w:t>
      </w:r>
      <w:r w:rsidR="00491865">
        <w:rPr>
          <w:rFonts w:ascii="Book Antiqua" w:hAnsi="Book Antiqua"/>
          <w:sz w:val="24"/>
          <w:szCs w:val="24"/>
          <w:lang w:val="en-GB"/>
        </w:rPr>
        <w:fldChar w:fldCharType="end"/>
      </w:r>
      <w:r w:rsidR="00BF578B">
        <w:rPr>
          <w:rFonts w:ascii="Book Antiqua" w:hAnsi="Book Antiqua"/>
          <w:sz w:val="24"/>
          <w:szCs w:val="24"/>
          <w:lang w:val="en-GB"/>
        </w:rPr>
        <w:t>.</w:t>
      </w:r>
      <w:r w:rsidR="005F5C48">
        <w:rPr>
          <w:rFonts w:ascii="Book Antiqua" w:hAnsi="Book Antiqua"/>
          <w:sz w:val="24"/>
          <w:szCs w:val="24"/>
          <w:lang w:val="en-GB"/>
        </w:rPr>
        <w:t xml:space="preserve"> </w:t>
      </w:r>
      <w:r>
        <w:rPr>
          <w:rFonts w:ascii="Book Antiqua" w:hAnsi="Book Antiqua"/>
          <w:sz w:val="24"/>
          <w:szCs w:val="24"/>
          <w:lang w:val="en-GB"/>
        </w:rPr>
        <w:t>Then, a specific correction factor for LT was created to correct APACHE (APACHE-LT). When APACHE II-LT was calculated on POD1, it performed better than any other scoring system, with statistically non-significant differences between predicted and observed mortality</w:t>
      </w:r>
      <w:r w:rsidR="00491865">
        <w:rPr>
          <w:rFonts w:ascii="Book Antiqua" w:hAnsi="Book Antiqua"/>
          <w:sz w:val="24"/>
          <w:szCs w:val="24"/>
          <w:lang w:val="en-GB"/>
        </w:rPr>
        <w:fldChar w:fldCharType="begin" w:fldLock="1"/>
      </w:r>
      <w:r w:rsidR="00491865">
        <w:rPr>
          <w:rFonts w:ascii="Book Antiqua" w:hAnsi="Book Antiqua"/>
          <w:sz w:val="24"/>
          <w:szCs w:val="24"/>
          <w:lang w:val="en-GB"/>
        </w:rPr>
        <w:instrText>ADDIN CSL_CITATION { "citationItems" : [ { "id" : "ITEM-1", "itemData" : { "ISSN" : "0902-0063", "PMID" : "8541634", "abstract" : "Over a 26-month period we assessed the ability of APACHE II, scored on admission to the surgical intensive care unit (SICU), to predict the in-hospital mortality of liver and kidney transplant recipients either post-operatively or after subsequent complications, and compared these results to non-transplant SICU admissions. There were 866 SICU admissions, of which 128 were liver transplant recipients, 112 were renal transplant recipients, 211 were trauma admissions and 415 were non-transplant/non-trauma admissions. In hospital mortalities among all liver transplant admissions were 0%, 10%, 38%, and 82% for APACHE II ranges of 0-10, 11-20, 21-30 and &gt; 30, respectively, with differences between the second and third, and third and fourth ranges significant (p &lt; or = 0.05 by chi-square analysis). These differences were also seen when examining scores following the primary transplantation alone. Mortalities in corresponding APACHE II ranges for trauma and nontransplant/nontrauma admissions were similar. APACHE II scoring was not useful for renal transplant recipient, as it consistently overpredicted mortality. We conclude that APACHE II scoring may be useful in predicting outcome in post-operative liver transplant recipients, but is not useful in stratifying risk in renal transplant recipients due to the inherently low mortality involved.", "author" : [ { "dropping-particle" : "", "family" : "Sawyer", "given" : "R G", "non-dropping-particle" : "", "parse-names" : false, "suffix" : "" }, { "dropping-particle" : "", "family" : "Durbin", "given" : "C G", "non-dropping-particle" : "", "parse-names" : false, "suffix" : "" }, { "dropping-particle" : "", "family" : "Rosenlof", "given" : "L K", "non-dropping-particle" : "", "parse-names" : false, "suffix" : "" }, { "dropping-particle" : "", "family" : "Pruett", "given" : "T L", "non-dropping-particle" : "", "parse-names" : false, "suffix" : "" } ], "container-title" : "Clinical transplantation", "id" : "ITEM-1", "issue" : "5", "issued" : { "date-parts" : [ [ "1995", "10" ] ] }, "page" : "401-5", "title" : "Comparison of APACHE II scoring in liver and kidney transplant recipients versus trauma and general surgical patients in a single intensive-care unit.", "type" : "article-journal", "volume" : "9" }, "uris" : [ "http://www.mendeley.com/documents/?uuid=26a57613-ee16-4215-ba81-81044814bc06" ] } ], "mendeley" : { "formattedCitation" : "&lt;sup&gt;[99]&lt;/sup&gt;", "plainTextFormattedCitation" : "[99]", "previouslyFormattedCitation" : "&lt;sup&gt;[99]&lt;/sup&gt;" }, "properties" : { "noteIndex" : 0 }, "schema" : "https://github.com/citation-style-language/schema/raw/master/csl-citation.json" }</w:instrText>
      </w:r>
      <w:r w:rsidR="00491865">
        <w:rPr>
          <w:rFonts w:ascii="Book Antiqua" w:hAnsi="Book Antiqua"/>
          <w:sz w:val="24"/>
          <w:szCs w:val="24"/>
          <w:lang w:val="en-GB"/>
        </w:rPr>
        <w:fldChar w:fldCharType="separate"/>
      </w:r>
      <w:r w:rsidR="00491865" w:rsidRPr="00CD2CDC">
        <w:rPr>
          <w:rFonts w:ascii="Book Antiqua" w:hAnsi="Book Antiqua"/>
          <w:noProof/>
          <w:sz w:val="24"/>
          <w:szCs w:val="24"/>
          <w:vertAlign w:val="superscript"/>
          <w:lang w:val="en-GB"/>
        </w:rPr>
        <w:t>[99]</w:t>
      </w:r>
      <w:r w:rsidR="00491865">
        <w:rPr>
          <w:rFonts w:ascii="Book Antiqua" w:hAnsi="Book Antiqua"/>
          <w:sz w:val="24"/>
          <w:szCs w:val="24"/>
          <w:lang w:val="en-GB"/>
        </w:rPr>
        <w:fldChar w:fldCharType="end"/>
      </w:r>
      <w:r>
        <w:rPr>
          <w:rFonts w:ascii="Book Antiqua" w:hAnsi="Book Antiqua"/>
          <w:sz w:val="24"/>
          <w:szCs w:val="24"/>
          <w:lang w:val="en-GB"/>
        </w:rPr>
        <w:t>.</w:t>
      </w:r>
      <w:r w:rsidR="00491865">
        <w:rPr>
          <w:rFonts w:ascii="Book Antiqua" w:hAnsi="Book Antiqua"/>
          <w:sz w:val="24"/>
          <w:szCs w:val="24"/>
          <w:lang w:val="en-GB"/>
        </w:rPr>
        <w:t xml:space="preserve"> </w:t>
      </w:r>
    </w:p>
    <w:p w14:paraId="0E79CB20" w14:textId="2BF86FBA" w:rsidR="00B122DF" w:rsidRDefault="00BF578B" w:rsidP="00422EBA">
      <w:pPr>
        <w:adjustRightInd w:val="0"/>
        <w:snapToGrid w:val="0"/>
        <w:spacing w:after="0" w:line="360" w:lineRule="auto"/>
        <w:ind w:firstLineChars="200" w:firstLine="480"/>
        <w:jc w:val="both"/>
        <w:rPr>
          <w:rFonts w:ascii="Book Antiqua" w:hAnsi="Book Antiqua"/>
          <w:sz w:val="24"/>
          <w:szCs w:val="24"/>
          <w:lang w:val="en-GB"/>
        </w:rPr>
      </w:pPr>
      <w:r>
        <w:rPr>
          <w:rFonts w:ascii="Book Antiqua" w:hAnsi="Book Antiqua"/>
          <w:sz w:val="24"/>
          <w:szCs w:val="24"/>
          <w:lang w:val="en-GB"/>
        </w:rPr>
        <w:t xml:space="preserve">Contrasting </w:t>
      </w:r>
      <w:r w:rsidR="00B122DF">
        <w:rPr>
          <w:rFonts w:ascii="Book Antiqua" w:hAnsi="Book Antiqua"/>
          <w:sz w:val="24"/>
          <w:szCs w:val="24"/>
          <w:lang w:val="en-GB"/>
        </w:rPr>
        <w:t>results</w:t>
      </w:r>
      <w:r>
        <w:rPr>
          <w:rFonts w:ascii="Book Antiqua" w:hAnsi="Book Antiqua"/>
          <w:sz w:val="24"/>
          <w:szCs w:val="24"/>
          <w:lang w:val="en-GB"/>
        </w:rPr>
        <w:t xml:space="preserve"> about APACHE II came from different clinical studies</w:t>
      </w:r>
      <w:r w:rsidR="00B122DF">
        <w:rPr>
          <w:rFonts w:ascii="Book Antiqua" w:hAnsi="Book Antiqua"/>
          <w:sz w:val="24"/>
          <w:szCs w:val="24"/>
          <w:lang w:val="en-GB"/>
        </w:rPr>
        <w:t>, likely because of different sample groups in different geographical regions</w:t>
      </w:r>
      <w:r w:rsidR="00491865">
        <w:rPr>
          <w:rFonts w:ascii="Book Antiqua" w:hAnsi="Book Antiqua"/>
          <w:sz w:val="24"/>
          <w:szCs w:val="24"/>
          <w:lang w:val="en-GB"/>
        </w:rPr>
        <w:fldChar w:fldCharType="begin" w:fldLock="1"/>
      </w:r>
      <w:r w:rsidR="00491865">
        <w:rPr>
          <w:rFonts w:ascii="Book Antiqua" w:hAnsi="Book Antiqua"/>
          <w:sz w:val="24"/>
          <w:szCs w:val="24"/>
          <w:lang w:val="en-GB"/>
        </w:rPr>
        <w:instrText>ADDIN CSL_CITATION { "citationItems" : [ { "id" : "ITEM-1", "itemData" : { "DOI" : "10.1186/1471-2482-9-11", "ISSN" : "1471-2482", "PMID" : "19640303", "abstract" : "BACKGROUND: The Acute Physiology and Chronic Health Evaluation (APACHE) III prognostic system has not been previously validated in patients admitted to the intensive care unit (ICU) after orthotopic liver transplantation (OLT). We hypothesized that APACHE III would perform satisfactorily in patients after OLT METHODS: A retrospective cohort study was performed. Patients admitted to the ICU after OLT between July 1996 and May 2008 were identified. Data were abstracted from the institutional APACHE III and liver transplantation databases and individual patient medical records. Standardized mortality ratios (with 95% confidence intervals) were calculated by dividing the observed mortality rates by the rates predicted by APACHE III. The area under the receiver operating characteristic curve (AUC) and the Hosmer-Lemeshow C statistic were used to assess, respectively, discrimination and calibration of APACHE III.\n\nRESULTS: APACHE III data were available for 918 admissions after OLT. Mean (standard deviation [SD]) APACHE III (APIII) and Acute Physiology (APS) scores on the day of transplant were 60.5 (25.8) and 50.8 (23.6), respectively. Mean (SD) predicted ICU and hospital mortality rates were 7.3% (15.4) and 10.6% (18.9), respectively. The observed ICU and hospital mortality rates were 1.1% and 3.4%, respectively. The standardized ICU and hospital mortality ratios with their 95% C.I. were 0.15 (0.07 to 0.27) and 0.32 (0.22 to 0.45), respectively. There were statistically significant differences in APS, APIII, predicted ICU and predicted hospital mortality between survivors and non-survivors. In predicting mortality, the AUC of APACHE III prediction of hospital death was 0.65 (95% CI, 0.62 to 0.68). The Hosmer-Lemeshow C statistic was 5.288 with a p value of 0.871 (10 degrees of freedom).\n\nCONCLUSION: APACHE III discriminates poorly between survivors and non-survivors of patients admitted to the ICU after OLT. Though APACHE III has been shown to be valid in heterogenous populations and in certain groups of patients with specific diagnoses, it should be used with caution - if used at all - in recipients of liver transplantation.", "author" : [ { "dropping-particle" : "", "family" : "Keegan", "given" : "Mark T", "non-dropping-particle" : "", "parse-names" : false, "suffix" : "" }, { "dropping-particle" : "", "family" : "Gali", "given" : "Bhargavi", "non-dropping-particle" : "", "parse-names" : false, "suffix" : "" }, { "dropping-particle" : "", "family" : "Findlay", "given" : "James Y", "non-dropping-particle" : "", "parse-names" : false, "suffix" : "" }, { "dropping-particle" : "", "family" : "Heimbach", "given" : "Julie K", "non-dropping-particle" : "", "parse-names" : false, "suffix" : "" }, { "dropping-particle" : "", "family" : "Plevak", "given" : "David J", "non-dropping-particle" : "", "parse-names" : false, "suffix" : "" }, { "dropping-particle" : "", "family" : "Afessa", "given" : "Bekele", "non-dropping-particle" : "", "parse-names" : false, "suffix" : "" } ], "container-title" : "BMC surgery", "id" : "ITEM-1", "issued" : { "date-parts" : [ [ "2009", "1" ] ] }, "page" : "11", "title" : "APACHE III outcome prediction in patients admitted to the intensive care unit after liver transplantation: a retrospective cohort study.", "type" : "article-journal", "volume" : "9" }, "uris" : [ "http://www.mendeley.com/documents/?uuid=28052570-de41-42cc-95a5-9323628ec2da" ] }, { "id" : "ITEM-2", "itemData" : { "DOI" : "10.1016/j.transproceed.2010.11.029", "ISBN" : "1873-2623; 0041-1345", "ISSN" : "1873-2623", "PMID" : "21693253", "abstract" : "OBJECTIVE: This study sought to determine which prognostic index was the most efficient to predict early (1-month) mortality of patients undergoing orthotopic liver transplantation (OLT).\\n\\nMATERIALS AND METHODS: This retrospective study included 63 patients including 49 males and 14 females of overall median age 51.6 \u00b1 9.7 years who were admitted to the intensive care unit (ICU) of a tertiary hospital. The Acute Physiology and Chronic Health Evaluation II (APACHE II) death risk, Child-Pugh, Charlson, and Model for End-stage Liver Disease (MELD) indices pre-OLT and post-OLT were analyzed by generation of receiver operating characteristic (ROC) curves to determine the area under the ROC curve (AUC), as a predictive factor for each index. The level of significance was set at P &lt; .05.\\n\\nRESULTS: The general 1-month posttransplantation mortality rate of OLT patients was 19% (n = 12 p). The AUC was 0.81 (confidence interval [CI] = 0.66-0.96; sensitivity = 72.5; specificity = 83.3) for APACHE II death risk; 0.74 (CI = 0.57-0.92; sensitivity = 76.5; specificity = 66.7) for MELD post-OLT; 0.70 (CI = 0.54-0.85; sensitivity = 64.7; specificity = 66.7) for Child-Pugh; 0.57 (CI = 0.36-0.78; sensitivity = 74.5; specificity = 50.0) for Charlson; and 0.50 (CI = 0.32-0.69; sensitivity = 98.0; specificity = 16.7) for MELD Pre-OLT.\\n\\nCONCLUSION: Among the studied indices, the APACHE II death risk scoring system was the most effective to predict early mortality after OLT.", "author" : [ { "dropping-particle" : "", "family" : "Basile-Filho", "given" : "a", "non-dropping-particle" : "", "parse-names" : false, "suffix" : "" }, { "dropping-particle" : "", "family" : "Nicolini", "given" : "E a", "non-dropping-particle" : "", "parse-names" : false, "suffix" : "" }, { "dropping-particle" : "", "family" : "Auxiliadora-Martins", "given" : "M", "non-dropping-particle" : "", "parse-names" : false, "suffix" : "" }, { "dropping-particle" : "", "family" : "Alkmim-Teixeira", "given" : "G C", "non-dropping-particle" : "", "parse-names" : false, "suffix" : "" }, { "dropping-particle" : "", "family" : "Martinez", "given" : "E Z", "non-dropping-particle" : "", "parse-names" : false, "suffix" : "" }, { "dropping-particle" : "", "family" : "Martins-Filho", "given" : "O a", "non-dropping-particle" : "", "parse-names" : false, "suffix" : "" }, { "dropping-particle" : "", "family" : "Castro e Silva", "given" : "O", "non-dropping-particle" : "de", "parse-names" : false, "suffix" : "" } ], "container-title" : "Transplantation proceedings", "id" : "ITEM-2", "issue" : "5", "issued" : { "date-parts" : [ [ "2011" ] ] }, "page" : "1660-4", "publisher" : "Elsevier Inc.", "title" : "Comparison of acute physiology and chronic health evaluation II death risk, Child-Pugh, Charlson, and model for end-stage liver disease indexes to predict early mortality after liver transplantation.", "type" : "article-journal", "volume" : "43" }, "uris" : [ "http://www.mendeley.com/documents/?uuid=05472acd-c2b0-4196-bb11-aa332ca12b63" ] }, { "id" : "ITEM-3", "itemData" : { "ISSN" : "1980-5322", "PMID" : "23525309", "abstract" : "OBJECTIVES: This study compared the accuracy of the Simplified Acute Physiology Score 3 with that of Acute Physiology and Chronic Health Evaluation II at predicting hospital mortality in patients from a transplant intensive care unit.\n\nMETHOD: A total of 501 patients were enrolled in the study (152 liver transplants, 271 kidney transplants, 54 lung transplants, 24 kidney-pancreas transplants) between May 2006 and January 2007. The Simplified Acute Physiology Score 3 was calculated using the global equation (customized for South America) and the Acute Physiology and Chronic Health Evaluation II score; the scores were calculated within 24 hours of admission. A receiver-operating characteristic curve was generated, and the area under the receiver-operating characteristic curve was calculated to identify the patients at the greatest risk of death according to Simplified Acute Physiology Score 3 and Acute Physiology and Chronic Health Evaluation II scores. The Hosmer-Lemeshow goodness-of-fit test was used for statistically significant results and indicated a difference in performance over deciles. The standardized mortality ratio was used to estimate the overall model performance.\n\nRESULTS: The ability of both scores to predict hospital mortality was poor in the liver and renal transplant groups and average in the lung transplant group (area under the receiver-operating characteristic curve = 0.696 for Simplified Acute Physiology Score 3 and 0.670 for Acute Physiology and Chronic Health Evaluation II). The calibration of both scores was poor, even after customizing the Simplified Acute Physiology Score 3 score for South America.\n\nCONCLUSIONS: The low predictive accuracy of the Simplified Acute Physiology Score 3 and Acute Physiology and Chronic Health Evaluation II scores does not warrant the use of these scores in critically ill transplant patients.", "author" : [ { "dropping-particle" : "de", "family" : "Oliveira", "given" : "Vanessa M", "non-dropping-particle" : "", "parse-names" : false, "suffix" : "" }, { "dropping-particle" : "", "family" : "Brauner", "given" : "Janete S", "non-dropping-particle" : "", "parse-names" : false, "suffix" : "" }, { "dropping-particle" : "", "family" : "Rodrigues Filho", "given" : "Edison", "non-dropping-particle" : "", "parse-names" : false, "suffix" : "" }, { "dropping-particle" : "", "family" : "Susin", "given" : "Ruth G A", "non-dropping-particle" : "", "parse-names" : false, "suffix" : "" }, { "dropping-particle" : "", "family" : "Draghetti", "given" : "Viviane", "non-dropping-particle" : "", "parse-names" : false, "suffix" : "" }, { "dropping-particle" : "", "family" : "Bolzan", "given" : "Simone T", "non-dropping-particle" : "", "parse-names" : false, "suffix" : "" }, { "dropping-particle" : "", "family" : "Vieira", "given" : "Silvia R R", "non-dropping-particle" : "", "parse-names" : false, "suffix" : "" } ], "container-title" : "Clinics (Sa\u0303o Paulo, Brazil)", "id" : "ITEM-3", "issue" : "2", "issued" : { "date-parts" : [ [ "2013", "1" ] ] }, "page" : "153-8", "title" : "Is SAPS 3 better than APACHE II at predicting mortality in critically ill transplant patients?", "type" : "article-journal", "volume" : "68" }, "uris" : [ "http://www.mendeley.com/documents/?uuid=939dbcdf-3f7d-47ea-acfc-3acdc00584c2" ] } ], "mendeley" : { "formattedCitation" : "&lt;sup&gt;[98,100,101]&lt;/sup&gt;", "plainTextFormattedCitation" : "[98,100,101]", "previouslyFormattedCitation" : "&lt;sup&gt;[98,100,101]&lt;/sup&gt;" }, "properties" : { "noteIndex" : 0 }, "schema" : "https://github.com/citation-style-language/schema/raw/master/csl-citation.json" }</w:instrText>
      </w:r>
      <w:r w:rsidR="00491865">
        <w:rPr>
          <w:rFonts w:ascii="Book Antiqua" w:hAnsi="Book Antiqua"/>
          <w:sz w:val="24"/>
          <w:szCs w:val="24"/>
          <w:lang w:val="en-GB"/>
        </w:rPr>
        <w:fldChar w:fldCharType="separate"/>
      </w:r>
      <w:r w:rsidR="00491865" w:rsidRPr="00CD2CDC">
        <w:rPr>
          <w:rFonts w:ascii="Book Antiqua" w:hAnsi="Book Antiqua"/>
          <w:noProof/>
          <w:sz w:val="24"/>
          <w:szCs w:val="24"/>
          <w:vertAlign w:val="superscript"/>
          <w:lang w:val="en-GB"/>
        </w:rPr>
        <w:t>[98,100,101]</w:t>
      </w:r>
      <w:r w:rsidR="00491865">
        <w:rPr>
          <w:rFonts w:ascii="Book Antiqua" w:hAnsi="Book Antiqua"/>
          <w:sz w:val="24"/>
          <w:szCs w:val="24"/>
          <w:lang w:val="en-GB"/>
        </w:rPr>
        <w:fldChar w:fldCharType="end"/>
      </w:r>
      <w:r w:rsidR="00B122DF">
        <w:rPr>
          <w:rFonts w:ascii="Book Antiqua" w:hAnsi="Book Antiqua"/>
          <w:sz w:val="24"/>
          <w:szCs w:val="24"/>
          <w:lang w:val="en-GB"/>
        </w:rPr>
        <w:t>. This confirmed the weakness of clinical scores applied alone in predicting patient outcome</w:t>
      </w:r>
      <w:r w:rsidR="002F1D60">
        <w:rPr>
          <w:rFonts w:ascii="Book Antiqua" w:hAnsi="Book Antiqua"/>
          <w:sz w:val="24"/>
          <w:szCs w:val="24"/>
          <w:lang w:val="en-GB"/>
        </w:rPr>
        <w:t>.</w:t>
      </w:r>
    </w:p>
    <w:p w14:paraId="74E2F926" w14:textId="77777777" w:rsidR="00491865" w:rsidRDefault="00491865" w:rsidP="00422EBA">
      <w:pPr>
        <w:adjustRightInd w:val="0"/>
        <w:snapToGrid w:val="0"/>
        <w:spacing w:after="0" w:line="360" w:lineRule="auto"/>
        <w:jc w:val="both"/>
        <w:rPr>
          <w:rFonts w:ascii="Book Antiqua" w:eastAsiaTheme="minorEastAsia" w:hAnsi="Book Antiqua"/>
          <w:b/>
          <w:sz w:val="24"/>
          <w:szCs w:val="24"/>
          <w:lang w:val="en-GB" w:eastAsia="zh-CN"/>
        </w:rPr>
      </w:pPr>
    </w:p>
    <w:p w14:paraId="7172454B" w14:textId="65DF2A3D" w:rsidR="00B122DF" w:rsidRPr="00491865" w:rsidRDefault="00B122DF" w:rsidP="00422EBA">
      <w:pPr>
        <w:adjustRightInd w:val="0"/>
        <w:snapToGrid w:val="0"/>
        <w:spacing w:after="0" w:line="360" w:lineRule="auto"/>
        <w:jc w:val="both"/>
        <w:rPr>
          <w:rFonts w:ascii="Book Antiqua" w:eastAsiaTheme="minorEastAsia" w:hAnsi="Book Antiqua"/>
          <w:b/>
          <w:sz w:val="24"/>
          <w:szCs w:val="24"/>
          <w:lang w:val="en-GB" w:eastAsia="zh-CN"/>
        </w:rPr>
      </w:pPr>
      <w:r>
        <w:rPr>
          <w:rFonts w:ascii="Book Antiqua" w:hAnsi="Book Antiqua"/>
          <w:b/>
          <w:sz w:val="24"/>
          <w:szCs w:val="24"/>
          <w:lang w:val="en-GB"/>
        </w:rPr>
        <w:t>CLI</w:t>
      </w:r>
      <w:r w:rsidR="00491865">
        <w:rPr>
          <w:rFonts w:ascii="Book Antiqua" w:hAnsi="Book Antiqua"/>
          <w:b/>
          <w:sz w:val="24"/>
          <w:szCs w:val="24"/>
          <w:lang w:val="en-GB"/>
        </w:rPr>
        <w:t>F-SOFA</w:t>
      </w:r>
    </w:p>
    <w:p w14:paraId="47D930B4" w14:textId="2F4C8BC0" w:rsidR="007757E2" w:rsidRDefault="00B122DF" w:rsidP="00422EBA">
      <w:pPr>
        <w:adjustRightInd w:val="0"/>
        <w:snapToGrid w:val="0"/>
        <w:spacing w:after="0" w:line="360" w:lineRule="auto"/>
        <w:jc w:val="both"/>
        <w:rPr>
          <w:rFonts w:ascii="Book Antiqua" w:hAnsi="Book Antiqua"/>
          <w:sz w:val="24"/>
          <w:szCs w:val="24"/>
          <w:lang w:val="en-GB"/>
        </w:rPr>
      </w:pPr>
      <w:r>
        <w:rPr>
          <w:rFonts w:ascii="Book Antiqua" w:hAnsi="Book Antiqua"/>
          <w:sz w:val="24"/>
          <w:szCs w:val="24"/>
          <w:lang w:val="en-GB"/>
        </w:rPr>
        <w:t>SOFA is a scoring system allowing the quantification of the number and severity of apparatus dysfunction in a critically ill patient</w:t>
      </w:r>
      <w:r w:rsidR="00491865">
        <w:rPr>
          <w:rFonts w:ascii="Book Antiqua" w:hAnsi="Book Antiqua"/>
          <w:sz w:val="24"/>
          <w:szCs w:val="24"/>
          <w:lang w:val="en-GB"/>
        </w:rPr>
        <w:fldChar w:fldCharType="begin" w:fldLock="1"/>
      </w:r>
      <w:r w:rsidR="00491865">
        <w:rPr>
          <w:rFonts w:ascii="Book Antiqua" w:hAnsi="Book Antiqua"/>
          <w:sz w:val="24"/>
          <w:szCs w:val="24"/>
          <w:lang w:val="en-GB"/>
        </w:rPr>
        <w:instrText>ADDIN CSL_CITATION { "citationItems" : [ { "id" : "ITEM-1", "itemData" : { "ISSN" : "0342-4642", "PMID" : "8844239", "author" : [ { "dropping-particle" : "", "family" : "Vincent", "given" : "J L", "non-dropping-particle" : "", "parse-names" : false, "suffix" : "" }, { "dropping-particle" : "", "family" : "Moreno", "given" : "R", "non-dropping-particle" : "", "parse-names" : false, "suffix" : "" }, { "dropping-particle" : "", "family" : "Takala", "given" : "J", "non-dropping-particle" : "", "parse-names" : false, "suffix" : "" }, { "dropping-particle" : "", "family" : "Willatts", "given" : "S", "non-dropping-particle" : "", "parse-names" : false, "suffix" : "" }, { "dropping-particle" : "", "family" : "Mendon\u00e7a", "given" : "A", "non-dropping-particle" : "De", "parse-names" : false, "suffix" : "" }, { "dropping-particle" : "", "family" : "Bruining", "given" : "H", "non-dropping-particle" : "", "parse-names" : false, "suffix" : "" }, { "dropping-particle" : "", "family" : "Reinhart", "given" : "C K", "non-dropping-particle" : "", "parse-names" : false, "suffix" : "" }, { "dropping-particle" : "", "family" : "Suter", "given" : "P M", "non-dropping-particle" : "", "parse-names" : false, "suffix" : "" }, { "dropping-particle" : "", "family" : "Thijs", "given" : "L G", "non-dropping-particle" : "", "parse-names" : false, "suffix" : "" } ], "container-title" : "Intensive care medicine", "id" : "ITEM-1", "issue" : "7", "issued" : { "date-parts" : [ [ "1996", "7" ] ] }, "page" : "707-10", "title" : "The SOFA (Sepsis-related Organ Failure Assessment) score to describe organ dysfunction/failure. On behalf of the Working Group on Sepsis-Related Problems of the European Society of Intensive Care Medicine.", "type" : "article-journal", "volume" : "22" }, "uris" : [ "http://www.mendeley.com/documents/?uuid=7ba883a2-d850-4f5b-b560-79dbdbd5bb8b" ] } ], "mendeley" : { "formattedCitation" : "&lt;sup&gt;[102]&lt;/sup&gt;", "plainTextFormattedCitation" : "[102]", "previouslyFormattedCitation" : "&lt;sup&gt;[102]&lt;/sup&gt;" }, "properties" : { "noteIndex" : 0 }, "schema" : "https://github.com/citation-style-language/schema/raw/master/csl-citation.json" }</w:instrText>
      </w:r>
      <w:r w:rsidR="00491865">
        <w:rPr>
          <w:rFonts w:ascii="Book Antiqua" w:hAnsi="Book Antiqua"/>
          <w:sz w:val="24"/>
          <w:szCs w:val="24"/>
          <w:lang w:val="en-GB"/>
        </w:rPr>
        <w:fldChar w:fldCharType="separate"/>
      </w:r>
      <w:r w:rsidR="00491865" w:rsidRPr="00CD2CDC">
        <w:rPr>
          <w:rFonts w:ascii="Book Antiqua" w:hAnsi="Book Antiqua"/>
          <w:noProof/>
          <w:sz w:val="24"/>
          <w:szCs w:val="24"/>
          <w:vertAlign w:val="superscript"/>
          <w:lang w:val="en-GB"/>
        </w:rPr>
        <w:t>[102]</w:t>
      </w:r>
      <w:r w:rsidR="00491865">
        <w:rPr>
          <w:rFonts w:ascii="Book Antiqua" w:hAnsi="Book Antiqua"/>
          <w:sz w:val="24"/>
          <w:szCs w:val="24"/>
          <w:lang w:val="en-GB"/>
        </w:rPr>
        <w:fldChar w:fldCharType="end"/>
      </w:r>
      <w:r>
        <w:rPr>
          <w:rFonts w:ascii="Book Antiqua" w:hAnsi="Book Antiqua"/>
          <w:sz w:val="24"/>
          <w:szCs w:val="24"/>
          <w:lang w:val="en-GB"/>
        </w:rPr>
        <w:t>.</w:t>
      </w:r>
      <w:r w:rsidR="009B5233">
        <w:rPr>
          <w:rFonts w:ascii="Book Antiqua" w:hAnsi="Book Antiqua"/>
          <w:sz w:val="24"/>
          <w:szCs w:val="24"/>
          <w:lang w:val="en-GB"/>
        </w:rPr>
        <w:t xml:space="preserve"> An adjusted SOFA score accounting for end-stage liver disease was defined CLIF-SOFA</w:t>
      </w:r>
      <w:r w:rsidR="00491865">
        <w:rPr>
          <w:rFonts w:ascii="Book Antiqua" w:hAnsi="Book Antiqua"/>
          <w:sz w:val="24"/>
          <w:szCs w:val="24"/>
          <w:lang w:val="en-GB"/>
        </w:rPr>
        <w:fldChar w:fldCharType="begin" w:fldLock="1"/>
      </w:r>
      <w:r w:rsidR="00491865">
        <w:rPr>
          <w:rFonts w:ascii="Book Antiqua" w:hAnsi="Book Antiqua"/>
          <w:sz w:val="24"/>
          <w:szCs w:val="24"/>
          <w:lang w:val="en-GB"/>
        </w:rPr>
        <w:instrText>ADDIN CSL_CITATION { "citationItems" : [ { "id" : "ITEM-1", "itemData" : { "DOI" : "10.1053/j.gastro.2013.02.042", "ISSN" : "1528-0012", "PMID" : "23474284", "abstract" : "BACKGROUND &amp; AIMS: Patients with cirrhosis hospitalized for an acute decompensation (AD) and organ failure are at risk for imminent death and considered to have acute-on-chronic liver failure (ACLF). However, there are no established diagnostic criteria for ACLF, so little is known about its development and progression. We aimed to identify diagnostic criteria of ACLF and describe the development of this syndrome in European patients with AD. METHODS: We collected data from 1343 hospitalized patients with cirrhosis and AD from February to September 2011 at 29 liver units in 8 European countries. We used the organ failure and mortality data to define ACLF grades, assess mortality, and identify differences between ACLF and AD. We established diagnostic criteria for ACLF based on analyses of patients with organ failure (defined by the chronic liver failure-sequential organ failure assessment [CLIF-SOFA] score) and high 28-day mortality rate (&gt;15%). RESULTS: Of the patients assessed, 303 had ACLF when the study began, 112 developed ACLF, and 928 did not have ACLF. The 28-day mortality rate among patients who had ACLF when the study began was 33.9%, among those who developed ACLF was 29.7%, and among those who did not have ACLF was 1.9%. Patients with ACLF were younger and more frequently alcoholic, had more associated bacterial infections, and had higher numbers of leukocytes and higher plasma levels of C-reactive protein than patients without ACLF (P &lt; .001). Higher CLIF-SOFA scores and leukocyte counts were independent predictors of mortality in patients with ACLF. In patients without a prior history of AD, ACLF was unexpectedly characterized by higher numbers of organ failures, leukocyte count, and mortality compared with ACLF in patients with a prior history of AD. CONCLUSIONS: We analyzed data from patients with cirrhosis and AD to establish diagnostic criteria for ACLF and showed that it is distinct from AD, based not only on the presence of organ failure(s) and high mortality rate but also on age, precipitating events, and systemic inflammation. ACLF mortality is associated with loss of organ function and high leukocyte counts. ACLF is especially severe in patients with no prior history of AD.", "author" : [ { "dropping-particle" : "", "family" : "Moreau", "given" : "Richard", "non-dropping-particle" : "", "parse-names" : false, "suffix" : "" }, { "dropping-particle" : "", "family" : "Jalan", "given" : "Rajiv", "non-dropping-particle" : "", "parse-names" : false, "suffix" : "" }, { "dropping-particle" : "", "family" : "Gines", "given" : "Pere", "non-dropping-particle" : "", "parse-names" : false, "suffix" : "" }, { "dropping-particle" : "", "family" : "Pavesi", "given" : "Marco", "non-dropping-particle" : "", "parse-names" : false, "suffix" : "" }, { "dropping-particle" : "", "family" : "Angeli", "given" : "Paolo", "non-dropping-particle" : "", "parse-names" : false, "suffix" : "" }, { "dropping-particle" : "", "family" : "Cordoba", "given" : "Juan", "non-dropping-particle" : "", "parse-names" : false, "suffix" : "" }, { "dropping-particle" : "", "family" : "Durand", "given" : "Francois", "non-dropping-particle" : "", "parse-names" : false, "suffix" : "" }, { "dropping-particle" : "", "family" : "Gustot", "given" : "Thierry", "non-dropping-particle" : "", "parse-names" : false, "suffix" : "" }, { "dropping-particle" : "", "family" : "Saliba", "given" : "Faouzi", "non-dropping-particle" : "", "parse-names" : false, "suffix" : "" }, { "dropping-particle" : "", "family" : "Domenicali", "given" : "Marco", "non-dropping-particle" : "", "parse-names" : false, "suffix" : "" }, { "dropping-particle" : "", "family" : "Gerbes", "given" : "Alexander", "non-dropping-particle" : "", "parse-names" : false, "suffix" : "" }, { "dropping-particle" : "", "family" : "Wendon", "given" : "Julia", "non-dropping-particle" : "", "parse-names" : false, "suffix" : "" }, { "dropping-particle" : "", "family" : "Alessandria", "given" : "Carlo", "non-dropping-particle" : "", "parse-names" : false, "suffix" : "" }, { "dropping-particle" : "", "family" : "Laleman", "given" : "Wim", "non-dropping-particle" : "", "parse-names" : false, "suffix" : "" }, { "dropping-particle" : "", "family" : "Zeuzem", "given" : "Stefan", "non-dropping-particle" : "", "parse-names" : false, "suffix" : "" }, { "dropping-particle" : "", "family" : "Trebicka", "given" : "Jonel", "non-dropping-particle" : "", "parse-names" : false, "suffix" : "" }, { "dropping-particle" : "", "family" : "Bernardi", "given" : "Mauro", "non-dropping-particle" : "", "parse-names" : false, "suffix" : "" }, { "dropping-particle" : "", "family" : "Arroyo", "given" : "Vicente", "non-dropping-particle" : "", "parse-names" : false, "suffix" : "" } ], "container-title" : "Gastroenterology", "id" : "ITEM-1", "issue" : "7", "issued" : { "date-parts" : [ [ "2013", "6" ] ] }, "page" : "1426-37, 1437.e1-9", "title" : "Acute-on-chronic liver failure is a distinct syndrome that develops in patients with acute decompensation of cirrhosis.", "type" : "article-journal", "volume" : "144" }, "uris" : [ "http://www.mendeley.com/documents/?uuid=b87f2234-105b-4002-9e1c-4cd8b2f66797" ] } ], "mendeley" : { "formattedCitation" : "&lt;sup&gt;[103]&lt;/sup&gt;", "plainTextFormattedCitation" : "[103]", "previouslyFormattedCitation" : "&lt;sup&gt;[103]&lt;/sup&gt;" }, "properties" : { "noteIndex" : 0 }, "schema" : "https://github.com/citation-style-language/schema/raw/master/csl-citation.json" }</w:instrText>
      </w:r>
      <w:r w:rsidR="00491865">
        <w:rPr>
          <w:rFonts w:ascii="Book Antiqua" w:hAnsi="Book Antiqua"/>
          <w:sz w:val="24"/>
          <w:szCs w:val="24"/>
          <w:lang w:val="en-GB"/>
        </w:rPr>
        <w:fldChar w:fldCharType="separate"/>
      </w:r>
      <w:r w:rsidR="00491865" w:rsidRPr="00CD2CDC">
        <w:rPr>
          <w:rFonts w:ascii="Book Antiqua" w:hAnsi="Book Antiqua"/>
          <w:noProof/>
          <w:sz w:val="24"/>
          <w:szCs w:val="24"/>
          <w:vertAlign w:val="superscript"/>
          <w:lang w:val="en-GB"/>
        </w:rPr>
        <w:t>[103]</w:t>
      </w:r>
      <w:r w:rsidR="00491865">
        <w:rPr>
          <w:rFonts w:ascii="Book Antiqua" w:hAnsi="Book Antiqua"/>
          <w:sz w:val="24"/>
          <w:szCs w:val="24"/>
          <w:lang w:val="en-GB"/>
        </w:rPr>
        <w:fldChar w:fldCharType="end"/>
      </w:r>
      <w:r w:rsidR="00F219F4">
        <w:rPr>
          <w:rFonts w:ascii="Book Antiqua" w:hAnsi="Book Antiqua"/>
          <w:sz w:val="24"/>
          <w:szCs w:val="24"/>
          <w:lang w:val="en-GB"/>
        </w:rPr>
        <w:t>.</w:t>
      </w:r>
      <w:r w:rsidR="00491865">
        <w:rPr>
          <w:rFonts w:ascii="Book Antiqua" w:hAnsi="Book Antiqua"/>
          <w:sz w:val="24"/>
          <w:szCs w:val="24"/>
          <w:lang w:val="en-GB"/>
        </w:rPr>
        <w:t xml:space="preserve"> </w:t>
      </w:r>
    </w:p>
    <w:p w14:paraId="71FE9550" w14:textId="70A7D429" w:rsidR="00F219F4" w:rsidRDefault="00B122DF" w:rsidP="00422EBA">
      <w:pPr>
        <w:adjustRightInd w:val="0"/>
        <w:snapToGrid w:val="0"/>
        <w:spacing w:after="0" w:line="360" w:lineRule="auto"/>
        <w:ind w:firstLineChars="200" w:firstLine="480"/>
        <w:jc w:val="both"/>
        <w:rPr>
          <w:rFonts w:ascii="Book Antiqua" w:hAnsi="Book Antiqua"/>
          <w:sz w:val="24"/>
          <w:szCs w:val="24"/>
          <w:lang w:val="en-GB"/>
        </w:rPr>
      </w:pPr>
      <w:r>
        <w:rPr>
          <w:rFonts w:ascii="Book Antiqua" w:hAnsi="Book Antiqua"/>
          <w:sz w:val="24"/>
          <w:szCs w:val="24"/>
          <w:lang w:val="en-GB"/>
        </w:rPr>
        <w:t>When tested to predict 3- and 12-month mortality in an unicentric cohort of 149 LT patients retrospectively divided in 1-year survivors and non-survivors, SOFA had the best discriminatory power</w:t>
      </w:r>
      <w:r w:rsidR="000420F2">
        <w:rPr>
          <w:rFonts w:ascii="Book Antiqua" w:hAnsi="Book Antiqua"/>
          <w:sz w:val="24"/>
          <w:szCs w:val="24"/>
          <w:lang w:val="en-GB"/>
        </w:rPr>
        <w:t xml:space="preserve"> (higher than MELD)</w:t>
      </w:r>
      <w:r>
        <w:rPr>
          <w:rFonts w:ascii="Book Antiqua" w:hAnsi="Book Antiqua"/>
          <w:sz w:val="24"/>
          <w:szCs w:val="24"/>
          <w:lang w:val="en-GB"/>
        </w:rPr>
        <w:t>.</w:t>
      </w:r>
      <w:r w:rsidR="005F5C48">
        <w:rPr>
          <w:rFonts w:ascii="Book Antiqua" w:hAnsi="Book Antiqua"/>
          <w:sz w:val="24"/>
          <w:szCs w:val="24"/>
          <w:lang w:val="en-GB"/>
        </w:rPr>
        <w:t xml:space="preserve"> </w:t>
      </w:r>
      <w:r w:rsidR="00F219F4">
        <w:rPr>
          <w:rFonts w:ascii="Book Antiqua" w:hAnsi="Book Antiqua"/>
          <w:sz w:val="24"/>
          <w:szCs w:val="24"/>
          <w:lang w:val="en-GB"/>
        </w:rPr>
        <w:t xml:space="preserve">323 patients from the same cohort were then analysed using CLIF-SOFA. An excellent AUROC was detected, with significantly best discriminatory power on POD1-7 with respect to MELD and SOFA. The best AUROC (0.877) for CLIF-SOFA occurred on POD7. Significantly different cumulative survival rates for CLIF-SOFA </w:t>
      </w:r>
      <w:r w:rsidR="00F219F4">
        <w:rPr>
          <w:rFonts w:ascii="Book Antiqua" w:eastAsia="Book Antiqua" w:hAnsi="Book Antiqua" w:cs="Book Antiqua"/>
          <w:sz w:val="24"/>
          <w:szCs w:val="24"/>
          <w:lang w:val="en-GB"/>
        </w:rPr>
        <w:t xml:space="preserve">≤ </w:t>
      </w:r>
      <w:r w:rsidR="00F219F4">
        <w:rPr>
          <w:rFonts w:ascii="Book Antiqua" w:hAnsi="Book Antiqua"/>
          <w:sz w:val="24"/>
          <w:szCs w:val="24"/>
          <w:lang w:val="en-GB"/>
        </w:rPr>
        <w:t xml:space="preserve">8 </w:t>
      </w:r>
      <w:r w:rsidR="00F219F4" w:rsidRPr="00E35182">
        <w:rPr>
          <w:rFonts w:ascii="Book Antiqua" w:hAnsi="Book Antiqua"/>
          <w:i/>
          <w:sz w:val="24"/>
          <w:szCs w:val="24"/>
          <w:lang w:val="en-GB"/>
        </w:rPr>
        <w:t>vs</w:t>
      </w:r>
      <w:r w:rsidR="00F219F4">
        <w:rPr>
          <w:rFonts w:ascii="Book Antiqua" w:hAnsi="Book Antiqua"/>
          <w:sz w:val="24"/>
          <w:szCs w:val="24"/>
          <w:lang w:val="en-GB"/>
        </w:rPr>
        <w:t xml:space="preserve"> CLIF-SOFA &gt; 8 were detected</w:t>
      </w:r>
      <w:r w:rsidR="00491865">
        <w:rPr>
          <w:rFonts w:ascii="Book Antiqua" w:hAnsi="Book Antiqua"/>
          <w:sz w:val="24"/>
          <w:szCs w:val="24"/>
          <w:lang w:val="en-GB"/>
        </w:rPr>
        <w:fldChar w:fldCharType="begin" w:fldLock="1"/>
      </w:r>
      <w:r w:rsidR="00491865">
        <w:rPr>
          <w:rFonts w:ascii="Book Antiqua" w:hAnsi="Book Antiqua"/>
          <w:sz w:val="24"/>
          <w:szCs w:val="24"/>
          <w:lang w:val="en-GB"/>
        </w:rPr>
        <w:instrText>ADDIN CSL_CITATION { "citationItems" : [ { "id" : "ITEM-1", "itemData" : { "DOI" : "10.1371/journal.pone.0107138", "abstract" : "Background: Liver transplantation can prolong survival in patients with end-stage liver disease. We have proposed that the Sequential Organ Failure Assessment (SOFA) score calculated on post-transplant day 7 has a great discriminative power for predicting 1-year mortality after liver transplantation. The Chronic Liver Failure -Sequential Organ Failure Assessment (CLIF-SOFA) score, a modified SOFA score, is a newly developed scoring system exclusively for patients with end-stage liver disease. This study was designed to compare the CLIF-SOFA score with other main scoring systems in outcome prediction for liver transplant patients. Methods: We retrospectively reviewed medical records of 323 patients who had received liver transplants in a tertiary care university hospital from October 2002 to December 2010. Demographic parameters and clinical characteristic variables were recorded on the first day of admission before transplantation and on post-transplantation days 1, 3, 7, and 14. Results: The overall 1-year survival rate was 78.3% (253/323). Liver diseases were mostly attributed to hepatitis B virus infection (34%). The CLIF-SOFA score had better discriminatory power than the Child-Pugh points, Model for End-Stage Liver Disease (MELD) score, RIFLE (risk of renal dysfunction, injury to the kidney, failure of the kidney, loss of kidney function, and end-stage kidney disease) criteria, and SOFA score. The AUROC curves were highest for CLIF-SOFA score on post-liver transplant day 7 for predicting 1-year mortality. The cumulative survival rates differed significantly for patients with a CLIF-SOFA score #8 and those with a CLIF-SOFA score .8 on post-liver transplant day 7. Conclusion: The CLIF-SOFA score can increase the prediction accuracy of prognosis after transplantation. Moreover, the CLIF-SOFA score on post-transplantation day 7 had the best discriminative power for predicting 1-year mortality after liver transplantation.", "author" : [ { "dropping-particle" : "", "family" : "Pan", "given" : "Heng-Chih", "non-dropping-particle" : "", "parse-names" : false, "suffix" : "" }, { "dropping-particle" : "", "family" : "Jenq", "given" : "Chang-Chyi", "non-dropping-particle" : "", "parse-names" : false, "suffix" : "" }, { "dropping-particle" : "", "family" : "Lee", "given" : "Wei-Chen", "non-dropping-particle" : "", "parse-names" : false, "suffix" : "" }, { "dropping-particle" : "", "family" : "Tsai", "given" : "Ming-Hung", "non-dropping-particle" : "", "parse-names" : false, "suffix" : "" }, { "dropping-particle" : "", "family" : "Fan", "given" : "Pei-Chun", "non-dropping-particle" : "", "parse-names" : false, "suffix" : "" }, { "dropping-particle" : "", "family" : "Chang", "given" : "Chih-Hsiang", "non-dropping-particle" : "", "parse-names" : false, "suffix" : "" }, { "dropping-particle" : "", "family" : "Chang", "given" : "Ming-Yang", "non-dropping-particle" : "", "parse-names" : false, "suffix" : "" }, { "dropping-particle" : "", "family" : "Tian", "given" : "Ya-Chung", "non-dropping-particle" : "", "parse-names" : false, "suffix" : "" }, { "dropping-particle" : "", "family" : "Hung", "given" : "Cheng-Chieh", "non-dropping-particle" : "", "parse-names" : false, "suffix" : "" }, { "dropping-particle" : "", "family" : "Fang", "given" : "Ji-Tseng", "non-dropping-particle" : "", "parse-names" : false, "suffix" : "" }, { "dropping-particle" : "", "family" : "Yang", "given" : "Chih-Wei", "non-dropping-particle" : "", "parse-names" : false, "suffix" : "" }, { "dropping-particle" : "", "family" : "Chen", "given" : "Yung-Chang", "non-dropping-particle" : "", "parse-names" : false, "suffix" : "" } ], "container-title" : "PLoS ONE", "id" : "ITEM-1", "issue" : "9", "issued" : { "date-parts" : [ [ "2014" ] ] }, "title" : "Scoring Systems for Predicting Mortality after Liver Transplantation", "type" : "article-journal", "volume" : "9" }, "uris" : [ "http://www.mendeley.com/documents/?uuid=324453f8-a0a4-3a09-b554-665510dbfed4" ] } ], "mendeley" : { "formattedCitation" : "&lt;sup&gt;[104]&lt;/sup&gt;", "plainTextFormattedCitation" : "[104]", "previouslyFormattedCitation" : "&lt;sup&gt;[104]&lt;/sup&gt;" }, "properties" : { "noteIndex" : 0 }, "schema" : "https://github.com/citation-style-language/schema/raw/master/csl-citation.json" }</w:instrText>
      </w:r>
      <w:r w:rsidR="00491865">
        <w:rPr>
          <w:rFonts w:ascii="Book Antiqua" w:hAnsi="Book Antiqua"/>
          <w:sz w:val="24"/>
          <w:szCs w:val="24"/>
          <w:lang w:val="en-GB"/>
        </w:rPr>
        <w:fldChar w:fldCharType="separate"/>
      </w:r>
      <w:r w:rsidR="00491865" w:rsidRPr="00CD2CDC">
        <w:rPr>
          <w:rFonts w:ascii="Book Antiqua" w:hAnsi="Book Antiqua"/>
          <w:noProof/>
          <w:sz w:val="24"/>
          <w:szCs w:val="24"/>
          <w:vertAlign w:val="superscript"/>
          <w:lang w:val="en-GB"/>
        </w:rPr>
        <w:t>[104]</w:t>
      </w:r>
      <w:r w:rsidR="00491865">
        <w:rPr>
          <w:rFonts w:ascii="Book Antiqua" w:hAnsi="Book Antiqua"/>
          <w:sz w:val="24"/>
          <w:szCs w:val="24"/>
          <w:lang w:val="en-GB"/>
        </w:rPr>
        <w:fldChar w:fldCharType="end"/>
      </w:r>
      <w:r w:rsidR="00F219F4">
        <w:rPr>
          <w:rFonts w:ascii="Book Antiqua" w:hAnsi="Book Antiqua"/>
          <w:sz w:val="24"/>
          <w:szCs w:val="24"/>
          <w:lang w:val="en-GB"/>
        </w:rPr>
        <w:t>.</w:t>
      </w:r>
      <w:r w:rsidR="00491865">
        <w:rPr>
          <w:rFonts w:ascii="Book Antiqua" w:hAnsi="Book Antiqua"/>
          <w:sz w:val="24"/>
          <w:szCs w:val="24"/>
          <w:lang w:val="en-GB"/>
        </w:rPr>
        <w:t xml:space="preserve"> </w:t>
      </w:r>
    </w:p>
    <w:p w14:paraId="465E0251" w14:textId="79AF79BB" w:rsidR="00B122DF" w:rsidRDefault="00F219F4" w:rsidP="00422EBA">
      <w:pPr>
        <w:adjustRightInd w:val="0"/>
        <w:snapToGrid w:val="0"/>
        <w:spacing w:after="0" w:line="360" w:lineRule="auto"/>
        <w:ind w:firstLineChars="200" w:firstLine="480"/>
        <w:jc w:val="both"/>
        <w:rPr>
          <w:rFonts w:ascii="Book Antiqua" w:hAnsi="Book Antiqua"/>
          <w:sz w:val="24"/>
          <w:szCs w:val="24"/>
          <w:lang w:val="en-GB"/>
        </w:rPr>
      </w:pPr>
      <w:r>
        <w:rPr>
          <w:rFonts w:ascii="Book Antiqua" w:hAnsi="Book Antiqua"/>
          <w:sz w:val="24"/>
          <w:szCs w:val="24"/>
          <w:lang w:val="en-GB"/>
        </w:rPr>
        <w:t xml:space="preserve">These two studies come from a single group, and more than 50% of patients in both studies had Hepatitis B (and 27% hepatomas in the latter case) that required LT, reflecting the geographical area of the provenance of these studies. These facts might affect the results and reduce their </w:t>
      </w:r>
      <w:r w:rsidR="00C27843">
        <w:rPr>
          <w:rFonts w:ascii="Book Antiqua" w:hAnsi="Book Antiqua"/>
          <w:sz w:val="24"/>
          <w:szCs w:val="24"/>
          <w:lang w:val="en-GB"/>
        </w:rPr>
        <w:t>reproducibility.</w:t>
      </w:r>
    </w:p>
    <w:p w14:paraId="105D7C0B" w14:textId="1E11D941" w:rsidR="00B122DF" w:rsidRDefault="007757E2" w:rsidP="00422EBA">
      <w:pPr>
        <w:adjustRightInd w:val="0"/>
        <w:snapToGrid w:val="0"/>
        <w:spacing w:after="0" w:line="360" w:lineRule="auto"/>
        <w:ind w:firstLineChars="200" w:firstLine="480"/>
        <w:jc w:val="both"/>
        <w:rPr>
          <w:rFonts w:ascii="Book Antiqua" w:eastAsiaTheme="minorEastAsia" w:hAnsi="Book Antiqua"/>
          <w:sz w:val="24"/>
          <w:szCs w:val="24"/>
          <w:lang w:val="en-GB" w:eastAsia="zh-CN"/>
        </w:rPr>
      </w:pPr>
      <w:r>
        <w:rPr>
          <w:rFonts w:ascii="Book Antiqua" w:hAnsi="Book Antiqua"/>
          <w:sz w:val="24"/>
          <w:szCs w:val="24"/>
          <w:lang w:val="en-GB"/>
        </w:rPr>
        <w:t>After</w:t>
      </w:r>
      <w:r w:rsidR="00C27843">
        <w:rPr>
          <w:rFonts w:ascii="Book Antiqua" w:hAnsi="Book Antiqua"/>
          <w:sz w:val="24"/>
          <w:szCs w:val="24"/>
          <w:lang w:val="en-GB"/>
        </w:rPr>
        <w:t xml:space="preserve"> LDLT, </w:t>
      </w:r>
      <w:r w:rsidR="00B122DF">
        <w:rPr>
          <w:rFonts w:ascii="Book Antiqua" w:hAnsi="Book Antiqua"/>
          <w:sz w:val="24"/>
          <w:szCs w:val="24"/>
          <w:lang w:val="en-GB"/>
        </w:rPr>
        <w:t>SOFA score on POD7 had the highest power to predict 3-month mortality</w:t>
      </w:r>
      <w:r w:rsidR="00491865">
        <w:rPr>
          <w:rFonts w:ascii="Book Antiqua" w:hAnsi="Book Antiqua"/>
          <w:sz w:val="24"/>
          <w:szCs w:val="24"/>
          <w:lang w:val="en-GB"/>
        </w:rPr>
        <w:fldChar w:fldCharType="begin" w:fldLock="1"/>
      </w:r>
      <w:r w:rsidR="00491865">
        <w:rPr>
          <w:rFonts w:ascii="Book Antiqua" w:hAnsi="Book Antiqua"/>
          <w:sz w:val="24"/>
          <w:szCs w:val="24"/>
          <w:lang w:val="en-GB"/>
        </w:rPr>
        <w:instrText>ADDIN CSL_CITATION { "citationItems" : [ { "id" : "ITEM-1", "itemData" : { "DOI" : "10.1016/j.transproceed.2014.11.067", "ISSN" : "00411345", "author" : [ { "dropping-particle" : "", "family" : "Elsayed", "given" : "F.G.", "non-dropping-particle" : "", "parse-names" : false, "suffix" : "" }, { "dropping-particle" : "", "family" : "Sholkamy", "given" : "A.A.", "non-dropping-particle" : "", "parse-names" : false, "suffix" : "" }, { "dropping-particle" : "", "family" : "Elshazli", "given" : "M.", "non-dropping-particle" : "", "parse-names" : false, "suffix" : "" }, { "dropping-particle" : "", "family" : "Elshafie", "given" : "M.", "non-dropping-particle" : "", "parse-names" : false, "suffix" : "" }, { "dropping-particle" : "", "family" : "Naguib", "given" : "M.", "non-dropping-particle" : "", "parse-names" : false, "suffix" : "" } ], "container-title" : "Transplantation Proceedings", "id" : "ITEM-1", "issue" : "4", "issued" : { "date-parts" : [ [ "2015" ] ] }, "page" : "1207-1210", "title" : "Comparison of Different Scoring Systems in Predicting Short-Term Mortality After Liver Transplantation", "type" : "article-journal", "volume" : "47" }, "uris" : [ "http://www.mendeley.com/documents/?uuid=96d65d8b-4414-4b7c-8196-ec63e78459af" ] } ], "mendeley" : { "formattedCitation" : "&lt;sup&gt;[105]&lt;/sup&gt;", "plainTextFormattedCitation" : "[105]", "previouslyFormattedCitation" : "&lt;sup&gt;[105]&lt;/sup&gt;" }, "properties" : { "noteIndex" : 0 }, "schema" : "https://github.com/citation-style-language/schema/raw/master/csl-citation.json" }</w:instrText>
      </w:r>
      <w:r w:rsidR="00491865">
        <w:rPr>
          <w:rFonts w:ascii="Book Antiqua" w:hAnsi="Book Antiqua"/>
          <w:sz w:val="24"/>
          <w:szCs w:val="24"/>
          <w:lang w:val="en-GB"/>
        </w:rPr>
        <w:fldChar w:fldCharType="separate"/>
      </w:r>
      <w:r w:rsidR="00491865" w:rsidRPr="00CD2CDC">
        <w:rPr>
          <w:rFonts w:ascii="Book Antiqua" w:hAnsi="Book Antiqua"/>
          <w:noProof/>
          <w:sz w:val="24"/>
          <w:szCs w:val="24"/>
          <w:vertAlign w:val="superscript"/>
          <w:lang w:val="en-GB"/>
        </w:rPr>
        <w:t>[105]</w:t>
      </w:r>
      <w:r w:rsidR="00491865">
        <w:rPr>
          <w:rFonts w:ascii="Book Antiqua" w:hAnsi="Book Antiqua"/>
          <w:sz w:val="24"/>
          <w:szCs w:val="24"/>
          <w:lang w:val="en-GB"/>
        </w:rPr>
        <w:fldChar w:fldCharType="end"/>
      </w:r>
      <w:r w:rsidR="00B122DF">
        <w:rPr>
          <w:rFonts w:ascii="Book Antiqua" w:hAnsi="Book Antiqua"/>
          <w:sz w:val="24"/>
          <w:szCs w:val="24"/>
          <w:lang w:val="en-GB"/>
        </w:rPr>
        <w:t>.</w:t>
      </w:r>
      <w:r w:rsidR="00491865">
        <w:rPr>
          <w:rFonts w:ascii="Book Antiqua" w:hAnsi="Book Antiqua"/>
          <w:sz w:val="24"/>
          <w:szCs w:val="24"/>
          <w:lang w:val="en-GB"/>
        </w:rPr>
        <w:t xml:space="preserve"> </w:t>
      </w:r>
    </w:p>
    <w:p w14:paraId="2DC8512E" w14:textId="77777777" w:rsidR="00491865" w:rsidRPr="00491865" w:rsidRDefault="00491865" w:rsidP="00422EBA">
      <w:pPr>
        <w:adjustRightInd w:val="0"/>
        <w:snapToGrid w:val="0"/>
        <w:spacing w:after="0" w:line="360" w:lineRule="auto"/>
        <w:ind w:firstLineChars="200" w:firstLine="480"/>
        <w:jc w:val="both"/>
        <w:rPr>
          <w:rFonts w:ascii="Book Antiqua" w:eastAsiaTheme="minorEastAsia" w:hAnsi="Book Antiqua"/>
          <w:sz w:val="24"/>
          <w:szCs w:val="24"/>
          <w:lang w:val="en-GB" w:eastAsia="zh-CN"/>
        </w:rPr>
      </w:pPr>
    </w:p>
    <w:p w14:paraId="6D6C60E6" w14:textId="3364C930" w:rsidR="00B122DF" w:rsidRPr="00491865" w:rsidRDefault="00491865" w:rsidP="00422EBA">
      <w:pPr>
        <w:adjustRightInd w:val="0"/>
        <w:snapToGrid w:val="0"/>
        <w:spacing w:after="0" w:line="360" w:lineRule="auto"/>
        <w:jc w:val="both"/>
        <w:rPr>
          <w:rFonts w:ascii="Book Antiqua" w:eastAsiaTheme="minorEastAsia" w:hAnsi="Book Antiqua"/>
          <w:b/>
          <w:sz w:val="24"/>
          <w:szCs w:val="24"/>
          <w:lang w:val="en-GB" w:eastAsia="zh-CN"/>
        </w:rPr>
      </w:pPr>
      <w:r>
        <w:rPr>
          <w:rFonts w:ascii="Book Antiqua" w:hAnsi="Book Antiqua"/>
          <w:b/>
          <w:sz w:val="24"/>
          <w:szCs w:val="24"/>
          <w:lang w:val="en-GB"/>
        </w:rPr>
        <w:t>MEAF</w:t>
      </w:r>
    </w:p>
    <w:p w14:paraId="71CE4C84" w14:textId="225278F1" w:rsidR="00B122DF" w:rsidRDefault="00B122DF" w:rsidP="00422EBA">
      <w:pPr>
        <w:adjustRightInd w:val="0"/>
        <w:snapToGrid w:val="0"/>
        <w:spacing w:after="0" w:line="360" w:lineRule="auto"/>
        <w:jc w:val="both"/>
        <w:rPr>
          <w:rFonts w:ascii="Book Antiqua" w:hAnsi="Book Antiqua"/>
          <w:sz w:val="24"/>
          <w:szCs w:val="24"/>
          <w:lang w:val="en-GB"/>
        </w:rPr>
      </w:pPr>
      <w:r>
        <w:rPr>
          <w:rFonts w:ascii="Book Antiqua" w:hAnsi="Book Antiqua"/>
          <w:sz w:val="24"/>
          <w:szCs w:val="24"/>
          <w:lang w:val="en-GB"/>
        </w:rPr>
        <w:lastRenderedPageBreak/>
        <w:t>A biochemical-based scoring system was developed after retrospectively collecting data from a unicentric database (829 recipients) and then tested on a validation group (200 recipients) from a different centre</w:t>
      </w:r>
      <w:r w:rsidR="00764191">
        <w:rPr>
          <w:rFonts w:ascii="Book Antiqua" w:hAnsi="Book Antiqua"/>
          <w:sz w:val="24"/>
          <w:szCs w:val="24"/>
          <w:lang w:val="en-GB"/>
        </w:rPr>
        <w:fldChar w:fldCharType="begin" w:fldLock="1"/>
      </w:r>
      <w:r w:rsidR="00764191">
        <w:rPr>
          <w:rFonts w:ascii="Book Antiqua" w:hAnsi="Book Antiqua"/>
          <w:sz w:val="24"/>
          <w:szCs w:val="24"/>
          <w:lang w:val="en-GB"/>
        </w:rPr>
        <w:instrText>ADDIN CSL_CITATION { "citationItems" : [ { "id" : "ITEM-1", "itemData" : { "DOI" : "10.1002/lt.23990", "ISSN" : "1527-6473", "PMID" : "25204890", "abstract" : "Early allograft dysfunction (EAD) dramatically influences graft and patient outcomes. A lack of consensus on an EAD definition hinders comparisons of liver transplant outcomes and management of recipients among and within centers. We sought to develop a model for the quantitative assessment of early allograft function [Model for Early Allograft Function Scoring (MEAF)] after transplantation. A retrospective study including 1026 consecutive liver transplants was performed for MEAF score development. Multivariate data analysis was used to select a small number of postoperative variables that adequately describe EAD. Then, the distribution of these variables was mathematically modeled to assign a score for each actual variable value. A model, based on easily obtainable clinical parameters (ie, alanine aminotransferase, international normalized ratio, and bilirubin) and scoring liver function from 0 to 10, was built. The MEAF score showed a significant association with patient and graft survival at 3-, 6- and 12-month follow-ups. Hepatic steatosis and age for donors; cold/warm ischemia times and postreperfusion syndrome for surgery; and intensive care unit and hospital stays, Model for End-Stage Liver Disease and Child-Pugh scores, body mass index, and fresh frozen plasma transfusions for recipients were factors associated significantly with EAD. The model was satisfactorily validated by its application to an independent set of 200 patients who underwent liver transplantation at a different center. In conclusion, a model for the quantitative assessment of EAD severity has been developed and validated for the first time. The MEAF provides a more accurate graft function assessment than current categorical classifications and may help clinicians to make early enough decisions on retransplantation benefits. Furthermore, the MEAF score is a predictor of recipient and graft survival. The standardization of the criteria used to define EAD may allow reliable comparisons of recipients' treatments and transplant outcomes among and within centers.", "author" : [ { "dropping-particle" : "", "family" : "Pareja", "given" : "Eugenia", "non-dropping-particle" : "", "parse-names" : false, "suffix" : "" }, { "dropping-particle" : "", "family" : "Cortes", "given" : "Miriam", "non-dropping-particle" : "", "parse-names" : false, "suffix" : "" }, { "dropping-particle" : "", "family" : "Herv\u00e1s", "given" : "David", "non-dropping-particle" : "", "parse-names" : false, "suffix" : "" }, { "dropping-particle" : "", "family" : "Mir", "given" : "Jos\u00e9", "non-dropping-particle" : "", "parse-names" : false, "suffix" : "" }, { "dropping-particle" : "", "family" : "Valdivieso", "given" : "Andr\u00e9s", "non-dropping-particle" : "", "parse-names" : false, "suffix" : "" }, { "dropping-particle" : "V", "family" : "Castell", "given" : "Jos\u00e9", "non-dropping-particle" : "", "parse-names" : false, "suffix" : "" }, { "dropping-particle" : "", "family" : "Lahoz", "given" : "Agust\u00edn", "non-dropping-particle" : "", "parse-names" : false, "suffix" : "" } ], "container-title" : "Liver transplantation : official publication of the American Association for the Study of Liver Diseases and the International Liver Transplantation Society", "id" : "ITEM-1", "issue" : "1", "issued" : { "date-parts" : [ [ "2015", "1" ] ] }, "page" : "38-46", "title" : "A score model for the continuous grading of early allograft dysfunction severity.", "type" : "article-journal", "volume" : "21" }, "uris" : [ "http://www.mendeley.com/documents/?uuid=c9faba98-7de5-4e2a-b7ba-ab4eb917c6af" ] } ], "mendeley" : { "formattedCitation" : "&lt;sup&gt;[106]&lt;/sup&gt;", "plainTextFormattedCitation" : "[106]", "previouslyFormattedCitation" : "&lt;sup&gt;[106]&lt;/sup&gt;" }, "properties" : { "noteIndex" : 0 }, "schema" : "https://github.com/citation-style-language/schema/raw/master/csl-citation.json" }</w:instrText>
      </w:r>
      <w:r w:rsidR="00764191">
        <w:rPr>
          <w:rFonts w:ascii="Book Antiqua" w:hAnsi="Book Antiqua"/>
          <w:sz w:val="24"/>
          <w:szCs w:val="24"/>
          <w:lang w:val="en-GB"/>
        </w:rPr>
        <w:fldChar w:fldCharType="separate"/>
      </w:r>
      <w:r w:rsidR="00764191" w:rsidRPr="00CD2CDC">
        <w:rPr>
          <w:rFonts w:ascii="Book Antiqua" w:hAnsi="Book Antiqua"/>
          <w:noProof/>
          <w:sz w:val="24"/>
          <w:szCs w:val="24"/>
          <w:vertAlign w:val="superscript"/>
          <w:lang w:val="en-GB"/>
        </w:rPr>
        <w:t>[106]</w:t>
      </w:r>
      <w:r w:rsidR="00764191">
        <w:rPr>
          <w:rFonts w:ascii="Book Antiqua" w:hAnsi="Book Antiqua"/>
          <w:sz w:val="24"/>
          <w:szCs w:val="24"/>
          <w:lang w:val="en-GB"/>
        </w:rPr>
        <w:fldChar w:fldCharType="end"/>
      </w:r>
      <w:r>
        <w:rPr>
          <w:rFonts w:ascii="Book Antiqua" w:hAnsi="Book Antiqua"/>
          <w:sz w:val="24"/>
          <w:szCs w:val="24"/>
          <w:lang w:val="en-GB"/>
        </w:rPr>
        <w:t xml:space="preserve">. Primary end-points were patient mortality at 3, 6, and 12 mo after LT, PNF and EAD. The highest ALT, AST, INR and PT levels within the first 3 postoperative days and bilirubin on POD3 were found to reliably describe EAD. MEAF is calculated through a non-linear regression model and is completely calculable on POD3. </w:t>
      </w:r>
      <w:r w:rsidR="007757E2">
        <w:rPr>
          <w:rFonts w:ascii="Book Antiqua" w:hAnsi="Book Antiqua"/>
          <w:sz w:val="24"/>
          <w:szCs w:val="24"/>
          <w:lang w:val="en-GB"/>
        </w:rPr>
        <w:t>S</w:t>
      </w:r>
      <w:r>
        <w:rPr>
          <w:rFonts w:ascii="Book Antiqua" w:hAnsi="Book Antiqua"/>
          <w:sz w:val="24"/>
          <w:szCs w:val="24"/>
          <w:lang w:val="en-GB"/>
        </w:rPr>
        <w:t>light evidence of correlation of the MEAF score with 3-mo mortality was found (</w:t>
      </w:r>
      <w:r w:rsidR="00EB5C93">
        <w:rPr>
          <w:rFonts w:ascii="Book Antiqua" w:hAnsi="Book Antiqua"/>
          <w:sz w:val="24"/>
          <w:szCs w:val="24"/>
          <w:lang w:val="en-GB"/>
        </w:rPr>
        <w:t>c</w:t>
      </w:r>
      <w:r>
        <w:rPr>
          <w:rFonts w:ascii="Book Antiqua" w:hAnsi="Book Antiqua"/>
          <w:sz w:val="24"/>
          <w:szCs w:val="24"/>
          <w:lang w:val="en-GB"/>
        </w:rPr>
        <w:t xml:space="preserve">onfidence </w:t>
      </w:r>
      <w:r w:rsidR="00EB5C93">
        <w:rPr>
          <w:rFonts w:ascii="Book Antiqua" w:hAnsi="Book Antiqua"/>
          <w:sz w:val="24"/>
          <w:szCs w:val="24"/>
          <w:lang w:val="en-GB"/>
        </w:rPr>
        <w:t>i</w:t>
      </w:r>
      <w:r>
        <w:rPr>
          <w:rFonts w:ascii="Book Antiqua" w:hAnsi="Book Antiqua"/>
          <w:sz w:val="24"/>
          <w:szCs w:val="24"/>
          <w:lang w:val="en-GB"/>
        </w:rPr>
        <w:t>nterval 1.01-1.41). However, the 3-mo mortality rate rose to 40.6% for patients with MEAF &gt; 8. A sharp increase in the development of PNF</w:t>
      </w:r>
      <w:r w:rsidR="00EB5C93">
        <w:rPr>
          <w:rFonts w:ascii="Book Antiqua" w:hAnsi="Book Antiqua"/>
          <w:sz w:val="24"/>
          <w:szCs w:val="24"/>
          <w:lang w:val="en-GB"/>
        </w:rPr>
        <w:t xml:space="preserve"> and EAD</w:t>
      </w:r>
      <w:r>
        <w:rPr>
          <w:rFonts w:ascii="Book Antiqua" w:hAnsi="Book Antiqua"/>
          <w:sz w:val="24"/>
          <w:szCs w:val="24"/>
          <w:lang w:val="en-GB"/>
        </w:rPr>
        <w:t xml:space="preserve"> was registered for those with MEAF&gt;7. Significant correlation of MEAF with ICU and hospital stay was also found. All data were confirmed</w:t>
      </w:r>
      <w:r w:rsidR="00EB5C93">
        <w:rPr>
          <w:rFonts w:ascii="Book Antiqua" w:hAnsi="Book Antiqua"/>
          <w:sz w:val="24"/>
          <w:szCs w:val="24"/>
          <w:lang w:val="en-GB"/>
        </w:rPr>
        <w:t xml:space="preserve"> and strengthened</w:t>
      </w:r>
      <w:r>
        <w:rPr>
          <w:rFonts w:ascii="Book Antiqua" w:hAnsi="Book Antiqua"/>
          <w:sz w:val="24"/>
          <w:szCs w:val="24"/>
          <w:lang w:val="en-GB"/>
        </w:rPr>
        <w:t xml:space="preserve"> in the validation cohort. </w:t>
      </w:r>
      <w:r w:rsidR="00EB5C93">
        <w:rPr>
          <w:rFonts w:ascii="Book Antiqua" w:hAnsi="Book Antiqua"/>
          <w:sz w:val="24"/>
          <w:szCs w:val="24"/>
          <w:lang w:val="en-GB"/>
        </w:rPr>
        <w:t>T</w:t>
      </w:r>
      <w:r>
        <w:rPr>
          <w:rFonts w:ascii="Book Antiqua" w:hAnsi="Book Antiqua"/>
          <w:sz w:val="24"/>
          <w:szCs w:val="24"/>
          <w:lang w:val="en-GB"/>
        </w:rPr>
        <w:t>he nature of MEAF makes it a more flexible tool than those using pre-established cut-offs, likely increasing its value with respect to older EAD definitions.</w:t>
      </w:r>
    </w:p>
    <w:p w14:paraId="2E20828B" w14:textId="4B982E17" w:rsidR="00B122DF" w:rsidRDefault="00B122DF" w:rsidP="00422EBA">
      <w:pPr>
        <w:adjustRightInd w:val="0"/>
        <w:snapToGrid w:val="0"/>
        <w:spacing w:after="0" w:line="360" w:lineRule="auto"/>
        <w:ind w:firstLineChars="200" w:firstLine="480"/>
        <w:jc w:val="both"/>
        <w:rPr>
          <w:rFonts w:ascii="Book Antiqua" w:hAnsi="Book Antiqua"/>
          <w:sz w:val="24"/>
          <w:szCs w:val="24"/>
          <w:lang w:val="en-GB"/>
        </w:rPr>
      </w:pPr>
      <w:r>
        <w:rPr>
          <w:rFonts w:ascii="Book Antiqua" w:hAnsi="Book Antiqua"/>
          <w:sz w:val="24"/>
          <w:szCs w:val="24"/>
          <w:lang w:val="en-GB"/>
        </w:rPr>
        <w:t>The simplicity of this model and its rapid applicability on POD3 make it a suitable candidate for predicting PNF, 3-month graft loss and patient mortality.</w:t>
      </w:r>
    </w:p>
    <w:p w14:paraId="50F667D4" w14:textId="77777777" w:rsidR="00764191" w:rsidRDefault="00764191" w:rsidP="00422EBA">
      <w:pPr>
        <w:adjustRightInd w:val="0"/>
        <w:snapToGrid w:val="0"/>
        <w:spacing w:after="0" w:line="360" w:lineRule="auto"/>
        <w:jc w:val="both"/>
        <w:rPr>
          <w:rFonts w:ascii="Book Antiqua" w:eastAsiaTheme="minorEastAsia" w:hAnsi="Book Antiqua"/>
          <w:b/>
          <w:sz w:val="24"/>
          <w:szCs w:val="24"/>
          <w:lang w:val="en-GB" w:eastAsia="zh-CN"/>
        </w:rPr>
      </w:pPr>
    </w:p>
    <w:p w14:paraId="303CCDBD" w14:textId="6DA9901E" w:rsidR="00B122DF" w:rsidRPr="00764191" w:rsidRDefault="00764191" w:rsidP="00422EBA">
      <w:pPr>
        <w:adjustRightInd w:val="0"/>
        <w:snapToGrid w:val="0"/>
        <w:spacing w:after="0" w:line="360" w:lineRule="auto"/>
        <w:jc w:val="both"/>
        <w:rPr>
          <w:rFonts w:ascii="Book Antiqua" w:eastAsiaTheme="minorEastAsia" w:hAnsi="Book Antiqua"/>
          <w:b/>
          <w:caps/>
          <w:sz w:val="24"/>
          <w:szCs w:val="24"/>
          <w:lang w:val="en-GB" w:eastAsia="zh-CN"/>
        </w:rPr>
      </w:pPr>
      <w:r w:rsidRPr="00764191">
        <w:rPr>
          <w:rFonts w:ascii="Book Antiqua" w:hAnsi="Book Antiqua"/>
          <w:b/>
          <w:caps/>
          <w:sz w:val="24"/>
          <w:szCs w:val="24"/>
          <w:lang w:val="en-GB"/>
        </w:rPr>
        <w:t>Conclusion</w:t>
      </w:r>
    </w:p>
    <w:p w14:paraId="47B39F36" w14:textId="4AB133E3" w:rsidR="00B122DF" w:rsidRDefault="00B122DF" w:rsidP="00422EBA">
      <w:pPr>
        <w:adjustRightInd w:val="0"/>
        <w:snapToGrid w:val="0"/>
        <w:spacing w:after="0" w:line="360" w:lineRule="auto"/>
        <w:jc w:val="both"/>
        <w:rPr>
          <w:rFonts w:ascii="Book Antiqua" w:hAnsi="Book Antiqua"/>
          <w:sz w:val="24"/>
          <w:szCs w:val="24"/>
          <w:lang w:val="en-GB"/>
        </w:rPr>
      </w:pPr>
      <w:r>
        <w:rPr>
          <w:rFonts w:ascii="Book Antiqua" w:hAnsi="Book Antiqua"/>
          <w:sz w:val="24"/>
          <w:szCs w:val="24"/>
          <w:lang w:val="en-GB"/>
        </w:rPr>
        <w:t>Although there are a wide variety of laboratory and functional tests available to directly or indirectly quantify graft function after LT, it is still difficult to predict graft and patient survival after this major surgical intervention.</w:t>
      </w:r>
      <w:r w:rsidR="009A0136">
        <w:rPr>
          <w:rFonts w:ascii="Book Antiqua" w:hAnsi="Book Antiqua"/>
          <w:sz w:val="24"/>
          <w:szCs w:val="24"/>
          <w:lang w:val="en-GB"/>
        </w:rPr>
        <w:t xml:space="preserve"> Many efforts were made to individuate diagnostic EAD criteria or critical patient conditions early (within the first few PODs), which might be essential for a successful outcome of LT. </w:t>
      </w:r>
      <w:r>
        <w:rPr>
          <w:rFonts w:ascii="Book Antiqua" w:hAnsi="Book Antiqua"/>
          <w:sz w:val="24"/>
          <w:szCs w:val="24"/>
          <w:lang w:val="en-GB"/>
        </w:rPr>
        <w:t xml:space="preserve"> </w:t>
      </w:r>
      <w:r w:rsidR="00EC1051">
        <w:rPr>
          <w:rFonts w:ascii="Book Antiqua" w:hAnsi="Book Antiqua"/>
          <w:sz w:val="24"/>
          <w:szCs w:val="24"/>
          <w:lang w:val="en-GB"/>
        </w:rPr>
        <w:t>R</w:t>
      </w:r>
      <w:r>
        <w:rPr>
          <w:rFonts w:ascii="Book Antiqua" w:hAnsi="Book Antiqua"/>
          <w:sz w:val="24"/>
          <w:szCs w:val="24"/>
          <w:lang w:val="en-GB"/>
        </w:rPr>
        <w:t>apid and precise instruments to understand initial graft function and other comorbidities affecting the recipient could guide the medical staff to more effective, and aggressive when necessary, strategies to support both liver and general condition after LT. Encouraging results come from</w:t>
      </w:r>
      <w:r w:rsidR="00EC1051">
        <w:rPr>
          <w:rFonts w:ascii="Book Antiqua" w:hAnsi="Book Antiqua"/>
          <w:sz w:val="24"/>
          <w:szCs w:val="24"/>
          <w:lang w:val="en-GB"/>
        </w:rPr>
        <w:t xml:space="preserve"> functional tests like</w:t>
      </w:r>
      <w:r>
        <w:rPr>
          <w:rFonts w:ascii="Book Antiqua" w:hAnsi="Book Antiqua"/>
          <w:sz w:val="24"/>
          <w:szCs w:val="24"/>
          <w:lang w:val="en-GB"/>
        </w:rPr>
        <w:t xml:space="preserve"> LiMax test </w:t>
      </w:r>
      <w:r w:rsidR="00EC1051">
        <w:rPr>
          <w:rFonts w:ascii="Book Antiqua" w:hAnsi="Book Antiqua"/>
          <w:sz w:val="24"/>
          <w:szCs w:val="24"/>
          <w:lang w:val="en-GB"/>
        </w:rPr>
        <w:t>and</w:t>
      </w:r>
      <w:r w:rsidR="00D4493F">
        <w:rPr>
          <w:rFonts w:ascii="Book Antiqua" w:hAnsi="Book Antiqua"/>
          <w:sz w:val="24"/>
          <w:szCs w:val="24"/>
          <w:lang w:val="en-GB"/>
        </w:rPr>
        <w:t xml:space="preserve"> </w:t>
      </w:r>
      <w:r>
        <w:rPr>
          <w:rFonts w:ascii="Book Antiqua" w:hAnsi="Book Antiqua"/>
          <w:sz w:val="24"/>
          <w:szCs w:val="24"/>
          <w:lang w:val="en-GB"/>
        </w:rPr>
        <w:t xml:space="preserve">ICG-PDR </w:t>
      </w:r>
      <w:r w:rsidR="00EC1051">
        <w:rPr>
          <w:rFonts w:ascii="Book Antiqua" w:hAnsi="Book Antiqua"/>
          <w:sz w:val="24"/>
          <w:szCs w:val="24"/>
          <w:lang w:val="en-GB"/>
        </w:rPr>
        <w:t xml:space="preserve">which could not only predict the outcome but even indicate the best therapeutich decisions. </w:t>
      </w:r>
      <w:r>
        <w:rPr>
          <w:rFonts w:ascii="Book Antiqua" w:hAnsi="Book Antiqua"/>
          <w:sz w:val="24"/>
          <w:szCs w:val="24"/>
          <w:lang w:val="en-GB"/>
        </w:rPr>
        <w:t>Although several limitations and contradictions have been illustrated</w:t>
      </w:r>
      <w:r w:rsidR="00EC1051">
        <w:rPr>
          <w:rFonts w:ascii="Book Antiqua" w:hAnsi="Book Antiqua"/>
          <w:sz w:val="24"/>
          <w:szCs w:val="24"/>
          <w:lang w:val="en-GB"/>
        </w:rPr>
        <w:t>,</w:t>
      </w:r>
      <w:r>
        <w:rPr>
          <w:rFonts w:ascii="Book Antiqua" w:hAnsi="Book Antiqua"/>
          <w:sz w:val="24"/>
          <w:szCs w:val="24"/>
          <w:lang w:val="en-GB"/>
        </w:rPr>
        <w:t xml:space="preserve"> MEAF and other scoring systems, might become reliable, simple and cheap predictors during the first PODs.</w:t>
      </w:r>
    </w:p>
    <w:p w14:paraId="1D0ABD7F" w14:textId="77777777" w:rsidR="00764191" w:rsidRDefault="00B122DF" w:rsidP="00422EBA">
      <w:pPr>
        <w:adjustRightInd w:val="0"/>
        <w:snapToGrid w:val="0"/>
        <w:spacing w:after="0" w:line="360" w:lineRule="auto"/>
        <w:ind w:firstLineChars="200" w:firstLine="480"/>
        <w:jc w:val="both"/>
        <w:rPr>
          <w:rFonts w:ascii="Book Antiqua" w:eastAsiaTheme="minorEastAsia" w:hAnsi="Book Antiqua"/>
          <w:sz w:val="24"/>
          <w:szCs w:val="24"/>
          <w:lang w:val="en-GB" w:eastAsia="zh-CN"/>
        </w:rPr>
      </w:pPr>
      <w:r>
        <w:rPr>
          <w:rFonts w:ascii="Book Antiqua" w:hAnsi="Book Antiqua"/>
          <w:sz w:val="24"/>
          <w:szCs w:val="24"/>
          <w:lang w:val="en-GB"/>
        </w:rPr>
        <w:t>Unfortunately, few techniques have revealed consistent initial results</w:t>
      </w:r>
      <w:r w:rsidR="009A0136">
        <w:rPr>
          <w:rFonts w:ascii="Book Antiqua" w:hAnsi="Book Antiqua"/>
          <w:sz w:val="24"/>
          <w:szCs w:val="24"/>
          <w:lang w:val="en-GB"/>
        </w:rPr>
        <w:t xml:space="preserve"> probably </w:t>
      </w:r>
      <w:r w:rsidR="001209C9">
        <w:rPr>
          <w:rFonts w:ascii="Book Antiqua" w:hAnsi="Book Antiqua"/>
          <w:sz w:val="24"/>
          <w:szCs w:val="24"/>
          <w:lang w:val="en-GB"/>
        </w:rPr>
        <w:t>for</w:t>
      </w:r>
      <w:r w:rsidR="009A0136">
        <w:rPr>
          <w:rFonts w:ascii="Book Antiqua" w:hAnsi="Book Antiqua"/>
          <w:sz w:val="24"/>
          <w:szCs w:val="24"/>
          <w:lang w:val="en-GB"/>
        </w:rPr>
        <w:t xml:space="preserve"> their retrospective, monocentric nature, for the small number of subjects studied and for the low predictive power.</w:t>
      </w:r>
      <w:r>
        <w:rPr>
          <w:rFonts w:ascii="Book Antiqua" w:hAnsi="Book Antiqua"/>
          <w:sz w:val="24"/>
          <w:szCs w:val="24"/>
          <w:lang w:val="en-GB"/>
        </w:rPr>
        <w:t xml:space="preserve"> </w:t>
      </w:r>
      <w:r w:rsidR="007D7ACC" w:rsidRPr="00F26BF6">
        <w:rPr>
          <w:rFonts w:ascii="Book Antiqua" w:hAnsi="Book Antiqua"/>
          <w:sz w:val="24"/>
          <w:szCs w:val="24"/>
          <w:lang w:val="en-GB"/>
        </w:rPr>
        <w:t xml:space="preserve">The lack of unique definitions of reference values and </w:t>
      </w:r>
      <w:r w:rsidR="007D7ACC" w:rsidRPr="00F26BF6">
        <w:rPr>
          <w:rFonts w:ascii="Book Antiqua" w:hAnsi="Book Antiqua"/>
          <w:sz w:val="24"/>
          <w:szCs w:val="24"/>
          <w:lang w:val="en-GB"/>
        </w:rPr>
        <w:lastRenderedPageBreak/>
        <w:t xml:space="preserve">occasional high economical costs also limit their usage. By critically considering the statistics and the clinical samples reported in this review, it might be possible to integrate different scoring systems and functional tools, </w:t>
      </w:r>
      <w:r w:rsidR="001209C9">
        <w:rPr>
          <w:rFonts w:ascii="Book Antiqua" w:hAnsi="Book Antiqua"/>
          <w:sz w:val="24"/>
          <w:szCs w:val="24"/>
          <w:lang w:val="en-GB"/>
        </w:rPr>
        <w:t>instead of using single indices, to better assess early graft function</w:t>
      </w:r>
      <w:r w:rsidR="001209C9" w:rsidRPr="001209C9">
        <w:rPr>
          <w:rFonts w:ascii="Book Antiqua" w:hAnsi="Book Antiqua"/>
          <w:sz w:val="24"/>
          <w:szCs w:val="24"/>
          <w:lang w:val="en-GB"/>
        </w:rPr>
        <w:t xml:space="preserve"> </w:t>
      </w:r>
      <w:r w:rsidR="001209C9">
        <w:rPr>
          <w:rFonts w:ascii="Book Antiqua" w:hAnsi="Book Antiqua"/>
          <w:sz w:val="24"/>
          <w:szCs w:val="24"/>
          <w:lang w:val="en-GB"/>
        </w:rPr>
        <w:t>offering help in surgical and medical early postoperative patient management.</w:t>
      </w:r>
      <w:r w:rsidR="00CD2CDC">
        <w:rPr>
          <w:rFonts w:ascii="Book Antiqua" w:hAnsi="Book Antiqua"/>
          <w:sz w:val="24"/>
          <w:szCs w:val="24"/>
          <w:lang w:val="en-GB"/>
        </w:rPr>
        <w:t xml:space="preserve"> </w:t>
      </w:r>
      <w:r>
        <w:rPr>
          <w:rFonts w:ascii="Book Antiqua" w:hAnsi="Book Antiqua"/>
          <w:sz w:val="24"/>
          <w:szCs w:val="24"/>
          <w:lang w:val="en-GB"/>
        </w:rPr>
        <w:t>The creation of such a complex analysis is beyond the aims of this review and the possibilities of the authors. Multicentric prospective trials should be performed to avoid wasting the resources and clinical knowledge currently available.</w:t>
      </w:r>
    </w:p>
    <w:p w14:paraId="69FA25FB" w14:textId="77777777" w:rsidR="00764191" w:rsidRDefault="00764191" w:rsidP="00422EBA">
      <w:pPr>
        <w:adjustRightInd w:val="0"/>
        <w:snapToGrid w:val="0"/>
        <w:spacing w:after="0" w:line="360" w:lineRule="auto"/>
        <w:ind w:firstLineChars="200" w:firstLine="480"/>
        <w:jc w:val="both"/>
        <w:rPr>
          <w:rFonts w:ascii="Book Antiqua" w:eastAsiaTheme="minorEastAsia" w:hAnsi="Book Antiqua"/>
          <w:sz w:val="24"/>
          <w:szCs w:val="24"/>
          <w:lang w:val="en-GB" w:eastAsia="zh-CN"/>
        </w:rPr>
      </w:pPr>
    </w:p>
    <w:p w14:paraId="6D7321CF" w14:textId="40146882" w:rsidR="00B20CC6" w:rsidRDefault="00B20CC6" w:rsidP="00422EBA">
      <w:pPr>
        <w:adjustRightInd w:val="0"/>
        <w:snapToGrid w:val="0"/>
        <w:spacing w:after="0" w:line="360" w:lineRule="auto"/>
        <w:ind w:firstLineChars="200" w:firstLine="480"/>
        <w:jc w:val="both"/>
        <w:rPr>
          <w:rFonts w:ascii="Book Antiqua" w:hAnsi="Book Antiqua"/>
          <w:sz w:val="24"/>
          <w:szCs w:val="24"/>
          <w:lang w:val="en-GB"/>
        </w:rPr>
      </w:pPr>
      <w:r>
        <w:rPr>
          <w:rFonts w:ascii="Book Antiqua" w:hAnsi="Book Antiqua"/>
          <w:sz w:val="24"/>
          <w:szCs w:val="24"/>
          <w:lang w:val="en-GB"/>
        </w:rPr>
        <w:br w:type="page"/>
      </w:r>
    </w:p>
    <w:p w14:paraId="74E4FAC2" w14:textId="78C06222" w:rsidR="0044030A" w:rsidRDefault="0044030A" w:rsidP="00422EBA">
      <w:pPr>
        <w:widowControl w:val="0"/>
        <w:autoSpaceDE w:val="0"/>
        <w:autoSpaceDN w:val="0"/>
        <w:adjustRightInd w:val="0"/>
        <w:snapToGrid w:val="0"/>
        <w:spacing w:after="0" w:line="360" w:lineRule="auto"/>
        <w:jc w:val="both"/>
        <w:rPr>
          <w:rFonts w:ascii="Book Antiqua" w:eastAsiaTheme="minorEastAsia" w:hAnsi="Book Antiqua"/>
          <w:b/>
          <w:caps/>
          <w:sz w:val="24"/>
          <w:szCs w:val="24"/>
          <w:lang w:val="en-GB" w:eastAsia="zh-CN"/>
        </w:rPr>
      </w:pPr>
      <w:r w:rsidRPr="00764191">
        <w:rPr>
          <w:rFonts w:ascii="Book Antiqua" w:hAnsi="Book Antiqua"/>
          <w:b/>
          <w:caps/>
          <w:sz w:val="24"/>
          <w:szCs w:val="24"/>
          <w:lang w:val="en-GB"/>
        </w:rPr>
        <w:lastRenderedPageBreak/>
        <w:t>References</w:t>
      </w:r>
    </w:p>
    <w:p w14:paraId="3D2DFD50" w14:textId="77777777" w:rsidR="00422EBA" w:rsidRPr="006F7827" w:rsidRDefault="00422EBA" w:rsidP="00422EBA">
      <w:pPr>
        <w:spacing w:after="0" w:line="360" w:lineRule="auto"/>
        <w:jc w:val="both"/>
        <w:rPr>
          <w:rFonts w:ascii="Book Antiqua" w:eastAsia="SimSun" w:hAnsi="Book Antiqua" w:cs="SimSun"/>
          <w:color w:val="000000"/>
          <w:sz w:val="24"/>
          <w:szCs w:val="24"/>
        </w:rPr>
      </w:pPr>
      <w:r w:rsidRPr="006F7827">
        <w:rPr>
          <w:rFonts w:ascii="Book Antiqua" w:eastAsia="SimSun" w:hAnsi="Book Antiqua" w:cs="SimSun"/>
          <w:color w:val="000000"/>
          <w:sz w:val="24"/>
          <w:szCs w:val="24"/>
        </w:rPr>
        <w:t>1 </w:t>
      </w:r>
      <w:r w:rsidRPr="006F7827">
        <w:rPr>
          <w:rFonts w:ascii="Book Antiqua" w:eastAsia="SimSun" w:hAnsi="Book Antiqua" w:cs="SimSun"/>
          <w:b/>
          <w:bCs/>
          <w:color w:val="000000"/>
          <w:sz w:val="24"/>
          <w:szCs w:val="24"/>
        </w:rPr>
        <w:t>Martin P</w:t>
      </w:r>
      <w:r w:rsidRPr="006F7827">
        <w:rPr>
          <w:rFonts w:ascii="Book Antiqua" w:eastAsia="SimSun" w:hAnsi="Book Antiqua" w:cs="SimSun"/>
          <w:color w:val="000000"/>
          <w:sz w:val="24"/>
          <w:szCs w:val="24"/>
        </w:rPr>
        <w:t>, DiMartini A, Feng S, Brown R, Fallon M. Evaluation for liver transplantation in adults: 2013 practice guideline by the American Association for the Study of Liver Diseases and the American Society of Transplantation. </w:t>
      </w:r>
      <w:r w:rsidRPr="006F7827">
        <w:rPr>
          <w:rFonts w:ascii="Book Antiqua" w:eastAsia="SimSun" w:hAnsi="Book Antiqua" w:cs="SimSun"/>
          <w:i/>
          <w:iCs/>
          <w:color w:val="000000"/>
          <w:sz w:val="24"/>
          <w:szCs w:val="24"/>
        </w:rPr>
        <w:t>Hepatology</w:t>
      </w:r>
      <w:r w:rsidRPr="006F7827">
        <w:rPr>
          <w:rFonts w:ascii="Book Antiqua" w:eastAsia="SimSun" w:hAnsi="Book Antiqua" w:cs="SimSun"/>
          <w:color w:val="000000"/>
          <w:sz w:val="24"/>
          <w:szCs w:val="24"/>
        </w:rPr>
        <w:t> 2014; </w:t>
      </w:r>
      <w:r w:rsidRPr="006F7827">
        <w:rPr>
          <w:rFonts w:ascii="Book Antiqua" w:eastAsia="SimSun" w:hAnsi="Book Antiqua" w:cs="SimSun"/>
          <w:b/>
          <w:bCs/>
          <w:color w:val="000000"/>
          <w:sz w:val="24"/>
          <w:szCs w:val="24"/>
        </w:rPr>
        <w:t>59</w:t>
      </w:r>
      <w:r w:rsidRPr="006F7827">
        <w:rPr>
          <w:rFonts w:ascii="Book Antiqua" w:eastAsia="SimSun" w:hAnsi="Book Antiqua" w:cs="SimSun"/>
          <w:color w:val="000000"/>
          <w:sz w:val="24"/>
          <w:szCs w:val="24"/>
        </w:rPr>
        <w:t>: 1144-1165 [PMID: 24716201]</w:t>
      </w:r>
    </w:p>
    <w:p w14:paraId="285BA860" w14:textId="77777777" w:rsidR="00422EBA" w:rsidRPr="006F7827" w:rsidRDefault="00422EBA" w:rsidP="00422EBA">
      <w:pPr>
        <w:spacing w:after="0" w:line="360" w:lineRule="auto"/>
        <w:jc w:val="both"/>
        <w:rPr>
          <w:rFonts w:ascii="Book Antiqua" w:eastAsia="SimSun" w:hAnsi="Book Antiqua" w:cs="SimSun"/>
          <w:color w:val="000000"/>
          <w:sz w:val="24"/>
          <w:szCs w:val="24"/>
        </w:rPr>
      </w:pPr>
      <w:r w:rsidRPr="006F7827">
        <w:rPr>
          <w:rFonts w:ascii="Book Antiqua" w:eastAsia="SimSun" w:hAnsi="Book Antiqua" w:cs="SimSun"/>
          <w:color w:val="000000"/>
          <w:sz w:val="24"/>
          <w:szCs w:val="24"/>
        </w:rPr>
        <w:t>2</w:t>
      </w:r>
      <w:r w:rsidRPr="006F7827">
        <w:rPr>
          <w:rFonts w:ascii="Book Antiqua" w:eastAsia="SimSun" w:hAnsi="Book Antiqua" w:cs="SimSun"/>
          <w:b/>
          <w:color w:val="000000"/>
          <w:sz w:val="24"/>
          <w:szCs w:val="24"/>
        </w:rPr>
        <w:t xml:space="preserve"> European Association for the Study of the Liver</w:t>
      </w:r>
      <w:r w:rsidRPr="006F7827">
        <w:rPr>
          <w:rFonts w:ascii="Book Antiqua" w:eastAsia="SimSun" w:hAnsi="Book Antiqua" w:cs="SimSun"/>
          <w:color w:val="000000"/>
          <w:sz w:val="24"/>
          <w:szCs w:val="24"/>
        </w:rPr>
        <w:t>. Electronic address: easloffice@easloffice.eu. EASL Clinical Practice Guidelines: Liver transplantation. </w:t>
      </w:r>
      <w:r w:rsidRPr="006F7827">
        <w:rPr>
          <w:rFonts w:ascii="Book Antiqua" w:eastAsia="SimSun" w:hAnsi="Book Antiqua" w:cs="SimSun"/>
          <w:i/>
          <w:iCs/>
          <w:color w:val="000000"/>
          <w:sz w:val="24"/>
          <w:szCs w:val="24"/>
        </w:rPr>
        <w:t>J Hepatol</w:t>
      </w:r>
      <w:r w:rsidRPr="006F7827">
        <w:rPr>
          <w:rFonts w:ascii="Book Antiqua" w:eastAsia="SimSun" w:hAnsi="Book Antiqua" w:cs="SimSun"/>
          <w:color w:val="000000"/>
          <w:sz w:val="24"/>
          <w:szCs w:val="24"/>
        </w:rPr>
        <w:t> 2016; </w:t>
      </w:r>
      <w:r w:rsidRPr="006F7827">
        <w:rPr>
          <w:rFonts w:ascii="Book Antiqua" w:eastAsia="SimSun" w:hAnsi="Book Antiqua" w:cs="SimSun"/>
          <w:b/>
          <w:bCs/>
          <w:color w:val="000000"/>
          <w:sz w:val="24"/>
          <w:szCs w:val="24"/>
        </w:rPr>
        <w:t>64</w:t>
      </w:r>
      <w:r w:rsidRPr="006F7827">
        <w:rPr>
          <w:rFonts w:ascii="Book Antiqua" w:eastAsia="SimSun" w:hAnsi="Book Antiqua" w:cs="SimSun"/>
          <w:color w:val="000000"/>
          <w:sz w:val="24"/>
          <w:szCs w:val="24"/>
        </w:rPr>
        <w:t>: 433-485 [PMID: 26597456 DOI: 10.1016/j.jhep.2015.10.006]</w:t>
      </w:r>
    </w:p>
    <w:p w14:paraId="5F573B32" w14:textId="77777777" w:rsidR="00422EBA" w:rsidRPr="006F7827" w:rsidRDefault="00422EBA" w:rsidP="00422EBA">
      <w:pPr>
        <w:spacing w:after="0" w:line="360" w:lineRule="auto"/>
        <w:jc w:val="both"/>
        <w:rPr>
          <w:rFonts w:ascii="Book Antiqua" w:eastAsia="SimSun" w:hAnsi="Book Antiqua" w:cs="SimSun"/>
          <w:color w:val="000000"/>
          <w:sz w:val="24"/>
          <w:szCs w:val="24"/>
        </w:rPr>
      </w:pPr>
      <w:r w:rsidRPr="006F7827">
        <w:rPr>
          <w:rFonts w:ascii="Book Antiqua" w:eastAsia="SimSun" w:hAnsi="Book Antiqua" w:cs="SimSun"/>
          <w:color w:val="000000"/>
          <w:sz w:val="24"/>
          <w:szCs w:val="24"/>
        </w:rPr>
        <w:t>3 </w:t>
      </w:r>
      <w:r w:rsidRPr="006F7827">
        <w:rPr>
          <w:rFonts w:ascii="Book Antiqua" w:eastAsia="SimSun" w:hAnsi="Book Antiqua" w:cs="SimSun"/>
          <w:b/>
          <w:bCs/>
          <w:color w:val="000000"/>
          <w:sz w:val="24"/>
          <w:szCs w:val="24"/>
        </w:rPr>
        <w:t>Wiesner R</w:t>
      </w:r>
      <w:r w:rsidRPr="006F7827">
        <w:rPr>
          <w:rFonts w:ascii="Book Antiqua" w:eastAsia="SimSun" w:hAnsi="Book Antiqua" w:cs="SimSun"/>
          <w:color w:val="000000"/>
          <w:sz w:val="24"/>
          <w:szCs w:val="24"/>
        </w:rPr>
        <w:t>, Edwards E, Freeman R, Harper A, Kim R, Kamath P, Kremers W, Lake J, Howard T, Merion RM, Wolfe RA, Krom R. Model for end-stage liver disease (MELD) and allocation of donor livers. </w:t>
      </w:r>
      <w:r w:rsidRPr="006F7827">
        <w:rPr>
          <w:rFonts w:ascii="Book Antiqua" w:eastAsia="SimSun" w:hAnsi="Book Antiqua" w:cs="SimSun"/>
          <w:i/>
          <w:iCs/>
          <w:color w:val="000000"/>
          <w:sz w:val="24"/>
          <w:szCs w:val="24"/>
        </w:rPr>
        <w:t>Gastroenterology</w:t>
      </w:r>
      <w:r w:rsidRPr="006F7827">
        <w:rPr>
          <w:rFonts w:ascii="Book Antiqua" w:eastAsia="SimSun" w:hAnsi="Book Antiqua" w:cs="SimSun"/>
          <w:color w:val="000000"/>
          <w:sz w:val="24"/>
          <w:szCs w:val="24"/>
        </w:rPr>
        <w:t> 2003; </w:t>
      </w:r>
      <w:r w:rsidRPr="006F7827">
        <w:rPr>
          <w:rFonts w:ascii="Book Antiqua" w:eastAsia="SimSun" w:hAnsi="Book Antiqua" w:cs="SimSun"/>
          <w:b/>
          <w:bCs/>
          <w:color w:val="000000"/>
          <w:sz w:val="24"/>
          <w:szCs w:val="24"/>
        </w:rPr>
        <w:t>124</w:t>
      </w:r>
      <w:r w:rsidRPr="006F7827">
        <w:rPr>
          <w:rFonts w:ascii="Book Antiqua" w:eastAsia="SimSun" w:hAnsi="Book Antiqua" w:cs="SimSun"/>
          <w:color w:val="000000"/>
          <w:sz w:val="24"/>
          <w:szCs w:val="24"/>
        </w:rPr>
        <w:t>: 91-96 [PMID: 12512033 DOI: 10.1053/gast.2003.50016]</w:t>
      </w:r>
    </w:p>
    <w:p w14:paraId="3086E294" w14:textId="77777777" w:rsidR="00422EBA" w:rsidRPr="006F7827" w:rsidRDefault="00422EBA" w:rsidP="00422EBA">
      <w:pPr>
        <w:spacing w:after="0" w:line="360" w:lineRule="auto"/>
        <w:jc w:val="both"/>
        <w:rPr>
          <w:rFonts w:ascii="Book Antiqua" w:eastAsia="SimSun" w:hAnsi="Book Antiqua" w:cs="SimSun"/>
          <w:color w:val="000000"/>
          <w:sz w:val="24"/>
          <w:szCs w:val="24"/>
        </w:rPr>
      </w:pPr>
      <w:r w:rsidRPr="006F7827">
        <w:rPr>
          <w:rFonts w:ascii="Book Antiqua" w:eastAsia="SimSun" w:hAnsi="Book Antiqua" w:cs="SimSun"/>
          <w:color w:val="000000"/>
          <w:sz w:val="24"/>
          <w:szCs w:val="24"/>
        </w:rPr>
        <w:t>4 </w:t>
      </w:r>
      <w:r w:rsidRPr="006F7827">
        <w:rPr>
          <w:rFonts w:ascii="Book Antiqua" w:eastAsia="SimSun" w:hAnsi="Book Antiqua" w:cs="SimSun"/>
          <w:b/>
          <w:bCs/>
          <w:color w:val="000000"/>
          <w:sz w:val="24"/>
          <w:szCs w:val="24"/>
        </w:rPr>
        <w:t>Maluf DG</w:t>
      </w:r>
      <w:r w:rsidRPr="006F7827">
        <w:rPr>
          <w:rFonts w:ascii="Book Antiqua" w:eastAsia="SimSun" w:hAnsi="Book Antiqua" w:cs="SimSun"/>
          <w:color w:val="000000"/>
          <w:sz w:val="24"/>
          <w:szCs w:val="24"/>
        </w:rPr>
        <w:t>, Edwards EB, Kauffman HM. Utilization of extended donor criteria liver allograft: Is the elevated risk of failure independent of the model for end-stage liver disease score of the recipient? </w:t>
      </w:r>
      <w:r w:rsidRPr="006F7827">
        <w:rPr>
          <w:rFonts w:ascii="Book Antiqua" w:eastAsia="SimSun" w:hAnsi="Book Antiqua" w:cs="SimSun"/>
          <w:i/>
          <w:iCs/>
          <w:color w:val="000000"/>
          <w:sz w:val="24"/>
          <w:szCs w:val="24"/>
        </w:rPr>
        <w:t>Transplantation</w:t>
      </w:r>
      <w:r w:rsidRPr="006F7827">
        <w:rPr>
          <w:rFonts w:ascii="Book Antiqua" w:eastAsia="SimSun" w:hAnsi="Book Antiqua" w:cs="SimSun"/>
          <w:color w:val="000000"/>
          <w:sz w:val="24"/>
          <w:szCs w:val="24"/>
        </w:rPr>
        <w:t> 2006; </w:t>
      </w:r>
      <w:r w:rsidRPr="006F7827">
        <w:rPr>
          <w:rFonts w:ascii="Book Antiqua" w:eastAsia="SimSun" w:hAnsi="Book Antiqua" w:cs="SimSun"/>
          <w:b/>
          <w:bCs/>
          <w:color w:val="000000"/>
          <w:sz w:val="24"/>
          <w:szCs w:val="24"/>
        </w:rPr>
        <w:t>82</w:t>
      </w:r>
      <w:r w:rsidRPr="006F7827">
        <w:rPr>
          <w:rFonts w:ascii="Book Antiqua" w:eastAsia="SimSun" w:hAnsi="Book Antiqua" w:cs="SimSun"/>
          <w:color w:val="000000"/>
          <w:sz w:val="24"/>
          <w:szCs w:val="24"/>
        </w:rPr>
        <w:t>: 1653-1657 [PMID: 17198254 DOI: 10.1097/01.tp.0000250571.41361.21]</w:t>
      </w:r>
    </w:p>
    <w:p w14:paraId="41AF1372" w14:textId="77777777" w:rsidR="00422EBA" w:rsidRPr="006F7827" w:rsidRDefault="00422EBA" w:rsidP="00422EBA">
      <w:pPr>
        <w:spacing w:after="0" w:line="360" w:lineRule="auto"/>
        <w:jc w:val="both"/>
        <w:rPr>
          <w:rFonts w:ascii="Book Antiqua" w:eastAsia="SimSun" w:hAnsi="Book Antiqua" w:cs="SimSun"/>
          <w:color w:val="000000"/>
          <w:sz w:val="24"/>
          <w:szCs w:val="24"/>
        </w:rPr>
      </w:pPr>
      <w:r w:rsidRPr="006F7827">
        <w:rPr>
          <w:rFonts w:ascii="Book Antiqua" w:eastAsia="SimSun" w:hAnsi="Book Antiqua" w:cs="SimSun"/>
          <w:color w:val="000000"/>
          <w:sz w:val="24"/>
          <w:szCs w:val="24"/>
        </w:rPr>
        <w:t>5 </w:t>
      </w:r>
      <w:r w:rsidRPr="006F7827">
        <w:rPr>
          <w:rFonts w:ascii="Book Antiqua" w:eastAsia="SimSun" w:hAnsi="Book Antiqua" w:cs="SimSun"/>
          <w:b/>
          <w:bCs/>
          <w:color w:val="000000"/>
          <w:sz w:val="24"/>
          <w:szCs w:val="24"/>
        </w:rPr>
        <w:t>Bonney GK</w:t>
      </w:r>
      <w:r w:rsidRPr="006F7827">
        <w:rPr>
          <w:rFonts w:ascii="Book Antiqua" w:eastAsia="SimSun" w:hAnsi="Book Antiqua" w:cs="SimSun"/>
          <w:color w:val="000000"/>
          <w:sz w:val="24"/>
          <w:szCs w:val="24"/>
        </w:rPr>
        <w:t>, Aldersley MA, Asthana S, Toogood GJ, Pollard SG, Lodge JP, Prasad KR. Donor risk index and MELD interactions in predicting long-term graft survival: a single-centre experience. </w:t>
      </w:r>
      <w:r w:rsidRPr="006F7827">
        <w:rPr>
          <w:rFonts w:ascii="Book Antiqua" w:eastAsia="SimSun" w:hAnsi="Book Antiqua" w:cs="SimSun"/>
          <w:i/>
          <w:iCs/>
          <w:color w:val="000000"/>
          <w:sz w:val="24"/>
          <w:szCs w:val="24"/>
        </w:rPr>
        <w:t>Transplantation</w:t>
      </w:r>
      <w:r w:rsidRPr="006F7827">
        <w:rPr>
          <w:rFonts w:ascii="Book Antiqua" w:eastAsia="SimSun" w:hAnsi="Book Antiqua" w:cs="SimSun"/>
          <w:color w:val="000000"/>
          <w:sz w:val="24"/>
          <w:szCs w:val="24"/>
        </w:rPr>
        <w:t> 2009; </w:t>
      </w:r>
      <w:r w:rsidRPr="006F7827">
        <w:rPr>
          <w:rFonts w:ascii="Book Antiqua" w:eastAsia="SimSun" w:hAnsi="Book Antiqua" w:cs="SimSun"/>
          <w:b/>
          <w:bCs/>
          <w:color w:val="000000"/>
          <w:sz w:val="24"/>
          <w:szCs w:val="24"/>
        </w:rPr>
        <w:t>87</w:t>
      </w:r>
      <w:r w:rsidRPr="006F7827">
        <w:rPr>
          <w:rFonts w:ascii="Book Antiqua" w:eastAsia="SimSun" w:hAnsi="Book Antiqua" w:cs="SimSun"/>
          <w:color w:val="000000"/>
          <w:sz w:val="24"/>
          <w:szCs w:val="24"/>
        </w:rPr>
        <w:t>: 1858-1863 [PMID: 19543065 DOI: 10.1097/TP.0b013e3181a75b37]</w:t>
      </w:r>
    </w:p>
    <w:p w14:paraId="7489C16C" w14:textId="77777777" w:rsidR="00422EBA" w:rsidRPr="006F7827" w:rsidRDefault="00422EBA" w:rsidP="00422EBA">
      <w:pPr>
        <w:spacing w:after="0" w:line="360" w:lineRule="auto"/>
        <w:jc w:val="both"/>
        <w:rPr>
          <w:rFonts w:ascii="Book Antiqua" w:eastAsia="SimSun" w:hAnsi="Book Antiqua" w:cs="SimSun"/>
          <w:color w:val="000000"/>
          <w:sz w:val="24"/>
          <w:szCs w:val="24"/>
        </w:rPr>
      </w:pPr>
      <w:r w:rsidRPr="006F7827">
        <w:rPr>
          <w:rFonts w:ascii="Book Antiqua" w:eastAsia="SimSun" w:hAnsi="Book Antiqua" w:cs="SimSun"/>
          <w:color w:val="000000"/>
          <w:sz w:val="24"/>
          <w:szCs w:val="24"/>
        </w:rPr>
        <w:t>6 </w:t>
      </w:r>
      <w:r w:rsidRPr="006F7827">
        <w:rPr>
          <w:rFonts w:ascii="Book Antiqua" w:eastAsia="SimSun" w:hAnsi="Book Antiqua" w:cs="SimSun"/>
          <w:b/>
          <w:bCs/>
          <w:color w:val="000000"/>
          <w:sz w:val="24"/>
          <w:szCs w:val="24"/>
        </w:rPr>
        <w:t>Weismüller TJ</w:t>
      </w:r>
      <w:r w:rsidRPr="006F7827">
        <w:rPr>
          <w:rFonts w:ascii="Book Antiqua" w:eastAsia="SimSun" w:hAnsi="Book Antiqua" w:cs="SimSun"/>
          <w:color w:val="000000"/>
          <w:sz w:val="24"/>
          <w:szCs w:val="24"/>
        </w:rPr>
        <w:t>, Negm A, Becker T, Barg-Hock H, Klempnauer J, Manns MP, Strassburg CP. The introduction of MELD-based organ allocation impacts 3-month survival after liver transplantation by influencing pretransplant patient characteristics. </w:t>
      </w:r>
      <w:r w:rsidRPr="006F7827">
        <w:rPr>
          <w:rFonts w:ascii="Book Antiqua" w:eastAsia="SimSun" w:hAnsi="Book Antiqua" w:cs="SimSun"/>
          <w:i/>
          <w:iCs/>
          <w:color w:val="000000"/>
          <w:sz w:val="24"/>
          <w:szCs w:val="24"/>
        </w:rPr>
        <w:t>Transpl Int</w:t>
      </w:r>
      <w:r w:rsidRPr="006F7827">
        <w:rPr>
          <w:rFonts w:ascii="Book Antiqua" w:eastAsia="SimSun" w:hAnsi="Book Antiqua" w:cs="SimSun"/>
          <w:color w:val="000000"/>
          <w:sz w:val="24"/>
          <w:szCs w:val="24"/>
        </w:rPr>
        <w:t> 2009; </w:t>
      </w:r>
      <w:r w:rsidRPr="006F7827">
        <w:rPr>
          <w:rFonts w:ascii="Book Antiqua" w:eastAsia="SimSun" w:hAnsi="Book Antiqua" w:cs="SimSun"/>
          <w:b/>
          <w:bCs/>
          <w:color w:val="000000"/>
          <w:sz w:val="24"/>
          <w:szCs w:val="24"/>
        </w:rPr>
        <w:t>22</w:t>
      </w:r>
      <w:r w:rsidRPr="006F7827">
        <w:rPr>
          <w:rFonts w:ascii="Book Antiqua" w:eastAsia="SimSun" w:hAnsi="Book Antiqua" w:cs="SimSun"/>
          <w:color w:val="000000"/>
          <w:sz w:val="24"/>
          <w:szCs w:val="24"/>
        </w:rPr>
        <w:t>: 970-978 [PMID: 19619170 DOI: 10.1111/j.1432-2277.2009.00915.x]</w:t>
      </w:r>
    </w:p>
    <w:p w14:paraId="63CE313C" w14:textId="77777777" w:rsidR="00422EBA" w:rsidRPr="006F7827" w:rsidRDefault="00422EBA" w:rsidP="00422EBA">
      <w:pPr>
        <w:spacing w:after="0" w:line="360" w:lineRule="auto"/>
        <w:jc w:val="both"/>
        <w:rPr>
          <w:rFonts w:ascii="Book Antiqua" w:eastAsia="SimSun" w:hAnsi="Book Antiqua" w:cs="SimSun"/>
          <w:color w:val="000000"/>
          <w:sz w:val="24"/>
          <w:szCs w:val="24"/>
        </w:rPr>
      </w:pPr>
      <w:r w:rsidRPr="006F7827">
        <w:rPr>
          <w:rFonts w:ascii="Book Antiqua" w:eastAsia="SimSun" w:hAnsi="Book Antiqua" w:cs="SimSun"/>
          <w:color w:val="000000"/>
          <w:sz w:val="24"/>
          <w:szCs w:val="24"/>
        </w:rPr>
        <w:t>7 </w:t>
      </w:r>
      <w:r w:rsidRPr="006F7827">
        <w:rPr>
          <w:rFonts w:ascii="Book Antiqua" w:eastAsia="SimSun" w:hAnsi="Book Antiqua" w:cs="SimSun"/>
          <w:b/>
          <w:bCs/>
          <w:color w:val="000000"/>
          <w:sz w:val="24"/>
          <w:szCs w:val="24"/>
        </w:rPr>
        <w:t>Schlitt HJ</w:t>
      </w:r>
      <w:r w:rsidRPr="006F7827">
        <w:rPr>
          <w:rFonts w:ascii="Book Antiqua" w:eastAsia="SimSun" w:hAnsi="Book Antiqua" w:cs="SimSun"/>
          <w:color w:val="000000"/>
          <w:sz w:val="24"/>
          <w:szCs w:val="24"/>
        </w:rPr>
        <w:t>, Loss M, Scherer MN, Becker T, Jauch KW, Nashan B, Schmidt H, Settmacher U, Rogiers X, Neuhaus P, Strassburg C. [Current developments in liver transplantation in Germany: MELD-based organ allocation and incentives for transplant centres]. </w:t>
      </w:r>
      <w:r w:rsidRPr="006F7827">
        <w:rPr>
          <w:rFonts w:ascii="Book Antiqua" w:eastAsia="SimSun" w:hAnsi="Book Antiqua" w:cs="SimSun"/>
          <w:i/>
          <w:iCs/>
          <w:color w:val="000000"/>
          <w:sz w:val="24"/>
          <w:szCs w:val="24"/>
        </w:rPr>
        <w:t>Z Gastroenterol</w:t>
      </w:r>
      <w:r w:rsidRPr="006F7827">
        <w:rPr>
          <w:rFonts w:ascii="Book Antiqua" w:eastAsia="SimSun" w:hAnsi="Book Antiqua" w:cs="SimSun"/>
          <w:color w:val="000000"/>
          <w:sz w:val="24"/>
          <w:szCs w:val="24"/>
        </w:rPr>
        <w:t> 2011; </w:t>
      </w:r>
      <w:r w:rsidRPr="006F7827">
        <w:rPr>
          <w:rFonts w:ascii="Book Antiqua" w:eastAsia="SimSun" w:hAnsi="Book Antiqua" w:cs="SimSun"/>
          <w:b/>
          <w:bCs/>
          <w:color w:val="000000"/>
          <w:sz w:val="24"/>
          <w:szCs w:val="24"/>
        </w:rPr>
        <w:t>49</w:t>
      </w:r>
      <w:r w:rsidRPr="006F7827">
        <w:rPr>
          <w:rFonts w:ascii="Book Antiqua" w:eastAsia="SimSun" w:hAnsi="Book Antiqua" w:cs="SimSun"/>
          <w:color w:val="000000"/>
          <w:sz w:val="24"/>
          <w:szCs w:val="24"/>
        </w:rPr>
        <w:t>: 30-38 [PMID: 21225535 DOI: 10.1055/s-0029-1245946]</w:t>
      </w:r>
    </w:p>
    <w:p w14:paraId="7843C54D" w14:textId="77777777" w:rsidR="00422EBA" w:rsidRPr="006F7827" w:rsidRDefault="00422EBA" w:rsidP="00422EBA">
      <w:pPr>
        <w:spacing w:after="0" w:line="360" w:lineRule="auto"/>
        <w:jc w:val="both"/>
        <w:rPr>
          <w:rFonts w:ascii="Book Antiqua" w:eastAsia="SimSun" w:hAnsi="Book Antiqua" w:cs="SimSun"/>
          <w:color w:val="000000"/>
          <w:sz w:val="24"/>
          <w:szCs w:val="24"/>
        </w:rPr>
      </w:pPr>
      <w:r w:rsidRPr="006F7827">
        <w:rPr>
          <w:rFonts w:ascii="Book Antiqua" w:eastAsia="SimSun" w:hAnsi="Book Antiqua" w:cs="SimSun"/>
          <w:color w:val="000000"/>
          <w:sz w:val="24"/>
          <w:szCs w:val="24"/>
        </w:rPr>
        <w:t>8 </w:t>
      </w:r>
      <w:r w:rsidRPr="006F7827">
        <w:rPr>
          <w:rFonts w:ascii="Book Antiqua" w:eastAsia="SimSun" w:hAnsi="Book Antiqua" w:cs="SimSun"/>
          <w:b/>
          <w:bCs/>
          <w:color w:val="000000"/>
          <w:sz w:val="24"/>
          <w:szCs w:val="24"/>
        </w:rPr>
        <w:t>Lock JF</w:t>
      </w:r>
      <w:r w:rsidRPr="006F7827">
        <w:rPr>
          <w:rFonts w:ascii="Book Antiqua" w:eastAsia="SimSun" w:hAnsi="Book Antiqua" w:cs="SimSun"/>
          <w:color w:val="000000"/>
          <w:sz w:val="24"/>
          <w:szCs w:val="24"/>
        </w:rPr>
        <w:t>, Reinhold T, Malinowski M, Pratschke J, Neuhaus P, Stockmann M. The costs of postoperative liver failure and the economic impact of liver function capacity after extended liver resection--a single-center experience. </w:t>
      </w:r>
      <w:r w:rsidRPr="006F7827">
        <w:rPr>
          <w:rFonts w:ascii="Book Antiqua" w:eastAsia="SimSun" w:hAnsi="Book Antiqua" w:cs="SimSun"/>
          <w:i/>
          <w:iCs/>
          <w:color w:val="000000"/>
          <w:sz w:val="24"/>
          <w:szCs w:val="24"/>
        </w:rPr>
        <w:t>Langenbecks Arch Surg</w:t>
      </w:r>
      <w:r w:rsidRPr="006F7827">
        <w:rPr>
          <w:rFonts w:ascii="Book Antiqua" w:eastAsia="SimSun" w:hAnsi="Book Antiqua" w:cs="SimSun"/>
          <w:color w:val="000000"/>
          <w:sz w:val="24"/>
          <w:szCs w:val="24"/>
        </w:rPr>
        <w:t> 2009; </w:t>
      </w:r>
      <w:r w:rsidRPr="006F7827">
        <w:rPr>
          <w:rFonts w:ascii="Book Antiqua" w:eastAsia="SimSun" w:hAnsi="Book Antiqua" w:cs="SimSun"/>
          <w:b/>
          <w:bCs/>
          <w:color w:val="000000"/>
          <w:sz w:val="24"/>
          <w:szCs w:val="24"/>
        </w:rPr>
        <w:t>394</w:t>
      </w:r>
      <w:r w:rsidRPr="006F7827">
        <w:rPr>
          <w:rFonts w:ascii="Book Antiqua" w:eastAsia="SimSun" w:hAnsi="Book Antiqua" w:cs="SimSun"/>
          <w:color w:val="000000"/>
          <w:sz w:val="24"/>
          <w:szCs w:val="24"/>
        </w:rPr>
        <w:t>: 1047-1056 [PMID: 19533168 DOI: 10.1007/s00423-009-0518-4]</w:t>
      </w:r>
    </w:p>
    <w:p w14:paraId="5AF51A80" w14:textId="77777777" w:rsidR="00422EBA" w:rsidRPr="006F7827" w:rsidRDefault="00422EBA" w:rsidP="00422EBA">
      <w:pPr>
        <w:spacing w:after="0" w:line="360" w:lineRule="auto"/>
        <w:jc w:val="both"/>
        <w:rPr>
          <w:rFonts w:ascii="Book Antiqua" w:eastAsia="SimSun" w:hAnsi="Book Antiqua" w:cs="SimSun"/>
          <w:color w:val="000000"/>
          <w:sz w:val="24"/>
          <w:szCs w:val="24"/>
        </w:rPr>
      </w:pPr>
      <w:r w:rsidRPr="006F7827">
        <w:rPr>
          <w:rFonts w:ascii="Book Antiqua" w:eastAsia="SimSun" w:hAnsi="Book Antiqua" w:cs="SimSun"/>
          <w:color w:val="000000"/>
          <w:sz w:val="24"/>
          <w:szCs w:val="24"/>
        </w:rPr>
        <w:lastRenderedPageBreak/>
        <w:t>9 </w:t>
      </w:r>
      <w:r w:rsidRPr="006F7827">
        <w:rPr>
          <w:rFonts w:ascii="Book Antiqua" w:eastAsia="SimSun" w:hAnsi="Book Antiqua" w:cs="SimSun"/>
          <w:b/>
          <w:bCs/>
          <w:color w:val="000000"/>
          <w:sz w:val="24"/>
          <w:szCs w:val="24"/>
        </w:rPr>
        <w:t>Foxton MR</w:t>
      </w:r>
      <w:r w:rsidRPr="006F7827">
        <w:rPr>
          <w:rFonts w:ascii="Book Antiqua" w:eastAsia="SimSun" w:hAnsi="Book Antiqua" w:cs="SimSun"/>
          <w:color w:val="000000"/>
          <w:sz w:val="24"/>
          <w:szCs w:val="24"/>
        </w:rPr>
        <w:t>, Al-Freah MA, Portal AJ, Sizer E, Bernal W, Auzinger G, Rela M, Wendon JA, Heaton ND, O'Grady JG, Heneghan MA. Increased model for end-stage liver disease score at the time of liver transplant results in prolonged hospitalization and overall intensive care unit costs. </w:t>
      </w:r>
      <w:r w:rsidRPr="006F7827">
        <w:rPr>
          <w:rFonts w:ascii="Book Antiqua" w:eastAsia="SimSun" w:hAnsi="Book Antiqua" w:cs="SimSun"/>
          <w:i/>
          <w:iCs/>
          <w:color w:val="000000"/>
          <w:sz w:val="24"/>
          <w:szCs w:val="24"/>
        </w:rPr>
        <w:t>Liver Transpl</w:t>
      </w:r>
      <w:r w:rsidRPr="006F7827">
        <w:rPr>
          <w:rFonts w:ascii="Book Antiqua" w:eastAsia="SimSun" w:hAnsi="Book Antiqua" w:cs="SimSun"/>
          <w:color w:val="000000"/>
          <w:sz w:val="24"/>
          <w:szCs w:val="24"/>
        </w:rPr>
        <w:t> 2010; </w:t>
      </w:r>
      <w:r w:rsidRPr="006F7827">
        <w:rPr>
          <w:rFonts w:ascii="Book Antiqua" w:eastAsia="SimSun" w:hAnsi="Book Antiqua" w:cs="SimSun"/>
          <w:b/>
          <w:bCs/>
          <w:color w:val="000000"/>
          <w:sz w:val="24"/>
          <w:szCs w:val="24"/>
        </w:rPr>
        <w:t>16</w:t>
      </w:r>
      <w:r w:rsidRPr="006F7827">
        <w:rPr>
          <w:rFonts w:ascii="Book Antiqua" w:eastAsia="SimSun" w:hAnsi="Book Antiqua" w:cs="SimSun"/>
          <w:color w:val="000000"/>
          <w:sz w:val="24"/>
          <w:szCs w:val="24"/>
        </w:rPr>
        <w:t>: 668-677 [PMID: 20440776 DOI: 10.1002/lt.22027]</w:t>
      </w:r>
    </w:p>
    <w:p w14:paraId="08068030" w14:textId="77777777" w:rsidR="00422EBA" w:rsidRPr="006F7827" w:rsidRDefault="00422EBA" w:rsidP="00422EBA">
      <w:pPr>
        <w:spacing w:after="0" w:line="360" w:lineRule="auto"/>
        <w:jc w:val="both"/>
        <w:rPr>
          <w:rFonts w:ascii="Book Antiqua" w:eastAsia="SimSun" w:hAnsi="Book Antiqua" w:cs="SimSun"/>
          <w:color w:val="000000"/>
          <w:sz w:val="24"/>
          <w:szCs w:val="24"/>
        </w:rPr>
      </w:pPr>
      <w:r w:rsidRPr="006F7827">
        <w:rPr>
          <w:rFonts w:ascii="Book Antiqua" w:eastAsia="SimSun" w:hAnsi="Book Antiqua" w:cs="SimSun"/>
          <w:color w:val="000000"/>
          <w:sz w:val="24"/>
          <w:szCs w:val="24"/>
        </w:rPr>
        <w:t>10 </w:t>
      </w:r>
      <w:r w:rsidRPr="006F7827">
        <w:rPr>
          <w:rFonts w:ascii="Book Antiqua" w:eastAsia="SimSun" w:hAnsi="Book Antiqua" w:cs="SimSun"/>
          <w:b/>
          <w:bCs/>
          <w:color w:val="000000"/>
          <w:sz w:val="24"/>
          <w:szCs w:val="24"/>
        </w:rPr>
        <w:t>Kaltenborn A</w:t>
      </w:r>
      <w:r w:rsidRPr="006F7827">
        <w:rPr>
          <w:rFonts w:ascii="Book Antiqua" w:eastAsia="SimSun" w:hAnsi="Book Antiqua" w:cs="SimSun"/>
          <w:color w:val="000000"/>
          <w:sz w:val="24"/>
          <w:szCs w:val="24"/>
        </w:rPr>
        <w:t>, Hartmann C, Salinas R, Ramackers W, Kleine M, Vondran FW, Barthold M, Lehner F, Klempnauer J, Schrem H. Risk factors for short- and long-term mortality in liver transplant recipients with MELD score ≥30. </w:t>
      </w:r>
      <w:r w:rsidRPr="006F7827">
        <w:rPr>
          <w:rFonts w:ascii="Book Antiqua" w:eastAsia="SimSun" w:hAnsi="Book Antiqua" w:cs="SimSun"/>
          <w:i/>
          <w:iCs/>
          <w:color w:val="000000"/>
          <w:sz w:val="24"/>
          <w:szCs w:val="24"/>
        </w:rPr>
        <w:t>Ann Transplant</w:t>
      </w:r>
      <w:r w:rsidRPr="006F7827">
        <w:rPr>
          <w:rFonts w:ascii="Book Antiqua" w:eastAsia="SimSun" w:hAnsi="Book Antiqua" w:cs="SimSun"/>
          <w:color w:val="000000"/>
          <w:sz w:val="24"/>
          <w:szCs w:val="24"/>
        </w:rPr>
        <w:t> 2015; </w:t>
      </w:r>
      <w:r w:rsidRPr="006F7827">
        <w:rPr>
          <w:rFonts w:ascii="Book Antiqua" w:eastAsia="SimSun" w:hAnsi="Book Antiqua" w:cs="SimSun"/>
          <w:b/>
          <w:bCs/>
          <w:color w:val="000000"/>
          <w:sz w:val="24"/>
          <w:szCs w:val="24"/>
        </w:rPr>
        <w:t>20</w:t>
      </w:r>
      <w:r w:rsidRPr="006F7827">
        <w:rPr>
          <w:rFonts w:ascii="Book Antiqua" w:eastAsia="SimSun" w:hAnsi="Book Antiqua" w:cs="SimSun"/>
          <w:color w:val="000000"/>
          <w:sz w:val="24"/>
          <w:szCs w:val="24"/>
        </w:rPr>
        <w:t>: 59-69 [PMID: 25630462 DOI: 10.12659/AOT.892322]</w:t>
      </w:r>
    </w:p>
    <w:p w14:paraId="7C706330" w14:textId="77777777" w:rsidR="00422EBA" w:rsidRPr="006F7827" w:rsidRDefault="00422EBA" w:rsidP="00422EBA">
      <w:pPr>
        <w:spacing w:after="0" w:line="360" w:lineRule="auto"/>
        <w:jc w:val="both"/>
        <w:rPr>
          <w:rFonts w:ascii="Book Antiqua" w:eastAsia="SimSun" w:hAnsi="Book Antiqua" w:cs="SimSun"/>
          <w:color w:val="000000"/>
          <w:sz w:val="24"/>
          <w:szCs w:val="24"/>
        </w:rPr>
      </w:pPr>
      <w:r w:rsidRPr="006F7827">
        <w:rPr>
          <w:rFonts w:ascii="Book Antiqua" w:eastAsia="SimSun" w:hAnsi="Book Antiqua" w:cs="SimSun"/>
          <w:color w:val="000000"/>
          <w:sz w:val="24"/>
          <w:szCs w:val="24"/>
        </w:rPr>
        <w:t>11 </w:t>
      </w:r>
      <w:r w:rsidRPr="006F7827">
        <w:rPr>
          <w:rFonts w:ascii="Book Antiqua" w:eastAsia="SimSun" w:hAnsi="Book Antiqua" w:cs="SimSun"/>
          <w:b/>
          <w:bCs/>
          <w:color w:val="000000"/>
          <w:sz w:val="24"/>
          <w:szCs w:val="24"/>
        </w:rPr>
        <w:t>Sirivatanauksorn Y</w:t>
      </w:r>
      <w:r w:rsidRPr="006F7827">
        <w:rPr>
          <w:rFonts w:ascii="Book Antiqua" w:eastAsia="SimSun" w:hAnsi="Book Antiqua" w:cs="SimSun"/>
          <w:color w:val="000000"/>
          <w:sz w:val="24"/>
          <w:szCs w:val="24"/>
        </w:rPr>
        <w:t>, Taweerutchana V, Limsrichamrern S, Kositamongkol P, Mahawithitwong P, Asavakarn S, Tovikkai C. Recipient and perioperative risk factors associated with liver transplant graft outcomes. </w:t>
      </w:r>
      <w:r w:rsidRPr="006F7827">
        <w:rPr>
          <w:rFonts w:ascii="Book Antiqua" w:eastAsia="SimSun" w:hAnsi="Book Antiqua" w:cs="SimSun"/>
          <w:i/>
          <w:iCs/>
          <w:color w:val="000000"/>
          <w:sz w:val="24"/>
          <w:szCs w:val="24"/>
        </w:rPr>
        <w:t>Transplant Proc</w:t>
      </w:r>
      <w:r w:rsidRPr="006F7827">
        <w:rPr>
          <w:rFonts w:ascii="Book Antiqua" w:eastAsia="SimSun" w:hAnsi="Book Antiqua" w:cs="SimSun"/>
          <w:color w:val="000000"/>
          <w:sz w:val="24"/>
          <w:szCs w:val="24"/>
        </w:rPr>
        <w:t> 2012; </w:t>
      </w:r>
      <w:r w:rsidRPr="006F7827">
        <w:rPr>
          <w:rFonts w:ascii="Book Antiqua" w:eastAsia="SimSun" w:hAnsi="Book Antiqua" w:cs="SimSun"/>
          <w:b/>
          <w:bCs/>
          <w:color w:val="000000"/>
          <w:sz w:val="24"/>
          <w:szCs w:val="24"/>
        </w:rPr>
        <w:t>44</w:t>
      </w:r>
      <w:r w:rsidRPr="006F7827">
        <w:rPr>
          <w:rFonts w:ascii="Book Antiqua" w:eastAsia="SimSun" w:hAnsi="Book Antiqua" w:cs="SimSun"/>
          <w:color w:val="000000"/>
          <w:sz w:val="24"/>
          <w:szCs w:val="24"/>
        </w:rPr>
        <w:t>: 505-508 [PMID: 22410056 DOI: 10.1016/j.transproceed.2012.01.065]</w:t>
      </w:r>
    </w:p>
    <w:p w14:paraId="7E9A19A7" w14:textId="77777777" w:rsidR="00422EBA" w:rsidRPr="006F7827" w:rsidRDefault="00422EBA" w:rsidP="00422EBA">
      <w:pPr>
        <w:widowControl w:val="0"/>
        <w:spacing w:after="0" w:line="360" w:lineRule="auto"/>
        <w:jc w:val="both"/>
        <w:rPr>
          <w:rFonts w:ascii="Book Antiqua" w:eastAsia="SimSun" w:hAnsi="Book Antiqua" w:cs="SimSun"/>
          <w:color w:val="000000"/>
          <w:sz w:val="24"/>
          <w:szCs w:val="24"/>
        </w:rPr>
      </w:pPr>
      <w:r w:rsidRPr="006F7827">
        <w:rPr>
          <w:rFonts w:ascii="Book Antiqua" w:eastAsia="SimSun" w:hAnsi="Book Antiqua" w:cs="SimSun"/>
          <w:color w:val="000000"/>
          <w:sz w:val="24"/>
          <w:szCs w:val="24"/>
        </w:rPr>
        <w:t xml:space="preserve">12 </w:t>
      </w:r>
      <w:r w:rsidRPr="006F7827">
        <w:rPr>
          <w:rFonts w:ascii="Book Antiqua" w:eastAsia="SimSun" w:hAnsi="Book Antiqua" w:cs="SimSun"/>
          <w:b/>
          <w:bCs/>
          <w:color w:val="000000"/>
          <w:sz w:val="24"/>
          <w:szCs w:val="24"/>
        </w:rPr>
        <w:t>Chen XB</w:t>
      </w:r>
      <w:r w:rsidRPr="006F7827">
        <w:rPr>
          <w:rFonts w:ascii="Book Antiqua" w:eastAsia="SimSun" w:hAnsi="Book Antiqua" w:cs="SimSun"/>
          <w:color w:val="000000"/>
          <w:sz w:val="24"/>
          <w:szCs w:val="24"/>
        </w:rPr>
        <w:t>, Xu MQ. Primary graft dysfunction after liver transplantation. </w:t>
      </w:r>
      <w:r w:rsidRPr="006F7827">
        <w:rPr>
          <w:rFonts w:ascii="Book Antiqua" w:eastAsia="SimSun" w:hAnsi="Book Antiqua" w:cs="SimSun"/>
          <w:i/>
          <w:iCs/>
          <w:color w:val="000000"/>
          <w:sz w:val="24"/>
          <w:szCs w:val="24"/>
        </w:rPr>
        <w:t>Hepatobiliary Pancreat Dis Int</w:t>
      </w:r>
      <w:r w:rsidRPr="006F7827">
        <w:rPr>
          <w:rFonts w:ascii="Book Antiqua" w:eastAsia="SimSun" w:hAnsi="Book Antiqua" w:cs="SimSun"/>
          <w:color w:val="000000"/>
          <w:sz w:val="24"/>
          <w:szCs w:val="24"/>
        </w:rPr>
        <w:t> 2014; </w:t>
      </w:r>
      <w:r w:rsidRPr="006F7827">
        <w:rPr>
          <w:rFonts w:ascii="Book Antiqua" w:eastAsia="SimSun" w:hAnsi="Book Antiqua" w:cs="SimSun"/>
          <w:b/>
          <w:bCs/>
          <w:color w:val="000000"/>
          <w:sz w:val="24"/>
          <w:szCs w:val="24"/>
        </w:rPr>
        <w:t>13</w:t>
      </w:r>
      <w:r w:rsidRPr="006F7827">
        <w:rPr>
          <w:rFonts w:ascii="Book Antiqua" w:eastAsia="SimSun" w:hAnsi="Book Antiqua" w:cs="SimSun"/>
          <w:color w:val="000000"/>
          <w:sz w:val="24"/>
          <w:szCs w:val="24"/>
        </w:rPr>
        <w:t>: 125-137 [PMID: 24686540 DOI: 10.1016/S1499-3872(14)60023-0]</w:t>
      </w:r>
    </w:p>
    <w:p w14:paraId="78D70730" w14:textId="77777777" w:rsidR="00422EBA" w:rsidRPr="006F7827" w:rsidRDefault="00422EBA" w:rsidP="00422EBA">
      <w:pPr>
        <w:spacing w:after="0" w:line="360" w:lineRule="auto"/>
        <w:jc w:val="both"/>
        <w:rPr>
          <w:rFonts w:ascii="Book Antiqua" w:eastAsia="SimSun" w:hAnsi="Book Antiqua" w:cs="SimSun"/>
          <w:color w:val="000000"/>
          <w:sz w:val="24"/>
          <w:szCs w:val="24"/>
        </w:rPr>
      </w:pPr>
      <w:r w:rsidRPr="006F7827">
        <w:rPr>
          <w:rFonts w:ascii="Book Antiqua" w:eastAsia="SimSun" w:hAnsi="Book Antiqua" w:cs="SimSun"/>
          <w:color w:val="000000"/>
          <w:sz w:val="24"/>
          <w:szCs w:val="24"/>
        </w:rPr>
        <w:t>13 </w:t>
      </w:r>
      <w:r w:rsidRPr="006F7827">
        <w:rPr>
          <w:rFonts w:ascii="Book Antiqua" w:eastAsia="SimSun" w:hAnsi="Book Antiqua" w:cs="SimSun"/>
          <w:b/>
          <w:bCs/>
          <w:color w:val="000000"/>
          <w:sz w:val="24"/>
          <w:szCs w:val="24"/>
        </w:rPr>
        <w:t>Hayashi PH</w:t>
      </w:r>
      <w:r w:rsidRPr="006F7827">
        <w:rPr>
          <w:rFonts w:ascii="Book Antiqua" w:eastAsia="SimSun" w:hAnsi="Book Antiqua" w:cs="SimSun"/>
          <w:color w:val="000000"/>
          <w:sz w:val="24"/>
          <w:szCs w:val="24"/>
        </w:rPr>
        <w:t>, Forman L, Steinberg T, Bak T, Wachs M, Kugelmas M, Everson GT, Kam I, Trotter JF. Model for End-Stage Liver Disease score does not predict patient or graft survival in living donor liver transplant recipients. </w:t>
      </w:r>
      <w:r w:rsidRPr="006F7827">
        <w:rPr>
          <w:rFonts w:ascii="Book Antiqua" w:eastAsia="SimSun" w:hAnsi="Book Antiqua" w:cs="SimSun"/>
          <w:i/>
          <w:iCs/>
          <w:color w:val="000000"/>
          <w:sz w:val="24"/>
          <w:szCs w:val="24"/>
        </w:rPr>
        <w:t>Liver Transpl</w:t>
      </w:r>
      <w:r w:rsidRPr="006F7827">
        <w:rPr>
          <w:rFonts w:ascii="Book Antiqua" w:eastAsia="SimSun" w:hAnsi="Book Antiqua" w:cs="SimSun"/>
          <w:color w:val="000000"/>
          <w:sz w:val="24"/>
          <w:szCs w:val="24"/>
        </w:rPr>
        <w:t> 2003; </w:t>
      </w:r>
      <w:r w:rsidRPr="006F7827">
        <w:rPr>
          <w:rFonts w:ascii="Book Antiqua" w:eastAsia="SimSun" w:hAnsi="Book Antiqua" w:cs="SimSun"/>
          <w:b/>
          <w:bCs/>
          <w:color w:val="000000"/>
          <w:sz w:val="24"/>
          <w:szCs w:val="24"/>
        </w:rPr>
        <w:t>9</w:t>
      </w:r>
      <w:r w:rsidRPr="006F7827">
        <w:rPr>
          <w:rFonts w:ascii="Book Antiqua" w:eastAsia="SimSun" w:hAnsi="Book Antiqua" w:cs="SimSun"/>
          <w:color w:val="000000"/>
          <w:sz w:val="24"/>
          <w:szCs w:val="24"/>
        </w:rPr>
        <w:t>: 737-740 [PMID: 12827562 DOI: 10.1053/jlts.2003.50122]</w:t>
      </w:r>
    </w:p>
    <w:p w14:paraId="6C3BAF73" w14:textId="77777777" w:rsidR="00422EBA" w:rsidRPr="006F7827" w:rsidRDefault="00422EBA" w:rsidP="00422EBA">
      <w:pPr>
        <w:spacing w:after="0" w:line="360" w:lineRule="auto"/>
        <w:jc w:val="both"/>
        <w:rPr>
          <w:rFonts w:ascii="Book Antiqua" w:eastAsia="SimSun" w:hAnsi="Book Antiqua" w:cs="SimSun"/>
          <w:color w:val="000000"/>
          <w:sz w:val="24"/>
          <w:szCs w:val="24"/>
        </w:rPr>
      </w:pPr>
      <w:r w:rsidRPr="006F7827">
        <w:rPr>
          <w:rFonts w:ascii="Book Antiqua" w:eastAsia="SimSun" w:hAnsi="Book Antiqua" w:cs="SimSun"/>
          <w:color w:val="000000"/>
          <w:sz w:val="24"/>
          <w:szCs w:val="24"/>
        </w:rPr>
        <w:t>14 </w:t>
      </w:r>
      <w:r w:rsidRPr="006F7827">
        <w:rPr>
          <w:rFonts w:ascii="Book Antiqua" w:eastAsia="SimSun" w:hAnsi="Book Antiqua" w:cs="SimSun"/>
          <w:b/>
          <w:bCs/>
          <w:color w:val="000000"/>
          <w:sz w:val="24"/>
          <w:szCs w:val="24"/>
        </w:rPr>
        <w:t>Jacob M</w:t>
      </w:r>
      <w:r w:rsidRPr="006F7827">
        <w:rPr>
          <w:rFonts w:ascii="Book Antiqua" w:eastAsia="SimSun" w:hAnsi="Book Antiqua" w:cs="SimSun"/>
          <w:color w:val="000000"/>
          <w:sz w:val="24"/>
          <w:szCs w:val="24"/>
        </w:rPr>
        <w:t>, Copley LP, Lewsey JD, Gimson A, Toogood GJ, Rela M, van der Meulen JH. Pretransplant MELD score and post liver transplantation survival in the UK and Ireland. </w:t>
      </w:r>
      <w:r w:rsidRPr="006F7827">
        <w:rPr>
          <w:rFonts w:ascii="Book Antiqua" w:eastAsia="SimSun" w:hAnsi="Book Antiqua" w:cs="SimSun"/>
          <w:i/>
          <w:iCs/>
          <w:color w:val="000000"/>
          <w:sz w:val="24"/>
          <w:szCs w:val="24"/>
        </w:rPr>
        <w:t>Liver Transpl</w:t>
      </w:r>
      <w:r w:rsidRPr="006F7827">
        <w:rPr>
          <w:rFonts w:ascii="Book Antiqua" w:eastAsia="SimSun" w:hAnsi="Book Antiqua" w:cs="SimSun"/>
          <w:color w:val="000000"/>
          <w:sz w:val="24"/>
          <w:szCs w:val="24"/>
        </w:rPr>
        <w:t> 2004; </w:t>
      </w:r>
      <w:r w:rsidRPr="006F7827">
        <w:rPr>
          <w:rFonts w:ascii="Book Antiqua" w:eastAsia="SimSun" w:hAnsi="Book Antiqua" w:cs="SimSun"/>
          <w:b/>
          <w:bCs/>
          <w:color w:val="000000"/>
          <w:sz w:val="24"/>
          <w:szCs w:val="24"/>
        </w:rPr>
        <w:t>10</w:t>
      </w:r>
      <w:r w:rsidRPr="006F7827">
        <w:rPr>
          <w:rFonts w:ascii="Book Antiqua" w:eastAsia="SimSun" w:hAnsi="Book Antiqua" w:cs="SimSun"/>
          <w:color w:val="000000"/>
          <w:sz w:val="24"/>
          <w:szCs w:val="24"/>
        </w:rPr>
        <w:t>: 903-907 [PMID: 15237375 DOI: 10.1002/lt.20169]</w:t>
      </w:r>
    </w:p>
    <w:p w14:paraId="48C6C816" w14:textId="77777777" w:rsidR="00422EBA" w:rsidRPr="006F7827" w:rsidRDefault="00422EBA" w:rsidP="00422EBA">
      <w:pPr>
        <w:spacing w:after="0" w:line="360" w:lineRule="auto"/>
        <w:jc w:val="both"/>
        <w:rPr>
          <w:rFonts w:ascii="Book Antiqua" w:eastAsia="SimSun" w:hAnsi="Book Antiqua" w:cs="SimSun"/>
          <w:color w:val="000000"/>
          <w:sz w:val="24"/>
          <w:szCs w:val="24"/>
        </w:rPr>
      </w:pPr>
      <w:r w:rsidRPr="006F7827">
        <w:rPr>
          <w:rFonts w:ascii="Book Antiqua" w:eastAsia="SimSun" w:hAnsi="Book Antiqua" w:cs="SimSun"/>
          <w:color w:val="000000"/>
          <w:sz w:val="24"/>
          <w:szCs w:val="24"/>
        </w:rPr>
        <w:t>15 </w:t>
      </w:r>
      <w:r w:rsidRPr="006F7827">
        <w:rPr>
          <w:rFonts w:ascii="Book Antiqua" w:eastAsia="SimSun" w:hAnsi="Book Antiqua" w:cs="SimSun"/>
          <w:b/>
          <w:bCs/>
          <w:color w:val="000000"/>
          <w:sz w:val="24"/>
          <w:szCs w:val="24"/>
        </w:rPr>
        <w:t>Fikatas P</w:t>
      </w:r>
      <w:r w:rsidRPr="006F7827">
        <w:rPr>
          <w:rFonts w:ascii="Book Antiqua" w:eastAsia="SimSun" w:hAnsi="Book Antiqua" w:cs="SimSun"/>
          <w:color w:val="000000"/>
          <w:sz w:val="24"/>
          <w:szCs w:val="24"/>
        </w:rPr>
        <w:t>, Lee JE, Sauer IM, Schmidt SC, Seehofer D, Puhl G, Guckelberger O. APACHE III score is superior to King's College Hospital criteria, MELD score and APACHE II score to predict outcomes after liver transplantation for acute liver failure. </w:t>
      </w:r>
      <w:r w:rsidRPr="006F7827">
        <w:rPr>
          <w:rFonts w:ascii="Book Antiqua" w:eastAsia="SimSun" w:hAnsi="Book Antiqua" w:cs="SimSun"/>
          <w:i/>
          <w:iCs/>
          <w:color w:val="000000"/>
          <w:sz w:val="24"/>
          <w:szCs w:val="24"/>
        </w:rPr>
        <w:t>Transplant Proc</w:t>
      </w:r>
      <w:r w:rsidRPr="006F7827">
        <w:rPr>
          <w:rFonts w:ascii="Book Antiqua" w:eastAsia="SimSun" w:hAnsi="Book Antiqua" w:cs="SimSun"/>
          <w:color w:val="000000"/>
          <w:sz w:val="24"/>
          <w:szCs w:val="24"/>
        </w:rPr>
        <w:t> 2013; </w:t>
      </w:r>
      <w:r w:rsidRPr="006F7827">
        <w:rPr>
          <w:rFonts w:ascii="Book Antiqua" w:eastAsia="SimSun" w:hAnsi="Book Antiqua" w:cs="SimSun"/>
          <w:b/>
          <w:bCs/>
          <w:color w:val="000000"/>
          <w:sz w:val="24"/>
          <w:szCs w:val="24"/>
        </w:rPr>
        <w:t>45</w:t>
      </w:r>
      <w:r w:rsidRPr="006F7827">
        <w:rPr>
          <w:rFonts w:ascii="Book Antiqua" w:eastAsia="SimSun" w:hAnsi="Book Antiqua" w:cs="SimSun"/>
          <w:color w:val="000000"/>
          <w:sz w:val="24"/>
          <w:szCs w:val="24"/>
        </w:rPr>
        <w:t>: 2295-2301 [PMID: 23953541 DOI: 10.1016/j.transproceed.2013.02.125]</w:t>
      </w:r>
    </w:p>
    <w:p w14:paraId="0CF6D0D5" w14:textId="77777777" w:rsidR="00422EBA" w:rsidRPr="006F7827" w:rsidRDefault="00422EBA" w:rsidP="00422EBA">
      <w:pPr>
        <w:spacing w:after="0" w:line="360" w:lineRule="auto"/>
        <w:jc w:val="both"/>
        <w:rPr>
          <w:rFonts w:ascii="Book Antiqua" w:eastAsia="SimSun" w:hAnsi="Book Antiqua" w:cs="SimSun"/>
          <w:color w:val="000000"/>
          <w:sz w:val="24"/>
          <w:szCs w:val="24"/>
        </w:rPr>
      </w:pPr>
      <w:r w:rsidRPr="006F7827">
        <w:rPr>
          <w:rFonts w:ascii="Book Antiqua" w:eastAsia="SimSun" w:hAnsi="Book Antiqua" w:cs="SimSun"/>
          <w:color w:val="000000"/>
          <w:sz w:val="24"/>
          <w:szCs w:val="24"/>
        </w:rPr>
        <w:t>16 </w:t>
      </w:r>
      <w:r w:rsidRPr="006F7827">
        <w:rPr>
          <w:rFonts w:ascii="Book Antiqua" w:eastAsia="SimSun" w:hAnsi="Book Antiqua" w:cs="SimSun"/>
          <w:b/>
          <w:bCs/>
          <w:color w:val="000000"/>
          <w:sz w:val="24"/>
          <w:szCs w:val="24"/>
        </w:rPr>
        <w:t>Huo TI</w:t>
      </w:r>
      <w:r w:rsidRPr="006F7827">
        <w:rPr>
          <w:rFonts w:ascii="Book Antiqua" w:eastAsia="SimSun" w:hAnsi="Book Antiqua" w:cs="SimSun"/>
          <w:color w:val="000000"/>
          <w:sz w:val="24"/>
          <w:szCs w:val="24"/>
        </w:rPr>
        <w:t>, Wang YW, Yang YY, Lin HC, Lee PC, Hou MC, Lee FY, Lee SD. Model for end-stage liver disease score to serum sodium ratio index as a prognostic predictor and its correlation with portal pressure in patients with liver cirrhosis. </w:t>
      </w:r>
      <w:r w:rsidRPr="006F7827">
        <w:rPr>
          <w:rFonts w:ascii="Book Antiqua" w:eastAsia="SimSun" w:hAnsi="Book Antiqua" w:cs="SimSun"/>
          <w:i/>
          <w:iCs/>
          <w:color w:val="000000"/>
          <w:sz w:val="24"/>
          <w:szCs w:val="24"/>
        </w:rPr>
        <w:t>Liver Int</w:t>
      </w:r>
      <w:r w:rsidRPr="006F7827">
        <w:rPr>
          <w:rFonts w:ascii="Book Antiqua" w:eastAsia="SimSun" w:hAnsi="Book Antiqua" w:cs="SimSun"/>
          <w:color w:val="000000"/>
          <w:sz w:val="24"/>
          <w:szCs w:val="24"/>
        </w:rPr>
        <w:t> 2007; </w:t>
      </w:r>
      <w:r w:rsidRPr="006F7827">
        <w:rPr>
          <w:rFonts w:ascii="Book Antiqua" w:eastAsia="SimSun" w:hAnsi="Book Antiqua" w:cs="SimSun"/>
          <w:b/>
          <w:bCs/>
          <w:color w:val="000000"/>
          <w:sz w:val="24"/>
          <w:szCs w:val="24"/>
        </w:rPr>
        <w:t>27</w:t>
      </w:r>
      <w:r w:rsidRPr="006F7827">
        <w:rPr>
          <w:rFonts w:ascii="Book Antiqua" w:eastAsia="SimSun" w:hAnsi="Book Antiqua" w:cs="SimSun"/>
          <w:color w:val="000000"/>
          <w:sz w:val="24"/>
          <w:szCs w:val="24"/>
        </w:rPr>
        <w:t>: 498-506 [PMID: 17403190 DOI: 10.1111/j.1478-3231.2007.01445.x]</w:t>
      </w:r>
    </w:p>
    <w:p w14:paraId="73B630E0" w14:textId="77777777" w:rsidR="00422EBA" w:rsidRPr="006F7827" w:rsidRDefault="00422EBA" w:rsidP="00422EBA">
      <w:pPr>
        <w:spacing w:after="0" w:line="360" w:lineRule="auto"/>
        <w:jc w:val="both"/>
        <w:rPr>
          <w:rFonts w:ascii="Book Antiqua" w:eastAsia="SimSun" w:hAnsi="Book Antiqua" w:cs="SimSun"/>
          <w:color w:val="000000"/>
          <w:sz w:val="24"/>
          <w:szCs w:val="24"/>
        </w:rPr>
      </w:pPr>
      <w:r w:rsidRPr="006F7827">
        <w:rPr>
          <w:rFonts w:ascii="Book Antiqua" w:eastAsia="SimSun" w:hAnsi="Book Antiqua" w:cs="SimSun"/>
          <w:color w:val="000000"/>
          <w:sz w:val="24"/>
          <w:szCs w:val="24"/>
        </w:rPr>
        <w:t>17 </w:t>
      </w:r>
      <w:r w:rsidRPr="006F7827">
        <w:rPr>
          <w:rFonts w:ascii="Book Antiqua" w:eastAsia="SimSun" w:hAnsi="Book Antiqua" w:cs="SimSun"/>
          <w:b/>
          <w:bCs/>
          <w:color w:val="000000"/>
          <w:sz w:val="24"/>
          <w:szCs w:val="24"/>
        </w:rPr>
        <w:t>Kim WR</w:t>
      </w:r>
      <w:r w:rsidRPr="006F7827">
        <w:rPr>
          <w:rFonts w:ascii="Book Antiqua" w:eastAsia="SimSun" w:hAnsi="Book Antiqua" w:cs="SimSun"/>
          <w:color w:val="000000"/>
          <w:sz w:val="24"/>
          <w:szCs w:val="24"/>
        </w:rPr>
        <w:t xml:space="preserve">, Biggins SW, Kremers WK, Wiesner RH, Kamath PS, Benson JT, Edwards E, Therneau TM. Hyponatremia and mortality among patients on the liver-transplant </w:t>
      </w:r>
      <w:r w:rsidRPr="006F7827">
        <w:rPr>
          <w:rFonts w:ascii="Book Antiqua" w:eastAsia="SimSun" w:hAnsi="Book Antiqua" w:cs="SimSun"/>
          <w:color w:val="000000"/>
          <w:sz w:val="24"/>
          <w:szCs w:val="24"/>
        </w:rPr>
        <w:lastRenderedPageBreak/>
        <w:t>waiting list. </w:t>
      </w:r>
      <w:r w:rsidRPr="006F7827">
        <w:rPr>
          <w:rFonts w:ascii="Book Antiqua" w:eastAsia="SimSun" w:hAnsi="Book Antiqua" w:cs="SimSun"/>
          <w:i/>
          <w:iCs/>
          <w:color w:val="000000"/>
          <w:sz w:val="24"/>
          <w:szCs w:val="24"/>
        </w:rPr>
        <w:t>N Engl J Med</w:t>
      </w:r>
      <w:r w:rsidRPr="006F7827">
        <w:rPr>
          <w:rFonts w:ascii="Book Antiqua" w:eastAsia="SimSun" w:hAnsi="Book Antiqua" w:cs="SimSun"/>
          <w:color w:val="000000"/>
          <w:sz w:val="24"/>
          <w:szCs w:val="24"/>
        </w:rPr>
        <w:t> 2008; </w:t>
      </w:r>
      <w:r w:rsidRPr="006F7827">
        <w:rPr>
          <w:rFonts w:ascii="Book Antiqua" w:eastAsia="SimSun" w:hAnsi="Book Antiqua" w:cs="SimSun"/>
          <w:b/>
          <w:bCs/>
          <w:color w:val="000000"/>
          <w:sz w:val="24"/>
          <w:szCs w:val="24"/>
        </w:rPr>
        <w:t>359</w:t>
      </w:r>
      <w:r w:rsidRPr="006F7827">
        <w:rPr>
          <w:rFonts w:ascii="Book Antiqua" w:eastAsia="SimSun" w:hAnsi="Book Antiqua" w:cs="SimSun"/>
          <w:color w:val="000000"/>
          <w:sz w:val="24"/>
          <w:szCs w:val="24"/>
        </w:rPr>
        <w:t>: 1018-1026 [PMID: 18768945 DOI: 10.1056/NEJMoa0801209]</w:t>
      </w:r>
    </w:p>
    <w:p w14:paraId="2F7DF5BD" w14:textId="77777777" w:rsidR="00422EBA" w:rsidRPr="006F7827" w:rsidRDefault="00422EBA" w:rsidP="00422EBA">
      <w:pPr>
        <w:spacing w:after="0" w:line="360" w:lineRule="auto"/>
        <w:jc w:val="both"/>
        <w:rPr>
          <w:rFonts w:ascii="Book Antiqua" w:eastAsia="SimSun" w:hAnsi="Book Antiqua" w:cs="SimSun"/>
          <w:color w:val="000000"/>
          <w:sz w:val="24"/>
          <w:szCs w:val="24"/>
        </w:rPr>
      </w:pPr>
      <w:r w:rsidRPr="006F7827">
        <w:rPr>
          <w:rFonts w:ascii="Book Antiqua" w:eastAsia="SimSun" w:hAnsi="Book Antiqua" w:cs="SimSun"/>
          <w:color w:val="000000"/>
          <w:sz w:val="24"/>
          <w:szCs w:val="24"/>
        </w:rPr>
        <w:t>18 </w:t>
      </w:r>
      <w:r w:rsidRPr="006F7827">
        <w:rPr>
          <w:rFonts w:ascii="Book Antiqua" w:eastAsia="SimSun" w:hAnsi="Book Antiqua" w:cs="SimSun"/>
          <w:b/>
          <w:bCs/>
          <w:color w:val="000000"/>
          <w:sz w:val="24"/>
          <w:szCs w:val="24"/>
        </w:rPr>
        <w:t>Halldorson JB</w:t>
      </w:r>
      <w:r w:rsidRPr="006F7827">
        <w:rPr>
          <w:rFonts w:ascii="Book Antiqua" w:eastAsia="SimSun" w:hAnsi="Book Antiqua" w:cs="SimSun"/>
          <w:color w:val="000000"/>
          <w:sz w:val="24"/>
          <w:szCs w:val="24"/>
        </w:rPr>
        <w:t>, Bakthavatsalam R, Fix O, Reyes JD, Perkins JD. D-MELD, a simple predictor of post liver transplant mortality for optimization of donor/recipient matching. </w:t>
      </w:r>
      <w:r w:rsidRPr="006F7827">
        <w:rPr>
          <w:rFonts w:ascii="Book Antiqua" w:eastAsia="SimSun" w:hAnsi="Book Antiqua" w:cs="SimSun"/>
          <w:i/>
          <w:iCs/>
          <w:color w:val="000000"/>
          <w:sz w:val="24"/>
          <w:szCs w:val="24"/>
        </w:rPr>
        <w:t>Am J Transplant</w:t>
      </w:r>
      <w:r w:rsidRPr="006F7827">
        <w:rPr>
          <w:rFonts w:ascii="Book Antiqua" w:eastAsia="SimSun" w:hAnsi="Book Antiqua" w:cs="SimSun"/>
          <w:color w:val="000000"/>
          <w:sz w:val="24"/>
          <w:szCs w:val="24"/>
        </w:rPr>
        <w:t> 2009; </w:t>
      </w:r>
      <w:r w:rsidRPr="006F7827">
        <w:rPr>
          <w:rFonts w:ascii="Book Antiqua" w:eastAsia="SimSun" w:hAnsi="Book Antiqua" w:cs="SimSun"/>
          <w:b/>
          <w:bCs/>
          <w:color w:val="000000"/>
          <w:sz w:val="24"/>
          <w:szCs w:val="24"/>
        </w:rPr>
        <w:t>9</w:t>
      </w:r>
      <w:r w:rsidRPr="006F7827">
        <w:rPr>
          <w:rFonts w:ascii="Book Antiqua" w:eastAsia="SimSun" w:hAnsi="Book Antiqua" w:cs="SimSun"/>
          <w:color w:val="000000"/>
          <w:sz w:val="24"/>
          <w:szCs w:val="24"/>
        </w:rPr>
        <w:t>: 318-326 [PMID: 19120079 DOI: 10.1111/j.1600-6143.2008.02491.x]</w:t>
      </w:r>
    </w:p>
    <w:p w14:paraId="0E4930F3" w14:textId="77777777" w:rsidR="00422EBA" w:rsidRPr="006F7827" w:rsidRDefault="00422EBA" w:rsidP="00422EBA">
      <w:pPr>
        <w:spacing w:after="0" w:line="360" w:lineRule="auto"/>
        <w:jc w:val="both"/>
        <w:rPr>
          <w:rFonts w:ascii="Book Antiqua" w:eastAsia="SimSun" w:hAnsi="Book Antiqua" w:cs="SimSun"/>
          <w:color w:val="000000"/>
          <w:sz w:val="24"/>
          <w:szCs w:val="24"/>
        </w:rPr>
      </w:pPr>
      <w:r w:rsidRPr="006F7827">
        <w:rPr>
          <w:rFonts w:ascii="Book Antiqua" w:eastAsia="SimSun" w:hAnsi="Book Antiqua" w:cs="SimSun"/>
          <w:color w:val="000000"/>
          <w:sz w:val="24"/>
          <w:szCs w:val="24"/>
        </w:rPr>
        <w:t>19 </w:t>
      </w:r>
      <w:r w:rsidRPr="006F7827">
        <w:rPr>
          <w:rFonts w:ascii="Book Antiqua" w:eastAsia="SimSun" w:hAnsi="Book Antiqua" w:cs="SimSun"/>
          <w:b/>
          <w:bCs/>
          <w:color w:val="000000"/>
          <w:sz w:val="24"/>
          <w:szCs w:val="24"/>
        </w:rPr>
        <w:t>Sharma P</w:t>
      </w:r>
      <w:r w:rsidRPr="006F7827">
        <w:rPr>
          <w:rFonts w:ascii="Book Antiqua" w:eastAsia="SimSun" w:hAnsi="Book Antiqua" w:cs="SimSun"/>
          <w:color w:val="000000"/>
          <w:sz w:val="24"/>
          <w:szCs w:val="24"/>
        </w:rPr>
        <w:t>, Schaubel DE, Sima CS, Merion RM, Lok AS. Re-weighting the model for end-stage liver disease score components. </w:t>
      </w:r>
      <w:r w:rsidRPr="006F7827">
        <w:rPr>
          <w:rFonts w:ascii="Book Antiqua" w:eastAsia="SimSun" w:hAnsi="Book Antiqua" w:cs="SimSun"/>
          <w:i/>
          <w:iCs/>
          <w:color w:val="000000"/>
          <w:sz w:val="24"/>
          <w:szCs w:val="24"/>
        </w:rPr>
        <w:t>Gastroenterology</w:t>
      </w:r>
      <w:r w:rsidRPr="006F7827">
        <w:rPr>
          <w:rFonts w:ascii="Book Antiqua" w:eastAsia="SimSun" w:hAnsi="Book Antiqua" w:cs="SimSun"/>
          <w:color w:val="000000"/>
          <w:sz w:val="24"/>
          <w:szCs w:val="24"/>
        </w:rPr>
        <w:t> 2008; </w:t>
      </w:r>
      <w:r w:rsidRPr="006F7827">
        <w:rPr>
          <w:rFonts w:ascii="Book Antiqua" w:eastAsia="SimSun" w:hAnsi="Book Antiqua" w:cs="SimSun"/>
          <w:b/>
          <w:bCs/>
          <w:color w:val="000000"/>
          <w:sz w:val="24"/>
          <w:szCs w:val="24"/>
        </w:rPr>
        <w:t>135</w:t>
      </w:r>
      <w:r w:rsidRPr="006F7827">
        <w:rPr>
          <w:rFonts w:ascii="Book Antiqua" w:eastAsia="SimSun" w:hAnsi="Book Antiqua" w:cs="SimSun"/>
          <w:color w:val="000000"/>
          <w:sz w:val="24"/>
          <w:szCs w:val="24"/>
        </w:rPr>
        <w:t>: 1575-1581 [PMID: 18835388 DOI: 10.1053/j.gastro.2008.08.004]</w:t>
      </w:r>
    </w:p>
    <w:p w14:paraId="28E79339" w14:textId="77777777" w:rsidR="00422EBA" w:rsidRPr="006F7827" w:rsidRDefault="00422EBA" w:rsidP="00422EBA">
      <w:pPr>
        <w:spacing w:after="0" w:line="360" w:lineRule="auto"/>
        <w:jc w:val="both"/>
        <w:rPr>
          <w:rFonts w:ascii="Book Antiqua" w:eastAsia="SimSun" w:hAnsi="Book Antiqua" w:cs="SimSun"/>
          <w:color w:val="000000"/>
          <w:sz w:val="24"/>
          <w:szCs w:val="24"/>
        </w:rPr>
      </w:pPr>
      <w:r w:rsidRPr="006F7827">
        <w:rPr>
          <w:rFonts w:ascii="Book Antiqua" w:eastAsia="SimSun" w:hAnsi="Book Antiqua" w:cs="SimSun"/>
          <w:color w:val="000000"/>
          <w:sz w:val="24"/>
          <w:szCs w:val="24"/>
        </w:rPr>
        <w:t>20 </w:t>
      </w:r>
      <w:r w:rsidRPr="006F7827">
        <w:rPr>
          <w:rFonts w:ascii="Book Antiqua" w:eastAsia="SimSun" w:hAnsi="Book Antiqua" w:cs="SimSun"/>
          <w:b/>
          <w:bCs/>
          <w:color w:val="000000"/>
          <w:sz w:val="24"/>
          <w:szCs w:val="24"/>
        </w:rPr>
        <w:t>Feng S</w:t>
      </w:r>
      <w:r w:rsidRPr="006F7827">
        <w:rPr>
          <w:rFonts w:ascii="Book Antiqua" w:eastAsia="SimSun" w:hAnsi="Book Antiqua" w:cs="SimSun"/>
          <w:color w:val="000000"/>
          <w:sz w:val="24"/>
          <w:szCs w:val="24"/>
        </w:rPr>
        <w:t>, Goodrich NP, Bragg-Gresham JL, Dykstra DM, Punch JD, DebRoy MA, Greenstein SM, Merion RM. Characteristics associated with liver graft failure: the concept of a donor risk index. </w:t>
      </w:r>
      <w:r w:rsidRPr="006F7827">
        <w:rPr>
          <w:rFonts w:ascii="Book Antiqua" w:eastAsia="SimSun" w:hAnsi="Book Antiqua" w:cs="SimSun"/>
          <w:i/>
          <w:iCs/>
          <w:color w:val="000000"/>
          <w:sz w:val="24"/>
          <w:szCs w:val="24"/>
        </w:rPr>
        <w:t>Am J Transplant</w:t>
      </w:r>
      <w:r w:rsidRPr="006F7827">
        <w:rPr>
          <w:rFonts w:ascii="Book Antiqua" w:eastAsia="SimSun" w:hAnsi="Book Antiqua" w:cs="SimSun"/>
          <w:color w:val="000000"/>
          <w:sz w:val="24"/>
          <w:szCs w:val="24"/>
        </w:rPr>
        <w:t> 2006; </w:t>
      </w:r>
      <w:r w:rsidRPr="006F7827">
        <w:rPr>
          <w:rFonts w:ascii="Book Antiqua" w:eastAsia="SimSun" w:hAnsi="Book Antiqua" w:cs="SimSun"/>
          <w:b/>
          <w:bCs/>
          <w:color w:val="000000"/>
          <w:sz w:val="24"/>
          <w:szCs w:val="24"/>
        </w:rPr>
        <w:t>6</w:t>
      </w:r>
      <w:r w:rsidRPr="006F7827">
        <w:rPr>
          <w:rFonts w:ascii="Book Antiqua" w:eastAsia="SimSun" w:hAnsi="Book Antiqua" w:cs="SimSun"/>
          <w:color w:val="000000"/>
          <w:sz w:val="24"/>
          <w:szCs w:val="24"/>
        </w:rPr>
        <w:t>: 783-790 [PMID: 16539636 DOI: 10.1111/j.1600-6143.2006.01242.x]</w:t>
      </w:r>
    </w:p>
    <w:p w14:paraId="5707CD58" w14:textId="77777777" w:rsidR="00422EBA" w:rsidRPr="006F7827" w:rsidRDefault="00422EBA" w:rsidP="00422EBA">
      <w:pPr>
        <w:spacing w:after="0" w:line="360" w:lineRule="auto"/>
        <w:jc w:val="both"/>
        <w:rPr>
          <w:rFonts w:ascii="Book Antiqua" w:eastAsia="SimSun" w:hAnsi="Book Antiqua" w:cs="SimSun"/>
          <w:color w:val="000000"/>
          <w:sz w:val="24"/>
          <w:szCs w:val="24"/>
        </w:rPr>
      </w:pPr>
      <w:r w:rsidRPr="006F7827">
        <w:rPr>
          <w:rFonts w:ascii="Book Antiqua" w:eastAsia="SimSun" w:hAnsi="Book Antiqua" w:cs="SimSun"/>
          <w:color w:val="000000"/>
          <w:sz w:val="24"/>
          <w:szCs w:val="24"/>
        </w:rPr>
        <w:t>21 </w:t>
      </w:r>
      <w:r w:rsidRPr="006F7827">
        <w:rPr>
          <w:rFonts w:ascii="Book Antiqua" w:eastAsia="SimSun" w:hAnsi="Book Antiqua" w:cs="SimSun"/>
          <w:b/>
          <w:bCs/>
          <w:color w:val="000000"/>
          <w:sz w:val="24"/>
          <w:szCs w:val="24"/>
        </w:rPr>
        <w:t>Cameron AM</w:t>
      </w:r>
      <w:r w:rsidRPr="006F7827">
        <w:rPr>
          <w:rFonts w:ascii="Book Antiqua" w:eastAsia="SimSun" w:hAnsi="Book Antiqua" w:cs="SimSun"/>
          <w:color w:val="000000"/>
          <w:sz w:val="24"/>
          <w:szCs w:val="24"/>
        </w:rPr>
        <w:t>, Ghobrial RM, Yersiz H, Farmer DG, Lipshutz GS, Gordon SA, Zimmerman M, Hong J, Collins TE, Gornbein J, Amersi F, Weaver M, Cao C, Chen T, Hiatt JR, Busuttil RW. Optimal utilization of donor grafts with extended criteria: a single-center experience in over 1000 liver transplants. </w:t>
      </w:r>
      <w:r w:rsidRPr="006F7827">
        <w:rPr>
          <w:rFonts w:ascii="Book Antiqua" w:eastAsia="SimSun" w:hAnsi="Book Antiqua" w:cs="SimSun"/>
          <w:i/>
          <w:iCs/>
          <w:color w:val="000000"/>
          <w:sz w:val="24"/>
          <w:szCs w:val="24"/>
        </w:rPr>
        <w:t>Ann Surg</w:t>
      </w:r>
      <w:r w:rsidRPr="006F7827">
        <w:rPr>
          <w:rFonts w:ascii="Book Antiqua" w:eastAsia="SimSun" w:hAnsi="Book Antiqua" w:cs="SimSun"/>
          <w:color w:val="000000"/>
          <w:sz w:val="24"/>
          <w:szCs w:val="24"/>
        </w:rPr>
        <w:t> 2006; </w:t>
      </w:r>
      <w:r w:rsidRPr="006F7827">
        <w:rPr>
          <w:rFonts w:ascii="Book Antiqua" w:eastAsia="SimSun" w:hAnsi="Book Antiqua" w:cs="SimSun"/>
          <w:b/>
          <w:bCs/>
          <w:color w:val="000000"/>
          <w:sz w:val="24"/>
          <w:szCs w:val="24"/>
        </w:rPr>
        <w:t>243</w:t>
      </w:r>
      <w:r w:rsidRPr="006F7827">
        <w:rPr>
          <w:rFonts w:ascii="Book Antiqua" w:eastAsia="SimSun" w:hAnsi="Book Antiqua" w:cs="SimSun"/>
          <w:color w:val="000000"/>
          <w:sz w:val="24"/>
          <w:szCs w:val="24"/>
        </w:rPr>
        <w:t>: 748-53; discussion 753-5 [PMID: 16772778 DOI: 10.1097/01.sla.0000219669.84192.b3]</w:t>
      </w:r>
    </w:p>
    <w:p w14:paraId="615D886D" w14:textId="77777777" w:rsidR="00422EBA" w:rsidRPr="006F7827" w:rsidRDefault="00422EBA" w:rsidP="00422EBA">
      <w:pPr>
        <w:spacing w:after="0" w:line="360" w:lineRule="auto"/>
        <w:jc w:val="both"/>
        <w:rPr>
          <w:rFonts w:ascii="Book Antiqua" w:eastAsia="SimSun" w:hAnsi="Book Antiqua" w:cs="SimSun"/>
          <w:color w:val="000000"/>
          <w:sz w:val="24"/>
          <w:szCs w:val="24"/>
        </w:rPr>
      </w:pPr>
      <w:r w:rsidRPr="006F7827">
        <w:rPr>
          <w:rFonts w:ascii="Book Antiqua" w:eastAsia="SimSun" w:hAnsi="Book Antiqua" w:cs="SimSun"/>
          <w:color w:val="000000"/>
          <w:sz w:val="24"/>
          <w:szCs w:val="24"/>
        </w:rPr>
        <w:t>22 </w:t>
      </w:r>
      <w:r w:rsidRPr="006F7827">
        <w:rPr>
          <w:rFonts w:ascii="Book Antiqua" w:eastAsia="SimSun" w:hAnsi="Book Antiqua" w:cs="SimSun"/>
          <w:b/>
          <w:bCs/>
          <w:color w:val="000000"/>
          <w:sz w:val="24"/>
          <w:szCs w:val="24"/>
        </w:rPr>
        <w:t>Schrem H</w:t>
      </w:r>
      <w:r w:rsidRPr="006F7827">
        <w:rPr>
          <w:rFonts w:ascii="Book Antiqua" w:eastAsia="SimSun" w:hAnsi="Book Antiqua" w:cs="SimSun"/>
          <w:color w:val="000000"/>
          <w:sz w:val="24"/>
          <w:szCs w:val="24"/>
        </w:rPr>
        <w:t>, Reichert B, Frühauf N, Becker T, Lehner F, Kleine M, Bektas H, Zachau L, Klempnauer J. The Donor-Risk-Index, ECD-Score and D-MELD-Score all fail to predict short-term outcome after liver transplantation with acceptable sensitivity and specificity. </w:t>
      </w:r>
      <w:r w:rsidRPr="006F7827">
        <w:rPr>
          <w:rFonts w:ascii="Book Antiqua" w:eastAsia="SimSun" w:hAnsi="Book Antiqua" w:cs="SimSun"/>
          <w:i/>
          <w:iCs/>
          <w:color w:val="000000"/>
          <w:sz w:val="24"/>
          <w:szCs w:val="24"/>
        </w:rPr>
        <w:t>Ann Transplant</w:t>
      </w:r>
      <w:r w:rsidRPr="006F7827">
        <w:rPr>
          <w:rFonts w:ascii="Book Antiqua" w:eastAsia="SimSun" w:hAnsi="Book Antiqua" w:cs="SimSun"/>
          <w:color w:val="000000"/>
          <w:sz w:val="24"/>
          <w:szCs w:val="24"/>
        </w:rPr>
        <w:t> 2012; </w:t>
      </w:r>
      <w:r w:rsidRPr="006F7827">
        <w:rPr>
          <w:rFonts w:ascii="Book Antiqua" w:eastAsia="SimSun" w:hAnsi="Book Antiqua" w:cs="SimSun"/>
          <w:b/>
          <w:bCs/>
          <w:color w:val="000000"/>
          <w:sz w:val="24"/>
          <w:szCs w:val="24"/>
        </w:rPr>
        <w:t>17</w:t>
      </w:r>
      <w:r w:rsidRPr="006F7827">
        <w:rPr>
          <w:rFonts w:ascii="Book Antiqua" w:eastAsia="SimSun" w:hAnsi="Book Antiqua" w:cs="SimSun"/>
          <w:color w:val="000000"/>
          <w:sz w:val="24"/>
          <w:szCs w:val="24"/>
        </w:rPr>
        <w:t>: 5-13 [PMID: 23018250]</w:t>
      </w:r>
    </w:p>
    <w:p w14:paraId="5C47A72C" w14:textId="77777777" w:rsidR="00422EBA" w:rsidRPr="006F7827" w:rsidRDefault="00422EBA" w:rsidP="00422EBA">
      <w:pPr>
        <w:spacing w:after="0" w:line="360" w:lineRule="auto"/>
        <w:jc w:val="both"/>
        <w:rPr>
          <w:rFonts w:ascii="Book Antiqua" w:eastAsia="SimSun" w:hAnsi="Book Antiqua" w:cs="SimSun"/>
          <w:color w:val="000000"/>
          <w:sz w:val="24"/>
          <w:szCs w:val="24"/>
        </w:rPr>
      </w:pPr>
      <w:r w:rsidRPr="006F7827">
        <w:rPr>
          <w:rFonts w:ascii="Book Antiqua" w:eastAsia="SimSun" w:hAnsi="Book Antiqua" w:cs="SimSun"/>
          <w:color w:val="000000"/>
          <w:sz w:val="24"/>
          <w:szCs w:val="24"/>
        </w:rPr>
        <w:t>23 </w:t>
      </w:r>
      <w:r w:rsidRPr="006F7827">
        <w:rPr>
          <w:rFonts w:ascii="Book Antiqua" w:eastAsia="SimSun" w:hAnsi="Book Antiqua" w:cs="SimSun"/>
          <w:b/>
          <w:bCs/>
          <w:color w:val="000000"/>
          <w:sz w:val="24"/>
          <w:szCs w:val="24"/>
        </w:rPr>
        <w:t>Rana A</w:t>
      </w:r>
      <w:r w:rsidRPr="006F7827">
        <w:rPr>
          <w:rFonts w:ascii="Book Antiqua" w:eastAsia="SimSun" w:hAnsi="Book Antiqua" w:cs="SimSun"/>
          <w:color w:val="000000"/>
          <w:sz w:val="24"/>
          <w:szCs w:val="24"/>
        </w:rPr>
        <w:t>, Hardy MA, Halazun KJ, Woodland DC, Ratner LE, Samstein B, Guarrera JV, Brown RS, Emond JC. Survival outcomes following liver transplantation (SOFT) score: a novel method to predict patient survival following liver transplantation. </w:t>
      </w:r>
      <w:r w:rsidRPr="006F7827">
        <w:rPr>
          <w:rFonts w:ascii="Book Antiqua" w:eastAsia="SimSun" w:hAnsi="Book Antiqua" w:cs="SimSun"/>
          <w:i/>
          <w:iCs/>
          <w:color w:val="000000"/>
          <w:sz w:val="24"/>
          <w:szCs w:val="24"/>
        </w:rPr>
        <w:t>Am J Transplant</w:t>
      </w:r>
      <w:r w:rsidRPr="006F7827">
        <w:rPr>
          <w:rFonts w:ascii="Book Antiqua" w:eastAsia="SimSun" w:hAnsi="Book Antiqua" w:cs="SimSun"/>
          <w:color w:val="000000"/>
          <w:sz w:val="24"/>
          <w:szCs w:val="24"/>
        </w:rPr>
        <w:t> 2008; </w:t>
      </w:r>
      <w:r w:rsidRPr="006F7827">
        <w:rPr>
          <w:rFonts w:ascii="Book Antiqua" w:eastAsia="SimSun" w:hAnsi="Book Antiqua" w:cs="SimSun"/>
          <w:b/>
          <w:bCs/>
          <w:color w:val="000000"/>
          <w:sz w:val="24"/>
          <w:szCs w:val="24"/>
        </w:rPr>
        <w:t>8</w:t>
      </w:r>
      <w:r w:rsidRPr="006F7827">
        <w:rPr>
          <w:rFonts w:ascii="Book Antiqua" w:eastAsia="SimSun" w:hAnsi="Book Antiqua" w:cs="SimSun"/>
          <w:color w:val="000000"/>
          <w:sz w:val="24"/>
          <w:szCs w:val="24"/>
        </w:rPr>
        <w:t>: 2537-2546 [PMID: 18945283 DOI: 10.1111/j.1600-6143.2008.02400.x]</w:t>
      </w:r>
    </w:p>
    <w:p w14:paraId="43E51A33" w14:textId="77777777" w:rsidR="00422EBA" w:rsidRPr="006F7827" w:rsidRDefault="00422EBA" w:rsidP="00422EBA">
      <w:pPr>
        <w:widowControl w:val="0"/>
        <w:spacing w:after="0" w:line="360" w:lineRule="auto"/>
        <w:jc w:val="both"/>
        <w:rPr>
          <w:rFonts w:ascii="Book Antiqua" w:eastAsia="SimSun" w:hAnsi="Book Antiqua" w:cs="SimSun"/>
          <w:color w:val="000000"/>
          <w:sz w:val="24"/>
          <w:szCs w:val="24"/>
        </w:rPr>
      </w:pPr>
      <w:r w:rsidRPr="006F7827">
        <w:rPr>
          <w:rFonts w:ascii="Book Antiqua" w:eastAsia="SimSun" w:hAnsi="Book Antiqua" w:cs="SimSun"/>
          <w:color w:val="000000"/>
          <w:sz w:val="24"/>
          <w:szCs w:val="24"/>
        </w:rPr>
        <w:t xml:space="preserve">24 </w:t>
      </w:r>
      <w:r w:rsidRPr="006F7827">
        <w:rPr>
          <w:rFonts w:ascii="Book Antiqua" w:eastAsia="SimSun" w:hAnsi="Book Antiqua" w:cs="SimSun"/>
          <w:b/>
          <w:bCs/>
          <w:color w:val="000000"/>
          <w:sz w:val="24"/>
          <w:szCs w:val="24"/>
        </w:rPr>
        <w:t>Rana A</w:t>
      </w:r>
      <w:r w:rsidRPr="006F7827">
        <w:rPr>
          <w:rFonts w:ascii="Book Antiqua" w:eastAsia="SimSun" w:hAnsi="Book Antiqua" w:cs="SimSun"/>
          <w:color w:val="000000"/>
          <w:sz w:val="24"/>
          <w:szCs w:val="24"/>
        </w:rPr>
        <w:t>, Jie T, Porubsky M, Habib S, Rilo H, Kaplan B, Gruessner A, Gruessner R. The survival outcomes following liver transplantation (SOFT) score: validation with contemporaneous data and stratification of high-risk cohorts. </w:t>
      </w:r>
      <w:r w:rsidRPr="006F7827">
        <w:rPr>
          <w:rFonts w:ascii="Book Antiqua" w:eastAsia="SimSun" w:hAnsi="Book Antiqua" w:cs="SimSun"/>
          <w:i/>
          <w:iCs/>
          <w:color w:val="000000"/>
          <w:sz w:val="24"/>
          <w:szCs w:val="24"/>
        </w:rPr>
        <w:t>Clin Transplant</w:t>
      </w:r>
      <w:r w:rsidRPr="006F7827">
        <w:rPr>
          <w:rFonts w:ascii="Book Antiqua" w:eastAsia="SimSun" w:hAnsi="Book Antiqua" w:cs="SimSun"/>
          <w:color w:val="000000"/>
          <w:sz w:val="24"/>
          <w:szCs w:val="24"/>
        </w:rPr>
        <w:t> 2013; </w:t>
      </w:r>
      <w:r w:rsidRPr="006F7827">
        <w:rPr>
          <w:rFonts w:ascii="Book Antiqua" w:eastAsia="SimSun" w:hAnsi="Book Antiqua" w:cs="SimSun"/>
          <w:b/>
          <w:bCs/>
          <w:color w:val="000000"/>
          <w:sz w:val="24"/>
          <w:szCs w:val="24"/>
        </w:rPr>
        <w:t>27</w:t>
      </w:r>
      <w:r w:rsidRPr="006F7827">
        <w:rPr>
          <w:rFonts w:ascii="Book Antiqua" w:eastAsia="SimSun" w:hAnsi="Book Antiqua" w:cs="SimSun"/>
          <w:color w:val="000000"/>
          <w:sz w:val="24"/>
          <w:szCs w:val="24"/>
        </w:rPr>
        <w:t>: 627-632 [PMID: 23808891 DOI: 10.1111/ctr.12181]</w:t>
      </w:r>
    </w:p>
    <w:p w14:paraId="472B00DA" w14:textId="77777777" w:rsidR="00422EBA" w:rsidRPr="006F7827" w:rsidRDefault="00422EBA" w:rsidP="00422EBA">
      <w:pPr>
        <w:spacing w:after="0" w:line="360" w:lineRule="auto"/>
        <w:jc w:val="both"/>
        <w:rPr>
          <w:rFonts w:ascii="Book Antiqua" w:eastAsia="SimSun" w:hAnsi="Book Antiqua" w:cs="SimSun"/>
          <w:color w:val="000000"/>
          <w:sz w:val="24"/>
          <w:szCs w:val="24"/>
        </w:rPr>
      </w:pPr>
      <w:r w:rsidRPr="006F7827">
        <w:rPr>
          <w:rFonts w:ascii="Book Antiqua" w:eastAsia="SimSun" w:hAnsi="Book Antiqua" w:cs="SimSun"/>
          <w:color w:val="000000"/>
          <w:sz w:val="24"/>
          <w:szCs w:val="24"/>
        </w:rPr>
        <w:t>25 </w:t>
      </w:r>
      <w:r w:rsidRPr="006F7827">
        <w:rPr>
          <w:rFonts w:ascii="Book Antiqua" w:eastAsia="SimSun" w:hAnsi="Book Antiqua" w:cs="SimSun"/>
          <w:b/>
          <w:bCs/>
          <w:color w:val="000000"/>
          <w:sz w:val="24"/>
          <w:szCs w:val="24"/>
        </w:rPr>
        <w:t>Dutkowski P</w:t>
      </w:r>
      <w:r w:rsidRPr="006F7827">
        <w:rPr>
          <w:rFonts w:ascii="Book Antiqua" w:eastAsia="SimSun" w:hAnsi="Book Antiqua" w:cs="SimSun"/>
          <w:color w:val="000000"/>
          <w:sz w:val="24"/>
          <w:szCs w:val="24"/>
        </w:rPr>
        <w:t xml:space="preserve">, Oberkofler CE, Slankamenac K, Puhan MA, Schadde E, Müllhaupt B, Geier A, Clavien PA. Are there better guidelines for allocation in liver transplantation? A </w:t>
      </w:r>
      <w:r w:rsidRPr="006F7827">
        <w:rPr>
          <w:rFonts w:ascii="Book Antiqua" w:eastAsia="SimSun" w:hAnsi="Book Antiqua" w:cs="SimSun"/>
          <w:color w:val="000000"/>
          <w:sz w:val="24"/>
          <w:szCs w:val="24"/>
        </w:rPr>
        <w:lastRenderedPageBreak/>
        <w:t>novel score targeting justice and utility in the model for end-stage liver disease era. </w:t>
      </w:r>
      <w:r w:rsidRPr="006F7827">
        <w:rPr>
          <w:rFonts w:ascii="Book Antiqua" w:eastAsia="SimSun" w:hAnsi="Book Antiqua" w:cs="SimSun"/>
          <w:i/>
          <w:iCs/>
          <w:color w:val="000000"/>
          <w:sz w:val="24"/>
          <w:szCs w:val="24"/>
        </w:rPr>
        <w:t>Ann Surg</w:t>
      </w:r>
      <w:r w:rsidRPr="006F7827">
        <w:rPr>
          <w:rFonts w:ascii="Book Antiqua" w:eastAsia="SimSun" w:hAnsi="Book Antiqua" w:cs="SimSun"/>
          <w:color w:val="000000"/>
          <w:sz w:val="24"/>
          <w:szCs w:val="24"/>
        </w:rPr>
        <w:t> 2011; </w:t>
      </w:r>
      <w:r w:rsidRPr="006F7827">
        <w:rPr>
          <w:rFonts w:ascii="Book Antiqua" w:eastAsia="SimSun" w:hAnsi="Book Antiqua" w:cs="SimSun"/>
          <w:b/>
          <w:bCs/>
          <w:color w:val="000000"/>
          <w:sz w:val="24"/>
          <w:szCs w:val="24"/>
        </w:rPr>
        <w:t>254</w:t>
      </w:r>
      <w:r w:rsidRPr="006F7827">
        <w:rPr>
          <w:rFonts w:ascii="Book Antiqua" w:eastAsia="SimSun" w:hAnsi="Book Antiqua" w:cs="SimSun"/>
          <w:color w:val="000000"/>
          <w:sz w:val="24"/>
          <w:szCs w:val="24"/>
        </w:rPr>
        <w:t>: 745-53; discussion 753 [PMID: 22042468 DOI: 10.1097/SLA.0b013e3182365081]</w:t>
      </w:r>
    </w:p>
    <w:p w14:paraId="57CC7B5E" w14:textId="77777777" w:rsidR="00422EBA" w:rsidRPr="006F7827" w:rsidRDefault="00422EBA" w:rsidP="00422EBA">
      <w:pPr>
        <w:spacing w:after="0" w:line="360" w:lineRule="auto"/>
        <w:jc w:val="both"/>
        <w:rPr>
          <w:rFonts w:ascii="Book Antiqua" w:eastAsia="SimSun" w:hAnsi="Book Antiqua" w:cs="SimSun"/>
          <w:color w:val="000000"/>
          <w:sz w:val="24"/>
          <w:szCs w:val="24"/>
        </w:rPr>
      </w:pPr>
      <w:r w:rsidRPr="006F7827">
        <w:rPr>
          <w:rFonts w:ascii="Book Antiqua" w:eastAsia="SimSun" w:hAnsi="Book Antiqua" w:cs="SimSun"/>
          <w:color w:val="000000"/>
          <w:sz w:val="24"/>
          <w:szCs w:val="24"/>
        </w:rPr>
        <w:t>26 </w:t>
      </w:r>
      <w:r w:rsidRPr="006F7827">
        <w:rPr>
          <w:rFonts w:ascii="Book Antiqua" w:eastAsia="SimSun" w:hAnsi="Book Antiqua" w:cs="SimSun"/>
          <w:b/>
          <w:bCs/>
          <w:color w:val="000000"/>
          <w:sz w:val="24"/>
          <w:szCs w:val="24"/>
        </w:rPr>
        <w:t>Charlson ME</w:t>
      </w:r>
      <w:r w:rsidRPr="006F7827">
        <w:rPr>
          <w:rFonts w:ascii="Book Antiqua" w:eastAsia="SimSun" w:hAnsi="Book Antiqua" w:cs="SimSun"/>
          <w:color w:val="000000"/>
          <w:sz w:val="24"/>
          <w:szCs w:val="24"/>
        </w:rPr>
        <w:t>, Pompei P, Ales KL, MacKenzie CR. A new method of classifying prognostic comorbidity in longitudinal studies: development and validation. </w:t>
      </w:r>
      <w:r w:rsidRPr="006F7827">
        <w:rPr>
          <w:rFonts w:ascii="Book Antiqua" w:eastAsia="SimSun" w:hAnsi="Book Antiqua" w:cs="SimSun"/>
          <w:i/>
          <w:iCs/>
          <w:color w:val="000000"/>
          <w:sz w:val="24"/>
          <w:szCs w:val="24"/>
        </w:rPr>
        <w:t>J Chronic Dis</w:t>
      </w:r>
      <w:r w:rsidRPr="006F7827">
        <w:rPr>
          <w:rFonts w:ascii="Book Antiqua" w:eastAsia="SimSun" w:hAnsi="Book Antiqua" w:cs="SimSun"/>
          <w:color w:val="000000"/>
          <w:sz w:val="24"/>
          <w:szCs w:val="24"/>
        </w:rPr>
        <w:t> 1987; </w:t>
      </w:r>
      <w:r w:rsidRPr="006F7827">
        <w:rPr>
          <w:rFonts w:ascii="Book Antiqua" w:eastAsia="SimSun" w:hAnsi="Book Antiqua" w:cs="SimSun"/>
          <w:b/>
          <w:bCs/>
          <w:color w:val="000000"/>
          <w:sz w:val="24"/>
          <w:szCs w:val="24"/>
        </w:rPr>
        <w:t>40</w:t>
      </w:r>
      <w:r w:rsidRPr="006F7827">
        <w:rPr>
          <w:rFonts w:ascii="Book Antiqua" w:eastAsia="SimSun" w:hAnsi="Book Antiqua" w:cs="SimSun"/>
          <w:color w:val="000000"/>
          <w:sz w:val="24"/>
          <w:szCs w:val="24"/>
        </w:rPr>
        <w:t>: 373-383 [PMID: 3558716]</w:t>
      </w:r>
    </w:p>
    <w:p w14:paraId="5AA5ACA0" w14:textId="77777777" w:rsidR="00422EBA" w:rsidRPr="006F7827" w:rsidRDefault="00422EBA" w:rsidP="00422EBA">
      <w:pPr>
        <w:spacing w:after="0" w:line="360" w:lineRule="auto"/>
        <w:jc w:val="both"/>
        <w:rPr>
          <w:rFonts w:ascii="Book Antiqua" w:eastAsia="SimSun" w:hAnsi="Book Antiqua" w:cs="SimSun"/>
          <w:color w:val="000000"/>
          <w:sz w:val="24"/>
          <w:szCs w:val="24"/>
        </w:rPr>
      </w:pPr>
      <w:r w:rsidRPr="006F7827">
        <w:rPr>
          <w:rFonts w:ascii="Book Antiqua" w:eastAsia="SimSun" w:hAnsi="Book Antiqua" w:cs="SimSun"/>
          <w:color w:val="000000"/>
          <w:sz w:val="24"/>
          <w:szCs w:val="24"/>
        </w:rPr>
        <w:t>27 </w:t>
      </w:r>
      <w:r w:rsidRPr="006F7827">
        <w:rPr>
          <w:rFonts w:ascii="Book Antiqua" w:eastAsia="SimSun" w:hAnsi="Book Antiqua" w:cs="SimSun"/>
          <w:b/>
          <w:bCs/>
          <w:color w:val="000000"/>
          <w:sz w:val="24"/>
          <w:szCs w:val="24"/>
        </w:rPr>
        <w:t>Volk ML</w:t>
      </w:r>
      <w:r w:rsidRPr="006F7827">
        <w:rPr>
          <w:rFonts w:ascii="Book Antiqua" w:eastAsia="SimSun" w:hAnsi="Book Antiqua" w:cs="SimSun"/>
          <w:color w:val="000000"/>
          <w:sz w:val="24"/>
          <w:szCs w:val="24"/>
        </w:rPr>
        <w:t>, Hernandez JC, Lok AS, Marrero JA. Modified Charlson comorbidity index for predicting survival after liver transplantation. </w:t>
      </w:r>
      <w:r w:rsidRPr="006F7827">
        <w:rPr>
          <w:rFonts w:ascii="Book Antiqua" w:eastAsia="SimSun" w:hAnsi="Book Antiqua" w:cs="SimSun"/>
          <w:i/>
          <w:iCs/>
          <w:color w:val="000000"/>
          <w:sz w:val="24"/>
          <w:szCs w:val="24"/>
        </w:rPr>
        <w:t>Liver Transpl</w:t>
      </w:r>
      <w:r w:rsidRPr="006F7827">
        <w:rPr>
          <w:rFonts w:ascii="Book Antiqua" w:eastAsia="SimSun" w:hAnsi="Book Antiqua" w:cs="SimSun"/>
          <w:color w:val="000000"/>
          <w:sz w:val="24"/>
          <w:szCs w:val="24"/>
        </w:rPr>
        <w:t> 2007; </w:t>
      </w:r>
      <w:r w:rsidRPr="006F7827">
        <w:rPr>
          <w:rFonts w:ascii="Book Antiqua" w:eastAsia="SimSun" w:hAnsi="Book Antiqua" w:cs="SimSun"/>
          <w:b/>
          <w:bCs/>
          <w:color w:val="000000"/>
          <w:sz w:val="24"/>
          <w:szCs w:val="24"/>
        </w:rPr>
        <w:t>13</w:t>
      </w:r>
      <w:r w:rsidRPr="006F7827">
        <w:rPr>
          <w:rFonts w:ascii="Book Antiqua" w:eastAsia="SimSun" w:hAnsi="Book Antiqua" w:cs="SimSun"/>
          <w:color w:val="000000"/>
          <w:sz w:val="24"/>
          <w:szCs w:val="24"/>
        </w:rPr>
        <w:t>: 1515-1520 [PMID: 17969207 DOI: 10.1002/lt.21172]</w:t>
      </w:r>
    </w:p>
    <w:p w14:paraId="20DC4A0C" w14:textId="77777777" w:rsidR="00422EBA" w:rsidRPr="006F7827" w:rsidRDefault="00422EBA" w:rsidP="00422EBA">
      <w:pPr>
        <w:spacing w:after="0" w:line="360" w:lineRule="auto"/>
        <w:jc w:val="both"/>
        <w:rPr>
          <w:rFonts w:ascii="Book Antiqua" w:eastAsia="SimSun" w:hAnsi="Book Antiqua" w:cs="SimSun"/>
          <w:color w:val="000000"/>
          <w:sz w:val="24"/>
          <w:szCs w:val="24"/>
        </w:rPr>
      </w:pPr>
      <w:r w:rsidRPr="006F7827">
        <w:rPr>
          <w:rFonts w:ascii="Book Antiqua" w:eastAsia="SimSun" w:hAnsi="Book Antiqua" w:cs="SimSun"/>
          <w:color w:val="000000"/>
          <w:sz w:val="24"/>
          <w:szCs w:val="24"/>
        </w:rPr>
        <w:t>28 </w:t>
      </w:r>
      <w:r w:rsidRPr="006F7827">
        <w:rPr>
          <w:rFonts w:ascii="Book Antiqua" w:eastAsia="SimSun" w:hAnsi="Book Antiqua" w:cs="SimSun"/>
          <w:b/>
          <w:bCs/>
          <w:color w:val="000000"/>
          <w:sz w:val="24"/>
          <w:szCs w:val="24"/>
        </w:rPr>
        <w:t>Wasilewicz M</w:t>
      </w:r>
      <w:r w:rsidRPr="006F7827">
        <w:rPr>
          <w:rFonts w:ascii="Book Antiqua" w:eastAsia="SimSun" w:hAnsi="Book Antiqua" w:cs="SimSun"/>
          <w:color w:val="000000"/>
          <w:sz w:val="24"/>
          <w:szCs w:val="24"/>
        </w:rPr>
        <w:t>, Raszeja-Wyszomirska J, Wunsch E, Wójcicki M, Milkiewicz P. Modified Charlson Comorbidity Index in predicting early mortality after liver transplantation. </w:t>
      </w:r>
      <w:r w:rsidRPr="006F7827">
        <w:rPr>
          <w:rFonts w:ascii="Book Antiqua" w:eastAsia="SimSun" w:hAnsi="Book Antiqua" w:cs="SimSun"/>
          <w:i/>
          <w:iCs/>
          <w:color w:val="000000"/>
          <w:sz w:val="24"/>
          <w:szCs w:val="24"/>
        </w:rPr>
        <w:t>Transplant Proc</w:t>
      </w:r>
      <w:r w:rsidRPr="006F7827">
        <w:rPr>
          <w:rFonts w:ascii="Book Antiqua" w:eastAsia="SimSun" w:hAnsi="Book Antiqua" w:cs="SimSun"/>
          <w:color w:val="000000"/>
          <w:sz w:val="24"/>
          <w:szCs w:val="24"/>
        </w:rPr>
        <w:t> 2009; </w:t>
      </w:r>
      <w:r w:rsidRPr="006F7827">
        <w:rPr>
          <w:rFonts w:ascii="Book Antiqua" w:eastAsia="SimSun" w:hAnsi="Book Antiqua" w:cs="SimSun"/>
          <w:b/>
          <w:bCs/>
          <w:color w:val="000000"/>
          <w:sz w:val="24"/>
          <w:szCs w:val="24"/>
        </w:rPr>
        <w:t>41</w:t>
      </w:r>
      <w:r w:rsidRPr="006F7827">
        <w:rPr>
          <w:rFonts w:ascii="Book Antiqua" w:eastAsia="SimSun" w:hAnsi="Book Antiqua" w:cs="SimSun"/>
          <w:color w:val="000000"/>
          <w:sz w:val="24"/>
          <w:szCs w:val="24"/>
        </w:rPr>
        <w:t>: 3117-3118 [PMID: 19857690 DOI: 10.1016/j.transproceed.2009.07.097]</w:t>
      </w:r>
    </w:p>
    <w:p w14:paraId="3E11729F" w14:textId="77777777" w:rsidR="00422EBA" w:rsidRPr="006F7827" w:rsidRDefault="00422EBA" w:rsidP="00422EBA">
      <w:pPr>
        <w:spacing w:after="0" w:line="360" w:lineRule="auto"/>
        <w:jc w:val="both"/>
        <w:rPr>
          <w:rFonts w:ascii="Book Antiqua" w:eastAsia="SimSun" w:hAnsi="Book Antiqua" w:cs="SimSun"/>
          <w:color w:val="000000"/>
          <w:sz w:val="24"/>
          <w:szCs w:val="24"/>
        </w:rPr>
      </w:pPr>
      <w:r w:rsidRPr="006F7827">
        <w:rPr>
          <w:rFonts w:ascii="Book Antiqua" w:eastAsia="SimSun" w:hAnsi="Book Antiqua" w:cs="SimSun"/>
          <w:color w:val="000000"/>
          <w:sz w:val="24"/>
          <w:szCs w:val="24"/>
        </w:rPr>
        <w:t>29 </w:t>
      </w:r>
      <w:r w:rsidRPr="006F7827">
        <w:rPr>
          <w:rFonts w:ascii="Book Antiqua" w:eastAsia="SimSun" w:hAnsi="Book Antiqua" w:cs="SimSun"/>
          <w:b/>
          <w:bCs/>
          <w:color w:val="000000"/>
          <w:sz w:val="24"/>
          <w:szCs w:val="24"/>
        </w:rPr>
        <w:t>Leon-Justel A</w:t>
      </w:r>
      <w:r w:rsidRPr="006F7827">
        <w:rPr>
          <w:rFonts w:ascii="Book Antiqua" w:eastAsia="SimSun" w:hAnsi="Book Antiqua" w:cs="SimSun"/>
          <w:color w:val="000000"/>
          <w:sz w:val="24"/>
          <w:szCs w:val="24"/>
        </w:rPr>
        <w:t>, Noval-Padillo JA, Alvarez-Rios AI, Mellado P, Gomez-Bravo MA, Álamo JM, Porras M, Barrero L, Hinojosa R, Carmona M, Vilches-Arenas A, Guerrero JM. Point-of-care haemostasis monitoring during liver transplantation reduces transfusion requirements and improves patient outcome. </w:t>
      </w:r>
      <w:r w:rsidRPr="006F7827">
        <w:rPr>
          <w:rFonts w:ascii="Book Antiqua" w:eastAsia="SimSun" w:hAnsi="Book Antiqua" w:cs="SimSun"/>
          <w:i/>
          <w:iCs/>
          <w:color w:val="000000"/>
          <w:sz w:val="24"/>
          <w:szCs w:val="24"/>
        </w:rPr>
        <w:t>Clin Chim Acta</w:t>
      </w:r>
      <w:r w:rsidRPr="006F7827">
        <w:rPr>
          <w:rFonts w:ascii="Book Antiqua" w:eastAsia="SimSun" w:hAnsi="Book Antiqua" w:cs="SimSun"/>
          <w:color w:val="000000"/>
          <w:sz w:val="24"/>
          <w:szCs w:val="24"/>
        </w:rPr>
        <w:t> 2015; </w:t>
      </w:r>
      <w:r w:rsidRPr="006F7827">
        <w:rPr>
          <w:rFonts w:ascii="Book Antiqua" w:eastAsia="SimSun" w:hAnsi="Book Antiqua" w:cs="SimSun"/>
          <w:b/>
          <w:bCs/>
          <w:color w:val="000000"/>
          <w:sz w:val="24"/>
          <w:szCs w:val="24"/>
        </w:rPr>
        <w:t>446</w:t>
      </w:r>
      <w:r w:rsidRPr="006F7827">
        <w:rPr>
          <w:rFonts w:ascii="Book Antiqua" w:eastAsia="SimSun" w:hAnsi="Book Antiqua" w:cs="SimSun"/>
          <w:color w:val="000000"/>
          <w:sz w:val="24"/>
          <w:szCs w:val="24"/>
        </w:rPr>
        <w:t>: 277-283 [PMID: 25916692 DOI: 10.1016/j.cca.2015.04.022]</w:t>
      </w:r>
    </w:p>
    <w:p w14:paraId="3E670372" w14:textId="77777777" w:rsidR="00422EBA" w:rsidRPr="006F7827" w:rsidRDefault="00422EBA" w:rsidP="00422EBA">
      <w:pPr>
        <w:spacing w:after="0" w:line="360" w:lineRule="auto"/>
        <w:jc w:val="both"/>
        <w:rPr>
          <w:rFonts w:ascii="Book Antiqua" w:eastAsia="SimSun" w:hAnsi="Book Antiqua" w:cs="SimSun"/>
          <w:color w:val="000000"/>
          <w:sz w:val="24"/>
          <w:szCs w:val="24"/>
        </w:rPr>
      </w:pPr>
      <w:r w:rsidRPr="006F7827">
        <w:rPr>
          <w:rFonts w:ascii="Book Antiqua" w:eastAsia="SimSun" w:hAnsi="Book Antiqua" w:cs="SimSun"/>
          <w:color w:val="000000"/>
          <w:sz w:val="24"/>
          <w:szCs w:val="24"/>
        </w:rPr>
        <w:t>30 </w:t>
      </w:r>
      <w:r w:rsidRPr="006F7827">
        <w:rPr>
          <w:rFonts w:ascii="Book Antiqua" w:eastAsia="SimSun" w:hAnsi="Book Antiqua" w:cs="SimSun"/>
          <w:b/>
          <w:bCs/>
          <w:color w:val="000000"/>
          <w:sz w:val="24"/>
          <w:szCs w:val="24"/>
        </w:rPr>
        <w:t>Perilli V</w:t>
      </w:r>
      <w:r w:rsidRPr="006F7827">
        <w:rPr>
          <w:rFonts w:ascii="Book Antiqua" w:eastAsia="SimSun" w:hAnsi="Book Antiqua" w:cs="SimSun"/>
          <w:color w:val="000000"/>
          <w:sz w:val="24"/>
          <w:szCs w:val="24"/>
        </w:rPr>
        <w:t>, Aceto P, Modesti C, Ciocchetti P, Sacco T, Vitale F, Lai C, Magalini SC, Avolio AW, Sollazzi L. Low values of left ventricular ejection time in the post-anhepatic phase may be associated with occurrence of primary graft dysfunction after orthotopic liver transplantation: results of a single-centre case-control study. </w:t>
      </w:r>
      <w:r w:rsidRPr="006F7827">
        <w:rPr>
          <w:rFonts w:ascii="Book Antiqua" w:eastAsia="SimSun" w:hAnsi="Book Antiqua" w:cs="SimSun"/>
          <w:i/>
          <w:iCs/>
          <w:color w:val="000000"/>
          <w:sz w:val="24"/>
          <w:szCs w:val="24"/>
        </w:rPr>
        <w:t>Eur Rev Med Pharmacol Sci</w:t>
      </w:r>
      <w:r w:rsidRPr="006F7827">
        <w:rPr>
          <w:rFonts w:ascii="Book Antiqua" w:eastAsia="SimSun" w:hAnsi="Book Antiqua" w:cs="SimSun"/>
          <w:color w:val="000000"/>
          <w:sz w:val="24"/>
          <w:szCs w:val="24"/>
        </w:rPr>
        <w:t> 2012; </w:t>
      </w:r>
      <w:r w:rsidRPr="006F7827">
        <w:rPr>
          <w:rFonts w:ascii="Book Antiqua" w:eastAsia="SimSun" w:hAnsi="Book Antiqua" w:cs="SimSun"/>
          <w:b/>
          <w:bCs/>
          <w:color w:val="000000"/>
          <w:sz w:val="24"/>
          <w:szCs w:val="24"/>
        </w:rPr>
        <w:t>16</w:t>
      </w:r>
      <w:r w:rsidRPr="006F7827">
        <w:rPr>
          <w:rFonts w:ascii="Book Antiqua" w:eastAsia="SimSun" w:hAnsi="Book Antiqua" w:cs="SimSun"/>
          <w:color w:val="000000"/>
          <w:sz w:val="24"/>
          <w:szCs w:val="24"/>
        </w:rPr>
        <w:t>: 1433-1440 [PMID: 23104662]</w:t>
      </w:r>
    </w:p>
    <w:p w14:paraId="10FC0369" w14:textId="77777777" w:rsidR="00422EBA" w:rsidRPr="006F7827" w:rsidRDefault="00422EBA" w:rsidP="00422EBA">
      <w:pPr>
        <w:spacing w:after="0" w:line="360" w:lineRule="auto"/>
        <w:jc w:val="both"/>
        <w:rPr>
          <w:rFonts w:ascii="Book Antiqua" w:eastAsia="SimSun" w:hAnsi="Book Antiqua" w:cs="SimSun"/>
          <w:color w:val="000000"/>
          <w:sz w:val="24"/>
          <w:szCs w:val="24"/>
        </w:rPr>
      </w:pPr>
      <w:r w:rsidRPr="006F7827">
        <w:rPr>
          <w:rFonts w:ascii="Book Antiqua" w:eastAsia="SimSun" w:hAnsi="Book Antiqua" w:cs="SimSun"/>
          <w:color w:val="000000"/>
          <w:sz w:val="24"/>
          <w:szCs w:val="24"/>
        </w:rPr>
        <w:t>31 </w:t>
      </w:r>
      <w:r w:rsidRPr="006F7827">
        <w:rPr>
          <w:rFonts w:ascii="Book Antiqua" w:eastAsia="SimSun" w:hAnsi="Book Antiqua" w:cs="SimSun"/>
          <w:b/>
          <w:bCs/>
          <w:color w:val="000000"/>
          <w:sz w:val="24"/>
          <w:szCs w:val="24"/>
        </w:rPr>
        <w:t>Ijtsma AJ</w:t>
      </w:r>
      <w:r w:rsidRPr="006F7827">
        <w:rPr>
          <w:rFonts w:ascii="Book Antiqua" w:eastAsia="SimSun" w:hAnsi="Book Antiqua" w:cs="SimSun"/>
          <w:color w:val="000000"/>
          <w:sz w:val="24"/>
          <w:szCs w:val="24"/>
        </w:rPr>
        <w:t>, van der Hilst CS, de Boer MT, de Jong KP, Peeters PM, Porte RJ, Slooff MJ. The clinical relevance of the anhepatic phase during liver transplantation. </w:t>
      </w:r>
      <w:r w:rsidRPr="006F7827">
        <w:rPr>
          <w:rFonts w:ascii="Book Antiqua" w:eastAsia="SimSun" w:hAnsi="Book Antiqua" w:cs="SimSun"/>
          <w:i/>
          <w:iCs/>
          <w:color w:val="000000"/>
          <w:sz w:val="24"/>
          <w:szCs w:val="24"/>
        </w:rPr>
        <w:t>Liver Transpl</w:t>
      </w:r>
      <w:r w:rsidRPr="006F7827">
        <w:rPr>
          <w:rFonts w:ascii="Book Antiqua" w:eastAsia="SimSun" w:hAnsi="Book Antiqua" w:cs="SimSun"/>
          <w:color w:val="000000"/>
          <w:sz w:val="24"/>
          <w:szCs w:val="24"/>
        </w:rPr>
        <w:t> 2009; </w:t>
      </w:r>
      <w:r w:rsidRPr="006F7827">
        <w:rPr>
          <w:rFonts w:ascii="Book Antiqua" w:eastAsia="SimSun" w:hAnsi="Book Antiqua" w:cs="SimSun"/>
          <w:b/>
          <w:bCs/>
          <w:color w:val="000000"/>
          <w:sz w:val="24"/>
          <w:szCs w:val="24"/>
        </w:rPr>
        <w:t>15</w:t>
      </w:r>
      <w:r w:rsidRPr="006F7827">
        <w:rPr>
          <w:rFonts w:ascii="Book Antiqua" w:eastAsia="SimSun" w:hAnsi="Book Antiqua" w:cs="SimSun"/>
          <w:color w:val="000000"/>
          <w:sz w:val="24"/>
          <w:szCs w:val="24"/>
        </w:rPr>
        <w:t>: 1050-1055 [PMID: 19718649 DOI: 10.1002/lt.21791]</w:t>
      </w:r>
    </w:p>
    <w:p w14:paraId="2F1B8233" w14:textId="77777777" w:rsidR="00422EBA" w:rsidRPr="006F7827" w:rsidRDefault="00422EBA" w:rsidP="00422EBA">
      <w:pPr>
        <w:spacing w:after="0" w:line="360" w:lineRule="auto"/>
        <w:jc w:val="both"/>
        <w:rPr>
          <w:rFonts w:ascii="Book Antiqua" w:eastAsia="SimSun" w:hAnsi="Book Antiqua" w:cs="SimSun"/>
          <w:color w:val="000000"/>
          <w:sz w:val="24"/>
          <w:szCs w:val="24"/>
        </w:rPr>
      </w:pPr>
      <w:r w:rsidRPr="006F7827">
        <w:rPr>
          <w:rFonts w:ascii="Book Antiqua" w:eastAsia="SimSun" w:hAnsi="Book Antiqua" w:cs="SimSun"/>
          <w:color w:val="000000"/>
          <w:sz w:val="24"/>
          <w:szCs w:val="24"/>
        </w:rPr>
        <w:t>32 </w:t>
      </w:r>
      <w:r w:rsidRPr="006F7827">
        <w:rPr>
          <w:rFonts w:ascii="Book Antiqua" w:eastAsia="SimSun" w:hAnsi="Book Antiqua" w:cs="SimSun"/>
          <w:b/>
          <w:bCs/>
          <w:color w:val="000000"/>
          <w:sz w:val="24"/>
          <w:szCs w:val="24"/>
        </w:rPr>
        <w:t>Briceño J</w:t>
      </w:r>
      <w:r w:rsidRPr="006F7827">
        <w:rPr>
          <w:rFonts w:ascii="Book Antiqua" w:eastAsia="SimSun" w:hAnsi="Book Antiqua" w:cs="SimSun"/>
          <w:color w:val="000000"/>
          <w:sz w:val="24"/>
          <w:szCs w:val="24"/>
        </w:rPr>
        <w:t>, Ciria R, de la Mata M, Rufián S, López-Cillero P. Prediction of graft dysfunction based on extended criteria donors in the model for end-stage liver disease score era. </w:t>
      </w:r>
      <w:r w:rsidRPr="006F7827">
        <w:rPr>
          <w:rFonts w:ascii="Book Antiqua" w:eastAsia="SimSun" w:hAnsi="Book Antiqua" w:cs="SimSun"/>
          <w:i/>
          <w:iCs/>
          <w:color w:val="000000"/>
          <w:sz w:val="24"/>
          <w:szCs w:val="24"/>
        </w:rPr>
        <w:t>Transplantation</w:t>
      </w:r>
      <w:r w:rsidRPr="006F7827">
        <w:rPr>
          <w:rFonts w:ascii="Book Antiqua" w:eastAsia="SimSun" w:hAnsi="Book Antiqua" w:cs="SimSun"/>
          <w:color w:val="000000"/>
          <w:sz w:val="24"/>
          <w:szCs w:val="24"/>
        </w:rPr>
        <w:t> 2010; </w:t>
      </w:r>
      <w:r w:rsidRPr="006F7827">
        <w:rPr>
          <w:rFonts w:ascii="Book Antiqua" w:eastAsia="SimSun" w:hAnsi="Book Antiqua" w:cs="SimSun"/>
          <w:b/>
          <w:bCs/>
          <w:color w:val="000000"/>
          <w:sz w:val="24"/>
          <w:szCs w:val="24"/>
        </w:rPr>
        <w:t>90</w:t>
      </w:r>
      <w:r w:rsidRPr="006F7827">
        <w:rPr>
          <w:rFonts w:ascii="Book Antiqua" w:eastAsia="SimSun" w:hAnsi="Book Antiqua" w:cs="SimSun"/>
          <w:color w:val="000000"/>
          <w:sz w:val="24"/>
          <w:szCs w:val="24"/>
        </w:rPr>
        <w:t>: 530-539 [PMID: 20581766 DOI: 10.1097/TP.0b013e3181e86b11]</w:t>
      </w:r>
    </w:p>
    <w:p w14:paraId="4D5EBB10" w14:textId="77777777" w:rsidR="00422EBA" w:rsidRPr="006F7827" w:rsidRDefault="00422EBA" w:rsidP="00422EBA">
      <w:pPr>
        <w:spacing w:after="0" w:line="360" w:lineRule="auto"/>
        <w:jc w:val="both"/>
        <w:rPr>
          <w:rFonts w:ascii="Book Antiqua" w:eastAsia="SimSun" w:hAnsi="Book Antiqua" w:cs="SimSun"/>
          <w:color w:val="000000"/>
          <w:sz w:val="24"/>
          <w:szCs w:val="24"/>
        </w:rPr>
      </w:pPr>
      <w:r w:rsidRPr="006F7827">
        <w:rPr>
          <w:rFonts w:ascii="Book Antiqua" w:eastAsia="SimSun" w:hAnsi="Book Antiqua" w:cs="SimSun"/>
          <w:color w:val="000000"/>
          <w:sz w:val="24"/>
          <w:szCs w:val="24"/>
        </w:rPr>
        <w:t>33 </w:t>
      </w:r>
      <w:r w:rsidRPr="006F7827">
        <w:rPr>
          <w:rFonts w:ascii="Book Antiqua" w:eastAsia="SimSun" w:hAnsi="Book Antiqua" w:cs="SimSun"/>
          <w:b/>
          <w:bCs/>
          <w:color w:val="000000"/>
          <w:sz w:val="24"/>
          <w:szCs w:val="24"/>
        </w:rPr>
        <w:t>Zipprich A</w:t>
      </w:r>
      <w:r w:rsidRPr="006F7827">
        <w:rPr>
          <w:rFonts w:ascii="Book Antiqua" w:eastAsia="SimSun" w:hAnsi="Book Antiqua" w:cs="SimSun"/>
          <w:color w:val="000000"/>
          <w:sz w:val="24"/>
          <w:szCs w:val="24"/>
        </w:rPr>
        <w:t xml:space="preserve">, Kuss O, Rogowski S, Kleber G, Lotterer E, Seufferlein T, Fleig WE, Dollinger MM. Incorporating indocyanin green clearance into the Model for End Stage </w:t>
      </w:r>
      <w:r w:rsidRPr="006F7827">
        <w:rPr>
          <w:rFonts w:ascii="Book Antiqua" w:eastAsia="SimSun" w:hAnsi="Book Antiqua" w:cs="SimSun"/>
          <w:color w:val="000000"/>
          <w:sz w:val="24"/>
          <w:szCs w:val="24"/>
        </w:rPr>
        <w:lastRenderedPageBreak/>
        <w:t>Liver Disease (MELD-ICG) improves prognostic accuracy in intermediate to advanced cirrhosis. </w:t>
      </w:r>
      <w:r w:rsidRPr="006F7827">
        <w:rPr>
          <w:rFonts w:ascii="Book Antiqua" w:eastAsia="SimSun" w:hAnsi="Book Antiqua" w:cs="SimSun"/>
          <w:i/>
          <w:iCs/>
          <w:color w:val="000000"/>
          <w:sz w:val="24"/>
          <w:szCs w:val="24"/>
        </w:rPr>
        <w:t>Gut</w:t>
      </w:r>
      <w:r w:rsidRPr="006F7827">
        <w:rPr>
          <w:rFonts w:ascii="Book Antiqua" w:eastAsia="SimSun" w:hAnsi="Book Antiqua" w:cs="SimSun"/>
          <w:color w:val="000000"/>
          <w:sz w:val="24"/>
          <w:szCs w:val="24"/>
        </w:rPr>
        <w:t> 2010; </w:t>
      </w:r>
      <w:r w:rsidRPr="006F7827">
        <w:rPr>
          <w:rFonts w:ascii="Book Antiqua" w:eastAsia="SimSun" w:hAnsi="Book Antiqua" w:cs="SimSun"/>
          <w:b/>
          <w:bCs/>
          <w:color w:val="000000"/>
          <w:sz w:val="24"/>
          <w:szCs w:val="24"/>
        </w:rPr>
        <w:t>59</w:t>
      </w:r>
      <w:r w:rsidRPr="006F7827">
        <w:rPr>
          <w:rFonts w:ascii="Book Antiqua" w:eastAsia="SimSun" w:hAnsi="Book Antiqua" w:cs="SimSun"/>
          <w:color w:val="000000"/>
          <w:sz w:val="24"/>
          <w:szCs w:val="24"/>
        </w:rPr>
        <w:t>: 963-968 [PMID: 20581243 DOI: 10.1136/gut.2010.208595]</w:t>
      </w:r>
    </w:p>
    <w:p w14:paraId="463B3B2A" w14:textId="77777777" w:rsidR="00422EBA" w:rsidRPr="006F7827" w:rsidRDefault="00422EBA" w:rsidP="00422EBA">
      <w:pPr>
        <w:spacing w:after="0" w:line="360" w:lineRule="auto"/>
        <w:jc w:val="both"/>
        <w:rPr>
          <w:rFonts w:ascii="Book Antiqua" w:eastAsia="SimSun" w:hAnsi="Book Antiqua" w:cs="SimSun"/>
          <w:color w:val="000000"/>
          <w:sz w:val="24"/>
          <w:szCs w:val="24"/>
        </w:rPr>
      </w:pPr>
      <w:r w:rsidRPr="006F7827">
        <w:rPr>
          <w:rFonts w:ascii="Book Antiqua" w:eastAsia="SimSun" w:hAnsi="Book Antiqua" w:cs="SimSun"/>
          <w:color w:val="000000"/>
          <w:sz w:val="24"/>
          <w:szCs w:val="24"/>
        </w:rPr>
        <w:t>34 </w:t>
      </w:r>
      <w:r w:rsidRPr="006F7827">
        <w:rPr>
          <w:rFonts w:ascii="Book Antiqua" w:eastAsia="SimSun" w:hAnsi="Book Antiqua" w:cs="SimSun"/>
          <w:b/>
          <w:bCs/>
          <w:color w:val="000000"/>
          <w:sz w:val="24"/>
          <w:szCs w:val="24"/>
        </w:rPr>
        <w:t>Zarrinpar A</w:t>
      </w:r>
      <w:r w:rsidRPr="006F7827">
        <w:rPr>
          <w:rFonts w:ascii="Book Antiqua" w:eastAsia="SimSun" w:hAnsi="Book Antiqua" w:cs="SimSun"/>
          <w:color w:val="000000"/>
          <w:sz w:val="24"/>
          <w:szCs w:val="24"/>
        </w:rPr>
        <w:t>, Lee C, Noguchi E, Yersiz H, Agopian VG, Kaldas FM, Farmer DG, Busuttil RW. A rapid, reproducible, noninvasive predictor of liver graft survival. </w:t>
      </w:r>
      <w:r w:rsidRPr="006F7827">
        <w:rPr>
          <w:rFonts w:ascii="Book Antiqua" w:eastAsia="SimSun" w:hAnsi="Book Antiqua" w:cs="SimSun"/>
          <w:i/>
          <w:iCs/>
          <w:color w:val="000000"/>
          <w:sz w:val="24"/>
          <w:szCs w:val="24"/>
        </w:rPr>
        <w:t>J Surg Res</w:t>
      </w:r>
      <w:r w:rsidRPr="006F7827">
        <w:rPr>
          <w:rFonts w:ascii="Book Antiqua" w:eastAsia="SimSun" w:hAnsi="Book Antiqua" w:cs="SimSun"/>
          <w:color w:val="000000"/>
          <w:sz w:val="24"/>
          <w:szCs w:val="24"/>
        </w:rPr>
        <w:t> 2015; </w:t>
      </w:r>
      <w:r w:rsidRPr="006F7827">
        <w:rPr>
          <w:rFonts w:ascii="Book Antiqua" w:eastAsia="SimSun" w:hAnsi="Book Antiqua" w:cs="SimSun"/>
          <w:b/>
          <w:bCs/>
          <w:color w:val="000000"/>
          <w:sz w:val="24"/>
          <w:szCs w:val="24"/>
        </w:rPr>
        <w:t>197</w:t>
      </w:r>
      <w:r w:rsidRPr="006F7827">
        <w:rPr>
          <w:rFonts w:ascii="Book Antiqua" w:eastAsia="SimSun" w:hAnsi="Book Antiqua" w:cs="SimSun"/>
          <w:color w:val="000000"/>
          <w:sz w:val="24"/>
          <w:szCs w:val="24"/>
        </w:rPr>
        <w:t>: 183-190 [PMID: 25940156 DOI: 10.1016/j.jss.2015.03.093]</w:t>
      </w:r>
    </w:p>
    <w:p w14:paraId="695998BD" w14:textId="77777777" w:rsidR="00422EBA" w:rsidRPr="006F7827" w:rsidRDefault="00422EBA" w:rsidP="00422EBA">
      <w:pPr>
        <w:spacing w:after="0" w:line="360" w:lineRule="auto"/>
        <w:jc w:val="both"/>
        <w:rPr>
          <w:rFonts w:ascii="Book Antiqua" w:eastAsia="SimSun" w:hAnsi="Book Antiqua" w:cs="SimSun"/>
          <w:color w:val="000000"/>
          <w:sz w:val="24"/>
          <w:szCs w:val="24"/>
        </w:rPr>
      </w:pPr>
      <w:r w:rsidRPr="006F7827">
        <w:rPr>
          <w:rFonts w:ascii="Book Antiqua" w:eastAsia="SimSun" w:hAnsi="Book Antiqua" w:cs="SimSun"/>
          <w:color w:val="000000"/>
          <w:sz w:val="24"/>
          <w:szCs w:val="24"/>
        </w:rPr>
        <w:t>35 </w:t>
      </w:r>
      <w:r w:rsidRPr="006F7827">
        <w:rPr>
          <w:rFonts w:ascii="Book Antiqua" w:eastAsia="SimSun" w:hAnsi="Book Antiqua" w:cs="SimSun"/>
          <w:b/>
          <w:bCs/>
          <w:color w:val="000000"/>
          <w:sz w:val="24"/>
          <w:szCs w:val="24"/>
        </w:rPr>
        <w:t>Olmedilla L</w:t>
      </w:r>
      <w:r w:rsidRPr="006F7827">
        <w:rPr>
          <w:rFonts w:ascii="Book Antiqua" w:eastAsia="SimSun" w:hAnsi="Book Antiqua" w:cs="SimSun"/>
          <w:color w:val="000000"/>
          <w:sz w:val="24"/>
          <w:szCs w:val="24"/>
        </w:rPr>
        <w:t>, Pérez-Peña JM, Ripoll C, Garutti I, de Diego R, Salcedo M, Jiménez C, Bañares R. Early noninvasive measurement of the indocyanine green plasma disappearance rate accurately predicts early graft dysfunction and mortality after deceased donor liver transplantation. </w:t>
      </w:r>
      <w:r w:rsidRPr="006F7827">
        <w:rPr>
          <w:rFonts w:ascii="Book Antiqua" w:eastAsia="SimSun" w:hAnsi="Book Antiqua" w:cs="SimSun"/>
          <w:i/>
          <w:iCs/>
          <w:color w:val="000000"/>
          <w:sz w:val="24"/>
          <w:szCs w:val="24"/>
        </w:rPr>
        <w:t>Liver Transpl</w:t>
      </w:r>
      <w:r w:rsidRPr="006F7827">
        <w:rPr>
          <w:rFonts w:ascii="Book Antiqua" w:eastAsia="SimSun" w:hAnsi="Book Antiqua" w:cs="SimSun"/>
          <w:color w:val="000000"/>
          <w:sz w:val="24"/>
          <w:szCs w:val="24"/>
        </w:rPr>
        <w:t> 2009; </w:t>
      </w:r>
      <w:r w:rsidRPr="006F7827">
        <w:rPr>
          <w:rFonts w:ascii="Book Antiqua" w:eastAsia="SimSun" w:hAnsi="Book Antiqua" w:cs="SimSun"/>
          <w:b/>
          <w:bCs/>
          <w:color w:val="000000"/>
          <w:sz w:val="24"/>
          <w:szCs w:val="24"/>
        </w:rPr>
        <w:t>15</w:t>
      </w:r>
      <w:r w:rsidRPr="006F7827">
        <w:rPr>
          <w:rFonts w:ascii="Book Antiqua" w:eastAsia="SimSun" w:hAnsi="Book Antiqua" w:cs="SimSun"/>
          <w:color w:val="000000"/>
          <w:sz w:val="24"/>
          <w:szCs w:val="24"/>
        </w:rPr>
        <w:t>: 1247-1253 [PMID: 19790138 DOI: 10.1002/lt.21841]</w:t>
      </w:r>
    </w:p>
    <w:p w14:paraId="2D458CBD" w14:textId="77777777" w:rsidR="00422EBA" w:rsidRPr="006F7827" w:rsidRDefault="00422EBA" w:rsidP="00422EBA">
      <w:pPr>
        <w:spacing w:after="0" w:line="360" w:lineRule="auto"/>
        <w:jc w:val="both"/>
        <w:rPr>
          <w:rFonts w:ascii="Book Antiqua" w:eastAsia="SimSun" w:hAnsi="Book Antiqua" w:cs="SimSun"/>
          <w:color w:val="000000"/>
          <w:sz w:val="24"/>
          <w:szCs w:val="24"/>
        </w:rPr>
      </w:pPr>
      <w:r w:rsidRPr="006F7827">
        <w:rPr>
          <w:rFonts w:ascii="Book Antiqua" w:eastAsia="SimSun" w:hAnsi="Book Antiqua" w:cs="SimSun"/>
          <w:color w:val="000000"/>
          <w:sz w:val="24"/>
          <w:szCs w:val="24"/>
        </w:rPr>
        <w:t>36 </w:t>
      </w:r>
      <w:r w:rsidRPr="006F7827">
        <w:rPr>
          <w:rFonts w:ascii="Book Antiqua" w:eastAsia="SimSun" w:hAnsi="Book Antiqua" w:cs="SimSun"/>
          <w:b/>
          <w:bCs/>
          <w:color w:val="000000"/>
          <w:sz w:val="24"/>
          <w:szCs w:val="24"/>
        </w:rPr>
        <w:t>Nishimura A</w:t>
      </w:r>
      <w:r w:rsidRPr="006F7827">
        <w:rPr>
          <w:rFonts w:ascii="Book Antiqua" w:eastAsia="SimSun" w:hAnsi="Book Antiqua" w:cs="SimSun"/>
          <w:color w:val="000000"/>
          <w:sz w:val="24"/>
          <w:szCs w:val="24"/>
        </w:rPr>
        <w:t>, Hakamada K, Narumi S, Totsuka E, Toyoki Y, Ishizawa Y, Umehara M, Yoshida A, Umehara Y, Sasaki M. Intraoperative blood lactate level as an early predictor of initial graft function in human living donor liver transplantation. </w:t>
      </w:r>
      <w:r w:rsidRPr="006F7827">
        <w:rPr>
          <w:rFonts w:ascii="Book Antiqua" w:eastAsia="SimSun" w:hAnsi="Book Antiqua" w:cs="SimSun"/>
          <w:i/>
          <w:iCs/>
          <w:color w:val="000000"/>
          <w:sz w:val="24"/>
          <w:szCs w:val="24"/>
        </w:rPr>
        <w:t>Transplant Proc</w:t>
      </w:r>
      <w:r w:rsidRPr="006F7827">
        <w:rPr>
          <w:rFonts w:ascii="Book Antiqua" w:eastAsia="SimSun" w:hAnsi="Book Antiqua" w:cs="SimSun"/>
          <w:color w:val="000000"/>
          <w:sz w:val="24"/>
          <w:szCs w:val="24"/>
        </w:rPr>
        <w:t> 2004; </w:t>
      </w:r>
      <w:r w:rsidRPr="006F7827">
        <w:rPr>
          <w:rFonts w:ascii="Book Antiqua" w:eastAsia="SimSun" w:hAnsi="Book Antiqua" w:cs="SimSun"/>
          <w:b/>
          <w:bCs/>
          <w:color w:val="000000"/>
          <w:sz w:val="24"/>
          <w:szCs w:val="24"/>
        </w:rPr>
        <w:t>36</w:t>
      </w:r>
      <w:r w:rsidRPr="006F7827">
        <w:rPr>
          <w:rFonts w:ascii="Book Antiqua" w:eastAsia="SimSun" w:hAnsi="Book Antiqua" w:cs="SimSun"/>
          <w:color w:val="000000"/>
          <w:sz w:val="24"/>
          <w:szCs w:val="24"/>
        </w:rPr>
        <w:t>: 2246-2248 [PMID: 15561207 DOI: 10.1016/j.transproceed.2004.08.051]</w:t>
      </w:r>
    </w:p>
    <w:p w14:paraId="6034EEB9" w14:textId="77777777" w:rsidR="00422EBA" w:rsidRPr="006F7827" w:rsidRDefault="00422EBA" w:rsidP="00422EBA">
      <w:pPr>
        <w:spacing w:after="0" w:line="360" w:lineRule="auto"/>
        <w:jc w:val="both"/>
        <w:rPr>
          <w:rFonts w:ascii="Book Antiqua" w:eastAsia="SimSun" w:hAnsi="Book Antiqua" w:cs="SimSun"/>
          <w:color w:val="000000"/>
          <w:sz w:val="24"/>
          <w:szCs w:val="24"/>
        </w:rPr>
      </w:pPr>
      <w:r w:rsidRPr="006F7827">
        <w:rPr>
          <w:rFonts w:ascii="Book Antiqua" w:eastAsia="SimSun" w:hAnsi="Book Antiqua" w:cs="SimSun"/>
          <w:color w:val="000000"/>
          <w:sz w:val="24"/>
          <w:szCs w:val="24"/>
        </w:rPr>
        <w:t>37 </w:t>
      </w:r>
      <w:r w:rsidRPr="006F7827">
        <w:rPr>
          <w:rFonts w:ascii="Book Antiqua" w:eastAsia="SimSun" w:hAnsi="Book Antiqua" w:cs="SimSun"/>
          <w:b/>
          <w:bCs/>
          <w:color w:val="000000"/>
          <w:sz w:val="24"/>
          <w:szCs w:val="24"/>
        </w:rPr>
        <w:t>Burns E</w:t>
      </w:r>
      <w:r w:rsidRPr="006F7827">
        <w:rPr>
          <w:rFonts w:ascii="Book Antiqua" w:eastAsia="SimSun" w:hAnsi="Book Antiqua" w:cs="SimSun"/>
          <w:color w:val="000000"/>
          <w:sz w:val="24"/>
          <w:szCs w:val="24"/>
        </w:rPr>
        <w:t>, Triger DR, Tucker GT, Bax ND. Indocyanine green elimination in patients with liver disease and in normal subjects. </w:t>
      </w:r>
      <w:r w:rsidRPr="006F7827">
        <w:rPr>
          <w:rFonts w:ascii="Book Antiqua" w:eastAsia="SimSun" w:hAnsi="Book Antiqua" w:cs="SimSun"/>
          <w:i/>
          <w:iCs/>
          <w:color w:val="000000"/>
          <w:sz w:val="24"/>
          <w:szCs w:val="24"/>
        </w:rPr>
        <w:t>Clin Sci (Lond)</w:t>
      </w:r>
      <w:r w:rsidRPr="006F7827">
        <w:rPr>
          <w:rFonts w:ascii="Book Antiqua" w:eastAsia="SimSun" w:hAnsi="Book Antiqua" w:cs="SimSun"/>
          <w:color w:val="000000"/>
          <w:sz w:val="24"/>
          <w:szCs w:val="24"/>
        </w:rPr>
        <w:t> 1991; </w:t>
      </w:r>
      <w:r w:rsidRPr="006F7827">
        <w:rPr>
          <w:rFonts w:ascii="Book Antiqua" w:eastAsia="SimSun" w:hAnsi="Book Antiqua" w:cs="SimSun"/>
          <w:b/>
          <w:bCs/>
          <w:color w:val="000000"/>
          <w:sz w:val="24"/>
          <w:szCs w:val="24"/>
        </w:rPr>
        <w:t>80</w:t>
      </w:r>
      <w:r w:rsidRPr="006F7827">
        <w:rPr>
          <w:rFonts w:ascii="Book Antiqua" w:eastAsia="SimSun" w:hAnsi="Book Antiqua" w:cs="SimSun"/>
          <w:color w:val="000000"/>
          <w:sz w:val="24"/>
          <w:szCs w:val="24"/>
        </w:rPr>
        <w:t>: 155-160 [PMID: 1848168]</w:t>
      </w:r>
    </w:p>
    <w:p w14:paraId="69B714A8" w14:textId="77777777" w:rsidR="00422EBA" w:rsidRPr="006F7827" w:rsidRDefault="00422EBA" w:rsidP="00422EBA">
      <w:pPr>
        <w:spacing w:after="0" w:line="360" w:lineRule="auto"/>
        <w:jc w:val="both"/>
        <w:rPr>
          <w:rFonts w:ascii="Book Antiqua" w:eastAsia="SimSun" w:hAnsi="Book Antiqua" w:cs="SimSun"/>
          <w:color w:val="000000"/>
          <w:sz w:val="24"/>
          <w:szCs w:val="24"/>
        </w:rPr>
      </w:pPr>
      <w:r w:rsidRPr="006F7827">
        <w:rPr>
          <w:rFonts w:ascii="Book Antiqua" w:eastAsia="SimSun" w:hAnsi="Book Antiqua" w:cs="SimSun"/>
          <w:color w:val="000000"/>
          <w:sz w:val="24"/>
          <w:szCs w:val="24"/>
        </w:rPr>
        <w:t>38 </w:t>
      </w:r>
      <w:r w:rsidRPr="006F7827">
        <w:rPr>
          <w:rFonts w:ascii="Book Antiqua" w:eastAsia="SimSun" w:hAnsi="Book Antiqua" w:cs="SimSun"/>
          <w:b/>
          <w:bCs/>
          <w:color w:val="000000"/>
          <w:sz w:val="24"/>
          <w:szCs w:val="24"/>
        </w:rPr>
        <w:t>Hsieh CB</w:t>
      </w:r>
      <w:r w:rsidRPr="006F7827">
        <w:rPr>
          <w:rFonts w:ascii="Book Antiqua" w:eastAsia="SimSun" w:hAnsi="Book Antiqua" w:cs="SimSun"/>
          <w:color w:val="000000"/>
          <w:sz w:val="24"/>
          <w:szCs w:val="24"/>
        </w:rPr>
        <w:t>, Chen CJ, Chen TW, Yu JC, Shen KL, Chang TM, Liu YC. Accuracy of indocyanine green pulse spectrophotometry clearance test for liver function prediction in transplanted patients. </w:t>
      </w:r>
      <w:r w:rsidRPr="006F7827">
        <w:rPr>
          <w:rFonts w:ascii="Book Antiqua" w:eastAsia="SimSun" w:hAnsi="Book Antiqua" w:cs="SimSun"/>
          <w:i/>
          <w:iCs/>
          <w:color w:val="000000"/>
          <w:sz w:val="24"/>
          <w:szCs w:val="24"/>
        </w:rPr>
        <w:t>World J Gastroenterol</w:t>
      </w:r>
      <w:r w:rsidRPr="006F7827">
        <w:rPr>
          <w:rFonts w:ascii="Book Antiqua" w:eastAsia="SimSun" w:hAnsi="Book Antiqua" w:cs="SimSun"/>
          <w:color w:val="000000"/>
          <w:sz w:val="24"/>
          <w:szCs w:val="24"/>
        </w:rPr>
        <w:t> 2004; </w:t>
      </w:r>
      <w:r w:rsidRPr="006F7827">
        <w:rPr>
          <w:rFonts w:ascii="Book Antiqua" w:eastAsia="SimSun" w:hAnsi="Book Antiqua" w:cs="SimSun"/>
          <w:b/>
          <w:bCs/>
          <w:color w:val="000000"/>
          <w:sz w:val="24"/>
          <w:szCs w:val="24"/>
        </w:rPr>
        <w:t>10</w:t>
      </w:r>
      <w:r w:rsidRPr="006F7827">
        <w:rPr>
          <w:rFonts w:ascii="Book Antiqua" w:eastAsia="SimSun" w:hAnsi="Book Antiqua" w:cs="SimSun"/>
          <w:color w:val="000000"/>
          <w:sz w:val="24"/>
          <w:szCs w:val="24"/>
        </w:rPr>
        <w:t>: 2394-2396 [PMID: 15285026]</w:t>
      </w:r>
    </w:p>
    <w:p w14:paraId="2FA06EFD" w14:textId="77777777" w:rsidR="00422EBA" w:rsidRPr="006F7827" w:rsidRDefault="00422EBA" w:rsidP="00422EBA">
      <w:pPr>
        <w:spacing w:after="0" w:line="360" w:lineRule="auto"/>
        <w:jc w:val="both"/>
        <w:rPr>
          <w:rFonts w:ascii="Book Antiqua" w:eastAsia="SimSun" w:hAnsi="Book Antiqua" w:cs="SimSun"/>
          <w:color w:val="000000"/>
          <w:sz w:val="24"/>
          <w:szCs w:val="24"/>
        </w:rPr>
      </w:pPr>
      <w:r w:rsidRPr="006F7827">
        <w:rPr>
          <w:rFonts w:ascii="Book Antiqua" w:eastAsia="SimSun" w:hAnsi="Book Antiqua" w:cs="SimSun"/>
          <w:color w:val="000000"/>
          <w:sz w:val="24"/>
          <w:szCs w:val="24"/>
        </w:rPr>
        <w:t>39 </w:t>
      </w:r>
      <w:r w:rsidRPr="006F7827">
        <w:rPr>
          <w:rFonts w:ascii="Book Antiqua" w:eastAsia="SimSun" w:hAnsi="Book Antiqua" w:cs="SimSun"/>
          <w:b/>
          <w:bCs/>
          <w:color w:val="000000"/>
          <w:sz w:val="24"/>
          <w:szCs w:val="24"/>
        </w:rPr>
        <w:t>von Spiegel T</w:t>
      </w:r>
      <w:r w:rsidRPr="006F7827">
        <w:rPr>
          <w:rFonts w:ascii="Book Antiqua" w:eastAsia="SimSun" w:hAnsi="Book Antiqua" w:cs="SimSun"/>
          <w:color w:val="000000"/>
          <w:sz w:val="24"/>
          <w:szCs w:val="24"/>
        </w:rPr>
        <w:t>, Scholz M, Wietasch G, Hering R, Allen SJ, Wood P, Hoeft A. Perioperative monitoring of indocyanine green clearance and plasma disappearance rate in patients undergoing liver transplantation. </w:t>
      </w:r>
      <w:r w:rsidRPr="006F7827">
        <w:rPr>
          <w:rFonts w:ascii="Book Antiqua" w:eastAsia="SimSun" w:hAnsi="Book Antiqua" w:cs="SimSun"/>
          <w:i/>
          <w:iCs/>
          <w:color w:val="000000"/>
          <w:sz w:val="24"/>
          <w:szCs w:val="24"/>
        </w:rPr>
        <w:t>Anaesthesist</w:t>
      </w:r>
      <w:r w:rsidRPr="006F7827">
        <w:rPr>
          <w:rFonts w:ascii="Book Antiqua" w:eastAsia="SimSun" w:hAnsi="Book Antiqua" w:cs="SimSun"/>
          <w:color w:val="000000"/>
          <w:sz w:val="24"/>
          <w:szCs w:val="24"/>
        </w:rPr>
        <w:t> 2002; </w:t>
      </w:r>
      <w:r w:rsidRPr="006F7827">
        <w:rPr>
          <w:rFonts w:ascii="Book Antiqua" w:eastAsia="SimSun" w:hAnsi="Book Antiqua" w:cs="SimSun"/>
          <w:b/>
          <w:bCs/>
          <w:color w:val="000000"/>
          <w:sz w:val="24"/>
          <w:szCs w:val="24"/>
        </w:rPr>
        <w:t>51</w:t>
      </w:r>
      <w:r w:rsidRPr="006F7827">
        <w:rPr>
          <w:rFonts w:ascii="Book Antiqua" w:eastAsia="SimSun" w:hAnsi="Book Antiqua" w:cs="SimSun"/>
          <w:color w:val="000000"/>
          <w:sz w:val="24"/>
          <w:szCs w:val="24"/>
        </w:rPr>
        <w:t>: 359-366 [PMID: 12125306 DOI: 10.1007/s00101-002-0290-0]</w:t>
      </w:r>
    </w:p>
    <w:p w14:paraId="38CEA059" w14:textId="77777777" w:rsidR="00422EBA" w:rsidRPr="006F7827" w:rsidRDefault="00422EBA" w:rsidP="00422EBA">
      <w:pPr>
        <w:spacing w:after="0" w:line="360" w:lineRule="auto"/>
        <w:jc w:val="both"/>
        <w:rPr>
          <w:rFonts w:ascii="Book Antiqua" w:eastAsia="SimSun" w:hAnsi="Book Antiqua" w:cs="SimSun"/>
          <w:color w:val="000000"/>
          <w:sz w:val="24"/>
          <w:szCs w:val="24"/>
        </w:rPr>
      </w:pPr>
      <w:r w:rsidRPr="006F7827">
        <w:rPr>
          <w:rFonts w:ascii="Book Antiqua" w:eastAsia="SimSun" w:hAnsi="Book Antiqua" w:cs="SimSun"/>
          <w:color w:val="000000"/>
          <w:sz w:val="24"/>
          <w:szCs w:val="24"/>
        </w:rPr>
        <w:t>40 </w:t>
      </w:r>
      <w:r w:rsidRPr="006F7827">
        <w:rPr>
          <w:rFonts w:ascii="Book Antiqua" w:eastAsia="SimSun" w:hAnsi="Book Antiqua" w:cs="SimSun"/>
          <w:b/>
          <w:bCs/>
          <w:color w:val="000000"/>
          <w:sz w:val="24"/>
          <w:szCs w:val="24"/>
        </w:rPr>
        <w:t>Faybik P</w:t>
      </w:r>
      <w:r w:rsidRPr="006F7827">
        <w:rPr>
          <w:rFonts w:ascii="Book Antiqua" w:eastAsia="SimSun" w:hAnsi="Book Antiqua" w:cs="SimSun"/>
          <w:color w:val="000000"/>
          <w:sz w:val="24"/>
          <w:szCs w:val="24"/>
        </w:rPr>
        <w:t>, Krenn CG, Baker A, Lahner D, Berlakovich G, Steltzer H, Hetz H. Comparison of invasive and noninvasive measurement of plasma disappearance rate of indocyanine green in patients undergoing liver transplantation: a prospective investigator-blinded study. </w:t>
      </w:r>
      <w:r w:rsidRPr="006F7827">
        <w:rPr>
          <w:rFonts w:ascii="Book Antiqua" w:eastAsia="SimSun" w:hAnsi="Book Antiqua" w:cs="SimSun"/>
          <w:i/>
          <w:iCs/>
          <w:color w:val="000000"/>
          <w:sz w:val="24"/>
          <w:szCs w:val="24"/>
        </w:rPr>
        <w:t>Liver Transpl</w:t>
      </w:r>
      <w:r w:rsidRPr="006F7827">
        <w:rPr>
          <w:rFonts w:ascii="Book Antiqua" w:eastAsia="SimSun" w:hAnsi="Book Antiqua" w:cs="SimSun"/>
          <w:color w:val="000000"/>
          <w:sz w:val="24"/>
          <w:szCs w:val="24"/>
        </w:rPr>
        <w:t> 2004; </w:t>
      </w:r>
      <w:r w:rsidRPr="006F7827">
        <w:rPr>
          <w:rFonts w:ascii="Book Antiqua" w:eastAsia="SimSun" w:hAnsi="Book Antiqua" w:cs="SimSun"/>
          <w:b/>
          <w:bCs/>
          <w:color w:val="000000"/>
          <w:sz w:val="24"/>
          <w:szCs w:val="24"/>
        </w:rPr>
        <w:t>10</w:t>
      </w:r>
      <w:r w:rsidRPr="006F7827">
        <w:rPr>
          <w:rFonts w:ascii="Book Antiqua" w:eastAsia="SimSun" w:hAnsi="Book Antiqua" w:cs="SimSun"/>
          <w:color w:val="000000"/>
          <w:sz w:val="24"/>
          <w:szCs w:val="24"/>
        </w:rPr>
        <w:t>: 1060-1064 [PMID: 15390334 DOI: 10.1002/lt.20205]</w:t>
      </w:r>
    </w:p>
    <w:p w14:paraId="69EA5843" w14:textId="77777777" w:rsidR="00422EBA" w:rsidRPr="006F7827" w:rsidRDefault="00422EBA" w:rsidP="00422EBA">
      <w:pPr>
        <w:spacing w:after="0" w:line="360" w:lineRule="auto"/>
        <w:jc w:val="both"/>
        <w:rPr>
          <w:rFonts w:ascii="Book Antiqua" w:eastAsia="SimSun" w:hAnsi="Book Antiqua" w:cs="SimSun"/>
          <w:color w:val="000000"/>
          <w:sz w:val="24"/>
          <w:szCs w:val="24"/>
        </w:rPr>
      </w:pPr>
      <w:r w:rsidRPr="006F7827">
        <w:rPr>
          <w:rFonts w:ascii="Book Antiqua" w:eastAsia="SimSun" w:hAnsi="Book Antiqua" w:cs="SimSun"/>
          <w:color w:val="000000"/>
          <w:sz w:val="24"/>
          <w:szCs w:val="24"/>
        </w:rPr>
        <w:t>41 </w:t>
      </w:r>
      <w:r w:rsidRPr="006F7827">
        <w:rPr>
          <w:rFonts w:ascii="Book Antiqua" w:eastAsia="SimSun" w:hAnsi="Book Antiqua" w:cs="SimSun"/>
          <w:b/>
          <w:bCs/>
          <w:color w:val="000000"/>
          <w:sz w:val="24"/>
          <w:szCs w:val="24"/>
        </w:rPr>
        <w:t>Vos JJ</w:t>
      </w:r>
      <w:r w:rsidRPr="006F7827">
        <w:rPr>
          <w:rFonts w:ascii="Book Antiqua" w:eastAsia="SimSun" w:hAnsi="Book Antiqua" w:cs="SimSun"/>
          <w:color w:val="000000"/>
          <w:sz w:val="24"/>
          <w:szCs w:val="24"/>
        </w:rPr>
        <w:t>, Wietasch JK, Absalom AR, Hendriks HG, Scheeren TW. Green light for liver function monitoring using indocyanine green? An overview of current clinical applications. </w:t>
      </w:r>
      <w:r w:rsidRPr="006F7827">
        <w:rPr>
          <w:rFonts w:ascii="Book Antiqua" w:eastAsia="SimSun" w:hAnsi="Book Antiqua" w:cs="SimSun"/>
          <w:i/>
          <w:iCs/>
          <w:color w:val="000000"/>
          <w:sz w:val="24"/>
          <w:szCs w:val="24"/>
        </w:rPr>
        <w:t>Anaesthesia</w:t>
      </w:r>
      <w:r w:rsidRPr="006F7827">
        <w:rPr>
          <w:rFonts w:ascii="Book Antiqua" w:eastAsia="SimSun" w:hAnsi="Book Antiqua" w:cs="SimSun"/>
          <w:color w:val="000000"/>
          <w:sz w:val="24"/>
          <w:szCs w:val="24"/>
        </w:rPr>
        <w:t> 2014; </w:t>
      </w:r>
      <w:r w:rsidRPr="006F7827">
        <w:rPr>
          <w:rFonts w:ascii="Book Antiqua" w:eastAsia="SimSun" w:hAnsi="Book Antiqua" w:cs="SimSun"/>
          <w:b/>
          <w:bCs/>
          <w:color w:val="000000"/>
          <w:sz w:val="24"/>
          <w:szCs w:val="24"/>
        </w:rPr>
        <w:t>69</w:t>
      </w:r>
      <w:r w:rsidRPr="006F7827">
        <w:rPr>
          <w:rFonts w:ascii="Book Antiqua" w:eastAsia="SimSun" w:hAnsi="Book Antiqua" w:cs="SimSun"/>
          <w:color w:val="000000"/>
          <w:sz w:val="24"/>
          <w:szCs w:val="24"/>
        </w:rPr>
        <w:t>: 1364-1376 [PMID: 24894115 DOI: 10.1111/anae.12755]</w:t>
      </w:r>
    </w:p>
    <w:p w14:paraId="5E48EBB0" w14:textId="77777777" w:rsidR="00422EBA" w:rsidRPr="006F7827" w:rsidRDefault="00422EBA" w:rsidP="00422EBA">
      <w:pPr>
        <w:widowControl w:val="0"/>
        <w:spacing w:after="0" w:line="360" w:lineRule="auto"/>
        <w:jc w:val="both"/>
        <w:rPr>
          <w:rFonts w:ascii="Book Antiqua" w:eastAsia="SimSun" w:hAnsi="Book Antiqua" w:cs="SimSun"/>
          <w:color w:val="000000"/>
          <w:sz w:val="24"/>
          <w:szCs w:val="24"/>
        </w:rPr>
      </w:pPr>
      <w:r w:rsidRPr="006F7827">
        <w:rPr>
          <w:rFonts w:ascii="Book Antiqua" w:eastAsia="SimSun" w:hAnsi="Book Antiqua" w:cs="SimSun"/>
          <w:color w:val="000000"/>
          <w:sz w:val="24"/>
          <w:szCs w:val="24"/>
        </w:rPr>
        <w:t xml:space="preserve">42 </w:t>
      </w:r>
      <w:r w:rsidRPr="006F7827">
        <w:rPr>
          <w:rFonts w:ascii="Book Antiqua" w:eastAsia="SimSun" w:hAnsi="Book Antiqua" w:cs="SimSun"/>
          <w:b/>
          <w:bCs/>
          <w:color w:val="000000"/>
          <w:sz w:val="24"/>
          <w:szCs w:val="24"/>
        </w:rPr>
        <w:t>Levesque E</w:t>
      </w:r>
      <w:r w:rsidRPr="006F7827">
        <w:rPr>
          <w:rFonts w:ascii="Book Antiqua" w:eastAsia="SimSun" w:hAnsi="Book Antiqua" w:cs="SimSun"/>
          <w:color w:val="000000"/>
          <w:sz w:val="24"/>
          <w:szCs w:val="24"/>
        </w:rPr>
        <w:t xml:space="preserve">, Saliba F, Benhamida S, Ichaï P, Azoulay D, Adam R, Castaing D, Samuel D. Plasma disappearance rate of indocyanine green: a tool to evaluate early graft outcome </w:t>
      </w:r>
      <w:r w:rsidRPr="006F7827">
        <w:rPr>
          <w:rFonts w:ascii="Book Antiqua" w:eastAsia="SimSun" w:hAnsi="Book Antiqua" w:cs="SimSun"/>
          <w:color w:val="000000"/>
          <w:sz w:val="24"/>
          <w:szCs w:val="24"/>
        </w:rPr>
        <w:lastRenderedPageBreak/>
        <w:t>after liver transplantation. </w:t>
      </w:r>
      <w:r w:rsidRPr="006F7827">
        <w:rPr>
          <w:rFonts w:ascii="Book Antiqua" w:eastAsia="SimSun" w:hAnsi="Book Antiqua" w:cs="SimSun"/>
          <w:i/>
          <w:iCs/>
          <w:color w:val="000000"/>
          <w:sz w:val="24"/>
          <w:szCs w:val="24"/>
        </w:rPr>
        <w:t>Liver Transpl</w:t>
      </w:r>
      <w:r w:rsidRPr="006F7827">
        <w:rPr>
          <w:rFonts w:ascii="Book Antiqua" w:eastAsia="SimSun" w:hAnsi="Book Antiqua" w:cs="SimSun"/>
          <w:color w:val="000000"/>
          <w:sz w:val="24"/>
          <w:szCs w:val="24"/>
        </w:rPr>
        <w:t> 2009; </w:t>
      </w:r>
      <w:r w:rsidRPr="006F7827">
        <w:rPr>
          <w:rFonts w:ascii="Book Antiqua" w:eastAsia="SimSun" w:hAnsi="Book Antiqua" w:cs="SimSun"/>
          <w:b/>
          <w:bCs/>
          <w:color w:val="000000"/>
          <w:sz w:val="24"/>
          <w:szCs w:val="24"/>
        </w:rPr>
        <w:t>15</w:t>
      </w:r>
      <w:r w:rsidRPr="006F7827">
        <w:rPr>
          <w:rFonts w:ascii="Book Antiqua" w:eastAsia="SimSun" w:hAnsi="Book Antiqua" w:cs="SimSun"/>
          <w:color w:val="000000"/>
          <w:sz w:val="24"/>
          <w:szCs w:val="24"/>
        </w:rPr>
        <w:t>: 1358-1364 [PMID: 19790157 DOI: 10.1002/lt.21805]</w:t>
      </w:r>
    </w:p>
    <w:p w14:paraId="2E86A79D" w14:textId="77777777" w:rsidR="00422EBA" w:rsidRPr="006F7827" w:rsidRDefault="00422EBA" w:rsidP="00422EBA">
      <w:pPr>
        <w:spacing w:after="0" w:line="360" w:lineRule="auto"/>
        <w:jc w:val="both"/>
        <w:rPr>
          <w:rFonts w:ascii="Book Antiqua" w:eastAsia="SimSun" w:hAnsi="Book Antiqua" w:cs="SimSun"/>
          <w:color w:val="000000"/>
          <w:sz w:val="24"/>
          <w:szCs w:val="24"/>
        </w:rPr>
      </w:pPr>
      <w:r w:rsidRPr="006F7827">
        <w:rPr>
          <w:rFonts w:ascii="Book Antiqua" w:eastAsia="SimSun" w:hAnsi="Book Antiqua" w:cs="SimSun"/>
          <w:color w:val="000000"/>
          <w:sz w:val="24"/>
          <w:szCs w:val="24"/>
        </w:rPr>
        <w:t>43 </w:t>
      </w:r>
      <w:r w:rsidRPr="006F7827">
        <w:rPr>
          <w:rFonts w:ascii="Book Antiqua" w:eastAsia="SimSun" w:hAnsi="Book Antiqua" w:cs="SimSun"/>
          <w:b/>
          <w:bCs/>
          <w:color w:val="000000"/>
          <w:sz w:val="24"/>
          <w:szCs w:val="24"/>
        </w:rPr>
        <w:t>Schneider L</w:t>
      </w:r>
      <w:r w:rsidRPr="006F7827">
        <w:rPr>
          <w:rFonts w:ascii="Book Antiqua" w:eastAsia="SimSun" w:hAnsi="Book Antiqua" w:cs="SimSun"/>
          <w:color w:val="000000"/>
          <w:sz w:val="24"/>
          <w:szCs w:val="24"/>
        </w:rPr>
        <w:t>, Spiegel M, Latanowicz S, Weigand MA, Schmidt J, Werner J, Stremmel W, Eisenbach C. Noninvasive indocyanine green plasma disappearance rate predicts early complications, graft failure or death after liver transplantation. </w:t>
      </w:r>
      <w:r w:rsidRPr="006F7827">
        <w:rPr>
          <w:rFonts w:ascii="Book Antiqua" w:eastAsia="SimSun" w:hAnsi="Book Antiqua" w:cs="SimSun"/>
          <w:i/>
          <w:iCs/>
          <w:color w:val="000000"/>
          <w:sz w:val="24"/>
          <w:szCs w:val="24"/>
        </w:rPr>
        <w:t>Hepatobiliary Pancreat Dis Int</w:t>
      </w:r>
      <w:r w:rsidRPr="006F7827">
        <w:rPr>
          <w:rFonts w:ascii="Book Antiqua" w:eastAsia="SimSun" w:hAnsi="Book Antiqua" w:cs="SimSun"/>
          <w:color w:val="000000"/>
          <w:sz w:val="24"/>
          <w:szCs w:val="24"/>
        </w:rPr>
        <w:t> 2011; </w:t>
      </w:r>
      <w:r w:rsidRPr="006F7827">
        <w:rPr>
          <w:rFonts w:ascii="Book Antiqua" w:eastAsia="SimSun" w:hAnsi="Book Antiqua" w:cs="SimSun"/>
          <w:b/>
          <w:bCs/>
          <w:color w:val="000000"/>
          <w:sz w:val="24"/>
          <w:szCs w:val="24"/>
        </w:rPr>
        <w:t>10</w:t>
      </w:r>
      <w:r w:rsidRPr="006F7827">
        <w:rPr>
          <w:rFonts w:ascii="Book Antiqua" w:eastAsia="SimSun" w:hAnsi="Book Antiqua" w:cs="SimSun"/>
          <w:color w:val="000000"/>
          <w:sz w:val="24"/>
          <w:szCs w:val="24"/>
        </w:rPr>
        <w:t>: 362-368 [PMID: 21813383]</w:t>
      </w:r>
    </w:p>
    <w:p w14:paraId="7ED9025B" w14:textId="77777777" w:rsidR="00422EBA" w:rsidRPr="006F7827" w:rsidRDefault="00422EBA" w:rsidP="00422EBA">
      <w:pPr>
        <w:spacing w:after="0" w:line="360" w:lineRule="auto"/>
        <w:jc w:val="both"/>
        <w:rPr>
          <w:rFonts w:ascii="Book Antiqua" w:eastAsia="SimSun" w:hAnsi="Book Antiqua" w:cs="SimSun"/>
          <w:color w:val="000000"/>
          <w:sz w:val="24"/>
          <w:szCs w:val="24"/>
        </w:rPr>
      </w:pPr>
      <w:r w:rsidRPr="006F7827">
        <w:rPr>
          <w:rFonts w:ascii="Book Antiqua" w:eastAsia="SimSun" w:hAnsi="Book Antiqua" w:cs="SimSun"/>
          <w:color w:val="000000"/>
          <w:sz w:val="24"/>
          <w:szCs w:val="24"/>
        </w:rPr>
        <w:t xml:space="preserve">44 </w:t>
      </w:r>
      <w:r w:rsidRPr="006F7827">
        <w:rPr>
          <w:rFonts w:ascii="Book Antiqua" w:eastAsia="SimSun" w:hAnsi="Book Antiqua" w:cs="SimSun"/>
          <w:b/>
          <w:bCs/>
          <w:color w:val="000000"/>
          <w:sz w:val="24"/>
          <w:szCs w:val="24"/>
        </w:rPr>
        <w:t>Olmedilla L</w:t>
      </w:r>
      <w:r w:rsidRPr="006F7827">
        <w:rPr>
          <w:rFonts w:ascii="Book Antiqua" w:eastAsia="SimSun" w:hAnsi="Book Antiqua" w:cs="SimSun"/>
          <w:color w:val="000000"/>
          <w:sz w:val="24"/>
          <w:szCs w:val="24"/>
        </w:rPr>
        <w:t>, Lisbona CJ, Pérez-Peña JM, López-Baena JA, Garutti I, Salcedo M, Sanz J, Tisner M, Asencio JM, Fernández-Quero L, Bañares R. Early Measurement of Indocyanine Green Clearance Accurately Predicts Short-Term Outcomes After Liver Transplantation. </w:t>
      </w:r>
      <w:r w:rsidRPr="006F7827">
        <w:rPr>
          <w:rFonts w:ascii="Book Antiqua" w:eastAsia="SimSun" w:hAnsi="Book Antiqua" w:cs="SimSun"/>
          <w:i/>
          <w:iCs/>
          <w:color w:val="000000"/>
          <w:sz w:val="24"/>
          <w:szCs w:val="24"/>
        </w:rPr>
        <w:t>Transplantation</w:t>
      </w:r>
      <w:r w:rsidRPr="006F7827">
        <w:rPr>
          <w:rFonts w:ascii="Book Antiqua" w:eastAsia="SimSun" w:hAnsi="Book Antiqua" w:cs="SimSun"/>
          <w:color w:val="000000"/>
          <w:sz w:val="24"/>
          <w:szCs w:val="24"/>
        </w:rPr>
        <w:t> 2016; </w:t>
      </w:r>
      <w:r w:rsidRPr="006F7827">
        <w:rPr>
          <w:rFonts w:ascii="Book Antiqua" w:eastAsia="SimSun" w:hAnsi="Book Antiqua" w:cs="SimSun"/>
          <w:b/>
          <w:bCs/>
          <w:color w:val="000000"/>
          <w:sz w:val="24"/>
          <w:szCs w:val="24"/>
        </w:rPr>
        <w:t>100</w:t>
      </w:r>
      <w:r w:rsidRPr="006F7827">
        <w:rPr>
          <w:rFonts w:ascii="Book Antiqua" w:eastAsia="SimSun" w:hAnsi="Book Antiqua" w:cs="SimSun"/>
          <w:color w:val="000000"/>
          <w:sz w:val="24"/>
          <w:szCs w:val="24"/>
        </w:rPr>
        <w:t>: 613-620 [PMID: 26569066 DOI: 10.1097/TP.0000000000000980]</w:t>
      </w:r>
    </w:p>
    <w:p w14:paraId="663C5278" w14:textId="77777777" w:rsidR="00422EBA" w:rsidRPr="006F7827" w:rsidRDefault="00422EBA" w:rsidP="00422EBA">
      <w:pPr>
        <w:spacing w:after="0" w:line="360" w:lineRule="auto"/>
        <w:jc w:val="both"/>
        <w:rPr>
          <w:rFonts w:ascii="Book Antiqua" w:eastAsia="SimSun" w:hAnsi="Book Antiqua" w:cs="SimSun"/>
          <w:color w:val="000000"/>
          <w:sz w:val="24"/>
          <w:szCs w:val="24"/>
        </w:rPr>
      </w:pPr>
      <w:r w:rsidRPr="006F7827">
        <w:rPr>
          <w:rFonts w:ascii="Book Antiqua" w:eastAsia="SimSun" w:hAnsi="Book Antiqua" w:cs="SimSun"/>
          <w:color w:val="000000"/>
          <w:sz w:val="24"/>
          <w:szCs w:val="24"/>
        </w:rPr>
        <w:t>45 </w:t>
      </w:r>
      <w:r w:rsidRPr="006F7827">
        <w:rPr>
          <w:rFonts w:ascii="Book Antiqua" w:eastAsia="SimSun" w:hAnsi="Book Antiqua" w:cs="SimSun"/>
          <w:b/>
          <w:bCs/>
          <w:color w:val="000000"/>
          <w:sz w:val="24"/>
          <w:szCs w:val="24"/>
        </w:rPr>
        <w:t>Klinzing S</w:t>
      </w:r>
      <w:r w:rsidRPr="006F7827">
        <w:rPr>
          <w:rFonts w:ascii="Book Antiqua" w:eastAsia="SimSun" w:hAnsi="Book Antiqua" w:cs="SimSun"/>
          <w:color w:val="000000"/>
          <w:sz w:val="24"/>
          <w:szCs w:val="24"/>
        </w:rPr>
        <w:t>, Brandi G, Stehberger PA, Raptis DA, Béchir M. The combination of MELD score and ICG liver testing predicts length of stay in the ICU and hospital mortality in liver transplant recipients. </w:t>
      </w:r>
      <w:r w:rsidRPr="006F7827">
        <w:rPr>
          <w:rFonts w:ascii="Book Antiqua" w:eastAsia="SimSun" w:hAnsi="Book Antiqua" w:cs="SimSun"/>
          <w:i/>
          <w:iCs/>
          <w:color w:val="000000"/>
          <w:sz w:val="24"/>
          <w:szCs w:val="24"/>
        </w:rPr>
        <w:t>BMC Anesthesiol</w:t>
      </w:r>
      <w:r w:rsidRPr="006F7827">
        <w:rPr>
          <w:rFonts w:ascii="Book Antiqua" w:eastAsia="SimSun" w:hAnsi="Book Antiqua" w:cs="SimSun"/>
          <w:color w:val="000000"/>
          <w:sz w:val="24"/>
          <w:szCs w:val="24"/>
        </w:rPr>
        <w:t> 2014; </w:t>
      </w:r>
      <w:r w:rsidRPr="006F7827">
        <w:rPr>
          <w:rFonts w:ascii="Book Antiqua" w:eastAsia="SimSun" w:hAnsi="Book Antiqua" w:cs="SimSun"/>
          <w:b/>
          <w:bCs/>
          <w:color w:val="000000"/>
          <w:sz w:val="24"/>
          <w:szCs w:val="24"/>
        </w:rPr>
        <w:t>14</w:t>
      </w:r>
      <w:r w:rsidRPr="006F7827">
        <w:rPr>
          <w:rFonts w:ascii="Book Antiqua" w:eastAsia="SimSun" w:hAnsi="Book Antiqua" w:cs="SimSun"/>
          <w:color w:val="000000"/>
          <w:sz w:val="24"/>
          <w:szCs w:val="24"/>
        </w:rPr>
        <w:t>: 103 [PMID: 25844060 DOI: 10.1186/1471-2253-14-103]</w:t>
      </w:r>
    </w:p>
    <w:p w14:paraId="3334B7B6" w14:textId="77777777" w:rsidR="00422EBA" w:rsidRPr="006F7827" w:rsidRDefault="00422EBA" w:rsidP="00422EBA">
      <w:pPr>
        <w:spacing w:after="0" w:line="360" w:lineRule="auto"/>
        <w:jc w:val="both"/>
        <w:rPr>
          <w:rFonts w:ascii="Book Antiqua" w:eastAsia="SimSun" w:hAnsi="Book Antiqua" w:cs="SimSun"/>
          <w:color w:val="000000"/>
          <w:sz w:val="24"/>
          <w:szCs w:val="24"/>
        </w:rPr>
      </w:pPr>
      <w:r w:rsidRPr="006F7827">
        <w:rPr>
          <w:rFonts w:ascii="Book Antiqua" w:eastAsia="SimSun" w:hAnsi="Book Antiqua" w:cs="SimSun"/>
          <w:color w:val="000000"/>
          <w:sz w:val="24"/>
          <w:szCs w:val="24"/>
        </w:rPr>
        <w:t>46 </w:t>
      </w:r>
      <w:r w:rsidRPr="006F7827">
        <w:rPr>
          <w:rFonts w:ascii="Book Antiqua" w:eastAsia="SimSun" w:hAnsi="Book Antiqua" w:cs="SimSun"/>
          <w:b/>
          <w:bCs/>
          <w:color w:val="000000"/>
          <w:sz w:val="24"/>
          <w:szCs w:val="24"/>
        </w:rPr>
        <w:t>Hori T</w:t>
      </w:r>
      <w:r w:rsidRPr="006F7827">
        <w:rPr>
          <w:rFonts w:ascii="Book Antiqua" w:eastAsia="SimSun" w:hAnsi="Book Antiqua" w:cs="SimSun"/>
          <w:color w:val="000000"/>
          <w:sz w:val="24"/>
          <w:szCs w:val="24"/>
        </w:rPr>
        <w:t>, Iida T, Yagi S, Taniguchi K, Yamamoto C, Mizuno S, Yamagiwa K, Isaji S, Uemoto S. K(ICG) value, a reliable real-time estimator of graft function, accurately predicts outcomes in adult living-donor liver transplantation. </w:t>
      </w:r>
      <w:r w:rsidRPr="006F7827">
        <w:rPr>
          <w:rFonts w:ascii="Book Antiqua" w:eastAsia="SimSun" w:hAnsi="Book Antiqua" w:cs="SimSun"/>
          <w:i/>
          <w:iCs/>
          <w:color w:val="000000"/>
          <w:sz w:val="24"/>
          <w:szCs w:val="24"/>
        </w:rPr>
        <w:t>Liver Transpl</w:t>
      </w:r>
      <w:r w:rsidRPr="006F7827">
        <w:rPr>
          <w:rFonts w:ascii="Book Antiqua" w:eastAsia="SimSun" w:hAnsi="Book Antiqua" w:cs="SimSun"/>
          <w:color w:val="000000"/>
          <w:sz w:val="24"/>
          <w:szCs w:val="24"/>
        </w:rPr>
        <w:t> 2006; </w:t>
      </w:r>
      <w:r w:rsidRPr="006F7827">
        <w:rPr>
          <w:rFonts w:ascii="Book Antiqua" w:eastAsia="SimSun" w:hAnsi="Book Antiqua" w:cs="SimSun"/>
          <w:b/>
          <w:bCs/>
          <w:color w:val="000000"/>
          <w:sz w:val="24"/>
          <w:szCs w:val="24"/>
        </w:rPr>
        <w:t>12</w:t>
      </w:r>
      <w:r w:rsidRPr="006F7827">
        <w:rPr>
          <w:rFonts w:ascii="Book Antiqua" w:eastAsia="SimSun" w:hAnsi="Book Antiqua" w:cs="SimSun"/>
          <w:color w:val="000000"/>
          <w:sz w:val="24"/>
          <w:szCs w:val="24"/>
        </w:rPr>
        <w:t>: 605-613 [PMID: 16555326 DOI: 10.1002/lt.20713]</w:t>
      </w:r>
    </w:p>
    <w:p w14:paraId="08788D19" w14:textId="77777777" w:rsidR="00422EBA" w:rsidRPr="006F7827" w:rsidRDefault="00422EBA" w:rsidP="00422EBA">
      <w:pPr>
        <w:spacing w:after="0" w:line="360" w:lineRule="auto"/>
        <w:jc w:val="both"/>
        <w:rPr>
          <w:rFonts w:ascii="Book Antiqua" w:eastAsia="SimSun" w:hAnsi="Book Antiqua" w:cs="SimSun"/>
          <w:color w:val="000000"/>
          <w:sz w:val="24"/>
          <w:szCs w:val="24"/>
        </w:rPr>
      </w:pPr>
      <w:r w:rsidRPr="006F7827">
        <w:rPr>
          <w:rFonts w:ascii="Book Antiqua" w:eastAsia="SimSun" w:hAnsi="Book Antiqua" w:cs="SimSun"/>
          <w:color w:val="000000"/>
          <w:sz w:val="24"/>
          <w:szCs w:val="24"/>
        </w:rPr>
        <w:t>47 </w:t>
      </w:r>
      <w:r w:rsidRPr="006F7827">
        <w:rPr>
          <w:rFonts w:ascii="Book Antiqua" w:eastAsia="SimSun" w:hAnsi="Book Antiqua" w:cs="SimSun"/>
          <w:b/>
          <w:bCs/>
          <w:color w:val="000000"/>
          <w:sz w:val="24"/>
          <w:szCs w:val="24"/>
        </w:rPr>
        <w:t>Levesque E</w:t>
      </w:r>
      <w:r w:rsidRPr="006F7827">
        <w:rPr>
          <w:rFonts w:ascii="Book Antiqua" w:eastAsia="SimSun" w:hAnsi="Book Antiqua" w:cs="SimSun"/>
          <w:color w:val="000000"/>
          <w:sz w:val="24"/>
          <w:szCs w:val="24"/>
        </w:rPr>
        <w:t>, Hoti E, Azoulay D, Adam R, Samuel D, Castaing D, Saliba F. Non-invasive ICG-clearance: a useful tool for the management of hepatic artery thrombosis following liver transplantation. </w:t>
      </w:r>
      <w:r w:rsidRPr="006F7827">
        <w:rPr>
          <w:rFonts w:ascii="Book Antiqua" w:eastAsia="SimSun" w:hAnsi="Book Antiqua" w:cs="SimSun"/>
          <w:i/>
          <w:iCs/>
          <w:color w:val="000000"/>
          <w:sz w:val="24"/>
          <w:szCs w:val="24"/>
        </w:rPr>
        <w:t>Clin Transplant</w:t>
      </w:r>
      <w:r w:rsidRPr="006F7827">
        <w:rPr>
          <w:rFonts w:ascii="Book Antiqua" w:eastAsia="SimSun" w:hAnsi="Book Antiqua" w:cs="SimSun"/>
          <w:color w:val="000000"/>
          <w:sz w:val="24"/>
          <w:szCs w:val="24"/>
        </w:rPr>
        <w:t> 2011; </w:t>
      </w:r>
      <w:r w:rsidRPr="006F7827">
        <w:rPr>
          <w:rFonts w:ascii="Book Antiqua" w:eastAsia="SimSun" w:hAnsi="Book Antiqua" w:cs="SimSun"/>
          <w:b/>
          <w:bCs/>
          <w:color w:val="000000"/>
          <w:sz w:val="24"/>
          <w:szCs w:val="24"/>
        </w:rPr>
        <w:t>25</w:t>
      </w:r>
      <w:r w:rsidRPr="006F7827">
        <w:rPr>
          <w:rFonts w:ascii="Book Antiqua" w:eastAsia="SimSun" w:hAnsi="Book Antiqua" w:cs="SimSun"/>
          <w:color w:val="000000"/>
          <w:sz w:val="24"/>
          <w:szCs w:val="24"/>
        </w:rPr>
        <w:t>: 297-301 [PMID: 20412097 DOI: 10.1111/j.1399-0012.2010.01252.x]</w:t>
      </w:r>
    </w:p>
    <w:p w14:paraId="13C9B29B" w14:textId="77777777" w:rsidR="00422EBA" w:rsidRPr="006F7827" w:rsidRDefault="00422EBA" w:rsidP="00422EBA">
      <w:pPr>
        <w:spacing w:after="0" w:line="360" w:lineRule="auto"/>
        <w:jc w:val="both"/>
        <w:rPr>
          <w:rFonts w:ascii="Book Antiqua" w:eastAsia="SimSun" w:hAnsi="Book Antiqua" w:cs="SimSun"/>
          <w:color w:val="000000"/>
          <w:sz w:val="24"/>
          <w:szCs w:val="24"/>
        </w:rPr>
      </w:pPr>
      <w:r w:rsidRPr="006F7827">
        <w:rPr>
          <w:rFonts w:ascii="Book Antiqua" w:eastAsia="SimSun" w:hAnsi="Book Antiqua" w:cs="SimSun"/>
          <w:color w:val="000000"/>
          <w:sz w:val="24"/>
          <w:szCs w:val="24"/>
        </w:rPr>
        <w:t>48 </w:t>
      </w:r>
      <w:r w:rsidRPr="006F7827">
        <w:rPr>
          <w:rFonts w:ascii="Book Antiqua" w:eastAsia="SimSun" w:hAnsi="Book Antiqua" w:cs="SimSun"/>
          <w:b/>
          <w:bCs/>
          <w:color w:val="000000"/>
          <w:sz w:val="24"/>
          <w:szCs w:val="24"/>
        </w:rPr>
        <w:t>Janssen MW</w:t>
      </w:r>
      <w:r w:rsidRPr="006F7827">
        <w:rPr>
          <w:rFonts w:ascii="Book Antiqua" w:eastAsia="SimSun" w:hAnsi="Book Antiqua" w:cs="SimSun"/>
          <w:color w:val="000000"/>
          <w:sz w:val="24"/>
          <w:szCs w:val="24"/>
        </w:rPr>
        <w:t>, Druckrey-Fiskaaen KT, Omidi L, Sliwinski G, Thiele C, Donaubauer B, Polze N, Kaisers UX, Thiery J, Wittekind C, Hauss JP, Schön MR. Indocyanine green R15 ratio depends directly on liver perfusion flow rate. </w:t>
      </w:r>
      <w:r w:rsidRPr="006F7827">
        <w:rPr>
          <w:rFonts w:ascii="Book Antiqua" w:eastAsia="SimSun" w:hAnsi="Book Antiqua" w:cs="SimSun"/>
          <w:i/>
          <w:iCs/>
          <w:color w:val="000000"/>
          <w:sz w:val="24"/>
          <w:szCs w:val="24"/>
        </w:rPr>
        <w:t>J Hepatobiliary Pancreat Sci</w:t>
      </w:r>
      <w:r w:rsidRPr="006F7827">
        <w:rPr>
          <w:rFonts w:ascii="Book Antiqua" w:eastAsia="SimSun" w:hAnsi="Book Antiqua" w:cs="SimSun"/>
          <w:color w:val="000000"/>
          <w:sz w:val="24"/>
          <w:szCs w:val="24"/>
        </w:rPr>
        <w:t> 2010; </w:t>
      </w:r>
      <w:r w:rsidRPr="006F7827">
        <w:rPr>
          <w:rFonts w:ascii="Book Antiqua" w:eastAsia="SimSun" w:hAnsi="Book Antiqua" w:cs="SimSun"/>
          <w:b/>
          <w:bCs/>
          <w:color w:val="000000"/>
          <w:sz w:val="24"/>
          <w:szCs w:val="24"/>
        </w:rPr>
        <w:t>17</w:t>
      </w:r>
      <w:r w:rsidRPr="006F7827">
        <w:rPr>
          <w:rFonts w:ascii="Book Antiqua" w:eastAsia="SimSun" w:hAnsi="Book Antiqua" w:cs="SimSun"/>
          <w:color w:val="000000"/>
          <w:sz w:val="24"/>
          <w:szCs w:val="24"/>
        </w:rPr>
        <w:t>: 180-185 [PMID: 19760140 DOI: 10.1007/s00534-009-0160-0]</w:t>
      </w:r>
    </w:p>
    <w:p w14:paraId="3BD59277" w14:textId="77777777" w:rsidR="00422EBA" w:rsidRPr="006F7827" w:rsidRDefault="00422EBA" w:rsidP="00422EBA">
      <w:pPr>
        <w:spacing w:after="0" w:line="360" w:lineRule="auto"/>
        <w:jc w:val="both"/>
        <w:rPr>
          <w:rFonts w:ascii="Book Antiqua" w:eastAsia="SimSun" w:hAnsi="Book Antiqua" w:cs="SimSun"/>
          <w:color w:val="000000"/>
          <w:sz w:val="24"/>
          <w:szCs w:val="24"/>
        </w:rPr>
      </w:pPr>
      <w:r w:rsidRPr="006F7827">
        <w:rPr>
          <w:rFonts w:ascii="Book Antiqua" w:eastAsia="SimSun" w:hAnsi="Book Antiqua" w:cs="SimSun"/>
          <w:color w:val="000000"/>
          <w:sz w:val="24"/>
          <w:szCs w:val="24"/>
        </w:rPr>
        <w:t>49 </w:t>
      </w:r>
      <w:r w:rsidRPr="006F7827">
        <w:rPr>
          <w:rFonts w:ascii="Book Antiqua" w:eastAsia="SimSun" w:hAnsi="Book Antiqua" w:cs="SimSun"/>
          <w:b/>
          <w:bCs/>
          <w:color w:val="000000"/>
          <w:sz w:val="24"/>
          <w:szCs w:val="24"/>
        </w:rPr>
        <w:t>Stockmann M</w:t>
      </w:r>
      <w:r w:rsidRPr="006F7827">
        <w:rPr>
          <w:rFonts w:ascii="Book Antiqua" w:eastAsia="SimSun" w:hAnsi="Book Antiqua" w:cs="SimSun"/>
          <w:color w:val="000000"/>
          <w:sz w:val="24"/>
          <w:szCs w:val="24"/>
        </w:rPr>
        <w:t>, Malinowski M, Lock JF, Seehofer D, Neuhaus P. Factors influencing the indocyanine green (ICG) test: additional impact of acute cholestasis. </w:t>
      </w:r>
      <w:r w:rsidRPr="006F7827">
        <w:rPr>
          <w:rFonts w:ascii="Book Antiqua" w:eastAsia="SimSun" w:hAnsi="Book Antiqua" w:cs="SimSun"/>
          <w:i/>
          <w:iCs/>
          <w:color w:val="000000"/>
          <w:sz w:val="24"/>
          <w:szCs w:val="24"/>
        </w:rPr>
        <w:t>Hepatogastroenterology</w:t>
      </w:r>
      <w:r w:rsidRPr="006F7827">
        <w:rPr>
          <w:rFonts w:ascii="Book Antiqua" w:eastAsia="SimSun" w:hAnsi="Book Antiqua" w:cs="SimSun"/>
          <w:color w:val="000000"/>
          <w:sz w:val="24"/>
          <w:szCs w:val="24"/>
        </w:rPr>
        <w:t> 2009; </w:t>
      </w:r>
      <w:r w:rsidRPr="006F7827">
        <w:rPr>
          <w:rFonts w:ascii="Book Antiqua" w:eastAsia="SimSun" w:hAnsi="Book Antiqua" w:cs="SimSun"/>
          <w:b/>
          <w:bCs/>
          <w:color w:val="000000"/>
          <w:sz w:val="24"/>
          <w:szCs w:val="24"/>
        </w:rPr>
        <w:t>56</w:t>
      </w:r>
      <w:r w:rsidRPr="006F7827">
        <w:rPr>
          <w:rFonts w:ascii="Book Antiqua" w:eastAsia="SimSun" w:hAnsi="Book Antiqua" w:cs="SimSun"/>
          <w:color w:val="000000"/>
          <w:sz w:val="24"/>
          <w:szCs w:val="24"/>
        </w:rPr>
        <w:t>: 734-738 [PMID: 19621693]</w:t>
      </w:r>
    </w:p>
    <w:p w14:paraId="0B60B4E1" w14:textId="77777777" w:rsidR="00422EBA" w:rsidRPr="006F7827" w:rsidRDefault="00422EBA" w:rsidP="00422EBA">
      <w:pPr>
        <w:widowControl w:val="0"/>
        <w:spacing w:after="0" w:line="360" w:lineRule="auto"/>
        <w:jc w:val="both"/>
        <w:rPr>
          <w:rFonts w:ascii="Book Antiqua" w:eastAsia="SimSun" w:hAnsi="Book Antiqua" w:cs="SimSun"/>
          <w:color w:val="000000"/>
          <w:sz w:val="24"/>
          <w:szCs w:val="24"/>
        </w:rPr>
      </w:pPr>
      <w:r w:rsidRPr="006F7827">
        <w:rPr>
          <w:rFonts w:ascii="Book Antiqua" w:eastAsia="SimSun" w:hAnsi="Book Antiqua" w:cs="SimSun"/>
          <w:color w:val="000000"/>
          <w:sz w:val="24"/>
          <w:szCs w:val="24"/>
        </w:rPr>
        <w:t xml:space="preserve">50 </w:t>
      </w:r>
      <w:r w:rsidRPr="006F7827">
        <w:rPr>
          <w:rFonts w:ascii="Book Antiqua" w:eastAsia="SimSun" w:hAnsi="Book Antiqua" w:cs="SimSun"/>
          <w:b/>
          <w:bCs/>
          <w:color w:val="000000"/>
          <w:sz w:val="24"/>
          <w:szCs w:val="24"/>
        </w:rPr>
        <w:t>Bärthel E</w:t>
      </w:r>
      <w:r w:rsidRPr="006F7827">
        <w:rPr>
          <w:rFonts w:ascii="Book Antiqua" w:eastAsia="SimSun" w:hAnsi="Book Antiqua" w:cs="SimSun"/>
          <w:color w:val="000000"/>
          <w:sz w:val="24"/>
          <w:szCs w:val="24"/>
        </w:rPr>
        <w:t>, Rauchfuss F, Hoyer H, Habrecht O, Jandt K, Götz M, Voigt R, Heise M, Marx G, Settmacher U. Impact of stable PGI</w:t>
      </w:r>
      <w:r w:rsidRPr="006F7827">
        <w:rPr>
          <w:rFonts w:ascii="Cambria Math" w:eastAsia="SimSun" w:hAnsi="Cambria Math" w:cs="Cambria Math"/>
          <w:color w:val="000000"/>
          <w:sz w:val="24"/>
          <w:szCs w:val="24"/>
        </w:rPr>
        <w:t>₂</w:t>
      </w:r>
      <w:r w:rsidRPr="006F7827">
        <w:rPr>
          <w:rFonts w:ascii="Book Antiqua" w:eastAsia="SimSun" w:hAnsi="Book Antiqua" w:cs="SimSun"/>
          <w:color w:val="000000"/>
          <w:sz w:val="24"/>
          <w:szCs w:val="24"/>
        </w:rPr>
        <w:t xml:space="preserve"> analog iloprost on early graft viability after liver </w:t>
      </w:r>
      <w:r w:rsidRPr="006F7827">
        <w:rPr>
          <w:rFonts w:ascii="Book Antiqua" w:eastAsia="SimSun" w:hAnsi="Book Antiqua" w:cs="SimSun"/>
          <w:color w:val="000000"/>
          <w:sz w:val="24"/>
          <w:szCs w:val="24"/>
        </w:rPr>
        <w:lastRenderedPageBreak/>
        <w:t>transplantation: a pilot study. </w:t>
      </w:r>
      <w:r w:rsidRPr="006F7827">
        <w:rPr>
          <w:rFonts w:ascii="Book Antiqua" w:eastAsia="SimSun" w:hAnsi="Book Antiqua" w:cs="SimSun"/>
          <w:i/>
          <w:iCs/>
          <w:color w:val="000000"/>
          <w:sz w:val="24"/>
          <w:szCs w:val="24"/>
        </w:rPr>
        <w:t>Clin Transplant</w:t>
      </w:r>
      <w:r w:rsidRPr="006F7827">
        <w:rPr>
          <w:rFonts w:ascii="Book Antiqua" w:eastAsia="SimSun" w:hAnsi="Book Antiqua" w:cs="SimSun"/>
          <w:color w:val="000000"/>
          <w:sz w:val="24"/>
          <w:szCs w:val="24"/>
        </w:rPr>
        <w:t> 2012; </w:t>
      </w:r>
      <w:r w:rsidRPr="006F7827">
        <w:rPr>
          <w:rFonts w:ascii="Book Antiqua" w:eastAsia="SimSun" w:hAnsi="Book Antiqua" w:cs="SimSun"/>
          <w:b/>
          <w:bCs/>
          <w:color w:val="000000"/>
          <w:sz w:val="24"/>
          <w:szCs w:val="24"/>
        </w:rPr>
        <w:t>26</w:t>
      </w:r>
      <w:r w:rsidRPr="006F7827">
        <w:rPr>
          <w:rFonts w:ascii="Book Antiqua" w:eastAsia="SimSun" w:hAnsi="Book Antiqua" w:cs="SimSun"/>
          <w:color w:val="000000"/>
          <w:sz w:val="24"/>
          <w:szCs w:val="24"/>
        </w:rPr>
        <w:t>: E38-E47 [PMID: 21919966 DOI: 10.1111/j.1399-0012.2011.01516.x]</w:t>
      </w:r>
    </w:p>
    <w:p w14:paraId="1807C075" w14:textId="77777777" w:rsidR="00422EBA" w:rsidRPr="006F7827" w:rsidRDefault="00422EBA" w:rsidP="00422EBA">
      <w:pPr>
        <w:widowControl w:val="0"/>
        <w:spacing w:after="0" w:line="360" w:lineRule="auto"/>
        <w:jc w:val="both"/>
        <w:rPr>
          <w:rFonts w:ascii="Book Antiqua" w:eastAsia="SimSun" w:hAnsi="Book Antiqua" w:cs="SimSun"/>
          <w:color w:val="000000"/>
          <w:sz w:val="24"/>
          <w:szCs w:val="24"/>
        </w:rPr>
      </w:pPr>
      <w:r w:rsidRPr="006F7827">
        <w:rPr>
          <w:rFonts w:ascii="Book Antiqua" w:eastAsia="SimSun" w:hAnsi="Book Antiqua" w:cs="SimSun"/>
          <w:color w:val="000000"/>
          <w:sz w:val="24"/>
          <w:szCs w:val="24"/>
        </w:rPr>
        <w:t xml:space="preserve">51 </w:t>
      </w:r>
      <w:r w:rsidRPr="006F7827">
        <w:rPr>
          <w:rFonts w:ascii="Book Antiqua" w:eastAsia="SimSun" w:hAnsi="Book Antiqua" w:cs="SimSun"/>
          <w:b/>
          <w:bCs/>
          <w:color w:val="000000"/>
          <w:sz w:val="24"/>
          <w:szCs w:val="24"/>
        </w:rPr>
        <w:t>Cui Y</w:t>
      </w:r>
      <w:r w:rsidRPr="006F7827">
        <w:rPr>
          <w:rFonts w:ascii="Book Antiqua" w:eastAsia="SimSun" w:hAnsi="Book Antiqua" w:cs="SimSun"/>
          <w:color w:val="000000"/>
          <w:sz w:val="24"/>
          <w:szCs w:val="24"/>
        </w:rPr>
        <w:t>, König J, Leier I, Buchholz U, Keppler D. Hepatic uptake of bilirubin and its conjugates by the human organic anion transporter SLC21A6. </w:t>
      </w:r>
      <w:r w:rsidRPr="006F7827">
        <w:rPr>
          <w:rFonts w:ascii="Book Antiqua" w:eastAsia="SimSun" w:hAnsi="Book Antiqua" w:cs="SimSun"/>
          <w:i/>
          <w:iCs/>
          <w:color w:val="000000"/>
          <w:sz w:val="24"/>
          <w:szCs w:val="24"/>
        </w:rPr>
        <w:t>J Biol Chem</w:t>
      </w:r>
      <w:r w:rsidRPr="006F7827">
        <w:rPr>
          <w:rFonts w:ascii="Book Antiqua" w:eastAsia="SimSun" w:hAnsi="Book Antiqua" w:cs="SimSun"/>
          <w:color w:val="000000"/>
          <w:sz w:val="24"/>
          <w:szCs w:val="24"/>
        </w:rPr>
        <w:t> 2001; </w:t>
      </w:r>
      <w:r w:rsidRPr="006F7827">
        <w:rPr>
          <w:rFonts w:ascii="Book Antiqua" w:eastAsia="SimSun" w:hAnsi="Book Antiqua" w:cs="SimSun"/>
          <w:b/>
          <w:bCs/>
          <w:color w:val="000000"/>
          <w:sz w:val="24"/>
          <w:szCs w:val="24"/>
        </w:rPr>
        <w:t>276</w:t>
      </w:r>
      <w:r w:rsidRPr="006F7827">
        <w:rPr>
          <w:rFonts w:ascii="Book Antiqua" w:eastAsia="SimSun" w:hAnsi="Book Antiqua" w:cs="SimSun"/>
          <w:color w:val="000000"/>
          <w:sz w:val="24"/>
          <w:szCs w:val="24"/>
        </w:rPr>
        <w:t>: 9626-9630 [PMID: 11134001 DOI: 10.1074/jbc.M004968200]</w:t>
      </w:r>
    </w:p>
    <w:p w14:paraId="7C6EFC20" w14:textId="77777777" w:rsidR="00422EBA" w:rsidRPr="006F7827" w:rsidRDefault="00422EBA" w:rsidP="00422EBA">
      <w:pPr>
        <w:spacing w:after="0" w:line="360" w:lineRule="auto"/>
        <w:jc w:val="both"/>
        <w:rPr>
          <w:rFonts w:ascii="Book Antiqua" w:eastAsia="SimSun" w:hAnsi="Book Antiqua" w:cs="SimSun"/>
          <w:color w:val="000000"/>
          <w:sz w:val="24"/>
          <w:szCs w:val="24"/>
        </w:rPr>
      </w:pPr>
      <w:r w:rsidRPr="006F7827">
        <w:rPr>
          <w:rFonts w:ascii="Book Antiqua" w:eastAsia="SimSun" w:hAnsi="Book Antiqua" w:cs="SimSun"/>
          <w:color w:val="000000"/>
          <w:sz w:val="24"/>
          <w:szCs w:val="24"/>
        </w:rPr>
        <w:t>52 </w:t>
      </w:r>
      <w:r w:rsidRPr="006F7827">
        <w:rPr>
          <w:rFonts w:ascii="Book Antiqua" w:eastAsia="SimSun" w:hAnsi="Book Antiqua" w:cs="SimSun"/>
          <w:b/>
          <w:bCs/>
          <w:color w:val="000000"/>
          <w:sz w:val="24"/>
          <w:szCs w:val="24"/>
        </w:rPr>
        <w:t>Kimura S</w:t>
      </w:r>
      <w:r w:rsidRPr="006F7827">
        <w:rPr>
          <w:rFonts w:ascii="Book Antiqua" w:eastAsia="SimSun" w:hAnsi="Book Antiqua" w:cs="SimSun"/>
          <w:color w:val="000000"/>
          <w:sz w:val="24"/>
          <w:szCs w:val="24"/>
        </w:rPr>
        <w:t>, Yoshioka T, Shibuya M, Sakano T, Tanaka R, Matsuyama S. Indocyanine green elimination rate detects hepatocellular dysfunction early in septic shock and correlates with survival. </w:t>
      </w:r>
      <w:r w:rsidRPr="006F7827">
        <w:rPr>
          <w:rFonts w:ascii="Book Antiqua" w:eastAsia="SimSun" w:hAnsi="Book Antiqua" w:cs="SimSun"/>
          <w:i/>
          <w:iCs/>
          <w:color w:val="000000"/>
          <w:sz w:val="24"/>
          <w:szCs w:val="24"/>
        </w:rPr>
        <w:t>Crit Care Med</w:t>
      </w:r>
      <w:r w:rsidRPr="006F7827">
        <w:rPr>
          <w:rFonts w:ascii="Book Antiqua" w:eastAsia="SimSun" w:hAnsi="Book Antiqua" w:cs="SimSun"/>
          <w:color w:val="000000"/>
          <w:sz w:val="24"/>
          <w:szCs w:val="24"/>
        </w:rPr>
        <w:t> 2001; </w:t>
      </w:r>
      <w:r w:rsidRPr="006F7827">
        <w:rPr>
          <w:rFonts w:ascii="Book Antiqua" w:eastAsia="SimSun" w:hAnsi="Book Antiqua" w:cs="SimSun"/>
          <w:b/>
          <w:bCs/>
          <w:color w:val="000000"/>
          <w:sz w:val="24"/>
          <w:szCs w:val="24"/>
        </w:rPr>
        <w:t>29</w:t>
      </w:r>
      <w:r w:rsidRPr="006F7827">
        <w:rPr>
          <w:rFonts w:ascii="Book Antiqua" w:eastAsia="SimSun" w:hAnsi="Book Antiqua" w:cs="SimSun"/>
          <w:color w:val="000000"/>
          <w:sz w:val="24"/>
          <w:szCs w:val="24"/>
        </w:rPr>
        <w:t>: 1159-1163 [PMID: 11395594]</w:t>
      </w:r>
    </w:p>
    <w:p w14:paraId="48CB5D99" w14:textId="77777777" w:rsidR="00422EBA" w:rsidRPr="006F7827" w:rsidRDefault="00422EBA" w:rsidP="00422EBA">
      <w:pPr>
        <w:widowControl w:val="0"/>
        <w:spacing w:after="0" w:line="360" w:lineRule="auto"/>
        <w:jc w:val="both"/>
        <w:rPr>
          <w:rFonts w:ascii="Book Antiqua" w:eastAsia="SimSun" w:hAnsi="Book Antiqua" w:cs="SimSun"/>
          <w:color w:val="000000"/>
          <w:sz w:val="24"/>
          <w:szCs w:val="24"/>
        </w:rPr>
      </w:pPr>
      <w:r w:rsidRPr="006F7827">
        <w:rPr>
          <w:rFonts w:ascii="Book Antiqua" w:eastAsia="SimSun" w:hAnsi="Book Antiqua" w:cs="SimSun"/>
          <w:color w:val="000000"/>
          <w:sz w:val="24"/>
          <w:szCs w:val="24"/>
        </w:rPr>
        <w:t xml:space="preserve">53 </w:t>
      </w:r>
      <w:r w:rsidRPr="006F7827">
        <w:rPr>
          <w:rFonts w:ascii="Book Antiqua" w:eastAsia="SimSun" w:hAnsi="Book Antiqua" w:cs="SimSun"/>
          <w:b/>
          <w:bCs/>
          <w:color w:val="000000"/>
          <w:sz w:val="24"/>
          <w:szCs w:val="24"/>
        </w:rPr>
        <w:t>Stockmann M</w:t>
      </w:r>
      <w:r w:rsidRPr="006F7827">
        <w:rPr>
          <w:rFonts w:ascii="Book Antiqua" w:eastAsia="SimSun" w:hAnsi="Book Antiqua" w:cs="SimSun"/>
          <w:color w:val="000000"/>
          <w:sz w:val="24"/>
          <w:szCs w:val="24"/>
        </w:rPr>
        <w:t>, Lock JF, Malinowski M, Neuhaus P. Evaluation of early liver graft performance by the indocyanine green plasma disappearance rate. </w:t>
      </w:r>
      <w:r w:rsidRPr="006F7827">
        <w:rPr>
          <w:rFonts w:ascii="Book Antiqua" w:eastAsia="SimSun" w:hAnsi="Book Antiqua" w:cs="SimSun"/>
          <w:i/>
          <w:iCs/>
          <w:color w:val="000000"/>
          <w:sz w:val="24"/>
          <w:szCs w:val="24"/>
        </w:rPr>
        <w:t>Liver Transpl</w:t>
      </w:r>
      <w:r w:rsidRPr="006F7827">
        <w:rPr>
          <w:rFonts w:ascii="Book Antiqua" w:eastAsia="SimSun" w:hAnsi="Book Antiqua" w:cs="SimSun"/>
          <w:color w:val="000000"/>
          <w:sz w:val="24"/>
          <w:szCs w:val="24"/>
        </w:rPr>
        <w:t> 2010; </w:t>
      </w:r>
      <w:r w:rsidRPr="006F7827">
        <w:rPr>
          <w:rFonts w:ascii="Book Antiqua" w:eastAsia="SimSun" w:hAnsi="Book Antiqua" w:cs="SimSun"/>
          <w:b/>
          <w:bCs/>
          <w:color w:val="000000"/>
          <w:sz w:val="24"/>
          <w:szCs w:val="24"/>
        </w:rPr>
        <w:t>16</w:t>
      </w:r>
      <w:r w:rsidRPr="006F7827">
        <w:rPr>
          <w:rFonts w:ascii="Book Antiqua" w:eastAsia="SimSun" w:hAnsi="Book Antiqua" w:cs="SimSun"/>
          <w:color w:val="000000"/>
          <w:sz w:val="24"/>
          <w:szCs w:val="24"/>
        </w:rPr>
        <w:t>: 793-74; author reply 793-74; [PMID: 20517918 DOI: 10.1002/lt.22068]</w:t>
      </w:r>
    </w:p>
    <w:p w14:paraId="3CD287BB" w14:textId="77777777" w:rsidR="00422EBA" w:rsidRPr="006F7827" w:rsidRDefault="00422EBA" w:rsidP="00422EBA">
      <w:pPr>
        <w:spacing w:after="0" w:line="360" w:lineRule="auto"/>
        <w:jc w:val="both"/>
        <w:rPr>
          <w:rFonts w:ascii="Book Antiqua" w:eastAsia="SimSun" w:hAnsi="Book Antiqua" w:cs="SimSun"/>
          <w:color w:val="000000"/>
          <w:sz w:val="24"/>
          <w:szCs w:val="24"/>
        </w:rPr>
      </w:pPr>
      <w:r w:rsidRPr="006F7827">
        <w:rPr>
          <w:rFonts w:ascii="Book Antiqua" w:eastAsia="SimSun" w:hAnsi="Book Antiqua" w:cs="SimSun"/>
          <w:color w:val="000000"/>
          <w:sz w:val="24"/>
          <w:szCs w:val="24"/>
        </w:rPr>
        <w:t>54 </w:t>
      </w:r>
      <w:r w:rsidRPr="006F7827">
        <w:rPr>
          <w:rFonts w:ascii="Book Antiqua" w:eastAsia="SimSun" w:hAnsi="Book Antiqua" w:cs="SimSun"/>
          <w:b/>
          <w:bCs/>
          <w:color w:val="000000"/>
          <w:sz w:val="24"/>
          <w:szCs w:val="24"/>
        </w:rPr>
        <w:t>Maring JK</w:t>
      </w:r>
      <w:r w:rsidRPr="006F7827">
        <w:rPr>
          <w:rFonts w:ascii="Book Antiqua" w:eastAsia="SimSun" w:hAnsi="Book Antiqua" w:cs="SimSun"/>
          <w:color w:val="000000"/>
          <w:sz w:val="24"/>
          <w:szCs w:val="24"/>
        </w:rPr>
        <w:t>, Klompmaker IJ, Zwaveling JH, Kranenburg K, Ten Vergert EM, Slooff MJ. Poor initial graft function after orthotopic liver transplantation: can it be predicted and does it affect outcome? An analysis of 125 adult primary transplantations. </w:t>
      </w:r>
      <w:r w:rsidRPr="006F7827">
        <w:rPr>
          <w:rFonts w:ascii="Book Antiqua" w:eastAsia="SimSun" w:hAnsi="Book Antiqua" w:cs="SimSun"/>
          <w:i/>
          <w:iCs/>
          <w:color w:val="000000"/>
          <w:sz w:val="24"/>
          <w:szCs w:val="24"/>
        </w:rPr>
        <w:t>Clin Transplant</w:t>
      </w:r>
      <w:r w:rsidRPr="006F7827">
        <w:rPr>
          <w:rFonts w:ascii="Book Antiqua" w:eastAsia="SimSun" w:hAnsi="Book Antiqua" w:cs="SimSun"/>
          <w:color w:val="000000"/>
          <w:sz w:val="24"/>
          <w:szCs w:val="24"/>
        </w:rPr>
        <w:t> 1997; </w:t>
      </w:r>
      <w:r w:rsidRPr="006F7827">
        <w:rPr>
          <w:rFonts w:ascii="Book Antiqua" w:eastAsia="SimSun" w:hAnsi="Book Antiqua" w:cs="SimSun"/>
          <w:b/>
          <w:bCs/>
          <w:color w:val="000000"/>
          <w:sz w:val="24"/>
          <w:szCs w:val="24"/>
        </w:rPr>
        <w:t>11</w:t>
      </w:r>
      <w:r w:rsidRPr="006F7827">
        <w:rPr>
          <w:rFonts w:ascii="Book Antiqua" w:eastAsia="SimSun" w:hAnsi="Book Antiqua" w:cs="SimSun"/>
          <w:color w:val="000000"/>
          <w:sz w:val="24"/>
          <w:szCs w:val="24"/>
        </w:rPr>
        <w:t>: 373-379 [PMID: 9361926]</w:t>
      </w:r>
    </w:p>
    <w:p w14:paraId="73ADDFE8" w14:textId="77777777" w:rsidR="00422EBA" w:rsidRPr="006F7827" w:rsidRDefault="00422EBA" w:rsidP="00422EBA">
      <w:pPr>
        <w:widowControl w:val="0"/>
        <w:spacing w:after="0" w:line="360" w:lineRule="auto"/>
        <w:jc w:val="both"/>
        <w:rPr>
          <w:rFonts w:ascii="Book Antiqua" w:eastAsia="SimSun" w:hAnsi="Book Antiqua" w:cs="SimSun"/>
          <w:color w:val="000000"/>
          <w:sz w:val="24"/>
          <w:szCs w:val="24"/>
        </w:rPr>
      </w:pPr>
      <w:r w:rsidRPr="006F7827">
        <w:rPr>
          <w:rFonts w:ascii="Book Antiqua" w:eastAsia="SimSun" w:hAnsi="Book Antiqua" w:cs="SimSun"/>
          <w:color w:val="000000"/>
          <w:sz w:val="24"/>
          <w:szCs w:val="24"/>
        </w:rPr>
        <w:t xml:space="preserve">55 </w:t>
      </w:r>
      <w:r w:rsidRPr="006F7827">
        <w:rPr>
          <w:rFonts w:ascii="Book Antiqua" w:eastAsia="SimSun" w:hAnsi="Book Antiqua" w:cs="SimSun"/>
          <w:b/>
          <w:bCs/>
          <w:color w:val="000000"/>
          <w:sz w:val="24"/>
          <w:szCs w:val="24"/>
        </w:rPr>
        <w:t>Stockmann M</w:t>
      </w:r>
      <w:r w:rsidRPr="006F7827">
        <w:rPr>
          <w:rFonts w:ascii="Book Antiqua" w:eastAsia="SimSun" w:hAnsi="Book Antiqua" w:cs="SimSun"/>
          <w:color w:val="000000"/>
          <w:sz w:val="24"/>
          <w:szCs w:val="24"/>
        </w:rPr>
        <w:t>, Lock JF, Riecke B, Heyne K, Martus P, Fricke M, Lehmann S, Niehues SM, Schwabe M, Lemke AJ, Neuhaus P. Prediction of postoperative outcome after hepatectomy with a new bedside test for maximal liver function capacity. </w:t>
      </w:r>
      <w:r w:rsidRPr="006F7827">
        <w:rPr>
          <w:rFonts w:ascii="Book Antiqua" w:eastAsia="SimSun" w:hAnsi="Book Antiqua" w:cs="SimSun"/>
          <w:i/>
          <w:iCs/>
          <w:color w:val="000000"/>
          <w:sz w:val="24"/>
          <w:szCs w:val="24"/>
        </w:rPr>
        <w:t>Ann Surg</w:t>
      </w:r>
      <w:r w:rsidRPr="006F7827">
        <w:rPr>
          <w:rFonts w:ascii="Book Antiqua" w:eastAsia="SimSun" w:hAnsi="Book Antiqua" w:cs="SimSun"/>
          <w:color w:val="000000"/>
          <w:sz w:val="24"/>
          <w:szCs w:val="24"/>
        </w:rPr>
        <w:t> 2009; </w:t>
      </w:r>
      <w:r w:rsidRPr="006F7827">
        <w:rPr>
          <w:rFonts w:ascii="Book Antiqua" w:eastAsia="SimSun" w:hAnsi="Book Antiqua" w:cs="SimSun"/>
          <w:b/>
          <w:bCs/>
          <w:color w:val="000000"/>
          <w:sz w:val="24"/>
          <w:szCs w:val="24"/>
        </w:rPr>
        <w:t>250</w:t>
      </w:r>
      <w:r w:rsidRPr="006F7827">
        <w:rPr>
          <w:rFonts w:ascii="Book Antiqua" w:eastAsia="SimSun" w:hAnsi="Book Antiqua" w:cs="SimSun"/>
          <w:color w:val="000000"/>
          <w:sz w:val="24"/>
          <w:szCs w:val="24"/>
        </w:rPr>
        <w:t>: 119-125 [PMID: 19561474 DOI: 10.1097/SLA.0b013e3181ad85b5]</w:t>
      </w:r>
    </w:p>
    <w:p w14:paraId="7073B25A" w14:textId="77777777" w:rsidR="00422EBA" w:rsidRPr="006F7827" w:rsidRDefault="00422EBA" w:rsidP="00422EBA">
      <w:pPr>
        <w:spacing w:after="0" w:line="360" w:lineRule="auto"/>
        <w:jc w:val="both"/>
        <w:rPr>
          <w:rFonts w:ascii="Book Antiqua" w:eastAsia="SimSun" w:hAnsi="Book Antiqua" w:cs="SimSun"/>
          <w:color w:val="000000"/>
          <w:sz w:val="24"/>
          <w:szCs w:val="24"/>
        </w:rPr>
      </w:pPr>
      <w:r w:rsidRPr="006F7827">
        <w:rPr>
          <w:rFonts w:ascii="Book Antiqua" w:eastAsia="SimSun" w:hAnsi="Book Antiqua" w:cs="SimSun"/>
          <w:color w:val="000000"/>
          <w:sz w:val="24"/>
          <w:szCs w:val="24"/>
        </w:rPr>
        <w:t>56 </w:t>
      </w:r>
      <w:r w:rsidRPr="006F7827">
        <w:rPr>
          <w:rFonts w:ascii="Book Antiqua" w:eastAsia="SimSun" w:hAnsi="Book Antiqua" w:cs="SimSun"/>
          <w:b/>
          <w:bCs/>
          <w:color w:val="000000"/>
          <w:sz w:val="24"/>
          <w:szCs w:val="24"/>
        </w:rPr>
        <w:t>Jara M</w:t>
      </w:r>
      <w:r w:rsidRPr="006F7827">
        <w:rPr>
          <w:rFonts w:ascii="Book Antiqua" w:eastAsia="SimSun" w:hAnsi="Book Antiqua" w:cs="SimSun"/>
          <w:color w:val="000000"/>
          <w:sz w:val="24"/>
          <w:szCs w:val="24"/>
        </w:rPr>
        <w:t>, Reese T, Malinowski M, Valle E, Seehofer D, Puhl G, Neuhaus P, Pratschke J, Stockmann M. Reductions in post-hepatectomy liver failure and related mortality after implementation of the LiMAx algorithm in preoperative work-up: a single-centre analysis of 1170 hepatectomies of one or more segments. </w:t>
      </w:r>
      <w:r w:rsidRPr="006F7827">
        <w:rPr>
          <w:rFonts w:ascii="Book Antiqua" w:eastAsia="SimSun" w:hAnsi="Book Antiqua" w:cs="SimSun"/>
          <w:i/>
          <w:iCs/>
          <w:color w:val="000000"/>
          <w:sz w:val="24"/>
          <w:szCs w:val="24"/>
        </w:rPr>
        <w:t>HPB (Oxford)</w:t>
      </w:r>
      <w:r w:rsidRPr="006F7827">
        <w:rPr>
          <w:rFonts w:ascii="Book Antiqua" w:eastAsia="SimSun" w:hAnsi="Book Antiqua" w:cs="SimSun"/>
          <w:color w:val="000000"/>
          <w:sz w:val="24"/>
          <w:szCs w:val="24"/>
        </w:rPr>
        <w:t> 2015; </w:t>
      </w:r>
      <w:r w:rsidRPr="006F7827">
        <w:rPr>
          <w:rFonts w:ascii="Book Antiqua" w:eastAsia="SimSun" w:hAnsi="Book Antiqua" w:cs="SimSun"/>
          <w:b/>
          <w:bCs/>
          <w:color w:val="000000"/>
          <w:sz w:val="24"/>
          <w:szCs w:val="24"/>
        </w:rPr>
        <w:t>17</w:t>
      </w:r>
      <w:r w:rsidRPr="006F7827">
        <w:rPr>
          <w:rFonts w:ascii="Book Antiqua" w:eastAsia="SimSun" w:hAnsi="Book Antiqua" w:cs="SimSun"/>
          <w:color w:val="000000"/>
          <w:sz w:val="24"/>
          <w:szCs w:val="24"/>
        </w:rPr>
        <w:t>: 651-658 [PMID: 26058324 DOI: 10.1111/hpb.12424]</w:t>
      </w:r>
    </w:p>
    <w:p w14:paraId="218E1644" w14:textId="77777777" w:rsidR="00422EBA" w:rsidRPr="006F7827" w:rsidRDefault="00422EBA" w:rsidP="00422EBA">
      <w:pPr>
        <w:widowControl w:val="0"/>
        <w:spacing w:after="0" w:line="360" w:lineRule="auto"/>
        <w:jc w:val="both"/>
        <w:rPr>
          <w:rFonts w:ascii="Book Antiqua" w:eastAsia="SimSun" w:hAnsi="Book Antiqua" w:cs="SimSun"/>
          <w:color w:val="000000"/>
          <w:sz w:val="24"/>
          <w:szCs w:val="24"/>
        </w:rPr>
      </w:pPr>
      <w:r w:rsidRPr="006F7827">
        <w:rPr>
          <w:rFonts w:ascii="Book Antiqua" w:eastAsia="SimSun" w:hAnsi="Book Antiqua" w:cs="SimSun"/>
          <w:color w:val="000000"/>
          <w:sz w:val="24"/>
          <w:szCs w:val="24"/>
        </w:rPr>
        <w:t xml:space="preserve">57 </w:t>
      </w:r>
      <w:r w:rsidRPr="006F7827">
        <w:rPr>
          <w:rFonts w:ascii="Book Antiqua" w:eastAsia="SimSun" w:hAnsi="Book Antiqua" w:cs="SimSun"/>
          <w:b/>
          <w:bCs/>
          <w:color w:val="000000"/>
          <w:sz w:val="24"/>
          <w:szCs w:val="24"/>
        </w:rPr>
        <w:t>Stockmann M</w:t>
      </w:r>
      <w:r w:rsidRPr="006F7827">
        <w:rPr>
          <w:rFonts w:ascii="Book Antiqua" w:eastAsia="SimSun" w:hAnsi="Book Antiqua" w:cs="SimSun"/>
          <w:color w:val="000000"/>
          <w:sz w:val="24"/>
          <w:szCs w:val="24"/>
        </w:rPr>
        <w:t>, Lock JF, Malinowski M, Niehues SM, Seehofer D, Neuhaus P. The LiMAx test: a new liver function test for predicting postoperative outcome in liver surgery. </w:t>
      </w:r>
      <w:r w:rsidRPr="006F7827">
        <w:rPr>
          <w:rFonts w:ascii="Book Antiqua" w:eastAsia="SimSun" w:hAnsi="Book Antiqua" w:cs="SimSun"/>
          <w:i/>
          <w:iCs/>
          <w:color w:val="000000"/>
          <w:sz w:val="24"/>
          <w:szCs w:val="24"/>
        </w:rPr>
        <w:t>HPB (Oxford)</w:t>
      </w:r>
      <w:r w:rsidRPr="006F7827">
        <w:rPr>
          <w:rFonts w:ascii="Book Antiqua" w:eastAsia="SimSun" w:hAnsi="Book Antiqua" w:cs="SimSun"/>
          <w:color w:val="000000"/>
          <w:sz w:val="24"/>
          <w:szCs w:val="24"/>
        </w:rPr>
        <w:t> 2010; </w:t>
      </w:r>
      <w:r w:rsidRPr="006F7827">
        <w:rPr>
          <w:rFonts w:ascii="Book Antiqua" w:eastAsia="SimSun" w:hAnsi="Book Antiqua" w:cs="SimSun"/>
          <w:b/>
          <w:bCs/>
          <w:color w:val="000000"/>
          <w:sz w:val="24"/>
          <w:szCs w:val="24"/>
        </w:rPr>
        <w:t>12</w:t>
      </w:r>
      <w:r w:rsidRPr="006F7827">
        <w:rPr>
          <w:rFonts w:ascii="Book Antiqua" w:eastAsia="SimSun" w:hAnsi="Book Antiqua" w:cs="SimSun"/>
          <w:color w:val="000000"/>
          <w:sz w:val="24"/>
          <w:szCs w:val="24"/>
        </w:rPr>
        <w:t>: 139-146 [PMID: 20495659 DOI: 10.1111/j.1477-2574.2009.00151.x]</w:t>
      </w:r>
    </w:p>
    <w:p w14:paraId="62F8F403" w14:textId="77777777" w:rsidR="00422EBA" w:rsidRPr="006F7827" w:rsidRDefault="00422EBA" w:rsidP="00422EBA">
      <w:pPr>
        <w:widowControl w:val="0"/>
        <w:spacing w:after="0" w:line="360" w:lineRule="auto"/>
        <w:jc w:val="both"/>
        <w:rPr>
          <w:rFonts w:ascii="Book Antiqua" w:eastAsia="SimSun" w:hAnsi="Book Antiqua" w:cs="SimSun"/>
          <w:color w:val="000000"/>
          <w:sz w:val="24"/>
          <w:szCs w:val="24"/>
        </w:rPr>
      </w:pPr>
      <w:r w:rsidRPr="006F7827">
        <w:rPr>
          <w:rFonts w:ascii="Book Antiqua" w:eastAsia="SimSun" w:hAnsi="Book Antiqua" w:cs="SimSun"/>
          <w:color w:val="000000"/>
          <w:sz w:val="24"/>
          <w:szCs w:val="24"/>
        </w:rPr>
        <w:t xml:space="preserve">58 </w:t>
      </w:r>
      <w:r w:rsidRPr="006F7827">
        <w:rPr>
          <w:rFonts w:ascii="Book Antiqua" w:eastAsia="SimSun" w:hAnsi="Book Antiqua" w:cs="SimSun"/>
          <w:b/>
          <w:bCs/>
          <w:color w:val="000000"/>
          <w:sz w:val="24"/>
          <w:szCs w:val="24"/>
        </w:rPr>
        <w:t>Lock JF</w:t>
      </w:r>
      <w:r w:rsidRPr="006F7827">
        <w:rPr>
          <w:rFonts w:ascii="Book Antiqua" w:eastAsia="SimSun" w:hAnsi="Book Antiqua" w:cs="SimSun"/>
          <w:color w:val="000000"/>
          <w:sz w:val="24"/>
          <w:szCs w:val="24"/>
        </w:rPr>
        <w:t>, Schwabauer E, Martus P, Videv N, Pratschke J, Malinowski M, Neuhaus P, Stockmann M. Early diagnosis of primary nonfunction and indication for reoperation after liver transplantation. </w:t>
      </w:r>
      <w:r w:rsidRPr="006F7827">
        <w:rPr>
          <w:rFonts w:ascii="Book Antiqua" w:eastAsia="SimSun" w:hAnsi="Book Antiqua" w:cs="SimSun"/>
          <w:i/>
          <w:iCs/>
          <w:color w:val="000000"/>
          <w:sz w:val="24"/>
          <w:szCs w:val="24"/>
        </w:rPr>
        <w:t>Liver Transpl</w:t>
      </w:r>
      <w:r w:rsidRPr="006F7827">
        <w:rPr>
          <w:rFonts w:ascii="Book Antiqua" w:eastAsia="SimSun" w:hAnsi="Book Antiqua" w:cs="SimSun"/>
          <w:color w:val="000000"/>
          <w:sz w:val="24"/>
          <w:szCs w:val="24"/>
        </w:rPr>
        <w:t> 2010; </w:t>
      </w:r>
      <w:r w:rsidRPr="006F7827">
        <w:rPr>
          <w:rFonts w:ascii="Book Antiqua" w:eastAsia="SimSun" w:hAnsi="Book Antiqua" w:cs="SimSun"/>
          <w:b/>
          <w:bCs/>
          <w:color w:val="000000"/>
          <w:sz w:val="24"/>
          <w:szCs w:val="24"/>
        </w:rPr>
        <w:t>16</w:t>
      </w:r>
      <w:r w:rsidRPr="006F7827">
        <w:rPr>
          <w:rFonts w:ascii="Book Antiqua" w:eastAsia="SimSun" w:hAnsi="Book Antiqua" w:cs="SimSun"/>
          <w:color w:val="000000"/>
          <w:sz w:val="24"/>
          <w:szCs w:val="24"/>
        </w:rPr>
        <w:t>: 172-180 [PMID: 20104485 DOI: 10.1002/lt.21973]</w:t>
      </w:r>
    </w:p>
    <w:p w14:paraId="03B5F19B" w14:textId="77777777" w:rsidR="00422EBA" w:rsidRPr="006F7827" w:rsidRDefault="00422EBA" w:rsidP="00422EBA">
      <w:pPr>
        <w:widowControl w:val="0"/>
        <w:spacing w:after="0" w:line="360" w:lineRule="auto"/>
        <w:jc w:val="both"/>
        <w:rPr>
          <w:rFonts w:ascii="Book Antiqua" w:eastAsia="SimSun" w:hAnsi="Book Antiqua" w:cs="SimSun"/>
          <w:color w:val="000000"/>
          <w:sz w:val="24"/>
          <w:szCs w:val="24"/>
        </w:rPr>
      </w:pPr>
      <w:r w:rsidRPr="006F7827">
        <w:rPr>
          <w:rFonts w:ascii="Book Antiqua" w:eastAsia="SimSun" w:hAnsi="Book Antiqua" w:cs="SimSun"/>
          <w:color w:val="000000"/>
          <w:sz w:val="24"/>
          <w:szCs w:val="24"/>
        </w:rPr>
        <w:lastRenderedPageBreak/>
        <w:t xml:space="preserve">59 </w:t>
      </w:r>
      <w:r w:rsidRPr="006F7827">
        <w:rPr>
          <w:rFonts w:ascii="Book Antiqua" w:eastAsia="SimSun" w:hAnsi="Book Antiqua" w:cs="SimSun"/>
          <w:b/>
          <w:bCs/>
          <w:color w:val="000000"/>
          <w:sz w:val="24"/>
          <w:szCs w:val="24"/>
        </w:rPr>
        <w:t>Stockmann M</w:t>
      </w:r>
      <w:r w:rsidRPr="006F7827">
        <w:rPr>
          <w:rFonts w:ascii="Book Antiqua" w:eastAsia="SimSun" w:hAnsi="Book Antiqua" w:cs="SimSun"/>
          <w:color w:val="000000"/>
          <w:sz w:val="24"/>
          <w:szCs w:val="24"/>
        </w:rPr>
        <w:t>, Lock JF, Malinowski M, Seehofer D, Puhl G, Pratschke J, Neuhaus P. How to define initial poor graft function after liver transplantation? - a new functional definition by the LiMAx test. </w:t>
      </w:r>
      <w:r w:rsidRPr="006F7827">
        <w:rPr>
          <w:rFonts w:ascii="Book Antiqua" w:eastAsia="SimSun" w:hAnsi="Book Antiqua" w:cs="SimSun"/>
          <w:i/>
          <w:iCs/>
          <w:color w:val="000000"/>
          <w:sz w:val="24"/>
          <w:szCs w:val="24"/>
        </w:rPr>
        <w:t>Transpl Int</w:t>
      </w:r>
      <w:r w:rsidRPr="006F7827">
        <w:rPr>
          <w:rFonts w:ascii="Book Antiqua" w:eastAsia="SimSun" w:hAnsi="Book Antiqua" w:cs="SimSun"/>
          <w:color w:val="000000"/>
          <w:sz w:val="24"/>
          <w:szCs w:val="24"/>
        </w:rPr>
        <w:t> 2010; </w:t>
      </w:r>
      <w:r w:rsidRPr="006F7827">
        <w:rPr>
          <w:rFonts w:ascii="Book Antiqua" w:eastAsia="SimSun" w:hAnsi="Book Antiqua" w:cs="SimSun"/>
          <w:b/>
          <w:bCs/>
          <w:color w:val="000000"/>
          <w:sz w:val="24"/>
          <w:szCs w:val="24"/>
        </w:rPr>
        <w:t>23</w:t>
      </w:r>
      <w:r w:rsidRPr="006F7827">
        <w:rPr>
          <w:rFonts w:ascii="Book Antiqua" w:eastAsia="SimSun" w:hAnsi="Book Antiqua" w:cs="SimSun"/>
          <w:color w:val="000000"/>
          <w:sz w:val="24"/>
          <w:szCs w:val="24"/>
        </w:rPr>
        <w:t>: 1023-1032 [PMID: 20444241 DOI: 10.1111/j.1432-2277.2010.01089.x]</w:t>
      </w:r>
    </w:p>
    <w:p w14:paraId="76028AF7" w14:textId="77777777" w:rsidR="00422EBA" w:rsidRPr="006F7827" w:rsidRDefault="00422EBA" w:rsidP="00422EBA">
      <w:pPr>
        <w:widowControl w:val="0"/>
        <w:spacing w:after="0" w:line="360" w:lineRule="auto"/>
        <w:jc w:val="both"/>
        <w:rPr>
          <w:rFonts w:ascii="Book Antiqua" w:eastAsia="SimSun" w:hAnsi="Book Antiqua" w:cs="SimSun"/>
          <w:color w:val="000000"/>
          <w:sz w:val="24"/>
          <w:szCs w:val="24"/>
        </w:rPr>
      </w:pPr>
      <w:r w:rsidRPr="006F7827">
        <w:rPr>
          <w:rFonts w:ascii="Book Antiqua" w:eastAsia="SimSun" w:hAnsi="Book Antiqua" w:cs="SimSun"/>
          <w:color w:val="000000"/>
          <w:sz w:val="24"/>
          <w:szCs w:val="24"/>
        </w:rPr>
        <w:t xml:space="preserve">60 </w:t>
      </w:r>
      <w:r w:rsidRPr="006F7827">
        <w:rPr>
          <w:rFonts w:ascii="Book Antiqua" w:eastAsia="SimSun" w:hAnsi="Book Antiqua" w:cs="SimSun"/>
          <w:b/>
          <w:bCs/>
          <w:color w:val="000000"/>
          <w:sz w:val="24"/>
          <w:szCs w:val="24"/>
        </w:rPr>
        <w:t>Lock JF</w:t>
      </w:r>
      <w:r w:rsidRPr="006F7827">
        <w:rPr>
          <w:rFonts w:ascii="Book Antiqua" w:eastAsia="SimSun" w:hAnsi="Book Antiqua" w:cs="SimSun"/>
          <w:color w:val="000000"/>
          <w:sz w:val="24"/>
          <w:szCs w:val="24"/>
        </w:rPr>
        <w:t>, Malinowski M, Schwabauer E, Martus P, Pratschke J, Seehofer D, Puhl G, Neuhaus P, Stockmann M. Initial liver graft function is a reliable predictor of tacrolimus trough levels during the first post-transplant week. </w:t>
      </w:r>
      <w:r w:rsidRPr="006F7827">
        <w:rPr>
          <w:rFonts w:ascii="Book Antiqua" w:eastAsia="SimSun" w:hAnsi="Book Antiqua" w:cs="SimSun"/>
          <w:i/>
          <w:iCs/>
          <w:color w:val="000000"/>
          <w:sz w:val="24"/>
          <w:szCs w:val="24"/>
        </w:rPr>
        <w:t>Clin Transplant</w:t>
      </w:r>
      <w:r w:rsidRPr="006F7827">
        <w:rPr>
          <w:rFonts w:ascii="Book Antiqua" w:eastAsia="SimSun" w:hAnsi="Book Antiqua" w:cs="SimSun"/>
          <w:color w:val="000000"/>
          <w:sz w:val="24"/>
          <w:szCs w:val="24"/>
        </w:rPr>
        <w:t> 2011; </w:t>
      </w:r>
      <w:r w:rsidRPr="006F7827">
        <w:rPr>
          <w:rFonts w:ascii="Book Antiqua" w:eastAsia="SimSun" w:hAnsi="Book Antiqua" w:cs="SimSun"/>
          <w:b/>
          <w:bCs/>
          <w:color w:val="000000"/>
          <w:sz w:val="24"/>
          <w:szCs w:val="24"/>
        </w:rPr>
        <w:t>25</w:t>
      </w:r>
      <w:r w:rsidRPr="006F7827">
        <w:rPr>
          <w:rFonts w:ascii="Book Antiqua" w:eastAsia="SimSun" w:hAnsi="Book Antiqua" w:cs="SimSun"/>
          <w:color w:val="000000"/>
          <w:sz w:val="24"/>
          <w:szCs w:val="24"/>
        </w:rPr>
        <w:t>: 436-443 [PMID: 20482563 DOI: 10.1111/j.1399-0012.2010.01264.x]</w:t>
      </w:r>
    </w:p>
    <w:p w14:paraId="5A9A26C1" w14:textId="77777777" w:rsidR="00422EBA" w:rsidRPr="006F7827" w:rsidRDefault="00422EBA" w:rsidP="00422EBA">
      <w:pPr>
        <w:spacing w:after="0" w:line="360" w:lineRule="auto"/>
        <w:jc w:val="both"/>
        <w:rPr>
          <w:rFonts w:ascii="Book Antiqua" w:eastAsia="SimSun" w:hAnsi="Book Antiqua" w:cs="SimSun"/>
          <w:color w:val="000000"/>
          <w:sz w:val="24"/>
          <w:szCs w:val="24"/>
        </w:rPr>
      </w:pPr>
      <w:r w:rsidRPr="006F7827">
        <w:rPr>
          <w:rFonts w:ascii="Book Antiqua" w:eastAsia="SimSun" w:hAnsi="Book Antiqua" w:cs="SimSun"/>
          <w:color w:val="000000"/>
          <w:sz w:val="24"/>
          <w:szCs w:val="24"/>
        </w:rPr>
        <w:t>61 </w:t>
      </w:r>
      <w:r w:rsidRPr="006F7827">
        <w:rPr>
          <w:rFonts w:ascii="Book Antiqua" w:eastAsia="SimSun" w:hAnsi="Book Antiqua" w:cs="SimSun"/>
          <w:b/>
          <w:bCs/>
          <w:color w:val="000000"/>
          <w:sz w:val="24"/>
          <w:szCs w:val="24"/>
        </w:rPr>
        <w:t>Parker BM</w:t>
      </w:r>
      <w:r w:rsidRPr="006F7827">
        <w:rPr>
          <w:rFonts w:ascii="Book Antiqua" w:eastAsia="SimSun" w:hAnsi="Book Antiqua" w:cs="SimSun"/>
          <w:color w:val="000000"/>
          <w:sz w:val="24"/>
          <w:szCs w:val="24"/>
        </w:rPr>
        <w:t>, Cywinski JB, Alster JM, Irefin SA, Popovich M, Beven M, Fung JJ. Predicting immunosuppressant dosing in the early postoperative period with noninvasive indocyanine green elimination following orthotopic liver transplantation. </w:t>
      </w:r>
      <w:r w:rsidRPr="006F7827">
        <w:rPr>
          <w:rFonts w:ascii="Book Antiqua" w:eastAsia="SimSun" w:hAnsi="Book Antiqua" w:cs="SimSun"/>
          <w:i/>
          <w:iCs/>
          <w:color w:val="000000"/>
          <w:sz w:val="24"/>
          <w:szCs w:val="24"/>
        </w:rPr>
        <w:t>Liver Transpl</w:t>
      </w:r>
      <w:r w:rsidRPr="006F7827">
        <w:rPr>
          <w:rFonts w:ascii="Book Antiqua" w:eastAsia="SimSun" w:hAnsi="Book Antiqua" w:cs="SimSun"/>
          <w:color w:val="000000"/>
          <w:sz w:val="24"/>
          <w:szCs w:val="24"/>
        </w:rPr>
        <w:t> 2008; </w:t>
      </w:r>
      <w:r w:rsidRPr="006F7827">
        <w:rPr>
          <w:rFonts w:ascii="Book Antiqua" w:eastAsia="SimSun" w:hAnsi="Book Antiqua" w:cs="SimSun"/>
          <w:b/>
          <w:bCs/>
          <w:color w:val="000000"/>
          <w:sz w:val="24"/>
          <w:szCs w:val="24"/>
        </w:rPr>
        <w:t>14</w:t>
      </w:r>
      <w:r w:rsidRPr="006F7827">
        <w:rPr>
          <w:rFonts w:ascii="Book Antiqua" w:eastAsia="SimSun" w:hAnsi="Book Antiqua" w:cs="SimSun"/>
          <w:color w:val="000000"/>
          <w:sz w:val="24"/>
          <w:szCs w:val="24"/>
        </w:rPr>
        <w:t>: 46-52 [PMID: 18161838 DOI: 10.1002/lt.21308]</w:t>
      </w:r>
    </w:p>
    <w:p w14:paraId="66CDB212" w14:textId="77777777" w:rsidR="00422EBA" w:rsidRPr="006F7827" w:rsidRDefault="00422EBA" w:rsidP="00422EBA">
      <w:pPr>
        <w:spacing w:after="0" w:line="360" w:lineRule="auto"/>
        <w:jc w:val="both"/>
        <w:rPr>
          <w:rFonts w:ascii="Book Antiqua" w:eastAsia="SimSun" w:hAnsi="Book Antiqua" w:cs="SimSun"/>
          <w:color w:val="000000"/>
          <w:sz w:val="24"/>
          <w:szCs w:val="24"/>
        </w:rPr>
      </w:pPr>
      <w:r w:rsidRPr="006F7827">
        <w:rPr>
          <w:rFonts w:ascii="Book Antiqua" w:eastAsia="SimSun" w:hAnsi="Book Antiqua" w:cs="SimSun"/>
          <w:color w:val="000000"/>
          <w:sz w:val="24"/>
          <w:szCs w:val="24"/>
        </w:rPr>
        <w:t>62 </w:t>
      </w:r>
      <w:r w:rsidRPr="006F7827">
        <w:rPr>
          <w:rFonts w:ascii="Book Antiqua" w:eastAsia="SimSun" w:hAnsi="Book Antiqua" w:cs="SimSun"/>
          <w:b/>
          <w:bCs/>
          <w:color w:val="000000"/>
          <w:sz w:val="24"/>
          <w:szCs w:val="24"/>
        </w:rPr>
        <w:t>Potter JM</w:t>
      </w:r>
      <w:r w:rsidRPr="006F7827">
        <w:rPr>
          <w:rFonts w:ascii="Book Antiqua" w:eastAsia="SimSun" w:hAnsi="Book Antiqua" w:cs="SimSun"/>
          <w:color w:val="000000"/>
          <w:sz w:val="24"/>
          <w:szCs w:val="24"/>
        </w:rPr>
        <w:t>, Oellerich M. The use of lidocaine as a test of liver function in liver transplantation. </w:t>
      </w:r>
      <w:r w:rsidRPr="006F7827">
        <w:rPr>
          <w:rFonts w:ascii="Book Antiqua" w:eastAsia="SimSun" w:hAnsi="Book Antiqua" w:cs="SimSun"/>
          <w:i/>
          <w:iCs/>
          <w:color w:val="000000"/>
          <w:sz w:val="24"/>
          <w:szCs w:val="24"/>
        </w:rPr>
        <w:t>Liver Transpl Surg</w:t>
      </w:r>
      <w:r w:rsidRPr="006F7827">
        <w:rPr>
          <w:rFonts w:ascii="Book Antiqua" w:eastAsia="SimSun" w:hAnsi="Book Antiqua" w:cs="SimSun"/>
          <w:color w:val="000000"/>
          <w:sz w:val="24"/>
          <w:szCs w:val="24"/>
        </w:rPr>
        <w:t> 1996; </w:t>
      </w:r>
      <w:r w:rsidRPr="006F7827">
        <w:rPr>
          <w:rFonts w:ascii="Book Antiqua" w:eastAsia="SimSun" w:hAnsi="Book Antiqua" w:cs="SimSun"/>
          <w:b/>
          <w:bCs/>
          <w:color w:val="000000"/>
          <w:sz w:val="24"/>
          <w:szCs w:val="24"/>
        </w:rPr>
        <w:t>2</w:t>
      </w:r>
      <w:r w:rsidRPr="006F7827">
        <w:rPr>
          <w:rFonts w:ascii="Book Antiqua" w:eastAsia="SimSun" w:hAnsi="Book Antiqua" w:cs="SimSun"/>
          <w:color w:val="000000"/>
          <w:sz w:val="24"/>
          <w:szCs w:val="24"/>
        </w:rPr>
        <w:t>: 211-224 [PMID: 9346651]</w:t>
      </w:r>
    </w:p>
    <w:p w14:paraId="7C355552" w14:textId="77777777" w:rsidR="00422EBA" w:rsidRPr="006F7827" w:rsidRDefault="00422EBA" w:rsidP="00422EBA">
      <w:pPr>
        <w:spacing w:after="0" w:line="360" w:lineRule="auto"/>
        <w:jc w:val="both"/>
        <w:rPr>
          <w:rFonts w:ascii="Book Antiqua" w:eastAsia="SimSun" w:hAnsi="Book Antiqua" w:cs="SimSun"/>
          <w:color w:val="000000"/>
          <w:sz w:val="24"/>
          <w:szCs w:val="24"/>
        </w:rPr>
      </w:pPr>
      <w:r w:rsidRPr="006F7827">
        <w:rPr>
          <w:rFonts w:ascii="Book Antiqua" w:eastAsia="SimSun" w:hAnsi="Book Antiqua" w:cs="SimSun"/>
          <w:color w:val="000000"/>
          <w:sz w:val="24"/>
          <w:szCs w:val="24"/>
        </w:rPr>
        <w:t>63 </w:t>
      </w:r>
      <w:r w:rsidRPr="006F7827">
        <w:rPr>
          <w:rFonts w:ascii="Book Antiqua" w:eastAsia="SimSun" w:hAnsi="Book Antiqua" w:cs="SimSun"/>
          <w:b/>
          <w:bCs/>
          <w:color w:val="000000"/>
          <w:sz w:val="24"/>
          <w:szCs w:val="24"/>
        </w:rPr>
        <w:t>Potter JM</w:t>
      </w:r>
      <w:r w:rsidRPr="006F7827">
        <w:rPr>
          <w:rFonts w:ascii="Book Antiqua" w:eastAsia="SimSun" w:hAnsi="Book Antiqua" w:cs="SimSun"/>
          <w:color w:val="000000"/>
          <w:sz w:val="24"/>
          <w:szCs w:val="24"/>
        </w:rPr>
        <w:t>, Hickman PE, Henderson A, Balderson GA, Lynch SV, Strong RW. The use of the lidocaine-monoethylglycinexylidide test in the liver transplant recipient. </w:t>
      </w:r>
      <w:r w:rsidRPr="006F7827">
        <w:rPr>
          <w:rFonts w:ascii="Book Antiqua" w:eastAsia="SimSun" w:hAnsi="Book Antiqua" w:cs="SimSun"/>
          <w:i/>
          <w:iCs/>
          <w:color w:val="000000"/>
          <w:sz w:val="24"/>
          <w:szCs w:val="24"/>
        </w:rPr>
        <w:t>Ther Drug Monit</w:t>
      </w:r>
      <w:r w:rsidRPr="006F7827">
        <w:rPr>
          <w:rFonts w:ascii="Book Antiqua" w:eastAsia="SimSun" w:hAnsi="Book Antiqua" w:cs="SimSun"/>
          <w:color w:val="000000"/>
          <w:sz w:val="24"/>
          <w:szCs w:val="24"/>
        </w:rPr>
        <w:t> 1996; </w:t>
      </w:r>
      <w:r w:rsidRPr="006F7827">
        <w:rPr>
          <w:rFonts w:ascii="Book Antiqua" w:eastAsia="SimSun" w:hAnsi="Book Antiqua" w:cs="SimSun"/>
          <w:b/>
          <w:bCs/>
          <w:color w:val="000000"/>
          <w:sz w:val="24"/>
          <w:szCs w:val="24"/>
        </w:rPr>
        <w:t>18</w:t>
      </w:r>
      <w:r w:rsidRPr="006F7827">
        <w:rPr>
          <w:rFonts w:ascii="Book Antiqua" w:eastAsia="SimSun" w:hAnsi="Book Antiqua" w:cs="SimSun"/>
          <w:color w:val="000000"/>
          <w:sz w:val="24"/>
          <w:szCs w:val="24"/>
        </w:rPr>
        <w:t>: 383-387 [PMID: 8857555]</w:t>
      </w:r>
    </w:p>
    <w:p w14:paraId="25172380" w14:textId="77777777" w:rsidR="00422EBA" w:rsidRPr="006F7827" w:rsidRDefault="00422EBA" w:rsidP="00422EBA">
      <w:pPr>
        <w:spacing w:after="0" w:line="360" w:lineRule="auto"/>
        <w:jc w:val="both"/>
        <w:rPr>
          <w:rFonts w:ascii="Book Antiqua" w:eastAsia="SimSun" w:hAnsi="Book Antiqua" w:cs="SimSun"/>
          <w:color w:val="000000"/>
          <w:sz w:val="24"/>
          <w:szCs w:val="24"/>
        </w:rPr>
      </w:pPr>
      <w:r w:rsidRPr="006F7827">
        <w:rPr>
          <w:rFonts w:ascii="Book Antiqua" w:eastAsia="SimSun" w:hAnsi="Book Antiqua" w:cs="SimSun"/>
          <w:color w:val="000000"/>
          <w:sz w:val="24"/>
          <w:szCs w:val="24"/>
        </w:rPr>
        <w:t>64 </w:t>
      </w:r>
      <w:r w:rsidRPr="006F7827">
        <w:rPr>
          <w:rFonts w:ascii="Book Antiqua" w:eastAsia="SimSun" w:hAnsi="Book Antiqua" w:cs="SimSun"/>
          <w:b/>
          <w:bCs/>
          <w:color w:val="000000"/>
          <w:sz w:val="24"/>
          <w:szCs w:val="24"/>
        </w:rPr>
        <w:t>Redaelli CA</w:t>
      </w:r>
      <w:r w:rsidRPr="006F7827">
        <w:rPr>
          <w:rFonts w:ascii="Book Antiqua" w:eastAsia="SimSun" w:hAnsi="Book Antiqua" w:cs="SimSun"/>
          <w:color w:val="000000"/>
          <w:sz w:val="24"/>
          <w:szCs w:val="24"/>
        </w:rPr>
        <w:t>, Dufour JF, Wagner M, Schilling M, Hüsler J, Krähenbühl L, Büchler MW, Reichen J. Preoperative galactose elimination capacity predicts complications and survival after hepatic resection. </w:t>
      </w:r>
      <w:r w:rsidRPr="006F7827">
        <w:rPr>
          <w:rFonts w:ascii="Book Antiqua" w:eastAsia="SimSun" w:hAnsi="Book Antiqua" w:cs="SimSun"/>
          <w:i/>
          <w:iCs/>
          <w:color w:val="000000"/>
          <w:sz w:val="24"/>
          <w:szCs w:val="24"/>
        </w:rPr>
        <w:t>Ann Surg</w:t>
      </w:r>
      <w:r w:rsidRPr="006F7827">
        <w:rPr>
          <w:rFonts w:ascii="Book Antiqua" w:eastAsia="SimSun" w:hAnsi="Book Antiqua" w:cs="SimSun"/>
          <w:color w:val="000000"/>
          <w:sz w:val="24"/>
          <w:szCs w:val="24"/>
        </w:rPr>
        <w:t> 2002; </w:t>
      </w:r>
      <w:r w:rsidRPr="006F7827">
        <w:rPr>
          <w:rFonts w:ascii="Book Antiqua" w:eastAsia="SimSun" w:hAnsi="Book Antiqua" w:cs="SimSun"/>
          <w:b/>
          <w:bCs/>
          <w:color w:val="000000"/>
          <w:sz w:val="24"/>
          <w:szCs w:val="24"/>
        </w:rPr>
        <w:t>235</w:t>
      </w:r>
      <w:r w:rsidRPr="006F7827">
        <w:rPr>
          <w:rFonts w:ascii="Book Antiqua" w:eastAsia="SimSun" w:hAnsi="Book Antiqua" w:cs="SimSun"/>
          <w:color w:val="000000"/>
          <w:sz w:val="24"/>
          <w:szCs w:val="24"/>
        </w:rPr>
        <w:t>: 77-85 [PMID: 11753045]</w:t>
      </w:r>
    </w:p>
    <w:p w14:paraId="03B9B0F5" w14:textId="77777777" w:rsidR="00422EBA" w:rsidRPr="006F7827" w:rsidRDefault="00422EBA" w:rsidP="00422EBA">
      <w:pPr>
        <w:spacing w:after="0" w:line="360" w:lineRule="auto"/>
        <w:jc w:val="both"/>
        <w:rPr>
          <w:rFonts w:ascii="Book Antiqua" w:eastAsia="SimSun" w:hAnsi="Book Antiqua" w:cs="SimSun"/>
          <w:color w:val="000000"/>
          <w:sz w:val="24"/>
          <w:szCs w:val="24"/>
        </w:rPr>
      </w:pPr>
      <w:r w:rsidRPr="006F7827">
        <w:rPr>
          <w:rFonts w:ascii="Book Antiqua" w:eastAsia="SimSun" w:hAnsi="Book Antiqua" w:cs="SimSun"/>
          <w:color w:val="000000"/>
          <w:sz w:val="24"/>
          <w:szCs w:val="24"/>
        </w:rPr>
        <w:t>65 </w:t>
      </w:r>
      <w:r w:rsidRPr="006F7827">
        <w:rPr>
          <w:rFonts w:ascii="Book Antiqua" w:eastAsia="SimSun" w:hAnsi="Book Antiqua" w:cs="SimSun"/>
          <w:b/>
          <w:bCs/>
          <w:color w:val="000000"/>
          <w:sz w:val="24"/>
          <w:szCs w:val="24"/>
        </w:rPr>
        <w:t>Armuzzi A</w:t>
      </w:r>
      <w:r w:rsidRPr="006F7827">
        <w:rPr>
          <w:rFonts w:ascii="Book Antiqua" w:eastAsia="SimSun" w:hAnsi="Book Antiqua" w:cs="SimSun"/>
          <w:color w:val="000000"/>
          <w:sz w:val="24"/>
          <w:szCs w:val="24"/>
        </w:rPr>
        <w:t>, Candelli M, Zocco MA, Andreoli A, De Lorenzo A, Nista EC, Miele L, Cremonini F, Cazzato IA, Grieco A, Gasbarrini G, Gasbarrini A. Review article: breath testing for human liver function assessment. </w:t>
      </w:r>
      <w:r w:rsidRPr="006F7827">
        <w:rPr>
          <w:rFonts w:ascii="Book Antiqua" w:eastAsia="SimSun" w:hAnsi="Book Antiqua" w:cs="SimSun"/>
          <w:i/>
          <w:iCs/>
          <w:color w:val="000000"/>
          <w:sz w:val="24"/>
          <w:szCs w:val="24"/>
        </w:rPr>
        <w:t>Aliment Pharmacol Ther</w:t>
      </w:r>
      <w:r w:rsidRPr="006F7827">
        <w:rPr>
          <w:rFonts w:ascii="Book Antiqua" w:eastAsia="SimSun" w:hAnsi="Book Antiqua" w:cs="SimSun"/>
          <w:color w:val="000000"/>
          <w:sz w:val="24"/>
          <w:szCs w:val="24"/>
        </w:rPr>
        <w:t> 2002; </w:t>
      </w:r>
      <w:r w:rsidRPr="006F7827">
        <w:rPr>
          <w:rFonts w:ascii="Book Antiqua" w:eastAsia="SimSun" w:hAnsi="Book Antiqua" w:cs="SimSun"/>
          <w:b/>
          <w:bCs/>
          <w:color w:val="000000"/>
          <w:sz w:val="24"/>
          <w:szCs w:val="24"/>
        </w:rPr>
        <w:t>16</w:t>
      </w:r>
      <w:r w:rsidRPr="006F7827">
        <w:rPr>
          <w:rFonts w:ascii="Book Antiqua" w:eastAsia="SimSun" w:hAnsi="Book Antiqua" w:cs="SimSun"/>
          <w:color w:val="000000"/>
          <w:sz w:val="24"/>
          <w:szCs w:val="24"/>
        </w:rPr>
        <w:t>: 1977-1996 [PMID: 12452932]</w:t>
      </w:r>
    </w:p>
    <w:p w14:paraId="05C6571D" w14:textId="77777777" w:rsidR="00422EBA" w:rsidRPr="006F7827" w:rsidRDefault="00422EBA" w:rsidP="00422EBA">
      <w:pPr>
        <w:spacing w:after="0" w:line="360" w:lineRule="auto"/>
        <w:jc w:val="both"/>
        <w:rPr>
          <w:rFonts w:ascii="Book Antiqua" w:eastAsia="SimSun" w:hAnsi="Book Antiqua" w:cs="SimSun"/>
          <w:color w:val="000000"/>
          <w:sz w:val="24"/>
          <w:szCs w:val="24"/>
        </w:rPr>
      </w:pPr>
      <w:r w:rsidRPr="006F7827">
        <w:rPr>
          <w:rFonts w:ascii="Book Antiqua" w:eastAsia="SimSun" w:hAnsi="Book Antiqua" w:cs="SimSun"/>
          <w:color w:val="000000"/>
          <w:sz w:val="24"/>
          <w:szCs w:val="24"/>
        </w:rPr>
        <w:t>66 </w:t>
      </w:r>
      <w:r w:rsidRPr="006F7827">
        <w:rPr>
          <w:rFonts w:ascii="Book Antiqua" w:eastAsia="SimSun" w:hAnsi="Book Antiqua" w:cs="SimSun"/>
          <w:b/>
          <w:bCs/>
          <w:color w:val="000000"/>
          <w:sz w:val="24"/>
          <w:szCs w:val="24"/>
        </w:rPr>
        <w:t>Pereboom IT</w:t>
      </w:r>
      <w:r w:rsidRPr="006F7827">
        <w:rPr>
          <w:rFonts w:ascii="Book Antiqua" w:eastAsia="SimSun" w:hAnsi="Book Antiqua" w:cs="SimSun"/>
          <w:color w:val="000000"/>
          <w:sz w:val="24"/>
          <w:szCs w:val="24"/>
        </w:rPr>
        <w:t>, Lisman T, Porte RJ. Platelets in liver transplantation: friend or foe? </w:t>
      </w:r>
      <w:r w:rsidRPr="006F7827">
        <w:rPr>
          <w:rFonts w:ascii="Book Antiqua" w:eastAsia="SimSun" w:hAnsi="Book Antiqua" w:cs="SimSun"/>
          <w:i/>
          <w:iCs/>
          <w:color w:val="000000"/>
          <w:sz w:val="24"/>
          <w:szCs w:val="24"/>
        </w:rPr>
        <w:t>Liver Transpl</w:t>
      </w:r>
      <w:r w:rsidRPr="006F7827">
        <w:rPr>
          <w:rFonts w:ascii="Book Antiqua" w:eastAsia="SimSun" w:hAnsi="Book Antiqua" w:cs="SimSun"/>
          <w:color w:val="000000"/>
          <w:sz w:val="24"/>
          <w:szCs w:val="24"/>
        </w:rPr>
        <w:t> 2008; </w:t>
      </w:r>
      <w:r w:rsidRPr="006F7827">
        <w:rPr>
          <w:rFonts w:ascii="Book Antiqua" w:eastAsia="SimSun" w:hAnsi="Book Antiqua" w:cs="SimSun"/>
          <w:b/>
          <w:bCs/>
          <w:color w:val="000000"/>
          <w:sz w:val="24"/>
          <w:szCs w:val="24"/>
        </w:rPr>
        <w:t>14</w:t>
      </w:r>
      <w:r w:rsidRPr="006F7827">
        <w:rPr>
          <w:rFonts w:ascii="Book Antiqua" w:eastAsia="SimSun" w:hAnsi="Book Antiqua" w:cs="SimSun"/>
          <w:color w:val="000000"/>
          <w:sz w:val="24"/>
          <w:szCs w:val="24"/>
        </w:rPr>
        <w:t>: 923-931 [PMID: 18581510 DOI: 10.1002/lt.21510]</w:t>
      </w:r>
    </w:p>
    <w:p w14:paraId="2508982D" w14:textId="77777777" w:rsidR="00422EBA" w:rsidRPr="006F7827" w:rsidRDefault="00422EBA" w:rsidP="00422EBA">
      <w:pPr>
        <w:spacing w:after="0" w:line="360" w:lineRule="auto"/>
        <w:jc w:val="both"/>
        <w:rPr>
          <w:rFonts w:ascii="Book Antiqua" w:eastAsia="SimSun" w:hAnsi="Book Antiqua" w:cs="SimSun"/>
          <w:color w:val="000000"/>
          <w:sz w:val="24"/>
          <w:szCs w:val="24"/>
        </w:rPr>
      </w:pPr>
      <w:r w:rsidRPr="006F7827">
        <w:rPr>
          <w:rFonts w:ascii="Book Antiqua" w:eastAsia="SimSun" w:hAnsi="Book Antiqua" w:cs="SimSun"/>
          <w:color w:val="000000"/>
          <w:sz w:val="24"/>
          <w:szCs w:val="24"/>
        </w:rPr>
        <w:t>67 </w:t>
      </w:r>
      <w:r w:rsidRPr="006F7827">
        <w:rPr>
          <w:rFonts w:ascii="Book Antiqua" w:eastAsia="SimSun" w:hAnsi="Book Antiqua" w:cs="SimSun"/>
          <w:b/>
          <w:bCs/>
          <w:color w:val="000000"/>
          <w:sz w:val="24"/>
          <w:szCs w:val="24"/>
        </w:rPr>
        <w:t>Nascimbene A</w:t>
      </w:r>
      <w:r w:rsidRPr="006F7827">
        <w:rPr>
          <w:rFonts w:ascii="Book Antiqua" w:eastAsia="SimSun" w:hAnsi="Book Antiqua" w:cs="SimSun"/>
          <w:color w:val="000000"/>
          <w:sz w:val="24"/>
          <w:szCs w:val="24"/>
        </w:rPr>
        <w:t>, Iannacone M, Brando B, De Gasperi A. Acute thrombocytopenia after liver transplant: role of platelet activation, thrombopoietin deficiency and response to high dose intravenous IgG treatment. </w:t>
      </w:r>
      <w:r w:rsidRPr="006F7827">
        <w:rPr>
          <w:rFonts w:ascii="Book Antiqua" w:eastAsia="SimSun" w:hAnsi="Book Antiqua" w:cs="SimSun"/>
          <w:i/>
          <w:iCs/>
          <w:color w:val="000000"/>
          <w:sz w:val="24"/>
          <w:szCs w:val="24"/>
        </w:rPr>
        <w:t>J Hepatol</w:t>
      </w:r>
      <w:r w:rsidRPr="006F7827">
        <w:rPr>
          <w:rFonts w:ascii="Book Antiqua" w:eastAsia="SimSun" w:hAnsi="Book Antiqua" w:cs="SimSun"/>
          <w:color w:val="000000"/>
          <w:sz w:val="24"/>
          <w:szCs w:val="24"/>
        </w:rPr>
        <w:t> 2007; </w:t>
      </w:r>
      <w:r w:rsidRPr="006F7827">
        <w:rPr>
          <w:rFonts w:ascii="Book Antiqua" w:eastAsia="SimSun" w:hAnsi="Book Antiqua" w:cs="SimSun"/>
          <w:b/>
          <w:bCs/>
          <w:color w:val="000000"/>
          <w:sz w:val="24"/>
          <w:szCs w:val="24"/>
        </w:rPr>
        <w:t>47</w:t>
      </w:r>
      <w:r w:rsidRPr="006F7827">
        <w:rPr>
          <w:rFonts w:ascii="Book Antiqua" w:eastAsia="SimSun" w:hAnsi="Book Antiqua" w:cs="SimSun"/>
          <w:color w:val="000000"/>
          <w:sz w:val="24"/>
          <w:szCs w:val="24"/>
        </w:rPr>
        <w:t>: 651-657 [PMID: 17716776 DOI: 10.1016/j.jhep.2007.06.012]</w:t>
      </w:r>
    </w:p>
    <w:p w14:paraId="55C2C95E" w14:textId="77777777" w:rsidR="00422EBA" w:rsidRPr="006F7827" w:rsidRDefault="00422EBA" w:rsidP="00422EBA">
      <w:pPr>
        <w:spacing w:after="0" w:line="360" w:lineRule="auto"/>
        <w:jc w:val="both"/>
        <w:rPr>
          <w:rFonts w:ascii="Book Antiqua" w:eastAsia="SimSun" w:hAnsi="Book Antiqua" w:cs="SimSun"/>
          <w:color w:val="000000"/>
          <w:sz w:val="24"/>
          <w:szCs w:val="24"/>
        </w:rPr>
      </w:pPr>
      <w:r w:rsidRPr="006F7827">
        <w:rPr>
          <w:rFonts w:ascii="Book Antiqua" w:eastAsia="SimSun" w:hAnsi="Book Antiqua" w:cs="SimSun"/>
          <w:color w:val="000000"/>
          <w:sz w:val="24"/>
          <w:szCs w:val="24"/>
        </w:rPr>
        <w:lastRenderedPageBreak/>
        <w:t>68 </w:t>
      </w:r>
      <w:r w:rsidRPr="006F7827">
        <w:rPr>
          <w:rFonts w:ascii="Book Antiqua" w:eastAsia="SimSun" w:hAnsi="Book Antiqua" w:cs="SimSun"/>
          <w:b/>
          <w:bCs/>
          <w:color w:val="000000"/>
          <w:sz w:val="24"/>
          <w:szCs w:val="24"/>
        </w:rPr>
        <w:t>Chang FY</w:t>
      </w:r>
      <w:r w:rsidRPr="006F7827">
        <w:rPr>
          <w:rFonts w:ascii="Book Antiqua" w:eastAsia="SimSun" w:hAnsi="Book Antiqua" w:cs="SimSun"/>
          <w:color w:val="000000"/>
          <w:sz w:val="24"/>
          <w:szCs w:val="24"/>
        </w:rPr>
        <w:t>, Singh N, Gayowski T, Wagener MM, Mietzner SM, Stout JE, Marino IR. Thrombocytopenia in liver transplant recipients: predictors, impact on fungal infections, and role of endogenous thrombopoietin. </w:t>
      </w:r>
      <w:r w:rsidRPr="006F7827">
        <w:rPr>
          <w:rFonts w:ascii="Book Antiqua" w:eastAsia="SimSun" w:hAnsi="Book Antiqua" w:cs="SimSun"/>
          <w:i/>
          <w:iCs/>
          <w:color w:val="000000"/>
          <w:sz w:val="24"/>
          <w:szCs w:val="24"/>
        </w:rPr>
        <w:t>Transplantation</w:t>
      </w:r>
      <w:r w:rsidRPr="006F7827">
        <w:rPr>
          <w:rFonts w:ascii="Book Antiqua" w:eastAsia="SimSun" w:hAnsi="Book Antiqua" w:cs="SimSun"/>
          <w:color w:val="000000"/>
          <w:sz w:val="24"/>
          <w:szCs w:val="24"/>
        </w:rPr>
        <w:t> 2000; </w:t>
      </w:r>
      <w:r w:rsidRPr="006F7827">
        <w:rPr>
          <w:rFonts w:ascii="Book Antiqua" w:eastAsia="SimSun" w:hAnsi="Book Antiqua" w:cs="SimSun"/>
          <w:b/>
          <w:bCs/>
          <w:color w:val="000000"/>
          <w:sz w:val="24"/>
          <w:szCs w:val="24"/>
        </w:rPr>
        <w:t>69</w:t>
      </w:r>
      <w:r w:rsidRPr="006F7827">
        <w:rPr>
          <w:rFonts w:ascii="Book Antiqua" w:eastAsia="SimSun" w:hAnsi="Book Antiqua" w:cs="SimSun"/>
          <w:color w:val="000000"/>
          <w:sz w:val="24"/>
          <w:szCs w:val="24"/>
        </w:rPr>
        <w:t>: 70-75 [PMID: 10653383]</w:t>
      </w:r>
    </w:p>
    <w:p w14:paraId="2CB3FEE1" w14:textId="77777777" w:rsidR="00422EBA" w:rsidRPr="006F7827" w:rsidRDefault="00422EBA" w:rsidP="00422EBA">
      <w:pPr>
        <w:spacing w:after="0" w:line="360" w:lineRule="auto"/>
        <w:jc w:val="both"/>
        <w:rPr>
          <w:rFonts w:ascii="Book Antiqua" w:eastAsia="SimSun" w:hAnsi="Book Antiqua" w:cs="SimSun"/>
          <w:color w:val="000000"/>
          <w:sz w:val="24"/>
          <w:szCs w:val="24"/>
        </w:rPr>
      </w:pPr>
      <w:r w:rsidRPr="006F7827">
        <w:rPr>
          <w:rFonts w:ascii="Book Antiqua" w:eastAsia="SimSun" w:hAnsi="Book Antiqua" w:cs="SimSun"/>
          <w:color w:val="000000"/>
          <w:sz w:val="24"/>
          <w:szCs w:val="24"/>
        </w:rPr>
        <w:t>69 </w:t>
      </w:r>
      <w:r w:rsidRPr="006F7827">
        <w:rPr>
          <w:rFonts w:ascii="Book Antiqua" w:eastAsia="SimSun" w:hAnsi="Book Antiqua" w:cs="SimSun"/>
          <w:b/>
          <w:bCs/>
          <w:color w:val="000000"/>
          <w:sz w:val="24"/>
          <w:szCs w:val="24"/>
        </w:rPr>
        <w:t>de Boer MT</w:t>
      </w:r>
      <w:r w:rsidRPr="006F7827">
        <w:rPr>
          <w:rFonts w:ascii="Book Antiqua" w:eastAsia="SimSun" w:hAnsi="Book Antiqua" w:cs="SimSun"/>
          <w:color w:val="000000"/>
          <w:sz w:val="24"/>
          <w:szCs w:val="24"/>
        </w:rPr>
        <w:t>, Christensen MC, Asmussen M, van der Hilst CS, Hendriks HG, Slooff MJ, Porte RJ. The impact of intraoperative transfusion of platelets and red blood cells on survival after liver transplantation. </w:t>
      </w:r>
      <w:r w:rsidRPr="006F7827">
        <w:rPr>
          <w:rFonts w:ascii="Book Antiqua" w:eastAsia="SimSun" w:hAnsi="Book Antiqua" w:cs="SimSun"/>
          <w:i/>
          <w:iCs/>
          <w:color w:val="000000"/>
          <w:sz w:val="24"/>
          <w:szCs w:val="24"/>
        </w:rPr>
        <w:t>Anesth Analg</w:t>
      </w:r>
      <w:r w:rsidRPr="006F7827">
        <w:rPr>
          <w:rFonts w:ascii="Book Antiqua" w:eastAsia="SimSun" w:hAnsi="Book Antiqua" w:cs="SimSun"/>
          <w:color w:val="000000"/>
          <w:sz w:val="24"/>
          <w:szCs w:val="24"/>
        </w:rPr>
        <w:t> 2008; </w:t>
      </w:r>
      <w:r w:rsidRPr="006F7827">
        <w:rPr>
          <w:rFonts w:ascii="Book Antiqua" w:eastAsia="SimSun" w:hAnsi="Book Antiqua" w:cs="SimSun"/>
          <w:b/>
          <w:bCs/>
          <w:color w:val="000000"/>
          <w:sz w:val="24"/>
          <w:szCs w:val="24"/>
        </w:rPr>
        <w:t>106</w:t>
      </w:r>
      <w:r w:rsidRPr="006F7827">
        <w:rPr>
          <w:rFonts w:ascii="Book Antiqua" w:eastAsia="SimSun" w:hAnsi="Book Antiqua" w:cs="SimSun"/>
          <w:color w:val="000000"/>
          <w:sz w:val="24"/>
          <w:szCs w:val="24"/>
        </w:rPr>
        <w:t>: 32-44, table of contents [PMID: 18165548 DOI: 10.1213/01.ane.0000289638.26666.ed]</w:t>
      </w:r>
    </w:p>
    <w:p w14:paraId="1045CE84" w14:textId="77777777" w:rsidR="00422EBA" w:rsidRPr="006F7827" w:rsidRDefault="00422EBA" w:rsidP="00422EBA">
      <w:pPr>
        <w:spacing w:after="0" w:line="360" w:lineRule="auto"/>
        <w:jc w:val="both"/>
        <w:rPr>
          <w:rFonts w:ascii="Book Antiqua" w:eastAsia="SimSun" w:hAnsi="Book Antiqua" w:cs="SimSun"/>
          <w:color w:val="000000"/>
          <w:sz w:val="24"/>
          <w:szCs w:val="24"/>
        </w:rPr>
      </w:pPr>
      <w:r w:rsidRPr="006F7827">
        <w:rPr>
          <w:rFonts w:ascii="Book Antiqua" w:eastAsia="SimSun" w:hAnsi="Book Antiqua" w:cs="SimSun"/>
          <w:color w:val="000000"/>
          <w:sz w:val="24"/>
          <w:szCs w:val="24"/>
        </w:rPr>
        <w:t>70 </w:t>
      </w:r>
      <w:r w:rsidRPr="006F7827">
        <w:rPr>
          <w:rFonts w:ascii="Book Antiqua" w:eastAsia="SimSun" w:hAnsi="Book Antiqua" w:cs="SimSun"/>
          <w:b/>
          <w:bCs/>
          <w:color w:val="000000"/>
          <w:sz w:val="24"/>
          <w:szCs w:val="24"/>
        </w:rPr>
        <w:t>Li L</w:t>
      </w:r>
      <w:r w:rsidRPr="006F7827">
        <w:rPr>
          <w:rFonts w:ascii="Book Antiqua" w:eastAsia="SimSun" w:hAnsi="Book Antiqua" w:cs="SimSun"/>
          <w:color w:val="000000"/>
          <w:sz w:val="24"/>
          <w:szCs w:val="24"/>
        </w:rPr>
        <w:t>, Wang H, Yang J, Jiang L, Yang J, Wang W, Yan L, Wen T, Li B, Xu M. Immediate Postoperative Low Platelet Counts After Living Donor Liver Transplantation Predict Early Allograft Dysfunction. </w:t>
      </w:r>
      <w:r w:rsidRPr="006F7827">
        <w:rPr>
          <w:rFonts w:ascii="Book Antiqua" w:eastAsia="SimSun" w:hAnsi="Book Antiqua" w:cs="SimSun"/>
          <w:i/>
          <w:iCs/>
          <w:color w:val="000000"/>
          <w:sz w:val="24"/>
          <w:szCs w:val="24"/>
        </w:rPr>
        <w:t>Medicine (Baltimore)</w:t>
      </w:r>
      <w:r w:rsidRPr="006F7827">
        <w:rPr>
          <w:rFonts w:ascii="Book Antiqua" w:eastAsia="SimSun" w:hAnsi="Book Antiqua" w:cs="SimSun"/>
          <w:color w:val="000000"/>
          <w:sz w:val="24"/>
          <w:szCs w:val="24"/>
        </w:rPr>
        <w:t> 2015; </w:t>
      </w:r>
      <w:r w:rsidRPr="006F7827">
        <w:rPr>
          <w:rFonts w:ascii="Book Antiqua" w:eastAsia="SimSun" w:hAnsi="Book Antiqua" w:cs="SimSun"/>
          <w:b/>
          <w:bCs/>
          <w:color w:val="000000"/>
          <w:sz w:val="24"/>
          <w:szCs w:val="24"/>
        </w:rPr>
        <w:t>94</w:t>
      </w:r>
      <w:r w:rsidRPr="006F7827">
        <w:rPr>
          <w:rFonts w:ascii="Book Antiqua" w:eastAsia="SimSun" w:hAnsi="Book Antiqua" w:cs="SimSun"/>
          <w:color w:val="000000"/>
          <w:sz w:val="24"/>
          <w:szCs w:val="24"/>
        </w:rPr>
        <w:t>: e1373 [PMID: 26313775 DOI: 10.1097/md.0000000000001373]</w:t>
      </w:r>
    </w:p>
    <w:p w14:paraId="61104A16" w14:textId="77777777" w:rsidR="00422EBA" w:rsidRPr="006F7827" w:rsidRDefault="00422EBA" w:rsidP="00422EBA">
      <w:pPr>
        <w:spacing w:after="0" w:line="360" w:lineRule="auto"/>
        <w:jc w:val="both"/>
        <w:rPr>
          <w:rFonts w:ascii="Book Antiqua" w:eastAsia="SimSun" w:hAnsi="Book Antiqua" w:cs="SimSun"/>
          <w:color w:val="000000"/>
          <w:sz w:val="24"/>
          <w:szCs w:val="24"/>
        </w:rPr>
      </w:pPr>
      <w:r w:rsidRPr="006F7827">
        <w:rPr>
          <w:rFonts w:ascii="Book Antiqua" w:eastAsia="SimSun" w:hAnsi="Book Antiqua" w:cs="SimSun"/>
          <w:color w:val="000000"/>
          <w:sz w:val="24"/>
          <w:szCs w:val="24"/>
        </w:rPr>
        <w:t>71 </w:t>
      </w:r>
      <w:r w:rsidRPr="006F7827">
        <w:rPr>
          <w:rFonts w:ascii="Book Antiqua" w:eastAsia="SimSun" w:hAnsi="Book Antiqua" w:cs="SimSun"/>
          <w:b/>
          <w:bCs/>
          <w:color w:val="000000"/>
          <w:sz w:val="24"/>
          <w:szCs w:val="24"/>
        </w:rPr>
        <w:t>Chatzipetrou MA</w:t>
      </w:r>
      <w:r w:rsidRPr="006F7827">
        <w:rPr>
          <w:rFonts w:ascii="Book Antiqua" w:eastAsia="SimSun" w:hAnsi="Book Antiqua" w:cs="SimSun"/>
          <w:color w:val="000000"/>
          <w:sz w:val="24"/>
          <w:szCs w:val="24"/>
        </w:rPr>
        <w:t>, Tsaroucha AK, Weppler D, Pappas PA, Kenyon NS, Nery JR, Khan MF, Kato T, Pinna AD, O'Brien C, Viciana A, Ricordi C, Tzakis AG. Thrombocytopenia after liver transplantation. </w:t>
      </w:r>
      <w:r w:rsidRPr="006F7827">
        <w:rPr>
          <w:rFonts w:ascii="Book Antiqua" w:eastAsia="SimSun" w:hAnsi="Book Antiqua" w:cs="SimSun"/>
          <w:i/>
          <w:iCs/>
          <w:color w:val="000000"/>
          <w:sz w:val="24"/>
          <w:szCs w:val="24"/>
        </w:rPr>
        <w:t>Transplantation</w:t>
      </w:r>
      <w:r w:rsidRPr="006F7827">
        <w:rPr>
          <w:rFonts w:ascii="Book Antiqua" w:eastAsia="SimSun" w:hAnsi="Book Antiqua" w:cs="SimSun"/>
          <w:color w:val="000000"/>
          <w:sz w:val="24"/>
          <w:szCs w:val="24"/>
        </w:rPr>
        <w:t> 1999; </w:t>
      </w:r>
      <w:r w:rsidRPr="006F7827">
        <w:rPr>
          <w:rFonts w:ascii="Book Antiqua" w:eastAsia="SimSun" w:hAnsi="Book Antiqua" w:cs="SimSun"/>
          <w:b/>
          <w:bCs/>
          <w:color w:val="000000"/>
          <w:sz w:val="24"/>
          <w:szCs w:val="24"/>
        </w:rPr>
        <w:t>67</w:t>
      </w:r>
      <w:r w:rsidRPr="006F7827">
        <w:rPr>
          <w:rFonts w:ascii="Book Antiqua" w:eastAsia="SimSun" w:hAnsi="Book Antiqua" w:cs="SimSun"/>
          <w:color w:val="000000"/>
          <w:sz w:val="24"/>
          <w:szCs w:val="24"/>
        </w:rPr>
        <w:t>: 702-706 [PMID: 10096525]</w:t>
      </w:r>
    </w:p>
    <w:p w14:paraId="48F7074E" w14:textId="77777777" w:rsidR="00422EBA" w:rsidRPr="006F7827" w:rsidRDefault="00422EBA" w:rsidP="00422EBA">
      <w:pPr>
        <w:spacing w:after="0" w:line="360" w:lineRule="auto"/>
        <w:jc w:val="both"/>
        <w:rPr>
          <w:rFonts w:ascii="Book Antiqua" w:eastAsia="SimSun" w:hAnsi="Book Antiqua" w:cs="SimSun"/>
          <w:color w:val="000000"/>
          <w:sz w:val="24"/>
          <w:szCs w:val="24"/>
        </w:rPr>
      </w:pPr>
      <w:r w:rsidRPr="006F7827">
        <w:rPr>
          <w:rFonts w:ascii="Book Antiqua" w:eastAsia="SimSun" w:hAnsi="Book Antiqua" w:cs="SimSun"/>
          <w:color w:val="000000"/>
          <w:sz w:val="24"/>
          <w:szCs w:val="24"/>
        </w:rPr>
        <w:t>72 </w:t>
      </w:r>
      <w:r w:rsidRPr="006F7827">
        <w:rPr>
          <w:rFonts w:ascii="Book Antiqua" w:eastAsia="SimSun" w:hAnsi="Book Antiqua" w:cs="SimSun"/>
          <w:b/>
          <w:bCs/>
          <w:color w:val="000000"/>
          <w:sz w:val="24"/>
          <w:szCs w:val="24"/>
        </w:rPr>
        <w:t>Lesurtel M</w:t>
      </w:r>
      <w:r w:rsidRPr="006F7827">
        <w:rPr>
          <w:rFonts w:ascii="Book Antiqua" w:eastAsia="SimSun" w:hAnsi="Book Antiqua" w:cs="SimSun"/>
          <w:color w:val="000000"/>
          <w:sz w:val="24"/>
          <w:szCs w:val="24"/>
        </w:rPr>
        <w:t>, Raptis DA, Melloul E, Schlegel A, Oberkofler C, El-Badry AM, Weber A, Mueller N, Dutkowski P, Clavien PA. Low platelet counts after liver transplantation predict early posttransplant survival: the 60-5 criterion. </w:t>
      </w:r>
      <w:r w:rsidRPr="006F7827">
        <w:rPr>
          <w:rFonts w:ascii="Book Antiqua" w:eastAsia="SimSun" w:hAnsi="Book Antiqua" w:cs="SimSun"/>
          <w:i/>
          <w:iCs/>
          <w:color w:val="000000"/>
          <w:sz w:val="24"/>
          <w:szCs w:val="24"/>
        </w:rPr>
        <w:t>Liver Transpl</w:t>
      </w:r>
      <w:r w:rsidRPr="006F7827">
        <w:rPr>
          <w:rFonts w:ascii="Book Antiqua" w:eastAsia="SimSun" w:hAnsi="Book Antiqua" w:cs="SimSun"/>
          <w:color w:val="000000"/>
          <w:sz w:val="24"/>
          <w:szCs w:val="24"/>
        </w:rPr>
        <w:t> 2014; </w:t>
      </w:r>
      <w:r w:rsidRPr="006F7827">
        <w:rPr>
          <w:rFonts w:ascii="Book Antiqua" w:eastAsia="SimSun" w:hAnsi="Book Antiqua" w:cs="SimSun"/>
          <w:b/>
          <w:bCs/>
          <w:color w:val="000000"/>
          <w:sz w:val="24"/>
          <w:szCs w:val="24"/>
        </w:rPr>
        <w:t>20</w:t>
      </w:r>
      <w:r w:rsidRPr="006F7827">
        <w:rPr>
          <w:rFonts w:ascii="Book Antiqua" w:eastAsia="SimSun" w:hAnsi="Book Antiqua" w:cs="SimSun"/>
          <w:color w:val="000000"/>
          <w:sz w:val="24"/>
          <w:szCs w:val="24"/>
        </w:rPr>
        <w:t>: 147-155 [PMID: 24123804 DOI: 10.1002/lt.23759]</w:t>
      </w:r>
    </w:p>
    <w:p w14:paraId="47E028F5" w14:textId="77777777" w:rsidR="00422EBA" w:rsidRPr="006F7827" w:rsidRDefault="00422EBA" w:rsidP="00422EBA">
      <w:pPr>
        <w:spacing w:after="0" w:line="360" w:lineRule="auto"/>
        <w:jc w:val="both"/>
        <w:rPr>
          <w:rFonts w:ascii="Book Antiqua" w:eastAsia="SimSun" w:hAnsi="Book Antiqua" w:cs="SimSun"/>
          <w:color w:val="000000"/>
          <w:sz w:val="24"/>
          <w:szCs w:val="24"/>
        </w:rPr>
      </w:pPr>
      <w:r w:rsidRPr="006F7827">
        <w:rPr>
          <w:rFonts w:ascii="Book Antiqua" w:eastAsia="SimSun" w:hAnsi="Book Antiqua" w:cs="SimSun"/>
          <w:color w:val="000000"/>
          <w:sz w:val="24"/>
          <w:szCs w:val="24"/>
        </w:rPr>
        <w:t>73 </w:t>
      </w:r>
      <w:r w:rsidRPr="006F7827">
        <w:rPr>
          <w:rFonts w:ascii="Book Antiqua" w:eastAsia="SimSun" w:hAnsi="Book Antiqua" w:cs="SimSun"/>
          <w:b/>
          <w:bCs/>
          <w:color w:val="000000"/>
          <w:sz w:val="24"/>
          <w:szCs w:val="24"/>
        </w:rPr>
        <w:t>Kim J</w:t>
      </w:r>
      <w:r w:rsidRPr="006F7827">
        <w:rPr>
          <w:rFonts w:ascii="Book Antiqua" w:eastAsia="SimSun" w:hAnsi="Book Antiqua" w:cs="SimSun"/>
          <w:color w:val="000000"/>
          <w:sz w:val="24"/>
          <w:szCs w:val="24"/>
        </w:rPr>
        <w:t>, Yi NJ, Shin WY, Kim T, Lee KU, Suh KS. Platelet transfusion can be related to liver regeneration after living donor liver transplantation. </w:t>
      </w:r>
      <w:r w:rsidRPr="006F7827">
        <w:rPr>
          <w:rFonts w:ascii="Book Antiqua" w:eastAsia="SimSun" w:hAnsi="Book Antiqua" w:cs="SimSun"/>
          <w:i/>
          <w:iCs/>
          <w:color w:val="000000"/>
          <w:sz w:val="24"/>
          <w:szCs w:val="24"/>
        </w:rPr>
        <w:t>World J Surg</w:t>
      </w:r>
      <w:r w:rsidRPr="006F7827">
        <w:rPr>
          <w:rFonts w:ascii="Book Antiqua" w:eastAsia="SimSun" w:hAnsi="Book Antiqua" w:cs="SimSun"/>
          <w:color w:val="000000"/>
          <w:sz w:val="24"/>
          <w:szCs w:val="24"/>
        </w:rPr>
        <w:t> 2010; </w:t>
      </w:r>
      <w:r w:rsidRPr="006F7827">
        <w:rPr>
          <w:rFonts w:ascii="Book Antiqua" w:eastAsia="SimSun" w:hAnsi="Book Antiqua" w:cs="SimSun"/>
          <w:b/>
          <w:bCs/>
          <w:color w:val="000000"/>
          <w:sz w:val="24"/>
          <w:szCs w:val="24"/>
        </w:rPr>
        <w:t>34</w:t>
      </w:r>
      <w:r w:rsidRPr="006F7827">
        <w:rPr>
          <w:rFonts w:ascii="Book Antiqua" w:eastAsia="SimSun" w:hAnsi="Book Antiqua" w:cs="SimSun"/>
          <w:color w:val="000000"/>
          <w:sz w:val="24"/>
          <w:szCs w:val="24"/>
        </w:rPr>
        <w:t>: 1052-1058 [PMID: 20151125 DOI: 10.1007/s00268-010-0464-x]</w:t>
      </w:r>
    </w:p>
    <w:p w14:paraId="7D900EE0" w14:textId="77777777" w:rsidR="00422EBA" w:rsidRPr="006F7827" w:rsidRDefault="00422EBA" w:rsidP="00422EBA">
      <w:pPr>
        <w:spacing w:after="0" w:line="360" w:lineRule="auto"/>
        <w:jc w:val="both"/>
        <w:rPr>
          <w:rFonts w:ascii="Book Antiqua" w:eastAsia="SimSun" w:hAnsi="Book Antiqua" w:cs="SimSun"/>
          <w:color w:val="000000"/>
          <w:sz w:val="24"/>
          <w:szCs w:val="24"/>
        </w:rPr>
      </w:pPr>
      <w:r w:rsidRPr="006F7827">
        <w:rPr>
          <w:rFonts w:ascii="Book Antiqua" w:eastAsia="SimSun" w:hAnsi="Book Antiqua" w:cs="SimSun"/>
          <w:color w:val="000000"/>
          <w:sz w:val="24"/>
          <w:szCs w:val="24"/>
        </w:rPr>
        <w:t>74</w:t>
      </w:r>
      <w:r w:rsidRPr="006F7827">
        <w:rPr>
          <w:rFonts w:ascii="Book Antiqua" w:eastAsia="SimSun" w:hAnsi="Book Antiqua" w:cs="SimSun"/>
          <w:b/>
          <w:color w:val="000000"/>
          <w:sz w:val="24"/>
          <w:szCs w:val="24"/>
        </w:rPr>
        <w:t xml:space="preserve"> Han S</w:t>
      </w:r>
      <w:r w:rsidRPr="006F7827">
        <w:rPr>
          <w:rFonts w:ascii="Book Antiqua" w:eastAsia="SimSun" w:hAnsi="Book Antiqua" w:cs="SimSun"/>
          <w:color w:val="000000"/>
          <w:sz w:val="24"/>
          <w:szCs w:val="24"/>
        </w:rPr>
        <w:t>, Park HW, Song JH, Gwak MS, Lee WJ, Kim G, Lee SK, Ko JS. Association Between Intraoperative Platelet Transfusion and Early Graft Regeneration in Living Donor Liver Transplantation. </w:t>
      </w:r>
      <w:r w:rsidRPr="006F7827">
        <w:rPr>
          <w:rFonts w:ascii="Book Antiqua" w:eastAsia="SimSun" w:hAnsi="Book Antiqua" w:cs="SimSun"/>
          <w:i/>
          <w:iCs/>
          <w:color w:val="000000"/>
          <w:sz w:val="24"/>
          <w:szCs w:val="24"/>
        </w:rPr>
        <w:t>Ann Surg</w:t>
      </w:r>
      <w:r w:rsidRPr="006F7827">
        <w:rPr>
          <w:rFonts w:ascii="Book Antiqua" w:eastAsia="SimSun" w:hAnsi="Book Antiqua" w:cs="SimSun"/>
          <w:color w:val="000000"/>
          <w:sz w:val="24"/>
          <w:szCs w:val="24"/>
        </w:rPr>
        <w:t> 2015; Epub ahead of print [PMID: 26720430 DOI: 10.1097/SLA.0000000000001526]</w:t>
      </w:r>
    </w:p>
    <w:p w14:paraId="1A979958" w14:textId="77777777" w:rsidR="00422EBA" w:rsidRPr="006F7827" w:rsidRDefault="00422EBA" w:rsidP="00422EBA">
      <w:pPr>
        <w:spacing w:after="0" w:line="360" w:lineRule="auto"/>
        <w:jc w:val="both"/>
        <w:rPr>
          <w:rFonts w:ascii="Book Antiqua" w:eastAsia="SimSun" w:hAnsi="Book Antiqua" w:cs="SimSun"/>
          <w:color w:val="000000"/>
          <w:sz w:val="24"/>
          <w:szCs w:val="24"/>
        </w:rPr>
      </w:pPr>
      <w:r w:rsidRPr="006F7827">
        <w:rPr>
          <w:rFonts w:ascii="Book Antiqua" w:eastAsia="SimSun" w:hAnsi="Book Antiqua" w:cs="SimSun"/>
          <w:color w:val="000000"/>
          <w:sz w:val="24"/>
          <w:szCs w:val="24"/>
        </w:rPr>
        <w:t>75 </w:t>
      </w:r>
      <w:r w:rsidRPr="006F7827">
        <w:rPr>
          <w:rFonts w:ascii="Book Antiqua" w:eastAsia="SimSun" w:hAnsi="Book Antiqua" w:cs="SimSun"/>
          <w:b/>
          <w:bCs/>
          <w:color w:val="000000"/>
          <w:sz w:val="24"/>
          <w:szCs w:val="24"/>
        </w:rPr>
        <w:t>Elinav E</w:t>
      </w:r>
      <w:r w:rsidRPr="006F7827">
        <w:rPr>
          <w:rFonts w:ascii="Book Antiqua" w:eastAsia="SimSun" w:hAnsi="Book Antiqua" w:cs="SimSun"/>
          <w:color w:val="000000"/>
          <w:sz w:val="24"/>
          <w:szCs w:val="24"/>
        </w:rPr>
        <w:t>, Ben-Dov I, Hai-Am E, Ackerman Z, Ofran Y. The predictive value of admission and follow up factor V and VII levels in patients with acute hepatitis and coagulopathy. </w:t>
      </w:r>
      <w:r w:rsidRPr="006F7827">
        <w:rPr>
          <w:rFonts w:ascii="Book Antiqua" w:eastAsia="SimSun" w:hAnsi="Book Antiqua" w:cs="SimSun"/>
          <w:i/>
          <w:iCs/>
          <w:color w:val="000000"/>
          <w:sz w:val="24"/>
          <w:szCs w:val="24"/>
        </w:rPr>
        <w:t>J Hepatol</w:t>
      </w:r>
      <w:r w:rsidRPr="006F7827">
        <w:rPr>
          <w:rFonts w:ascii="Book Antiqua" w:eastAsia="SimSun" w:hAnsi="Book Antiqua" w:cs="SimSun"/>
          <w:color w:val="000000"/>
          <w:sz w:val="24"/>
          <w:szCs w:val="24"/>
        </w:rPr>
        <w:t> 2005; </w:t>
      </w:r>
      <w:r w:rsidRPr="006F7827">
        <w:rPr>
          <w:rFonts w:ascii="Book Antiqua" w:eastAsia="SimSun" w:hAnsi="Book Antiqua" w:cs="SimSun"/>
          <w:b/>
          <w:bCs/>
          <w:color w:val="000000"/>
          <w:sz w:val="24"/>
          <w:szCs w:val="24"/>
        </w:rPr>
        <w:t>42</w:t>
      </w:r>
      <w:r w:rsidRPr="006F7827">
        <w:rPr>
          <w:rFonts w:ascii="Book Antiqua" w:eastAsia="SimSun" w:hAnsi="Book Antiqua" w:cs="SimSun"/>
          <w:color w:val="000000"/>
          <w:sz w:val="24"/>
          <w:szCs w:val="24"/>
        </w:rPr>
        <w:t>: 82-86 [PMID: 15629511 DOI: 10.1016/j.jhep.2004.09.009]</w:t>
      </w:r>
    </w:p>
    <w:p w14:paraId="44E28316" w14:textId="77777777" w:rsidR="00422EBA" w:rsidRPr="006F7827" w:rsidRDefault="00422EBA" w:rsidP="00422EBA">
      <w:pPr>
        <w:spacing w:after="0" w:line="360" w:lineRule="auto"/>
        <w:jc w:val="both"/>
        <w:rPr>
          <w:rFonts w:ascii="Book Antiqua" w:eastAsia="SimSun" w:hAnsi="Book Antiqua" w:cs="SimSun"/>
          <w:color w:val="000000"/>
          <w:sz w:val="24"/>
          <w:szCs w:val="24"/>
        </w:rPr>
      </w:pPr>
      <w:r w:rsidRPr="006F7827">
        <w:rPr>
          <w:rFonts w:ascii="Book Antiqua" w:eastAsia="SimSun" w:hAnsi="Book Antiqua" w:cs="SimSun"/>
          <w:color w:val="000000"/>
          <w:sz w:val="24"/>
          <w:szCs w:val="24"/>
        </w:rPr>
        <w:t>76 </w:t>
      </w:r>
      <w:r w:rsidRPr="006F7827">
        <w:rPr>
          <w:rFonts w:ascii="Book Antiqua" w:eastAsia="SimSun" w:hAnsi="Book Antiqua" w:cs="SimSun"/>
          <w:b/>
          <w:bCs/>
          <w:color w:val="000000"/>
          <w:sz w:val="24"/>
          <w:szCs w:val="24"/>
        </w:rPr>
        <w:t>Zulian MC</w:t>
      </w:r>
      <w:r w:rsidRPr="006F7827">
        <w:rPr>
          <w:rFonts w:ascii="Book Antiqua" w:eastAsia="SimSun" w:hAnsi="Book Antiqua" w:cs="SimSun"/>
          <w:color w:val="000000"/>
          <w:sz w:val="24"/>
          <w:szCs w:val="24"/>
        </w:rPr>
        <w:t xml:space="preserve">, Chedid MF, Chedid AD, Grezzana Filho TJ, Leipnitz I, de Araujo A, Alvares-da-Silva MR, Cardoni MG, Guimaraes LS, Kruel CD, Kruel CR. Low serum factor V level: early predictor of allograft failure and death following liver </w:t>
      </w:r>
      <w:r w:rsidRPr="006F7827">
        <w:rPr>
          <w:rFonts w:ascii="Book Antiqua" w:eastAsia="SimSun" w:hAnsi="Book Antiqua" w:cs="SimSun"/>
          <w:color w:val="000000"/>
          <w:sz w:val="24"/>
          <w:szCs w:val="24"/>
        </w:rPr>
        <w:lastRenderedPageBreak/>
        <w:t>transplantation. </w:t>
      </w:r>
      <w:r w:rsidRPr="006F7827">
        <w:rPr>
          <w:rFonts w:ascii="Book Antiqua" w:eastAsia="SimSun" w:hAnsi="Book Antiqua" w:cs="SimSun"/>
          <w:i/>
          <w:iCs/>
          <w:color w:val="000000"/>
          <w:sz w:val="24"/>
          <w:szCs w:val="24"/>
        </w:rPr>
        <w:t>Langenbecks Arch Surg</w:t>
      </w:r>
      <w:r w:rsidRPr="006F7827">
        <w:rPr>
          <w:rFonts w:ascii="Book Antiqua" w:eastAsia="SimSun" w:hAnsi="Book Antiqua" w:cs="SimSun"/>
          <w:color w:val="000000"/>
          <w:sz w:val="24"/>
          <w:szCs w:val="24"/>
        </w:rPr>
        <w:t> 2015; </w:t>
      </w:r>
      <w:r w:rsidRPr="006F7827">
        <w:rPr>
          <w:rFonts w:ascii="Book Antiqua" w:eastAsia="SimSun" w:hAnsi="Book Antiqua" w:cs="SimSun"/>
          <w:b/>
          <w:bCs/>
          <w:color w:val="000000"/>
          <w:sz w:val="24"/>
          <w:szCs w:val="24"/>
        </w:rPr>
        <w:t>400</w:t>
      </w:r>
      <w:r w:rsidRPr="006F7827">
        <w:rPr>
          <w:rFonts w:ascii="Book Antiqua" w:eastAsia="SimSun" w:hAnsi="Book Antiqua" w:cs="SimSun"/>
          <w:color w:val="000000"/>
          <w:sz w:val="24"/>
          <w:szCs w:val="24"/>
        </w:rPr>
        <w:t>: 589-597 [PMID: 25708642 DOI: 10.1007/s00423-015-1290-2]</w:t>
      </w:r>
    </w:p>
    <w:p w14:paraId="40CBACB9" w14:textId="77777777" w:rsidR="00422EBA" w:rsidRPr="006F7827" w:rsidRDefault="00422EBA" w:rsidP="00422EBA">
      <w:pPr>
        <w:spacing w:after="0" w:line="360" w:lineRule="auto"/>
        <w:jc w:val="both"/>
        <w:rPr>
          <w:rFonts w:ascii="Book Antiqua" w:eastAsia="SimSun" w:hAnsi="Book Antiqua" w:cs="SimSun"/>
          <w:color w:val="000000"/>
          <w:sz w:val="24"/>
          <w:szCs w:val="24"/>
        </w:rPr>
      </w:pPr>
      <w:r w:rsidRPr="006F7827">
        <w:rPr>
          <w:rFonts w:ascii="Book Antiqua" w:eastAsia="SimSun" w:hAnsi="Book Antiqua" w:cs="SimSun"/>
          <w:color w:val="000000"/>
          <w:sz w:val="24"/>
          <w:szCs w:val="24"/>
        </w:rPr>
        <w:t>77 </w:t>
      </w:r>
      <w:r w:rsidRPr="006F7827">
        <w:rPr>
          <w:rFonts w:ascii="Book Antiqua" w:eastAsia="SimSun" w:hAnsi="Book Antiqua" w:cs="SimSun"/>
          <w:b/>
          <w:bCs/>
          <w:color w:val="000000"/>
          <w:sz w:val="24"/>
          <w:szCs w:val="24"/>
        </w:rPr>
        <w:t>Remien CH</w:t>
      </w:r>
      <w:r w:rsidRPr="006F7827">
        <w:rPr>
          <w:rFonts w:ascii="Book Antiqua" w:eastAsia="SimSun" w:hAnsi="Book Antiqua" w:cs="SimSun"/>
          <w:color w:val="000000"/>
          <w:sz w:val="24"/>
          <w:szCs w:val="24"/>
        </w:rPr>
        <w:t>, Adler FR, Waddoups L, Box TD, Sussman NL. Mathematical modeling of liver injury and dysfunction after acetaminophen overdose: early discrimination between survival and death. </w:t>
      </w:r>
      <w:r w:rsidRPr="006F7827">
        <w:rPr>
          <w:rFonts w:ascii="Book Antiqua" w:eastAsia="SimSun" w:hAnsi="Book Antiqua" w:cs="SimSun"/>
          <w:i/>
          <w:iCs/>
          <w:color w:val="000000"/>
          <w:sz w:val="24"/>
          <w:szCs w:val="24"/>
        </w:rPr>
        <w:t>Hepatology</w:t>
      </w:r>
      <w:r w:rsidRPr="006F7827">
        <w:rPr>
          <w:rFonts w:ascii="Book Antiqua" w:eastAsia="SimSun" w:hAnsi="Book Antiqua" w:cs="SimSun"/>
          <w:color w:val="000000"/>
          <w:sz w:val="24"/>
          <w:szCs w:val="24"/>
        </w:rPr>
        <w:t> 2012; </w:t>
      </w:r>
      <w:r w:rsidRPr="006F7827">
        <w:rPr>
          <w:rFonts w:ascii="Book Antiqua" w:eastAsia="SimSun" w:hAnsi="Book Antiqua" w:cs="SimSun"/>
          <w:b/>
          <w:bCs/>
          <w:color w:val="000000"/>
          <w:sz w:val="24"/>
          <w:szCs w:val="24"/>
        </w:rPr>
        <w:t>56</w:t>
      </w:r>
      <w:r w:rsidRPr="006F7827">
        <w:rPr>
          <w:rFonts w:ascii="Book Antiqua" w:eastAsia="SimSun" w:hAnsi="Book Antiqua" w:cs="SimSun"/>
          <w:color w:val="000000"/>
          <w:sz w:val="24"/>
          <w:szCs w:val="24"/>
        </w:rPr>
        <w:t>: 727-734 [PMID: 22331703 DOI: 10.1002/hep.25656]</w:t>
      </w:r>
    </w:p>
    <w:p w14:paraId="60AE04DB" w14:textId="77777777" w:rsidR="00422EBA" w:rsidRPr="006F7827" w:rsidRDefault="00422EBA" w:rsidP="00422EBA">
      <w:pPr>
        <w:widowControl w:val="0"/>
        <w:spacing w:after="0" w:line="360" w:lineRule="auto"/>
        <w:jc w:val="both"/>
        <w:rPr>
          <w:rFonts w:ascii="Book Antiqua" w:eastAsia="SimSun" w:hAnsi="Book Antiqua" w:cs="SimSun"/>
          <w:color w:val="000000"/>
          <w:sz w:val="24"/>
          <w:szCs w:val="24"/>
        </w:rPr>
      </w:pPr>
      <w:r w:rsidRPr="006F7827">
        <w:rPr>
          <w:rFonts w:ascii="Book Antiqua" w:eastAsia="SimSun" w:hAnsi="Book Antiqua" w:cs="SimSun"/>
          <w:color w:val="000000"/>
          <w:sz w:val="24"/>
          <w:szCs w:val="24"/>
        </w:rPr>
        <w:t xml:space="preserve">78 </w:t>
      </w:r>
      <w:r w:rsidRPr="006F7827">
        <w:rPr>
          <w:rFonts w:ascii="Book Antiqua" w:eastAsia="SimSun" w:hAnsi="Book Antiqua" w:cs="SimSun"/>
          <w:b/>
          <w:bCs/>
          <w:color w:val="000000"/>
          <w:sz w:val="24"/>
          <w:szCs w:val="24"/>
        </w:rPr>
        <w:t>Robertson FP</w:t>
      </w:r>
      <w:r w:rsidRPr="006F7827">
        <w:rPr>
          <w:rFonts w:ascii="Book Antiqua" w:eastAsia="SimSun" w:hAnsi="Book Antiqua" w:cs="SimSun"/>
          <w:color w:val="000000"/>
          <w:sz w:val="24"/>
          <w:szCs w:val="24"/>
        </w:rPr>
        <w:t>, Bessell PR, Diaz-Nieto R, Thomas N, Rolando N, Fuller B, Davidson BR. High serum Aspartate transaminase levels on day 3 postliver transplantation correlates with graft and patient survival and would be a valid surrogate for outcome in liver transplantation clinical trials. </w:t>
      </w:r>
      <w:r w:rsidRPr="006F7827">
        <w:rPr>
          <w:rFonts w:ascii="Book Antiqua" w:eastAsia="SimSun" w:hAnsi="Book Antiqua" w:cs="SimSun"/>
          <w:i/>
          <w:iCs/>
          <w:color w:val="000000"/>
          <w:sz w:val="24"/>
          <w:szCs w:val="24"/>
        </w:rPr>
        <w:t>Transpl Int</w:t>
      </w:r>
      <w:r w:rsidRPr="006F7827">
        <w:rPr>
          <w:rFonts w:ascii="Book Antiqua" w:eastAsia="SimSun" w:hAnsi="Book Antiqua" w:cs="SimSun"/>
          <w:color w:val="000000"/>
          <w:sz w:val="24"/>
          <w:szCs w:val="24"/>
        </w:rPr>
        <w:t> 2016; </w:t>
      </w:r>
      <w:r w:rsidRPr="006F7827">
        <w:rPr>
          <w:rFonts w:ascii="Book Antiqua" w:eastAsia="SimSun" w:hAnsi="Book Antiqua" w:cs="SimSun"/>
          <w:b/>
          <w:bCs/>
          <w:color w:val="000000"/>
          <w:sz w:val="24"/>
          <w:szCs w:val="24"/>
        </w:rPr>
        <w:t>29</w:t>
      </w:r>
      <w:r w:rsidRPr="006F7827">
        <w:rPr>
          <w:rFonts w:ascii="Book Antiqua" w:eastAsia="SimSun" w:hAnsi="Book Antiqua" w:cs="SimSun"/>
          <w:color w:val="000000"/>
          <w:sz w:val="24"/>
          <w:szCs w:val="24"/>
        </w:rPr>
        <w:t>: 323-330 [PMID: 26615011 DOI: 10.1111/tri.12723]</w:t>
      </w:r>
    </w:p>
    <w:p w14:paraId="0EFD229F" w14:textId="77777777" w:rsidR="00422EBA" w:rsidRPr="006F7827" w:rsidRDefault="00422EBA" w:rsidP="00422EBA">
      <w:pPr>
        <w:spacing w:after="0" w:line="360" w:lineRule="auto"/>
        <w:jc w:val="both"/>
        <w:rPr>
          <w:rFonts w:ascii="Book Antiqua" w:eastAsia="SimSun" w:hAnsi="Book Antiqua" w:cs="SimSun"/>
          <w:color w:val="000000"/>
          <w:sz w:val="24"/>
          <w:szCs w:val="24"/>
        </w:rPr>
      </w:pPr>
      <w:r w:rsidRPr="006F7827">
        <w:rPr>
          <w:rFonts w:ascii="Book Antiqua" w:eastAsia="SimSun" w:hAnsi="Book Antiqua" w:cs="SimSun"/>
          <w:color w:val="000000"/>
          <w:sz w:val="24"/>
          <w:szCs w:val="24"/>
        </w:rPr>
        <w:t>79 </w:t>
      </w:r>
      <w:r w:rsidRPr="006F7827">
        <w:rPr>
          <w:rFonts w:ascii="Book Antiqua" w:eastAsia="SimSun" w:hAnsi="Book Antiqua" w:cs="SimSun"/>
          <w:b/>
          <w:bCs/>
          <w:color w:val="000000"/>
          <w:sz w:val="24"/>
          <w:szCs w:val="24"/>
        </w:rPr>
        <w:t>den Dulk AC</w:t>
      </w:r>
      <w:r w:rsidRPr="006F7827">
        <w:rPr>
          <w:rFonts w:ascii="Book Antiqua" w:eastAsia="SimSun" w:hAnsi="Book Antiqua" w:cs="SimSun"/>
          <w:color w:val="000000"/>
          <w:sz w:val="24"/>
          <w:szCs w:val="24"/>
        </w:rPr>
        <w:t>, Sebib Korkmaz K, de Rooij BJ, Sutton ME, Braat AE, Inderson A, Dubbeld J, Verspaget HW, Porte RJ, van Hoek B. High peak alanine aminotransferase determines extra risk for nonanastomotic biliary strictures after liver transplantation with donation after circulatory death. </w:t>
      </w:r>
      <w:r w:rsidRPr="006F7827">
        <w:rPr>
          <w:rFonts w:ascii="Book Antiqua" w:eastAsia="SimSun" w:hAnsi="Book Antiqua" w:cs="SimSun"/>
          <w:i/>
          <w:iCs/>
          <w:color w:val="000000"/>
          <w:sz w:val="24"/>
          <w:szCs w:val="24"/>
        </w:rPr>
        <w:t>Transpl Int</w:t>
      </w:r>
      <w:r w:rsidRPr="006F7827">
        <w:rPr>
          <w:rFonts w:ascii="Book Antiqua" w:eastAsia="SimSun" w:hAnsi="Book Antiqua" w:cs="SimSun"/>
          <w:color w:val="000000"/>
          <w:sz w:val="24"/>
          <w:szCs w:val="24"/>
        </w:rPr>
        <w:t> 2015; </w:t>
      </w:r>
      <w:r w:rsidRPr="006F7827">
        <w:rPr>
          <w:rFonts w:ascii="Book Antiqua" w:eastAsia="SimSun" w:hAnsi="Book Antiqua" w:cs="SimSun"/>
          <w:b/>
          <w:bCs/>
          <w:color w:val="000000"/>
          <w:sz w:val="24"/>
          <w:szCs w:val="24"/>
        </w:rPr>
        <w:t>28</w:t>
      </w:r>
      <w:r w:rsidRPr="006F7827">
        <w:rPr>
          <w:rFonts w:ascii="Book Antiqua" w:eastAsia="SimSun" w:hAnsi="Book Antiqua" w:cs="SimSun"/>
          <w:color w:val="000000"/>
          <w:sz w:val="24"/>
          <w:szCs w:val="24"/>
        </w:rPr>
        <w:t>: 492-501 [PMID: 25601020 DOI: 10.1111/tri.12524]</w:t>
      </w:r>
    </w:p>
    <w:p w14:paraId="2025F82B" w14:textId="77777777" w:rsidR="00422EBA" w:rsidRPr="006F7827" w:rsidRDefault="00422EBA" w:rsidP="00422EBA">
      <w:pPr>
        <w:spacing w:after="0" w:line="360" w:lineRule="auto"/>
        <w:jc w:val="both"/>
        <w:rPr>
          <w:rFonts w:ascii="Book Antiqua" w:eastAsia="SimSun" w:hAnsi="Book Antiqua" w:cs="SimSun"/>
          <w:color w:val="000000"/>
          <w:sz w:val="24"/>
          <w:szCs w:val="24"/>
        </w:rPr>
      </w:pPr>
      <w:r w:rsidRPr="006F7827">
        <w:rPr>
          <w:rFonts w:ascii="Book Antiqua" w:eastAsia="SimSun" w:hAnsi="Book Antiqua" w:cs="SimSun"/>
          <w:color w:val="000000"/>
          <w:sz w:val="24"/>
          <w:szCs w:val="24"/>
        </w:rPr>
        <w:t>80 </w:t>
      </w:r>
      <w:r w:rsidRPr="006F7827">
        <w:rPr>
          <w:rFonts w:ascii="Book Antiqua" w:eastAsia="SimSun" w:hAnsi="Book Antiqua" w:cs="SimSun"/>
          <w:b/>
          <w:bCs/>
          <w:color w:val="000000"/>
          <w:sz w:val="24"/>
          <w:szCs w:val="24"/>
        </w:rPr>
        <w:t>Wagener G</w:t>
      </w:r>
      <w:r w:rsidRPr="006F7827">
        <w:rPr>
          <w:rFonts w:ascii="Book Antiqua" w:eastAsia="SimSun" w:hAnsi="Book Antiqua" w:cs="SimSun"/>
          <w:color w:val="000000"/>
          <w:sz w:val="24"/>
          <w:szCs w:val="24"/>
        </w:rPr>
        <w:t>, Raffel B, Young AT, Minhaz M, Emond J. Predicting early allograft failure and mortality after liver transplantation: the role of the postoperative model for end-stage liver disease score. </w:t>
      </w:r>
      <w:r w:rsidRPr="006F7827">
        <w:rPr>
          <w:rFonts w:ascii="Book Antiqua" w:eastAsia="SimSun" w:hAnsi="Book Antiqua" w:cs="SimSun"/>
          <w:i/>
          <w:iCs/>
          <w:color w:val="000000"/>
          <w:sz w:val="24"/>
          <w:szCs w:val="24"/>
        </w:rPr>
        <w:t>Liver Transpl</w:t>
      </w:r>
      <w:r w:rsidRPr="006F7827">
        <w:rPr>
          <w:rFonts w:ascii="Book Antiqua" w:eastAsia="SimSun" w:hAnsi="Book Antiqua" w:cs="SimSun"/>
          <w:color w:val="000000"/>
          <w:sz w:val="24"/>
          <w:szCs w:val="24"/>
        </w:rPr>
        <w:t> 2013; </w:t>
      </w:r>
      <w:r w:rsidRPr="006F7827">
        <w:rPr>
          <w:rFonts w:ascii="Book Antiqua" w:eastAsia="SimSun" w:hAnsi="Book Antiqua" w:cs="SimSun"/>
          <w:b/>
          <w:bCs/>
          <w:color w:val="000000"/>
          <w:sz w:val="24"/>
          <w:szCs w:val="24"/>
        </w:rPr>
        <w:t>19</w:t>
      </w:r>
      <w:r w:rsidRPr="006F7827">
        <w:rPr>
          <w:rFonts w:ascii="Book Antiqua" w:eastAsia="SimSun" w:hAnsi="Book Antiqua" w:cs="SimSun"/>
          <w:color w:val="000000"/>
          <w:sz w:val="24"/>
          <w:szCs w:val="24"/>
        </w:rPr>
        <w:t>: 534-542 [PMID: 23576469 DOI: 10.1002/lt.23634]</w:t>
      </w:r>
    </w:p>
    <w:p w14:paraId="6BAE4B42" w14:textId="77777777" w:rsidR="00422EBA" w:rsidRPr="006F7827" w:rsidRDefault="00422EBA" w:rsidP="00422EBA">
      <w:pPr>
        <w:spacing w:after="0" w:line="360" w:lineRule="auto"/>
        <w:jc w:val="both"/>
        <w:rPr>
          <w:rFonts w:ascii="Book Antiqua" w:eastAsia="SimSun" w:hAnsi="Book Antiqua" w:cs="SimSun"/>
          <w:color w:val="000000"/>
          <w:sz w:val="24"/>
          <w:szCs w:val="24"/>
        </w:rPr>
      </w:pPr>
      <w:r w:rsidRPr="006F7827">
        <w:rPr>
          <w:rFonts w:ascii="Book Antiqua" w:eastAsia="SimSun" w:hAnsi="Book Antiqua" w:cs="SimSun"/>
          <w:color w:val="000000"/>
          <w:sz w:val="24"/>
          <w:szCs w:val="24"/>
        </w:rPr>
        <w:t>81 </w:t>
      </w:r>
      <w:r w:rsidRPr="006F7827">
        <w:rPr>
          <w:rFonts w:ascii="Book Antiqua" w:eastAsia="SimSun" w:hAnsi="Book Antiqua" w:cs="SimSun"/>
          <w:b/>
          <w:bCs/>
          <w:color w:val="000000"/>
          <w:sz w:val="24"/>
          <w:szCs w:val="24"/>
        </w:rPr>
        <w:t>Olthoff KM</w:t>
      </w:r>
      <w:r w:rsidRPr="006F7827">
        <w:rPr>
          <w:rFonts w:ascii="Book Antiqua" w:eastAsia="SimSun" w:hAnsi="Book Antiqua" w:cs="SimSun"/>
          <w:color w:val="000000"/>
          <w:sz w:val="24"/>
          <w:szCs w:val="24"/>
        </w:rPr>
        <w:t>, Kulik L, Samstein B, Kaminski M, Abecassis M, Emond J, Shaked A, Christie JD. Validation of a current definition of early allograft dysfunction in liver transplant recipients and analysis of risk factors. </w:t>
      </w:r>
      <w:r w:rsidRPr="006F7827">
        <w:rPr>
          <w:rFonts w:ascii="Book Antiqua" w:eastAsia="SimSun" w:hAnsi="Book Antiqua" w:cs="SimSun"/>
          <w:i/>
          <w:iCs/>
          <w:color w:val="000000"/>
          <w:sz w:val="24"/>
          <w:szCs w:val="24"/>
        </w:rPr>
        <w:t>Liver Transpl</w:t>
      </w:r>
      <w:r w:rsidRPr="006F7827">
        <w:rPr>
          <w:rFonts w:ascii="Book Antiqua" w:eastAsia="SimSun" w:hAnsi="Book Antiqua" w:cs="SimSun"/>
          <w:color w:val="000000"/>
          <w:sz w:val="24"/>
          <w:szCs w:val="24"/>
        </w:rPr>
        <w:t> 2010; </w:t>
      </w:r>
      <w:r w:rsidRPr="006F7827">
        <w:rPr>
          <w:rFonts w:ascii="Book Antiqua" w:eastAsia="SimSun" w:hAnsi="Book Antiqua" w:cs="SimSun"/>
          <w:b/>
          <w:bCs/>
          <w:color w:val="000000"/>
          <w:sz w:val="24"/>
          <w:szCs w:val="24"/>
        </w:rPr>
        <w:t>16</w:t>
      </w:r>
      <w:r w:rsidRPr="006F7827">
        <w:rPr>
          <w:rFonts w:ascii="Book Antiqua" w:eastAsia="SimSun" w:hAnsi="Book Antiqua" w:cs="SimSun"/>
          <w:color w:val="000000"/>
          <w:sz w:val="24"/>
          <w:szCs w:val="24"/>
        </w:rPr>
        <w:t>: 943-949 [PMID: 20677285 DOI: 10.1002/lt.22091]</w:t>
      </w:r>
    </w:p>
    <w:p w14:paraId="188A0150" w14:textId="77777777" w:rsidR="00422EBA" w:rsidRPr="006F7827" w:rsidRDefault="00422EBA" w:rsidP="00422EBA">
      <w:pPr>
        <w:spacing w:after="0" w:line="360" w:lineRule="auto"/>
        <w:jc w:val="both"/>
        <w:rPr>
          <w:rFonts w:ascii="Book Antiqua" w:eastAsia="SimSun" w:hAnsi="Book Antiqua" w:cs="SimSun"/>
          <w:color w:val="000000"/>
          <w:sz w:val="24"/>
          <w:szCs w:val="24"/>
        </w:rPr>
      </w:pPr>
      <w:r w:rsidRPr="006F7827">
        <w:rPr>
          <w:rFonts w:ascii="Book Antiqua" w:eastAsia="SimSun" w:hAnsi="Book Antiqua" w:cs="SimSun"/>
          <w:color w:val="000000"/>
          <w:sz w:val="24"/>
          <w:szCs w:val="24"/>
        </w:rPr>
        <w:t>82 </w:t>
      </w:r>
      <w:r w:rsidRPr="006F7827">
        <w:rPr>
          <w:rFonts w:ascii="Book Antiqua" w:eastAsia="SimSun" w:hAnsi="Book Antiqua" w:cs="SimSun"/>
          <w:b/>
          <w:bCs/>
          <w:color w:val="000000"/>
          <w:sz w:val="24"/>
          <w:szCs w:val="24"/>
        </w:rPr>
        <w:t>Jochmans I</w:t>
      </w:r>
      <w:r w:rsidRPr="006F7827">
        <w:rPr>
          <w:rFonts w:ascii="Book Antiqua" w:eastAsia="SimSun" w:hAnsi="Book Antiqua" w:cs="SimSun"/>
          <w:color w:val="000000"/>
          <w:sz w:val="24"/>
          <w:szCs w:val="24"/>
        </w:rPr>
        <w:t>, Monbaliu D, Pirenne J. The beginning of an end point: peak AST in liver transplantation. </w:t>
      </w:r>
      <w:r w:rsidRPr="006F7827">
        <w:rPr>
          <w:rFonts w:ascii="Book Antiqua" w:eastAsia="SimSun" w:hAnsi="Book Antiqua" w:cs="SimSun"/>
          <w:i/>
          <w:iCs/>
          <w:color w:val="000000"/>
          <w:sz w:val="24"/>
          <w:szCs w:val="24"/>
        </w:rPr>
        <w:t>J Hepatol</w:t>
      </w:r>
      <w:r w:rsidRPr="006F7827">
        <w:rPr>
          <w:rFonts w:ascii="Book Antiqua" w:eastAsia="SimSun" w:hAnsi="Book Antiqua" w:cs="SimSun"/>
          <w:color w:val="000000"/>
          <w:sz w:val="24"/>
          <w:szCs w:val="24"/>
        </w:rPr>
        <w:t> 2014; </w:t>
      </w:r>
      <w:r w:rsidRPr="006F7827">
        <w:rPr>
          <w:rFonts w:ascii="Book Antiqua" w:eastAsia="SimSun" w:hAnsi="Book Antiqua" w:cs="SimSun"/>
          <w:b/>
          <w:bCs/>
          <w:color w:val="000000"/>
          <w:sz w:val="24"/>
          <w:szCs w:val="24"/>
        </w:rPr>
        <w:t>61</w:t>
      </w:r>
      <w:r w:rsidRPr="006F7827">
        <w:rPr>
          <w:rFonts w:ascii="Book Antiqua" w:eastAsia="SimSun" w:hAnsi="Book Antiqua" w:cs="SimSun"/>
          <w:color w:val="000000"/>
          <w:sz w:val="24"/>
          <w:szCs w:val="24"/>
        </w:rPr>
        <w:t>: 1186-1187 [PMID: 25051295 DOI: 10.1016/j.jhep.2014.07.021]</w:t>
      </w:r>
    </w:p>
    <w:p w14:paraId="016127EB" w14:textId="77777777" w:rsidR="00422EBA" w:rsidRPr="006F7827" w:rsidRDefault="00422EBA" w:rsidP="00422EBA">
      <w:pPr>
        <w:spacing w:after="0" w:line="360" w:lineRule="auto"/>
        <w:jc w:val="both"/>
        <w:rPr>
          <w:rFonts w:ascii="Book Antiqua" w:eastAsia="SimSun" w:hAnsi="Book Antiqua" w:cs="SimSun"/>
          <w:color w:val="000000"/>
          <w:sz w:val="24"/>
          <w:szCs w:val="24"/>
        </w:rPr>
      </w:pPr>
      <w:r w:rsidRPr="006F7827">
        <w:rPr>
          <w:rFonts w:ascii="Book Antiqua" w:eastAsia="SimSun" w:hAnsi="Book Antiqua" w:cs="SimSun"/>
          <w:color w:val="000000"/>
          <w:sz w:val="24"/>
          <w:szCs w:val="24"/>
        </w:rPr>
        <w:t>83 </w:t>
      </w:r>
      <w:r w:rsidRPr="006F7827">
        <w:rPr>
          <w:rFonts w:ascii="Book Antiqua" w:eastAsia="SimSun" w:hAnsi="Book Antiqua" w:cs="SimSun"/>
          <w:b/>
          <w:bCs/>
          <w:color w:val="000000"/>
          <w:sz w:val="24"/>
          <w:szCs w:val="24"/>
        </w:rPr>
        <w:t>Nguyen HB</w:t>
      </w:r>
      <w:r w:rsidRPr="006F7827">
        <w:rPr>
          <w:rFonts w:ascii="Book Antiqua" w:eastAsia="SimSun" w:hAnsi="Book Antiqua" w:cs="SimSun"/>
          <w:color w:val="000000"/>
          <w:sz w:val="24"/>
          <w:szCs w:val="24"/>
        </w:rPr>
        <w:t>, Rivers EP, Knoblich BP, Jacobsen G, Muzzin A, Ressler JA, Tomlanovich MC. Early lactate clearance is associated with improved outcome in severe sepsis and septic shock. </w:t>
      </w:r>
      <w:r w:rsidRPr="006F7827">
        <w:rPr>
          <w:rFonts w:ascii="Book Antiqua" w:eastAsia="SimSun" w:hAnsi="Book Antiqua" w:cs="SimSun"/>
          <w:i/>
          <w:iCs/>
          <w:color w:val="000000"/>
          <w:sz w:val="24"/>
          <w:szCs w:val="24"/>
        </w:rPr>
        <w:t>Crit Care Med</w:t>
      </w:r>
      <w:r w:rsidRPr="006F7827">
        <w:rPr>
          <w:rFonts w:ascii="Book Antiqua" w:eastAsia="SimSun" w:hAnsi="Book Antiqua" w:cs="SimSun"/>
          <w:color w:val="000000"/>
          <w:sz w:val="24"/>
          <w:szCs w:val="24"/>
        </w:rPr>
        <w:t> 2004; </w:t>
      </w:r>
      <w:r w:rsidRPr="006F7827">
        <w:rPr>
          <w:rFonts w:ascii="Book Antiqua" w:eastAsia="SimSun" w:hAnsi="Book Antiqua" w:cs="SimSun"/>
          <w:b/>
          <w:bCs/>
          <w:color w:val="000000"/>
          <w:sz w:val="24"/>
          <w:szCs w:val="24"/>
        </w:rPr>
        <w:t>32</w:t>
      </w:r>
      <w:r w:rsidRPr="006F7827">
        <w:rPr>
          <w:rFonts w:ascii="Book Antiqua" w:eastAsia="SimSun" w:hAnsi="Book Antiqua" w:cs="SimSun"/>
          <w:color w:val="000000"/>
          <w:sz w:val="24"/>
          <w:szCs w:val="24"/>
        </w:rPr>
        <w:t>: 1637-1642 [PMID: 15286537]</w:t>
      </w:r>
    </w:p>
    <w:p w14:paraId="07450B49" w14:textId="77777777" w:rsidR="00422EBA" w:rsidRPr="006F7827" w:rsidRDefault="00422EBA" w:rsidP="00422EBA">
      <w:pPr>
        <w:widowControl w:val="0"/>
        <w:spacing w:after="0" w:line="360" w:lineRule="auto"/>
        <w:jc w:val="both"/>
        <w:rPr>
          <w:rFonts w:ascii="Book Antiqua" w:eastAsia="SimSun" w:hAnsi="Book Antiqua" w:cs="SimSun"/>
          <w:color w:val="000000"/>
          <w:sz w:val="24"/>
          <w:szCs w:val="24"/>
        </w:rPr>
      </w:pPr>
      <w:r w:rsidRPr="006F7827">
        <w:rPr>
          <w:rFonts w:ascii="Book Antiqua" w:eastAsia="SimSun" w:hAnsi="Book Antiqua" w:cs="SimSun"/>
          <w:color w:val="000000"/>
          <w:sz w:val="24"/>
          <w:szCs w:val="24"/>
        </w:rPr>
        <w:t xml:space="preserve">84 </w:t>
      </w:r>
      <w:r w:rsidRPr="006F7827">
        <w:rPr>
          <w:rFonts w:ascii="Book Antiqua" w:eastAsia="SimSun" w:hAnsi="Book Antiqua" w:cs="SimSun"/>
          <w:b/>
          <w:bCs/>
          <w:color w:val="000000"/>
          <w:sz w:val="24"/>
          <w:szCs w:val="24"/>
        </w:rPr>
        <w:t>Wu JF</w:t>
      </w:r>
      <w:r w:rsidRPr="006F7827">
        <w:rPr>
          <w:rFonts w:ascii="Book Antiqua" w:eastAsia="SimSun" w:hAnsi="Book Antiqua" w:cs="SimSun"/>
          <w:color w:val="000000"/>
          <w:sz w:val="24"/>
          <w:szCs w:val="24"/>
        </w:rPr>
        <w:t>, Wu RY, Chen J, Ou-Yang B, Chen MY, Guan XD. Early lactate clearance as a reliable predictor of initial poor graft function after orthotopic liver transplantation. </w:t>
      </w:r>
      <w:r w:rsidRPr="006F7827">
        <w:rPr>
          <w:rFonts w:ascii="Book Antiqua" w:eastAsia="SimSun" w:hAnsi="Book Antiqua" w:cs="SimSun"/>
          <w:i/>
          <w:iCs/>
          <w:color w:val="000000"/>
          <w:sz w:val="24"/>
          <w:szCs w:val="24"/>
        </w:rPr>
        <w:t>Hepatobiliary Pancreat Dis Int</w:t>
      </w:r>
      <w:r w:rsidRPr="006F7827">
        <w:rPr>
          <w:rFonts w:ascii="Book Antiqua" w:eastAsia="SimSun" w:hAnsi="Book Antiqua" w:cs="SimSun"/>
          <w:color w:val="000000"/>
          <w:sz w:val="24"/>
          <w:szCs w:val="24"/>
        </w:rPr>
        <w:t> 2011; </w:t>
      </w:r>
      <w:r w:rsidRPr="006F7827">
        <w:rPr>
          <w:rFonts w:ascii="Book Antiqua" w:eastAsia="SimSun" w:hAnsi="Book Antiqua" w:cs="SimSun"/>
          <w:b/>
          <w:bCs/>
          <w:color w:val="000000"/>
          <w:sz w:val="24"/>
          <w:szCs w:val="24"/>
        </w:rPr>
        <w:t>10</w:t>
      </w:r>
      <w:r w:rsidRPr="006F7827">
        <w:rPr>
          <w:rFonts w:ascii="Book Antiqua" w:eastAsia="SimSun" w:hAnsi="Book Antiqua" w:cs="SimSun"/>
          <w:color w:val="000000"/>
          <w:sz w:val="24"/>
          <w:szCs w:val="24"/>
        </w:rPr>
        <w:t>: 587-592 [PMID: 22146621 DOI: 10.1016/S1499-3872(11)60100-8]</w:t>
      </w:r>
    </w:p>
    <w:p w14:paraId="7ECEA9BD" w14:textId="77777777" w:rsidR="00422EBA" w:rsidRPr="006F7827" w:rsidRDefault="00422EBA" w:rsidP="00422EBA">
      <w:pPr>
        <w:spacing w:after="0" w:line="360" w:lineRule="auto"/>
        <w:jc w:val="both"/>
        <w:rPr>
          <w:rFonts w:ascii="Book Antiqua" w:eastAsia="SimSun" w:hAnsi="Book Antiqua" w:cs="SimSun"/>
          <w:color w:val="000000"/>
          <w:sz w:val="24"/>
          <w:szCs w:val="24"/>
        </w:rPr>
      </w:pPr>
      <w:r w:rsidRPr="006F7827">
        <w:rPr>
          <w:rFonts w:ascii="Book Antiqua" w:eastAsia="SimSun" w:hAnsi="Book Antiqua" w:cs="SimSun"/>
          <w:color w:val="000000"/>
          <w:sz w:val="24"/>
          <w:szCs w:val="24"/>
        </w:rPr>
        <w:lastRenderedPageBreak/>
        <w:t>85 </w:t>
      </w:r>
      <w:r w:rsidRPr="006F7827">
        <w:rPr>
          <w:rFonts w:ascii="Book Antiqua" w:eastAsia="SimSun" w:hAnsi="Book Antiqua" w:cs="SimSun"/>
          <w:b/>
          <w:bCs/>
          <w:color w:val="000000"/>
          <w:sz w:val="24"/>
          <w:szCs w:val="24"/>
        </w:rPr>
        <w:t>Assy N</w:t>
      </w:r>
      <w:r w:rsidRPr="006F7827">
        <w:rPr>
          <w:rFonts w:ascii="Book Antiqua" w:eastAsia="SimSun" w:hAnsi="Book Antiqua" w:cs="SimSun"/>
          <w:color w:val="000000"/>
          <w:sz w:val="24"/>
          <w:szCs w:val="24"/>
        </w:rPr>
        <w:t>, Pruzansky Y, Gaitini D, Shen Orr Z, Hochberg Z, Baruch Y. Growth hormone-stimulated IGF-1 generation in cirrhosis reflects hepatocellular dysfunction. </w:t>
      </w:r>
      <w:r w:rsidRPr="006F7827">
        <w:rPr>
          <w:rFonts w:ascii="Book Antiqua" w:eastAsia="SimSun" w:hAnsi="Book Antiqua" w:cs="SimSun"/>
          <w:i/>
          <w:iCs/>
          <w:color w:val="000000"/>
          <w:sz w:val="24"/>
          <w:szCs w:val="24"/>
        </w:rPr>
        <w:t>J Hepatol</w:t>
      </w:r>
      <w:r w:rsidRPr="006F7827">
        <w:rPr>
          <w:rFonts w:ascii="Book Antiqua" w:eastAsia="SimSun" w:hAnsi="Book Antiqua" w:cs="SimSun"/>
          <w:color w:val="000000"/>
          <w:sz w:val="24"/>
          <w:szCs w:val="24"/>
        </w:rPr>
        <w:t> 2008; </w:t>
      </w:r>
      <w:r w:rsidRPr="006F7827">
        <w:rPr>
          <w:rFonts w:ascii="Book Antiqua" w:eastAsia="SimSun" w:hAnsi="Book Antiqua" w:cs="SimSun"/>
          <w:b/>
          <w:bCs/>
          <w:color w:val="000000"/>
          <w:sz w:val="24"/>
          <w:szCs w:val="24"/>
        </w:rPr>
        <w:t>49</w:t>
      </w:r>
      <w:r w:rsidRPr="006F7827">
        <w:rPr>
          <w:rFonts w:ascii="Book Antiqua" w:eastAsia="SimSun" w:hAnsi="Book Antiqua" w:cs="SimSun"/>
          <w:color w:val="000000"/>
          <w:sz w:val="24"/>
          <w:szCs w:val="24"/>
        </w:rPr>
        <w:t>: 34-42 [PMID: 18456366 DOI: 10.1016/j.jhep.2008.02.013]</w:t>
      </w:r>
    </w:p>
    <w:p w14:paraId="5952A22B" w14:textId="77777777" w:rsidR="00422EBA" w:rsidRPr="006F7827" w:rsidRDefault="00422EBA" w:rsidP="00422EBA">
      <w:pPr>
        <w:spacing w:after="0" w:line="360" w:lineRule="auto"/>
        <w:jc w:val="both"/>
        <w:rPr>
          <w:rFonts w:ascii="Book Antiqua" w:eastAsia="SimSun" w:hAnsi="Book Antiqua" w:cs="SimSun"/>
          <w:color w:val="000000"/>
          <w:sz w:val="24"/>
          <w:szCs w:val="24"/>
        </w:rPr>
      </w:pPr>
      <w:r w:rsidRPr="006F7827">
        <w:rPr>
          <w:rFonts w:ascii="Book Antiqua" w:eastAsia="SimSun" w:hAnsi="Book Antiqua" w:cs="SimSun"/>
          <w:color w:val="000000"/>
          <w:sz w:val="24"/>
          <w:szCs w:val="24"/>
        </w:rPr>
        <w:t>86 </w:t>
      </w:r>
      <w:r w:rsidRPr="006F7827">
        <w:rPr>
          <w:rFonts w:ascii="Book Antiqua" w:eastAsia="SimSun" w:hAnsi="Book Antiqua" w:cs="SimSun"/>
          <w:b/>
          <w:bCs/>
          <w:color w:val="000000"/>
          <w:sz w:val="24"/>
          <w:szCs w:val="24"/>
        </w:rPr>
        <w:t>Wu YL</w:t>
      </w:r>
      <w:r w:rsidRPr="006F7827">
        <w:rPr>
          <w:rFonts w:ascii="Book Antiqua" w:eastAsia="SimSun" w:hAnsi="Book Antiqua" w:cs="SimSun"/>
          <w:color w:val="000000"/>
          <w:sz w:val="24"/>
          <w:szCs w:val="24"/>
        </w:rPr>
        <w:t>, Ye J, Zhang S, Zhong J, Xi RP. Clinical significance of serum IGF-I, IGF-II and IGFBP-3 in liver cirrhosis. </w:t>
      </w:r>
      <w:r w:rsidRPr="006F7827">
        <w:rPr>
          <w:rFonts w:ascii="Book Antiqua" w:eastAsia="SimSun" w:hAnsi="Book Antiqua" w:cs="SimSun"/>
          <w:i/>
          <w:iCs/>
          <w:color w:val="000000"/>
          <w:sz w:val="24"/>
          <w:szCs w:val="24"/>
        </w:rPr>
        <w:t>World J Gastroenterol</w:t>
      </w:r>
      <w:r w:rsidRPr="006F7827">
        <w:rPr>
          <w:rFonts w:ascii="Book Antiqua" w:eastAsia="SimSun" w:hAnsi="Book Antiqua" w:cs="SimSun"/>
          <w:color w:val="000000"/>
          <w:sz w:val="24"/>
          <w:szCs w:val="24"/>
        </w:rPr>
        <w:t> 2004; </w:t>
      </w:r>
      <w:r w:rsidRPr="006F7827">
        <w:rPr>
          <w:rFonts w:ascii="Book Antiqua" w:eastAsia="SimSun" w:hAnsi="Book Antiqua" w:cs="SimSun"/>
          <w:b/>
          <w:bCs/>
          <w:color w:val="000000"/>
          <w:sz w:val="24"/>
          <w:szCs w:val="24"/>
        </w:rPr>
        <w:t>10</w:t>
      </w:r>
      <w:r w:rsidRPr="006F7827">
        <w:rPr>
          <w:rFonts w:ascii="Book Antiqua" w:eastAsia="SimSun" w:hAnsi="Book Antiqua" w:cs="SimSun"/>
          <w:color w:val="000000"/>
          <w:sz w:val="24"/>
          <w:szCs w:val="24"/>
        </w:rPr>
        <w:t>: 2740-2743 [PMID: 15309731]</w:t>
      </w:r>
    </w:p>
    <w:p w14:paraId="5224406F" w14:textId="77777777" w:rsidR="00422EBA" w:rsidRPr="006F7827" w:rsidRDefault="00422EBA" w:rsidP="00422EBA">
      <w:pPr>
        <w:spacing w:after="0" w:line="360" w:lineRule="auto"/>
        <w:jc w:val="both"/>
        <w:rPr>
          <w:rFonts w:ascii="Book Antiqua" w:eastAsia="SimSun" w:hAnsi="Book Antiqua" w:cs="SimSun"/>
          <w:color w:val="000000"/>
          <w:sz w:val="24"/>
          <w:szCs w:val="24"/>
        </w:rPr>
      </w:pPr>
      <w:r w:rsidRPr="006F7827">
        <w:rPr>
          <w:rFonts w:ascii="Book Antiqua" w:eastAsia="SimSun" w:hAnsi="Book Antiqua" w:cs="SimSun"/>
          <w:color w:val="000000"/>
          <w:sz w:val="24"/>
          <w:szCs w:val="24"/>
        </w:rPr>
        <w:t>87 </w:t>
      </w:r>
      <w:r w:rsidRPr="006F7827">
        <w:rPr>
          <w:rFonts w:ascii="Book Antiqua" w:eastAsia="SimSun" w:hAnsi="Book Antiqua" w:cs="SimSun"/>
          <w:b/>
          <w:bCs/>
          <w:color w:val="000000"/>
          <w:sz w:val="24"/>
          <w:szCs w:val="24"/>
        </w:rPr>
        <w:t>Jara M</w:t>
      </w:r>
      <w:r w:rsidRPr="006F7827">
        <w:rPr>
          <w:rFonts w:ascii="Book Antiqua" w:eastAsia="SimSun" w:hAnsi="Book Antiqua" w:cs="SimSun"/>
          <w:color w:val="000000"/>
          <w:sz w:val="24"/>
          <w:szCs w:val="24"/>
        </w:rPr>
        <w:t>, Schulz A, Malinowski M, Puhl G, Lock JF, Seehofer D, Neuhaus P, Stockmann M. Growth hormone/insulin-like growth factor 1 dynamics in adult living donor liver transplantation. </w:t>
      </w:r>
      <w:r w:rsidRPr="006F7827">
        <w:rPr>
          <w:rFonts w:ascii="Book Antiqua" w:eastAsia="SimSun" w:hAnsi="Book Antiqua" w:cs="SimSun"/>
          <w:i/>
          <w:iCs/>
          <w:color w:val="000000"/>
          <w:sz w:val="24"/>
          <w:szCs w:val="24"/>
        </w:rPr>
        <w:t>Liver Transpl</w:t>
      </w:r>
      <w:r w:rsidRPr="006F7827">
        <w:rPr>
          <w:rFonts w:ascii="Book Antiqua" w:eastAsia="SimSun" w:hAnsi="Book Antiqua" w:cs="SimSun"/>
          <w:color w:val="000000"/>
          <w:sz w:val="24"/>
          <w:szCs w:val="24"/>
        </w:rPr>
        <w:t> 2014; </w:t>
      </w:r>
      <w:r w:rsidRPr="006F7827">
        <w:rPr>
          <w:rFonts w:ascii="Book Antiqua" w:eastAsia="SimSun" w:hAnsi="Book Antiqua" w:cs="SimSun"/>
          <w:b/>
          <w:bCs/>
          <w:color w:val="000000"/>
          <w:sz w:val="24"/>
          <w:szCs w:val="24"/>
        </w:rPr>
        <w:t>20</w:t>
      </w:r>
      <w:r w:rsidRPr="006F7827">
        <w:rPr>
          <w:rFonts w:ascii="Book Antiqua" w:eastAsia="SimSun" w:hAnsi="Book Antiqua" w:cs="SimSun"/>
          <w:color w:val="000000"/>
          <w:sz w:val="24"/>
          <w:szCs w:val="24"/>
        </w:rPr>
        <w:t>: 1118-1126 [PMID: 24889799 DOI: 10.1002/lt.23922]</w:t>
      </w:r>
    </w:p>
    <w:p w14:paraId="53C8C2FB" w14:textId="77777777" w:rsidR="00422EBA" w:rsidRPr="006F7827" w:rsidRDefault="00422EBA" w:rsidP="00422EBA">
      <w:pPr>
        <w:spacing w:after="0" w:line="360" w:lineRule="auto"/>
        <w:jc w:val="both"/>
        <w:rPr>
          <w:rFonts w:ascii="Book Antiqua" w:eastAsia="SimSun" w:hAnsi="Book Antiqua" w:cs="SimSun"/>
          <w:color w:val="000000"/>
          <w:sz w:val="24"/>
          <w:szCs w:val="24"/>
        </w:rPr>
      </w:pPr>
      <w:r w:rsidRPr="006F7827">
        <w:rPr>
          <w:rFonts w:ascii="Book Antiqua" w:eastAsia="SimSun" w:hAnsi="Book Antiqua" w:cs="SimSun"/>
          <w:color w:val="000000"/>
          <w:sz w:val="24"/>
          <w:szCs w:val="24"/>
        </w:rPr>
        <w:t>88 </w:t>
      </w:r>
      <w:r w:rsidRPr="006F7827">
        <w:rPr>
          <w:rFonts w:ascii="Book Antiqua" w:eastAsia="SimSun" w:hAnsi="Book Antiqua" w:cs="SimSun"/>
          <w:b/>
          <w:bCs/>
          <w:color w:val="000000"/>
          <w:sz w:val="24"/>
          <w:szCs w:val="24"/>
        </w:rPr>
        <w:t>Bassanello M</w:t>
      </w:r>
      <w:r w:rsidRPr="006F7827">
        <w:rPr>
          <w:rFonts w:ascii="Book Antiqua" w:eastAsia="SimSun" w:hAnsi="Book Antiqua" w:cs="SimSun"/>
          <w:color w:val="000000"/>
          <w:sz w:val="24"/>
          <w:szCs w:val="24"/>
        </w:rPr>
        <w:t>, De Palo EF, Lancerin F, Vitale A, Gatti R, Montin U, Ciarleglio FA, Senzolo M, Burra P, Brolese A, Zanus G, D'Amico DF, Cillo U. Growth hormone/insulin-like growth factor 1 axis recovery after liver transplantation: a preliminary prospective study. </w:t>
      </w:r>
      <w:r w:rsidRPr="006F7827">
        <w:rPr>
          <w:rFonts w:ascii="Book Antiqua" w:eastAsia="SimSun" w:hAnsi="Book Antiqua" w:cs="SimSun"/>
          <w:i/>
          <w:iCs/>
          <w:color w:val="000000"/>
          <w:sz w:val="24"/>
          <w:szCs w:val="24"/>
        </w:rPr>
        <w:t>Liver Transpl</w:t>
      </w:r>
      <w:r w:rsidRPr="006F7827">
        <w:rPr>
          <w:rFonts w:ascii="Book Antiqua" w:eastAsia="SimSun" w:hAnsi="Book Antiqua" w:cs="SimSun"/>
          <w:color w:val="000000"/>
          <w:sz w:val="24"/>
          <w:szCs w:val="24"/>
        </w:rPr>
        <w:t> 2004; </w:t>
      </w:r>
      <w:r w:rsidRPr="006F7827">
        <w:rPr>
          <w:rFonts w:ascii="Book Antiqua" w:eastAsia="SimSun" w:hAnsi="Book Antiqua" w:cs="SimSun"/>
          <w:b/>
          <w:bCs/>
          <w:color w:val="000000"/>
          <w:sz w:val="24"/>
          <w:szCs w:val="24"/>
        </w:rPr>
        <w:t>10</w:t>
      </w:r>
      <w:r w:rsidRPr="006F7827">
        <w:rPr>
          <w:rFonts w:ascii="Book Antiqua" w:eastAsia="SimSun" w:hAnsi="Book Antiqua" w:cs="SimSun"/>
          <w:color w:val="000000"/>
          <w:sz w:val="24"/>
          <w:szCs w:val="24"/>
        </w:rPr>
        <w:t>: 692-698 [PMID: 15108263 DOI: 10.1002/lt.20111]</w:t>
      </w:r>
    </w:p>
    <w:p w14:paraId="57ECFD29" w14:textId="77777777" w:rsidR="00422EBA" w:rsidRPr="006F7827" w:rsidRDefault="00422EBA" w:rsidP="00422EBA">
      <w:pPr>
        <w:spacing w:after="0" w:line="360" w:lineRule="auto"/>
        <w:jc w:val="both"/>
        <w:rPr>
          <w:rFonts w:ascii="Book Antiqua" w:eastAsia="SimSun" w:hAnsi="Book Antiqua" w:cs="SimSun"/>
          <w:color w:val="000000"/>
          <w:sz w:val="24"/>
          <w:szCs w:val="24"/>
        </w:rPr>
      </w:pPr>
      <w:r w:rsidRPr="006F7827">
        <w:rPr>
          <w:rFonts w:ascii="Book Antiqua" w:eastAsia="SimSun" w:hAnsi="Book Antiqua" w:cs="SimSun"/>
          <w:color w:val="000000"/>
          <w:sz w:val="24"/>
          <w:szCs w:val="24"/>
        </w:rPr>
        <w:t>89 </w:t>
      </w:r>
      <w:r w:rsidRPr="006F7827">
        <w:rPr>
          <w:rFonts w:ascii="Book Antiqua" w:eastAsia="SimSun" w:hAnsi="Book Antiqua" w:cs="SimSun"/>
          <w:b/>
          <w:bCs/>
          <w:color w:val="000000"/>
          <w:sz w:val="24"/>
          <w:szCs w:val="24"/>
        </w:rPr>
        <w:t>Nicolini D</w:t>
      </w:r>
      <w:r w:rsidRPr="006F7827">
        <w:rPr>
          <w:rFonts w:ascii="Book Antiqua" w:eastAsia="SimSun" w:hAnsi="Book Antiqua" w:cs="SimSun"/>
          <w:color w:val="000000"/>
          <w:sz w:val="24"/>
          <w:szCs w:val="24"/>
        </w:rPr>
        <w:t>, Mocchegiani F, Palmonella G, Coletta M, Brugia M, Montalti R, Fava G, Taccaliti A, Risaliti A, Vivarelli M. Postoperative Insulin-Like Growth Factor 1 Levels Reflect the Graft's Function and Predict Survival after Liver Transplantation. </w:t>
      </w:r>
      <w:r w:rsidRPr="006F7827">
        <w:rPr>
          <w:rFonts w:ascii="Book Antiqua" w:eastAsia="SimSun" w:hAnsi="Book Antiqua" w:cs="SimSun"/>
          <w:i/>
          <w:iCs/>
          <w:color w:val="000000"/>
          <w:sz w:val="24"/>
          <w:szCs w:val="24"/>
        </w:rPr>
        <w:t>PLoS One</w:t>
      </w:r>
      <w:r w:rsidRPr="006F7827">
        <w:rPr>
          <w:rFonts w:ascii="Book Antiqua" w:eastAsia="SimSun" w:hAnsi="Book Antiqua" w:cs="SimSun"/>
          <w:color w:val="000000"/>
          <w:sz w:val="24"/>
          <w:szCs w:val="24"/>
        </w:rPr>
        <w:t> 2015; </w:t>
      </w:r>
      <w:r w:rsidRPr="006F7827">
        <w:rPr>
          <w:rFonts w:ascii="Book Antiqua" w:eastAsia="SimSun" w:hAnsi="Book Antiqua" w:cs="SimSun"/>
          <w:b/>
          <w:bCs/>
          <w:color w:val="000000"/>
          <w:sz w:val="24"/>
          <w:szCs w:val="24"/>
        </w:rPr>
        <w:t>10</w:t>
      </w:r>
      <w:r w:rsidRPr="006F7827">
        <w:rPr>
          <w:rFonts w:ascii="Book Antiqua" w:eastAsia="SimSun" w:hAnsi="Book Antiqua" w:cs="SimSun"/>
          <w:color w:val="000000"/>
          <w:sz w:val="24"/>
          <w:szCs w:val="24"/>
        </w:rPr>
        <w:t>: e0133153 [PMID: 26186540 DOI: 10.1371/journal.pone.0133153]</w:t>
      </w:r>
    </w:p>
    <w:p w14:paraId="39B8EFE7" w14:textId="77777777" w:rsidR="00422EBA" w:rsidRPr="006F7827" w:rsidRDefault="00422EBA" w:rsidP="00422EBA">
      <w:pPr>
        <w:spacing w:after="0" w:line="360" w:lineRule="auto"/>
        <w:jc w:val="both"/>
        <w:rPr>
          <w:rFonts w:ascii="Book Antiqua" w:eastAsia="SimSun" w:hAnsi="Book Antiqua" w:cs="SimSun"/>
          <w:color w:val="000000"/>
          <w:sz w:val="24"/>
          <w:szCs w:val="24"/>
        </w:rPr>
      </w:pPr>
      <w:r w:rsidRPr="006F7827">
        <w:rPr>
          <w:rFonts w:ascii="Book Antiqua" w:eastAsia="SimSun" w:hAnsi="Book Antiqua" w:cs="SimSun"/>
          <w:color w:val="000000"/>
          <w:sz w:val="24"/>
          <w:szCs w:val="24"/>
        </w:rPr>
        <w:t>90 </w:t>
      </w:r>
      <w:r w:rsidRPr="006F7827">
        <w:rPr>
          <w:rFonts w:ascii="Book Antiqua" w:eastAsia="SimSun" w:hAnsi="Book Antiqua" w:cs="SimSun"/>
          <w:b/>
          <w:bCs/>
          <w:color w:val="000000"/>
          <w:sz w:val="24"/>
          <w:szCs w:val="24"/>
        </w:rPr>
        <w:t>Salso A</w:t>
      </w:r>
      <w:r w:rsidRPr="006F7827">
        <w:rPr>
          <w:rFonts w:ascii="Book Antiqua" w:eastAsia="SimSun" w:hAnsi="Book Antiqua" w:cs="SimSun"/>
          <w:color w:val="000000"/>
          <w:sz w:val="24"/>
          <w:szCs w:val="24"/>
        </w:rPr>
        <w:t>, Tisone G, Tariciotti L, Lenci I, Manzia TM, Baiocchi L. Relationship between GH/IGF-1 axis, graft recovery, and early survival in patients undergoing liver transplantation. </w:t>
      </w:r>
      <w:r w:rsidRPr="006F7827">
        <w:rPr>
          <w:rFonts w:ascii="Book Antiqua" w:eastAsia="SimSun" w:hAnsi="Book Antiqua" w:cs="SimSun"/>
          <w:i/>
          <w:iCs/>
          <w:color w:val="000000"/>
          <w:sz w:val="24"/>
          <w:szCs w:val="24"/>
        </w:rPr>
        <w:t>Biomed Res Int</w:t>
      </w:r>
      <w:r w:rsidRPr="006F7827">
        <w:rPr>
          <w:rFonts w:ascii="Book Antiqua" w:eastAsia="SimSun" w:hAnsi="Book Antiqua" w:cs="SimSun"/>
          <w:color w:val="000000"/>
          <w:sz w:val="24"/>
          <w:szCs w:val="24"/>
        </w:rPr>
        <w:t> 2014; </w:t>
      </w:r>
      <w:r w:rsidRPr="006F7827">
        <w:rPr>
          <w:rFonts w:ascii="Book Antiqua" w:eastAsia="SimSun" w:hAnsi="Book Antiqua" w:cs="SimSun"/>
          <w:b/>
          <w:bCs/>
          <w:color w:val="000000"/>
          <w:sz w:val="24"/>
          <w:szCs w:val="24"/>
        </w:rPr>
        <w:t>2014</w:t>
      </w:r>
      <w:r w:rsidRPr="006F7827">
        <w:rPr>
          <w:rFonts w:ascii="Book Antiqua" w:eastAsia="SimSun" w:hAnsi="Book Antiqua" w:cs="SimSun"/>
          <w:color w:val="000000"/>
          <w:sz w:val="24"/>
          <w:szCs w:val="24"/>
        </w:rPr>
        <w:t>: 240873 [PMID: 24804205 DOI: 10.1155/2014/240873]</w:t>
      </w:r>
    </w:p>
    <w:p w14:paraId="06D83AE0" w14:textId="77777777" w:rsidR="00422EBA" w:rsidRPr="006F7827" w:rsidRDefault="00422EBA" w:rsidP="00422EBA">
      <w:pPr>
        <w:widowControl w:val="0"/>
        <w:spacing w:after="0" w:line="360" w:lineRule="auto"/>
        <w:jc w:val="both"/>
        <w:rPr>
          <w:rFonts w:ascii="Book Antiqua" w:eastAsia="SimSun" w:hAnsi="Book Antiqua" w:cs="SimSun"/>
          <w:color w:val="000000"/>
          <w:sz w:val="24"/>
          <w:szCs w:val="24"/>
        </w:rPr>
      </w:pPr>
      <w:r w:rsidRPr="006F7827">
        <w:rPr>
          <w:rFonts w:ascii="Book Antiqua" w:eastAsia="SimSun" w:hAnsi="Book Antiqua" w:cs="SimSun"/>
          <w:color w:val="000000"/>
          <w:sz w:val="24"/>
          <w:szCs w:val="24"/>
        </w:rPr>
        <w:t xml:space="preserve">91 </w:t>
      </w:r>
      <w:r w:rsidRPr="006F7827">
        <w:rPr>
          <w:rFonts w:ascii="Book Antiqua" w:eastAsia="SimSun" w:hAnsi="Book Antiqua" w:cs="SimSun"/>
          <w:b/>
          <w:bCs/>
          <w:color w:val="000000"/>
          <w:sz w:val="24"/>
          <w:szCs w:val="24"/>
        </w:rPr>
        <w:t>Toshima T</w:t>
      </w:r>
      <w:r w:rsidRPr="006F7827">
        <w:rPr>
          <w:rFonts w:ascii="Book Antiqua" w:eastAsia="SimSun" w:hAnsi="Book Antiqua" w:cs="SimSun"/>
          <w:color w:val="000000"/>
          <w:sz w:val="24"/>
          <w:szCs w:val="24"/>
        </w:rPr>
        <w:t>, Ikegami T, Kimura K, Harimoto N, Yamashita Y, Yoshizumi T, Soejima Y, Ikeda T, Shirabe K, Maehara Y. Application of postoperative Model for End-Stage Liver Disease scoring system for evaluating liver graft function after living donor liver transplantation. </w:t>
      </w:r>
      <w:r w:rsidRPr="006F7827">
        <w:rPr>
          <w:rFonts w:ascii="Book Antiqua" w:eastAsia="SimSun" w:hAnsi="Book Antiqua" w:cs="SimSun"/>
          <w:i/>
          <w:iCs/>
          <w:color w:val="000000"/>
          <w:sz w:val="24"/>
          <w:szCs w:val="24"/>
        </w:rPr>
        <w:t>Transplant Proc</w:t>
      </w:r>
      <w:r w:rsidRPr="006F7827">
        <w:rPr>
          <w:rFonts w:ascii="Book Antiqua" w:eastAsia="SimSun" w:hAnsi="Book Antiqua" w:cs="SimSun"/>
          <w:color w:val="000000"/>
          <w:sz w:val="24"/>
          <w:szCs w:val="24"/>
        </w:rPr>
        <w:t> 2014; </w:t>
      </w:r>
      <w:r w:rsidRPr="006F7827">
        <w:rPr>
          <w:rFonts w:ascii="Book Antiqua" w:eastAsia="SimSun" w:hAnsi="Book Antiqua" w:cs="SimSun"/>
          <w:b/>
          <w:bCs/>
          <w:color w:val="000000"/>
          <w:sz w:val="24"/>
          <w:szCs w:val="24"/>
        </w:rPr>
        <w:t>46</w:t>
      </w:r>
      <w:r w:rsidRPr="006F7827">
        <w:rPr>
          <w:rFonts w:ascii="Book Antiqua" w:eastAsia="SimSun" w:hAnsi="Book Antiqua" w:cs="SimSun"/>
          <w:color w:val="000000"/>
          <w:sz w:val="24"/>
          <w:szCs w:val="24"/>
        </w:rPr>
        <w:t>: 81-86 [PMID: 24507030 DOI: 10.1016/j.transproceed.2013.09.034]</w:t>
      </w:r>
    </w:p>
    <w:p w14:paraId="30576191" w14:textId="77777777" w:rsidR="00422EBA" w:rsidRPr="006F7827" w:rsidRDefault="00422EBA" w:rsidP="00422EBA">
      <w:pPr>
        <w:spacing w:after="0" w:line="360" w:lineRule="auto"/>
        <w:jc w:val="both"/>
        <w:rPr>
          <w:rFonts w:ascii="Book Antiqua" w:eastAsia="SimSun" w:hAnsi="Book Antiqua" w:cs="SimSun"/>
          <w:color w:val="000000"/>
          <w:sz w:val="24"/>
          <w:szCs w:val="24"/>
        </w:rPr>
      </w:pPr>
      <w:r w:rsidRPr="006F7827">
        <w:rPr>
          <w:rFonts w:ascii="Book Antiqua" w:eastAsia="SimSun" w:hAnsi="Book Antiqua" w:cs="SimSun"/>
          <w:color w:val="000000"/>
          <w:sz w:val="24"/>
          <w:szCs w:val="24"/>
        </w:rPr>
        <w:t>92 </w:t>
      </w:r>
      <w:r w:rsidRPr="006F7827">
        <w:rPr>
          <w:rFonts w:ascii="Book Antiqua" w:eastAsia="SimSun" w:hAnsi="Book Antiqua" w:cs="SimSun"/>
          <w:b/>
          <w:bCs/>
          <w:color w:val="000000"/>
          <w:sz w:val="24"/>
          <w:szCs w:val="24"/>
        </w:rPr>
        <w:t>Cardoso NM</w:t>
      </w:r>
      <w:r w:rsidRPr="006F7827">
        <w:rPr>
          <w:rFonts w:ascii="Book Antiqua" w:eastAsia="SimSun" w:hAnsi="Book Antiqua" w:cs="SimSun"/>
          <w:color w:val="000000"/>
          <w:sz w:val="24"/>
          <w:szCs w:val="24"/>
        </w:rPr>
        <w:t>, Silva T, Basile-Filho A, Mente ED, Castro-e-Silva O. A new formula as a predictive score of post-liver transplantation outcome: postoperative MELD-lactate. </w:t>
      </w:r>
      <w:r w:rsidRPr="006F7827">
        <w:rPr>
          <w:rFonts w:ascii="Book Antiqua" w:eastAsia="SimSun" w:hAnsi="Book Antiqua" w:cs="SimSun"/>
          <w:i/>
          <w:iCs/>
          <w:color w:val="000000"/>
          <w:sz w:val="24"/>
          <w:szCs w:val="24"/>
        </w:rPr>
        <w:t>Transplant Proc</w:t>
      </w:r>
      <w:r w:rsidRPr="006F7827">
        <w:rPr>
          <w:rFonts w:ascii="Book Antiqua" w:eastAsia="SimSun" w:hAnsi="Book Antiqua" w:cs="SimSun"/>
          <w:color w:val="000000"/>
          <w:sz w:val="24"/>
          <w:szCs w:val="24"/>
        </w:rPr>
        <w:t> 2014; </w:t>
      </w:r>
      <w:r w:rsidRPr="006F7827">
        <w:rPr>
          <w:rFonts w:ascii="Book Antiqua" w:eastAsia="SimSun" w:hAnsi="Book Antiqua" w:cs="SimSun"/>
          <w:b/>
          <w:bCs/>
          <w:color w:val="000000"/>
          <w:sz w:val="24"/>
          <w:szCs w:val="24"/>
        </w:rPr>
        <w:t>46</w:t>
      </w:r>
      <w:r w:rsidRPr="006F7827">
        <w:rPr>
          <w:rFonts w:ascii="Book Antiqua" w:eastAsia="SimSun" w:hAnsi="Book Antiqua" w:cs="SimSun"/>
          <w:color w:val="000000"/>
          <w:sz w:val="24"/>
          <w:szCs w:val="24"/>
        </w:rPr>
        <w:t>: 1407-1412 [PMID: 24935305 DOI: 10.1016/j.transproceed.2013.12.067]</w:t>
      </w:r>
    </w:p>
    <w:p w14:paraId="2346C860" w14:textId="77777777" w:rsidR="00422EBA" w:rsidRPr="006F7827" w:rsidRDefault="00422EBA" w:rsidP="00422EBA">
      <w:pPr>
        <w:spacing w:after="0" w:line="360" w:lineRule="auto"/>
        <w:jc w:val="both"/>
        <w:rPr>
          <w:rFonts w:ascii="Book Antiqua" w:eastAsia="SimSun" w:hAnsi="Book Antiqua" w:cs="SimSun"/>
          <w:color w:val="000000"/>
          <w:sz w:val="24"/>
          <w:szCs w:val="24"/>
        </w:rPr>
      </w:pPr>
      <w:r w:rsidRPr="006F7827">
        <w:rPr>
          <w:rFonts w:ascii="Book Antiqua" w:eastAsia="SimSun" w:hAnsi="Book Antiqua" w:cs="SimSun"/>
          <w:color w:val="000000"/>
          <w:sz w:val="24"/>
          <w:szCs w:val="24"/>
        </w:rPr>
        <w:t>93 </w:t>
      </w:r>
      <w:r w:rsidRPr="006F7827">
        <w:rPr>
          <w:rFonts w:ascii="Book Antiqua" w:eastAsia="SimSun" w:hAnsi="Book Antiqua" w:cs="SimSun"/>
          <w:b/>
          <w:bCs/>
          <w:color w:val="000000"/>
          <w:sz w:val="24"/>
          <w:szCs w:val="24"/>
        </w:rPr>
        <w:t>Knaus WA</w:t>
      </w:r>
      <w:r w:rsidRPr="006F7827">
        <w:rPr>
          <w:rFonts w:ascii="Book Antiqua" w:eastAsia="SimSun" w:hAnsi="Book Antiqua" w:cs="SimSun"/>
          <w:color w:val="000000"/>
          <w:sz w:val="24"/>
          <w:szCs w:val="24"/>
        </w:rPr>
        <w:t>, Zimmerman JE, Wagner DP, Draper EA, Lawrence DE. APACHE-acute physiology and chronic health evaluation: a physiologically based classification system. </w:t>
      </w:r>
      <w:r w:rsidRPr="006F7827">
        <w:rPr>
          <w:rFonts w:ascii="Book Antiqua" w:eastAsia="SimSun" w:hAnsi="Book Antiqua" w:cs="SimSun"/>
          <w:i/>
          <w:iCs/>
          <w:color w:val="000000"/>
          <w:sz w:val="24"/>
          <w:szCs w:val="24"/>
        </w:rPr>
        <w:t>Crit Care Med</w:t>
      </w:r>
      <w:r w:rsidRPr="006F7827">
        <w:rPr>
          <w:rFonts w:ascii="Book Antiqua" w:eastAsia="SimSun" w:hAnsi="Book Antiqua" w:cs="SimSun"/>
          <w:color w:val="000000"/>
          <w:sz w:val="24"/>
          <w:szCs w:val="24"/>
        </w:rPr>
        <w:t> 1981; </w:t>
      </w:r>
      <w:r w:rsidRPr="006F7827">
        <w:rPr>
          <w:rFonts w:ascii="Book Antiqua" w:eastAsia="SimSun" w:hAnsi="Book Antiqua" w:cs="SimSun"/>
          <w:b/>
          <w:bCs/>
          <w:color w:val="000000"/>
          <w:sz w:val="24"/>
          <w:szCs w:val="24"/>
        </w:rPr>
        <w:t>9</w:t>
      </w:r>
      <w:r w:rsidRPr="006F7827">
        <w:rPr>
          <w:rFonts w:ascii="Book Antiqua" w:eastAsia="SimSun" w:hAnsi="Book Antiqua" w:cs="SimSun"/>
          <w:color w:val="000000"/>
          <w:sz w:val="24"/>
          <w:szCs w:val="24"/>
        </w:rPr>
        <w:t>: 591-597 [PMID: 7261642]</w:t>
      </w:r>
    </w:p>
    <w:p w14:paraId="6D81D666" w14:textId="77777777" w:rsidR="00422EBA" w:rsidRPr="006F7827" w:rsidRDefault="00422EBA" w:rsidP="00422EBA">
      <w:pPr>
        <w:spacing w:after="0" w:line="360" w:lineRule="auto"/>
        <w:jc w:val="both"/>
        <w:rPr>
          <w:rFonts w:ascii="Book Antiqua" w:eastAsia="SimSun" w:hAnsi="Book Antiqua" w:cs="SimSun"/>
          <w:color w:val="000000"/>
          <w:sz w:val="24"/>
          <w:szCs w:val="24"/>
        </w:rPr>
      </w:pPr>
      <w:r w:rsidRPr="006F7827">
        <w:rPr>
          <w:rFonts w:ascii="Book Antiqua" w:eastAsia="SimSun" w:hAnsi="Book Antiqua" w:cs="SimSun"/>
          <w:color w:val="000000"/>
          <w:sz w:val="24"/>
          <w:szCs w:val="24"/>
        </w:rPr>
        <w:lastRenderedPageBreak/>
        <w:t>94 </w:t>
      </w:r>
      <w:r w:rsidRPr="006F7827">
        <w:rPr>
          <w:rFonts w:ascii="Book Antiqua" w:eastAsia="SimSun" w:hAnsi="Book Antiqua" w:cs="SimSun"/>
          <w:b/>
          <w:bCs/>
          <w:color w:val="000000"/>
          <w:sz w:val="24"/>
          <w:szCs w:val="24"/>
        </w:rPr>
        <w:t>Knaus WA</w:t>
      </w:r>
      <w:r w:rsidRPr="006F7827">
        <w:rPr>
          <w:rFonts w:ascii="Book Antiqua" w:eastAsia="SimSun" w:hAnsi="Book Antiqua" w:cs="SimSun"/>
          <w:color w:val="000000"/>
          <w:sz w:val="24"/>
          <w:szCs w:val="24"/>
        </w:rPr>
        <w:t>, Draper EA, Wagner DP, Zimmerman JE. APACHE II: a severity of disease classification system. </w:t>
      </w:r>
      <w:r w:rsidRPr="006F7827">
        <w:rPr>
          <w:rFonts w:ascii="Book Antiqua" w:eastAsia="SimSun" w:hAnsi="Book Antiqua" w:cs="SimSun"/>
          <w:i/>
          <w:iCs/>
          <w:color w:val="000000"/>
          <w:sz w:val="24"/>
          <w:szCs w:val="24"/>
        </w:rPr>
        <w:t>Crit Care Med</w:t>
      </w:r>
      <w:r w:rsidRPr="006F7827">
        <w:rPr>
          <w:rFonts w:ascii="Book Antiqua" w:eastAsia="SimSun" w:hAnsi="Book Antiqua" w:cs="SimSun"/>
          <w:color w:val="000000"/>
          <w:sz w:val="24"/>
          <w:szCs w:val="24"/>
        </w:rPr>
        <w:t> 1985; </w:t>
      </w:r>
      <w:r w:rsidRPr="006F7827">
        <w:rPr>
          <w:rFonts w:ascii="Book Antiqua" w:eastAsia="SimSun" w:hAnsi="Book Antiqua" w:cs="SimSun"/>
          <w:b/>
          <w:bCs/>
          <w:color w:val="000000"/>
          <w:sz w:val="24"/>
          <w:szCs w:val="24"/>
        </w:rPr>
        <w:t>13</w:t>
      </w:r>
      <w:r w:rsidRPr="006F7827">
        <w:rPr>
          <w:rFonts w:ascii="Book Antiqua" w:eastAsia="SimSun" w:hAnsi="Book Antiqua" w:cs="SimSun"/>
          <w:color w:val="000000"/>
          <w:sz w:val="24"/>
          <w:szCs w:val="24"/>
        </w:rPr>
        <w:t>: 818-829 [PMID: 3928249]</w:t>
      </w:r>
    </w:p>
    <w:p w14:paraId="290B0ADB" w14:textId="77777777" w:rsidR="00422EBA" w:rsidRPr="006F7827" w:rsidRDefault="00422EBA" w:rsidP="00422EBA">
      <w:pPr>
        <w:spacing w:after="0" w:line="360" w:lineRule="auto"/>
        <w:jc w:val="both"/>
        <w:rPr>
          <w:rFonts w:ascii="Book Antiqua" w:eastAsia="SimSun" w:hAnsi="Book Antiqua" w:cs="SimSun"/>
          <w:color w:val="000000"/>
          <w:sz w:val="24"/>
          <w:szCs w:val="24"/>
        </w:rPr>
      </w:pPr>
      <w:r w:rsidRPr="006F7827">
        <w:rPr>
          <w:rFonts w:ascii="Book Antiqua" w:eastAsia="SimSun" w:hAnsi="Book Antiqua" w:cs="SimSun"/>
          <w:color w:val="000000"/>
          <w:sz w:val="24"/>
          <w:szCs w:val="24"/>
        </w:rPr>
        <w:t>95 </w:t>
      </w:r>
      <w:r w:rsidRPr="006F7827">
        <w:rPr>
          <w:rFonts w:ascii="Book Antiqua" w:eastAsia="SimSun" w:hAnsi="Book Antiqua" w:cs="SimSun"/>
          <w:b/>
          <w:bCs/>
          <w:color w:val="000000"/>
          <w:sz w:val="24"/>
          <w:szCs w:val="24"/>
        </w:rPr>
        <w:t>Knaus WA</w:t>
      </w:r>
      <w:r w:rsidRPr="006F7827">
        <w:rPr>
          <w:rFonts w:ascii="Book Antiqua" w:eastAsia="SimSun" w:hAnsi="Book Antiqua" w:cs="SimSun"/>
          <w:color w:val="000000"/>
          <w:sz w:val="24"/>
          <w:szCs w:val="24"/>
        </w:rPr>
        <w:t>, Wagner DP, Draper EA, Zimmerman JE, Bergner M, Bastos PG, Sirio CA, Murphy DJ, Lotring T, Damiano A. The APACHE III prognostic system. Risk prediction of hospital mortality for critically ill hospitalized adults. </w:t>
      </w:r>
      <w:r w:rsidRPr="006F7827">
        <w:rPr>
          <w:rFonts w:ascii="Book Antiqua" w:eastAsia="SimSun" w:hAnsi="Book Antiqua" w:cs="SimSun"/>
          <w:i/>
          <w:iCs/>
          <w:color w:val="000000"/>
          <w:sz w:val="24"/>
          <w:szCs w:val="24"/>
        </w:rPr>
        <w:t>Chest</w:t>
      </w:r>
      <w:r w:rsidRPr="006F7827">
        <w:rPr>
          <w:rFonts w:ascii="Book Antiqua" w:eastAsia="SimSun" w:hAnsi="Book Antiqua" w:cs="SimSun"/>
          <w:color w:val="000000"/>
          <w:sz w:val="24"/>
          <w:szCs w:val="24"/>
        </w:rPr>
        <w:t> 1991; </w:t>
      </w:r>
      <w:r w:rsidRPr="006F7827">
        <w:rPr>
          <w:rFonts w:ascii="Book Antiqua" w:eastAsia="SimSun" w:hAnsi="Book Antiqua" w:cs="SimSun"/>
          <w:b/>
          <w:bCs/>
          <w:color w:val="000000"/>
          <w:sz w:val="24"/>
          <w:szCs w:val="24"/>
        </w:rPr>
        <w:t>100</w:t>
      </w:r>
      <w:r w:rsidRPr="006F7827">
        <w:rPr>
          <w:rFonts w:ascii="Book Antiqua" w:eastAsia="SimSun" w:hAnsi="Book Antiqua" w:cs="SimSun"/>
          <w:color w:val="000000"/>
          <w:sz w:val="24"/>
          <w:szCs w:val="24"/>
        </w:rPr>
        <w:t>: 1619-1636 [PMID: 1959406]</w:t>
      </w:r>
    </w:p>
    <w:p w14:paraId="27AC3A84" w14:textId="77777777" w:rsidR="00422EBA" w:rsidRPr="006F7827" w:rsidRDefault="00422EBA" w:rsidP="00422EBA">
      <w:pPr>
        <w:spacing w:after="0" w:line="360" w:lineRule="auto"/>
        <w:jc w:val="both"/>
        <w:rPr>
          <w:rFonts w:ascii="Book Antiqua" w:eastAsia="SimSun" w:hAnsi="Book Antiqua" w:cs="SimSun"/>
          <w:color w:val="000000"/>
          <w:sz w:val="24"/>
          <w:szCs w:val="24"/>
        </w:rPr>
      </w:pPr>
      <w:r w:rsidRPr="006F7827">
        <w:rPr>
          <w:rFonts w:ascii="Book Antiqua" w:eastAsia="SimSun" w:hAnsi="Book Antiqua" w:cs="SimSun"/>
          <w:color w:val="000000"/>
          <w:sz w:val="24"/>
          <w:szCs w:val="24"/>
        </w:rPr>
        <w:t>96 </w:t>
      </w:r>
      <w:r w:rsidRPr="006F7827">
        <w:rPr>
          <w:rFonts w:ascii="Book Antiqua" w:eastAsia="SimSun" w:hAnsi="Book Antiqua" w:cs="SimSun"/>
          <w:b/>
          <w:bCs/>
          <w:color w:val="000000"/>
          <w:sz w:val="24"/>
          <w:szCs w:val="24"/>
        </w:rPr>
        <w:t>Zimmerman JE</w:t>
      </w:r>
      <w:r w:rsidRPr="006F7827">
        <w:rPr>
          <w:rFonts w:ascii="Book Antiqua" w:eastAsia="SimSun" w:hAnsi="Book Antiqua" w:cs="SimSun"/>
          <w:color w:val="000000"/>
          <w:sz w:val="24"/>
          <w:szCs w:val="24"/>
        </w:rPr>
        <w:t>, Kramer AA, McNair DS, Malila FM. Acute Physiology and Chronic Health Evaluation (APACHE) IV: hospital mortality assessment for today's critically ill patients. </w:t>
      </w:r>
      <w:r w:rsidRPr="006F7827">
        <w:rPr>
          <w:rFonts w:ascii="Book Antiqua" w:eastAsia="SimSun" w:hAnsi="Book Antiqua" w:cs="SimSun"/>
          <w:i/>
          <w:iCs/>
          <w:color w:val="000000"/>
          <w:sz w:val="24"/>
          <w:szCs w:val="24"/>
        </w:rPr>
        <w:t>Crit Care Med</w:t>
      </w:r>
      <w:r w:rsidRPr="006F7827">
        <w:rPr>
          <w:rFonts w:ascii="Book Antiqua" w:eastAsia="SimSun" w:hAnsi="Book Antiqua" w:cs="SimSun"/>
          <w:color w:val="000000"/>
          <w:sz w:val="24"/>
          <w:szCs w:val="24"/>
        </w:rPr>
        <w:t> 2006; </w:t>
      </w:r>
      <w:r w:rsidRPr="006F7827">
        <w:rPr>
          <w:rFonts w:ascii="Book Antiqua" w:eastAsia="SimSun" w:hAnsi="Book Antiqua" w:cs="SimSun"/>
          <w:b/>
          <w:bCs/>
          <w:color w:val="000000"/>
          <w:sz w:val="24"/>
          <w:szCs w:val="24"/>
        </w:rPr>
        <w:t>34</w:t>
      </w:r>
      <w:r w:rsidRPr="006F7827">
        <w:rPr>
          <w:rFonts w:ascii="Book Antiqua" w:eastAsia="SimSun" w:hAnsi="Book Antiqua" w:cs="SimSun"/>
          <w:color w:val="000000"/>
          <w:sz w:val="24"/>
          <w:szCs w:val="24"/>
        </w:rPr>
        <w:t>: 1297-1310 [PMID: 16540951 DOI: 10.1097/01.CCM.0000215112.84523.F0]</w:t>
      </w:r>
    </w:p>
    <w:p w14:paraId="154DB452" w14:textId="77777777" w:rsidR="00422EBA" w:rsidRPr="006F7827" w:rsidRDefault="00422EBA" w:rsidP="00422EBA">
      <w:pPr>
        <w:spacing w:after="0" w:line="360" w:lineRule="auto"/>
        <w:jc w:val="both"/>
        <w:rPr>
          <w:rFonts w:ascii="Book Antiqua" w:eastAsia="SimSun" w:hAnsi="Book Antiqua" w:cs="SimSun"/>
          <w:color w:val="000000"/>
          <w:sz w:val="24"/>
          <w:szCs w:val="24"/>
        </w:rPr>
      </w:pPr>
      <w:r w:rsidRPr="006F7827">
        <w:rPr>
          <w:rFonts w:ascii="Book Antiqua" w:eastAsia="SimSun" w:hAnsi="Book Antiqua" w:cs="SimSun"/>
          <w:color w:val="000000"/>
          <w:sz w:val="24"/>
          <w:szCs w:val="24"/>
        </w:rPr>
        <w:t>97 </w:t>
      </w:r>
      <w:r w:rsidRPr="006F7827">
        <w:rPr>
          <w:rFonts w:ascii="Book Antiqua" w:eastAsia="SimSun" w:hAnsi="Book Antiqua" w:cs="SimSun"/>
          <w:b/>
          <w:bCs/>
          <w:color w:val="000000"/>
          <w:sz w:val="24"/>
          <w:szCs w:val="24"/>
        </w:rPr>
        <w:t>Angus DC</w:t>
      </w:r>
      <w:r w:rsidRPr="006F7827">
        <w:rPr>
          <w:rFonts w:ascii="Book Antiqua" w:eastAsia="SimSun" w:hAnsi="Book Antiqua" w:cs="SimSun"/>
          <w:color w:val="000000"/>
          <w:sz w:val="24"/>
          <w:szCs w:val="24"/>
        </w:rPr>
        <w:t>, Clermont G, Kramer DJ, Linde-Zwirble WT, Pinsky MR. Short-term and long-term outcome prediction with the Acute Physiology and Chronic Health Evaluation II system after orthotopic liver transplantation. </w:t>
      </w:r>
      <w:r w:rsidRPr="006F7827">
        <w:rPr>
          <w:rFonts w:ascii="Book Antiqua" w:eastAsia="SimSun" w:hAnsi="Book Antiqua" w:cs="SimSun"/>
          <w:i/>
          <w:iCs/>
          <w:color w:val="000000"/>
          <w:sz w:val="24"/>
          <w:szCs w:val="24"/>
        </w:rPr>
        <w:t>Crit Care Med</w:t>
      </w:r>
      <w:r w:rsidRPr="006F7827">
        <w:rPr>
          <w:rFonts w:ascii="Book Antiqua" w:eastAsia="SimSun" w:hAnsi="Book Antiqua" w:cs="SimSun"/>
          <w:color w:val="000000"/>
          <w:sz w:val="24"/>
          <w:szCs w:val="24"/>
        </w:rPr>
        <w:t> 2000; </w:t>
      </w:r>
      <w:r w:rsidRPr="006F7827">
        <w:rPr>
          <w:rFonts w:ascii="Book Antiqua" w:eastAsia="SimSun" w:hAnsi="Book Antiqua" w:cs="SimSun"/>
          <w:b/>
          <w:bCs/>
          <w:color w:val="000000"/>
          <w:sz w:val="24"/>
          <w:szCs w:val="24"/>
        </w:rPr>
        <w:t>28</w:t>
      </w:r>
      <w:r w:rsidRPr="006F7827">
        <w:rPr>
          <w:rFonts w:ascii="Book Antiqua" w:eastAsia="SimSun" w:hAnsi="Book Antiqua" w:cs="SimSun"/>
          <w:color w:val="000000"/>
          <w:sz w:val="24"/>
          <w:szCs w:val="24"/>
        </w:rPr>
        <w:t>: 150-156 [PMID: 10667515]</w:t>
      </w:r>
    </w:p>
    <w:p w14:paraId="610B6383" w14:textId="77777777" w:rsidR="00422EBA" w:rsidRPr="006F7827" w:rsidRDefault="00422EBA" w:rsidP="00422EBA">
      <w:pPr>
        <w:spacing w:after="0" w:line="360" w:lineRule="auto"/>
        <w:jc w:val="both"/>
        <w:rPr>
          <w:rFonts w:ascii="Book Antiqua" w:eastAsia="SimSun" w:hAnsi="Book Antiqua" w:cs="SimSun"/>
          <w:color w:val="000000"/>
          <w:sz w:val="24"/>
          <w:szCs w:val="24"/>
        </w:rPr>
      </w:pPr>
      <w:r w:rsidRPr="006F7827">
        <w:rPr>
          <w:rFonts w:ascii="Book Antiqua" w:eastAsia="SimSun" w:hAnsi="Book Antiqua" w:cs="SimSun"/>
          <w:color w:val="000000"/>
          <w:sz w:val="24"/>
          <w:szCs w:val="24"/>
        </w:rPr>
        <w:t>98 </w:t>
      </w:r>
      <w:r w:rsidRPr="006F7827">
        <w:rPr>
          <w:rFonts w:ascii="Book Antiqua" w:eastAsia="SimSun" w:hAnsi="Book Antiqua" w:cs="SimSun"/>
          <w:b/>
          <w:bCs/>
          <w:color w:val="000000"/>
          <w:sz w:val="24"/>
          <w:szCs w:val="24"/>
        </w:rPr>
        <w:t>Oliveira VM</w:t>
      </w:r>
      <w:r w:rsidRPr="006F7827">
        <w:rPr>
          <w:rFonts w:ascii="Book Antiqua" w:eastAsia="SimSun" w:hAnsi="Book Antiqua" w:cs="SimSun"/>
          <w:color w:val="000000"/>
          <w:sz w:val="24"/>
          <w:szCs w:val="24"/>
        </w:rPr>
        <w:t>, Brauner JS, Rodrigues Filho E, Susin RG, Draghetti V, Bolzan ST, Vieira SR. Is SAPS 3 better than APACHE II at predicting mortality in critically ill transplant patients? </w:t>
      </w:r>
      <w:r w:rsidRPr="006F7827">
        <w:rPr>
          <w:rFonts w:ascii="Book Antiqua" w:eastAsia="SimSun" w:hAnsi="Book Antiqua" w:cs="SimSun"/>
          <w:i/>
          <w:iCs/>
          <w:color w:val="000000"/>
          <w:sz w:val="24"/>
          <w:szCs w:val="24"/>
        </w:rPr>
        <w:t>Clinics (Sao Paulo)</w:t>
      </w:r>
      <w:r w:rsidRPr="006F7827">
        <w:rPr>
          <w:rFonts w:ascii="Book Antiqua" w:eastAsia="SimSun" w:hAnsi="Book Antiqua" w:cs="SimSun"/>
          <w:color w:val="000000"/>
          <w:sz w:val="24"/>
          <w:szCs w:val="24"/>
        </w:rPr>
        <w:t> 2013; </w:t>
      </w:r>
      <w:r w:rsidRPr="006F7827">
        <w:rPr>
          <w:rFonts w:ascii="Book Antiqua" w:eastAsia="SimSun" w:hAnsi="Book Antiqua" w:cs="SimSun"/>
          <w:b/>
          <w:bCs/>
          <w:color w:val="000000"/>
          <w:sz w:val="24"/>
          <w:szCs w:val="24"/>
        </w:rPr>
        <w:t>68</w:t>
      </w:r>
      <w:r w:rsidRPr="006F7827">
        <w:rPr>
          <w:rFonts w:ascii="Book Antiqua" w:eastAsia="SimSun" w:hAnsi="Book Antiqua" w:cs="SimSun"/>
          <w:color w:val="000000"/>
          <w:sz w:val="24"/>
          <w:szCs w:val="24"/>
        </w:rPr>
        <w:t>: 153-158 [PMID: 23525309]</w:t>
      </w:r>
    </w:p>
    <w:p w14:paraId="0CF57B80" w14:textId="77777777" w:rsidR="00422EBA" w:rsidRPr="006F7827" w:rsidRDefault="00422EBA" w:rsidP="00422EBA">
      <w:pPr>
        <w:spacing w:after="0" w:line="360" w:lineRule="auto"/>
        <w:jc w:val="both"/>
        <w:rPr>
          <w:rFonts w:ascii="Book Antiqua" w:eastAsia="SimSun" w:hAnsi="Book Antiqua" w:cs="SimSun"/>
          <w:color w:val="000000"/>
          <w:sz w:val="24"/>
          <w:szCs w:val="24"/>
        </w:rPr>
      </w:pPr>
      <w:r w:rsidRPr="006F7827">
        <w:rPr>
          <w:rFonts w:ascii="Book Antiqua" w:eastAsia="SimSun" w:hAnsi="Book Antiqua" w:cs="SimSun"/>
          <w:color w:val="000000"/>
          <w:sz w:val="24"/>
          <w:szCs w:val="24"/>
        </w:rPr>
        <w:t>99 </w:t>
      </w:r>
      <w:r w:rsidRPr="006F7827">
        <w:rPr>
          <w:rFonts w:ascii="Book Antiqua" w:eastAsia="SimSun" w:hAnsi="Book Antiqua" w:cs="SimSun"/>
          <w:b/>
          <w:bCs/>
          <w:color w:val="000000"/>
          <w:sz w:val="24"/>
          <w:szCs w:val="24"/>
        </w:rPr>
        <w:t>Sawyer RG</w:t>
      </w:r>
      <w:r w:rsidRPr="006F7827">
        <w:rPr>
          <w:rFonts w:ascii="Book Antiqua" w:eastAsia="SimSun" w:hAnsi="Book Antiqua" w:cs="SimSun"/>
          <w:color w:val="000000"/>
          <w:sz w:val="24"/>
          <w:szCs w:val="24"/>
        </w:rPr>
        <w:t>, Durbin CG, Rosenlof LK, Pruett TL. Comparison of APACHE II scoring in liver and kidney transplant recipients versus trauma and general surgical patients in a single intensive-care unit. </w:t>
      </w:r>
      <w:r w:rsidRPr="006F7827">
        <w:rPr>
          <w:rFonts w:ascii="Book Antiqua" w:eastAsia="SimSun" w:hAnsi="Book Antiqua" w:cs="SimSun"/>
          <w:i/>
          <w:iCs/>
          <w:color w:val="000000"/>
          <w:sz w:val="24"/>
          <w:szCs w:val="24"/>
        </w:rPr>
        <w:t>Clin Transplant</w:t>
      </w:r>
      <w:r w:rsidRPr="006F7827">
        <w:rPr>
          <w:rFonts w:ascii="Book Antiqua" w:eastAsia="SimSun" w:hAnsi="Book Antiqua" w:cs="SimSun"/>
          <w:color w:val="000000"/>
          <w:sz w:val="24"/>
          <w:szCs w:val="24"/>
        </w:rPr>
        <w:t> 1995; </w:t>
      </w:r>
      <w:r w:rsidRPr="006F7827">
        <w:rPr>
          <w:rFonts w:ascii="Book Antiqua" w:eastAsia="SimSun" w:hAnsi="Book Antiqua" w:cs="SimSun"/>
          <w:b/>
          <w:bCs/>
          <w:color w:val="000000"/>
          <w:sz w:val="24"/>
          <w:szCs w:val="24"/>
        </w:rPr>
        <w:t>9</w:t>
      </w:r>
      <w:r w:rsidRPr="006F7827">
        <w:rPr>
          <w:rFonts w:ascii="Book Antiqua" w:eastAsia="SimSun" w:hAnsi="Book Antiqua" w:cs="SimSun"/>
          <w:color w:val="000000"/>
          <w:sz w:val="24"/>
          <w:szCs w:val="24"/>
        </w:rPr>
        <w:t>: 401-405 [PMID: 8541634]</w:t>
      </w:r>
    </w:p>
    <w:p w14:paraId="408F87FC" w14:textId="77777777" w:rsidR="00422EBA" w:rsidRPr="006F7827" w:rsidRDefault="00422EBA" w:rsidP="00422EBA">
      <w:pPr>
        <w:spacing w:after="0" w:line="360" w:lineRule="auto"/>
        <w:jc w:val="both"/>
        <w:rPr>
          <w:rFonts w:ascii="Book Antiqua" w:eastAsia="SimSun" w:hAnsi="Book Antiqua" w:cs="SimSun"/>
          <w:color w:val="000000"/>
          <w:sz w:val="24"/>
          <w:szCs w:val="24"/>
        </w:rPr>
      </w:pPr>
      <w:r w:rsidRPr="006F7827">
        <w:rPr>
          <w:rFonts w:ascii="Book Antiqua" w:eastAsia="SimSun" w:hAnsi="Book Antiqua" w:cs="SimSun"/>
          <w:color w:val="000000"/>
          <w:sz w:val="24"/>
          <w:szCs w:val="24"/>
        </w:rPr>
        <w:t>100 </w:t>
      </w:r>
      <w:r w:rsidRPr="006F7827">
        <w:rPr>
          <w:rFonts w:ascii="Book Antiqua" w:eastAsia="SimSun" w:hAnsi="Book Antiqua" w:cs="SimSun"/>
          <w:b/>
          <w:bCs/>
          <w:color w:val="000000"/>
          <w:sz w:val="24"/>
          <w:szCs w:val="24"/>
        </w:rPr>
        <w:t>Keegan MT</w:t>
      </w:r>
      <w:r w:rsidRPr="006F7827">
        <w:rPr>
          <w:rFonts w:ascii="Book Antiqua" w:eastAsia="SimSun" w:hAnsi="Book Antiqua" w:cs="SimSun"/>
          <w:color w:val="000000"/>
          <w:sz w:val="24"/>
          <w:szCs w:val="24"/>
        </w:rPr>
        <w:t>, Gali B, Findlay JY, Heimbach JK, Plevak DJ, Afessa B. APACHE III outcome prediction in patients admitted to the intensive care unit after liver transplantation: a retrospective cohort study. </w:t>
      </w:r>
      <w:r w:rsidRPr="006F7827">
        <w:rPr>
          <w:rFonts w:ascii="Book Antiqua" w:eastAsia="SimSun" w:hAnsi="Book Antiqua" w:cs="SimSun"/>
          <w:i/>
          <w:iCs/>
          <w:color w:val="000000"/>
          <w:sz w:val="24"/>
          <w:szCs w:val="24"/>
        </w:rPr>
        <w:t>BMC Surg</w:t>
      </w:r>
      <w:r w:rsidRPr="006F7827">
        <w:rPr>
          <w:rFonts w:ascii="Book Antiqua" w:eastAsia="SimSun" w:hAnsi="Book Antiqua" w:cs="SimSun"/>
          <w:color w:val="000000"/>
          <w:sz w:val="24"/>
          <w:szCs w:val="24"/>
        </w:rPr>
        <w:t> 2009; </w:t>
      </w:r>
      <w:r w:rsidRPr="006F7827">
        <w:rPr>
          <w:rFonts w:ascii="Book Antiqua" w:eastAsia="SimSun" w:hAnsi="Book Antiqua" w:cs="SimSun"/>
          <w:b/>
          <w:bCs/>
          <w:color w:val="000000"/>
          <w:sz w:val="24"/>
          <w:szCs w:val="24"/>
        </w:rPr>
        <w:t>9</w:t>
      </w:r>
      <w:r w:rsidRPr="006F7827">
        <w:rPr>
          <w:rFonts w:ascii="Book Antiqua" w:eastAsia="SimSun" w:hAnsi="Book Antiqua" w:cs="SimSun"/>
          <w:color w:val="000000"/>
          <w:sz w:val="24"/>
          <w:szCs w:val="24"/>
        </w:rPr>
        <w:t>: 11 [PMID: 19640303 DOI: 10.1186/1471-2482-9-11]</w:t>
      </w:r>
    </w:p>
    <w:p w14:paraId="5D60A803" w14:textId="77777777" w:rsidR="00422EBA" w:rsidRPr="006F7827" w:rsidRDefault="00422EBA" w:rsidP="00422EBA">
      <w:pPr>
        <w:spacing w:after="0" w:line="360" w:lineRule="auto"/>
        <w:jc w:val="both"/>
        <w:rPr>
          <w:rFonts w:ascii="Book Antiqua" w:eastAsia="SimSun" w:hAnsi="Book Antiqua" w:cs="SimSun"/>
          <w:color w:val="000000"/>
          <w:sz w:val="24"/>
          <w:szCs w:val="24"/>
        </w:rPr>
      </w:pPr>
      <w:r w:rsidRPr="006F7827">
        <w:rPr>
          <w:rFonts w:ascii="Book Antiqua" w:eastAsia="SimSun" w:hAnsi="Book Antiqua" w:cs="SimSun"/>
          <w:color w:val="000000"/>
          <w:sz w:val="24"/>
          <w:szCs w:val="24"/>
        </w:rPr>
        <w:t>101 </w:t>
      </w:r>
      <w:r w:rsidRPr="006F7827">
        <w:rPr>
          <w:rFonts w:ascii="Book Antiqua" w:eastAsia="SimSun" w:hAnsi="Book Antiqua" w:cs="SimSun"/>
          <w:b/>
          <w:bCs/>
          <w:color w:val="000000"/>
          <w:sz w:val="24"/>
          <w:szCs w:val="24"/>
        </w:rPr>
        <w:t>Basile-Filho A</w:t>
      </w:r>
      <w:r w:rsidRPr="006F7827">
        <w:rPr>
          <w:rFonts w:ascii="Book Antiqua" w:eastAsia="SimSun" w:hAnsi="Book Antiqua" w:cs="SimSun"/>
          <w:color w:val="000000"/>
          <w:sz w:val="24"/>
          <w:szCs w:val="24"/>
        </w:rPr>
        <w:t>, Nicolini EA, Auxiliadora-Martins M, Alkmim-Teixeira GC, Martinez EZ, Martins-Filho OA, de Castro e Silva O. Comparison of acute physiology and chronic health evaluation II death risk, Child-Pugh, Charlson, and model for end-stage liver disease indexes to predict early mortality after liver transplantation. </w:t>
      </w:r>
      <w:r w:rsidRPr="006F7827">
        <w:rPr>
          <w:rFonts w:ascii="Book Antiqua" w:eastAsia="SimSun" w:hAnsi="Book Antiqua" w:cs="SimSun"/>
          <w:i/>
          <w:iCs/>
          <w:color w:val="000000"/>
          <w:sz w:val="24"/>
          <w:szCs w:val="24"/>
        </w:rPr>
        <w:t>Transplant Proc</w:t>
      </w:r>
      <w:r w:rsidRPr="006F7827">
        <w:rPr>
          <w:rFonts w:ascii="Book Antiqua" w:eastAsia="SimSun" w:hAnsi="Book Antiqua" w:cs="SimSun"/>
          <w:color w:val="000000"/>
          <w:sz w:val="24"/>
          <w:szCs w:val="24"/>
        </w:rPr>
        <w:t> 2011; </w:t>
      </w:r>
      <w:r w:rsidRPr="006F7827">
        <w:rPr>
          <w:rFonts w:ascii="Book Antiqua" w:eastAsia="SimSun" w:hAnsi="Book Antiqua" w:cs="SimSun"/>
          <w:b/>
          <w:bCs/>
          <w:color w:val="000000"/>
          <w:sz w:val="24"/>
          <w:szCs w:val="24"/>
        </w:rPr>
        <w:t>43</w:t>
      </w:r>
      <w:r w:rsidRPr="006F7827">
        <w:rPr>
          <w:rFonts w:ascii="Book Antiqua" w:eastAsia="SimSun" w:hAnsi="Book Antiqua" w:cs="SimSun"/>
          <w:color w:val="000000"/>
          <w:sz w:val="24"/>
          <w:szCs w:val="24"/>
        </w:rPr>
        <w:t>: 1660-1664 [PMID: 21693253 DOI: 10.1016/j.transproceed.2010.11.029]</w:t>
      </w:r>
    </w:p>
    <w:p w14:paraId="601A5048" w14:textId="77777777" w:rsidR="00422EBA" w:rsidRPr="006F7827" w:rsidRDefault="00422EBA" w:rsidP="00422EBA">
      <w:pPr>
        <w:spacing w:after="0" w:line="360" w:lineRule="auto"/>
        <w:jc w:val="both"/>
        <w:rPr>
          <w:rFonts w:ascii="Book Antiqua" w:eastAsia="SimSun" w:hAnsi="Book Antiqua" w:cs="SimSun"/>
          <w:color w:val="000000"/>
          <w:sz w:val="24"/>
          <w:szCs w:val="24"/>
        </w:rPr>
      </w:pPr>
      <w:r w:rsidRPr="006F7827">
        <w:rPr>
          <w:rFonts w:ascii="Book Antiqua" w:eastAsia="SimSun" w:hAnsi="Book Antiqua" w:cs="SimSun"/>
          <w:color w:val="000000"/>
          <w:sz w:val="24"/>
          <w:szCs w:val="24"/>
        </w:rPr>
        <w:t>102 </w:t>
      </w:r>
      <w:r w:rsidRPr="006F7827">
        <w:rPr>
          <w:rFonts w:ascii="Book Antiqua" w:eastAsia="SimSun" w:hAnsi="Book Antiqua" w:cs="SimSun"/>
          <w:b/>
          <w:bCs/>
          <w:color w:val="000000"/>
          <w:sz w:val="24"/>
          <w:szCs w:val="24"/>
        </w:rPr>
        <w:t>Vincent JL</w:t>
      </w:r>
      <w:r w:rsidRPr="006F7827">
        <w:rPr>
          <w:rFonts w:ascii="Book Antiqua" w:eastAsia="SimSun" w:hAnsi="Book Antiqua" w:cs="SimSun"/>
          <w:color w:val="000000"/>
          <w:sz w:val="24"/>
          <w:szCs w:val="24"/>
        </w:rPr>
        <w:t xml:space="preserve">, Moreno R, Takala J, Willatts S, De Mendonça A, Bruining H, Reinhart CK, Suter PM, Thijs LG. The SOFA (Sepsis-related Organ Failure Assessment) score to describe organ dysfunction/failure. On behalf of the Working Group on Sepsis-Related Problems </w:t>
      </w:r>
      <w:r w:rsidRPr="006F7827">
        <w:rPr>
          <w:rFonts w:ascii="Book Antiqua" w:eastAsia="SimSun" w:hAnsi="Book Antiqua" w:cs="SimSun"/>
          <w:color w:val="000000"/>
          <w:sz w:val="24"/>
          <w:szCs w:val="24"/>
        </w:rPr>
        <w:lastRenderedPageBreak/>
        <w:t>of the European Society of Intensive Care Medicine. </w:t>
      </w:r>
      <w:r w:rsidRPr="006F7827">
        <w:rPr>
          <w:rFonts w:ascii="Book Antiqua" w:eastAsia="SimSun" w:hAnsi="Book Antiqua" w:cs="SimSun"/>
          <w:i/>
          <w:iCs/>
          <w:color w:val="000000"/>
          <w:sz w:val="24"/>
          <w:szCs w:val="24"/>
        </w:rPr>
        <w:t>Intensive Care Med</w:t>
      </w:r>
      <w:r w:rsidRPr="006F7827">
        <w:rPr>
          <w:rFonts w:ascii="Book Antiqua" w:eastAsia="SimSun" w:hAnsi="Book Antiqua" w:cs="SimSun"/>
          <w:color w:val="000000"/>
          <w:sz w:val="24"/>
          <w:szCs w:val="24"/>
        </w:rPr>
        <w:t> 1996; </w:t>
      </w:r>
      <w:r w:rsidRPr="006F7827">
        <w:rPr>
          <w:rFonts w:ascii="Book Antiqua" w:eastAsia="SimSun" w:hAnsi="Book Antiqua" w:cs="SimSun"/>
          <w:b/>
          <w:bCs/>
          <w:color w:val="000000"/>
          <w:sz w:val="24"/>
          <w:szCs w:val="24"/>
        </w:rPr>
        <w:t>22</w:t>
      </w:r>
      <w:r w:rsidRPr="006F7827">
        <w:rPr>
          <w:rFonts w:ascii="Book Antiqua" w:eastAsia="SimSun" w:hAnsi="Book Antiqua" w:cs="SimSun"/>
          <w:color w:val="000000"/>
          <w:sz w:val="24"/>
          <w:szCs w:val="24"/>
        </w:rPr>
        <w:t>: 707-710 [PMID: 8844239]</w:t>
      </w:r>
    </w:p>
    <w:p w14:paraId="6C86C826" w14:textId="77777777" w:rsidR="00422EBA" w:rsidRPr="006F7827" w:rsidRDefault="00422EBA" w:rsidP="00422EBA">
      <w:pPr>
        <w:spacing w:after="0" w:line="360" w:lineRule="auto"/>
        <w:jc w:val="both"/>
        <w:rPr>
          <w:rFonts w:ascii="Book Antiqua" w:eastAsia="SimSun" w:hAnsi="Book Antiqua" w:cs="SimSun"/>
          <w:color w:val="000000"/>
          <w:sz w:val="24"/>
          <w:szCs w:val="24"/>
        </w:rPr>
      </w:pPr>
      <w:r w:rsidRPr="006F7827">
        <w:rPr>
          <w:rFonts w:ascii="Book Antiqua" w:eastAsia="SimSun" w:hAnsi="Book Antiqua" w:cs="SimSun"/>
          <w:color w:val="000000"/>
          <w:sz w:val="24"/>
          <w:szCs w:val="24"/>
        </w:rPr>
        <w:t>103 </w:t>
      </w:r>
      <w:r w:rsidRPr="006F7827">
        <w:rPr>
          <w:rFonts w:ascii="Book Antiqua" w:eastAsia="SimSun" w:hAnsi="Book Antiqua" w:cs="SimSun"/>
          <w:b/>
          <w:bCs/>
          <w:color w:val="000000"/>
          <w:sz w:val="24"/>
          <w:szCs w:val="24"/>
        </w:rPr>
        <w:t>Moreau R</w:t>
      </w:r>
      <w:r w:rsidRPr="006F7827">
        <w:rPr>
          <w:rFonts w:ascii="Book Antiqua" w:eastAsia="SimSun" w:hAnsi="Book Antiqua" w:cs="SimSun"/>
          <w:color w:val="000000"/>
          <w:sz w:val="24"/>
          <w:szCs w:val="24"/>
        </w:rPr>
        <w:t>, Jalan R, Gines P, Pavesi M, Angeli P, Cordoba J, Durand F, Gustot T, Saliba F, Domenicali M, Gerbes A, Wendon J, Alessandria C, Laleman W, Zeuzem S, Trebicka J, Bernardi M, Arroyo V. Acute-on-chronic liver failure is a distinct syndrome that develops in patients with acute decompensation of cirrhosis. </w:t>
      </w:r>
      <w:r w:rsidRPr="006F7827">
        <w:rPr>
          <w:rFonts w:ascii="Book Antiqua" w:eastAsia="SimSun" w:hAnsi="Book Antiqua" w:cs="SimSun"/>
          <w:i/>
          <w:iCs/>
          <w:color w:val="000000"/>
          <w:sz w:val="24"/>
          <w:szCs w:val="24"/>
        </w:rPr>
        <w:t>Gastroenterology</w:t>
      </w:r>
      <w:r w:rsidRPr="006F7827">
        <w:rPr>
          <w:rFonts w:ascii="Book Antiqua" w:eastAsia="SimSun" w:hAnsi="Book Antiqua" w:cs="SimSun"/>
          <w:color w:val="000000"/>
          <w:sz w:val="24"/>
          <w:szCs w:val="24"/>
        </w:rPr>
        <w:t> 2013; </w:t>
      </w:r>
      <w:r w:rsidRPr="006F7827">
        <w:rPr>
          <w:rFonts w:ascii="Book Antiqua" w:eastAsia="SimSun" w:hAnsi="Book Antiqua" w:cs="SimSun"/>
          <w:b/>
          <w:bCs/>
          <w:color w:val="000000"/>
          <w:sz w:val="24"/>
          <w:szCs w:val="24"/>
        </w:rPr>
        <w:t>144</w:t>
      </w:r>
      <w:r w:rsidRPr="006F7827">
        <w:rPr>
          <w:rFonts w:ascii="Book Antiqua" w:eastAsia="SimSun" w:hAnsi="Book Antiqua" w:cs="SimSun"/>
          <w:color w:val="000000"/>
          <w:sz w:val="24"/>
          <w:szCs w:val="24"/>
        </w:rPr>
        <w:t>: 1426-137, 1426-137, [PMID: 23474284 DOI: 10.1053/j.gastro.2013.02.042]</w:t>
      </w:r>
    </w:p>
    <w:p w14:paraId="09B94C86" w14:textId="77777777" w:rsidR="00422EBA" w:rsidRPr="006F7827" w:rsidRDefault="00422EBA" w:rsidP="00422EBA">
      <w:pPr>
        <w:widowControl w:val="0"/>
        <w:spacing w:after="0" w:line="360" w:lineRule="auto"/>
        <w:jc w:val="both"/>
        <w:rPr>
          <w:rFonts w:ascii="Book Antiqua" w:eastAsia="SimSun" w:hAnsi="Book Antiqua" w:cs="SimSun"/>
          <w:color w:val="000000"/>
          <w:sz w:val="24"/>
          <w:szCs w:val="24"/>
          <w:lang w:val="en-US"/>
        </w:rPr>
      </w:pPr>
      <w:r w:rsidRPr="006F7827">
        <w:rPr>
          <w:rFonts w:ascii="Book Antiqua" w:eastAsia="SimSun" w:hAnsi="Book Antiqua" w:cs="SimSun"/>
          <w:color w:val="000000"/>
          <w:sz w:val="24"/>
          <w:szCs w:val="24"/>
        </w:rPr>
        <w:t xml:space="preserve">104 </w:t>
      </w:r>
      <w:r w:rsidRPr="006F7827">
        <w:rPr>
          <w:rFonts w:ascii="Book Antiqua" w:eastAsia="SimSun" w:hAnsi="Book Antiqua" w:cs="SimSun"/>
          <w:b/>
          <w:bCs/>
          <w:color w:val="000000"/>
          <w:sz w:val="24"/>
          <w:szCs w:val="24"/>
        </w:rPr>
        <w:t>Pan HC</w:t>
      </w:r>
      <w:r w:rsidRPr="006F7827">
        <w:rPr>
          <w:rFonts w:ascii="Book Antiqua" w:eastAsia="SimSun" w:hAnsi="Book Antiqua" w:cs="SimSun"/>
          <w:color w:val="000000"/>
          <w:sz w:val="24"/>
          <w:szCs w:val="24"/>
        </w:rPr>
        <w:t>, Jenq CC, Lee WC, Tsai MH, Fan PC, Chang CH, Chang MY, Tian YC, Hung CC, Fang JT, Yang CW, Chen YC. Scoring systems for predicting mortality after liver transplantation. </w:t>
      </w:r>
      <w:r w:rsidRPr="006F7827">
        <w:rPr>
          <w:rFonts w:ascii="Book Antiqua" w:eastAsia="SimSun" w:hAnsi="Book Antiqua" w:cs="SimSun"/>
          <w:i/>
          <w:iCs/>
          <w:color w:val="000000"/>
          <w:sz w:val="24"/>
          <w:szCs w:val="24"/>
        </w:rPr>
        <w:t>PLoS One</w:t>
      </w:r>
      <w:r w:rsidRPr="006F7827">
        <w:rPr>
          <w:rFonts w:ascii="Book Antiqua" w:eastAsia="SimSun" w:hAnsi="Book Antiqua" w:cs="SimSun"/>
          <w:color w:val="000000"/>
          <w:sz w:val="24"/>
          <w:szCs w:val="24"/>
        </w:rPr>
        <w:t> 2014; </w:t>
      </w:r>
      <w:r w:rsidRPr="006F7827">
        <w:rPr>
          <w:rFonts w:ascii="Book Antiqua" w:eastAsia="SimSun" w:hAnsi="Book Antiqua" w:cs="SimSun"/>
          <w:b/>
          <w:bCs/>
          <w:color w:val="000000"/>
          <w:sz w:val="24"/>
          <w:szCs w:val="24"/>
        </w:rPr>
        <w:t>9</w:t>
      </w:r>
      <w:r w:rsidRPr="006F7827">
        <w:rPr>
          <w:rFonts w:ascii="Book Antiqua" w:eastAsia="SimSun" w:hAnsi="Book Antiqua" w:cs="SimSun"/>
          <w:color w:val="000000"/>
          <w:sz w:val="24"/>
          <w:szCs w:val="24"/>
        </w:rPr>
        <w:t>: e107138 [PMID: 25216239 DOI: 10.1371/journal.pone.0107138]</w:t>
      </w:r>
    </w:p>
    <w:p w14:paraId="24B967C1" w14:textId="77777777" w:rsidR="00422EBA" w:rsidRPr="006F7827" w:rsidRDefault="00422EBA" w:rsidP="00422EBA">
      <w:pPr>
        <w:widowControl w:val="0"/>
        <w:spacing w:after="0" w:line="360" w:lineRule="auto"/>
        <w:jc w:val="both"/>
        <w:rPr>
          <w:rFonts w:ascii="Book Antiqua" w:eastAsia="SimSun" w:hAnsi="Book Antiqua" w:cs="SimSun"/>
          <w:color w:val="000000"/>
          <w:sz w:val="24"/>
          <w:szCs w:val="24"/>
        </w:rPr>
      </w:pPr>
      <w:r w:rsidRPr="006F7827">
        <w:rPr>
          <w:rFonts w:ascii="Book Antiqua" w:eastAsia="SimSun" w:hAnsi="Book Antiqua" w:cs="SimSun"/>
          <w:color w:val="000000"/>
          <w:sz w:val="24"/>
          <w:szCs w:val="24"/>
        </w:rPr>
        <w:t xml:space="preserve">105 </w:t>
      </w:r>
      <w:r w:rsidRPr="006F7827">
        <w:rPr>
          <w:rFonts w:ascii="Book Antiqua" w:eastAsia="SimSun" w:hAnsi="Book Antiqua" w:cs="SimSun"/>
          <w:b/>
          <w:bCs/>
          <w:color w:val="000000"/>
          <w:sz w:val="24"/>
          <w:szCs w:val="24"/>
        </w:rPr>
        <w:t>Elsayed FG</w:t>
      </w:r>
      <w:r w:rsidRPr="006F7827">
        <w:rPr>
          <w:rFonts w:ascii="Book Antiqua" w:eastAsia="SimSun" w:hAnsi="Book Antiqua" w:cs="SimSun"/>
          <w:color w:val="000000"/>
          <w:sz w:val="24"/>
          <w:szCs w:val="24"/>
        </w:rPr>
        <w:t>, Sholkamy AA, Elshazli M, Elshafie M, Naguib M. Comparison of different scoring systems in predicting short-term mortality after liver transplantation. </w:t>
      </w:r>
      <w:r w:rsidRPr="006F7827">
        <w:rPr>
          <w:rFonts w:ascii="Book Antiqua" w:eastAsia="SimSun" w:hAnsi="Book Antiqua" w:cs="SimSun"/>
          <w:i/>
          <w:iCs/>
          <w:color w:val="000000"/>
          <w:sz w:val="24"/>
          <w:szCs w:val="24"/>
        </w:rPr>
        <w:t>Transplant Proc</w:t>
      </w:r>
      <w:r w:rsidRPr="006F7827">
        <w:rPr>
          <w:rFonts w:ascii="Book Antiqua" w:eastAsia="SimSun" w:hAnsi="Book Antiqua" w:cs="SimSun"/>
          <w:color w:val="000000"/>
          <w:sz w:val="24"/>
          <w:szCs w:val="24"/>
        </w:rPr>
        <w:t> 2015; </w:t>
      </w:r>
      <w:r w:rsidRPr="006F7827">
        <w:rPr>
          <w:rFonts w:ascii="Book Antiqua" w:eastAsia="SimSun" w:hAnsi="Book Antiqua" w:cs="SimSun"/>
          <w:b/>
          <w:bCs/>
          <w:color w:val="000000"/>
          <w:sz w:val="24"/>
          <w:szCs w:val="24"/>
        </w:rPr>
        <w:t>47</w:t>
      </w:r>
      <w:r w:rsidRPr="006F7827">
        <w:rPr>
          <w:rFonts w:ascii="Book Antiqua" w:eastAsia="SimSun" w:hAnsi="Book Antiqua" w:cs="SimSun"/>
          <w:color w:val="000000"/>
          <w:sz w:val="24"/>
          <w:szCs w:val="24"/>
        </w:rPr>
        <w:t>: 1207-1210 [PMID: 26036555 DOI: 10.1016/j.transproceed.2014.11.067]</w:t>
      </w:r>
    </w:p>
    <w:p w14:paraId="77CE1DFE" w14:textId="77777777" w:rsidR="00422EBA" w:rsidRPr="008C15AB" w:rsidRDefault="00422EBA" w:rsidP="00422EBA">
      <w:pPr>
        <w:spacing w:after="0" w:line="360" w:lineRule="auto"/>
        <w:jc w:val="both"/>
        <w:rPr>
          <w:rFonts w:ascii="Book Antiqua" w:eastAsia="SimSun" w:hAnsi="Book Antiqua" w:cs="SimSun"/>
          <w:color w:val="000000"/>
          <w:sz w:val="24"/>
          <w:szCs w:val="24"/>
        </w:rPr>
      </w:pPr>
      <w:r w:rsidRPr="008C15AB">
        <w:rPr>
          <w:rFonts w:ascii="Book Antiqua" w:eastAsia="SimSun" w:hAnsi="Book Antiqua" w:cs="SimSun"/>
          <w:color w:val="000000"/>
          <w:sz w:val="24"/>
          <w:szCs w:val="24"/>
        </w:rPr>
        <w:t>106</w:t>
      </w:r>
      <w:r w:rsidRPr="006F7827">
        <w:rPr>
          <w:rFonts w:ascii="Book Antiqua" w:eastAsia="SimSun" w:hAnsi="Book Antiqua" w:cs="SimSun"/>
          <w:color w:val="000000"/>
          <w:sz w:val="24"/>
          <w:szCs w:val="24"/>
        </w:rPr>
        <w:t> </w:t>
      </w:r>
      <w:r w:rsidRPr="008C15AB">
        <w:rPr>
          <w:rFonts w:ascii="Book Antiqua" w:eastAsia="SimSun" w:hAnsi="Book Antiqua" w:cs="SimSun"/>
          <w:b/>
          <w:bCs/>
          <w:color w:val="000000"/>
          <w:sz w:val="24"/>
          <w:szCs w:val="24"/>
        </w:rPr>
        <w:t>Pareja E</w:t>
      </w:r>
      <w:r w:rsidRPr="008C15AB">
        <w:rPr>
          <w:rFonts w:ascii="Book Antiqua" w:eastAsia="SimSun" w:hAnsi="Book Antiqua" w:cs="SimSun"/>
          <w:color w:val="000000"/>
          <w:sz w:val="24"/>
          <w:szCs w:val="24"/>
        </w:rPr>
        <w:t>, Cortes M, Hervás D, Mir J, Valdivieso A, Castell JV, Lahoz A. A score model for the continuous grading of early allograft dysfunction severity.</w:t>
      </w:r>
      <w:r w:rsidRPr="006F7827">
        <w:rPr>
          <w:rFonts w:ascii="Book Antiqua" w:eastAsia="SimSun" w:hAnsi="Book Antiqua" w:cs="SimSun"/>
          <w:color w:val="000000"/>
          <w:sz w:val="24"/>
          <w:szCs w:val="24"/>
        </w:rPr>
        <w:t> </w:t>
      </w:r>
      <w:r w:rsidRPr="008C15AB">
        <w:rPr>
          <w:rFonts w:ascii="Book Antiqua" w:eastAsia="SimSun" w:hAnsi="Book Antiqua" w:cs="SimSun"/>
          <w:i/>
          <w:iCs/>
          <w:color w:val="000000"/>
          <w:sz w:val="24"/>
          <w:szCs w:val="24"/>
        </w:rPr>
        <w:t>Liver Transpl</w:t>
      </w:r>
      <w:r w:rsidRPr="006F7827">
        <w:rPr>
          <w:rFonts w:ascii="Book Antiqua" w:eastAsia="SimSun" w:hAnsi="Book Antiqua" w:cs="SimSun"/>
          <w:color w:val="000000"/>
          <w:sz w:val="24"/>
          <w:szCs w:val="24"/>
        </w:rPr>
        <w:t> </w:t>
      </w:r>
      <w:r w:rsidRPr="008C15AB">
        <w:rPr>
          <w:rFonts w:ascii="Book Antiqua" w:eastAsia="SimSun" w:hAnsi="Book Antiqua" w:cs="SimSun"/>
          <w:color w:val="000000"/>
          <w:sz w:val="24"/>
          <w:szCs w:val="24"/>
        </w:rPr>
        <w:t>2015;</w:t>
      </w:r>
      <w:r w:rsidRPr="006F7827">
        <w:rPr>
          <w:rFonts w:ascii="Book Antiqua" w:eastAsia="SimSun" w:hAnsi="Book Antiqua" w:cs="SimSun"/>
          <w:color w:val="000000"/>
          <w:sz w:val="24"/>
          <w:szCs w:val="24"/>
        </w:rPr>
        <w:t> </w:t>
      </w:r>
      <w:r w:rsidRPr="008C15AB">
        <w:rPr>
          <w:rFonts w:ascii="Book Antiqua" w:eastAsia="SimSun" w:hAnsi="Book Antiqua" w:cs="SimSun"/>
          <w:b/>
          <w:bCs/>
          <w:color w:val="000000"/>
          <w:sz w:val="24"/>
          <w:szCs w:val="24"/>
        </w:rPr>
        <w:t>21</w:t>
      </w:r>
      <w:r w:rsidRPr="008C15AB">
        <w:rPr>
          <w:rFonts w:ascii="Book Antiqua" w:eastAsia="SimSun" w:hAnsi="Book Antiqua" w:cs="SimSun"/>
          <w:color w:val="000000"/>
          <w:sz w:val="24"/>
          <w:szCs w:val="24"/>
        </w:rPr>
        <w:t>: 38-46 [PMID: 25204890 DOI: 10.1002/lt.23990]</w:t>
      </w:r>
    </w:p>
    <w:p w14:paraId="39619308" w14:textId="77777777" w:rsidR="00422EBA" w:rsidRPr="006F7827" w:rsidRDefault="00422EBA" w:rsidP="00422EBA">
      <w:pPr>
        <w:spacing w:after="0" w:line="360" w:lineRule="auto"/>
        <w:jc w:val="both"/>
        <w:rPr>
          <w:rFonts w:ascii="Book Antiqua" w:eastAsia="SimSun" w:hAnsi="Book Antiqua" w:cs="SimSun"/>
          <w:color w:val="000000"/>
          <w:sz w:val="24"/>
          <w:szCs w:val="24"/>
        </w:rPr>
      </w:pPr>
      <w:r w:rsidRPr="006F7827">
        <w:rPr>
          <w:rFonts w:ascii="Book Antiqua" w:eastAsia="SimSun" w:hAnsi="Book Antiqua" w:cs="SimSun"/>
          <w:color w:val="000000"/>
          <w:sz w:val="24"/>
          <w:szCs w:val="24"/>
        </w:rPr>
        <w:t>107 </w:t>
      </w:r>
      <w:r w:rsidRPr="006F7827">
        <w:rPr>
          <w:rFonts w:ascii="Book Antiqua" w:eastAsia="SimSun" w:hAnsi="Book Antiqua" w:cs="SimSun"/>
          <w:b/>
          <w:bCs/>
          <w:color w:val="000000"/>
          <w:sz w:val="24"/>
          <w:szCs w:val="24"/>
        </w:rPr>
        <w:t>Broering DC</w:t>
      </w:r>
      <w:r w:rsidRPr="006F7827">
        <w:rPr>
          <w:rFonts w:ascii="Book Antiqua" w:eastAsia="SimSun" w:hAnsi="Book Antiqua" w:cs="SimSun"/>
          <w:color w:val="000000"/>
          <w:sz w:val="24"/>
          <w:szCs w:val="24"/>
        </w:rPr>
        <w:t>, Topp S, Schaefer U, Fischer L, Gundlach M, Sterneck M, Schoder V, Pothmann W, Rogiers X. Split liver transplantation and risk to the adult recipient: analysis using matched pairs. </w:t>
      </w:r>
      <w:r w:rsidRPr="006F7827">
        <w:rPr>
          <w:rFonts w:ascii="Book Antiqua" w:eastAsia="SimSun" w:hAnsi="Book Antiqua" w:cs="SimSun"/>
          <w:i/>
          <w:iCs/>
          <w:color w:val="000000"/>
          <w:sz w:val="24"/>
          <w:szCs w:val="24"/>
        </w:rPr>
        <w:t>J Am Coll Surg</w:t>
      </w:r>
      <w:r w:rsidRPr="006F7827">
        <w:rPr>
          <w:rFonts w:ascii="Book Antiqua" w:eastAsia="SimSun" w:hAnsi="Book Antiqua" w:cs="SimSun"/>
          <w:color w:val="000000"/>
          <w:sz w:val="24"/>
          <w:szCs w:val="24"/>
        </w:rPr>
        <w:t> 2002; </w:t>
      </w:r>
      <w:r w:rsidRPr="006F7827">
        <w:rPr>
          <w:rFonts w:ascii="Book Antiqua" w:eastAsia="SimSun" w:hAnsi="Book Antiqua" w:cs="SimSun"/>
          <w:b/>
          <w:bCs/>
          <w:color w:val="000000"/>
          <w:sz w:val="24"/>
          <w:szCs w:val="24"/>
        </w:rPr>
        <w:t>195</w:t>
      </w:r>
      <w:r w:rsidRPr="006F7827">
        <w:rPr>
          <w:rFonts w:ascii="Book Antiqua" w:eastAsia="SimSun" w:hAnsi="Book Antiqua" w:cs="SimSun"/>
          <w:color w:val="000000"/>
          <w:sz w:val="24"/>
          <w:szCs w:val="24"/>
        </w:rPr>
        <w:t>: 648-657 [PMID: 12437252]</w:t>
      </w:r>
    </w:p>
    <w:p w14:paraId="6F527A30" w14:textId="77777777" w:rsidR="00422EBA" w:rsidRPr="006F7827" w:rsidRDefault="00422EBA" w:rsidP="00422EBA">
      <w:pPr>
        <w:spacing w:after="0" w:line="360" w:lineRule="auto"/>
        <w:jc w:val="both"/>
        <w:rPr>
          <w:rFonts w:ascii="Book Antiqua" w:eastAsia="SimSun" w:hAnsi="Book Antiqua" w:cs="SimSun"/>
          <w:color w:val="000000"/>
          <w:sz w:val="24"/>
          <w:szCs w:val="24"/>
        </w:rPr>
      </w:pPr>
      <w:r w:rsidRPr="006F7827">
        <w:rPr>
          <w:rFonts w:ascii="Book Antiqua" w:eastAsia="SimSun" w:hAnsi="Book Antiqua" w:cs="SimSun"/>
          <w:color w:val="000000"/>
          <w:sz w:val="24"/>
          <w:szCs w:val="24"/>
        </w:rPr>
        <w:t>108 </w:t>
      </w:r>
      <w:r w:rsidRPr="006F7827">
        <w:rPr>
          <w:rFonts w:ascii="Book Antiqua" w:eastAsia="SimSun" w:hAnsi="Book Antiqua" w:cs="SimSun"/>
          <w:b/>
          <w:bCs/>
          <w:color w:val="000000"/>
          <w:sz w:val="24"/>
          <w:szCs w:val="24"/>
        </w:rPr>
        <w:t>Nanashima A</w:t>
      </w:r>
      <w:r w:rsidRPr="006F7827">
        <w:rPr>
          <w:rFonts w:ascii="Book Antiqua" w:eastAsia="SimSun" w:hAnsi="Book Antiqua" w:cs="SimSun"/>
          <w:color w:val="000000"/>
          <w:sz w:val="24"/>
          <w:szCs w:val="24"/>
        </w:rPr>
        <w:t>, Pillay P, Verran DJ, Painter D, Nakasuji M, Crawford M, Shi L, Ross AG. Analysis of initial poor graft function after orthotopic liver transplantation: experience of an australian single liver transplantation center. </w:t>
      </w:r>
      <w:r w:rsidRPr="006F7827">
        <w:rPr>
          <w:rFonts w:ascii="Book Antiqua" w:eastAsia="SimSun" w:hAnsi="Book Antiqua" w:cs="SimSun"/>
          <w:i/>
          <w:iCs/>
          <w:color w:val="000000"/>
          <w:sz w:val="24"/>
          <w:szCs w:val="24"/>
        </w:rPr>
        <w:t>Transplant Proc</w:t>
      </w:r>
      <w:r w:rsidRPr="006F7827">
        <w:rPr>
          <w:rFonts w:ascii="Book Antiqua" w:eastAsia="SimSun" w:hAnsi="Book Antiqua" w:cs="SimSun"/>
          <w:color w:val="000000"/>
          <w:sz w:val="24"/>
          <w:szCs w:val="24"/>
        </w:rPr>
        <w:t> 2002; </w:t>
      </w:r>
      <w:r w:rsidRPr="006F7827">
        <w:rPr>
          <w:rFonts w:ascii="Book Antiqua" w:eastAsia="SimSun" w:hAnsi="Book Antiqua" w:cs="SimSun"/>
          <w:b/>
          <w:bCs/>
          <w:color w:val="000000"/>
          <w:sz w:val="24"/>
          <w:szCs w:val="24"/>
        </w:rPr>
        <w:t>34</w:t>
      </w:r>
      <w:r w:rsidRPr="006F7827">
        <w:rPr>
          <w:rFonts w:ascii="Book Antiqua" w:eastAsia="SimSun" w:hAnsi="Book Antiqua" w:cs="SimSun"/>
          <w:color w:val="000000"/>
          <w:sz w:val="24"/>
          <w:szCs w:val="24"/>
        </w:rPr>
        <w:t>: 1231-1235 [PMID: 12072325]</w:t>
      </w:r>
    </w:p>
    <w:p w14:paraId="4A266CF0" w14:textId="77777777" w:rsidR="00422EBA" w:rsidRPr="006F7827" w:rsidRDefault="00422EBA" w:rsidP="00422EBA">
      <w:pPr>
        <w:spacing w:after="0" w:line="360" w:lineRule="auto"/>
        <w:jc w:val="both"/>
        <w:rPr>
          <w:rFonts w:ascii="Book Antiqua" w:eastAsia="SimSun" w:hAnsi="Book Antiqua" w:cs="SimSun"/>
          <w:color w:val="000000"/>
          <w:sz w:val="24"/>
          <w:szCs w:val="24"/>
        </w:rPr>
      </w:pPr>
      <w:r w:rsidRPr="006F7827">
        <w:rPr>
          <w:rFonts w:ascii="Book Antiqua" w:eastAsia="SimSun" w:hAnsi="Book Antiqua" w:cs="SimSun"/>
          <w:color w:val="000000"/>
          <w:sz w:val="24"/>
          <w:szCs w:val="24"/>
        </w:rPr>
        <w:t>109 </w:t>
      </w:r>
      <w:r w:rsidRPr="006F7827">
        <w:rPr>
          <w:rFonts w:ascii="Book Antiqua" w:eastAsia="SimSun" w:hAnsi="Book Antiqua" w:cs="SimSun"/>
          <w:b/>
          <w:bCs/>
          <w:color w:val="000000"/>
          <w:sz w:val="24"/>
          <w:szCs w:val="24"/>
        </w:rPr>
        <w:t>Heise M</w:t>
      </w:r>
      <w:r w:rsidRPr="006F7827">
        <w:rPr>
          <w:rFonts w:ascii="Book Antiqua" w:eastAsia="SimSun" w:hAnsi="Book Antiqua" w:cs="SimSun"/>
          <w:color w:val="000000"/>
          <w:sz w:val="24"/>
          <w:szCs w:val="24"/>
        </w:rPr>
        <w:t>, Settmacher U, Pfitzmann R, Wünscher U, Müller AR, Jonas S, Neuhaus P. A survival-based scoring-system for initial graft function following orthotopic liver transplantation. </w:t>
      </w:r>
      <w:r w:rsidRPr="006F7827">
        <w:rPr>
          <w:rFonts w:ascii="Book Antiqua" w:eastAsia="SimSun" w:hAnsi="Book Antiqua" w:cs="SimSun"/>
          <w:i/>
          <w:iCs/>
          <w:color w:val="000000"/>
          <w:sz w:val="24"/>
          <w:szCs w:val="24"/>
        </w:rPr>
        <w:t>Transpl Int</w:t>
      </w:r>
      <w:r w:rsidRPr="006F7827">
        <w:rPr>
          <w:rFonts w:ascii="Book Antiqua" w:eastAsia="SimSun" w:hAnsi="Book Antiqua" w:cs="SimSun"/>
          <w:color w:val="000000"/>
          <w:sz w:val="24"/>
          <w:szCs w:val="24"/>
        </w:rPr>
        <w:t> 2003; </w:t>
      </w:r>
      <w:r w:rsidRPr="006F7827">
        <w:rPr>
          <w:rFonts w:ascii="Book Antiqua" w:eastAsia="SimSun" w:hAnsi="Book Antiqua" w:cs="SimSun"/>
          <w:b/>
          <w:bCs/>
          <w:color w:val="000000"/>
          <w:sz w:val="24"/>
          <w:szCs w:val="24"/>
        </w:rPr>
        <w:t>16</w:t>
      </w:r>
      <w:r w:rsidRPr="006F7827">
        <w:rPr>
          <w:rFonts w:ascii="Book Antiqua" w:eastAsia="SimSun" w:hAnsi="Book Antiqua" w:cs="SimSun"/>
          <w:color w:val="000000"/>
          <w:sz w:val="24"/>
          <w:szCs w:val="24"/>
        </w:rPr>
        <w:t>: 794-800 [PMID: 12844216 DOI: 10.1007/s00147-003-0625-z]</w:t>
      </w:r>
    </w:p>
    <w:p w14:paraId="3F2E0370" w14:textId="77777777" w:rsidR="00422EBA" w:rsidRPr="006F7827" w:rsidRDefault="00422EBA" w:rsidP="00422EBA">
      <w:pPr>
        <w:spacing w:after="0" w:line="360" w:lineRule="auto"/>
        <w:jc w:val="both"/>
        <w:rPr>
          <w:rFonts w:ascii="Book Antiqua" w:eastAsia="SimSun" w:hAnsi="Book Antiqua" w:cs="SimSun"/>
          <w:color w:val="000000"/>
          <w:sz w:val="24"/>
          <w:szCs w:val="24"/>
        </w:rPr>
      </w:pPr>
      <w:r w:rsidRPr="006F7827">
        <w:rPr>
          <w:rFonts w:ascii="Book Antiqua" w:eastAsia="SimSun" w:hAnsi="Book Antiqua" w:cs="SimSun"/>
          <w:color w:val="000000"/>
          <w:sz w:val="24"/>
          <w:szCs w:val="24"/>
        </w:rPr>
        <w:t>110 </w:t>
      </w:r>
      <w:r w:rsidRPr="006F7827">
        <w:rPr>
          <w:rFonts w:ascii="Book Antiqua" w:eastAsia="SimSun" w:hAnsi="Book Antiqua" w:cs="SimSun"/>
          <w:b/>
          <w:bCs/>
          <w:color w:val="000000"/>
          <w:sz w:val="24"/>
          <w:szCs w:val="24"/>
        </w:rPr>
        <w:t>Tekin K</w:t>
      </w:r>
      <w:r w:rsidRPr="006F7827">
        <w:rPr>
          <w:rFonts w:ascii="Book Antiqua" w:eastAsia="SimSun" w:hAnsi="Book Antiqua" w:cs="SimSun"/>
          <w:color w:val="000000"/>
          <w:sz w:val="24"/>
          <w:szCs w:val="24"/>
        </w:rPr>
        <w:t xml:space="preserve">, Imber CJ, Atli M, Gunson BK, Bramhall SR, Mayer D, Buckels JA, McMaster P, Mirza DF. A simple scoring system to evaluate the effects of cold ischemia on marginal </w:t>
      </w:r>
      <w:r w:rsidRPr="006F7827">
        <w:rPr>
          <w:rFonts w:ascii="Book Antiqua" w:eastAsia="SimSun" w:hAnsi="Book Antiqua" w:cs="SimSun"/>
          <w:color w:val="000000"/>
          <w:sz w:val="24"/>
          <w:szCs w:val="24"/>
        </w:rPr>
        <w:lastRenderedPageBreak/>
        <w:t>liver donors. </w:t>
      </w:r>
      <w:r w:rsidRPr="006F7827">
        <w:rPr>
          <w:rFonts w:ascii="Book Antiqua" w:eastAsia="SimSun" w:hAnsi="Book Antiqua" w:cs="SimSun"/>
          <w:i/>
          <w:iCs/>
          <w:color w:val="000000"/>
          <w:sz w:val="24"/>
          <w:szCs w:val="24"/>
        </w:rPr>
        <w:t>Transplantation</w:t>
      </w:r>
      <w:r w:rsidRPr="006F7827">
        <w:rPr>
          <w:rFonts w:ascii="Book Antiqua" w:eastAsia="SimSun" w:hAnsi="Book Antiqua" w:cs="SimSun"/>
          <w:color w:val="000000"/>
          <w:sz w:val="24"/>
          <w:szCs w:val="24"/>
        </w:rPr>
        <w:t> 2004; </w:t>
      </w:r>
      <w:r w:rsidRPr="006F7827">
        <w:rPr>
          <w:rFonts w:ascii="Book Antiqua" w:eastAsia="SimSun" w:hAnsi="Book Antiqua" w:cs="SimSun"/>
          <w:b/>
          <w:bCs/>
          <w:color w:val="000000"/>
          <w:sz w:val="24"/>
          <w:szCs w:val="24"/>
        </w:rPr>
        <w:t>77</w:t>
      </w:r>
      <w:r w:rsidRPr="006F7827">
        <w:rPr>
          <w:rFonts w:ascii="Book Antiqua" w:eastAsia="SimSun" w:hAnsi="Book Antiqua" w:cs="SimSun"/>
          <w:color w:val="000000"/>
          <w:sz w:val="24"/>
          <w:szCs w:val="24"/>
        </w:rPr>
        <w:t>: 411-416 [PMID: 14966416 DOI: 10.1097/01.TP.0000110318.70879.20]</w:t>
      </w:r>
    </w:p>
    <w:p w14:paraId="6346A7C4" w14:textId="77777777" w:rsidR="00422EBA" w:rsidRPr="006F7827" w:rsidRDefault="00422EBA" w:rsidP="00422EBA">
      <w:pPr>
        <w:spacing w:after="0" w:line="360" w:lineRule="auto"/>
        <w:jc w:val="both"/>
        <w:rPr>
          <w:rFonts w:ascii="Book Antiqua" w:eastAsia="SimSun" w:hAnsi="Book Antiqua" w:cs="SimSun"/>
          <w:color w:val="000000"/>
          <w:sz w:val="24"/>
          <w:szCs w:val="24"/>
        </w:rPr>
      </w:pPr>
      <w:r w:rsidRPr="006F7827">
        <w:rPr>
          <w:rFonts w:ascii="Book Antiqua" w:eastAsia="SimSun" w:hAnsi="Book Antiqua" w:cs="SimSun"/>
          <w:color w:val="000000"/>
          <w:sz w:val="24"/>
          <w:szCs w:val="24"/>
        </w:rPr>
        <w:t>111 </w:t>
      </w:r>
      <w:r w:rsidRPr="006F7827">
        <w:rPr>
          <w:rFonts w:ascii="Book Antiqua" w:eastAsia="SimSun" w:hAnsi="Book Antiqua" w:cs="SimSun"/>
          <w:b/>
          <w:bCs/>
          <w:color w:val="000000"/>
          <w:sz w:val="24"/>
          <w:szCs w:val="24"/>
        </w:rPr>
        <w:t>Ben-Ari Z</w:t>
      </w:r>
      <w:r w:rsidRPr="006F7827">
        <w:rPr>
          <w:rFonts w:ascii="Book Antiqua" w:eastAsia="SimSun" w:hAnsi="Book Antiqua" w:cs="SimSun"/>
          <w:color w:val="000000"/>
          <w:sz w:val="24"/>
          <w:szCs w:val="24"/>
        </w:rPr>
        <w:t>, Weiss-Schmilovitz H, Sulkes J, Brown M, Bar-Nathan N, Shaharabani E, Yussim A, Shapira Z, Tur-Kaspa R, Mor E. Serum cholestasis markers as predictors of early outcome after liver transplantation. </w:t>
      </w:r>
      <w:r w:rsidRPr="006F7827">
        <w:rPr>
          <w:rFonts w:ascii="Book Antiqua" w:eastAsia="SimSun" w:hAnsi="Book Antiqua" w:cs="SimSun"/>
          <w:i/>
          <w:iCs/>
          <w:color w:val="000000"/>
          <w:sz w:val="24"/>
          <w:szCs w:val="24"/>
        </w:rPr>
        <w:t>Clin Transplant</w:t>
      </w:r>
      <w:r w:rsidRPr="006F7827">
        <w:rPr>
          <w:rFonts w:ascii="Book Antiqua" w:eastAsia="SimSun" w:hAnsi="Book Antiqua" w:cs="SimSun"/>
          <w:color w:val="000000"/>
          <w:sz w:val="24"/>
          <w:szCs w:val="24"/>
        </w:rPr>
        <w:t> 2004; </w:t>
      </w:r>
      <w:r w:rsidRPr="006F7827">
        <w:rPr>
          <w:rFonts w:ascii="Book Antiqua" w:eastAsia="SimSun" w:hAnsi="Book Antiqua" w:cs="SimSun"/>
          <w:b/>
          <w:bCs/>
          <w:color w:val="000000"/>
          <w:sz w:val="24"/>
          <w:szCs w:val="24"/>
        </w:rPr>
        <w:t>18</w:t>
      </w:r>
      <w:r w:rsidRPr="006F7827">
        <w:rPr>
          <w:rFonts w:ascii="Book Antiqua" w:eastAsia="SimSun" w:hAnsi="Book Antiqua" w:cs="SimSun"/>
          <w:color w:val="000000"/>
          <w:sz w:val="24"/>
          <w:szCs w:val="24"/>
        </w:rPr>
        <w:t>: 130-136 [PMID: 15016125 DOI: 10.1046/j.1399-0012.2003.00135.x]</w:t>
      </w:r>
    </w:p>
    <w:p w14:paraId="289F005E" w14:textId="77777777" w:rsidR="00422EBA" w:rsidRPr="008C15AB" w:rsidRDefault="00422EBA" w:rsidP="00422EBA">
      <w:pPr>
        <w:spacing w:after="0" w:line="360" w:lineRule="auto"/>
        <w:jc w:val="both"/>
        <w:rPr>
          <w:rFonts w:ascii="Book Antiqua" w:eastAsia="SimSun" w:hAnsi="Book Antiqua" w:cs="SimSun"/>
          <w:color w:val="000000"/>
          <w:sz w:val="24"/>
          <w:szCs w:val="24"/>
        </w:rPr>
      </w:pPr>
      <w:r w:rsidRPr="008C15AB">
        <w:rPr>
          <w:rFonts w:ascii="Book Antiqua" w:eastAsia="SimSun" w:hAnsi="Book Antiqua" w:cs="SimSun"/>
          <w:color w:val="000000"/>
          <w:sz w:val="24"/>
          <w:szCs w:val="24"/>
        </w:rPr>
        <w:t>112</w:t>
      </w:r>
      <w:r w:rsidRPr="006F7827">
        <w:rPr>
          <w:rFonts w:ascii="Book Antiqua" w:eastAsia="SimSun" w:hAnsi="Book Antiqua" w:cs="SimSun"/>
          <w:color w:val="000000"/>
          <w:sz w:val="24"/>
          <w:szCs w:val="24"/>
        </w:rPr>
        <w:t> </w:t>
      </w:r>
      <w:r w:rsidRPr="008C15AB">
        <w:rPr>
          <w:rFonts w:ascii="Book Antiqua" w:eastAsia="SimSun" w:hAnsi="Book Antiqua" w:cs="SimSun"/>
          <w:b/>
          <w:bCs/>
          <w:color w:val="000000"/>
          <w:sz w:val="24"/>
          <w:szCs w:val="24"/>
        </w:rPr>
        <w:t>Kremers WK</w:t>
      </w:r>
      <w:r w:rsidRPr="008C15AB">
        <w:rPr>
          <w:rFonts w:ascii="Book Antiqua" w:eastAsia="SimSun" w:hAnsi="Book Antiqua" w:cs="SimSun"/>
          <w:color w:val="000000"/>
          <w:sz w:val="24"/>
          <w:szCs w:val="24"/>
        </w:rPr>
        <w:t>, van IJperen M, Kim WR, Freeman RB, Harper AM, Kamath PS, Wiesner RH. MELD score as a predictor of pretransplant and posttransplant survival in OPTN/UNOS status 1 patients.</w:t>
      </w:r>
      <w:r w:rsidRPr="006F7827">
        <w:rPr>
          <w:rFonts w:ascii="Book Antiqua" w:eastAsia="SimSun" w:hAnsi="Book Antiqua" w:cs="SimSun"/>
          <w:color w:val="000000"/>
          <w:sz w:val="24"/>
          <w:szCs w:val="24"/>
        </w:rPr>
        <w:t> </w:t>
      </w:r>
      <w:r w:rsidRPr="008C15AB">
        <w:rPr>
          <w:rFonts w:ascii="Book Antiqua" w:eastAsia="SimSun" w:hAnsi="Book Antiqua" w:cs="SimSun"/>
          <w:i/>
          <w:iCs/>
          <w:color w:val="000000"/>
          <w:sz w:val="24"/>
          <w:szCs w:val="24"/>
        </w:rPr>
        <w:t>Hepatology</w:t>
      </w:r>
      <w:r w:rsidRPr="006F7827">
        <w:rPr>
          <w:rFonts w:ascii="Book Antiqua" w:eastAsia="SimSun" w:hAnsi="Book Antiqua" w:cs="SimSun"/>
          <w:color w:val="000000"/>
          <w:sz w:val="24"/>
          <w:szCs w:val="24"/>
        </w:rPr>
        <w:t> </w:t>
      </w:r>
      <w:r w:rsidRPr="008C15AB">
        <w:rPr>
          <w:rFonts w:ascii="Book Antiqua" w:eastAsia="SimSun" w:hAnsi="Book Antiqua" w:cs="SimSun"/>
          <w:color w:val="000000"/>
          <w:sz w:val="24"/>
          <w:szCs w:val="24"/>
        </w:rPr>
        <w:t>2004;</w:t>
      </w:r>
      <w:r w:rsidRPr="006F7827">
        <w:rPr>
          <w:rFonts w:ascii="Book Antiqua" w:eastAsia="SimSun" w:hAnsi="Book Antiqua" w:cs="SimSun"/>
          <w:color w:val="000000"/>
          <w:sz w:val="24"/>
          <w:szCs w:val="24"/>
        </w:rPr>
        <w:t> </w:t>
      </w:r>
      <w:r w:rsidRPr="008C15AB">
        <w:rPr>
          <w:rFonts w:ascii="Book Antiqua" w:eastAsia="SimSun" w:hAnsi="Book Antiqua" w:cs="SimSun"/>
          <w:b/>
          <w:bCs/>
          <w:color w:val="000000"/>
          <w:sz w:val="24"/>
          <w:szCs w:val="24"/>
        </w:rPr>
        <w:t>39</w:t>
      </w:r>
      <w:r w:rsidRPr="008C15AB">
        <w:rPr>
          <w:rFonts w:ascii="Book Antiqua" w:eastAsia="SimSun" w:hAnsi="Book Antiqua" w:cs="SimSun"/>
          <w:color w:val="000000"/>
          <w:sz w:val="24"/>
          <w:szCs w:val="24"/>
        </w:rPr>
        <w:t>: 764-769 [PMID: 14999695 DOI: 10.1002/hep.20083]</w:t>
      </w:r>
    </w:p>
    <w:p w14:paraId="76DDDAC8" w14:textId="77777777" w:rsidR="00422EBA" w:rsidRPr="006F7827" w:rsidRDefault="00422EBA" w:rsidP="00422EBA">
      <w:pPr>
        <w:spacing w:after="0" w:line="360" w:lineRule="auto"/>
        <w:jc w:val="both"/>
        <w:rPr>
          <w:rFonts w:ascii="Book Antiqua" w:eastAsia="SimSun" w:hAnsi="Book Antiqua" w:cs="SimSun"/>
          <w:color w:val="000000"/>
          <w:sz w:val="24"/>
          <w:szCs w:val="24"/>
        </w:rPr>
      </w:pPr>
      <w:r w:rsidRPr="006F7827">
        <w:rPr>
          <w:rFonts w:ascii="Book Antiqua" w:eastAsia="SimSun" w:hAnsi="Book Antiqua" w:cs="SimSun"/>
          <w:color w:val="000000"/>
          <w:sz w:val="24"/>
          <w:szCs w:val="24"/>
        </w:rPr>
        <w:t>113 </w:t>
      </w:r>
      <w:r w:rsidRPr="006F7827">
        <w:rPr>
          <w:rFonts w:ascii="Book Antiqua" w:eastAsia="SimSun" w:hAnsi="Book Antiqua" w:cs="SimSun"/>
          <w:b/>
          <w:bCs/>
          <w:color w:val="000000"/>
          <w:sz w:val="24"/>
          <w:szCs w:val="24"/>
        </w:rPr>
        <w:t>Pokorny H</w:t>
      </w:r>
      <w:r w:rsidRPr="006F7827">
        <w:rPr>
          <w:rFonts w:ascii="Book Antiqua" w:eastAsia="SimSun" w:hAnsi="Book Antiqua" w:cs="SimSun"/>
          <w:color w:val="000000"/>
          <w:sz w:val="24"/>
          <w:szCs w:val="24"/>
        </w:rPr>
        <w:t>, Langer F, Herkner H, Schernberger R, Plöchl W, Soliman T, Steininger R, Muehlbacher F. Influence of cumulative number of marginal donor criteria on primary organ dysfunction in liver recipients. </w:t>
      </w:r>
      <w:r w:rsidRPr="006F7827">
        <w:rPr>
          <w:rFonts w:ascii="Book Antiqua" w:eastAsia="SimSun" w:hAnsi="Book Antiqua" w:cs="SimSun"/>
          <w:i/>
          <w:iCs/>
          <w:color w:val="000000"/>
          <w:sz w:val="24"/>
          <w:szCs w:val="24"/>
        </w:rPr>
        <w:t>Clin Transplant</w:t>
      </w:r>
      <w:r w:rsidRPr="006F7827">
        <w:rPr>
          <w:rFonts w:ascii="Book Antiqua" w:eastAsia="SimSun" w:hAnsi="Book Antiqua" w:cs="SimSun"/>
          <w:color w:val="000000"/>
          <w:sz w:val="24"/>
          <w:szCs w:val="24"/>
        </w:rPr>
        <w:t> 2005; </w:t>
      </w:r>
      <w:r w:rsidRPr="006F7827">
        <w:rPr>
          <w:rFonts w:ascii="Book Antiqua" w:eastAsia="SimSun" w:hAnsi="Book Antiqua" w:cs="SimSun"/>
          <w:b/>
          <w:bCs/>
          <w:color w:val="000000"/>
          <w:sz w:val="24"/>
          <w:szCs w:val="24"/>
        </w:rPr>
        <w:t>19</w:t>
      </w:r>
      <w:r w:rsidRPr="006F7827">
        <w:rPr>
          <w:rFonts w:ascii="Book Antiqua" w:eastAsia="SimSun" w:hAnsi="Book Antiqua" w:cs="SimSun"/>
          <w:color w:val="000000"/>
          <w:sz w:val="24"/>
          <w:szCs w:val="24"/>
        </w:rPr>
        <w:t>: 532-536 [PMID: 16008601 DOI: 10.1111/j.1399-0012.2005.00384.x]</w:t>
      </w:r>
    </w:p>
    <w:p w14:paraId="381F132F" w14:textId="77777777" w:rsidR="00422EBA" w:rsidRPr="008C15AB" w:rsidRDefault="00422EBA" w:rsidP="00422EBA">
      <w:pPr>
        <w:spacing w:after="0" w:line="360" w:lineRule="auto"/>
        <w:jc w:val="both"/>
        <w:rPr>
          <w:rFonts w:ascii="Book Antiqua" w:eastAsia="SimSun" w:hAnsi="Book Antiqua" w:cs="SimSun"/>
          <w:color w:val="000000"/>
          <w:sz w:val="24"/>
          <w:szCs w:val="24"/>
        </w:rPr>
      </w:pPr>
      <w:r w:rsidRPr="008C15AB">
        <w:rPr>
          <w:rFonts w:ascii="Book Antiqua" w:eastAsia="SimSun" w:hAnsi="Book Antiqua" w:cs="SimSun"/>
          <w:color w:val="000000"/>
          <w:sz w:val="24"/>
          <w:szCs w:val="24"/>
        </w:rPr>
        <w:t>114</w:t>
      </w:r>
      <w:r w:rsidRPr="006F7827">
        <w:rPr>
          <w:rFonts w:ascii="Book Antiqua" w:eastAsia="SimSun" w:hAnsi="Book Antiqua" w:cs="SimSun"/>
          <w:color w:val="000000"/>
          <w:sz w:val="24"/>
          <w:szCs w:val="24"/>
        </w:rPr>
        <w:t> </w:t>
      </w:r>
      <w:r w:rsidRPr="008C15AB">
        <w:rPr>
          <w:rFonts w:ascii="Book Antiqua" w:eastAsia="SimSun" w:hAnsi="Book Antiqua" w:cs="SimSun"/>
          <w:b/>
          <w:bCs/>
          <w:color w:val="000000"/>
          <w:sz w:val="24"/>
          <w:szCs w:val="24"/>
        </w:rPr>
        <w:t>Monbaliu D</w:t>
      </w:r>
      <w:r w:rsidRPr="008C15AB">
        <w:rPr>
          <w:rFonts w:ascii="Book Antiqua" w:eastAsia="SimSun" w:hAnsi="Book Antiqua" w:cs="SimSun"/>
          <w:color w:val="000000"/>
          <w:sz w:val="24"/>
          <w:szCs w:val="24"/>
        </w:rPr>
        <w:t>, Libbrecht L, De Vos R, Vekemans K, Walter H, Liu Q, Heedfeld V, Goossens V, Pirenne J, Roskams T. The extent of vacuolation in non-heart-beating porcine donor liver grafts prior to transplantation predicts their viability.</w:t>
      </w:r>
      <w:r w:rsidRPr="006F7827">
        <w:rPr>
          <w:rFonts w:ascii="Book Antiqua" w:eastAsia="SimSun" w:hAnsi="Book Antiqua" w:cs="SimSun"/>
          <w:color w:val="000000"/>
          <w:sz w:val="24"/>
          <w:szCs w:val="24"/>
        </w:rPr>
        <w:t> </w:t>
      </w:r>
      <w:r w:rsidRPr="008C15AB">
        <w:rPr>
          <w:rFonts w:ascii="Book Antiqua" w:eastAsia="SimSun" w:hAnsi="Book Antiqua" w:cs="SimSun"/>
          <w:i/>
          <w:iCs/>
          <w:color w:val="000000"/>
          <w:sz w:val="24"/>
          <w:szCs w:val="24"/>
        </w:rPr>
        <w:t>Liver Transpl</w:t>
      </w:r>
      <w:r w:rsidRPr="006F7827">
        <w:rPr>
          <w:rFonts w:ascii="Book Antiqua" w:eastAsia="SimSun" w:hAnsi="Book Antiqua" w:cs="SimSun"/>
          <w:color w:val="000000"/>
          <w:sz w:val="24"/>
          <w:szCs w:val="24"/>
        </w:rPr>
        <w:t> </w:t>
      </w:r>
      <w:r w:rsidRPr="008C15AB">
        <w:rPr>
          <w:rFonts w:ascii="Book Antiqua" w:eastAsia="SimSun" w:hAnsi="Book Antiqua" w:cs="SimSun"/>
          <w:color w:val="000000"/>
          <w:sz w:val="24"/>
          <w:szCs w:val="24"/>
        </w:rPr>
        <w:t>2008;</w:t>
      </w:r>
      <w:r w:rsidRPr="006F7827">
        <w:rPr>
          <w:rFonts w:ascii="Book Antiqua" w:eastAsia="SimSun" w:hAnsi="Book Antiqua" w:cs="SimSun"/>
          <w:color w:val="000000"/>
          <w:sz w:val="24"/>
          <w:szCs w:val="24"/>
        </w:rPr>
        <w:t> </w:t>
      </w:r>
      <w:r w:rsidRPr="008C15AB">
        <w:rPr>
          <w:rFonts w:ascii="Book Antiqua" w:eastAsia="SimSun" w:hAnsi="Book Antiqua" w:cs="SimSun"/>
          <w:b/>
          <w:bCs/>
          <w:color w:val="000000"/>
          <w:sz w:val="24"/>
          <w:szCs w:val="24"/>
        </w:rPr>
        <w:t>14</w:t>
      </w:r>
      <w:r w:rsidRPr="008C15AB">
        <w:rPr>
          <w:rFonts w:ascii="Book Antiqua" w:eastAsia="SimSun" w:hAnsi="Book Antiqua" w:cs="SimSun"/>
          <w:color w:val="000000"/>
          <w:sz w:val="24"/>
          <w:szCs w:val="24"/>
        </w:rPr>
        <w:t>: 1256-1265 [PMID: 18756467 DOI: 10.1002/lt.21513]</w:t>
      </w:r>
    </w:p>
    <w:p w14:paraId="1B2FB48A" w14:textId="77777777" w:rsidR="00422EBA" w:rsidRPr="006F7827" w:rsidRDefault="00422EBA" w:rsidP="00422EBA">
      <w:pPr>
        <w:spacing w:after="0" w:line="360" w:lineRule="auto"/>
        <w:jc w:val="both"/>
        <w:rPr>
          <w:rFonts w:ascii="Book Antiqua" w:eastAsia="SimSun" w:hAnsi="Book Antiqua" w:cs="SimSun"/>
          <w:color w:val="000000"/>
          <w:sz w:val="24"/>
          <w:szCs w:val="24"/>
        </w:rPr>
      </w:pPr>
      <w:r w:rsidRPr="006F7827">
        <w:rPr>
          <w:rFonts w:ascii="Book Antiqua" w:eastAsia="SimSun" w:hAnsi="Book Antiqua" w:cs="SimSun"/>
          <w:color w:val="000000"/>
          <w:sz w:val="24"/>
          <w:szCs w:val="24"/>
        </w:rPr>
        <w:t>115 </w:t>
      </w:r>
      <w:r w:rsidRPr="006F7827">
        <w:rPr>
          <w:rFonts w:ascii="Book Antiqua" w:eastAsia="SimSun" w:hAnsi="Book Antiqua" w:cs="SimSun"/>
          <w:b/>
          <w:bCs/>
          <w:color w:val="000000"/>
          <w:sz w:val="24"/>
          <w:szCs w:val="24"/>
        </w:rPr>
        <w:t>Cieślak B</w:t>
      </w:r>
      <w:r w:rsidRPr="006F7827">
        <w:rPr>
          <w:rFonts w:ascii="Book Antiqua" w:eastAsia="SimSun" w:hAnsi="Book Antiqua" w:cs="SimSun"/>
          <w:color w:val="000000"/>
          <w:sz w:val="24"/>
          <w:szCs w:val="24"/>
        </w:rPr>
        <w:t>, Lewandowski Z, Urban M, Ziarkiewicz-Wróblewska B, Krawczyk M. Microvesicular liver graft steatosis as a risk factor of initial poor function in relation to suboptimal donor parameters. </w:t>
      </w:r>
      <w:r w:rsidRPr="006F7827">
        <w:rPr>
          <w:rFonts w:ascii="Book Antiqua" w:eastAsia="SimSun" w:hAnsi="Book Antiqua" w:cs="SimSun"/>
          <w:i/>
          <w:iCs/>
          <w:color w:val="000000"/>
          <w:sz w:val="24"/>
          <w:szCs w:val="24"/>
        </w:rPr>
        <w:t>Transplant Proc</w:t>
      </w:r>
      <w:r w:rsidRPr="006F7827">
        <w:rPr>
          <w:rFonts w:ascii="Book Antiqua" w:eastAsia="SimSun" w:hAnsi="Book Antiqua" w:cs="SimSun"/>
          <w:color w:val="000000"/>
          <w:sz w:val="24"/>
          <w:szCs w:val="24"/>
        </w:rPr>
        <w:t> 2009; </w:t>
      </w:r>
      <w:r w:rsidRPr="006F7827">
        <w:rPr>
          <w:rFonts w:ascii="Book Antiqua" w:eastAsia="SimSun" w:hAnsi="Book Antiqua" w:cs="SimSun"/>
          <w:b/>
          <w:bCs/>
          <w:color w:val="000000"/>
          <w:sz w:val="24"/>
          <w:szCs w:val="24"/>
        </w:rPr>
        <w:t>41</w:t>
      </w:r>
      <w:r w:rsidRPr="006F7827">
        <w:rPr>
          <w:rFonts w:ascii="Book Antiqua" w:eastAsia="SimSun" w:hAnsi="Book Antiqua" w:cs="SimSun"/>
          <w:color w:val="000000"/>
          <w:sz w:val="24"/>
          <w:szCs w:val="24"/>
        </w:rPr>
        <w:t>: 2985-2988 [PMID: 19857657 DOI: 10.1016/j.transproceed.2009.08.019]</w:t>
      </w:r>
    </w:p>
    <w:p w14:paraId="102DCA08" w14:textId="77777777" w:rsidR="00422EBA" w:rsidRPr="006F7827" w:rsidRDefault="00422EBA" w:rsidP="00422EBA">
      <w:pPr>
        <w:spacing w:after="0" w:line="360" w:lineRule="auto"/>
        <w:jc w:val="both"/>
        <w:rPr>
          <w:rFonts w:ascii="Book Antiqua" w:eastAsia="SimSun" w:hAnsi="Book Antiqua" w:cs="SimSun"/>
          <w:color w:val="000000"/>
          <w:sz w:val="24"/>
          <w:szCs w:val="24"/>
        </w:rPr>
      </w:pPr>
      <w:r w:rsidRPr="006F7827">
        <w:rPr>
          <w:rFonts w:ascii="Book Antiqua" w:eastAsia="SimSun" w:hAnsi="Book Antiqua" w:cs="SimSun"/>
          <w:color w:val="000000"/>
          <w:sz w:val="24"/>
          <w:szCs w:val="24"/>
        </w:rPr>
        <w:t>116 </w:t>
      </w:r>
      <w:r w:rsidRPr="006F7827">
        <w:rPr>
          <w:rFonts w:ascii="Book Antiqua" w:eastAsia="SimSun" w:hAnsi="Book Antiqua" w:cs="SimSun"/>
          <w:b/>
          <w:bCs/>
          <w:color w:val="000000"/>
          <w:sz w:val="24"/>
          <w:szCs w:val="24"/>
        </w:rPr>
        <w:t>Dhillon N</w:t>
      </w:r>
      <w:r w:rsidRPr="006F7827">
        <w:rPr>
          <w:rFonts w:ascii="Book Antiqua" w:eastAsia="SimSun" w:hAnsi="Book Antiqua" w:cs="SimSun"/>
          <w:color w:val="000000"/>
          <w:sz w:val="24"/>
          <w:szCs w:val="24"/>
        </w:rPr>
        <w:t>, Walsh L, Krüger B, Ward SC, Godbold JH, Radwan M, Schiano T, Murphy BT, Schröppel B. A single nucleotide polymorphism of Toll-like receptor 4 identifies the risk of developing graft failure after liver transplantation. </w:t>
      </w:r>
      <w:r w:rsidRPr="006F7827">
        <w:rPr>
          <w:rFonts w:ascii="Book Antiqua" w:eastAsia="SimSun" w:hAnsi="Book Antiqua" w:cs="SimSun"/>
          <w:i/>
          <w:iCs/>
          <w:color w:val="000000"/>
          <w:sz w:val="24"/>
          <w:szCs w:val="24"/>
        </w:rPr>
        <w:t>J Hepatol</w:t>
      </w:r>
      <w:r w:rsidRPr="006F7827">
        <w:rPr>
          <w:rFonts w:ascii="Book Antiqua" w:eastAsia="SimSun" w:hAnsi="Book Antiqua" w:cs="SimSun"/>
          <w:color w:val="000000"/>
          <w:sz w:val="24"/>
          <w:szCs w:val="24"/>
        </w:rPr>
        <w:t> 2010; </w:t>
      </w:r>
      <w:r w:rsidRPr="006F7827">
        <w:rPr>
          <w:rFonts w:ascii="Book Antiqua" w:eastAsia="SimSun" w:hAnsi="Book Antiqua" w:cs="SimSun"/>
          <w:b/>
          <w:bCs/>
          <w:color w:val="000000"/>
          <w:sz w:val="24"/>
          <w:szCs w:val="24"/>
        </w:rPr>
        <w:t>53</w:t>
      </w:r>
      <w:r w:rsidRPr="006F7827">
        <w:rPr>
          <w:rFonts w:ascii="Book Antiqua" w:eastAsia="SimSun" w:hAnsi="Book Antiqua" w:cs="SimSun"/>
          <w:color w:val="000000"/>
          <w:sz w:val="24"/>
          <w:szCs w:val="24"/>
        </w:rPr>
        <w:t>: 67-72 [PMID: 20400193 DOI: 10.1016/j.jhep.2009.12.044]</w:t>
      </w:r>
    </w:p>
    <w:p w14:paraId="47AC5BB7" w14:textId="77777777" w:rsidR="00422EBA" w:rsidRPr="006F7827" w:rsidRDefault="00422EBA" w:rsidP="00422EBA">
      <w:pPr>
        <w:spacing w:after="0" w:line="360" w:lineRule="auto"/>
        <w:jc w:val="both"/>
        <w:rPr>
          <w:rFonts w:ascii="Book Antiqua" w:eastAsia="SimSun" w:hAnsi="Book Antiqua" w:cs="SimSun"/>
          <w:color w:val="000000"/>
          <w:sz w:val="24"/>
          <w:szCs w:val="24"/>
        </w:rPr>
      </w:pPr>
      <w:r w:rsidRPr="006F7827">
        <w:rPr>
          <w:rFonts w:ascii="Book Antiqua" w:eastAsia="SimSun" w:hAnsi="Book Antiqua" w:cs="SimSun"/>
          <w:color w:val="000000"/>
          <w:sz w:val="24"/>
          <w:szCs w:val="24"/>
        </w:rPr>
        <w:t>117 </w:t>
      </w:r>
      <w:r w:rsidRPr="006F7827">
        <w:rPr>
          <w:rFonts w:ascii="Book Antiqua" w:eastAsia="SimSun" w:hAnsi="Book Antiqua" w:cs="SimSun"/>
          <w:b/>
          <w:bCs/>
          <w:color w:val="000000"/>
          <w:sz w:val="24"/>
          <w:szCs w:val="24"/>
        </w:rPr>
        <w:t>Nemes B</w:t>
      </w:r>
      <w:r w:rsidRPr="006F7827">
        <w:rPr>
          <w:rFonts w:ascii="Book Antiqua" w:eastAsia="SimSun" w:hAnsi="Book Antiqua" w:cs="SimSun"/>
          <w:color w:val="000000"/>
          <w:sz w:val="24"/>
          <w:szCs w:val="24"/>
        </w:rPr>
        <w:t>, Gelley F, Zádori G, Piros L, Perneczky J, Kóbori L, Fehérvári I, Görög D. Outcome of liver transplantation based on donor graft quality and recipient status. </w:t>
      </w:r>
      <w:r w:rsidRPr="006F7827">
        <w:rPr>
          <w:rFonts w:ascii="Book Antiqua" w:eastAsia="SimSun" w:hAnsi="Book Antiqua" w:cs="SimSun"/>
          <w:i/>
          <w:iCs/>
          <w:color w:val="000000"/>
          <w:sz w:val="24"/>
          <w:szCs w:val="24"/>
        </w:rPr>
        <w:t>Transplant Proc</w:t>
      </w:r>
      <w:r w:rsidRPr="006F7827">
        <w:rPr>
          <w:rFonts w:ascii="Book Antiqua" w:eastAsia="SimSun" w:hAnsi="Book Antiqua" w:cs="SimSun"/>
          <w:color w:val="000000"/>
          <w:sz w:val="24"/>
          <w:szCs w:val="24"/>
        </w:rPr>
        <w:t> 2010; </w:t>
      </w:r>
      <w:r w:rsidRPr="006F7827">
        <w:rPr>
          <w:rFonts w:ascii="Book Antiqua" w:eastAsia="SimSun" w:hAnsi="Book Antiqua" w:cs="SimSun"/>
          <w:b/>
          <w:bCs/>
          <w:color w:val="000000"/>
          <w:sz w:val="24"/>
          <w:szCs w:val="24"/>
        </w:rPr>
        <w:t>42</w:t>
      </w:r>
      <w:r w:rsidRPr="006F7827">
        <w:rPr>
          <w:rFonts w:ascii="Book Antiqua" w:eastAsia="SimSun" w:hAnsi="Book Antiqua" w:cs="SimSun"/>
          <w:color w:val="000000"/>
          <w:sz w:val="24"/>
          <w:szCs w:val="24"/>
        </w:rPr>
        <w:t>: 2327-2330 [PMID: 20692473 DOI: 10.1016/j.transproceed.2010.05.018]</w:t>
      </w:r>
    </w:p>
    <w:p w14:paraId="3A4747E8" w14:textId="77777777" w:rsidR="00422EBA" w:rsidRPr="006F7827" w:rsidRDefault="00422EBA" w:rsidP="00422EBA">
      <w:pPr>
        <w:spacing w:after="0" w:line="360" w:lineRule="auto"/>
        <w:jc w:val="both"/>
        <w:rPr>
          <w:rFonts w:ascii="Book Antiqua" w:eastAsia="SimSun" w:hAnsi="Book Antiqua" w:cs="SimSun"/>
          <w:color w:val="000000"/>
          <w:sz w:val="24"/>
          <w:szCs w:val="24"/>
        </w:rPr>
      </w:pPr>
      <w:r w:rsidRPr="006F7827">
        <w:rPr>
          <w:rFonts w:ascii="Book Antiqua" w:eastAsia="SimSun" w:hAnsi="Book Antiqua" w:cs="SimSun"/>
          <w:color w:val="000000"/>
          <w:sz w:val="24"/>
          <w:szCs w:val="24"/>
        </w:rPr>
        <w:t>118 </w:t>
      </w:r>
      <w:r w:rsidRPr="006F7827">
        <w:rPr>
          <w:rFonts w:ascii="Book Antiqua" w:eastAsia="SimSun" w:hAnsi="Book Antiqua" w:cs="SimSun"/>
          <w:b/>
          <w:bCs/>
          <w:color w:val="000000"/>
          <w:sz w:val="24"/>
          <w:szCs w:val="24"/>
        </w:rPr>
        <w:t>Máthé Z</w:t>
      </w:r>
      <w:r w:rsidRPr="006F7827">
        <w:rPr>
          <w:rFonts w:ascii="Book Antiqua" w:eastAsia="SimSun" w:hAnsi="Book Antiqua" w:cs="SimSun"/>
          <w:color w:val="000000"/>
          <w:sz w:val="24"/>
          <w:szCs w:val="24"/>
        </w:rPr>
        <w:t xml:space="preserve">, Paul A, Molmenti EP, Vernadakis S, Klein CG, Beckebaum S, Treckmann JW, Cicinnati VR, Kóbori L, Sotiropoulos GC. Liver transplantation with donors over the </w:t>
      </w:r>
      <w:r w:rsidRPr="006F7827">
        <w:rPr>
          <w:rFonts w:ascii="Book Antiqua" w:eastAsia="SimSun" w:hAnsi="Book Antiqua" w:cs="SimSun"/>
          <w:color w:val="000000"/>
          <w:sz w:val="24"/>
          <w:szCs w:val="24"/>
        </w:rPr>
        <w:lastRenderedPageBreak/>
        <w:t>expected lifespan in the model for end-staged liver disease era: is Mother Nature punishing us? </w:t>
      </w:r>
      <w:r w:rsidRPr="006F7827">
        <w:rPr>
          <w:rFonts w:ascii="Book Antiqua" w:eastAsia="SimSun" w:hAnsi="Book Antiqua" w:cs="SimSun"/>
          <w:i/>
          <w:iCs/>
          <w:color w:val="000000"/>
          <w:sz w:val="24"/>
          <w:szCs w:val="24"/>
        </w:rPr>
        <w:t>Liver Int</w:t>
      </w:r>
      <w:r w:rsidRPr="006F7827">
        <w:rPr>
          <w:rFonts w:ascii="Book Antiqua" w:eastAsia="SimSun" w:hAnsi="Book Antiqua" w:cs="SimSun"/>
          <w:color w:val="000000"/>
          <w:sz w:val="24"/>
          <w:szCs w:val="24"/>
        </w:rPr>
        <w:t> 2011; </w:t>
      </w:r>
      <w:r w:rsidRPr="006F7827">
        <w:rPr>
          <w:rFonts w:ascii="Book Antiqua" w:eastAsia="SimSun" w:hAnsi="Book Antiqua" w:cs="SimSun"/>
          <w:b/>
          <w:bCs/>
          <w:color w:val="000000"/>
          <w:sz w:val="24"/>
          <w:szCs w:val="24"/>
        </w:rPr>
        <w:t>31</w:t>
      </w:r>
      <w:r w:rsidRPr="006F7827">
        <w:rPr>
          <w:rFonts w:ascii="Book Antiqua" w:eastAsia="SimSun" w:hAnsi="Book Antiqua" w:cs="SimSun"/>
          <w:color w:val="000000"/>
          <w:sz w:val="24"/>
          <w:szCs w:val="24"/>
        </w:rPr>
        <w:t>: 1054-1061 [PMID: 21733096 DOI: 10.1111/j.1478-3231.2011.02546.x]</w:t>
      </w:r>
    </w:p>
    <w:p w14:paraId="5B9E739C" w14:textId="77777777" w:rsidR="00422EBA" w:rsidRPr="006F7827" w:rsidRDefault="00422EBA" w:rsidP="00422EBA">
      <w:pPr>
        <w:spacing w:after="0" w:line="360" w:lineRule="auto"/>
        <w:jc w:val="both"/>
        <w:rPr>
          <w:rFonts w:ascii="Book Antiqua" w:eastAsia="SimSun" w:hAnsi="Book Antiqua" w:cs="SimSun"/>
          <w:color w:val="000000"/>
          <w:sz w:val="24"/>
          <w:szCs w:val="24"/>
        </w:rPr>
      </w:pPr>
      <w:r w:rsidRPr="006F7827">
        <w:rPr>
          <w:rFonts w:ascii="Book Antiqua" w:eastAsia="SimSun" w:hAnsi="Book Antiqua" w:cs="SimSun"/>
          <w:color w:val="000000"/>
          <w:sz w:val="24"/>
          <w:szCs w:val="24"/>
        </w:rPr>
        <w:t>119 </w:t>
      </w:r>
      <w:r w:rsidRPr="006F7827">
        <w:rPr>
          <w:rFonts w:ascii="Book Antiqua" w:eastAsia="SimSun" w:hAnsi="Book Antiqua" w:cs="SimSun"/>
          <w:b/>
          <w:bCs/>
          <w:color w:val="000000"/>
          <w:sz w:val="24"/>
          <w:szCs w:val="24"/>
        </w:rPr>
        <w:t>Hu Y</w:t>
      </w:r>
      <w:r w:rsidRPr="006F7827">
        <w:rPr>
          <w:rFonts w:ascii="Book Antiqua" w:eastAsia="SimSun" w:hAnsi="Book Antiqua" w:cs="SimSun"/>
          <w:color w:val="000000"/>
          <w:sz w:val="24"/>
          <w:szCs w:val="24"/>
        </w:rPr>
        <w:t>, Zhang X, Liu Y, Yan J, Li T, Hu A. APACHE IV is superior to MELD scoring system in predicting prognosis in patients after orthotopic liver transplantation. </w:t>
      </w:r>
      <w:r w:rsidRPr="006F7827">
        <w:rPr>
          <w:rFonts w:ascii="Book Antiqua" w:eastAsia="SimSun" w:hAnsi="Book Antiqua" w:cs="SimSun"/>
          <w:i/>
          <w:iCs/>
          <w:color w:val="000000"/>
          <w:sz w:val="24"/>
          <w:szCs w:val="24"/>
        </w:rPr>
        <w:t>Clin Dev Immunol</w:t>
      </w:r>
      <w:r w:rsidRPr="006F7827">
        <w:rPr>
          <w:rFonts w:ascii="Book Antiqua" w:eastAsia="SimSun" w:hAnsi="Book Antiqua" w:cs="SimSun"/>
          <w:color w:val="000000"/>
          <w:sz w:val="24"/>
          <w:szCs w:val="24"/>
        </w:rPr>
        <w:t> 2013; </w:t>
      </w:r>
      <w:r w:rsidRPr="006F7827">
        <w:rPr>
          <w:rFonts w:ascii="Book Antiqua" w:eastAsia="SimSun" w:hAnsi="Book Antiqua" w:cs="SimSun"/>
          <w:b/>
          <w:bCs/>
          <w:color w:val="000000"/>
          <w:sz w:val="24"/>
          <w:szCs w:val="24"/>
        </w:rPr>
        <w:t>2013</w:t>
      </w:r>
      <w:r w:rsidRPr="006F7827">
        <w:rPr>
          <w:rFonts w:ascii="Book Antiqua" w:eastAsia="SimSun" w:hAnsi="Book Antiqua" w:cs="SimSun"/>
          <w:color w:val="000000"/>
          <w:sz w:val="24"/>
          <w:szCs w:val="24"/>
        </w:rPr>
        <w:t>: 809847 [PMID: 24348682 DOI: 10.1155/2013/809847]</w:t>
      </w:r>
    </w:p>
    <w:p w14:paraId="68C609D3" w14:textId="77777777" w:rsidR="00422EBA" w:rsidRPr="006F7827" w:rsidRDefault="00422EBA" w:rsidP="00422EBA">
      <w:pPr>
        <w:spacing w:after="0" w:line="360" w:lineRule="auto"/>
        <w:jc w:val="both"/>
        <w:rPr>
          <w:rFonts w:ascii="Book Antiqua" w:hAnsi="Book Antiqua"/>
          <w:sz w:val="24"/>
          <w:szCs w:val="24"/>
        </w:rPr>
      </w:pPr>
      <w:r w:rsidRPr="006F7827">
        <w:rPr>
          <w:rFonts w:ascii="Book Antiqua" w:hAnsi="Book Antiqua"/>
          <w:color w:val="000000"/>
          <w:sz w:val="24"/>
          <w:szCs w:val="24"/>
        </w:rPr>
        <w:t>120</w:t>
      </w:r>
      <w:r w:rsidRPr="006F7827">
        <w:rPr>
          <w:rStyle w:val="apple-converted-space"/>
          <w:rFonts w:ascii="Book Antiqua" w:hAnsi="Book Antiqua"/>
          <w:color w:val="000000"/>
          <w:sz w:val="24"/>
          <w:szCs w:val="24"/>
        </w:rPr>
        <w:t> </w:t>
      </w:r>
      <w:r w:rsidRPr="006F7827">
        <w:rPr>
          <w:rFonts w:ascii="Book Antiqua" w:hAnsi="Book Antiqua"/>
          <w:b/>
          <w:bCs/>
          <w:color w:val="000000"/>
          <w:sz w:val="24"/>
          <w:szCs w:val="24"/>
        </w:rPr>
        <w:t>Wong CS</w:t>
      </w:r>
      <w:r w:rsidRPr="006F7827">
        <w:rPr>
          <w:rFonts w:ascii="Book Antiqua" w:hAnsi="Book Antiqua"/>
          <w:color w:val="000000"/>
          <w:sz w:val="24"/>
          <w:szCs w:val="24"/>
        </w:rPr>
        <w:t>, Lee WC, Jenq CC, Tian YC, Chang MY, Lin CY, Fang JT, Yang CW, Tsai MH, Shih HC, Chen YC. Scoring short-term mortality after liver transplantation.</w:t>
      </w:r>
      <w:r w:rsidRPr="006F7827">
        <w:rPr>
          <w:rStyle w:val="apple-converted-space"/>
          <w:rFonts w:ascii="Book Antiqua" w:hAnsi="Book Antiqua"/>
          <w:color w:val="000000"/>
          <w:sz w:val="24"/>
          <w:szCs w:val="24"/>
        </w:rPr>
        <w:t> </w:t>
      </w:r>
      <w:r w:rsidRPr="006F7827">
        <w:rPr>
          <w:rFonts w:ascii="Book Antiqua" w:hAnsi="Book Antiqua"/>
          <w:i/>
          <w:iCs/>
          <w:color w:val="000000"/>
          <w:sz w:val="24"/>
          <w:szCs w:val="24"/>
        </w:rPr>
        <w:t>Liver Transpl</w:t>
      </w:r>
      <w:r w:rsidRPr="006F7827">
        <w:rPr>
          <w:rStyle w:val="apple-converted-space"/>
          <w:rFonts w:ascii="Book Antiqua" w:hAnsi="Book Antiqua"/>
          <w:color w:val="000000"/>
          <w:sz w:val="24"/>
          <w:szCs w:val="24"/>
        </w:rPr>
        <w:t> </w:t>
      </w:r>
      <w:r w:rsidRPr="006F7827">
        <w:rPr>
          <w:rFonts w:ascii="Book Antiqua" w:hAnsi="Book Antiqua"/>
          <w:color w:val="000000"/>
          <w:sz w:val="24"/>
          <w:szCs w:val="24"/>
        </w:rPr>
        <w:t>2010;</w:t>
      </w:r>
      <w:r w:rsidRPr="006F7827">
        <w:rPr>
          <w:rStyle w:val="apple-converted-space"/>
          <w:rFonts w:ascii="Book Antiqua" w:hAnsi="Book Antiqua"/>
          <w:color w:val="000000"/>
          <w:sz w:val="24"/>
          <w:szCs w:val="24"/>
        </w:rPr>
        <w:t> </w:t>
      </w:r>
      <w:r w:rsidRPr="006F7827">
        <w:rPr>
          <w:rFonts w:ascii="Book Antiqua" w:hAnsi="Book Antiqua"/>
          <w:b/>
          <w:bCs/>
          <w:color w:val="000000"/>
          <w:sz w:val="24"/>
          <w:szCs w:val="24"/>
        </w:rPr>
        <w:t>16</w:t>
      </w:r>
      <w:r w:rsidRPr="006F7827">
        <w:rPr>
          <w:rFonts w:ascii="Book Antiqua" w:hAnsi="Book Antiqua"/>
          <w:color w:val="000000"/>
          <w:sz w:val="24"/>
          <w:szCs w:val="24"/>
        </w:rPr>
        <w:t>: 138-146 [PMID: 20104481 DOI: 10.1002/lt.21969]</w:t>
      </w:r>
    </w:p>
    <w:p w14:paraId="1073E1E9" w14:textId="77777777" w:rsidR="00422EBA" w:rsidRPr="006F7827" w:rsidRDefault="00422EBA" w:rsidP="00422EBA">
      <w:pPr>
        <w:spacing w:after="0" w:line="360" w:lineRule="auto"/>
        <w:jc w:val="both"/>
        <w:rPr>
          <w:rFonts w:ascii="Book Antiqua" w:hAnsi="Book Antiqua"/>
          <w:sz w:val="24"/>
          <w:szCs w:val="24"/>
          <w:lang w:val="en-US"/>
        </w:rPr>
      </w:pPr>
    </w:p>
    <w:p w14:paraId="644961AA" w14:textId="5308F4E1" w:rsidR="00422EBA" w:rsidRDefault="00422EBA" w:rsidP="00422EBA">
      <w:pPr>
        <w:wordWrap w:val="0"/>
        <w:spacing w:after="0" w:line="360" w:lineRule="auto"/>
        <w:jc w:val="right"/>
        <w:rPr>
          <w:rFonts w:ascii="Book Antiqua" w:hAnsi="Book Antiqua"/>
          <w:b/>
          <w:bCs/>
          <w:sz w:val="24"/>
        </w:rPr>
      </w:pPr>
      <w:r w:rsidRPr="005F7DC3">
        <w:rPr>
          <w:rFonts w:ascii="Book Antiqua" w:hAnsi="Book Antiqua"/>
          <w:b/>
          <w:bCs/>
          <w:sz w:val="24"/>
        </w:rPr>
        <w:t xml:space="preserve">P-Reviewer: </w:t>
      </w:r>
      <w:r w:rsidRPr="00422EBA">
        <w:rPr>
          <w:rFonts w:ascii="Book Antiqua" w:hAnsi="Book Antiqua"/>
          <w:bCs/>
          <w:sz w:val="24"/>
        </w:rPr>
        <w:t>Bramhall</w:t>
      </w:r>
      <w:r w:rsidRPr="00422EBA">
        <w:rPr>
          <w:rFonts w:ascii="Book Antiqua" w:eastAsiaTheme="minorEastAsia" w:hAnsi="Book Antiqua" w:hint="eastAsia"/>
          <w:bCs/>
          <w:sz w:val="24"/>
          <w:lang w:eastAsia="zh-CN"/>
        </w:rPr>
        <w:t xml:space="preserve"> S,</w:t>
      </w:r>
      <w:r w:rsidRPr="00422EBA">
        <w:rPr>
          <w:rFonts w:ascii="Book Antiqua" w:hAnsi="Book Antiqua" w:hint="eastAsia"/>
          <w:bCs/>
          <w:sz w:val="24"/>
        </w:rPr>
        <w:t xml:space="preserve"> </w:t>
      </w:r>
      <w:r w:rsidRPr="00422EBA">
        <w:rPr>
          <w:rFonts w:ascii="Book Antiqua" w:hAnsi="Book Antiqua"/>
          <w:bCs/>
          <w:sz w:val="24"/>
        </w:rPr>
        <w:t>Makisalo H</w:t>
      </w:r>
      <w:r w:rsidRPr="00422EBA">
        <w:rPr>
          <w:rFonts w:ascii="Book Antiqua" w:eastAsiaTheme="minorEastAsia" w:hAnsi="Book Antiqua" w:hint="eastAsia"/>
          <w:bCs/>
          <w:sz w:val="24"/>
          <w:lang w:eastAsia="zh-CN"/>
        </w:rPr>
        <w:t xml:space="preserve">, </w:t>
      </w:r>
      <w:r w:rsidRPr="00422EBA">
        <w:rPr>
          <w:rFonts w:ascii="Book Antiqua" w:eastAsiaTheme="minorEastAsia" w:hAnsi="Book Antiqua"/>
          <w:bCs/>
          <w:sz w:val="24"/>
          <w:lang w:eastAsia="zh-CN"/>
        </w:rPr>
        <w:t>Staufer K</w:t>
      </w:r>
      <w:r w:rsidRPr="005F7DC3">
        <w:rPr>
          <w:rFonts w:ascii="Book Antiqua" w:hAnsi="Book Antiqua" w:hint="eastAsia"/>
          <w:b/>
          <w:bCs/>
          <w:sz w:val="24"/>
        </w:rPr>
        <w:t xml:space="preserve"> </w:t>
      </w:r>
      <w:r w:rsidRPr="005F7DC3">
        <w:rPr>
          <w:rFonts w:ascii="Book Antiqua" w:hAnsi="Book Antiqua"/>
          <w:b/>
          <w:bCs/>
          <w:sz w:val="24"/>
        </w:rPr>
        <w:t>S-Editor:</w:t>
      </w:r>
      <w:r w:rsidRPr="005F7DC3">
        <w:rPr>
          <w:rFonts w:ascii="Book Antiqua" w:hAnsi="Book Antiqua"/>
          <w:sz w:val="24"/>
        </w:rPr>
        <w:t xml:space="preserve"> </w:t>
      </w:r>
      <w:r>
        <w:rPr>
          <w:rFonts w:ascii="Book Antiqua" w:hAnsi="Book Antiqua" w:hint="eastAsia"/>
          <w:sz w:val="24"/>
        </w:rPr>
        <w:t>Ma YJ</w:t>
      </w:r>
      <w:r w:rsidRPr="005F7DC3">
        <w:rPr>
          <w:rFonts w:ascii="Book Antiqua" w:hAnsi="Book Antiqua" w:hint="eastAsia"/>
          <w:sz w:val="24"/>
        </w:rPr>
        <w:t xml:space="preserve"> </w:t>
      </w:r>
      <w:r w:rsidRPr="005F7DC3">
        <w:rPr>
          <w:rFonts w:ascii="Book Antiqua" w:hAnsi="Book Antiqua"/>
          <w:b/>
          <w:bCs/>
          <w:sz w:val="24"/>
        </w:rPr>
        <w:t>L-Editor:</w:t>
      </w:r>
      <w:r w:rsidRPr="005F7DC3">
        <w:rPr>
          <w:rFonts w:ascii="Book Antiqua" w:hAnsi="Book Antiqua"/>
          <w:sz w:val="24"/>
        </w:rPr>
        <w:t xml:space="preserve"> </w:t>
      </w:r>
      <w:r w:rsidRPr="005F7DC3">
        <w:rPr>
          <w:rFonts w:ascii="Book Antiqua" w:hAnsi="Book Antiqua" w:hint="eastAsia"/>
          <w:sz w:val="24"/>
        </w:rPr>
        <w:t xml:space="preserve"> </w:t>
      </w:r>
      <w:r w:rsidRPr="005F7DC3">
        <w:rPr>
          <w:rFonts w:ascii="Book Antiqua" w:hAnsi="Book Antiqua"/>
          <w:sz w:val="24"/>
        </w:rPr>
        <w:t xml:space="preserve"> </w:t>
      </w:r>
      <w:r w:rsidRPr="005F7DC3">
        <w:rPr>
          <w:rFonts w:ascii="Book Antiqua" w:hAnsi="Book Antiqua"/>
          <w:b/>
          <w:bCs/>
          <w:sz w:val="24"/>
        </w:rPr>
        <w:t>E-Editor:</w:t>
      </w:r>
    </w:p>
    <w:p w14:paraId="02CE9F3F" w14:textId="6E34A19A" w:rsidR="00B20CC6" w:rsidRDefault="00B20CC6" w:rsidP="00422EBA">
      <w:pPr>
        <w:widowControl w:val="0"/>
        <w:autoSpaceDE w:val="0"/>
        <w:autoSpaceDN w:val="0"/>
        <w:adjustRightInd w:val="0"/>
        <w:snapToGrid w:val="0"/>
        <w:spacing w:after="0" w:line="360" w:lineRule="auto"/>
        <w:ind w:hanging="640"/>
        <w:jc w:val="both"/>
        <w:rPr>
          <w:rFonts w:ascii="Book Antiqua" w:eastAsiaTheme="minorEastAsia" w:hAnsi="Book Antiqua"/>
          <w:sz w:val="24"/>
          <w:szCs w:val="24"/>
          <w:lang w:val="en-GB" w:eastAsia="zh-CN"/>
        </w:rPr>
      </w:pPr>
    </w:p>
    <w:p w14:paraId="742891E5" w14:textId="77777777" w:rsidR="00422EBA" w:rsidRPr="00422EBA" w:rsidRDefault="00422EBA" w:rsidP="00422EBA">
      <w:pPr>
        <w:widowControl w:val="0"/>
        <w:autoSpaceDE w:val="0"/>
        <w:autoSpaceDN w:val="0"/>
        <w:adjustRightInd w:val="0"/>
        <w:snapToGrid w:val="0"/>
        <w:spacing w:after="0" w:line="360" w:lineRule="auto"/>
        <w:ind w:hanging="640"/>
        <w:jc w:val="both"/>
        <w:rPr>
          <w:rFonts w:ascii="Book Antiqua" w:eastAsiaTheme="minorEastAsia" w:hAnsi="Book Antiqua"/>
          <w:sz w:val="24"/>
          <w:szCs w:val="24"/>
          <w:lang w:val="en-GB" w:eastAsia="zh-CN"/>
        </w:rPr>
        <w:sectPr w:rsidR="00422EBA" w:rsidRPr="00422EBA" w:rsidSect="000771C6">
          <w:pgSz w:w="11906" w:h="16838"/>
          <w:pgMar w:top="1417" w:right="1134" w:bottom="1134" w:left="1134" w:header="708" w:footer="708" w:gutter="0"/>
          <w:cols w:space="708"/>
          <w:docGrid w:linePitch="360"/>
        </w:sectPr>
      </w:pPr>
    </w:p>
    <w:p w14:paraId="1D0481FD" w14:textId="73D07325" w:rsidR="00B122DF" w:rsidRPr="00C12E69" w:rsidRDefault="00C12E69" w:rsidP="00422EBA">
      <w:pPr>
        <w:adjustRightInd w:val="0"/>
        <w:snapToGrid w:val="0"/>
        <w:spacing w:after="0" w:line="360" w:lineRule="auto"/>
        <w:jc w:val="both"/>
        <w:rPr>
          <w:rFonts w:ascii="Book Antiqua" w:eastAsiaTheme="minorEastAsia" w:hAnsi="Book Antiqua"/>
          <w:sz w:val="24"/>
          <w:szCs w:val="24"/>
          <w:lang w:val="en-GB" w:eastAsia="zh-CN"/>
        </w:rPr>
      </w:pPr>
      <w:r>
        <w:rPr>
          <w:rFonts w:ascii="Book Antiqua" w:hAnsi="Book Antiqua"/>
          <w:b/>
          <w:sz w:val="24"/>
          <w:szCs w:val="24"/>
          <w:lang w:val="en-GB"/>
        </w:rPr>
        <w:lastRenderedPageBreak/>
        <w:t>Table 1</w:t>
      </w:r>
      <w:r w:rsidR="00B122DF" w:rsidRPr="003C51FC">
        <w:rPr>
          <w:rFonts w:ascii="Book Antiqua" w:hAnsi="Book Antiqua"/>
          <w:b/>
          <w:sz w:val="24"/>
          <w:szCs w:val="24"/>
          <w:lang w:val="en-GB"/>
        </w:rPr>
        <w:t xml:space="preserve"> </w:t>
      </w:r>
      <w:r w:rsidR="00F631F3" w:rsidRPr="00F26BF6">
        <w:rPr>
          <w:rFonts w:ascii="Book Antiqua" w:hAnsi="Book Antiqua"/>
          <w:b/>
          <w:sz w:val="24"/>
          <w:szCs w:val="24"/>
          <w:lang w:val="en-GB"/>
        </w:rPr>
        <w:t>Recent d</w:t>
      </w:r>
      <w:r w:rsidR="00B122DF" w:rsidRPr="00F26BF6">
        <w:rPr>
          <w:rFonts w:ascii="Book Antiqua" w:hAnsi="Book Antiqua"/>
          <w:b/>
          <w:sz w:val="24"/>
          <w:szCs w:val="24"/>
          <w:lang w:val="en-GB"/>
        </w:rPr>
        <w:t xml:space="preserve">efinitions </w:t>
      </w:r>
      <w:r w:rsidRPr="00F26BF6">
        <w:rPr>
          <w:rFonts w:ascii="Book Antiqua" w:hAnsi="Book Antiqua"/>
          <w:b/>
          <w:sz w:val="24"/>
          <w:szCs w:val="24"/>
          <w:lang w:val="en-GB"/>
        </w:rPr>
        <w:t xml:space="preserve">of initial poor function </w:t>
      </w:r>
      <w:r>
        <w:rPr>
          <w:rFonts w:ascii="Book Antiqua" w:hAnsi="Book Antiqua"/>
          <w:b/>
          <w:sz w:val="24"/>
          <w:szCs w:val="24"/>
          <w:lang w:val="en-GB"/>
        </w:rPr>
        <w:t xml:space="preserve">and primary non function </w:t>
      </w:r>
    </w:p>
    <w:tbl>
      <w:tblPr>
        <w:tblW w:w="14400" w:type="dxa"/>
        <w:tblInd w:w="53" w:type="dxa"/>
        <w:tblBorders>
          <w:top w:val="single" w:sz="4" w:space="0" w:color="auto"/>
          <w:bottom w:val="single" w:sz="4" w:space="0" w:color="auto"/>
        </w:tblBorders>
        <w:tblCellMar>
          <w:top w:w="55" w:type="dxa"/>
          <w:left w:w="51" w:type="dxa"/>
          <w:bottom w:w="55" w:type="dxa"/>
          <w:right w:w="55" w:type="dxa"/>
        </w:tblCellMar>
        <w:tblLook w:val="04A0" w:firstRow="1" w:lastRow="0" w:firstColumn="1" w:lastColumn="0" w:noHBand="0" w:noVBand="1"/>
      </w:tblPr>
      <w:tblGrid>
        <w:gridCol w:w="2408"/>
        <w:gridCol w:w="5723"/>
        <w:gridCol w:w="6269"/>
      </w:tblGrid>
      <w:tr w:rsidR="00F219F4" w:rsidRPr="00C12E69" w14:paraId="2702CBC6" w14:textId="77777777" w:rsidTr="00C12E69">
        <w:tc>
          <w:tcPr>
            <w:tcW w:w="2408" w:type="dxa"/>
            <w:tcBorders>
              <w:top w:val="single" w:sz="4" w:space="0" w:color="auto"/>
              <w:bottom w:val="single" w:sz="4" w:space="0" w:color="auto"/>
            </w:tcBorders>
            <w:shd w:val="clear" w:color="auto" w:fill="auto"/>
            <w:tcMar>
              <w:left w:w="51" w:type="dxa"/>
            </w:tcMar>
            <w:vAlign w:val="center"/>
          </w:tcPr>
          <w:p w14:paraId="50FB760A" w14:textId="76B7A42F" w:rsidR="00B122DF" w:rsidRPr="00C12E69" w:rsidRDefault="00B122DF" w:rsidP="00422EBA">
            <w:pPr>
              <w:pStyle w:val="Contenutotabella"/>
              <w:adjustRightInd w:val="0"/>
              <w:snapToGrid w:val="0"/>
              <w:spacing w:after="0" w:line="360" w:lineRule="auto"/>
              <w:jc w:val="both"/>
              <w:rPr>
                <w:rFonts w:ascii="Book Antiqua" w:eastAsiaTheme="minorEastAsia" w:hAnsi="Book Antiqua"/>
                <w:b/>
                <w:sz w:val="20"/>
                <w:szCs w:val="20"/>
                <w:lang w:val="en-GB" w:eastAsia="zh-CN"/>
              </w:rPr>
            </w:pPr>
            <w:r w:rsidRPr="00C12E69">
              <w:rPr>
                <w:rFonts w:ascii="Book Antiqua" w:hAnsi="Book Antiqua"/>
                <w:b/>
                <w:sz w:val="20"/>
                <w:szCs w:val="20"/>
                <w:lang w:val="en-GB"/>
              </w:rPr>
              <w:t>Ref</w:t>
            </w:r>
            <w:r w:rsidR="00C12E69" w:rsidRPr="00C12E69">
              <w:rPr>
                <w:rFonts w:asciiTheme="minorEastAsia" w:eastAsiaTheme="minorEastAsia" w:hAnsiTheme="minorEastAsia" w:hint="eastAsia"/>
                <w:b/>
                <w:sz w:val="20"/>
                <w:szCs w:val="20"/>
                <w:lang w:val="en-GB" w:eastAsia="zh-CN"/>
              </w:rPr>
              <w:t>.</w:t>
            </w:r>
          </w:p>
        </w:tc>
        <w:tc>
          <w:tcPr>
            <w:tcW w:w="5723" w:type="dxa"/>
            <w:tcBorders>
              <w:top w:val="single" w:sz="4" w:space="0" w:color="auto"/>
              <w:bottom w:val="single" w:sz="4" w:space="0" w:color="auto"/>
            </w:tcBorders>
            <w:shd w:val="clear" w:color="auto" w:fill="auto"/>
            <w:tcMar>
              <w:left w:w="51" w:type="dxa"/>
            </w:tcMar>
            <w:vAlign w:val="center"/>
          </w:tcPr>
          <w:p w14:paraId="59EC4123" w14:textId="77777777" w:rsidR="00B122DF" w:rsidRPr="00C12E69" w:rsidRDefault="00B122DF" w:rsidP="00422EBA">
            <w:pPr>
              <w:pStyle w:val="Contenutotabella"/>
              <w:adjustRightInd w:val="0"/>
              <w:snapToGrid w:val="0"/>
              <w:spacing w:after="0" w:line="360" w:lineRule="auto"/>
              <w:jc w:val="both"/>
              <w:rPr>
                <w:b/>
                <w:lang w:val="en-US"/>
              </w:rPr>
            </w:pPr>
            <w:r w:rsidRPr="00C12E69">
              <w:rPr>
                <w:rFonts w:ascii="Book Antiqua" w:hAnsi="Book Antiqua"/>
                <w:b/>
                <w:sz w:val="20"/>
                <w:szCs w:val="20"/>
                <w:lang w:val="en-GB"/>
              </w:rPr>
              <w:t>IPF</w:t>
            </w:r>
          </w:p>
        </w:tc>
        <w:tc>
          <w:tcPr>
            <w:tcW w:w="6269" w:type="dxa"/>
            <w:tcBorders>
              <w:top w:val="single" w:sz="4" w:space="0" w:color="auto"/>
              <w:bottom w:val="single" w:sz="4" w:space="0" w:color="auto"/>
            </w:tcBorders>
            <w:shd w:val="clear" w:color="auto" w:fill="auto"/>
            <w:tcMar>
              <w:left w:w="51" w:type="dxa"/>
            </w:tcMar>
            <w:vAlign w:val="center"/>
          </w:tcPr>
          <w:p w14:paraId="578BBDF2" w14:textId="77777777" w:rsidR="00B122DF" w:rsidRPr="00C12E69" w:rsidRDefault="00B122DF" w:rsidP="00422EBA">
            <w:pPr>
              <w:pStyle w:val="Contenutotabella"/>
              <w:adjustRightInd w:val="0"/>
              <w:snapToGrid w:val="0"/>
              <w:spacing w:after="0" w:line="360" w:lineRule="auto"/>
              <w:jc w:val="both"/>
              <w:rPr>
                <w:b/>
                <w:lang w:val="en-US"/>
              </w:rPr>
            </w:pPr>
            <w:r w:rsidRPr="00C12E69">
              <w:rPr>
                <w:rFonts w:ascii="Book Antiqua" w:hAnsi="Book Antiqua"/>
                <w:b/>
                <w:sz w:val="20"/>
                <w:szCs w:val="20"/>
                <w:lang w:val="en-GB"/>
              </w:rPr>
              <w:t>PNF</w:t>
            </w:r>
          </w:p>
        </w:tc>
      </w:tr>
      <w:tr w:rsidR="00F219F4" w:rsidRPr="00315B8B" w14:paraId="32ED88EC" w14:textId="77777777" w:rsidTr="00C12E69">
        <w:tc>
          <w:tcPr>
            <w:tcW w:w="2408" w:type="dxa"/>
            <w:tcBorders>
              <w:top w:val="single" w:sz="4" w:space="0" w:color="auto"/>
            </w:tcBorders>
            <w:shd w:val="clear" w:color="auto" w:fill="auto"/>
            <w:tcMar>
              <w:left w:w="51" w:type="dxa"/>
            </w:tcMar>
            <w:vAlign w:val="center"/>
          </w:tcPr>
          <w:p w14:paraId="6633D5CF" w14:textId="545E8274" w:rsidR="00B122DF" w:rsidRDefault="00B122DF" w:rsidP="00422EBA">
            <w:pPr>
              <w:pStyle w:val="Contenutotabella"/>
              <w:adjustRightInd w:val="0"/>
              <w:snapToGrid w:val="0"/>
              <w:spacing w:after="0" w:line="360" w:lineRule="auto"/>
              <w:jc w:val="both"/>
              <w:rPr>
                <w:rFonts w:ascii="Book Antiqua" w:hAnsi="Book Antiqua"/>
                <w:sz w:val="20"/>
                <w:szCs w:val="20"/>
                <w:lang w:val="en-GB"/>
              </w:rPr>
            </w:pPr>
            <w:r>
              <w:rPr>
                <w:rFonts w:ascii="Book Antiqua" w:hAnsi="Book Antiqua"/>
                <w:sz w:val="20"/>
                <w:szCs w:val="20"/>
                <w:lang w:val="en-GB"/>
              </w:rPr>
              <w:t xml:space="preserve">Broering </w:t>
            </w:r>
            <w:r w:rsidR="00E35182" w:rsidRPr="00E35182">
              <w:rPr>
                <w:rFonts w:ascii="Book Antiqua" w:hAnsi="Book Antiqua"/>
                <w:i/>
                <w:sz w:val="20"/>
                <w:szCs w:val="20"/>
                <w:lang w:val="en-GB"/>
              </w:rPr>
              <w:t>et al</w:t>
            </w:r>
            <w:r w:rsidR="007D7ACC">
              <w:rPr>
                <w:rFonts w:ascii="Book Antiqua" w:hAnsi="Book Antiqua"/>
                <w:sz w:val="20"/>
                <w:szCs w:val="20"/>
                <w:lang w:val="en-GB"/>
              </w:rPr>
              <w:fldChar w:fldCharType="begin" w:fldLock="1"/>
            </w:r>
            <w:r w:rsidR="002D7F73">
              <w:rPr>
                <w:rFonts w:ascii="Book Antiqua" w:hAnsi="Book Antiqua"/>
                <w:sz w:val="20"/>
                <w:szCs w:val="20"/>
                <w:lang w:val="en-GB"/>
              </w:rPr>
              <w:instrText>ADDIN CSL_CITATION { "citationItems" : [ { "id" : "ITEM-1", "itemData" : { "ISSN" : "1072-7515", "PMID" : "12437252", "abstract" : "BACKGROUND: The technique of liver splitting is an effective way of increasing the donor pool and reducing pediatric waiting list mortality. But the procedure is still not fully accepted because of concerns that it may cause complications in adult recipients.\n\nSTUDY DESIGN: Fifty-nine adult recipients of primary extended right split liver transplantations (SLTs) were matched to recipients of whole liver transplantations (WLTs) according to the following criteria: 1) United Network for Organ Sharing (UNOS) status, 2) donor age, 3) recipient age, 4) total cold ischemic time, 5) indication for liver transplantation, 6) Child-Pugh class, and 7) year of transplantation. A WLT-recipient match was identified in 40 adult recipients of primary SLT.\n\nRESULTS: Fifteen percent of the recipients in our study were highly urgent cases (UNOS 1), and 85% were UNOS status 3-4. The 3- and 12-month patient survival rates after SLT and WLT were 82.5% and 77.1%, and 92.5% and 87.5%, respectively (log rank p = 0.358). The 3- and 12-month graft survival rates showed no significant difference in either group (80% and 74% in SLT and 87.5% and 77.4% in WLT [log rank p = 0.887]). The rates of primary nonfunction, primary poor function, biliary and vascular complications, intra- and postoperative blood transfusion, and intensive care stay were comparable for SLT and WLT.\n\nCONCLUSIONS: SLT, using the extended right hepatic lobe, does not notably differ from WLT with regard to initial graft function, postoperative complications, or patient and graft survival. Based on this, the liver can be considered a paired organ, and mandatory splitting of good-quality livers can be recommended.", "author" : [ { "dropping-particle" : "", "family" : "Broering", "given" : "Dieter C", "non-dropping-particle" : "", "parse-names" : false, "suffix" : "" }, { "dropping-particle" : "", "family" : "Topp", "given" : "Stefan", "non-dropping-particle" : "", "parse-names" : false, "suffix" : "" }, { "dropping-particle" : "", "family" : "Schaefer", "given" : "Ulrich", "non-dropping-particle" : "", "parse-names" : false, "suffix" : "" }, { "dropping-particle" : "", "family" : "Fischer", "given" : "Lutz", "non-dropping-particle" : "", "parse-names" : false, "suffix" : "" }, { "dropping-particle" : "", "family" : "Gundlach", "given" : "Matthias", "non-dropping-particle" : "", "parse-names" : false, "suffix" : "" }, { "dropping-particle" : "", "family" : "Sterneck", "given" : "Martina", "non-dropping-particle" : "", "parse-names" : false, "suffix" : "" }, { "dropping-particle" : "", "family" : "Schoder", "given" : "Volker", "non-dropping-particle" : "", "parse-names" : false, "suffix" : "" }, { "dropping-particle" : "", "family" : "Pothmann", "given" : "Werner", "non-dropping-particle" : "", "parse-names" : false, "suffix" : "" }, { "dropping-particle" : "", "family" : "Rogiers", "given" : "Xavier", "non-dropping-particle" : "", "parse-names" : false, "suffix" : "" } ], "container-title" : "Journal of the American College of Surgeons", "id" : "ITEM-1", "issue" : "5", "issued" : { "date-parts" : [ [ "2002", "11" ] ] }, "page" : "648-57", "title" : "Split liver transplantation and risk to the adult recipient: analysis using matched pairs.", "type" : "article-journal", "volume" : "195" }, "uris" : [ "http://www.mendeley.com/documents/?uuid=8eaa6a19-fea3-4a81-bbd6-8119134fe5bd" ] } ], "mendeley" : { "formattedCitation" : "&lt;sup&gt;[107]&lt;/sup&gt;", "plainTextFormattedCitation" : "[107]", "previouslyFormattedCitation" : "&lt;sup&gt;[107]&lt;/sup&gt;" }, "properties" : { "noteIndex" : 0 }, "schema" : "https://github.com/citation-style-language/schema/raw/master/csl-citation.json" }</w:instrText>
            </w:r>
            <w:r w:rsidR="007D7ACC">
              <w:rPr>
                <w:rFonts w:ascii="Book Antiqua" w:hAnsi="Book Antiqua"/>
                <w:sz w:val="20"/>
                <w:szCs w:val="20"/>
                <w:lang w:val="en-GB"/>
              </w:rPr>
              <w:fldChar w:fldCharType="separate"/>
            </w:r>
            <w:r w:rsidR="00315B8B" w:rsidRPr="00315B8B">
              <w:rPr>
                <w:rFonts w:ascii="Book Antiqua" w:hAnsi="Book Antiqua"/>
                <w:noProof/>
                <w:sz w:val="20"/>
                <w:szCs w:val="20"/>
                <w:vertAlign w:val="superscript"/>
                <w:lang w:val="en-GB"/>
              </w:rPr>
              <w:t>[107]</w:t>
            </w:r>
            <w:r w:rsidR="007D7ACC">
              <w:rPr>
                <w:rFonts w:ascii="Book Antiqua" w:hAnsi="Book Antiqua"/>
                <w:sz w:val="20"/>
                <w:szCs w:val="20"/>
                <w:lang w:val="en-GB"/>
              </w:rPr>
              <w:fldChar w:fldCharType="end"/>
            </w:r>
          </w:p>
        </w:tc>
        <w:tc>
          <w:tcPr>
            <w:tcW w:w="5723" w:type="dxa"/>
            <w:tcBorders>
              <w:top w:val="single" w:sz="4" w:space="0" w:color="auto"/>
            </w:tcBorders>
            <w:shd w:val="clear" w:color="auto" w:fill="auto"/>
            <w:tcMar>
              <w:left w:w="51" w:type="dxa"/>
            </w:tcMar>
            <w:vAlign w:val="center"/>
          </w:tcPr>
          <w:p w14:paraId="6D9E44E8" w14:textId="77777777" w:rsidR="00B122DF" w:rsidRPr="007A5042" w:rsidRDefault="00B122DF" w:rsidP="00422EBA">
            <w:pPr>
              <w:pStyle w:val="Contenutotabella"/>
              <w:numPr>
                <w:ilvl w:val="0"/>
                <w:numId w:val="4"/>
              </w:numPr>
              <w:adjustRightInd w:val="0"/>
              <w:snapToGrid w:val="0"/>
              <w:spacing w:after="0" w:line="360" w:lineRule="auto"/>
              <w:ind w:left="0"/>
              <w:jc w:val="both"/>
              <w:rPr>
                <w:lang w:val="en-US"/>
              </w:rPr>
            </w:pPr>
            <w:r>
              <w:rPr>
                <w:rFonts w:ascii="Book Antiqua" w:hAnsi="Book Antiqua"/>
                <w:sz w:val="20"/>
                <w:szCs w:val="20"/>
                <w:lang w:val="en-GB"/>
              </w:rPr>
              <w:t>ALT or AST or GDH &gt; 2000 IU/L</w:t>
            </w:r>
          </w:p>
          <w:p w14:paraId="6BC668E5" w14:textId="7E22A27F" w:rsidR="00B122DF" w:rsidRPr="007A5042" w:rsidRDefault="00B122DF" w:rsidP="00422EBA">
            <w:pPr>
              <w:pStyle w:val="Contenutotabella"/>
              <w:numPr>
                <w:ilvl w:val="0"/>
                <w:numId w:val="4"/>
              </w:numPr>
              <w:adjustRightInd w:val="0"/>
              <w:snapToGrid w:val="0"/>
              <w:spacing w:after="0" w:line="360" w:lineRule="auto"/>
              <w:ind w:left="0"/>
              <w:jc w:val="both"/>
              <w:rPr>
                <w:lang w:val="en-US"/>
              </w:rPr>
            </w:pPr>
            <w:r>
              <w:rPr>
                <w:rFonts w:ascii="Book Antiqua" w:hAnsi="Book Antiqua"/>
                <w:sz w:val="20"/>
                <w:szCs w:val="20"/>
                <w:lang w:val="en-GB"/>
              </w:rPr>
              <w:t>FFP substituted for &gt; 5 d postoperatively</w:t>
            </w:r>
          </w:p>
        </w:tc>
        <w:tc>
          <w:tcPr>
            <w:tcW w:w="6269" w:type="dxa"/>
            <w:tcBorders>
              <w:top w:val="single" w:sz="4" w:space="0" w:color="auto"/>
            </w:tcBorders>
            <w:shd w:val="clear" w:color="auto" w:fill="auto"/>
            <w:tcMar>
              <w:left w:w="51" w:type="dxa"/>
            </w:tcMar>
            <w:vAlign w:val="center"/>
          </w:tcPr>
          <w:p w14:paraId="35B319B2" w14:textId="77777777" w:rsidR="00B122DF" w:rsidRPr="007A5042" w:rsidRDefault="00B122DF" w:rsidP="00422EBA">
            <w:pPr>
              <w:pStyle w:val="Contenutotabella"/>
              <w:numPr>
                <w:ilvl w:val="0"/>
                <w:numId w:val="4"/>
              </w:numPr>
              <w:adjustRightInd w:val="0"/>
              <w:snapToGrid w:val="0"/>
              <w:spacing w:after="0" w:line="360" w:lineRule="auto"/>
              <w:ind w:left="0"/>
              <w:jc w:val="both"/>
              <w:rPr>
                <w:lang w:val="en-US"/>
              </w:rPr>
            </w:pPr>
            <w:r>
              <w:rPr>
                <w:rFonts w:ascii="Book Antiqua" w:hAnsi="Book Antiqua"/>
                <w:sz w:val="20"/>
                <w:szCs w:val="20"/>
                <w:lang w:val="en-GB"/>
              </w:rPr>
              <w:t>Not-life sustaining graft leading to retransplantation or death within POD10</w:t>
            </w:r>
          </w:p>
        </w:tc>
      </w:tr>
      <w:tr w:rsidR="00F219F4" w:rsidRPr="00943FB3" w14:paraId="0D4DC169" w14:textId="77777777" w:rsidTr="00C12E69">
        <w:tc>
          <w:tcPr>
            <w:tcW w:w="2408" w:type="dxa"/>
            <w:shd w:val="clear" w:color="auto" w:fill="auto"/>
            <w:tcMar>
              <w:left w:w="51" w:type="dxa"/>
            </w:tcMar>
            <w:vAlign w:val="center"/>
          </w:tcPr>
          <w:p w14:paraId="743A4D46" w14:textId="7365F821" w:rsidR="00B122DF" w:rsidRDefault="00B122DF" w:rsidP="00422EBA">
            <w:pPr>
              <w:pStyle w:val="Contenutotabella"/>
              <w:adjustRightInd w:val="0"/>
              <w:snapToGrid w:val="0"/>
              <w:spacing w:after="0" w:line="360" w:lineRule="auto"/>
              <w:jc w:val="both"/>
              <w:rPr>
                <w:rFonts w:ascii="Book Antiqua" w:hAnsi="Book Antiqua"/>
                <w:sz w:val="20"/>
                <w:szCs w:val="20"/>
                <w:lang w:val="en-GB"/>
              </w:rPr>
            </w:pPr>
            <w:r>
              <w:rPr>
                <w:rFonts w:ascii="Book Antiqua" w:hAnsi="Book Antiqua"/>
                <w:sz w:val="20"/>
                <w:szCs w:val="20"/>
                <w:lang w:val="en-GB"/>
              </w:rPr>
              <w:t xml:space="preserve">Nanashima </w:t>
            </w:r>
            <w:r w:rsidR="00E35182" w:rsidRPr="00E35182">
              <w:rPr>
                <w:rFonts w:ascii="Book Antiqua" w:hAnsi="Book Antiqua"/>
                <w:i/>
                <w:sz w:val="20"/>
                <w:szCs w:val="20"/>
                <w:lang w:val="en-GB"/>
              </w:rPr>
              <w:t>et al</w:t>
            </w:r>
            <w:r w:rsidR="007D7ACC">
              <w:rPr>
                <w:rFonts w:ascii="Book Antiqua" w:hAnsi="Book Antiqua"/>
                <w:sz w:val="20"/>
                <w:szCs w:val="20"/>
                <w:lang w:val="en-GB"/>
              </w:rPr>
              <w:fldChar w:fldCharType="begin" w:fldLock="1"/>
            </w:r>
            <w:r w:rsidR="002D7F73">
              <w:rPr>
                <w:rFonts w:ascii="Book Antiqua" w:hAnsi="Book Antiqua"/>
                <w:sz w:val="20"/>
                <w:szCs w:val="20"/>
                <w:lang w:val="en-GB"/>
              </w:rPr>
              <w:instrText>ADDIN CSL_CITATION { "citationItems" : [ { "id" : "ITEM-1", "itemData" : { "ISSN" : "0041-1345", "PMID" : "12072325", "author" : [ { "dropping-particle" : "", "family" : "Nanashima", "given" : "A", "non-dropping-particle" : "", "parse-names" : false, "suffix" : "" }, { "dropping-particle" : "", "family" : "Pillay", "given" : "P", "non-dropping-particle" : "", "parse-names" : false, "suffix" : "" }, { "dropping-particle" : "", "family" : "Verran", "given" : "D J", "non-dropping-particle" : "", "parse-names" : false, "suffix" : "" }, { "dropping-particle" : "", "family" : "Painter", "given" : "D", "non-dropping-particle" : "", "parse-names" : false, "suffix" : "" }, { "dropping-particle" : "", "family" : "Nakasuji", "given" : "M", "non-dropping-particle" : "", "parse-names" : false, "suffix" : "" }, { "dropping-particle" : "", "family" : "Crawford", "given" : "M", "non-dropping-particle" : "", "parse-names" : false, "suffix" : "" }, { "dropping-particle" : "", "family" : "Shi", "given" : "L", "non-dropping-particle" : "", "parse-names" : false, "suffix" : "" }, { "dropping-particle" : "", "family" : "Ross", "given" : "A G", "non-dropping-particle" : "", "parse-names" : false, "suffix" : "" } ], "container-title" : "Transplantation proceedings", "id" : "ITEM-1", "issue" : "4", "issued" : { "date-parts" : [ [ "2002", "6" ] ] }, "page" : "1231-5", "title" : "Analysis of initial poor graft function after orthotopic liver transplantation: experience of an australian single liver transplantation center.", "type" : "article-journal", "volume" : "34" }, "uris" : [ "http://www.mendeley.com/documents/?uuid=55f63976-3ba4-4606-9dbb-b75c7020f0db" ] } ], "mendeley" : { "formattedCitation" : "&lt;sup&gt;[108]&lt;/sup&gt;", "plainTextFormattedCitation" : "[108]", "previouslyFormattedCitation" : "&lt;sup&gt;[108]&lt;/sup&gt;" }, "properties" : { "noteIndex" : 0 }, "schema" : "https://github.com/citation-style-language/schema/raw/master/csl-citation.json" }</w:instrText>
            </w:r>
            <w:r w:rsidR="007D7ACC">
              <w:rPr>
                <w:rFonts w:ascii="Book Antiqua" w:hAnsi="Book Antiqua"/>
                <w:sz w:val="20"/>
                <w:szCs w:val="20"/>
                <w:lang w:val="en-GB"/>
              </w:rPr>
              <w:fldChar w:fldCharType="separate"/>
            </w:r>
            <w:r w:rsidR="00315B8B" w:rsidRPr="00315B8B">
              <w:rPr>
                <w:rFonts w:ascii="Book Antiqua" w:hAnsi="Book Antiqua"/>
                <w:noProof/>
                <w:sz w:val="20"/>
                <w:szCs w:val="20"/>
                <w:vertAlign w:val="superscript"/>
                <w:lang w:val="en-GB"/>
              </w:rPr>
              <w:t>[108]</w:t>
            </w:r>
            <w:r w:rsidR="007D7ACC">
              <w:rPr>
                <w:rFonts w:ascii="Book Antiqua" w:hAnsi="Book Antiqua"/>
                <w:sz w:val="20"/>
                <w:szCs w:val="20"/>
                <w:lang w:val="en-GB"/>
              </w:rPr>
              <w:fldChar w:fldCharType="end"/>
            </w:r>
          </w:p>
        </w:tc>
        <w:tc>
          <w:tcPr>
            <w:tcW w:w="5723" w:type="dxa"/>
            <w:shd w:val="clear" w:color="auto" w:fill="auto"/>
            <w:tcMar>
              <w:left w:w="51" w:type="dxa"/>
            </w:tcMar>
            <w:vAlign w:val="center"/>
          </w:tcPr>
          <w:p w14:paraId="7BB35AD5" w14:textId="77777777" w:rsidR="00B122DF" w:rsidRPr="007A5042" w:rsidRDefault="00B122DF" w:rsidP="00422EBA">
            <w:pPr>
              <w:pStyle w:val="Contenutotabella"/>
              <w:adjustRightInd w:val="0"/>
              <w:snapToGrid w:val="0"/>
              <w:spacing w:after="0" w:line="360" w:lineRule="auto"/>
              <w:jc w:val="both"/>
              <w:rPr>
                <w:lang w:val="en-US"/>
              </w:rPr>
            </w:pPr>
            <w:r>
              <w:rPr>
                <w:rFonts w:ascii="Book Antiqua" w:hAnsi="Book Antiqua"/>
                <w:sz w:val="20"/>
                <w:szCs w:val="20"/>
                <w:lang w:val="en-GB"/>
              </w:rPr>
              <w:t>Two consecutive meaurements within POD3:</w:t>
            </w:r>
          </w:p>
          <w:p w14:paraId="2AB08681" w14:textId="77777777" w:rsidR="00B122DF" w:rsidRPr="007A5042" w:rsidRDefault="00B122DF" w:rsidP="00422EBA">
            <w:pPr>
              <w:pStyle w:val="Contenutotabella"/>
              <w:numPr>
                <w:ilvl w:val="0"/>
                <w:numId w:val="5"/>
              </w:numPr>
              <w:adjustRightInd w:val="0"/>
              <w:snapToGrid w:val="0"/>
              <w:spacing w:after="0" w:line="360" w:lineRule="auto"/>
              <w:ind w:left="0"/>
              <w:jc w:val="both"/>
              <w:rPr>
                <w:lang w:val="en-US"/>
              </w:rPr>
            </w:pPr>
            <w:r>
              <w:rPr>
                <w:rFonts w:ascii="Book Antiqua" w:hAnsi="Book Antiqua"/>
                <w:sz w:val="20"/>
                <w:szCs w:val="20"/>
                <w:lang w:val="en-GB"/>
              </w:rPr>
              <w:t>ALT or AST &gt; 1500 IU/L</w:t>
            </w:r>
          </w:p>
        </w:tc>
        <w:tc>
          <w:tcPr>
            <w:tcW w:w="6269" w:type="dxa"/>
            <w:shd w:val="clear" w:color="auto" w:fill="auto"/>
            <w:tcMar>
              <w:left w:w="51" w:type="dxa"/>
            </w:tcMar>
            <w:vAlign w:val="center"/>
          </w:tcPr>
          <w:p w14:paraId="5124D6B5" w14:textId="77777777" w:rsidR="00B122DF" w:rsidRPr="007A5042" w:rsidRDefault="00B122DF" w:rsidP="00422EBA">
            <w:pPr>
              <w:pStyle w:val="Contenutotabella"/>
              <w:numPr>
                <w:ilvl w:val="0"/>
                <w:numId w:val="5"/>
              </w:numPr>
              <w:adjustRightInd w:val="0"/>
              <w:snapToGrid w:val="0"/>
              <w:spacing w:after="0" w:line="360" w:lineRule="auto"/>
              <w:ind w:left="0"/>
              <w:jc w:val="both"/>
              <w:rPr>
                <w:lang w:val="en-US"/>
              </w:rPr>
            </w:pPr>
            <w:r>
              <w:rPr>
                <w:rFonts w:ascii="Book Antiqua" w:hAnsi="Book Antiqua"/>
                <w:sz w:val="20"/>
                <w:szCs w:val="20"/>
                <w:lang w:val="en-GB"/>
              </w:rPr>
              <w:t>IPF-induced retransplantation or death</w:t>
            </w:r>
          </w:p>
        </w:tc>
      </w:tr>
      <w:tr w:rsidR="00F219F4" w:rsidRPr="00315B8B" w14:paraId="2EC6C99E" w14:textId="77777777" w:rsidTr="00C12E69">
        <w:tc>
          <w:tcPr>
            <w:tcW w:w="2408" w:type="dxa"/>
            <w:shd w:val="clear" w:color="auto" w:fill="auto"/>
            <w:tcMar>
              <w:left w:w="51" w:type="dxa"/>
            </w:tcMar>
            <w:vAlign w:val="center"/>
          </w:tcPr>
          <w:p w14:paraId="08D51AE6" w14:textId="04E3949B" w:rsidR="00B122DF" w:rsidRDefault="00B122DF" w:rsidP="00422EBA">
            <w:pPr>
              <w:pStyle w:val="Contenutotabella"/>
              <w:adjustRightInd w:val="0"/>
              <w:snapToGrid w:val="0"/>
              <w:spacing w:after="0" w:line="360" w:lineRule="auto"/>
              <w:jc w:val="both"/>
              <w:rPr>
                <w:rFonts w:ascii="Book Antiqua" w:hAnsi="Book Antiqua"/>
                <w:sz w:val="20"/>
                <w:szCs w:val="20"/>
                <w:lang w:val="en-GB"/>
              </w:rPr>
            </w:pPr>
            <w:r>
              <w:rPr>
                <w:rFonts w:ascii="Book Antiqua" w:hAnsi="Book Antiqua"/>
                <w:sz w:val="20"/>
                <w:szCs w:val="20"/>
                <w:lang w:val="en-GB"/>
              </w:rPr>
              <w:t xml:space="preserve">Heise </w:t>
            </w:r>
            <w:r w:rsidR="00E35182" w:rsidRPr="00E35182">
              <w:rPr>
                <w:rFonts w:ascii="Book Antiqua" w:hAnsi="Book Antiqua"/>
                <w:i/>
                <w:sz w:val="20"/>
                <w:szCs w:val="20"/>
                <w:lang w:val="en-GB"/>
              </w:rPr>
              <w:t>et al</w:t>
            </w:r>
            <w:r w:rsidR="007D7ACC">
              <w:rPr>
                <w:rFonts w:ascii="Book Antiqua" w:hAnsi="Book Antiqua"/>
                <w:sz w:val="20"/>
                <w:szCs w:val="20"/>
                <w:lang w:val="en-GB"/>
              </w:rPr>
              <w:fldChar w:fldCharType="begin" w:fldLock="1"/>
            </w:r>
            <w:r w:rsidR="002D7F73">
              <w:rPr>
                <w:rFonts w:ascii="Book Antiqua" w:hAnsi="Book Antiqua"/>
                <w:sz w:val="20"/>
                <w:szCs w:val="20"/>
                <w:lang w:val="en-GB"/>
              </w:rPr>
              <w:instrText>ADDIN CSL_CITATION { "citationItems" : [ { "id" : "ITEM-1", "itemData" : { "DOI" : "10.1007/s00147-003-0625-z", "ISSN" : "0934-0874", "PMID" : "12844216", "abstract" : "Initial graft function following orthotopic liver transplantation is a major determinant of postoperative survival and morbidity. Despite several efforts to provide scoring-systems for initial graft function, there is still a lack of a generally accepted classification scheme. The previously published systems assessed initial graft function based on the first postoperative days or weeks using liver-related laboratory parameters. It was shown that in most cases the scoring-systems did not correlate with patient survival. We intended to refine the definition of initial graft function in order to provide a survival based classification system. In a retrospective analysis of 761 patients following primary liver transplantation, a new scoring-system for early postoperative graft function was developed. Statistically significant differences in long term survival were calculated for ALAT, ASAT, bile production and prothrombin activity on days 1, 3, 7, 14. Points were then assigned according to the degree of survival: improved survival=1 point, poor survival=2 points. Patients were split into three groups corresponding to initially good, moderate and poor function. Applying this score, early and late patient survival rates and incidence of initial non-function were statistically significantly different. This was in contrast to the Gonzalez and the Ploeg-Maring classification scales, which are based on arbitrarily chosen cutoff levels. Retransplantation rates and postoperative morbidity were comparable both for the new and the older systems. We can conclude that the presented refined scoring-system for initial graft function provides a significant correlation to patient survival and initial non-function. We recommend the refined system for future studies.", "author" : [ { "dropping-particle" : "", "family" : "Heise", "given" : "Michael", "non-dropping-particle" : "", "parse-names" : false, "suffix" : "" }, { "dropping-particle" : "", "family" : "Settmacher", "given" : "Utz", "non-dropping-particle" : "", "parse-names" : false, "suffix" : "" }, { "dropping-particle" : "", "family" : "Pfitzmann", "given" : "Robert", "non-dropping-particle" : "", "parse-names" : false, "suffix" : "" }, { "dropping-particle" : "", "family" : "W\u00fcnscher", "given" : "Ute", "non-dropping-particle" : "", "parse-names" : false, "suffix" : "" }, { "dropping-particle" : "", "family" : "M\u00fcller", "given" : "Andrea Raffaela", "non-dropping-particle" : "", "parse-names" : false, "suffix" : "" }, { "dropping-particle" : "", "family" : "Jonas", "given" : "Sven", "non-dropping-particle" : "", "parse-names" : false, "suffix" : "" }, { "dropping-particle" : "", "family" : "Neuhaus", "given" : "Peter", "non-dropping-particle" : "", "parse-names" : false, "suffix" : "" } ], "container-title" : "Transplant international : official journal of the European Society for Organ Transplantation", "id" : "ITEM-1", "issue" : "11", "issued" : { "date-parts" : [ [ "2003", "11" ] ] }, "page" : "794-800", "title" : "A survival-based scoring-system for initial graft function following orthotopic liver transplantation.", "type" : "article-journal", "volume" : "16" }, "uris" : [ "http://www.mendeley.com/documents/?uuid=95fbf16d-9e4b-4709-b1a1-e25410c532a8" ] } ], "mendeley" : { "formattedCitation" : "&lt;sup&gt;[109]&lt;/sup&gt;", "plainTextFormattedCitation" : "[109]", "previouslyFormattedCitation" : "&lt;sup&gt;[109]&lt;/sup&gt;" }, "properties" : { "noteIndex" : 0 }, "schema" : "https://github.com/citation-style-language/schema/raw/master/csl-citation.json" }</w:instrText>
            </w:r>
            <w:r w:rsidR="007D7ACC">
              <w:rPr>
                <w:rFonts w:ascii="Book Antiqua" w:hAnsi="Book Antiqua"/>
                <w:sz w:val="20"/>
                <w:szCs w:val="20"/>
                <w:lang w:val="en-GB"/>
              </w:rPr>
              <w:fldChar w:fldCharType="separate"/>
            </w:r>
            <w:r w:rsidR="00315B8B" w:rsidRPr="00315B8B">
              <w:rPr>
                <w:rFonts w:ascii="Book Antiqua" w:hAnsi="Book Antiqua"/>
                <w:noProof/>
                <w:sz w:val="20"/>
                <w:szCs w:val="20"/>
                <w:vertAlign w:val="superscript"/>
                <w:lang w:val="en-GB"/>
              </w:rPr>
              <w:t>[109]</w:t>
            </w:r>
            <w:r w:rsidR="007D7ACC">
              <w:rPr>
                <w:rFonts w:ascii="Book Antiqua" w:hAnsi="Book Antiqua"/>
                <w:sz w:val="20"/>
                <w:szCs w:val="20"/>
                <w:lang w:val="en-GB"/>
              </w:rPr>
              <w:fldChar w:fldCharType="end"/>
            </w:r>
          </w:p>
        </w:tc>
        <w:tc>
          <w:tcPr>
            <w:tcW w:w="5723" w:type="dxa"/>
            <w:shd w:val="clear" w:color="auto" w:fill="auto"/>
            <w:tcMar>
              <w:left w:w="51" w:type="dxa"/>
            </w:tcMar>
            <w:vAlign w:val="center"/>
          </w:tcPr>
          <w:p w14:paraId="72759C21" w14:textId="77777777" w:rsidR="00B122DF" w:rsidRPr="007A5042" w:rsidRDefault="00B122DF" w:rsidP="00422EBA">
            <w:pPr>
              <w:pStyle w:val="Contenutotabella"/>
              <w:numPr>
                <w:ilvl w:val="0"/>
                <w:numId w:val="6"/>
              </w:numPr>
              <w:adjustRightInd w:val="0"/>
              <w:snapToGrid w:val="0"/>
              <w:spacing w:after="0" w:line="360" w:lineRule="auto"/>
              <w:ind w:left="0"/>
              <w:jc w:val="both"/>
              <w:rPr>
                <w:lang w:val="en-US"/>
              </w:rPr>
            </w:pPr>
            <w:r>
              <w:rPr>
                <w:rFonts w:ascii="Book Antiqua" w:hAnsi="Book Antiqua"/>
                <w:sz w:val="20"/>
                <w:szCs w:val="20"/>
                <w:lang w:val="en-GB"/>
              </w:rPr>
              <w:t xml:space="preserve">Scoring system based on ALT, AST, bile output, </w:t>
            </w:r>
            <w:r>
              <w:rPr>
                <w:rFonts w:ascii="Book Antiqua" w:hAnsi="Book Antiqua"/>
                <w:sz w:val="20"/>
                <w:szCs w:val="20"/>
                <w:lang w:val="en-GB"/>
              </w:rPr>
              <w:br/>
              <w:t xml:space="preserve">Prothrombin activity on POD1-3-7-14 </w:t>
            </w:r>
            <w:r>
              <w:rPr>
                <w:rFonts w:ascii="Book Antiqua" w:hAnsi="Book Antiqua"/>
                <w:sz w:val="20"/>
                <w:szCs w:val="20"/>
                <w:lang w:val="en-GB"/>
              </w:rPr>
              <w:br/>
              <w:t>(Berlin score ranging from 4 to 8) Berlin C (IPF): 7-8</w:t>
            </w:r>
          </w:p>
        </w:tc>
        <w:tc>
          <w:tcPr>
            <w:tcW w:w="6269" w:type="dxa"/>
            <w:shd w:val="clear" w:color="auto" w:fill="auto"/>
            <w:tcMar>
              <w:left w:w="51" w:type="dxa"/>
            </w:tcMar>
            <w:vAlign w:val="center"/>
          </w:tcPr>
          <w:p w14:paraId="24F38F22" w14:textId="77777777" w:rsidR="00B122DF" w:rsidRDefault="00B122DF" w:rsidP="00422EBA">
            <w:pPr>
              <w:pStyle w:val="Contenutotabella"/>
              <w:adjustRightInd w:val="0"/>
              <w:snapToGrid w:val="0"/>
              <w:spacing w:after="0" w:line="360" w:lineRule="auto"/>
              <w:jc w:val="both"/>
              <w:rPr>
                <w:rFonts w:ascii="Book Antiqua" w:hAnsi="Book Antiqua"/>
                <w:sz w:val="20"/>
                <w:szCs w:val="20"/>
                <w:lang w:val="en-GB"/>
              </w:rPr>
            </w:pPr>
          </w:p>
        </w:tc>
      </w:tr>
      <w:tr w:rsidR="00F219F4" w:rsidRPr="00943FB3" w14:paraId="4200EAA4" w14:textId="77777777" w:rsidTr="00C12E69">
        <w:tc>
          <w:tcPr>
            <w:tcW w:w="2408" w:type="dxa"/>
            <w:shd w:val="clear" w:color="auto" w:fill="auto"/>
            <w:tcMar>
              <w:left w:w="51" w:type="dxa"/>
            </w:tcMar>
            <w:vAlign w:val="center"/>
          </w:tcPr>
          <w:p w14:paraId="568A7595" w14:textId="11903242" w:rsidR="00B122DF" w:rsidRDefault="00B122DF" w:rsidP="00422EBA">
            <w:pPr>
              <w:pStyle w:val="Contenutotabella"/>
              <w:adjustRightInd w:val="0"/>
              <w:snapToGrid w:val="0"/>
              <w:spacing w:after="0" w:line="360" w:lineRule="auto"/>
              <w:jc w:val="both"/>
              <w:rPr>
                <w:rFonts w:ascii="Book Antiqua" w:hAnsi="Book Antiqua"/>
                <w:sz w:val="20"/>
                <w:szCs w:val="20"/>
                <w:lang w:val="en-GB"/>
              </w:rPr>
            </w:pPr>
            <w:r>
              <w:rPr>
                <w:rFonts w:ascii="Book Antiqua" w:hAnsi="Book Antiqua"/>
                <w:sz w:val="20"/>
                <w:szCs w:val="20"/>
                <w:lang w:val="en-GB"/>
              </w:rPr>
              <w:t xml:space="preserve">Tekin </w:t>
            </w:r>
            <w:r w:rsidR="00E35182" w:rsidRPr="00E35182">
              <w:rPr>
                <w:rFonts w:ascii="Book Antiqua" w:hAnsi="Book Antiqua"/>
                <w:i/>
                <w:sz w:val="20"/>
                <w:szCs w:val="20"/>
                <w:lang w:val="en-GB"/>
              </w:rPr>
              <w:t>et al</w:t>
            </w:r>
            <w:r w:rsidR="007D7ACC">
              <w:rPr>
                <w:rFonts w:ascii="Book Antiqua" w:hAnsi="Book Antiqua"/>
                <w:sz w:val="20"/>
                <w:szCs w:val="20"/>
                <w:lang w:val="en-GB"/>
              </w:rPr>
              <w:fldChar w:fldCharType="begin" w:fldLock="1"/>
            </w:r>
            <w:r w:rsidR="002D7F73">
              <w:rPr>
                <w:rFonts w:ascii="Book Antiqua" w:hAnsi="Book Antiqua"/>
                <w:sz w:val="20"/>
                <w:szCs w:val="20"/>
                <w:lang w:val="en-GB"/>
              </w:rPr>
              <w:instrText>ADDIN CSL_CITATION { "citationItems" : [ { "id" : "ITEM-1", "itemData" : { "DOI" : "10.1097/01.TP.0000110318.70879.20", "ISSN" : "0041-1337", "PMID" : "14966416", "abstract" : "BACKGROUND: Exactly what constitutes a marginal donor remains ill defined. The authors set out to create a scoring system that objectively classifies a donor as marginal or nonmarginal and to define what the maximum acceptable preservation period is for the marginal liver to minimize early graft dysfunction. METHODS: The authors performed an analysis on data collected prospectively of 397 cadaveric liver transplants. Both univariate and multivariate analyses were performed on donor, recipient, and perioperative factors with relation to early allograft dysfunction. A score was developed that classified donors into marginal and nonmarginal populations, and the influence of cold ischemia was determined for each group. RESULTS: Multivariate analysis-determined donor age and steatosis (moderate to severe) were independent predictors of deranged function. This enabled the authors to produce a scoring system to differentiate marginal donors with respect to risk of early allograft dysfunction as follows: Formula=(20.06xsteatosis)+(0.44xdonor age), cutoff 23.1. In the marginal group, the cutoff value of cold ischemia time was 12.6 hr. CONCLUSIONS: The authors developed a scoring system that classified an organ as marginal or nonmarginal depending on the donor age and degree of steatosis. Marginal livers have a strong risk of developing early allograft dysfunction with increasing cold ischemia times and should be transplanted within 12 hr. Cold ischemia time was not found to be an important factor in the development of early allograft dysfunction in nonmarginal donors.", "author" : [ { "dropping-particle" : "", "family" : "Tekin", "given" : "Koray", "non-dropping-particle" : "", "parse-names" : false, "suffix" : "" }, { "dropping-particle" : "", "family" : "Imber", "given" : "Charles J", "non-dropping-particle" : "", "parse-names" : false, "suffix" : "" }, { "dropping-particle" : "", "family" : "Atli", "given" : "Mesut", "non-dropping-particle" : "", "parse-names" : false, "suffix" : "" }, { "dropping-particle" : "", "family" : "Gunson", "given" : "Bridget K", "non-dropping-particle" : "", "parse-names" : false, "suffix" : "" }, { "dropping-particle" : "", "family" : "Bramhall", "given" : "Simon R", "non-dropping-particle" : "", "parse-names" : false, "suffix" : "" }, { "dropping-particle" : "", "family" : "Mayer", "given" : "David", "non-dropping-particle" : "", "parse-names" : false, "suffix" : "" }, { "dropping-particle" : "", "family" : "Buckels", "given" : "John A C", "non-dropping-particle" : "", "parse-names" : false, "suffix" : "" }, { "dropping-particle" : "", "family" : "McMaster", "given" : "Paul", "non-dropping-particle" : "", "parse-names" : false, "suffix" : "" }, { "dropping-particle" : "", "family" : "Mirza", "given" : "Darius F", "non-dropping-particle" : "", "parse-names" : false, "suffix" : "" } ], "container-title" : "Transplantation", "id" : "ITEM-1", "issue" : "3", "issued" : { "date-parts" : [ [ "2004", "2", "15" ] ] }, "page" : "411-6", "title" : "A simple scoring system to evaluate the effects of cold ischemia on marginal liver donors.", "type" : "article-journal", "volume" : "77" }, "uris" : [ "http://www.mendeley.com/documents/?uuid=6b9680cc-2a13-4898-b95f-db9725d1e2ac" ] } ], "mendeley" : { "formattedCitation" : "&lt;sup&gt;[110]&lt;/sup&gt;", "plainTextFormattedCitation" : "[110]", "previouslyFormattedCitation" : "&lt;sup&gt;[110]&lt;/sup&gt;" }, "properties" : { "noteIndex" : 0 }, "schema" : "https://github.com/citation-style-language/schema/raw/master/csl-citation.json" }</w:instrText>
            </w:r>
            <w:r w:rsidR="007D7ACC">
              <w:rPr>
                <w:rFonts w:ascii="Book Antiqua" w:hAnsi="Book Antiqua"/>
                <w:sz w:val="20"/>
                <w:szCs w:val="20"/>
                <w:lang w:val="en-GB"/>
              </w:rPr>
              <w:fldChar w:fldCharType="separate"/>
            </w:r>
            <w:r w:rsidR="00315B8B" w:rsidRPr="00315B8B">
              <w:rPr>
                <w:rFonts w:ascii="Book Antiqua" w:hAnsi="Book Antiqua"/>
                <w:noProof/>
                <w:sz w:val="20"/>
                <w:szCs w:val="20"/>
                <w:vertAlign w:val="superscript"/>
                <w:lang w:val="en-GB"/>
              </w:rPr>
              <w:t>[110]</w:t>
            </w:r>
            <w:r w:rsidR="007D7ACC">
              <w:rPr>
                <w:rFonts w:ascii="Book Antiqua" w:hAnsi="Book Antiqua"/>
                <w:sz w:val="20"/>
                <w:szCs w:val="20"/>
                <w:lang w:val="en-GB"/>
              </w:rPr>
              <w:fldChar w:fldCharType="end"/>
            </w:r>
          </w:p>
        </w:tc>
        <w:tc>
          <w:tcPr>
            <w:tcW w:w="5723" w:type="dxa"/>
            <w:shd w:val="clear" w:color="auto" w:fill="auto"/>
            <w:tcMar>
              <w:left w:w="51" w:type="dxa"/>
            </w:tcMar>
            <w:vAlign w:val="center"/>
          </w:tcPr>
          <w:p w14:paraId="18CDB2F1" w14:textId="77777777" w:rsidR="00B122DF" w:rsidRPr="00B122DF" w:rsidRDefault="00B122DF" w:rsidP="00422EBA">
            <w:pPr>
              <w:pStyle w:val="Contenutotabella"/>
              <w:adjustRightInd w:val="0"/>
              <w:snapToGrid w:val="0"/>
              <w:spacing w:after="0" w:line="360" w:lineRule="auto"/>
              <w:jc w:val="both"/>
              <w:rPr>
                <w:lang w:val="en-US"/>
              </w:rPr>
            </w:pPr>
            <w:r>
              <w:rPr>
                <w:rFonts w:ascii="Book Antiqua" w:hAnsi="Book Antiqua"/>
                <w:sz w:val="20"/>
                <w:szCs w:val="20"/>
                <w:lang w:val="en-GB"/>
              </w:rPr>
              <w:t>On POD7:</w:t>
            </w:r>
          </w:p>
          <w:p w14:paraId="26568AEA" w14:textId="77777777" w:rsidR="00B122DF" w:rsidRPr="00B122DF" w:rsidRDefault="00B122DF" w:rsidP="00422EBA">
            <w:pPr>
              <w:pStyle w:val="Contenutotabella"/>
              <w:numPr>
                <w:ilvl w:val="0"/>
                <w:numId w:val="3"/>
              </w:numPr>
              <w:adjustRightInd w:val="0"/>
              <w:snapToGrid w:val="0"/>
              <w:spacing w:after="0" w:line="360" w:lineRule="auto"/>
              <w:ind w:left="0"/>
              <w:jc w:val="both"/>
              <w:rPr>
                <w:lang w:val="en-US"/>
              </w:rPr>
            </w:pPr>
            <w:r>
              <w:rPr>
                <w:rFonts w:ascii="Book Antiqua" w:hAnsi="Book Antiqua"/>
                <w:sz w:val="20"/>
                <w:szCs w:val="20"/>
                <w:lang w:val="en-GB"/>
              </w:rPr>
              <w:t>AST &gt; 1500 IU/L</w:t>
            </w:r>
          </w:p>
          <w:p w14:paraId="611BF1CC" w14:textId="77777777" w:rsidR="00B122DF" w:rsidRPr="00B122DF" w:rsidRDefault="00B122DF" w:rsidP="00422EBA">
            <w:pPr>
              <w:pStyle w:val="Contenutotabella"/>
              <w:adjustRightInd w:val="0"/>
              <w:snapToGrid w:val="0"/>
              <w:spacing w:after="0" w:line="360" w:lineRule="auto"/>
              <w:jc w:val="both"/>
              <w:rPr>
                <w:lang w:val="en-US"/>
              </w:rPr>
            </w:pPr>
            <w:r>
              <w:rPr>
                <w:rFonts w:ascii="Book Antiqua" w:hAnsi="Book Antiqua"/>
                <w:sz w:val="20"/>
                <w:szCs w:val="20"/>
                <w:lang w:val="en-GB"/>
              </w:rPr>
              <w:t>and</w:t>
            </w:r>
          </w:p>
          <w:p w14:paraId="08180132" w14:textId="77777777" w:rsidR="00B122DF" w:rsidRPr="00B122DF" w:rsidRDefault="00B122DF" w:rsidP="00422EBA">
            <w:pPr>
              <w:pStyle w:val="Contenutotabella"/>
              <w:numPr>
                <w:ilvl w:val="0"/>
                <w:numId w:val="3"/>
              </w:numPr>
              <w:adjustRightInd w:val="0"/>
              <w:snapToGrid w:val="0"/>
              <w:spacing w:after="0" w:line="360" w:lineRule="auto"/>
              <w:ind w:left="0"/>
              <w:jc w:val="both"/>
              <w:rPr>
                <w:lang w:val="en-US"/>
              </w:rPr>
            </w:pPr>
            <w:r>
              <w:rPr>
                <w:rFonts w:ascii="Book Antiqua" w:hAnsi="Book Antiqua"/>
                <w:sz w:val="20"/>
                <w:szCs w:val="20"/>
                <w:lang w:val="en-GB"/>
              </w:rPr>
              <w:t>PT &gt; 20 s</w:t>
            </w:r>
          </w:p>
        </w:tc>
        <w:tc>
          <w:tcPr>
            <w:tcW w:w="6269" w:type="dxa"/>
            <w:shd w:val="clear" w:color="auto" w:fill="auto"/>
            <w:tcMar>
              <w:left w:w="51" w:type="dxa"/>
            </w:tcMar>
            <w:vAlign w:val="center"/>
          </w:tcPr>
          <w:p w14:paraId="1BF285BA" w14:textId="77777777" w:rsidR="00B122DF" w:rsidRPr="007A5042" w:rsidRDefault="00B122DF" w:rsidP="00422EBA">
            <w:pPr>
              <w:pStyle w:val="Contenutotabella"/>
              <w:numPr>
                <w:ilvl w:val="0"/>
                <w:numId w:val="3"/>
              </w:numPr>
              <w:adjustRightInd w:val="0"/>
              <w:snapToGrid w:val="0"/>
              <w:spacing w:after="0" w:line="360" w:lineRule="auto"/>
              <w:ind w:left="0"/>
              <w:jc w:val="both"/>
              <w:rPr>
                <w:lang w:val="en-US"/>
              </w:rPr>
            </w:pPr>
            <w:r>
              <w:rPr>
                <w:rFonts w:ascii="Book Antiqua" w:hAnsi="Book Antiqua"/>
                <w:sz w:val="20"/>
                <w:szCs w:val="20"/>
                <w:lang w:val="en-GB"/>
              </w:rPr>
              <w:t>Not-life sustaining graft leading to retransplantationor death within POD7</w:t>
            </w:r>
          </w:p>
        </w:tc>
      </w:tr>
      <w:tr w:rsidR="00F219F4" w:rsidRPr="00943FB3" w14:paraId="380C7184" w14:textId="77777777" w:rsidTr="00C12E69">
        <w:tc>
          <w:tcPr>
            <w:tcW w:w="2408" w:type="dxa"/>
            <w:shd w:val="clear" w:color="auto" w:fill="auto"/>
            <w:tcMar>
              <w:left w:w="51" w:type="dxa"/>
            </w:tcMar>
            <w:vAlign w:val="center"/>
          </w:tcPr>
          <w:p w14:paraId="1A0CDCAD" w14:textId="5A42EC49" w:rsidR="00B122DF" w:rsidRDefault="00B122DF" w:rsidP="00422EBA">
            <w:pPr>
              <w:pStyle w:val="Contenutotabella"/>
              <w:adjustRightInd w:val="0"/>
              <w:snapToGrid w:val="0"/>
              <w:spacing w:after="0" w:line="360" w:lineRule="auto"/>
              <w:jc w:val="both"/>
              <w:rPr>
                <w:rFonts w:ascii="Book Antiqua" w:hAnsi="Book Antiqua"/>
                <w:sz w:val="20"/>
                <w:szCs w:val="20"/>
                <w:lang w:val="en-GB"/>
              </w:rPr>
            </w:pPr>
            <w:r>
              <w:rPr>
                <w:rFonts w:ascii="Book Antiqua" w:hAnsi="Book Antiqua"/>
                <w:sz w:val="20"/>
                <w:szCs w:val="20"/>
                <w:lang w:val="en-GB"/>
              </w:rPr>
              <w:t xml:space="preserve">Ben Ari </w:t>
            </w:r>
            <w:r w:rsidR="00E35182" w:rsidRPr="00E35182">
              <w:rPr>
                <w:rFonts w:ascii="Book Antiqua" w:hAnsi="Book Antiqua"/>
                <w:i/>
                <w:sz w:val="20"/>
                <w:szCs w:val="20"/>
                <w:lang w:val="en-GB"/>
              </w:rPr>
              <w:t>et al</w:t>
            </w:r>
            <w:r w:rsidR="007D7ACC">
              <w:rPr>
                <w:rFonts w:ascii="Book Antiqua" w:hAnsi="Book Antiqua"/>
                <w:sz w:val="20"/>
                <w:szCs w:val="20"/>
                <w:lang w:val="en-GB"/>
              </w:rPr>
              <w:fldChar w:fldCharType="begin" w:fldLock="1"/>
            </w:r>
            <w:r w:rsidR="002D7F73">
              <w:rPr>
                <w:rFonts w:ascii="Book Antiqua" w:hAnsi="Book Antiqua"/>
                <w:sz w:val="20"/>
                <w:szCs w:val="20"/>
                <w:lang w:val="en-GB"/>
              </w:rPr>
              <w:instrText>ADDIN CSL_CITATION { "citationItems" : [ { "id" : "ITEM-1", "itemData" : { "DOI" : "10.1046/j.1399-0012.2003.00135.x", "ISSN" : "0902-0063", "PMID" : "15016125", "abstract" : "BACKGROUND: Early cholestasis is not uncommon after liver transplantation and usually signifies graft dysfunction. The aim of this study was to determine if serum synthetic and cholestatic parameters measured at various time points after transplantation can predict early patient outcome, and graft function. METHODS: The charts of 92 patients who underwent 95 liver transplantations at Rabin Medical Center between 1991 and 2000 were reviewed. Findings on liver function tests and levels of serum bilirubin, alkaline phosphatase (ALP), and gamma glutamyl transpeptidase (GGT) on days 2, 10, 30, and 90 after transplantation were measured in order to predict early (6 months) patient outcome (mortality and sepsis) and initial poor functioning graft. Pearson correlation, chi(2) test, and Student's t-test were performed for univariate analysis, and logistic regression for multivariate analysis. RESULTS: Univariate analysis. Serum bilirubin &gt;/=10 mg/dL and international normalized ratio (INR) &gt;1.6 on days 10, 30, and 90, and high serum ALP and low albumin levels on days 30 and 90 were risk factors for 6-month mortality; serum bilirubin &gt;/=10 mg/dL on days 10, 30, and 90, high serum ALP, high GGT, and low serum albumin, on days 30 and 90, and INR &gt;/=1.6 on day 10 were risk factors for sepsis; high serum alanine aminotransferase, INR &gt;1.6, and bilirubin &gt;/=10 mg/dL on days 2 and 10 were risk factors for poor graft function. The 6-month mortality rate was significantly higher in patients with serum bilirubin &gt;/=10 mg/dL on day 10 than in patients with values of &lt;10 mg/dL (29.4% vs. 4.0%, p = 0.004). Patients who had sepsis had high mean serum ALP levels on day 30 than patients who did not (364.5 +/- 229.9 U/L vs. 70.8 +/- 125.6 U/L, p = 0.005). Multivariate analysis. Significant predictors of 6-month mortality were serum bilirubin &gt;/=10 mg/dL [odds ratio (OR) 9.05, 95% confidence intervals (CI) 1.6-49.6] and INR &gt;1.6 (OR 9.11, CI 1.5-54.8) on day 10; significant predictors were high serum ALP level on day 30 (OR 1.005, 1.001-1.01) and high GGT level on day 90 (OR 1.005, CI 1.001-1.01). None of the variables were able to predict initial poor graft functioning. CONCLUSIONS: Several serum cholestasis markers may serve as predictors of early outcome of liver transplantation. The strongest correlation was found between serum bilirubin &gt;/=10 mg/dL on day 10 and early death, sepsis, and poor graft function. Early intervention in patients found to be at high risk may ameliora\u2026", "author" : [ { "dropping-particle" : "", "family" : "Ben-Ari", "given" : "Ziv", "non-dropping-particle" : "", "parse-names" : false, "suffix" : "" }, { "dropping-particle" : "", "family" : "Weiss-Schmilovitz", "given" : "Hemda", "non-dropping-particle" : "", "parse-names" : false, "suffix" : "" }, { "dropping-particle" : "", "family" : "Sulkes", "given" : "Jaqueline", "non-dropping-particle" : "", "parse-names" : false, "suffix" : "" }, { "dropping-particle" : "", "family" : "Brown", "given" : "Marius", "non-dropping-particle" : "", "parse-names" : false, "suffix" : "" }, { "dropping-particle" : "", "family" : "Bar-Nathan", "given" : "Nathan", "non-dropping-particle" : "", "parse-names" : false, "suffix" : "" }, { "dropping-particle" : "", "family" : "Shaharabani", "given" : "Ezra", "non-dropping-particle" : "", "parse-names" : false, "suffix" : "" }, { "dropping-particle" : "", "family" : "Yussim", "given" : "Alexander", "non-dropping-particle" : "", "parse-names" : false, "suffix" : "" }, { "dropping-particle" : "", "family" : "Shapira", "given" : "Zaki", "non-dropping-particle" : "", "parse-names" : false, "suffix" : "" }, { "dropping-particle" : "", "family" : "Tur-Kaspa", "given" : "Ran", "non-dropping-particle" : "", "parse-names" : false, "suffix" : "" }, { "dropping-particle" : "", "family" : "Mor", "given" : "Eytan", "non-dropping-particle" : "", "parse-names" : false, "suffix" : "" } ], "container-title" : "Clinical transplantation", "id" : "ITEM-1", "issue" : "2", "issued" : { "date-parts" : [ [ "2004", "4" ] ] }, "page" : "130-6", "title" : "Serum cholestasis markers as predictors of early outcome after liver transplantation.", "type" : "article-journal", "volume" : "18" }, "uris" : [ "http://www.mendeley.com/documents/?uuid=280a5b29-1084-425c-ad30-f87be8443fc8" ] } ], "mendeley" : { "formattedCitation" : "&lt;sup&gt;[111]&lt;/sup&gt;", "plainTextFormattedCitation" : "[111]", "previouslyFormattedCitation" : "&lt;sup&gt;[111]&lt;/sup&gt;" }, "properties" : { "noteIndex" : 0 }, "schema" : "https://github.com/citation-style-language/schema/raw/master/csl-citation.json" }</w:instrText>
            </w:r>
            <w:r w:rsidR="007D7ACC">
              <w:rPr>
                <w:rFonts w:ascii="Book Antiqua" w:hAnsi="Book Antiqua"/>
                <w:sz w:val="20"/>
                <w:szCs w:val="20"/>
                <w:lang w:val="en-GB"/>
              </w:rPr>
              <w:fldChar w:fldCharType="separate"/>
            </w:r>
            <w:r w:rsidR="00315B8B" w:rsidRPr="00315B8B">
              <w:rPr>
                <w:rFonts w:ascii="Book Antiqua" w:hAnsi="Book Antiqua"/>
                <w:noProof/>
                <w:sz w:val="20"/>
                <w:szCs w:val="20"/>
                <w:vertAlign w:val="superscript"/>
                <w:lang w:val="en-GB"/>
              </w:rPr>
              <w:t>[111]</w:t>
            </w:r>
            <w:r w:rsidR="007D7ACC">
              <w:rPr>
                <w:rFonts w:ascii="Book Antiqua" w:hAnsi="Book Antiqua"/>
                <w:sz w:val="20"/>
                <w:szCs w:val="20"/>
                <w:lang w:val="en-GB"/>
              </w:rPr>
              <w:fldChar w:fldCharType="end"/>
            </w:r>
          </w:p>
        </w:tc>
        <w:tc>
          <w:tcPr>
            <w:tcW w:w="5723" w:type="dxa"/>
            <w:shd w:val="clear" w:color="auto" w:fill="auto"/>
            <w:tcMar>
              <w:left w:w="51" w:type="dxa"/>
            </w:tcMar>
            <w:vAlign w:val="center"/>
          </w:tcPr>
          <w:p w14:paraId="7A7AA1AD" w14:textId="77777777" w:rsidR="00B122DF" w:rsidRPr="007A5042" w:rsidRDefault="00B122DF" w:rsidP="00422EBA">
            <w:pPr>
              <w:pStyle w:val="Contenutotabella"/>
              <w:numPr>
                <w:ilvl w:val="0"/>
                <w:numId w:val="3"/>
              </w:numPr>
              <w:adjustRightInd w:val="0"/>
              <w:snapToGrid w:val="0"/>
              <w:spacing w:after="0" w:line="360" w:lineRule="auto"/>
              <w:ind w:left="0"/>
              <w:jc w:val="both"/>
              <w:rPr>
                <w:lang w:val="en-US"/>
              </w:rPr>
            </w:pPr>
            <w:r>
              <w:rPr>
                <w:rFonts w:ascii="Book Antiqua" w:hAnsi="Book Antiqua"/>
                <w:sz w:val="20"/>
                <w:szCs w:val="20"/>
                <w:lang w:val="en-GB"/>
              </w:rPr>
              <w:t>AST or ALT &gt; 2000 IU/L on POD2</w:t>
            </w:r>
          </w:p>
          <w:p w14:paraId="4D9958F7" w14:textId="77777777" w:rsidR="00B122DF" w:rsidRPr="00507FA4" w:rsidRDefault="00B122DF" w:rsidP="00422EBA">
            <w:pPr>
              <w:pStyle w:val="Contenutotabella"/>
              <w:numPr>
                <w:ilvl w:val="0"/>
                <w:numId w:val="3"/>
              </w:numPr>
              <w:adjustRightInd w:val="0"/>
              <w:snapToGrid w:val="0"/>
              <w:spacing w:after="0" w:line="360" w:lineRule="auto"/>
              <w:ind w:left="0"/>
              <w:jc w:val="both"/>
              <w:rPr>
                <w:lang w:val="en-US"/>
              </w:rPr>
            </w:pPr>
            <w:r>
              <w:rPr>
                <w:rFonts w:ascii="Book Antiqua" w:hAnsi="Book Antiqua"/>
                <w:sz w:val="20"/>
                <w:szCs w:val="20"/>
                <w:lang w:val="en-GB"/>
              </w:rPr>
              <w:t>INR &gt; 1.6 on POD2-10</w:t>
            </w:r>
          </w:p>
          <w:p w14:paraId="0EF6E3F6" w14:textId="77777777" w:rsidR="00B122DF" w:rsidRPr="007A5042" w:rsidRDefault="00B122DF" w:rsidP="00422EBA">
            <w:pPr>
              <w:pStyle w:val="Contenutotabella"/>
              <w:numPr>
                <w:ilvl w:val="0"/>
                <w:numId w:val="3"/>
              </w:numPr>
              <w:adjustRightInd w:val="0"/>
              <w:snapToGrid w:val="0"/>
              <w:spacing w:after="0" w:line="360" w:lineRule="auto"/>
              <w:ind w:left="0"/>
              <w:jc w:val="both"/>
              <w:rPr>
                <w:lang w:val="en-US"/>
              </w:rPr>
            </w:pPr>
            <w:r>
              <w:rPr>
                <w:rFonts w:ascii="Book Antiqua" w:hAnsi="Book Antiqua"/>
                <w:sz w:val="20"/>
                <w:szCs w:val="20"/>
                <w:lang w:val="en-GB"/>
              </w:rPr>
              <w:t>Bilirubin &gt; 10 mg/dL on POD2-10</w:t>
            </w:r>
          </w:p>
        </w:tc>
        <w:tc>
          <w:tcPr>
            <w:tcW w:w="6269" w:type="dxa"/>
            <w:shd w:val="clear" w:color="auto" w:fill="auto"/>
            <w:tcMar>
              <w:left w:w="51" w:type="dxa"/>
            </w:tcMar>
            <w:vAlign w:val="center"/>
          </w:tcPr>
          <w:p w14:paraId="3093FAE2" w14:textId="77777777" w:rsidR="00B122DF" w:rsidRPr="007A5042" w:rsidRDefault="00B122DF" w:rsidP="00422EBA">
            <w:pPr>
              <w:pStyle w:val="Contenutotabella"/>
              <w:numPr>
                <w:ilvl w:val="0"/>
                <w:numId w:val="3"/>
              </w:numPr>
              <w:adjustRightInd w:val="0"/>
              <w:snapToGrid w:val="0"/>
              <w:spacing w:after="0" w:line="360" w:lineRule="auto"/>
              <w:ind w:left="0"/>
              <w:jc w:val="both"/>
              <w:rPr>
                <w:lang w:val="en-US"/>
              </w:rPr>
            </w:pPr>
            <w:r>
              <w:rPr>
                <w:rFonts w:ascii="Book Antiqua" w:hAnsi="Book Antiqua"/>
                <w:sz w:val="20"/>
                <w:szCs w:val="20"/>
                <w:lang w:val="en-GB"/>
              </w:rPr>
              <w:t>Not-life sustaining graft leading to retransplantationor death within POD10</w:t>
            </w:r>
          </w:p>
        </w:tc>
      </w:tr>
      <w:tr w:rsidR="00F219F4" w:rsidRPr="00943FB3" w14:paraId="5FCD3AE6" w14:textId="77777777" w:rsidTr="00C12E69">
        <w:tc>
          <w:tcPr>
            <w:tcW w:w="2408" w:type="dxa"/>
            <w:shd w:val="clear" w:color="auto" w:fill="auto"/>
            <w:tcMar>
              <w:left w:w="51" w:type="dxa"/>
            </w:tcMar>
            <w:vAlign w:val="center"/>
          </w:tcPr>
          <w:p w14:paraId="4BA7EFBD" w14:textId="56D299F6" w:rsidR="00B122DF" w:rsidRDefault="00B122DF" w:rsidP="00422EBA">
            <w:pPr>
              <w:pStyle w:val="Contenutotabella"/>
              <w:adjustRightInd w:val="0"/>
              <w:snapToGrid w:val="0"/>
              <w:spacing w:after="0" w:line="360" w:lineRule="auto"/>
              <w:jc w:val="both"/>
              <w:rPr>
                <w:rFonts w:ascii="Book Antiqua" w:hAnsi="Book Antiqua"/>
                <w:sz w:val="20"/>
                <w:szCs w:val="20"/>
                <w:lang w:val="en-GB"/>
              </w:rPr>
            </w:pPr>
            <w:r>
              <w:rPr>
                <w:rFonts w:ascii="Book Antiqua" w:hAnsi="Book Antiqua"/>
                <w:sz w:val="20"/>
                <w:szCs w:val="20"/>
                <w:lang w:val="en-GB"/>
              </w:rPr>
              <w:t xml:space="preserve">Kremers </w:t>
            </w:r>
            <w:r w:rsidR="00E35182" w:rsidRPr="00E35182">
              <w:rPr>
                <w:rFonts w:ascii="Book Antiqua" w:hAnsi="Book Antiqua"/>
                <w:i/>
                <w:sz w:val="20"/>
                <w:szCs w:val="20"/>
                <w:lang w:val="en-GB"/>
              </w:rPr>
              <w:t>et al</w:t>
            </w:r>
            <w:r w:rsidR="007D7ACC">
              <w:rPr>
                <w:rFonts w:ascii="Book Antiqua" w:hAnsi="Book Antiqua"/>
                <w:sz w:val="20"/>
                <w:szCs w:val="20"/>
                <w:lang w:val="en-GB"/>
              </w:rPr>
              <w:fldChar w:fldCharType="begin" w:fldLock="1"/>
            </w:r>
            <w:r w:rsidR="002D7F73">
              <w:rPr>
                <w:rFonts w:ascii="Book Antiqua" w:hAnsi="Book Antiqua"/>
                <w:sz w:val="20"/>
                <w:szCs w:val="20"/>
                <w:lang w:val="en-GB"/>
              </w:rPr>
              <w:instrText>ADDIN CSL_CITATION { "citationItems" : [ { "id" : "ITEM-1", "itemData" : { "DOI" : "10.1002/hep.20083", "ISSN" : "0270-9139", "PMID" : "14999695", "abstract" : "The Model for End-Stage Liver Disease (MELD) score is predictive of survival and is used to prioritize patients with chronic liver disease patients for orthotopic liver transplantation (OLT). The aims of this study are (1) to assess the ability of MELD score at listing to predict pretransplant and posttransplant survival for nonchronic liver disease patients listed with the Organ Procurement and Transplantation Network/ United Network for Organ Sharing (OPTN/UNOS) as Status 1; and (2) to compare survival associated with 4 diagnostic groups within the Status 1 designation. The study population consisted of adult patients listed for OLT at Status 1 in the UNOS national database between November 1, 1999 and March 14, 2002 (N = 720). Events within 30 days of listing were analyzed using Kaplan-Meier and Cox regression methodology. Patients meeting criteria for fulminant hepatic failure without acetaminophen toxicity (FHF-NA, n = 312) had the poorest survival probability while awaiting OLT; this was negatively correlated with MELD score (P =.0001). These patients experienced the greatest survival benefit associated with OLT, with an estimated improvement of survival from about 58% to 91% (P &lt;.0001). Patients listed for primary nonfunction within 7 days of OLT (n = 268) did not show mortality to be related to MELD score (P =.41) and did not show a significant association between survival and OLT (P =.68). In conclusion, liver allocation within the Status 1 designation may need to be further stratified by diagnosis, and MELD score may be useful for prioritizing FHF-NA candidates.", "author" : [ { "dropping-particle" : "", "family" : "Kremers", "given" : "Walter K", "non-dropping-particle" : "", "parse-names" : false, "suffix" : "" }, { "dropping-particle" : "", "family" : "IJperen", "given" : "Marrije", "non-dropping-particle" : "van", "parse-names" : false, "suffix" : "" }, { "dropping-particle" : "", "family" : "Kim", "given" : "W Ray", "non-dropping-particle" : "", "parse-names" : false, "suffix" : "" }, { "dropping-particle" : "", "family" : "Freeman", "given" : "Richard B", "non-dropping-particle" : "", "parse-names" : false, "suffix" : "" }, { "dropping-particle" : "", "family" : "Harper", "given" : "Ann M", "non-dropping-particle" : "", "parse-names" : false, "suffix" : "" }, { "dropping-particle" : "", "family" : "Kamath", "given" : "Patrick S", "non-dropping-particle" : "", "parse-names" : false, "suffix" : "" }, { "dropping-particle" : "", "family" : "Wiesner", "given" : "Russell H", "non-dropping-particle" : "", "parse-names" : false, "suffix" : "" } ], "container-title" : "Hepatology (Baltimore, Md.)", "id" : "ITEM-1", "issue" : "3", "issued" : { "date-parts" : [ [ "2004", "3" ] ] }, "page" : "764-9", "title" : "MELD score as a predictor of pretransplant and posttransplant survival in OPTN/UNOS status 1 patients.", "type" : "article-journal", "volume" : "39" }, "uris" : [ "http://www.mendeley.com/documents/?uuid=e75fa084-1f07-4d11-a726-03c801e63fbd" ] } ], "mendeley" : { "formattedCitation" : "&lt;sup&gt;[112]&lt;/sup&gt;", "plainTextFormattedCitation" : "[112]", "previouslyFormattedCitation" : "&lt;sup&gt;[112]&lt;/sup&gt;" }, "properties" : { "noteIndex" : 0 }, "schema" : "https://github.com/citation-style-language/schema/raw/master/csl-citation.json" }</w:instrText>
            </w:r>
            <w:r w:rsidR="007D7ACC">
              <w:rPr>
                <w:rFonts w:ascii="Book Antiqua" w:hAnsi="Book Antiqua"/>
                <w:sz w:val="20"/>
                <w:szCs w:val="20"/>
                <w:lang w:val="en-GB"/>
              </w:rPr>
              <w:fldChar w:fldCharType="separate"/>
            </w:r>
            <w:r w:rsidR="00315B8B" w:rsidRPr="00315B8B">
              <w:rPr>
                <w:rFonts w:ascii="Book Antiqua" w:hAnsi="Book Antiqua"/>
                <w:noProof/>
                <w:sz w:val="20"/>
                <w:szCs w:val="20"/>
                <w:vertAlign w:val="superscript"/>
                <w:lang w:val="en-GB"/>
              </w:rPr>
              <w:t>[112]</w:t>
            </w:r>
            <w:r w:rsidR="007D7ACC">
              <w:rPr>
                <w:rFonts w:ascii="Book Antiqua" w:hAnsi="Book Antiqua"/>
                <w:sz w:val="20"/>
                <w:szCs w:val="20"/>
                <w:lang w:val="en-GB"/>
              </w:rPr>
              <w:fldChar w:fldCharType="end"/>
            </w:r>
          </w:p>
        </w:tc>
        <w:tc>
          <w:tcPr>
            <w:tcW w:w="5723" w:type="dxa"/>
            <w:shd w:val="clear" w:color="auto" w:fill="auto"/>
            <w:tcMar>
              <w:left w:w="51" w:type="dxa"/>
            </w:tcMar>
            <w:vAlign w:val="center"/>
          </w:tcPr>
          <w:p w14:paraId="04A51336" w14:textId="77777777" w:rsidR="00B122DF" w:rsidRDefault="00B122DF" w:rsidP="00422EBA">
            <w:pPr>
              <w:pStyle w:val="Contenutotabella"/>
              <w:adjustRightInd w:val="0"/>
              <w:snapToGrid w:val="0"/>
              <w:spacing w:after="0" w:line="360" w:lineRule="auto"/>
              <w:jc w:val="both"/>
              <w:rPr>
                <w:rFonts w:ascii="Book Antiqua" w:hAnsi="Book Antiqua"/>
                <w:sz w:val="20"/>
                <w:szCs w:val="20"/>
                <w:lang w:val="en-GB"/>
              </w:rPr>
            </w:pPr>
          </w:p>
        </w:tc>
        <w:tc>
          <w:tcPr>
            <w:tcW w:w="6269" w:type="dxa"/>
            <w:shd w:val="clear" w:color="auto" w:fill="auto"/>
            <w:tcMar>
              <w:left w:w="51" w:type="dxa"/>
            </w:tcMar>
            <w:vAlign w:val="center"/>
          </w:tcPr>
          <w:p w14:paraId="4BDEA129" w14:textId="77777777" w:rsidR="00B122DF" w:rsidRPr="00507FA4" w:rsidRDefault="00B122DF" w:rsidP="00422EBA">
            <w:pPr>
              <w:pStyle w:val="Contenutotabella"/>
              <w:numPr>
                <w:ilvl w:val="0"/>
                <w:numId w:val="3"/>
              </w:numPr>
              <w:adjustRightInd w:val="0"/>
              <w:snapToGrid w:val="0"/>
              <w:spacing w:after="0" w:line="360" w:lineRule="auto"/>
              <w:ind w:left="0"/>
              <w:jc w:val="both"/>
              <w:rPr>
                <w:lang w:val="en-US"/>
              </w:rPr>
            </w:pPr>
            <w:r>
              <w:rPr>
                <w:rFonts w:ascii="Book Antiqua" w:hAnsi="Book Antiqua"/>
                <w:sz w:val="20"/>
                <w:szCs w:val="20"/>
                <w:lang w:val="en-GB"/>
              </w:rPr>
              <w:t>ALT &gt; 2500 IU/L</w:t>
            </w:r>
          </w:p>
          <w:p w14:paraId="36D9719E" w14:textId="77777777" w:rsidR="00B122DF" w:rsidRPr="00507FA4" w:rsidRDefault="00B122DF" w:rsidP="00422EBA">
            <w:pPr>
              <w:pStyle w:val="Contenutotabella"/>
              <w:numPr>
                <w:ilvl w:val="0"/>
                <w:numId w:val="3"/>
              </w:numPr>
              <w:adjustRightInd w:val="0"/>
              <w:snapToGrid w:val="0"/>
              <w:spacing w:after="0" w:line="360" w:lineRule="auto"/>
              <w:ind w:left="0"/>
              <w:jc w:val="both"/>
              <w:rPr>
                <w:lang w:val="en-US"/>
              </w:rPr>
            </w:pPr>
            <w:r>
              <w:rPr>
                <w:rFonts w:ascii="Book Antiqua" w:hAnsi="Book Antiqua"/>
                <w:sz w:val="20"/>
                <w:szCs w:val="20"/>
                <w:lang w:val="en-GB"/>
              </w:rPr>
              <w:t>Glucose &lt; 60 mg/dL</w:t>
            </w:r>
          </w:p>
          <w:p w14:paraId="4EE89E6D" w14:textId="77777777" w:rsidR="00B122DF" w:rsidRPr="00507FA4" w:rsidRDefault="00B122DF" w:rsidP="00422EBA">
            <w:pPr>
              <w:pStyle w:val="Contenutotabella"/>
              <w:numPr>
                <w:ilvl w:val="0"/>
                <w:numId w:val="3"/>
              </w:numPr>
              <w:adjustRightInd w:val="0"/>
              <w:snapToGrid w:val="0"/>
              <w:spacing w:after="0" w:line="360" w:lineRule="auto"/>
              <w:ind w:left="0"/>
              <w:jc w:val="both"/>
              <w:rPr>
                <w:lang w:val="en-US"/>
              </w:rPr>
            </w:pPr>
            <w:r>
              <w:rPr>
                <w:rFonts w:ascii="Book Antiqua" w:hAnsi="Book Antiqua"/>
                <w:sz w:val="20"/>
                <w:szCs w:val="20"/>
                <w:lang w:val="en-GB"/>
              </w:rPr>
              <w:t>INR &gt; 2.5</w:t>
            </w:r>
          </w:p>
          <w:p w14:paraId="4D12A83E" w14:textId="77777777" w:rsidR="00B122DF" w:rsidRPr="00507FA4" w:rsidRDefault="00B122DF" w:rsidP="00422EBA">
            <w:pPr>
              <w:pStyle w:val="Contenutotabella"/>
              <w:numPr>
                <w:ilvl w:val="0"/>
                <w:numId w:val="3"/>
              </w:numPr>
              <w:adjustRightInd w:val="0"/>
              <w:snapToGrid w:val="0"/>
              <w:spacing w:after="0" w:line="360" w:lineRule="auto"/>
              <w:ind w:left="0"/>
              <w:jc w:val="both"/>
              <w:rPr>
                <w:lang w:val="en-US"/>
              </w:rPr>
            </w:pPr>
            <w:r>
              <w:rPr>
                <w:rFonts w:ascii="Book Antiqua" w:hAnsi="Book Antiqua"/>
                <w:sz w:val="20"/>
                <w:szCs w:val="20"/>
                <w:lang w:val="en-GB"/>
              </w:rPr>
              <w:t>bile flow &lt; 50 mL/d</w:t>
            </w:r>
          </w:p>
        </w:tc>
      </w:tr>
      <w:tr w:rsidR="00F219F4" w:rsidRPr="00943FB3" w14:paraId="748997E4" w14:textId="77777777" w:rsidTr="00C12E69">
        <w:tc>
          <w:tcPr>
            <w:tcW w:w="2408" w:type="dxa"/>
            <w:shd w:val="clear" w:color="auto" w:fill="auto"/>
            <w:tcMar>
              <w:left w:w="51" w:type="dxa"/>
            </w:tcMar>
            <w:vAlign w:val="center"/>
          </w:tcPr>
          <w:p w14:paraId="036C49B0" w14:textId="2D07631F" w:rsidR="00B122DF" w:rsidRDefault="00B122DF" w:rsidP="00422EBA">
            <w:pPr>
              <w:pStyle w:val="Contenutotabella"/>
              <w:adjustRightInd w:val="0"/>
              <w:snapToGrid w:val="0"/>
              <w:spacing w:after="0" w:line="360" w:lineRule="auto"/>
              <w:jc w:val="both"/>
              <w:rPr>
                <w:rFonts w:ascii="Book Antiqua" w:hAnsi="Book Antiqua"/>
                <w:sz w:val="20"/>
                <w:szCs w:val="20"/>
                <w:lang w:val="en-GB"/>
              </w:rPr>
            </w:pPr>
            <w:r>
              <w:rPr>
                <w:rFonts w:ascii="Book Antiqua" w:hAnsi="Book Antiqua"/>
                <w:sz w:val="20"/>
                <w:szCs w:val="20"/>
                <w:lang w:val="en-GB"/>
              </w:rPr>
              <w:t xml:space="preserve">Pokorny </w:t>
            </w:r>
            <w:r w:rsidR="00E35182" w:rsidRPr="00E35182">
              <w:rPr>
                <w:rFonts w:ascii="Book Antiqua" w:hAnsi="Book Antiqua"/>
                <w:i/>
                <w:sz w:val="20"/>
                <w:szCs w:val="20"/>
                <w:lang w:val="en-GB"/>
              </w:rPr>
              <w:t>et al</w:t>
            </w:r>
            <w:r w:rsidR="007D7ACC">
              <w:rPr>
                <w:rFonts w:ascii="Book Antiqua" w:hAnsi="Book Antiqua"/>
                <w:sz w:val="20"/>
                <w:szCs w:val="20"/>
                <w:lang w:val="en-GB"/>
              </w:rPr>
              <w:fldChar w:fldCharType="begin" w:fldLock="1"/>
            </w:r>
            <w:r w:rsidR="002D7F73">
              <w:rPr>
                <w:rFonts w:ascii="Book Antiqua" w:hAnsi="Book Antiqua"/>
                <w:sz w:val="20"/>
                <w:szCs w:val="20"/>
                <w:lang w:val="en-GB"/>
              </w:rPr>
              <w:instrText>ADDIN CSL_CITATION { "citationItems" : [ { "id" : "ITEM-1", "itemData" : { "DOI" : "10.1111/j.1399-0012.2005.00384.x", "ISSN" : "0902-0063", "PMID" : "16008601", "abstract" : "BACKGROUND: The aim of this cohort study was to assess the cumulative effect of marginal donor criteria on initial graft function and patient survival after liver transplantation. METHODS: We included 734 consecutive patients who underwent orthotopic liver transplantation at the Vienna General Hospital between January 1993 and December 2003. We employed the local registry of the Department of Transplant Surgery, where variables of all patients are routinely and prospectively recorded. Primary outcome was initial graft function, secondary outcome was patient survival. RESULTS: Cumulative number of marginal donor criteria was significantly and linearly associated with an increased rate of primary dysfunction (PDF; p = 0.005). In patients with more than three cumulative marginal donor criteria the rate of PDF was 36%. Patient survival was not influenced by the cumulative number of donor criteria (log-rank test, p = 0.81). Independent marginal donor criteria to predict PDF were cold ischemia time &gt;10 h [odds ratio (OR) 0.56; 95% CI 0.32-0.98] and donor peak serum sodium &gt;155 mEq/L (OR 0.44; 95% CI 0.26-0.77), as assessed in a multivariate regression model. CONCLUSIONS: The use of marginal liver donors with more than three marginal donor criteria shows deleterious effects on initial graft function. Noteworthy, patient survival was not associated with marginal donor criteria, which may be explained by early and successful retransplantation of liver recipients with primary non-function.", "author" : [ { "dropping-particle" : "", "family" : "Pokorny", "given" : "H", "non-dropping-particle" : "", "parse-names" : false, "suffix" : "" }, { "dropping-particle" : "", "family" : "Langer", "given" : "F", "non-dropping-particle" : "", "parse-names" : false, "suffix" : "" }, { "dropping-particle" : "", "family" : "Herkner", "given" : "H", "non-dropping-particle" : "", "parse-names" : false, "suffix" : "" }, { "dropping-particle" : "", "family" : "Schernberger", "given" : "R", "non-dropping-particle" : "", "parse-names" : false, "suffix" : "" }, { "dropping-particle" : "", "family" : "Pl\u00f6chl", "given" : "W", "non-dropping-particle" : "", "parse-names" : false, "suffix" : "" }, { "dropping-particle" : "", "family" : "Soliman", "given" : "T", "non-dropping-particle" : "", "parse-names" : false, "suffix" : "" }, { "dropping-particle" : "", "family" : "Steininger", "given" : "R", "non-dropping-particle" : "", "parse-names" : false, "suffix" : "" }, { "dropping-particle" : "", "family" : "Muehlbacher", "given" : "F", "non-dropping-particle" : "", "parse-names" : false, "suffix" : "" } ], "container-title" : "Clinical transplantation", "id" : "ITEM-1", "issue" : "4", "issued" : { "date-parts" : [ [ "2005", "8" ] ] }, "page" : "532-6", "title" : "Influence of cumulative number of marginal donor criteria on primary organ dysfunction in liver recipients.", "type" : "article-journal", "volume" : "19" }, "uris" : [ "http://www.mendeley.com/documents/?uuid=5fcbd54d-6daf-452b-b366-ce899f215a9d" ] } ], "mendeley" : { "formattedCitation" : "&lt;sup&gt;[113]&lt;/sup&gt;", "plainTextFormattedCitation" : "[113]", "previouslyFormattedCitation" : "&lt;sup&gt;[113]&lt;/sup&gt;" }, "properties" : { "noteIndex" : 0 }, "schema" : "https://github.com/citation-style-language/schema/raw/master/csl-citation.json" }</w:instrText>
            </w:r>
            <w:r w:rsidR="007D7ACC">
              <w:rPr>
                <w:rFonts w:ascii="Book Antiqua" w:hAnsi="Book Antiqua"/>
                <w:sz w:val="20"/>
                <w:szCs w:val="20"/>
                <w:lang w:val="en-GB"/>
              </w:rPr>
              <w:fldChar w:fldCharType="separate"/>
            </w:r>
            <w:r w:rsidR="00315B8B" w:rsidRPr="00315B8B">
              <w:rPr>
                <w:rFonts w:ascii="Book Antiqua" w:hAnsi="Book Antiqua"/>
                <w:noProof/>
                <w:sz w:val="20"/>
                <w:szCs w:val="20"/>
                <w:vertAlign w:val="superscript"/>
                <w:lang w:val="en-GB"/>
              </w:rPr>
              <w:t>[113]</w:t>
            </w:r>
            <w:r w:rsidR="007D7ACC">
              <w:rPr>
                <w:rFonts w:ascii="Book Antiqua" w:hAnsi="Book Antiqua"/>
                <w:sz w:val="20"/>
                <w:szCs w:val="20"/>
                <w:lang w:val="en-GB"/>
              </w:rPr>
              <w:fldChar w:fldCharType="end"/>
            </w:r>
          </w:p>
        </w:tc>
        <w:tc>
          <w:tcPr>
            <w:tcW w:w="5723" w:type="dxa"/>
            <w:shd w:val="clear" w:color="auto" w:fill="auto"/>
            <w:tcMar>
              <w:left w:w="51" w:type="dxa"/>
            </w:tcMar>
            <w:vAlign w:val="center"/>
          </w:tcPr>
          <w:p w14:paraId="6C5388C0" w14:textId="77777777" w:rsidR="00B122DF" w:rsidRPr="00507FA4" w:rsidRDefault="00B122DF" w:rsidP="00422EBA">
            <w:pPr>
              <w:pStyle w:val="Contenutotabella"/>
              <w:adjustRightInd w:val="0"/>
              <w:snapToGrid w:val="0"/>
              <w:spacing w:after="0" w:line="360" w:lineRule="auto"/>
              <w:jc w:val="both"/>
              <w:rPr>
                <w:lang w:val="en-US"/>
              </w:rPr>
            </w:pPr>
            <w:r>
              <w:rPr>
                <w:rFonts w:ascii="Book Antiqua" w:hAnsi="Book Antiqua"/>
                <w:sz w:val="20"/>
                <w:szCs w:val="20"/>
                <w:lang w:val="en-GB"/>
              </w:rPr>
              <w:t>On POD5:</w:t>
            </w:r>
          </w:p>
          <w:p w14:paraId="5BB22735" w14:textId="77777777" w:rsidR="00B122DF" w:rsidRPr="00507FA4" w:rsidRDefault="00B122DF" w:rsidP="00422EBA">
            <w:pPr>
              <w:pStyle w:val="Contenutotabella"/>
              <w:numPr>
                <w:ilvl w:val="0"/>
                <w:numId w:val="3"/>
              </w:numPr>
              <w:adjustRightInd w:val="0"/>
              <w:snapToGrid w:val="0"/>
              <w:spacing w:after="0" w:line="360" w:lineRule="auto"/>
              <w:ind w:left="0"/>
              <w:jc w:val="both"/>
              <w:rPr>
                <w:lang w:val="en-US"/>
              </w:rPr>
            </w:pPr>
            <w:r>
              <w:rPr>
                <w:rFonts w:ascii="Book Antiqua" w:hAnsi="Book Antiqua"/>
                <w:sz w:val="20"/>
                <w:szCs w:val="20"/>
                <w:lang w:val="en-GB"/>
              </w:rPr>
              <w:t>AST &gt; 2500 IU/L</w:t>
            </w:r>
          </w:p>
          <w:p w14:paraId="5C970706" w14:textId="77777777" w:rsidR="00B122DF" w:rsidRPr="00507FA4" w:rsidRDefault="00B122DF" w:rsidP="00422EBA">
            <w:pPr>
              <w:pStyle w:val="Contenutotabella"/>
              <w:adjustRightInd w:val="0"/>
              <w:snapToGrid w:val="0"/>
              <w:spacing w:after="0" w:line="360" w:lineRule="auto"/>
              <w:jc w:val="both"/>
              <w:rPr>
                <w:lang w:val="en-US"/>
              </w:rPr>
            </w:pPr>
            <w:r>
              <w:rPr>
                <w:rFonts w:ascii="Book Antiqua" w:hAnsi="Book Antiqua"/>
                <w:sz w:val="20"/>
                <w:szCs w:val="20"/>
                <w:lang w:val="en-GB"/>
              </w:rPr>
              <w:t>or</w:t>
            </w:r>
          </w:p>
          <w:p w14:paraId="28F56B2A" w14:textId="77777777" w:rsidR="00B122DF" w:rsidRPr="00507FA4" w:rsidRDefault="00B122DF" w:rsidP="00422EBA">
            <w:pPr>
              <w:pStyle w:val="Contenutotabella"/>
              <w:numPr>
                <w:ilvl w:val="0"/>
                <w:numId w:val="3"/>
              </w:numPr>
              <w:adjustRightInd w:val="0"/>
              <w:snapToGrid w:val="0"/>
              <w:spacing w:after="0" w:line="360" w:lineRule="auto"/>
              <w:ind w:left="0"/>
              <w:jc w:val="both"/>
              <w:rPr>
                <w:lang w:val="en-US"/>
              </w:rPr>
            </w:pPr>
            <w:r>
              <w:rPr>
                <w:rFonts w:ascii="Book Antiqua" w:hAnsi="Book Antiqua"/>
                <w:sz w:val="20"/>
                <w:szCs w:val="20"/>
                <w:lang w:val="en-GB"/>
              </w:rPr>
              <w:lastRenderedPageBreak/>
              <w:t>clotting support &gt; 2 d</w:t>
            </w:r>
          </w:p>
        </w:tc>
        <w:tc>
          <w:tcPr>
            <w:tcW w:w="6269" w:type="dxa"/>
            <w:shd w:val="clear" w:color="auto" w:fill="auto"/>
            <w:tcMar>
              <w:left w:w="51" w:type="dxa"/>
            </w:tcMar>
            <w:vAlign w:val="center"/>
          </w:tcPr>
          <w:p w14:paraId="6A1CF901" w14:textId="77777777" w:rsidR="00B122DF" w:rsidRPr="007A5042" w:rsidRDefault="00B122DF" w:rsidP="00422EBA">
            <w:pPr>
              <w:pStyle w:val="Contenutotabella"/>
              <w:numPr>
                <w:ilvl w:val="0"/>
                <w:numId w:val="3"/>
              </w:numPr>
              <w:adjustRightInd w:val="0"/>
              <w:snapToGrid w:val="0"/>
              <w:spacing w:after="0" w:line="360" w:lineRule="auto"/>
              <w:ind w:left="0"/>
              <w:jc w:val="both"/>
              <w:rPr>
                <w:lang w:val="en-US"/>
              </w:rPr>
            </w:pPr>
            <w:r>
              <w:rPr>
                <w:rFonts w:ascii="Book Antiqua" w:hAnsi="Book Antiqua"/>
                <w:sz w:val="20"/>
                <w:szCs w:val="20"/>
                <w:lang w:val="en-GB"/>
              </w:rPr>
              <w:lastRenderedPageBreak/>
              <w:t>Not-life sustaining graft leading to retransplantationor death within POD7</w:t>
            </w:r>
          </w:p>
        </w:tc>
      </w:tr>
      <w:tr w:rsidR="00F219F4" w:rsidRPr="00943FB3" w14:paraId="5DD22BE1" w14:textId="77777777" w:rsidTr="00C12E69">
        <w:tc>
          <w:tcPr>
            <w:tcW w:w="2408" w:type="dxa"/>
            <w:shd w:val="clear" w:color="auto" w:fill="auto"/>
            <w:tcMar>
              <w:left w:w="51" w:type="dxa"/>
            </w:tcMar>
            <w:vAlign w:val="center"/>
          </w:tcPr>
          <w:p w14:paraId="386E7A28" w14:textId="348B7C3B" w:rsidR="00B122DF" w:rsidRDefault="00B122DF" w:rsidP="00422EBA">
            <w:pPr>
              <w:pStyle w:val="Contenutotabella"/>
              <w:adjustRightInd w:val="0"/>
              <w:snapToGrid w:val="0"/>
              <w:spacing w:after="0" w:line="360" w:lineRule="auto"/>
              <w:jc w:val="both"/>
              <w:rPr>
                <w:rFonts w:ascii="Book Antiqua" w:hAnsi="Book Antiqua"/>
                <w:sz w:val="20"/>
                <w:szCs w:val="20"/>
                <w:lang w:val="en-GB"/>
              </w:rPr>
            </w:pPr>
            <w:r>
              <w:rPr>
                <w:rFonts w:ascii="Book Antiqua" w:hAnsi="Book Antiqua"/>
                <w:sz w:val="20"/>
                <w:szCs w:val="20"/>
                <w:lang w:val="en-GB"/>
              </w:rPr>
              <w:t xml:space="preserve">Monbaliu </w:t>
            </w:r>
            <w:r w:rsidR="00E35182" w:rsidRPr="00E35182">
              <w:rPr>
                <w:rFonts w:ascii="Book Antiqua" w:hAnsi="Book Antiqua"/>
                <w:i/>
                <w:sz w:val="20"/>
                <w:szCs w:val="20"/>
                <w:lang w:val="en-GB"/>
              </w:rPr>
              <w:t>et al</w:t>
            </w:r>
            <w:r w:rsidR="007D7ACC">
              <w:rPr>
                <w:rFonts w:ascii="Book Antiqua" w:hAnsi="Book Antiqua"/>
                <w:sz w:val="20"/>
                <w:szCs w:val="20"/>
                <w:lang w:val="en-GB"/>
              </w:rPr>
              <w:fldChar w:fldCharType="begin" w:fldLock="1"/>
            </w:r>
            <w:r w:rsidR="002D7F73">
              <w:rPr>
                <w:rFonts w:ascii="Book Antiqua" w:hAnsi="Book Antiqua"/>
                <w:sz w:val="20"/>
                <w:szCs w:val="20"/>
                <w:lang w:val="en-GB"/>
              </w:rPr>
              <w:instrText>ADDIN CSL_CITATION { "citationItems" : [ { "id" : "ITEM-1", "itemData" : { "DOI" : "10.1002/lt.21513", "ISSN" : "1527-6473", "PMID" : "18756467", "abstract" : "Livers exposed to prolonged warm ischemia (WI), such as those from non-heart-beating donors (NHBDs), are at higher risk of primary graft nonfunction (PNF). In a pig model of liver transplantation (LTx) from NHBDs, hepatocellular vacuolation, focal hepatocyte dropout, congestion, and sinusoidal dilatation appeared on biopsies taken after exposure to WI. In functioning grafts, vacuolation and sinusoidal dilatation were reversible after LTx, in contrast to PNF grafts. We studied whether the extent of these morphological signs and particularly vacuolation, present on pre-LTx biopsies, was associated with WI length and able to predict PNF, hepatocellular damage, and survival. Pre-LTx biopsies from pig livers exposed to incremental periods of WI were reviewed retrospectively. The extent of vacuolation was quantified blindly by a pathologist's semiquantitative score, validated by stereological point counting and digital image analysis, and then used to predict PNF and hepatocellular damage. On biopsies taken after WI, stereological point counting and digital analysis scoring contributed significantly in predicting PNF (P = 0.027 and P = 0.043, respectively) versus the pathologist's semiquantitative score (P = 0.058). Stereological point counting and digital image analysis predicted the extent of hepatocellular damage (P &lt; 0.0001 and P = 0.001) versus the pathologist's semiquantitative score (P = 0.085). In conclusion, the extent of parenchymal vacuolation present on WI liver grafts reflects the severity of hepatocellular damage and predicts pig liver graft viability before LTx. Further studies are now warranted to evaluate whether these anoxic changes that are associated with liver graft viability in pigs also apply to human NHBD liver biopsies.", "author" : [ { "dropping-particle" : "", "family" : "Monbaliu", "given" : "Diethard", "non-dropping-particle" : "", "parse-names" : false, "suffix" : "" }, { "dropping-particle" : "", "family" : "Libbrecht", "given" : "Louis", "non-dropping-particle" : "", "parse-names" : false, "suffix" : "" }, { "dropping-particle" : "", "family" : "Vos", "given" : "Rita", "non-dropping-particle" : "De", "parse-names" : false, "suffix" : "" }, { "dropping-particle" : "", "family" : "Vekemans", "given" : "Katrien", "non-dropping-particle" : "", "parse-names" : false, "suffix" : "" }, { "dropping-particle" : "", "family" : "Walter", "given" : "Hugo", "non-dropping-particle" : "", "parse-names" : false, "suffix" : "" }, { "dropping-particle" : "", "family" : "Liu", "given" : "Qiang", "non-dropping-particle" : "", "parse-names" : false, "suffix" : "" }, { "dropping-particle" : "", "family" : "Heedfeld", "given" : "Veerle", "non-dropping-particle" : "", "parse-names" : false, "suffix" : "" }, { "dropping-particle" : "", "family" : "Goossens", "given" : "Vera", "non-dropping-particle" : "", "parse-names" : false, "suffix" : "" }, { "dropping-particle" : "", "family" : "Pirenne", "given" : "Jacques", "non-dropping-particle" : "", "parse-names" : false, "suffix" : "" }, { "dropping-particle" : "", "family" : "Roskams", "given" : "Tania", "non-dropping-particle" : "", "parse-names" : false, "suffix" : "" } ], "container-title" : "Liver transplantation : official publication of the American Association for the Study of Liver Diseases and the International Liver Transplantation Society", "id" : "ITEM-1", "issue" : "9", "issued" : { "date-parts" : [ [ "2008", "9" ] ] }, "page" : "1256-65", "title" : "The extent of vacuolation in non-heart-beating porcine donor liver grafts prior to transplantation predicts their viability.", "type" : "article-journal", "volume" : "14" }, "uris" : [ "http://www.mendeley.com/documents/?uuid=9c719375-f3ef-4637-9edb-e446e1fb027b" ] } ], "mendeley" : { "formattedCitation" : "&lt;sup&gt;[114]&lt;/sup&gt;", "plainTextFormattedCitation" : "[114]", "previouslyFormattedCitation" : "&lt;sup&gt;[114]&lt;/sup&gt;" }, "properties" : { "noteIndex" : 0 }, "schema" : "https://github.com/citation-style-language/schema/raw/master/csl-citation.json" }</w:instrText>
            </w:r>
            <w:r w:rsidR="007D7ACC">
              <w:rPr>
                <w:rFonts w:ascii="Book Antiqua" w:hAnsi="Book Antiqua"/>
                <w:sz w:val="20"/>
                <w:szCs w:val="20"/>
                <w:lang w:val="en-GB"/>
              </w:rPr>
              <w:fldChar w:fldCharType="separate"/>
            </w:r>
            <w:r w:rsidR="00315B8B" w:rsidRPr="00315B8B">
              <w:rPr>
                <w:rFonts w:ascii="Book Antiqua" w:hAnsi="Book Antiqua"/>
                <w:noProof/>
                <w:sz w:val="20"/>
                <w:szCs w:val="20"/>
                <w:vertAlign w:val="superscript"/>
                <w:lang w:val="en-GB"/>
              </w:rPr>
              <w:t>[114]</w:t>
            </w:r>
            <w:r w:rsidR="007D7ACC">
              <w:rPr>
                <w:rFonts w:ascii="Book Antiqua" w:hAnsi="Book Antiqua"/>
                <w:sz w:val="20"/>
                <w:szCs w:val="20"/>
                <w:lang w:val="en-GB"/>
              </w:rPr>
              <w:fldChar w:fldCharType="end"/>
            </w:r>
          </w:p>
        </w:tc>
        <w:tc>
          <w:tcPr>
            <w:tcW w:w="5723" w:type="dxa"/>
            <w:shd w:val="clear" w:color="auto" w:fill="auto"/>
            <w:tcMar>
              <w:left w:w="51" w:type="dxa"/>
            </w:tcMar>
            <w:vAlign w:val="center"/>
          </w:tcPr>
          <w:p w14:paraId="0151135F" w14:textId="77777777" w:rsidR="00B122DF" w:rsidRDefault="00B122DF" w:rsidP="00422EBA">
            <w:pPr>
              <w:pStyle w:val="Contenutotabella"/>
              <w:adjustRightInd w:val="0"/>
              <w:snapToGrid w:val="0"/>
              <w:spacing w:after="0" w:line="360" w:lineRule="auto"/>
              <w:jc w:val="both"/>
              <w:rPr>
                <w:rFonts w:ascii="Book Antiqua" w:hAnsi="Book Antiqua"/>
                <w:sz w:val="20"/>
                <w:szCs w:val="20"/>
                <w:lang w:val="en-GB"/>
              </w:rPr>
            </w:pPr>
          </w:p>
        </w:tc>
        <w:tc>
          <w:tcPr>
            <w:tcW w:w="6269" w:type="dxa"/>
            <w:shd w:val="clear" w:color="auto" w:fill="auto"/>
            <w:tcMar>
              <w:left w:w="51" w:type="dxa"/>
            </w:tcMar>
            <w:vAlign w:val="center"/>
          </w:tcPr>
          <w:p w14:paraId="1E60D7E4" w14:textId="77777777" w:rsidR="00B122DF" w:rsidRPr="00507FA4" w:rsidRDefault="00B122DF" w:rsidP="00422EBA">
            <w:pPr>
              <w:pStyle w:val="Contenutotabella"/>
              <w:numPr>
                <w:ilvl w:val="0"/>
                <w:numId w:val="7"/>
              </w:numPr>
              <w:adjustRightInd w:val="0"/>
              <w:snapToGrid w:val="0"/>
              <w:spacing w:after="0" w:line="360" w:lineRule="auto"/>
              <w:ind w:left="0"/>
              <w:jc w:val="both"/>
              <w:rPr>
                <w:lang w:val="en-US"/>
              </w:rPr>
            </w:pPr>
            <w:r>
              <w:rPr>
                <w:rFonts w:ascii="Book Antiqua" w:hAnsi="Book Antiqua"/>
                <w:sz w:val="20"/>
                <w:szCs w:val="20"/>
                <w:lang w:val="en-GB"/>
              </w:rPr>
              <w:t>Persisting encephalopathy</w:t>
            </w:r>
          </w:p>
          <w:p w14:paraId="0446F809" w14:textId="77777777" w:rsidR="00B122DF" w:rsidRPr="00507FA4" w:rsidRDefault="00B122DF" w:rsidP="00422EBA">
            <w:pPr>
              <w:pStyle w:val="Contenutotabella"/>
              <w:numPr>
                <w:ilvl w:val="0"/>
                <w:numId w:val="7"/>
              </w:numPr>
              <w:adjustRightInd w:val="0"/>
              <w:snapToGrid w:val="0"/>
              <w:spacing w:after="0" w:line="360" w:lineRule="auto"/>
              <w:ind w:left="0"/>
              <w:jc w:val="both"/>
              <w:rPr>
                <w:lang w:val="en-US"/>
              </w:rPr>
            </w:pPr>
            <w:r>
              <w:rPr>
                <w:rFonts w:ascii="Book Antiqua" w:hAnsi="Book Antiqua"/>
                <w:sz w:val="20"/>
                <w:szCs w:val="20"/>
                <w:lang w:val="en-GB"/>
              </w:rPr>
              <w:t>Irreversible metabolic acidosis</w:t>
            </w:r>
          </w:p>
          <w:p w14:paraId="31A624B6" w14:textId="77777777" w:rsidR="00B122DF" w:rsidRPr="00507FA4" w:rsidRDefault="00B122DF" w:rsidP="00422EBA">
            <w:pPr>
              <w:pStyle w:val="Contenutotabella"/>
              <w:numPr>
                <w:ilvl w:val="0"/>
                <w:numId w:val="7"/>
              </w:numPr>
              <w:adjustRightInd w:val="0"/>
              <w:snapToGrid w:val="0"/>
              <w:spacing w:after="0" w:line="360" w:lineRule="auto"/>
              <w:ind w:left="0"/>
              <w:jc w:val="both"/>
              <w:rPr>
                <w:lang w:val="en-US"/>
              </w:rPr>
            </w:pPr>
            <w:r>
              <w:rPr>
                <w:rFonts w:ascii="Book Antiqua" w:hAnsi="Book Antiqua"/>
                <w:sz w:val="20"/>
                <w:szCs w:val="20"/>
                <w:lang w:val="en-GB"/>
              </w:rPr>
              <w:t>Profound hypoglicaemia</w:t>
            </w:r>
          </w:p>
          <w:p w14:paraId="4DDB151F" w14:textId="77777777" w:rsidR="00B122DF" w:rsidRPr="00507FA4" w:rsidRDefault="00B122DF" w:rsidP="00422EBA">
            <w:pPr>
              <w:pStyle w:val="Contenutotabella"/>
              <w:numPr>
                <w:ilvl w:val="0"/>
                <w:numId w:val="7"/>
              </w:numPr>
              <w:adjustRightInd w:val="0"/>
              <w:snapToGrid w:val="0"/>
              <w:spacing w:after="0" w:line="360" w:lineRule="auto"/>
              <w:ind w:left="0"/>
              <w:jc w:val="both"/>
              <w:rPr>
                <w:lang w:val="en-US"/>
              </w:rPr>
            </w:pPr>
            <w:r>
              <w:rPr>
                <w:rFonts w:ascii="Book Antiqua" w:hAnsi="Book Antiqua"/>
                <w:sz w:val="20"/>
                <w:szCs w:val="20"/>
                <w:lang w:val="en-GB"/>
              </w:rPr>
              <w:t>Severe coagulopathy</w:t>
            </w:r>
          </w:p>
          <w:p w14:paraId="68C634E4" w14:textId="77777777" w:rsidR="00B122DF" w:rsidRPr="00507FA4" w:rsidRDefault="00B122DF" w:rsidP="00422EBA">
            <w:pPr>
              <w:pStyle w:val="Contenutotabella"/>
              <w:numPr>
                <w:ilvl w:val="0"/>
                <w:numId w:val="7"/>
              </w:numPr>
              <w:adjustRightInd w:val="0"/>
              <w:snapToGrid w:val="0"/>
              <w:spacing w:after="0" w:line="360" w:lineRule="auto"/>
              <w:ind w:left="0"/>
              <w:jc w:val="both"/>
              <w:rPr>
                <w:lang w:val="en-US"/>
              </w:rPr>
            </w:pPr>
            <w:r>
              <w:rPr>
                <w:rFonts w:ascii="Book Antiqua" w:hAnsi="Book Antiqua"/>
                <w:sz w:val="20"/>
                <w:szCs w:val="20"/>
                <w:lang w:val="en-GB"/>
              </w:rPr>
              <w:t>Insufficient bile production</w:t>
            </w:r>
          </w:p>
          <w:p w14:paraId="16E80345" w14:textId="77777777" w:rsidR="00B122DF" w:rsidRPr="00507FA4" w:rsidRDefault="00B122DF" w:rsidP="00422EBA">
            <w:pPr>
              <w:pStyle w:val="Contenutotabella"/>
              <w:numPr>
                <w:ilvl w:val="0"/>
                <w:numId w:val="7"/>
              </w:numPr>
              <w:adjustRightInd w:val="0"/>
              <w:snapToGrid w:val="0"/>
              <w:spacing w:after="0" w:line="360" w:lineRule="auto"/>
              <w:ind w:left="0"/>
              <w:jc w:val="both"/>
              <w:rPr>
                <w:lang w:val="en-US"/>
              </w:rPr>
            </w:pPr>
            <w:r>
              <w:rPr>
                <w:rFonts w:ascii="Book Antiqua" w:hAnsi="Book Antiqua"/>
                <w:sz w:val="20"/>
                <w:szCs w:val="20"/>
                <w:lang w:val="en-GB"/>
              </w:rPr>
              <w:t>Increased AST</w:t>
            </w:r>
          </w:p>
        </w:tc>
      </w:tr>
      <w:tr w:rsidR="00F219F4" w:rsidRPr="00507FA4" w14:paraId="5BE604F1" w14:textId="77777777" w:rsidTr="00C12E69">
        <w:tc>
          <w:tcPr>
            <w:tcW w:w="2408" w:type="dxa"/>
            <w:shd w:val="clear" w:color="auto" w:fill="auto"/>
            <w:tcMar>
              <w:left w:w="51" w:type="dxa"/>
            </w:tcMar>
            <w:vAlign w:val="center"/>
          </w:tcPr>
          <w:p w14:paraId="523E96EC" w14:textId="69B69EF4" w:rsidR="00B122DF" w:rsidRDefault="00B122DF" w:rsidP="00422EBA">
            <w:pPr>
              <w:pStyle w:val="Contenutotabella"/>
              <w:adjustRightInd w:val="0"/>
              <w:snapToGrid w:val="0"/>
              <w:spacing w:after="0" w:line="360" w:lineRule="auto"/>
              <w:jc w:val="both"/>
              <w:rPr>
                <w:rFonts w:ascii="Book Antiqua" w:hAnsi="Book Antiqua"/>
                <w:sz w:val="20"/>
                <w:szCs w:val="20"/>
                <w:lang w:val="en-GB"/>
              </w:rPr>
            </w:pPr>
            <w:r>
              <w:rPr>
                <w:rFonts w:ascii="Book Antiqua" w:hAnsi="Book Antiqua"/>
                <w:sz w:val="20"/>
                <w:szCs w:val="20"/>
                <w:lang w:val="en-GB"/>
              </w:rPr>
              <w:t xml:space="preserve">Cieslak </w:t>
            </w:r>
            <w:r w:rsidR="00E35182" w:rsidRPr="00E35182">
              <w:rPr>
                <w:rFonts w:ascii="Book Antiqua" w:hAnsi="Book Antiqua"/>
                <w:i/>
                <w:sz w:val="20"/>
                <w:szCs w:val="20"/>
                <w:lang w:val="en-GB"/>
              </w:rPr>
              <w:t>et al</w:t>
            </w:r>
            <w:r w:rsidR="007D7ACC">
              <w:rPr>
                <w:rFonts w:ascii="Book Antiqua" w:hAnsi="Book Antiqua"/>
                <w:sz w:val="20"/>
                <w:szCs w:val="20"/>
                <w:lang w:val="en-GB"/>
              </w:rPr>
              <w:fldChar w:fldCharType="begin" w:fldLock="1"/>
            </w:r>
            <w:r w:rsidR="002D7F73">
              <w:rPr>
                <w:rFonts w:ascii="Book Antiqua" w:hAnsi="Book Antiqua"/>
                <w:sz w:val="20"/>
                <w:szCs w:val="20"/>
                <w:lang w:val="en-GB"/>
              </w:rPr>
              <w:instrText>ADDIN CSL_CITATION { "citationItems" : [ { "id" : "ITEM-1", "itemData" : { "DOI" : "10.1016/j.transproceed.2009.08.019", "ISSN" : "1873-2623", "PMID" : "19857657", "abstract" : "OBJECTIVE: We sought to examine the role of microvesicular graft steatosis in relation to donor parameters.\n\nMATERIALS AND METHODS: We performed 269 consecutive orthotopic liver transplantations (OLT) between 2004 and 2006. Donor parameters of age, body mass index (BMI), intensive care unit (ICU) stay, hypotension, cardiac arrest, pressors, sodium concentration, aspartate aminotransferase (AST), alanine aminotransferase (ALT), gamma glutamyl transpeptidase (GGT), bilirubin, and activated partial thromboplastin time (APTT), as well as the degree of microvesicular graft steatosis were collected into the study. The endpoint of the study was liver graft dysfunction (AST or ALT &gt; 2500 IU/L or prothrombin index &lt; 50% during the first 7 days after OLT).\n\nRESULTS: The risk of initial poor function (IPF) at day 7 posttransplantation was significantly related to hepatic microvesicular steatosis (odds ratio [OR] = 1.38 per 1 SD = 9.3%; P &lt; .021). Accounting for the influence of the other donor factors produced little change in the numerical values of relative risk: from 1.22 (following exclusion of GGT) to 1.46 (after elimination of the influence of bilirubin concentration). A 50% increased risk of IPF was equivalent to 12% of the extent of steatosis.\n\nCONCLUSION: Microvesicular steatosis is a risk factor for early hepatic dysfunction after OLT.", "author" : [ { "dropping-particle" : "", "family" : "Cie\u015blak", "given" : "B", "non-dropping-particle" : "", "parse-names" : false, "suffix" : "" }, { "dropping-particle" : "", "family" : "Lewandowski", "given" : "Z", "non-dropping-particle" : "", "parse-names" : false, "suffix" : "" }, { "dropping-particle" : "", "family" : "Urban", "given" : "M", "non-dropping-particle" : "", "parse-names" : false, "suffix" : "" }, { "dropping-particle" : "", "family" : "Ziarkiewicz-Wr\u00f3blewska", "given" : "B", "non-dropping-particle" : "", "parse-names" : false, "suffix" : "" }, { "dropping-particle" : "", "family" : "Krawczyk", "given" : "M", "non-dropping-particle" : "", "parse-names" : false, "suffix" : "" } ], "container-title" : "Transplantation proceedings", "id" : "ITEM-1", "issue" : "8", "issued" : { "date-parts" : [ [ "2009", "10" ] ] }, "page" : "2985-8", "title" : "Microvesicular liver graft steatosis as a risk factor of initial poor function in relation to suboptimal donor parameters.", "type" : "article-journal", "volume" : "41" }, "uris" : [ "http://www.mendeley.com/documents/?uuid=f1af0d3f-06cd-4b10-a039-ee10857bfa1a" ] } ], "mendeley" : { "formattedCitation" : "&lt;sup&gt;[115]&lt;/sup&gt;", "plainTextFormattedCitation" : "[115]", "previouslyFormattedCitation" : "&lt;sup&gt;[115]&lt;/sup&gt;" }, "properties" : { "noteIndex" : 0 }, "schema" : "https://github.com/citation-style-language/schema/raw/master/csl-citation.json" }</w:instrText>
            </w:r>
            <w:r w:rsidR="007D7ACC">
              <w:rPr>
                <w:rFonts w:ascii="Book Antiqua" w:hAnsi="Book Antiqua"/>
                <w:sz w:val="20"/>
                <w:szCs w:val="20"/>
                <w:lang w:val="en-GB"/>
              </w:rPr>
              <w:fldChar w:fldCharType="separate"/>
            </w:r>
            <w:r w:rsidR="00315B8B" w:rsidRPr="00315B8B">
              <w:rPr>
                <w:rFonts w:ascii="Book Antiqua" w:hAnsi="Book Antiqua"/>
                <w:noProof/>
                <w:sz w:val="20"/>
                <w:szCs w:val="20"/>
                <w:vertAlign w:val="superscript"/>
                <w:lang w:val="en-GB"/>
              </w:rPr>
              <w:t>[115]</w:t>
            </w:r>
            <w:r w:rsidR="007D7ACC">
              <w:rPr>
                <w:rFonts w:ascii="Book Antiqua" w:hAnsi="Book Antiqua"/>
                <w:sz w:val="20"/>
                <w:szCs w:val="20"/>
                <w:lang w:val="en-GB"/>
              </w:rPr>
              <w:fldChar w:fldCharType="end"/>
            </w:r>
          </w:p>
        </w:tc>
        <w:tc>
          <w:tcPr>
            <w:tcW w:w="5723" w:type="dxa"/>
            <w:shd w:val="clear" w:color="auto" w:fill="auto"/>
            <w:tcMar>
              <w:left w:w="51" w:type="dxa"/>
            </w:tcMar>
            <w:vAlign w:val="center"/>
          </w:tcPr>
          <w:p w14:paraId="4630B74C" w14:textId="77777777" w:rsidR="00B122DF" w:rsidRPr="00507FA4" w:rsidRDefault="00B122DF" w:rsidP="00422EBA">
            <w:pPr>
              <w:pStyle w:val="Contenutotabella"/>
              <w:adjustRightInd w:val="0"/>
              <w:snapToGrid w:val="0"/>
              <w:spacing w:after="0" w:line="360" w:lineRule="auto"/>
              <w:jc w:val="both"/>
              <w:rPr>
                <w:lang w:val="en-US"/>
              </w:rPr>
            </w:pPr>
            <w:r>
              <w:rPr>
                <w:rFonts w:ascii="Book Antiqua" w:hAnsi="Book Antiqua"/>
                <w:sz w:val="20"/>
                <w:szCs w:val="20"/>
                <w:lang w:val="en-GB"/>
              </w:rPr>
              <w:t>Within POD1-7</w:t>
            </w:r>
          </w:p>
          <w:p w14:paraId="55F4B719" w14:textId="77777777" w:rsidR="00B122DF" w:rsidRPr="00507FA4" w:rsidRDefault="00B122DF" w:rsidP="00422EBA">
            <w:pPr>
              <w:pStyle w:val="Contenutotabella"/>
              <w:numPr>
                <w:ilvl w:val="0"/>
                <w:numId w:val="7"/>
              </w:numPr>
              <w:adjustRightInd w:val="0"/>
              <w:snapToGrid w:val="0"/>
              <w:spacing w:after="0" w:line="360" w:lineRule="auto"/>
              <w:ind w:left="0"/>
              <w:jc w:val="both"/>
              <w:rPr>
                <w:lang w:val="en-US"/>
              </w:rPr>
            </w:pPr>
            <w:r>
              <w:rPr>
                <w:rFonts w:ascii="Book Antiqua" w:hAnsi="Book Antiqua"/>
                <w:sz w:val="20"/>
                <w:szCs w:val="20"/>
                <w:lang w:val="en-GB"/>
              </w:rPr>
              <w:t>AST or ALT &gt; 2500 IU/L</w:t>
            </w:r>
          </w:p>
          <w:p w14:paraId="282127C7" w14:textId="77777777" w:rsidR="00B122DF" w:rsidRPr="00507FA4" w:rsidRDefault="00B122DF" w:rsidP="00422EBA">
            <w:pPr>
              <w:pStyle w:val="Contenutotabella"/>
              <w:adjustRightInd w:val="0"/>
              <w:snapToGrid w:val="0"/>
              <w:spacing w:after="0" w:line="360" w:lineRule="auto"/>
              <w:jc w:val="both"/>
              <w:rPr>
                <w:lang w:val="en-US"/>
              </w:rPr>
            </w:pPr>
            <w:r>
              <w:rPr>
                <w:rFonts w:ascii="Book Antiqua" w:hAnsi="Book Antiqua"/>
                <w:sz w:val="20"/>
                <w:szCs w:val="20"/>
                <w:lang w:val="en-GB"/>
              </w:rPr>
              <w:t>or</w:t>
            </w:r>
          </w:p>
          <w:p w14:paraId="1AFFD423" w14:textId="77777777" w:rsidR="00B122DF" w:rsidRPr="00507FA4" w:rsidRDefault="00B122DF" w:rsidP="00422EBA">
            <w:pPr>
              <w:pStyle w:val="Contenutotabella"/>
              <w:numPr>
                <w:ilvl w:val="0"/>
                <w:numId w:val="7"/>
              </w:numPr>
              <w:adjustRightInd w:val="0"/>
              <w:snapToGrid w:val="0"/>
              <w:spacing w:after="0" w:line="360" w:lineRule="auto"/>
              <w:ind w:left="0"/>
              <w:jc w:val="both"/>
              <w:rPr>
                <w:lang w:val="en-US"/>
              </w:rPr>
            </w:pPr>
            <w:r>
              <w:rPr>
                <w:rFonts w:ascii="Book Antiqua" w:hAnsi="Book Antiqua"/>
                <w:sz w:val="20"/>
                <w:szCs w:val="20"/>
                <w:lang w:val="en-GB"/>
              </w:rPr>
              <w:t>Prothrombin index &lt; 50%</w:t>
            </w:r>
          </w:p>
        </w:tc>
        <w:tc>
          <w:tcPr>
            <w:tcW w:w="6269" w:type="dxa"/>
            <w:shd w:val="clear" w:color="auto" w:fill="auto"/>
            <w:tcMar>
              <w:left w:w="51" w:type="dxa"/>
            </w:tcMar>
            <w:vAlign w:val="center"/>
          </w:tcPr>
          <w:p w14:paraId="637A0A32" w14:textId="77777777" w:rsidR="00B122DF" w:rsidRDefault="00B122DF" w:rsidP="00422EBA">
            <w:pPr>
              <w:pStyle w:val="Contenutotabella"/>
              <w:adjustRightInd w:val="0"/>
              <w:snapToGrid w:val="0"/>
              <w:spacing w:after="0" w:line="360" w:lineRule="auto"/>
              <w:jc w:val="both"/>
              <w:rPr>
                <w:rFonts w:ascii="Book Antiqua" w:hAnsi="Book Antiqua"/>
                <w:sz w:val="20"/>
                <w:szCs w:val="20"/>
                <w:lang w:val="en-GB"/>
              </w:rPr>
            </w:pPr>
          </w:p>
        </w:tc>
      </w:tr>
      <w:tr w:rsidR="00F219F4" w:rsidRPr="00315B8B" w14:paraId="32F1E58A" w14:textId="77777777" w:rsidTr="00C12E69">
        <w:tc>
          <w:tcPr>
            <w:tcW w:w="2408" w:type="dxa"/>
            <w:shd w:val="clear" w:color="auto" w:fill="auto"/>
            <w:tcMar>
              <w:left w:w="51" w:type="dxa"/>
            </w:tcMar>
            <w:vAlign w:val="center"/>
          </w:tcPr>
          <w:p w14:paraId="36DFF8B2" w14:textId="0AC20339" w:rsidR="00B122DF" w:rsidRDefault="00B122DF" w:rsidP="00422EBA">
            <w:pPr>
              <w:pStyle w:val="Contenutotabella"/>
              <w:adjustRightInd w:val="0"/>
              <w:snapToGrid w:val="0"/>
              <w:spacing w:after="0" w:line="360" w:lineRule="auto"/>
              <w:jc w:val="both"/>
              <w:rPr>
                <w:rFonts w:ascii="Book Antiqua" w:hAnsi="Book Antiqua"/>
                <w:sz w:val="20"/>
                <w:szCs w:val="20"/>
                <w:lang w:val="en-GB"/>
              </w:rPr>
            </w:pPr>
            <w:r>
              <w:rPr>
                <w:rFonts w:ascii="Book Antiqua" w:hAnsi="Book Antiqua"/>
                <w:sz w:val="20"/>
                <w:szCs w:val="20"/>
                <w:lang w:val="en-GB"/>
              </w:rPr>
              <w:t xml:space="preserve">Dhillon </w:t>
            </w:r>
            <w:r w:rsidR="00E35182" w:rsidRPr="00E35182">
              <w:rPr>
                <w:rFonts w:ascii="Book Antiqua" w:hAnsi="Book Antiqua"/>
                <w:i/>
                <w:sz w:val="20"/>
                <w:szCs w:val="20"/>
                <w:lang w:val="en-GB"/>
              </w:rPr>
              <w:t>et al</w:t>
            </w:r>
            <w:r w:rsidR="007D7ACC">
              <w:rPr>
                <w:rFonts w:ascii="Book Antiqua" w:hAnsi="Book Antiqua"/>
                <w:sz w:val="20"/>
                <w:szCs w:val="20"/>
                <w:lang w:val="en-GB"/>
              </w:rPr>
              <w:fldChar w:fldCharType="begin" w:fldLock="1"/>
            </w:r>
            <w:r w:rsidR="002D7F73">
              <w:rPr>
                <w:rFonts w:ascii="Book Antiqua" w:hAnsi="Book Antiqua"/>
                <w:sz w:val="20"/>
                <w:szCs w:val="20"/>
                <w:lang w:val="en-GB"/>
              </w:rPr>
              <w:instrText>ADDIN CSL_CITATION { "citationItems" : [ { "id" : "ITEM-1", "itemData" : { "DOI" : "10.1016/j.jhep.2009.12.044", "ISSN" : "1600-0641", "PMID" : "20400193", "abstract" : "BACKGROUND &amp; AIMS: While studies in animal models have linked Toll-like receptor (TLR) 4 signaling to the pathophysiology of ischemia/reperfusion (IR) injury and liver fibrosis, the relevance of TLR4 activation after human liver transplantation is unknown. The TLR4 single nucleotide polymorphism (SNP) D299G is situated within the extracellular domain and diminishes receptor binding to danger-associated molecular patterns.\n\nMETHODS: We studied the influence of TLR4 D299G on IR injury and graft survival in 430 deceased donor LT recipients. Compared with livers expressing wild-type (WT) alleles, livers with a TLR4 loss-of-function allele were significantly more likely to have initial good graft function (IGGF) (OR 2.20, p=0.01). In contrast, there was no effect of recipient TLR4 genotype on the rate of IGGF.\n\nRESULTS: The effect of TLR4 D299G on long-term graft survival was analyzed based on hepatitis C virus (HCV) serostatus. In HCV infected recipients, multivariate Cox regression analysis demonstrated a significant association between the presence of recipient, but not donor TLR4 D299G and long-term graft failure (HR 2.48, CI 1.28-4.81; p=0.007). There was no difference in graft survival between TLR4 mutant and WT recipients among non-HCV infected recipients.\n\nCONCLUSIONS: Collectively, these results demonstrate the differential effects of donor and recipient TLR4 signaling in human liver transplantation. Donor TLR4 contributed to sterile injury following cold preservation and the recipient TLR4 genotype was linked with poor allograft survival among HCV infected recipients.", "author" : [ { "dropping-particle" : "", "family" : "Dhillon", "given" : "Navdeep", "non-dropping-particle" : "", "parse-names" : false, "suffix" : "" }, { "dropping-particle" : "", "family" : "Walsh", "given" : "Liron", "non-dropping-particle" : "", "parse-names" : false, "suffix" : "" }, { "dropping-particle" : "", "family" : "Kr\u00fcger", "given" : "Bernd", "non-dropping-particle" : "", "parse-names" : false, "suffix" : "" }, { "dropping-particle" : "", "family" : "Ward", "given" : "Stephen C", "non-dropping-particle" : "", "parse-names" : false, "suffix" : "" }, { "dropping-particle" : "", "family" : "Godbold", "given" : "James H", "non-dropping-particle" : "", "parse-names" : false, "suffix" : "" }, { "dropping-particle" : "", "family" : "Radwan", "given" : "Mohamed", "non-dropping-particle" : "", "parse-names" : false, "suffix" : "" }, { "dropping-particle" : "", "family" : "Schiano", "given" : "Thomas", "non-dropping-particle" : "", "parse-names" : false, "suffix" : "" }, { "dropping-particle" : "", "family" : "Murphy", "given" : "Barbara T", "non-dropping-particle" : "", "parse-names" : false, "suffix" : "" }, { "dropping-particle" : "", "family" : "Schr\u00f6ppel", "given" : "Bernd", "non-dropping-particle" : "", "parse-names" : false, "suffix" : "" } ], "container-title" : "Journal of hepatology", "id" : "ITEM-1", "issue" : "1", "issued" : { "date-parts" : [ [ "2010", "7" ] ] }, "page" : "67-72", "title" : "A single nucleotide polymorphism of Toll-like receptor 4 identifies the risk of developing graft failure after liver transplantation.", "type" : "article-journal", "volume" : "53" }, "uris" : [ "http://www.mendeley.com/documents/?uuid=41b648e3-3ac9-4970-aa13-fa7bd042af06" ] } ], "mendeley" : { "formattedCitation" : "&lt;sup&gt;[116]&lt;/sup&gt;", "plainTextFormattedCitation" : "[116]", "previouslyFormattedCitation" : "&lt;sup&gt;[116]&lt;/sup&gt;" }, "properties" : { "noteIndex" : 0 }, "schema" : "https://github.com/citation-style-language/schema/raw/master/csl-citation.json" }</w:instrText>
            </w:r>
            <w:r w:rsidR="007D7ACC">
              <w:rPr>
                <w:rFonts w:ascii="Book Antiqua" w:hAnsi="Book Antiqua"/>
                <w:sz w:val="20"/>
                <w:szCs w:val="20"/>
                <w:lang w:val="en-GB"/>
              </w:rPr>
              <w:fldChar w:fldCharType="separate"/>
            </w:r>
            <w:r w:rsidR="00315B8B" w:rsidRPr="00315B8B">
              <w:rPr>
                <w:rFonts w:ascii="Book Antiqua" w:hAnsi="Book Antiqua"/>
                <w:noProof/>
                <w:sz w:val="20"/>
                <w:szCs w:val="20"/>
                <w:vertAlign w:val="superscript"/>
                <w:lang w:val="en-GB"/>
              </w:rPr>
              <w:t>[116]</w:t>
            </w:r>
            <w:r w:rsidR="007D7ACC">
              <w:rPr>
                <w:rFonts w:ascii="Book Antiqua" w:hAnsi="Book Antiqua"/>
                <w:sz w:val="20"/>
                <w:szCs w:val="20"/>
                <w:lang w:val="en-GB"/>
              </w:rPr>
              <w:fldChar w:fldCharType="end"/>
            </w:r>
          </w:p>
        </w:tc>
        <w:tc>
          <w:tcPr>
            <w:tcW w:w="5723" w:type="dxa"/>
            <w:shd w:val="clear" w:color="auto" w:fill="auto"/>
            <w:tcMar>
              <w:left w:w="51" w:type="dxa"/>
            </w:tcMar>
            <w:vAlign w:val="center"/>
          </w:tcPr>
          <w:p w14:paraId="4954A339" w14:textId="77777777" w:rsidR="00B122DF" w:rsidRPr="00507FA4" w:rsidRDefault="00B122DF" w:rsidP="00422EBA">
            <w:pPr>
              <w:pStyle w:val="Contenutotabella"/>
              <w:numPr>
                <w:ilvl w:val="0"/>
                <w:numId w:val="8"/>
              </w:numPr>
              <w:adjustRightInd w:val="0"/>
              <w:snapToGrid w:val="0"/>
              <w:spacing w:after="0" w:line="360" w:lineRule="auto"/>
              <w:ind w:left="0"/>
              <w:jc w:val="both"/>
              <w:rPr>
                <w:lang w:val="en-US"/>
              </w:rPr>
            </w:pPr>
            <w:r>
              <w:rPr>
                <w:rFonts w:ascii="Book Antiqua" w:hAnsi="Book Antiqua"/>
                <w:sz w:val="20"/>
                <w:szCs w:val="20"/>
                <w:lang w:val="en-GB"/>
              </w:rPr>
              <w:t>[(AST+ALT)/2] on POD2:</w:t>
            </w:r>
          </w:p>
          <w:p w14:paraId="4F06A463" w14:textId="11C0D2E8" w:rsidR="00B122DF" w:rsidRPr="00507FA4" w:rsidRDefault="00B122DF" w:rsidP="00422EBA">
            <w:pPr>
              <w:pStyle w:val="Contenutotabella"/>
              <w:numPr>
                <w:ilvl w:val="1"/>
                <w:numId w:val="8"/>
              </w:numPr>
              <w:adjustRightInd w:val="0"/>
              <w:snapToGrid w:val="0"/>
              <w:spacing w:after="0" w:line="360" w:lineRule="auto"/>
              <w:ind w:left="0"/>
              <w:jc w:val="both"/>
              <w:rPr>
                <w:lang w:val="en-US"/>
              </w:rPr>
            </w:pPr>
            <w:r>
              <w:rPr>
                <w:rFonts w:ascii="Book Antiqua" w:hAnsi="Book Antiqua"/>
                <w:sz w:val="20"/>
                <w:szCs w:val="20"/>
                <w:lang w:val="en-GB"/>
              </w:rPr>
              <w:t>&lt;</w:t>
            </w:r>
            <w:r w:rsidR="00C12E69">
              <w:rPr>
                <w:rFonts w:ascii="Book Antiqua" w:eastAsiaTheme="minorEastAsia" w:hAnsi="Book Antiqua" w:hint="eastAsia"/>
                <w:sz w:val="20"/>
                <w:szCs w:val="20"/>
                <w:lang w:val="en-GB" w:eastAsia="zh-CN"/>
              </w:rPr>
              <w:t xml:space="preserve"> </w:t>
            </w:r>
            <w:r>
              <w:rPr>
                <w:rFonts w:ascii="Book Antiqua" w:hAnsi="Book Antiqua"/>
                <w:sz w:val="20"/>
                <w:szCs w:val="20"/>
                <w:lang w:val="en-GB"/>
              </w:rPr>
              <w:t>285 IU/L: good function</w:t>
            </w:r>
          </w:p>
          <w:p w14:paraId="4CDD4C45" w14:textId="77777777" w:rsidR="00B122DF" w:rsidRPr="00507FA4" w:rsidRDefault="00B122DF" w:rsidP="00422EBA">
            <w:pPr>
              <w:pStyle w:val="Contenutotabella"/>
              <w:numPr>
                <w:ilvl w:val="1"/>
                <w:numId w:val="8"/>
              </w:numPr>
              <w:adjustRightInd w:val="0"/>
              <w:snapToGrid w:val="0"/>
              <w:spacing w:after="0" w:line="360" w:lineRule="auto"/>
              <w:ind w:left="0"/>
              <w:jc w:val="both"/>
              <w:rPr>
                <w:lang w:val="en-US"/>
              </w:rPr>
            </w:pPr>
            <w:r>
              <w:rPr>
                <w:rFonts w:ascii="Book Antiqua" w:hAnsi="Book Antiqua"/>
                <w:sz w:val="20"/>
                <w:szCs w:val="20"/>
                <w:lang w:val="en-GB"/>
              </w:rPr>
              <w:t>285-986 IU/L: average function</w:t>
            </w:r>
          </w:p>
          <w:p w14:paraId="60C3D8E4" w14:textId="2D67CFFF" w:rsidR="00B122DF" w:rsidRPr="00507FA4" w:rsidRDefault="00B122DF" w:rsidP="00422EBA">
            <w:pPr>
              <w:pStyle w:val="Contenutotabella"/>
              <w:numPr>
                <w:ilvl w:val="1"/>
                <w:numId w:val="8"/>
              </w:numPr>
              <w:adjustRightInd w:val="0"/>
              <w:snapToGrid w:val="0"/>
              <w:spacing w:after="0" w:line="360" w:lineRule="auto"/>
              <w:ind w:left="0"/>
              <w:jc w:val="both"/>
              <w:rPr>
                <w:lang w:val="en-US"/>
              </w:rPr>
            </w:pPr>
            <w:r>
              <w:rPr>
                <w:rFonts w:ascii="Book Antiqua" w:hAnsi="Book Antiqua"/>
                <w:sz w:val="20"/>
                <w:szCs w:val="20"/>
                <w:lang w:val="en-GB"/>
              </w:rPr>
              <w:t>&gt;</w:t>
            </w:r>
            <w:r w:rsidR="00C12E69">
              <w:rPr>
                <w:rFonts w:ascii="Book Antiqua" w:eastAsiaTheme="minorEastAsia" w:hAnsi="Book Antiqua" w:hint="eastAsia"/>
                <w:sz w:val="20"/>
                <w:szCs w:val="20"/>
                <w:lang w:val="en-GB" w:eastAsia="zh-CN"/>
              </w:rPr>
              <w:t xml:space="preserve"> </w:t>
            </w:r>
            <w:r>
              <w:rPr>
                <w:rFonts w:ascii="Book Antiqua" w:hAnsi="Book Antiqua"/>
                <w:sz w:val="20"/>
                <w:szCs w:val="20"/>
                <w:lang w:val="en-GB"/>
              </w:rPr>
              <w:t>986 IU/L: IPF</w:t>
            </w:r>
          </w:p>
        </w:tc>
        <w:tc>
          <w:tcPr>
            <w:tcW w:w="6269" w:type="dxa"/>
            <w:shd w:val="clear" w:color="auto" w:fill="auto"/>
            <w:tcMar>
              <w:left w:w="51" w:type="dxa"/>
            </w:tcMar>
            <w:vAlign w:val="center"/>
          </w:tcPr>
          <w:p w14:paraId="54649D43" w14:textId="77777777" w:rsidR="00B122DF" w:rsidRPr="007A5042" w:rsidRDefault="00B122DF" w:rsidP="00422EBA">
            <w:pPr>
              <w:pStyle w:val="Contenutotabella"/>
              <w:numPr>
                <w:ilvl w:val="0"/>
                <w:numId w:val="8"/>
              </w:numPr>
              <w:adjustRightInd w:val="0"/>
              <w:snapToGrid w:val="0"/>
              <w:spacing w:after="0" w:line="360" w:lineRule="auto"/>
              <w:ind w:left="0"/>
              <w:jc w:val="both"/>
              <w:rPr>
                <w:lang w:val="en-US"/>
              </w:rPr>
            </w:pPr>
            <w:r>
              <w:rPr>
                <w:rFonts w:ascii="Book Antiqua" w:hAnsi="Book Antiqua"/>
                <w:sz w:val="20"/>
                <w:szCs w:val="20"/>
                <w:lang w:val="en-GB"/>
              </w:rPr>
              <w:t>IPF-induced retransplantationor death within POD7</w:t>
            </w:r>
          </w:p>
        </w:tc>
      </w:tr>
      <w:tr w:rsidR="00F219F4" w:rsidRPr="00943FB3" w14:paraId="0CCA01FD" w14:textId="77777777" w:rsidTr="00C12E69">
        <w:tc>
          <w:tcPr>
            <w:tcW w:w="2408" w:type="dxa"/>
            <w:shd w:val="clear" w:color="auto" w:fill="auto"/>
            <w:tcMar>
              <w:left w:w="51" w:type="dxa"/>
            </w:tcMar>
            <w:vAlign w:val="center"/>
          </w:tcPr>
          <w:p w14:paraId="5D268B24" w14:textId="0767BCC6" w:rsidR="00B122DF" w:rsidRDefault="00B122DF" w:rsidP="00422EBA">
            <w:pPr>
              <w:pStyle w:val="Contenutotabella"/>
              <w:adjustRightInd w:val="0"/>
              <w:snapToGrid w:val="0"/>
              <w:spacing w:after="0" w:line="360" w:lineRule="auto"/>
              <w:jc w:val="both"/>
              <w:rPr>
                <w:rFonts w:ascii="Book Antiqua" w:hAnsi="Book Antiqua"/>
                <w:sz w:val="20"/>
                <w:szCs w:val="20"/>
                <w:lang w:val="en-GB"/>
              </w:rPr>
            </w:pPr>
            <w:r>
              <w:rPr>
                <w:rFonts w:ascii="Book Antiqua" w:hAnsi="Book Antiqua"/>
                <w:sz w:val="20"/>
                <w:szCs w:val="20"/>
                <w:lang w:val="en-GB"/>
              </w:rPr>
              <w:t xml:space="preserve">Nemes </w:t>
            </w:r>
            <w:r w:rsidR="00E35182" w:rsidRPr="00E35182">
              <w:rPr>
                <w:rFonts w:ascii="Book Antiqua" w:hAnsi="Book Antiqua"/>
                <w:i/>
                <w:sz w:val="20"/>
                <w:szCs w:val="20"/>
                <w:lang w:val="en-GB"/>
              </w:rPr>
              <w:t>et al</w:t>
            </w:r>
            <w:r w:rsidR="007D7ACC">
              <w:rPr>
                <w:rFonts w:ascii="Book Antiqua" w:hAnsi="Book Antiqua"/>
                <w:sz w:val="20"/>
                <w:szCs w:val="20"/>
                <w:lang w:val="en-GB"/>
              </w:rPr>
              <w:fldChar w:fldCharType="begin" w:fldLock="1"/>
            </w:r>
            <w:r w:rsidR="002D7F73">
              <w:rPr>
                <w:rFonts w:ascii="Book Antiqua" w:hAnsi="Book Antiqua"/>
                <w:sz w:val="20"/>
                <w:szCs w:val="20"/>
                <w:lang w:val="en-GB"/>
              </w:rPr>
              <w:instrText>ADDIN CSL_CITATION { "citationItems" : [ { "id" : "ITEM-1", "itemData" : { "DOI" : "10.1016/j.transproceed.2010.05.018", "ISSN" : "1873-2623", "PMID" : "20692473", "abstract" : "BACKGROUND: Availability of suitable donor organs has always limited the number of liver transplantations performed. Use of marginal donor organs is an alternative to overcome organ shortage. OBJECTIVE: To analyze the effect of various combinations of donor organ quality and recipient status on the outcome of liver transplantation. MATERIALS AND METHODS: Data from 260 whole-liver transplantations performed between January 2003 and September 2009 were analyzed retrospectively. Study groups were established according to donor organ quality (marginal score 0-1 vs 2-5) and recipient status (Model for End-Stage Liver Disease [MELD] score &lt;17 or &gt;17). In patients at low risk, 102 received optimal grafts (good-to-good group [G/G], and 75 received marginal grafts (bad-to-good group [B/G]. In patients at high risk, 46 received optimal grafts (good-to-bad group [G/B], and 37 received marginal grafts (bad-to-bad group [B/B]. RESULTS: No differences were observed in cumulative patient and graft survival rates; however, total survival differed in the early period after transplantation, that is, within 1 year. There was a higher rate of overall postoperative complications including initial poor graft function, bleeding, infection, and kidney failure in group B/B compared with group G/B (25 of 37 patients [67.5%] vs 27 of 46 patients [59.0%]), group B/G (25 of 37 patients [68%] vs 39 of 75 patients [52%], and group G/G (25 of 37 patients [68%] vs 43 of 102 patients [42%]) (P = .04). Patients with a high MELD score (G/B and B/B) demonstrated increased risk of postoperative complications. Use of donor organs with marginal score of 2 or higher in patients with high MELD scores increased early patient mortality. CONCLUSION: In summary, patients with a high MELD score (G/B and B/B) are at an increased risk of post-OLT complications. In contrast, use of marginal grafts (B/G and B/B) increased the rate of hepatitis C virus recurrence and decreased the response rate to antiviral therapy. The combination of impaired donor grafts and recipients at high risk should be avoided.", "author" : [ { "dropping-particle" : "", "family" : "Nemes", "given" : "B", "non-dropping-particle" : "", "parse-names" : false, "suffix" : "" }, { "dropping-particle" : "", "family" : "Gelley", "given" : "F", "non-dropping-particle" : "", "parse-names" : false, "suffix" : "" }, { "dropping-particle" : "", "family" : "Z\u00e1dori", "given" : "G", "non-dropping-particle" : "", "parse-names" : false, "suffix" : "" }, { "dropping-particle" : "", "family" : "Piros", "given" : "L", "non-dropping-particle" : "", "parse-names" : false, "suffix" : "" }, { "dropping-particle" : "", "family" : "Perneczky", "given" : "J", "non-dropping-particle" : "", "parse-names" : false, "suffix" : "" }, { "dropping-particle" : "", "family" : "K\u00f3bori", "given" : "L", "non-dropping-particle" : "", "parse-names" : false, "suffix" : "" }, { "dropping-particle" : "", "family" : "Feh\u00e9rv\u00e1ri", "given" : "I", "non-dropping-particle" : "", "parse-names" : false, "suffix" : "" }, { "dropping-particle" : "", "family" : "G\u00f6r\u00f6g", "given" : "D", "non-dropping-particle" : "", "parse-names" : false, "suffix" : "" } ], "container-title" : "Transplantation proceedings", "id" : "ITEM-1", "issue" : "6", "issued" : { "date-parts" : [ [ "2010", "1" ] ] }, "page" : "2327-30", "title" : "Outcome of liver transplantation based on donor graft quality and recipient status.", "type" : "article-journal", "volume" : "42" }, "uris" : [ "http://www.mendeley.com/documents/?uuid=272672c7-0c9d-41e7-99be-66eecfa0d4c1" ] } ], "mendeley" : { "formattedCitation" : "&lt;sup&gt;[117]&lt;/sup&gt;", "plainTextFormattedCitation" : "[117]", "previouslyFormattedCitation" : "&lt;sup&gt;[117]&lt;/sup&gt;" }, "properties" : { "noteIndex" : 0 }, "schema" : "https://github.com/citation-style-language/schema/raw/master/csl-citation.json" }</w:instrText>
            </w:r>
            <w:r w:rsidR="007D7ACC">
              <w:rPr>
                <w:rFonts w:ascii="Book Antiqua" w:hAnsi="Book Antiqua"/>
                <w:sz w:val="20"/>
                <w:szCs w:val="20"/>
                <w:lang w:val="en-GB"/>
              </w:rPr>
              <w:fldChar w:fldCharType="separate"/>
            </w:r>
            <w:r w:rsidR="00315B8B" w:rsidRPr="00315B8B">
              <w:rPr>
                <w:rFonts w:ascii="Book Antiqua" w:hAnsi="Book Antiqua"/>
                <w:noProof/>
                <w:sz w:val="20"/>
                <w:szCs w:val="20"/>
                <w:vertAlign w:val="superscript"/>
                <w:lang w:val="en-GB"/>
              </w:rPr>
              <w:t>[117]</w:t>
            </w:r>
            <w:r w:rsidR="007D7ACC">
              <w:rPr>
                <w:rFonts w:ascii="Book Antiqua" w:hAnsi="Book Antiqua"/>
                <w:sz w:val="20"/>
                <w:szCs w:val="20"/>
                <w:lang w:val="en-GB"/>
              </w:rPr>
              <w:fldChar w:fldCharType="end"/>
            </w:r>
          </w:p>
        </w:tc>
        <w:tc>
          <w:tcPr>
            <w:tcW w:w="5723" w:type="dxa"/>
            <w:shd w:val="clear" w:color="auto" w:fill="auto"/>
            <w:tcMar>
              <w:left w:w="51" w:type="dxa"/>
            </w:tcMar>
            <w:vAlign w:val="center"/>
          </w:tcPr>
          <w:p w14:paraId="2AB4D8D1" w14:textId="77777777" w:rsidR="00B122DF" w:rsidRPr="00507FA4" w:rsidRDefault="00B122DF" w:rsidP="00422EBA">
            <w:pPr>
              <w:pStyle w:val="Contenutotabella"/>
              <w:adjustRightInd w:val="0"/>
              <w:snapToGrid w:val="0"/>
              <w:spacing w:after="0" w:line="360" w:lineRule="auto"/>
              <w:jc w:val="both"/>
              <w:rPr>
                <w:lang w:val="en-US"/>
              </w:rPr>
            </w:pPr>
            <w:r>
              <w:rPr>
                <w:rFonts w:ascii="Book Antiqua" w:hAnsi="Book Antiqua"/>
                <w:sz w:val="20"/>
                <w:szCs w:val="20"/>
                <w:lang w:val="en-GB"/>
              </w:rPr>
              <w:t>On POD5:</w:t>
            </w:r>
          </w:p>
          <w:p w14:paraId="76EEA39D" w14:textId="77777777" w:rsidR="00B122DF" w:rsidRPr="00507FA4" w:rsidRDefault="00B122DF" w:rsidP="00422EBA">
            <w:pPr>
              <w:pStyle w:val="Contenutotabella"/>
              <w:numPr>
                <w:ilvl w:val="0"/>
                <w:numId w:val="9"/>
              </w:numPr>
              <w:adjustRightInd w:val="0"/>
              <w:snapToGrid w:val="0"/>
              <w:spacing w:after="0" w:line="360" w:lineRule="auto"/>
              <w:ind w:left="0"/>
              <w:jc w:val="both"/>
              <w:rPr>
                <w:lang w:val="en-US"/>
              </w:rPr>
            </w:pPr>
            <w:r>
              <w:rPr>
                <w:rFonts w:ascii="Book Antiqua" w:hAnsi="Book Antiqua"/>
                <w:sz w:val="20"/>
                <w:szCs w:val="20"/>
                <w:lang w:val="en-GB"/>
              </w:rPr>
              <w:t>[Serum bilirubin (</w:t>
            </w:r>
            <w:r>
              <w:rPr>
                <w:rFonts w:ascii="Times New Roman" w:hAnsi="Times New Roman"/>
                <w:sz w:val="20"/>
                <w:szCs w:val="20"/>
                <w:lang w:val="en-GB"/>
              </w:rPr>
              <w:t>μ</w:t>
            </w:r>
            <w:r>
              <w:rPr>
                <w:rFonts w:ascii="Book Antiqua" w:hAnsi="Book Antiqua"/>
                <w:sz w:val="20"/>
                <w:szCs w:val="20"/>
                <w:lang w:val="en-GB"/>
              </w:rPr>
              <w:t>mol/L)]/[Prothrombin (%)] &gt; 1</w:t>
            </w:r>
          </w:p>
        </w:tc>
        <w:tc>
          <w:tcPr>
            <w:tcW w:w="6269" w:type="dxa"/>
            <w:shd w:val="clear" w:color="auto" w:fill="auto"/>
            <w:tcMar>
              <w:left w:w="51" w:type="dxa"/>
            </w:tcMar>
            <w:vAlign w:val="center"/>
          </w:tcPr>
          <w:p w14:paraId="3C07A822" w14:textId="77777777" w:rsidR="00B122DF" w:rsidRDefault="00B122DF" w:rsidP="00422EBA">
            <w:pPr>
              <w:pStyle w:val="Contenutotabella"/>
              <w:adjustRightInd w:val="0"/>
              <w:snapToGrid w:val="0"/>
              <w:spacing w:after="0" w:line="360" w:lineRule="auto"/>
              <w:jc w:val="both"/>
              <w:rPr>
                <w:rFonts w:ascii="Book Antiqua" w:hAnsi="Book Antiqua"/>
                <w:sz w:val="20"/>
                <w:szCs w:val="20"/>
                <w:lang w:val="en-GB"/>
              </w:rPr>
            </w:pPr>
          </w:p>
        </w:tc>
      </w:tr>
      <w:tr w:rsidR="00F219F4" w:rsidRPr="00943FB3" w14:paraId="108083DF" w14:textId="77777777" w:rsidTr="00C12E69">
        <w:tc>
          <w:tcPr>
            <w:tcW w:w="2408" w:type="dxa"/>
            <w:shd w:val="clear" w:color="auto" w:fill="auto"/>
            <w:tcMar>
              <w:left w:w="51" w:type="dxa"/>
            </w:tcMar>
            <w:vAlign w:val="center"/>
          </w:tcPr>
          <w:p w14:paraId="6A4A2EF9" w14:textId="19D0236B" w:rsidR="00B122DF" w:rsidRDefault="00B122DF" w:rsidP="00422EBA">
            <w:pPr>
              <w:pStyle w:val="Contenutotabella"/>
              <w:adjustRightInd w:val="0"/>
              <w:snapToGrid w:val="0"/>
              <w:spacing w:after="0" w:line="360" w:lineRule="auto"/>
              <w:jc w:val="both"/>
              <w:rPr>
                <w:rFonts w:ascii="Book Antiqua" w:hAnsi="Book Antiqua"/>
                <w:sz w:val="20"/>
                <w:szCs w:val="20"/>
                <w:lang w:val="en-GB"/>
              </w:rPr>
            </w:pPr>
            <w:r>
              <w:rPr>
                <w:rFonts w:ascii="Book Antiqua" w:hAnsi="Book Antiqua"/>
                <w:sz w:val="20"/>
                <w:szCs w:val="20"/>
                <w:lang w:val="en-GB"/>
              </w:rPr>
              <w:t xml:space="preserve">Olthoff </w:t>
            </w:r>
            <w:r w:rsidR="00E35182" w:rsidRPr="00E35182">
              <w:rPr>
                <w:rFonts w:ascii="Book Antiqua" w:hAnsi="Book Antiqua"/>
                <w:i/>
                <w:sz w:val="20"/>
                <w:szCs w:val="20"/>
                <w:lang w:val="en-GB"/>
              </w:rPr>
              <w:t>et al</w:t>
            </w:r>
            <w:r w:rsidR="007D7ACC">
              <w:rPr>
                <w:rFonts w:ascii="Book Antiqua" w:hAnsi="Book Antiqua"/>
                <w:sz w:val="20"/>
                <w:szCs w:val="20"/>
                <w:lang w:val="en-GB"/>
              </w:rPr>
              <w:fldChar w:fldCharType="begin" w:fldLock="1"/>
            </w:r>
            <w:r w:rsidR="00362C55">
              <w:rPr>
                <w:rFonts w:ascii="Book Antiqua" w:hAnsi="Book Antiqua"/>
                <w:sz w:val="20"/>
                <w:szCs w:val="20"/>
                <w:lang w:val="en-GB"/>
              </w:rPr>
              <w:instrText>ADDIN CSL_CITATION { "citationItems" : [ { "id" : "ITEM-1", "itemData" : { "DOI" : "10.1002/lt.22091", "ISSN" : "1527-6473", "PMID" : "20677285", "abstract" : "Translational studies in liver transplantation often require an endpoint of graft function or dysfunction beyond graft loss. Prior definitions of early allograft dysfunction (EAD) vary, and none have been validated in a large multicenter population in the Model for End-Stage Liver Disease (MELD) era. We examined an updated definition of EAD to validate previously used criteria, and correlated this definition with graft and patient outcome. We performed a cohort study of 300 deceased donor liver transplants at 3 U.S. programs. EAD was defined as the presence of one or more of the following previously defined postoperative laboratory analyses reflective of liver injury and function: bilirubin &gt;or=10mg/dL on day 7, international normalized ratio &gt;or=1.6 on day 7, and alanine or aspartate aminotransferases &gt;2000 IU/L within the first 7 days. To assess predictive validity, the EAD definition was tested for association with graft and patient survival. Risk factors for EAD were assessed using multivariable logistic regression. Overall incidence of EAD was 23.2%. Most grafts met the definition with increased bilirubin at day 7 or high levels of aminotransferases. Of recipients meeting the EAD definition, 18.8% died, as opposed to 1.8% of recipients without EAD (relative risk = 10.7 [95% confidence interval: 3.6, 31.9] P &lt; 0.0001). More recipients with EAD lost their grafts (26.1%) than recipients with no EAD (3.5%) (relative risk = 7.4 [95% confidence interval: 3.4, 16.3] P &lt; 0.0001). Donor age and MELD score were significant EAD risk factors in a multivariate model. In summary a simple definition of EAD using objective posttransplant criteria identified a 23% incidence, and was highly associated with graft loss and patient mortality, validating previously published criteria. This definition can be used as an endpoint in translational studies aiming to identify mechanistic pathways leading to a subgroup of liver grafts with clinical expression of suboptimal function.", "author" : [ { "dropping-particle" : "", "family" : "Olthoff", "given" : "Kim M", "non-dropping-particle" : "", "parse-names" : false, "suffix" : "" }, { "dropping-particle" : "", "family" : "Kulik", "given" : "Laura", "non-dropping-particle" : "", "parse-names" : false, "suffix" : "" }, { "dropping-particle" : "", "family" : "Samstein", "given" : "Benjamin", "non-dropping-particle" : "", "parse-names" : false, "suffix" : "" }, { "dropping-particle" : "", "family" : "Kaminski", "given" : "Mary", "non-dropping-particle" : "", "parse-names" : false, "suffix" : "" }, { "dropping-particle" : "", "family" : "Abecassis", "given" : "Michael", "non-dropping-particle" : "", "parse-names" : false, "suffix" : "" }, { "dropping-particle" : "", "family" : "Emond", "given" : "Jean", "non-dropping-particle" : "", "parse-names" : false, "suffix" : "" }, { "dropping-particle" : "", "family" : "Shaked", "given" : "Abraham", "non-dropping-particle" : "", "parse-names" : false, "suffix" : "" }, { "dropping-particle" : "", "family" : "Christie", "given" : "Jason D", "non-dropping-particle" : "", "parse-names" : false, "suffix" : "" } ], "container-title" : "Liver transplantation : official publication of the American Association for the Study of Liver Diseases and the International Liver Transplantation Society", "id" : "ITEM-1", "issue" : "8", "issued" : { "date-parts" : [ [ "2010", "8" ] ] }, "page" : "943-9", "title" : "Validation of a current definition of early allograft dysfunction in liver transplant recipients and analysis of risk factors.", "type" : "article-journal", "volume" : "16" }, "uris" : [ "http://www.mendeley.com/documents/?uuid=b25b40d2-8006-48d3-bd41-5921e7311510" ] } ], "mendeley" : { "formattedCitation" : "&lt;sup&gt;[81]&lt;/sup&gt;", "plainTextFormattedCitation" : "[81]", "previouslyFormattedCitation" : "&lt;sup&gt;[81]&lt;/sup&gt;" }, "properties" : { "noteIndex" : 0 }, "schema" : "https://github.com/citation-style-language/schema/raw/master/csl-citation.json" }</w:instrText>
            </w:r>
            <w:r w:rsidR="007D7ACC">
              <w:rPr>
                <w:rFonts w:ascii="Book Antiqua" w:hAnsi="Book Antiqua"/>
                <w:sz w:val="20"/>
                <w:szCs w:val="20"/>
                <w:lang w:val="en-GB"/>
              </w:rPr>
              <w:fldChar w:fldCharType="separate"/>
            </w:r>
            <w:r w:rsidR="00CD2CDC" w:rsidRPr="00CD2CDC">
              <w:rPr>
                <w:rFonts w:ascii="Book Antiqua" w:hAnsi="Book Antiqua"/>
                <w:noProof/>
                <w:sz w:val="20"/>
                <w:szCs w:val="20"/>
                <w:vertAlign w:val="superscript"/>
                <w:lang w:val="en-GB"/>
              </w:rPr>
              <w:t>[81]</w:t>
            </w:r>
            <w:r w:rsidR="007D7ACC">
              <w:rPr>
                <w:rFonts w:ascii="Book Antiqua" w:hAnsi="Book Antiqua"/>
                <w:sz w:val="20"/>
                <w:szCs w:val="20"/>
                <w:lang w:val="en-GB"/>
              </w:rPr>
              <w:fldChar w:fldCharType="end"/>
            </w:r>
          </w:p>
        </w:tc>
        <w:tc>
          <w:tcPr>
            <w:tcW w:w="5723" w:type="dxa"/>
            <w:shd w:val="clear" w:color="auto" w:fill="auto"/>
            <w:tcMar>
              <w:left w:w="51" w:type="dxa"/>
            </w:tcMar>
            <w:vAlign w:val="center"/>
          </w:tcPr>
          <w:p w14:paraId="3AF8FBA5" w14:textId="77777777" w:rsidR="00B122DF" w:rsidRPr="00507FA4" w:rsidRDefault="00B122DF" w:rsidP="00422EBA">
            <w:pPr>
              <w:pStyle w:val="Contenutotabella"/>
              <w:adjustRightInd w:val="0"/>
              <w:snapToGrid w:val="0"/>
              <w:spacing w:after="0" w:line="360" w:lineRule="auto"/>
              <w:jc w:val="both"/>
              <w:rPr>
                <w:lang w:val="en-US"/>
              </w:rPr>
            </w:pPr>
            <w:r>
              <w:rPr>
                <w:rFonts w:ascii="Book Antiqua" w:hAnsi="Book Antiqua"/>
                <w:sz w:val="20"/>
                <w:szCs w:val="20"/>
                <w:lang w:val="en-GB"/>
              </w:rPr>
              <w:t>On POD1-7, one within:</w:t>
            </w:r>
          </w:p>
          <w:p w14:paraId="7CDAC613" w14:textId="77777777" w:rsidR="00B122DF" w:rsidRPr="00507FA4" w:rsidRDefault="00B122DF" w:rsidP="00422EBA">
            <w:pPr>
              <w:pStyle w:val="Contenutotabella"/>
              <w:numPr>
                <w:ilvl w:val="0"/>
                <w:numId w:val="10"/>
              </w:numPr>
              <w:adjustRightInd w:val="0"/>
              <w:snapToGrid w:val="0"/>
              <w:spacing w:after="0" w:line="360" w:lineRule="auto"/>
              <w:ind w:left="0"/>
              <w:jc w:val="both"/>
              <w:rPr>
                <w:lang w:val="en-US"/>
              </w:rPr>
            </w:pPr>
            <w:r>
              <w:rPr>
                <w:rFonts w:ascii="Book Antiqua" w:hAnsi="Book Antiqua"/>
                <w:sz w:val="20"/>
                <w:szCs w:val="20"/>
                <w:lang w:val="en-GB"/>
              </w:rPr>
              <w:t xml:space="preserve">Bilirubin </w:t>
            </w:r>
            <w:r>
              <w:rPr>
                <w:rFonts w:ascii="Book Antiqua" w:eastAsia="Book Antiqua" w:hAnsi="Book Antiqua" w:cs="Book Antiqua"/>
                <w:sz w:val="20"/>
                <w:szCs w:val="20"/>
                <w:lang w:val="en-GB"/>
              </w:rPr>
              <w:t>≥</w:t>
            </w:r>
            <w:r>
              <w:rPr>
                <w:rFonts w:ascii="Book Antiqua" w:hAnsi="Book Antiqua"/>
                <w:sz w:val="20"/>
                <w:szCs w:val="20"/>
                <w:lang w:val="en-GB"/>
              </w:rPr>
              <w:t xml:space="preserve"> 10 mg/dL on POD7</w:t>
            </w:r>
          </w:p>
          <w:p w14:paraId="6FEDBEA3" w14:textId="77777777" w:rsidR="00B122DF" w:rsidRPr="00507FA4" w:rsidRDefault="00B122DF" w:rsidP="00422EBA">
            <w:pPr>
              <w:pStyle w:val="Contenutotabella"/>
              <w:numPr>
                <w:ilvl w:val="0"/>
                <w:numId w:val="10"/>
              </w:numPr>
              <w:adjustRightInd w:val="0"/>
              <w:snapToGrid w:val="0"/>
              <w:spacing w:after="0" w:line="360" w:lineRule="auto"/>
              <w:ind w:left="0"/>
              <w:jc w:val="both"/>
              <w:rPr>
                <w:lang w:val="en-US"/>
              </w:rPr>
            </w:pPr>
            <w:r>
              <w:rPr>
                <w:rFonts w:ascii="Book Antiqua" w:hAnsi="Book Antiqua"/>
                <w:sz w:val="20"/>
                <w:szCs w:val="20"/>
                <w:lang w:val="en-GB"/>
              </w:rPr>
              <w:t xml:space="preserve">INR </w:t>
            </w:r>
            <w:r>
              <w:rPr>
                <w:rFonts w:ascii="Book Antiqua" w:eastAsia="Book Antiqua" w:hAnsi="Book Antiqua" w:cs="Book Antiqua"/>
                <w:sz w:val="20"/>
                <w:szCs w:val="20"/>
                <w:lang w:val="en-GB"/>
              </w:rPr>
              <w:t>≥</w:t>
            </w:r>
            <w:r>
              <w:rPr>
                <w:rFonts w:ascii="Book Antiqua" w:hAnsi="Book Antiqua"/>
                <w:sz w:val="20"/>
                <w:szCs w:val="20"/>
                <w:lang w:val="en-GB"/>
              </w:rPr>
              <w:t xml:space="preserve"> 1.6 on POD7</w:t>
            </w:r>
          </w:p>
          <w:p w14:paraId="0EB7573F" w14:textId="77777777" w:rsidR="00B122DF" w:rsidRPr="007A5042" w:rsidRDefault="00B122DF" w:rsidP="00422EBA">
            <w:pPr>
              <w:pStyle w:val="Contenutotabella"/>
              <w:numPr>
                <w:ilvl w:val="0"/>
                <w:numId w:val="10"/>
              </w:numPr>
              <w:adjustRightInd w:val="0"/>
              <w:snapToGrid w:val="0"/>
              <w:spacing w:after="0" w:line="360" w:lineRule="auto"/>
              <w:ind w:left="0"/>
              <w:jc w:val="both"/>
              <w:rPr>
                <w:lang w:val="en-US"/>
              </w:rPr>
            </w:pPr>
            <w:r>
              <w:rPr>
                <w:rFonts w:ascii="Book Antiqua" w:hAnsi="Book Antiqua"/>
                <w:sz w:val="20"/>
                <w:szCs w:val="20"/>
                <w:lang w:val="en-GB"/>
              </w:rPr>
              <w:t>ALT or AST &gt; 2000 IU/L within POD7</w:t>
            </w:r>
          </w:p>
        </w:tc>
        <w:tc>
          <w:tcPr>
            <w:tcW w:w="6269" w:type="dxa"/>
            <w:shd w:val="clear" w:color="auto" w:fill="auto"/>
            <w:tcMar>
              <w:left w:w="51" w:type="dxa"/>
            </w:tcMar>
            <w:vAlign w:val="center"/>
          </w:tcPr>
          <w:p w14:paraId="2A9AD23F" w14:textId="77777777" w:rsidR="00B122DF" w:rsidRDefault="00B122DF" w:rsidP="00422EBA">
            <w:pPr>
              <w:pStyle w:val="Contenutotabella"/>
              <w:adjustRightInd w:val="0"/>
              <w:snapToGrid w:val="0"/>
              <w:spacing w:after="0" w:line="360" w:lineRule="auto"/>
              <w:jc w:val="both"/>
              <w:rPr>
                <w:rFonts w:ascii="Book Antiqua" w:hAnsi="Book Antiqua"/>
                <w:sz w:val="20"/>
                <w:szCs w:val="20"/>
                <w:lang w:val="en-GB"/>
              </w:rPr>
            </w:pPr>
          </w:p>
        </w:tc>
      </w:tr>
      <w:tr w:rsidR="00F219F4" w:rsidRPr="00943FB3" w14:paraId="109DCBA9" w14:textId="77777777" w:rsidTr="00C12E69">
        <w:tc>
          <w:tcPr>
            <w:tcW w:w="2408" w:type="dxa"/>
            <w:shd w:val="clear" w:color="auto" w:fill="auto"/>
            <w:tcMar>
              <w:left w:w="51" w:type="dxa"/>
            </w:tcMar>
            <w:vAlign w:val="center"/>
          </w:tcPr>
          <w:p w14:paraId="65799383" w14:textId="43E5CCCE" w:rsidR="00B122DF" w:rsidRDefault="00B122DF" w:rsidP="00422EBA">
            <w:pPr>
              <w:pStyle w:val="Contenutotabella"/>
              <w:adjustRightInd w:val="0"/>
              <w:snapToGrid w:val="0"/>
              <w:spacing w:after="0" w:line="360" w:lineRule="auto"/>
              <w:jc w:val="both"/>
              <w:rPr>
                <w:rFonts w:ascii="Book Antiqua" w:hAnsi="Book Antiqua"/>
                <w:sz w:val="20"/>
                <w:szCs w:val="20"/>
                <w:lang w:val="en-GB"/>
              </w:rPr>
            </w:pPr>
            <w:r>
              <w:rPr>
                <w:rFonts w:ascii="Book Antiqua" w:hAnsi="Book Antiqua"/>
                <w:sz w:val="20"/>
                <w:szCs w:val="20"/>
                <w:lang w:val="en-GB"/>
              </w:rPr>
              <w:t xml:space="preserve">Lock </w:t>
            </w:r>
            <w:r w:rsidR="00E35182" w:rsidRPr="00E35182">
              <w:rPr>
                <w:rFonts w:ascii="Book Antiqua" w:hAnsi="Book Antiqua"/>
                <w:i/>
                <w:sz w:val="20"/>
                <w:szCs w:val="20"/>
                <w:lang w:val="en-GB"/>
              </w:rPr>
              <w:t>et al</w:t>
            </w:r>
            <w:r w:rsidR="007D7ACC">
              <w:rPr>
                <w:rFonts w:ascii="Book Antiqua" w:hAnsi="Book Antiqua"/>
                <w:sz w:val="20"/>
                <w:szCs w:val="20"/>
                <w:lang w:val="en-GB"/>
              </w:rPr>
              <w:fldChar w:fldCharType="begin" w:fldLock="1"/>
            </w:r>
            <w:r w:rsidR="005F5C48">
              <w:rPr>
                <w:rFonts w:ascii="Book Antiqua" w:hAnsi="Book Antiqua"/>
                <w:sz w:val="20"/>
                <w:szCs w:val="20"/>
                <w:lang w:val="en-GB"/>
              </w:rPr>
              <w:instrText>ADDIN CSL_CITATION { "citationItems" : [ { "id" : "ITEM-1", "itemData" : { "DOI" : "10.1111/j.1432-2277.2010.01089.x", "abstract" : "Initial  poor  function  (IPF)  is  a  frequent  complication  after  liver  transplanta-tion,  but  there  is  no  consensus  on  its  definition.  Ninety-nine  patients  under-going   primary   deceased-donor   liver   transplantation   were   examined   in   a prospective  clinical  trial.  A  new  functional  classification  for  initial  graft  func-tion  was  developed  based  on  two  LiMAx  readouts  during  24 h  after  transplan-tation  with  a  cutoff  LiMAx  of  60  and  120l g/kg/h  using  a  simple  algorithm. Patients  were  classified  as  non-  (3/99),  poor-  (23/99)  and  immediate  function (73/99).  The  functional  regeneration  of  IPF  grafts  was  delayed  until  day  28 (P &lt; 0.05).   Significant   differences   were   observed   for   postoperative   maximal transaminase  activity,  bilirubin,  albumin,  coagulation  and  creatinine.  Recipi-ents\u2019  MELD  score,  the  donor  risk  index  and  donor  age  were  increased  in  the IPF  group.  Incidence  of  haemodialysis  (P = 0.003)  and  catecholamine  support (P&lt; 0.0001)  was  higher  for  IPF,  resulting  in  higher  therapy  costs  (P = 0.049). However,  IPF  did  not  influence  either  the  length  of  stay  (P = 0.434)  or  2-year recipient  (P= 0.415)  or  graft  survival  (P = 0.495).  In  conclusion,  the  LiMAx test  might  provide  the  first  adequate  functional  parameter  to  assess  and  classify liver  graft  performance  from  the  beginning.  Patients  with  IPF  frequently  suffer from  secondary  complications,  but  ultimately  develop  satisfactory  outcome  and thus worth intensive and expensive therapy.", "author" : [ { "dropping-particle" : "", "family" : "Stockmann", "given" : "Martin", "non-dropping-particle" : "", "parse-names" : false, "suffix" : "" }, { "dropping-particle" : "", "family" : "Lock", "given" : "Johan F", "non-dropping-particle" : "", "parse-names" : false, "suffix" : "" }, { "dropping-particle" : "", "family" : "Malinowski", "given" : "Maciej", "non-dropping-particle" : "", "parse-names" : false, "suffix" : "" }, { "dropping-particle" : "", "family" : "Seehofer", "given" : "Daniel", "non-dropping-particle" : "", "parse-names" : false, "suffix" : "" }, { "dropping-particle" : "", "family" : "Puhl", "given" : "Gero", "non-dropping-particle" : "", "parse-names" : false, "suffix" : "" }, { "dropping-particle" : "", "family" : "Pratschke", "given" : "Johann", "non-dropping-particle" : "", "parse-names" : false, "suffix" : "" }, { "dropping-particle" : "", "family" : "Neuhaus", "given" : "Peter", "non-dropping-particle" : "", "parse-names" : false, "suffix" : "" } ], "container-title" : "Transplantation International", "id" : "ITEM-1", "issued" : { "date-parts" : [ [ "2010" ] ] }, "title" : "How to define initial poor graft function after liver transplantation? \u2013 a new functional definition by the LiMAx test", "type" : "article-journal" }, "uris" : [ "http://www.mendeley.com/documents/?uuid=8475ade6-248d-3c0d-baf5-98a2423049e6" ] }, { "id" : "ITEM-2", "itemData" : { "DOI" : "10.1111/j.1399-0012.2010.01264.x", "abstract" : "The narrow therapeutic range of tacrolimus requires careful management after liver transplantation (LT). The aim of this study was to investigate the influence of graft function on tacrolimus trough levels during the first post-transplant week. Ninety-three patients receiving deceased-donor LT were observed in a prospective observational study. Graft func-tion was determined by the new LiMAx test (maximal liver function capacity). Significant correlations between LiMAx readouts and consecutive tacrolimus levels, up to r =) 0.529 (p &lt; 0.0001), were determined throughout the observed period of time. Patients with initially poor graft function revealed higher trough levels (n = 24; 20.1 \u00b1 11.6 ng/mL) in comparison with fair (n = 40; 13.7 \u00b1 7.8 ng/mL) and good function (n = 29; 9.5 \u00b1 4.4 ng/mL; p &lt; 0.0001) already at the second post-trans-plant day. Toxic levels could be predicted with an area under receiver operating characteristic analysis AUROC=0.751 (p = 0.001) with high sensitivity and specificity. Insufficient levels could be predicted with AUROC=0.800 (p = 0.003). In conclusion, initial graft function is a major factor influencing the pharmacokinetics of tacrolimus and can be validly determined by the LiMAx test. Thus, recipients with poor functioning grafts are prone of developing toxic levels within the first week after LT, whereas patients with good functioning grafts frequently develop insufficient levels with the current immunosuppressive protocols.", "author" : [ { "dropping-particle" : "", "family" : "Lock", "given" : "J", "non-dropping-particle" : "", "parse-names" : false, "suffix" : "" }, { "dropping-particle" : "", "family" : "Malinowski", "given" : "M", "non-dropping-particle" : "", "parse-names" : false, "suffix" : "" }, { "dropping-particle" : "", "family" : "Schwabauer", "given" : "E", "non-dropping-particle" : "", "parse-names" : false, "suffix" : "" }, { "dropping-particle" : "", "family" : "Martus", "given" : "P", "non-dropping-particle" : "", "parse-names" : false, "suffix" : "" }, { "dropping-particle" : "", "family" : "Pratschke", "given" : "J", "non-dropping-particle" : "", "parse-names" : false, "suffix" : "" }, { "dropping-particle" : "", "family" : "Seehofer", "given" : "D", "non-dropping-particle" : "", "parse-names" : false, "suffix" : "" }, { "dropping-particle" : "", "family" : "Puhl", "given" : "G", "non-dropping-particle" : "", "parse-names" : false, "suffix" : "" }, { "dropping-particle" : "", "family" : "Neuhaus", "given" : "P", "non-dropping-particle" : "", "parse-names" : false, "suffix" : "" }, { "dropping-particle" : "", "family" : "Stockmann", "given" : "M", "non-dropping-particle" : "", "parse-names" : false, "suffix" : "" } ], "container-title" : "Clin Transplant", "id" : "ITEM-2", "issued" : { "date-parts" : [ [ "2011" ] ] }, "page" : "436-43", "title" : "Initial liver graft function is a reliable predictor of tacrolimus trough levels during the first post-transplant week", "type" : "article-journal", "volume" : "25" }, "uris" : [ "http://www.mendeley.com/documents/?uuid=d44df44f-cb4d-3586-b275-f6b9d475ff0f" ] } ], "mendeley" : { "formattedCitation" : "&lt;sup&gt;[59,60]&lt;/sup&gt;", "plainTextFormattedCitation" : "[59,60]", "previouslyFormattedCitation" : "&lt;sup&gt;[59,60]&lt;/sup&gt;" }, "properties" : { "noteIndex" : 0 }, "schema" : "https://github.com/citation-style-language/schema/raw/master/csl-citation.json" }</w:instrText>
            </w:r>
            <w:r w:rsidR="007D7ACC">
              <w:rPr>
                <w:rFonts w:ascii="Book Antiqua" w:hAnsi="Book Antiqua"/>
                <w:sz w:val="20"/>
                <w:szCs w:val="20"/>
                <w:lang w:val="en-GB"/>
              </w:rPr>
              <w:fldChar w:fldCharType="separate"/>
            </w:r>
            <w:r w:rsidR="005F5C48" w:rsidRPr="005F5C48">
              <w:rPr>
                <w:rFonts w:ascii="Book Antiqua" w:hAnsi="Book Antiqua"/>
                <w:noProof/>
                <w:sz w:val="20"/>
                <w:szCs w:val="20"/>
                <w:vertAlign w:val="superscript"/>
                <w:lang w:val="en-GB"/>
              </w:rPr>
              <w:t>[59,60]</w:t>
            </w:r>
            <w:r w:rsidR="007D7ACC">
              <w:rPr>
                <w:rFonts w:ascii="Book Antiqua" w:hAnsi="Book Antiqua"/>
                <w:sz w:val="20"/>
                <w:szCs w:val="20"/>
                <w:lang w:val="en-GB"/>
              </w:rPr>
              <w:fldChar w:fldCharType="end"/>
            </w:r>
            <w:r>
              <w:rPr>
                <w:rFonts w:ascii="Lucida Grande" w:hAnsi="Lucida Grande" w:cs="Lucida Grande"/>
                <w:sz w:val="20"/>
                <w:szCs w:val="20"/>
                <w:vertAlign w:val="superscript"/>
                <w:lang w:val="en-GB"/>
              </w:rPr>
              <w:t xml:space="preserve"> </w:t>
            </w:r>
          </w:p>
        </w:tc>
        <w:tc>
          <w:tcPr>
            <w:tcW w:w="5723" w:type="dxa"/>
            <w:shd w:val="clear" w:color="auto" w:fill="auto"/>
            <w:tcMar>
              <w:left w:w="51" w:type="dxa"/>
            </w:tcMar>
            <w:vAlign w:val="center"/>
          </w:tcPr>
          <w:p w14:paraId="041CF59D" w14:textId="42042DF9" w:rsidR="00B122DF" w:rsidRPr="007A5042" w:rsidRDefault="00B122DF" w:rsidP="00422EBA">
            <w:pPr>
              <w:pStyle w:val="Contenutotabella"/>
              <w:adjustRightInd w:val="0"/>
              <w:snapToGrid w:val="0"/>
              <w:spacing w:after="0" w:line="360" w:lineRule="auto"/>
              <w:jc w:val="both"/>
              <w:rPr>
                <w:lang w:val="en-US"/>
              </w:rPr>
            </w:pPr>
            <w:r>
              <w:rPr>
                <w:rFonts w:ascii="Book Antiqua" w:hAnsi="Book Antiqua"/>
                <w:sz w:val="20"/>
                <w:szCs w:val="20"/>
                <w:lang w:val="en-GB"/>
              </w:rPr>
              <w:t>Two LiMax readouts during the first 24 h:</w:t>
            </w:r>
          </w:p>
          <w:p w14:paraId="66074686" w14:textId="3BE15410" w:rsidR="00B122DF" w:rsidRPr="00507FA4" w:rsidRDefault="00B122DF" w:rsidP="00422EBA">
            <w:pPr>
              <w:pStyle w:val="Contenutotabella"/>
              <w:numPr>
                <w:ilvl w:val="0"/>
                <w:numId w:val="11"/>
              </w:numPr>
              <w:adjustRightInd w:val="0"/>
              <w:snapToGrid w:val="0"/>
              <w:spacing w:after="0" w:line="360" w:lineRule="auto"/>
              <w:ind w:left="0"/>
              <w:jc w:val="both"/>
              <w:rPr>
                <w:lang w:val="en-US"/>
              </w:rPr>
            </w:pPr>
            <w:r>
              <w:rPr>
                <w:rFonts w:ascii="Book Antiqua" w:hAnsi="Book Antiqua"/>
                <w:sz w:val="20"/>
                <w:szCs w:val="20"/>
                <w:lang w:val="en-GB"/>
              </w:rPr>
              <w:t xml:space="preserve">LiMax = 60-120 </w:t>
            </w:r>
            <w:r>
              <w:rPr>
                <w:rFonts w:ascii="Times New Roman" w:hAnsi="Times New Roman"/>
                <w:sz w:val="20"/>
                <w:szCs w:val="20"/>
                <w:lang w:val="en-GB"/>
              </w:rPr>
              <w:t>μ</w:t>
            </w:r>
            <w:r>
              <w:rPr>
                <w:rFonts w:ascii="Book Antiqua" w:hAnsi="Book Antiqua"/>
                <w:sz w:val="20"/>
                <w:szCs w:val="20"/>
                <w:lang w:val="en-GB"/>
              </w:rPr>
              <w:t>g/kg</w:t>
            </w:r>
            <w:r w:rsidR="00C12E69">
              <w:rPr>
                <w:rFonts w:ascii="Book Antiqua" w:eastAsiaTheme="minorEastAsia" w:hAnsi="Book Antiqua" w:hint="eastAsia"/>
                <w:sz w:val="20"/>
                <w:szCs w:val="20"/>
                <w:lang w:val="en-GB" w:eastAsia="zh-CN"/>
              </w:rPr>
              <w:t xml:space="preserve"> </w:t>
            </w:r>
            <w:r w:rsidR="00C12E69">
              <w:rPr>
                <w:rFonts w:ascii="Book Antiqua" w:eastAsiaTheme="minorEastAsia" w:hAnsi="Book Antiqua"/>
                <w:sz w:val="20"/>
                <w:szCs w:val="20"/>
                <w:lang w:val="en-GB" w:eastAsia="zh-CN"/>
              </w:rPr>
              <w:t xml:space="preserve">per </w:t>
            </w:r>
            <w:r>
              <w:rPr>
                <w:rFonts w:ascii="Book Antiqua" w:hAnsi="Book Antiqua"/>
                <w:sz w:val="20"/>
                <w:szCs w:val="20"/>
                <w:lang w:val="en-GB"/>
              </w:rPr>
              <w:t>h</w:t>
            </w:r>
            <w:r w:rsidR="00C12E69">
              <w:rPr>
                <w:rFonts w:ascii="Book Antiqua" w:eastAsiaTheme="minorEastAsia" w:hAnsi="Book Antiqua" w:hint="eastAsia"/>
                <w:sz w:val="20"/>
                <w:szCs w:val="20"/>
                <w:lang w:val="en-GB" w:eastAsia="zh-CN"/>
              </w:rPr>
              <w:t>our</w:t>
            </w:r>
          </w:p>
        </w:tc>
        <w:tc>
          <w:tcPr>
            <w:tcW w:w="6269" w:type="dxa"/>
            <w:shd w:val="clear" w:color="auto" w:fill="auto"/>
            <w:tcMar>
              <w:left w:w="51" w:type="dxa"/>
            </w:tcMar>
            <w:vAlign w:val="center"/>
          </w:tcPr>
          <w:p w14:paraId="40296F40" w14:textId="644B67FD" w:rsidR="00B122DF" w:rsidRPr="007A5042" w:rsidRDefault="00B122DF" w:rsidP="00422EBA">
            <w:pPr>
              <w:pStyle w:val="Contenutotabella"/>
              <w:numPr>
                <w:ilvl w:val="0"/>
                <w:numId w:val="11"/>
              </w:numPr>
              <w:adjustRightInd w:val="0"/>
              <w:snapToGrid w:val="0"/>
              <w:spacing w:after="0" w:line="360" w:lineRule="auto"/>
              <w:ind w:left="0"/>
              <w:jc w:val="both"/>
              <w:rPr>
                <w:lang w:val="en-US"/>
              </w:rPr>
            </w:pPr>
            <w:r>
              <w:rPr>
                <w:rFonts w:ascii="Book Antiqua" w:hAnsi="Book Antiqua"/>
                <w:sz w:val="20"/>
                <w:szCs w:val="20"/>
                <w:lang w:val="en-GB"/>
              </w:rPr>
              <w:t xml:space="preserve">Two LiMax readouts during the first 24 hours: LiMax &lt; 60 </w:t>
            </w:r>
            <w:r>
              <w:rPr>
                <w:rFonts w:ascii="Times New Roman" w:hAnsi="Times New Roman"/>
                <w:sz w:val="20"/>
                <w:szCs w:val="20"/>
                <w:lang w:val="en-GB"/>
              </w:rPr>
              <w:t>μ</w:t>
            </w:r>
            <w:r>
              <w:rPr>
                <w:rFonts w:ascii="Book Antiqua" w:hAnsi="Book Antiqua"/>
                <w:sz w:val="20"/>
                <w:szCs w:val="20"/>
                <w:lang w:val="en-GB"/>
              </w:rPr>
              <w:t>g/kg</w:t>
            </w:r>
            <w:r w:rsidR="00C12E69">
              <w:rPr>
                <w:rFonts w:ascii="Book Antiqua" w:eastAsiaTheme="minorEastAsia" w:hAnsi="Book Antiqua" w:hint="eastAsia"/>
                <w:sz w:val="20"/>
                <w:szCs w:val="20"/>
                <w:lang w:val="en-GB" w:eastAsia="zh-CN"/>
              </w:rPr>
              <w:t xml:space="preserve"> per </w:t>
            </w:r>
            <w:r>
              <w:rPr>
                <w:rFonts w:ascii="Book Antiqua" w:hAnsi="Book Antiqua"/>
                <w:sz w:val="20"/>
                <w:szCs w:val="20"/>
                <w:lang w:val="en-GB"/>
              </w:rPr>
              <w:t>h</w:t>
            </w:r>
            <w:r w:rsidR="00C12E69">
              <w:rPr>
                <w:rFonts w:ascii="Book Antiqua" w:eastAsiaTheme="minorEastAsia" w:hAnsi="Book Antiqua" w:hint="eastAsia"/>
                <w:sz w:val="20"/>
                <w:szCs w:val="20"/>
                <w:lang w:val="en-GB" w:eastAsia="zh-CN"/>
              </w:rPr>
              <w:t>our</w:t>
            </w:r>
          </w:p>
        </w:tc>
      </w:tr>
      <w:tr w:rsidR="00F219F4" w:rsidRPr="00943FB3" w14:paraId="3DB0AE2B" w14:textId="77777777" w:rsidTr="00C12E69">
        <w:tc>
          <w:tcPr>
            <w:tcW w:w="2408" w:type="dxa"/>
            <w:shd w:val="clear" w:color="auto" w:fill="auto"/>
            <w:tcMar>
              <w:left w:w="51" w:type="dxa"/>
            </w:tcMar>
            <w:vAlign w:val="center"/>
          </w:tcPr>
          <w:p w14:paraId="1D6944E4" w14:textId="235057CA" w:rsidR="00B122DF" w:rsidRDefault="00B122DF" w:rsidP="00422EBA">
            <w:pPr>
              <w:pStyle w:val="Contenutotabella"/>
              <w:adjustRightInd w:val="0"/>
              <w:snapToGrid w:val="0"/>
              <w:spacing w:after="0" w:line="360" w:lineRule="auto"/>
              <w:jc w:val="both"/>
              <w:rPr>
                <w:rFonts w:ascii="Book Antiqua" w:hAnsi="Book Antiqua"/>
                <w:sz w:val="20"/>
                <w:szCs w:val="20"/>
                <w:lang w:val="en-GB"/>
              </w:rPr>
            </w:pPr>
            <w:r>
              <w:rPr>
                <w:rFonts w:ascii="Book Antiqua" w:hAnsi="Book Antiqua"/>
                <w:sz w:val="20"/>
                <w:szCs w:val="20"/>
                <w:lang w:val="en-GB"/>
              </w:rPr>
              <w:lastRenderedPageBreak/>
              <w:t xml:space="preserve">Mathé </w:t>
            </w:r>
            <w:r w:rsidR="00E35182" w:rsidRPr="00E35182">
              <w:rPr>
                <w:rFonts w:ascii="Book Antiqua" w:hAnsi="Book Antiqua"/>
                <w:i/>
                <w:sz w:val="20"/>
                <w:szCs w:val="20"/>
                <w:lang w:val="en-GB"/>
              </w:rPr>
              <w:t>et al</w:t>
            </w:r>
            <w:r w:rsidR="007D7ACC">
              <w:rPr>
                <w:rFonts w:ascii="Book Antiqua" w:hAnsi="Book Antiqua"/>
                <w:sz w:val="20"/>
                <w:szCs w:val="20"/>
                <w:lang w:val="en-GB"/>
              </w:rPr>
              <w:fldChar w:fldCharType="begin" w:fldLock="1"/>
            </w:r>
            <w:r w:rsidR="002D7F73">
              <w:rPr>
                <w:rFonts w:ascii="Book Antiqua" w:hAnsi="Book Antiqua"/>
                <w:sz w:val="20"/>
                <w:szCs w:val="20"/>
                <w:lang w:val="en-GB"/>
              </w:rPr>
              <w:instrText>ADDIN CSL_CITATION { "citationItems" : [ { "id" : "ITEM-1", "itemData" : { "DOI" : "10.1111/j.1478-3231.2011.02546.x", "ISSN" : "1478-3231", "PMID" : "21733096", "abstract" : "BACKGROUND: The lack of sufficient donors to satisfy the waiting list requirements has prompted many to expand the acceptance criteria. The purpose of this study was to evaluate our liver transplantation (LT) experience with donors beyond the average lifespan.\n\nPATIENTS AND METHODS: From January 2008 to December 2009, we received 75 liver offers involving donors \u2265 75 years of age. Donor and recipient data were analysed by both uni- and multivariate Cox proportional hazard model analyses.\n\nRESULTS: We performed 32 adult liver transplants (43%). Half of the patients received organs through rescue allocations. Seven recipients (22%) developed initial poor function. Two had primary graft non-function (PNF). Four recipients were re-transplanted (two PNF and two ischaemic-type bile lesions). One- and 3-year cumulative survival was 62 and 51% respectively. PNF, lab model for end-staged liver disease (MELD), post-LT haemodialysis, post-LT re-operations and post-LT sepsis were significant predictors by univariate analysis. Only PNF reached multivariate significance (P = 0.0307). Rescue offer allocation reached significance as a predictor of PNF by general linear model forward analysis. One- and 3-year 'MELD based allocation' (n = 16) vs 'rescue allocation' (n = 16) survival rates were 44 and 29% vs 82 and 76% respectively (P = 0.0197).\n\nCONCLUSIONS: Although grafts from donors \u2265 75 years allow for an expansion of the donor pool, long-term recipient survival is inferior to that encountered with younger donors. Acceptable results could be obtained by identifying 'preferred' recipients for rescue allocations.", "author" : [ { "dropping-particle" : "", "family" : "M\u00e1th\u00e9", "given" : "Zoltan", "non-dropping-particle" : "", "parse-names" : false, "suffix" : "" }, { "dropping-particle" : "", "family" : "Paul", "given" : "Andreas", "non-dropping-particle" : "", "parse-names" : false, "suffix" : "" }, { "dropping-particle" : "", "family" : "Molmenti", "given" : "Ernesto P", "non-dropping-particle" : "", "parse-names" : false, "suffix" : "" }, { "dropping-particle" : "", "family" : "Vernadakis", "given" : "Spiridon", "non-dropping-particle" : "", "parse-names" : false, "suffix" : "" }, { "dropping-particle" : "", "family" : "Klein", "given" : "Christian G", "non-dropping-particle" : "", "parse-names" : false, "suffix" : "" }, { "dropping-particle" : "", "family" : "Beckebaum", "given" : "Susanne", "non-dropping-particle" : "", "parse-names" : false, "suffix" : "" }, { "dropping-particle" : "", "family" : "Treckmann", "given" : "J\u00fcrgen W", "non-dropping-particle" : "", "parse-names" : false, "suffix" : "" }, { "dropping-particle" : "", "family" : "Cicinnati", "given" : "Vito R", "non-dropping-particle" : "", "parse-names" : false, "suffix" : "" }, { "dropping-particle" : "", "family" : "K\u00f3bori", "given" : "L\u00e1szl\u00f3", "non-dropping-particle" : "", "parse-names" : false, "suffix" : "" }, { "dropping-particle" : "", "family" : "Sotiropoulos", "given" : "Georgios C", "non-dropping-particle" : "", "parse-names" : false, "suffix" : "" } ], "container-title" : "Liver international : official journal of the International Association for the Study of the Liver", "id" : "ITEM-1", "issue" : "7", "issued" : { "date-parts" : [ [ "2011", "8" ] ] }, "page" : "1054-61", "title" : "Liver transplantation with donors over the expected lifespan in the model for end-staged liver disease era: is Mother Nature punishing us?", "type" : "article-journal", "volume" : "31" }, "uris" : [ "http://www.mendeley.com/documents/?uuid=e1fcde3a-0a6d-40af-9a22-a2c1c058005d" ] } ], "mendeley" : { "formattedCitation" : "&lt;sup&gt;[118]&lt;/sup&gt;", "plainTextFormattedCitation" : "[118]", "previouslyFormattedCitation" : "&lt;sup&gt;[118]&lt;/sup&gt;" }, "properties" : { "noteIndex" : 0 }, "schema" : "https://github.com/citation-style-language/schema/raw/master/csl-citation.json" }</w:instrText>
            </w:r>
            <w:r w:rsidR="007D7ACC">
              <w:rPr>
                <w:rFonts w:ascii="Book Antiqua" w:hAnsi="Book Antiqua"/>
                <w:sz w:val="20"/>
                <w:szCs w:val="20"/>
                <w:lang w:val="en-GB"/>
              </w:rPr>
              <w:fldChar w:fldCharType="separate"/>
            </w:r>
            <w:r w:rsidR="00315B8B" w:rsidRPr="00315B8B">
              <w:rPr>
                <w:rFonts w:ascii="Book Antiqua" w:hAnsi="Book Antiqua"/>
                <w:noProof/>
                <w:sz w:val="20"/>
                <w:szCs w:val="20"/>
                <w:vertAlign w:val="superscript"/>
                <w:lang w:val="en-GB"/>
              </w:rPr>
              <w:t>[118]</w:t>
            </w:r>
            <w:r w:rsidR="007D7ACC">
              <w:rPr>
                <w:rFonts w:ascii="Book Antiqua" w:hAnsi="Book Antiqua"/>
                <w:sz w:val="20"/>
                <w:szCs w:val="20"/>
                <w:lang w:val="en-GB"/>
              </w:rPr>
              <w:fldChar w:fldCharType="end"/>
            </w:r>
          </w:p>
        </w:tc>
        <w:tc>
          <w:tcPr>
            <w:tcW w:w="5723" w:type="dxa"/>
            <w:shd w:val="clear" w:color="auto" w:fill="auto"/>
            <w:tcMar>
              <w:left w:w="51" w:type="dxa"/>
            </w:tcMar>
            <w:vAlign w:val="center"/>
          </w:tcPr>
          <w:p w14:paraId="6A84AC87" w14:textId="77777777" w:rsidR="00B122DF" w:rsidRPr="007A5042" w:rsidRDefault="00B122DF" w:rsidP="00422EBA">
            <w:pPr>
              <w:pStyle w:val="Contenutotabella"/>
              <w:adjustRightInd w:val="0"/>
              <w:snapToGrid w:val="0"/>
              <w:spacing w:after="0" w:line="360" w:lineRule="auto"/>
              <w:jc w:val="both"/>
              <w:rPr>
                <w:lang w:val="en-US"/>
              </w:rPr>
            </w:pPr>
            <w:r>
              <w:rPr>
                <w:rFonts w:ascii="Book Antiqua" w:hAnsi="Book Antiqua"/>
                <w:sz w:val="20"/>
                <w:szCs w:val="20"/>
                <w:lang w:val="en-GB"/>
              </w:rPr>
              <w:t>Two consecutive measurements within POD3:</w:t>
            </w:r>
          </w:p>
          <w:p w14:paraId="7EDB9EBD" w14:textId="77777777" w:rsidR="00B122DF" w:rsidRPr="007A5042" w:rsidRDefault="00B122DF" w:rsidP="00422EBA">
            <w:pPr>
              <w:pStyle w:val="Contenutotabella"/>
              <w:numPr>
                <w:ilvl w:val="0"/>
                <w:numId w:val="11"/>
              </w:numPr>
              <w:adjustRightInd w:val="0"/>
              <w:snapToGrid w:val="0"/>
              <w:spacing w:after="0" w:line="360" w:lineRule="auto"/>
              <w:ind w:left="0"/>
              <w:jc w:val="both"/>
              <w:rPr>
                <w:lang w:val="en-US"/>
              </w:rPr>
            </w:pPr>
            <w:r>
              <w:rPr>
                <w:rFonts w:ascii="Book Antiqua" w:hAnsi="Book Antiqua"/>
                <w:sz w:val="20"/>
                <w:szCs w:val="20"/>
                <w:lang w:val="en-GB"/>
              </w:rPr>
              <w:t>ALT or AST &gt; 1500 IU/L</w:t>
            </w:r>
          </w:p>
        </w:tc>
        <w:tc>
          <w:tcPr>
            <w:tcW w:w="6269" w:type="dxa"/>
            <w:shd w:val="clear" w:color="auto" w:fill="auto"/>
            <w:tcMar>
              <w:left w:w="51" w:type="dxa"/>
            </w:tcMar>
            <w:vAlign w:val="center"/>
          </w:tcPr>
          <w:p w14:paraId="4A65C7D9" w14:textId="77777777" w:rsidR="00B122DF" w:rsidRPr="007A5042" w:rsidRDefault="00B122DF" w:rsidP="00422EBA">
            <w:pPr>
              <w:pStyle w:val="Contenutotabella"/>
              <w:numPr>
                <w:ilvl w:val="0"/>
                <w:numId w:val="11"/>
              </w:numPr>
              <w:adjustRightInd w:val="0"/>
              <w:snapToGrid w:val="0"/>
              <w:spacing w:after="0" w:line="360" w:lineRule="auto"/>
              <w:ind w:left="0"/>
              <w:jc w:val="both"/>
              <w:rPr>
                <w:lang w:val="en-US"/>
              </w:rPr>
            </w:pPr>
            <w:r>
              <w:rPr>
                <w:rFonts w:ascii="Book Antiqua" w:hAnsi="Book Antiqua"/>
                <w:sz w:val="20"/>
                <w:szCs w:val="20"/>
                <w:lang w:val="en-GB"/>
              </w:rPr>
              <w:t>IPF-induced retransplantation or death</w:t>
            </w:r>
          </w:p>
        </w:tc>
      </w:tr>
    </w:tbl>
    <w:p w14:paraId="31E911A9" w14:textId="2402414F" w:rsidR="00C12E69" w:rsidRDefault="00F631F3" w:rsidP="00422EBA">
      <w:pPr>
        <w:adjustRightInd w:val="0"/>
        <w:snapToGrid w:val="0"/>
        <w:spacing w:after="0" w:line="360" w:lineRule="auto"/>
        <w:jc w:val="both"/>
      </w:pPr>
      <w:r>
        <w:rPr>
          <w:rFonts w:ascii="Book Antiqua" w:hAnsi="Book Antiqua"/>
          <w:sz w:val="24"/>
          <w:szCs w:val="24"/>
          <w:lang w:val="en-GB"/>
        </w:rPr>
        <w:t xml:space="preserve">Table freely extracted from Olthoff </w:t>
      </w:r>
      <w:r w:rsidR="00E35182" w:rsidRPr="00E35182">
        <w:rPr>
          <w:rFonts w:ascii="Book Antiqua" w:hAnsi="Book Antiqua"/>
          <w:i/>
          <w:sz w:val="24"/>
          <w:szCs w:val="24"/>
          <w:lang w:val="en-GB"/>
        </w:rPr>
        <w:t>et al</w:t>
      </w:r>
      <w:r w:rsidR="007D7ACC">
        <w:rPr>
          <w:rFonts w:ascii="Book Antiqua" w:hAnsi="Book Antiqua"/>
          <w:sz w:val="24"/>
          <w:szCs w:val="24"/>
          <w:lang w:val="en-GB"/>
        </w:rPr>
        <w:fldChar w:fldCharType="begin" w:fldLock="1"/>
      </w:r>
      <w:r w:rsidR="00362C55">
        <w:rPr>
          <w:rFonts w:ascii="Book Antiqua" w:hAnsi="Book Antiqua"/>
          <w:sz w:val="24"/>
          <w:szCs w:val="24"/>
          <w:lang w:val="en-GB"/>
        </w:rPr>
        <w:instrText>ADDIN CSL_CITATION { "citationItems" : [ { "id" : "ITEM-1", "itemData" : { "DOI" : "10.1002/lt.22091", "ISSN" : "1527-6473", "PMID" : "20677285", "abstract" : "Translational studies in liver transplantation often require an endpoint of graft function or dysfunction beyond graft loss. Prior definitions of early allograft dysfunction (EAD) vary, and none have been validated in a large multicenter population in the Model for End-Stage Liver Disease (MELD) era. We examined an updated definition of EAD to validate previously used criteria, and correlated this definition with graft and patient outcome. We performed a cohort study of 300 deceased donor liver transplants at 3 U.S. programs. EAD was defined as the presence of one or more of the following previously defined postoperative laboratory analyses reflective of liver injury and function: bilirubin &gt;or=10mg/dL on day 7, international normalized ratio &gt;or=1.6 on day 7, and alanine or aspartate aminotransferases &gt;2000 IU/L within the first 7 days. To assess predictive validity, the EAD definition was tested for association with graft and patient survival. Risk factors for EAD were assessed using multivariable logistic regression. Overall incidence of EAD was 23.2%. Most grafts met the definition with increased bilirubin at day 7 or high levels of aminotransferases. Of recipients meeting the EAD definition, 18.8% died, as opposed to 1.8% of recipients without EAD (relative risk = 10.7 [95% confidence interval: 3.6, 31.9] P &lt; 0.0001). More recipients with EAD lost their grafts (26.1%) than recipients with no EAD (3.5%) (relative risk = 7.4 [95% confidence interval: 3.4, 16.3] P &lt; 0.0001). Donor age and MELD score were significant EAD risk factors in a multivariate model. In summary a simple definition of EAD using objective posttransplant criteria identified a 23% incidence, and was highly associated with graft loss and patient mortality, validating previously published criteria. This definition can be used as an endpoint in translational studies aiming to identify mechanistic pathways leading to a subgroup of liver grafts with clinical expression of suboptimal function.", "author" : [ { "dropping-particle" : "", "family" : "Olthoff", "given" : "Kim M", "non-dropping-particle" : "", "parse-names" : false, "suffix" : "" }, { "dropping-particle" : "", "family" : "Kulik", "given" : "Laura", "non-dropping-particle" : "", "parse-names" : false, "suffix" : "" }, { "dropping-particle" : "", "family" : "Samstein", "given" : "Benjamin", "non-dropping-particle" : "", "parse-names" : false, "suffix" : "" }, { "dropping-particle" : "", "family" : "Kaminski", "given" : "Mary", "non-dropping-particle" : "", "parse-names" : false, "suffix" : "" }, { "dropping-particle" : "", "family" : "Abecassis", "given" : "Michael", "non-dropping-particle" : "", "parse-names" : false, "suffix" : "" }, { "dropping-particle" : "", "family" : "Emond", "given" : "Jean", "non-dropping-particle" : "", "parse-names" : false, "suffix" : "" }, { "dropping-particle" : "", "family" : "Shaked", "given" : "Abraham", "non-dropping-particle" : "", "parse-names" : false, "suffix" : "" }, { "dropping-particle" : "", "family" : "Christie", "given" : "Jason D", "non-dropping-particle" : "", "parse-names" : false, "suffix" : "" } ], "container-title" : "Liver transplantation : official publication of the American Association for the Study of Liver Diseases and the International Liver Transplantation Society", "id" : "ITEM-1", "issue" : "8", "issued" : { "date-parts" : [ [ "2010", "8" ] ] }, "page" : "943-9", "title" : "Validation of a current definition of early allograft dysfunction in liver transplant recipients and analysis of risk factors.", "type" : "article-journal", "volume" : "16" }, "uris" : [ "http://www.mendeley.com/documents/?uuid=b25b40d2-8006-48d3-bd41-5921e7311510" ] } ], "mendeley" : { "formattedCitation" : "&lt;sup&gt;[81]&lt;/sup&gt;", "plainTextFormattedCitation" : "[81]", "previouslyFormattedCitation" : "&lt;sup&gt;[81]&lt;/sup&gt;" }, "properties" : { "noteIndex" : 0 }, "schema" : "https://github.com/citation-style-language/schema/raw/master/csl-citation.json" }</w:instrText>
      </w:r>
      <w:r w:rsidR="007D7ACC">
        <w:rPr>
          <w:rFonts w:ascii="Book Antiqua" w:hAnsi="Book Antiqua"/>
          <w:sz w:val="24"/>
          <w:szCs w:val="24"/>
          <w:lang w:val="en-GB"/>
        </w:rPr>
        <w:fldChar w:fldCharType="separate"/>
      </w:r>
      <w:r w:rsidR="00CD2CDC" w:rsidRPr="00CD2CDC">
        <w:rPr>
          <w:rFonts w:ascii="Book Antiqua" w:hAnsi="Book Antiqua"/>
          <w:noProof/>
          <w:sz w:val="24"/>
          <w:szCs w:val="24"/>
          <w:vertAlign w:val="superscript"/>
          <w:lang w:val="en-GB"/>
        </w:rPr>
        <w:t>[81]</w:t>
      </w:r>
      <w:r w:rsidR="007D7ACC">
        <w:rPr>
          <w:rFonts w:ascii="Book Antiqua" w:hAnsi="Book Antiqua"/>
          <w:sz w:val="24"/>
          <w:szCs w:val="24"/>
          <w:lang w:val="en-GB"/>
        </w:rPr>
        <w:fldChar w:fldCharType="end"/>
      </w:r>
      <w:r>
        <w:rPr>
          <w:rFonts w:ascii="Book Antiqua" w:hAnsi="Book Antiqua"/>
          <w:sz w:val="24"/>
          <w:szCs w:val="24"/>
          <w:lang w:val="en-GB"/>
        </w:rPr>
        <w:t xml:space="preserve">, Chen XB </w:t>
      </w:r>
      <w:r w:rsidR="00E35182" w:rsidRPr="00E35182">
        <w:rPr>
          <w:rFonts w:ascii="Book Antiqua" w:hAnsi="Book Antiqua"/>
          <w:i/>
          <w:sz w:val="24"/>
          <w:szCs w:val="24"/>
          <w:lang w:val="en-GB"/>
        </w:rPr>
        <w:t>et al</w:t>
      </w:r>
      <w:r w:rsidR="007D7ACC">
        <w:rPr>
          <w:rFonts w:ascii="Book Antiqua" w:hAnsi="Book Antiqua"/>
          <w:sz w:val="24"/>
          <w:szCs w:val="24"/>
          <w:lang w:val="en-GB"/>
        </w:rPr>
        <w:fldChar w:fldCharType="begin" w:fldLock="1"/>
      </w:r>
      <w:r w:rsidR="002D7F73">
        <w:rPr>
          <w:rFonts w:ascii="Book Antiqua" w:hAnsi="Book Antiqua"/>
          <w:sz w:val="24"/>
          <w:szCs w:val="24"/>
          <w:lang w:val="en-GB"/>
        </w:rPr>
        <w:instrText>ADDIN CSL_CITATION { "citationItems" : [ { "id" : "ITEM-1", "itemData" : { "DOI" : "10.1016/S1499-3872(14)60023-0", "ISSN" : "14993872", "author" : [ { "dropping-particle" : "", "family" : "Chen", "given" : "Xiao-Bo", "non-dropping-particle" : "", "parse-names" : false, "suffix" : "" }, { "dropping-particle" : "", "family" : "Xu", "given" : "Ming-Qing", "non-dropping-particle" : "", "parse-names" : false, "suffix" : "" } ], "container-title" : "Hepatobiliary &amp; Pancreatic Diseases International", "id" : "ITEM-1", "issue" : "2", "issued" : { "date-parts" : [ [ "2014" ] ] }, "page" : "125-137", "title" : "Primary graft dysfunction after liver transplantation", "type" : "article-journal", "volume" : "13" }, "uris" : [ "http://www.mendeley.com/documents/?uuid=8879568c-9d80-4848-a10e-0173908740dd" ] } ], "mendeley" : { "formattedCitation" : "&lt;sup&gt;[12]&lt;/sup&gt;", "plainTextFormattedCitation" : "[12]", "previouslyFormattedCitation" : "&lt;sup&gt;[12]&lt;/sup&gt;" }, "properties" : { "noteIndex" : 0 }, "schema" : "https://github.com/citation-style-language/schema/raw/master/csl-citation.json" }</w:instrText>
      </w:r>
      <w:r w:rsidR="007D7ACC">
        <w:rPr>
          <w:rFonts w:ascii="Book Antiqua" w:hAnsi="Book Antiqua"/>
          <w:sz w:val="24"/>
          <w:szCs w:val="24"/>
          <w:lang w:val="en-GB"/>
        </w:rPr>
        <w:fldChar w:fldCharType="separate"/>
      </w:r>
      <w:r w:rsidR="00315B8B" w:rsidRPr="00315B8B">
        <w:rPr>
          <w:rFonts w:ascii="Book Antiqua" w:hAnsi="Book Antiqua"/>
          <w:noProof/>
          <w:sz w:val="24"/>
          <w:szCs w:val="24"/>
          <w:vertAlign w:val="superscript"/>
          <w:lang w:val="en-GB"/>
        </w:rPr>
        <w:t>[12]</w:t>
      </w:r>
      <w:r w:rsidR="007D7ACC">
        <w:rPr>
          <w:rFonts w:ascii="Book Antiqua" w:hAnsi="Book Antiqua"/>
          <w:sz w:val="24"/>
          <w:szCs w:val="24"/>
          <w:lang w:val="en-GB"/>
        </w:rPr>
        <w:fldChar w:fldCharType="end"/>
      </w:r>
      <w:r>
        <w:rPr>
          <w:rFonts w:ascii="Book Antiqua" w:hAnsi="Book Antiqua"/>
          <w:sz w:val="24"/>
          <w:szCs w:val="24"/>
          <w:lang w:val="en-GB"/>
        </w:rPr>
        <w:t xml:space="preserve"> and Pareja </w:t>
      </w:r>
      <w:r w:rsidR="00E35182" w:rsidRPr="00E35182">
        <w:rPr>
          <w:rFonts w:ascii="Book Antiqua" w:hAnsi="Book Antiqua"/>
          <w:i/>
          <w:sz w:val="24"/>
          <w:szCs w:val="24"/>
          <w:lang w:val="en-GB"/>
        </w:rPr>
        <w:t>et al</w:t>
      </w:r>
      <w:r w:rsidR="007D7ACC">
        <w:rPr>
          <w:rFonts w:ascii="Book Antiqua" w:hAnsi="Book Antiqua"/>
          <w:sz w:val="24"/>
          <w:szCs w:val="24"/>
          <w:lang w:val="en-GB"/>
        </w:rPr>
        <w:fldChar w:fldCharType="begin" w:fldLock="1"/>
      </w:r>
      <w:r w:rsidR="00362C55">
        <w:rPr>
          <w:rFonts w:ascii="Book Antiqua" w:hAnsi="Book Antiqua"/>
          <w:sz w:val="24"/>
          <w:szCs w:val="24"/>
          <w:lang w:val="en-GB"/>
        </w:rPr>
        <w:instrText>ADDIN CSL_CITATION { "citationItems" : [ { "id" : "ITEM-1", "itemData" : { "DOI" : "10.1002/lt.23990", "ISSN" : "1527-6473", "PMID" : "25204890", "abstract" : "Early allograft dysfunction (EAD) dramatically influences graft and patient outcomes. A lack of consensus on an EAD definition hinders comparisons of liver transplant outcomes and management of recipients among and within centers. We sought to develop a model for the quantitative assessment of early allograft function [Model for Early Allograft Function Scoring (MEAF)] after transplantation. A retrospective study including 1026 consecutive liver transplants was performed for MEAF score development. Multivariate data analysis was used to select a small number of postoperative variables that adequately describe EAD. Then, the distribution of these variables was mathematically modeled to assign a score for each actual variable value. A model, based on easily obtainable clinical parameters (ie, alanine aminotransferase, international normalized ratio, and bilirubin) and scoring liver function from 0 to 10, was built. The MEAF score showed a significant association with patient and graft survival at 3-, 6- and 12-month follow-ups. Hepatic steatosis and age for donors; cold/warm ischemia times and postreperfusion syndrome for surgery; and intensive care unit and hospital stays, Model for End-Stage Liver Disease and Child-Pugh scores, body mass index, and fresh frozen plasma transfusions for recipients were factors associated significantly with EAD. The model was satisfactorily validated by its application to an independent set of 200 patients who underwent liver transplantation at a different center. In conclusion, a model for the quantitative assessment of EAD severity has been developed and validated for the first time. The MEAF provides a more accurate graft function assessment than current categorical classifications and may help clinicians to make early enough decisions on retransplantation benefits. Furthermore, the MEAF score is a predictor of recipient and graft survival. The standardization of the criteria used to define EAD may allow reliable comparisons of recipients' treatments and transplant outcomes among and within centers.", "author" : [ { "dropping-particle" : "", "family" : "Pareja", "given" : "Eugenia", "non-dropping-particle" : "", "parse-names" : false, "suffix" : "" }, { "dropping-particle" : "", "family" : "Cortes", "given" : "Miriam", "non-dropping-particle" : "", "parse-names" : false, "suffix" : "" }, { "dropping-particle" : "", "family" : "Herv\u00e1s", "given" : "David", "non-dropping-particle" : "", "parse-names" : false, "suffix" : "" }, { "dropping-particle" : "", "family" : "Mir", "given" : "Jos\u00e9", "non-dropping-particle" : "", "parse-names" : false, "suffix" : "" }, { "dropping-particle" : "", "family" : "Valdivieso", "given" : "Andr\u00e9s", "non-dropping-particle" : "", "parse-names" : false, "suffix" : "" }, { "dropping-particle" : "V", "family" : "Castell", "given" : "Jos\u00e9", "non-dropping-particle" : "", "parse-names" : false, "suffix" : "" }, { "dropping-particle" : "", "family" : "Lahoz", "given" : "Agust\u00edn", "non-dropping-particle" : "", "parse-names" : false, "suffix" : "" } ], "container-title" : "Liver transplantation : official publication of the American Association for the Study of Liver Diseases and the International Liver Transplantation Society", "id" : "ITEM-1", "issue" : "1", "issued" : { "date-parts" : [ [ "2015", "1" ] ] }, "page" : "38-46", "title" : "A score model for the continuous grading of early allograft dysfunction severity.", "type" : "article-journal", "volume" : "21" }, "uris" : [ "http://www.mendeley.com/documents/?uuid=c9faba98-7de5-4e2a-b7ba-ab4eb917c6af" ] } ], "mendeley" : { "formattedCitation" : "&lt;sup&gt;[106]&lt;/sup&gt;", "plainTextFormattedCitation" : "[106]", "previouslyFormattedCitation" : "&lt;sup&gt;[106]&lt;/sup&gt;" }, "properties" : { "noteIndex" : 0 }, "schema" : "https://github.com/citation-style-language/schema/raw/master/csl-citation.json" }</w:instrText>
      </w:r>
      <w:r w:rsidR="007D7ACC">
        <w:rPr>
          <w:rFonts w:ascii="Book Antiqua" w:hAnsi="Book Antiqua"/>
          <w:sz w:val="24"/>
          <w:szCs w:val="24"/>
          <w:lang w:val="en-GB"/>
        </w:rPr>
        <w:fldChar w:fldCharType="separate"/>
      </w:r>
      <w:r w:rsidR="00CD2CDC" w:rsidRPr="00CD2CDC">
        <w:rPr>
          <w:rFonts w:ascii="Book Antiqua" w:hAnsi="Book Antiqua"/>
          <w:noProof/>
          <w:sz w:val="24"/>
          <w:szCs w:val="24"/>
          <w:vertAlign w:val="superscript"/>
          <w:lang w:val="en-GB"/>
        </w:rPr>
        <w:t>[106]</w:t>
      </w:r>
      <w:r w:rsidR="007D7ACC">
        <w:rPr>
          <w:rFonts w:ascii="Book Antiqua" w:hAnsi="Book Antiqua"/>
          <w:sz w:val="24"/>
          <w:szCs w:val="24"/>
          <w:lang w:val="en-GB"/>
        </w:rPr>
        <w:fldChar w:fldCharType="end"/>
      </w:r>
      <w:r>
        <w:rPr>
          <w:rFonts w:ascii="Book Antiqua" w:hAnsi="Book Antiqua"/>
          <w:sz w:val="24"/>
          <w:szCs w:val="24"/>
          <w:lang w:val="en-GB"/>
        </w:rPr>
        <w:t>. The mentioned studies are</w:t>
      </w:r>
      <w:r w:rsidR="00BA1A58">
        <w:rPr>
          <w:rFonts w:ascii="Book Antiqua" w:hAnsi="Book Antiqua"/>
          <w:sz w:val="24"/>
          <w:szCs w:val="24"/>
          <w:lang w:val="en-GB"/>
        </w:rPr>
        <w:t xml:space="preserve"> </w:t>
      </w:r>
      <w:r>
        <w:rPr>
          <w:rFonts w:ascii="Book Antiqua" w:hAnsi="Book Antiqua"/>
          <w:sz w:val="24"/>
          <w:szCs w:val="24"/>
          <w:lang w:val="en-GB"/>
        </w:rPr>
        <w:t>cited in chronological order.</w:t>
      </w:r>
      <w:r w:rsidR="00C12E69">
        <w:rPr>
          <w:rFonts w:ascii="Book Antiqua" w:eastAsiaTheme="minorEastAsia" w:hAnsi="Book Antiqua" w:hint="eastAsia"/>
          <w:sz w:val="24"/>
          <w:szCs w:val="24"/>
          <w:lang w:val="en-GB" w:eastAsia="zh-CN"/>
        </w:rPr>
        <w:t xml:space="preserve"> </w:t>
      </w:r>
      <w:r w:rsidR="00C12E69">
        <w:rPr>
          <w:rFonts w:ascii="Book Antiqua" w:hAnsi="Book Antiqua"/>
          <w:sz w:val="24"/>
          <w:szCs w:val="24"/>
          <w:lang w:val="en-GB"/>
        </w:rPr>
        <w:t>ALT: Alanine – aminotransferase</w:t>
      </w:r>
      <w:r w:rsidR="00C12E69">
        <w:rPr>
          <w:rFonts w:ascii="Book Antiqua" w:eastAsiaTheme="minorEastAsia" w:hAnsi="Book Antiqua" w:hint="eastAsia"/>
          <w:sz w:val="24"/>
          <w:szCs w:val="24"/>
          <w:lang w:val="en-GB" w:eastAsia="zh-CN"/>
        </w:rPr>
        <w:t xml:space="preserve">; </w:t>
      </w:r>
      <w:r w:rsidR="00C12E69">
        <w:rPr>
          <w:rFonts w:ascii="Book Antiqua" w:hAnsi="Book Antiqua"/>
          <w:sz w:val="24"/>
          <w:szCs w:val="24"/>
          <w:lang w:val="en-GB"/>
        </w:rPr>
        <w:t>AST: Aspartate – aminotransferase</w:t>
      </w:r>
      <w:r w:rsidR="00C12E69">
        <w:rPr>
          <w:rFonts w:ascii="Book Antiqua" w:eastAsiaTheme="minorEastAsia" w:hAnsi="Book Antiqua" w:hint="eastAsia"/>
          <w:sz w:val="24"/>
          <w:szCs w:val="24"/>
          <w:lang w:val="en-GB" w:eastAsia="zh-CN"/>
        </w:rPr>
        <w:t>;</w:t>
      </w:r>
      <w:r w:rsidR="00C12E69">
        <w:rPr>
          <w:rFonts w:ascii="Book Antiqua" w:hAnsi="Book Antiqua"/>
          <w:sz w:val="24"/>
          <w:szCs w:val="24"/>
          <w:lang w:val="en-GB"/>
        </w:rPr>
        <w:t xml:space="preserve"> FFP: Fresh free plasma</w:t>
      </w:r>
      <w:r w:rsidR="00C12E69">
        <w:rPr>
          <w:rFonts w:ascii="Book Antiqua" w:eastAsiaTheme="minorEastAsia" w:hAnsi="Book Antiqua" w:hint="eastAsia"/>
          <w:sz w:val="24"/>
          <w:szCs w:val="24"/>
          <w:lang w:val="en-GB" w:eastAsia="zh-CN"/>
        </w:rPr>
        <w:t>;</w:t>
      </w:r>
      <w:r w:rsidR="00C12E69">
        <w:rPr>
          <w:rFonts w:ascii="Book Antiqua" w:hAnsi="Book Antiqua"/>
          <w:sz w:val="24"/>
          <w:szCs w:val="24"/>
          <w:lang w:val="en-GB"/>
        </w:rPr>
        <w:t xml:space="preserve"> GDH: Glutamate dehydrogenase</w:t>
      </w:r>
      <w:r w:rsidR="00C12E69">
        <w:rPr>
          <w:rFonts w:ascii="Book Antiqua" w:eastAsiaTheme="minorEastAsia" w:hAnsi="Book Antiqua" w:hint="eastAsia"/>
          <w:sz w:val="24"/>
          <w:szCs w:val="24"/>
          <w:lang w:val="en-GB" w:eastAsia="zh-CN"/>
        </w:rPr>
        <w:t>;</w:t>
      </w:r>
      <w:r w:rsidR="00C12E69">
        <w:rPr>
          <w:rFonts w:ascii="Book Antiqua" w:hAnsi="Book Antiqua"/>
          <w:sz w:val="24"/>
          <w:szCs w:val="24"/>
          <w:lang w:val="en-GB"/>
        </w:rPr>
        <w:t xml:space="preserve"> INR: International normalised ratio</w:t>
      </w:r>
      <w:r w:rsidR="00C12E69">
        <w:rPr>
          <w:rFonts w:ascii="Book Antiqua" w:eastAsiaTheme="minorEastAsia" w:hAnsi="Book Antiqua" w:hint="eastAsia"/>
          <w:sz w:val="24"/>
          <w:szCs w:val="24"/>
          <w:lang w:val="en-GB" w:eastAsia="zh-CN"/>
        </w:rPr>
        <w:t>;</w:t>
      </w:r>
      <w:r w:rsidR="00C12E69">
        <w:rPr>
          <w:rFonts w:ascii="Book Antiqua" w:hAnsi="Book Antiqua"/>
          <w:sz w:val="24"/>
          <w:szCs w:val="24"/>
          <w:lang w:val="en-GB"/>
        </w:rPr>
        <w:t xml:space="preserve"> LiMax: Liver maximal function Capacity</w:t>
      </w:r>
      <w:r w:rsidR="00C12E69">
        <w:rPr>
          <w:rFonts w:ascii="Book Antiqua" w:eastAsiaTheme="minorEastAsia" w:hAnsi="Book Antiqua" w:hint="eastAsia"/>
          <w:sz w:val="24"/>
          <w:szCs w:val="24"/>
          <w:lang w:val="en-GB" w:eastAsia="zh-CN"/>
        </w:rPr>
        <w:t>;</w:t>
      </w:r>
      <w:r w:rsidR="00C12E69">
        <w:rPr>
          <w:rFonts w:ascii="Book Antiqua" w:hAnsi="Book Antiqua"/>
          <w:sz w:val="24"/>
          <w:szCs w:val="24"/>
          <w:lang w:val="en-GB"/>
        </w:rPr>
        <w:t xml:space="preserve"> POD: </w:t>
      </w:r>
      <w:r w:rsidR="00C12E69" w:rsidRPr="00C12E69">
        <w:rPr>
          <w:rFonts w:ascii="Book Antiqua" w:hAnsi="Book Antiqua"/>
          <w:caps/>
          <w:sz w:val="24"/>
          <w:szCs w:val="24"/>
          <w:lang w:val="en-GB"/>
        </w:rPr>
        <w:t>p</w:t>
      </w:r>
      <w:r w:rsidR="00C12E69">
        <w:rPr>
          <w:rFonts w:ascii="Book Antiqua" w:hAnsi="Book Antiqua"/>
          <w:sz w:val="24"/>
          <w:szCs w:val="24"/>
          <w:lang w:val="en-GB"/>
        </w:rPr>
        <w:t>ostoperative day</w:t>
      </w:r>
      <w:r w:rsidR="00C12E69">
        <w:rPr>
          <w:rFonts w:ascii="Book Antiqua" w:eastAsiaTheme="minorEastAsia" w:hAnsi="Book Antiqua" w:hint="eastAsia"/>
          <w:sz w:val="24"/>
          <w:szCs w:val="24"/>
          <w:lang w:val="en-GB" w:eastAsia="zh-CN"/>
        </w:rPr>
        <w:t>;</w:t>
      </w:r>
      <w:r w:rsidR="00C12E69">
        <w:rPr>
          <w:rFonts w:ascii="Book Antiqua" w:hAnsi="Book Antiqua"/>
          <w:sz w:val="24"/>
          <w:szCs w:val="24"/>
          <w:lang w:val="en-GB"/>
        </w:rPr>
        <w:t xml:space="preserve"> PT: Prothrombin time.</w:t>
      </w:r>
    </w:p>
    <w:p w14:paraId="6D13DC02" w14:textId="6E724C61" w:rsidR="00C12E69" w:rsidRPr="00C12E69" w:rsidRDefault="00C12E69" w:rsidP="00422EBA">
      <w:pPr>
        <w:adjustRightInd w:val="0"/>
        <w:snapToGrid w:val="0"/>
        <w:spacing w:after="0" w:line="360" w:lineRule="auto"/>
        <w:jc w:val="both"/>
        <w:rPr>
          <w:rFonts w:ascii="Book Antiqua" w:eastAsiaTheme="minorEastAsia" w:hAnsi="Book Antiqua"/>
          <w:sz w:val="24"/>
          <w:szCs w:val="24"/>
          <w:lang w:eastAsia="zh-CN"/>
        </w:rPr>
      </w:pPr>
    </w:p>
    <w:p w14:paraId="56BEBD55" w14:textId="77777777" w:rsidR="00C12E69" w:rsidRDefault="00C12E69" w:rsidP="00422EBA">
      <w:pPr>
        <w:adjustRightInd w:val="0"/>
        <w:snapToGrid w:val="0"/>
        <w:spacing w:after="0" w:line="360" w:lineRule="auto"/>
        <w:jc w:val="both"/>
        <w:rPr>
          <w:rFonts w:ascii="Book Antiqua" w:eastAsiaTheme="minorEastAsia" w:hAnsi="Book Antiqua"/>
          <w:sz w:val="24"/>
          <w:szCs w:val="24"/>
          <w:lang w:val="en-GB" w:eastAsia="zh-CN"/>
        </w:rPr>
      </w:pPr>
    </w:p>
    <w:p w14:paraId="7EA2925B" w14:textId="2DEC211A" w:rsidR="00A50A84" w:rsidRDefault="00B122DF" w:rsidP="00422EBA">
      <w:pPr>
        <w:adjustRightInd w:val="0"/>
        <w:snapToGrid w:val="0"/>
        <w:spacing w:after="0" w:line="360" w:lineRule="auto"/>
        <w:jc w:val="both"/>
        <w:rPr>
          <w:lang w:val="en-US"/>
        </w:rPr>
      </w:pPr>
      <w:r w:rsidRPr="007A5042">
        <w:rPr>
          <w:lang w:val="en-US"/>
        </w:rPr>
        <w:br w:type="page"/>
      </w:r>
    </w:p>
    <w:p w14:paraId="4B28634F" w14:textId="17B33BD3" w:rsidR="00B122DF" w:rsidRPr="00E870BA" w:rsidRDefault="00B122DF" w:rsidP="00422EBA">
      <w:pPr>
        <w:adjustRightInd w:val="0"/>
        <w:snapToGrid w:val="0"/>
        <w:spacing w:after="0" w:line="360" w:lineRule="auto"/>
        <w:jc w:val="both"/>
        <w:rPr>
          <w:rFonts w:ascii="Book Antiqua" w:eastAsiaTheme="minorEastAsia" w:hAnsi="Book Antiqua"/>
          <w:sz w:val="24"/>
          <w:szCs w:val="24"/>
          <w:lang w:val="en-GB" w:eastAsia="zh-CN"/>
        </w:rPr>
      </w:pPr>
      <w:r>
        <w:rPr>
          <w:rFonts w:ascii="Book Antiqua" w:hAnsi="Book Antiqua"/>
          <w:b/>
          <w:sz w:val="24"/>
          <w:szCs w:val="24"/>
          <w:lang w:val="en-GB"/>
        </w:rPr>
        <w:lastRenderedPageBreak/>
        <w:t xml:space="preserve">Table </w:t>
      </w:r>
      <w:r w:rsidR="00DF3889">
        <w:rPr>
          <w:rFonts w:ascii="Book Antiqua" w:hAnsi="Book Antiqua"/>
          <w:b/>
          <w:sz w:val="24"/>
          <w:szCs w:val="24"/>
          <w:lang w:val="en-GB"/>
        </w:rPr>
        <w:t>2</w:t>
      </w:r>
      <w:r w:rsidRPr="00403E8B">
        <w:rPr>
          <w:rFonts w:ascii="Book Antiqua" w:hAnsi="Book Antiqua"/>
          <w:b/>
          <w:sz w:val="24"/>
          <w:szCs w:val="24"/>
          <w:lang w:val="en-GB"/>
        </w:rPr>
        <w:t xml:space="preserve"> </w:t>
      </w:r>
      <w:r w:rsidRPr="00BC4381">
        <w:rPr>
          <w:rFonts w:ascii="Book Antiqua" w:hAnsi="Book Antiqua"/>
          <w:b/>
          <w:caps/>
          <w:sz w:val="24"/>
          <w:szCs w:val="24"/>
          <w:lang w:val="en-GB"/>
        </w:rPr>
        <w:t>o</w:t>
      </w:r>
      <w:r w:rsidRPr="00F26BF6">
        <w:rPr>
          <w:rFonts w:ascii="Book Antiqua" w:hAnsi="Book Antiqua"/>
          <w:b/>
          <w:sz w:val="24"/>
          <w:szCs w:val="24"/>
          <w:lang w:val="en-GB"/>
        </w:rPr>
        <w:t>verview</w:t>
      </w:r>
      <w:r w:rsidR="00403E8B" w:rsidRPr="00F26BF6">
        <w:rPr>
          <w:rFonts w:ascii="Book Antiqua" w:hAnsi="Book Antiqua"/>
          <w:b/>
          <w:sz w:val="24"/>
          <w:szCs w:val="24"/>
          <w:lang w:val="en-GB"/>
        </w:rPr>
        <w:t xml:space="preserve"> of the</w:t>
      </w:r>
      <w:r w:rsidR="00403E8B">
        <w:rPr>
          <w:rFonts w:ascii="Book Antiqua" w:hAnsi="Book Antiqua"/>
          <w:b/>
          <w:sz w:val="24"/>
          <w:szCs w:val="24"/>
          <w:lang w:val="en-GB"/>
        </w:rPr>
        <w:t xml:space="preserve"> </w:t>
      </w:r>
      <w:r w:rsidR="00403E8B" w:rsidRPr="00F26BF6">
        <w:rPr>
          <w:rFonts w:ascii="Book Antiqua" w:hAnsi="Book Antiqua"/>
          <w:b/>
          <w:sz w:val="24"/>
          <w:szCs w:val="24"/>
          <w:lang w:val="en-GB"/>
        </w:rPr>
        <w:t xml:space="preserve">studies </w:t>
      </w:r>
      <w:r w:rsidR="00403E8B">
        <w:rPr>
          <w:rFonts w:ascii="Book Antiqua" w:hAnsi="Book Antiqua"/>
          <w:b/>
          <w:sz w:val="24"/>
          <w:szCs w:val="24"/>
          <w:lang w:val="en-GB"/>
        </w:rPr>
        <w:t xml:space="preserve">applying the mentioned techniques specifically about </w:t>
      </w:r>
      <w:r w:rsidR="00E870BA" w:rsidRPr="00E870BA">
        <w:rPr>
          <w:rFonts w:ascii="Book Antiqua" w:hAnsi="Book Antiqua"/>
          <w:b/>
          <w:sz w:val="24"/>
          <w:szCs w:val="24"/>
          <w:lang w:val="en-GB"/>
        </w:rPr>
        <w:t>liver t</w:t>
      </w:r>
      <w:r w:rsidR="00E870BA">
        <w:rPr>
          <w:rFonts w:ascii="Book Antiqua" w:hAnsi="Book Antiqua"/>
          <w:b/>
          <w:sz w:val="24"/>
          <w:szCs w:val="24"/>
          <w:lang w:val="en-GB"/>
        </w:rPr>
        <w:t>ransplant</w:t>
      </w:r>
    </w:p>
    <w:tbl>
      <w:tblPr>
        <w:tblW w:w="14453" w:type="dxa"/>
        <w:tblInd w:w="53" w:type="dxa"/>
        <w:tblBorders>
          <w:top w:val="single" w:sz="4" w:space="0" w:color="auto"/>
          <w:bottom w:val="single" w:sz="4" w:space="0" w:color="auto"/>
        </w:tblBorders>
        <w:tblCellMar>
          <w:top w:w="55" w:type="dxa"/>
          <w:left w:w="51" w:type="dxa"/>
          <w:bottom w:w="55" w:type="dxa"/>
          <w:right w:w="55" w:type="dxa"/>
        </w:tblCellMar>
        <w:tblLook w:val="04A0" w:firstRow="1" w:lastRow="0" w:firstColumn="1" w:lastColumn="0" w:noHBand="0" w:noVBand="1"/>
      </w:tblPr>
      <w:tblGrid>
        <w:gridCol w:w="1589"/>
        <w:gridCol w:w="1397"/>
        <w:gridCol w:w="518"/>
        <w:gridCol w:w="1827"/>
        <w:gridCol w:w="1195"/>
        <w:gridCol w:w="888"/>
        <w:gridCol w:w="1654"/>
        <w:gridCol w:w="1369"/>
        <w:gridCol w:w="1106"/>
        <w:gridCol w:w="1103"/>
        <w:gridCol w:w="917"/>
        <w:gridCol w:w="890"/>
      </w:tblGrid>
      <w:tr w:rsidR="00F26BF6" w:rsidRPr="001D36E2" w14:paraId="45999C96" w14:textId="77777777" w:rsidTr="001D36E2">
        <w:trPr>
          <w:trHeight w:val="430"/>
        </w:trPr>
        <w:tc>
          <w:tcPr>
            <w:tcW w:w="1589" w:type="dxa"/>
            <w:tcBorders>
              <w:top w:val="single" w:sz="4" w:space="0" w:color="auto"/>
              <w:bottom w:val="single" w:sz="4" w:space="0" w:color="auto"/>
            </w:tcBorders>
            <w:shd w:val="clear" w:color="auto" w:fill="auto"/>
            <w:tcMar>
              <w:left w:w="51" w:type="dxa"/>
            </w:tcMar>
          </w:tcPr>
          <w:p w14:paraId="6776B3E6" w14:textId="029F87EE" w:rsidR="00B122DF" w:rsidRPr="001D36E2" w:rsidRDefault="007050A2" w:rsidP="00422EBA">
            <w:pPr>
              <w:pStyle w:val="Contenutotabella"/>
              <w:adjustRightInd w:val="0"/>
              <w:snapToGrid w:val="0"/>
              <w:spacing w:after="0" w:line="360" w:lineRule="auto"/>
              <w:jc w:val="both"/>
              <w:rPr>
                <w:rFonts w:ascii="Book Antiqua" w:hAnsi="Book Antiqua"/>
                <w:b/>
                <w:sz w:val="16"/>
                <w:szCs w:val="16"/>
                <w:lang w:val="en-GB"/>
              </w:rPr>
            </w:pPr>
            <w:r w:rsidRPr="001D36E2">
              <w:rPr>
                <w:rFonts w:ascii="Book Antiqua" w:hAnsi="Book Antiqua"/>
                <w:b/>
                <w:sz w:val="16"/>
                <w:szCs w:val="16"/>
                <w:lang w:val="en-GB"/>
              </w:rPr>
              <w:t>Technique</w:t>
            </w:r>
          </w:p>
        </w:tc>
        <w:tc>
          <w:tcPr>
            <w:tcW w:w="1397" w:type="dxa"/>
            <w:tcBorders>
              <w:top w:val="single" w:sz="4" w:space="0" w:color="auto"/>
              <w:bottom w:val="single" w:sz="4" w:space="0" w:color="auto"/>
            </w:tcBorders>
            <w:shd w:val="clear" w:color="auto" w:fill="auto"/>
            <w:tcMar>
              <w:left w:w="51" w:type="dxa"/>
            </w:tcMar>
          </w:tcPr>
          <w:p w14:paraId="4FE07577" w14:textId="77777777" w:rsidR="00B122DF" w:rsidRPr="001D36E2" w:rsidRDefault="00B122DF" w:rsidP="00422EBA">
            <w:pPr>
              <w:pStyle w:val="Contenutotabella"/>
              <w:adjustRightInd w:val="0"/>
              <w:snapToGrid w:val="0"/>
              <w:spacing w:after="0" w:line="360" w:lineRule="auto"/>
              <w:jc w:val="both"/>
              <w:rPr>
                <w:rFonts w:ascii="Book Antiqua" w:hAnsi="Book Antiqua"/>
                <w:b/>
                <w:sz w:val="16"/>
                <w:szCs w:val="16"/>
                <w:lang w:val="en-GB"/>
              </w:rPr>
            </w:pPr>
            <w:r w:rsidRPr="001D36E2">
              <w:rPr>
                <w:rFonts w:ascii="Book Antiqua" w:hAnsi="Book Antiqua"/>
                <w:b/>
                <w:sz w:val="16"/>
                <w:szCs w:val="16"/>
                <w:lang w:val="en-GB"/>
              </w:rPr>
              <w:t>Study</w:t>
            </w:r>
          </w:p>
        </w:tc>
        <w:tc>
          <w:tcPr>
            <w:tcW w:w="518" w:type="dxa"/>
            <w:tcBorders>
              <w:top w:val="single" w:sz="4" w:space="0" w:color="auto"/>
              <w:bottom w:val="single" w:sz="4" w:space="0" w:color="auto"/>
            </w:tcBorders>
            <w:shd w:val="clear" w:color="auto" w:fill="auto"/>
            <w:tcMar>
              <w:left w:w="51" w:type="dxa"/>
            </w:tcMar>
          </w:tcPr>
          <w:p w14:paraId="71073A2F" w14:textId="77777777" w:rsidR="00B122DF" w:rsidRPr="001D36E2" w:rsidRDefault="00B122DF" w:rsidP="00422EBA">
            <w:pPr>
              <w:pStyle w:val="Contenutotabella"/>
              <w:adjustRightInd w:val="0"/>
              <w:snapToGrid w:val="0"/>
              <w:spacing w:after="0" w:line="360" w:lineRule="auto"/>
              <w:jc w:val="both"/>
              <w:rPr>
                <w:rFonts w:ascii="Book Antiqua" w:hAnsi="Book Antiqua"/>
                <w:b/>
                <w:sz w:val="16"/>
                <w:szCs w:val="16"/>
                <w:lang w:val="en-GB"/>
              </w:rPr>
            </w:pPr>
            <w:r w:rsidRPr="001D36E2">
              <w:rPr>
                <w:rFonts w:ascii="Book Antiqua" w:hAnsi="Book Antiqua"/>
                <w:b/>
                <w:sz w:val="16"/>
                <w:szCs w:val="16"/>
                <w:lang w:val="en-GB"/>
              </w:rPr>
              <w:t>Type (P/R)</w:t>
            </w:r>
          </w:p>
        </w:tc>
        <w:tc>
          <w:tcPr>
            <w:tcW w:w="1827" w:type="dxa"/>
            <w:tcBorders>
              <w:top w:val="single" w:sz="4" w:space="0" w:color="auto"/>
              <w:bottom w:val="single" w:sz="4" w:space="0" w:color="auto"/>
            </w:tcBorders>
            <w:shd w:val="clear" w:color="auto" w:fill="auto"/>
            <w:tcMar>
              <w:left w:w="51" w:type="dxa"/>
            </w:tcMar>
          </w:tcPr>
          <w:p w14:paraId="3D5002C1" w14:textId="77777777" w:rsidR="00B122DF" w:rsidRPr="001D36E2" w:rsidRDefault="00B122DF" w:rsidP="00422EBA">
            <w:pPr>
              <w:pStyle w:val="Contenutotabella"/>
              <w:adjustRightInd w:val="0"/>
              <w:snapToGrid w:val="0"/>
              <w:spacing w:after="0" w:line="360" w:lineRule="auto"/>
              <w:jc w:val="both"/>
              <w:rPr>
                <w:rFonts w:ascii="Book Antiqua" w:hAnsi="Book Antiqua"/>
                <w:b/>
                <w:sz w:val="16"/>
                <w:szCs w:val="16"/>
                <w:lang w:val="en-GB"/>
              </w:rPr>
            </w:pPr>
            <w:r w:rsidRPr="001D36E2">
              <w:rPr>
                <w:rFonts w:ascii="Book Antiqua" w:hAnsi="Book Antiqua"/>
                <w:b/>
                <w:sz w:val="16"/>
                <w:szCs w:val="16"/>
                <w:lang w:val="en-GB"/>
              </w:rPr>
              <w:t>Primary end-point:</w:t>
            </w:r>
          </w:p>
        </w:tc>
        <w:tc>
          <w:tcPr>
            <w:tcW w:w="1195" w:type="dxa"/>
            <w:tcBorders>
              <w:top w:val="single" w:sz="4" w:space="0" w:color="auto"/>
              <w:bottom w:val="single" w:sz="4" w:space="0" w:color="auto"/>
            </w:tcBorders>
            <w:shd w:val="clear" w:color="auto" w:fill="auto"/>
            <w:tcMar>
              <w:left w:w="51" w:type="dxa"/>
            </w:tcMar>
          </w:tcPr>
          <w:p w14:paraId="41866C52" w14:textId="77777777" w:rsidR="00B122DF" w:rsidRPr="001D36E2" w:rsidRDefault="00B122DF" w:rsidP="00422EBA">
            <w:pPr>
              <w:pStyle w:val="Contenutotabella"/>
              <w:adjustRightInd w:val="0"/>
              <w:snapToGrid w:val="0"/>
              <w:spacing w:after="0" w:line="360" w:lineRule="auto"/>
              <w:jc w:val="both"/>
              <w:rPr>
                <w:rFonts w:ascii="Book Antiqua" w:hAnsi="Book Antiqua"/>
                <w:b/>
                <w:sz w:val="16"/>
                <w:szCs w:val="16"/>
                <w:lang w:val="en-GB"/>
              </w:rPr>
            </w:pPr>
            <w:r w:rsidRPr="001D36E2">
              <w:rPr>
                <w:rFonts w:ascii="Book Antiqua" w:hAnsi="Book Antiqua"/>
                <w:b/>
                <w:sz w:val="16"/>
                <w:szCs w:val="16"/>
                <w:lang w:val="en-GB"/>
              </w:rPr>
              <w:t>Sample</w:t>
            </w:r>
          </w:p>
        </w:tc>
        <w:tc>
          <w:tcPr>
            <w:tcW w:w="888" w:type="dxa"/>
            <w:tcBorders>
              <w:top w:val="single" w:sz="4" w:space="0" w:color="auto"/>
              <w:bottom w:val="single" w:sz="4" w:space="0" w:color="auto"/>
            </w:tcBorders>
            <w:shd w:val="clear" w:color="auto" w:fill="auto"/>
            <w:tcMar>
              <w:left w:w="51" w:type="dxa"/>
            </w:tcMar>
          </w:tcPr>
          <w:p w14:paraId="5CF66732" w14:textId="77777777" w:rsidR="00B122DF" w:rsidRPr="001D36E2" w:rsidRDefault="00B122DF" w:rsidP="00422EBA">
            <w:pPr>
              <w:pStyle w:val="Contenutotabella"/>
              <w:adjustRightInd w:val="0"/>
              <w:snapToGrid w:val="0"/>
              <w:spacing w:after="0" w:line="360" w:lineRule="auto"/>
              <w:jc w:val="both"/>
              <w:rPr>
                <w:rFonts w:ascii="Book Antiqua" w:hAnsi="Book Antiqua"/>
                <w:b/>
                <w:sz w:val="16"/>
                <w:szCs w:val="16"/>
                <w:lang w:val="en-GB"/>
              </w:rPr>
            </w:pPr>
            <w:r w:rsidRPr="001D36E2">
              <w:rPr>
                <w:rFonts w:ascii="Book Antiqua" w:hAnsi="Book Antiqua"/>
                <w:b/>
                <w:sz w:val="16"/>
                <w:szCs w:val="16"/>
                <w:lang w:val="en-GB"/>
              </w:rPr>
              <w:t>POD</w:t>
            </w:r>
          </w:p>
        </w:tc>
        <w:tc>
          <w:tcPr>
            <w:tcW w:w="1654" w:type="dxa"/>
            <w:tcBorders>
              <w:top w:val="single" w:sz="4" w:space="0" w:color="auto"/>
              <w:bottom w:val="single" w:sz="4" w:space="0" w:color="auto"/>
            </w:tcBorders>
            <w:shd w:val="clear" w:color="auto" w:fill="auto"/>
            <w:tcMar>
              <w:left w:w="51" w:type="dxa"/>
            </w:tcMar>
          </w:tcPr>
          <w:p w14:paraId="73E1C818" w14:textId="77777777" w:rsidR="00B122DF" w:rsidRPr="001D36E2" w:rsidRDefault="00B122DF" w:rsidP="00422EBA">
            <w:pPr>
              <w:pStyle w:val="Contenutotabella"/>
              <w:adjustRightInd w:val="0"/>
              <w:snapToGrid w:val="0"/>
              <w:spacing w:after="0" w:line="360" w:lineRule="auto"/>
              <w:jc w:val="both"/>
              <w:rPr>
                <w:rFonts w:ascii="Book Antiqua" w:hAnsi="Book Antiqua"/>
                <w:b/>
                <w:sz w:val="16"/>
                <w:szCs w:val="16"/>
                <w:lang w:val="en-GB"/>
              </w:rPr>
            </w:pPr>
            <w:r w:rsidRPr="001D36E2">
              <w:rPr>
                <w:rFonts w:ascii="Book Antiqua" w:hAnsi="Book Antiqua"/>
                <w:b/>
                <w:sz w:val="16"/>
                <w:szCs w:val="16"/>
                <w:lang w:val="en-GB"/>
              </w:rPr>
              <w:t>Cut-off value:</w:t>
            </w:r>
          </w:p>
        </w:tc>
        <w:tc>
          <w:tcPr>
            <w:tcW w:w="1369" w:type="dxa"/>
            <w:tcBorders>
              <w:top w:val="single" w:sz="4" w:space="0" w:color="auto"/>
              <w:bottom w:val="single" w:sz="4" w:space="0" w:color="auto"/>
            </w:tcBorders>
            <w:shd w:val="clear" w:color="auto" w:fill="auto"/>
            <w:tcMar>
              <w:left w:w="51" w:type="dxa"/>
            </w:tcMar>
          </w:tcPr>
          <w:p w14:paraId="37C6463E" w14:textId="77777777" w:rsidR="00B122DF" w:rsidRPr="001D36E2" w:rsidRDefault="00B122DF" w:rsidP="00422EBA">
            <w:pPr>
              <w:pStyle w:val="Contenutotabella"/>
              <w:adjustRightInd w:val="0"/>
              <w:snapToGrid w:val="0"/>
              <w:spacing w:after="0" w:line="360" w:lineRule="auto"/>
              <w:jc w:val="both"/>
              <w:rPr>
                <w:rFonts w:ascii="Book Antiqua" w:hAnsi="Book Antiqua"/>
                <w:b/>
                <w:sz w:val="16"/>
                <w:szCs w:val="16"/>
                <w:lang w:val="en-GB"/>
              </w:rPr>
            </w:pPr>
            <w:r w:rsidRPr="001D36E2">
              <w:rPr>
                <w:rFonts w:ascii="Book Antiqua" w:hAnsi="Book Antiqua"/>
                <w:b/>
                <w:sz w:val="16"/>
                <w:szCs w:val="16"/>
                <w:lang w:val="en-GB"/>
              </w:rPr>
              <w:t>AUROC (95%CI)</w:t>
            </w:r>
          </w:p>
        </w:tc>
        <w:tc>
          <w:tcPr>
            <w:tcW w:w="1106" w:type="dxa"/>
            <w:tcBorders>
              <w:top w:val="single" w:sz="4" w:space="0" w:color="auto"/>
              <w:bottom w:val="single" w:sz="4" w:space="0" w:color="auto"/>
            </w:tcBorders>
            <w:shd w:val="clear" w:color="auto" w:fill="auto"/>
            <w:tcMar>
              <w:left w:w="51" w:type="dxa"/>
            </w:tcMar>
          </w:tcPr>
          <w:p w14:paraId="4C818660" w14:textId="77777777" w:rsidR="00B122DF" w:rsidRPr="001D36E2" w:rsidRDefault="00B122DF" w:rsidP="00422EBA">
            <w:pPr>
              <w:pStyle w:val="Contenutotabella"/>
              <w:adjustRightInd w:val="0"/>
              <w:snapToGrid w:val="0"/>
              <w:spacing w:after="0" w:line="360" w:lineRule="auto"/>
              <w:jc w:val="both"/>
              <w:rPr>
                <w:rFonts w:ascii="Book Antiqua" w:hAnsi="Book Antiqua"/>
                <w:b/>
                <w:sz w:val="16"/>
                <w:szCs w:val="16"/>
                <w:lang w:val="en-GB"/>
              </w:rPr>
            </w:pPr>
            <w:r w:rsidRPr="001D36E2">
              <w:rPr>
                <w:rFonts w:ascii="Book Antiqua" w:hAnsi="Book Antiqua"/>
                <w:b/>
                <w:sz w:val="16"/>
                <w:szCs w:val="16"/>
                <w:lang w:val="en-GB"/>
              </w:rPr>
              <w:t>Sensitivity (%)</w:t>
            </w:r>
          </w:p>
        </w:tc>
        <w:tc>
          <w:tcPr>
            <w:tcW w:w="1103" w:type="dxa"/>
            <w:tcBorders>
              <w:top w:val="single" w:sz="4" w:space="0" w:color="auto"/>
              <w:bottom w:val="single" w:sz="4" w:space="0" w:color="auto"/>
            </w:tcBorders>
            <w:shd w:val="clear" w:color="auto" w:fill="auto"/>
            <w:tcMar>
              <w:left w:w="51" w:type="dxa"/>
            </w:tcMar>
          </w:tcPr>
          <w:p w14:paraId="200CE027" w14:textId="77777777" w:rsidR="00B122DF" w:rsidRPr="001D36E2" w:rsidRDefault="00B122DF" w:rsidP="00422EBA">
            <w:pPr>
              <w:pStyle w:val="Contenutotabella"/>
              <w:adjustRightInd w:val="0"/>
              <w:snapToGrid w:val="0"/>
              <w:spacing w:after="0" w:line="360" w:lineRule="auto"/>
              <w:jc w:val="both"/>
              <w:rPr>
                <w:rFonts w:ascii="Book Antiqua" w:hAnsi="Book Antiqua"/>
                <w:b/>
                <w:sz w:val="16"/>
                <w:szCs w:val="16"/>
                <w:lang w:val="en-GB"/>
              </w:rPr>
            </w:pPr>
            <w:r w:rsidRPr="001D36E2">
              <w:rPr>
                <w:rFonts w:ascii="Book Antiqua" w:hAnsi="Book Antiqua"/>
                <w:b/>
                <w:sz w:val="16"/>
                <w:szCs w:val="16"/>
                <w:lang w:val="en-GB"/>
              </w:rPr>
              <w:t>Specificity (%)</w:t>
            </w:r>
          </w:p>
        </w:tc>
        <w:tc>
          <w:tcPr>
            <w:tcW w:w="917" w:type="dxa"/>
            <w:tcBorders>
              <w:top w:val="single" w:sz="4" w:space="0" w:color="auto"/>
              <w:bottom w:val="single" w:sz="4" w:space="0" w:color="auto"/>
            </w:tcBorders>
            <w:shd w:val="clear" w:color="auto" w:fill="auto"/>
            <w:tcMar>
              <w:left w:w="51" w:type="dxa"/>
            </w:tcMar>
          </w:tcPr>
          <w:p w14:paraId="28FFF264" w14:textId="77777777" w:rsidR="00B122DF" w:rsidRPr="001D36E2" w:rsidRDefault="00B122DF" w:rsidP="00422EBA">
            <w:pPr>
              <w:pStyle w:val="Contenutotabella"/>
              <w:adjustRightInd w:val="0"/>
              <w:snapToGrid w:val="0"/>
              <w:spacing w:after="0" w:line="360" w:lineRule="auto"/>
              <w:jc w:val="both"/>
              <w:rPr>
                <w:rFonts w:ascii="Book Antiqua" w:hAnsi="Book Antiqua"/>
                <w:b/>
                <w:sz w:val="16"/>
                <w:szCs w:val="16"/>
                <w:lang w:val="en-GB"/>
              </w:rPr>
            </w:pPr>
            <w:r w:rsidRPr="001D36E2">
              <w:rPr>
                <w:rFonts w:ascii="Book Antiqua" w:hAnsi="Book Antiqua"/>
                <w:b/>
                <w:sz w:val="16"/>
                <w:szCs w:val="16"/>
                <w:lang w:val="en-GB"/>
              </w:rPr>
              <w:t>PPV (%)</w:t>
            </w:r>
          </w:p>
        </w:tc>
        <w:tc>
          <w:tcPr>
            <w:tcW w:w="890" w:type="dxa"/>
            <w:tcBorders>
              <w:top w:val="single" w:sz="4" w:space="0" w:color="auto"/>
              <w:bottom w:val="single" w:sz="4" w:space="0" w:color="auto"/>
            </w:tcBorders>
            <w:shd w:val="clear" w:color="auto" w:fill="auto"/>
            <w:tcMar>
              <w:left w:w="51" w:type="dxa"/>
            </w:tcMar>
          </w:tcPr>
          <w:p w14:paraId="7E029EF8" w14:textId="77777777" w:rsidR="00B122DF" w:rsidRPr="001D36E2" w:rsidRDefault="00B122DF" w:rsidP="00422EBA">
            <w:pPr>
              <w:pStyle w:val="Contenutotabella"/>
              <w:adjustRightInd w:val="0"/>
              <w:snapToGrid w:val="0"/>
              <w:spacing w:after="0" w:line="360" w:lineRule="auto"/>
              <w:jc w:val="both"/>
              <w:rPr>
                <w:rFonts w:ascii="Book Antiqua" w:hAnsi="Book Antiqua"/>
                <w:b/>
                <w:sz w:val="16"/>
                <w:szCs w:val="16"/>
                <w:lang w:val="en-GB"/>
              </w:rPr>
            </w:pPr>
            <w:r w:rsidRPr="001D36E2">
              <w:rPr>
                <w:rFonts w:ascii="Book Antiqua" w:hAnsi="Book Antiqua"/>
                <w:b/>
                <w:sz w:val="16"/>
                <w:szCs w:val="16"/>
                <w:lang w:val="en-GB"/>
              </w:rPr>
              <w:t>NPV (%)</w:t>
            </w:r>
          </w:p>
        </w:tc>
      </w:tr>
      <w:tr w:rsidR="007050A2" w:rsidRPr="0029102E" w14:paraId="4DE986BA" w14:textId="77777777" w:rsidTr="001D36E2">
        <w:trPr>
          <w:trHeight w:val="736"/>
        </w:trPr>
        <w:tc>
          <w:tcPr>
            <w:tcW w:w="1589" w:type="dxa"/>
            <w:vMerge w:val="restart"/>
            <w:tcBorders>
              <w:top w:val="single" w:sz="4" w:space="0" w:color="auto"/>
            </w:tcBorders>
            <w:shd w:val="clear" w:color="auto" w:fill="auto"/>
            <w:tcMar>
              <w:left w:w="51" w:type="dxa"/>
            </w:tcMar>
            <w:vAlign w:val="center"/>
          </w:tcPr>
          <w:p w14:paraId="3118F026" w14:textId="77777777" w:rsidR="007050A2" w:rsidRDefault="007050A2"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ICG-PDR</w:t>
            </w:r>
          </w:p>
        </w:tc>
        <w:tc>
          <w:tcPr>
            <w:tcW w:w="1397" w:type="dxa"/>
            <w:tcBorders>
              <w:top w:val="single" w:sz="4" w:space="0" w:color="auto"/>
            </w:tcBorders>
            <w:shd w:val="clear" w:color="auto" w:fill="auto"/>
            <w:tcMar>
              <w:left w:w="51" w:type="dxa"/>
            </w:tcMar>
          </w:tcPr>
          <w:p w14:paraId="34B6383B" w14:textId="1BC180E3" w:rsidR="007050A2" w:rsidRDefault="007050A2"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 xml:space="preserve">Olmedilla </w:t>
            </w:r>
            <w:r w:rsidR="00E35182" w:rsidRPr="00E35182">
              <w:rPr>
                <w:rFonts w:ascii="Book Antiqua" w:hAnsi="Book Antiqua"/>
                <w:i/>
                <w:sz w:val="16"/>
                <w:szCs w:val="16"/>
                <w:lang w:val="en-GB"/>
              </w:rPr>
              <w:t>et al</w:t>
            </w:r>
            <w:r>
              <w:rPr>
                <w:rFonts w:ascii="Book Antiqua" w:hAnsi="Book Antiqua"/>
                <w:sz w:val="16"/>
                <w:szCs w:val="16"/>
                <w:lang w:val="en-GB"/>
              </w:rPr>
              <w:fldChar w:fldCharType="begin" w:fldLock="1"/>
            </w:r>
            <w:r>
              <w:rPr>
                <w:rFonts w:ascii="Book Antiqua" w:hAnsi="Book Antiqua"/>
                <w:sz w:val="16"/>
                <w:szCs w:val="16"/>
                <w:lang w:val="en-GB"/>
              </w:rPr>
              <w:instrText>ADDIN CSL_CITATION { "citationItems" : [ { "id" : "ITEM-1", "itemData" : { "DOI" : "10.1002/lt.21841", "ISSN" : "1527-6473", "PMID" : "19790138", "abstract" : "Early diagnosis of graft dysfunction in liver transplantation is essential for taking appropriate action. Indocyanine green clearance is closely related to liver function and can be measured noninvasively by spectrophotometry. The objectives of this study were to prospectively analyze the relationship between the indocyanine green plasma disappearance rate (ICGPDR) and early graft function after liver transplantation and to evaluate the role of ICGPDR in the prediction of severe graft dysfunction (SGD). One hundred seventy-two liver transplants from deceased donors were analyzed. Ten patients had SGD: 6 were retransplanted, and 4 died while waiting for a new graft. The plasma disappearance rate was measured 1 hour (PDRr60) and within the first 24 hours (PDR1) after reperfusion, and it was significantly lower in the SGD group. PDRr60 and PDR1 were excellent predictors of SGD. A threshold PDRr60 value of 10.8%/minute and a PDR1 value of 10%/minute accurately predicted SGD with areas under the receiver operating curve of 0.94 (95% confidence interval, 0.89-0.97) and 0.96 (95% confidence interval, 0.92-0.98), respectively. In addition, survival was significantly lower in patients with PDRr60 values below 10.8%/minute (53%, 47%, and 47% versus 95%, 94%, and 90% at 3, 6, and 12 months, respectively) and with PDR1 values below 10%/minute (62%, 62%, and 62% versus 94%, 92%, and 88%). In conclusion, very early noninvasive measurement of ICGPDR can accurately predict early severe graft dysfunction and mortality after liver transplantation.", "author" : [ { "dropping-particle" : "", "family" : "Olmedilla", "given" : "Luis", "non-dropping-particle" : "", "parse-names" : false, "suffix" : "" }, { "dropping-particle" : "", "family" : "P\u00e9rez-Pe\u00f1a", "given" : "Jos\u00e9 Mar\u00eda", "non-dropping-particle" : "", "parse-names" : false, "suffix" : "" }, { "dropping-particle" : "", "family" : "Ripoll", "given" : "Cristina", "non-dropping-particle" : "", "parse-names" : false, "suffix" : "" }, { "dropping-particle" : "", "family" : "Garutti", "given" : "Ignacio", "non-dropping-particle" : "", "parse-names" : false, "suffix" : "" }, { "dropping-particle" : "", "family" : "Diego", "given" : "Roberto", "non-dropping-particle" : "de", "parse-names" : false, "suffix" : "" }, { "dropping-particle" : "", "family" : "Salcedo", "given" : "Magdalena", "non-dropping-particle" : "", "parse-names" : false, "suffix" : "" }, { "dropping-particle" : "", "family" : "Jim\u00e9nez", "given" : "Consuelo", "non-dropping-particle" : "", "parse-names" : false, "suffix" : "" }, { "dropping-particle" : "", "family" : "Ba\u00f1ares", "given" : "Rafael", "non-dropping-particle" : "", "parse-names" : false, "suffix" : "" } ], "container-title" : "Liver transplantation : official publication of the American Association for the Study of Liver Diseases and the International Liver Transplantation Society", "id" : "ITEM-1", "issue" : "10", "issued" : { "date-parts" : [ [ "2009", "10" ] ] }, "page" : "1247-53", "title" : "Early noninvasive measurement of the indocyanine green plasma disappearance rate accurately predicts early graft dysfunction and mortality after deceased donor liver transplantation.", "type" : "article-journal", "volume" : "15" }, "uris" : [ "http://www.mendeley.com/documents/?uuid=f52f486e-a667-47c0-8803-76345b8528f7" ] } ], "mendeley" : { "formattedCitation" : "&lt;sup&gt;[35]&lt;/sup&gt;", "plainTextFormattedCitation" : "[35]", "previouslyFormattedCitation" : "&lt;sup&gt;[35]&lt;/sup&gt;" }, "properties" : { "noteIndex" : 0 }, "schema" : "https://github.com/citation-style-language/schema/raw/master/csl-citation.json" }</w:instrText>
            </w:r>
            <w:r>
              <w:rPr>
                <w:rFonts w:ascii="Book Antiqua" w:hAnsi="Book Antiqua"/>
                <w:sz w:val="16"/>
                <w:szCs w:val="16"/>
                <w:lang w:val="en-GB"/>
              </w:rPr>
              <w:fldChar w:fldCharType="separate"/>
            </w:r>
            <w:r w:rsidRPr="005F5C48">
              <w:rPr>
                <w:rFonts w:ascii="Book Antiqua" w:hAnsi="Book Antiqua"/>
                <w:noProof/>
                <w:sz w:val="16"/>
                <w:szCs w:val="16"/>
                <w:vertAlign w:val="superscript"/>
                <w:lang w:val="en-GB"/>
              </w:rPr>
              <w:t>[35]</w:t>
            </w:r>
            <w:r>
              <w:rPr>
                <w:rFonts w:ascii="Book Antiqua" w:hAnsi="Book Antiqua"/>
                <w:sz w:val="16"/>
                <w:szCs w:val="16"/>
                <w:lang w:val="en-GB"/>
              </w:rPr>
              <w:fldChar w:fldCharType="end"/>
            </w:r>
          </w:p>
        </w:tc>
        <w:tc>
          <w:tcPr>
            <w:tcW w:w="518" w:type="dxa"/>
            <w:tcBorders>
              <w:top w:val="single" w:sz="4" w:space="0" w:color="auto"/>
            </w:tcBorders>
            <w:shd w:val="clear" w:color="auto" w:fill="auto"/>
            <w:tcMar>
              <w:left w:w="51" w:type="dxa"/>
            </w:tcMar>
          </w:tcPr>
          <w:p w14:paraId="4D97F976" w14:textId="77777777" w:rsidR="007050A2" w:rsidRDefault="007050A2"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P</w:t>
            </w:r>
          </w:p>
        </w:tc>
        <w:tc>
          <w:tcPr>
            <w:tcW w:w="1827" w:type="dxa"/>
            <w:tcBorders>
              <w:top w:val="single" w:sz="4" w:space="0" w:color="auto"/>
            </w:tcBorders>
            <w:shd w:val="clear" w:color="auto" w:fill="auto"/>
            <w:tcMar>
              <w:left w:w="51" w:type="dxa"/>
            </w:tcMar>
          </w:tcPr>
          <w:p w14:paraId="5A4A0F63" w14:textId="77777777" w:rsidR="007050A2" w:rsidRDefault="007050A2"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EAD prediction</w:t>
            </w:r>
          </w:p>
        </w:tc>
        <w:tc>
          <w:tcPr>
            <w:tcW w:w="1195" w:type="dxa"/>
            <w:tcBorders>
              <w:top w:val="single" w:sz="4" w:space="0" w:color="auto"/>
            </w:tcBorders>
            <w:shd w:val="clear" w:color="auto" w:fill="auto"/>
            <w:tcMar>
              <w:left w:w="51" w:type="dxa"/>
            </w:tcMar>
          </w:tcPr>
          <w:p w14:paraId="562FFF2F" w14:textId="1C258E77" w:rsidR="007050A2" w:rsidRDefault="007050A2"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172 LT: 31.9% HCC, 29.6% viral, 23.8% alcoholic</w:t>
            </w:r>
          </w:p>
        </w:tc>
        <w:tc>
          <w:tcPr>
            <w:tcW w:w="888" w:type="dxa"/>
            <w:tcBorders>
              <w:top w:val="single" w:sz="4" w:space="0" w:color="auto"/>
            </w:tcBorders>
            <w:shd w:val="clear" w:color="auto" w:fill="auto"/>
            <w:tcMar>
              <w:left w:w="51" w:type="dxa"/>
            </w:tcMar>
          </w:tcPr>
          <w:p w14:paraId="0A5D87FE" w14:textId="77777777" w:rsidR="007050A2" w:rsidRDefault="007050A2"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1</w:t>
            </w:r>
          </w:p>
        </w:tc>
        <w:tc>
          <w:tcPr>
            <w:tcW w:w="1654" w:type="dxa"/>
            <w:tcBorders>
              <w:top w:val="single" w:sz="4" w:space="0" w:color="auto"/>
            </w:tcBorders>
            <w:shd w:val="clear" w:color="auto" w:fill="auto"/>
            <w:tcMar>
              <w:left w:w="51" w:type="dxa"/>
            </w:tcMar>
          </w:tcPr>
          <w:p w14:paraId="4136CD8D" w14:textId="77777777" w:rsidR="007050A2" w:rsidRDefault="007050A2"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10%/min</w:t>
            </w:r>
          </w:p>
        </w:tc>
        <w:tc>
          <w:tcPr>
            <w:tcW w:w="1369" w:type="dxa"/>
            <w:tcBorders>
              <w:top w:val="single" w:sz="4" w:space="0" w:color="auto"/>
            </w:tcBorders>
            <w:shd w:val="clear" w:color="auto" w:fill="auto"/>
            <w:tcMar>
              <w:left w:w="51" w:type="dxa"/>
            </w:tcMar>
          </w:tcPr>
          <w:p w14:paraId="6E786F7D" w14:textId="77777777" w:rsidR="007050A2" w:rsidRDefault="007050A2"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0.967 (0.915-0991)</w:t>
            </w:r>
          </w:p>
        </w:tc>
        <w:tc>
          <w:tcPr>
            <w:tcW w:w="1106" w:type="dxa"/>
            <w:tcBorders>
              <w:top w:val="single" w:sz="4" w:space="0" w:color="auto"/>
            </w:tcBorders>
            <w:shd w:val="clear" w:color="auto" w:fill="auto"/>
            <w:tcMar>
              <w:left w:w="51" w:type="dxa"/>
            </w:tcMar>
          </w:tcPr>
          <w:p w14:paraId="1D5A0360" w14:textId="77777777" w:rsidR="007050A2" w:rsidRDefault="007050A2"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100 (69-100)</w:t>
            </w:r>
          </w:p>
        </w:tc>
        <w:tc>
          <w:tcPr>
            <w:tcW w:w="1103" w:type="dxa"/>
            <w:tcBorders>
              <w:top w:val="single" w:sz="4" w:space="0" w:color="auto"/>
            </w:tcBorders>
            <w:shd w:val="clear" w:color="auto" w:fill="auto"/>
            <w:tcMar>
              <w:left w:w="51" w:type="dxa"/>
            </w:tcMar>
          </w:tcPr>
          <w:p w14:paraId="2140422F" w14:textId="77777777" w:rsidR="007050A2" w:rsidRDefault="007050A2"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90.4 (84.7-94.6)</w:t>
            </w:r>
          </w:p>
        </w:tc>
        <w:tc>
          <w:tcPr>
            <w:tcW w:w="917" w:type="dxa"/>
            <w:tcBorders>
              <w:top w:val="single" w:sz="4" w:space="0" w:color="auto"/>
            </w:tcBorders>
            <w:shd w:val="clear" w:color="auto" w:fill="auto"/>
            <w:tcMar>
              <w:left w:w="51" w:type="dxa"/>
            </w:tcMar>
          </w:tcPr>
          <w:p w14:paraId="3937C36A" w14:textId="77777777" w:rsidR="007050A2" w:rsidRDefault="007050A2"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40</w:t>
            </w:r>
          </w:p>
        </w:tc>
        <w:tc>
          <w:tcPr>
            <w:tcW w:w="890" w:type="dxa"/>
            <w:tcBorders>
              <w:top w:val="single" w:sz="4" w:space="0" w:color="auto"/>
            </w:tcBorders>
            <w:shd w:val="clear" w:color="auto" w:fill="auto"/>
            <w:tcMar>
              <w:left w:w="51" w:type="dxa"/>
            </w:tcMar>
          </w:tcPr>
          <w:p w14:paraId="2B509825" w14:textId="77777777" w:rsidR="007050A2" w:rsidRDefault="007050A2"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100</w:t>
            </w:r>
          </w:p>
        </w:tc>
      </w:tr>
      <w:tr w:rsidR="007050A2" w:rsidRPr="00943FB3" w14:paraId="239CE1FE" w14:textId="77777777" w:rsidTr="001D36E2">
        <w:tc>
          <w:tcPr>
            <w:tcW w:w="1589" w:type="dxa"/>
            <w:vMerge/>
            <w:shd w:val="clear" w:color="auto" w:fill="auto"/>
            <w:tcMar>
              <w:left w:w="51" w:type="dxa"/>
            </w:tcMar>
            <w:vAlign w:val="center"/>
          </w:tcPr>
          <w:p w14:paraId="12E26BC2" w14:textId="77777777" w:rsidR="007050A2" w:rsidRDefault="007050A2" w:rsidP="00422EBA">
            <w:pPr>
              <w:pStyle w:val="Contenutotabella"/>
              <w:adjustRightInd w:val="0"/>
              <w:snapToGrid w:val="0"/>
              <w:spacing w:after="0" w:line="360" w:lineRule="auto"/>
              <w:jc w:val="both"/>
              <w:rPr>
                <w:rFonts w:ascii="Book Antiqua" w:hAnsi="Book Antiqua"/>
                <w:sz w:val="16"/>
                <w:szCs w:val="16"/>
                <w:lang w:val="en-GB"/>
              </w:rPr>
            </w:pPr>
          </w:p>
        </w:tc>
        <w:tc>
          <w:tcPr>
            <w:tcW w:w="1397" w:type="dxa"/>
            <w:shd w:val="clear" w:color="auto" w:fill="auto"/>
            <w:tcMar>
              <w:left w:w="51" w:type="dxa"/>
            </w:tcMar>
          </w:tcPr>
          <w:p w14:paraId="003B40FA" w14:textId="144A617D" w:rsidR="007050A2" w:rsidRDefault="007050A2"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 xml:space="preserve">Levesque </w:t>
            </w:r>
            <w:r w:rsidR="00E35182" w:rsidRPr="00E35182">
              <w:rPr>
                <w:rFonts w:ascii="Book Antiqua" w:hAnsi="Book Antiqua"/>
                <w:i/>
                <w:sz w:val="16"/>
                <w:szCs w:val="16"/>
                <w:lang w:val="en-GB"/>
              </w:rPr>
              <w:t>et al</w:t>
            </w:r>
            <w:r>
              <w:rPr>
                <w:rFonts w:ascii="Book Antiqua" w:hAnsi="Book Antiqua"/>
                <w:sz w:val="16"/>
                <w:szCs w:val="16"/>
                <w:lang w:val="en-GB"/>
              </w:rPr>
              <w:fldChar w:fldCharType="begin" w:fldLock="1"/>
            </w:r>
            <w:r>
              <w:rPr>
                <w:rFonts w:ascii="Book Antiqua" w:hAnsi="Book Antiqua"/>
                <w:sz w:val="16"/>
                <w:szCs w:val="16"/>
                <w:lang w:val="en-GB"/>
              </w:rPr>
              <w:instrText>ADDIN CSL_CITATION { "citationItems" : [ { "id" : "ITEM-1", "itemData" : { "DOI" : "10.1002/lt.21805", "abstract" : "Indocyanine green clearance (Cl-ICG) has been used to assess liver function and hepatic blood flow mainly before and after hepatic surgery. Cl-ICG (invasive method) has been reported to be a good marker of early graft function after liver transplantation (LT). The goal of this study was to determine if the indocyanine green plasma disappearance rate (PDR-ICG), measured by a noninvasive technique (LiMON, Impulse Medical System, Munich, Germany), is predictive of complications and graft outcome after LT. From September 2005 to June 2006, 72 LT recipients were included in the study. PDR-ICG was measured daily (from day 0 to day 5 after LT) with a digital sensor after patients were injected with 0.25 mg/kg indocyanine green. A PDR-ICG cutoff level of 12.85%/minute was predictive of the development of a serious postoperative complication. The sequential changes of PDR-ICG enabled us to differentiate 2 groups: (1) patients with early severe complications (hepatic artery thrombosis, primary graft nonfunction, or sepsis) who had a low value of PDR-ICG during the first 5 posttransplantation days (average, 8.8 \u03ee 4.5%/minute) and (2) patients who developed acute rejection and who had a progressive reduction of PDR-ICG between days 0 and 5 (from 25.5 \u03ee 4.8 to 10.3 \u03ee 2.5%/minute; P \u03fd 0.002). In conclusion, after LT, PDR-ICG (a noninvasive technique), measured regularly during the first 5 postoperative days, is a safe technique that can predict early postoperative complications.", "author" : [ { "dropping-particle" : "", "family" : "Levesque", "given" : "Eric", "non-dropping-particle" : "", "parse-names" : false, "suffix" : "" }, { "dropping-particle" : "", "family" : "Saliba", "given" : "Faouzi", "non-dropping-particle" : "", "parse-names" : false, "suffix" : "" }, { "dropping-particle" : "", "family" : "Benhamida", "given" : "Sonia", "non-dropping-particle" : "", "parse-names" : false, "suffix" : "" }, { "dropping-particle" : "", "family" : "Icha", "given" : "Philippe", "non-dropping-particle" : "", "parse-names" : false, "suffix" : "" }, { "dropping-particle" : "", "family" : "Azoulay", "given" : "Daniel", "non-dropping-particle" : "", "parse-names" : false, "suffix" : "" }, { "dropping-particle" : "", "family" : "Adam", "given" : "Ren\u00e9", "non-dropping-particle" : "", "parse-names" : false, "suffix" : "" }, { "dropping-particle" : "", "family" : "Castaing", "given" : "Denis", "non-dropping-particle" : "", "parse-names" : false, "suffix" : "" }, { "dropping-particle" : "", "family" : "Samuel", "given" : "Didier", "non-dropping-particle" : "", "parse-names" : false, "suffix" : "" } ], "container-title" : "Liver Transpl", "id" : "ITEM-1", "issued" : { "date-parts" : [ [ "2009" ] ] }, "page" : "1358-1364", "title" : "Plasma Disappearance Rate of Indocyanine Green: A Tool To Evaluate Early Graft Outcome After Liver Transplantation", "type" : "article-journal", "volume" : "15" }, "uris" : [ "http://www.mendeley.com/documents/?uuid=85d2310f-f0e2-3a14-8c55-611624d7591c" ] } ], "mendeley" : { "formattedCitation" : "&lt;sup&gt;[42]&lt;/sup&gt;", "plainTextFormattedCitation" : "[42]", "previouslyFormattedCitation" : "&lt;sup&gt;[42]&lt;/sup&gt;" }, "properties" : { "noteIndex" : 0 }, "schema" : "https://github.com/citation-style-language/schema/raw/master/csl-citation.json" }</w:instrText>
            </w:r>
            <w:r>
              <w:rPr>
                <w:rFonts w:ascii="Book Antiqua" w:hAnsi="Book Antiqua"/>
                <w:sz w:val="16"/>
                <w:szCs w:val="16"/>
                <w:lang w:val="en-GB"/>
              </w:rPr>
              <w:fldChar w:fldCharType="separate"/>
            </w:r>
            <w:r w:rsidRPr="005F5C48">
              <w:rPr>
                <w:rFonts w:ascii="Book Antiqua" w:hAnsi="Book Antiqua"/>
                <w:noProof/>
                <w:sz w:val="16"/>
                <w:szCs w:val="16"/>
                <w:vertAlign w:val="superscript"/>
                <w:lang w:val="en-GB"/>
              </w:rPr>
              <w:t>[42]</w:t>
            </w:r>
            <w:r>
              <w:rPr>
                <w:rFonts w:ascii="Book Antiqua" w:hAnsi="Book Antiqua"/>
                <w:sz w:val="16"/>
                <w:szCs w:val="16"/>
                <w:lang w:val="en-GB"/>
              </w:rPr>
              <w:fldChar w:fldCharType="end"/>
            </w:r>
          </w:p>
        </w:tc>
        <w:tc>
          <w:tcPr>
            <w:tcW w:w="518" w:type="dxa"/>
            <w:shd w:val="clear" w:color="auto" w:fill="auto"/>
            <w:tcMar>
              <w:left w:w="51" w:type="dxa"/>
            </w:tcMar>
          </w:tcPr>
          <w:p w14:paraId="7C387468" w14:textId="77777777" w:rsidR="007050A2" w:rsidRDefault="007050A2"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P</w:t>
            </w:r>
          </w:p>
        </w:tc>
        <w:tc>
          <w:tcPr>
            <w:tcW w:w="1827" w:type="dxa"/>
            <w:shd w:val="clear" w:color="auto" w:fill="auto"/>
            <w:tcMar>
              <w:left w:w="51" w:type="dxa"/>
            </w:tcMar>
          </w:tcPr>
          <w:p w14:paraId="1CD6C5D3" w14:textId="77777777" w:rsidR="007050A2" w:rsidRDefault="007050A2"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EAD prediction</w:t>
            </w:r>
          </w:p>
        </w:tc>
        <w:tc>
          <w:tcPr>
            <w:tcW w:w="1195" w:type="dxa"/>
            <w:shd w:val="clear" w:color="auto" w:fill="auto"/>
            <w:tcMar>
              <w:left w:w="51" w:type="dxa"/>
            </w:tcMar>
          </w:tcPr>
          <w:p w14:paraId="7670043E" w14:textId="77777777" w:rsidR="007050A2" w:rsidRDefault="007050A2"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72 LT (including LDLT)</w:t>
            </w:r>
          </w:p>
        </w:tc>
        <w:tc>
          <w:tcPr>
            <w:tcW w:w="888" w:type="dxa"/>
            <w:shd w:val="clear" w:color="auto" w:fill="auto"/>
            <w:tcMar>
              <w:left w:w="51" w:type="dxa"/>
            </w:tcMar>
          </w:tcPr>
          <w:p w14:paraId="425FC180" w14:textId="77777777" w:rsidR="007050A2" w:rsidRDefault="007050A2"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0-5</w:t>
            </w:r>
          </w:p>
        </w:tc>
        <w:tc>
          <w:tcPr>
            <w:tcW w:w="1654" w:type="dxa"/>
            <w:shd w:val="clear" w:color="auto" w:fill="auto"/>
            <w:tcMar>
              <w:left w:w="51" w:type="dxa"/>
            </w:tcMar>
          </w:tcPr>
          <w:p w14:paraId="6E8F1274" w14:textId="77777777" w:rsidR="007050A2" w:rsidRDefault="007050A2"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12.85%/min</w:t>
            </w:r>
          </w:p>
        </w:tc>
        <w:tc>
          <w:tcPr>
            <w:tcW w:w="1369" w:type="dxa"/>
            <w:shd w:val="clear" w:color="auto" w:fill="auto"/>
            <w:tcMar>
              <w:left w:w="51" w:type="dxa"/>
            </w:tcMar>
          </w:tcPr>
          <w:p w14:paraId="01C3ECDF" w14:textId="77777777" w:rsidR="007050A2" w:rsidRDefault="007050A2" w:rsidP="00422EBA">
            <w:pPr>
              <w:pStyle w:val="Contenutotabella"/>
              <w:adjustRightInd w:val="0"/>
              <w:snapToGrid w:val="0"/>
              <w:spacing w:after="0" w:line="360" w:lineRule="auto"/>
              <w:jc w:val="both"/>
              <w:rPr>
                <w:rFonts w:ascii="Book Antiqua" w:hAnsi="Book Antiqua"/>
                <w:sz w:val="16"/>
                <w:szCs w:val="16"/>
                <w:lang w:val="en-GB"/>
              </w:rPr>
            </w:pPr>
          </w:p>
        </w:tc>
        <w:tc>
          <w:tcPr>
            <w:tcW w:w="1106" w:type="dxa"/>
            <w:shd w:val="clear" w:color="auto" w:fill="auto"/>
            <w:tcMar>
              <w:left w:w="51" w:type="dxa"/>
            </w:tcMar>
          </w:tcPr>
          <w:p w14:paraId="5462DCE2" w14:textId="77777777" w:rsidR="007050A2" w:rsidRDefault="007050A2"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90</w:t>
            </w:r>
          </w:p>
        </w:tc>
        <w:tc>
          <w:tcPr>
            <w:tcW w:w="1103" w:type="dxa"/>
            <w:shd w:val="clear" w:color="auto" w:fill="auto"/>
            <w:tcMar>
              <w:left w:w="51" w:type="dxa"/>
            </w:tcMar>
          </w:tcPr>
          <w:p w14:paraId="6FC0BAF1" w14:textId="77777777" w:rsidR="007050A2" w:rsidRDefault="007050A2"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97</w:t>
            </w:r>
          </w:p>
        </w:tc>
        <w:tc>
          <w:tcPr>
            <w:tcW w:w="917" w:type="dxa"/>
            <w:shd w:val="clear" w:color="auto" w:fill="auto"/>
            <w:tcMar>
              <w:left w:w="51" w:type="dxa"/>
            </w:tcMar>
          </w:tcPr>
          <w:p w14:paraId="4FD0B586" w14:textId="77777777" w:rsidR="007050A2" w:rsidRDefault="007050A2" w:rsidP="00422EBA">
            <w:pPr>
              <w:pStyle w:val="Contenutotabella"/>
              <w:adjustRightInd w:val="0"/>
              <w:snapToGrid w:val="0"/>
              <w:spacing w:after="0" w:line="360" w:lineRule="auto"/>
              <w:jc w:val="both"/>
              <w:rPr>
                <w:rFonts w:ascii="Book Antiqua" w:hAnsi="Book Antiqua"/>
                <w:sz w:val="16"/>
                <w:szCs w:val="16"/>
                <w:lang w:val="en-GB"/>
              </w:rPr>
            </w:pPr>
          </w:p>
        </w:tc>
        <w:tc>
          <w:tcPr>
            <w:tcW w:w="890" w:type="dxa"/>
            <w:shd w:val="clear" w:color="auto" w:fill="auto"/>
            <w:tcMar>
              <w:left w:w="51" w:type="dxa"/>
            </w:tcMar>
          </w:tcPr>
          <w:p w14:paraId="14D0A6D4" w14:textId="77777777" w:rsidR="007050A2" w:rsidRDefault="007050A2" w:rsidP="00422EBA">
            <w:pPr>
              <w:pStyle w:val="Contenutotabella"/>
              <w:adjustRightInd w:val="0"/>
              <w:snapToGrid w:val="0"/>
              <w:spacing w:after="0" w:line="360" w:lineRule="auto"/>
              <w:jc w:val="both"/>
              <w:rPr>
                <w:rFonts w:ascii="Book Antiqua" w:hAnsi="Book Antiqua"/>
                <w:sz w:val="16"/>
                <w:szCs w:val="16"/>
                <w:lang w:val="en-GB"/>
              </w:rPr>
            </w:pPr>
          </w:p>
        </w:tc>
      </w:tr>
      <w:tr w:rsidR="007050A2" w:rsidRPr="00943FB3" w14:paraId="77121B04" w14:textId="77777777" w:rsidTr="001D36E2">
        <w:tc>
          <w:tcPr>
            <w:tcW w:w="1589" w:type="dxa"/>
            <w:vMerge/>
            <w:shd w:val="clear" w:color="auto" w:fill="auto"/>
            <w:tcMar>
              <w:left w:w="51" w:type="dxa"/>
            </w:tcMar>
            <w:vAlign w:val="center"/>
          </w:tcPr>
          <w:p w14:paraId="549691FB" w14:textId="77777777" w:rsidR="007050A2" w:rsidRDefault="007050A2" w:rsidP="00422EBA">
            <w:pPr>
              <w:pStyle w:val="Contenutotabella"/>
              <w:adjustRightInd w:val="0"/>
              <w:snapToGrid w:val="0"/>
              <w:spacing w:after="0" w:line="360" w:lineRule="auto"/>
              <w:jc w:val="both"/>
              <w:rPr>
                <w:rFonts w:ascii="Book Antiqua" w:hAnsi="Book Antiqua"/>
                <w:sz w:val="16"/>
                <w:szCs w:val="16"/>
                <w:lang w:val="en-GB"/>
              </w:rPr>
            </w:pPr>
          </w:p>
        </w:tc>
        <w:tc>
          <w:tcPr>
            <w:tcW w:w="1397" w:type="dxa"/>
            <w:shd w:val="clear" w:color="auto" w:fill="auto"/>
            <w:tcMar>
              <w:left w:w="51" w:type="dxa"/>
            </w:tcMar>
          </w:tcPr>
          <w:p w14:paraId="3F90867A" w14:textId="57CE4B2D" w:rsidR="007050A2" w:rsidRDefault="007050A2"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 xml:space="preserve">Schneider </w:t>
            </w:r>
            <w:r w:rsidR="00E35182" w:rsidRPr="00E35182">
              <w:rPr>
                <w:rFonts w:ascii="Book Antiqua" w:hAnsi="Book Antiqua"/>
                <w:i/>
                <w:sz w:val="16"/>
                <w:szCs w:val="16"/>
                <w:lang w:val="en-GB"/>
              </w:rPr>
              <w:t>et al</w:t>
            </w:r>
            <w:r>
              <w:rPr>
                <w:rFonts w:ascii="Book Antiqua" w:hAnsi="Book Antiqua"/>
                <w:sz w:val="16"/>
                <w:szCs w:val="16"/>
                <w:lang w:val="en-GB"/>
              </w:rPr>
              <w:fldChar w:fldCharType="begin" w:fldLock="1"/>
            </w:r>
            <w:r>
              <w:rPr>
                <w:rFonts w:ascii="Book Antiqua" w:hAnsi="Book Antiqua"/>
                <w:sz w:val="16"/>
                <w:szCs w:val="16"/>
                <w:lang w:val="en-GB"/>
              </w:rPr>
              <w:instrText>ADDIN CSL_CITATION { "citationItems" : [ { "id" : "ITEM-1", "itemData" : { "PMID" : "21813383", "abstract" : "BACKGROUND: Early detection of graft malfunction or postoperative complications is essential to save patients and organs after orthotopic liver transplantation (OLT). Predictive tests for graft dysfunction are needed to enable earlier implementation of organ-saving interventions following transplantation. This study was undertaken to assess the value of indocyanine green plasma disappearance rates (ICG-PDRs) for predicting postoperative complications, graft dysfunction, and patient survival following OLT. METHODS: Eighty-six patients undergoing OLT were included in this single-centre trial. ICG-PDR was assessed daily for the first 7 days following OLT. Endpoints were graft loss or death within 30 days and postoperative complications, graft loss, or death within 30 days. RESULTS: Postoperative complications of 31 patients included deaths (12 patients) or graft losses. ICG-PDR was significantly different in patients whose endpoints were graft loss or death beginning from day 3 and in those whose endpoints were graft-loss, death, or postoperative complications beginning from day 4 after OLT. For day 7 measurements, receiver operating characteristic curve analysis revealed an ICG-PDR cut-off for predicting death or graft loss of 9.6% per min (a sensitivity of 75.0%, a specificity of 72.6%, positive predictive value 0.35, negative predictive value 0.94). For prediction of graft loss, death, or postoperative complications, the ICG-PDR cut-off was 12.3% per min (a sensitivity of 68.9%, a specificity of 66.7%, positive predictive value 0.57, negative predictive value 0.77). CONCLUSIONS: ICG-PDR measurements on postoperative day 7 are predictive of early patient outcomes following OLT. The added value over that of routinely determined laboratory parameters is low.", "author" : [ { "dropping-particle" : "", "family" : "Schneider", "given" : "L", "non-dropping-particle" : "", "parse-names" : false, "suffix" : "" }, { "dropping-particle" : "", "family" : "Spiegel", "given" : "M", "non-dropping-particle" : "", "parse-names" : false, "suffix" : "" }, { "dropping-particle" : "", "family" : "Latanowicz", "given" : "S", "non-dropping-particle" : "", "parse-names" : false, "suffix" : "" }, { "dropping-particle" : "", "family" : "Weigand", "given" : "MA", "non-dropping-particle" : "", "parse-names" : false, "suffix" : "" }, { "dropping-particle" : "", "family" : "Schmidt", "given" : "J", "non-dropping-particle" : "", "parse-names" : false, "suffix" : "" }, { "dropping-particle" : "", "family" : "Werner", "given" : "J", "non-dropping-particle" : "", "parse-names" : false, "suffix" : "" }, { "dropping-particle" : "", "family" : "Stremmel", "given" : "W", "non-dropping-particle" : "", "parse-names" : false, "suffix" : "" }, { "dropping-particle" : "", "family" : "Eisenbach", "given" : "C", "non-dropping-particle" : "", "parse-names" : false, "suffix" : "" } ], "container-title" : "Hepatobiliary Pancreat Dis Int", "id" : "ITEM-1", "issue" : "4", "issued" : { "date-parts" : [ [ "2011" ] ] }, "page" : "362-8", "title" : "Noninvasive indocyanine green plasma disappearance rate predicts early complications, graft failure or death after liver transplantation.", "type" : "article-journal", "volume" : "10" }, "uris" : [ "http://www.mendeley.com/documents/?uuid=3edca98b-7042-37b5-aadb-59c24f584d65" ] } ], "mendeley" : { "formattedCitation" : "&lt;sup&gt;[43]&lt;/sup&gt;", "plainTextFormattedCitation" : "[43]", "previouslyFormattedCitation" : "&lt;sup&gt;[43]&lt;/sup&gt;" }, "properties" : { "noteIndex" : 0 }, "schema" : "https://github.com/citation-style-language/schema/raw/master/csl-citation.json" }</w:instrText>
            </w:r>
            <w:r>
              <w:rPr>
                <w:rFonts w:ascii="Book Antiqua" w:hAnsi="Book Antiqua"/>
                <w:sz w:val="16"/>
                <w:szCs w:val="16"/>
                <w:lang w:val="en-GB"/>
              </w:rPr>
              <w:fldChar w:fldCharType="separate"/>
            </w:r>
            <w:r w:rsidRPr="005F5C48">
              <w:rPr>
                <w:rFonts w:ascii="Book Antiqua" w:hAnsi="Book Antiqua"/>
                <w:noProof/>
                <w:sz w:val="16"/>
                <w:szCs w:val="16"/>
                <w:vertAlign w:val="superscript"/>
                <w:lang w:val="en-GB"/>
              </w:rPr>
              <w:t>[43]</w:t>
            </w:r>
            <w:r>
              <w:rPr>
                <w:rFonts w:ascii="Book Antiqua" w:hAnsi="Book Antiqua"/>
                <w:sz w:val="16"/>
                <w:szCs w:val="16"/>
                <w:lang w:val="en-GB"/>
              </w:rPr>
              <w:fldChar w:fldCharType="end"/>
            </w:r>
          </w:p>
        </w:tc>
        <w:tc>
          <w:tcPr>
            <w:tcW w:w="518" w:type="dxa"/>
            <w:shd w:val="clear" w:color="auto" w:fill="auto"/>
            <w:tcMar>
              <w:left w:w="51" w:type="dxa"/>
            </w:tcMar>
          </w:tcPr>
          <w:p w14:paraId="2683CDFD" w14:textId="77777777" w:rsidR="007050A2" w:rsidRDefault="007050A2"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P</w:t>
            </w:r>
          </w:p>
        </w:tc>
        <w:tc>
          <w:tcPr>
            <w:tcW w:w="1827" w:type="dxa"/>
            <w:shd w:val="clear" w:color="auto" w:fill="auto"/>
            <w:tcMar>
              <w:left w:w="51" w:type="dxa"/>
            </w:tcMar>
          </w:tcPr>
          <w:p w14:paraId="29822A52" w14:textId="77777777" w:rsidR="007050A2" w:rsidRDefault="007050A2"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Graft loss or patient death on POD30</w:t>
            </w:r>
          </w:p>
        </w:tc>
        <w:tc>
          <w:tcPr>
            <w:tcW w:w="1195" w:type="dxa"/>
            <w:shd w:val="clear" w:color="auto" w:fill="auto"/>
            <w:tcMar>
              <w:left w:w="51" w:type="dxa"/>
            </w:tcMar>
          </w:tcPr>
          <w:p w14:paraId="2F863E86" w14:textId="3F98F423" w:rsidR="007050A2" w:rsidRDefault="007050A2"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86 LT: 36% viral, 29% alcoholic</w:t>
            </w:r>
          </w:p>
        </w:tc>
        <w:tc>
          <w:tcPr>
            <w:tcW w:w="888" w:type="dxa"/>
            <w:shd w:val="clear" w:color="auto" w:fill="auto"/>
            <w:tcMar>
              <w:left w:w="51" w:type="dxa"/>
            </w:tcMar>
          </w:tcPr>
          <w:p w14:paraId="4C195978" w14:textId="77777777" w:rsidR="007050A2" w:rsidRDefault="007050A2"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7</w:t>
            </w:r>
          </w:p>
        </w:tc>
        <w:tc>
          <w:tcPr>
            <w:tcW w:w="1654" w:type="dxa"/>
            <w:shd w:val="clear" w:color="auto" w:fill="auto"/>
            <w:tcMar>
              <w:left w:w="51" w:type="dxa"/>
            </w:tcMar>
          </w:tcPr>
          <w:p w14:paraId="038A3E2E" w14:textId="77777777" w:rsidR="007050A2" w:rsidRDefault="007050A2"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12.3%/min</w:t>
            </w:r>
          </w:p>
        </w:tc>
        <w:tc>
          <w:tcPr>
            <w:tcW w:w="1369" w:type="dxa"/>
            <w:shd w:val="clear" w:color="auto" w:fill="auto"/>
            <w:tcMar>
              <w:left w:w="51" w:type="dxa"/>
            </w:tcMar>
          </w:tcPr>
          <w:p w14:paraId="698023F4" w14:textId="77777777" w:rsidR="007050A2" w:rsidRDefault="007050A2"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0.729 (0.608-0.850)</w:t>
            </w:r>
          </w:p>
        </w:tc>
        <w:tc>
          <w:tcPr>
            <w:tcW w:w="1106" w:type="dxa"/>
            <w:shd w:val="clear" w:color="auto" w:fill="auto"/>
            <w:tcMar>
              <w:left w:w="51" w:type="dxa"/>
            </w:tcMar>
          </w:tcPr>
          <w:p w14:paraId="73F03F26" w14:textId="77777777" w:rsidR="007050A2" w:rsidRDefault="007050A2"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69</w:t>
            </w:r>
          </w:p>
        </w:tc>
        <w:tc>
          <w:tcPr>
            <w:tcW w:w="1103" w:type="dxa"/>
            <w:shd w:val="clear" w:color="auto" w:fill="auto"/>
            <w:tcMar>
              <w:left w:w="51" w:type="dxa"/>
            </w:tcMar>
          </w:tcPr>
          <w:p w14:paraId="62B38A24" w14:textId="77777777" w:rsidR="007050A2" w:rsidRDefault="007050A2"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67</w:t>
            </w:r>
          </w:p>
        </w:tc>
        <w:tc>
          <w:tcPr>
            <w:tcW w:w="917" w:type="dxa"/>
            <w:shd w:val="clear" w:color="auto" w:fill="auto"/>
            <w:tcMar>
              <w:left w:w="51" w:type="dxa"/>
            </w:tcMar>
          </w:tcPr>
          <w:p w14:paraId="1CC7724E" w14:textId="77777777" w:rsidR="007050A2" w:rsidRDefault="007050A2"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57</w:t>
            </w:r>
          </w:p>
        </w:tc>
        <w:tc>
          <w:tcPr>
            <w:tcW w:w="890" w:type="dxa"/>
            <w:shd w:val="clear" w:color="auto" w:fill="auto"/>
            <w:tcMar>
              <w:left w:w="51" w:type="dxa"/>
            </w:tcMar>
          </w:tcPr>
          <w:p w14:paraId="2A78CB0A" w14:textId="77777777" w:rsidR="007050A2" w:rsidRDefault="007050A2"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77</w:t>
            </w:r>
          </w:p>
        </w:tc>
      </w:tr>
      <w:tr w:rsidR="007757E2" w:rsidRPr="00943FB3" w14:paraId="58004ADA" w14:textId="77777777" w:rsidTr="001D36E2">
        <w:tc>
          <w:tcPr>
            <w:tcW w:w="1589" w:type="dxa"/>
            <w:shd w:val="clear" w:color="auto" w:fill="auto"/>
            <w:tcMar>
              <w:left w:w="51" w:type="dxa"/>
            </w:tcMar>
            <w:vAlign w:val="center"/>
          </w:tcPr>
          <w:p w14:paraId="0CA3673C" w14:textId="69DAB057" w:rsidR="00B122DF" w:rsidRDefault="00B122DF"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Preoperative MELD + postoperative ICG-PDR</w:t>
            </w:r>
          </w:p>
        </w:tc>
        <w:tc>
          <w:tcPr>
            <w:tcW w:w="1397" w:type="dxa"/>
            <w:shd w:val="clear" w:color="auto" w:fill="auto"/>
            <w:tcMar>
              <w:left w:w="51" w:type="dxa"/>
            </w:tcMar>
          </w:tcPr>
          <w:p w14:paraId="1483E4DC" w14:textId="11390EA6" w:rsidR="00B122DF" w:rsidRDefault="00B122DF"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 xml:space="preserve">Klinzing </w:t>
            </w:r>
            <w:r w:rsidR="00E35182" w:rsidRPr="00E35182">
              <w:rPr>
                <w:rFonts w:ascii="Book Antiqua" w:hAnsi="Book Antiqua"/>
                <w:i/>
                <w:sz w:val="16"/>
                <w:szCs w:val="16"/>
                <w:lang w:val="en-GB"/>
              </w:rPr>
              <w:t>et al</w:t>
            </w:r>
            <w:r w:rsidR="007D7ACC">
              <w:rPr>
                <w:rFonts w:ascii="Book Antiqua" w:hAnsi="Book Antiqua"/>
                <w:sz w:val="16"/>
                <w:szCs w:val="16"/>
                <w:lang w:val="en-GB"/>
              </w:rPr>
              <w:fldChar w:fldCharType="begin" w:fldLock="1"/>
            </w:r>
            <w:r w:rsidR="005F5C48">
              <w:rPr>
                <w:rFonts w:ascii="Book Antiqua" w:hAnsi="Book Antiqua"/>
                <w:sz w:val="16"/>
                <w:szCs w:val="16"/>
                <w:lang w:val="en-GB"/>
              </w:rPr>
              <w:instrText>ADDIN CSL_CITATION { "citationItems" : [ { "id" : "ITEM-1", "itemData" : { "DOI" : "10.1186/1471-2253-14-103", "ISBN" : "1471-2253", "PMID" : "25844060", "abstract" : "Background: Early prediction of outcome would be useful for an optimal intensive care management of liver transplant recipients. Indocyanine green clearance can be measured non-invasively by pulse spectrophometry and is closely related to liver function. Methods: This study was undertaken to assess the predictive value of a combination of the model of end stage liver disease (MELD) score and early indocyanine plasma disappearance rates (ICG-PDR) for length of stay in the intensive care unit (ICU), length of stay in the hospital and hospital mortality in liver transplant recipients. Results: Fifty consecutive liver transplant recipients were included in this post Hoc single-center study. ICG-PDR was determined within 6 hours after ICU admission. Endpoints were length of stay in the ICU, length of hospital stay and hospital mortality. The combination of a high MELD score (MELD &gt;25) and a low ICG-PDR clearance (ICG-PDR &lt; 20%/minute) predicts a significant longer st ay in the ICU (p = 0.004), a significant longer stay in the hospital (p &lt; 0.001) and a hospital mortality of 40% vs. 0% (p = 0.003). Conclusion: The combination of MELD scores and a singular ICG-PDR measurement in the early postoperative phase is an accurate predictor for outcome in liver transplant recipients. This easy-to-assess tool might be valuable for an optimal intensive care management of those patients. Keywords: MELD score, Indocyanine green liver testing, Hospital mortality, Length of stay in the ICU", "author" : [ { "dropping-particle" : "", "family" : "Klinzing", "given" : "Stephanie", "non-dropping-particle" : "", "parse-names" : false, "suffix" : "" }, { "dropping-particle" : "", "family" : "Brandi", "given" : "Giovanna", "non-dropping-particle" : "", "parse-names" : false, "suffix" : "" }, { "dropping-particle" : "", "family" : "Stehberger", "given" : "Paul A", "non-dropping-particle" : "", "parse-names" : false, "suffix" : "" }, { "dropping-particle" : "", "family" : "Raptis", "given" : "Dimitri A", "non-dropping-particle" : "", "parse-names" : false, "suffix" : "" }, { "dropping-particle" : "", "family" : "B\u00e9chir", "given" : "Markus", "non-dropping-particle" : "", "parse-names" : false, "suffix" : "" } ], "container-title" : "BMC Anesthesiology", "id" : "ITEM-1", "issue" : "103", "issued" : { "date-parts" : [ [ "2014" ] ] }, "page" : "0-6", "title" : "The combination of MELD score and ICG liver testing predicts length of stay in the ICU and hospital mortality in liver transplant recipients", "type" : "article-journal", "volume" : "14" }, "uris" : [ "http://www.mendeley.com/documents/?uuid=efac1f5e-c477-4c72-85e4-59f696b8ca7a" ] } ], "mendeley" : { "formattedCitation" : "&lt;sup&gt;[45]&lt;/sup&gt;", "plainTextFormattedCitation" : "[45]", "previouslyFormattedCitation" : "&lt;sup&gt;[45]&lt;/sup&gt;" }, "properties" : { "noteIndex" : 0 }, "schema" : "https://github.com/citation-style-language/schema/raw/master/csl-citation.json" }</w:instrText>
            </w:r>
            <w:r w:rsidR="007D7ACC">
              <w:rPr>
                <w:rFonts w:ascii="Book Antiqua" w:hAnsi="Book Antiqua"/>
                <w:sz w:val="16"/>
                <w:szCs w:val="16"/>
                <w:lang w:val="en-GB"/>
              </w:rPr>
              <w:fldChar w:fldCharType="separate"/>
            </w:r>
            <w:r w:rsidR="005F5C48" w:rsidRPr="005F5C48">
              <w:rPr>
                <w:rFonts w:ascii="Book Antiqua" w:hAnsi="Book Antiqua"/>
                <w:noProof/>
                <w:sz w:val="16"/>
                <w:szCs w:val="16"/>
                <w:vertAlign w:val="superscript"/>
                <w:lang w:val="en-GB"/>
              </w:rPr>
              <w:t>[45]</w:t>
            </w:r>
            <w:r w:rsidR="007D7ACC">
              <w:rPr>
                <w:rFonts w:ascii="Book Antiqua" w:hAnsi="Book Antiqua"/>
                <w:sz w:val="16"/>
                <w:szCs w:val="16"/>
                <w:lang w:val="en-GB"/>
              </w:rPr>
              <w:fldChar w:fldCharType="end"/>
            </w:r>
          </w:p>
        </w:tc>
        <w:tc>
          <w:tcPr>
            <w:tcW w:w="518" w:type="dxa"/>
            <w:shd w:val="clear" w:color="auto" w:fill="auto"/>
            <w:tcMar>
              <w:left w:w="51" w:type="dxa"/>
            </w:tcMar>
          </w:tcPr>
          <w:p w14:paraId="22EF932E" w14:textId="77777777" w:rsidR="00B122DF" w:rsidRDefault="00B122DF"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P</w:t>
            </w:r>
          </w:p>
        </w:tc>
        <w:tc>
          <w:tcPr>
            <w:tcW w:w="1827" w:type="dxa"/>
            <w:shd w:val="clear" w:color="auto" w:fill="auto"/>
            <w:tcMar>
              <w:left w:w="51" w:type="dxa"/>
            </w:tcMar>
          </w:tcPr>
          <w:p w14:paraId="5BEE1B95" w14:textId="77777777" w:rsidR="00B122DF" w:rsidRDefault="00B122DF"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ICU-LOS, mortality</w:t>
            </w:r>
          </w:p>
        </w:tc>
        <w:tc>
          <w:tcPr>
            <w:tcW w:w="1195" w:type="dxa"/>
            <w:shd w:val="clear" w:color="auto" w:fill="auto"/>
            <w:tcMar>
              <w:left w:w="51" w:type="dxa"/>
            </w:tcMar>
          </w:tcPr>
          <w:p w14:paraId="58A51518" w14:textId="77777777" w:rsidR="00B122DF" w:rsidRDefault="00B122DF"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50 LT</w:t>
            </w:r>
          </w:p>
        </w:tc>
        <w:tc>
          <w:tcPr>
            <w:tcW w:w="888" w:type="dxa"/>
            <w:shd w:val="clear" w:color="auto" w:fill="auto"/>
            <w:tcMar>
              <w:left w:w="51" w:type="dxa"/>
            </w:tcMar>
          </w:tcPr>
          <w:p w14:paraId="50271E1F" w14:textId="07C16113" w:rsidR="00B122DF" w:rsidRPr="00B122DF" w:rsidRDefault="00B122DF" w:rsidP="00422EBA">
            <w:pPr>
              <w:pStyle w:val="Contenutotabella"/>
              <w:adjustRightInd w:val="0"/>
              <w:snapToGrid w:val="0"/>
              <w:spacing w:after="0" w:line="360" w:lineRule="auto"/>
              <w:jc w:val="both"/>
              <w:rPr>
                <w:lang w:val="en-US"/>
              </w:rPr>
            </w:pPr>
            <w:r>
              <w:rPr>
                <w:rFonts w:ascii="Book Antiqua" w:hAnsi="Book Antiqua"/>
                <w:sz w:val="16"/>
                <w:szCs w:val="16"/>
                <w:lang w:val="en-GB"/>
              </w:rPr>
              <w:t>0 (&lt;</w:t>
            </w:r>
            <w:r w:rsidR="00D5047F">
              <w:rPr>
                <w:rFonts w:ascii="Book Antiqua" w:eastAsiaTheme="minorEastAsia" w:hAnsi="Book Antiqua" w:hint="eastAsia"/>
                <w:sz w:val="16"/>
                <w:szCs w:val="16"/>
                <w:lang w:val="en-GB" w:eastAsia="zh-CN"/>
              </w:rPr>
              <w:t xml:space="preserve"> </w:t>
            </w:r>
            <w:r>
              <w:rPr>
                <w:rFonts w:ascii="Book Antiqua" w:hAnsi="Book Antiqua"/>
                <w:sz w:val="16"/>
                <w:szCs w:val="16"/>
                <w:lang w:val="en-GB"/>
              </w:rPr>
              <w:t>6 h after ICU admission)</w:t>
            </w:r>
          </w:p>
        </w:tc>
        <w:tc>
          <w:tcPr>
            <w:tcW w:w="1654" w:type="dxa"/>
            <w:shd w:val="clear" w:color="auto" w:fill="auto"/>
            <w:tcMar>
              <w:left w:w="51" w:type="dxa"/>
            </w:tcMar>
          </w:tcPr>
          <w:p w14:paraId="07BB7464" w14:textId="77777777" w:rsidR="00B122DF" w:rsidRDefault="00B122DF"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MELD &gt; 25,</w:t>
            </w:r>
          </w:p>
          <w:p w14:paraId="3D6CCDBC" w14:textId="77777777" w:rsidR="00B122DF" w:rsidRDefault="00B122DF"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ICG-PDR &lt; 20%/min</w:t>
            </w:r>
          </w:p>
        </w:tc>
        <w:tc>
          <w:tcPr>
            <w:tcW w:w="1369" w:type="dxa"/>
            <w:shd w:val="clear" w:color="auto" w:fill="auto"/>
            <w:tcMar>
              <w:left w:w="51" w:type="dxa"/>
            </w:tcMar>
          </w:tcPr>
          <w:p w14:paraId="121D81FC" w14:textId="77777777" w:rsidR="00B122DF" w:rsidRDefault="00B122DF"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0.79</w:t>
            </w:r>
          </w:p>
        </w:tc>
        <w:tc>
          <w:tcPr>
            <w:tcW w:w="1106" w:type="dxa"/>
            <w:shd w:val="clear" w:color="auto" w:fill="auto"/>
            <w:tcMar>
              <w:left w:w="51" w:type="dxa"/>
            </w:tcMar>
          </w:tcPr>
          <w:p w14:paraId="11106E7A" w14:textId="77777777" w:rsidR="00B122DF" w:rsidRDefault="00B122DF"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100</w:t>
            </w:r>
          </w:p>
        </w:tc>
        <w:tc>
          <w:tcPr>
            <w:tcW w:w="1103" w:type="dxa"/>
            <w:shd w:val="clear" w:color="auto" w:fill="auto"/>
            <w:tcMar>
              <w:left w:w="51" w:type="dxa"/>
            </w:tcMar>
          </w:tcPr>
          <w:p w14:paraId="3E6AEE33" w14:textId="77777777" w:rsidR="00B122DF" w:rsidRDefault="00B122DF"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59</w:t>
            </w:r>
          </w:p>
        </w:tc>
        <w:tc>
          <w:tcPr>
            <w:tcW w:w="917" w:type="dxa"/>
            <w:shd w:val="clear" w:color="auto" w:fill="auto"/>
            <w:tcMar>
              <w:left w:w="51" w:type="dxa"/>
            </w:tcMar>
          </w:tcPr>
          <w:p w14:paraId="2740F6FE" w14:textId="77777777" w:rsidR="00B122DF" w:rsidRDefault="00B122DF" w:rsidP="00422EBA">
            <w:pPr>
              <w:pStyle w:val="Contenutotabella"/>
              <w:adjustRightInd w:val="0"/>
              <w:snapToGrid w:val="0"/>
              <w:spacing w:after="0" w:line="360" w:lineRule="auto"/>
              <w:jc w:val="both"/>
              <w:rPr>
                <w:rFonts w:ascii="Book Antiqua" w:hAnsi="Book Antiqua"/>
                <w:sz w:val="16"/>
                <w:szCs w:val="16"/>
                <w:lang w:val="en-GB"/>
              </w:rPr>
            </w:pPr>
          </w:p>
        </w:tc>
        <w:tc>
          <w:tcPr>
            <w:tcW w:w="890" w:type="dxa"/>
            <w:shd w:val="clear" w:color="auto" w:fill="auto"/>
            <w:tcMar>
              <w:left w:w="51" w:type="dxa"/>
            </w:tcMar>
          </w:tcPr>
          <w:p w14:paraId="0250274C" w14:textId="77777777" w:rsidR="00B122DF" w:rsidRDefault="00B122DF" w:rsidP="00422EBA">
            <w:pPr>
              <w:pStyle w:val="Contenutotabella"/>
              <w:adjustRightInd w:val="0"/>
              <w:snapToGrid w:val="0"/>
              <w:spacing w:after="0" w:line="360" w:lineRule="auto"/>
              <w:jc w:val="both"/>
              <w:rPr>
                <w:rFonts w:ascii="Book Antiqua" w:hAnsi="Book Antiqua"/>
                <w:sz w:val="16"/>
                <w:szCs w:val="16"/>
                <w:lang w:val="en-GB"/>
              </w:rPr>
            </w:pPr>
          </w:p>
        </w:tc>
      </w:tr>
      <w:tr w:rsidR="007757E2" w14:paraId="2061BE74" w14:textId="77777777" w:rsidTr="001D36E2">
        <w:tc>
          <w:tcPr>
            <w:tcW w:w="1589" w:type="dxa"/>
            <w:shd w:val="clear" w:color="auto" w:fill="auto"/>
            <w:tcMar>
              <w:left w:w="51" w:type="dxa"/>
            </w:tcMar>
            <w:vAlign w:val="center"/>
          </w:tcPr>
          <w:p w14:paraId="1E44688A" w14:textId="77777777" w:rsidR="00B122DF" w:rsidRDefault="00B122DF"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ICG-PDR + INR</w:t>
            </w:r>
          </w:p>
        </w:tc>
        <w:tc>
          <w:tcPr>
            <w:tcW w:w="1397" w:type="dxa"/>
            <w:shd w:val="clear" w:color="auto" w:fill="auto"/>
            <w:tcMar>
              <w:left w:w="51" w:type="dxa"/>
            </w:tcMar>
          </w:tcPr>
          <w:p w14:paraId="4744D60D" w14:textId="2603E9F4" w:rsidR="00B122DF" w:rsidRDefault="00B122DF"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 xml:space="preserve">Olmedilla </w:t>
            </w:r>
            <w:r w:rsidR="00E35182" w:rsidRPr="00E35182">
              <w:rPr>
                <w:rFonts w:ascii="Book Antiqua" w:hAnsi="Book Antiqua"/>
                <w:i/>
                <w:sz w:val="16"/>
                <w:szCs w:val="16"/>
                <w:lang w:val="en-GB"/>
              </w:rPr>
              <w:t>et al</w:t>
            </w:r>
            <w:r w:rsidR="007D7ACC">
              <w:rPr>
                <w:rFonts w:ascii="Book Antiqua" w:hAnsi="Book Antiqua"/>
                <w:sz w:val="16"/>
                <w:szCs w:val="16"/>
                <w:lang w:val="en-GB"/>
              </w:rPr>
              <w:fldChar w:fldCharType="begin" w:fldLock="1"/>
            </w:r>
            <w:r w:rsidR="005F5C48">
              <w:rPr>
                <w:rFonts w:ascii="Book Antiqua" w:hAnsi="Book Antiqua"/>
                <w:sz w:val="16"/>
                <w:szCs w:val="16"/>
                <w:lang w:val="en-GB"/>
              </w:rPr>
              <w:instrText>ADDIN CSL_CITATION { "citationItems" : [ { "id" : "ITEM-1", "itemData" : { "DOI" : "10.1097/TP.0000000000000980", "ISBN" : "0000000000000", "ISSN" : "0041-1337", "author" : [ { "dropping-particle" : "", "family" : "Olmedilla", "given" : "Luis", "non-dropping-particle" : "", "parse-names" : false, "suffix" : "" }, { "dropping-particle" : "", "family" : "Lisbona", "given" : "Cristina J.", "non-dropping-particle" : "", "parse-names" : false, "suffix" : "" }, { "dropping-particle" : "", "family" : "P\u00e9rez-Pe\u00f1a", "given" : "Jos\u00e9 M.", "non-dropping-particle" : "", "parse-names" : false, "suffix" : "" }, { "dropping-particle" : "", "family" : "L\u00f3pez-Baena", "given" : "Jos\u00e9 A.", "non-dropping-particle" : "", "parse-names" : false, "suffix" : "" }, { "dropping-particle" : "", "family" : "Garutti", "given" : "Ignacio", "non-dropping-particle" : "", "parse-names" : false, "suffix" : "" }, { "dropping-particle" : "", "family" : "Salcedo", "given" : "Magdalena", "non-dropping-particle" : "", "parse-names" : false, "suffix" : "" }, { "dropping-particle" : "", "family" : "Sanz", "given" : "Javier", "non-dropping-particle" : "", "parse-names" : false, "suffix" : "" }, { "dropping-particle" : "", "family" : "Tisner", "given" : "Manuel", "non-dropping-particle" : "", "parse-names" : false, "suffix" : "" }, { "dropping-particle" : "", "family" : "Asencio", "given" : "Jos\u00e9 M.", "non-dropping-particle" : "", "parse-names" : false, "suffix" : "" }, { "dropping-particle" : "", "family" : "Fern\u00e1ndez-Quero", "given" : "Lorenzo", "non-dropping-particle" : "", "parse-names" : false, "suffix" : "" }, { "dropping-particle" : "", "family" : "Ba\u00f1ares", "given" : "Rafael", "non-dropping-particle" : "", "parse-names" : false, "suffix" : "" } ], "container-title" : "Transplantation", "id" : "ITEM-1", "issue" : "00", "issued" : { "date-parts" : [ [ "2015" ] ] }, "page" : "1", "title" : "Early Measurement of Indocyanine Green Clearance Accurately Predicts Short-Term Outcomes After Liver Transplantation", "type" : "article-journal", "volume" : "00" }, "uris" : [ "http://www.mendeley.com/documents/?uuid=f33f60ff-1761-454f-85fc-2f0a8f20304d" ] } ], "mendeley" : { "formattedCitation" : "&lt;sup&gt;[44]&lt;/sup&gt;", "plainTextFormattedCitation" : "[44]", "previouslyFormattedCitation" : "&lt;sup&gt;[44]&lt;/sup&gt;" }, "properties" : { "noteIndex" : 0 }, "schema" : "https://github.com/citation-style-language/schema/raw/master/csl-citation.json" }</w:instrText>
            </w:r>
            <w:r w:rsidR="007D7ACC">
              <w:rPr>
                <w:rFonts w:ascii="Book Antiqua" w:hAnsi="Book Antiqua"/>
                <w:sz w:val="16"/>
                <w:szCs w:val="16"/>
                <w:lang w:val="en-GB"/>
              </w:rPr>
              <w:fldChar w:fldCharType="separate"/>
            </w:r>
            <w:r w:rsidR="005F5C48" w:rsidRPr="005F5C48">
              <w:rPr>
                <w:rFonts w:ascii="Book Antiqua" w:hAnsi="Book Antiqua"/>
                <w:noProof/>
                <w:sz w:val="16"/>
                <w:szCs w:val="16"/>
                <w:vertAlign w:val="superscript"/>
                <w:lang w:val="en-GB"/>
              </w:rPr>
              <w:t>[44]</w:t>
            </w:r>
            <w:r w:rsidR="007D7ACC">
              <w:rPr>
                <w:rFonts w:ascii="Book Antiqua" w:hAnsi="Book Antiqua"/>
                <w:sz w:val="16"/>
                <w:szCs w:val="16"/>
                <w:lang w:val="en-GB"/>
              </w:rPr>
              <w:fldChar w:fldCharType="end"/>
            </w:r>
          </w:p>
        </w:tc>
        <w:tc>
          <w:tcPr>
            <w:tcW w:w="518" w:type="dxa"/>
            <w:shd w:val="clear" w:color="auto" w:fill="auto"/>
            <w:tcMar>
              <w:left w:w="51" w:type="dxa"/>
            </w:tcMar>
          </w:tcPr>
          <w:p w14:paraId="36D48744" w14:textId="77777777" w:rsidR="00B122DF" w:rsidRDefault="00B122DF"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P</w:t>
            </w:r>
          </w:p>
        </w:tc>
        <w:tc>
          <w:tcPr>
            <w:tcW w:w="1827" w:type="dxa"/>
            <w:shd w:val="clear" w:color="auto" w:fill="auto"/>
            <w:tcMar>
              <w:left w:w="51" w:type="dxa"/>
            </w:tcMar>
          </w:tcPr>
          <w:p w14:paraId="12560DAE" w14:textId="494C1B55" w:rsidR="00B122DF" w:rsidRDefault="00B122DF"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1-mo mortality or need for retransplantation within POD7</w:t>
            </w:r>
          </w:p>
        </w:tc>
        <w:tc>
          <w:tcPr>
            <w:tcW w:w="1195" w:type="dxa"/>
            <w:shd w:val="clear" w:color="auto" w:fill="auto"/>
            <w:tcMar>
              <w:left w:w="51" w:type="dxa"/>
            </w:tcMar>
          </w:tcPr>
          <w:p w14:paraId="0A5774C0" w14:textId="77777777" w:rsidR="00B122DF" w:rsidRDefault="00B122DF"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332 LT (+77 validations)</w:t>
            </w:r>
          </w:p>
        </w:tc>
        <w:tc>
          <w:tcPr>
            <w:tcW w:w="888" w:type="dxa"/>
            <w:shd w:val="clear" w:color="auto" w:fill="auto"/>
            <w:tcMar>
              <w:left w:w="51" w:type="dxa"/>
            </w:tcMar>
          </w:tcPr>
          <w:p w14:paraId="5826A77D" w14:textId="77777777" w:rsidR="00B122DF" w:rsidRDefault="00B122DF"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1</w:t>
            </w:r>
          </w:p>
        </w:tc>
        <w:tc>
          <w:tcPr>
            <w:tcW w:w="1654" w:type="dxa"/>
            <w:shd w:val="clear" w:color="auto" w:fill="auto"/>
            <w:tcMar>
              <w:left w:w="51" w:type="dxa"/>
            </w:tcMar>
          </w:tcPr>
          <w:p w14:paraId="5DF45A06" w14:textId="77777777" w:rsidR="00B122DF" w:rsidRDefault="00B122DF"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ICG-PDR &lt; 10%/min,</w:t>
            </w:r>
          </w:p>
          <w:p w14:paraId="022E7C70" w14:textId="77777777" w:rsidR="00B122DF" w:rsidRDefault="00B122DF"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INR &gt; 2.2</w:t>
            </w:r>
          </w:p>
        </w:tc>
        <w:tc>
          <w:tcPr>
            <w:tcW w:w="1369" w:type="dxa"/>
            <w:shd w:val="clear" w:color="auto" w:fill="auto"/>
            <w:tcMar>
              <w:left w:w="51" w:type="dxa"/>
            </w:tcMar>
          </w:tcPr>
          <w:p w14:paraId="4C688983" w14:textId="77777777" w:rsidR="00B122DF" w:rsidRDefault="00B122DF"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0.76 (0.66-0.86)</w:t>
            </w:r>
          </w:p>
        </w:tc>
        <w:tc>
          <w:tcPr>
            <w:tcW w:w="1106" w:type="dxa"/>
            <w:shd w:val="clear" w:color="auto" w:fill="auto"/>
            <w:tcMar>
              <w:left w:w="51" w:type="dxa"/>
            </w:tcMar>
          </w:tcPr>
          <w:p w14:paraId="6170429A" w14:textId="77777777" w:rsidR="00B122DF" w:rsidRDefault="00B122DF"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48 (31-66)</w:t>
            </w:r>
          </w:p>
        </w:tc>
        <w:tc>
          <w:tcPr>
            <w:tcW w:w="1103" w:type="dxa"/>
            <w:shd w:val="clear" w:color="auto" w:fill="auto"/>
            <w:tcMar>
              <w:left w:w="51" w:type="dxa"/>
            </w:tcMar>
          </w:tcPr>
          <w:p w14:paraId="2AB800E3" w14:textId="77777777" w:rsidR="00B122DF" w:rsidRDefault="00B122DF"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95 (91-97)</w:t>
            </w:r>
          </w:p>
        </w:tc>
        <w:tc>
          <w:tcPr>
            <w:tcW w:w="917" w:type="dxa"/>
            <w:shd w:val="clear" w:color="auto" w:fill="auto"/>
            <w:tcMar>
              <w:left w:w="51" w:type="dxa"/>
            </w:tcMar>
          </w:tcPr>
          <w:p w14:paraId="7006D05D" w14:textId="77777777" w:rsidR="00B122DF" w:rsidRDefault="00B122DF"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50 (32-68)</w:t>
            </w:r>
          </w:p>
        </w:tc>
        <w:tc>
          <w:tcPr>
            <w:tcW w:w="890" w:type="dxa"/>
            <w:shd w:val="clear" w:color="auto" w:fill="auto"/>
            <w:tcMar>
              <w:left w:w="51" w:type="dxa"/>
            </w:tcMar>
          </w:tcPr>
          <w:p w14:paraId="50748010" w14:textId="77777777" w:rsidR="00B122DF" w:rsidRDefault="00B122DF"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94 (91-96)</w:t>
            </w:r>
          </w:p>
        </w:tc>
      </w:tr>
      <w:tr w:rsidR="00F26BF6" w14:paraId="48D1E2F0" w14:textId="77777777" w:rsidTr="001D36E2">
        <w:trPr>
          <w:trHeight w:val="412"/>
        </w:trPr>
        <w:tc>
          <w:tcPr>
            <w:tcW w:w="1589" w:type="dxa"/>
            <w:vMerge w:val="restart"/>
            <w:shd w:val="clear" w:color="auto" w:fill="auto"/>
            <w:tcMar>
              <w:left w:w="51" w:type="dxa"/>
            </w:tcMar>
            <w:vAlign w:val="center"/>
          </w:tcPr>
          <w:p w14:paraId="60D43D68" w14:textId="77777777" w:rsidR="002C46A4" w:rsidRDefault="002C46A4"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LiMax</w:t>
            </w:r>
          </w:p>
        </w:tc>
        <w:tc>
          <w:tcPr>
            <w:tcW w:w="1397" w:type="dxa"/>
            <w:vMerge w:val="restart"/>
            <w:shd w:val="clear" w:color="auto" w:fill="auto"/>
            <w:tcMar>
              <w:left w:w="51" w:type="dxa"/>
            </w:tcMar>
          </w:tcPr>
          <w:p w14:paraId="6BB06E9E" w14:textId="6492571B" w:rsidR="002C46A4" w:rsidRDefault="002C46A4"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 xml:space="preserve">Lock </w:t>
            </w:r>
            <w:r w:rsidR="00E35182" w:rsidRPr="00E35182">
              <w:rPr>
                <w:rFonts w:ascii="Book Antiqua" w:hAnsi="Book Antiqua"/>
                <w:i/>
                <w:sz w:val="16"/>
                <w:szCs w:val="16"/>
                <w:lang w:val="en-GB"/>
              </w:rPr>
              <w:t>et al</w:t>
            </w:r>
            <w:r w:rsidR="007D7ACC">
              <w:rPr>
                <w:rFonts w:ascii="Book Antiqua" w:hAnsi="Book Antiqua"/>
                <w:sz w:val="16"/>
                <w:szCs w:val="16"/>
                <w:lang w:val="en-GB"/>
              </w:rPr>
              <w:fldChar w:fldCharType="begin" w:fldLock="1"/>
            </w:r>
            <w:r>
              <w:rPr>
                <w:rFonts w:ascii="Book Antiqua" w:hAnsi="Book Antiqua"/>
                <w:sz w:val="16"/>
                <w:szCs w:val="16"/>
                <w:lang w:val="en-GB"/>
              </w:rPr>
              <w:instrText>ADDIN CSL_CITATION { "citationItems" : [ { "id" : "ITEM-1", "itemData" : { "DOI" : "10.1002/lt.21973", "abstract" : "Initial graft function is a major factor influencing the clinical outcome after liver transplantation (LTX), but a reliable method for assessing and predicting graft dysfunction directly after LTX is not available. Ninety-nine patients undergoing deceased-donor LTX were studied in a prospective pilot study to evaluate the LiMAx test, the indocyanine green test, and conventional biochemical parameters with respect to their sensitivity and prognostic power for the diagnosis of initial graft dysfunction. Patients suffering from initial graft dysfunction (defined as technical complications or primary nonfunction (n \u00bc 8)) had signif-icantly decreased LiMAx readouts (43 6 18 versus 184 6 98 lg/kg/hour, P &lt; 0.001) immediately after LTX. Univariate anal-ysis also showed significant differences for serum bilirubin, ammonia, glutamate dehydrogenase, and the international normalized ratio (P &lt; 0.05), but multivariate analysis revealed LiMAx as the single independent predictor of initial dysfunc-tion (P \u00bc 0.008) with an area under the receiver operating characteristic curve (AUROC) of 0.960 (95% confidence interval \u00bc 0.921-0.998, P &lt; 0.001). In addition, the diagnosis of primary nonfunction (n \u00bc 3) was evaluated with LiMAx and aspar-tate aminotransferase (AST) activity on the first postoperative day. The calculated AUROC values were 0.992 (0.975-1.0, P \u00bc 0.004) for LiMAx and 0.967 (0.929-1.0, P \u00bc 0.006) for AST. By a combination of test results obtained directly after LTX and on the first day, LiMAx indicated primary nonfunction with a sensitivity of 1.0 (0.31-1.0) and a positive predictive value of 1.0 (0.31-1.0), whereas AST classification showed a sensitivity of 0.67 (0.13-0.98) and a positive predictive value of 0.29 (0.05-0.70). In conclusion, the assessment of initial graft function using the LiMAx test might be effective for identifying criti-cal complications that could threaten graft survival within 24 hours after LTX.", "author" : [ { "dropping-particle" : "", "family" : "Lock", "given" : "JF", "non-dropping-particle" : "", "parse-names" : false, "suffix" : "" }, { "dropping-particle" : "", "family" : "Schwabauer", "given" : "Eugen", "non-dropping-particle" : "", "parse-names" : false, "suffix" : "" }, { "dropping-particle" : "", "family" : "Martus", "given" : "Peter", "non-dropping-particle" : "", "parse-names" : false, "suffix" : "" }, { "dropping-particle" : "", "family" : "Videv", "given" : "Nikolay", "non-dropping-particle" : "", "parse-names" : false, "suffix" : "" }, { "dropping-particle" : "", "family" : "Pratschke", "given" : "Johann", "non-dropping-particle" : "", "parse-names" : false, "suffix" : "" }, { "dropping-particle" : "", "family" : "Malinowski", "given" : "Maciej", "non-dropping-particle" : "", "parse-names" : false, "suffix" : "" }, { "dropping-particle" : "", "family" : "Neuhaus", "given" : "Peter", "non-dropping-particle" : "", "parse-names" : false, "suffix" : "" }, { "dropping-particle" : "", "family" : "Stockmann", "given" : "Martin", "non-dropping-particle" : "", "parse-names" : false, "suffix" : "" } ], "container-title" : "Liver Transpl", "id" : "ITEM-1", "issued" : { "date-parts" : [ [ "2010" ] ] }, "page" : "172-180", "title" : "Early Diagnosis of Primary Nonfunction and Indication for Reoperation After Liver Transplantation", "type" : "article-journal", "volume" : "16" }, "uris" : [ "http://www.mendeley.com/documents/?uuid=8bf56ff6-7e17-3446-9241-f9657575ad88" ] } ], "mendeley" : { "formattedCitation" : "&lt;sup&gt;[58]&lt;/sup&gt;", "plainTextFormattedCitation" : "[58]", "previouslyFormattedCitation" : "&lt;sup&gt;[58]&lt;/sup&gt;" }, "properties" : { "noteIndex" : 0 }, "schema" : "https://github.com/citation-style-language/schema/raw/master/csl-citation.json" }</w:instrText>
            </w:r>
            <w:r w:rsidR="007D7ACC">
              <w:rPr>
                <w:rFonts w:ascii="Book Antiqua" w:hAnsi="Book Antiqua"/>
                <w:sz w:val="16"/>
                <w:szCs w:val="16"/>
                <w:lang w:val="en-GB"/>
              </w:rPr>
              <w:fldChar w:fldCharType="separate"/>
            </w:r>
            <w:r w:rsidRPr="005F5C48">
              <w:rPr>
                <w:rFonts w:ascii="Book Antiqua" w:hAnsi="Book Antiqua"/>
                <w:noProof/>
                <w:sz w:val="16"/>
                <w:szCs w:val="16"/>
                <w:vertAlign w:val="superscript"/>
                <w:lang w:val="en-GB"/>
              </w:rPr>
              <w:t>[58]</w:t>
            </w:r>
            <w:r w:rsidR="007D7ACC">
              <w:rPr>
                <w:rFonts w:ascii="Book Antiqua" w:hAnsi="Book Antiqua"/>
                <w:sz w:val="16"/>
                <w:szCs w:val="16"/>
                <w:lang w:val="en-GB"/>
              </w:rPr>
              <w:fldChar w:fldCharType="end"/>
            </w:r>
          </w:p>
        </w:tc>
        <w:tc>
          <w:tcPr>
            <w:tcW w:w="518" w:type="dxa"/>
            <w:vMerge w:val="restart"/>
            <w:shd w:val="clear" w:color="auto" w:fill="auto"/>
            <w:tcMar>
              <w:left w:w="51" w:type="dxa"/>
            </w:tcMar>
          </w:tcPr>
          <w:p w14:paraId="6A908122" w14:textId="77777777" w:rsidR="002C46A4" w:rsidRDefault="002C46A4"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P</w:t>
            </w:r>
          </w:p>
        </w:tc>
        <w:tc>
          <w:tcPr>
            <w:tcW w:w="1827" w:type="dxa"/>
            <w:vMerge w:val="restart"/>
            <w:shd w:val="clear" w:color="auto" w:fill="auto"/>
            <w:tcMar>
              <w:left w:w="51" w:type="dxa"/>
            </w:tcMar>
          </w:tcPr>
          <w:p w14:paraId="44B6D82F" w14:textId="77777777" w:rsidR="002C46A4" w:rsidRDefault="002C46A4"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EAD requiring reintervention before POD2 or causing death/retransplantation within POD14</w:t>
            </w:r>
          </w:p>
        </w:tc>
        <w:tc>
          <w:tcPr>
            <w:tcW w:w="1195" w:type="dxa"/>
            <w:vMerge w:val="restart"/>
            <w:shd w:val="clear" w:color="auto" w:fill="auto"/>
            <w:tcMar>
              <w:left w:w="51" w:type="dxa"/>
            </w:tcMar>
          </w:tcPr>
          <w:p w14:paraId="7BE50A39" w14:textId="43193C76" w:rsidR="002C46A4" w:rsidRDefault="002C46A4"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99 LT:</w:t>
            </w:r>
            <w:r w:rsidR="00403E8B">
              <w:rPr>
                <w:rFonts w:ascii="Book Antiqua" w:hAnsi="Book Antiqua"/>
                <w:sz w:val="16"/>
                <w:szCs w:val="16"/>
                <w:lang w:val="en-GB"/>
              </w:rPr>
              <w:t xml:space="preserve"> </w:t>
            </w:r>
            <w:r>
              <w:rPr>
                <w:rFonts w:ascii="Book Antiqua" w:hAnsi="Book Antiqua"/>
                <w:sz w:val="16"/>
                <w:szCs w:val="16"/>
                <w:lang w:val="en-GB"/>
              </w:rPr>
              <w:t>32% alcoholic, 23% HCV</w:t>
            </w:r>
          </w:p>
        </w:tc>
        <w:tc>
          <w:tcPr>
            <w:tcW w:w="888" w:type="dxa"/>
            <w:shd w:val="clear" w:color="auto" w:fill="auto"/>
            <w:tcMar>
              <w:left w:w="51" w:type="dxa"/>
            </w:tcMar>
          </w:tcPr>
          <w:p w14:paraId="1CC627E4" w14:textId="77777777" w:rsidR="002C46A4" w:rsidRDefault="002C46A4"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0</w:t>
            </w:r>
          </w:p>
          <w:p w14:paraId="78F520FA" w14:textId="3A314293" w:rsidR="002C46A4" w:rsidRDefault="002C46A4" w:rsidP="00422EBA">
            <w:pPr>
              <w:pStyle w:val="Contenutotabella"/>
              <w:adjustRightInd w:val="0"/>
              <w:snapToGrid w:val="0"/>
              <w:spacing w:after="0" w:line="360" w:lineRule="auto"/>
              <w:jc w:val="both"/>
              <w:rPr>
                <w:rFonts w:ascii="Book Antiqua" w:hAnsi="Book Antiqua"/>
                <w:sz w:val="16"/>
                <w:szCs w:val="16"/>
                <w:lang w:val="en-GB"/>
              </w:rPr>
            </w:pPr>
          </w:p>
        </w:tc>
        <w:tc>
          <w:tcPr>
            <w:tcW w:w="1654" w:type="dxa"/>
            <w:shd w:val="clear" w:color="auto" w:fill="auto"/>
            <w:tcMar>
              <w:left w:w="51" w:type="dxa"/>
            </w:tcMar>
          </w:tcPr>
          <w:p w14:paraId="6EFF1E23" w14:textId="3B36FE8B" w:rsidR="002C46A4" w:rsidRDefault="002C46A4"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 xml:space="preserve">64 </w:t>
            </w:r>
            <w:r>
              <w:rPr>
                <w:rFonts w:ascii="Times New Roman" w:hAnsi="Times New Roman"/>
                <w:sz w:val="16"/>
                <w:szCs w:val="16"/>
                <w:lang w:val="en-GB"/>
              </w:rPr>
              <w:t>μ</w:t>
            </w:r>
            <w:r w:rsidR="001D36E2">
              <w:rPr>
                <w:rFonts w:ascii="Book Antiqua" w:hAnsi="Book Antiqua"/>
                <w:sz w:val="16"/>
                <w:szCs w:val="16"/>
                <w:lang w:val="en-GB"/>
              </w:rPr>
              <w:t>g/kg per hour</w:t>
            </w:r>
          </w:p>
          <w:p w14:paraId="4C3426B7" w14:textId="0ED3D4BA" w:rsidR="002C46A4" w:rsidRDefault="002C46A4" w:rsidP="00422EBA">
            <w:pPr>
              <w:pStyle w:val="Contenutotabella"/>
              <w:adjustRightInd w:val="0"/>
              <w:snapToGrid w:val="0"/>
              <w:spacing w:after="0" w:line="360" w:lineRule="auto"/>
              <w:jc w:val="both"/>
              <w:rPr>
                <w:rFonts w:ascii="Book Antiqua" w:hAnsi="Book Antiqua"/>
                <w:sz w:val="16"/>
                <w:szCs w:val="16"/>
                <w:lang w:val="en-GB"/>
              </w:rPr>
            </w:pPr>
          </w:p>
        </w:tc>
        <w:tc>
          <w:tcPr>
            <w:tcW w:w="1369" w:type="dxa"/>
            <w:shd w:val="clear" w:color="auto" w:fill="auto"/>
            <w:tcMar>
              <w:left w:w="51" w:type="dxa"/>
            </w:tcMar>
          </w:tcPr>
          <w:p w14:paraId="07BE1A05" w14:textId="77777777" w:rsidR="002C46A4" w:rsidRDefault="002C46A4"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0.960 (0.921-0.998)</w:t>
            </w:r>
          </w:p>
          <w:p w14:paraId="22F8D5A2" w14:textId="6F949672" w:rsidR="002C46A4" w:rsidRDefault="002C46A4" w:rsidP="00422EBA">
            <w:pPr>
              <w:pStyle w:val="Contenutotabella"/>
              <w:adjustRightInd w:val="0"/>
              <w:snapToGrid w:val="0"/>
              <w:spacing w:after="0" w:line="360" w:lineRule="auto"/>
              <w:jc w:val="both"/>
              <w:rPr>
                <w:rFonts w:ascii="Book Antiqua" w:hAnsi="Book Antiqua"/>
                <w:sz w:val="16"/>
                <w:szCs w:val="16"/>
                <w:lang w:val="en-GB"/>
              </w:rPr>
            </w:pPr>
          </w:p>
        </w:tc>
        <w:tc>
          <w:tcPr>
            <w:tcW w:w="1106" w:type="dxa"/>
            <w:shd w:val="clear" w:color="auto" w:fill="auto"/>
            <w:tcMar>
              <w:left w:w="51" w:type="dxa"/>
            </w:tcMar>
          </w:tcPr>
          <w:p w14:paraId="3F287AF3" w14:textId="77777777" w:rsidR="002C46A4" w:rsidRDefault="002C46A4"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100 (60-100)</w:t>
            </w:r>
          </w:p>
          <w:p w14:paraId="0F01809E" w14:textId="325C7A11" w:rsidR="002C46A4" w:rsidRDefault="002C46A4" w:rsidP="00422EBA">
            <w:pPr>
              <w:pStyle w:val="Contenutotabella"/>
              <w:adjustRightInd w:val="0"/>
              <w:snapToGrid w:val="0"/>
              <w:spacing w:after="0" w:line="360" w:lineRule="auto"/>
              <w:jc w:val="both"/>
              <w:rPr>
                <w:rFonts w:ascii="Book Antiqua" w:hAnsi="Book Antiqua"/>
                <w:sz w:val="16"/>
                <w:szCs w:val="16"/>
                <w:lang w:val="en-GB"/>
              </w:rPr>
            </w:pPr>
          </w:p>
        </w:tc>
        <w:tc>
          <w:tcPr>
            <w:tcW w:w="1103" w:type="dxa"/>
            <w:shd w:val="clear" w:color="auto" w:fill="auto"/>
            <w:tcMar>
              <w:left w:w="51" w:type="dxa"/>
            </w:tcMar>
          </w:tcPr>
          <w:p w14:paraId="47AFD3B0" w14:textId="77777777" w:rsidR="002C46A4" w:rsidRDefault="002C46A4"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92 (84-97)</w:t>
            </w:r>
          </w:p>
          <w:p w14:paraId="3F58D9CF" w14:textId="20C3B22C" w:rsidR="002C46A4" w:rsidRDefault="002C46A4" w:rsidP="00422EBA">
            <w:pPr>
              <w:pStyle w:val="Contenutotabella"/>
              <w:adjustRightInd w:val="0"/>
              <w:snapToGrid w:val="0"/>
              <w:spacing w:after="0" w:line="360" w:lineRule="auto"/>
              <w:jc w:val="both"/>
              <w:rPr>
                <w:rFonts w:ascii="Book Antiqua" w:hAnsi="Book Antiqua"/>
                <w:sz w:val="16"/>
                <w:szCs w:val="16"/>
                <w:lang w:val="en-GB"/>
              </w:rPr>
            </w:pPr>
          </w:p>
        </w:tc>
        <w:tc>
          <w:tcPr>
            <w:tcW w:w="917" w:type="dxa"/>
            <w:shd w:val="clear" w:color="auto" w:fill="auto"/>
            <w:tcMar>
              <w:left w:w="51" w:type="dxa"/>
            </w:tcMar>
          </w:tcPr>
          <w:p w14:paraId="4EA8AFFE" w14:textId="77777777" w:rsidR="002C46A4" w:rsidRDefault="002C46A4"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53 (27-78)</w:t>
            </w:r>
          </w:p>
          <w:p w14:paraId="38747C4A" w14:textId="0E970D37" w:rsidR="002C46A4" w:rsidRDefault="002C46A4" w:rsidP="00422EBA">
            <w:pPr>
              <w:pStyle w:val="Contenutotabella"/>
              <w:adjustRightInd w:val="0"/>
              <w:snapToGrid w:val="0"/>
              <w:spacing w:after="0" w:line="360" w:lineRule="auto"/>
              <w:jc w:val="both"/>
              <w:rPr>
                <w:rFonts w:ascii="Book Antiqua" w:hAnsi="Book Antiqua"/>
                <w:sz w:val="16"/>
                <w:szCs w:val="16"/>
                <w:lang w:val="en-GB"/>
              </w:rPr>
            </w:pPr>
          </w:p>
        </w:tc>
        <w:tc>
          <w:tcPr>
            <w:tcW w:w="890" w:type="dxa"/>
            <w:shd w:val="clear" w:color="auto" w:fill="auto"/>
            <w:tcMar>
              <w:left w:w="51" w:type="dxa"/>
            </w:tcMar>
          </w:tcPr>
          <w:p w14:paraId="67D0F4A1" w14:textId="77777777" w:rsidR="002C46A4" w:rsidRDefault="002C46A4"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100 (95-100)</w:t>
            </w:r>
          </w:p>
          <w:p w14:paraId="5645A4D8" w14:textId="53E2B88B" w:rsidR="002C46A4" w:rsidRDefault="002C46A4" w:rsidP="00422EBA">
            <w:pPr>
              <w:pStyle w:val="Contenutotabella"/>
              <w:adjustRightInd w:val="0"/>
              <w:snapToGrid w:val="0"/>
              <w:spacing w:after="0" w:line="360" w:lineRule="auto"/>
              <w:jc w:val="both"/>
              <w:rPr>
                <w:rFonts w:ascii="Book Antiqua" w:hAnsi="Book Antiqua"/>
                <w:sz w:val="16"/>
                <w:szCs w:val="16"/>
                <w:lang w:val="en-GB"/>
              </w:rPr>
            </w:pPr>
          </w:p>
        </w:tc>
      </w:tr>
      <w:tr w:rsidR="00F26BF6" w14:paraId="0CEA85E5" w14:textId="77777777" w:rsidTr="001D36E2">
        <w:trPr>
          <w:trHeight w:val="308"/>
        </w:trPr>
        <w:tc>
          <w:tcPr>
            <w:tcW w:w="1589" w:type="dxa"/>
            <w:vMerge/>
            <w:shd w:val="clear" w:color="auto" w:fill="auto"/>
            <w:tcMar>
              <w:left w:w="51" w:type="dxa"/>
            </w:tcMar>
            <w:vAlign w:val="center"/>
          </w:tcPr>
          <w:p w14:paraId="36FBDD51" w14:textId="77777777" w:rsidR="002C46A4" w:rsidRDefault="002C46A4" w:rsidP="00422EBA">
            <w:pPr>
              <w:pStyle w:val="Contenutotabella"/>
              <w:adjustRightInd w:val="0"/>
              <w:snapToGrid w:val="0"/>
              <w:spacing w:after="0" w:line="360" w:lineRule="auto"/>
              <w:jc w:val="both"/>
              <w:rPr>
                <w:rFonts w:ascii="Book Antiqua" w:hAnsi="Book Antiqua"/>
                <w:sz w:val="16"/>
                <w:szCs w:val="16"/>
                <w:lang w:val="en-GB"/>
              </w:rPr>
            </w:pPr>
          </w:p>
        </w:tc>
        <w:tc>
          <w:tcPr>
            <w:tcW w:w="1397" w:type="dxa"/>
            <w:vMerge/>
            <w:shd w:val="clear" w:color="auto" w:fill="auto"/>
            <w:tcMar>
              <w:left w:w="51" w:type="dxa"/>
            </w:tcMar>
          </w:tcPr>
          <w:p w14:paraId="776634E1" w14:textId="77777777" w:rsidR="002C46A4" w:rsidRDefault="002C46A4" w:rsidP="00422EBA">
            <w:pPr>
              <w:pStyle w:val="Contenutotabella"/>
              <w:adjustRightInd w:val="0"/>
              <w:snapToGrid w:val="0"/>
              <w:spacing w:after="0" w:line="360" w:lineRule="auto"/>
              <w:jc w:val="both"/>
              <w:rPr>
                <w:rFonts w:ascii="Book Antiqua" w:hAnsi="Book Antiqua"/>
                <w:sz w:val="16"/>
                <w:szCs w:val="16"/>
                <w:lang w:val="en-GB"/>
              </w:rPr>
            </w:pPr>
          </w:p>
        </w:tc>
        <w:tc>
          <w:tcPr>
            <w:tcW w:w="518" w:type="dxa"/>
            <w:vMerge/>
            <w:shd w:val="clear" w:color="auto" w:fill="auto"/>
            <w:tcMar>
              <w:left w:w="51" w:type="dxa"/>
            </w:tcMar>
          </w:tcPr>
          <w:p w14:paraId="27078E61" w14:textId="77777777" w:rsidR="002C46A4" w:rsidRDefault="002C46A4" w:rsidP="00422EBA">
            <w:pPr>
              <w:pStyle w:val="Contenutotabella"/>
              <w:adjustRightInd w:val="0"/>
              <w:snapToGrid w:val="0"/>
              <w:spacing w:after="0" w:line="360" w:lineRule="auto"/>
              <w:jc w:val="both"/>
              <w:rPr>
                <w:rFonts w:ascii="Book Antiqua" w:hAnsi="Book Antiqua"/>
                <w:sz w:val="16"/>
                <w:szCs w:val="16"/>
                <w:lang w:val="en-GB"/>
              </w:rPr>
            </w:pPr>
          </w:p>
        </w:tc>
        <w:tc>
          <w:tcPr>
            <w:tcW w:w="1827" w:type="dxa"/>
            <w:vMerge/>
            <w:shd w:val="clear" w:color="auto" w:fill="auto"/>
            <w:tcMar>
              <w:left w:w="51" w:type="dxa"/>
            </w:tcMar>
          </w:tcPr>
          <w:p w14:paraId="67EDF5C7" w14:textId="77777777" w:rsidR="002C46A4" w:rsidRDefault="002C46A4" w:rsidP="00422EBA">
            <w:pPr>
              <w:pStyle w:val="Contenutotabella"/>
              <w:adjustRightInd w:val="0"/>
              <w:snapToGrid w:val="0"/>
              <w:spacing w:after="0" w:line="360" w:lineRule="auto"/>
              <w:jc w:val="both"/>
              <w:rPr>
                <w:rFonts w:ascii="Book Antiqua" w:hAnsi="Book Antiqua"/>
                <w:sz w:val="16"/>
                <w:szCs w:val="16"/>
                <w:lang w:val="en-GB"/>
              </w:rPr>
            </w:pPr>
          </w:p>
        </w:tc>
        <w:tc>
          <w:tcPr>
            <w:tcW w:w="1195" w:type="dxa"/>
            <w:vMerge/>
            <w:shd w:val="clear" w:color="auto" w:fill="auto"/>
            <w:tcMar>
              <w:left w:w="51" w:type="dxa"/>
            </w:tcMar>
          </w:tcPr>
          <w:p w14:paraId="2EFACBA1" w14:textId="77777777" w:rsidR="002C46A4" w:rsidRDefault="002C46A4" w:rsidP="00422EBA">
            <w:pPr>
              <w:pStyle w:val="Contenutotabella"/>
              <w:adjustRightInd w:val="0"/>
              <w:snapToGrid w:val="0"/>
              <w:spacing w:after="0" w:line="360" w:lineRule="auto"/>
              <w:jc w:val="both"/>
              <w:rPr>
                <w:rFonts w:ascii="Book Antiqua" w:hAnsi="Book Antiqua"/>
                <w:sz w:val="16"/>
                <w:szCs w:val="16"/>
                <w:lang w:val="en-GB"/>
              </w:rPr>
            </w:pPr>
          </w:p>
        </w:tc>
        <w:tc>
          <w:tcPr>
            <w:tcW w:w="888" w:type="dxa"/>
            <w:shd w:val="clear" w:color="auto" w:fill="auto"/>
            <w:tcMar>
              <w:left w:w="51" w:type="dxa"/>
            </w:tcMar>
          </w:tcPr>
          <w:p w14:paraId="6662AE63" w14:textId="77777777" w:rsidR="002C46A4" w:rsidRDefault="002C46A4"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1</w:t>
            </w:r>
          </w:p>
        </w:tc>
        <w:tc>
          <w:tcPr>
            <w:tcW w:w="1654" w:type="dxa"/>
            <w:shd w:val="clear" w:color="auto" w:fill="auto"/>
            <w:tcMar>
              <w:left w:w="51" w:type="dxa"/>
            </w:tcMar>
          </w:tcPr>
          <w:p w14:paraId="72C8F011" w14:textId="0E22ACD5" w:rsidR="002C46A4" w:rsidRDefault="002C46A4"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 xml:space="preserve">43 </w:t>
            </w:r>
            <w:r>
              <w:rPr>
                <w:rFonts w:ascii="Times New Roman" w:hAnsi="Times New Roman"/>
                <w:sz w:val="16"/>
                <w:szCs w:val="16"/>
                <w:lang w:val="en-GB"/>
              </w:rPr>
              <w:t>μ</w:t>
            </w:r>
            <w:r w:rsidR="001D36E2">
              <w:rPr>
                <w:rFonts w:ascii="Book Antiqua" w:hAnsi="Book Antiqua"/>
                <w:sz w:val="16"/>
                <w:szCs w:val="16"/>
                <w:lang w:val="en-GB"/>
              </w:rPr>
              <w:t>g/kg per hour</w:t>
            </w:r>
          </w:p>
        </w:tc>
        <w:tc>
          <w:tcPr>
            <w:tcW w:w="1369" w:type="dxa"/>
            <w:shd w:val="clear" w:color="auto" w:fill="auto"/>
            <w:tcMar>
              <w:left w:w="51" w:type="dxa"/>
            </w:tcMar>
          </w:tcPr>
          <w:p w14:paraId="21AEAFCB" w14:textId="77777777" w:rsidR="002C46A4" w:rsidRDefault="002C46A4"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0.992 (0.975-1.000)</w:t>
            </w:r>
          </w:p>
        </w:tc>
        <w:tc>
          <w:tcPr>
            <w:tcW w:w="1106" w:type="dxa"/>
            <w:shd w:val="clear" w:color="auto" w:fill="auto"/>
            <w:tcMar>
              <w:left w:w="51" w:type="dxa"/>
            </w:tcMar>
          </w:tcPr>
          <w:p w14:paraId="459ABCB6" w14:textId="77777777" w:rsidR="002C46A4" w:rsidRDefault="002C46A4"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100 (31-100)</w:t>
            </w:r>
          </w:p>
        </w:tc>
        <w:tc>
          <w:tcPr>
            <w:tcW w:w="1103" w:type="dxa"/>
            <w:shd w:val="clear" w:color="auto" w:fill="auto"/>
            <w:tcMar>
              <w:left w:w="51" w:type="dxa"/>
            </w:tcMar>
          </w:tcPr>
          <w:p w14:paraId="5C467446" w14:textId="77777777" w:rsidR="002C46A4" w:rsidRDefault="002C46A4"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100 (94-100)</w:t>
            </w:r>
          </w:p>
        </w:tc>
        <w:tc>
          <w:tcPr>
            <w:tcW w:w="917" w:type="dxa"/>
            <w:shd w:val="clear" w:color="auto" w:fill="auto"/>
            <w:tcMar>
              <w:left w:w="51" w:type="dxa"/>
            </w:tcMar>
          </w:tcPr>
          <w:p w14:paraId="15E77953" w14:textId="77777777" w:rsidR="002C46A4" w:rsidRDefault="002C46A4"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100(31-100)</w:t>
            </w:r>
          </w:p>
        </w:tc>
        <w:tc>
          <w:tcPr>
            <w:tcW w:w="890" w:type="dxa"/>
            <w:shd w:val="clear" w:color="auto" w:fill="auto"/>
            <w:tcMar>
              <w:left w:w="51" w:type="dxa"/>
            </w:tcMar>
          </w:tcPr>
          <w:p w14:paraId="6C261B19" w14:textId="77777777" w:rsidR="002C46A4" w:rsidRDefault="002C46A4"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100 (94-100)</w:t>
            </w:r>
          </w:p>
        </w:tc>
      </w:tr>
      <w:tr w:rsidR="007050A2" w:rsidRPr="00943FB3" w14:paraId="366AAB50" w14:textId="77777777" w:rsidTr="001D36E2">
        <w:tc>
          <w:tcPr>
            <w:tcW w:w="1589" w:type="dxa"/>
            <w:vMerge w:val="restart"/>
            <w:shd w:val="clear" w:color="auto" w:fill="auto"/>
            <w:tcMar>
              <w:left w:w="51" w:type="dxa"/>
            </w:tcMar>
            <w:vAlign w:val="center"/>
          </w:tcPr>
          <w:p w14:paraId="1C1F66C1" w14:textId="77777777" w:rsidR="007050A2" w:rsidRDefault="007050A2"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Platelets count</w:t>
            </w:r>
          </w:p>
        </w:tc>
        <w:tc>
          <w:tcPr>
            <w:tcW w:w="1397" w:type="dxa"/>
            <w:shd w:val="clear" w:color="auto" w:fill="auto"/>
            <w:tcMar>
              <w:left w:w="51" w:type="dxa"/>
            </w:tcMar>
          </w:tcPr>
          <w:p w14:paraId="04F95E36" w14:textId="5D036AFE" w:rsidR="007050A2" w:rsidRDefault="007050A2"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 xml:space="preserve">Lesurtel </w:t>
            </w:r>
            <w:r w:rsidR="00E35182" w:rsidRPr="00E35182">
              <w:rPr>
                <w:rFonts w:ascii="Book Antiqua" w:hAnsi="Book Antiqua"/>
                <w:i/>
                <w:sz w:val="16"/>
                <w:szCs w:val="16"/>
                <w:lang w:val="en-GB"/>
              </w:rPr>
              <w:t>et al</w:t>
            </w:r>
            <w:r>
              <w:rPr>
                <w:rFonts w:ascii="Book Antiqua" w:hAnsi="Book Antiqua"/>
                <w:sz w:val="16"/>
                <w:szCs w:val="16"/>
                <w:lang w:val="en-GB"/>
              </w:rPr>
              <w:fldChar w:fldCharType="begin" w:fldLock="1"/>
            </w:r>
            <w:r>
              <w:rPr>
                <w:rFonts w:ascii="Book Antiqua" w:hAnsi="Book Antiqua"/>
                <w:sz w:val="16"/>
                <w:szCs w:val="16"/>
                <w:lang w:val="en-GB"/>
              </w:rPr>
              <w:instrText>ADDIN CSL_CITATION { "citationItems" : [ { "id" : "ITEM-1", "itemData" : { "DOI" : "10.1002/lt.23759", "ISSN" : "1527-6473", "PMID" : "24123804", "abstract" : "Platelets play a critical role in liver injury and regeneration. Thrombocytopenia is associated with increases in postoperative complications after partial hepatectomy, but it is unknown whether platelet counts could also predict outcomes after transplantation, a procedure that is often performed in thrombocytopenic patients. Therefore, the aim of this study was to evaluate whether platelet counts could be indicators of short- and long-term outcomes after liver transplantation (LT). Two hundred fifty-seven consecutive LT recipients (January 2003-December 2011) from our prospective database were analyzed. Preoperative and daily postoperative platelet counts were recorded until postoperative day 7 (POD7). Univariate and multivariate analyses were performed to assess whether low perioperative platelet counts were a risk factor for postoperative complications and graft and patient survival. The median pretransplant platelet count was 88 \u00d7 10(9) /L [interquartile range (IQR) = 58-127 \u00d7 10(9) /L]. The lowest platelet counts occurred on POD3: the median was 56 \u00d7 10(9) /L (IQR = 41-86 \u00d7 10(9) /L). Patients with low platelet counts on POD5 had higher rates of severe (grade IIIb/IV) complications [39% versus 29%, odds ratio (OR) = 1.09 (95% CI = 1.1-3.3), P = 0.02] and 90-day mortality [16% versus 8%, OR = 2.25 (95% CI = 1.0-5.0), P = 0.05]. In the multivariate analysis, POD5 platelet counts &lt; 60 \u00d7 10(9) /L were identified as an independent risk factor for grade IIIb/IV complications [OR = 1.96 (95% CI = 1.07-3.56), P = 0.03)], graft survival [hazard ratio (HR) = 2.0 (95% CI = 1.1-3.6), P = 0.03)], and patient survival [HR = 2.2 (95% CI = 1.1-4.6), P = 0.03)]. The predictive value of platelet counts for graft and patient survival was lost in patients who survived 90 days. In conclusion, after LT, platelet counts &lt; 60 \u00d7 10(9) /L on POD5 (the 60-5 criterion) are an independent factor associated with severe complications and early graft and patient survival. These findings may help us to develop protective strategies or specific interventions for high-risk patients.", "author" : [ { "dropping-particle" : "", "family" : "Lesurtel", "given" : "Micka\u00ebl", "non-dropping-particle" : "", "parse-names" : false, "suffix" : "" }, { "dropping-particle" : "", "family" : "Raptis", "given" : "Dimitri A", "non-dropping-particle" : "", "parse-names" : false, "suffix" : "" }, { "dropping-particle" : "", "family" : "Melloul", "given" : "Emmanuel", "non-dropping-particle" : "", "parse-names" : false, "suffix" : "" }, { "dropping-particle" : "", "family" : "Schlegel", "given" : "Andrea", "non-dropping-particle" : "", "parse-names" : false, "suffix" : "" }, { "dropping-particle" : "", "family" : "Oberkofler", "given" : "Christian", "non-dropping-particle" : "", "parse-names" : false, "suffix" : "" }, { "dropping-particle" : "", "family" : "El-Badry", "given" : "Ashraf Mohammad", "non-dropping-particle" : "", "parse-names" : false, "suffix" : "" }, { "dropping-particle" : "", "family" : "Weber", "given" : "Annina", "non-dropping-particle" : "", "parse-names" : false, "suffix" : "" }, { "dropping-particle" : "", "family" : "Mueller", "given" : "Nicolas", "non-dropping-particle" : "", "parse-names" : false, "suffix" : "" }, { "dropping-particle" : "", "family" : "Dutkowski", "given" : "Philipp", "non-dropping-particle" : "", "parse-names" : false, "suffix" : "" }, { "dropping-particle" : "", "family" : "Clavien", "given" : "Pierre-Alain", "non-dropping-particle" : "", "parse-names" : false, "suffix" : "" } ], "container-title" : "Liver transplantation : official publication of the American Association for the Study of Liver Diseases and the International Liver Transplantation Society", "id" : "ITEM-1", "issue" : "2", "issued" : { "date-parts" : [ [ "2014", "2" ] ] }, "page" : "147-55", "title" : "Low platelet counts after liver transplantation predict early posttransplant survival: the 60-5 criterion.", "type" : "article-journal", "volume" : "20" }, "uris" : [ "http://www.mendeley.com/documents/?uuid=1ab4ce0c-5d52-42d0-9228-d9890f1aaceb" ] } ], "mendeley" : { "formattedCitation" : "&lt;sup&gt;[72]&lt;/sup&gt;", "plainTextFormattedCitation" : "[72]", "previouslyFormattedCitation" : "&lt;sup&gt;[72]&lt;/sup&gt;" }, "properties" : { "noteIndex" : 0 }, "schema" : "https://github.com/citation-style-language/schema/raw/master/csl-citation.json" }</w:instrText>
            </w:r>
            <w:r>
              <w:rPr>
                <w:rFonts w:ascii="Book Antiqua" w:hAnsi="Book Antiqua"/>
                <w:sz w:val="16"/>
                <w:szCs w:val="16"/>
                <w:lang w:val="en-GB"/>
              </w:rPr>
              <w:fldChar w:fldCharType="separate"/>
            </w:r>
            <w:r w:rsidRPr="00CD2CDC">
              <w:rPr>
                <w:rFonts w:ascii="Book Antiqua" w:hAnsi="Book Antiqua"/>
                <w:noProof/>
                <w:sz w:val="16"/>
                <w:szCs w:val="16"/>
                <w:vertAlign w:val="superscript"/>
                <w:lang w:val="en-GB"/>
              </w:rPr>
              <w:t>[72]</w:t>
            </w:r>
            <w:r>
              <w:rPr>
                <w:rFonts w:ascii="Book Antiqua" w:hAnsi="Book Antiqua"/>
                <w:sz w:val="16"/>
                <w:szCs w:val="16"/>
                <w:lang w:val="en-GB"/>
              </w:rPr>
              <w:fldChar w:fldCharType="end"/>
            </w:r>
          </w:p>
        </w:tc>
        <w:tc>
          <w:tcPr>
            <w:tcW w:w="518" w:type="dxa"/>
            <w:shd w:val="clear" w:color="auto" w:fill="auto"/>
            <w:tcMar>
              <w:left w:w="51" w:type="dxa"/>
            </w:tcMar>
          </w:tcPr>
          <w:p w14:paraId="6D9FEE3E" w14:textId="77777777" w:rsidR="007050A2" w:rsidRDefault="007050A2"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R</w:t>
            </w:r>
          </w:p>
        </w:tc>
        <w:tc>
          <w:tcPr>
            <w:tcW w:w="1827" w:type="dxa"/>
            <w:shd w:val="clear" w:color="auto" w:fill="auto"/>
            <w:tcMar>
              <w:left w:w="51" w:type="dxa"/>
            </w:tcMar>
          </w:tcPr>
          <w:p w14:paraId="2B83BC4E" w14:textId="3C84AF76" w:rsidR="007050A2" w:rsidRDefault="007050A2"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Severe complications or 3-mo mortality</w:t>
            </w:r>
          </w:p>
        </w:tc>
        <w:tc>
          <w:tcPr>
            <w:tcW w:w="1195" w:type="dxa"/>
            <w:shd w:val="clear" w:color="auto" w:fill="auto"/>
            <w:tcMar>
              <w:left w:w="51" w:type="dxa"/>
            </w:tcMar>
          </w:tcPr>
          <w:p w14:paraId="481BC95D" w14:textId="753FDE01" w:rsidR="007050A2" w:rsidRDefault="007050A2"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257 LT: 38% HCV</w:t>
            </w:r>
          </w:p>
        </w:tc>
        <w:tc>
          <w:tcPr>
            <w:tcW w:w="888" w:type="dxa"/>
            <w:shd w:val="clear" w:color="auto" w:fill="auto"/>
            <w:tcMar>
              <w:left w:w="51" w:type="dxa"/>
            </w:tcMar>
          </w:tcPr>
          <w:p w14:paraId="6D08D36B" w14:textId="77777777" w:rsidR="007050A2" w:rsidRDefault="007050A2"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5</w:t>
            </w:r>
          </w:p>
        </w:tc>
        <w:tc>
          <w:tcPr>
            <w:tcW w:w="1654" w:type="dxa"/>
            <w:shd w:val="clear" w:color="auto" w:fill="auto"/>
            <w:tcMar>
              <w:left w:w="51" w:type="dxa"/>
            </w:tcMar>
          </w:tcPr>
          <w:p w14:paraId="06A39986" w14:textId="7C009D1E" w:rsidR="007050A2" w:rsidRDefault="007050A2"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60</w:t>
            </w:r>
            <w:r w:rsidR="00D5047F">
              <w:rPr>
                <w:rFonts w:ascii="Book Antiqua" w:eastAsiaTheme="minorEastAsia" w:hAnsi="Book Antiqua" w:hint="eastAsia"/>
                <w:sz w:val="16"/>
                <w:szCs w:val="16"/>
                <w:lang w:val="en-GB" w:eastAsia="zh-CN"/>
              </w:rPr>
              <w:t xml:space="preserve"> </w:t>
            </w:r>
            <w:r>
              <w:rPr>
                <w:rFonts w:ascii="Book Antiqua" w:hAnsi="Book Antiqua"/>
                <w:sz w:val="16"/>
                <w:szCs w:val="16"/>
                <w:lang w:val="en-GB"/>
              </w:rPr>
              <w:t>x</w:t>
            </w:r>
            <w:r w:rsidR="00D5047F">
              <w:rPr>
                <w:rFonts w:ascii="Book Antiqua" w:eastAsiaTheme="minorEastAsia" w:hAnsi="Book Antiqua" w:hint="eastAsia"/>
                <w:sz w:val="16"/>
                <w:szCs w:val="16"/>
                <w:lang w:val="en-GB" w:eastAsia="zh-CN"/>
              </w:rPr>
              <w:t xml:space="preserve"> </w:t>
            </w:r>
            <w:r>
              <w:rPr>
                <w:rFonts w:ascii="Book Antiqua" w:hAnsi="Book Antiqua"/>
                <w:sz w:val="16"/>
                <w:szCs w:val="16"/>
                <w:lang w:val="en-GB"/>
              </w:rPr>
              <w:t>10</w:t>
            </w:r>
            <w:r>
              <w:rPr>
                <w:rFonts w:ascii="Book Antiqua" w:hAnsi="Book Antiqua"/>
                <w:sz w:val="16"/>
                <w:szCs w:val="16"/>
                <w:vertAlign w:val="superscript"/>
                <w:lang w:val="en-GB"/>
              </w:rPr>
              <w:t>9</w:t>
            </w:r>
            <w:r>
              <w:rPr>
                <w:rFonts w:ascii="Book Antiqua" w:hAnsi="Book Antiqua"/>
                <w:sz w:val="16"/>
                <w:szCs w:val="16"/>
                <w:lang w:val="en-GB"/>
              </w:rPr>
              <w:t>/L</w:t>
            </w:r>
          </w:p>
        </w:tc>
        <w:tc>
          <w:tcPr>
            <w:tcW w:w="1369" w:type="dxa"/>
            <w:shd w:val="clear" w:color="auto" w:fill="auto"/>
            <w:tcMar>
              <w:left w:w="51" w:type="dxa"/>
            </w:tcMar>
          </w:tcPr>
          <w:p w14:paraId="4D4561A7" w14:textId="77777777" w:rsidR="007050A2" w:rsidRDefault="007050A2" w:rsidP="00422EBA">
            <w:pPr>
              <w:pStyle w:val="Contenutotabella"/>
              <w:adjustRightInd w:val="0"/>
              <w:snapToGrid w:val="0"/>
              <w:spacing w:after="0" w:line="360" w:lineRule="auto"/>
              <w:jc w:val="both"/>
              <w:rPr>
                <w:rFonts w:ascii="Book Antiqua" w:hAnsi="Book Antiqua"/>
                <w:sz w:val="16"/>
                <w:szCs w:val="16"/>
                <w:lang w:val="en-GB"/>
              </w:rPr>
            </w:pPr>
          </w:p>
        </w:tc>
        <w:tc>
          <w:tcPr>
            <w:tcW w:w="1106" w:type="dxa"/>
            <w:shd w:val="clear" w:color="auto" w:fill="auto"/>
            <w:tcMar>
              <w:left w:w="51" w:type="dxa"/>
            </w:tcMar>
          </w:tcPr>
          <w:p w14:paraId="79C01171" w14:textId="77777777" w:rsidR="007050A2" w:rsidRDefault="007050A2"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58</w:t>
            </w:r>
          </w:p>
        </w:tc>
        <w:tc>
          <w:tcPr>
            <w:tcW w:w="1103" w:type="dxa"/>
            <w:shd w:val="clear" w:color="auto" w:fill="auto"/>
            <w:tcMar>
              <w:left w:w="51" w:type="dxa"/>
            </w:tcMar>
          </w:tcPr>
          <w:p w14:paraId="586A0AB8" w14:textId="77777777" w:rsidR="007050A2" w:rsidRDefault="007050A2"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61</w:t>
            </w:r>
          </w:p>
        </w:tc>
        <w:tc>
          <w:tcPr>
            <w:tcW w:w="917" w:type="dxa"/>
            <w:shd w:val="clear" w:color="auto" w:fill="auto"/>
            <w:tcMar>
              <w:left w:w="51" w:type="dxa"/>
            </w:tcMar>
          </w:tcPr>
          <w:p w14:paraId="772A199F" w14:textId="77777777" w:rsidR="007050A2" w:rsidRDefault="007050A2" w:rsidP="00422EBA">
            <w:pPr>
              <w:pStyle w:val="Contenutotabella"/>
              <w:adjustRightInd w:val="0"/>
              <w:snapToGrid w:val="0"/>
              <w:spacing w:after="0" w:line="360" w:lineRule="auto"/>
              <w:jc w:val="both"/>
              <w:rPr>
                <w:rFonts w:ascii="Book Antiqua" w:hAnsi="Book Antiqua"/>
                <w:sz w:val="16"/>
                <w:szCs w:val="16"/>
                <w:lang w:val="en-GB"/>
              </w:rPr>
            </w:pPr>
          </w:p>
        </w:tc>
        <w:tc>
          <w:tcPr>
            <w:tcW w:w="890" w:type="dxa"/>
            <w:shd w:val="clear" w:color="auto" w:fill="auto"/>
            <w:tcMar>
              <w:left w:w="51" w:type="dxa"/>
            </w:tcMar>
          </w:tcPr>
          <w:p w14:paraId="2525CE5E" w14:textId="77777777" w:rsidR="007050A2" w:rsidRDefault="007050A2" w:rsidP="00422EBA">
            <w:pPr>
              <w:pStyle w:val="Contenutotabella"/>
              <w:adjustRightInd w:val="0"/>
              <w:snapToGrid w:val="0"/>
              <w:spacing w:after="0" w:line="360" w:lineRule="auto"/>
              <w:jc w:val="both"/>
              <w:rPr>
                <w:rFonts w:ascii="Book Antiqua" w:hAnsi="Book Antiqua"/>
                <w:sz w:val="16"/>
                <w:szCs w:val="16"/>
                <w:lang w:val="en-GB"/>
              </w:rPr>
            </w:pPr>
          </w:p>
        </w:tc>
      </w:tr>
      <w:tr w:rsidR="007050A2" w:rsidRPr="00943FB3" w14:paraId="2175F840" w14:textId="77777777" w:rsidTr="001D36E2">
        <w:tc>
          <w:tcPr>
            <w:tcW w:w="1589" w:type="dxa"/>
            <w:vMerge/>
            <w:shd w:val="clear" w:color="auto" w:fill="auto"/>
            <w:tcMar>
              <w:left w:w="51" w:type="dxa"/>
            </w:tcMar>
            <w:vAlign w:val="center"/>
          </w:tcPr>
          <w:p w14:paraId="353AFA9F" w14:textId="77777777" w:rsidR="007050A2" w:rsidRDefault="007050A2" w:rsidP="00422EBA">
            <w:pPr>
              <w:pStyle w:val="Contenutotabella"/>
              <w:adjustRightInd w:val="0"/>
              <w:snapToGrid w:val="0"/>
              <w:spacing w:after="0" w:line="360" w:lineRule="auto"/>
              <w:jc w:val="both"/>
              <w:rPr>
                <w:rFonts w:ascii="Book Antiqua" w:hAnsi="Book Antiqua"/>
                <w:sz w:val="16"/>
                <w:szCs w:val="16"/>
                <w:lang w:val="en-GB"/>
              </w:rPr>
            </w:pPr>
          </w:p>
        </w:tc>
        <w:tc>
          <w:tcPr>
            <w:tcW w:w="1397" w:type="dxa"/>
            <w:shd w:val="clear" w:color="auto" w:fill="auto"/>
            <w:tcMar>
              <w:left w:w="51" w:type="dxa"/>
            </w:tcMar>
          </w:tcPr>
          <w:p w14:paraId="4658395B" w14:textId="2F5059CB" w:rsidR="007050A2" w:rsidRDefault="007050A2"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 xml:space="preserve">Li </w:t>
            </w:r>
            <w:r w:rsidR="00E35182" w:rsidRPr="00E35182">
              <w:rPr>
                <w:rFonts w:ascii="Book Antiqua" w:hAnsi="Book Antiqua"/>
                <w:i/>
                <w:sz w:val="16"/>
                <w:szCs w:val="16"/>
                <w:lang w:val="en-GB"/>
              </w:rPr>
              <w:t>et al</w:t>
            </w:r>
            <w:r>
              <w:rPr>
                <w:rFonts w:ascii="Book Antiqua" w:hAnsi="Book Antiqua"/>
                <w:sz w:val="16"/>
                <w:szCs w:val="16"/>
                <w:lang w:val="en-GB"/>
              </w:rPr>
              <w:fldChar w:fldCharType="begin" w:fldLock="1"/>
            </w:r>
            <w:r>
              <w:rPr>
                <w:rFonts w:ascii="Book Antiqua" w:hAnsi="Book Antiqua"/>
                <w:sz w:val="16"/>
                <w:szCs w:val="16"/>
                <w:lang w:val="en-GB"/>
              </w:rPr>
              <w:instrText>ADDIN CSL_CITATION { "citationItems" : [ { "id" : "ITEM-1", "itemData" : { "DOI" : "10.1097/md.0000000000001373", "ISBN" : "0025-7974", "ISSN" : "0025-7974", "PMID" : "26313775", "abstract" : "To investigate whether the platelets can improve liver function by mediating liver regeneration. Using a retrospective cohort with 234 consecutive adult-to-adult living donor liver transplantation recipients, we have discussed the relationship between immediate postoperative platelet count and outcome. Patients have been stratified into Low Platelet Group (106 patients) with platelet &lt;/=68 x 10/L and High Platelet Group (128 patients) with platelet &gt;68 x 10/L.Low Platelet Group has a higher rate of preoperative thrombocytopenia (90.6% vs. 32.8%, P&lt;0.001), higher model for end-stage liver disease score (15 vs. 11, P&lt;0.001), cirrhosis (86.8% vs. 76.6%, P=0.046), hepatorenal syndrome (18.2% vs. 4.0%, P=0.005) and fulminant hepatic failure (26.4% vs. 7.8%, P&lt;0.001). The packed red blood cells transfusion (7.5 vs. 5, P = 0.023) and plasma transfusion (1275 mL vs. 800 mL, P=0.001) are more in patients with low platelet count. Low Platelet Group has a higher early allograft dysfunction (EAD) (22.6% vs. 7.0%, P=0.001) and severe complications (22.6% vs. 10.9%, P = 0.016). The 90-day mortality between the 2 groups is similar. The multivariate analysis has found that postoperative platelet &lt;/=68 x 10/L is an independent risk factor for EAD.Platelet maybe influences the functional status of the liver by promoting graft regeneration after liver transplantation.", "author" : [ { "dropping-particle" : "", "family" : "Li", "given" : "L", "non-dropping-particle" : "", "parse-names" : false, "suffix" : "" }, { "dropping-particle" : "", "family" : "Wang", "given" : "H", "non-dropping-particle" : "", "parse-names" : false, "suffix" : "" }, { "dropping-particle" : "", "family" : "Yang", "given" : "J", "non-dropping-particle" : "", "parse-names" : false, "suffix" : "" }, { "dropping-particle" : "", "family" : "Jiang", "given" : "L", "non-dropping-particle" : "", "parse-names" : false, "suffix" : "" }, { "dropping-particle" : "", "family" : "Yang", "given" : "J", "non-dropping-particle" : "", "parse-names" : false, "suffix" : "" }, { "dropping-particle" : "", "family" : "Wang", "given" : "W", "non-dropping-particle" : "", "parse-names" : false, "suffix" : "" }, { "dropping-particle" : "", "family" : "Yan", "given" : "L", "non-dropping-particle" : "", "parse-names" : false, "suffix" : "" }, { "dropping-particle" : "", "family" : "Wen", "given" : "T", "non-dropping-particle" : "", "parse-names" : false, "suffix" : "" }, { "dropping-particle" : "", "family" : "Li", "given" : "B", "non-dropping-particle" : "", "parse-names" : false, "suffix" : "" }, { "dropping-particle" : "", "family" : "Xu", "given" : "M", "non-dropping-particle" : "", "parse-names" : false, "suffix" : "" } ], "container-title" : "Medicine (Baltimore)", "id" : "ITEM-1", "issue" : "34", "issued" : { "date-parts" : [ [ "2015" ] ] }, "page" : "e1373", "title" : "Immediate Postoperative Low Platelet Counts After Living Donor Liver Transplantation Predict Early Allograft Dysfunction", "type" : "article-journal", "volume" : "94" }, "uris" : [ "http://www.mendeley.com/documents/?uuid=a4d4c47b-65f5-4a2c-a1cb-b0fbb3baee28" ] } ], "mendeley" : { "formattedCitation" : "&lt;sup&gt;[70]&lt;/sup&gt;", "plainTextFormattedCitation" : "[70]", "previouslyFormattedCitation" : "&lt;sup&gt;[70]&lt;/sup&gt;" }, "properties" : { "noteIndex" : 0 }, "schema" : "https://github.com/citation-style-language/schema/raw/master/csl-citation.json" }</w:instrText>
            </w:r>
            <w:r>
              <w:rPr>
                <w:rFonts w:ascii="Book Antiqua" w:hAnsi="Book Antiqua"/>
                <w:sz w:val="16"/>
                <w:szCs w:val="16"/>
                <w:lang w:val="en-GB"/>
              </w:rPr>
              <w:fldChar w:fldCharType="separate"/>
            </w:r>
            <w:r w:rsidRPr="00CD2CDC">
              <w:rPr>
                <w:rFonts w:ascii="Book Antiqua" w:hAnsi="Book Antiqua"/>
                <w:noProof/>
                <w:sz w:val="16"/>
                <w:szCs w:val="16"/>
                <w:vertAlign w:val="superscript"/>
                <w:lang w:val="en-GB"/>
              </w:rPr>
              <w:t>[70]</w:t>
            </w:r>
            <w:r>
              <w:rPr>
                <w:rFonts w:ascii="Book Antiqua" w:hAnsi="Book Antiqua"/>
                <w:sz w:val="16"/>
                <w:szCs w:val="16"/>
                <w:lang w:val="en-GB"/>
              </w:rPr>
              <w:fldChar w:fldCharType="end"/>
            </w:r>
          </w:p>
        </w:tc>
        <w:tc>
          <w:tcPr>
            <w:tcW w:w="518" w:type="dxa"/>
            <w:shd w:val="clear" w:color="auto" w:fill="auto"/>
            <w:tcMar>
              <w:left w:w="51" w:type="dxa"/>
            </w:tcMar>
          </w:tcPr>
          <w:p w14:paraId="419D3DE3" w14:textId="77777777" w:rsidR="007050A2" w:rsidRDefault="007050A2"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R</w:t>
            </w:r>
          </w:p>
        </w:tc>
        <w:tc>
          <w:tcPr>
            <w:tcW w:w="1827" w:type="dxa"/>
            <w:shd w:val="clear" w:color="auto" w:fill="auto"/>
            <w:tcMar>
              <w:left w:w="51" w:type="dxa"/>
            </w:tcMar>
          </w:tcPr>
          <w:p w14:paraId="485C0189" w14:textId="77777777" w:rsidR="007050A2" w:rsidRDefault="007050A2"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EAD prediction</w:t>
            </w:r>
          </w:p>
        </w:tc>
        <w:tc>
          <w:tcPr>
            <w:tcW w:w="1195" w:type="dxa"/>
            <w:shd w:val="clear" w:color="auto" w:fill="auto"/>
            <w:tcMar>
              <w:left w:w="51" w:type="dxa"/>
            </w:tcMar>
          </w:tcPr>
          <w:p w14:paraId="657F0588" w14:textId="357DBA95" w:rsidR="007050A2" w:rsidRDefault="007050A2"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234 LDLT: 45% HCC</w:t>
            </w:r>
          </w:p>
        </w:tc>
        <w:tc>
          <w:tcPr>
            <w:tcW w:w="888" w:type="dxa"/>
            <w:shd w:val="clear" w:color="auto" w:fill="auto"/>
            <w:tcMar>
              <w:left w:w="51" w:type="dxa"/>
            </w:tcMar>
          </w:tcPr>
          <w:p w14:paraId="55043082" w14:textId="77777777" w:rsidR="007050A2" w:rsidRDefault="007050A2"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2</w:t>
            </w:r>
          </w:p>
        </w:tc>
        <w:tc>
          <w:tcPr>
            <w:tcW w:w="1654" w:type="dxa"/>
            <w:shd w:val="clear" w:color="auto" w:fill="auto"/>
            <w:tcMar>
              <w:left w:w="51" w:type="dxa"/>
            </w:tcMar>
          </w:tcPr>
          <w:p w14:paraId="1CC5DFF8" w14:textId="7D313909" w:rsidR="007050A2" w:rsidRDefault="007050A2"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68</w:t>
            </w:r>
            <w:r w:rsidR="00D5047F">
              <w:rPr>
                <w:rFonts w:ascii="Book Antiqua" w:eastAsiaTheme="minorEastAsia" w:hAnsi="Book Antiqua" w:hint="eastAsia"/>
                <w:sz w:val="16"/>
                <w:szCs w:val="16"/>
                <w:lang w:val="en-GB" w:eastAsia="zh-CN"/>
              </w:rPr>
              <w:t xml:space="preserve"> </w:t>
            </w:r>
            <w:r>
              <w:rPr>
                <w:rFonts w:ascii="Book Antiqua" w:hAnsi="Book Antiqua"/>
                <w:sz w:val="16"/>
                <w:szCs w:val="16"/>
                <w:lang w:val="en-GB"/>
              </w:rPr>
              <w:t>x</w:t>
            </w:r>
            <w:r w:rsidR="00D5047F">
              <w:rPr>
                <w:rFonts w:ascii="Book Antiqua" w:eastAsiaTheme="minorEastAsia" w:hAnsi="Book Antiqua" w:hint="eastAsia"/>
                <w:sz w:val="16"/>
                <w:szCs w:val="16"/>
                <w:lang w:val="en-GB" w:eastAsia="zh-CN"/>
              </w:rPr>
              <w:t xml:space="preserve"> </w:t>
            </w:r>
            <w:r>
              <w:rPr>
                <w:rFonts w:ascii="Book Antiqua" w:hAnsi="Book Antiqua"/>
                <w:sz w:val="16"/>
                <w:szCs w:val="16"/>
                <w:lang w:val="en-GB"/>
              </w:rPr>
              <w:t>10</w:t>
            </w:r>
            <w:r>
              <w:rPr>
                <w:rFonts w:ascii="Book Antiqua" w:hAnsi="Book Antiqua"/>
                <w:sz w:val="16"/>
                <w:szCs w:val="16"/>
                <w:vertAlign w:val="superscript"/>
                <w:lang w:val="en-GB"/>
              </w:rPr>
              <w:t>9</w:t>
            </w:r>
            <w:r>
              <w:rPr>
                <w:rFonts w:ascii="Book Antiqua" w:hAnsi="Book Antiqua"/>
                <w:sz w:val="16"/>
                <w:szCs w:val="16"/>
                <w:lang w:val="en-GB"/>
              </w:rPr>
              <w:t>/L</w:t>
            </w:r>
          </w:p>
        </w:tc>
        <w:tc>
          <w:tcPr>
            <w:tcW w:w="1369" w:type="dxa"/>
            <w:shd w:val="clear" w:color="auto" w:fill="auto"/>
            <w:tcMar>
              <w:left w:w="51" w:type="dxa"/>
            </w:tcMar>
          </w:tcPr>
          <w:p w14:paraId="6E2DE06B" w14:textId="77777777" w:rsidR="007050A2" w:rsidRDefault="007050A2"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0.678</w:t>
            </w:r>
          </w:p>
        </w:tc>
        <w:tc>
          <w:tcPr>
            <w:tcW w:w="1106" w:type="dxa"/>
            <w:shd w:val="clear" w:color="auto" w:fill="auto"/>
            <w:tcMar>
              <w:left w:w="51" w:type="dxa"/>
            </w:tcMar>
          </w:tcPr>
          <w:p w14:paraId="710752F8" w14:textId="77777777" w:rsidR="007050A2" w:rsidRDefault="007050A2"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73</w:t>
            </w:r>
          </w:p>
        </w:tc>
        <w:tc>
          <w:tcPr>
            <w:tcW w:w="1103" w:type="dxa"/>
            <w:shd w:val="clear" w:color="auto" w:fill="auto"/>
            <w:tcMar>
              <w:left w:w="51" w:type="dxa"/>
            </w:tcMar>
          </w:tcPr>
          <w:p w14:paraId="4106D5BA" w14:textId="77777777" w:rsidR="007050A2" w:rsidRDefault="007050A2"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59</w:t>
            </w:r>
          </w:p>
        </w:tc>
        <w:tc>
          <w:tcPr>
            <w:tcW w:w="917" w:type="dxa"/>
            <w:shd w:val="clear" w:color="auto" w:fill="auto"/>
            <w:tcMar>
              <w:left w:w="51" w:type="dxa"/>
            </w:tcMar>
          </w:tcPr>
          <w:p w14:paraId="3E420E1F" w14:textId="77777777" w:rsidR="007050A2" w:rsidRDefault="007050A2" w:rsidP="00422EBA">
            <w:pPr>
              <w:pStyle w:val="Contenutotabella"/>
              <w:adjustRightInd w:val="0"/>
              <w:snapToGrid w:val="0"/>
              <w:spacing w:after="0" w:line="360" w:lineRule="auto"/>
              <w:jc w:val="both"/>
              <w:rPr>
                <w:rFonts w:ascii="Book Antiqua" w:hAnsi="Book Antiqua"/>
                <w:sz w:val="16"/>
                <w:szCs w:val="16"/>
                <w:lang w:val="en-GB"/>
              </w:rPr>
            </w:pPr>
          </w:p>
        </w:tc>
        <w:tc>
          <w:tcPr>
            <w:tcW w:w="890" w:type="dxa"/>
            <w:shd w:val="clear" w:color="auto" w:fill="auto"/>
            <w:tcMar>
              <w:left w:w="51" w:type="dxa"/>
            </w:tcMar>
          </w:tcPr>
          <w:p w14:paraId="07249508" w14:textId="77777777" w:rsidR="007050A2" w:rsidRDefault="007050A2" w:rsidP="00422EBA">
            <w:pPr>
              <w:pStyle w:val="Contenutotabella"/>
              <w:adjustRightInd w:val="0"/>
              <w:snapToGrid w:val="0"/>
              <w:spacing w:after="0" w:line="360" w:lineRule="auto"/>
              <w:jc w:val="both"/>
              <w:rPr>
                <w:rFonts w:ascii="Book Antiqua" w:hAnsi="Book Antiqua"/>
                <w:sz w:val="16"/>
                <w:szCs w:val="16"/>
                <w:lang w:val="en-GB"/>
              </w:rPr>
            </w:pPr>
          </w:p>
        </w:tc>
      </w:tr>
      <w:tr w:rsidR="007757E2" w:rsidRPr="00943FB3" w14:paraId="67E813B9" w14:textId="77777777" w:rsidTr="001D36E2">
        <w:tc>
          <w:tcPr>
            <w:tcW w:w="1589" w:type="dxa"/>
            <w:shd w:val="clear" w:color="auto" w:fill="auto"/>
            <w:tcMar>
              <w:left w:w="51" w:type="dxa"/>
            </w:tcMar>
            <w:vAlign w:val="center"/>
          </w:tcPr>
          <w:p w14:paraId="45C16666" w14:textId="77777777" w:rsidR="00B122DF" w:rsidRDefault="00B122DF"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lastRenderedPageBreak/>
              <w:t>Factor V</w:t>
            </w:r>
          </w:p>
        </w:tc>
        <w:tc>
          <w:tcPr>
            <w:tcW w:w="1397" w:type="dxa"/>
            <w:shd w:val="clear" w:color="auto" w:fill="auto"/>
            <w:tcMar>
              <w:left w:w="51" w:type="dxa"/>
            </w:tcMar>
          </w:tcPr>
          <w:p w14:paraId="46CEA78E" w14:textId="430713A2" w:rsidR="00B122DF" w:rsidRDefault="00B122DF"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 xml:space="preserve">Zulian </w:t>
            </w:r>
            <w:r w:rsidR="00E35182" w:rsidRPr="00E35182">
              <w:rPr>
                <w:rFonts w:ascii="Book Antiqua" w:hAnsi="Book Antiqua"/>
                <w:i/>
                <w:sz w:val="16"/>
                <w:szCs w:val="16"/>
                <w:lang w:val="en-GB"/>
              </w:rPr>
              <w:t>et al</w:t>
            </w:r>
            <w:r w:rsidR="007D7ACC">
              <w:rPr>
                <w:rFonts w:ascii="Book Antiqua" w:hAnsi="Book Antiqua"/>
                <w:sz w:val="16"/>
                <w:szCs w:val="16"/>
                <w:lang w:val="en-GB"/>
              </w:rPr>
              <w:fldChar w:fldCharType="begin" w:fldLock="1"/>
            </w:r>
            <w:r w:rsidR="00362C55">
              <w:rPr>
                <w:rFonts w:ascii="Book Antiqua" w:hAnsi="Book Antiqua"/>
                <w:sz w:val="16"/>
                <w:szCs w:val="16"/>
                <w:lang w:val="en-GB"/>
              </w:rPr>
              <w:instrText>ADDIN CSL_CITATION { "citationItems" : [ { "id" : "ITEM-1", "itemData" : { "DOI" : "10.1007/s00423-015-1290-2", "ISSN" : "1435-2451", "PMID" : "25708642", "abstract" : "PURPOSE: According to the current criteria, the diagnosis of early allograft dysfunction usually cannot be established before the end of the first week after liver transplantation. Thus, early predictive tests for detecting allograft dysfunction are still warranted to prevent allograft failure. This study was undertaken to assess the role of low serum factor V activity as an early prognostic factor (postoperative day 2) after liver transplantation. METHODS: A retrospective review of all consecutive adult patients who underwent first orthotopic whole-graft liver transplant at our institution between March 2002 and June 2011 was undertaken. Primary endpoint was graft failure within 90 days after transplantation. RESULTS: Of all 105 patients analyzed in this study, 39 (37.1 %) were female and 66 (62.9 %) were male. Mean age was 52.7 \u00b1 11.7 years, and median follow-up period was 2474 \u00b1 164 days. There were overall 33 (31.4 %) deaths, 13 of those occurring on the first 90 post-transplant days. Multivariate analysis demonstrated that serum factor V lower than 41.5 % and female gender had a negative impact not only on allograft failure/death within 90 days after transplantation (RR = 5.30, CI = 1.40-20.2, p = 0.015 and RR = 5.23, CI = 1.53-21.33, p = 0.008) but also on overall mortality. For prediction of allograft failure/death occurring during the first 3 months, serum factor V level of 41.5 % or lower exhibited a specificity of 87.9 %, a sensitivity of 42.9 %, an accuracy of 81.9 %, a positive predictive value of 35.3 %, and a negative predictive value of 90.9 %. CONCLUSIONS: Assessment of serum factor V levels on postoperative day 2 might be a promising prognostic tool for early prediction of inferior outcomes after liver transplantation.", "author" : [ { "dropping-particle" : "", "family" : "Zulian", "given" : "Mauricio C", "non-dropping-particle" : "", "parse-names" : false, "suffix" : "" }, { "dropping-particle" : "", "family" : "Chedid", "given" : "Marcio F", "non-dropping-particle" : "", "parse-names" : false, "suffix" : "" }, { "dropping-particle" : "", "family" : "Chedid", "given" : "Aljamir D", "non-dropping-particle" : "", "parse-names" : false, "suffix" : "" }, { "dropping-particle" : "", "family" : "Grezzana Filho", "given" : "Tomaz J M", "non-dropping-particle" : "", "parse-names" : false, "suffix" : "" }, { "dropping-particle" : "", "family" : "Leipnitz", "given" : "Ian", "non-dropping-particle" : "", "parse-names" : false, "suffix" : "" }, { "dropping-particle" : "", "family" : "Araujo", "given" : "Alexandre", "non-dropping-particle" : "de", "parse-names" : false, "suffix" : "" }, { "dropping-particle" : "", "family" : "Alvares-da-Silva", "given" : "Mario R", "non-dropping-particle" : "", "parse-names" : false, "suffix" : "" }, { "dropping-particle" : "", "family" : "Cardoni", "given" : "Mario G", "non-dropping-particle" : "", "parse-names" : false, "suffix" : "" }, { "dropping-particle" : "", "family" : "Guimaraes", "given" : "Luciano S", "non-dropping-particle" : "", "parse-names" : false, "suffix" : "" }, { "dropping-particle" : "", "family" : "Kruel", "given" : "Cleber D P", "non-dropping-particle" : "", "parse-names" : false, "suffix" : "" }, { "dropping-particle" : "", "family" : "Kruel", "given" : "Cleber R P", "non-dropping-particle" : "", "parse-names" : false, "suffix" : "" } ], "container-title" : "Langenbeck's archives of surgery / Deutsche Gesellschaft fu\u0308r Chirurgie", "id" : "ITEM-1", "issue" : "5", "issued" : { "date-parts" : [ [ "2015", "7" ] ] }, "page" : "589-97", "title" : "Low serum factor V level: early predictor of allograft failure and death following liver transplantation.", "type" : "article-journal", "volume" : "400" }, "uris" : [ "http://www.mendeley.com/documents/?uuid=4738e504-fe1d-416d-a508-04da2fb3d87d" ] } ], "mendeley" : { "formattedCitation" : "&lt;sup&gt;[76]&lt;/sup&gt;", "plainTextFormattedCitation" : "[76]", "previouslyFormattedCitation" : "&lt;sup&gt;[76]&lt;/sup&gt;" }, "properties" : { "noteIndex" : 0 }, "schema" : "https://github.com/citation-style-language/schema/raw/master/csl-citation.json" }</w:instrText>
            </w:r>
            <w:r w:rsidR="007D7ACC">
              <w:rPr>
                <w:rFonts w:ascii="Book Antiqua" w:hAnsi="Book Antiqua"/>
                <w:sz w:val="16"/>
                <w:szCs w:val="16"/>
                <w:lang w:val="en-GB"/>
              </w:rPr>
              <w:fldChar w:fldCharType="separate"/>
            </w:r>
            <w:r w:rsidR="00CD2CDC" w:rsidRPr="00CD2CDC">
              <w:rPr>
                <w:rFonts w:ascii="Book Antiqua" w:hAnsi="Book Antiqua"/>
                <w:noProof/>
                <w:sz w:val="16"/>
                <w:szCs w:val="16"/>
                <w:vertAlign w:val="superscript"/>
                <w:lang w:val="en-GB"/>
              </w:rPr>
              <w:t>[76]</w:t>
            </w:r>
            <w:r w:rsidR="007D7ACC">
              <w:rPr>
                <w:rFonts w:ascii="Book Antiqua" w:hAnsi="Book Antiqua"/>
                <w:sz w:val="16"/>
                <w:szCs w:val="16"/>
                <w:lang w:val="en-GB"/>
              </w:rPr>
              <w:fldChar w:fldCharType="end"/>
            </w:r>
          </w:p>
        </w:tc>
        <w:tc>
          <w:tcPr>
            <w:tcW w:w="518" w:type="dxa"/>
            <w:shd w:val="clear" w:color="auto" w:fill="auto"/>
            <w:tcMar>
              <w:left w:w="51" w:type="dxa"/>
            </w:tcMar>
          </w:tcPr>
          <w:p w14:paraId="00FED32C" w14:textId="77777777" w:rsidR="00B122DF" w:rsidRDefault="00B122DF"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R</w:t>
            </w:r>
          </w:p>
        </w:tc>
        <w:tc>
          <w:tcPr>
            <w:tcW w:w="1827" w:type="dxa"/>
            <w:shd w:val="clear" w:color="auto" w:fill="auto"/>
            <w:tcMar>
              <w:left w:w="51" w:type="dxa"/>
            </w:tcMar>
          </w:tcPr>
          <w:p w14:paraId="4AF7F7A1" w14:textId="77777777" w:rsidR="00B122DF" w:rsidRDefault="00B122DF"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Graft failure within POD90</w:t>
            </w:r>
          </w:p>
        </w:tc>
        <w:tc>
          <w:tcPr>
            <w:tcW w:w="1195" w:type="dxa"/>
            <w:shd w:val="clear" w:color="auto" w:fill="auto"/>
            <w:tcMar>
              <w:left w:w="51" w:type="dxa"/>
            </w:tcMar>
          </w:tcPr>
          <w:p w14:paraId="2D879F72" w14:textId="4CD3088D" w:rsidR="00B122DF" w:rsidRDefault="00B122DF"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105 LT:</w:t>
            </w:r>
            <w:r w:rsidR="00403E8B">
              <w:rPr>
                <w:rFonts w:ascii="Book Antiqua" w:hAnsi="Book Antiqua"/>
                <w:sz w:val="16"/>
                <w:szCs w:val="16"/>
                <w:lang w:val="en-GB"/>
              </w:rPr>
              <w:t xml:space="preserve"> </w:t>
            </w:r>
            <w:r>
              <w:rPr>
                <w:rFonts w:ascii="Book Antiqua" w:hAnsi="Book Antiqua"/>
                <w:sz w:val="16"/>
                <w:szCs w:val="16"/>
                <w:lang w:val="en-GB"/>
              </w:rPr>
              <w:t>79.5% HCC, 76.2% HCV</w:t>
            </w:r>
          </w:p>
        </w:tc>
        <w:tc>
          <w:tcPr>
            <w:tcW w:w="888" w:type="dxa"/>
            <w:shd w:val="clear" w:color="auto" w:fill="auto"/>
            <w:tcMar>
              <w:left w:w="51" w:type="dxa"/>
            </w:tcMar>
          </w:tcPr>
          <w:p w14:paraId="46FC921C" w14:textId="77777777" w:rsidR="00B122DF" w:rsidRDefault="00B122DF"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2</w:t>
            </w:r>
          </w:p>
        </w:tc>
        <w:tc>
          <w:tcPr>
            <w:tcW w:w="1654" w:type="dxa"/>
            <w:shd w:val="clear" w:color="auto" w:fill="auto"/>
            <w:tcMar>
              <w:left w:w="51" w:type="dxa"/>
            </w:tcMar>
          </w:tcPr>
          <w:p w14:paraId="627E10C4" w14:textId="77777777" w:rsidR="00B122DF" w:rsidRDefault="00B122DF"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41.5%</w:t>
            </w:r>
          </w:p>
        </w:tc>
        <w:tc>
          <w:tcPr>
            <w:tcW w:w="1369" w:type="dxa"/>
            <w:shd w:val="clear" w:color="auto" w:fill="auto"/>
            <w:tcMar>
              <w:left w:w="51" w:type="dxa"/>
            </w:tcMar>
          </w:tcPr>
          <w:p w14:paraId="19560BD1" w14:textId="77777777" w:rsidR="00B122DF" w:rsidRDefault="00B122DF"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0.65</w:t>
            </w:r>
          </w:p>
        </w:tc>
        <w:tc>
          <w:tcPr>
            <w:tcW w:w="1106" w:type="dxa"/>
            <w:shd w:val="clear" w:color="auto" w:fill="auto"/>
            <w:tcMar>
              <w:left w:w="51" w:type="dxa"/>
            </w:tcMar>
          </w:tcPr>
          <w:p w14:paraId="151017E3" w14:textId="77777777" w:rsidR="00B122DF" w:rsidRDefault="00B122DF"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42.9</w:t>
            </w:r>
          </w:p>
        </w:tc>
        <w:tc>
          <w:tcPr>
            <w:tcW w:w="1103" w:type="dxa"/>
            <w:shd w:val="clear" w:color="auto" w:fill="auto"/>
            <w:tcMar>
              <w:left w:w="51" w:type="dxa"/>
            </w:tcMar>
          </w:tcPr>
          <w:p w14:paraId="25711378" w14:textId="77777777" w:rsidR="00B122DF" w:rsidRDefault="00B122DF"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87.9</w:t>
            </w:r>
          </w:p>
        </w:tc>
        <w:tc>
          <w:tcPr>
            <w:tcW w:w="917" w:type="dxa"/>
            <w:shd w:val="clear" w:color="auto" w:fill="auto"/>
            <w:tcMar>
              <w:left w:w="51" w:type="dxa"/>
            </w:tcMar>
          </w:tcPr>
          <w:p w14:paraId="7E049850" w14:textId="77777777" w:rsidR="00B122DF" w:rsidRDefault="00B122DF"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35.3</w:t>
            </w:r>
          </w:p>
        </w:tc>
        <w:tc>
          <w:tcPr>
            <w:tcW w:w="890" w:type="dxa"/>
            <w:shd w:val="clear" w:color="auto" w:fill="auto"/>
            <w:tcMar>
              <w:left w:w="51" w:type="dxa"/>
            </w:tcMar>
          </w:tcPr>
          <w:p w14:paraId="11543E56" w14:textId="77777777" w:rsidR="00B122DF" w:rsidRDefault="00B122DF"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90.9</w:t>
            </w:r>
          </w:p>
        </w:tc>
      </w:tr>
      <w:tr w:rsidR="007757E2" w14:paraId="1F32DA5A" w14:textId="77777777" w:rsidTr="001D36E2">
        <w:tc>
          <w:tcPr>
            <w:tcW w:w="1589" w:type="dxa"/>
            <w:shd w:val="clear" w:color="auto" w:fill="auto"/>
            <w:tcMar>
              <w:left w:w="51" w:type="dxa"/>
            </w:tcMar>
            <w:vAlign w:val="center"/>
          </w:tcPr>
          <w:p w14:paraId="4D49A009" w14:textId="77777777" w:rsidR="00B122DF" w:rsidRDefault="00B122DF"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AST</w:t>
            </w:r>
          </w:p>
        </w:tc>
        <w:tc>
          <w:tcPr>
            <w:tcW w:w="1397" w:type="dxa"/>
            <w:shd w:val="clear" w:color="auto" w:fill="auto"/>
            <w:tcMar>
              <w:left w:w="51" w:type="dxa"/>
            </w:tcMar>
          </w:tcPr>
          <w:p w14:paraId="7407F2DC" w14:textId="7FF06EDE" w:rsidR="00B122DF" w:rsidRDefault="00B122DF"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 xml:space="preserve">Robertson </w:t>
            </w:r>
            <w:r w:rsidR="00E35182" w:rsidRPr="00E35182">
              <w:rPr>
                <w:rFonts w:ascii="Book Antiqua" w:hAnsi="Book Antiqua"/>
                <w:i/>
                <w:sz w:val="16"/>
                <w:szCs w:val="16"/>
                <w:lang w:val="en-GB"/>
              </w:rPr>
              <w:t>et al</w:t>
            </w:r>
            <w:r w:rsidR="007D7ACC">
              <w:rPr>
                <w:rFonts w:ascii="Book Antiqua" w:hAnsi="Book Antiqua"/>
                <w:sz w:val="16"/>
                <w:szCs w:val="16"/>
                <w:lang w:val="en-GB"/>
              </w:rPr>
              <w:fldChar w:fldCharType="begin" w:fldLock="1"/>
            </w:r>
            <w:r w:rsidR="00362C55">
              <w:rPr>
                <w:rFonts w:ascii="Book Antiqua" w:hAnsi="Book Antiqua"/>
                <w:sz w:val="16"/>
                <w:szCs w:val="16"/>
                <w:lang w:val="en-GB"/>
              </w:rPr>
              <w:instrText>ADDIN CSL_CITATION { "citationItems" : [ { "id" : "ITEM-1", "itemData" : { "DOI" : "10.1111/tri.12723", "ISSN" : "09340874", "author" : [ { "dropping-particle" : "", "family" : "Robertson", "given" : "Francis P", "non-dropping-particle" : "", "parse-names" : false, "suffix" : "" }, { "dropping-particle" : "", "family" : "Bessell", "given" : "Paul R", "non-dropping-particle" : "", "parse-names" : false, "suffix" : "" }, { "dropping-particle" : "", "family" : "Diaz-Nieto", "given" : "Rafael", "non-dropping-particle" : "", "parse-names" : false, "suffix" : "" }, { "dropping-particle" : "", "family" : "Thomas", "given" : "Niclas", "non-dropping-particle" : "", "parse-names" : false, "suffix" : "" }, { "dropping-particle" : "", "family" : "Rolando", "given" : "Nancy", "non-dropping-particle" : "", "parse-names" : false, "suffix" : "" }, { "dropping-particle" : "", "family" : "Fuller", "given" : "Barry", "non-dropping-particle" : "", "parse-names" : false, "suffix" : "" }, { "dropping-particle" : "", "family" : "Davidson", "given" : "Brian R", "non-dropping-particle" : "", "parse-names" : false, "suffix" : "" } ], "container-title" : "Transplant International", "id" : "ITEM-1", "issued" : { "date-parts" : [ [ "2015" ] ] }, "page" : "n/a-n/a", "title" : "High serum Aspartate Transaminase (AST) levels on day 3 post liver transplantation correlates with graft and patient survival and would be a valid surrogate for outcome in liver transplantation clinical trials", "type" : "article-journal" }, "uris" : [ "http://www.mendeley.com/documents/?uuid=e062f591-069a-4970-b37a-f2f3a6c5e2bb" ] } ], "mendeley" : { "formattedCitation" : "&lt;sup&gt;[78]&lt;/sup&gt;", "plainTextFormattedCitation" : "[78]", "previouslyFormattedCitation" : "&lt;sup&gt;[78]&lt;/sup&gt;" }, "properties" : { "noteIndex" : 0 }, "schema" : "https://github.com/citation-style-language/schema/raw/master/csl-citation.json" }</w:instrText>
            </w:r>
            <w:r w:rsidR="007D7ACC">
              <w:rPr>
                <w:rFonts w:ascii="Book Antiqua" w:hAnsi="Book Antiqua"/>
                <w:sz w:val="16"/>
                <w:szCs w:val="16"/>
                <w:lang w:val="en-GB"/>
              </w:rPr>
              <w:fldChar w:fldCharType="separate"/>
            </w:r>
            <w:r w:rsidR="00CD2CDC" w:rsidRPr="00CD2CDC">
              <w:rPr>
                <w:rFonts w:ascii="Book Antiqua" w:hAnsi="Book Antiqua"/>
                <w:noProof/>
                <w:sz w:val="16"/>
                <w:szCs w:val="16"/>
                <w:vertAlign w:val="superscript"/>
                <w:lang w:val="en-GB"/>
              </w:rPr>
              <w:t>[78]</w:t>
            </w:r>
            <w:r w:rsidR="007D7ACC">
              <w:rPr>
                <w:rFonts w:ascii="Book Antiqua" w:hAnsi="Book Antiqua"/>
                <w:sz w:val="16"/>
                <w:szCs w:val="16"/>
                <w:lang w:val="en-GB"/>
              </w:rPr>
              <w:fldChar w:fldCharType="end"/>
            </w:r>
          </w:p>
        </w:tc>
        <w:tc>
          <w:tcPr>
            <w:tcW w:w="518" w:type="dxa"/>
            <w:shd w:val="clear" w:color="auto" w:fill="auto"/>
            <w:tcMar>
              <w:left w:w="51" w:type="dxa"/>
            </w:tcMar>
          </w:tcPr>
          <w:p w14:paraId="6FFCD4A2" w14:textId="77777777" w:rsidR="00B122DF" w:rsidRDefault="00B122DF"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P</w:t>
            </w:r>
          </w:p>
        </w:tc>
        <w:tc>
          <w:tcPr>
            <w:tcW w:w="1827" w:type="dxa"/>
            <w:shd w:val="clear" w:color="auto" w:fill="auto"/>
            <w:tcMar>
              <w:left w:w="51" w:type="dxa"/>
            </w:tcMar>
          </w:tcPr>
          <w:p w14:paraId="51764EA6" w14:textId="77777777" w:rsidR="00B122DF" w:rsidRDefault="00B122DF"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Graft loss at POD90</w:t>
            </w:r>
          </w:p>
        </w:tc>
        <w:tc>
          <w:tcPr>
            <w:tcW w:w="1195" w:type="dxa"/>
            <w:shd w:val="clear" w:color="auto" w:fill="auto"/>
            <w:tcMar>
              <w:left w:w="51" w:type="dxa"/>
            </w:tcMar>
          </w:tcPr>
          <w:p w14:paraId="13C78B7E" w14:textId="0E33313D" w:rsidR="00B122DF" w:rsidRDefault="00B122DF"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1091 LT:</w:t>
            </w:r>
            <w:r w:rsidR="00403E8B">
              <w:rPr>
                <w:rFonts w:ascii="Book Antiqua" w:hAnsi="Book Antiqua"/>
                <w:sz w:val="16"/>
                <w:szCs w:val="16"/>
                <w:lang w:val="en-GB"/>
              </w:rPr>
              <w:t xml:space="preserve"> </w:t>
            </w:r>
            <w:r>
              <w:rPr>
                <w:rFonts w:ascii="Book Antiqua" w:hAnsi="Book Antiqua"/>
                <w:sz w:val="16"/>
                <w:szCs w:val="16"/>
                <w:lang w:val="en-GB"/>
              </w:rPr>
              <w:t>22% HCV</w:t>
            </w:r>
          </w:p>
        </w:tc>
        <w:tc>
          <w:tcPr>
            <w:tcW w:w="888" w:type="dxa"/>
            <w:shd w:val="clear" w:color="auto" w:fill="auto"/>
            <w:tcMar>
              <w:left w:w="51" w:type="dxa"/>
            </w:tcMar>
          </w:tcPr>
          <w:p w14:paraId="693F167F" w14:textId="77777777" w:rsidR="00B122DF" w:rsidRDefault="00B122DF"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3</w:t>
            </w:r>
          </w:p>
        </w:tc>
        <w:tc>
          <w:tcPr>
            <w:tcW w:w="1654" w:type="dxa"/>
            <w:shd w:val="clear" w:color="auto" w:fill="auto"/>
            <w:tcMar>
              <w:left w:w="51" w:type="dxa"/>
            </w:tcMar>
          </w:tcPr>
          <w:p w14:paraId="344EE90B" w14:textId="77777777" w:rsidR="00B122DF" w:rsidRDefault="00B122DF"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2 cut-offs: 106.5 IU and 2744.5 IU</w:t>
            </w:r>
          </w:p>
        </w:tc>
        <w:tc>
          <w:tcPr>
            <w:tcW w:w="1369" w:type="dxa"/>
            <w:shd w:val="clear" w:color="auto" w:fill="auto"/>
            <w:tcMar>
              <w:left w:w="51" w:type="dxa"/>
            </w:tcMar>
          </w:tcPr>
          <w:p w14:paraId="524F1BD8" w14:textId="77777777" w:rsidR="00B122DF" w:rsidRDefault="00B122DF"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0.739 (0.663-0.814)</w:t>
            </w:r>
          </w:p>
        </w:tc>
        <w:tc>
          <w:tcPr>
            <w:tcW w:w="1106" w:type="dxa"/>
            <w:shd w:val="clear" w:color="auto" w:fill="auto"/>
            <w:tcMar>
              <w:left w:w="51" w:type="dxa"/>
            </w:tcMar>
          </w:tcPr>
          <w:p w14:paraId="3FEC06EF" w14:textId="77777777" w:rsidR="00B122DF" w:rsidRDefault="00B122DF" w:rsidP="00422EBA">
            <w:pPr>
              <w:pStyle w:val="Contenutotabella"/>
              <w:adjustRightInd w:val="0"/>
              <w:snapToGrid w:val="0"/>
              <w:spacing w:after="0" w:line="360" w:lineRule="auto"/>
              <w:jc w:val="both"/>
              <w:rPr>
                <w:rFonts w:ascii="Book Antiqua" w:hAnsi="Book Antiqua"/>
                <w:sz w:val="16"/>
                <w:szCs w:val="16"/>
                <w:lang w:val="en-GB"/>
              </w:rPr>
            </w:pPr>
          </w:p>
        </w:tc>
        <w:tc>
          <w:tcPr>
            <w:tcW w:w="1103" w:type="dxa"/>
            <w:shd w:val="clear" w:color="auto" w:fill="auto"/>
            <w:tcMar>
              <w:left w:w="51" w:type="dxa"/>
            </w:tcMar>
          </w:tcPr>
          <w:p w14:paraId="5CD2D404" w14:textId="77777777" w:rsidR="00B122DF" w:rsidRDefault="00B122DF" w:rsidP="00422EBA">
            <w:pPr>
              <w:pStyle w:val="Contenutotabella"/>
              <w:adjustRightInd w:val="0"/>
              <w:snapToGrid w:val="0"/>
              <w:spacing w:after="0" w:line="360" w:lineRule="auto"/>
              <w:jc w:val="both"/>
              <w:rPr>
                <w:rFonts w:ascii="Book Antiqua" w:hAnsi="Book Antiqua"/>
                <w:sz w:val="16"/>
                <w:szCs w:val="16"/>
                <w:lang w:val="en-GB"/>
              </w:rPr>
            </w:pPr>
          </w:p>
        </w:tc>
        <w:tc>
          <w:tcPr>
            <w:tcW w:w="917" w:type="dxa"/>
            <w:shd w:val="clear" w:color="auto" w:fill="auto"/>
            <w:tcMar>
              <w:left w:w="51" w:type="dxa"/>
            </w:tcMar>
          </w:tcPr>
          <w:p w14:paraId="1F1C8B73" w14:textId="77777777" w:rsidR="00B122DF" w:rsidRDefault="00B122DF"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34.62</w:t>
            </w:r>
          </w:p>
        </w:tc>
        <w:tc>
          <w:tcPr>
            <w:tcW w:w="890" w:type="dxa"/>
            <w:shd w:val="clear" w:color="auto" w:fill="auto"/>
            <w:tcMar>
              <w:left w:w="51" w:type="dxa"/>
            </w:tcMar>
          </w:tcPr>
          <w:p w14:paraId="251E8722" w14:textId="77777777" w:rsidR="00B122DF" w:rsidRDefault="00B122DF"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99.45</w:t>
            </w:r>
          </w:p>
        </w:tc>
      </w:tr>
      <w:tr w:rsidR="007757E2" w14:paraId="31ECCE61" w14:textId="77777777" w:rsidTr="001D36E2">
        <w:tc>
          <w:tcPr>
            <w:tcW w:w="1589" w:type="dxa"/>
            <w:shd w:val="clear" w:color="auto" w:fill="auto"/>
            <w:tcMar>
              <w:left w:w="51" w:type="dxa"/>
            </w:tcMar>
            <w:vAlign w:val="center"/>
          </w:tcPr>
          <w:p w14:paraId="7CEF6E9B" w14:textId="77777777" w:rsidR="00B122DF" w:rsidRDefault="00B122DF"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Bilirubin</w:t>
            </w:r>
          </w:p>
        </w:tc>
        <w:tc>
          <w:tcPr>
            <w:tcW w:w="1397" w:type="dxa"/>
            <w:shd w:val="clear" w:color="auto" w:fill="auto"/>
            <w:tcMar>
              <w:left w:w="51" w:type="dxa"/>
            </w:tcMar>
          </w:tcPr>
          <w:p w14:paraId="45BFC745" w14:textId="5F52E2DD" w:rsidR="00B122DF" w:rsidRDefault="00B122DF"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 xml:space="preserve">Wagener </w:t>
            </w:r>
            <w:r w:rsidR="00E35182" w:rsidRPr="00E35182">
              <w:rPr>
                <w:rFonts w:ascii="Book Antiqua" w:hAnsi="Book Antiqua"/>
                <w:i/>
                <w:sz w:val="16"/>
                <w:szCs w:val="16"/>
                <w:lang w:val="en-GB"/>
              </w:rPr>
              <w:t>et al</w:t>
            </w:r>
            <w:r w:rsidR="007D7ACC">
              <w:rPr>
                <w:rFonts w:ascii="Book Antiqua" w:hAnsi="Book Antiqua"/>
                <w:sz w:val="16"/>
                <w:szCs w:val="16"/>
                <w:lang w:val="en-GB"/>
              </w:rPr>
              <w:fldChar w:fldCharType="begin" w:fldLock="1"/>
            </w:r>
            <w:r w:rsidR="00362C55">
              <w:rPr>
                <w:rFonts w:ascii="Book Antiqua" w:hAnsi="Book Antiqua"/>
                <w:sz w:val="16"/>
                <w:szCs w:val="16"/>
                <w:lang w:val="en-GB"/>
              </w:rPr>
              <w:instrText>ADDIN CSL_CITATION { "citationItems" : [ { "id" : "ITEM-1", "itemData" : { "DOI" : "10.1002/lt.23634", "ISSN" : "1527-6473", "PMID" : "23576469", "abstract" : "Early allograft dysfunction (EAD) is a serious complication after liver transplantation (LT). There is no uniform definition of EAD, and most definitions are based on arbitrary laboratory values. The aim of this study was to devise a definition of EAD that maximizes the predictive power for early death and graft failure. In this single-center, retrospective study, the ability of the international normalized ratio (INR), total bilirubin, aspartate aminotransferase (AST), physiological Model for End-Stage Liver Disease (MELD) score, and serum albumin levels within 7 days after LT to predict 90-day mortality or graft loss was compared with 2 previously used definitions of EAD: (1) peak total bilirubin level &gt;10 mg/dL on days 2 to 7 and (2) either a total bilirubin level &gt;10 mg/dL or an INR &gt;1.6 on day 7 or an AST or alanine aminotransferase level &gt;2000 IU/L within the first 7 days. Of 572 enrolled LT patients 38 died or required retransplantation within 90 days. Peak INR, total bilirubin level, AST levels, and MELD scores were predictors of 90-day graft failure. MELD score on postoperative day 5 was the best predictor with an area under the curve of the receiver operating characteristic curve of 0.812 (95% CI: 0.739-0.886, P &lt; 0.001). The best cutoff of MELD score on day 5 for predicting 90-day mortality or graft loss was 18.9. A MELD score &gt;18.9 on postoperative day 5 was a better predictor than any other laboratory value or definition of EAD. This study has demonstrated that the MELD score can be a useful tool not only for pretransplant graft allocation but also for postoperative risk stratification.", "author" : [ { "dropping-particle" : "", "family" : "Wagener", "given" : "Gebhard", "non-dropping-particle" : "", "parse-names" : false, "suffix" : "" }, { "dropping-particle" : "", "family" : "Raffel", "given" : "Brian", "non-dropping-particle" : "", "parse-names" : false, "suffix" : "" }, { "dropping-particle" : "", "family" : "Young", "given" : "Andrew T", "non-dropping-particle" : "", "parse-names" : false, "suffix" : "" }, { "dropping-particle" : "", "family" : "Minhaz", "given" : "Moury", "non-dropping-particle" : "", "parse-names" : false, "suffix" : "" }, { "dropping-particle" : "", "family" : "Emond", "given" : "Jean", "non-dropping-particle" : "", "parse-names" : false, "suffix" : "" } ], "container-title" : "Liver transplantation : official publication of the American Association for the Study of Liver Diseases and the International Liver Transplantation Society", "id" : "ITEM-1", "issue" : "5", "issued" : { "date-parts" : [ [ "2013", "5" ] ] }, "page" : "534-42", "title" : "Predicting early allograft failure and mortality after liver transplantation: the role of the postoperative model for end-stage liver disease score.", "type" : "article-journal", "volume" : "19" }, "uris" : [ "http://www.mendeley.com/documents/?uuid=c8445831-07ff-4862-986a-e45e29f1d7fd" ] } ], "mendeley" : { "formattedCitation" : "&lt;sup&gt;[80]&lt;/sup&gt;", "plainTextFormattedCitation" : "[80]", "previouslyFormattedCitation" : "&lt;sup&gt;[80]&lt;/sup&gt;" }, "properties" : { "noteIndex" : 0 }, "schema" : "https://github.com/citation-style-language/schema/raw/master/csl-citation.json" }</w:instrText>
            </w:r>
            <w:r w:rsidR="007D7ACC">
              <w:rPr>
                <w:rFonts w:ascii="Book Antiqua" w:hAnsi="Book Antiqua"/>
                <w:sz w:val="16"/>
                <w:szCs w:val="16"/>
                <w:lang w:val="en-GB"/>
              </w:rPr>
              <w:fldChar w:fldCharType="separate"/>
            </w:r>
            <w:r w:rsidR="00CD2CDC" w:rsidRPr="00CD2CDC">
              <w:rPr>
                <w:rFonts w:ascii="Book Antiqua" w:hAnsi="Book Antiqua"/>
                <w:noProof/>
                <w:sz w:val="16"/>
                <w:szCs w:val="16"/>
                <w:vertAlign w:val="superscript"/>
                <w:lang w:val="en-GB"/>
              </w:rPr>
              <w:t>[80]</w:t>
            </w:r>
            <w:r w:rsidR="007D7ACC">
              <w:rPr>
                <w:rFonts w:ascii="Book Antiqua" w:hAnsi="Book Antiqua"/>
                <w:sz w:val="16"/>
                <w:szCs w:val="16"/>
                <w:lang w:val="en-GB"/>
              </w:rPr>
              <w:fldChar w:fldCharType="end"/>
            </w:r>
          </w:p>
        </w:tc>
        <w:tc>
          <w:tcPr>
            <w:tcW w:w="518" w:type="dxa"/>
            <w:shd w:val="clear" w:color="auto" w:fill="auto"/>
            <w:tcMar>
              <w:left w:w="51" w:type="dxa"/>
            </w:tcMar>
          </w:tcPr>
          <w:p w14:paraId="694C881E" w14:textId="77777777" w:rsidR="00B122DF" w:rsidRDefault="00B122DF"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R</w:t>
            </w:r>
          </w:p>
        </w:tc>
        <w:tc>
          <w:tcPr>
            <w:tcW w:w="1827" w:type="dxa"/>
            <w:shd w:val="clear" w:color="auto" w:fill="auto"/>
            <w:tcMar>
              <w:left w:w="51" w:type="dxa"/>
            </w:tcMar>
          </w:tcPr>
          <w:p w14:paraId="380ECFE0" w14:textId="77777777" w:rsidR="00B122DF" w:rsidRDefault="00B122DF"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Graft loss or death within POD90</w:t>
            </w:r>
          </w:p>
        </w:tc>
        <w:tc>
          <w:tcPr>
            <w:tcW w:w="1195" w:type="dxa"/>
            <w:shd w:val="clear" w:color="auto" w:fill="auto"/>
            <w:tcMar>
              <w:left w:w="51" w:type="dxa"/>
            </w:tcMar>
          </w:tcPr>
          <w:p w14:paraId="3F47F82F" w14:textId="6091CAC9" w:rsidR="00B122DF" w:rsidRDefault="00B122DF"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572 LT:</w:t>
            </w:r>
            <w:r w:rsidR="00403E8B">
              <w:rPr>
                <w:rFonts w:ascii="Book Antiqua" w:hAnsi="Book Antiqua"/>
                <w:sz w:val="16"/>
                <w:szCs w:val="16"/>
                <w:lang w:val="en-GB"/>
              </w:rPr>
              <w:t xml:space="preserve"> </w:t>
            </w:r>
            <w:r>
              <w:rPr>
                <w:rFonts w:ascii="Book Antiqua" w:hAnsi="Book Antiqua"/>
                <w:sz w:val="16"/>
                <w:szCs w:val="16"/>
                <w:lang w:val="en-GB"/>
              </w:rPr>
              <w:t>51.9% HCV</w:t>
            </w:r>
          </w:p>
        </w:tc>
        <w:tc>
          <w:tcPr>
            <w:tcW w:w="888" w:type="dxa"/>
            <w:shd w:val="clear" w:color="auto" w:fill="auto"/>
            <w:tcMar>
              <w:left w:w="51" w:type="dxa"/>
            </w:tcMar>
          </w:tcPr>
          <w:p w14:paraId="4708F040" w14:textId="77777777" w:rsidR="00B122DF" w:rsidRDefault="00B122DF"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2</w:t>
            </w:r>
          </w:p>
        </w:tc>
        <w:tc>
          <w:tcPr>
            <w:tcW w:w="1654" w:type="dxa"/>
            <w:shd w:val="clear" w:color="auto" w:fill="auto"/>
            <w:tcMar>
              <w:left w:w="51" w:type="dxa"/>
            </w:tcMar>
          </w:tcPr>
          <w:p w14:paraId="3CF5A489" w14:textId="77777777" w:rsidR="00B122DF" w:rsidRDefault="00B122DF"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6.55 mg/dL</w:t>
            </w:r>
          </w:p>
        </w:tc>
        <w:tc>
          <w:tcPr>
            <w:tcW w:w="1369" w:type="dxa"/>
            <w:shd w:val="clear" w:color="auto" w:fill="auto"/>
            <w:tcMar>
              <w:left w:w="51" w:type="dxa"/>
            </w:tcMar>
          </w:tcPr>
          <w:p w14:paraId="36B5FB14" w14:textId="77777777" w:rsidR="00B122DF" w:rsidRDefault="00B122DF"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0.809 (0.742-0.877)</w:t>
            </w:r>
          </w:p>
        </w:tc>
        <w:tc>
          <w:tcPr>
            <w:tcW w:w="1106" w:type="dxa"/>
            <w:shd w:val="clear" w:color="auto" w:fill="auto"/>
            <w:tcMar>
              <w:left w:w="51" w:type="dxa"/>
            </w:tcMar>
          </w:tcPr>
          <w:p w14:paraId="7E6E09E6" w14:textId="77777777" w:rsidR="00B122DF" w:rsidRDefault="00B122DF"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72.5</w:t>
            </w:r>
          </w:p>
        </w:tc>
        <w:tc>
          <w:tcPr>
            <w:tcW w:w="1103" w:type="dxa"/>
            <w:shd w:val="clear" w:color="auto" w:fill="auto"/>
            <w:tcMar>
              <w:left w:w="51" w:type="dxa"/>
            </w:tcMar>
          </w:tcPr>
          <w:p w14:paraId="5E7EC260" w14:textId="77777777" w:rsidR="00B122DF" w:rsidRDefault="00B122DF"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70.4</w:t>
            </w:r>
          </w:p>
        </w:tc>
        <w:tc>
          <w:tcPr>
            <w:tcW w:w="917" w:type="dxa"/>
            <w:shd w:val="clear" w:color="auto" w:fill="auto"/>
            <w:tcMar>
              <w:left w:w="51" w:type="dxa"/>
            </w:tcMar>
          </w:tcPr>
          <w:p w14:paraId="3FF3C699" w14:textId="77777777" w:rsidR="00B122DF" w:rsidRDefault="00B122DF" w:rsidP="00422EBA">
            <w:pPr>
              <w:pStyle w:val="Contenutotabella"/>
              <w:adjustRightInd w:val="0"/>
              <w:snapToGrid w:val="0"/>
              <w:spacing w:after="0" w:line="360" w:lineRule="auto"/>
              <w:jc w:val="both"/>
              <w:rPr>
                <w:rFonts w:ascii="Book Antiqua" w:hAnsi="Book Antiqua"/>
                <w:sz w:val="16"/>
                <w:szCs w:val="16"/>
                <w:lang w:val="en-GB"/>
              </w:rPr>
            </w:pPr>
          </w:p>
        </w:tc>
        <w:tc>
          <w:tcPr>
            <w:tcW w:w="890" w:type="dxa"/>
            <w:shd w:val="clear" w:color="auto" w:fill="auto"/>
            <w:tcMar>
              <w:left w:w="51" w:type="dxa"/>
            </w:tcMar>
          </w:tcPr>
          <w:p w14:paraId="0616C0BD" w14:textId="77777777" w:rsidR="00B122DF" w:rsidRDefault="00B122DF" w:rsidP="00422EBA">
            <w:pPr>
              <w:pStyle w:val="Contenutotabella"/>
              <w:adjustRightInd w:val="0"/>
              <w:snapToGrid w:val="0"/>
              <w:spacing w:after="0" w:line="360" w:lineRule="auto"/>
              <w:jc w:val="both"/>
              <w:rPr>
                <w:rFonts w:ascii="Book Antiqua" w:hAnsi="Book Antiqua"/>
                <w:sz w:val="16"/>
                <w:szCs w:val="16"/>
                <w:lang w:val="en-GB"/>
              </w:rPr>
            </w:pPr>
          </w:p>
        </w:tc>
      </w:tr>
      <w:tr w:rsidR="007757E2" w:rsidRPr="00943FB3" w14:paraId="6E619F49" w14:textId="77777777" w:rsidTr="001D36E2">
        <w:tc>
          <w:tcPr>
            <w:tcW w:w="1589" w:type="dxa"/>
            <w:shd w:val="clear" w:color="auto" w:fill="auto"/>
            <w:tcMar>
              <w:left w:w="51" w:type="dxa"/>
            </w:tcMar>
            <w:vAlign w:val="center"/>
          </w:tcPr>
          <w:p w14:paraId="64B63029" w14:textId="77777777" w:rsidR="00B122DF" w:rsidRDefault="00B122DF"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Bilirubin, INR and transaminases</w:t>
            </w:r>
          </w:p>
        </w:tc>
        <w:tc>
          <w:tcPr>
            <w:tcW w:w="1397" w:type="dxa"/>
            <w:shd w:val="clear" w:color="auto" w:fill="auto"/>
            <w:tcMar>
              <w:left w:w="51" w:type="dxa"/>
            </w:tcMar>
          </w:tcPr>
          <w:p w14:paraId="283BE897" w14:textId="79814DBE" w:rsidR="00B122DF" w:rsidRDefault="00B122DF"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 xml:space="preserve">Olthoff </w:t>
            </w:r>
            <w:r w:rsidR="00E35182" w:rsidRPr="00E35182">
              <w:rPr>
                <w:rFonts w:ascii="Book Antiqua" w:hAnsi="Book Antiqua"/>
                <w:i/>
                <w:sz w:val="16"/>
                <w:szCs w:val="16"/>
                <w:lang w:val="en-GB"/>
              </w:rPr>
              <w:t>et al</w:t>
            </w:r>
            <w:r w:rsidR="007D7ACC">
              <w:rPr>
                <w:rFonts w:ascii="Book Antiqua" w:hAnsi="Book Antiqua"/>
                <w:sz w:val="16"/>
                <w:szCs w:val="16"/>
                <w:lang w:val="en-GB"/>
              </w:rPr>
              <w:fldChar w:fldCharType="begin" w:fldLock="1"/>
            </w:r>
            <w:r w:rsidR="00362C55">
              <w:rPr>
                <w:rFonts w:ascii="Book Antiqua" w:hAnsi="Book Antiqua"/>
                <w:sz w:val="16"/>
                <w:szCs w:val="16"/>
                <w:lang w:val="en-GB"/>
              </w:rPr>
              <w:instrText>ADDIN CSL_CITATION { "citationItems" : [ { "id" : "ITEM-1", "itemData" : { "DOI" : "10.1002/lt.22091", "ISSN" : "1527-6473", "PMID" : "20677285", "abstract" : "Translational studies in liver transplantation often require an endpoint of graft function or dysfunction beyond graft loss. Prior definitions of early allograft dysfunction (EAD) vary, and none have been validated in a large multicenter population in the Model for End-Stage Liver Disease (MELD) era. We examined an updated definition of EAD to validate previously used criteria, and correlated this definition with graft and patient outcome. We performed a cohort study of 300 deceased donor liver transplants at 3 U.S. programs. EAD was defined as the presence of one or more of the following previously defined postoperative laboratory analyses reflective of liver injury and function: bilirubin &gt;or=10mg/dL on day 7, international normalized ratio &gt;or=1.6 on day 7, and alanine or aspartate aminotransferases &gt;2000 IU/L within the first 7 days. To assess predictive validity, the EAD definition was tested for association with graft and patient survival. Risk factors for EAD were assessed using multivariable logistic regression. Overall incidence of EAD was 23.2%. Most grafts met the definition with increased bilirubin at day 7 or high levels of aminotransferases. Of recipients meeting the EAD definition, 18.8% died, as opposed to 1.8% of recipients without EAD (relative risk = 10.7 [95% confidence interval: 3.6, 31.9] P &lt; 0.0001). More recipients with EAD lost their grafts (26.1%) than recipients with no EAD (3.5%) (relative risk = 7.4 [95% confidence interval: 3.4, 16.3] P &lt; 0.0001). Donor age and MELD score were significant EAD risk factors in a multivariate model. In summary a simple definition of EAD using objective posttransplant criteria identified a 23% incidence, and was highly associated with graft loss and patient mortality, validating previously published criteria. This definition can be used as an endpoint in translational studies aiming to identify mechanistic pathways leading to a subgroup of liver grafts with clinical expression of suboptimal function.", "author" : [ { "dropping-particle" : "", "family" : "Olthoff", "given" : "Kim M", "non-dropping-particle" : "", "parse-names" : false, "suffix" : "" }, { "dropping-particle" : "", "family" : "Kulik", "given" : "Laura", "non-dropping-particle" : "", "parse-names" : false, "suffix" : "" }, { "dropping-particle" : "", "family" : "Samstein", "given" : "Benjamin", "non-dropping-particle" : "", "parse-names" : false, "suffix" : "" }, { "dropping-particle" : "", "family" : "Kaminski", "given" : "Mary", "non-dropping-particle" : "", "parse-names" : false, "suffix" : "" }, { "dropping-particle" : "", "family" : "Abecassis", "given" : "Michael", "non-dropping-particle" : "", "parse-names" : false, "suffix" : "" }, { "dropping-particle" : "", "family" : "Emond", "given" : "Jean", "non-dropping-particle" : "", "parse-names" : false, "suffix" : "" }, { "dropping-particle" : "", "family" : "Shaked", "given" : "Abraham", "non-dropping-particle" : "", "parse-names" : false, "suffix" : "" }, { "dropping-particle" : "", "family" : "Christie", "given" : "Jason D", "non-dropping-particle" : "", "parse-names" : false, "suffix" : "" } ], "container-title" : "Liver transplantation : official publication of the American Association for the Study of Liver Diseases and the International Liver Transplantation Society", "id" : "ITEM-1", "issue" : "8", "issued" : { "date-parts" : [ [ "2010", "8" ] ] }, "page" : "943-9", "title" : "Validation of a current definition of early allograft dysfunction in liver transplant recipients and analysis of risk factors.", "type" : "article-journal", "volume" : "16" }, "uris" : [ "http://www.mendeley.com/documents/?uuid=b25b40d2-8006-48d3-bd41-5921e7311510" ] } ], "mendeley" : { "formattedCitation" : "&lt;sup&gt;[81]&lt;/sup&gt;", "plainTextFormattedCitation" : "[81]", "previouslyFormattedCitation" : "&lt;sup&gt;[81]&lt;/sup&gt;" }, "properties" : { "noteIndex" : 0 }, "schema" : "https://github.com/citation-style-language/schema/raw/master/csl-citation.json" }</w:instrText>
            </w:r>
            <w:r w:rsidR="007D7ACC">
              <w:rPr>
                <w:rFonts w:ascii="Book Antiqua" w:hAnsi="Book Antiqua"/>
                <w:sz w:val="16"/>
                <w:szCs w:val="16"/>
                <w:lang w:val="en-GB"/>
              </w:rPr>
              <w:fldChar w:fldCharType="separate"/>
            </w:r>
            <w:r w:rsidR="00CD2CDC" w:rsidRPr="00CD2CDC">
              <w:rPr>
                <w:rFonts w:ascii="Book Antiqua" w:hAnsi="Book Antiqua"/>
                <w:noProof/>
                <w:sz w:val="16"/>
                <w:szCs w:val="16"/>
                <w:vertAlign w:val="superscript"/>
                <w:lang w:val="en-GB"/>
              </w:rPr>
              <w:t>[81]</w:t>
            </w:r>
            <w:r w:rsidR="007D7ACC">
              <w:rPr>
                <w:rFonts w:ascii="Book Antiqua" w:hAnsi="Book Antiqua"/>
                <w:sz w:val="16"/>
                <w:szCs w:val="16"/>
                <w:lang w:val="en-GB"/>
              </w:rPr>
              <w:fldChar w:fldCharType="end"/>
            </w:r>
          </w:p>
        </w:tc>
        <w:tc>
          <w:tcPr>
            <w:tcW w:w="518" w:type="dxa"/>
            <w:shd w:val="clear" w:color="auto" w:fill="auto"/>
            <w:tcMar>
              <w:left w:w="51" w:type="dxa"/>
            </w:tcMar>
          </w:tcPr>
          <w:p w14:paraId="1D56B0DD" w14:textId="77777777" w:rsidR="00B122DF" w:rsidRDefault="00B122DF"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R</w:t>
            </w:r>
          </w:p>
        </w:tc>
        <w:tc>
          <w:tcPr>
            <w:tcW w:w="1827" w:type="dxa"/>
            <w:shd w:val="clear" w:color="auto" w:fill="auto"/>
            <w:tcMar>
              <w:left w:w="51" w:type="dxa"/>
            </w:tcMar>
          </w:tcPr>
          <w:p w14:paraId="21CBD71E" w14:textId="77777777" w:rsidR="00B122DF" w:rsidRDefault="00B122DF"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EAD definition to predict mortality and graft loss</w:t>
            </w:r>
          </w:p>
        </w:tc>
        <w:tc>
          <w:tcPr>
            <w:tcW w:w="1195" w:type="dxa"/>
            <w:shd w:val="clear" w:color="auto" w:fill="auto"/>
            <w:tcMar>
              <w:left w:w="51" w:type="dxa"/>
            </w:tcMar>
          </w:tcPr>
          <w:p w14:paraId="240862A8" w14:textId="77777777" w:rsidR="00B122DF" w:rsidRDefault="00B122DF"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300 LT</w:t>
            </w:r>
          </w:p>
        </w:tc>
        <w:tc>
          <w:tcPr>
            <w:tcW w:w="888" w:type="dxa"/>
            <w:shd w:val="clear" w:color="auto" w:fill="auto"/>
            <w:tcMar>
              <w:left w:w="51" w:type="dxa"/>
            </w:tcMar>
          </w:tcPr>
          <w:p w14:paraId="70BD88D1" w14:textId="77777777" w:rsidR="00B122DF" w:rsidRDefault="00B122DF"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7</w:t>
            </w:r>
          </w:p>
        </w:tc>
        <w:tc>
          <w:tcPr>
            <w:tcW w:w="1654" w:type="dxa"/>
            <w:shd w:val="clear" w:color="auto" w:fill="auto"/>
            <w:tcMar>
              <w:left w:w="51" w:type="dxa"/>
            </w:tcMar>
          </w:tcPr>
          <w:p w14:paraId="3236A633" w14:textId="77777777" w:rsidR="00B122DF" w:rsidRDefault="00B122DF"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Bilirubin &gt; 10 mg/dL, INR &gt; 1.6, ALT or AST &gt; 2000 IU/mL</w:t>
            </w:r>
          </w:p>
        </w:tc>
        <w:tc>
          <w:tcPr>
            <w:tcW w:w="1369" w:type="dxa"/>
            <w:shd w:val="clear" w:color="auto" w:fill="auto"/>
            <w:tcMar>
              <w:left w:w="51" w:type="dxa"/>
            </w:tcMar>
          </w:tcPr>
          <w:p w14:paraId="7592B822" w14:textId="77777777" w:rsidR="00B122DF" w:rsidRDefault="00B122DF"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0.75-0.78</w:t>
            </w:r>
          </w:p>
        </w:tc>
        <w:tc>
          <w:tcPr>
            <w:tcW w:w="1106" w:type="dxa"/>
            <w:shd w:val="clear" w:color="auto" w:fill="auto"/>
            <w:tcMar>
              <w:left w:w="51" w:type="dxa"/>
            </w:tcMar>
          </w:tcPr>
          <w:p w14:paraId="18AEE6BE" w14:textId="77777777" w:rsidR="00B122DF" w:rsidRDefault="00B122DF" w:rsidP="00422EBA">
            <w:pPr>
              <w:pStyle w:val="Contenutotabella"/>
              <w:adjustRightInd w:val="0"/>
              <w:snapToGrid w:val="0"/>
              <w:spacing w:after="0" w:line="360" w:lineRule="auto"/>
              <w:jc w:val="both"/>
              <w:rPr>
                <w:rFonts w:ascii="Book Antiqua" w:hAnsi="Book Antiqua"/>
                <w:sz w:val="16"/>
                <w:szCs w:val="16"/>
                <w:lang w:val="en-GB"/>
              </w:rPr>
            </w:pPr>
          </w:p>
        </w:tc>
        <w:tc>
          <w:tcPr>
            <w:tcW w:w="1103" w:type="dxa"/>
            <w:shd w:val="clear" w:color="auto" w:fill="auto"/>
            <w:tcMar>
              <w:left w:w="51" w:type="dxa"/>
            </w:tcMar>
          </w:tcPr>
          <w:p w14:paraId="08D6BA34" w14:textId="77777777" w:rsidR="00B122DF" w:rsidRDefault="00B122DF" w:rsidP="00422EBA">
            <w:pPr>
              <w:pStyle w:val="Contenutotabella"/>
              <w:adjustRightInd w:val="0"/>
              <w:snapToGrid w:val="0"/>
              <w:spacing w:after="0" w:line="360" w:lineRule="auto"/>
              <w:jc w:val="both"/>
              <w:rPr>
                <w:rFonts w:ascii="Book Antiqua" w:hAnsi="Book Antiqua"/>
                <w:sz w:val="16"/>
                <w:szCs w:val="16"/>
                <w:lang w:val="en-GB"/>
              </w:rPr>
            </w:pPr>
          </w:p>
        </w:tc>
        <w:tc>
          <w:tcPr>
            <w:tcW w:w="917" w:type="dxa"/>
            <w:shd w:val="clear" w:color="auto" w:fill="auto"/>
            <w:tcMar>
              <w:left w:w="51" w:type="dxa"/>
            </w:tcMar>
          </w:tcPr>
          <w:p w14:paraId="30B212B1" w14:textId="77777777" w:rsidR="00B122DF" w:rsidRDefault="00B122DF" w:rsidP="00422EBA">
            <w:pPr>
              <w:pStyle w:val="Contenutotabella"/>
              <w:adjustRightInd w:val="0"/>
              <w:snapToGrid w:val="0"/>
              <w:spacing w:after="0" w:line="360" w:lineRule="auto"/>
              <w:jc w:val="both"/>
              <w:rPr>
                <w:rFonts w:ascii="Book Antiqua" w:hAnsi="Book Antiqua"/>
                <w:sz w:val="16"/>
                <w:szCs w:val="16"/>
                <w:lang w:val="en-GB"/>
              </w:rPr>
            </w:pPr>
          </w:p>
        </w:tc>
        <w:tc>
          <w:tcPr>
            <w:tcW w:w="890" w:type="dxa"/>
            <w:shd w:val="clear" w:color="auto" w:fill="auto"/>
            <w:tcMar>
              <w:left w:w="51" w:type="dxa"/>
            </w:tcMar>
          </w:tcPr>
          <w:p w14:paraId="3A83D3D0" w14:textId="77777777" w:rsidR="00B122DF" w:rsidRDefault="00B122DF" w:rsidP="00422EBA">
            <w:pPr>
              <w:pStyle w:val="Contenutotabella"/>
              <w:adjustRightInd w:val="0"/>
              <w:snapToGrid w:val="0"/>
              <w:spacing w:after="0" w:line="360" w:lineRule="auto"/>
              <w:jc w:val="both"/>
              <w:rPr>
                <w:rFonts w:ascii="Book Antiqua" w:hAnsi="Book Antiqua"/>
                <w:sz w:val="16"/>
                <w:szCs w:val="16"/>
                <w:lang w:val="en-GB"/>
              </w:rPr>
            </w:pPr>
          </w:p>
        </w:tc>
      </w:tr>
      <w:tr w:rsidR="007757E2" w:rsidRPr="007050A2" w14:paraId="781A647E" w14:textId="77777777" w:rsidTr="001D36E2">
        <w:tc>
          <w:tcPr>
            <w:tcW w:w="1589" w:type="dxa"/>
            <w:shd w:val="clear" w:color="auto" w:fill="auto"/>
            <w:tcMar>
              <w:left w:w="51" w:type="dxa"/>
            </w:tcMar>
            <w:vAlign w:val="center"/>
          </w:tcPr>
          <w:p w14:paraId="3228B3B9" w14:textId="77777777" w:rsidR="00B122DF" w:rsidRDefault="00B122DF"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Lactates</w:t>
            </w:r>
          </w:p>
        </w:tc>
        <w:tc>
          <w:tcPr>
            <w:tcW w:w="1397" w:type="dxa"/>
            <w:shd w:val="clear" w:color="auto" w:fill="auto"/>
            <w:tcMar>
              <w:left w:w="51" w:type="dxa"/>
            </w:tcMar>
          </w:tcPr>
          <w:p w14:paraId="78831DFF" w14:textId="718C0074" w:rsidR="00B122DF" w:rsidRPr="00F26BF6" w:rsidRDefault="00B122DF" w:rsidP="00422EBA">
            <w:pPr>
              <w:pStyle w:val="Contenutotabella"/>
              <w:adjustRightInd w:val="0"/>
              <w:snapToGrid w:val="0"/>
              <w:spacing w:after="0" w:line="360" w:lineRule="auto"/>
              <w:jc w:val="both"/>
              <w:rPr>
                <w:rFonts w:ascii="Book Antiqua" w:hAnsi="Book Antiqua"/>
                <w:sz w:val="16"/>
                <w:szCs w:val="16"/>
              </w:rPr>
            </w:pPr>
            <w:r>
              <w:rPr>
                <w:rFonts w:ascii="Book Antiqua" w:hAnsi="Book Antiqua"/>
                <w:sz w:val="16"/>
                <w:szCs w:val="16"/>
                <w:lang w:val="en-GB"/>
              </w:rPr>
              <w:t xml:space="preserve">Wu </w:t>
            </w:r>
            <w:r w:rsidR="00E35182" w:rsidRPr="00E35182">
              <w:rPr>
                <w:rFonts w:ascii="Book Antiqua" w:hAnsi="Book Antiqua"/>
                <w:i/>
                <w:sz w:val="16"/>
                <w:szCs w:val="16"/>
                <w:lang w:val="en-GB"/>
              </w:rPr>
              <w:t>et al</w:t>
            </w:r>
            <w:r w:rsidR="007D7ACC">
              <w:rPr>
                <w:rFonts w:ascii="Book Antiqua" w:hAnsi="Book Antiqua"/>
                <w:sz w:val="16"/>
                <w:szCs w:val="16"/>
                <w:lang w:val="en-GB"/>
              </w:rPr>
              <w:fldChar w:fldCharType="begin" w:fldLock="1"/>
            </w:r>
            <w:r w:rsidR="00362C55">
              <w:rPr>
                <w:rFonts w:ascii="Book Antiqua" w:hAnsi="Book Antiqua"/>
                <w:sz w:val="16"/>
                <w:szCs w:val="16"/>
                <w:lang w:val="en-GB"/>
              </w:rPr>
              <w:instrText xml:space="preserve">ADDIN CSL_CITATION { "citationItems" : [ { "id" : "ITEM-1", "itemData" : { "DOI" : "10.1016/S1499-3872(11)60100-8", "ISBN" : "1499-3872", "ISSN" : "14993872", "PMID" : "2011677941", "abstract" : "Initial poor graft function (IPGF) following orthotopic liver transplantation is a major determinant of postoperative survival and morbidity. Lactate clearance is a good marker of liver function. In this study, we investigated the clinical utility of early lactate clearance as an early and accurate predictor for IPGF following liver transplantation. METHODS: This was a prospective observational study of 222 patients referred to the surgical intensive care unit (SICU) after orthotopic liver transplantation. The IPGF group consisted of patients with alanine aminotransferase (ALT) and/or aspartate aminotransferase (AST) &gt;1500 IU/L within 72 hours after orthotopic liver transplantation. Early lactate clearance was defined as lactate at SICU presentation (hour 0) minus lactate at hour 6, divided by lactate at SICU presentation. The model for end-stage liver disease (MELD) score, Child-Pugh score and laboratory data including AST, ALT, total bilirubin (TB) and prothrombin time (PT) were recorded at SICU presentation and compared between the non-IPGF and IPGF groups. Receiver operating characteristic (ROC) curves were plotted to measure the performance of early lactate clearance, MELD score, Child-Pugh score, TB and PT. RESULTS: IPGF occurred in 45 of the 222 patients (20.3%). The early lactate clearance in the non-IPGF group was markedly higher than that in the IPGF group (43.2\u00b113.8% vs 13.4\u00b113.7% P&lt;0.001). The optimum cut-off value for early lactate clearance predicting IPGF was 24.8% (sensitivity 95.5%, specificity 88.9%). The area under the curve of the ROC was 0.961, which was significantly superior to MELD score, Child-Pugh score, TB and PT. Patients with early lactate clearance \u226424.8% had a higher IPGF rate (OR=169) and a higher risk of in-hospital mortality (OR=3.625). CONCLUSIONS: Early lactate clearance can serve as a prompt and accurate bedside predictor of IPGF. Patients with early lactate clearance less than 24.8% are associated with a higher incidence of IPGF. \u00a9 2011, Hepatobiliary Pancreat Dis Int. All rights reserved.", "author" : [ { "dropping-particle" : "", "family" : "Wu", "given" : </w:instrText>
            </w:r>
            <w:r w:rsidR="00362C55" w:rsidRPr="00F26BF6">
              <w:rPr>
                <w:rFonts w:ascii="Book Antiqua" w:hAnsi="Book Antiqua"/>
                <w:sz w:val="16"/>
                <w:szCs w:val="16"/>
              </w:rPr>
              <w:instrText>"Jian Feng", "non-dropping-particle" : "", "parse-names" : false, "suffix" : "" }, { "dropping-particle" : "", "family" : "Wu", "given" : "Rong Yao", "non-dropping-particle" : "", "parse-names" : false, "suffix" : "" }, { "dropping-particle" : "", "family" : "Chen", "given" : "Juan", "non-dropping-particle" : "", "parse-names" : false, "suffix" : "" }, { "dropping-particle" : "", "family" : "Ou-Yang", "given" : "Bin", "non-dropping-particle" : "", "parse-names" : false, "suffix" : "" }, { "dropping-particle" : "", "family" : "Chen", "given" : "Min Ying", "non-dropping-particle" : "", "parse-names" : false, "suffix" : "" }, { "dropping-particle" : "", "family" : "Guan", "given" : "Xiang Dong", "non-dropping-particle" : "", "parse-names" : false, "suffix" : "" } ], "container-title" : "Hepatobiliary and Pancreatic Diseases International", "id" : "ITEM-1", "issue" : "6", "issued" : { "date-parts" : [ [ "2011" ] ] }, "page" : "587-589", "title" : "Early lactate clearance as a reliable predictor of initial poor graft function after orthotopic liver transplantation", "type" : "article-journal", "volume" : "10" }, "uris" : [ "http://www.mendeley.com/documents/?uuid=b184b6df-002b-45ee-a1f3-ef348c5f6573" ] } ], "mendeley" : { "formattedCitation" : "&lt;sup&gt;[84]&lt;/sup&gt;", "plainTextFormattedCitation" : "[84]", "previouslyFormattedCitation" : "&lt;sup&gt;[84]&lt;/sup&gt;" }, "properties" : { "noteIndex" : 0 }, "schema" : "https://github.com/citation-style-language/schema/raw/master/csl-citation.json" }</w:instrText>
            </w:r>
            <w:r w:rsidR="007D7ACC">
              <w:rPr>
                <w:rFonts w:ascii="Book Antiqua" w:hAnsi="Book Antiqua"/>
                <w:sz w:val="16"/>
                <w:szCs w:val="16"/>
                <w:lang w:val="en-GB"/>
              </w:rPr>
              <w:fldChar w:fldCharType="separate"/>
            </w:r>
            <w:r w:rsidR="00CD2CDC" w:rsidRPr="00F26BF6">
              <w:rPr>
                <w:rFonts w:ascii="Book Antiqua" w:hAnsi="Book Antiqua"/>
                <w:noProof/>
                <w:sz w:val="16"/>
                <w:szCs w:val="16"/>
                <w:vertAlign w:val="superscript"/>
              </w:rPr>
              <w:t>[84]</w:t>
            </w:r>
            <w:r w:rsidR="007D7ACC">
              <w:rPr>
                <w:rFonts w:ascii="Book Antiqua" w:hAnsi="Book Antiqua"/>
                <w:sz w:val="16"/>
                <w:szCs w:val="16"/>
                <w:lang w:val="en-GB"/>
              </w:rPr>
              <w:fldChar w:fldCharType="end"/>
            </w:r>
          </w:p>
        </w:tc>
        <w:tc>
          <w:tcPr>
            <w:tcW w:w="518" w:type="dxa"/>
            <w:shd w:val="clear" w:color="auto" w:fill="auto"/>
            <w:tcMar>
              <w:left w:w="51" w:type="dxa"/>
            </w:tcMar>
          </w:tcPr>
          <w:p w14:paraId="5922B01A" w14:textId="77777777" w:rsidR="00B122DF" w:rsidRPr="00F26BF6" w:rsidRDefault="00B122DF" w:rsidP="00422EBA">
            <w:pPr>
              <w:pStyle w:val="Contenutotabella"/>
              <w:adjustRightInd w:val="0"/>
              <w:snapToGrid w:val="0"/>
              <w:spacing w:after="0" w:line="360" w:lineRule="auto"/>
              <w:jc w:val="both"/>
              <w:rPr>
                <w:rFonts w:ascii="Book Antiqua" w:hAnsi="Book Antiqua"/>
                <w:sz w:val="16"/>
                <w:szCs w:val="16"/>
              </w:rPr>
            </w:pPr>
            <w:r w:rsidRPr="00F26BF6">
              <w:rPr>
                <w:rFonts w:ascii="Book Antiqua" w:hAnsi="Book Antiqua"/>
                <w:sz w:val="16"/>
                <w:szCs w:val="16"/>
              </w:rPr>
              <w:t>P</w:t>
            </w:r>
          </w:p>
        </w:tc>
        <w:tc>
          <w:tcPr>
            <w:tcW w:w="1827" w:type="dxa"/>
            <w:shd w:val="clear" w:color="auto" w:fill="auto"/>
            <w:tcMar>
              <w:left w:w="51" w:type="dxa"/>
            </w:tcMar>
          </w:tcPr>
          <w:p w14:paraId="22CAC803" w14:textId="77777777" w:rsidR="00B122DF" w:rsidRPr="00F26BF6" w:rsidRDefault="00B122DF" w:rsidP="00422EBA">
            <w:pPr>
              <w:pStyle w:val="Contenutotabella"/>
              <w:adjustRightInd w:val="0"/>
              <w:snapToGrid w:val="0"/>
              <w:spacing w:after="0" w:line="360" w:lineRule="auto"/>
              <w:jc w:val="both"/>
              <w:rPr>
                <w:rFonts w:ascii="Book Antiqua" w:hAnsi="Book Antiqua"/>
                <w:sz w:val="16"/>
                <w:szCs w:val="16"/>
              </w:rPr>
            </w:pPr>
            <w:r w:rsidRPr="00F26BF6">
              <w:rPr>
                <w:rFonts w:ascii="Book Antiqua" w:hAnsi="Book Antiqua"/>
                <w:sz w:val="16"/>
                <w:szCs w:val="16"/>
              </w:rPr>
              <w:t>EAD prediction</w:t>
            </w:r>
          </w:p>
        </w:tc>
        <w:tc>
          <w:tcPr>
            <w:tcW w:w="1195" w:type="dxa"/>
            <w:shd w:val="clear" w:color="auto" w:fill="auto"/>
            <w:tcMar>
              <w:left w:w="51" w:type="dxa"/>
            </w:tcMar>
          </w:tcPr>
          <w:p w14:paraId="259C921C" w14:textId="13306F78" w:rsidR="00B122DF" w:rsidRPr="00F26BF6" w:rsidRDefault="00B122DF" w:rsidP="00422EBA">
            <w:pPr>
              <w:pStyle w:val="Contenutotabella"/>
              <w:adjustRightInd w:val="0"/>
              <w:snapToGrid w:val="0"/>
              <w:spacing w:after="0" w:line="360" w:lineRule="auto"/>
              <w:jc w:val="both"/>
            </w:pPr>
            <w:r w:rsidRPr="00F26BF6">
              <w:rPr>
                <w:rFonts w:ascii="Book Antiqua" w:hAnsi="Book Antiqua"/>
                <w:sz w:val="16"/>
                <w:szCs w:val="16"/>
              </w:rPr>
              <w:t>222 LT:</w:t>
            </w:r>
            <w:r w:rsidR="00403E8B" w:rsidRPr="00F26BF6">
              <w:rPr>
                <w:rFonts w:ascii="Book Antiqua" w:hAnsi="Book Antiqua"/>
                <w:sz w:val="16"/>
                <w:szCs w:val="16"/>
              </w:rPr>
              <w:t xml:space="preserve"> </w:t>
            </w:r>
            <w:r w:rsidRPr="00F26BF6">
              <w:rPr>
                <w:rFonts w:ascii="Book Antiqua" w:hAnsi="Book Antiqua"/>
                <w:sz w:val="16"/>
                <w:szCs w:val="16"/>
              </w:rPr>
              <w:t>50% HBV, 41% HCC</w:t>
            </w:r>
          </w:p>
        </w:tc>
        <w:tc>
          <w:tcPr>
            <w:tcW w:w="888" w:type="dxa"/>
            <w:shd w:val="clear" w:color="auto" w:fill="auto"/>
            <w:tcMar>
              <w:left w:w="51" w:type="dxa"/>
            </w:tcMar>
          </w:tcPr>
          <w:p w14:paraId="029E12F1" w14:textId="77777777" w:rsidR="00B122DF" w:rsidRPr="00F26BF6" w:rsidRDefault="00B122DF" w:rsidP="00422EBA">
            <w:pPr>
              <w:pStyle w:val="Contenutotabella"/>
              <w:adjustRightInd w:val="0"/>
              <w:snapToGrid w:val="0"/>
              <w:spacing w:after="0" w:line="360" w:lineRule="auto"/>
              <w:jc w:val="both"/>
              <w:rPr>
                <w:rFonts w:ascii="Book Antiqua" w:hAnsi="Book Antiqua"/>
                <w:sz w:val="16"/>
                <w:szCs w:val="16"/>
              </w:rPr>
            </w:pPr>
            <w:r w:rsidRPr="00F26BF6">
              <w:rPr>
                <w:rFonts w:ascii="Book Antiqua" w:hAnsi="Book Antiqua"/>
                <w:sz w:val="16"/>
                <w:szCs w:val="16"/>
              </w:rPr>
              <w:t>1</w:t>
            </w:r>
          </w:p>
        </w:tc>
        <w:tc>
          <w:tcPr>
            <w:tcW w:w="1654" w:type="dxa"/>
            <w:shd w:val="clear" w:color="auto" w:fill="auto"/>
            <w:tcMar>
              <w:left w:w="51" w:type="dxa"/>
            </w:tcMar>
          </w:tcPr>
          <w:p w14:paraId="05496811" w14:textId="77777777" w:rsidR="00B122DF" w:rsidRPr="00F26BF6" w:rsidRDefault="00B122DF" w:rsidP="00422EBA">
            <w:pPr>
              <w:pStyle w:val="Contenutotabella"/>
              <w:adjustRightInd w:val="0"/>
              <w:snapToGrid w:val="0"/>
              <w:spacing w:after="0" w:line="360" w:lineRule="auto"/>
              <w:jc w:val="both"/>
              <w:rPr>
                <w:rFonts w:ascii="Book Antiqua" w:hAnsi="Book Antiqua"/>
                <w:sz w:val="16"/>
                <w:szCs w:val="16"/>
              </w:rPr>
            </w:pPr>
            <w:r w:rsidRPr="00F26BF6">
              <w:rPr>
                <w:rFonts w:ascii="Book Antiqua" w:hAnsi="Book Antiqua"/>
                <w:sz w:val="16"/>
                <w:szCs w:val="16"/>
              </w:rPr>
              <w:t>24.8%</w:t>
            </w:r>
          </w:p>
        </w:tc>
        <w:tc>
          <w:tcPr>
            <w:tcW w:w="1369" w:type="dxa"/>
            <w:shd w:val="clear" w:color="auto" w:fill="auto"/>
            <w:tcMar>
              <w:left w:w="51" w:type="dxa"/>
            </w:tcMar>
          </w:tcPr>
          <w:p w14:paraId="6C2A16B6" w14:textId="77777777" w:rsidR="00B122DF" w:rsidRPr="00F26BF6" w:rsidRDefault="00B122DF" w:rsidP="00422EBA">
            <w:pPr>
              <w:pStyle w:val="Contenutotabella"/>
              <w:adjustRightInd w:val="0"/>
              <w:snapToGrid w:val="0"/>
              <w:spacing w:after="0" w:line="360" w:lineRule="auto"/>
              <w:jc w:val="both"/>
              <w:rPr>
                <w:rFonts w:ascii="Book Antiqua" w:hAnsi="Book Antiqua"/>
                <w:sz w:val="16"/>
                <w:szCs w:val="16"/>
              </w:rPr>
            </w:pPr>
            <w:r w:rsidRPr="00F26BF6">
              <w:rPr>
                <w:rFonts w:ascii="Book Antiqua" w:hAnsi="Book Antiqua"/>
                <w:sz w:val="16"/>
                <w:szCs w:val="16"/>
              </w:rPr>
              <w:t>0.961 (0.948-0.974)</w:t>
            </w:r>
          </w:p>
        </w:tc>
        <w:tc>
          <w:tcPr>
            <w:tcW w:w="1106" w:type="dxa"/>
            <w:shd w:val="clear" w:color="auto" w:fill="auto"/>
            <w:tcMar>
              <w:left w:w="51" w:type="dxa"/>
            </w:tcMar>
          </w:tcPr>
          <w:p w14:paraId="25B64057" w14:textId="77777777" w:rsidR="00B122DF" w:rsidRPr="00F26BF6" w:rsidRDefault="00B122DF" w:rsidP="00422EBA">
            <w:pPr>
              <w:pStyle w:val="Contenutotabella"/>
              <w:adjustRightInd w:val="0"/>
              <w:snapToGrid w:val="0"/>
              <w:spacing w:after="0" w:line="360" w:lineRule="auto"/>
              <w:jc w:val="both"/>
              <w:rPr>
                <w:rFonts w:ascii="Book Antiqua" w:hAnsi="Book Antiqua"/>
                <w:sz w:val="16"/>
                <w:szCs w:val="16"/>
              </w:rPr>
            </w:pPr>
            <w:r w:rsidRPr="00F26BF6">
              <w:rPr>
                <w:rFonts w:ascii="Book Antiqua" w:hAnsi="Book Antiqua"/>
                <w:sz w:val="16"/>
                <w:szCs w:val="16"/>
              </w:rPr>
              <w:t>95.5</w:t>
            </w:r>
          </w:p>
        </w:tc>
        <w:tc>
          <w:tcPr>
            <w:tcW w:w="1103" w:type="dxa"/>
            <w:shd w:val="clear" w:color="auto" w:fill="auto"/>
            <w:tcMar>
              <w:left w:w="51" w:type="dxa"/>
            </w:tcMar>
          </w:tcPr>
          <w:p w14:paraId="5BCF1A74" w14:textId="77777777" w:rsidR="00B122DF" w:rsidRPr="00F26BF6" w:rsidRDefault="00B122DF" w:rsidP="00422EBA">
            <w:pPr>
              <w:pStyle w:val="Contenutotabella"/>
              <w:adjustRightInd w:val="0"/>
              <w:snapToGrid w:val="0"/>
              <w:spacing w:after="0" w:line="360" w:lineRule="auto"/>
              <w:jc w:val="both"/>
              <w:rPr>
                <w:rFonts w:ascii="Book Antiqua" w:hAnsi="Book Antiqua"/>
                <w:sz w:val="16"/>
                <w:szCs w:val="16"/>
              </w:rPr>
            </w:pPr>
            <w:r w:rsidRPr="00F26BF6">
              <w:rPr>
                <w:rFonts w:ascii="Book Antiqua" w:hAnsi="Book Antiqua"/>
                <w:sz w:val="16"/>
                <w:szCs w:val="16"/>
              </w:rPr>
              <w:t>88.9</w:t>
            </w:r>
          </w:p>
        </w:tc>
        <w:tc>
          <w:tcPr>
            <w:tcW w:w="917" w:type="dxa"/>
            <w:shd w:val="clear" w:color="auto" w:fill="auto"/>
            <w:tcMar>
              <w:left w:w="51" w:type="dxa"/>
            </w:tcMar>
          </w:tcPr>
          <w:p w14:paraId="3336AD9B" w14:textId="77777777" w:rsidR="00B122DF" w:rsidRPr="00F26BF6" w:rsidRDefault="00B122DF" w:rsidP="00422EBA">
            <w:pPr>
              <w:pStyle w:val="Contenutotabella"/>
              <w:adjustRightInd w:val="0"/>
              <w:snapToGrid w:val="0"/>
              <w:spacing w:after="0" w:line="360" w:lineRule="auto"/>
              <w:jc w:val="both"/>
              <w:rPr>
                <w:rFonts w:ascii="Book Antiqua" w:hAnsi="Book Antiqua"/>
                <w:sz w:val="16"/>
                <w:szCs w:val="16"/>
              </w:rPr>
            </w:pPr>
          </w:p>
        </w:tc>
        <w:tc>
          <w:tcPr>
            <w:tcW w:w="890" w:type="dxa"/>
            <w:shd w:val="clear" w:color="auto" w:fill="auto"/>
            <w:tcMar>
              <w:left w:w="51" w:type="dxa"/>
            </w:tcMar>
          </w:tcPr>
          <w:p w14:paraId="53AEE880" w14:textId="77777777" w:rsidR="00B122DF" w:rsidRPr="00F26BF6" w:rsidRDefault="00B122DF" w:rsidP="00422EBA">
            <w:pPr>
              <w:pStyle w:val="Contenutotabella"/>
              <w:adjustRightInd w:val="0"/>
              <w:snapToGrid w:val="0"/>
              <w:spacing w:after="0" w:line="360" w:lineRule="auto"/>
              <w:jc w:val="both"/>
              <w:rPr>
                <w:rFonts w:ascii="Book Antiqua" w:hAnsi="Book Antiqua"/>
                <w:sz w:val="16"/>
                <w:szCs w:val="16"/>
              </w:rPr>
            </w:pPr>
          </w:p>
        </w:tc>
      </w:tr>
      <w:tr w:rsidR="007050A2" w:rsidRPr="007050A2" w14:paraId="270B7CD1" w14:textId="77777777" w:rsidTr="001D36E2">
        <w:tc>
          <w:tcPr>
            <w:tcW w:w="1589" w:type="dxa"/>
            <w:vMerge w:val="restart"/>
            <w:shd w:val="clear" w:color="auto" w:fill="auto"/>
            <w:tcMar>
              <w:left w:w="51" w:type="dxa"/>
            </w:tcMar>
            <w:vAlign w:val="center"/>
          </w:tcPr>
          <w:p w14:paraId="278E287E" w14:textId="77777777" w:rsidR="007050A2" w:rsidRPr="00F26BF6" w:rsidRDefault="007050A2" w:rsidP="00422EBA">
            <w:pPr>
              <w:pStyle w:val="Contenutotabella"/>
              <w:adjustRightInd w:val="0"/>
              <w:snapToGrid w:val="0"/>
              <w:spacing w:after="0" w:line="360" w:lineRule="auto"/>
              <w:jc w:val="both"/>
              <w:rPr>
                <w:rFonts w:ascii="Book Antiqua" w:hAnsi="Book Antiqua"/>
                <w:sz w:val="16"/>
                <w:szCs w:val="16"/>
              </w:rPr>
            </w:pPr>
            <w:r w:rsidRPr="00F26BF6">
              <w:rPr>
                <w:rFonts w:ascii="Book Antiqua" w:hAnsi="Book Antiqua"/>
                <w:sz w:val="16"/>
                <w:szCs w:val="16"/>
              </w:rPr>
              <w:t>IGF-1</w:t>
            </w:r>
          </w:p>
        </w:tc>
        <w:tc>
          <w:tcPr>
            <w:tcW w:w="1397" w:type="dxa"/>
            <w:shd w:val="clear" w:color="auto" w:fill="auto"/>
            <w:tcMar>
              <w:left w:w="51" w:type="dxa"/>
            </w:tcMar>
          </w:tcPr>
          <w:p w14:paraId="005CEBB8" w14:textId="795F69F0" w:rsidR="007050A2" w:rsidRDefault="007050A2" w:rsidP="00422EBA">
            <w:pPr>
              <w:pStyle w:val="Contenutotabella"/>
              <w:adjustRightInd w:val="0"/>
              <w:snapToGrid w:val="0"/>
              <w:spacing w:after="0" w:line="360" w:lineRule="auto"/>
              <w:jc w:val="both"/>
              <w:rPr>
                <w:rFonts w:ascii="Book Antiqua" w:hAnsi="Book Antiqua"/>
                <w:sz w:val="16"/>
                <w:szCs w:val="16"/>
                <w:lang w:val="en-GB"/>
              </w:rPr>
            </w:pPr>
            <w:r w:rsidRPr="00F26BF6">
              <w:rPr>
                <w:rFonts w:ascii="Book Antiqua" w:hAnsi="Book Antiqua"/>
                <w:sz w:val="16"/>
                <w:szCs w:val="16"/>
              </w:rPr>
              <w:t xml:space="preserve">Bassanello </w:t>
            </w:r>
            <w:r w:rsidR="00E35182" w:rsidRPr="00E35182">
              <w:rPr>
                <w:rFonts w:ascii="Book Antiqua" w:hAnsi="Book Antiqua"/>
                <w:i/>
                <w:sz w:val="16"/>
                <w:szCs w:val="16"/>
              </w:rPr>
              <w:t>et al</w:t>
            </w:r>
            <w:r>
              <w:rPr>
                <w:rFonts w:ascii="Book Antiqua" w:hAnsi="Book Antiqua"/>
                <w:sz w:val="16"/>
                <w:szCs w:val="16"/>
                <w:lang w:val="en-GB"/>
              </w:rPr>
              <w:fldChar w:fldCharType="begin" w:fldLock="1"/>
            </w:r>
            <w:r w:rsidRPr="00F26BF6">
              <w:rPr>
                <w:rFonts w:ascii="Book Antiqua" w:hAnsi="Book Antiqua"/>
                <w:sz w:val="16"/>
                <w:szCs w:val="16"/>
              </w:rPr>
              <w:instrText>ADDIN CSL_CITATION { "citationItems" : [ { "id" : "ITEM-1", "itemData" : { "DOI" : "10.1002/lt.20111", "ISSN" : "1527-6465", "PMID" : "15108263", "abstrac</w:instrText>
            </w:r>
            <w:r>
              <w:rPr>
                <w:rFonts w:ascii="Book Antiqua" w:hAnsi="Book Antiqua"/>
                <w:sz w:val="16"/>
                <w:szCs w:val="16"/>
                <w:lang w:val="en-GB"/>
              </w:rPr>
              <w:instrText>t" : "Many studies on cirrhotic patients have shown that insulin-like growth factor 1 (IGF-1) plasma levels are related to the severity of liver dysfunction. This result suggests that IGF-1 is probably useful for monitoring liver function in the perioperative course of orthotopic liver transplantation (OLT). Growth hormone (GH), IGF-1 plasma levels, and routine liver function tests were measured in 15 adult cirrhotic patients undergoing OLT. Measurements were made at the beginning of the operation; during OLT; 24 hours after reperfusion; and in the morning on days 7, 30, and 90. Twenty age-matched healthy volunteers with normal liver function served as controls. The study group had significantly higher GH levels and lower IGF-1 levels in the preoperative period compared with the controls. All patients achieved a complete functional hepatic recovery 1 month after OLT, although in 6 of them, the graft had an initial poor function (Group-IPF). GH and IGF-1 levels achieved near normal range within 1 week after OLT, and they had no significant correlations with other routine biochemistry tests in this period. IGF-1 levels in Group-IPF rose more slowly than in the group with a normal recovery of graft function. Surprisingly, 24 hours after reperfusion, IGF-1 levels were higher in Group-IPF than in the group with normal graft function. In conclusion, the severe GH/IGF-1 axis impairment found in patients with end-stage cirrhosis reverted very rapidly in the first days after successful OLT. Such a quick, postoperative modulation of IGF-1 plasma level by the graft suggests that this hormone has the potential to become one of the early indicators of post-OLT liver function recovery.", "author" : [ { "dropping-particle" : "", "family" : "Bassanello", "given" : "Marco", "non-dropping-particle" : "", "parse-names" : false, "suffix" : "" }, { "dropping-particle" : "", "family" : "Palo", "given" : "Elio Franco", "non-dropping-particle" : "De", "parse-names" : false, "suffix" : "" }, { "dropping-particle" : "", "family" : "Lancerin", "given" : "Federica", "non-dropping-particle" : "", "parse-names" : false, "suffix" : "" }, { "dropping-particle" : "", "family" : "Vitale", "given" : "Alessandro", "non-dropping-particle" : "", "parse-names" : false, "suffix" : "" }, { "dropping-particle" : "", "family" : "Gatti", "given" : "Rosalba", "non-dropping-particle" : "", "parse-names" : false, "suffix" : "" }, { "dropping-particle" : "", "family" : "Montin", "given" : "Umberto", "non-dropping-particle" : "", "parse-names" : false, "suffix" : "" }, { "dropping-particle" : "", "family" : "Ciarleglio", "given" : "Francesco Antonio", "non-dropping-particle" : "", "parse-names" : false, "suffix" : "" }, { "dropping-particle" : "", "family" : "Senzolo", "given" : "Marco", "non-dropping-particle" : "", "parse-names" : false, "suffix" : "" }, { "dropping-particle" : "", "family" : "Burra", "given" : "Patrizia", "non-dropping-particle" : "", "parse-names" : false, "suffix" : "" }, { "dropping-particle" : "", "family" : "Brolese", "given" : "Alberto", "non-dropping-particle" : "", "parse-names" : false, "suffix" : "" }, { "dropping-particle" : "", "family" : "Zanus", "given" : "Giacomo", "non-dropping-particle" : "", "parse-names" : false, "suffix" : "" }, { "dropping-particle" : "", "family" : "D'Amico", "given" : "Davide Francesco", "non-dropping-particle" : "", "parse-names" : false, "suffix" : "" }, { "dropping-particle" : "", "family" : "Cillo", "given" : "Umberto", "non-dropping-particle" : "", "parse-names" : false, "suffix" : "" } ], "container-title" : "Liver transplantation : official publication of the American Association for the Study of Liver Diseases and the International Liver Transplantation Society", "id" : "ITEM-1", "issue" : "5", "issued" : { "date-parts" : [ [ "2004", "5" ] ] }, "page" : "692-8", "title" : "Growth hormone/insulin-like growth factor 1 axis recovery after liver transplantation: a preliminary prospective study.", "type" : "article-journal", "volume" : "10" }, "uris" : [ "http://www.mendeley.com/documents/?uuid=195da103-82c4-47d6-ab93-4b402a4ab6bc" ] } ], "mendeley" : { "formattedCitation" : "&lt;sup&gt;[88]&lt;/sup&gt;", "plainTextFormattedCitation" : "[88]", "previouslyFormattedCitation" : "&lt;sup&gt;[88]&lt;/sup&gt;" }, "properties" : { "noteIndex" : 0 }, "schema" : "https://github.com/citation-style-language/schema/raw/master/csl-citation.json" }</w:instrText>
            </w:r>
            <w:r>
              <w:rPr>
                <w:rFonts w:ascii="Book Antiqua" w:hAnsi="Book Antiqua"/>
                <w:sz w:val="16"/>
                <w:szCs w:val="16"/>
                <w:lang w:val="en-GB"/>
              </w:rPr>
              <w:fldChar w:fldCharType="separate"/>
            </w:r>
            <w:r w:rsidRPr="00CD2CDC">
              <w:rPr>
                <w:rFonts w:ascii="Book Antiqua" w:hAnsi="Book Antiqua"/>
                <w:noProof/>
                <w:sz w:val="16"/>
                <w:szCs w:val="16"/>
                <w:vertAlign w:val="superscript"/>
                <w:lang w:val="en-GB"/>
              </w:rPr>
              <w:t>[88]</w:t>
            </w:r>
            <w:r>
              <w:rPr>
                <w:rFonts w:ascii="Book Antiqua" w:hAnsi="Book Antiqua"/>
                <w:sz w:val="16"/>
                <w:szCs w:val="16"/>
                <w:lang w:val="en-GB"/>
              </w:rPr>
              <w:fldChar w:fldCharType="end"/>
            </w:r>
          </w:p>
        </w:tc>
        <w:tc>
          <w:tcPr>
            <w:tcW w:w="518" w:type="dxa"/>
            <w:shd w:val="clear" w:color="auto" w:fill="auto"/>
            <w:tcMar>
              <w:left w:w="51" w:type="dxa"/>
            </w:tcMar>
          </w:tcPr>
          <w:p w14:paraId="07CB9EE1" w14:textId="77777777" w:rsidR="007050A2" w:rsidRDefault="007050A2"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P</w:t>
            </w:r>
          </w:p>
        </w:tc>
        <w:tc>
          <w:tcPr>
            <w:tcW w:w="1827" w:type="dxa"/>
            <w:shd w:val="clear" w:color="auto" w:fill="auto"/>
            <w:tcMar>
              <w:left w:w="51" w:type="dxa"/>
            </w:tcMar>
          </w:tcPr>
          <w:p w14:paraId="299AD796" w14:textId="77777777" w:rsidR="007050A2" w:rsidRDefault="007050A2"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Explore GH/IGF-1 axis changes during the perioperative course of LT</w:t>
            </w:r>
          </w:p>
        </w:tc>
        <w:tc>
          <w:tcPr>
            <w:tcW w:w="1195" w:type="dxa"/>
            <w:shd w:val="clear" w:color="auto" w:fill="auto"/>
            <w:tcMar>
              <w:left w:w="51" w:type="dxa"/>
            </w:tcMar>
          </w:tcPr>
          <w:p w14:paraId="176A1FF6" w14:textId="2AFAC614" w:rsidR="007050A2" w:rsidRPr="00FA6324" w:rsidRDefault="007050A2" w:rsidP="00422EBA">
            <w:pPr>
              <w:pStyle w:val="Contenutotabella"/>
              <w:adjustRightInd w:val="0"/>
              <w:snapToGrid w:val="0"/>
              <w:spacing w:after="0" w:line="360" w:lineRule="auto"/>
              <w:jc w:val="both"/>
              <w:rPr>
                <w:lang w:val="en-US"/>
              </w:rPr>
            </w:pPr>
            <w:r>
              <w:rPr>
                <w:rFonts w:ascii="Book Antiqua" w:hAnsi="Book Antiqua"/>
                <w:sz w:val="16"/>
                <w:szCs w:val="16"/>
                <w:lang w:val="en-GB"/>
              </w:rPr>
              <w:t>15 LT: 52% viral, 20% alcoholic</w:t>
            </w:r>
          </w:p>
        </w:tc>
        <w:tc>
          <w:tcPr>
            <w:tcW w:w="888" w:type="dxa"/>
            <w:shd w:val="clear" w:color="auto" w:fill="auto"/>
            <w:tcMar>
              <w:left w:w="51" w:type="dxa"/>
            </w:tcMar>
          </w:tcPr>
          <w:p w14:paraId="5D58E4AA" w14:textId="77777777" w:rsidR="007050A2" w:rsidRDefault="007050A2"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7</w:t>
            </w:r>
          </w:p>
        </w:tc>
        <w:tc>
          <w:tcPr>
            <w:tcW w:w="1654" w:type="dxa"/>
            <w:shd w:val="clear" w:color="auto" w:fill="auto"/>
            <w:tcMar>
              <w:left w:w="51" w:type="dxa"/>
            </w:tcMar>
          </w:tcPr>
          <w:p w14:paraId="36492A1C" w14:textId="77777777" w:rsidR="007050A2" w:rsidRPr="00D5047F" w:rsidRDefault="007050A2" w:rsidP="00422EBA">
            <w:pPr>
              <w:pStyle w:val="Contenutotabella"/>
              <w:adjustRightInd w:val="0"/>
              <w:snapToGrid w:val="0"/>
              <w:spacing w:after="0" w:line="360" w:lineRule="auto"/>
              <w:jc w:val="both"/>
              <w:rPr>
                <w:rFonts w:ascii="Book Antiqua" w:hAnsi="Book Antiqua"/>
                <w:caps/>
                <w:sz w:val="16"/>
                <w:szCs w:val="16"/>
                <w:lang w:val="en-GB"/>
              </w:rPr>
            </w:pPr>
            <w:r w:rsidRPr="00D5047F">
              <w:rPr>
                <w:rFonts w:ascii="Book Antiqua" w:hAnsi="Book Antiqua"/>
                <w:caps/>
                <w:sz w:val="16"/>
                <w:szCs w:val="16"/>
                <w:lang w:val="en-GB"/>
              </w:rPr>
              <w:t>n.a</w:t>
            </w:r>
          </w:p>
        </w:tc>
        <w:tc>
          <w:tcPr>
            <w:tcW w:w="1369" w:type="dxa"/>
            <w:shd w:val="clear" w:color="auto" w:fill="auto"/>
            <w:tcMar>
              <w:left w:w="51" w:type="dxa"/>
            </w:tcMar>
          </w:tcPr>
          <w:p w14:paraId="2FE135F6" w14:textId="77777777" w:rsidR="007050A2" w:rsidRDefault="007050A2" w:rsidP="00422EBA">
            <w:pPr>
              <w:pStyle w:val="Contenutotabella"/>
              <w:adjustRightInd w:val="0"/>
              <w:snapToGrid w:val="0"/>
              <w:spacing w:after="0" w:line="360" w:lineRule="auto"/>
              <w:jc w:val="both"/>
              <w:rPr>
                <w:rFonts w:ascii="Book Antiqua" w:hAnsi="Book Antiqua"/>
                <w:sz w:val="16"/>
                <w:szCs w:val="16"/>
                <w:lang w:val="en-GB"/>
              </w:rPr>
            </w:pPr>
          </w:p>
        </w:tc>
        <w:tc>
          <w:tcPr>
            <w:tcW w:w="1106" w:type="dxa"/>
            <w:shd w:val="clear" w:color="auto" w:fill="auto"/>
            <w:tcMar>
              <w:left w:w="51" w:type="dxa"/>
            </w:tcMar>
          </w:tcPr>
          <w:p w14:paraId="6DDFE446" w14:textId="77777777" w:rsidR="007050A2" w:rsidRDefault="007050A2" w:rsidP="00422EBA">
            <w:pPr>
              <w:pStyle w:val="Contenutotabella"/>
              <w:adjustRightInd w:val="0"/>
              <w:snapToGrid w:val="0"/>
              <w:spacing w:after="0" w:line="360" w:lineRule="auto"/>
              <w:jc w:val="both"/>
              <w:rPr>
                <w:rFonts w:ascii="Book Antiqua" w:hAnsi="Book Antiqua"/>
                <w:sz w:val="16"/>
                <w:szCs w:val="16"/>
                <w:lang w:val="en-GB"/>
              </w:rPr>
            </w:pPr>
          </w:p>
        </w:tc>
        <w:tc>
          <w:tcPr>
            <w:tcW w:w="1103" w:type="dxa"/>
            <w:shd w:val="clear" w:color="auto" w:fill="auto"/>
            <w:tcMar>
              <w:left w:w="51" w:type="dxa"/>
            </w:tcMar>
          </w:tcPr>
          <w:p w14:paraId="41453D54" w14:textId="77777777" w:rsidR="007050A2" w:rsidRDefault="007050A2" w:rsidP="00422EBA">
            <w:pPr>
              <w:pStyle w:val="Contenutotabella"/>
              <w:adjustRightInd w:val="0"/>
              <w:snapToGrid w:val="0"/>
              <w:spacing w:after="0" w:line="360" w:lineRule="auto"/>
              <w:jc w:val="both"/>
              <w:rPr>
                <w:rFonts w:ascii="Book Antiqua" w:hAnsi="Book Antiqua"/>
                <w:sz w:val="16"/>
                <w:szCs w:val="16"/>
                <w:lang w:val="en-GB"/>
              </w:rPr>
            </w:pPr>
          </w:p>
        </w:tc>
        <w:tc>
          <w:tcPr>
            <w:tcW w:w="917" w:type="dxa"/>
            <w:shd w:val="clear" w:color="auto" w:fill="auto"/>
            <w:tcMar>
              <w:left w:w="51" w:type="dxa"/>
            </w:tcMar>
          </w:tcPr>
          <w:p w14:paraId="184E8893" w14:textId="77777777" w:rsidR="007050A2" w:rsidRDefault="007050A2" w:rsidP="00422EBA">
            <w:pPr>
              <w:pStyle w:val="Contenutotabella"/>
              <w:adjustRightInd w:val="0"/>
              <w:snapToGrid w:val="0"/>
              <w:spacing w:after="0" w:line="360" w:lineRule="auto"/>
              <w:jc w:val="both"/>
              <w:rPr>
                <w:rFonts w:ascii="Book Antiqua" w:hAnsi="Book Antiqua"/>
                <w:sz w:val="16"/>
                <w:szCs w:val="16"/>
                <w:lang w:val="en-GB"/>
              </w:rPr>
            </w:pPr>
          </w:p>
        </w:tc>
        <w:tc>
          <w:tcPr>
            <w:tcW w:w="890" w:type="dxa"/>
            <w:shd w:val="clear" w:color="auto" w:fill="auto"/>
            <w:tcMar>
              <w:left w:w="51" w:type="dxa"/>
            </w:tcMar>
          </w:tcPr>
          <w:p w14:paraId="17DA26B4" w14:textId="77777777" w:rsidR="007050A2" w:rsidRDefault="007050A2" w:rsidP="00422EBA">
            <w:pPr>
              <w:pStyle w:val="Contenutotabella"/>
              <w:adjustRightInd w:val="0"/>
              <w:snapToGrid w:val="0"/>
              <w:spacing w:after="0" w:line="360" w:lineRule="auto"/>
              <w:jc w:val="both"/>
              <w:rPr>
                <w:rFonts w:ascii="Book Antiqua" w:hAnsi="Book Antiqua"/>
                <w:sz w:val="16"/>
                <w:szCs w:val="16"/>
                <w:lang w:val="en-GB"/>
              </w:rPr>
            </w:pPr>
          </w:p>
        </w:tc>
      </w:tr>
      <w:tr w:rsidR="007050A2" w14:paraId="11CF1BB1" w14:textId="77777777" w:rsidTr="001D36E2">
        <w:tc>
          <w:tcPr>
            <w:tcW w:w="1589" w:type="dxa"/>
            <w:vMerge/>
            <w:shd w:val="clear" w:color="auto" w:fill="auto"/>
            <w:tcMar>
              <w:left w:w="51" w:type="dxa"/>
            </w:tcMar>
            <w:vAlign w:val="center"/>
          </w:tcPr>
          <w:p w14:paraId="7EC024F4" w14:textId="77777777" w:rsidR="007050A2" w:rsidRDefault="007050A2" w:rsidP="00422EBA">
            <w:pPr>
              <w:pStyle w:val="Contenutotabella"/>
              <w:adjustRightInd w:val="0"/>
              <w:snapToGrid w:val="0"/>
              <w:spacing w:after="0" w:line="360" w:lineRule="auto"/>
              <w:jc w:val="both"/>
              <w:rPr>
                <w:rFonts w:ascii="Book Antiqua" w:hAnsi="Book Antiqua"/>
                <w:sz w:val="16"/>
                <w:szCs w:val="16"/>
                <w:lang w:val="en-GB"/>
              </w:rPr>
            </w:pPr>
          </w:p>
        </w:tc>
        <w:tc>
          <w:tcPr>
            <w:tcW w:w="1397" w:type="dxa"/>
            <w:shd w:val="clear" w:color="auto" w:fill="auto"/>
            <w:tcMar>
              <w:left w:w="51" w:type="dxa"/>
            </w:tcMar>
          </w:tcPr>
          <w:p w14:paraId="141E3749" w14:textId="53E9DAE8" w:rsidR="007050A2" w:rsidRDefault="007050A2"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 xml:space="preserve">Salso </w:t>
            </w:r>
            <w:r w:rsidR="00E35182" w:rsidRPr="00E35182">
              <w:rPr>
                <w:rFonts w:ascii="Book Antiqua" w:hAnsi="Book Antiqua"/>
                <w:i/>
                <w:sz w:val="16"/>
                <w:szCs w:val="16"/>
                <w:lang w:val="en-GB"/>
              </w:rPr>
              <w:t>et al</w:t>
            </w:r>
            <w:r>
              <w:rPr>
                <w:rFonts w:ascii="Book Antiqua" w:hAnsi="Book Antiqua"/>
                <w:sz w:val="16"/>
                <w:szCs w:val="16"/>
                <w:lang w:val="en-GB"/>
              </w:rPr>
              <w:fldChar w:fldCharType="begin" w:fldLock="1"/>
            </w:r>
            <w:r>
              <w:rPr>
                <w:rFonts w:ascii="Book Antiqua" w:hAnsi="Book Antiqua"/>
                <w:sz w:val="16"/>
                <w:szCs w:val="16"/>
                <w:lang w:val="en-GB"/>
              </w:rPr>
              <w:instrText>ADDIN CSL_CITATION { "citationItems" : [ { "id" : "ITEM-1", "itemData" : { "DOI" : "10.1155/2014/240873", "ISSN" : "2314-6141", "PMID" : "24804205", "abstract" : "BACKGROUND: High levels of IGF-1 have been reported in patients with initial poor function of the graft after liver transplantation (LT). Correlation with other clinical variables or early survival has not been extensively investigated.\n\nAIM: To evaluate the GH/IGF-1 profile as a function of liver recovery and patients' early survival after LT.\n\nMETHODS: 30 transplanted patients (23 survivors and 7 nonsurvivors), were retrospectively enrolled in the study. GH and IGF-1 serum levels were assessed at baseline, graft reperfusion, and 1, 7, 15, 30 , 90, and 360 days after LT. Individual biochemical variables were also recorded.\n\nRESULTS: After grafting, IGF-1 in blood linearly correlated with cholesterol (r = 0.6, P = 0.001). IGF-1 levels from day 15 after surgery were statistically higher in survivors as compared to nonsurvivors. ROC curves analysis identified an IGF-1 cut-off &gt;90 \u03bcg/L, from day 15 after surgery, as a good predictor of survival (sensitivity 86%, specificity 95%, and P &lt; 0.001).\n\nCONCLUSIONS: After LT, GH levels correlate with the extent of cytolysis, while IGF-1 is an indicator of liver synthetic function recovery. IGF-1 levels &gt;90 \u03bcg/L (day 15-30) seem to be an indicator of short-term survival.", "author" : [ { "dropping-particle" : "", "family" : "Salso", "given" : "Angela", "non-dropping-particle" : "", "parse-names" : false, "suffix" : "" }, { "dropping-particle" : "", "family" : "Tisone", "given" : "Giuseppe", "non-dropping-particle" : "", "parse-names" : false, "suffix" : "" }, { "dropping-particle" : "", "family" : "Tariciotti", "given" : "Laura", "non-dropping-particle" : "", "parse-names" : false, "suffix" : "" }, { "dropping-particle" : "", "family" : "Lenci", "given" : "Ilaria", "non-dropping-particle" : "", "parse-names" : false, "suffix" : "" }, { "dropping-particle" : "", "family" : "Manzia", "given" : "Tommaso Maria", "non-dropping-particle" : "", "parse-names" : false, "suffix" : "" }, { "dropping-particle" : "", "family" : "Baiocchi", "given" : "Leonardo", "non-dropping-particle" : "", "parse-names" : false, "suffix" : "" } ], "container-title" : "BioMed research international", "id" : "ITEM-1", "issued" : { "date-parts" : [ [ "2014", "1" ] ] }, "page" : "240873", "title" : "Relationship between GH/IGF-1 axis, graft recovery, and early survival in patients undergoing liver transplantation.", "type" : "article-journal", "volume" : "2014" }, "uris" : [ "http://www.mendeley.com/documents/?uuid=5cbc6836-e9fa-4628-a0d6-1b11d6a837af" ] } ], "mendeley" : { "formattedCitation" : "&lt;sup&gt;[90]&lt;/sup&gt;", "plainTextFormattedCitation" : "[90]", "previouslyFormattedCitation" : "&lt;sup&gt;[90]&lt;/sup&gt;" }, "properties" : { "noteIndex" : 0 }, "schema" : "https://github.com/citation-style-language/schema/raw/master/csl-citation.json" }</w:instrText>
            </w:r>
            <w:r>
              <w:rPr>
                <w:rFonts w:ascii="Book Antiqua" w:hAnsi="Book Antiqua"/>
                <w:sz w:val="16"/>
                <w:szCs w:val="16"/>
                <w:lang w:val="en-GB"/>
              </w:rPr>
              <w:fldChar w:fldCharType="separate"/>
            </w:r>
            <w:r w:rsidRPr="00CD2CDC">
              <w:rPr>
                <w:rFonts w:ascii="Book Antiqua" w:hAnsi="Book Antiqua"/>
                <w:noProof/>
                <w:sz w:val="16"/>
                <w:szCs w:val="16"/>
                <w:vertAlign w:val="superscript"/>
                <w:lang w:val="en-GB"/>
              </w:rPr>
              <w:t>[90]</w:t>
            </w:r>
            <w:r>
              <w:rPr>
                <w:rFonts w:ascii="Book Antiqua" w:hAnsi="Book Antiqua"/>
                <w:sz w:val="16"/>
                <w:szCs w:val="16"/>
                <w:lang w:val="en-GB"/>
              </w:rPr>
              <w:fldChar w:fldCharType="end"/>
            </w:r>
          </w:p>
        </w:tc>
        <w:tc>
          <w:tcPr>
            <w:tcW w:w="518" w:type="dxa"/>
            <w:shd w:val="clear" w:color="auto" w:fill="auto"/>
            <w:tcMar>
              <w:left w:w="51" w:type="dxa"/>
            </w:tcMar>
          </w:tcPr>
          <w:p w14:paraId="663BAF67" w14:textId="77777777" w:rsidR="007050A2" w:rsidRDefault="007050A2"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R</w:t>
            </w:r>
          </w:p>
        </w:tc>
        <w:tc>
          <w:tcPr>
            <w:tcW w:w="1827" w:type="dxa"/>
            <w:shd w:val="clear" w:color="auto" w:fill="auto"/>
            <w:tcMar>
              <w:left w:w="51" w:type="dxa"/>
            </w:tcMar>
          </w:tcPr>
          <w:p w14:paraId="1AC4F1FD" w14:textId="11E29542" w:rsidR="007050A2" w:rsidRDefault="007050A2"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90-d patient survival</w:t>
            </w:r>
          </w:p>
        </w:tc>
        <w:tc>
          <w:tcPr>
            <w:tcW w:w="1195" w:type="dxa"/>
            <w:shd w:val="clear" w:color="auto" w:fill="auto"/>
            <w:tcMar>
              <w:left w:w="51" w:type="dxa"/>
            </w:tcMar>
          </w:tcPr>
          <w:p w14:paraId="3C042AFD" w14:textId="718FAE69" w:rsidR="007050A2" w:rsidRDefault="007050A2"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30 LT: 40% HCV, 20% HBV</w:t>
            </w:r>
          </w:p>
        </w:tc>
        <w:tc>
          <w:tcPr>
            <w:tcW w:w="888" w:type="dxa"/>
            <w:shd w:val="clear" w:color="auto" w:fill="auto"/>
            <w:tcMar>
              <w:left w:w="51" w:type="dxa"/>
            </w:tcMar>
          </w:tcPr>
          <w:p w14:paraId="06F1F3B2" w14:textId="77777777" w:rsidR="007050A2" w:rsidRDefault="007050A2"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15</w:t>
            </w:r>
          </w:p>
        </w:tc>
        <w:tc>
          <w:tcPr>
            <w:tcW w:w="1654" w:type="dxa"/>
            <w:shd w:val="clear" w:color="auto" w:fill="auto"/>
            <w:tcMar>
              <w:left w:w="51" w:type="dxa"/>
            </w:tcMar>
          </w:tcPr>
          <w:p w14:paraId="0B1EA798" w14:textId="77777777" w:rsidR="007050A2" w:rsidRDefault="007050A2"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90 mUI/mL</w:t>
            </w:r>
          </w:p>
        </w:tc>
        <w:tc>
          <w:tcPr>
            <w:tcW w:w="1369" w:type="dxa"/>
            <w:shd w:val="clear" w:color="auto" w:fill="auto"/>
            <w:tcMar>
              <w:left w:w="51" w:type="dxa"/>
            </w:tcMar>
          </w:tcPr>
          <w:p w14:paraId="321020FA" w14:textId="77777777" w:rsidR="007050A2" w:rsidRDefault="007050A2"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0.92</w:t>
            </w:r>
          </w:p>
        </w:tc>
        <w:tc>
          <w:tcPr>
            <w:tcW w:w="1106" w:type="dxa"/>
            <w:shd w:val="clear" w:color="auto" w:fill="auto"/>
            <w:tcMar>
              <w:left w:w="51" w:type="dxa"/>
            </w:tcMar>
          </w:tcPr>
          <w:p w14:paraId="2FCDD77C" w14:textId="77777777" w:rsidR="007050A2" w:rsidRDefault="007050A2"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86</w:t>
            </w:r>
          </w:p>
        </w:tc>
        <w:tc>
          <w:tcPr>
            <w:tcW w:w="1103" w:type="dxa"/>
            <w:shd w:val="clear" w:color="auto" w:fill="auto"/>
            <w:tcMar>
              <w:left w:w="51" w:type="dxa"/>
            </w:tcMar>
          </w:tcPr>
          <w:p w14:paraId="06D08086" w14:textId="77777777" w:rsidR="007050A2" w:rsidRDefault="007050A2"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87</w:t>
            </w:r>
          </w:p>
        </w:tc>
        <w:tc>
          <w:tcPr>
            <w:tcW w:w="917" w:type="dxa"/>
            <w:shd w:val="clear" w:color="auto" w:fill="auto"/>
            <w:tcMar>
              <w:left w:w="51" w:type="dxa"/>
            </w:tcMar>
          </w:tcPr>
          <w:p w14:paraId="07DF4B4E" w14:textId="77777777" w:rsidR="007050A2" w:rsidRDefault="007050A2" w:rsidP="00422EBA">
            <w:pPr>
              <w:pStyle w:val="Contenutotabella"/>
              <w:adjustRightInd w:val="0"/>
              <w:snapToGrid w:val="0"/>
              <w:spacing w:after="0" w:line="360" w:lineRule="auto"/>
              <w:jc w:val="both"/>
              <w:rPr>
                <w:rFonts w:ascii="Book Antiqua" w:hAnsi="Book Antiqua"/>
                <w:sz w:val="16"/>
                <w:szCs w:val="16"/>
                <w:lang w:val="en-GB"/>
              </w:rPr>
            </w:pPr>
          </w:p>
        </w:tc>
        <w:tc>
          <w:tcPr>
            <w:tcW w:w="890" w:type="dxa"/>
            <w:shd w:val="clear" w:color="auto" w:fill="auto"/>
            <w:tcMar>
              <w:left w:w="51" w:type="dxa"/>
            </w:tcMar>
          </w:tcPr>
          <w:p w14:paraId="1C58B2C6" w14:textId="77777777" w:rsidR="007050A2" w:rsidRDefault="007050A2" w:rsidP="00422EBA">
            <w:pPr>
              <w:pStyle w:val="Contenutotabella"/>
              <w:adjustRightInd w:val="0"/>
              <w:snapToGrid w:val="0"/>
              <w:spacing w:after="0" w:line="360" w:lineRule="auto"/>
              <w:jc w:val="both"/>
              <w:rPr>
                <w:rFonts w:ascii="Book Antiqua" w:hAnsi="Book Antiqua"/>
                <w:sz w:val="16"/>
                <w:szCs w:val="16"/>
                <w:lang w:val="en-GB"/>
              </w:rPr>
            </w:pPr>
          </w:p>
        </w:tc>
      </w:tr>
      <w:tr w:rsidR="007050A2" w:rsidRPr="00315B8B" w14:paraId="6F95DA4E" w14:textId="77777777" w:rsidTr="001D36E2">
        <w:tc>
          <w:tcPr>
            <w:tcW w:w="1589" w:type="dxa"/>
            <w:vMerge/>
            <w:shd w:val="clear" w:color="auto" w:fill="auto"/>
            <w:tcMar>
              <w:left w:w="51" w:type="dxa"/>
            </w:tcMar>
            <w:vAlign w:val="center"/>
          </w:tcPr>
          <w:p w14:paraId="51660CE6" w14:textId="77777777" w:rsidR="007050A2" w:rsidRDefault="007050A2" w:rsidP="00422EBA">
            <w:pPr>
              <w:pStyle w:val="Contenutotabella"/>
              <w:adjustRightInd w:val="0"/>
              <w:snapToGrid w:val="0"/>
              <w:spacing w:after="0" w:line="360" w:lineRule="auto"/>
              <w:jc w:val="both"/>
              <w:rPr>
                <w:rFonts w:ascii="Book Antiqua" w:hAnsi="Book Antiqua"/>
                <w:sz w:val="16"/>
                <w:szCs w:val="16"/>
                <w:lang w:val="en-GB"/>
              </w:rPr>
            </w:pPr>
          </w:p>
        </w:tc>
        <w:tc>
          <w:tcPr>
            <w:tcW w:w="1397" w:type="dxa"/>
            <w:shd w:val="clear" w:color="auto" w:fill="auto"/>
            <w:tcMar>
              <w:left w:w="51" w:type="dxa"/>
            </w:tcMar>
          </w:tcPr>
          <w:p w14:paraId="34061C1C" w14:textId="39E1B822" w:rsidR="007050A2" w:rsidRDefault="007050A2"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 xml:space="preserve">Nicolini </w:t>
            </w:r>
            <w:r w:rsidR="00E35182" w:rsidRPr="00E35182">
              <w:rPr>
                <w:rFonts w:ascii="Book Antiqua" w:hAnsi="Book Antiqua"/>
                <w:i/>
                <w:sz w:val="16"/>
                <w:szCs w:val="16"/>
                <w:lang w:val="en-GB"/>
              </w:rPr>
              <w:t>et al</w:t>
            </w:r>
            <w:r>
              <w:rPr>
                <w:rFonts w:ascii="Book Antiqua" w:hAnsi="Book Antiqua"/>
                <w:sz w:val="16"/>
                <w:szCs w:val="16"/>
                <w:lang w:val="en-GB"/>
              </w:rPr>
              <w:fldChar w:fldCharType="begin" w:fldLock="1"/>
            </w:r>
            <w:r>
              <w:rPr>
                <w:rFonts w:ascii="Book Antiqua" w:hAnsi="Book Antiqua"/>
                <w:sz w:val="16"/>
                <w:szCs w:val="16"/>
                <w:lang w:val="en-GB"/>
              </w:rPr>
              <w:instrText>ADDIN CSL_CITATION { "citationItems" : [ { "id" : "ITEM-1", "itemData" : { "DOI" : "10.1371/journal.pone.0133153", "ISSN" : "1932-6203", "PMID" : "26186540", "abstract" : "BACKGROUND: The reduction of insulin-like growth factor 1 (IGF-1) plasma levels is associated with the degree of liver dysfunction and mortality in cirrhotic patients. However, little research is available on the recovery of the IGF-1 level and its prognostic role after liver transplantation (LT).\n\nMETHODS: From April 2010 to May 2011, 31 patients were prospectively enrolled (25/6 M/F; mean age\u00b1SEM: 55.2\u00b11.4 years), and IGF-1 serum levels were assessed preoperatively and at 15, 30, 90, 180 and 365 days after transplantation. The influence of the donor and recipient characteristics (age, use of extended criteria donor grafts, D-MELD and incidence of early allograft dysfunction) on hormonal concentration was analyzed. The prognostic role of IGF-1 level on patient survival and its correlation with routine liver function tests were also investigated.\n\nRESULTS: All patients showed low preoperative IGF-1 levels (mean\u00b1SEM: 29.5\u00b12.1), and on postoperative day 15, a significant increase in the IGF-1 plasma level was observed (102.7\u00b111.7 ng/ml; p&lt;0.0001). During the first year after LT, the IGF-1 concentration remained significantly lower in recipients transplanted with older donors (&gt;65 years) or extended criteria donor grafts. An inverse correlation between IGF-1 and bilirubin serum levels at day 15 (r = -0.3924, p = 0.0320) and 30 (r = -0.3894, p = 0.0368) was found. After multivariate analysis, early (within 15 days) IGF-1 normalization [Exp(b) = 3.913; p = 0.0484] was the only prognostic factor associated with an increased 3-year survival rate.\n\nCONCLUSION: IGF-1 postoperative levels are correlated with the graft's quality and reflect liver function. Early IGF-1 recovery is associated with a higher 3-year survival rate after LT.", "author" : [ { "dropping-particle" : "", "family" : "Nicolini", "given" : "Daniele", "non-dropping-particle" : "", "parse-names" : false, "suffix" : "" }, { "dropping-particle" : "", "family" : "Mocchegiani", "given" : "Federico", "non-dropping-particle" : "", "parse-names" : false, "suffix" : "" }, { "dropping-particle" : "", "family" : "Palmonella", "given" : "Gioia", "non-dropping-particle" : "", "parse-names" : false, "suffix" : "" }, { "dropping-particle" : "", "family" : "Coletta", "given" : "Martina", "non-dropping-particle" : "", "parse-names" : false, "suffix" : "" }, { "dropping-particle" : "", "family" : "Brugia", "given" : "Marina", "non-dropping-particle" : "", "parse-names" : false, "suffix" : "" }, { "dropping-particle" : "", "family" : "Montalti", "given" : "Roberto", "non-dropping-particle" : "", "parse-names" : false, "suffix" : "" }, { "dropping-particle" : "", "family" : "Fava", "given" : "Giammarco", "non-dropping-particle" : "", "parse-names" : false, "suffix" : "" }, { "dropping-particle" : "", "family" : "Taccaliti", "given" : "Augusto", "non-dropping-particle" : "", "parse-names" : false, "suffix" : "" }, { "dropping-particle" : "", "family" : "Risaliti", "given" : "Andrea", "non-dropping-particle" : "", "parse-names" : false, "suffix" : "" }, { "dropping-particle" : "", "family" : "Vivarelli", "given" : "Marco", "non-dropping-particle" : "", "parse-names" : false, "suffix" : "" } ], "container-title" : "PloS one", "id" : "ITEM-1", "issue" : "7", "issued" : { "date-parts" : [ [ "2015", "1" ] ] }, "page" : "e0133153", "title" : "Postoperative Insulin-Like Growth Factor 1 Levels Reflect the Graft's Function and Predict Survival after Liver Transplantation.", "type" : "article-journal", "volume" : "10" }, "uris" : [ "http://www.mendeley.com/documents/?uuid=527f3f92-71cb-43a0-b577-dc5b60b10051" ] } ], "mendeley" : { "formattedCitation" : "&lt;sup&gt;[89]&lt;/sup&gt;", "plainTextFormattedCitation" : "[89]", "previouslyFormattedCitation" : "&lt;sup&gt;[89]&lt;/sup&gt;" }, "properties" : { "noteIndex" : 0 }, "schema" : "https://github.com/citation-style-language/schema/raw/master/csl-citation.json" }</w:instrText>
            </w:r>
            <w:r>
              <w:rPr>
                <w:rFonts w:ascii="Book Antiqua" w:hAnsi="Book Antiqua"/>
                <w:sz w:val="16"/>
                <w:szCs w:val="16"/>
                <w:lang w:val="en-GB"/>
              </w:rPr>
              <w:fldChar w:fldCharType="separate"/>
            </w:r>
            <w:r w:rsidRPr="00CD2CDC">
              <w:rPr>
                <w:rFonts w:ascii="Book Antiqua" w:hAnsi="Book Antiqua"/>
                <w:noProof/>
                <w:sz w:val="16"/>
                <w:szCs w:val="16"/>
                <w:vertAlign w:val="superscript"/>
                <w:lang w:val="en-GB"/>
              </w:rPr>
              <w:t>[89]</w:t>
            </w:r>
            <w:r>
              <w:rPr>
                <w:rFonts w:ascii="Book Antiqua" w:hAnsi="Book Antiqua"/>
                <w:sz w:val="16"/>
                <w:szCs w:val="16"/>
                <w:lang w:val="en-GB"/>
              </w:rPr>
              <w:fldChar w:fldCharType="end"/>
            </w:r>
          </w:p>
        </w:tc>
        <w:tc>
          <w:tcPr>
            <w:tcW w:w="518" w:type="dxa"/>
            <w:shd w:val="clear" w:color="auto" w:fill="auto"/>
            <w:tcMar>
              <w:left w:w="51" w:type="dxa"/>
            </w:tcMar>
          </w:tcPr>
          <w:p w14:paraId="69711AA3" w14:textId="77777777" w:rsidR="007050A2" w:rsidRDefault="007050A2"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P</w:t>
            </w:r>
          </w:p>
        </w:tc>
        <w:tc>
          <w:tcPr>
            <w:tcW w:w="1827" w:type="dxa"/>
            <w:shd w:val="clear" w:color="auto" w:fill="auto"/>
            <w:tcMar>
              <w:left w:w="51" w:type="dxa"/>
            </w:tcMar>
          </w:tcPr>
          <w:p w14:paraId="3317CF75" w14:textId="50B3842D" w:rsidR="007050A2" w:rsidRDefault="00D5047F"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3-yr</w:t>
            </w:r>
            <w:r w:rsidR="007050A2">
              <w:rPr>
                <w:rFonts w:ascii="Book Antiqua" w:hAnsi="Book Antiqua"/>
                <w:sz w:val="16"/>
                <w:szCs w:val="16"/>
                <w:lang w:val="en-GB"/>
              </w:rPr>
              <w:t xml:space="preserve"> actual survival</w:t>
            </w:r>
          </w:p>
        </w:tc>
        <w:tc>
          <w:tcPr>
            <w:tcW w:w="1195" w:type="dxa"/>
            <w:shd w:val="clear" w:color="auto" w:fill="auto"/>
            <w:tcMar>
              <w:left w:w="51" w:type="dxa"/>
            </w:tcMar>
          </w:tcPr>
          <w:p w14:paraId="1AC3DC2D" w14:textId="46E73BDA" w:rsidR="007050A2" w:rsidRDefault="007050A2"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31 LT: 42.5% HCV</w:t>
            </w:r>
          </w:p>
        </w:tc>
        <w:tc>
          <w:tcPr>
            <w:tcW w:w="888" w:type="dxa"/>
            <w:shd w:val="clear" w:color="auto" w:fill="auto"/>
            <w:tcMar>
              <w:left w:w="51" w:type="dxa"/>
            </w:tcMar>
          </w:tcPr>
          <w:p w14:paraId="66E27580" w14:textId="77777777" w:rsidR="007050A2" w:rsidRDefault="007050A2"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15</w:t>
            </w:r>
          </w:p>
        </w:tc>
        <w:tc>
          <w:tcPr>
            <w:tcW w:w="1654" w:type="dxa"/>
            <w:shd w:val="clear" w:color="auto" w:fill="auto"/>
            <w:tcMar>
              <w:left w:w="51" w:type="dxa"/>
            </w:tcMar>
          </w:tcPr>
          <w:p w14:paraId="18C29076" w14:textId="77777777" w:rsidR="007050A2" w:rsidRDefault="007050A2"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Normal values classified according to Immunolite 2000</w:t>
            </w:r>
            <w:r>
              <w:rPr>
                <w:rFonts w:ascii="Book Antiqua" w:hAnsi="Book Antiqua"/>
                <w:sz w:val="16"/>
                <w:szCs w:val="16"/>
                <w:vertAlign w:val="superscript"/>
                <w:lang w:val="en-GB"/>
              </w:rPr>
              <w:t xml:space="preserve">® </w:t>
            </w:r>
            <w:r>
              <w:rPr>
                <w:rFonts w:ascii="Book Antiqua" w:hAnsi="Book Antiqua"/>
                <w:sz w:val="16"/>
                <w:szCs w:val="16"/>
                <w:lang w:val="en-GB"/>
              </w:rPr>
              <w:t xml:space="preserve">system reference-ranges </w:t>
            </w:r>
          </w:p>
        </w:tc>
        <w:tc>
          <w:tcPr>
            <w:tcW w:w="1369" w:type="dxa"/>
            <w:shd w:val="clear" w:color="auto" w:fill="auto"/>
            <w:tcMar>
              <w:left w:w="51" w:type="dxa"/>
            </w:tcMar>
          </w:tcPr>
          <w:p w14:paraId="7B2CB3FD" w14:textId="77777777" w:rsidR="007050A2" w:rsidRDefault="007050A2" w:rsidP="00422EBA">
            <w:pPr>
              <w:pStyle w:val="Contenutotabella"/>
              <w:adjustRightInd w:val="0"/>
              <w:snapToGrid w:val="0"/>
              <w:spacing w:after="0" w:line="360" w:lineRule="auto"/>
              <w:jc w:val="both"/>
              <w:rPr>
                <w:rFonts w:ascii="Book Antiqua" w:hAnsi="Book Antiqua"/>
                <w:sz w:val="16"/>
                <w:szCs w:val="16"/>
                <w:lang w:val="en-GB"/>
              </w:rPr>
            </w:pPr>
          </w:p>
        </w:tc>
        <w:tc>
          <w:tcPr>
            <w:tcW w:w="1106" w:type="dxa"/>
            <w:shd w:val="clear" w:color="auto" w:fill="auto"/>
            <w:tcMar>
              <w:left w:w="51" w:type="dxa"/>
            </w:tcMar>
          </w:tcPr>
          <w:p w14:paraId="7D01E8CB" w14:textId="77777777" w:rsidR="007050A2" w:rsidRDefault="007050A2" w:rsidP="00422EBA">
            <w:pPr>
              <w:pStyle w:val="Contenutotabella"/>
              <w:adjustRightInd w:val="0"/>
              <w:snapToGrid w:val="0"/>
              <w:spacing w:after="0" w:line="360" w:lineRule="auto"/>
              <w:jc w:val="both"/>
              <w:rPr>
                <w:rFonts w:ascii="Book Antiqua" w:hAnsi="Book Antiqua"/>
                <w:sz w:val="16"/>
                <w:szCs w:val="16"/>
                <w:lang w:val="en-GB"/>
              </w:rPr>
            </w:pPr>
          </w:p>
        </w:tc>
        <w:tc>
          <w:tcPr>
            <w:tcW w:w="1103" w:type="dxa"/>
            <w:shd w:val="clear" w:color="auto" w:fill="auto"/>
            <w:tcMar>
              <w:left w:w="51" w:type="dxa"/>
            </w:tcMar>
          </w:tcPr>
          <w:p w14:paraId="4D4CA590" w14:textId="77777777" w:rsidR="007050A2" w:rsidRDefault="007050A2" w:rsidP="00422EBA">
            <w:pPr>
              <w:pStyle w:val="Contenutotabella"/>
              <w:adjustRightInd w:val="0"/>
              <w:snapToGrid w:val="0"/>
              <w:spacing w:after="0" w:line="360" w:lineRule="auto"/>
              <w:jc w:val="both"/>
              <w:rPr>
                <w:rFonts w:ascii="Book Antiqua" w:hAnsi="Book Antiqua"/>
                <w:sz w:val="16"/>
                <w:szCs w:val="16"/>
                <w:lang w:val="en-GB"/>
              </w:rPr>
            </w:pPr>
          </w:p>
        </w:tc>
        <w:tc>
          <w:tcPr>
            <w:tcW w:w="917" w:type="dxa"/>
            <w:shd w:val="clear" w:color="auto" w:fill="auto"/>
            <w:tcMar>
              <w:left w:w="51" w:type="dxa"/>
            </w:tcMar>
          </w:tcPr>
          <w:p w14:paraId="10785BDC" w14:textId="77777777" w:rsidR="007050A2" w:rsidRDefault="007050A2" w:rsidP="00422EBA">
            <w:pPr>
              <w:pStyle w:val="Contenutotabella"/>
              <w:adjustRightInd w:val="0"/>
              <w:snapToGrid w:val="0"/>
              <w:spacing w:after="0" w:line="360" w:lineRule="auto"/>
              <w:jc w:val="both"/>
              <w:rPr>
                <w:rFonts w:ascii="Book Antiqua" w:hAnsi="Book Antiqua"/>
                <w:sz w:val="16"/>
                <w:szCs w:val="16"/>
                <w:lang w:val="en-GB"/>
              </w:rPr>
            </w:pPr>
          </w:p>
        </w:tc>
        <w:tc>
          <w:tcPr>
            <w:tcW w:w="890" w:type="dxa"/>
            <w:shd w:val="clear" w:color="auto" w:fill="auto"/>
            <w:tcMar>
              <w:left w:w="51" w:type="dxa"/>
            </w:tcMar>
          </w:tcPr>
          <w:p w14:paraId="7468B287" w14:textId="77777777" w:rsidR="007050A2" w:rsidRDefault="007050A2" w:rsidP="00422EBA">
            <w:pPr>
              <w:pStyle w:val="Contenutotabella"/>
              <w:adjustRightInd w:val="0"/>
              <w:snapToGrid w:val="0"/>
              <w:spacing w:after="0" w:line="360" w:lineRule="auto"/>
              <w:jc w:val="both"/>
              <w:rPr>
                <w:rFonts w:ascii="Book Antiqua" w:hAnsi="Book Antiqua"/>
                <w:sz w:val="16"/>
                <w:szCs w:val="16"/>
                <w:lang w:val="en-GB"/>
              </w:rPr>
            </w:pPr>
          </w:p>
        </w:tc>
      </w:tr>
      <w:tr w:rsidR="007050A2" w:rsidRPr="00943FB3" w14:paraId="01B6AD4F" w14:textId="77777777" w:rsidTr="001D36E2">
        <w:tc>
          <w:tcPr>
            <w:tcW w:w="1589" w:type="dxa"/>
            <w:vMerge w:val="restart"/>
            <w:shd w:val="clear" w:color="auto" w:fill="auto"/>
            <w:tcMar>
              <w:left w:w="51" w:type="dxa"/>
            </w:tcMar>
            <w:vAlign w:val="center"/>
          </w:tcPr>
          <w:p w14:paraId="62E4C683" w14:textId="77777777" w:rsidR="007050A2" w:rsidRDefault="007050A2"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MELD</w:t>
            </w:r>
          </w:p>
        </w:tc>
        <w:tc>
          <w:tcPr>
            <w:tcW w:w="1397" w:type="dxa"/>
            <w:shd w:val="clear" w:color="auto" w:fill="auto"/>
            <w:tcMar>
              <w:left w:w="51" w:type="dxa"/>
            </w:tcMar>
          </w:tcPr>
          <w:p w14:paraId="12E479FE" w14:textId="7B2BD93C" w:rsidR="007050A2" w:rsidRDefault="007050A2"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 xml:space="preserve">Wagener </w:t>
            </w:r>
            <w:r w:rsidR="00E35182" w:rsidRPr="00E35182">
              <w:rPr>
                <w:rFonts w:ascii="Book Antiqua" w:hAnsi="Book Antiqua"/>
                <w:i/>
                <w:sz w:val="16"/>
                <w:szCs w:val="16"/>
                <w:lang w:val="en-GB"/>
              </w:rPr>
              <w:t>et al</w:t>
            </w:r>
            <w:r>
              <w:rPr>
                <w:rFonts w:ascii="Book Antiqua" w:hAnsi="Book Antiqua"/>
                <w:sz w:val="16"/>
                <w:szCs w:val="16"/>
                <w:lang w:val="en-GB"/>
              </w:rPr>
              <w:fldChar w:fldCharType="begin" w:fldLock="1"/>
            </w:r>
            <w:r>
              <w:rPr>
                <w:rFonts w:ascii="Book Antiqua" w:hAnsi="Book Antiqua"/>
                <w:sz w:val="16"/>
                <w:szCs w:val="16"/>
                <w:lang w:val="en-GB"/>
              </w:rPr>
              <w:instrText>ADDIN CSL_CITATION { "citationItems" : [ { "id" : "ITEM-1", "itemData" : { "DOI" : "10.1002/lt.23634", "ISSN" : "1527-6473", "PMID" : "23576469", "abstract" : "Early allograft dysfunction (EAD) is a serious complication after liver transplantation (LT). There is no uniform definition of EAD, and most definitions are based on arbitrary laboratory values. The aim of this study was to devise a definition of EAD that maximizes the predictive power for early death and graft failure. In this single-center, retrospective study, the ability of the international normalized ratio (INR), total bilirubin, aspartate aminotransferase (AST), physiological Model for End-Stage Liver Disease (MELD) score, and serum albumin levels within 7 days after LT to predict 90-day mortality or graft loss was compared with 2 previously used definitions of EAD: (1) peak total bilirubin level &gt;10 mg/dL on days 2 to 7 and (2) either a total bilirubin level &gt;10 mg/dL or an INR &gt;1.6 on day 7 or an AST or alanine aminotransferase level &gt;2000 IU/L within the first 7 days. Of 572 enrolled LT patients 38 died or required retransplantation within 90 days. Peak INR, total bilirubin level, AST levels, and MELD scores were predictors of 90-day graft failure. MELD score on postoperative day 5 was the best predictor with an area under the curve of the receiver operating characteristic curve of 0.812 (95% CI: 0.739-0.886, P &lt; 0.001). The best cutoff of MELD score on day 5 for predicting 90-day mortality or graft loss was 18.9. A MELD score &gt;18.9 on postoperative day 5 was a better predictor than any other laboratory value or definition of EAD. This study has demonstrated that the MELD score can be a useful tool not only for pretransplant graft allocation but also for postoperative risk stratification.", "author" : [ { "dropping-particle" : "", "family" : "Wagener", "given" : "Gebhard", "non-dropping-particle" : "", "parse-names" : false, "suffix" : "" }, { "dropping-particle" : "", "family" : "Raffel", "given" : "Brian", "non-dropping-particle" : "", "parse-names" : false, "suffix" : "" }, { "dropping-particle" : "", "family" : "Young", "given" : "Andrew T", "non-dropping-particle" : "", "parse-names" : false, "suffix" : "" }, { "dropping-particle" : "", "family" : "Minhaz", "given" : "Moury", "non-dropping-particle" : "", "parse-names" : false, "suffix" : "" }, { "dropping-particle" : "", "family" : "Emond", "given" : "Jean", "non-dropping-particle" : "", "parse-names" : false, "suffix" : "" } ], "container-title" : "Liver transplantation : official publication of the American Association for the Study of Liver Diseases and the International Liver Transplantation Society", "id" : "ITEM-1", "issue" : "5", "issued" : { "date-parts" : [ [ "2013", "5" ] ] }, "page" : "534-42", "title" : "Predicting early allograft failure and mortality after liver transplantation: the role of the postoperative model for end-stage liver disease score.", "type" : "article-journal", "volume" : "19" }, "uris" : [ "http://www.mendeley.com/documents/?uuid=c8445831-07ff-4862-986a-e45e29f1d7fd" ] } ], "mendeley" : { "formattedCitation" : "&lt;sup&gt;[80]&lt;/sup&gt;", "plainTextFormattedCitation" : "[80]", "previouslyFormattedCitation" : "&lt;sup&gt;[80]&lt;/sup&gt;" }, "properties" : { "noteIndex" : 0 }, "schema" : "https://github.com/citation-style-language/schema/raw/master/csl-citation.json" }</w:instrText>
            </w:r>
            <w:r>
              <w:rPr>
                <w:rFonts w:ascii="Book Antiqua" w:hAnsi="Book Antiqua"/>
                <w:sz w:val="16"/>
                <w:szCs w:val="16"/>
                <w:lang w:val="en-GB"/>
              </w:rPr>
              <w:fldChar w:fldCharType="separate"/>
            </w:r>
            <w:r w:rsidRPr="00CD2CDC">
              <w:rPr>
                <w:rFonts w:ascii="Book Antiqua" w:hAnsi="Book Antiqua"/>
                <w:noProof/>
                <w:sz w:val="16"/>
                <w:szCs w:val="16"/>
                <w:vertAlign w:val="superscript"/>
                <w:lang w:val="en-GB"/>
              </w:rPr>
              <w:t>[80]</w:t>
            </w:r>
            <w:r>
              <w:rPr>
                <w:rFonts w:ascii="Book Antiqua" w:hAnsi="Book Antiqua"/>
                <w:sz w:val="16"/>
                <w:szCs w:val="16"/>
                <w:lang w:val="en-GB"/>
              </w:rPr>
              <w:fldChar w:fldCharType="end"/>
            </w:r>
          </w:p>
        </w:tc>
        <w:tc>
          <w:tcPr>
            <w:tcW w:w="518" w:type="dxa"/>
            <w:shd w:val="clear" w:color="auto" w:fill="auto"/>
            <w:tcMar>
              <w:left w:w="51" w:type="dxa"/>
            </w:tcMar>
          </w:tcPr>
          <w:p w14:paraId="6228B65A" w14:textId="77777777" w:rsidR="007050A2" w:rsidRDefault="007050A2"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R</w:t>
            </w:r>
          </w:p>
        </w:tc>
        <w:tc>
          <w:tcPr>
            <w:tcW w:w="1827" w:type="dxa"/>
            <w:shd w:val="clear" w:color="auto" w:fill="auto"/>
            <w:tcMar>
              <w:left w:w="51" w:type="dxa"/>
            </w:tcMar>
          </w:tcPr>
          <w:p w14:paraId="4EE8738F" w14:textId="77777777" w:rsidR="007050A2" w:rsidRDefault="007050A2"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Graft loss or mortality within POD90</w:t>
            </w:r>
          </w:p>
        </w:tc>
        <w:tc>
          <w:tcPr>
            <w:tcW w:w="1195" w:type="dxa"/>
            <w:shd w:val="clear" w:color="auto" w:fill="auto"/>
            <w:tcMar>
              <w:left w:w="51" w:type="dxa"/>
            </w:tcMar>
          </w:tcPr>
          <w:p w14:paraId="6E04D0DC" w14:textId="3A848272" w:rsidR="007050A2" w:rsidRDefault="007050A2"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572 LT: 51.9% HCV</w:t>
            </w:r>
          </w:p>
        </w:tc>
        <w:tc>
          <w:tcPr>
            <w:tcW w:w="888" w:type="dxa"/>
            <w:shd w:val="clear" w:color="auto" w:fill="auto"/>
            <w:tcMar>
              <w:left w:w="51" w:type="dxa"/>
            </w:tcMar>
          </w:tcPr>
          <w:p w14:paraId="49CD77A4" w14:textId="77777777" w:rsidR="007050A2" w:rsidRDefault="007050A2"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5</w:t>
            </w:r>
          </w:p>
        </w:tc>
        <w:tc>
          <w:tcPr>
            <w:tcW w:w="1654" w:type="dxa"/>
            <w:shd w:val="clear" w:color="auto" w:fill="auto"/>
            <w:tcMar>
              <w:left w:w="51" w:type="dxa"/>
            </w:tcMar>
          </w:tcPr>
          <w:p w14:paraId="6A73A1D2" w14:textId="64660C26" w:rsidR="007050A2" w:rsidRDefault="007050A2" w:rsidP="00422EBA">
            <w:pPr>
              <w:pStyle w:val="Contenutotabella"/>
              <w:adjustRightInd w:val="0"/>
              <w:snapToGrid w:val="0"/>
              <w:spacing w:after="0" w:line="360" w:lineRule="auto"/>
              <w:jc w:val="both"/>
              <w:rPr>
                <w:rFonts w:ascii="Book Antiqua" w:hAnsi="Book Antiqua"/>
                <w:sz w:val="16"/>
                <w:szCs w:val="16"/>
                <w:lang w:val="en-GB"/>
              </w:rPr>
            </w:pPr>
            <w:r>
              <w:rPr>
                <w:rFonts w:ascii="Book Antiqua" w:eastAsia="Book Antiqua" w:hAnsi="Book Antiqua" w:cs="Book Antiqua"/>
                <w:sz w:val="16"/>
                <w:szCs w:val="16"/>
                <w:lang w:val="en-GB"/>
              </w:rPr>
              <w:t>≥</w:t>
            </w:r>
            <w:r w:rsidR="00D5047F">
              <w:rPr>
                <w:rFonts w:ascii="Book Antiqua" w:eastAsiaTheme="minorEastAsia" w:hAnsi="Book Antiqua" w:cs="Book Antiqua" w:hint="eastAsia"/>
                <w:sz w:val="16"/>
                <w:szCs w:val="16"/>
                <w:lang w:val="en-GB" w:eastAsia="zh-CN"/>
              </w:rPr>
              <w:t xml:space="preserve"> </w:t>
            </w:r>
            <w:r>
              <w:rPr>
                <w:rFonts w:ascii="Book Antiqua" w:hAnsi="Book Antiqua"/>
                <w:sz w:val="16"/>
                <w:szCs w:val="16"/>
                <w:lang w:val="en-GB"/>
              </w:rPr>
              <w:t>19</w:t>
            </w:r>
          </w:p>
        </w:tc>
        <w:tc>
          <w:tcPr>
            <w:tcW w:w="1369" w:type="dxa"/>
            <w:shd w:val="clear" w:color="auto" w:fill="auto"/>
            <w:tcMar>
              <w:left w:w="51" w:type="dxa"/>
            </w:tcMar>
          </w:tcPr>
          <w:p w14:paraId="7113EDEC" w14:textId="77777777" w:rsidR="007050A2" w:rsidRDefault="007050A2"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0.812 (0.739-0.886)</w:t>
            </w:r>
          </w:p>
        </w:tc>
        <w:tc>
          <w:tcPr>
            <w:tcW w:w="1106" w:type="dxa"/>
            <w:shd w:val="clear" w:color="auto" w:fill="auto"/>
            <w:tcMar>
              <w:left w:w="51" w:type="dxa"/>
            </w:tcMar>
          </w:tcPr>
          <w:p w14:paraId="249B6182" w14:textId="77777777" w:rsidR="007050A2" w:rsidRDefault="007050A2" w:rsidP="00422EBA">
            <w:pPr>
              <w:pStyle w:val="Contenutotabella"/>
              <w:adjustRightInd w:val="0"/>
              <w:snapToGrid w:val="0"/>
              <w:spacing w:after="0" w:line="360" w:lineRule="auto"/>
              <w:jc w:val="both"/>
              <w:rPr>
                <w:rFonts w:ascii="Book Antiqua" w:hAnsi="Book Antiqua"/>
                <w:sz w:val="16"/>
                <w:szCs w:val="16"/>
                <w:lang w:val="en-GB"/>
              </w:rPr>
            </w:pPr>
          </w:p>
        </w:tc>
        <w:tc>
          <w:tcPr>
            <w:tcW w:w="1103" w:type="dxa"/>
            <w:shd w:val="clear" w:color="auto" w:fill="auto"/>
            <w:tcMar>
              <w:left w:w="51" w:type="dxa"/>
            </w:tcMar>
          </w:tcPr>
          <w:p w14:paraId="77F88BEB" w14:textId="77777777" w:rsidR="007050A2" w:rsidRDefault="007050A2" w:rsidP="00422EBA">
            <w:pPr>
              <w:pStyle w:val="Contenutotabella"/>
              <w:adjustRightInd w:val="0"/>
              <w:snapToGrid w:val="0"/>
              <w:spacing w:after="0" w:line="360" w:lineRule="auto"/>
              <w:jc w:val="both"/>
              <w:rPr>
                <w:rFonts w:ascii="Book Antiqua" w:hAnsi="Book Antiqua"/>
                <w:sz w:val="16"/>
                <w:szCs w:val="16"/>
                <w:lang w:val="en-GB"/>
              </w:rPr>
            </w:pPr>
          </w:p>
        </w:tc>
        <w:tc>
          <w:tcPr>
            <w:tcW w:w="917" w:type="dxa"/>
            <w:shd w:val="clear" w:color="auto" w:fill="auto"/>
            <w:tcMar>
              <w:left w:w="51" w:type="dxa"/>
            </w:tcMar>
          </w:tcPr>
          <w:p w14:paraId="151CB275" w14:textId="77777777" w:rsidR="007050A2" w:rsidRDefault="007050A2" w:rsidP="00422EBA">
            <w:pPr>
              <w:pStyle w:val="Contenutotabella"/>
              <w:adjustRightInd w:val="0"/>
              <w:snapToGrid w:val="0"/>
              <w:spacing w:after="0" w:line="360" w:lineRule="auto"/>
              <w:jc w:val="both"/>
              <w:rPr>
                <w:rFonts w:ascii="Book Antiqua" w:hAnsi="Book Antiqua"/>
                <w:sz w:val="16"/>
                <w:szCs w:val="16"/>
                <w:lang w:val="en-GB"/>
              </w:rPr>
            </w:pPr>
          </w:p>
        </w:tc>
        <w:tc>
          <w:tcPr>
            <w:tcW w:w="890" w:type="dxa"/>
            <w:shd w:val="clear" w:color="auto" w:fill="auto"/>
            <w:tcMar>
              <w:left w:w="51" w:type="dxa"/>
            </w:tcMar>
          </w:tcPr>
          <w:p w14:paraId="08F6DE31" w14:textId="77777777" w:rsidR="007050A2" w:rsidRDefault="007050A2" w:rsidP="00422EBA">
            <w:pPr>
              <w:pStyle w:val="Contenutotabella"/>
              <w:adjustRightInd w:val="0"/>
              <w:snapToGrid w:val="0"/>
              <w:spacing w:after="0" w:line="360" w:lineRule="auto"/>
              <w:jc w:val="both"/>
              <w:rPr>
                <w:rFonts w:ascii="Book Antiqua" w:hAnsi="Book Antiqua"/>
                <w:sz w:val="16"/>
                <w:szCs w:val="16"/>
                <w:lang w:val="en-GB"/>
              </w:rPr>
            </w:pPr>
          </w:p>
        </w:tc>
      </w:tr>
      <w:tr w:rsidR="00F26BF6" w14:paraId="6614C80D" w14:textId="77777777" w:rsidTr="001D36E2">
        <w:trPr>
          <w:trHeight w:val="307"/>
        </w:trPr>
        <w:tc>
          <w:tcPr>
            <w:tcW w:w="1589" w:type="dxa"/>
            <w:vMerge/>
            <w:shd w:val="clear" w:color="auto" w:fill="auto"/>
            <w:tcMar>
              <w:left w:w="51" w:type="dxa"/>
            </w:tcMar>
            <w:vAlign w:val="center"/>
          </w:tcPr>
          <w:p w14:paraId="58236951" w14:textId="77777777" w:rsidR="007050A2" w:rsidRDefault="007050A2" w:rsidP="00422EBA">
            <w:pPr>
              <w:pStyle w:val="Contenutotabella"/>
              <w:adjustRightInd w:val="0"/>
              <w:snapToGrid w:val="0"/>
              <w:spacing w:after="0" w:line="360" w:lineRule="auto"/>
              <w:jc w:val="both"/>
              <w:rPr>
                <w:rFonts w:ascii="Book Antiqua" w:hAnsi="Book Antiqua"/>
                <w:sz w:val="16"/>
                <w:szCs w:val="16"/>
                <w:lang w:val="en-GB"/>
              </w:rPr>
            </w:pPr>
          </w:p>
        </w:tc>
        <w:tc>
          <w:tcPr>
            <w:tcW w:w="1397" w:type="dxa"/>
            <w:vMerge w:val="restart"/>
            <w:shd w:val="clear" w:color="auto" w:fill="auto"/>
            <w:tcMar>
              <w:left w:w="51" w:type="dxa"/>
            </w:tcMar>
          </w:tcPr>
          <w:p w14:paraId="5BF6A63E" w14:textId="3077A326" w:rsidR="007050A2" w:rsidRDefault="007050A2"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 xml:space="preserve">Toshima </w:t>
            </w:r>
            <w:r w:rsidR="00E35182" w:rsidRPr="00E35182">
              <w:rPr>
                <w:rFonts w:ascii="Book Antiqua" w:hAnsi="Book Antiqua"/>
                <w:i/>
                <w:sz w:val="16"/>
                <w:szCs w:val="16"/>
                <w:lang w:val="en-GB"/>
              </w:rPr>
              <w:t>et al</w:t>
            </w:r>
            <w:r>
              <w:rPr>
                <w:rFonts w:ascii="Book Antiqua" w:hAnsi="Book Antiqua"/>
                <w:sz w:val="16"/>
                <w:szCs w:val="16"/>
                <w:lang w:val="en-GB"/>
              </w:rPr>
              <w:fldChar w:fldCharType="begin" w:fldLock="1"/>
            </w:r>
            <w:r>
              <w:rPr>
                <w:rFonts w:ascii="Book Antiqua" w:hAnsi="Book Antiqua"/>
                <w:sz w:val="16"/>
                <w:szCs w:val="16"/>
                <w:lang w:val="en-GB"/>
              </w:rPr>
              <w:instrText>ADDIN CSL_CITATION { "citationItems" : [ { "id" : "ITEM-1", "itemData" : { "DOI" : "10.1016/j.transproceed.2013.09.034", "ISSN" : "00411345", "author" : [ { "dropping-particle" : "", "family" : "Toshima", "given" : "T.", "non-dropping-particle" : "", "parse-names" : false, "suffix" : "" }, { "dropping-particle" : "", "family" : "Ikegami", "given" : "T.", "non-dropping-particle" : "", "parse-names" : false, "suffix" : "" }, { "dropping-particle" : "", "family" : "Kimura", "given" : "K.", "non-dropping-particle" : "", "parse-names" : false, "suffix" : "" }, { "dropping-particle" : "", "family" : "Harimoto", "given" : "N.", "non-dropping-particle" : "", "parse-names" : false, "suffix" : "" }, { "dropping-particle" : "", "family" : "Yamashita", "given" : "Y.", "non-dropping-particle" : "", "parse-names" : false, "suffix" : "" }, { "dropping-particle" : "", "family" : "Yoshizumi", "given" : "T.", "non-dropping-particle" : "", "parse-names" : false, "suffix" : "" }, { "dropping-particle" : "", "family" : "Soejima", "given" : "Y.", "non-dropping-particle" : "", "parse-names" : false, "suffix" : "" }, { "dropping-particle" : "", "family" : "Ikeda", "given" : "T.", "non-dropping-particle" : "", "parse-names" : false, "suffix" : "" }, { "dropping-particle" : "", "family" : "Shirabe", "given" : "K.", "non-dropping-particle" : "", "parse-names" : false, "suffix" : "" }, { "dropping-particle" : "", "family" : "Maehara", "given" : "Y.", "non-dropping-particle" : "", "parse-names" : false, "suffix" : "" } ], "container-title" : "Transplantation Proceedings", "id" : "ITEM-1", "issue" : "1", "issued" : { "date-parts" : [ [ "2014" ] ] }, "page" : "81-86", "publisher" : "Elsevier Inc", "title" : "Application of Postoperative Model for End-Stage Liver Disease Scoring System for Evaluating Liver Graft Function After Living Donor Liver Transplantation", "type" : "article-journal", "volume" : "46" }, "uris" : [ "http://www.mendeley.com/documents/?uuid=0b8b0a43-45f8-46fe-9f3b-a525be12be4c" ] } ], "mendeley" : { "formattedCitation" : "&lt;sup&gt;[91]&lt;/sup&gt;", "plainTextFormattedCitation" : "[91]", "previouslyFormattedCitation" : "&lt;sup&gt;[91]&lt;/sup&gt;" }, "properties" : { "noteIndex" : 0 }, "schema" : "https://github.com/citation-style-language/schema/raw/master/csl-citation.json" }</w:instrText>
            </w:r>
            <w:r>
              <w:rPr>
                <w:rFonts w:ascii="Book Antiqua" w:hAnsi="Book Antiqua"/>
                <w:sz w:val="16"/>
                <w:szCs w:val="16"/>
                <w:lang w:val="en-GB"/>
              </w:rPr>
              <w:fldChar w:fldCharType="separate"/>
            </w:r>
            <w:r w:rsidRPr="00CD2CDC">
              <w:rPr>
                <w:rFonts w:ascii="Book Antiqua" w:hAnsi="Book Antiqua"/>
                <w:noProof/>
                <w:sz w:val="16"/>
                <w:szCs w:val="16"/>
                <w:vertAlign w:val="superscript"/>
                <w:lang w:val="en-GB"/>
              </w:rPr>
              <w:t>[91]</w:t>
            </w:r>
            <w:r>
              <w:rPr>
                <w:rFonts w:ascii="Book Antiqua" w:hAnsi="Book Antiqua"/>
                <w:sz w:val="16"/>
                <w:szCs w:val="16"/>
                <w:lang w:val="en-GB"/>
              </w:rPr>
              <w:fldChar w:fldCharType="end"/>
            </w:r>
          </w:p>
        </w:tc>
        <w:tc>
          <w:tcPr>
            <w:tcW w:w="518" w:type="dxa"/>
            <w:vMerge w:val="restart"/>
            <w:shd w:val="clear" w:color="auto" w:fill="auto"/>
            <w:tcMar>
              <w:left w:w="51" w:type="dxa"/>
            </w:tcMar>
          </w:tcPr>
          <w:p w14:paraId="20547C68" w14:textId="77777777" w:rsidR="007050A2" w:rsidRDefault="007050A2"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R</w:t>
            </w:r>
          </w:p>
        </w:tc>
        <w:tc>
          <w:tcPr>
            <w:tcW w:w="1827" w:type="dxa"/>
            <w:vMerge w:val="restart"/>
            <w:shd w:val="clear" w:color="auto" w:fill="auto"/>
            <w:tcMar>
              <w:left w:w="51" w:type="dxa"/>
            </w:tcMar>
          </w:tcPr>
          <w:p w14:paraId="64355A20" w14:textId="77777777" w:rsidR="007050A2" w:rsidRDefault="007050A2"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 xml:space="preserve">Graft loss or mortality </w:t>
            </w:r>
            <w:r>
              <w:rPr>
                <w:rFonts w:ascii="Book Antiqua" w:hAnsi="Book Antiqua"/>
                <w:sz w:val="16"/>
                <w:szCs w:val="16"/>
                <w:lang w:val="en-GB"/>
              </w:rPr>
              <w:lastRenderedPageBreak/>
              <w:t>within POD180</w:t>
            </w:r>
          </w:p>
        </w:tc>
        <w:tc>
          <w:tcPr>
            <w:tcW w:w="1195" w:type="dxa"/>
            <w:vMerge w:val="restart"/>
            <w:shd w:val="clear" w:color="auto" w:fill="auto"/>
            <w:tcMar>
              <w:left w:w="51" w:type="dxa"/>
            </w:tcMar>
          </w:tcPr>
          <w:p w14:paraId="49C51A96" w14:textId="432E945B" w:rsidR="007050A2" w:rsidRDefault="007050A2"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lastRenderedPageBreak/>
              <w:t xml:space="preserve">217 LDLT: </w:t>
            </w:r>
            <w:r>
              <w:rPr>
                <w:rFonts w:ascii="Book Antiqua" w:hAnsi="Book Antiqua"/>
                <w:sz w:val="16"/>
                <w:szCs w:val="16"/>
                <w:lang w:val="en-GB"/>
              </w:rPr>
              <w:lastRenderedPageBreak/>
              <w:t>47.9% HCV</w:t>
            </w:r>
          </w:p>
        </w:tc>
        <w:tc>
          <w:tcPr>
            <w:tcW w:w="888" w:type="dxa"/>
            <w:vMerge w:val="restart"/>
            <w:shd w:val="clear" w:color="auto" w:fill="auto"/>
            <w:tcMar>
              <w:left w:w="51" w:type="dxa"/>
            </w:tcMar>
          </w:tcPr>
          <w:p w14:paraId="2999D338" w14:textId="77777777" w:rsidR="007050A2" w:rsidRDefault="007050A2"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lastRenderedPageBreak/>
              <w:t>2</w:t>
            </w:r>
          </w:p>
          <w:p w14:paraId="0D48E64F" w14:textId="77777777" w:rsidR="007050A2" w:rsidRDefault="007050A2"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lastRenderedPageBreak/>
              <w:t>7</w:t>
            </w:r>
          </w:p>
        </w:tc>
        <w:tc>
          <w:tcPr>
            <w:tcW w:w="1654" w:type="dxa"/>
            <w:vMerge w:val="restart"/>
            <w:shd w:val="clear" w:color="auto" w:fill="auto"/>
            <w:tcMar>
              <w:left w:w="51" w:type="dxa"/>
            </w:tcMar>
          </w:tcPr>
          <w:p w14:paraId="40B82BCE" w14:textId="39ECEDA3" w:rsidR="007050A2" w:rsidRDefault="007050A2" w:rsidP="00422EBA">
            <w:pPr>
              <w:pStyle w:val="Contenutotabella"/>
              <w:adjustRightInd w:val="0"/>
              <w:snapToGrid w:val="0"/>
              <w:spacing w:after="0" w:line="360" w:lineRule="auto"/>
              <w:jc w:val="both"/>
              <w:rPr>
                <w:rFonts w:ascii="Book Antiqua" w:hAnsi="Book Antiqua"/>
                <w:sz w:val="16"/>
                <w:szCs w:val="16"/>
                <w:lang w:val="en-GB"/>
              </w:rPr>
            </w:pPr>
            <w:r>
              <w:rPr>
                <w:rFonts w:ascii="Book Antiqua" w:eastAsia="Book Antiqua" w:hAnsi="Book Antiqua" w:cs="Book Antiqua"/>
                <w:sz w:val="16"/>
                <w:szCs w:val="16"/>
                <w:lang w:val="en-GB"/>
              </w:rPr>
              <w:lastRenderedPageBreak/>
              <w:t>≥</w:t>
            </w:r>
            <w:r w:rsidR="00D5047F">
              <w:rPr>
                <w:rFonts w:ascii="Book Antiqua" w:eastAsiaTheme="minorEastAsia" w:hAnsi="Book Antiqua" w:cs="Book Antiqua" w:hint="eastAsia"/>
                <w:sz w:val="16"/>
                <w:szCs w:val="16"/>
                <w:lang w:val="en-GB" w:eastAsia="zh-CN"/>
              </w:rPr>
              <w:t xml:space="preserve"> </w:t>
            </w:r>
            <w:r>
              <w:rPr>
                <w:rFonts w:ascii="Book Antiqua" w:hAnsi="Book Antiqua"/>
                <w:sz w:val="16"/>
                <w:szCs w:val="16"/>
                <w:lang w:val="en-GB"/>
              </w:rPr>
              <w:t>19</w:t>
            </w:r>
          </w:p>
        </w:tc>
        <w:tc>
          <w:tcPr>
            <w:tcW w:w="1369" w:type="dxa"/>
            <w:shd w:val="clear" w:color="auto" w:fill="auto"/>
            <w:tcMar>
              <w:left w:w="51" w:type="dxa"/>
            </w:tcMar>
          </w:tcPr>
          <w:p w14:paraId="56DC208F" w14:textId="704ED1C2" w:rsidR="007050A2" w:rsidRDefault="007050A2"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0.779</w:t>
            </w:r>
          </w:p>
        </w:tc>
        <w:tc>
          <w:tcPr>
            <w:tcW w:w="1106" w:type="dxa"/>
            <w:shd w:val="clear" w:color="auto" w:fill="auto"/>
            <w:tcMar>
              <w:left w:w="51" w:type="dxa"/>
            </w:tcMar>
          </w:tcPr>
          <w:p w14:paraId="251970FC" w14:textId="05BD82CA" w:rsidR="007050A2" w:rsidRDefault="007050A2"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68.2</w:t>
            </w:r>
          </w:p>
        </w:tc>
        <w:tc>
          <w:tcPr>
            <w:tcW w:w="1103" w:type="dxa"/>
            <w:shd w:val="clear" w:color="auto" w:fill="auto"/>
            <w:tcMar>
              <w:left w:w="51" w:type="dxa"/>
            </w:tcMar>
          </w:tcPr>
          <w:p w14:paraId="775BED4F" w14:textId="42A41C00" w:rsidR="007050A2" w:rsidRDefault="007050A2"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79.5</w:t>
            </w:r>
          </w:p>
        </w:tc>
        <w:tc>
          <w:tcPr>
            <w:tcW w:w="917" w:type="dxa"/>
            <w:shd w:val="clear" w:color="auto" w:fill="auto"/>
            <w:tcMar>
              <w:left w:w="51" w:type="dxa"/>
            </w:tcMar>
          </w:tcPr>
          <w:p w14:paraId="085662BE" w14:textId="3668BCB8" w:rsidR="007050A2" w:rsidRDefault="007050A2"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27.3</w:t>
            </w:r>
          </w:p>
        </w:tc>
        <w:tc>
          <w:tcPr>
            <w:tcW w:w="890" w:type="dxa"/>
            <w:shd w:val="clear" w:color="auto" w:fill="auto"/>
            <w:tcMar>
              <w:left w:w="51" w:type="dxa"/>
            </w:tcMar>
          </w:tcPr>
          <w:p w14:paraId="04B31AB8" w14:textId="45989DC2" w:rsidR="007050A2" w:rsidRDefault="007050A2"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95.7</w:t>
            </w:r>
          </w:p>
        </w:tc>
      </w:tr>
      <w:tr w:rsidR="00F26BF6" w14:paraId="6E209028" w14:textId="77777777" w:rsidTr="001D36E2">
        <w:trPr>
          <w:trHeight w:val="242"/>
        </w:trPr>
        <w:tc>
          <w:tcPr>
            <w:tcW w:w="1589" w:type="dxa"/>
            <w:vMerge/>
            <w:shd w:val="clear" w:color="auto" w:fill="auto"/>
            <w:tcMar>
              <w:left w:w="51" w:type="dxa"/>
            </w:tcMar>
            <w:vAlign w:val="center"/>
          </w:tcPr>
          <w:p w14:paraId="464B984D" w14:textId="77777777" w:rsidR="007050A2" w:rsidRDefault="007050A2" w:rsidP="00422EBA">
            <w:pPr>
              <w:pStyle w:val="Contenutotabella"/>
              <w:adjustRightInd w:val="0"/>
              <w:snapToGrid w:val="0"/>
              <w:spacing w:after="0" w:line="360" w:lineRule="auto"/>
              <w:jc w:val="both"/>
              <w:rPr>
                <w:rFonts w:ascii="Book Antiqua" w:hAnsi="Book Antiqua"/>
                <w:sz w:val="16"/>
                <w:szCs w:val="16"/>
                <w:lang w:val="en-GB"/>
              </w:rPr>
            </w:pPr>
          </w:p>
        </w:tc>
        <w:tc>
          <w:tcPr>
            <w:tcW w:w="1397" w:type="dxa"/>
            <w:vMerge/>
            <w:shd w:val="clear" w:color="auto" w:fill="auto"/>
            <w:tcMar>
              <w:left w:w="51" w:type="dxa"/>
            </w:tcMar>
          </w:tcPr>
          <w:p w14:paraId="5D1EAC4B" w14:textId="77777777" w:rsidR="007050A2" w:rsidRDefault="007050A2" w:rsidP="00422EBA">
            <w:pPr>
              <w:pStyle w:val="Contenutotabella"/>
              <w:adjustRightInd w:val="0"/>
              <w:snapToGrid w:val="0"/>
              <w:spacing w:after="0" w:line="360" w:lineRule="auto"/>
              <w:jc w:val="both"/>
              <w:rPr>
                <w:rFonts w:ascii="Book Antiqua" w:hAnsi="Book Antiqua"/>
                <w:sz w:val="16"/>
                <w:szCs w:val="16"/>
                <w:lang w:val="en-GB"/>
              </w:rPr>
            </w:pPr>
          </w:p>
        </w:tc>
        <w:tc>
          <w:tcPr>
            <w:tcW w:w="518" w:type="dxa"/>
            <w:vMerge/>
            <w:shd w:val="clear" w:color="auto" w:fill="auto"/>
            <w:tcMar>
              <w:left w:w="51" w:type="dxa"/>
            </w:tcMar>
          </w:tcPr>
          <w:p w14:paraId="7CC4AFC7" w14:textId="77777777" w:rsidR="007050A2" w:rsidRDefault="007050A2" w:rsidP="00422EBA">
            <w:pPr>
              <w:pStyle w:val="Contenutotabella"/>
              <w:adjustRightInd w:val="0"/>
              <w:snapToGrid w:val="0"/>
              <w:spacing w:after="0" w:line="360" w:lineRule="auto"/>
              <w:jc w:val="both"/>
              <w:rPr>
                <w:rFonts w:ascii="Book Antiqua" w:hAnsi="Book Antiqua"/>
                <w:sz w:val="16"/>
                <w:szCs w:val="16"/>
                <w:lang w:val="en-GB"/>
              </w:rPr>
            </w:pPr>
          </w:p>
        </w:tc>
        <w:tc>
          <w:tcPr>
            <w:tcW w:w="1827" w:type="dxa"/>
            <w:vMerge/>
            <w:shd w:val="clear" w:color="auto" w:fill="auto"/>
            <w:tcMar>
              <w:left w:w="51" w:type="dxa"/>
            </w:tcMar>
          </w:tcPr>
          <w:p w14:paraId="20987322" w14:textId="77777777" w:rsidR="007050A2" w:rsidRDefault="007050A2" w:rsidP="00422EBA">
            <w:pPr>
              <w:pStyle w:val="Contenutotabella"/>
              <w:adjustRightInd w:val="0"/>
              <w:snapToGrid w:val="0"/>
              <w:spacing w:after="0" w:line="360" w:lineRule="auto"/>
              <w:jc w:val="both"/>
              <w:rPr>
                <w:rFonts w:ascii="Book Antiqua" w:hAnsi="Book Antiqua"/>
                <w:sz w:val="16"/>
                <w:szCs w:val="16"/>
                <w:lang w:val="en-GB"/>
              </w:rPr>
            </w:pPr>
          </w:p>
        </w:tc>
        <w:tc>
          <w:tcPr>
            <w:tcW w:w="1195" w:type="dxa"/>
            <w:vMerge/>
            <w:shd w:val="clear" w:color="auto" w:fill="auto"/>
            <w:tcMar>
              <w:left w:w="51" w:type="dxa"/>
            </w:tcMar>
          </w:tcPr>
          <w:p w14:paraId="1385B359" w14:textId="77777777" w:rsidR="007050A2" w:rsidRDefault="007050A2" w:rsidP="00422EBA">
            <w:pPr>
              <w:pStyle w:val="Contenutotabella"/>
              <w:adjustRightInd w:val="0"/>
              <w:snapToGrid w:val="0"/>
              <w:spacing w:after="0" w:line="360" w:lineRule="auto"/>
              <w:jc w:val="both"/>
              <w:rPr>
                <w:rFonts w:ascii="Book Antiqua" w:hAnsi="Book Antiqua"/>
                <w:sz w:val="16"/>
                <w:szCs w:val="16"/>
                <w:lang w:val="en-GB"/>
              </w:rPr>
            </w:pPr>
          </w:p>
        </w:tc>
        <w:tc>
          <w:tcPr>
            <w:tcW w:w="888" w:type="dxa"/>
            <w:vMerge/>
            <w:shd w:val="clear" w:color="auto" w:fill="auto"/>
            <w:tcMar>
              <w:left w:w="51" w:type="dxa"/>
            </w:tcMar>
          </w:tcPr>
          <w:p w14:paraId="0B3E2890" w14:textId="77777777" w:rsidR="007050A2" w:rsidRDefault="007050A2" w:rsidP="00422EBA">
            <w:pPr>
              <w:pStyle w:val="Contenutotabella"/>
              <w:adjustRightInd w:val="0"/>
              <w:snapToGrid w:val="0"/>
              <w:spacing w:after="0" w:line="360" w:lineRule="auto"/>
              <w:jc w:val="both"/>
              <w:rPr>
                <w:rFonts w:ascii="Book Antiqua" w:hAnsi="Book Antiqua"/>
                <w:sz w:val="16"/>
                <w:szCs w:val="16"/>
                <w:lang w:val="en-GB"/>
              </w:rPr>
            </w:pPr>
          </w:p>
        </w:tc>
        <w:tc>
          <w:tcPr>
            <w:tcW w:w="1654" w:type="dxa"/>
            <w:vMerge/>
            <w:shd w:val="clear" w:color="auto" w:fill="auto"/>
            <w:tcMar>
              <w:left w:w="51" w:type="dxa"/>
            </w:tcMar>
          </w:tcPr>
          <w:p w14:paraId="6AA6DDDF" w14:textId="77777777" w:rsidR="007050A2" w:rsidRDefault="007050A2" w:rsidP="00422EBA">
            <w:pPr>
              <w:pStyle w:val="Contenutotabella"/>
              <w:adjustRightInd w:val="0"/>
              <w:snapToGrid w:val="0"/>
              <w:spacing w:after="0" w:line="360" w:lineRule="auto"/>
              <w:jc w:val="both"/>
              <w:rPr>
                <w:rFonts w:ascii="Book Antiqua" w:eastAsia="Book Antiqua" w:hAnsi="Book Antiqua" w:cs="Book Antiqua"/>
                <w:sz w:val="16"/>
                <w:szCs w:val="16"/>
                <w:lang w:val="en-GB"/>
              </w:rPr>
            </w:pPr>
          </w:p>
        </w:tc>
        <w:tc>
          <w:tcPr>
            <w:tcW w:w="1369" w:type="dxa"/>
            <w:shd w:val="clear" w:color="auto" w:fill="auto"/>
            <w:tcMar>
              <w:left w:w="51" w:type="dxa"/>
            </w:tcMar>
          </w:tcPr>
          <w:p w14:paraId="1E9AB1BE" w14:textId="77777777" w:rsidR="007050A2" w:rsidRDefault="007050A2"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0.933</w:t>
            </w:r>
          </w:p>
        </w:tc>
        <w:tc>
          <w:tcPr>
            <w:tcW w:w="1106" w:type="dxa"/>
            <w:shd w:val="clear" w:color="auto" w:fill="auto"/>
            <w:tcMar>
              <w:left w:w="51" w:type="dxa"/>
            </w:tcMar>
          </w:tcPr>
          <w:p w14:paraId="2FA197EC" w14:textId="77777777" w:rsidR="007050A2" w:rsidRDefault="007050A2"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100</w:t>
            </w:r>
          </w:p>
        </w:tc>
        <w:tc>
          <w:tcPr>
            <w:tcW w:w="1103" w:type="dxa"/>
            <w:shd w:val="clear" w:color="auto" w:fill="auto"/>
            <w:tcMar>
              <w:left w:w="51" w:type="dxa"/>
            </w:tcMar>
          </w:tcPr>
          <w:p w14:paraId="654E00AA" w14:textId="77777777" w:rsidR="007050A2" w:rsidRDefault="007050A2"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74.9</w:t>
            </w:r>
          </w:p>
        </w:tc>
        <w:tc>
          <w:tcPr>
            <w:tcW w:w="917" w:type="dxa"/>
            <w:shd w:val="clear" w:color="auto" w:fill="auto"/>
            <w:tcMar>
              <w:left w:w="51" w:type="dxa"/>
            </w:tcMar>
          </w:tcPr>
          <w:p w14:paraId="7C7C61FB" w14:textId="77777777" w:rsidR="007050A2" w:rsidRDefault="007050A2"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31.0</w:t>
            </w:r>
          </w:p>
        </w:tc>
        <w:tc>
          <w:tcPr>
            <w:tcW w:w="890" w:type="dxa"/>
            <w:shd w:val="clear" w:color="auto" w:fill="auto"/>
            <w:tcMar>
              <w:left w:w="51" w:type="dxa"/>
            </w:tcMar>
          </w:tcPr>
          <w:p w14:paraId="4AC7CD6C" w14:textId="77777777" w:rsidR="007050A2" w:rsidRDefault="007050A2"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100</w:t>
            </w:r>
          </w:p>
        </w:tc>
      </w:tr>
      <w:tr w:rsidR="007757E2" w:rsidRPr="00FA6324" w14:paraId="19962CC2" w14:textId="77777777" w:rsidTr="001D36E2">
        <w:tc>
          <w:tcPr>
            <w:tcW w:w="1589" w:type="dxa"/>
            <w:shd w:val="clear" w:color="auto" w:fill="auto"/>
            <w:tcMar>
              <w:left w:w="51" w:type="dxa"/>
            </w:tcMar>
            <w:vAlign w:val="center"/>
          </w:tcPr>
          <w:p w14:paraId="72474C42" w14:textId="77777777" w:rsidR="00B122DF" w:rsidRDefault="00B122DF"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MELD lactate</w:t>
            </w:r>
          </w:p>
        </w:tc>
        <w:tc>
          <w:tcPr>
            <w:tcW w:w="1397" w:type="dxa"/>
            <w:shd w:val="clear" w:color="auto" w:fill="auto"/>
            <w:tcMar>
              <w:left w:w="51" w:type="dxa"/>
            </w:tcMar>
          </w:tcPr>
          <w:p w14:paraId="682843E8" w14:textId="2E00FA2D" w:rsidR="00B122DF" w:rsidRDefault="00B122DF"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 xml:space="preserve">Cardoso </w:t>
            </w:r>
            <w:r w:rsidR="00E35182" w:rsidRPr="00E35182">
              <w:rPr>
                <w:rFonts w:ascii="Book Antiqua" w:hAnsi="Book Antiqua"/>
                <w:i/>
                <w:sz w:val="16"/>
                <w:szCs w:val="16"/>
                <w:lang w:val="en-GB"/>
              </w:rPr>
              <w:t>et al</w:t>
            </w:r>
            <w:r w:rsidR="007D7ACC">
              <w:rPr>
                <w:rFonts w:ascii="Book Antiqua" w:hAnsi="Book Antiqua"/>
                <w:sz w:val="16"/>
                <w:szCs w:val="16"/>
                <w:lang w:val="en-GB"/>
              </w:rPr>
              <w:fldChar w:fldCharType="begin" w:fldLock="1"/>
            </w:r>
            <w:r w:rsidR="00362C55">
              <w:rPr>
                <w:rFonts w:ascii="Book Antiqua" w:hAnsi="Book Antiqua"/>
                <w:sz w:val="16"/>
                <w:szCs w:val="16"/>
                <w:lang w:val="en-GB"/>
              </w:rPr>
              <w:instrText>ADDIN CSL_CITATION { "citationItems" : [ { "id" : "ITEM-1", "itemData" : { "DOI" : "10.1016/j.transproceed.2013.12.067", "ISSN" : "1873-2623", "PMID" : "24935305", "abstract" : "INTRODUCTION: Liver transplantation (OLT) involves a 5% to 10% 30-day mortality rate. Multiple scores have been used as predictors of early postoperative mortality, such as the original Model for End-stage Liver Disease (MELD) and MELD sodium. Investigations have been conducted over the last 5 years to find new predictors of early post-OLT mortality.\\n\\nOBJECTIVE: The aim of this study was to develop a new mathematical model to predict the individual chance of 30-day mortality after OLT.\\n\\nMETHODS: The study was conducted on 58 patients submitted to OLT at the University Hospital, between October 2008 and March 2012. The 29 latest survivor and 29 latest nonsurvivor cases were selected. Arterial blood sodium, lactate, international normalized ratio, total bilirubin, and creatinine values were determined 1 hour after the end of surgery. The MELD original equation, MELD sodium, and new MELD lactate were also elaborated. The results were analyzed by the Mann-Whitney and Wilcoxon tests. The level of significance was set at .05.\\n\\nRESULTS: The new formula elaborated was as follows: MELD lactate = 5.68 \u00d7 loge (lactate) + 0.64 \u00d7 (Original MELD) + 2.68. The MELD lactate values were significantly higher than the MELD sodium and original MELD values (P &lt; .05). The area under the receiver operating characteristic curve of MELD lactate in predicting the outcome of patients submitted to OLT was 0.80, as opposed to 0.71 for the original MELD and 0.72 for MELD sodium (P &lt; .05).\\n\\nCONCLUSION: The postoperative MELD lactate score proved to be more specific and sensitive than the original MELD and MELD sodium as a predictive model of the outcome of patients submitted to OLT.", "author" : [ { "dropping-particle" : "", "family" : "Cardoso", "given" : "N M", "non-dropping-particle" : "", "parse-names" : false, "suffix" : "" }, { "dropping-particle" : "", "family" : "Silva", "given" : "T", "non-dropping-particle" : "", "parse-names" : false, "suffix" : "" }, { "dropping-particle" : "", "family" : "Basile-Filho", "given" : "a", "non-dropping-particle" : "", "parse-names" : false, "suffix" : "" }, { "dropping-particle" : "", "family" : "Mente", "given" : "E D", "non-dropping-particle" : "", "parse-names" : false, "suffix" : "" }, { "dropping-particle" : "", "family" : "Castro-e-Silva", "given" : "O", "non-dropping-particle" : "", "parse-names" : false, "suffix" : "" } ], "container-title" : "Transplantation proceedings", "id" : "ITEM-1", "issue" : "5", "issued" : { "date-parts" : [ [ "2014" ] ] }, "page" : "1407-12", "publisher" : "Elsevier Inc.", "title" : "A new formula as a predictive score of post-liver transplantation outcome: postoperative MELD-lactate.", "type" : "article-journal", "volume" : "46" }, "uris" : [ "http://www.mendeley.com/documents/?uuid=78e23453-51b7-4f4f-8c0d-ce966e5236ef" ] } ], "mendeley" : { "formattedCitation" : "&lt;sup&gt;[92]&lt;/sup&gt;", "plainTextFormattedCitation" : "[92]", "previouslyFormattedCitation" : "&lt;sup&gt;[92]&lt;/sup&gt;" }, "properties" : { "noteIndex" : 0 }, "schema" : "https://github.com/citation-style-language/schema/raw/master/csl-citation.json" }</w:instrText>
            </w:r>
            <w:r w:rsidR="007D7ACC">
              <w:rPr>
                <w:rFonts w:ascii="Book Antiqua" w:hAnsi="Book Antiqua"/>
                <w:sz w:val="16"/>
                <w:szCs w:val="16"/>
                <w:lang w:val="en-GB"/>
              </w:rPr>
              <w:fldChar w:fldCharType="separate"/>
            </w:r>
            <w:r w:rsidR="00CD2CDC" w:rsidRPr="00CD2CDC">
              <w:rPr>
                <w:rFonts w:ascii="Book Antiqua" w:hAnsi="Book Antiqua"/>
                <w:noProof/>
                <w:sz w:val="16"/>
                <w:szCs w:val="16"/>
                <w:vertAlign w:val="superscript"/>
                <w:lang w:val="en-GB"/>
              </w:rPr>
              <w:t>[92]</w:t>
            </w:r>
            <w:r w:rsidR="007D7ACC">
              <w:rPr>
                <w:rFonts w:ascii="Book Antiqua" w:hAnsi="Book Antiqua"/>
                <w:sz w:val="16"/>
                <w:szCs w:val="16"/>
                <w:lang w:val="en-GB"/>
              </w:rPr>
              <w:fldChar w:fldCharType="end"/>
            </w:r>
          </w:p>
        </w:tc>
        <w:tc>
          <w:tcPr>
            <w:tcW w:w="518" w:type="dxa"/>
            <w:shd w:val="clear" w:color="auto" w:fill="auto"/>
            <w:tcMar>
              <w:left w:w="51" w:type="dxa"/>
            </w:tcMar>
          </w:tcPr>
          <w:p w14:paraId="6BC2023B" w14:textId="77777777" w:rsidR="00B122DF" w:rsidRDefault="00B122DF"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P</w:t>
            </w:r>
          </w:p>
        </w:tc>
        <w:tc>
          <w:tcPr>
            <w:tcW w:w="1827" w:type="dxa"/>
            <w:shd w:val="clear" w:color="auto" w:fill="auto"/>
            <w:tcMar>
              <w:left w:w="51" w:type="dxa"/>
            </w:tcMar>
          </w:tcPr>
          <w:p w14:paraId="0CDC814E" w14:textId="77777777" w:rsidR="00B122DF" w:rsidRDefault="00B122DF"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Mortality within POD30</w:t>
            </w:r>
          </w:p>
        </w:tc>
        <w:tc>
          <w:tcPr>
            <w:tcW w:w="1195" w:type="dxa"/>
            <w:shd w:val="clear" w:color="auto" w:fill="auto"/>
            <w:tcMar>
              <w:left w:w="51" w:type="dxa"/>
            </w:tcMar>
          </w:tcPr>
          <w:p w14:paraId="3631F090" w14:textId="15EF71D1" w:rsidR="00B122DF" w:rsidRDefault="00B122DF"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58 LT:</w:t>
            </w:r>
            <w:r w:rsidR="00403E8B">
              <w:rPr>
                <w:rFonts w:ascii="Book Antiqua" w:hAnsi="Book Antiqua"/>
                <w:sz w:val="16"/>
                <w:szCs w:val="16"/>
                <w:lang w:val="en-GB"/>
              </w:rPr>
              <w:t xml:space="preserve"> </w:t>
            </w:r>
            <w:r>
              <w:rPr>
                <w:rFonts w:ascii="Book Antiqua" w:hAnsi="Book Antiqua"/>
                <w:sz w:val="16"/>
                <w:szCs w:val="16"/>
                <w:lang w:val="en-GB"/>
              </w:rPr>
              <w:t>43% HCV, 26% alcoholic</w:t>
            </w:r>
          </w:p>
        </w:tc>
        <w:tc>
          <w:tcPr>
            <w:tcW w:w="888" w:type="dxa"/>
            <w:shd w:val="clear" w:color="auto" w:fill="auto"/>
            <w:tcMar>
              <w:left w:w="51" w:type="dxa"/>
            </w:tcMar>
          </w:tcPr>
          <w:p w14:paraId="34E6897A" w14:textId="77777777" w:rsidR="00B122DF" w:rsidRDefault="00B122DF"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1 hour after surgery</w:t>
            </w:r>
          </w:p>
        </w:tc>
        <w:tc>
          <w:tcPr>
            <w:tcW w:w="1654" w:type="dxa"/>
            <w:shd w:val="clear" w:color="auto" w:fill="auto"/>
            <w:tcMar>
              <w:left w:w="51" w:type="dxa"/>
            </w:tcMar>
          </w:tcPr>
          <w:p w14:paraId="0B34CA8A" w14:textId="77777777" w:rsidR="00B122DF" w:rsidRDefault="00B122DF"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26.3</w:t>
            </w:r>
          </w:p>
        </w:tc>
        <w:tc>
          <w:tcPr>
            <w:tcW w:w="1369" w:type="dxa"/>
            <w:shd w:val="clear" w:color="auto" w:fill="auto"/>
            <w:tcMar>
              <w:left w:w="51" w:type="dxa"/>
            </w:tcMar>
          </w:tcPr>
          <w:p w14:paraId="034AD2F9" w14:textId="77777777" w:rsidR="00B122DF" w:rsidRDefault="00B122DF"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0.80</w:t>
            </w:r>
          </w:p>
        </w:tc>
        <w:tc>
          <w:tcPr>
            <w:tcW w:w="1106" w:type="dxa"/>
            <w:shd w:val="clear" w:color="auto" w:fill="auto"/>
            <w:tcMar>
              <w:left w:w="51" w:type="dxa"/>
            </w:tcMar>
          </w:tcPr>
          <w:p w14:paraId="688C4ED4" w14:textId="77777777" w:rsidR="00B122DF" w:rsidRDefault="00B122DF" w:rsidP="00422EBA">
            <w:pPr>
              <w:pStyle w:val="Contenutotabella"/>
              <w:adjustRightInd w:val="0"/>
              <w:snapToGrid w:val="0"/>
              <w:spacing w:after="0" w:line="360" w:lineRule="auto"/>
              <w:jc w:val="both"/>
              <w:rPr>
                <w:rFonts w:ascii="Book Antiqua" w:hAnsi="Book Antiqua"/>
                <w:sz w:val="16"/>
                <w:szCs w:val="16"/>
                <w:lang w:val="en-GB"/>
              </w:rPr>
            </w:pPr>
          </w:p>
        </w:tc>
        <w:tc>
          <w:tcPr>
            <w:tcW w:w="1103" w:type="dxa"/>
            <w:shd w:val="clear" w:color="auto" w:fill="auto"/>
            <w:tcMar>
              <w:left w:w="51" w:type="dxa"/>
            </w:tcMar>
          </w:tcPr>
          <w:p w14:paraId="69B919F2" w14:textId="77777777" w:rsidR="00B122DF" w:rsidRDefault="00B122DF" w:rsidP="00422EBA">
            <w:pPr>
              <w:pStyle w:val="Contenutotabella"/>
              <w:adjustRightInd w:val="0"/>
              <w:snapToGrid w:val="0"/>
              <w:spacing w:after="0" w:line="360" w:lineRule="auto"/>
              <w:jc w:val="both"/>
              <w:rPr>
                <w:rFonts w:ascii="Book Antiqua" w:hAnsi="Book Antiqua"/>
                <w:sz w:val="16"/>
                <w:szCs w:val="16"/>
                <w:lang w:val="en-GB"/>
              </w:rPr>
            </w:pPr>
          </w:p>
        </w:tc>
        <w:tc>
          <w:tcPr>
            <w:tcW w:w="917" w:type="dxa"/>
            <w:shd w:val="clear" w:color="auto" w:fill="auto"/>
            <w:tcMar>
              <w:left w:w="51" w:type="dxa"/>
            </w:tcMar>
          </w:tcPr>
          <w:p w14:paraId="7D253E37" w14:textId="77777777" w:rsidR="00B122DF" w:rsidRDefault="00B122DF" w:rsidP="00422EBA">
            <w:pPr>
              <w:pStyle w:val="Contenutotabella"/>
              <w:adjustRightInd w:val="0"/>
              <w:snapToGrid w:val="0"/>
              <w:spacing w:after="0" w:line="360" w:lineRule="auto"/>
              <w:jc w:val="both"/>
              <w:rPr>
                <w:rFonts w:ascii="Book Antiqua" w:hAnsi="Book Antiqua"/>
                <w:sz w:val="16"/>
                <w:szCs w:val="16"/>
                <w:lang w:val="en-GB"/>
              </w:rPr>
            </w:pPr>
          </w:p>
        </w:tc>
        <w:tc>
          <w:tcPr>
            <w:tcW w:w="890" w:type="dxa"/>
            <w:shd w:val="clear" w:color="auto" w:fill="auto"/>
            <w:tcMar>
              <w:left w:w="51" w:type="dxa"/>
            </w:tcMar>
          </w:tcPr>
          <w:p w14:paraId="18D0B400" w14:textId="77777777" w:rsidR="00B122DF" w:rsidRDefault="00B122DF" w:rsidP="00422EBA">
            <w:pPr>
              <w:pStyle w:val="Contenutotabella"/>
              <w:adjustRightInd w:val="0"/>
              <w:snapToGrid w:val="0"/>
              <w:spacing w:after="0" w:line="360" w:lineRule="auto"/>
              <w:jc w:val="both"/>
              <w:rPr>
                <w:rFonts w:ascii="Book Antiqua" w:hAnsi="Book Antiqua"/>
                <w:sz w:val="16"/>
                <w:szCs w:val="16"/>
                <w:lang w:val="en-GB"/>
              </w:rPr>
            </w:pPr>
          </w:p>
        </w:tc>
      </w:tr>
      <w:tr w:rsidR="007757E2" w14:paraId="396EC4BF" w14:textId="77777777" w:rsidTr="001D36E2">
        <w:tc>
          <w:tcPr>
            <w:tcW w:w="1589" w:type="dxa"/>
            <w:shd w:val="clear" w:color="auto" w:fill="auto"/>
            <w:tcMar>
              <w:left w:w="51" w:type="dxa"/>
            </w:tcMar>
            <w:vAlign w:val="center"/>
          </w:tcPr>
          <w:p w14:paraId="313FD044" w14:textId="77777777" w:rsidR="00B122DF" w:rsidRDefault="00B122DF"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APACHE IV</w:t>
            </w:r>
          </w:p>
        </w:tc>
        <w:tc>
          <w:tcPr>
            <w:tcW w:w="1397" w:type="dxa"/>
            <w:shd w:val="clear" w:color="auto" w:fill="auto"/>
            <w:tcMar>
              <w:left w:w="51" w:type="dxa"/>
            </w:tcMar>
          </w:tcPr>
          <w:p w14:paraId="52A9FA91" w14:textId="37800074" w:rsidR="00B122DF" w:rsidRDefault="00B122DF"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 xml:space="preserve">Hu </w:t>
            </w:r>
            <w:r w:rsidR="00E35182" w:rsidRPr="00E35182">
              <w:rPr>
                <w:rFonts w:ascii="Book Antiqua" w:hAnsi="Book Antiqua"/>
                <w:i/>
                <w:sz w:val="16"/>
                <w:szCs w:val="16"/>
                <w:lang w:val="en-GB"/>
              </w:rPr>
              <w:t>et al</w:t>
            </w:r>
            <w:r w:rsidR="007D7ACC">
              <w:rPr>
                <w:rFonts w:ascii="Book Antiqua" w:hAnsi="Book Antiqua"/>
                <w:sz w:val="16"/>
                <w:szCs w:val="16"/>
                <w:lang w:val="en-GB"/>
              </w:rPr>
              <w:fldChar w:fldCharType="begin" w:fldLock="1"/>
            </w:r>
            <w:r w:rsidR="002D7F73">
              <w:rPr>
                <w:rFonts w:ascii="Book Antiqua" w:hAnsi="Book Antiqua"/>
                <w:sz w:val="16"/>
                <w:szCs w:val="16"/>
                <w:lang w:val="en-GB"/>
              </w:rPr>
              <w:instrText>ADDIN CSL_CITATION { "citationItems" : [ { "id" : "ITEM-1", "itemData" : { "DOI" : "10.1155/2013/809847", "ISSN" : "1740-2530", "PMID" : "24348682", "abstract" : "This study aims to compare the efficiency of APACHE IV with that of MELD scoring system for prediction of the risk of mortality risk after orthotopic liver transplantation (OLT). A retrospective cohort study was performed based on a total of 195 patients admitted to the ICU after orthotopic liver transplantation (OLT) between February 2006 and July 2009 in Guangzhou, China. APACHE IV and MELD scoring systems were used to predict the postoperative mortality after OLT. The area under the receiver operating characteristic curve (AUC) and the Hosmer-Lemeshow C statistic were used to assess the discrimination and calibration of APACHE IV and MELD, respectively. Twenty-seven patients died during hospitalization with a mortality rate of 13.8%. The mean scores of APACHE IV and MELD were 42.32 \u00b1 21.95 and 18.09 \u00b1 10.55, respectively, and APACHE IV showed better discrimination than MELD; the areas under the receiver operating characteristic curve for APACHE IV and MELD were 0.937 and 0.694 (P &lt; 0.05 for both models), which indicated that the prognostic value of APACHE IV was relatively high. Both models were well-calibrated (The Hosmer-Lemeshow C statistics were 1.568 and 6.818 for APACHE IV and MELD, resp.; P &gt; 0.05 for both). The respective Youden indexes of APACHE IV, MELD, and combination of APACHE IV with MELD were 0.763, 0.430, and 0.545. The prognostic value of APACHE IV is high but still underestimates the overall hospital mortality, while the prognostic value of MELD is poor. The function of the APACHE IV is, thus, better than that of the MELD.", "author" : [ { "dropping-particle" : "", "family" : "Hu", "given" : "Yueyun", "non-dropping-particle" : "", "parse-names" : false, "suffix" : "" }, { "dropping-particle" : "", "family" : "Zhang", "given" : "Xianling", "non-dropping-particle" : "", "parse-names" : false, "suffix" : "" }, { "dropping-particle" : "", "family" : "Liu", "given" : "Yuan", "non-dropping-particle" : "", "parse-names" : false, "suffix" : "" }, { "dropping-particle" : "", "family" : "Yan", "given" : "Jun", "non-dropping-particle" : "", "parse-names" : false, "suffix" : "" }, { "dropping-particle" : "", "family" : "Li", "given" : "Tiehua", "non-dropping-particle" : "", "parse-names" : false, "suffix" : "" }, { "dropping-particle" : "", "family" : "Hu", "given" : "Ailing", "non-dropping-particle" : "", "parse-names" : false, "suffix" : "" } ], "container-title" : "Clinical &amp; developmental immunology", "id" : "ITEM-1", "issued" : { "date-parts" : [ [ "2013", "1" ] ] }, "page" : "809847", "title" : "APACHE IV is superior to MELD scoring system in predicting prognosis in patients after orthotopic liver transplantation.", "type" : "article-journal", "volume" : "2013" }, "uris" : [ "http://www.mendeley.com/documents/?uuid=b3f18008-dcca-438b-817f-c4698abcc889" ] } ], "mendeley" : { "formattedCitation" : "&lt;sup&gt;[119]&lt;/sup&gt;", "plainTextFormattedCitation" : "[119]", "previouslyFormattedCitation" : "&lt;sup&gt;[119]&lt;/sup&gt;" }, "properties" : { "noteIndex" : 0 }, "schema" : "https://github.com/citation-style-language/schema/raw/master/csl-citation.json" }</w:instrText>
            </w:r>
            <w:r w:rsidR="007D7ACC">
              <w:rPr>
                <w:rFonts w:ascii="Book Antiqua" w:hAnsi="Book Antiqua"/>
                <w:sz w:val="16"/>
                <w:szCs w:val="16"/>
                <w:lang w:val="en-GB"/>
              </w:rPr>
              <w:fldChar w:fldCharType="separate"/>
            </w:r>
            <w:r w:rsidR="00315B8B" w:rsidRPr="00315B8B">
              <w:rPr>
                <w:rFonts w:ascii="Book Antiqua" w:hAnsi="Book Antiqua"/>
                <w:noProof/>
                <w:sz w:val="16"/>
                <w:szCs w:val="16"/>
                <w:vertAlign w:val="superscript"/>
                <w:lang w:val="en-GB"/>
              </w:rPr>
              <w:t>[119]</w:t>
            </w:r>
            <w:r w:rsidR="007D7ACC">
              <w:rPr>
                <w:rFonts w:ascii="Book Antiqua" w:hAnsi="Book Antiqua"/>
                <w:sz w:val="16"/>
                <w:szCs w:val="16"/>
                <w:lang w:val="en-GB"/>
              </w:rPr>
              <w:fldChar w:fldCharType="end"/>
            </w:r>
          </w:p>
        </w:tc>
        <w:tc>
          <w:tcPr>
            <w:tcW w:w="518" w:type="dxa"/>
            <w:shd w:val="clear" w:color="auto" w:fill="auto"/>
            <w:tcMar>
              <w:left w:w="51" w:type="dxa"/>
            </w:tcMar>
          </w:tcPr>
          <w:p w14:paraId="5DFE7C18" w14:textId="77777777" w:rsidR="00B122DF" w:rsidRDefault="00B122DF"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R</w:t>
            </w:r>
          </w:p>
        </w:tc>
        <w:tc>
          <w:tcPr>
            <w:tcW w:w="1827" w:type="dxa"/>
            <w:shd w:val="clear" w:color="auto" w:fill="auto"/>
            <w:tcMar>
              <w:left w:w="51" w:type="dxa"/>
            </w:tcMar>
          </w:tcPr>
          <w:p w14:paraId="06EB8262" w14:textId="77777777" w:rsidR="00B122DF" w:rsidRDefault="00B122DF"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Mortality</w:t>
            </w:r>
          </w:p>
        </w:tc>
        <w:tc>
          <w:tcPr>
            <w:tcW w:w="1195" w:type="dxa"/>
            <w:shd w:val="clear" w:color="auto" w:fill="auto"/>
            <w:tcMar>
              <w:left w:w="51" w:type="dxa"/>
            </w:tcMar>
          </w:tcPr>
          <w:p w14:paraId="13F59F07" w14:textId="77777777" w:rsidR="00B122DF" w:rsidRDefault="00B122DF"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195 LT</w:t>
            </w:r>
          </w:p>
        </w:tc>
        <w:tc>
          <w:tcPr>
            <w:tcW w:w="888" w:type="dxa"/>
            <w:shd w:val="clear" w:color="auto" w:fill="auto"/>
            <w:tcMar>
              <w:left w:w="51" w:type="dxa"/>
            </w:tcMar>
          </w:tcPr>
          <w:p w14:paraId="50E29693" w14:textId="77777777" w:rsidR="00B122DF" w:rsidRDefault="00B122DF"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1</w:t>
            </w:r>
          </w:p>
        </w:tc>
        <w:tc>
          <w:tcPr>
            <w:tcW w:w="1654" w:type="dxa"/>
            <w:shd w:val="clear" w:color="auto" w:fill="auto"/>
            <w:tcMar>
              <w:left w:w="51" w:type="dxa"/>
            </w:tcMar>
          </w:tcPr>
          <w:p w14:paraId="1FB766BD" w14:textId="51656C44" w:rsidR="00B122DF" w:rsidRDefault="00B122DF" w:rsidP="00422EBA">
            <w:pPr>
              <w:pStyle w:val="Contenutotabella"/>
              <w:adjustRightInd w:val="0"/>
              <w:snapToGrid w:val="0"/>
              <w:spacing w:after="0" w:line="360" w:lineRule="auto"/>
              <w:jc w:val="both"/>
              <w:rPr>
                <w:rFonts w:ascii="Book Antiqua" w:hAnsi="Book Antiqua"/>
                <w:sz w:val="16"/>
                <w:szCs w:val="16"/>
                <w:lang w:val="en-GB"/>
              </w:rPr>
            </w:pPr>
            <w:r>
              <w:rPr>
                <w:rFonts w:ascii="Book Antiqua" w:eastAsia="Book Antiqua" w:hAnsi="Book Antiqua" w:cs="Book Antiqua"/>
                <w:sz w:val="16"/>
                <w:szCs w:val="16"/>
                <w:lang w:val="en-GB"/>
              </w:rPr>
              <w:t>≥</w:t>
            </w:r>
            <w:r w:rsidR="00D5047F">
              <w:rPr>
                <w:rFonts w:ascii="Book Antiqua" w:eastAsiaTheme="minorEastAsia" w:hAnsi="Book Antiqua" w:cs="Book Antiqua" w:hint="eastAsia"/>
                <w:sz w:val="16"/>
                <w:szCs w:val="16"/>
                <w:lang w:val="en-GB" w:eastAsia="zh-CN"/>
              </w:rPr>
              <w:t xml:space="preserve"> </w:t>
            </w:r>
            <w:r>
              <w:rPr>
                <w:rFonts w:ascii="Book Antiqua" w:eastAsia="Book Antiqua" w:hAnsi="Book Antiqua" w:cs="Book Antiqua"/>
                <w:sz w:val="16"/>
                <w:szCs w:val="16"/>
                <w:lang w:val="en-GB"/>
              </w:rPr>
              <w:t>55.5</w:t>
            </w:r>
          </w:p>
        </w:tc>
        <w:tc>
          <w:tcPr>
            <w:tcW w:w="1369" w:type="dxa"/>
            <w:shd w:val="clear" w:color="auto" w:fill="auto"/>
            <w:tcMar>
              <w:left w:w="51" w:type="dxa"/>
            </w:tcMar>
          </w:tcPr>
          <w:p w14:paraId="59ED1243" w14:textId="77777777" w:rsidR="00B122DF" w:rsidRDefault="00B122DF"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0.937 (0.892-0.981)</w:t>
            </w:r>
          </w:p>
        </w:tc>
        <w:tc>
          <w:tcPr>
            <w:tcW w:w="1106" w:type="dxa"/>
            <w:shd w:val="clear" w:color="auto" w:fill="auto"/>
            <w:tcMar>
              <w:left w:w="51" w:type="dxa"/>
            </w:tcMar>
          </w:tcPr>
          <w:p w14:paraId="76E2779E" w14:textId="77777777" w:rsidR="00B122DF" w:rsidRDefault="00B122DF"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85.2</w:t>
            </w:r>
          </w:p>
        </w:tc>
        <w:tc>
          <w:tcPr>
            <w:tcW w:w="1103" w:type="dxa"/>
            <w:shd w:val="clear" w:color="auto" w:fill="auto"/>
            <w:tcMar>
              <w:left w:w="51" w:type="dxa"/>
            </w:tcMar>
          </w:tcPr>
          <w:p w14:paraId="6913DC16" w14:textId="77777777" w:rsidR="00B122DF" w:rsidRDefault="00B122DF"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91.1</w:t>
            </w:r>
          </w:p>
        </w:tc>
        <w:tc>
          <w:tcPr>
            <w:tcW w:w="917" w:type="dxa"/>
            <w:shd w:val="clear" w:color="auto" w:fill="auto"/>
            <w:tcMar>
              <w:left w:w="51" w:type="dxa"/>
            </w:tcMar>
          </w:tcPr>
          <w:p w14:paraId="39EF2337" w14:textId="77777777" w:rsidR="00B122DF" w:rsidRDefault="00B122DF"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60.5</w:t>
            </w:r>
          </w:p>
        </w:tc>
        <w:tc>
          <w:tcPr>
            <w:tcW w:w="890" w:type="dxa"/>
            <w:shd w:val="clear" w:color="auto" w:fill="auto"/>
            <w:tcMar>
              <w:left w:w="51" w:type="dxa"/>
            </w:tcMar>
          </w:tcPr>
          <w:p w14:paraId="2626CC0D" w14:textId="77777777" w:rsidR="00B122DF" w:rsidRDefault="00B122DF"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97.5</w:t>
            </w:r>
          </w:p>
        </w:tc>
      </w:tr>
      <w:tr w:rsidR="007757E2" w:rsidRPr="00943FB3" w14:paraId="0EF93CBE" w14:textId="77777777" w:rsidTr="001D36E2">
        <w:tc>
          <w:tcPr>
            <w:tcW w:w="1589" w:type="dxa"/>
            <w:shd w:val="clear" w:color="auto" w:fill="auto"/>
            <w:tcMar>
              <w:left w:w="51" w:type="dxa"/>
            </w:tcMar>
            <w:vAlign w:val="center"/>
          </w:tcPr>
          <w:p w14:paraId="697EABCD" w14:textId="77777777" w:rsidR="00B122DF" w:rsidRDefault="00B122DF"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SOFA</w:t>
            </w:r>
          </w:p>
        </w:tc>
        <w:tc>
          <w:tcPr>
            <w:tcW w:w="1397" w:type="dxa"/>
            <w:shd w:val="clear" w:color="auto" w:fill="auto"/>
            <w:tcMar>
              <w:left w:w="51" w:type="dxa"/>
            </w:tcMar>
          </w:tcPr>
          <w:p w14:paraId="613A857D" w14:textId="062215D7" w:rsidR="00B122DF" w:rsidRDefault="00B122DF"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 xml:space="preserve">Wong </w:t>
            </w:r>
            <w:r w:rsidR="00E35182" w:rsidRPr="00E35182">
              <w:rPr>
                <w:rFonts w:ascii="Book Antiqua" w:hAnsi="Book Antiqua"/>
                <w:i/>
                <w:sz w:val="16"/>
                <w:szCs w:val="16"/>
                <w:lang w:val="en-GB"/>
              </w:rPr>
              <w:t>et al</w:t>
            </w:r>
            <w:r w:rsidR="007D7ACC">
              <w:rPr>
                <w:rFonts w:ascii="Book Antiqua" w:hAnsi="Book Antiqua"/>
                <w:sz w:val="16"/>
                <w:szCs w:val="16"/>
                <w:lang w:val="en-GB"/>
              </w:rPr>
              <w:fldChar w:fldCharType="begin" w:fldLock="1"/>
            </w:r>
            <w:r w:rsidR="002D7F73">
              <w:rPr>
                <w:rFonts w:ascii="Book Antiqua" w:hAnsi="Book Antiqua"/>
                <w:sz w:val="16"/>
                <w:szCs w:val="16"/>
                <w:lang w:val="en-GB"/>
              </w:rPr>
              <w:instrText>ADDIN CSL_CITATION { "citationItems" : [ { "id" : "ITEM-1", "itemData" : { "DOI" : "10.1002/lt.21969", "ISSN" : "1527-6473", "PMID" : "20104481", "abstract" : "Liver transplantation can prolong survival and improve the quality of life of patients with end-stage liver disease. This study retrospectively reviewed the medical records of 149 patients who had received liver transplants in a tertiary care university hospital from January 2000 to December 2007. Demographic, clinical, and laboratory variables were recorded. Each patient was assessed by 4 scoring systems before transplantation and on postoperative days 1, 3, 7, and 14. The overall 1-year survival rate was 77.9%. The Sequential Organ Failure Assessment (SOFA) score had better discriminatory power than the Child-Pugh points, Model for End-Stage Liver Disease score, and RIFLE (risk of renal dysfunction, injury to the kidney, failure of the kidney, loss of kidney function, and end-stage kidney disease) criteria. Moreover, the SOFA score on day 7 post-liver transplant had the best Youden index and highest overall correctness of prediction for 3-month (0.86, 93%) and 1-year mortality (0.62, 81%). Cumulative survival rates at the 1-year follow-up after liver transplantation differed significantly (P &lt; 0.001) between patients who had SOFA scores &lt; or = 7 on post-liver transplant day 7 and those who had SOFA scores &gt; 7 on post-liver transplant day 7. In conclusion, of the 4 evaluated scoring systems, only the SOFA scores calculated before liver transplantation were statistically significant predictors of 3-month and 1-year posttransplant mortality. SOFA on post-liver transplant day 7 had the best discriminative power for predicting 3-month and 1-year mortality after liver transplantation.", "author" : [ { "dropping-particle" : "", "family" : "Wong", "given" : "Chung-Shun", "non-dropping-particle" : "", "parse-names" : false, "suffix" : "" }, { "dropping-particle" : "", "family" : "Lee", "given" : "Wei-Chen", "non-dropping-particle" : "", "parse-names" : false, "suffix" : "" }, { "dropping-particle" : "", "family" : "Jenq", "given" : "Chang-Chyi", "non-dropping-particle" : "", "parse-names" : false, "suffix" : "" }, { "dropping-particle" : "", "family" : "Tian", "given" : "Ya-Chung", "non-dropping-particle" : "", "parse-names" : false, "suffix" : "" }, { "dropping-particle" : "", "family" : "Chang", "given" : "Ming-Yang", "non-dropping-particle" : "", "parse-names" : false, "suffix" : "" }, { "dropping-particle" : "", "family" : "Lin", "given" : "Chan-Yu", "non-dropping-particle" : "", "parse-names" : false, "suffix" : "" }, { "dropping-particle" : "", "family" : "Fang", "given" : "Ji-Tseng", "non-dropping-particle" : "", "parse-names" : false, "suffix" : "" }, { "dropping-particle" : "", "family" : "Yang", "given" : "Chih-Wei", "non-dropping-particle" : "", "parse-names" : false, "suffix" : "" }, { "dropping-particle" : "", "family" : "Tsai", "given" : "Ming-Hung", "non-dropping-particle" : "", "parse-names" : false, "suffix" : "" }, { "dropping-particle" : "", "family" : "Shih", "given" : "Hsin-Chin", "non-dropping-particle" : "", "parse-names" : false, "suffix" : "" }, { "dropping-particle" : "", "family" : "Chen", "given" : "Yung-Chang", "non-dropping-particle" : "", "parse-names" : false, "suffix" : "" } ], "container-title" : "Liver transplantation : official publication of the American Association for the Study of Liver Diseases and the International Liver Transplantation Society", "id" : "ITEM-1", "issue" : "2", "issued" : { "date-parts" : [ [ "2010", "2" ] ] }, "page" : "138-46", "title" : "Scoring short-term mortality after liver transplantation.", "type" : "article-journal", "volume" : "16" }, "uris" : [ "http://www.mendeley.com/documents/?uuid=17441768-1805-4c80-97dd-1c250cfe8ce0" ] } ], "mendeley" : { "formattedCitation" : "&lt;sup&gt;[120]&lt;/sup&gt;", "plainTextFormattedCitation" : "[120]", "previouslyFormattedCitation" : "&lt;sup&gt;[120]&lt;/sup&gt;" }, "properties" : { "noteIndex" : 0 }, "schema" : "https://github.com/citation-style-language/schema/raw/master/csl-citation.json" }</w:instrText>
            </w:r>
            <w:r w:rsidR="007D7ACC">
              <w:rPr>
                <w:rFonts w:ascii="Book Antiqua" w:hAnsi="Book Antiqua"/>
                <w:sz w:val="16"/>
                <w:szCs w:val="16"/>
                <w:lang w:val="en-GB"/>
              </w:rPr>
              <w:fldChar w:fldCharType="separate"/>
            </w:r>
            <w:r w:rsidR="00315B8B" w:rsidRPr="00315B8B">
              <w:rPr>
                <w:rFonts w:ascii="Book Antiqua" w:hAnsi="Book Antiqua"/>
                <w:noProof/>
                <w:sz w:val="16"/>
                <w:szCs w:val="16"/>
                <w:vertAlign w:val="superscript"/>
                <w:lang w:val="en-GB"/>
              </w:rPr>
              <w:t>[120]</w:t>
            </w:r>
            <w:r w:rsidR="007D7ACC">
              <w:rPr>
                <w:rFonts w:ascii="Book Antiqua" w:hAnsi="Book Antiqua"/>
                <w:sz w:val="16"/>
                <w:szCs w:val="16"/>
                <w:lang w:val="en-GB"/>
              </w:rPr>
              <w:fldChar w:fldCharType="end"/>
            </w:r>
          </w:p>
        </w:tc>
        <w:tc>
          <w:tcPr>
            <w:tcW w:w="518" w:type="dxa"/>
            <w:shd w:val="clear" w:color="auto" w:fill="auto"/>
            <w:tcMar>
              <w:left w:w="51" w:type="dxa"/>
            </w:tcMar>
          </w:tcPr>
          <w:p w14:paraId="1D1FF9E2" w14:textId="77777777" w:rsidR="00B122DF" w:rsidRDefault="00B122DF"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R</w:t>
            </w:r>
          </w:p>
        </w:tc>
        <w:tc>
          <w:tcPr>
            <w:tcW w:w="1827" w:type="dxa"/>
            <w:shd w:val="clear" w:color="auto" w:fill="auto"/>
            <w:tcMar>
              <w:left w:w="51" w:type="dxa"/>
            </w:tcMar>
          </w:tcPr>
          <w:p w14:paraId="6EC21509" w14:textId="5A77B5AD" w:rsidR="00B122DF" w:rsidRDefault="00B122DF"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3-mo mortality</w:t>
            </w:r>
          </w:p>
        </w:tc>
        <w:tc>
          <w:tcPr>
            <w:tcW w:w="1195" w:type="dxa"/>
            <w:shd w:val="clear" w:color="auto" w:fill="auto"/>
            <w:tcMar>
              <w:left w:w="51" w:type="dxa"/>
            </w:tcMar>
          </w:tcPr>
          <w:p w14:paraId="7A88D00C" w14:textId="069E5998" w:rsidR="00B122DF" w:rsidRDefault="00B122DF"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149 LT:</w:t>
            </w:r>
            <w:r w:rsidR="00403E8B">
              <w:rPr>
                <w:rFonts w:ascii="Book Antiqua" w:hAnsi="Book Antiqua"/>
                <w:sz w:val="16"/>
                <w:szCs w:val="16"/>
                <w:lang w:val="en-GB"/>
              </w:rPr>
              <w:t xml:space="preserve"> </w:t>
            </w:r>
            <w:r>
              <w:rPr>
                <w:rFonts w:ascii="Book Antiqua" w:hAnsi="Book Antiqua"/>
                <w:sz w:val="16"/>
                <w:szCs w:val="16"/>
                <w:lang w:val="en-GB"/>
              </w:rPr>
              <w:t>53% HBV</w:t>
            </w:r>
          </w:p>
        </w:tc>
        <w:tc>
          <w:tcPr>
            <w:tcW w:w="888" w:type="dxa"/>
            <w:shd w:val="clear" w:color="auto" w:fill="auto"/>
            <w:tcMar>
              <w:left w:w="51" w:type="dxa"/>
            </w:tcMar>
          </w:tcPr>
          <w:p w14:paraId="6DA2537E" w14:textId="77777777" w:rsidR="00B122DF" w:rsidRDefault="00B122DF"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7</w:t>
            </w:r>
          </w:p>
        </w:tc>
        <w:tc>
          <w:tcPr>
            <w:tcW w:w="1654" w:type="dxa"/>
            <w:shd w:val="clear" w:color="auto" w:fill="auto"/>
            <w:tcMar>
              <w:left w:w="51" w:type="dxa"/>
            </w:tcMar>
          </w:tcPr>
          <w:p w14:paraId="076A01C9" w14:textId="3AF755AE" w:rsidR="00B122DF" w:rsidRDefault="00B122DF" w:rsidP="00422EBA">
            <w:pPr>
              <w:pStyle w:val="Contenutotabella"/>
              <w:adjustRightInd w:val="0"/>
              <w:snapToGrid w:val="0"/>
              <w:spacing w:after="0" w:line="360" w:lineRule="auto"/>
              <w:jc w:val="both"/>
              <w:rPr>
                <w:rFonts w:ascii="Book Antiqua" w:hAnsi="Book Antiqua"/>
                <w:sz w:val="16"/>
                <w:szCs w:val="16"/>
                <w:lang w:val="en-GB"/>
              </w:rPr>
            </w:pPr>
            <w:r>
              <w:rPr>
                <w:rFonts w:ascii="Book Antiqua" w:eastAsia="Book Antiqua" w:hAnsi="Book Antiqua" w:cs="Book Antiqua"/>
                <w:sz w:val="16"/>
                <w:szCs w:val="16"/>
                <w:lang w:val="en-GB"/>
              </w:rPr>
              <w:t>≥</w:t>
            </w:r>
            <w:r w:rsidR="00D5047F">
              <w:rPr>
                <w:rFonts w:ascii="Book Antiqua" w:eastAsiaTheme="minorEastAsia" w:hAnsi="Book Antiqua" w:cs="Book Antiqua" w:hint="eastAsia"/>
                <w:sz w:val="16"/>
                <w:szCs w:val="16"/>
                <w:lang w:val="en-GB" w:eastAsia="zh-CN"/>
              </w:rPr>
              <w:t xml:space="preserve"> </w:t>
            </w:r>
            <w:r>
              <w:rPr>
                <w:rFonts w:ascii="Book Antiqua" w:eastAsia="Book Antiqua" w:hAnsi="Book Antiqua" w:cs="Book Antiqua"/>
                <w:sz w:val="16"/>
                <w:szCs w:val="16"/>
                <w:lang w:val="en-GB"/>
              </w:rPr>
              <w:t>8</w:t>
            </w:r>
          </w:p>
        </w:tc>
        <w:tc>
          <w:tcPr>
            <w:tcW w:w="1369" w:type="dxa"/>
            <w:shd w:val="clear" w:color="auto" w:fill="auto"/>
            <w:tcMar>
              <w:left w:w="51" w:type="dxa"/>
            </w:tcMar>
          </w:tcPr>
          <w:p w14:paraId="08D33CFC" w14:textId="77777777" w:rsidR="00B122DF" w:rsidRDefault="00B122DF"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0.953 (0.902-1.000)</w:t>
            </w:r>
          </w:p>
        </w:tc>
        <w:tc>
          <w:tcPr>
            <w:tcW w:w="1106" w:type="dxa"/>
            <w:shd w:val="clear" w:color="auto" w:fill="auto"/>
            <w:tcMar>
              <w:left w:w="51" w:type="dxa"/>
            </w:tcMar>
          </w:tcPr>
          <w:p w14:paraId="2AD75588" w14:textId="77777777" w:rsidR="00B122DF" w:rsidRDefault="00B122DF"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95</w:t>
            </w:r>
          </w:p>
        </w:tc>
        <w:tc>
          <w:tcPr>
            <w:tcW w:w="1103" w:type="dxa"/>
            <w:shd w:val="clear" w:color="auto" w:fill="auto"/>
            <w:tcMar>
              <w:left w:w="51" w:type="dxa"/>
            </w:tcMar>
          </w:tcPr>
          <w:p w14:paraId="21F90EE9" w14:textId="77777777" w:rsidR="00B122DF" w:rsidRDefault="00B122DF"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91</w:t>
            </w:r>
          </w:p>
        </w:tc>
        <w:tc>
          <w:tcPr>
            <w:tcW w:w="917" w:type="dxa"/>
            <w:shd w:val="clear" w:color="auto" w:fill="auto"/>
            <w:tcMar>
              <w:left w:w="51" w:type="dxa"/>
            </w:tcMar>
          </w:tcPr>
          <w:p w14:paraId="6ABDC594" w14:textId="77777777" w:rsidR="00B122DF" w:rsidRDefault="00B122DF" w:rsidP="00422EBA">
            <w:pPr>
              <w:pStyle w:val="Contenutotabella"/>
              <w:adjustRightInd w:val="0"/>
              <w:snapToGrid w:val="0"/>
              <w:spacing w:after="0" w:line="360" w:lineRule="auto"/>
              <w:jc w:val="both"/>
              <w:rPr>
                <w:rFonts w:ascii="Book Antiqua" w:hAnsi="Book Antiqua"/>
                <w:sz w:val="16"/>
                <w:szCs w:val="16"/>
                <w:lang w:val="en-GB"/>
              </w:rPr>
            </w:pPr>
          </w:p>
        </w:tc>
        <w:tc>
          <w:tcPr>
            <w:tcW w:w="890" w:type="dxa"/>
            <w:shd w:val="clear" w:color="auto" w:fill="auto"/>
            <w:tcMar>
              <w:left w:w="51" w:type="dxa"/>
            </w:tcMar>
          </w:tcPr>
          <w:p w14:paraId="0D519CCE" w14:textId="77777777" w:rsidR="00B122DF" w:rsidRDefault="00B122DF" w:rsidP="00422EBA">
            <w:pPr>
              <w:pStyle w:val="Contenutotabella"/>
              <w:adjustRightInd w:val="0"/>
              <w:snapToGrid w:val="0"/>
              <w:spacing w:after="0" w:line="360" w:lineRule="auto"/>
              <w:jc w:val="both"/>
              <w:rPr>
                <w:rFonts w:ascii="Book Antiqua" w:hAnsi="Book Antiqua"/>
                <w:sz w:val="16"/>
                <w:szCs w:val="16"/>
                <w:lang w:val="en-GB"/>
              </w:rPr>
            </w:pPr>
          </w:p>
        </w:tc>
      </w:tr>
      <w:tr w:rsidR="00F26BF6" w:rsidRPr="00943FB3" w14:paraId="103D4E33" w14:textId="77777777" w:rsidTr="001D36E2">
        <w:trPr>
          <w:trHeight w:val="327"/>
        </w:trPr>
        <w:tc>
          <w:tcPr>
            <w:tcW w:w="1589" w:type="dxa"/>
            <w:vMerge w:val="restart"/>
            <w:shd w:val="clear" w:color="auto" w:fill="auto"/>
            <w:tcMar>
              <w:left w:w="51" w:type="dxa"/>
            </w:tcMar>
            <w:vAlign w:val="center"/>
          </w:tcPr>
          <w:p w14:paraId="0A9BF774" w14:textId="77777777" w:rsidR="0012026F" w:rsidRDefault="0012026F"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CLIF-SOFA</w:t>
            </w:r>
          </w:p>
        </w:tc>
        <w:tc>
          <w:tcPr>
            <w:tcW w:w="1397" w:type="dxa"/>
            <w:vMerge w:val="restart"/>
            <w:shd w:val="clear" w:color="auto" w:fill="auto"/>
            <w:tcMar>
              <w:left w:w="51" w:type="dxa"/>
            </w:tcMar>
          </w:tcPr>
          <w:p w14:paraId="30675EE8" w14:textId="4C7CEC13" w:rsidR="0012026F" w:rsidRDefault="0012026F"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 xml:space="preserve">Pan </w:t>
            </w:r>
            <w:r w:rsidR="00E35182" w:rsidRPr="00E35182">
              <w:rPr>
                <w:rFonts w:ascii="Book Antiqua" w:hAnsi="Book Antiqua"/>
                <w:i/>
                <w:sz w:val="16"/>
                <w:szCs w:val="16"/>
                <w:lang w:val="en-GB"/>
              </w:rPr>
              <w:t>et al</w:t>
            </w:r>
            <w:r w:rsidR="007D7ACC">
              <w:rPr>
                <w:rFonts w:ascii="Book Antiqua" w:hAnsi="Book Antiqua"/>
                <w:sz w:val="16"/>
                <w:szCs w:val="16"/>
                <w:lang w:val="en-GB"/>
              </w:rPr>
              <w:fldChar w:fldCharType="begin" w:fldLock="1"/>
            </w:r>
            <w:r w:rsidR="00362C55">
              <w:rPr>
                <w:rFonts w:ascii="Book Antiqua" w:hAnsi="Book Antiqua"/>
                <w:sz w:val="16"/>
                <w:szCs w:val="16"/>
                <w:lang w:val="en-GB"/>
              </w:rPr>
              <w:instrText>ADDIN CSL_CITATION { "citationItems" : [ { "id" : "ITEM-1", "itemData" : { "DOI" : "10.1371/journal.pone.0107138", "abstract" : "Background: Liver transplantation can prolong survival in patients with end-stage liver disease. We have proposed that the Sequential Organ Failure Assessment (SOFA) score calculated on post-transplant day 7 has a great discriminative power for predicting 1-year mortality after liver transplantation. The Chronic Liver Failure -Sequential Organ Failure Assessment (CLIF-SOFA) score, a modified SOFA score, is a newly developed scoring system exclusively for patients with end-stage liver disease. This study was designed to compare the CLIF-SOFA score with other main scoring systems in outcome prediction for liver transplant patients. Methods: We retrospectively reviewed medical records of 323 patients who had received liver transplants in a tertiary care university hospital from October 2002 to December 2010. Demographic parameters and clinical characteristic variables were recorded on the first day of admission before transplantation and on post-transplantation days 1, 3, 7, and 14. Results: The overall 1-year survival rate was 78.3% (253/323). Liver diseases were mostly attributed to hepatitis B virus infection (34%). The CLIF-SOFA score had better discriminatory power than the Child-Pugh points, Model for End-Stage Liver Disease (MELD) score, RIFLE (risk of renal dysfunction, injury to the kidney, failure of the kidney, loss of kidney function, and end-stage kidney disease) criteria, and SOFA score. The AUROC curves were highest for CLIF-SOFA score on post-liver transplant day 7 for predicting 1-year mortality. The cumulative survival rates differed significantly for patients with a CLIF-SOFA score #8 and those with a CLIF-SOFA score .8 on post-liver transplant day 7. Conclusion: The CLIF-SOFA score can increase the prediction accuracy of prognosis after transplantation. Moreover, the CLIF-SOFA score on post-transplantation day 7 had the best discriminative power for predicting 1-year mortality after liver transplantation.", "author" : [ { "dropping-particle" : "", "family" : "Pan", "given" : "Heng-Chih", "non-dropping-particle" : "", "parse-names" : false, "suffix" : "" }, { "dropping-particle" : "", "family" : "Jenq", "given" : "Chang-Chyi", "non-dropping-particle" : "", "parse-names" : false, "suffix" : "" }, { "dropping-particle" : "", "family" : "Lee", "given" : "Wei-Chen", "non-dropping-particle" : "", "parse-names" : false, "suffix" : "" }, { "dropping-particle" : "", "family" : "Tsai", "given" : "Ming-Hung", "non-dropping-particle" : "", "parse-names" : false, "suffix" : "" }, { "dropping-particle" : "", "family" : "Fan", "given" : "Pei-Chun", "non-dropping-particle" : "", "parse-names" : false, "suffix" : "" }, { "dropping-particle" : "", "family" : "Chang", "given" : "Chih-Hsiang", "non-dropping-particle" : "", "parse-names" : false, "suffix" : "" }, { "dropping-particle" : "", "family" : "Chang", "given" : "Ming-Yang", "non-dropping-particle" : "", "parse-names" : false, "suffix" : "" }, { "dropping-particle" : "", "family" : "Tian", "given" : "Ya-Chung", "non-dropping-particle" : "", "parse-names" : false, "suffix" : "" }, { "dropping-particle" : "", "family" : "Hung", "given" : "Cheng-Chieh", "non-dropping-particle" : "", "parse-names" : false, "suffix" : "" }, { "dropping-particle" : "", "family" : "Fang", "given" : "Ji-Tseng", "non-dropping-particle" : "", "parse-names" : false, "suffix" : "" }, { "dropping-particle" : "", "family" : "Yang", "given" : "Chih-Wei", "non-dropping-particle" : "", "parse-names" : false, "suffix" : "" }, { "dropping-particle" : "", "family" : "Chen", "given" : "Yung-Chang", "non-dropping-particle" : "", "parse-names" : false, "suffix" : "" } ], "container-title" : "PLoS ONE", "id" : "ITEM-1", "issue" : "9", "issued" : { "date-parts" : [ [ "2014" ] ] }, "title" : "Scoring Systems for Predicting Mortality after Liver Transplantation", "type" : "article-journal", "volume" : "9" }, "uris" : [ "http://www.mendeley.com/documents/?uuid=324453f8-a0a4-3a09-b554-665510dbfed4" ] } ], "mendeley" : { "formattedCitation" : "&lt;sup&gt;[104]&lt;/sup&gt;", "plainTextFormattedCitation" : "[104]", "previouslyFormattedCitation" : "&lt;sup&gt;[104]&lt;/sup&gt;" }, "properties" : { "noteIndex" : 0 }, "schema" : "https://github.com/citation-style-language/schema/raw/master/csl-citation.json" }</w:instrText>
            </w:r>
            <w:r w:rsidR="007D7ACC">
              <w:rPr>
                <w:rFonts w:ascii="Book Antiqua" w:hAnsi="Book Antiqua"/>
                <w:sz w:val="16"/>
                <w:szCs w:val="16"/>
                <w:lang w:val="en-GB"/>
              </w:rPr>
              <w:fldChar w:fldCharType="separate"/>
            </w:r>
            <w:r w:rsidRPr="00CD2CDC">
              <w:rPr>
                <w:rFonts w:ascii="Book Antiqua" w:hAnsi="Book Antiqua"/>
                <w:noProof/>
                <w:sz w:val="16"/>
                <w:szCs w:val="16"/>
                <w:vertAlign w:val="superscript"/>
                <w:lang w:val="en-GB"/>
              </w:rPr>
              <w:t>[104]</w:t>
            </w:r>
            <w:r w:rsidR="007D7ACC">
              <w:rPr>
                <w:rFonts w:ascii="Book Antiqua" w:hAnsi="Book Antiqua"/>
                <w:sz w:val="16"/>
                <w:szCs w:val="16"/>
                <w:lang w:val="en-GB"/>
              </w:rPr>
              <w:fldChar w:fldCharType="end"/>
            </w:r>
          </w:p>
        </w:tc>
        <w:tc>
          <w:tcPr>
            <w:tcW w:w="518" w:type="dxa"/>
            <w:vMerge w:val="restart"/>
            <w:shd w:val="clear" w:color="auto" w:fill="auto"/>
            <w:tcMar>
              <w:left w:w="51" w:type="dxa"/>
            </w:tcMar>
          </w:tcPr>
          <w:p w14:paraId="08B0B344" w14:textId="77777777" w:rsidR="0012026F" w:rsidRDefault="0012026F"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R</w:t>
            </w:r>
          </w:p>
        </w:tc>
        <w:tc>
          <w:tcPr>
            <w:tcW w:w="1827" w:type="dxa"/>
            <w:vMerge w:val="restart"/>
            <w:shd w:val="clear" w:color="auto" w:fill="auto"/>
            <w:tcMar>
              <w:left w:w="51" w:type="dxa"/>
            </w:tcMar>
          </w:tcPr>
          <w:p w14:paraId="7DD9E807" w14:textId="6996D509" w:rsidR="0012026F" w:rsidRDefault="00D5047F"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1-y</w:t>
            </w:r>
            <w:r w:rsidR="0012026F">
              <w:rPr>
                <w:rFonts w:ascii="Book Antiqua" w:hAnsi="Book Antiqua"/>
                <w:sz w:val="16"/>
                <w:szCs w:val="16"/>
                <w:lang w:val="en-GB"/>
              </w:rPr>
              <w:t>r mortality</w:t>
            </w:r>
          </w:p>
        </w:tc>
        <w:tc>
          <w:tcPr>
            <w:tcW w:w="1195" w:type="dxa"/>
            <w:vMerge w:val="restart"/>
            <w:shd w:val="clear" w:color="auto" w:fill="auto"/>
            <w:tcMar>
              <w:left w:w="51" w:type="dxa"/>
            </w:tcMar>
          </w:tcPr>
          <w:p w14:paraId="4E53CA95" w14:textId="7157E218" w:rsidR="0012026F" w:rsidRDefault="0012026F"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323 LT:</w:t>
            </w:r>
            <w:r w:rsidR="00403E8B">
              <w:rPr>
                <w:rFonts w:ascii="Book Antiqua" w:hAnsi="Book Antiqua"/>
                <w:sz w:val="16"/>
                <w:szCs w:val="16"/>
                <w:lang w:val="en-GB"/>
              </w:rPr>
              <w:t xml:space="preserve"> </w:t>
            </w:r>
            <w:r>
              <w:rPr>
                <w:rFonts w:ascii="Book Antiqua" w:hAnsi="Book Antiqua"/>
                <w:sz w:val="16"/>
                <w:szCs w:val="16"/>
                <w:lang w:val="en-GB"/>
              </w:rPr>
              <w:t>62% HBV, 27% hepatoma, 26% HCV</w:t>
            </w:r>
          </w:p>
        </w:tc>
        <w:tc>
          <w:tcPr>
            <w:tcW w:w="888" w:type="dxa"/>
            <w:vMerge w:val="restart"/>
            <w:shd w:val="clear" w:color="auto" w:fill="auto"/>
            <w:tcMar>
              <w:left w:w="51" w:type="dxa"/>
            </w:tcMar>
          </w:tcPr>
          <w:p w14:paraId="7F8F9AFB" w14:textId="77777777" w:rsidR="0012026F" w:rsidRDefault="0012026F"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3</w:t>
            </w:r>
          </w:p>
          <w:p w14:paraId="43397BC1" w14:textId="77777777" w:rsidR="0012026F" w:rsidRDefault="0012026F"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7</w:t>
            </w:r>
          </w:p>
        </w:tc>
        <w:tc>
          <w:tcPr>
            <w:tcW w:w="1654" w:type="dxa"/>
            <w:vMerge w:val="restart"/>
            <w:shd w:val="clear" w:color="auto" w:fill="auto"/>
            <w:tcMar>
              <w:left w:w="51" w:type="dxa"/>
            </w:tcMar>
          </w:tcPr>
          <w:p w14:paraId="0F4D7C99" w14:textId="3D9EBA0B" w:rsidR="0012026F" w:rsidRDefault="0012026F" w:rsidP="00422EBA">
            <w:pPr>
              <w:pStyle w:val="Contenutotabella"/>
              <w:adjustRightInd w:val="0"/>
              <w:snapToGrid w:val="0"/>
              <w:spacing w:after="0" w:line="360" w:lineRule="auto"/>
              <w:jc w:val="both"/>
              <w:rPr>
                <w:rFonts w:ascii="Book Antiqua" w:eastAsia="Book Antiqua" w:hAnsi="Book Antiqua" w:cs="Book Antiqua"/>
                <w:sz w:val="16"/>
                <w:szCs w:val="16"/>
                <w:lang w:val="en-GB"/>
              </w:rPr>
            </w:pPr>
            <w:r>
              <w:rPr>
                <w:rFonts w:ascii="Book Antiqua" w:eastAsia="Book Antiqua" w:hAnsi="Book Antiqua" w:cs="Book Antiqua"/>
                <w:sz w:val="16"/>
                <w:szCs w:val="16"/>
                <w:lang w:val="en-GB"/>
              </w:rPr>
              <w:t>&gt;</w:t>
            </w:r>
            <w:r w:rsidR="00D5047F">
              <w:rPr>
                <w:rFonts w:ascii="Book Antiqua" w:eastAsiaTheme="minorEastAsia" w:hAnsi="Book Antiqua" w:cs="Book Antiqua" w:hint="eastAsia"/>
                <w:sz w:val="16"/>
                <w:szCs w:val="16"/>
                <w:lang w:val="en-GB" w:eastAsia="zh-CN"/>
              </w:rPr>
              <w:t xml:space="preserve"> </w:t>
            </w:r>
            <w:r>
              <w:rPr>
                <w:rFonts w:ascii="Book Antiqua" w:eastAsia="Book Antiqua" w:hAnsi="Book Antiqua" w:cs="Book Antiqua"/>
                <w:sz w:val="16"/>
                <w:szCs w:val="16"/>
                <w:lang w:val="en-GB"/>
              </w:rPr>
              <w:t>8</w:t>
            </w:r>
          </w:p>
        </w:tc>
        <w:tc>
          <w:tcPr>
            <w:tcW w:w="1369" w:type="dxa"/>
            <w:shd w:val="clear" w:color="auto" w:fill="auto"/>
            <w:tcMar>
              <w:left w:w="51" w:type="dxa"/>
            </w:tcMar>
          </w:tcPr>
          <w:p w14:paraId="7F17B54C" w14:textId="623D94F3" w:rsidR="0012026F" w:rsidRDefault="0012026F"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0.808 (0.729-0.888)</w:t>
            </w:r>
          </w:p>
        </w:tc>
        <w:tc>
          <w:tcPr>
            <w:tcW w:w="1106" w:type="dxa"/>
            <w:shd w:val="clear" w:color="auto" w:fill="auto"/>
            <w:tcMar>
              <w:left w:w="51" w:type="dxa"/>
            </w:tcMar>
          </w:tcPr>
          <w:p w14:paraId="6534C5B0" w14:textId="55AB5F05" w:rsidR="0012026F" w:rsidRDefault="0012026F"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67</w:t>
            </w:r>
          </w:p>
        </w:tc>
        <w:tc>
          <w:tcPr>
            <w:tcW w:w="1103" w:type="dxa"/>
            <w:shd w:val="clear" w:color="auto" w:fill="auto"/>
            <w:tcMar>
              <w:left w:w="51" w:type="dxa"/>
            </w:tcMar>
          </w:tcPr>
          <w:p w14:paraId="32FF179C" w14:textId="1E911E4A" w:rsidR="0012026F" w:rsidRDefault="0012026F"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87</w:t>
            </w:r>
          </w:p>
        </w:tc>
        <w:tc>
          <w:tcPr>
            <w:tcW w:w="917" w:type="dxa"/>
            <w:vMerge w:val="restart"/>
            <w:shd w:val="clear" w:color="auto" w:fill="auto"/>
            <w:tcMar>
              <w:left w:w="51" w:type="dxa"/>
            </w:tcMar>
          </w:tcPr>
          <w:p w14:paraId="7F3997FB" w14:textId="77777777" w:rsidR="0012026F" w:rsidRDefault="0012026F" w:rsidP="00422EBA">
            <w:pPr>
              <w:pStyle w:val="Contenutotabella"/>
              <w:adjustRightInd w:val="0"/>
              <w:snapToGrid w:val="0"/>
              <w:spacing w:after="0" w:line="360" w:lineRule="auto"/>
              <w:jc w:val="both"/>
              <w:rPr>
                <w:rFonts w:ascii="Book Antiqua" w:hAnsi="Book Antiqua"/>
                <w:sz w:val="16"/>
                <w:szCs w:val="16"/>
                <w:lang w:val="en-GB"/>
              </w:rPr>
            </w:pPr>
          </w:p>
        </w:tc>
        <w:tc>
          <w:tcPr>
            <w:tcW w:w="890" w:type="dxa"/>
            <w:vMerge w:val="restart"/>
            <w:shd w:val="clear" w:color="auto" w:fill="auto"/>
            <w:tcMar>
              <w:left w:w="51" w:type="dxa"/>
            </w:tcMar>
          </w:tcPr>
          <w:p w14:paraId="5F886FFE" w14:textId="77777777" w:rsidR="0012026F" w:rsidRDefault="0012026F" w:rsidP="00422EBA">
            <w:pPr>
              <w:pStyle w:val="Contenutotabella"/>
              <w:adjustRightInd w:val="0"/>
              <w:snapToGrid w:val="0"/>
              <w:spacing w:after="0" w:line="360" w:lineRule="auto"/>
              <w:jc w:val="both"/>
              <w:rPr>
                <w:rFonts w:ascii="Book Antiqua" w:hAnsi="Book Antiqua"/>
                <w:sz w:val="16"/>
                <w:szCs w:val="16"/>
                <w:lang w:val="en-GB"/>
              </w:rPr>
            </w:pPr>
          </w:p>
        </w:tc>
      </w:tr>
      <w:tr w:rsidR="00F26BF6" w:rsidRPr="00943FB3" w14:paraId="2E93A93B" w14:textId="77777777" w:rsidTr="001D36E2">
        <w:trPr>
          <w:trHeight w:val="216"/>
        </w:trPr>
        <w:tc>
          <w:tcPr>
            <w:tcW w:w="1589" w:type="dxa"/>
            <w:vMerge/>
            <w:shd w:val="clear" w:color="auto" w:fill="auto"/>
            <w:tcMar>
              <w:left w:w="51" w:type="dxa"/>
            </w:tcMar>
            <w:vAlign w:val="center"/>
          </w:tcPr>
          <w:p w14:paraId="1AEDB5B9" w14:textId="77777777" w:rsidR="0012026F" w:rsidRDefault="0012026F" w:rsidP="00422EBA">
            <w:pPr>
              <w:pStyle w:val="Contenutotabella"/>
              <w:adjustRightInd w:val="0"/>
              <w:snapToGrid w:val="0"/>
              <w:spacing w:after="0" w:line="360" w:lineRule="auto"/>
              <w:jc w:val="both"/>
              <w:rPr>
                <w:rFonts w:ascii="Book Antiqua" w:hAnsi="Book Antiqua"/>
                <w:sz w:val="16"/>
                <w:szCs w:val="16"/>
                <w:lang w:val="en-GB"/>
              </w:rPr>
            </w:pPr>
          </w:p>
        </w:tc>
        <w:tc>
          <w:tcPr>
            <w:tcW w:w="1397" w:type="dxa"/>
            <w:vMerge/>
            <w:shd w:val="clear" w:color="auto" w:fill="auto"/>
            <w:tcMar>
              <w:left w:w="51" w:type="dxa"/>
            </w:tcMar>
          </w:tcPr>
          <w:p w14:paraId="2C6140B7" w14:textId="77777777" w:rsidR="0012026F" w:rsidRDefault="0012026F" w:rsidP="00422EBA">
            <w:pPr>
              <w:pStyle w:val="Contenutotabella"/>
              <w:adjustRightInd w:val="0"/>
              <w:snapToGrid w:val="0"/>
              <w:spacing w:after="0" w:line="360" w:lineRule="auto"/>
              <w:jc w:val="both"/>
              <w:rPr>
                <w:rFonts w:ascii="Book Antiqua" w:hAnsi="Book Antiqua"/>
                <w:sz w:val="16"/>
                <w:szCs w:val="16"/>
                <w:lang w:val="en-GB"/>
              </w:rPr>
            </w:pPr>
          </w:p>
        </w:tc>
        <w:tc>
          <w:tcPr>
            <w:tcW w:w="518" w:type="dxa"/>
            <w:vMerge/>
            <w:shd w:val="clear" w:color="auto" w:fill="auto"/>
            <w:tcMar>
              <w:left w:w="51" w:type="dxa"/>
            </w:tcMar>
          </w:tcPr>
          <w:p w14:paraId="29FC8366" w14:textId="77777777" w:rsidR="0012026F" w:rsidRDefault="0012026F" w:rsidP="00422EBA">
            <w:pPr>
              <w:pStyle w:val="Contenutotabella"/>
              <w:adjustRightInd w:val="0"/>
              <w:snapToGrid w:val="0"/>
              <w:spacing w:after="0" w:line="360" w:lineRule="auto"/>
              <w:jc w:val="both"/>
              <w:rPr>
                <w:rFonts w:ascii="Book Antiqua" w:hAnsi="Book Antiqua"/>
                <w:sz w:val="16"/>
                <w:szCs w:val="16"/>
                <w:lang w:val="en-GB"/>
              </w:rPr>
            </w:pPr>
          </w:p>
        </w:tc>
        <w:tc>
          <w:tcPr>
            <w:tcW w:w="1827" w:type="dxa"/>
            <w:vMerge/>
            <w:shd w:val="clear" w:color="auto" w:fill="auto"/>
            <w:tcMar>
              <w:left w:w="51" w:type="dxa"/>
            </w:tcMar>
          </w:tcPr>
          <w:p w14:paraId="5749AE81" w14:textId="77777777" w:rsidR="0012026F" w:rsidRDefault="0012026F" w:rsidP="00422EBA">
            <w:pPr>
              <w:pStyle w:val="Contenutotabella"/>
              <w:adjustRightInd w:val="0"/>
              <w:snapToGrid w:val="0"/>
              <w:spacing w:after="0" w:line="360" w:lineRule="auto"/>
              <w:jc w:val="both"/>
              <w:rPr>
                <w:rFonts w:ascii="Book Antiqua" w:hAnsi="Book Antiqua"/>
                <w:sz w:val="16"/>
                <w:szCs w:val="16"/>
                <w:lang w:val="en-GB"/>
              </w:rPr>
            </w:pPr>
          </w:p>
        </w:tc>
        <w:tc>
          <w:tcPr>
            <w:tcW w:w="1195" w:type="dxa"/>
            <w:vMerge/>
            <w:shd w:val="clear" w:color="auto" w:fill="auto"/>
            <w:tcMar>
              <w:left w:w="51" w:type="dxa"/>
            </w:tcMar>
          </w:tcPr>
          <w:p w14:paraId="40B86B85" w14:textId="77777777" w:rsidR="0012026F" w:rsidRDefault="0012026F" w:rsidP="00422EBA">
            <w:pPr>
              <w:pStyle w:val="Contenutotabella"/>
              <w:adjustRightInd w:val="0"/>
              <w:snapToGrid w:val="0"/>
              <w:spacing w:after="0" w:line="360" w:lineRule="auto"/>
              <w:jc w:val="both"/>
              <w:rPr>
                <w:rFonts w:ascii="Book Antiqua" w:hAnsi="Book Antiqua"/>
                <w:sz w:val="16"/>
                <w:szCs w:val="16"/>
                <w:lang w:val="en-GB"/>
              </w:rPr>
            </w:pPr>
          </w:p>
        </w:tc>
        <w:tc>
          <w:tcPr>
            <w:tcW w:w="888" w:type="dxa"/>
            <w:vMerge/>
            <w:shd w:val="clear" w:color="auto" w:fill="auto"/>
            <w:tcMar>
              <w:left w:w="51" w:type="dxa"/>
            </w:tcMar>
          </w:tcPr>
          <w:p w14:paraId="7E01B34A" w14:textId="77777777" w:rsidR="0012026F" w:rsidRDefault="0012026F" w:rsidP="00422EBA">
            <w:pPr>
              <w:pStyle w:val="Contenutotabella"/>
              <w:adjustRightInd w:val="0"/>
              <w:snapToGrid w:val="0"/>
              <w:spacing w:after="0" w:line="360" w:lineRule="auto"/>
              <w:jc w:val="both"/>
              <w:rPr>
                <w:rFonts w:ascii="Book Antiqua" w:hAnsi="Book Antiqua"/>
                <w:sz w:val="16"/>
                <w:szCs w:val="16"/>
                <w:lang w:val="en-GB"/>
              </w:rPr>
            </w:pPr>
          </w:p>
        </w:tc>
        <w:tc>
          <w:tcPr>
            <w:tcW w:w="1654" w:type="dxa"/>
            <w:vMerge/>
            <w:shd w:val="clear" w:color="auto" w:fill="auto"/>
            <w:tcMar>
              <w:left w:w="51" w:type="dxa"/>
            </w:tcMar>
          </w:tcPr>
          <w:p w14:paraId="22482641" w14:textId="77777777" w:rsidR="0012026F" w:rsidRDefault="0012026F" w:rsidP="00422EBA">
            <w:pPr>
              <w:pStyle w:val="Contenutotabella"/>
              <w:adjustRightInd w:val="0"/>
              <w:snapToGrid w:val="0"/>
              <w:spacing w:after="0" w:line="360" w:lineRule="auto"/>
              <w:jc w:val="both"/>
              <w:rPr>
                <w:rFonts w:ascii="Book Antiqua" w:eastAsia="Book Antiqua" w:hAnsi="Book Antiqua" w:cs="Book Antiqua"/>
                <w:sz w:val="16"/>
                <w:szCs w:val="16"/>
                <w:lang w:val="en-GB"/>
              </w:rPr>
            </w:pPr>
          </w:p>
        </w:tc>
        <w:tc>
          <w:tcPr>
            <w:tcW w:w="1369" w:type="dxa"/>
            <w:shd w:val="clear" w:color="auto" w:fill="auto"/>
            <w:tcMar>
              <w:left w:w="51" w:type="dxa"/>
            </w:tcMar>
          </w:tcPr>
          <w:p w14:paraId="44F05591" w14:textId="77777777" w:rsidR="0012026F" w:rsidRDefault="0012026F"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0.877 (0.813-0.941)</w:t>
            </w:r>
          </w:p>
        </w:tc>
        <w:tc>
          <w:tcPr>
            <w:tcW w:w="1106" w:type="dxa"/>
            <w:shd w:val="clear" w:color="auto" w:fill="auto"/>
            <w:tcMar>
              <w:left w:w="51" w:type="dxa"/>
            </w:tcMar>
          </w:tcPr>
          <w:p w14:paraId="530F803B" w14:textId="77777777" w:rsidR="0012026F" w:rsidRDefault="0012026F"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64</w:t>
            </w:r>
          </w:p>
        </w:tc>
        <w:tc>
          <w:tcPr>
            <w:tcW w:w="1103" w:type="dxa"/>
            <w:shd w:val="clear" w:color="auto" w:fill="auto"/>
            <w:tcMar>
              <w:left w:w="51" w:type="dxa"/>
            </w:tcMar>
          </w:tcPr>
          <w:p w14:paraId="14B72822" w14:textId="77777777" w:rsidR="0012026F" w:rsidRDefault="0012026F"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95</w:t>
            </w:r>
          </w:p>
        </w:tc>
        <w:tc>
          <w:tcPr>
            <w:tcW w:w="917" w:type="dxa"/>
            <w:vMerge/>
            <w:shd w:val="clear" w:color="auto" w:fill="auto"/>
            <w:tcMar>
              <w:left w:w="51" w:type="dxa"/>
            </w:tcMar>
          </w:tcPr>
          <w:p w14:paraId="518B6BE1" w14:textId="77777777" w:rsidR="0012026F" w:rsidRDefault="0012026F" w:rsidP="00422EBA">
            <w:pPr>
              <w:pStyle w:val="Contenutotabella"/>
              <w:adjustRightInd w:val="0"/>
              <w:snapToGrid w:val="0"/>
              <w:spacing w:after="0" w:line="360" w:lineRule="auto"/>
              <w:jc w:val="both"/>
              <w:rPr>
                <w:rFonts w:ascii="Book Antiqua" w:hAnsi="Book Antiqua"/>
                <w:sz w:val="16"/>
                <w:szCs w:val="16"/>
                <w:lang w:val="en-GB"/>
              </w:rPr>
            </w:pPr>
          </w:p>
        </w:tc>
        <w:tc>
          <w:tcPr>
            <w:tcW w:w="890" w:type="dxa"/>
            <w:vMerge/>
            <w:shd w:val="clear" w:color="auto" w:fill="auto"/>
            <w:tcMar>
              <w:left w:w="51" w:type="dxa"/>
            </w:tcMar>
          </w:tcPr>
          <w:p w14:paraId="6CB6742C" w14:textId="77777777" w:rsidR="0012026F" w:rsidRDefault="0012026F" w:rsidP="00422EBA">
            <w:pPr>
              <w:pStyle w:val="Contenutotabella"/>
              <w:adjustRightInd w:val="0"/>
              <w:snapToGrid w:val="0"/>
              <w:spacing w:after="0" w:line="360" w:lineRule="auto"/>
              <w:jc w:val="both"/>
              <w:rPr>
                <w:rFonts w:ascii="Book Antiqua" w:hAnsi="Book Antiqua"/>
                <w:sz w:val="16"/>
                <w:szCs w:val="16"/>
                <w:lang w:val="en-GB"/>
              </w:rPr>
            </w:pPr>
          </w:p>
        </w:tc>
      </w:tr>
      <w:tr w:rsidR="00F26BF6" w:rsidRPr="00943FB3" w14:paraId="549700FD" w14:textId="77777777" w:rsidTr="001D36E2">
        <w:trPr>
          <w:trHeight w:val="505"/>
        </w:trPr>
        <w:tc>
          <w:tcPr>
            <w:tcW w:w="1589" w:type="dxa"/>
            <w:shd w:val="clear" w:color="auto" w:fill="auto"/>
            <w:tcMar>
              <w:left w:w="51" w:type="dxa"/>
            </w:tcMar>
            <w:vAlign w:val="center"/>
          </w:tcPr>
          <w:p w14:paraId="71D00FFA" w14:textId="77777777" w:rsidR="00B122DF" w:rsidRDefault="00B122DF"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MEAF</w:t>
            </w:r>
          </w:p>
        </w:tc>
        <w:tc>
          <w:tcPr>
            <w:tcW w:w="1397" w:type="dxa"/>
            <w:shd w:val="clear" w:color="auto" w:fill="auto"/>
            <w:tcMar>
              <w:left w:w="51" w:type="dxa"/>
            </w:tcMar>
          </w:tcPr>
          <w:p w14:paraId="1FC6F92C" w14:textId="20440494" w:rsidR="00B122DF" w:rsidRDefault="00B122DF"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 xml:space="preserve">Pareja </w:t>
            </w:r>
            <w:r w:rsidR="00E35182" w:rsidRPr="00E35182">
              <w:rPr>
                <w:rFonts w:ascii="Book Antiqua" w:hAnsi="Book Antiqua"/>
                <w:i/>
                <w:sz w:val="16"/>
                <w:szCs w:val="16"/>
                <w:lang w:val="en-GB"/>
              </w:rPr>
              <w:t>et al</w:t>
            </w:r>
            <w:r w:rsidR="007D7ACC">
              <w:rPr>
                <w:rFonts w:ascii="Book Antiqua" w:hAnsi="Book Antiqua"/>
                <w:sz w:val="16"/>
                <w:szCs w:val="16"/>
                <w:lang w:val="en-GB"/>
              </w:rPr>
              <w:fldChar w:fldCharType="begin" w:fldLock="1"/>
            </w:r>
            <w:r w:rsidR="00362C55">
              <w:rPr>
                <w:rFonts w:ascii="Book Antiqua" w:hAnsi="Book Antiqua"/>
                <w:sz w:val="16"/>
                <w:szCs w:val="16"/>
                <w:lang w:val="en-GB"/>
              </w:rPr>
              <w:instrText>ADDIN CSL_CITATION { "citationItems" : [ { "id" : "ITEM-1", "itemData" : { "DOI" : "10.1002/lt.23990", "ISSN" : "1527-6473", "PMID" : "25204890", "abstract" : "Early allograft dysfunction (EAD) dramatically influences graft and patient outcomes. A lack of consensus on an EAD definition hinders comparisons of liver transplant outcomes and management of recipients among and within centers. We sought to develop a model for the quantitative assessment of early allograft function [Model for Early Allograft Function Scoring (MEAF)] after transplantation. A retrospective study including 1026 consecutive liver transplants was performed for MEAF score development. Multivariate data analysis was used to select a small number of postoperative variables that adequately describe EAD. Then, the distribution of these variables was mathematically modeled to assign a score for each actual variable value. A model, based on easily obtainable clinical parameters (ie, alanine aminotransferase, international normalized ratio, and bilirubin) and scoring liver function from 0 to 10, was built. The MEAF score showed a significant association with patient and graft survival at 3-, 6- and 12-month follow-ups. Hepatic steatosis and age for donors; cold/warm ischemia times and postreperfusion syndrome for surgery; and intensive care unit and hospital stays, Model for End-Stage Liver Disease and Child-Pugh scores, body mass index, and fresh frozen plasma transfusions for recipients were factors associated significantly with EAD. The model was satisfactorily validated by its application to an independent set of 200 patients who underwent liver transplantation at a different center. In conclusion, a model for the quantitative assessment of EAD severity has been developed and validated for the first time. The MEAF provides a more accurate graft function assessment than current categorical classifications and may help clinicians to make early enough decisions on retransplantation benefits. Furthermore, the MEAF score is a predictor of recipient and graft survival. The standardization of the criteria used to define EAD may allow reliable comparisons of recipients' treatments and transplant outcomes among and within centers.", "author" : [ { "dropping-particle" : "", "family" : "Pareja", "given" : "Eugenia", "non-dropping-particle" : "", "parse-names" : false, "suffix" : "" }, { "dropping-particle" : "", "family" : "Cortes", "given" : "Miriam", "non-dropping-particle" : "", "parse-names" : false, "suffix" : "" }, { "dropping-particle" : "", "family" : "Herv\u00e1s", "given" : "David", "non-dropping-particle" : "", "parse-names" : false, "suffix" : "" }, { "dropping-particle" : "", "family" : "Mir", "given" : "Jos\u00e9", "non-dropping-particle" : "", "parse-names" : false, "suffix" : "" }, { "dropping-particle" : "", "family" : "Valdivieso", "given" : "Andr\u00e9s", "non-dropping-particle" : "", "parse-names" : false, "suffix" : "" }, { "dropping-particle" : "V", "family" : "Castell", "given" : "Jos\u00e9", "non-dropping-particle" : "", "parse-names" : false, "suffix" : "" }, { "dropping-particle" : "", "family" : "Lahoz", "given" : "Agust\u00edn", "non-dropping-particle" : "", "parse-names" : false, "suffix" : "" } ], "container-title" : "Liver transplantation : official publication of the American Association for the Study of Liver Diseases and the International Liver Transplantation Society", "id" : "ITEM-1", "issue" : "1", "issued" : { "date-parts" : [ [ "2015", "1" ] ] }, "page" : "38-46", "title" : "A score model for the continuous grading of early allograft dysfunction severity.", "type" : "article-journal", "volume" : "21" }, "uris" : [ "http://www.mendeley.com/documents/?uuid=c9faba98-7de5-4e2a-b7ba-ab4eb917c6af" ] } ], "mendeley" : { "formattedCitation" : "&lt;sup&gt;[106]&lt;/sup&gt;", "plainTextFormattedCitation" : "[106]", "previouslyFormattedCitation" : "&lt;sup&gt;[106]&lt;/sup&gt;" }, "properties" : { "noteIndex" : 0 }, "schema" : "https://github.com/citation-style-language/schema/raw/master/csl-citation.json" }</w:instrText>
            </w:r>
            <w:r w:rsidR="007D7ACC">
              <w:rPr>
                <w:rFonts w:ascii="Book Antiqua" w:hAnsi="Book Antiqua"/>
                <w:sz w:val="16"/>
                <w:szCs w:val="16"/>
                <w:lang w:val="en-GB"/>
              </w:rPr>
              <w:fldChar w:fldCharType="separate"/>
            </w:r>
            <w:r w:rsidR="00CD2CDC" w:rsidRPr="00CD2CDC">
              <w:rPr>
                <w:rFonts w:ascii="Book Antiqua" w:hAnsi="Book Antiqua"/>
                <w:noProof/>
                <w:sz w:val="16"/>
                <w:szCs w:val="16"/>
                <w:vertAlign w:val="superscript"/>
                <w:lang w:val="en-GB"/>
              </w:rPr>
              <w:t>[106]</w:t>
            </w:r>
            <w:r w:rsidR="007D7ACC">
              <w:rPr>
                <w:rFonts w:ascii="Book Antiqua" w:hAnsi="Book Antiqua"/>
                <w:sz w:val="16"/>
                <w:szCs w:val="16"/>
                <w:lang w:val="en-GB"/>
              </w:rPr>
              <w:fldChar w:fldCharType="end"/>
            </w:r>
          </w:p>
        </w:tc>
        <w:tc>
          <w:tcPr>
            <w:tcW w:w="518" w:type="dxa"/>
            <w:shd w:val="clear" w:color="auto" w:fill="auto"/>
            <w:tcMar>
              <w:left w:w="51" w:type="dxa"/>
            </w:tcMar>
          </w:tcPr>
          <w:p w14:paraId="2F51C9AD" w14:textId="77777777" w:rsidR="00B122DF" w:rsidRDefault="00B122DF"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R</w:t>
            </w:r>
          </w:p>
        </w:tc>
        <w:tc>
          <w:tcPr>
            <w:tcW w:w="1827" w:type="dxa"/>
            <w:shd w:val="clear" w:color="auto" w:fill="auto"/>
            <w:tcMar>
              <w:left w:w="51" w:type="dxa"/>
            </w:tcMar>
          </w:tcPr>
          <w:p w14:paraId="6FB2D0A1" w14:textId="2C9BF8E1" w:rsidR="00B122DF" w:rsidRDefault="00B122DF"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EAD definition ti predict 3-mo</w:t>
            </w:r>
            <w:r w:rsidR="00D5047F">
              <w:rPr>
                <w:rFonts w:ascii="Book Antiqua" w:eastAsiaTheme="minorEastAsia" w:hAnsi="Book Antiqua" w:hint="eastAsia"/>
                <w:sz w:val="16"/>
                <w:szCs w:val="16"/>
                <w:lang w:val="en-GB" w:eastAsia="zh-CN"/>
              </w:rPr>
              <w:t xml:space="preserve"> </w:t>
            </w:r>
            <w:r>
              <w:rPr>
                <w:rFonts w:ascii="Book Antiqua" w:hAnsi="Book Antiqua"/>
                <w:sz w:val="16"/>
                <w:szCs w:val="16"/>
                <w:lang w:val="en-GB"/>
              </w:rPr>
              <w:t>mortality</w:t>
            </w:r>
          </w:p>
        </w:tc>
        <w:tc>
          <w:tcPr>
            <w:tcW w:w="1195" w:type="dxa"/>
            <w:shd w:val="clear" w:color="auto" w:fill="auto"/>
            <w:tcMar>
              <w:left w:w="51" w:type="dxa"/>
            </w:tcMar>
          </w:tcPr>
          <w:p w14:paraId="39FAA813" w14:textId="77777777" w:rsidR="00B122DF" w:rsidRDefault="00B122DF"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874 LT (+200 validation)</w:t>
            </w:r>
          </w:p>
        </w:tc>
        <w:tc>
          <w:tcPr>
            <w:tcW w:w="888" w:type="dxa"/>
            <w:shd w:val="clear" w:color="auto" w:fill="auto"/>
            <w:tcMar>
              <w:left w:w="51" w:type="dxa"/>
            </w:tcMar>
          </w:tcPr>
          <w:p w14:paraId="600EB6D8" w14:textId="77777777" w:rsidR="00B122DF" w:rsidRDefault="00B122DF" w:rsidP="00422EBA">
            <w:pPr>
              <w:pStyle w:val="Contenutotabella"/>
              <w:adjustRightInd w:val="0"/>
              <w:snapToGrid w:val="0"/>
              <w:spacing w:after="0" w:line="360" w:lineRule="auto"/>
              <w:jc w:val="both"/>
              <w:rPr>
                <w:rFonts w:ascii="Book Antiqua" w:hAnsi="Book Antiqua"/>
                <w:sz w:val="16"/>
                <w:szCs w:val="16"/>
                <w:lang w:val="en-GB"/>
              </w:rPr>
            </w:pPr>
            <w:r>
              <w:rPr>
                <w:rFonts w:ascii="Book Antiqua" w:hAnsi="Book Antiqua"/>
                <w:sz w:val="16"/>
                <w:szCs w:val="16"/>
                <w:lang w:val="en-GB"/>
              </w:rPr>
              <w:t>3</w:t>
            </w:r>
          </w:p>
        </w:tc>
        <w:tc>
          <w:tcPr>
            <w:tcW w:w="1654" w:type="dxa"/>
            <w:shd w:val="clear" w:color="auto" w:fill="auto"/>
            <w:tcMar>
              <w:left w:w="51" w:type="dxa"/>
            </w:tcMar>
          </w:tcPr>
          <w:p w14:paraId="2F89636C" w14:textId="0D541CEE" w:rsidR="00B122DF" w:rsidRDefault="00B122DF" w:rsidP="00422EBA">
            <w:pPr>
              <w:pStyle w:val="Contenutotabella"/>
              <w:adjustRightInd w:val="0"/>
              <w:snapToGrid w:val="0"/>
              <w:spacing w:after="0" w:line="360" w:lineRule="auto"/>
              <w:jc w:val="both"/>
              <w:rPr>
                <w:rFonts w:ascii="Book Antiqua" w:eastAsia="Book Antiqua" w:hAnsi="Book Antiqua" w:cs="Book Antiqua"/>
                <w:sz w:val="16"/>
                <w:szCs w:val="16"/>
                <w:lang w:val="en-GB"/>
              </w:rPr>
            </w:pPr>
            <w:r>
              <w:rPr>
                <w:rFonts w:ascii="Book Antiqua" w:eastAsia="Book Antiqua" w:hAnsi="Book Antiqua" w:cs="Book Antiqua"/>
                <w:sz w:val="16"/>
                <w:szCs w:val="16"/>
                <w:lang w:val="en-GB"/>
              </w:rPr>
              <w:t>&gt;</w:t>
            </w:r>
            <w:r w:rsidR="00D5047F">
              <w:rPr>
                <w:rFonts w:ascii="Book Antiqua" w:eastAsiaTheme="minorEastAsia" w:hAnsi="Book Antiqua" w:cs="Book Antiqua" w:hint="eastAsia"/>
                <w:sz w:val="16"/>
                <w:szCs w:val="16"/>
                <w:lang w:val="en-GB" w:eastAsia="zh-CN"/>
              </w:rPr>
              <w:t xml:space="preserve"> </w:t>
            </w:r>
            <w:r>
              <w:rPr>
                <w:rFonts w:ascii="Book Antiqua" w:eastAsia="Book Antiqua" w:hAnsi="Book Antiqua" w:cs="Book Antiqua"/>
                <w:sz w:val="16"/>
                <w:szCs w:val="16"/>
                <w:lang w:val="en-GB"/>
              </w:rPr>
              <w:t>8</w:t>
            </w:r>
          </w:p>
        </w:tc>
        <w:tc>
          <w:tcPr>
            <w:tcW w:w="1369" w:type="dxa"/>
            <w:shd w:val="clear" w:color="auto" w:fill="auto"/>
            <w:tcMar>
              <w:left w:w="51" w:type="dxa"/>
            </w:tcMar>
          </w:tcPr>
          <w:p w14:paraId="44B7EFBD" w14:textId="77777777" w:rsidR="00B122DF" w:rsidRDefault="00B122DF" w:rsidP="00422EBA">
            <w:pPr>
              <w:pStyle w:val="Contenutotabella"/>
              <w:adjustRightInd w:val="0"/>
              <w:snapToGrid w:val="0"/>
              <w:spacing w:after="0" w:line="360" w:lineRule="auto"/>
              <w:jc w:val="both"/>
              <w:rPr>
                <w:rFonts w:ascii="Book Antiqua" w:hAnsi="Book Antiqua"/>
                <w:sz w:val="16"/>
                <w:szCs w:val="16"/>
                <w:lang w:val="en-GB"/>
              </w:rPr>
            </w:pPr>
          </w:p>
        </w:tc>
        <w:tc>
          <w:tcPr>
            <w:tcW w:w="1106" w:type="dxa"/>
            <w:shd w:val="clear" w:color="auto" w:fill="auto"/>
            <w:tcMar>
              <w:left w:w="51" w:type="dxa"/>
            </w:tcMar>
          </w:tcPr>
          <w:p w14:paraId="5F7506C4" w14:textId="77777777" w:rsidR="00B122DF" w:rsidRDefault="00B122DF" w:rsidP="00422EBA">
            <w:pPr>
              <w:pStyle w:val="Contenutotabella"/>
              <w:adjustRightInd w:val="0"/>
              <w:snapToGrid w:val="0"/>
              <w:spacing w:after="0" w:line="360" w:lineRule="auto"/>
              <w:jc w:val="both"/>
              <w:rPr>
                <w:rFonts w:ascii="Book Antiqua" w:hAnsi="Book Antiqua"/>
                <w:sz w:val="16"/>
                <w:szCs w:val="16"/>
                <w:lang w:val="en-GB"/>
              </w:rPr>
            </w:pPr>
          </w:p>
        </w:tc>
        <w:tc>
          <w:tcPr>
            <w:tcW w:w="1103" w:type="dxa"/>
            <w:shd w:val="clear" w:color="auto" w:fill="auto"/>
            <w:tcMar>
              <w:left w:w="51" w:type="dxa"/>
            </w:tcMar>
          </w:tcPr>
          <w:p w14:paraId="279176A1" w14:textId="77777777" w:rsidR="00B122DF" w:rsidRDefault="00B122DF" w:rsidP="00422EBA">
            <w:pPr>
              <w:pStyle w:val="Contenutotabella"/>
              <w:adjustRightInd w:val="0"/>
              <w:snapToGrid w:val="0"/>
              <w:spacing w:after="0" w:line="360" w:lineRule="auto"/>
              <w:jc w:val="both"/>
              <w:rPr>
                <w:rFonts w:ascii="Book Antiqua" w:hAnsi="Book Antiqua"/>
                <w:sz w:val="16"/>
                <w:szCs w:val="16"/>
                <w:lang w:val="en-GB"/>
              </w:rPr>
            </w:pPr>
          </w:p>
        </w:tc>
        <w:tc>
          <w:tcPr>
            <w:tcW w:w="917" w:type="dxa"/>
            <w:shd w:val="clear" w:color="auto" w:fill="auto"/>
            <w:tcMar>
              <w:left w:w="51" w:type="dxa"/>
            </w:tcMar>
          </w:tcPr>
          <w:p w14:paraId="1280C7C5" w14:textId="77777777" w:rsidR="00B122DF" w:rsidRDefault="00B122DF" w:rsidP="00422EBA">
            <w:pPr>
              <w:pStyle w:val="Contenutotabella"/>
              <w:adjustRightInd w:val="0"/>
              <w:snapToGrid w:val="0"/>
              <w:spacing w:after="0" w:line="360" w:lineRule="auto"/>
              <w:jc w:val="both"/>
              <w:rPr>
                <w:rFonts w:ascii="Book Antiqua" w:hAnsi="Book Antiqua"/>
                <w:sz w:val="16"/>
                <w:szCs w:val="16"/>
                <w:lang w:val="en-GB"/>
              </w:rPr>
            </w:pPr>
          </w:p>
        </w:tc>
        <w:tc>
          <w:tcPr>
            <w:tcW w:w="890" w:type="dxa"/>
            <w:shd w:val="clear" w:color="auto" w:fill="auto"/>
            <w:tcMar>
              <w:left w:w="51" w:type="dxa"/>
            </w:tcMar>
          </w:tcPr>
          <w:p w14:paraId="717C9CC4" w14:textId="77777777" w:rsidR="00B122DF" w:rsidRDefault="00B122DF" w:rsidP="00422EBA">
            <w:pPr>
              <w:pStyle w:val="Contenutotabella"/>
              <w:adjustRightInd w:val="0"/>
              <w:snapToGrid w:val="0"/>
              <w:spacing w:after="0" w:line="360" w:lineRule="auto"/>
              <w:jc w:val="both"/>
              <w:rPr>
                <w:rFonts w:ascii="Book Antiqua" w:hAnsi="Book Antiqua"/>
                <w:sz w:val="16"/>
                <w:szCs w:val="16"/>
                <w:lang w:val="en-GB"/>
              </w:rPr>
            </w:pPr>
          </w:p>
        </w:tc>
      </w:tr>
    </w:tbl>
    <w:p w14:paraId="0EE499B2" w14:textId="59A32FF1" w:rsidR="002D7F73" w:rsidRPr="00D5047F" w:rsidRDefault="00B122DF" w:rsidP="00422EBA">
      <w:pPr>
        <w:adjustRightInd w:val="0"/>
        <w:snapToGrid w:val="0"/>
        <w:spacing w:after="0" w:line="360" w:lineRule="auto"/>
        <w:jc w:val="both"/>
        <w:rPr>
          <w:rFonts w:eastAsiaTheme="minorEastAsia"/>
          <w:lang w:val="en-GB" w:eastAsia="zh-CN"/>
        </w:rPr>
      </w:pPr>
      <w:r>
        <w:rPr>
          <w:rFonts w:ascii="Book Antiqua" w:hAnsi="Book Antiqua"/>
          <w:sz w:val="24"/>
          <w:szCs w:val="24"/>
          <w:lang w:val="en-GB"/>
        </w:rPr>
        <w:t>Sample: only specified if a disease accounts for more than 20% of the overall sample</w:t>
      </w:r>
      <w:r w:rsidR="00403E8B">
        <w:rPr>
          <w:rFonts w:ascii="Book Antiqua" w:hAnsi="Book Antiqua"/>
          <w:sz w:val="24"/>
          <w:szCs w:val="24"/>
          <w:lang w:val="en-GB"/>
        </w:rPr>
        <w:t>. Where more than one study was present for a specific technique, chronological order has been adopted.</w:t>
      </w:r>
      <w:r w:rsidR="00D5047F">
        <w:rPr>
          <w:rFonts w:ascii="Book Antiqua" w:eastAsiaTheme="minorEastAsia" w:hAnsi="Book Antiqua" w:hint="eastAsia"/>
          <w:sz w:val="24"/>
          <w:szCs w:val="24"/>
          <w:lang w:val="en-GB" w:eastAsia="zh-CN"/>
        </w:rPr>
        <w:t xml:space="preserve"> </w:t>
      </w:r>
      <w:r w:rsidR="00D5047F">
        <w:rPr>
          <w:rFonts w:ascii="Book Antiqua" w:hAnsi="Book Antiqua"/>
          <w:sz w:val="24"/>
          <w:szCs w:val="24"/>
          <w:lang w:val="en-GB"/>
        </w:rPr>
        <w:t>Type P: Prospective</w:t>
      </w:r>
      <w:r w:rsidR="00D5047F">
        <w:rPr>
          <w:rFonts w:ascii="Book Antiqua" w:hAnsi="Book Antiqua" w:hint="eastAsia"/>
          <w:sz w:val="24"/>
          <w:szCs w:val="24"/>
          <w:lang w:val="en-GB"/>
        </w:rPr>
        <w:t>;</w:t>
      </w:r>
      <w:r w:rsidR="00D5047F">
        <w:rPr>
          <w:rFonts w:ascii="Book Antiqua" w:hAnsi="Book Antiqua"/>
          <w:sz w:val="24"/>
          <w:szCs w:val="24"/>
          <w:lang w:val="en-GB"/>
        </w:rPr>
        <w:t xml:space="preserve"> Type R: Retrospective</w:t>
      </w:r>
      <w:r w:rsidR="00D5047F">
        <w:rPr>
          <w:rFonts w:ascii="Book Antiqua" w:hAnsi="Book Antiqua" w:hint="eastAsia"/>
          <w:sz w:val="24"/>
          <w:szCs w:val="24"/>
          <w:lang w:val="en-GB"/>
        </w:rPr>
        <w:t>;</w:t>
      </w:r>
      <w:r w:rsidR="00D5047F">
        <w:rPr>
          <w:rFonts w:ascii="Book Antiqua" w:hAnsi="Book Antiqua"/>
          <w:sz w:val="24"/>
          <w:szCs w:val="24"/>
          <w:lang w:val="en-GB"/>
        </w:rPr>
        <w:t xml:space="preserve"> POD: </w:t>
      </w:r>
      <w:r w:rsidR="00D5047F" w:rsidRPr="00DD0897">
        <w:rPr>
          <w:rFonts w:ascii="Book Antiqua" w:hAnsi="Book Antiqua"/>
          <w:caps/>
          <w:sz w:val="24"/>
          <w:szCs w:val="24"/>
          <w:lang w:val="en-GB"/>
        </w:rPr>
        <w:t>p</w:t>
      </w:r>
      <w:r w:rsidR="00D5047F">
        <w:rPr>
          <w:rFonts w:ascii="Book Antiqua" w:hAnsi="Book Antiqua"/>
          <w:sz w:val="24"/>
          <w:szCs w:val="24"/>
          <w:lang w:val="en-GB"/>
        </w:rPr>
        <w:t>ostoperative day in which best discriminating values were detected</w:t>
      </w:r>
      <w:r w:rsidR="00D5047F">
        <w:rPr>
          <w:rFonts w:ascii="Book Antiqua" w:hAnsi="Book Antiqua" w:hint="eastAsia"/>
          <w:sz w:val="24"/>
          <w:szCs w:val="24"/>
          <w:lang w:val="en-GB"/>
        </w:rPr>
        <w:t>;</w:t>
      </w:r>
      <w:r w:rsidR="00D5047F">
        <w:rPr>
          <w:rFonts w:ascii="Book Antiqua" w:hAnsi="Book Antiqua"/>
          <w:sz w:val="24"/>
          <w:szCs w:val="24"/>
          <w:lang w:val="en-GB"/>
        </w:rPr>
        <w:t xml:space="preserve"> PPV: Positive predictive value</w:t>
      </w:r>
      <w:r w:rsidR="00D5047F">
        <w:rPr>
          <w:rFonts w:ascii="Book Antiqua" w:hAnsi="Book Antiqua" w:hint="eastAsia"/>
          <w:sz w:val="24"/>
          <w:szCs w:val="24"/>
          <w:lang w:val="en-GB"/>
        </w:rPr>
        <w:t>;</w:t>
      </w:r>
      <w:r w:rsidR="00D5047F">
        <w:rPr>
          <w:rFonts w:ascii="Book Antiqua" w:hAnsi="Book Antiqua"/>
          <w:sz w:val="24"/>
          <w:szCs w:val="24"/>
          <w:lang w:val="en-GB"/>
        </w:rPr>
        <w:t xml:space="preserve"> NPV: Negative predictive value</w:t>
      </w:r>
      <w:r w:rsidR="00D5047F">
        <w:rPr>
          <w:rFonts w:ascii="Book Antiqua" w:hAnsi="Book Antiqua" w:hint="eastAsia"/>
          <w:sz w:val="24"/>
          <w:szCs w:val="24"/>
          <w:lang w:val="en-GB"/>
        </w:rPr>
        <w:t>;</w:t>
      </w:r>
      <w:r w:rsidR="00D5047F">
        <w:rPr>
          <w:rFonts w:ascii="Book Antiqua" w:hAnsi="Book Antiqua"/>
          <w:sz w:val="24"/>
          <w:szCs w:val="24"/>
          <w:lang w:val="en-GB"/>
        </w:rPr>
        <w:t xml:space="preserve"> LT: Liver transplant</w:t>
      </w:r>
      <w:r w:rsidR="00D5047F">
        <w:rPr>
          <w:rFonts w:ascii="Book Antiqua" w:hAnsi="Book Antiqua" w:hint="eastAsia"/>
          <w:sz w:val="24"/>
          <w:szCs w:val="24"/>
          <w:lang w:val="en-GB"/>
        </w:rPr>
        <w:t>;</w:t>
      </w:r>
      <w:r w:rsidR="00D5047F">
        <w:rPr>
          <w:rFonts w:ascii="Book Antiqua" w:hAnsi="Book Antiqua"/>
          <w:sz w:val="24"/>
          <w:szCs w:val="24"/>
          <w:lang w:val="en-GB"/>
        </w:rPr>
        <w:t xml:space="preserve"> LDLT: Living donor liver transplant</w:t>
      </w:r>
      <w:r w:rsidR="00D5047F">
        <w:rPr>
          <w:rFonts w:ascii="Book Antiqua" w:hAnsi="Book Antiqua" w:hint="eastAsia"/>
          <w:sz w:val="24"/>
          <w:szCs w:val="24"/>
          <w:lang w:val="en-GB"/>
        </w:rPr>
        <w:t>;</w:t>
      </w:r>
      <w:r w:rsidR="00D5047F">
        <w:rPr>
          <w:rFonts w:ascii="Book Antiqua" w:hAnsi="Book Antiqua"/>
          <w:sz w:val="24"/>
          <w:szCs w:val="24"/>
          <w:lang w:val="en-GB"/>
        </w:rPr>
        <w:t xml:space="preserve"> HCV: Hepatitis C virus</w:t>
      </w:r>
      <w:r w:rsidR="00D5047F">
        <w:rPr>
          <w:rFonts w:ascii="Book Antiqua" w:hAnsi="Book Antiqua" w:hint="eastAsia"/>
          <w:sz w:val="24"/>
          <w:szCs w:val="24"/>
          <w:lang w:val="en-GB"/>
        </w:rPr>
        <w:t>;</w:t>
      </w:r>
      <w:r w:rsidR="00D5047F">
        <w:rPr>
          <w:rFonts w:ascii="Book Antiqua" w:hAnsi="Book Antiqua"/>
          <w:sz w:val="24"/>
          <w:szCs w:val="24"/>
          <w:lang w:val="en-GB"/>
        </w:rPr>
        <w:t xml:space="preserve"> HBV: Hepatitis B virus</w:t>
      </w:r>
      <w:r w:rsidR="00D5047F">
        <w:rPr>
          <w:rFonts w:ascii="Book Antiqua" w:hAnsi="Book Antiqua" w:hint="eastAsia"/>
          <w:sz w:val="24"/>
          <w:szCs w:val="24"/>
          <w:lang w:val="en-GB"/>
        </w:rPr>
        <w:t>;</w:t>
      </w:r>
      <w:r w:rsidR="00D5047F">
        <w:rPr>
          <w:rFonts w:ascii="Book Antiqua" w:hAnsi="Book Antiqua"/>
          <w:sz w:val="24"/>
          <w:szCs w:val="24"/>
          <w:lang w:val="en-GB"/>
        </w:rPr>
        <w:t xml:space="preserve"> HCC: Hepatocellular carcinoma</w:t>
      </w:r>
      <w:r w:rsidR="00D5047F">
        <w:rPr>
          <w:rFonts w:ascii="Book Antiqua" w:hAnsi="Book Antiqua" w:hint="eastAsia"/>
          <w:sz w:val="24"/>
          <w:szCs w:val="24"/>
          <w:lang w:val="en-GB"/>
        </w:rPr>
        <w:t>.</w:t>
      </w:r>
    </w:p>
    <w:sectPr w:rsidR="002D7F73" w:rsidRPr="00D5047F" w:rsidSect="00F26BF6">
      <w:pgSz w:w="16838" w:h="11906" w:orient="landscape"/>
      <w:pgMar w:top="993" w:right="1134"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1F6F89" w14:textId="77777777" w:rsidR="00077410" w:rsidRDefault="00077410" w:rsidP="003A4707">
      <w:pPr>
        <w:spacing w:after="0" w:line="240" w:lineRule="auto"/>
      </w:pPr>
      <w:r>
        <w:separator/>
      </w:r>
    </w:p>
  </w:endnote>
  <w:endnote w:type="continuationSeparator" w:id="0">
    <w:p w14:paraId="43429FDD" w14:textId="77777777" w:rsidR="00077410" w:rsidRDefault="00077410" w:rsidP="003A4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2"/>
    <w:family w:val="auto"/>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dvOT1ef757c0">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dvTimes">
    <w:altName w:val="MingLiU"/>
    <w:charset w:val="88"/>
    <w:family w:val="auto"/>
    <w:pitch w:val="default"/>
    <w:sig w:usb0="00000000" w:usb1="08080000" w:usb2="00000010" w:usb3="00000000" w:csb0="00100000" w:csb1="00000000"/>
  </w:font>
  <w:font w:name="Minion">
    <w:altName w:val="Times New Roman"/>
    <w:charset w:val="01"/>
    <w:family w:val="roman"/>
    <w:pitch w:val="variable"/>
  </w:font>
  <w:font w:name="Cambria Math">
    <w:panose1 w:val="02040503050406030204"/>
    <w:charset w:val="00"/>
    <w:family w:val="roman"/>
    <w:pitch w:val="variable"/>
    <w:sig w:usb0="E00002FF" w:usb1="420024FF" w:usb2="00000000" w:usb3="00000000" w:csb0="0000019F" w:csb1="00000000"/>
  </w:font>
  <w:font w:name="Lucida Grande">
    <w:altName w:val="Malgun Gothic"/>
    <w:charset w:val="00"/>
    <w:family w:val="auto"/>
    <w:pitch w:val="variable"/>
    <w:sig w:usb0="A1002AE7" w:usb1="C0000063" w:usb2="00000038"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8F3329" w14:textId="77777777" w:rsidR="00077410" w:rsidRDefault="00077410" w:rsidP="003A4707">
      <w:pPr>
        <w:spacing w:after="0" w:line="240" w:lineRule="auto"/>
      </w:pPr>
      <w:r>
        <w:separator/>
      </w:r>
    </w:p>
  </w:footnote>
  <w:footnote w:type="continuationSeparator" w:id="0">
    <w:p w14:paraId="6FAD575B" w14:textId="77777777" w:rsidR="00077410" w:rsidRDefault="00077410" w:rsidP="003A47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726C"/>
    <w:multiLevelType w:val="multilevel"/>
    <w:tmpl w:val="B1743368"/>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sz w:val="20"/>
      </w:rPr>
    </w:lvl>
    <w:lvl w:ilvl="2">
      <w:start w:val="1"/>
      <w:numFmt w:val="bullet"/>
      <w:lvlText w:val="▪"/>
      <w:lvlJc w:val="left"/>
      <w:pPr>
        <w:tabs>
          <w:tab w:val="num" w:pos="1440"/>
        </w:tabs>
        <w:ind w:left="1440" w:hanging="360"/>
      </w:pPr>
      <w:rPr>
        <w:rFonts w:ascii="OpenSymbol" w:hAnsi="OpenSymbol" w:cs="OpenSymbol" w:hint="default"/>
        <w:sz w:val="20"/>
      </w:rPr>
    </w:lvl>
    <w:lvl w:ilvl="3">
      <w:start w:val="1"/>
      <w:numFmt w:val="bullet"/>
      <w:lvlText w:val=""/>
      <w:lvlJc w:val="left"/>
      <w:pPr>
        <w:tabs>
          <w:tab w:val="num" w:pos="1800"/>
        </w:tabs>
        <w:ind w:left="1800" w:hanging="360"/>
      </w:pPr>
      <w:rPr>
        <w:rFonts w:ascii="Symbol" w:hAnsi="Symbol" w:cs="OpenSymbol" w:hint="default"/>
        <w:sz w:val="20"/>
      </w:rPr>
    </w:lvl>
    <w:lvl w:ilvl="4">
      <w:start w:val="1"/>
      <w:numFmt w:val="bullet"/>
      <w:lvlText w:val="◦"/>
      <w:lvlJc w:val="left"/>
      <w:pPr>
        <w:tabs>
          <w:tab w:val="num" w:pos="2160"/>
        </w:tabs>
        <w:ind w:left="2160" w:hanging="360"/>
      </w:pPr>
      <w:rPr>
        <w:rFonts w:ascii="OpenSymbol" w:hAnsi="OpenSymbol" w:cs="OpenSymbol" w:hint="default"/>
        <w:sz w:val="20"/>
      </w:rPr>
    </w:lvl>
    <w:lvl w:ilvl="5">
      <w:start w:val="1"/>
      <w:numFmt w:val="bullet"/>
      <w:lvlText w:val="▪"/>
      <w:lvlJc w:val="left"/>
      <w:pPr>
        <w:tabs>
          <w:tab w:val="num" w:pos="2520"/>
        </w:tabs>
        <w:ind w:left="2520" w:hanging="360"/>
      </w:pPr>
      <w:rPr>
        <w:rFonts w:ascii="OpenSymbol" w:hAnsi="OpenSymbol" w:cs="OpenSymbol" w:hint="default"/>
        <w:sz w:val="20"/>
      </w:rPr>
    </w:lvl>
    <w:lvl w:ilvl="6">
      <w:start w:val="1"/>
      <w:numFmt w:val="bullet"/>
      <w:lvlText w:val=""/>
      <w:lvlJc w:val="left"/>
      <w:pPr>
        <w:tabs>
          <w:tab w:val="num" w:pos="2880"/>
        </w:tabs>
        <w:ind w:left="2880" w:hanging="360"/>
      </w:pPr>
      <w:rPr>
        <w:rFonts w:ascii="Symbol" w:hAnsi="Symbol" w:cs="OpenSymbol" w:hint="default"/>
        <w:sz w:val="20"/>
      </w:rPr>
    </w:lvl>
    <w:lvl w:ilvl="7">
      <w:start w:val="1"/>
      <w:numFmt w:val="bullet"/>
      <w:lvlText w:val="◦"/>
      <w:lvlJc w:val="left"/>
      <w:pPr>
        <w:tabs>
          <w:tab w:val="num" w:pos="3240"/>
        </w:tabs>
        <w:ind w:left="3240" w:hanging="360"/>
      </w:pPr>
      <w:rPr>
        <w:rFonts w:ascii="OpenSymbol" w:hAnsi="OpenSymbol" w:cs="OpenSymbol" w:hint="default"/>
        <w:sz w:val="20"/>
      </w:rPr>
    </w:lvl>
    <w:lvl w:ilvl="8">
      <w:start w:val="1"/>
      <w:numFmt w:val="bullet"/>
      <w:lvlText w:val="▪"/>
      <w:lvlJc w:val="left"/>
      <w:pPr>
        <w:tabs>
          <w:tab w:val="num" w:pos="3600"/>
        </w:tabs>
        <w:ind w:left="3600" w:hanging="360"/>
      </w:pPr>
      <w:rPr>
        <w:rFonts w:ascii="OpenSymbol" w:hAnsi="OpenSymbol" w:cs="OpenSymbol" w:hint="default"/>
        <w:sz w:val="20"/>
      </w:rPr>
    </w:lvl>
  </w:abstractNum>
  <w:abstractNum w:abstractNumId="1" w15:restartNumberingAfterBreak="0">
    <w:nsid w:val="340F633F"/>
    <w:multiLevelType w:val="multilevel"/>
    <w:tmpl w:val="6270F9A4"/>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sz w:val="20"/>
      </w:rPr>
    </w:lvl>
    <w:lvl w:ilvl="2">
      <w:start w:val="1"/>
      <w:numFmt w:val="bullet"/>
      <w:lvlText w:val="▪"/>
      <w:lvlJc w:val="left"/>
      <w:pPr>
        <w:tabs>
          <w:tab w:val="num" w:pos="1440"/>
        </w:tabs>
        <w:ind w:left="1440" w:hanging="360"/>
      </w:pPr>
      <w:rPr>
        <w:rFonts w:ascii="OpenSymbol" w:hAnsi="OpenSymbol" w:cs="OpenSymbol" w:hint="default"/>
        <w:sz w:val="20"/>
      </w:rPr>
    </w:lvl>
    <w:lvl w:ilvl="3">
      <w:start w:val="1"/>
      <w:numFmt w:val="bullet"/>
      <w:lvlText w:val=""/>
      <w:lvlJc w:val="left"/>
      <w:pPr>
        <w:tabs>
          <w:tab w:val="num" w:pos="1800"/>
        </w:tabs>
        <w:ind w:left="1800" w:hanging="360"/>
      </w:pPr>
      <w:rPr>
        <w:rFonts w:ascii="Symbol" w:hAnsi="Symbol" w:cs="OpenSymbol" w:hint="default"/>
        <w:sz w:val="20"/>
      </w:rPr>
    </w:lvl>
    <w:lvl w:ilvl="4">
      <w:start w:val="1"/>
      <w:numFmt w:val="bullet"/>
      <w:lvlText w:val="◦"/>
      <w:lvlJc w:val="left"/>
      <w:pPr>
        <w:tabs>
          <w:tab w:val="num" w:pos="2160"/>
        </w:tabs>
        <w:ind w:left="2160" w:hanging="360"/>
      </w:pPr>
      <w:rPr>
        <w:rFonts w:ascii="OpenSymbol" w:hAnsi="OpenSymbol" w:cs="OpenSymbol" w:hint="default"/>
        <w:sz w:val="20"/>
      </w:rPr>
    </w:lvl>
    <w:lvl w:ilvl="5">
      <w:start w:val="1"/>
      <w:numFmt w:val="bullet"/>
      <w:lvlText w:val="▪"/>
      <w:lvlJc w:val="left"/>
      <w:pPr>
        <w:tabs>
          <w:tab w:val="num" w:pos="2520"/>
        </w:tabs>
        <w:ind w:left="2520" w:hanging="360"/>
      </w:pPr>
      <w:rPr>
        <w:rFonts w:ascii="OpenSymbol" w:hAnsi="OpenSymbol" w:cs="OpenSymbol" w:hint="default"/>
        <w:sz w:val="20"/>
      </w:rPr>
    </w:lvl>
    <w:lvl w:ilvl="6">
      <w:start w:val="1"/>
      <w:numFmt w:val="bullet"/>
      <w:lvlText w:val=""/>
      <w:lvlJc w:val="left"/>
      <w:pPr>
        <w:tabs>
          <w:tab w:val="num" w:pos="2880"/>
        </w:tabs>
        <w:ind w:left="2880" w:hanging="360"/>
      </w:pPr>
      <w:rPr>
        <w:rFonts w:ascii="Symbol" w:hAnsi="Symbol" w:cs="OpenSymbol" w:hint="default"/>
        <w:sz w:val="20"/>
      </w:rPr>
    </w:lvl>
    <w:lvl w:ilvl="7">
      <w:start w:val="1"/>
      <w:numFmt w:val="bullet"/>
      <w:lvlText w:val="◦"/>
      <w:lvlJc w:val="left"/>
      <w:pPr>
        <w:tabs>
          <w:tab w:val="num" w:pos="3240"/>
        </w:tabs>
        <w:ind w:left="3240" w:hanging="360"/>
      </w:pPr>
      <w:rPr>
        <w:rFonts w:ascii="OpenSymbol" w:hAnsi="OpenSymbol" w:cs="OpenSymbol" w:hint="default"/>
        <w:sz w:val="20"/>
      </w:rPr>
    </w:lvl>
    <w:lvl w:ilvl="8">
      <w:start w:val="1"/>
      <w:numFmt w:val="bullet"/>
      <w:lvlText w:val="▪"/>
      <w:lvlJc w:val="left"/>
      <w:pPr>
        <w:tabs>
          <w:tab w:val="num" w:pos="3600"/>
        </w:tabs>
        <w:ind w:left="3600" w:hanging="360"/>
      </w:pPr>
      <w:rPr>
        <w:rFonts w:ascii="OpenSymbol" w:hAnsi="OpenSymbol" w:cs="OpenSymbol" w:hint="default"/>
        <w:sz w:val="20"/>
      </w:rPr>
    </w:lvl>
  </w:abstractNum>
  <w:abstractNum w:abstractNumId="2" w15:restartNumberingAfterBreak="0">
    <w:nsid w:val="429A4484"/>
    <w:multiLevelType w:val="multilevel"/>
    <w:tmpl w:val="1F5A3FE8"/>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sz w:val="20"/>
      </w:rPr>
    </w:lvl>
    <w:lvl w:ilvl="2">
      <w:start w:val="1"/>
      <w:numFmt w:val="bullet"/>
      <w:lvlText w:val="▪"/>
      <w:lvlJc w:val="left"/>
      <w:pPr>
        <w:tabs>
          <w:tab w:val="num" w:pos="1440"/>
        </w:tabs>
        <w:ind w:left="1440" w:hanging="360"/>
      </w:pPr>
      <w:rPr>
        <w:rFonts w:ascii="OpenSymbol" w:hAnsi="OpenSymbol" w:cs="OpenSymbol" w:hint="default"/>
        <w:sz w:val="20"/>
      </w:rPr>
    </w:lvl>
    <w:lvl w:ilvl="3">
      <w:start w:val="1"/>
      <w:numFmt w:val="bullet"/>
      <w:lvlText w:val=""/>
      <w:lvlJc w:val="left"/>
      <w:pPr>
        <w:tabs>
          <w:tab w:val="num" w:pos="1800"/>
        </w:tabs>
        <w:ind w:left="1800" w:hanging="360"/>
      </w:pPr>
      <w:rPr>
        <w:rFonts w:ascii="Symbol" w:hAnsi="Symbol" w:cs="OpenSymbol" w:hint="default"/>
        <w:sz w:val="20"/>
      </w:rPr>
    </w:lvl>
    <w:lvl w:ilvl="4">
      <w:start w:val="1"/>
      <w:numFmt w:val="bullet"/>
      <w:lvlText w:val="◦"/>
      <w:lvlJc w:val="left"/>
      <w:pPr>
        <w:tabs>
          <w:tab w:val="num" w:pos="2160"/>
        </w:tabs>
        <w:ind w:left="2160" w:hanging="360"/>
      </w:pPr>
      <w:rPr>
        <w:rFonts w:ascii="OpenSymbol" w:hAnsi="OpenSymbol" w:cs="OpenSymbol" w:hint="default"/>
        <w:sz w:val="20"/>
      </w:rPr>
    </w:lvl>
    <w:lvl w:ilvl="5">
      <w:start w:val="1"/>
      <w:numFmt w:val="bullet"/>
      <w:lvlText w:val="▪"/>
      <w:lvlJc w:val="left"/>
      <w:pPr>
        <w:tabs>
          <w:tab w:val="num" w:pos="2520"/>
        </w:tabs>
        <w:ind w:left="2520" w:hanging="360"/>
      </w:pPr>
      <w:rPr>
        <w:rFonts w:ascii="OpenSymbol" w:hAnsi="OpenSymbol" w:cs="OpenSymbol" w:hint="default"/>
        <w:sz w:val="20"/>
      </w:rPr>
    </w:lvl>
    <w:lvl w:ilvl="6">
      <w:start w:val="1"/>
      <w:numFmt w:val="bullet"/>
      <w:lvlText w:val=""/>
      <w:lvlJc w:val="left"/>
      <w:pPr>
        <w:tabs>
          <w:tab w:val="num" w:pos="2880"/>
        </w:tabs>
        <w:ind w:left="2880" w:hanging="360"/>
      </w:pPr>
      <w:rPr>
        <w:rFonts w:ascii="Symbol" w:hAnsi="Symbol" w:cs="OpenSymbol" w:hint="default"/>
        <w:sz w:val="20"/>
      </w:rPr>
    </w:lvl>
    <w:lvl w:ilvl="7">
      <w:start w:val="1"/>
      <w:numFmt w:val="bullet"/>
      <w:lvlText w:val="◦"/>
      <w:lvlJc w:val="left"/>
      <w:pPr>
        <w:tabs>
          <w:tab w:val="num" w:pos="3240"/>
        </w:tabs>
        <w:ind w:left="3240" w:hanging="360"/>
      </w:pPr>
      <w:rPr>
        <w:rFonts w:ascii="OpenSymbol" w:hAnsi="OpenSymbol" w:cs="OpenSymbol" w:hint="default"/>
        <w:sz w:val="20"/>
      </w:rPr>
    </w:lvl>
    <w:lvl w:ilvl="8">
      <w:start w:val="1"/>
      <w:numFmt w:val="bullet"/>
      <w:lvlText w:val="▪"/>
      <w:lvlJc w:val="left"/>
      <w:pPr>
        <w:tabs>
          <w:tab w:val="num" w:pos="3600"/>
        </w:tabs>
        <w:ind w:left="3600" w:hanging="360"/>
      </w:pPr>
      <w:rPr>
        <w:rFonts w:ascii="OpenSymbol" w:hAnsi="OpenSymbol" w:cs="OpenSymbol" w:hint="default"/>
        <w:sz w:val="20"/>
      </w:rPr>
    </w:lvl>
  </w:abstractNum>
  <w:abstractNum w:abstractNumId="3" w15:restartNumberingAfterBreak="0">
    <w:nsid w:val="4A0325C0"/>
    <w:multiLevelType w:val="multilevel"/>
    <w:tmpl w:val="ED3801DA"/>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sz w:val="20"/>
      </w:rPr>
    </w:lvl>
    <w:lvl w:ilvl="2">
      <w:start w:val="1"/>
      <w:numFmt w:val="bullet"/>
      <w:lvlText w:val="▪"/>
      <w:lvlJc w:val="left"/>
      <w:pPr>
        <w:tabs>
          <w:tab w:val="num" w:pos="1440"/>
        </w:tabs>
        <w:ind w:left="1440" w:hanging="360"/>
      </w:pPr>
      <w:rPr>
        <w:rFonts w:ascii="OpenSymbol" w:hAnsi="OpenSymbol" w:cs="OpenSymbol" w:hint="default"/>
        <w:sz w:val="20"/>
      </w:rPr>
    </w:lvl>
    <w:lvl w:ilvl="3">
      <w:start w:val="1"/>
      <w:numFmt w:val="bullet"/>
      <w:lvlText w:val=""/>
      <w:lvlJc w:val="left"/>
      <w:pPr>
        <w:tabs>
          <w:tab w:val="num" w:pos="1800"/>
        </w:tabs>
        <w:ind w:left="1800" w:hanging="360"/>
      </w:pPr>
      <w:rPr>
        <w:rFonts w:ascii="Symbol" w:hAnsi="Symbol" w:cs="OpenSymbol" w:hint="default"/>
        <w:sz w:val="20"/>
      </w:rPr>
    </w:lvl>
    <w:lvl w:ilvl="4">
      <w:start w:val="1"/>
      <w:numFmt w:val="bullet"/>
      <w:lvlText w:val="◦"/>
      <w:lvlJc w:val="left"/>
      <w:pPr>
        <w:tabs>
          <w:tab w:val="num" w:pos="2160"/>
        </w:tabs>
        <w:ind w:left="2160" w:hanging="360"/>
      </w:pPr>
      <w:rPr>
        <w:rFonts w:ascii="OpenSymbol" w:hAnsi="OpenSymbol" w:cs="OpenSymbol" w:hint="default"/>
        <w:sz w:val="20"/>
      </w:rPr>
    </w:lvl>
    <w:lvl w:ilvl="5">
      <w:start w:val="1"/>
      <w:numFmt w:val="bullet"/>
      <w:lvlText w:val="▪"/>
      <w:lvlJc w:val="left"/>
      <w:pPr>
        <w:tabs>
          <w:tab w:val="num" w:pos="2520"/>
        </w:tabs>
        <w:ind w:left="2520" w:hanging="360"/>
      </w:pPr>
      <w:rPr>
        <w:rFonts w:ascii="OpenSymbol" w:hAnsi="OpenSymbol" w:cs="OpenSymbol" w:hint="default"/>
        <w:sz w:val="20"/>
      </w:rPr>
    </w:lvl>
    <w:lvl w:ilvl="6">
      <w:start w:val="1"/>
      <w:numFmt w:val="bullet"/>
      <w:lvlText w:val=""/>
      <w:lvlJc w:val="left"/>
      <w:pPr>
        <w:tabs>
          <w:tab w:val="num" w:pos="2880"/>
        </w:tabs>
        <w:ind w:left="2880" w:hanging="360"/>
      </w:pPr>
      <w:rPr>
        <w:rFonts w:ascii="Symbol" w:hAnsi="Symbol" w:cs="OpenSymbol" w:hint="default"/>
        <w:sz w:val="20"/>
      </w:rPr>
    </w:lvl>
    <w:lvl w:ilvl="7">
      <w:start w:val="1"/>
      <w:numFmt w:val="bullet"/>
      <w:lvlText w:val="◦"/>
      <w:lvlJc w:val="left"/>
      <w:pPr>
        <w:tabs>
          <w:tab w:val="num" w:pos="3240"/>
        </w:tabs>
        <w:ind w:left="3240" w:hanging="360"/>
      </w:pPr>
      <w:rPr>
        <w:rFonts w:ascii="OpenSymbol" w:hAnsi="OpenSymbol" w:cs="OpenSymbol" w:hint="default"/>
        <w:sz w:val="20"/>
      </w:rPr>
    </w:lvl>
    <w:lvl w:ilvl="8">
      <w:start w:val="1"/>
      <w:numFmt w:val="bullet"/>
      <w:lvlText w:val="▪"/>
      <w:lvlJc w:val="left"/>
      <w:pPr>
        <w:tabs>
          <w:tab w:val="num" w:pos="3600"/>
        </w:tabs>
        <w:ind w:left="3600" w:hanging="360"/>
      </w:pPr>
      <w:rPr>
        <w:rFonts w:ascii="OpenSymbol" w:hAnsi="OpenSymbol" w:cs="OpenSymbol" w:hint="default"/>
        <w:sz w:val="20"/>
      </w:rPr>
    </w:lvl>
  </w:abstractNum>
  <w:abstractNum w:abstractNumId="4" w15:restartNumberingAfterBreak="0">
    <w:nsid w:val="52B65030"/>
    <w:multiLevelType w:val="multilevel"/>
    <w:tmpl w:val="066255FA"/>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sz w:val="20"/>
      </w:rPr>
    </w:lvl>
    <w:lvl w:ilvl="2">
      <w:start w:val="1"/>
      <w:numFmt w:val="bullet"/>
      <w:lvlText w:val="▪"/>
      <w:lvlJc w:val="left"/>
      <w:pPr>
        <w:tabs>
          <w:tab w:val="num" w:pos="1440"/>
        </w:tabs>
        <w:ind w:left="1440" w:hanging="360"/>
      </w:pPr>
      <w:rPr>
        <w:rFonts w:ascii="OpenSymbol" w:hAnsi="OpenSymbol" w:cs="OpenSymbol" w:hint="default"/>
        <w:sz w:val="20"/>
      </w:rPr>
    </w:lvl>
    <w:lvl w:ilvl="3">
      <w:start w:val="1"/>
      <w:numFmt w:val="bullet"/>
      <w:lvlText w:val=""/>
      <w:lvlJc w:val="left"/>
      <w:pPr>
        <w:tabs>
          <w:tab w:val="num" w:pos="1800"/>
        </w:tabs>
        <w:ind w:left="1800" w:hanging="360"/>
      </w:pPr>
      <w:rPr>
        <w:rFonts w:ascii="Symbol" w:hAnsi="Symbol" w:cs="OpenSymbol" w:hint="default"/>
        <w:sz w:val="20"/>
      </w:rPr>
    </w:lvl>
    <w:lvl w:ilvl="4">
      <w:start w:val="1"/>
      <w:numFmt w:val="bullet"/>
      <w:lvlText w:val="◦"/>
      <w:lvlJc w:val="left"/>
      <w:pPr>
        <w:tabs>
          <w:tab w:val="num" w:pos="2160"/>
        </w:tabs>
        <w:ind w:left="2160" w:hanging="360"/>
      </w:pPr>
      <w:rPr>
        <w:rFonts w:ascii="OpenSymbol" w:hAnsi="OpenSymbol" w:cs="OpenSymbol" w:hint="default"/>
        <w:sz w:val="20"/>
      </w:rPr>
    </w:lvl>
    <w:lvl w:ilvl="5">
      <w:start w:val="1"/>
      <w:numFmt w:val="bullet"/>
      <w:lvlText w:val="▪"/>
      <w:lvlJc w:val="left"/>
      <w:pPr>
        <w:tabs>
          <w:tab w:val="num" w:pos="2520"/>
        </w:tabs>
        <w:ind w:left="2520" w:hanging="360"/>
      </w:pPr>
      <w:rPr>
        <w:rFonts w:ascii="OpenSymbol" w:hAnsi="OpenSymbol" w:cs="OpenSymbol" w:hint="default"/>
        <w:sz w:val="20"/>
      </w:rPr>
    </w:lvl>
    <w:lvl w:ilvl="6">
      <w:start w:val="1"/>
      <w:numFmt w:val="bullet"/>
      <w:lvlText w:val=""/>
      <w:lvlJc w:val="left"/>
      <w:pPr>
        <w:tabs>
          <w:tab w:val="num" w:pos="2880"/>
        </w:tabs>
        <w:ind w:left="2880" w:hanging="360"/>
      </w:pPr>
      <w:rPr>
        <w:rFonts w:ascii="Symbol" w:hAnsi="Symbol" w:cs="OpenSymbol" w:hint="default"/>
        <w:sz w:val="20"/>
      </w:rPr>
    </w:lvl>
    <w:lvl w:ilvl="7">
      <w:start w:val="1"/>
      <w:numFmt w:val="bullet"/>
      <w:lvlText w:val="◦"/>
      <w:lvlJc w:val="left"/>
      <w:pPr>
        <w:tabs>
          <w:tab w:val="num" w:pos="3240"/>
        </w:tabs>
        <w:ind w:left="3240" w:hanging="360"/>
      </w:pPr>
      <w:rPr>
        <w:rFonts w:ascii="OpenSymbol" w:hAnsi="OpenSymbol" w:cs="OpenSymbol" w:hint="default"/>
        <w:sz w:val="20"/>
      </w:rPr>
    </w:lvl>
    <w:lvl w:ilvl="8">
      <w:start w:val="1"/>
      <w:numFmt w:val="bullet"/>
      <w:lvlText w:val="▪"/>
      <w:lvlJc w:val="left"/>
      <w:pPr>
        <w:tabs>
          <w:tab w:val="num" w:pos="3600"/>
        </w:tabs>
        <w:ind w:left="3600" w:hanging="360"/>
      </w:pPr>
      <w:rPr>
        <w:rFonts w:ascii="OpenSymbol" w:hAnsi="OpenSymbol" w:cs="OpenSymbol" w:hint="default"/>
        <w:sz w:val="20"/>
      </w:rPr>
    </w:lvl>
  </w:abstractNum>
  <w:abstractNum w:abstractNumId="5" w15:restartNumberingAfterBreak="0">
    <w:nsid w:val="5533564D"/>
    <w:multiLevelType w:val="multilevel"/>
    <w:tmpl w:val="465CC2E2"/>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sz w:val="20"/>
      </w:rPr>
    </w:lvl>
    <w:lvl w:ilvl="2">
      <w:start w:val="1"/>
      <w:numFmt w:val="bullet"/>
      <w:lvlText w:val="▪"/>
      <w:lvlJc w:val="left"/>
      <w:pPr>
        <w:tabs>
          <w:tab w:val="num" w:pos="1440"/>
        </w:tabs>
        <w:ind w:left="1440" w:hanging="360"/>
      </w:pPr>
      <w:rPr>
        <w:rFonts w:ascii="OpenSymbol" w:hAnsi="OpenSymbol" w:cs="OpenSymbol" w:hint="default"/>
        <w:sz w:val="20"/>
      </w:rPr>
    </w:lvl>
    <w:lvl w:ilvl="3">
      <w:start w:val="1"/>
      <w:numFmt w:val="bullet"/>
      <w:lvlText w:val=""/>
      <w:lvlJc w:val="left"/>
      <w:pPr>
        <w:tabs>
          <w:tab w:val="num" w:pos="1800"/>
        </w:tabs>
        <w:ind w:left="1800" w:hanging="360"/>
      </w:pPr>
      <w:rPr>
        <w:rFonts w:ascii="Symbol" w:hAnsi="Symbol" w:cs="OpenSymbol" w:hint="default"/>
        <w:sz w:val="20"/>
      </w:rPr>
    </w:lvl>
    <w:lvl w:ilvl="4">
      <w:start w:val="1"/>
      <w:numFmt w:val="bullet"/>
      <w:lvlText w:val="◦"/>
      <w:lvlJc w:val="left"/>
      <w:pPr>
        <w:tabs>
          <w:tab w:val="num" w:pos="2160"/>
        </w:tabs>
        <w:ind w:left="2160" w:hanging="360"/>
      </w:pPr>
      <w:rPr>
        <w:rFonts w:ascii="OpenSymbol" w:hAnsi="OpenSymbol" w:cs="OpenSymbol" w:hint="default"/>
        <w:sz w:val="20"/>
      </w:rPr>
    </w:lvl>
    <w:lvl w:ilvl="5">
      <w:start w:val="1"/>
      <w:numFmt w:val="bullet"/>
      <w:lvlText w:val="▪"/>
      <w:lvlJc w:val="left"/>
      <w:pPr>
        <w:tabs>
          <w:tab w:val="num" w:pos="2520"/>
        </w:tabs>
        <w:ind w:left="2520" w:hanging="360"/>
      </w:pPr>
      <w:rPr>
        <w:rFonts w:ascii="OpenSymbol" w:hAnsi="OpenSymbol" w:cs="OpenSymbol" w:hint="default"/>
        <w:sz w:val="20"/>
      </w:rPr>
    </w:lvl>
    <w:lvl w:ilvl="6">
      <w:start w:val="1"/>
      <w:numFmt w:val="bullet"/>
      <w:lvlText w:val=""/>
      <w:lvlJc w:val="left"/>
      <w:pPr>
        <w:tabs>
          <w:tab w:val="num" w:pos="2880"/>
        </w:tabs>
        <w:ind w:left="2880" w:hanging="360"/>
      </w:pPr>
      <w:rPr>
        <w:rFonts w:ascii="Symbol" w:hAnsi="Symbol" w:cs="OpenSymbol" w:hint="default"/>
        <w:sz w:val="20"/>
      </w:rPr>
    </w:lvl>
    <w:lvl w:ilvl="7">
      <w:start w:val="1"/>
      <w:numFmt w:val="bullet"/>
      <w:lvlText w:val="◦"/>
      <w:lvlJc w:val="left"/>
      <w:pPr>
        <w:tabs>
          <w:tab w:val="num" w:pos="3240"/>
        </w:tabs>
        <w:ind w:left="3240" w:hanging="360"/>
      </w:pPr>
      <w:rPr>
        <w:rFonts w:ascii="OpenSymbol" w:hAnsi="OpenSymbol" w:cs="OpenSymbol" w:hint="default"/>
        <w:sz w:val="20"/>
      </w:rPr>
    </w:lvl>
    <w:lvl w:ilvl="8">
      <w:start w:val="1"/>
      <w:numFmt w:val="bullet"/>
      <w:lvlText w:val="▪"/>
      <w:lvlJc w:val="left"/>
      <w:pPr>
        <w:tabs>
          <w:tab w:val="num" w:pos="3600"/>
        </w:tabs>
        <w:ind w:left="3600" w:hanging="360"/>
      </w:pPr>
      <w:rPr>
        <w:rFonts w:ascii="OpenSymbol" w:hAnsi="OpenSymbol" w:cs="OpenSymbol" w:hint="default"/>
        <w:sz w:val="20"/>
      </w:rPr>
    </w:lvl>
  </w:abstractNum>
  <w:abstractNum w:abstractNumId="6" w15:restartNumberingAfterBreak="0">
    <w:nsid w:val="564F5688"/>
    <w:multiLevelType w:val="multilevel"/>
    <w:tmpl w:val="AB708D64"/>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sz w:val="20"/>
      </w:rPr>
    </w:lvl>
    <w:lvl w:ilvl="2">
      <w:start w:val="1"/>
      <w:numFmt w:val="bullet"/>
      <w:lvlText w:val="▪"/>
      <w:lvlJc w:val="left"/>
      <w:pPr>
        <w:tabs>
          <w:tab w:val="num" w:pos="1440"/>
        </w:tabs>
        <w:ind w:left="1440" w:hanging="360"/>
      </w:pPr>
      <w:rPr>
        <w:rFonts w:ascii="OpenSymbol" w:hAnsi="OpenSymbol" w:cs="OpenSymbol" w:hint="default"/>
        <w:sz w:val="20"/>
      </w:rPr>
    </w:lvl>
    <w:lvl w:ilvl="3">
      <w:start w:val="1"/>
      <w:numFmt w:val="bullet"/>
      <w:lvlText w:val=""/>
      <w:lvlJc w:val="left"/>
      <w:pPr>
        <w:tabs>
          <w:tab w:val="num" w:pos="1800"/>
        </w:tabs>
        <w:ind w:left="1800" w:hanging="360"/>
      </w:pPr>
      <w:rPr>
        <w:rFonts w:ascii="Symbol" w:hAnsi="Symbol" w:cs="OpenSymbol" w:hint="default"/>
        <w:sz w:val="20"/>
      </w:rPr>
    </w:lvl>
    <w:lvl w:ilvl="4">
      <w:start w:val="1"/>
      <w:numFmt w:val="bullet"/>
      <w:lvlText w:val="◦"/>
      <w:lvlJc w:val="left"/>
      <w:pPr>
        <w:tabs>
          <w:tab w:val="num" w:pos="2160"/>
        </w:tabs>
        <w:ind w:left="2160" w:hanging="360"/>
      </w:pPr>
      <w:rPr>
        <w:rFonts w:ascii="OpenSymbol" w:hAnsi="OpenSymbol" w:cs="OpenSymbol" w:hint="default"/>
        <w:sz w:val="20"/>
      </w:rPr>
    </w:lvl>
    <w:lvl w:ilvl="5">
      <w:start w:val="1"/>
      <w:numFmt w:val="bullet"/>
      <w:lvlText w:val="▪"/>
      <w:lvlJc w:val="left"/>
      <w:pPr>
        <w:tabs>
          <w:tab w:val="num" w:pos="2520"/>
        </w:tabs>
        <w:ind w:left="2520" w:hanging="360"/>
      </w:pPr>
      <w:rPr>
        <w:rFonts w:ascii="OpenSymbol" w:hAnsi="OpenSymbol" w:cs="OpenSymbol" w:hint="default"/>
        <w:sz w:val="20"/>
      </w:rPr>
    </w:lvl>
    <w:lvl w:ilvl="6">
      <w:start w:val="1"/>
      <w:numFmt w:val="bullet"/>
      <w:lvlText w:val=""/>
      <w:lvlJc w:val="left"/>
      <w:pPr>
        <w:tabs>
          <w:tab w:val="num" w:pos="2880"/>
        </w:tabs>
        <w:ind w:left="2880" w:hanging="360"/>
      </w:pPr>
      <w:rPr>
        <w:rFonts w:ascii="Symbol" w:hAnsi="Symbol" w:cs="OpenSymbol" w:hint="default"/>
        <w:sz w:val="20"/>
      </w:rPr>
    </w:lvl>
    <w:lvl w:ilvl="7">
      <w:start w:val="1"/>
      <w:numFmt w:val="bullet"/>
      <w:lvlText w:val="◦"/>
      <w:lvlJc w:val="left"/>
      <w:pPr>
        <w:tabs>
          <w:tab w:val="num" w:pos="3240"/>
        </w:tabs>
        <w:ind w:left="3240" w:hanging="360"/>
      </w:pPr>
      <w:rPr>
        <w:rFonts w:ascii="OpenSymbol" w:hAnsi="OpenSymbol" w:cs="OpenSymbol" w:hint="default"/>
        <w:sz w:val="20"/>
      </w:rPr>
    </w:lvl>
    <w:lvl w:ilvl="8">
      <w:start w:val="1"/>
      <w:numFmt w:val="bullet"/>
      <w:lvlText w:val="▪"/>
      <w:lvlJc w:val="left"/>
      <w:pPr>
        <w:tabs>
          <w:tab w:val="num" w:pos="3600"/>
        </w:tabs>
        <w:ind w:left="3600" w:hanging="360"/>
      </w:pPr>
      <w:rPr>
        <w:rFonts w:ascii="OpenSymbol" w:hAnsi="OpenSymbol" w:cs="OpenSymbol" w:hint="default"/>
        <w:sz w:val="20"/>
      </w:rPr>
    </w:lvl>
  </w:abstractNum>
  <w:abstractNum w:abstractNumId="7" w15:restartNumberingAfterBreak="0">
    <w:nsid w:val="6700419F"/>
    <w:multiLevelType w:val="multilevel"/>
    <w:tmpl w:val="66F2C374"/>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sz w:val="20"/>
      </w:rPr>
    </w:lvl>
    <w:lvl w:ilvl="2">
      <w:start w:val="1"/>
      <w:numFmt w:val="bullet"/>
      <w:lvlText w:val="▪"/>
      <w:lvlJc w:val="left"/>
      <w:pPr>
        <w:tabs>
          <w:tab w:val="num" w:pos="1440"/>
        </w:tabs>
        <w:ind w:left="1440" w:hanging="360"/>
      </w:pPr>
      <w:rPr>
        <w:rFonts w:ascii="OpenSymbol" w:hAnsi="OpenSymbol" w:cs="OpenSymbol" w:hint="default"/>
        <w:sz w:val="20"/>
      </w:rPr>
    </w:lvl>
    <w:lvl w:ilvl="3">
      <w:start w:val="1"/>
      <w:numFmt w:val="bullet"/>
      <w:lvlText w:val=""/>
      <w:lvlJc w:val="left"/>
      <w:pPr>
        <w:tabs>
          <w:tab w:val="num" w:pos="1800"/>
        </w:tabs>
        <w:ind w:left="1800" w:hanging="360"/>
      </w:pPr>
      <w:rPr>
        <w:rFonts w:ascii="Symbol" w:hAnsi="Symbol" w:cs="OpenSymbol" w:hint="default"/>
        <w:sz w:val="20"/>
      </w:rPr>
    </w:lvl>
    <w:lvl w:ilvl="4">
      <w:start w:val="1"/>
      <w:numFmt w:val="bullet"/>
      <w:lvlText w:val="◦"/>
      <w:lvlJc w:val="left"/>
      <w:pPr>
        <w:tabs>
          <w:tab w:val="num" w:pos="2160"/>
        </w:tabs>
        <w:ind w:left="2160" w:hanging="360"/>
      </w:pPr>
      <w:rPr>
        <w:rFonts w:ascii="OpenSymbol" w:hAnsi="OpenSymbol" w:cs="OpenSymbol" w:hint="default"/>
        <w:sz w:val="20"/>
      </w:rPr>
    </w:lvl>
    <w:lvl w:ilvl="5">
      <w:start w:val="1"/>
      <w:numFmt w:val="bullet"/>
      <w:lvlText w:val="▪"/>
      <w:lvlJc w:val="left"/>
      <w:pPr>
        <w:tabs>
          <w:tab w:val="num" w:pos="2520"/>
        </w:tabs>
        <w:ind w:left="2520" w:hanging="360"/>
      </w:pPr>
      <w:rPr>
        <w:rFonts w:ascii="OpenSymbol" w:hAnsi="OpenSymbol" w:cs="OpenSymbol" w:hint="default"/>
        <w:sz w:val="20"/>
      </w:rPr>
    </w:lvl>
    <w:lvl w:ilvl="6">
      <w:start w:val="1"/>
      <w:numFmt w:val="bullet"/>
      <w:lvlText w:val=""/>
      <w:lvlJc w:val="left"/>
      <w:pPr>
        <w:tabs>
          <w:tab w:val="num" w:pos="2880"/>
        </w:tabs>
        <w:ind w:left="2880" w:hanging="360"/>
      </w:pPr>
      <w:rPr>
        <w:rFonts w:ascii="Symbol" w:hAnsi="Symbol" w:cs="OpenSymbol" w:hint="default"/>
        <w:sz w:val="20"/>
      </w:rPr>
    </w:lvl>
    <w:lvl w:ilvl="7">
      <w:start w:val="1"/>
      <w:numFmt w:val="bullet"/>
      <w:lvlText w:val="◦"/>
      <w:lvlJc w:val="left"/>
      <w:pPr>
        <w:tabs>
          <w:tab w:val="num" w:pos="3240"/>
        </w:tabs>
        <w:ind w:left="3240" w:hanging="360"/>
      </w:pPr>
      <w:rPr>
        <w:rFonts w:ascii="OpenSymbol" w:hAnsi="OpenSymbol" w:cs="OpenSymbol" w:hint="default"/>
        <w:sz w:val="20"/>
      </w:rPr>
    </w:lvl>
    <w:lvl w:ilvl="8">
      <w:start w:val="1"/>
      <w:numFmt w:val="bullet"/>
      <w:lvlText w:val="▪"/>
      <w:lvlJc w:val="left"/>
      <w:pPr>
        <w:tabs>
          <w:tab w:val="num" w:pos="3600"/>
        </w:tabs>
        <w:ind w:left="3600" w:hanging="360"/>
      </w:pPr>
      <w:rPr>
        <w:rFonts w:ascii="OpenSymbol" w:hAnsi="OpenSymbol" w:cs="OpenSymbol" w:hint="default"/>
        <w:sz w:val="20"/>
      </w:rPr>
    </w:lvl>
  </w:abstractNum>
  <w:abstractNum w:abstractNumId="8" w15:restartNumberingAfterBreak="0">
    <w:nsid w:val="7A903549"/>
    <w:multiLevelType w:val="multilevel"/>
    <w:tmpl w:val="F0FA564C"/>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sz w:val="20"/>
      </w:rPr>
    </w:lvl>
    <w:lvl w:ilvl="2">
      <w:start w:val="1"/>
      <w:numFmt w:val="bullet"/>
      <w:lvlText w:val="▪"/>
      <w:lvlJc w:val="left"/>
      <w:pPr>
        <w:tabs>
          <w:tab w:val="num" w:pos="1440"/>
        </w:tabs>
        <w:ind w:left="1440" w:hanging="360"/>
      </w:pPr>
      <w:rPr>
        <w:rFonts w:ascii="OpenSymbol" w:hAnsi="OpenSymbol" w:cs="OpenSymbol" w:hint="default"/>
        <w:sz w:val="20"/>
      </w:rPr>
    </w:lvl>
    <w:lvl w:ilvl="3">
      <w:start w:val="1"/>
      <w:numFmt w:val="bullet"/>
      <w:lvlText w:val=""/>
      <w:lvlJc w:val="left"/>
      <w:pPr>
        <w:tabs>
          <w:tab w:val="num" w:pos="1800"/>
        </w:tabs>
        <w:ind w:left="1800" w:hanging="360"/>
      </w:pPr>
      <w:rPr>
        <w:rFonts w:ascii="Symbol" w:hAnsi="Symbol" w:cs="OpenSymbol" w:hint="default"/>
        <w:sz w:val="20"/>
      </w:rPr>
    </w:lvl>
    <w:lvl w:ilvl="4">
      <w:start w:val="1"/>
      <w:numFmt w:val="bullet"/>
      <w:lvlText w:val="◦"/>
      <w:lvlJc w:val="left"/>
      <w:pPr>
        <w:tabs>
          <w:tab w:val="num" w:pos="2160"/>
        </w:tabs>
        <w:ind w:left="2160" w:hanging="360"/>
      </w:pPr>
      <w:rPr>
        <w:rFonts w:ascii="OpenSymbol" w:hAnsi="OpenSymbol" w:cs="OpenSymbol" w:hint="default"/>
        <w:sz w:val="20"/>
      </w:rPr>
    </w:lvl>
    <w:lvl w:ilvl="5">
      <w:start w:val="1"/>
      <w:numFmt w:val="bullet"/>
      <w:lvlText w:val="▪"/>
      <w:lvlJc w:val="left"/>
      <w:pPr>
        <w:tabs>
          <w:tab w:val="num" w:pos="2520"/>
        </w:tabs>
        <w:ind w:left="2520" w:hanging="360"/>
      </w:pPr>
      <w:rPr>
        <w:rFonts w:ascii="OpenSymbol" w:hAnsi="OpenSymbol" w:cs="OpenSymbol" w:hint="default"/>
        <w:sz w:val="20"/>
      </w:rPr>
    </w:lvl>
    <w:lvl w:ilvl="6">
      <w:start w:val="1"/>
      <w:numFmt w:val="bullet"/>
      <w:lvlText w:val=""/>
      <w:lvlJc w:val="left"/>
      <w:pPr>
        <w:tabs>
          <w:tab w:val="num" w:pos="2880"/>
        </w:tabs>
        <w:ind w:left="2880" w:hanging="360"/>
      </w:pPr>
      <w:rPr>
        <w:rFonts w:ascii="Symbol" w:hAnsi="Symbol" w:cs="OpenSymbol" w:hint="default"/>
        <w:sz w:val="20"/>
      </w:rPr>
    </w:lvl>
    <w:lvl w:ilvl="7">
      <w:start w:val="1"/>
      <w:numFmt w:val="bullet"/>
      <w:lvlText w:val="◦"/>
      <w:lvlJc w:val="left"/>
      <w:pPr>
        <w:tabs>
          <w:tab w:val="num" w:pos="3240"/>
        </w:tabs>
        <w:ind w:left="3240" w:hanging="360"/>
      </w:pPr>
      <w:rPr>
        <w:rFonts w:ascii="OpenSymbol" w:hAnsi="OpenSymbol" w:cs="OpenSymbol" w:hint="default"/>
        <w:sz w:val="20"/>
      </w:rPr>
    </w:lvl>
    <w:lvl w:ilvl="8">
      <w:start w:val="1"/>
      <w:numFmt w:val="bullet"/>
      <w:lvlText w:val="▪"/>
      <w:lvlJc w:val="left"/>
      <w:pPr>
        <w:tabs>
          <w:tab w:val="num" w:pos="3600"/>
        </w:tabs>
        <w:ind w:left="3600" w:hanging="360"/>
      </w:pPr>
      <w:rPr>
        <w:rFonts w:ascii="OpenSymbol" w:hAnsi="OpenSymbol" w:cs="OpenSymbol" w:hint="default"/>
        <w:sz w:val="20"/>
      </w:rPr>
    </w:lvl>
  </w:abstractNum>
  <w:abstractNum w:abstractNumId="9" w15:restartNumberingAfterBreak="0">
    <w:nsid w:val="7FB04F32"/>
    <w:multiLevelType w:val="multilevel"/>
    <w:tmpl w:val="E6BA1F7E"/>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sz w:val="20"/>
      </w:rPr>
    </w:lvl>
    <w:lvl w:ilvl="2">
      <w:start w:val="1"/>
      <w:numFmt w:val="bullet"/>
      <w:lvlText w:val="▪"/>
      <w:lvlJc w:val="left"/>
      <w:pPr>
        <w:tabs>
          <w:tab w:val="num" w:pos="1440"/>
        </w:tabs>
        <w:ind w:left="1440" w:hanging="360"/>
      </w:pPr>
      <w:rPr>
        <w:rFonts w:ascii="OpenSymbol" w:hAnsi="OpenSymbol" w:cs="OpenSymbol" w:hint="default"/>
        <w:sz w:val="20"/>
      </w:rPr>
    </w:lvl>
    <w:lvl w:ilvl="3">
      <w:start w:val="1"/>
      <w:numFmt w:val="bullet"/>
      <w:lvlText w:val=""/>
      <w:lvlJc w:val="left"/>
      <w:pPr>
        <w:tabs>
          <w:tab w:val="num" w:pos="1800"/>
        </w:tabs>
        <w:ind w:left="1800" w:hanging="360"/>
      </w:pPr>
      <w:rPr>
        <w:rFonts w:ascii="Symbol" w:hAnsi="Symbol" w:cs="OpenSymbol" w:hint="default"/>
        <w:sz w:val="20"/>
      </w:rPr>
    </w:lvl>
    <w:lvl w:ilvl="4">
      <w:start w:val="1"/>
      <w:numFmt w:val="bullet"/>
      <w:lvlText w:val="◦"/>
      <w:lvlJc w:val="left"/>
      <w:pPr>
        <w:tabs>
          <w:tab w:val="num" w:pos="2160"/>
        </w:tabs>
        <w:ind w:left="2160" w:hanging="360"/>
      </w:pPr>
      <w:rPr>
        <w:rFonts w:ascii="OpenSymbol" w:hAnsi="OpenSymbol" w:cs="OpenSymbol" w:hint="default"/>
        <w:sz w:val="20"/>
      </w:rPr>
    </w:lvl>
    <w:lvl w:ilvl="5">
      <w:start w:val="1"/>
      <w:numFmt w:val="bullet"/>
      <w:lvlText w:val="▪"/>
      <w:lvlJc w:val="left"/>
      <w:pPr>
        <w:tabs>
          <w:tab w:val="num" w:pos="2520"/>
        </w:tabs>
        <w:ind w:left="2520" w:hanging="360"/>
      </w:pPr>
      <w:rPr>
        <w:rFonts w:ascii="OpenSymbol" w:hAnsi="OpenSymbol" w:cs="OpenSymbol" w:hint="default"/>
        <w:sz w:val="20"/>
      </w:rPr>
    </w:lvl>
    <w:lvl w:ilvl="6">
      <w:start w:val="1"/>
      <w:numFmt w:val="bullet"/>
      <w:lvlText w:val=""/>
      <w:lvlJc w:val="left"/>
      <w:pPr>
        <w:tabs>
          <w:tab w:val="num" w:pos="2880"/>
        </w:tabs>
        <w:ind w:left="2880" w:hanging="360"/>
      </w:pPr>
      <w:rPr>
        <w:rFonts w:ascii="Symbol" w:hAnsi="Symbol" w:cs="OpenSymbol" w:hint="default"/>
        <w:sz w:val="20"/>
      </w:rPr>
    </w:lvl>
    <w:lvl w:ilvl="7">
      <w:start w:val="1"/>
      <w:numFmt w:val="bullet"/>
      <w:lvlText w:val="◦"/>
      <w:lvlJc w:val="left"/>
      <w:pPr>
        <w:tabs>
          <w:tab w:val="num" w:pos="3240"/>
        </w:tabs>
        <w:ind w:left="3240" w:hanging="360"/>
      </w:pPr>
      <w:rPr>
        <w:rFonts w:ascii="OpenSymbol" w:hAnsi="OpenSymbol" w:cs="OpenSymbol" w:hint="default"/>
        <w:sz w:val="20"/>
      </w:rPr>
    </w:lvl>
    <w:lvl w:ilvl="8">
      <w:start w:val="1"/>
      <w:numFmt w:val="bullet"/>
      <w:lvlText w:val="▪"/>
      <w:lvlJc w:val="left"/>
      <w:pPr>
        <w:tabs>
          <w:tab w:val="num" w:pos="3600"/>
        </w:tabs>
        <w:ind w:left="3600" w:hanging="360"/>
      </w:pPr>
      <w:rPr>
        <w:rFonts w:ascii="OpenSymbol" w:hAnsi="OpenSymbol" w:cs="OpenSymbol" w:hint="default"/>
        <w:sz w:val="20"/>
      </w:rPr>
    </w:lvl>
  </w:abstractNum>
  <w:abstractNum w:abstractNumId="10" w15:restartNumberingAfterBreak="0">
    <w:nsid w:val="7FB5064C"/>
    <w:multiLevelType w:val="multilevel"/>
    <w:tmpl w:val="A4887882"/>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sz w:val="20"/>
      </w:rPr>
    </w:lvl>
    <w:lvl w:ilvl="2">
      <w:start w:val="1"/>
      <w:numFmt w:val="bullet"/>
      <w:lvlText w:val="▪"/>
      <w:lvlJc w:val="left"/>
      <w:pPr>
        <w:tabs>
          <w:tab w:val="num" w:pos="1440"/>
        </w:tabs>
        <w:ind w:left="1440" w:hanging="360"/>
      </w:pPr>
      <w:rPr>
        <w:rFonts w:ascii="OpenSymbol" w:hAnsi="OpenSymbol" w:cs="OpenSymbol" w:hint="default"/>
        <w:sz w:val="20"/>
      </w:rPr>
    </w:lvl>
    <w:lvl w:ilvl="3">
      <w:start w:val="1"/>
      <w:numFmt w:val="bullet"/>
      <w:lvlText w:val=""/>
      <w:lvlJc w:val="left"/>
      <w:pPr>
        <w:tabs>
          <w:tab w:val="num" w:pos="1800"/>
        </w:tabs>
        <w:ind w:left="1800" w:hanging="360"/>
      </w:pPr>
      <w:rPr>
        <w:rFonts w:ascii="Symbol" w:hAnsi="Symbol" w:cs="OpenSymbol" w:hint="default"/>
        <w:sz w:val="20"/>
      </w:rPr>
    </w:lvl>
    <w:lvl w:ilvl="4">
      <w:start w:val="1"/>
      <w:numFmt w:val="bullet"/>
      <w:lvlText w:val="◦"/>
      <w:lvlJc w:val="left"/>
      <w:pPr>
        <w:tabs>
          <w:tab w:val="num" w:pos="2160"/>
        </w:tabs>
        <w:ind w:left="2160" w:hanging="360"/>
      </w:pPr>
      <w:rPr>
        <w:rFonts w:ascii="OpenSymbol" w:hAnsi="OpenSymbol" w:cs="OpenSymbol" w:hint="default"/>
        <w:sz w:val="20"/>
      </w:rPr>
    </w:lvl>
    <w:lvl w:ilvl="5">
      <w:start w:val="1"/>
      <w:numFmt w:val="bullet"/>
      <w:lvlText w:val="▪"/>
      <w:lvlJc w:val="left"/>
      <w:pPr>
        <w:tabs>
          <w:tab w:val="num" w:pos="2520"/>
        </w:tabs>
        <w:ind w:left="2520" w:hanging="360"/>
      </w:pPr>
      <w:rPr>
        <w:rFonts w:ascii="OpenSymbol" w:hAnsi="OpenSymbol" w:cs="OpenSymbol" w:hint="default"/>
        <w:sz w:val="20"/>
      </w:rPr>
    </w:lvl>
    <w:lvl w:ilvl="6">
      <w:start w:val="1"/>
      <w:numFmt w:val="bullet"/>
      <w:lvlText w:val=""/>
      <w:lvlJc w:val="left"/>
      <w:pPr>
        <w:tabs>
          <w:tab w:val="num" w:pos="2880"/>
        </w:tabs>
        <w:ind w:left="2880" w:hanging="360"/>
      </w:pPr>
      <w:rPr>
        <w:rFonts w:ascii="Symbol" w:hAnsi="Symbol" w:cs="OpenSymbol" w:hint="default"/>
        <w:sz w:val="20"/>
      </w:rPr>
    </w:lvl>
    <w:lvl w:ilvl="7">
      <w:start w:val="1"/>
      <w:numFmt w:val="bullet"/>
      <w:lvlText w:val="◦"/>
      <w:lvlJc w:val="left"/>
      <w:pPr>
        <w:tabs>
          <w:tab w:val="num" w:pos="3240"/>
        </w:tabs>
        <w:ind w:left="3240" w:hanging="360"/>
      </w:pPr>
      <w:rPr>
        <w:rFonts w:ascii="OpenSymbol" w:hAnsi="OpenSymbol" w:cs="OpenSymbol" w:hint="default"/>
        <w:sz w:val="20"/>
      </w:rPr>
    </w:lvl>
    <w:lvl w:ilvl="8">
      <w:start w:val="1"/>
      <w:numFmt w:val="bullet"/>
      <w:lvlText w:val="▪"/>
      <w:lvlJc w:val="left"/>
      <w:pPr>
        <w:tabs>
          <w:tab w:val="num" w:pos="3600"/>
        </w:tabs>
        <w:ind w:left="3600" w:hanging="360"/>
      </w:pPr>
      <w:rPr>
        <w:rFonts w:ascii="OpenSymbol" w:hAnsi="OpenSymbol" w:cs="OpenSymbol" w:hint="default"/>
        <w:sz w:val="20"/>
      </w:rPr>
    </w:lvl>
  </w:abstractNum>
  <w:num w:numId="1">
    <w:abstractNumId w:val="2"/>
  </w:num>
  <w:num w:numId="2">
    <w:abstractNumId w:val="10"/>
  </w:num>
  <w:num w:numId="3">
    <w:abstractNumId w:val="3"/>
  </w:num>
  <w:num w:numId="4">
    <w:abstractNumId w:val="1"/>
  </w:num>
  <w:num w:numId="5">
    <w:abstractNumId w:val="5"/>
  </w:num>
  <w:num w:numId="6">
    <w:abstractNumId w:val="0"/>
  </w:num>
  <w:num w:numId="7">
    <w:abstractNumId w:val="6"/>
  </w:num>
  <w:num w:numId="8">
    <w:abstractNumId w:val="4"/>
  </w:num>
  <w:num w:numId="9">
    <w:abstractNumId w:val="7"/>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925"/>
    <w:rsid w:val="0000613C"/>
    <w:rsid w:val="00026F1B"/>
    <w:rsid w:val="000300A6"/>
    <w:rsid w:val="000409FC"/>
    <w:rsid w:val="000420F2"/>
    <w:rsid w:val="0005335D"/>
    <w:rsid w:val="000771C6"/>
    <w:rsid w:val="00077410"/>
    <w:rsid w:val="00092854"/>
    <w:rsid w:val="000C277E"/>
    <w:rsid w:val="000D059D"/>
    <w:rsid w:val="000D2522"/>
    <w:rsid w:val="000F2119"/>
    <w:rsid w:val="00103660"/>
    <w:rsid w:val="00110E61"/>
    <w:rsid w:val="001122DC"/>
    <w:rsid w:val="0012026F"/>
    <w:rsid w:val="001209C9"/>
    <w:rsid w:val="001271A2"/>
    <w:rsid w:val="001352DB"/>
    <w:rsid w:val="00141FFC"/>
    <w:rsid w:val="0015744E"/>
    <w:rsid w:val="001610A1"/>
    <w:rsid w:val="001643FA"/>
    <w:rsid w:val="001759EB"/>
    <w:rsid w:val="00181072"/>
    <w:rsid w:val="001A4F6A"/>
    <w:rsid w:val="001B5C59"/>
    <w:rsid w:val="001C1CE4"/>
    <w:rsid w:val="001D3317"/>
    <w:rsid w:val="001D36E2"/>
    <w:rsid w:val="001D6992"/>
    <w:rsid w:val="001D6DF8"/>
    <w:rsid w:val="0020796A"/>
    <w:rsid w:val="00246F40"/>
    <w:rsid w:val="00254A24"/>
    <w:rsid w:val="00265585"/>
    <w:rsid w:val="002875AF"/>
    <w:rsid w:val="0029102E"/>
    <w:rsid w:val="00291BB9"/>
    <w:rsid w:val="002A6995"/>
    <w:rsid w:val="002B32C6"/>
    <w:rsid w:val="002C0723"/>
    <w:rsid w:val="002C46A4"/>
    <w:rsid w:val="002D4EF1"/>
    <w:rsid w:val="002D7F73"/>
    <w:rsid w:val="002E37E5"/>
    <w:rsid w:val="002F1D60"/>
    <w:rsid w:val="00315B8B"/>
    <w:rsid w:val="00343FE1"/>
    <w:rsid w:val="00357686"/>
    <w:rsid w:val="00357D83"/>
    <w:rsid w:val="00362C55"/>
    <w:rsid w:val="00372040"/>
    <w:rsid w:val="003972B7"/>
    <w:rsid w:val="00397B37"/>
    <w:rsid w:val="003A4707"/>
    <w:rsid w:val="003C51FC"/>
    <w:rsid w:val="00403E8B"/>
    <w:rsid w:val="00412266"/>
    <w:rsid w:val="004132B4"/>
    <w:rsid w:val="00413FC8"/>
    <w:rsid w:val="00422EBA"/>
    <w:rsid w:val="00425EE0"/>
    <w:rsid w:val="0044030A"/>
    <w:rsid w:val="00470777"/>
    <w:rsid w:val="004728C0"/>
    <w:rsid w:val="004745B7"/>
    <w:rsid w:val="00481056"/>
    <w:rsid w:val="00491865"/>
    <w:rsid w:val="004F085B"/>
    <w:rsid w:val="00545FE7"/>
    <w:rsid w:val="0055239C"/>
    <w:rsid w:val="005616C7"/>
    <w:rsid w:val="00561E18"/>
    <w:rsid w:val="0056346B"/>
    <w:rsid w:val="00563CA8"/>
    <w:rsid w:val="00577E50"/>
    <w:rsid w:val="005A198E"/>
    <w:rsid w:val="005A29B1"/>
    <w:rsid w:val="005F5C48"/>
    <w:rsid w:val="00600215"/>
    <w:rsid w:val="006045DA"/>
    <w:rsid w:val="00640EAF"/>
    <w:rsid w:val="00652264"/>
    <w:rsid w:val="006650ED"/>
    <w:rsid w:val="006676E7"/>
    <w:rsid w:val="00676CBD"/>
    <w:rsid w:val="00677704"/>
    <w:rsid w:val="00692714"/>
    <w:rsid w:val="006959A7"/>
    <w:rsid w:val="006A02CB"/>
    <w:rsid w:val="006A5166"/>
    <w:rsid w:val="006B7539"/>
    <w:rsid w:val="006D2F86"/>
    <w:rsid w:val="006F0C54"/>
    <w:rsid w:val="006F6F64"/>
    <w:rsid w:val="007050A2"/>
    <w:rsid w:val="00705795"/>
    <w:rsid w:val="00713360"/>
    <w:rsid w:val="00714760"/>
    <w:rsid w:val="0072168C"/>
    <w:rsid w:val="0074618E"/>
    <w:rsid w:val="00764191"/>
    <w:rsid w:val="00767E94"/>
    <w:rsid w:val="007757E2"/>
    <w:rsid w:val="00785E88"/>
    <w:rsid w:val="007970DD"/>
    <w:rsid w:val="00797641"/>
    <w:rsid w:val="007A0925"/>
    <w:rsid w:val="007A3B7C"/>
    <w:rsid w:val="007C42D7"/>
    <w:rsid w:val="007D7ACC"/>
    <w:rsid w:val="007E3AA6"/>
    <w:rsid w:val="007F2F5E"/>
    <w:rsid w:val="007F45C4"/>
    <w:rsid w:val="00802A78"/>
    <w:rsid w:val="0081544B"/>
    <w:rsid w:val="00822407"/>
    <w:rsid w:val="00826675"/>
    <w:rsid w:val="008343B6"/>
    <w:rsid w:val="008606E9"/>
    <w:rsid w:val="00874A41"/>
    <w:rsid w:val="008912DD"/>
    <w:rsid w:val="008919D1"/>
    <w:rsid w:val="008922B1"/>
    <w:rsid w:val="008B0015"/>
    <w:rsid w:val="008D0724"/>
    <w:rsid w:val="008F6700"/>
    <w:rsid w:val="009044FB"/>
    <w:rsid w:val="0093632F"/>
    <w:rsid w:val="00943FB3"/>
    <w:rsid w:val="00962855"/>
    <w:rsid w:val="00981AC6"/>
    <w:rsid w:val="00982EAF"/>
    <w:rsid w:val="0099705C"/>
    <w:rsid w:val="009A0136"/>
    <w:rsid w:val="009B5233"/>
    <w:rsid w:val="009D42C1"/>
    <w:rsid w:val="009F237E"/>
    <w:rsid w:val="00A25503"/>
    <w:rsid w:val="00A31169"/>
    <w:rsid w:val="00A50A84"/>
    <w:rsid w:val="00A55477"/>
    <w:rsid w:val="00A66513"/>
    <w:rsid w:val="00A667F1"/>
    <w:rsid w:val="00A734A5"/>
    <w:rsid w:val="00A96F6C"/>
    <w:rsid w:val="00AD5DD1"/>
    <w:rsid w:val="00AD7621"/>
    <w:rsid w:val="00AF268D"/>
    <w:rsid w:val="00AF5D10"/>
    <w:rsid w:val="00B0240F"/>
    <w:rsid w:val="00B05699"/>
    <w:rsid w:val="00B0774F"/>
    <w:rsid w:val="00B122DF"/>
    <w:rsid w:val="00B20CC6"/>
    <w:rsid w:val="00B2353B"/>
    <w:rsid w:val="00B4502A"/>
    <w:rsid w:val="00B50912"/>
    <w:rsid w:val="00B558BF"/>
    <w:rsid w:val="00B57F4C"/>
    <w:rsid w:val="00BA1A58"/>
    <w:rsid w:val="00BB6A96"/>
    <w:rsid w:val="00BC4381"/>
    <w:rsid w:val="00BD393B"/>
    <w:rsid w:val="00BD4107"/>
    <w:rsid w:val="00BE7351"/>
    <w:rsid w:val="00BF578B"/>
    <w:rsid w:val="00C00A3E"/>
    <w:rsid w:val="00C0188B"/>
    <w:rsid w:val="00C032DE"/>
    <w:rsid w:val="00C12E69"/>
    <w:rsid w:val="00C17DDB"/>
    <w:rsid w:val="00C21E73"/>
    <w:rsid w:val="00C27843"/>
    <w:rsid w:val="00C306B4"/>
    <w:rsid w:val="00C37FB2"/>
    <w:rsid w:val="00C43554"/>
    <w:rsid w:val="00C51EAF"/>
    <w:rsid w:val="00C55A21"/>
    <w:rsid w:val="00C81AE6"/>
    <w:rsid w:val="00CA2EB9"/>
    <w:rsid w:val="00CD2CDC"/>
    <w:rsid w:val="00CD49DE"/>
    <w:rsid w:val="00CE17D1"/>
    <w:rsid w:val="00CF672F"/>
    <w:rsid w:val="00D10638"/>
    <w:rsid w:val="00D30BF2"/>
    <w:rsid w:val="00D4493F"/>
    <w:rsid w:val="00D5047F"/>
    <w:rsid w:val="00D6716A"/>
    <w:rsid w:val="00D74A20"/>
    <w:rsid w:val="00D849BA"/>
    <w:rsid w:val="00DA29C5"/>
    <w:rsid w:val="00DA4B12"/>
    <w:rsid w:val="00DB1473"/>
    <w:rsid w:val="00DD281B"/>
    <w:rsid w:val="00DE7E30"/>
    <w:rsid w:val="00DF3889"/>
    <w:rsid w:val="00DF3C82"/>
    <w:rsid w:val="00DF48B2"/>
    <w:rsid w:val="00DF56EA"/>
    <w:rsid w:val="00E00BB6"/>
    <w:rsid w:val="00E139A0"/>
    <w:rsid w:val="00E35182"/>
    <w:rsid w:val="00E816C6"/>
    <w:rsid w:val="00E870BA"/>
    <w:rsid w:val="00EB5C93"/>
    <w:rsid w:val="00EC1051"/>
    <w:rsid w:val="00EC1772"/>
    <w:rsid w:val="00EC1EB9"/>
    <w:rsid w:val="00F061D5"/>
    <w:rsid w:val="00F200E6"/>
    <w:rsid w:val="00F219F4"/>
    <w:rsid w:val="00F26BF6"/>
    <w:rsid w:val="00F5462E"/>
    <w:rsid w:val="00F577F1"/>
    <w:rsid w:val="00F62A8B"/>
    <w:rsid w:val="00F631F3"/>
    <w:rsid w:val="00F64F9D"/>
    <w:rsid w:val="00F666B4"/>
    <w:rsid w:val="00F73CDD"/>
    <w:rsid w:val="00FB2777"/>
    <w:rsid w:val="00FB59D8"/>
    <w:rsid w:val="00FC68F9"/>
    <w:rsid w:val="00FE07F8"/>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11FF1"/>
  <w15:docId w15:val="{0CAFC62C-3108-425A-A3D7-529CE6F2B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925"/>
    <w:rPr>
      <w:rFonts w:ascii="Calibri" w:eastAsia="Calibri" w:hAnsi="Calibri" w:cs="Times New Roman"/>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legamentoInternet">
    <w:name w:val="Collegamento Internet"/>
    <w:basedOn w:val="DefaultParagraphFont"/>
    <w:rsid w:val="007A0925"/>
    <w:rPr>
      <w:rFonts w:cs="Times New Roman"/>
      <w:color w:val="0000FF"/>
      <w:u w:val="single"/>
    </w:rPr>
  </w:style>
  <w:style w:type="character" w:customStyle="1" w:styleId="A8136">
    <w:name w:val="A8++136"/>
    <w:qFormat/>
    <w:rsid w:val="007A0925"/>
    <w:rPr>
      <w:color w:val="000000"/>
    </w:rPr>
  </w:style>
  <w:style w:type="paragraph" w:styleId="NormalWeb">
    <w:name w:val="Normal (Web)"/>
    <w:basedOn w:val="Normal"/>
    <w:qFormat/>
    <w:rsid w:val="007A0925"/>
    <w:pPr>
      <w:spacing w:before="280" w:after="280" w:line="240" w:lineRule="auto"/>
    </w:pPr>
    <w:rPr>
      <w:rFonts w:ascii="Times New Roman" w:eastAsia="Times New Roman" w:hAnsi="Times New Roman"/>
      <w:sz w:val="24"/>
      <w:szCs w:val="24"/>
      <w:lang w:eastAsia="it-IT"/>
    </w:rPr>
  </w:style>
  <w:style w:type="paragraph" w:styleId="BalloonText">
    <w:name w:val="Balloon Text"/>
    <w:basedOn w:val="Normal"/>
    <w:link w:val="BalloonTextChar"/>
    <w:uiPriority w:val="99"/>
    <w:semiHidden/>
    <w:unhideWhenUsed/>
    <w:rsid w:val="007A0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925"/>
    <w:rPr>
      <w:rFonts w:ascii="Tahoma" w:eastAsia="Calibri" w:hAnsi="Tahoma" w:cs="Tahoma"/>
      <w:color w:val="00000A"/>
      <w:sz w:val="16"/>
      <w:szCs w:val="16"/>
    </w:rPr>
  </w:style>
  <w:style w:type="paragraph" w:styleId="CommentText">
    <w:name w:val="annotation text"/>
    <w:basedOn w:val="Normal"/>
    <w:link w:val="CommentTextChar"/>
    <w:unhideWhenUsed/>
    <w:rsid w:val="0093632F"/>
    <w:pPr>
      <w:spacing w:line="240" w:lineRule="auto"/>
    </w:pPr>
    <w:rPr>
      <w:sz w:val="20"/>
      <w:szCs w:val="20"/>
    </w:rPr>
  </w:style>
  <w:style w:type="character" w:customStyle="1" w:styleId="CommentTextChar">
    <w:name w:val="Comment Text Char"/>
    <w:basedOn w:val="DefaultParagraphFont"/>
    <w:link w:val="CommentText"/>
    <w:rsid w:val="0093632F"/>
    <w:rPr>
      <w:rFonts w:ascii="Calibri" w:eastAsia="Calibri" w:hAnsi="Calibri" w:cs="Times New Roman"/>
      <w:color w:val="00000A"/>
      <w:sz w:val="20"/>
      <w:szCs w:val="20"/>
    </w:rPr>
  </w:style>
  <w:style w:type="character" w:styleId="CommentReference">
    <w:name w:val="annotation reference"/>
    <w:basedOn w:val="DefaultParagraphFont"/>
    <w:uiPriority w:val="99"/>
    <w:semiHidden/>
    <w:unhideWhenUsed/>
    <w:rsid w:val="0093632F"/>
    <w:rPr>
      <w:sz w:val="16"/>
      <w:szCs w:val="16"/>
    </w:rPr>
  </w:style>
  <w:style w:type="paragraph" w:customStyle="1" w:styleId="Contenutotabella">
    <w:name w:val="Contenuto tabella"/>
    <w:basedOn w:val="Normal"/>
    <w:qFormat/>
    <w:rsid w:val="00B122DF"/>
  </w:style>
  <w:style w:type="paragraph" w:styleId="CommentSubject">
    <w:name w:val="annotation subject"/>
    <w:basedOn w:val="CommentText"/>
    <w:next w:val="CommentText"/>
    <w:link w:val="CommentSubjectChar"/>
    <w:uiPriority w:val="99"/>
    <w:semiHidden/>
    <w:unhideWhenUsed/>
    <w:rsid w:val="00246F40"/>
    <w:rPr>
      <w:b/>
      <w:bCs/>
    </w:rPr>
  </w:style>
  <w:style w:type="character" w:customStyle="1" w:styleId="CommentSubjectChar">
    <w:name w:val="Comment Subject Char"/>
    <w:basedOn w:val="CommentTextChar"/>
    <w:link w:val="CommentSubject"/>
    <w:uiPriority w:val="99"/>
    <w:semiHidden/>
    <w:rsid w:val="00246F40"/>
    <w:rPr>
      <w:rFonts w:ascii="Calibri" w:eastAsia="Calibri" w:hAnsi="Calibri" w:cs="Times New Roman"/>
      <w:b/>
      <w:bCs/>
      <w:color w:val="00000A"/>
      <w:sz w:val="20"/>
      <w:szCs w:val="20"/>
    </w:rPr>
  </w:style>
  <w:style w:type="paragraph" w:styleId="Revision">
    <w:name w:val="Revision"/>
    <w:hidden/>
    <w:uiPriority w:val="99"/>
    <w:semiHidden/>
    <w:rsid w:val="00EC1051"/>
    <w:pPr>
      <w:spacing w:after="0" w:line="240" w:lineRule="auto"/>
    </w:pPr>
    <w:rPr>
      <w:rFonts w:ascii="Calibri" w:eastAsia="Calibri" w:hAnsi="Calibri" w:cs="Times New Roman"/>
      <w:color w:val="00000A"/>
    </w:rPr>
  </w:style>
  <w:style w:type="character" w:styleId="Strong">
    <w:name w:val="Strong"/>
    <w:basedOn w:val="DefaultParagraphFont"/>
    <w:uiPriority w:val="22"/>
    <w:qFormat/>
    <w:rsid w:val="00362C55"/>
    <w:rPr>
      <w:b/>
      <w:bCs/>
    </w:rPr>
  </w:style>
  <w:style w:type="table" w:styleId="TableGrid">
    <w:name w:val="Table Grid"/>
    <w:basedOn w:val="TableNormal"/>
    <w:uiPriority w:val="59"/>
    <w:rsid w:val="00A50A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4707"/>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3A4707"/>
    <w:rPr>
      <w:rFonts w:ascii="Calibri" w:eastAsia="Calibri" w:hAnsi="Calibri" w:cs="Times New Roman"/>
      <w:color w:val="00000A"/>
      <w:sz w:val="18"/>
      <w:szCs w:val="18"/>
    </w:rPr>
  </w:style>
  <w:style w:type="paragraph" w:styleId="Footer">
    <w:name w:val="footer"/>
    <w:basedOn w:val="Normal"/>
    <w:link w:val="FooterChar"/>
    <w:uiPriority w:val="99"/>
    <w:unhideWhenUsed/>
    <w:rsid w:val="003A4707"/>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3A4707"/>
    <w:rPr>
      <w:rFonts w:ascii="Calibri" w:eastAsia="Calibri" w:hAnsi="Calibri" w:cs="Times New Roman"/>
      <w:color w:val="00000A"/>
      <w:sz w:val="18"/>
      <w:szCs w:val="18"/>
    </w:rPr>
  </w:style>
  <w:style w:type="character" w:styleId="Hyperlink">
    <w:name w:val="Hyperlink"/>
    <w:rsid w:val="00BD393B"/>
    <w:rPr>
      <w:color w:val="0000FF"/>
      <w:u w:val="single"/>
    </w:rPr>
  </w:style>
  <w:style w:type="character" w:customStyle="1" w:styleId="apple-converted-space">
    <w:name w:val="apple-converted-space"/>
    <w:basedOn w:val="DefaultParagraphFont"/>
    <w:rsid w:val="00422E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8388710">
      <w:bodyDiv w:val="1"/>
      <w:marLeft w:val="0"/>
      <w:marRight w:val="0"/>
      <w:marTop w:val="0"/>
      <w:marBottom w:val="0"/>
      <w:divBdr>
        <w:top w:val="none" w:sz="0" w:space="0" w:color="auto"/>
        <w:left w:val="none" w:sz="0" w:space="0" w:color="auto"/>
        <w:bottom w:val="none" w:sz="0" w:space="0" w:color="auto"/>
        <w:right w:val="none" w:sz="0" w:space="0" w:color="auto"/>
      </w:divBdr>
    </w:div>
    <w:div w:id="204305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4BC50C-98E9-400A-9B5C-1473592FD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97027</Words>
  <Characters>553054</Characters>
  <Application>Microsoft Office Word</Application>
  <DocSecurity>0</DocSecurity>
  <Lines>4608</Lines>
  <Paragraphs>1297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648784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Bolondi</dc:creator>
  <cp:lastModifiedBy>LS Ma</cp:lastModifiedBy>
  <cp:revision>2</cp:revision>
  <dcterms:created xsi:type="dcterms:W3CDTF">2016-06-02T04:48:00Z</dcterms:created>
  <dcterms:modified xsi:type="dcterms:W3CDTF">2016-06-02T04:48:00Z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giuliano.bolondi.gb@gmail.com@www.mendeley.com</vt:lpwstr>
  </property>
  <property fmtid="{D5CDD505-2E9C-101B-9397-08002B2CF9AE}" pid="4" name="Mendeley Citation Style_1">
    <vt:lpwstr>http://www.zotero.org/styles/world-journal-of-gastroenterology</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http://www.zotero.org/styles/world-journal-of-gastroenterology</vt:lpwstr>
  </property>
  <property fmtid="{D5CDD505-2E9C-101B-9397-08002B2CF9AE}" pid="24" name="Mendeley Recent Style Name 9_1">
    <vt:lpwstr>World Journal of Gastroenterology</vt:lpwstr>
  </property>
</Properties>
</file>