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88536" w14:textId="114C76BA" w:rsidR="00D55BD6" w:rsidRPr="00B83F55" w:rsidRDefault="00D55BD6" w:rsidP="00B83F55">
      <w:pPr>
        <w:spacing w:line="360" w:lineRule="auto"/>
        <w:jc w:val="both"/>
        <w:rPr>
          <w:rFonts w:ascii="Book Antiqua" w:eastAsia="宋体" w:hAnsi="Book Antiqua"/>
          <w:b/>
          <w:i/>
          <w:lang w:eastAsia="zh-CN"/>
        </w:rPr>
      </w:pPr>
      <w:r w:rsidRPr="009F42E6">
        <w:rPr>
          <w:rFonts w:ascii="Book Antiqua" w:hAnsi="Book Antiqua"/>
          <w:b/>
        </w:rPr>
        <w:t xml:space="preserve">Name of Journal: </w:t>
      </w:r>
      <w:r w:rsidRPr="009F42E6">
        <w:rPr>
          <w:rFonts w:ascii="Book Antiqua" w:hAnsi="Book Antiqua"/>
          <w:b/>
          <w:i/>
        </w:rPr>
        <w:t>World Journa</w:t>
      </w:r>
      <w:r w:rsidR="00B83F55">
        <w:rPr>
          <w:rFonts w:ascii="Book Antiqua" w:hAnsi="Book Antiqua"/>
          <w:b/>
          <w:i/>
        </w:rPr>
        <w:t>l of Gastrointestinal Endoscopy</w:t>
      </w:r>
    </w:p>
    <w:p w14:paraId="6F5B571E" w14:textId="55ECE177" w:rsidR="00D55BD6" w:rsidRPr="009F42E6" w:rsidRDefault="00D55BD6" w:rsidP="00B83F55">
      <w:pPr>
        <w:spacing w:line="360" w:lineRule="auto"/>
        <w:jc w:val="both"/>
        <w:rPr>
          <w:rFonts w:ascii="Book Antiqua" w:hAnsi="Book Antiqua"/>
          <w:b/>
        </w:rPr>
      </w:pPr>
      <w:r w:rsidRPr="009F42E6">
        <w:rPr>
          <w:rFonts w:ascii="Book Antiqua" w:hAnsi="Book Antiqua"/>
          <w:b/>
        </w:rPr>
        <w:t>ESPS Manuscript No</w:t>
      </w:r>
      <w:r w:rsidR="0081592C" w:rsidRPr="009F42E6">
        <w:rPr>
          <w:rFonts w:ascii="Book Antiqua" w:hAnsi="Book Antiqua"/>
          <w:b/>
        </w:rPr>
        <w:t>. 2</w:t>
      </w:r>
      <w:r w:rsidR="00975381" w:rsidRPr="009F42E6">
        <w:rPr>
          <w:rFonts w:ascii="Book Antiqua" w:hAnsi="Book Antiqua"/>
          <w:b/>
        </w:rPr>
        <w:t>25900</w:t>
      </w:r>
    </w:p>
    <w:p w14:paraId="6F27A700" w14:textId="435193C9" w:rsidR="00D55BD6" w:rsidRPr="00DA5810" w:rsidRDefault="00D55BD6" w:rsidP="00B83F55">
      <w:pPr>
        <w:spacing w:line="360" w:lineRule="auto"/>
        <w:jc w:val="both"/>
        <w:rPr>
          <w:rFonts w:ascii="Book Antiqua" w:eastAsia="宋体" w:hAnsi="Book Antiqua"/>
          <w:b/>
          <w:lang w:eastAsia="zh-CN"/>
        </w:rPr>
      </w:pPr>
      <w:r w:rsidRPr="009F42E6">
        <w:rPr>
          <w:rFonts w:ascii="Book Antiqua" w:hAnsi="Book Antiqua"/>
          <w:b/>
        </w:rPr>
        <w:t xml:space="preserve">Manuscript type: </w:t>
      </w:r>
      <w:proofErr w:type="spellStart"/>
      <w:r w:rsidR="00DA5810">
        <w:rPr>
          <w:rFonts w:ascii="Book Antiqua" w:eastAsia="宋体" w:hAnsi="Book Antiqua" w:hint="eastAsia"/>
          <w:b/>
          <w:lang w:eastAsia="zh-CN"/>
        </w:rPr>
        <w:t>Minireviews</w:t>
      </w:r>
      <w:proofErr w:type="spellEnd"/>
    </w:p>
    <w:p w14:paraId="73DBA298" w14:textId="77777777" w:rsidR="009F42E6" w:rsidRPr="009F42E6" w:rsidRDefault="009F42E6" w:rsidP="00B83F55">
      <w:pPr>
        <w:spacing w:line="360" w:lineRule="auto"/>
        <w:jc w:val="both"/>
        <w:rPr>
          <w:rFonts w:ascii="Book Antiqua" w:eastAsia="宋体" w:hAnsi="Book Antiqua"/>
          <w:lang w:eastAsia="zh-CN"/>
        </w:rPr>
      </w:pPr>
    </w:p>
    <w:p w14:paraId="134821B4" w14:textId="297A5A74" w:rsidR="00215B54" w:rsidRDefault="00CD1DA1" w:rsidP="00B83F55">
      <w:pPr>
        <w:spacing w:line="360" w:lineRule="auto"/>
        <w:jc w:val="both"/>
        <w:rPr>
          <w:rFonts w:ascii="Book Antiqua" w:eastAsia="宋体" w:hAnsi="Book Antiqua"/>
          <w:b/>
          <w:lang w:eastAsia="zh-CN"/>
        </w:rPr>
      </w:pPr>
      <w:r w:rsidRPr="009F42E6">
        <w:rPr>
          <w:rFonts w:ascii="Book Antiqua" w:hAnsi="Book Antiqua"/>
          <w:b/>
        </w:rPr>
        <w:t xml:space="preserve">Blood </w:t>
      </w:r>
      <w:r w:rsidR="009F42E6" w:rsidRPr="009F42E6">
        <w:rPr>
          <w:rFonts w:ascii="Book Antiqua" w:hAnsi="Book Antiqua"/>
          <w:b/>
        </w:rPr>
        <w:t>thinners and gastrointestinal endoscopy</w:t>
      </w:r>
    </w:p>
    <w:p w14:paraId="6D7D2C33" w14:textId="77777777" w:rsidR="009F42E6" w:rsidRPr="009F42E6" w:rsidRDefault="009F42E6" w:rsidP="00B83F55">
      <w:pPr>
        <w:spacing w:line="360" w:lineRule="auto"/>
        <w:jc w:val="both"/>
        <w:rPr>
          <w:rFonts w:ascii="Book Antiqua" w:eastAsia="宋体" w:hAnsi="Book Antiqua"/>
          <w:b/>
          <w:lang w:eastAsia="zh-CN"/>
        </w:rPr>
      </w:pPr>
    </w:p>
    <w:p w14:paraId="0C7616FF" w14:textId="0F05E219" w:rsidR="009F42E6" w:rsidRPr="005D1DA4" w:rsidRDefault="009F42E6" w:rsidP="00B83F55">
      <w:pPr>
        <w:spacing w:line="360" w:lineRule="auto"/>
        <w:jc w:val="both"/>
        <w:rPr>
          <w:rFonts w:ascii="Book Antiqua" w:eastAsia="宋体" w:hAnsi="Book Antiqua"/>
          <w:lang w:eastAsia="zh-CN"/>
        </w:rPr>
      </w:pPr>
      <w:r w:rsidRPr="005D1DA4">
        <w:rPr>
          <w:rFonts w:ascii="Book Antiqua" w:hAnsi="Book Antiqua"/>
        </w:rPr>
        <w:t>Ahmed</w:t>
      </w:r>
      <w:r w:rsidRPr="005D1DA4">
        <w:rPr>
          <w:rFonts w:ascii="Book Antiqua" w:eastAsia="宋体" w:hAnsi="Book Antiqua" w:hint="eastAsia"/>
          <w:lang w:eastAsia="zh-CN"/>
        </w:rPr>
        <w:t xml:space="preserve"> M</w:t>
      </w:r>
      <w:r w:rsidRPr="005D1DA4">
        <w:rPr>
          <w:rFonts w:ascii="Book Antiqua" w:eastAsia="宋体" w:hAnsi="Book Antiqua" w:hint="eastAsia"/>
          <w:i/>
          <w:lang w:eastAsia="zh-CN"/>
        </w:rPr>
        <w:t xml:space="preserve">. </w:t>
      </w:r>
      <w:r w:rsidRPr="005D1DA4">
        <w:rPr>
          <w:rFonts w:ascii="Book Antiqua" w:eastAsia="宋体" w:hAnsi="Book Antiqua"/>
          <w:lang w:eastAsia="zh-CN"/>
        </w:rPr>
        <w:t>Blood thinners and gastrointestinal endoscopy</w:t>
      </w:r>
    </w:p>
    <w:p w14:paraId="761586A7" w14:textId="77777777" w:rsidR="009F42E6" w:rsidRPr="009F42E6" w:rsidRDefault="009F42E6" w:rsidP="00B83F55">
      <w:pPr>
        <w:spacing w:line="360" w:lineRule="auto"/>
        <w:jc w:val="both"/>
        <w:rPr>
          <w:rFonts w:ascii="Book Antiqua" w:eastAsia="宋体" w:hAnsi="Book Antiqua"/>
          <w:b/>
          <w:lang w:eastAsia="zh-CN"/>
        </w:rPr>
      </w:pPr>
    </w:p>
    <w:p w14:paraId="2E927799" w14:textId="1D5EC0A9" w:rsidR="00B83F55" w:rsidRPr="00B83F55" w:rsidRDefault="009F42E6" w:rsidP="00B83F55">
      <w:pPr>
        <w:spacing w:line="360" w:lineRule="auto"/>
        <w:jc w:val="both"/>
        <w:rPr>
          <w:rFonts w:ascii="Book Antiqua" w:eastAsia="宋体" w:hAnsi="Book Antiqua"/>
          <w:b/>
          <w:lang w:eastAsia="zh-CN"/>
        </w:rPr>
      </w:pPr>
      <w:proofErr w:type="spellStart"/>
      <w:r w:rsidRPr="009F42E6">
        <w:rPr>
          <w:rFonts w:ascii="Book Antiqua" w:hAnsi="Book Antiqua"/>
          <w:b/>
        </w:rPr>
        <w:t>Monjur</w:t>
      </w:r>
      <w:proofErr w:type="spellEnd"/>
      <w:r w:rsidRPr="009F42E6">
        <w:rPr>
          <w:rFonts w:ascii="Book Antiqua" w:hAnsi="Book Antiqua"/>
          <w:b/>
        </w:rPr>
        <w:t xml:space="preserve"> Ahmed</w:t>
      </w:r>
    </w:p>
    <w:p w14:paraId="295CF500" w14:textId="77777777" w:rsidR="009F42E6" w:rsidRPr="009F42E6" w:rsidRDefault="009F42E6" w:rsidP="00B83F55">
      <w:pPr>
        <w:spacing w:line="360" w:lineRule="auto"/>
        <w:jc w:val="both"/>
        <w:rPr>
          <w:rFonts w:ascii="Book Antiqua" w:eastAsia="宋体" w:hAnsi="Book Antiqua"/>
          <w:b/>
          <w:lang w:eastAsia="zh-CN"/>
        </w:rPr>
      </w:pPr>
    </w:p>
    <w:p w14:paraId="63242A69" w14:textId="7B927D73" w:rsidR="009A566E" w:rsidRPr="009F42E6" w:rsidRDefault="009A566E" w:rsidP="00B83F55">
      <w:pPr>
        <w:spacing w:line="360" w:lineRule="auto"/>
        <w:jc w:val="both"/>
        <w:rPr>
          <w:rFonts w:ascii="Book Antiqua" w:eastAsia="宋体" w:hAnsi="Book Antiqua"/>
          <w:lang w:eastAsia="zh-CN"/>
        </w:rPr>
      </w:pPr>
      <w:proofErr w:type="spellStart"/>
      <w:r w:rsidRPr="009F42E6">
        <w:rPr>
          <w:rFonts w:ascii="Book Antiqua" w:hAnsi="Book Antiqua"/>
          <w:b/>
        </w:rPr>
        <w:t>Monjur</w:t>
      </w:r>
      <w:proofErr w:type="spellEnd"/>
      <w:r w:rsidRPr="009F42E6">
        <w:rPr>
          <w:rFonts w:ascii="Book Antiqua" w:hAnsi="Book Antiqua"/>
          <w:b/>
        </w:rPr>
        <w:t xml:space="preserve"> Ahmed,</w:t>
      </w:r>
      <w:r w:rsidRPr="009F42E6">
        <w:rPr>
          <w:rFonts w:ascii="Book Antiqua" w:hAnsi="Book Antiqua"/>
        </w:rPr>
        <w:t xml:space="preserve"> Division of Gastroenterol</w:t>
      </w:r>
      <w:r w:rsidR="006A5CAC" w:rsidRPr="009F42E6">
        <w:rPr>
          <w:rFonts w:ascii="Book Antiqua" w:hAnsi="Book Antiqua"/>
        </w:rPr>
        <w:t>o</w:t>
      </w:r>
      <w:r w:rsidRPr="009F42E6">
        <w:rPr>
          <w:rFonts w:ascii="Book Antiqua" w:hAnsi="Book Antiqua"/>
        </w:rPr>
        <w:t xml:space="preserve">gy and </w:t>
      </w:r>
      <w:proofErr w:type="spellStart"/>
      <w:r w:rsidRPr="009F42E6">
        <w:rPr>
          <w:rFonts w:ascii="Book Antiqua" w:hAnsi="Book Antiqua"/>
        </w:rPr>
        <w:t>Hepatology</w:t>
      </w:r>
      <w:proofErr w:type="spellEnd"/>
      <w:r w:rsidRPr="009F42E6">
        <w:rPr>
          <w:rFonts w:ascii="Book Antiqua" w:hAnsi="Book Antiqua"/>
        </w:rPr>
        <w:t>, Department of Internal Medicine,</w:t>
      </w:r>
      <w:r w:rsidRPr="009F42E6">
        <w:rPr>
          <w:rFonts w:ascii="Book Antiqua" w:eastAsia="宋体" w:hAnsi="Book Antiqua"/>
          <w:lang w:eastAsia="zh-CN"/>
        </w:rPr>
        <w:t xml:space="preserve"> </w:t>
      </w:r>
      <w:r w:rsidRPr="009F42E6">
        <w:rPr>
          <w:rFonts w:ascii="Book Antiqua" w:hAnsi="Book Antiqua"/>
        </w:rPr>
        <w:t>Thomas Jefferson University, Philadelphia, P</w:t>
      </w:r>
      <w:r w:rsidRPr="009F42E6">
        <w:rPr>
          <w:rFonts w:ascii="Book Antiqua" w:eastAsia="宋体" w:hAnsi="Book Antiqua"/>
          <w:lang w:eastAsia="zh-CN"/>
        </w:rPr>
        <w:t xml:space="preserve">A </w:t>
      </w:r>
      <w:r w:rsidRPr="009F42E6">
        <w:rPr>
          <w:rFonts w:ascii="Book Antiqua" w:hAnsi="Book Antiqua"/>
        </w:rPr>
        <w:t>19107, U</w:t>
      </w:r>
      <w:r w:rsidRPr="009F42E6">
        <w:rPr>
          <w:rFonts w:ascii="Book Antiqua" w:eastAsia="宋体" w:hAnsi="Book Antiqua"/>
          <w:lang w:eastAsia="zh-CN"/>
        </w:rPr>
        <w:t xml:space="preserve">nited </w:t>
      </w:r>
      <w:r w:rsidRPr="009F42E6">
        <w:rPr>
          <w:rFonts w:ascii="Book Antiqua" w:hAnsi="Book Antiqua"/>
        </w:rPr>
        <w:t>S</w:t>
      </w:r>
      <w:r w:rsidRPr="009F42E6">
        <w:rPr>
          <w:rFonts w:ascii="Book Antiqua" w:eastAsia="宋体" w:hAnsi="Book Antiqua"/>
          <w:lang w:eastAsia="zh-CN"/>
        </w:rPr>
        <w:t>tates</w:t>
      </w:r>
    </w:p>
    <w:p w14:paraId="09B35B67" w14:textId="77777777" w:rsidR="009F42E6" w:rsidRPr="009F42E6" w:rsidRDefault="009F42E6" w:rsidP="00B83F55">
      <w:pPr>
        <w:spacing w:line="360" w:lineRule="auto"/>
        <w:jc w:val="both"/>
        <w:rPr>
          <w:rFonts w:ascii="Book Antiqua" w:hAnsi="Book Antiqua"/>
        </w:rPr>
      </w:pPr>
    </w:p>
    <w:p w14:paraId="7D7BE997" w14:textId="77777777" w:rsidR="009A566E" w:rsidRDefault="009A566E" w:rsidP="00B83F55">
      <w:pPr>
        <w:spacing w:line="360" w:lineRule="auto"/>
        <w:jc w:val="both"/>
        <w:rPr>
          <w:rFonts w:ascii="Book Antiqua" w:eastAsia="宋体" w:hAnsi="Book Antiqua"/>
          <w:lang w:eastAsia="zh-CN"/>
        </w:rPr>
      </w:pPr>
      <w:r w:rsidRPr="009F42E6">
        <w:rPr>
          <w:rFonts w:ascii="Book Antiqua" w:hAnsi="Book Antiqua"/>
          <w:b/>
        </w:rPr>
        <w:t>Author contributions:</w:t>
      </w:r>
      <w:r w:rsidRPr="009F42E6">
        <w:rPr>
          <w:rFonts w:ascii="Book Antiqua" w:hAnsi="Book Antiqua"/>
        </w:rPr>
        <w:t xml:space="preserve"> Ahmed</w:t>
      </w:r>
      <w:r w:rsidRPr="009F42E6">
        <w:rPr>
          <w:rFonts w:ascii="Book Antiqua" w:eastAsia="宋体" w:hAnsi="Book Antiqua"/>
          <w:lang w:eastAsia="zh-CN"/>
        </w:rPr>
        <w:t xml:space="preserve"> M solely contributed to this work.</w:t>
      </w:r>
    </w:p>
    <w:p w14:paraId="6E2FDBF6" w14:textId="77777777" w:rsidR="009F42E6" w:rsidRPr="009F42E6" w:rsidRDefault="009F42E6" w:rsidP="00B83F55">
      <w:pPr>
        <w:spacing w:line="360" w:lineRule="auto"/>
        <w:jc w:val="both"/>
        <w:rPr>
          <w:rFonts w:ascii="Book Antiqua" w:eastAsia="宋体" w:hAnsi="Book Antiqua"/>
          <w:b/>
          <w:lang w:eastAsia="zh-CN"/>
        </w:rPr>
      </w:pPr>
    </w:p>
    <w:p w14:paraId="7553F356" w14:textId="77777777" w:rsidR="009F42E6" w:rsidRPr="00620464" w:rsidRDefault="009F42E6" w:rsidP="00B83F55">
      <w:pPr>
        <w:autoSpaceDE w:val="0"/>
        <w:autoSpaceDN w:val="0"/>
        <w:adjustRightInd w:val="0"/>
        <w:spacing w:line="360" w:lineRule="auto"/>
        <w:jc w:val="both"/>
        <w:rPr>
          <w:rFonts w:ascii="Book Antiqua" w:hAnsi="Book Antiqua" w:cs="TimesNewRomanPS-BoldItalicMT"/>
          <w:b/>
          <w:bCs/>
          <w:iCs/>
        </w:rPr>
      </w:pPr>
      <w:r w:rsidRPr="00620464">
        <w:rPr>
          <w:rFonts w:ascii="Book Antiqua" w:hAnsi="Book Antiqua" w:cs="TimesNewRomanPS-BoldItalicMT"/>
          <w:b/>
          <w:bCs/>
          <w:iCs/>
        </w:rPr>
        <w:t>Conflict-of-interest</w:t>
      </w:r>
      <w:r w:rsidRPr="00E16264">
        <w:t xml:space="preserve"> </w:t>
      </w:r>
      <w:r w:rsidRPr="00E16264">
        <w:rPr>
          <w:rFonts w:ascii="Book Antiqua" w:hAnsi="Book Antiqua" w:cs="TimesNewRomanPS-BoldItalicMT"/>
          <w:b/>
          <w:bCs/>
          <w:iCs/>
        </w:rPr>
        <w:t>statement</w:t>
      </w:r>
      <w:r w:rsidRPr="00620464">
        <w:rPr>
          <w:rFonts w:ascii="Book Antiqua" w:hAnsi="Book Antiqua" w:cs="TimesNewRomanPS-BoldItalicMT"/>
          <w:b/>
          <w:bCs/>
          <w:iCs/>
        </w:rPr>
        <w:t xml:space="preserve">: </w:t>
      </w:r>
      <w:r w:rsidRPr="00620464">
        <w:rPr>
          <w:rFonts w:ascii="Book Antiqua" w:hAnsi="Book Antiqua"/>
        </w:rPr>
        <w:t>No potential conflicts of interest relevant to this article were reported.</w:t>
      </w:r>
    </w:p>
    <w:p w14:paraId="77EE2FF6" w14:textId="77777777" w:rsidR="009F42E6" w:rsidRPr="009F42E6" w:rsidRDefault="009F42E6" w:rsidP="00B83F55">
      <w:pPr>
        <w:spacing w:line="360" w:lineRule="auto"/>
        <w:jc w:val="both"/>
        <w:rPr>
          <w:rFonts w:ascii="Book Antiqua" w:eastAsia="宋体" w:hAnsi="Book Antiqua"/>
          <w:lang w:eastAsia="zh-CN"/>
        </w:rPr>
      </w:pPr>
    </w:p>
    <w:p w14:paraId="6C6D154C" w14:textId="61042AE3" w:rsidR="009F42E6" w:rsidRDefault="009F42E6" w:rsidP="00B83F55">
      <w:pPr>
        <w:spacing w:line="360" w:lineRule="auto"/>
        <w:jc w:val="both"/>
        <w:rPr>
          <w:rFonts w:ascii="Book Antiqua" w:eastAsia="宋体" w:hAnsi="Book Antiqua"/>
          <w:color w:val="000000"/>
          <w:lang w:eastAsia="zh-CN"/>
        </w:rPr>
      </w:pPr>
      <w:bookmarkStart w:id="0" w:name="OLE_LINK155"/>
      <w:bookmarkStart w:id="1" w:name="OLE_LINK183"/>
      <w:bookmarkStart w:id="2" w:name="OLE_LINK441"/>
      <w:r w:rsidRPr="00164EDB">
        <w:rPr>
          <w:rFonts w:ascii="Book Antiqua" w:hAnsi="Book Antiqua"/>
          <w:b/>
          <w:color w:val="000000"/>
        </w:rPr>
        <w:t xml:space="preserve">Open-Access: </w:t>
      </w:r>
      <w:r w:rsidRPr="00164EDB">
        <w:rPr>
          <w:rFonts w:ascii="Book Antiqua" w:hAnsi="Book Antiqua"/>
          <w:color w:val="000000"/>
        </w:rPr>
        <w:t xml:space="preserve">This article is an open-access </w:t>
      </w:r>
      <w:proofErr w:type="gramStart"/>
      <w:r w:rsidRPr="00164EDB">
        <w:rPr>
          <w:rFonts w:ascii="Book Antiqua" w:hAnsi="Book Antiqua"/>
          <w:color w:val="000000"/>
        </w:rPr>
        <w:t>article which</w:t>
      </w:r>
      <w:proofErr w:type="gramEnd"/>
      <w:r w:rsidRPr="00164EDB">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C0141">
          <w:rPr>
            <w:rStyle w:val="Hyperlink"/>
            <w:rFonts w:ascii="Book Antiqua" w:hAnsi="Book Antiqua"/>
          </w:rPr>
          <w:t>http://creativecommons.org/licenses/by-nc/4.0/</w:t>
        </w:r>
      </w:hyperlink>
    </w:p>
    <w:p w14:paraId="2FD6E5DE" w14:textId="77777777" w:rsidR="009F42E6" w:rsidRPr="009F42E6" w:rsidRDefault="009F42E6" w:rsidP="00B83F55">
      <w:pPr>
        <w:spacing w:line="360" w:lineRule="auto"/>
        <w:jc w:val="both"/>
        <w:rPr>
          <w:rFonts w:ascii="Book Antiqua" w:eastAsia="宋体" w:hAnsi="Book Antiqua"/>
          <w:b/>
          <w:color w:val="000000"/>
          <w:lang w:eastAsia="zh-CN"/>
        </w:rPr>
      </w:pPr>
    </w:p>
    <w:bookmarkEnd w:id="0"/>
    <w:bookmarkEnd w:id="1"/>
    <w:bookmarkEnd w:id="2"/>
    <w:p w14:paraId="644B49A8" w14:textId="77777777" w:rsidR="009F42E6" w:rsidRPr="000D1F92" w:rsidRDefault="009F42E6" w:rsidP="00B83F55">
      <w:pPr>
        <w:spacing w:line="360" w:lineRule="auto"/>
        <w:jc w:val="both"/>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3D1659D7" w14:textId="77777777" w:rsidR="009F42E6" w:rsidRPr="009F42E6" w:rsidRDefault="009F42E6" w:rsidP="00B83F55">
      <w:pPr>
        <w:spacing w:line="360" w:lineRule="auto"/>
        <w:jc w:val="both"/>
        <w:rPr>
          <w:rFonts w:ascii="Book Antiqua" w:eastAsia="宋体" w:hAnsi="Book Antiqua"/>
          <w:lang w:eastAsia="zh-CN"/>
        </w:rPr>
      </w:pPr>
    </w:p>
    <w:p w14:paraId="162D621E" w14:textId="5F7D33C3" w:rsidR="009A566E" w:rsidRPr="009F42E6" w:rsidRDefault="009A566E" w:rsidP="00B83F55">
      <w:pPr>
        <w:spacing w:line="360" w:lineRule="auto"/>
        <w:jc w:val="both"/>
        <w:rPr>
          <w:rFonts w:ascii="Book Antiqua" w:eastAsia="宋体" w:hAnsi="Book Antiqua"/>
          <w:b/>
          <w:lang w:eastAsia="zh-CN"/>
        </w:rPr>
      </w:pPr>
      <w:r w:rsidRPr="009F42E6">
        <w:rPr>
          <w:rFonts w:ascii="Book Antiqua" w:hAnsi="Book Antiqua"/>
          <w:b/>
        </w:rPr>
        <w:lastRenderedPageBreak/>
        <w:t>Correspondence to:</w:t>
      </w:r>
      <w:r w:rsidRPr="009F42E6">
        <w:rPr>
          <w:rFonts w:ascii="Book Antiqua" w:eastAsia="宋体" w:hAnsi="Book Antiqua"/>
          <w:b/>
          <w:lang w:eastAsia="zh-CN"/>
        </w:rPr>
        <w:t xml:space="preserve"> </w:t>
      </w:r>
      <w:proofErr w:type="spellStart"/>
      <w:r w:rsidRPr="009F42E6">
        <w:rPr>
          <w:rFonts w:ascii="Book Antiqua" w:hAnsi="Book Antiqua"/>
          <w:b/>
        </w:rPr>
        <w:t>Monjur</w:t>
      </w:r>
      <w:proofErr w:type="spellEnd"/>
      <w:r w:rsidRPr="009F42E6">
        <w:rPr>
          <w:rFonts w:ascii="Book Antiqua" w:hAnsi="Book Antiqua"/>
          <w:b/>
        </w:rPr>
        <w:t xml:space="preserve"> Ahmed, MD</w:t>
      </w:r>
      <w:r w:rsidRPr="009F42E6">
        <w:rPr>
          <w:rFonts w:ascii="Book Antiqua" w:eastAsia="宋体" w:hAnsi="Book Antiqua"/>
          <w:b/>
          <w:lang w:eastAsia="zh-CN"/>
        </w:rPr>
        <w:t xml:space="preserve">, </w:t>
      </w:r>
      <w:r w:rsidRPr="009F42E6">
        <w:rPr>
          <w:rFonts w:ascii="Book Antiqua" w:hAnsi="Book Antiqua"/>
          <w:b/>
        </w:rPr>
        <w:t>FRCP</w:t>
      </w:r>
      <w:r w:rsidRPr="009F42E6">
        <w:rPr>
          <w:rFonts w:ascii="Book Antiqua" w:eastAsia="宋体" w:hAnsi="Book Antiqua"/>
          <w:b/>
          <w:lang w:eastAsia="zh-CN"/>
        </w:rPr>
        <w:t xml:space="preserve">, </w:t>
      </w:r>
      <w:r w:rsidRPr="009F42E6">
        <w:rPr>
          <w:rFonts w:ascii="Book Antiqua" w:hAnsi="Book Antiqua"/>
        </w:rPr>
        <w:t xml:space="preserve">Division of Gastroenterology and </w:t>
      </w:r>
      <w:proofErr w:type="spellStart"/>
      <w:r w:rsidRPr="009F42E6">
        <w:rPr>
          <w:rFonts w:ascii="Book Antiqua" w:hAnsi="Book Antiqua"/>
        </w:rPr>
        <w:t>Hepatology</w:t>
      </w:r>
      <w:proofErr w:type="spellEnd"/>
      <w:r w:rsidRPr="009F42E6">
        <w:rPr>
          <w:rFonts w:ascii="Book Antiqua" w:eastAsia="宋体" w:hAnsi="Book Antiqua"/>
          <w:lang w:eastAsia="zh-CN"/>
        </w:rPr>
        <w:t>,</w:t>
      </w:r>
      <w:r w:rsidRPr="009F42E6">
        <w:rPr>
          <w:rFonts w:ascii="Book Antiqua" w:eastAsia="宋体" w:hAnsi="Book Antiqua"/>
          <w:b/>
          <w:lang w:eastAsia="zh-CN"/>
        </w:rPr>
        <w:t xml:space="preserve"> </w:t>
      </w:r>
      <w:r w:rsidRPr="009F42E6">
        <w:rPr>
          <w:rFonts w:ascii="Book Antiqua" w:hAnsi="Book Antiqua"/>
        </w:rPr>
        <w:t>Department of Internal Medicine</w:t>
      </w:r>
      <w:r w:rsidRPr="009F42E6">
        <w:rPr>
          <w:rFonts w:ascii="Book Antiqua" w:eastAsia="宋体" w:hAnsi="Book Antiqua"/>
          <w:lang w:eastAsia="zh-CN"/>
        </w:rPr>
        <w:t>,</w:t>
      </w:r>
      <w:r w:rsidRPr="009F42E6">
        <w:rPr>
          <w:rFonts w:ascii="Book Antiqua" w:eastAsia="宋体" w:hAnsi="Book Antiqua"/>
          <w:b/>
          <w:lang w:eastAsia="zh-CN"/>
        </w:rPr>
        <w:t xml:space="preserve"> </w:t>
      </w:r>
      <w:r w:rsidRPr="009F42E6">
        <w:rPr>
          <w:rFonts w:ascii="Book Antiqua" w:hAnsi="Book Antiqua"/>
        </w:rPr>
        <w:t>Thomas Jefferson University</w:t>
      </w:r>
      <w:r w:rsidRPr="009F42E6">
        <w:rPr>
          <w:rFonts w:ascii="Book Antiqua" w:eastAsia="宋体" w:hAnsi="Book Antiqua"/>
          <w:lang w:eastAsia="zh-CN"/>
        </w:rPr>
        <w:t>,</w:t>
      </w:r>
      <w:r w:rsidRPr="009F42E6">
        <w:rPr>
          <w:rFonts w:ascii="Book Antiqua" w:eastAsia="宋体" w:hAnsi="Book Antiqua"/>
          <w:b/>
          <w:lang w:eastAsia="zh-CN"/>
        </w:rPr>
        <w:t xml:space="preserve"> </w:t>
      </w:r>
      <w:r w:rsidRPr="009F42E6">
        <w:rPr>
          <w:rFonts w:ascii="Book Antiqua" w:hAnsi="Book Antiqua"/>
        </w:rPr>
        <w:t>132 South 10</w:t>
      </w:r>
      <w:r w:rsidRPr="009F42E6">
        <w:rPr>
          <w:rFonts w:ascii="Book Antiqua" w:hAnsi="Book Antiqua"/>
          <w:vertAlign w:val="superscript"/>
        </w:rPr>
        <w:t>th</w:t>
      </w:r>
      <w:r w:rsidR="004B106E" w:rsidRPr="009F42E6">
        <w:rPr>
          <w:rFonts w:ascii="Book Antiqua" w:hAnsi="Book Antiqua"/>
        </w:rPr>
        <w:t xml:space="preserve"> Street, Suite 565</w:t>
      </w:r>
      <w:r w:rsidRPr="009F42E6">
        <w:rPr>
          <w:rFonts w:ascii="Book Antiqua" w:hAnsi="Book Antiqua"/>
        </w:rPr>
        <w:t>, Main Building, Philadelphia</w:t>
      </w:r>
      <w:r w:rsidRPr="009F42E6">
        <w:rPr>
          <w:rFonts w:ascii="Book Antiqua" w:eastAsia="宋体" w:hAnsi="Book Antiqua"/>
          <w:lang w:eastAsia="zh-CN"/>
        </w:rPr>
        <w:t xml:space="preserve">, </w:t>
      </w:r>
      <w:r w:rsidRPr="009F42E6">
        <w:rPr>
          <w:rFonts w:ascii="Book Antiqua" w:hAnsi="Book Antiqua"/>
        </w:rPr>
        <w:t>PA 19107, U</w:t>
      </w:r>
      <w:r w:rsidRPr="009F42E6">
        <w:rPr>
          <w:rFonts w:ascii="Book Antiqua" w:eastAsia="宋体" w:hAnsi="Book Antiqua"/>
          <w:lang w:eastAsia="zh-CN"/>
        </w:rPr>
        <w:t xml:space="preserve">nited </w:t>
      </w:r>
      <w:r w:rsidRPr="009F42E6">
        <w:rPr>
          <w:rFonts w:ascii="Book Antiqua" w:hAnsi="Book Antiqua"/>
        </w:rPr>
        <w:t>S</w:t>
      </w:r>
      <w:r w:rsidRPr="009F42E6">
        <w:rPr>
          <w:rFonts w:ascii="Book Antiqua" w:eastAsia="宋体" w:hAnsi="Book Antiqua"/>
          <w:lang w:eastAsia="zh-CN"/>
        </w:rPr>
        <w:t>tates</w:t>
      </w:r>
      <w:r w:rsidRPr="009F42E6">
        <w:rPr>
          <w:rFonts w:ascii="Book Antiqua" w:hAnsi="Book Antiqua"/>
        </w:rPr>
        <w:t>.</w:t>
      </w:r>
      <w:r w:rsidRPr="009F42E6">
        <w:rPr>
          <w:rFonts w:ascii="Book Antiqua" w:eastAsia="宋体" w:hAnsi="Book Antiqua"/>
          <w:lang w:eastAsia="zh-CN"/>
        </w:rPr>
        <w:t xml:space="preserve"> </w:t>
      </w:r>
      <w:hyperlink r:id="rId9" w:history="1">
        <w:r w:rsidRPr="009F42E6">
          <w:rPr>
            <w:rStyle w:val="Hyperlink"/>
            <w:rFonts w:ascii="Book Antiqua" w:hAnsi="Book Antiqua"/>
          </w:rPr>
          <w:t>monjur.ahmed@jefferson.edu</w:t>
        </w:r>
      </w:hyperlink>
    </w:p>
    <w:p w14:paraId="2F49BCB2" w14:textId="6A6F4A41" w:rsidR="009F42E6" w:rsidRDefault="009A566E" w:rsidP="00B83F55">
      <w:pPr>
        <w:spacing w:line="360" w:lineRule="auto"/>
        <w:jc w:val="both"/>
        <w:rPr>
          <w:rFonts w:ascii="Book Antiqua" w:eastAsia="宋体" w:hAnsi="Book Antiqua"/>
          <w:lang w:eastAsia="zh-CN"/>
        </w:rPr>
      </w:pPr>
      <w:r w:rsidRPr="009F42E6">
        <w:rPr>
          <w:rFonts w:ascii="Book Antiqua" w:hAnsi="Book Antiqua"/>
          <w:b/>
        </w:rPr>
        <w:t>Tel</w:t>
      </w:r>
      <w:r w:rsidRPr="009F42E6">
        <w:rPr>
          <w:rFonts w:ascii="Book Antiqua" w:eastAsia="宋体" w:hAnsi="Book Antiqua"/>
          <w:b/>
          <w:lang w:eastAsia="zh-CN"/>
        </w:rPr>
        <w:t>ephone</w:t>
      </w:r>
      <w:r w:rsidRPr="009F42E6">
        <w:rPr>
          <w:rFonts w:ascii="Book Antiqua" w:hAnsi="Book Antiqua"/>
          <w:b/>
        </w:rPr>
        <w:t>:</w:t>
      </w:r>
      <w:r w:rsidRPr="009F42E6">
        <w:rPr>
          <w:rFonts w:ascii="Book Antiqua" w:hAnsi="Book Antiqua"/>
        </w:rPr>
        <w:t xml:space="preserve"> </w:t>
      </w:r>
      <w:r w:rsidRPr="009F42E6">
        <w:rPr>
          <w:rFonts w:ascii="Book Antiqua" w:eastAsia="宋体" w:hAnsi="Book Antiqua"/>
          <w:lang w:eastAsia="zh-CN"/>
        </w:rPr>
        <w:t>+</w:t>
      </w:r>
      <w:r w:rsidR="009F42E6">
        <w:rPr>
          <w:rFonts w:ascii="Book Antiqua" w:hAnsi="Book Antiqua"/>
        </w:rPr>
        <w:t>1-215-952</w:t>
      </w:r>
      <w:r w:rsidRPr="009F42E6">
        <w:rPr>
          <w:rFonts w:ascii="Book Antiqua" w:hAnsi="Book Antiqua"/>
        </w:rPr>
        <w:t>1493</w:t>
      </w:r>
    </w:p>
    <w:p w14:paraId="07C2250A" w14:textId="6FBF8044" w:rsidR="009A566E" w:rsidRPr="009F42E6" w:rsidRDefault="009A566E" w:rsidP="00B83F55">
      <w:pPr>
        <w:spacing w:line="360" w:lineRule="auto"/>
        <w:jc w:val="both"/>
        <w:rPr>
          <w:rFonts w:ascii="Book Antiqua" w:hAnsi="Book Antiqua"/>
        </w:rPr>
      </w:pPr>
      <w:r w:rsidRPr="009F42E6">
        <w:rPr>
          <w:rFonts w:ascii="Book Antiqua" w:hAnsi="Book Antiqua"/>
          <w:b/>
        </w:rPr>
        <w:t>Fax:</w:t>
      </w:r>
      <w:r w:rsidR="009F42E6">
        <w:rPr>
          <w:rFonts w:ascii="Book Antiqua" w:hAnsi="Book Antiqua"/>
        </w:rPr>
        <w:t xml:space="preserve"> </w:t>
      </w:r>
      <w:r w:rsidR="00B70D45">
        <w:rPr>
          <w:rFonts w:ascii="Book Antiqua" w:eastAsia="宋体" w:hAnsi="Book Antiqua" w:hint="eastAsia"/>
          <w:lang w:eastAsia="zh-CN"/>
        </w:rPr>
        <w:t>+</w:t>
      </w:r>
      <w:r w:rsidR="009F42E6">
        <w:rPr>
          <w:rFonts w:ascii="Book Antiqua" w:hAnsi="Book Antiqua"/>
        </w:rPr>
        <w:t>1-215-755</w:t>
      </w:r>
      <w:r w:rsidRPr="009F42E6">
        <w:rPr>
          <w:rFonts w:ascii="Book Antiqua" w:hAnsi="Book Antiqua"/>
        </w:rPr>
        <w:t>1850</w:t>
      </w:r>
    </w:p>
    <w:p w14:paraId="058BE6DC" w14:textId="77777777" w:rsidR="009A566E" w:rsidRPr="009F42E6" w:rsidRDefault="009A566E" w:rsidP="00B83F55">
      <w:pPr>
        <w:spacing w:line="360" w:lineRule="auto"/>
        <w:jc w:val="both"/>
        <w:rPr>
          <w:rFonts w:ascii="Book Antiqua" w:hAnsi="Book Antiqua"/>
          <w:b/>
        </w:rPr>
      </w:pPr>
    </w:p>
    <w:p w14:paraId="294D0588" w14:textId="4385B21C" w:rsidR="009F42E6" w:rsidRPr="009F42E6" w:rsidRDefault="009F42E6" w:rsidP="00B83F55">
      <w:pPr>
        <w:spacing w:line="360" w:lineRule="auto"/>
        <w:jc w:val="both"/>
        <w:rPr>
          <w:rFonts w:ascii="Book Antiqua" w:eastAsia="宋体" w:hAnsi="Book Antiqua"/>
          <w:lang w:eastAsia="zh-CN"/>
        </w:rPr>
      </w:pPr>
      <w:bookmarkStart w:id="3" w:name="OLE_LINK476"/>
      <w:bookmarkStart w:id="4" w:name="OLE_LINK477"/>
      <w:bookmarkStart w:id="5" w:name="OLE_LINK117"/>
      <w:bookmarkStart w:id="6" w:name="OLE_LINK528"/>
      <w:bookmarkStart w:id="7" w:name="OLE_LINK557"/>
      <w:r>
        <w:rPr>
          <w:rFonts w:ascii="Book Antiqua" w:hAnsi="Book Antiqua"/>
          <w:b/>
        </w:rPr>
        <w:t>Received:</w:t>
      </w:r>
      <w:r>
        <w:rPr>
          <w:rFonts w:ascii="Book Antiqua" w:eastAsia="宋体" w:hAnsi="Book Antiqua" w:hint="eastAsia"/>
          <w:b/>
          <w:lang w:eastAsia="zh-CN"/>
        </w:rPr>
        <w:t xml:space="preserve"> </w:t>
      </w:r>
      <w:r w:rsidRPr="009F42E6">
        <w:rPr>
          <w:rFonts w:ascii="Book Antiqua" w:eastAsia="宋体" w:hAnsi="Book Antiqua" w:hint="eastAsia"/>
          <w:lang w:eastAsia="zh-CN"/>
        </w:rPr>
        <w:t>March 25, 2016</w:t>
      </w:r>
    </w:p>
    <w:p w14:paraId="0ADA0A00" w14:textId="52D92013" w:rsidR="009F42E6" w:rsidRPr="009F42E6" w:rsidRDefault="009F42E6" w:rsidP="00B83F55">
      <w:pPr>
        <w:spacing w:line="360" w:lineRule="auto"/>
        <w:jc w:val="both"/>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Pr>
          <w:rFonts w:ascii="Book Antiqua" w:eastAsia="宋体" w:hAnsi="Book Antiqua" w:hint="eastAsia"/>
          <w:b/>
          <w:lang w:eastAsia="zh-CN"/>
        </w:rPr>
        <w:t xml:space="preserve"> </w:t>
      </w:r>
      <w:r w:rsidRPr="009F42E6">
        <w:rPr>
          <w:rFonts w:ascii="Book Antiqua" w:eastAsia="宋体" w:hAnsi="Book Antiqua" w:hint="eastAsia"/>
          <w:lang w:eastAsia="zh-CN"/>
        </w:rPr>
        <w:t>March 25, 2016</w:t>
      </w:r>
    </w:p>
    <w:p w14:paraId="69BE6270" w14:textId="1BEC1DCF" w:rsidR="009F42E6" w:rsidRPr="009F42E6" w:rsidRDefault="009F42E6" w:rsidP="00B83F55">
      <w:pPr>
        <w:spacing w:line="360" w:lineRule="auto"/>
        <w:jc w:val="both"/>
        <w:rPr>
          <w:rFonts w:ascii="Book Antiqua" w:eastAsia="宋体" w:hAnsi="Book Antiqua"/>
          <w:lang w:eastAsia="zh-CN"/>
        </w:rPr>
      </w:pPr>
      <w:r w:rsidRPr="009659DA">
        <w:rPr>
          <w:rFonts w:ascii="Book Antiqua" w:hAnsi="Book Antiqua"/>
          <w:b/>
        </w:rPr>
        <w:t>First decision:</w:t>
      </w:r>
      <w:r>
        <w:rPr>
          <w:rFonts w:ascii="Book Antiqua" w:eastAsia="宋体" w:hAnsi="Book Antiqua" w:hint="eastAsia"/>
          <w:b/>
          <w:lang w:eastAsia="zh-CN"/>
        </w:rPr>
        <w:t xml:space="preserve"> </w:t>
      </w:r>
      <w:r w:rsidRPr="009F42E6">
        <w:rPr>
          <w:rFonts w:ascii="Book Antiqua" w:eastAsia="宋体" w:hAnsi="Book Antiqua"/>
          <w:lang w:eastAsia="zh-CN"/>
        </w:rPr>
        <w:t xml:space="preserve">May </w:t>
      </w:r>
      <w:r w:rsidRPr="009F42E6">
        <w:rPr>
          <w:rFonts w:ascii="Book Antiqua" w:eastAsia="宋体" w:hAnsi="Book Antiqua" w:hint="eastAsia"/>
          <w:lang w:eastAsia="zh-CN"/>
        </w:rPr>
        <w:t>17, 2016</w:t>
      </w:r>
    </w:p>
    <w:p w14:paraId="47D3449E" w14:textId="6983C650" w:rsidR="009F42E6" w:rsidRPr="009F42E6" w:rsidRDefault="009F42E6" w:rsidP="00B83F55">
      <w:pPr>
        <w:spacing w:line="360" w:lineRule="auto"/>
        <w:jc w:val="both"/>
        <w:rPr>
          <w:rFonts w:ascii="Book Antiqua" w:eastAsia="宋体" w:hAnsi="Book Antiqua"/>
          <w:lang w:eastAsia="zh-CN"/>
        </w:rPr>
      </w:pPr>
      <w:r>
        <w:rPr>
          <w:rFonts w:ascii="Book Antiqua" w:hAnsi="Book Antiqua"/>
          <w:b/>
        </w:rPr>
        <w:t>Revised:</w:t>
      </w:r>
      <w:r w:rsidRPr="009F42E6">
        <w:rPr>
          <w:rFonts w:ascii="Book Antiqua" w:eastAsia="宋体" w:hAnsi="Book Antiqua" w:hint="eastAsia"/>
          <w:lang w:eastAsia="zh-CN"/>
        </w:rPr>
        <w:t xml:space="preserve"> June </w:t>
      </w:r>
      <w:r>
        <w:rPr>
          <w:rFonts w:ascii="Book Antiqua" w:eastAsia="宋体" w:hAnsi="Book Antiqua" w:hint="eastAsia"/>
          <w:lang w:eastAsia="zh-CN"/>
        </w:rPr>
        <w:t>8</w:t>
      </w:r>
      <w:r w:rsidRPr="009F42E6">
        <w:rPr>
          <w:rFonts w:ascii="Book Antiqua" w:eastAsia="宋体" w:hAnsi="Book Antiqua" w:hint="eastAsia"/>
          <w:lang w:eastAsia="zh-CN"/>
        </w:rPr>
        <w:t>, 2016</w:t>
      </w:r>
    </w:p>
    <w:p w14:paraId="0EFC4AC0" w14:textId="5CF59A7D" w:rsidR="009F42E6" w:rsidRPr="00F70868" w:rsidRDefault="009F42E6" w:rsidP="00F70868">
      <w:pPr>
        <w:rPr>
          <w:rFonts w:ascii="Book Antiqua" w:hAnsi="Book Antiqua"/>
          <w:iCs/>
        </w:rPr>
      </w:pPr>
      <w:r>
        <w:rPr>
          <w:rFonts w:ascii="Book Antiqua" w:hAnsi="Book Antiqua"/>
          <w:b/>
        </w:rPr>
        <w:t>Accepted:</w:t>
      </w:r>
      <w:r>
        <w:rPr>
          <w:rFonts w:ascii="Book Antiqua" w:hAnsi="Book Antiqua" w:hint="eastAsia"/>
          <w:b/>
        </w:rPr>
        <w:t xml:space="preserve"> </w:t>
      </w:r>
      <w:r w:rsidR="00F70868">
        <w:rPr>
          <w:rStyle w:val="Emphasis"/>
        </w:rPr>
        <w:t>July 20</w:t>
      </w:r>
      <w:r w:rsidR="00F70868" w:rsidRPr="00235CD4">
        <w:rPr>
          <w:rStyle w:val="Emphasis"/>
        </w:rPr>
        <w:t>,</w:t>
      </w:r>
      <w:r w:rsidR="00F70868">
        <w:rPr>
          <w:rStyle w:val="Emphasis"/>
        </w:rPr>
        <w:t xml:space="preserve"> 2016</w:t>
      </w:r>
    </w:p>
    <w:p w14:paraId="7FCC6A0F" w14:textId="77777777" w:rsidR="009F42E6" w:rsidRDefault="009F42E6" w:rsidP="00B83F55">
      <w:pPr>
        <w:spacing w:line="360" w:lineRule="auto"/>
        <w:jc w:val="both"/>
        <w:rPr>
          <w:rFonts w:ascii="Book Antiqua" w:hAnsi="Book Antiqua"/>
          <w:b/>
        </w:rPr>
      </w:pPr>
      <w:r w:rsidRPr="009659DA">
        <w:rPr>
          <w:rFonts w:ascii="Book Antiqua" w:hAnsi="Book Antiqua"/>
          <w:b/>
        </w:rPr>
        <w:t>Article in press:</w:t>
      </w:r>
    </w:p>
    <w:p w14:paraId="600DB822" w14:textId="77777777" w:rsidR="009F42E6" w:rsidRPr="00ED7CB9" w:rsidRDefault="009F42E6" w:rsidP="00B83F55">
      <w:pPr>
        <w:spacing w:line="360" w:lineRule="auto"/>
        <w:jc w:val="both"/>
        <w:rPr>
          <w:rFonts w:ascii="Book Antiqua" w:hAnsi="Book Antiqua"/>
          <w:b/>
        </w:rPr>
      </w:pPr>
      <w:r>
        <w:rPr>
          <w:rFonts w:ascii="Book Antiqua" w:hAnsi="Book Antiqua"/>
          <w:b/>
        </w:rPr>
        <w:t>Published online:</w:t>
      </w:r>
    </w:p>
    <w:bookmarkEnd w:id="3"/>
    <w:bookmarkEnd w:id="4"/>
    <w:bookmarkEnd w:id="5"/>
    <w:bookmarkEnd w:id="6"/>
    <w:bookmarkEnd w:id="7"/>
    <w:p w14:paraId="6A087543" w14:textId="2CA3F725" w:rsidR="009F42E6" w:rsidRPr="009F42E6" w:rsidRDefault="009F42E6" w:rsidP="00B83F55">
      <w:pPr>
        <w:jc w:val="both"/>
        <w:rPr>
          <w:rFonts w:ascii="Book Antiqua" w:eastAsia="宋体" w:hAnsi="Book Antiqua"/>
          <w:b/>
          <w:lang w:eastAsia="zh-CN"/>
        </w:rPr>
      </w:pPr>
    </w:p>
    <w:p w14:paraId="72445BE1" w14:textId="77777777" w:rsidR="009F42E6" w:rsidRDefault="009F42E6" w:rsidP="00B83F55">
      <w:pPr>
        <w:jc w:val="both"/>
        <w:rPr>
          <w:rFonts w:ascii="Book Antiqua" w:hAnsi="Book Antiqua"/>
          <w:b/>
        </w:rPr>
      </w:pPr>
      <w:r>
        <w:rPr>
          <w:rFonts w:ascii="Book Antiqua" w:hAnsi="Book Antiqua"/>
          <w:b/>
        </w:rPr>
        <w:br w:type="page"/>
      </w:r>
    </w:p>
    <w:p w14:paraId="1945962F" w14:textId="07D7EA42" w:rsidR="00CA6030" w:rsidRPr="009F42E6" w:rsidRDefault="009F42E6" w:rsidP="00B83F55">
      <w:pPr>
        <w:spacing w:line="360" w:lineRule="auto"/>
        <w:jc w:val="both"/>
        <w:rPr>
          <w:rFonts w:ascii="Book Antiqua" w:eastAsia="宋体" w:hAnsi="Book Antiqua"/>
          <w:b/>
          <w:lang w:eastAsia="zh-CN"/>
        </w:rPr>
      </w:pPr>
      <w:r>
        <w:rPr>
          <w:rFonts w:ascii="Book Antiqua" w:hAnsi="Book Antiqua"/>
          <w:b/>
        </w:rPr>
        <w:lastRenderedPageBreak/>
        <w:t>Abstract</w:t>
      </w:r>
    </w:p>
    <w:p w14:paraId="0178382C" w14:textId="3D737338" w:rsidR="00CA6030" w:rsidRDefault="00CA6030" w:rsidP="00B83F55">
      <w:pPr>
        <w:spacing w:line="360" w:lineRule="auto"/>
        <w:jc w:val="both"/>
        <w:rPr>
          <w:rFonts w:ascii="Book Antiqua" w:eastAsia="宋体" w:hAnsi="Book Antiqua"/>
          <w:lang w:eastAsia="zh-CN"/>
        </w:rPr>
      </w:pPr>
      <w:r w:rsidRPr="009F42E6">
        <w:rPr>
          <w:rFonts w:ascii="Book Antiqua" w:hAnsi="Book Antiqua"/>
        </w:rPr>
        <w:t>As the number of diagnostic and therap</w:t>
      </w:r>
      <w:r w:rsidR="00665F2E" w:rsidRPr="009F42E6">
        <w:rPr>
          <w:rFonts w:ascii="Book Antiqua" w:hAnsi="Book Antiqua"/>
        </w:rPr>
        <w:t>eutic gastrointestinal endoscopies is increasing</w:t>
      </w:r>
      <w:r w:rsidRPr="009F42E6">
        <w:rPr>
          <w:rFonts w:ascii="Book Antiqua" w:hAnsi="Book Antiqua"/>
        </w:rPr>
        <w:t xml:space="preserve">, </w:t>
      </w:r>
      <w:r w:rsidR="00665F2E" w:rsidRPr="009F42E6">
        <w:rPr>
          <w:rFonts w:ascii="Book Antiqua" w:hAnsi="Book Antiqua"/>
        </w:rPr>
        <w:t xml:space="preserve">and </w:t>
      </w:r>
      <w:r w:rsidRPr="009F42E6">
        <w:rPr>
          <w:rFonts w:ascii="Book Antiqua" w:hAnsi="Book Antiqua"/>
        </w:rPr>
        <w:t xml:space="preserve">there is </w:t>
      </w:r>
      <w:r w:rsidR="00D841BD" w:rsidRPr="009F42E6">
        <w:rPr>
          <w:rFonts w:ascii="Book Antiqua" w:hAnsi="Book Antiqua"/>
        </w:rPr>
        <w:t xml:space="preserve">an </w:t>
      </w:r>
      <w:r w:rsidRPr="009F42E6">
        <w:rPr>
          <w:rFonts w:ascii="Book Antiqua" w:hAnsi="Book Antiqua"/>
        </w:rPr>
        <w:t>increase in number of</w:t>
      </w:r>
      <w:r w:rsidR="00665F2E" w:rsidRPr="009F42E6">
        <w:rPr>
          <w:rFonts w:ascii="Book Antiqua" w:hAnsi="Book Antiqua"/>
        </w:rPr>
        <w:t xml:space="preserve"> patients taking blood thinners, we are seeing more and more </w:t>
      </w:r>
      <w:r w:rsidR="00411B74" w:rsidRPr="009F42E6">
        <w:rPr>
          <w:rFonts w:ascii="Book Antiqua" w:hAnsi="Book Antiqua"/>
        </w:rPr>
        <w:t>patients on blood thinners pr</w:t>
      </w:r>
      <w:r w:rsidR="00D841BD" w:rsidRPr="009F42E6">
        <w:rPr>
          <w:rFonts w:ascii="Book Antiqua" w:hAnsi="Book Antiqua"/>
        </w:rPr>
        <w:t>ior to endoscopic procedures</w:t>
      </w:r>
      <w:r w:rsidR="009D20D1" w:rsidRPr="009F42E6">
        <w:rPr>
          <w:rFonts w:ascii="Book Antiqua" w:hAnsi="Book Antiqua"/>
        </w:rPr>
        <w:t>.</w:t>
      </w:r>
      <w:r w:rsidR="00403AD5" w:rsidRPr="009F42E6">
        <w:rPr>
          <w:rFonts w:ascii="Book Antiqua" w:hAnsi="Book Antiqua"/>
        </w:rPr>
        <w:t xml:space="preserve"> </w:t>
      </w:r>
      <w:r w:rsidR="00F045C4" w:rsidRPr="009F42E6">
        <w:rPr>
          <w:rFonts w:ascii="Book Antiqua" w:hAnsi="Book Antiqua"/>
        </w:rPr>
        <w:t>G</w:t>
      </w:r>
      <w:r w:rsidR="00D841BD" w:rsidRPr="009F42E6">
        <w:rPr>
          <w:rFonts w:ascii="Book Antiqua" w:hAnsi="Book Antiqua"/>
        </w:rPr>
        <w:t>astrointestinal bleeding or thromboembolism can occur in this category of patients</w:t>
      </w:r>
      <w:r w:rsidR="009D20D1" w:rsidRPr="009F42E6">
        <w:rPr>
          <w:rFonts w:ascii="Book Antiqua" w:hAnsi="Book Antiqua"/>
        </w:rPr>
        <w:t xml:space="preserve"> in the </w:t>
      </w:r>
      <w:proofErr w:type="spellStart"/>
      <w:r w:rsidR="009D20D1" w:rsidRPr="009F42E6">
        <w:rPr>
          <w:rFonts w:ascii="Book Antiqua" w:hAnsi="Book Antiqua"/>
        </w:rPr>
        <w:t>periendoscopic</w:t>
      </w:r>
      <w:proofErr w:type="spellEnd"/>
      <w:r w:rsidR="009D20D1" w:rsidRPr="009F42E6">
        <w:rPr>
          <w:rFonts w:ascii="Book Antiqua" w:hAnsi="Book Antiqua"/>
        </w:rPr>
        <w:t xml:space="preserve"> period. To better manage these patients, </w:t>
      </w:r>
      <w:proofErr w:type="spellStart"/>
      <w:r w:rsidR="009D20D1" w:rsidRPr="009F42E6">
        <w:rPr>
          <w:rFonts w:ascii="Book Antiqua" w:hAnsi="Book Antiqua"/>
        </w:rPr>
        <w:t>endoscopists</w:t>
      </w:r>
      <w:proofErr w:type="spellEnd"/>
      <w:r w:rsidR="009D20D1" w:rsidRPr="009F42E6">
        <w:rPr>
          <w:rFonts w:ascii="Book Antiqua" w:hAnsi="Book Antiqua"/>
        </w:rPr>
        <w:t xml:space="preserve"> should have a clear concept about the various blood thinners in the</w:t>
      </w:r>
      <w:r w:rsidR="00DF6665" w:rsidRPr="009F42E6">
        <w:rPr>
          <w:rFonts w:ascii="Book Antiqua" w:hAnsi="Book Antiqua"/>
        </w:rPr>
        <w:t xml:space="preserve"> market. Patients’ risk of thromboembolism off anticoagulation,</w:t>
      </w:r>
      <w:r w:rsidR="009D20D1" w:rsidRPr="009F42E6">
        <w:rPr>
          <w:rFonts w:ascii="Book Antiqua" w:hAnsi="Book Antiqua"/>
        </w:rPr>
        <w:t xml:space="preserve"> and</w:t>
      </w:r>
      <w:r w:rsidR="00DF6665" w:rsidRPr="009F42E6">
        <w:rPr>
          <w:rFonts w:ascii="Book Antiqua" w:hAnsi="Book Antiqua"/>
        </w:rPr>
        <w:t xml:space="preserve"> the</w:t>
      </w:r>
      <w:r w:rsidR="009D20D1" w:rsidRPr="009F42E6">
        <w:rPr>
          <w:rFonts w:ascii="Book Antiqua" w:hAnsi="Book Antiqua"/>
        </w:rPr>
        <w:t xml:space="preserve"> risk of </w:t>
      </w:r>
      <w:r w:rsidR="00DF6665" w:rsidRPr="009F42E6">
        <w:rPr>
          <w:rFonts w:ascii="Book Antiqua" w:hAnsi="Book Antiqua"/>
        </w:rPr>
        <w:t xml:space="preserve">bleeding from endoscopic </w:t>
      </w:r>
      <w:r w:rsidR="009D20D1" w:rsidRPr="009F42E6">
        <w:rPr>
          <w:rFonts w:ascii="Book Antiqua" w:hAnsi="Book Antiqua"/>
        </w:rPr>
        <w:t>procedures</w:t>
      </w:r>
      <w:r w:rsidR="00DF6665" w:rsidRPr="009F42E6">
        <w:rPr>
          <w:rFonts w:ascii="Book Antiqua" w:hAnsi="Book Antiqua"/>
        </w:rPr>
        <w:t xml:space="preserve"> should be assessed prior to endoscopy.</w:t>
      </w:r>
      <w:r w:rsidR="00427D04" w:rsidRPr="009F42E6">
        <w:rPr>
          <w:rFonts w:ascii="Book Antiqua" w:hAnsi="Book Antiqua"/>
        </w:rPr>
        <w:t xml:space="preserve"> The </w:t>
      </w:r>
      <w:r w:rsidR="00FA3582" w:rsidRPr="009F42E6">
        <w:rPr>
          <w:rFonts w:ascii="Book Antiqua" w:hAnsi="Book Antiqua"/>
        </w:rPr>
        <w:t xml:space="preserve">endoscopic </w:t>
      </w:r>
      <w:r w:rsidR="00427D04" w:rsidRPr="009F42E6">
        <w:rPr>
          <w:rFonts w:ascii="Book Antiqua" w:hAnsi="Book Antiqua"/>
        </w:rPr>
        <w:t>procedure should be done when it is safe to do it.</w:t>
      </w:r>
    </w:p>
    <w:p w14:paraId="400EE7D5" w14:textId="77777777" w:rsidR="009F42E6" w:rsidRPr="009F42E6" w:rsidRDefault="009F42E6" w:rsidP="00B83F55">
      <w:pPr>
        <w:spacing w:line="360" w:lineRule="auto"/>
        <w:jc w:val="both"/>
        <w:rPr>
          <w:rFonts w:ascii="Book Antiqua" w:eastAsia="宋体" w:hAnsi="Book Antiqua"/>
          <w:lang w:eastAsia="zh-CN"/>
        </w:rPr>
      </w:pPr>
    </w:p>
    <w:p w14:paraId="25341DC3" w14:textId="33538FBA" w:rsidR="00545125" w:rsidRDefault="009F42E6" w:rsidP="00B83F55">
      <w:pPr>
        <w:spacing w:line="360" w:lineRule="auto"/>
        <w:jc w:val="both"/>
        <w:rPr>
          <w:rFonts w:ascii="Book Antiqua" w:eastAsia="宋体" w:hAnsi="Book Antiqua"/>
          <w:lang w:eastAsia="zh-CN"/>
        </w:rPr>
      </w:pPr>
      <w:r w:rsidRPr="009F42E6">
        <w:rPr>
          <w:rFonts w:ascii="Book Antiqua" w:eastAsia="宋体" w:hAnsi="Book Antiqua"/>
          <w:b/>
          <w:lang w:eastAsia="zh-CN"/>
        </w:rPr>
        <w:t>K</w:t>
      </w:r>
      <w:r w:rsidRPr="009F42E6">
        <w:rPr>
          <w:rFonts w:ascii="Book Antiqua" w:eastAsia="宋体" w:hAnsi="Book Antiqua" w:hint="eastAsia"/>
          <w:b/>
          <w:lang w:eastAsia="zh-CN"/>
        </w:rPr>
        <w:t>ey words:</w:t>
      </w:r>
      <w:r w:rsidRPr="009F42E6">
        <w:rPr>
          <w:rFonts w:ascii="Book Antiqua" w:eastAsia="宋体" w:hAnsi="Book Antiqua" w:hint="eastAsia"/>
          <w:b/>
          <w:lang w:eastAsia="zh-CN"/>
        </w:rPr>
        <w:t xml:space="preserve">　</w:t>
      </w:r>
      <w:r w:rsidRPr="009F42E6">
        <w:rPr>
          <w:rFonts w:ascii="Book Antiqua" w:hAnsi="Book Antiqua"/>
        </w:rPr>
        <w:t>Antiplatelet agents and endoscopy</w:t>
      </w:r>
      <w:r>
        <w:rPr>
          <w:rFonts w:ascii="Book Antiqua" w:eastAsia="宋体" w:hAnsi="Book Antiqua" w:hint="eastAsia"/>
          <w:lang w:eastAsia="zh-CN"/>
        </w:rPr>
        <w:t xml:space="preserve">; </w:t>
      </w:r>
      <w:r w:rsidRPr="009F42E6">
        <w:rPr>
          <w:rFonts w:ascii="Book Antiqua" w:hAnsi="Book Antiqua"/>
        </w:rPr>
        <w:t>Anticoagulants and endoscopy</w:t>
      </w:r>
      <w:r>
        <w:rPr>
          <w:rFonts w:ascii="Book Antiqua" w:eastAsia="宋体" w:hAnsi="Book Antiqua" w:hint="eastAsia"/>
          <w:lang w:eastAsia="zh-CN"/>
        </w:rPr>
        <w:t xml:space="preserve">; </w:t>
      </w:r>
      <w:r w:rsidRPr="009F42E6">
        <w:rPr>
          <w:rFonts w:ascii="Book Antiqua" w:hAnsi="Book Antiqua"/>
        </w:rPr>
        <w:t>Blood thinners</w:t>
      </w:r>
      <w:r>
        <w:rPr>
          <w:rFonts w:ascii="Book Antiqua" w:eastAsia="宋体" w:hAnsi="Book Antiqua" w:hint="eastAsia"/>
          <w:lang w:eastAsia="zh-CN"/>
        </w:rPr>
        <w:t xml:space="preserve">; </w:t>
      </w:r>
      <w:r w:rsidR="00B83F55" w:rsidRPr="00B83F55">
        <w:rPr>
          <w:rFonts w:ascii="Book Antiqua" w:hAnsi="Book Antiqua"/>
        </w:rPr>
        <w:t xml:space="preserve">Gastrointestinal </w:t>
      </w:r>
      <w:r w:rsidRPr="009F42E6">
        <w:rPr>
          <w:rFonts w:ascii="Book Antiqua" w:hAnsi="Book Antiqua"/>
        </w:rPr>
        <w:t>bleeding and endoscopy</w:t>
      </w:r>
      <w:r>
        <w:rPr>
          <w:rFonts w:ascii="Book Antiqua" w:eastAsia="宋体" w:hAnsi="Book Antiqua" w:hint="eastAsia"/>
          <w:lang w:eastAsia="zh-CN"/>
        </w:rPr>
        <w:t xml:space="preserve">; </w:t>
      </w:r>
      <w:r w:rsidRPr="009F42E6">
        <w:rPr>
          <w:rFonts w:ascii="Book Antiqua" w:hAnsi="Book Antiqua"/>
        </w:rPr>
        <w:t>Anticoagulation bridge before endoscopy</w:t>
      </w:r>
      <w:r>
        <w:rPr>
          <w:rFonts w:ascii="Book Antiqua" w:eastAsia="宋体" w:hAnsi="Book Antiqua" w:hint="eastAsia"/>
          <w:lang w:eastAsia="zh-CN"/>
        </w:rPr>
        <w:t xml:space="preserve">; </w:t>
      </w:r>
      <w:r w:rsidRPr="009F42E6">
        <w:rPr>
          <w:rFonts w:ascii="Book Antiqua" w:hAnsi="Book Antiqua"/>
        </w:rPr>
        <w:t xml:space="preserve">Acute coronary syndrome </w:t>
      </w:r>
      <w:r w:rsidR="00B83F55">
        <w:rPr>
          <w:rFonts w:ascii="Book Antiqua" w:eastAsia="宋体" w:hAnsi="Book Antiqua" w:hint="eastAsia"/>
          <w:lang w:eastAsia="zh-CN"/>
        </w:rPr>
        <w:t>g</w:t>
      </w:r>
      <w:r w:rsidR="00B83F55" w:rsidRPr="00B83F55">
        <w:rPr>
          <w:rFonts w:ascii="Book Antiqua" w:hAnsi="Book Antiqua"/>
        </w:rPr>
        <w:t xml:space="preserve">astrointestinal </w:t>
      </w:r>
      <w:r w:rsidRPr="009F42E6">
        <w:rPr>
          <w:rFonts w:ascii="Book Antiqua" w:hAnsi="Book Antiqua"/>
        </w:rPr>
        <w:t>bleeding and endoscopy</w:t>
      </w:r>
    </w:p>
    <w:p w14:paraId="7EB34FF2" w14:textId="77777777" w:rsidR="009F42E6" w:rsidRPr="009F42E6" w:rsidRDefault="009F42E6" w:rsidP="00B83F55">
      <w:pPr>
        <w:spacing w:line="360" w:lineRule="auto"/>
        <w:jc w:val="both"/>
        <w:rPr>
          <w:rFonts w:ascii="Book Antiqua" w:eastAsia="宋体" w:hAnsi="Book Antiqua"/>
          <w:lang w:eastAsia="zh-CN"/>
        </w:rPr>
      </w:pPr>
    </w:p>
    <w:p w14:paraId="64B8897C" w14:textId="77777777" w:rsidR="009F42E6" w:rsidRDefault="009F42E6" w:rsidP="00B83F55">
      <w:pPr>
        <w:spacing w:line="360" w:lineRule="auto"/>
        <w:jc w:val="both"/>
        <w:rPr>
          <w:rFonts w:ascii="Book Antiqua" w:eastAsia="宋体" w:hAnsi="Book Antiqua" w:cs="Arial"/>
          <w:lang w:eastAsia="zh-CN"/>
        </w:rPr>
      </w:pPr>
      <w:bookmarkStart w:id="8" w:name="OLE_LINK55"/>
      <w:bookmarkStart w:id="9" w:name="OLE_LINK56"/>
      <w:bookmarkStart w:id="10" w:name="OLE_LINK105"/>
      <w:bookmarkStart w:id="11" w:name="OLE_LINK116"/>
      <w:bookmarkStart w:id="12" w:name="OLE_LINK89"/>
      <w:proofErr w:type="gramStart"/>
      <w:r w:rsidRPr="0071780A">
        <w:rPr>
          <w:rFonts w:ascii="Book Antiqua" w:hAnsi="Book Antiqua"/>
          <w:b/>
        </w:rPr>
        <w:t>©</w:t>
      </w:r>
      <w:bookmarkEnd w:id="8"/>
      <w:bookmarkEnd w:id="9"/>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6</w:t>
      </w:r>
      <w:r w:rsidRPr="0071780A">
        <w:rPr>
          <w:rFonts w:ascii="Book Antiqua" w:hAnsi="Book Antiqua" w:cs="Arial"/>
          <w:b/>
        </w:rPr>
        <w:t>.</w:t>
      </w:r>
      <w:proofErr w:type="gramEnd"/>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p w14:paraId="167F3B15" w14:textId="77777777" w:rsidR="009F42E6" w:rsidRPr="009F42E6" w:rsidRDefault="009F42E6" w:rsidP="00B83F55">
      <w:pPr>
        <w:spacing w:line="360" w:lineRule="auto"/>
        <w:jc w:val="both"/>
        <w:rPr>
          <w:rFonts w:ascii="Book Antiqua" w:eastAsia="宋体" w:hAnsi="Book Antiqua" w:cs="Arial"/>
          <w:lang w:eastAsia="zh-CN"/>
        </w:rPr>
      </w:pPr>
    </w:p>
    <w:bookmarkEnd w:id="10"/>
    <w:bookmarkEnd w:id="11"/>
    <w:bookmarkEnd w:id="12"/>
    <w:p w14:paraId="39DA3381" w14:textId="741CB342" w:rsidR="00545125" w:rsidRDefault="00545125" w:rsidP="00B83F55">
      <w:pPr>
        <w:spacing w:line="360" w:lineRule="auto"/>
        <w:jc w:val="both"/>
        <w:rPr>
          <w:rFonts w:ascii="Book Antiqua" w:eastAsia="宋体" w:hAnsi="Book Antiqua"/>
          <w:lang w:eastAsia="zh-CN"/>
        </w:rPr>
      </w:pPr>
      <w:r w:rsidRPr="009F42E6">
        <w:rPr>
          <w:rFonts w:ascii="Book Antiqua" w:hAnsi="Book Antiqua"/>
          <w:b/>
        </w:rPr>
        <w:t>Core tip:</w:t>
      </w:r>
      <w:r w:rsidR="009F42E6">
        <w:rPr>
          <w:rFonts w:ascii="Book Antiqua" w:eastAsia="宋体" w:hAnsi="Book Antiqua" w:hint="eastAsia"/>
          <w:b/>
          <w:lang w:eastAsia="zh-CN"/>
        </w:rPr>
        <w:t xml:space="preserve"> </w:t>
      </w:r>
      <w:r w:rsidRPr="009F42E6">
        <w:rPr>
          <w:rFonts w:ascii="Book Antiqua" w:hAnsi="Book Antiqua"/>
        </w:rPr>
        <w:t>While patients on blood thinners</w:t>
      </w:r>
      <w:r w:rsidR="00F56F3D" w:rsidRPr="009F42E6">
        <w:rPr>
          <w:rFonts w:ascii="Book Antiqua" w:hAnsi="Book Antiqua"/>
        </w:rPr>
        <w:t xml:space="preserve"> undergoing endoscopic procedures are encountered in our clinical practice frequently, </w:t>
      </w:r>
      <w:proofErr w:type="spellStart"/>
      <w:r w:rsidR="00E13C09" w:rsidRPr="009F42E6">
        <w:rPr>
          <w:rFonts w:ascii="Book Antiqua" w:hAnsi="Book Antiqua"/>
        </w:rPr>
        <w:t>endoscopists</w:t>
      </w:r>
      <w:proofErr w:type="spellEnd"/>
      <w:r w:rsidR="00E13C09" w:rsidRPr="009F42E6">
        <w:rPr>
          <w:rFonts w:ascii="Book Antiqua" w:hAnsi="Book Antiqua"/>
        </w:rPr>
        <w:t xml:space="preserve"> need to be familiar with the various blood thinners and have a strategy to manage these patients efficiently. This article will discuss the </w:t>
      </w:r>
      <w:r w:rsidR="00FA4078" w:rsidRPr="009F42E6">
        <w:rPr>
          <w:rFonts w:ascii="Book Antiqua" w:hAnsi="Book Antiqua"/>
        </w:rPr>
        <w:t xml:space="preserve">various </w:t>
      </w:r>
      <w:r w:rsidR="00E13C09" w:rsidRPr="009F42E6">
        <w:rPr>
          <w:rFonts w:ascii="Book Antiqua" w:hAnsi="Book Antiqua"/>
        </w:rPr>
        <w:t xml:space="preserve">blood thinners including their mechanism </w:t>
      </w:r>
      <w:r w:rsidR="001E43A5" w:rsidRPr="009F42E6">
        <w:rPr>
          <w:rFonts w:ascii="Book Antiqua" w:hAnsi="Book Antiqua"/>
        </w:rPr>
        <w:t xml:space="preserve">and duration </w:t>
      </w:r>
      <w:r w:rsidR="00E13C09" w:rsidRPr="009F42E6">
        <w:rPr>
          <w:rFonts w:ascii="Book Antiqua" w:hAnsi="Book Antiqua"/>
        </w:rPr>
        <w:t>of action</w:t>
      </w:r>
      <w:r w:rsidR="00B24E52" w:rsidRPr="009F42E6">
        <w:rPr>
          <w:rFonts w:ascii="Book Antiqua" w:hAnsi="Book Antiqua"/>
        </w:rPr>
        <w:t>,</w:t>
      </w:r>
      <w:r w:rsidR="00E13C09" w:rsidRPr="009F42E6">
        <w:rPr>
          <w:rFonts w:ascii="Book Antiqua" w:hAnsi="Book Antiqua"/>
        </w:rPr>
        <w:t xml:space="preserve"> and the current guidelines of performing gastrointestinal endoscopies when the patients are on those blood thinners.</w:t>
      </w:r>
    </w:p>
    <w:p w14:paraId="1C196C89" w14:textId="77777777" w:rsidR="009F42E6" w:rsidRPr="009F42E6" w:rsidRDefault="009F42E6" w:rsidP="00B83F55">
      <w:pPr>
        <w:spacing w:line="360" w:lineRule="auto"/>
        <w:jc w:val="both"/>
        <w:rPr>
          <w:rFonts w:ascii="Book Antiqua" w:eastAsia="宋体" w:hAnsi="Book Antiqua"/>
          <w:b/>
          <w:lang w:eastAsia="zh-CN"/>
        </w:rPr>
      </w:pPr>
    </w:p>
    <w:p w14:paraId="5711D029" w14:textId="78189F67" w:rsidR="00B83F55" w:rsidRPr="00B83F55" w:rsidRDefault="00B83F55" w:rsidP="00B83F55">
      <w:pPr>
        <w:spacing w:line="360" w:lineRule="auto"/>
        <w:jc w:val="both"/>
        <w:rPr>
          <w:rFonts w:ascii="Book Antiqua" w:eastAsia="宋体" w:hAnsi="Book Antiqua"/>
          <w:lang w:eastAsia="zh-CN"/>
        </w:rPr>
      </w:pPr>
      <w:proofErr w:type="gramStart"/>
      <w:r w:rsidRPr="00B83F55">
        <w:rPr>
          <w:rFonts w:ascii="Book Antiqua" w:hAnsi="Book Antiqua"/>
        </w:rPr>
        <w:t>Ahmed</w:t>
      </w:r>
      <w:r w:rsidRPr="00B83F55">
        <w:rPr>
          <w:rFonts w:ascii="Book Antiqua" w:eastAsia="宋体" w:hAnsi="Book Antiqua" w:hint="eastAsia"/>
          <w:lang w:eastAsia="zh-CN"/>
        </w:rPr>
        <w:t xml:space="preserve"> M. </w:t>
      </w:r>
      <w:r w:rsidRPr="00B83F55">
        <w:rPr>
          <w:rFonts w:ascii="Book Antiqua" w:hAnsi="Book Antiqua"/>
        </w:rPr>
        <w:t>Blood thinners and gastrointestinal endoscopy</w:t>
      </w:r>
      <w:r w:rsidRPr="00B83F55">
        <w:rPr>
          <w:rFonts w:ascii="Book Antiqua" w:eastAsia="宋体" w:hAnsi="Book Antiqua" w:hint="eastAsia"/>
          <w:lang w:eastAsia="zh-CN"/>
        </w:rPr>
        <w:t>.</w:t>
      </w:r>
      <w:proofErr w:type="gramEnd"/>
      <w:r w:rsidRPr="00B83F55">
        <w:rPr>
          <w:rFonts w:ascii="Book Antiqua" w:eastAsia="宋体" w:hAnsi="Book Antiqua" w:hint="eastAsia"/>
          <w:lang w:eastAsia="zh-CN"/>
        </w:rPr>
        <w:t xml:space="preserve"> </w:t>
      </w:r>
      <w:r w:rsidRPr="00B83F55">
        <w:rPr>
          <w:rFonts w:ascii="Book Antiqua" w:eastAsia="宋体" w:hAnsi="Book Antiqua"/>
          <w:i/>
          <w:lang w:eastAsia="zh-CN"/>
        </w:rPr>
        <w:t xml:space="preserve">World J </w:t>
      </w:r>
      <w:proofErr w:type="spellStart"/>
      <w:r w:rsidRPr="00B83F55">
        <w:rPr>
          <w:rFonts w:ascii="Book Antiqua" w:eastAsia="宋体" w:hAnsi="Book Antiqua"/>
          <w:i/>
          <w:lang w:eastAsia="zh-CN"/>
        </w:rPr>
        <w:t>Gastrointest</w:t>
      </w:r>
      <w:proofErr w:type="spellEnd"/>
      <w:r w:rsidRPr="00B83F55">
        <w:rPr>
          <w:rFonts w:ascii="Book Antiqua" w:eastAsia="宋体" w:hAnsi="Book Antiqua"/>
          <w:i/>
          <w:lang w:eastAsia="zh-CN"/>
        </w:rPr>
        <w:t xml:space="preserve"> </w:t>
      </w:r>
      <w:proofErr w:type="spellStart"/>
      <w:r w:rsidRPr="00B83F55">
        <w:rPr>
          <w:rFonts w:ascii="Book Antiqua" w:eastAsia="宋体" w:hAnsi="Book Antiqua"/>
          <w:i/>
          <w:lang w:eastAsia="zh-CN"/>
        </w:rPr>
        <w:t>Endosc</w:t>
      </w:r>
      <w:proofErr w:type="spellEnd"/>
      <w:r>
        <w:rPr>
          <w:rFonts w:ascii="Book Antiqua" w:eastAsia="宋体" w:hAnsi="Book Antiqua" w:hint="eastAsia"/>
          <w:i/>
          <w:lang w:eastAsia="zh-CN"/>
        </w:rPr>
        <w:t xml:space="preserve"> </w:t>
      </w:r>
      <w:r w:rsidRPr="00B83F55">
        <w:rPr>
          <w:rFonts w:ascii="Book Antiqua" w:eastAsia="宋体" w:hAnsi="Book Antiqua" w:hint="eastAsia"/>
          <w:lang w:eastAsia="zh-CN"/>
        </w:rPr>
        <w:t xml:space="preserve">2016; </w:t>
      </w:r>
      <w:proofErr w:type="gramStart"/>
      <w:r w:rsidRPr="00B83F55">
        <w:rPr>
          <w:rFonts w:ascii="Book Antiqua" w:eastAsia="宋体" w:hAnsi="Book Antiqua" w:hint="eastAsia"/>
          <w:lang w:eastAsia="zh-CN"/>
        </w:rPr>
        <w:t>In</w:t>
      </w:r>
      <w:proofErr w:type="gramEnd"/>
      <w:r w:rsidRPr="00B83F55">
        <w:rPr>
          <w:rFonts w:ascii="Book Antiqua" w:eastAsia="宋体" w:hAnsi="Book Antiqua" w:hint="eastAsia"/>
          <w:lang w:eastAsia="zh-CN"/>
        </w:rPr>
        <w:t xml:space="preserve"> press</w:t>
      </w:r>
    </w:p>
    <w:p w14:paraId="28DCC92D" w14:textId="77777777" w:rsidR="009F42E6" w:rsidRDefault="009F42E6" w:rsidP="00B83F55">
      <w:pPr>
        <w:jc w:val="both"/>
        <w:rPr>
          <w:rFonts w:ascii="Book Antiqua" w:hAnsi="Book Antiqua"/>
          <w:b/>
        </w:rPr>
      </w:pPr>
      <w:r>
        <w:rPr>
          <w:rFonts w:ascii="Book Antiqua" w:hAnsi="Book Antiqua"/>
          <w:b/>
        </w:rPr>
        <w:br w:type="page"/>
      </w:r>
    </w:p>
    <w:p w14:paraId="707C77AE" w14:textId="39C7F60F" w:rsidR="00FA3582" w:rsidRPr="009F42E6" w:rsidRDefault="009F42E6" w:rsidP="00B83F55">
      <w:pPr>
        <w:spacing w:line="360" w:lineRule="auto"/>
        <w:jc w:val="both"/>
        <w:rPr>
          <w:rFonts w:ascii="Book Antiqua" w:eastAsia="宋体" w:hAnsi="Book Antiqua"/>
          <w:b/>
          <w:lang w:eastAsia="zh-CN"/>
        </w:rPr>
      </w:pPr>
      <w:r>
        <w:rPr>
          <w:rFonts w:ascii="Book Antiqua" w:hAnsi="Book Antiqua"/>
          <w:b/>
        </w:rPr>
        <w:lastRenderedPageBreak/>
        <w:t>INTRODUCTION</w:t>
      </w:r>
    </w:p>
    <w:p w14:paraId="4CAFDDC7" w14:textId="294B6912" w:rsidR="00CD1DA1" w:rsidRDefault="00AE3B75" w:rsidP="00B83F55">
      <w:pPr>
        <w:spacing w:line="360" w:lineRule="auto"/>
        <w:jc w:val="both"/>
        <w:rPr>
          <w:rFonts w:ascii="Book Antiqua" w:eastAsia="宋体" w:hAnsi="Book Antiqua"/>
          <w:lang w:eastAsia="zh-CN"/>
        </w:rPr>
      </w:pPr>
      <w:r w:rsidRPr="009F42E6">
        <w:rPr>
          <w:rFonts w:ascii="Book Antiqua" w:hAnsi="Book Antiqua"/>
        </w:rPr>
        <w:t>Blood thinners</w:t>
      </w:r>
      <w:r w:rsidR="004F57E2" w:rsidRPr="009F42E6">
        <w:rPr>
          <w:rFonts w:ascii="Book Antiqua" w:hAnsi="Book Antiqua"/>
        </w:rPr>
        <w:t xml:space="preserve"> include </w:t>
      </w:r>
      <w:r w:rsidR="00E059F2" w:rsidRPr="009F42E6">
        <w:rPr>
          <w:rFonts w:ascii="Book Antiqua" w:hAnsi="Book Antiqua"/>
        </w:rPr>
        <w:t xml:space="preserve">antiplatelet agents (APA), </w:t>
      </w:r>
      <w:r w:rsidRPr="009F42E6">
        <w:rPr>
          <w:rFonts w:ascii="Book Antiqua" w:hAnsi="Book Antiqua"/>
        </w:rPr>
        <w:t>anticoagulants</w:t>
      </w:r>
      <w:r w:rsidR="00E059F2" w:rsidRPr="009F42E6">
        <w:rPr>
          <w:rFonts w:ascii="Book Antiqua" w:hAnsi="Book Antiqua"/>
        </w:rPr>
        <w:t xml:space="preserve"> (AC) </w:t>
      </w:r>
      <w:r w:rsidR="00507986" w:rsidRPr="009F42E6">
        <w:rPr>
          <w:rFonts w:ascii="Book Antiqua" w:hAnsi="Book Antiqua"/>
        </w:rPr>
        <w:t>and thrombolytic agents</w:t>
      </w:r>
      <w:r w:rsidR="00E059F2" w:rsidRPr="009F42E6">
        <w:rPr>
          <w:rFonts w:ascii="Book Antiqua" w:hAnsi="Book Antiqua"/>
        </w:rPr>
        <w:t xml:space="preserve"> (TA)</w:t>
      </w:r>
      <w:r w:rsidR="00507986" w:rsidRPr="009F42E6">
        <w:rPr>
          <w:rFonts w:ascii="Book Antiqua" w:hAnsi="Book Antiqua"/>
        </w:rPr>
        <w:t xml:space="preserve">. </w:t>
      </w:r>
      <w:r w:rsidRPr="009F42E6">
        <w:rPr>
          <w:rFonts w:ascii="Book Antiqua" w:hAnsi="Book Antiqua"/>
        </w:rPr>
        <w:t>In the United States, more than 2 million people</w:t>
      </w:r>
      <w:r w:rsidR="00224DDC" w:rsidRPr="009F42E6">
        <w:rPr>
          <w:rFonts w:ascii="Book Antiqua" w:hAnsi="Book Antiqua"/>
        </w:rPr>
        <w:t xml:space="preserve"> have been taking blood thinners every day for various cardiovascular, pulmon</w:t>
      </w:r>
      <w:r w:rsidR="00C11B9B" w:rsidRPr="009F42E6">
        <w:rPr>
          <w:rFonts w:ascii="Book Antiqua" w:hAnsi="Book Antiqua"/>
        </w:rPr>
        <w:t xml:space="preserve">ary and </w:t>
      </w:r>
      <w:proofErr w:type="spellStart"/>
      <w:r w:rsidR="00C11B9B" w:rsidRPr="009F42E6">
        <w:rPr>
          <w:rFonts w:ascii="Book Antiqua" w:hAnsi="Book Antiqua"/>
        </w:rPr>
        <w:t>hypercoagulable</w:t>
      </w:r>
      <w:proofErr w:type="spellEnd"/>
      <w:r w:rsidR="00C11B9B" w:rsidRPr="009F42E6">
        <w:rPr>
          <w:rFonts w:ascii="Book Antiqua" w:hAnsi="Book Antiqua"/>
        </w:rPr>
        <w:t xml:space="preserve"> </w:t>
      </w:r>
      <w:proofErr w:type="gramStart"/>
      <w:r w:rsidR="00C11B9B" w:rsidRPr="009F42E6">
        <w:rPr>
          <w:rFonts w:ascii="Book Antiqua" w:hAnsi="Book Antiqua"/>
        </w:rPr>
        <w:t>disorders</w:t>
      </w:r>
      <w:r w:rsidR="009F42E6" w:rsidRPr="009F42E6">
        <w:rPr>
          <w:rFonts w:ascii="Book Antiqua" w:eastAsia="宋体" w:hAnsi="Book Antiqua" w:hint="eastAsia"/>
          <w:vertAlign w:val="superscript"/>
          <w:lang w:eastAsia="zh-CN"/>
        </w:rPr>
        <w:t>[</w:t>
      </w:r>
      <w:proofErr w:type="gramEnd"/>
      <w:r w:rsidR="002802CA" w:rsidRPr="009F42E6">
        <w:rPr>
          <w:rFonts w:ascii="Book Antiqua" w:hAnsi="Book Antiqua"/>
          <w:vertAlign w:val="superscript"/>
        </w:rPr>
        <w:t>1</w:t>
      </w:r>
      <w:r w:rsidR="009F42E6" w:rsidRPr="009F42E6">
        <w:rPr>
          <w:rFonts w:ascii="Book Antiqua" w:eastAsia="宋体" w:hAnsi="Book Antiqua" w:hint="eastAsia"/>
          <w:vertAlign w:val="superscript"/>
          <w:lang w:eastAsia="zh-CN"/>
        </w:rPr>
        <w:t>]</w:t>
      </w:r>
      <w:r w:rsidR="002802CA" w:rsidRPr="009F42E6">
        <w:rPr>
          <w:rFonts w:ascii="Book Antiqua" w:hAnsi="Book Antiqua"/>
        </w:rPr>
        <w:t xml:space="preserve">. </w:t>
      </w:r>
      <w:r w:rsidR="00795895" w:rsidRPr="009F42E6">
        <w:rPr>
          <w:rFonts w:ascii="Book Antiqua" w:hAnsi="Book Antiqua"/>
        </w:rPr>
        <w:t xml:space="preserve">Gastrointestinal tract is the most common site of significant bleeding in patients on blood thinners. </w:t>
      </w:r>
      <w:r w:rsidR="004E5CE7" w:rsidRPr="009F42E6">
        <w:rPr>
          <w:rFonts w:ascii="Book Antiqua" w:hAnsi="Book Antiqua"/>
        </w:rPr>
        <w:t>Thousands of people per day and millions of</w:t>
      </w:r>
      <w:r w:rsidR="00A401B6" w:rsidRPr="009F42E6">
        <w:rPr>
          <w:rFonts w:ascii="Book Antiqua" w:hAnsi="Book Antiqua"/>
        </w:rPr>
        <w:t xml:space="preserve"> </w:t>
      </w:r>
      <w:r w:rsidR="004E5CE7" w:rsidRPr="009F42E6">
        <w:rPr>
          <w:rFonts w:ascii="Book Antiqua" w:hAnsi="Book Antiqua"/>
        </w:rPr>
        <w:t xml:space="preserve">people per year are having gastrointestinal endoscopies in the United </w:t>
      </w:r>
      <w:proofErr w:type="gramStart"/>
      <w:r w:rsidR="004E5CE7" w:rsidRPr="009F42E6">
        <w:rPr>
          <w:rFonts w:ascii="Book Antiqua" w:hAnsi="Book Antiqua"/>
        </w:rPr>
        <w:t>States</w:t>
      </w:r>
      <w:r w:rsidR="009F42E6" w:rsidRPr="009F42E6">
        <w:rPr>
          <w:rFonts w:ascii="Book Antiqua" w:eastAsia="宋体" w:hAnsi="Book Antiqua" w:hint="eastAsia"/>
          <w:vertAlign w:val="superscript"/>
          <w:lang w:eastAsia="zh-CN"/>
        </w:rPr>
        <w:t>[</w:t>
      </w:r>
      <w:proofErr w:type="gramEnd"/>
      <w:r w:rsidR="009F42E6">
        <w:rPr>
          <w:rFonts w:ascii="Book Antiqua" w:eastAsia="宋体" w:hAnsi="Book Antiqua" w:hint="eastAsia"/>
          <w:vertAlign w:val="superscript"/>
          <w:lang w:eastAsia="zh-CN"/>
        </w:rPr>
        <w:t>2,3</w:t>
      </w:r>
      <w:r w:rsidR="009F42E6" w:rsidRPr="009F42E6">
        <w:rPr>
          <w:rFonts w:ascii="Book Antiqua" w:eastAsia="宋体" w:hAnsi="Book Antiqua" w:hint="eastAsia"/>
          <w:vertAlign w:val="superscript"/>
          <w:lang w:eastAsia="zh-CN"/>
        </w:rPr>
        <w:t>]</w:t>
      </w:r>
      <w:r w:rsidR="006E19A9" w:rsidRPr="009F42E6">
        <w:rPr>
          <w:rFonts w:ascii="Book Antiqua" w:hAnsi="Book Antiqua"/>
        </w:rPr>
        <w:t xml:space="preserve"> </w:t>
      </w:r>
      <w:r w:rsidR="004E5CE7" w:rsidRPr="009F42E6">
        <w:rPr>
          <w:rFonts w:ascii="Book Antiqua" w:hAnsi="Book Antiqua"/>
        </w:rPr>
        <w:t xml:space="preserve">and throughout the world. </w:t>
      </w:r>
      <w:r w:rsidR="006E19A9" w:rsidRPr="009F42E6">
        <w:rPr>
          <w:rFonts w:ascii="Book Antiqua" w:hAnsi="Book Antiqua"/>
        </w:rPr>
        <w:t>The</w:t>
      </w:r>
      <w:r w:rsidR="00C11B9B" w:rsidRPr="009F42E6">
        <w:rPr>
          <w:rFonts w:ascii="Book Antiqua" w:hAnsi="Book Antiqua"/>
        </w:rPr>
        <w:t xml:space="preserve"> </w:t>
      </w:r>
      <w:r w:rsidR="00BF16CD" w:rsidRPr="009F42E6">
        <w:rPr>
          <w:rFonts w:ascii="Book Antiqua" w:hAnsi="Book Antiqua"/>
        </w:rPr>
        <w:t>various gastrointestinal endoscopic pro</w:t>
      </w:r>
      <w:r w:rsidR="00D40700" w:rsidRPr="009F42E6">
        <w:rPr>
          <w:rFonts w:ascii="Book Antiqua" w:hAnsi="Book Antiqua"/>
        </w:rPr>
        <w:t xml:space="preserve">cedures performed are esophagogastroduodenoscopy (EGD), colonoscopy, endoscopic retrograde </w:t>
      </w:r>
      <w:proofErr w:type="spellStart"/>
      <w:r w:rsidR="00D40700" w:rsidRPr="009F42E6">
        <w:rPr>
          <w:rFonts w:ascii="Book Antiqua" w:hAnsi="Book Antiqua"/>
        </w:rPr>
        <w:t>cholangiopancreaticography</w:t>
      </w:r>
      <w:proofErr w:type="spellEnd"/>
      <w:r w:rsidR="00D40700" w:rsidRPr="009F42E6">
        <w:rPr>
          <w:rFonts w:ascii="Book Antiqua" w:hAnsi="Book Antiqua"/>
        </w:rPr>
        <w:t xml:space="preserve"> (ERCP), flexible </w:t>
      </w:r>
      <w:proofErr w:type="spellStart"/>
      <w:r w:rsidR="00D40700" w:rsidRPr="009F42E6">
        <w:rPr>
          <w:rFonts w:ascii="Book Antiqua" w:hAnsi="Book Antiqua"/>
        </w:rPr>
        <w:t>sigmoidoscopy</w:t>
      </w:r>
      <w:proofErr w:type="spellEnd"/>
      <w:r w:rsidR="00D40700" w:rsidRPr="009F42E6">
        <w:rPr>
          <w:rFonts w:ascii="Book Antiqua" w:hAnsi="Book Antiqua"/>
        </w:rPr>
        <w:t xml:space="preserve">, pouch/stoma endoscopy, </w:t>
      </w:r>
      <w:proofErr w:type="spellStart"/>
      <w:r w:rsidR="00D40700" w:rsidRPr="009F42E6">
        <w:rPr>
          <w:rFonts w:ascii="Book Antiqua" w:hAnsi="Book Antiqua"/>
        </w:rPr>
        <w:t>entersocopy</w:t>
      </w:r>
      <w:proofErr w:type="spellEnd"/>
      <w:r w:rsidR="00D40700" w:rsidRPr="009F42E6">
        <w:rPr>
          <w:rFonts w:ascii="Book Antiqua" w:hAnsi="Book Antiqua"/>
        </w:rPr>
        <w:t xml:space="preserve"> (push, spiral, balloon assisted i.e. single balloon or double balloon), endoscopic ultrasound (</w:t>
      </w:r>
      <w:r w:rsidR="00F2692C" w:rsidRPr="009F42E6">
        <w:rPr>
          <w:rFonts w:ascii="Book Antiqua" w:hAnsi="Book Antiqua"/>
        </w:rPr>
        <w:t>EUS –</w:t>
      </w:r>
      <w:r w:rsidR="0061339B" w:rsidRPr="009F42E6">
        <w:rPr>
          <w:rFonts w:ascii="Book Antiqua" w:hAnsi="Book Antiqua"/>
        </w:rPr>
        <w:t xml:space="preserve"> </w:t>
      </w:r>
      <w:proofErr w:type="spellStart"/>
      <w:r w:rsidR="0061339B" w:rsidRPr="009F42E6">
        <w:rPr>
          <w:rFonts w:ascii="Book Antiqua" w:hAnsi="Book Antiqua"/>
        </w:rPr>
        <w:t>mediastinal</w:t>
      </w:r>
      <w:proofErr w:type="spellEnd"/>
      <w:r w:rsidR="0061339B" w:rsidRPr="009F42E6">
        <w:rPr>
          <w:rFonts w:ascii="Book Antiqua" w:hAnsi="Book Antiqua"/>
        </w:rPr>
        <w:t>, pancreatic, rectal</w:t>
      </w:r>
      <w:r w:rsidR="00562213" w:rsidRPr="009F42E6">
        <w:rPr>
          <w:rFonts w:ascii="Book Antiqua" w:hAnsi="Book Antiqua"/>
        </w:rPr>
        <w:t>)</w:t>
      </w:r>
      <w:r w:rsidR="009F42E6">
        <w:rPr>
          <w:rFonts w:ascii="Book Antiqua" w:hAnsi="Book Antiqua"/>
        </w:rPr>
        <w:t>,</w:t>
      </w:r>
      <w:r w:rsidR="00562213" w:rsidRPr="009F42E6">
        <w:rPr>
          <w:rFonts w:ascii="Book Antiqua" w:hAnsi="Book Antiqua"/>
        </w:rPr>
        <w:t xml:space="preserve"> capsule endo</w:t>
      </w:r>
      <w:r w:rsidR="00F2692C" w:rsidRPr="009F42E6">
        <w:rPr>
          <w:rFonts w:ascii="Book Antiqua" w:hAnsi="Book Antiqua"/>
        </w:rPr>
        <w:t xml:space="preserve">scopy and </w:t>
      </w:r>
      <w:r w:rsidR="0061339B" w:rsidRPr="009F42E6">
        <w:rPr>
          <w:rFonts w:ascii="Book Antiqua" w:hAnsi="Book Antiqua"/>
        </w:rPr>
        <w:t xml:space="preserve">capsule </w:t>
      </w:r>
      <w:r w:rsidR="00F2692C" w:rsidRPr="009F42E6">
        <w:rPr>
          <w:rFonts w:ascii="Book Antiqua" w:hAnsi="Book Antiqua"/>
        </w:rPr>
        <w:t>colonoscopy.</w:t>
      </w:r>
      <w:r w:rsidR="00EC0F81" w:rsidRPr="009F42E6">
        <w:rPr>
          <w:rFonts w:ascii="Book Antiqua" w:hAnsi="Book Antiqua"/>
        </w:rPr>
        <w:t xml:space="preserve"> </w:t>
      </w:r>
      <w:r w:rsidR="00850A15" w:rsidRPr="009F42E6">
        <w:rPr>
          <w:rFonts w:ascii="Book Antiqua" w:hAnsi="Book Antiqua"/>
        </w:rPr>
        <w:t>All these procedures have diagnostic and therapeuti</w:t>
      </w:r>
      <w:r w:rsidR="00562213" w:rsidRPr="009F42E6">
        <w:rPr>
          <w:rFonts w:ascii="Book Antiqua" w:hAnsi="Book Antiqua"/>
        </w:rPr>
        <w:t>c potentials except capsule endos</w:t>
      </w:r>
      <w:r w:rsidR="00850A15" w:rsidRPr="009F42E6">
        <w:rPr>
          <w:rFonts w:ascii="Book Antiqua" w:hAnsi="Book Antiqua"/>
        </w:rPr>
        <w:t xml:space="preserve">copy and </w:t>
      </w:r>
      <w:r w:rsidR="0061339B" w:rsidRPr="009F42E6">
        <w:rPr>
          <w:rFonts w:ascii="Book Antiqua" w:hAnsi="Book Antiqua"/>
        </w:rPr>
        <w:t xml:space="preserve">capsule </w:t>
      </w:r>
      <w:r w:rsidR="00850A15" w:rsidRPr="009F42E6">
        <w:rPr>
          <w:rFonts w:ascii="Book Antiqua" w:hAnsi="Book Antiqua"/>
        </w:rPr>
        <w:t>colonoscopy</w:t>
      </w:r>
      <w:r w:rsidR="0061339B" w:rsidRPr="009F42E6">
        <w:rPr>
          <w:rFonts w:ascii="Book Antiqua" w:hAnsi="Book Antiqua"/>
        </w:rPr>
        <w:t xml:space="preserve"> in which neither any diagnostic biopsy nor any intervention can be done</w:t>
      </w:r>
      <w:r w:rsidR="00850A15" w:rsidRPr="009F42E6">
        <w:rPr>
          <w:rFonts w:ascii="Book Antiqua" w:hAnsi="Book Antiqua"/>
        </w:rPr>
        <w:t>. Blood thinners may potentia</w:t>
      </w:r>
      <w:r w:rsidR="00F47597" w:rsidRPr="009F42E6">
        <w:rPr>
          <w:rFonts w:ascii="Book Antiqua" w:hAnsi="Book Antiqua"/>
        </w:rPr>
        <w:t>t</w:t>
      </w:r>
      <w:r w:rsidR="00850A15" w:rsidRPr="009F42E6">
        <w:rPr>
          <w:rFonts w:ascii="Book Antiqua" w:hAnsi="Book Antiqua"/>
        </w:rPr>
        <w:t xml:space="preserve">e </w:t>
      </w:r>
      <w:r w:rsidR="00F47597" w:rsidRPr="009F42E6">
        <w:rPr>
          <w:rFonts w:ascii="Book Antiqua" w:hAnsi="Book Antiqua"/>
        </w:rPr>
        <w:t xml:space="preserve">the risk of bleeding during or after performing these procedures. </w:t>
      </w:r>
      <w:r w:rsidR="00F83A74" w:rsidRPr="009F42E6">
        <w:rPr>
          <w:rFonts w:ascii="Book Antiqua" w:hAnsi="Book Antiqua"/>
        </w:rPr>
        <w:t xml:space="preserve">In the last few years, new blood thinners have been introduced in the market. </w:t>
      </w:r>
      <w:r w:rsidR="00F47597" w:rsidRPr="009F42E6">
        <w:rPr>
          <w:rFonts w:ascii="Book Antiqua" w:hAnsi="Book Antiqua"/>
        </w:rPr>
        <w:t xml:space="preserve">As safety is the most important concern before performing a procedure, </w:t>
      </w:r>
      <w:proofErr w:type="spellStart"/>
      <w:r w:rsidR="00F47597" w:rsidRPr="009F42E6">
        <w:rPr>
          <w:rFonts w:ascii="Book Antiqua" w:hAnsi="Book Antiqua"/>
        </w:rPr>
        <w:t>endoscopists</w:t>
      </w:r>
      <w:proofErr w:type="spellEnd"/>
      <w:r w:rsidR="00F47597" w:rsidRPr="009F42E6">
        <w:rPr>
          <w:rFonts w:ascii="Book Antiqua" w:hAnsi="Book Antiqua"/>
        </w:rPr>
        <w:t xml:space="preserve"> should be very familiar with the different blood thinners available in the market. </w:t>
      </w:r>
    </w:p>
    <w:p w14:paraId="4D0AB007" w14:textId="77777777" w:rsidR="009F42E6" w:rsidRPr="009F42E6" w:rsidRDefault="009F42E6" w:rsidP="00B83F55">
      <w:pPr>
        <w:spacing w:line="360" w:lineRule="auto"/>
        <w:jc w:val="both"/>
        <w:rPr>
          <w:rFonts w:ascii="Book Antiqua" w:eastAsia="宋体" w:hAnsi="Book Antiqua"/>
          <w:lang w:eastAsia="zh-CN"/>
        </w:rPr>
      </w:pPr>
    </w:p>
    <w:p w14:paraId="6FCE3C27" w14:textId="50BE013F" w:rsidR="00EA3EF8" w:rsidRPr="009F42E6" w:rsidRDefault="009F42E6" w:rsidP="00B83F55">
      <w:pPr>
        <w:spacing w:line="360" w:lineRule="auto"/>
        <w:jc w:val="both"/>
        <w:rPr>
          <w:rFonts w:ascii="Book Antiqua" w:eastAsia="宋体" w:hAnsi="Book Antiqua"/>
          <w:b/>
          <w:lang w:eastAsia="zh-CN"/>
        </w:rPr>
      </w:pPr>
      <w:r>
        <w:rPr>
          <w:rFonts w:ascii="Book Antiqua" w:hAnsi="Book Antiqua"/>
          <w:b/>
        </w:rPr>
        <w:t>BLOOD THINNERS</w:t>
      </w:r>
    </w:p>
    <w:p w14:paraId="1A9F0212" w14:textId="77777777" w:rsidR="009F42E6" w:rsidRPr="009F42E6" w:rsidRDefault="004F57E2" w:rsidP="00B83F55">
      <w:pPr>
        <w:spacing w:line="360" w:lineRule="auto"/>
        <w:jc w:val="both"/>
        <w:rPr>
          <w:rFonts w:ascii="Book Antiqua" w:eastAsia="宋体" w:hAnsi="Book Antiqua"/>
          <w:b/>
          <w:i/>
          <w:lang w:eastAsia="zh-CN"/>
        </w:rPr>
      </w:pPr>
      <w:r w:rsidRPr="009F42E6">
        <w:rPr>
          <w:rFonts w:ascii="Book Antiqua" w:hAnsi="Book Antiqua"/>
          <w:b/>
          <w:i/>
        </w:rPr>
        <w:t>Anti-platelet agents</w:t>
      </w:r>
    </w:p>
    <w:p w14:paraId="2674B271" w14:textId="6F999FEE" w:rsidR="004F57E2" w:rsidRPr="009F42E6" w:rsidRDefault="000B34E8" w:rsidP="00B83F55">
      <w:pPr>
        <w:spacing w:line="360" w:lineRule="auto"/>
        <w:jc w:val="both"/>
        <w:rPr>
          <w:rFonts w:ascii="Book Antiqua" w:hAnsi="Book Antiqua"/>
        </w:rPr>
      </w:pPr>
      <w:r w:rsidRPr="009F42E6">
        <w:rPr>
          <w:rFonts w:ascii="Book Antiqua" w:hAnsi="Book Antiqua"/>
        </w:rPr>
        <w:t xml:space="preserve">These include irreversible cyclooxygenase inhibitor, adenosine </w:t>
      </w:r>
      <w:proofErr w:type="spellStart"/>
      <w:r w:rsidRPr="009F42E6">
        <w:rPr>
          <w:rFonts w:ascii="Book Antiqua" w:hAnsi="Book Antiqua"/>
        </w:rPr>
        <w:t>diphosphate</w:t>
      </w:r>
      <w:proofErr w:type="spellEnd"/>
      <w:r w:rsidRPr="009F42E6">
        <w:rPr>
          <w:rFonts w:ascii="Book Antiqua" w:hAnsi="Book Antiqua"/>
        </w:rPr>
        <w:t xml:space="preserve"> (ADP) receptor inhibitors, </w:t>
      </w:r>
      <w:proofErr w:type="spellStart"/>
      <w:r w:rsidRPr="009F42E6">
        <w:rPr>
          <w:rFonts w:ascii="Book Antiqua" w:hAnsi="Book Antiqua"/>
        </w:rPr>
        <w:t>phosphodiesterase</w:t>
      </w:r>
      <w:proofErr w:type="spellEnd"/>
      <w:r w:rsidRPr="009F42E6">
        <w:rPr>
          <w:rFonts w:ascii="Book Antiqua" w:hAnsi="Book Antiqua"/>
        </w:rPr>
        <w:t xml:space="preserve"> inhibitors, glycoprotein IIB/IIIA inhibitors and Protease-activated receptor</w:t>
      </w:r>
      <w:r w:rsidR="00B70D45">
        <w:rPr>
          <w:rFonts w:ascii="Book Antiqua" w:eastAsia="宋体" w:hAnsi="Book Antiqua" w:hint="eastAsia"/>
          <w:lang w:eastAsia="zh-CN"/>
        </w:rPr>
        <w:t>-</w:t>
      </w:r>
      <w:r w:rsidRPr="009F42E6">
        <w:rPr>
          <w:rFonts w:ascii="Book Antiqua" w:hAnsi="Book Antiqua"/>
        </w:rPr>
        <w:t>1 (PAR</w:t>
      </w:r>
      <w:r w:rsidR="00B70D45">
        <w:rPr>
          <w:rFonts w:ascii="Book Antiqua" w:eastAsia="宋体" w:hAnsi="Book Antiqua" w:hint="eastAsia"/>
          <w:lang w:eastAsia="zh-CN"/>
        </w:rPr>
        <w:t>-</w:t>
      </w:r>
      <w:r w:rsidRPr="009F42E6">
        <w:rPr>
          <w:rFonts w:ascii="Book Antiqua" w:hAnsi="Book Antiqua"/>
        </w:rPr>
        <w:t>1) inhibitor.</w:t>
      </w:r>
    </w:p>
    <w:p w14:paraId="1A91D5A6" w14:textId="77777777" w:rsidR="000B34E8" w:rsidRPr="009F42E6" w:rsidRDefault="000B34E8" w:rsidP="00B83F55">
      <w:pPr>
        <w:spacing w:line="360" w:lineRule="auto"/>
        <w:jc w:val="both"/>
        <w:rPr>
          <w:rFonts w:ascii="Book Antiqua" w:hAnsi="Book Antiqua"/>
        </w:rPr>
      </w:pPr>
    </w:p>
    <w:p w14:paraId="1813B2CC" w14:textId="77777777" w:rsidR="009F42E6" w:rsidRDefault="00F83A74" w:rsidP="00B83F55">
      <w:pPr>
        <w:spacing w:line="360" w:lineRule="auto"/>
        <w:jc w:val="both"/>
        <w:rPr>
          <w:rFonts w:ascii="Book Antiqua" w:eastAsia="宋体" w:hAnsi="Book Antiqua"/>
          <w:b/>
          <w:i/>
          <w:lang w:eastAsia="zh-CN"/>
        </w:rPr>
      </w:pPr>
      <w:r w:rsidRPr="009F42E6">
        <w:rPr>
          <w:rFonts w:ascii="Book Antiqua" w:hAnsi="Book Antiqua"/>
          <w:b/>
          <w:i/>
        </w:rPr>
        <w:t>Irreve</w:t>
      </w:r>
      <w:r w:rsidR="00AA3A78" w:rsidRPr="009F42E6">
        <w:rPr>
          <w:rFonts w:ascii="Book Antiqua" w:hAnsi="Book Antiqua"/>
          <w:b/>
          <w:i/>
        </w:rPr>
        <w:t>rsible cyclooxygenase inhibitor</w:t>
      </w:r>
    </w:p>
    <w:p w14:paraId="3D0579C5" w14:textId="46BEF607" w:rsidR="00F83A74" w:rsidRPr="009F42E6" w:rsidRDefault="00F83A74" w:rsidP="00B83F55">
      <w:pPr>
        <w:spacing w:line="360" w:lineRule="auto"/>
        <w:jc w:val="both"/>
        <w:rPr>
          <w:rFonts w:ascii="Book Antiqua" w:hAnsi="Book Antiqua"/>
        </w:rPr>
      </w:pPr>
      <w:r w:rsidRPr="009F42E6">
        <w:rPr>
          <w:rFonts w:ascii="Book Antiqua" w:hAnsi="Book Antiqua"/>
        </w:rPr>
        <w:t xml:space="preserve">Aspirin: </w:t>
      </w:r>
      <w:r w:rsidR="006136CE" w:rsidRPr="009F42E6">
        <w:rPr>
          <w:rFonts w:ascii="Book Antiqua" w:hAnsi="Book Antiqua"/>
        </w:rPr>
        <w:t>Low dose aspirin irreversibly inhibits platelet cyclooxygenase- 1 (COX-1), thus dec</w:t>
      </w:r>
      <w:r w:rsidR="00936516" w:rsidRPr="009F42E6">
        <w:rPr>
          <w:rFonts w:ascii="Book Antiqua" w:hAnsi="Book Antiqua"/>
        </w:rPr>
        <w:t>reasing</w:t>
      </w:r>
      <w:r w:rsidR="000736D8" w:rsidRPr="009F42E6">
        <w:rPr>
          <w:rFonts w:ascii="Book Antiqua" w:hAnsi="Book Antiqua"/>
        </w:rPr>
        <w:t xml:space="preserve"> production of </w:t>
      </w:r>
      <w:r w:rsidR="00795895" w:rsidRPr="009F42E6">
        <w:rPr>
          <w:rFonts w:ascii="Book Antiqua" w:hAnsi="Book Antiqua"/>
        </w:rPr>
        <w:t>prostaglandin H2 (</w:t>
      </w:r>
      <w:r w:rsidR="000736D8" w:rsidRPr="009F42E6">
        <w:rPr>
          <w:rFonts w:ascii="Book Antiqua" w:hAnsi="Book Antiqua"/>
        </w:rPr>
        <w:t>PGH</w:t>
      </w:r>
      <w:r w:rsidR="000736D8" w:rsidRPr="009F42E6">
        <w:rPr>
          <w:rFonts w:ascii="Book Antiqua" w:hAnsi="Book Antiqua"/>
          <w:vertAlign w:val="subscript"/>
        </w:rPr>
        <w:t>2</w:t>
      </w:r>
      <w:r w:rsidR="00795895" w:rsidRPr="009F42E6">
        <w:rPr>
          <w:rFonts w:ascii="Book Antiqua" w:hAnsi="Book Antiqua"/>
        </w:rPr>
        <w:t>)</w:t>
      </w:r>
      <w:r w:rsidR="000736D8" w:rsidRPr="009F42E6">
        <w:rPr>
          <w:rFonts w:ascii="Book Antiqua" w:hAnsi="Book Antiqua"/>
        </w:rPr>
        <w:t xml:space="preserve"> from </w:t>
      </w:r>
      <w:proofErr w:type="spellStart"/>
      <w:r w:rsidR="006136CE" w:rsidRPr="009F42E6">
        <w:rPr>
          <w:rFonts w:ascii="Book Antiqua" w:hAnsi="Book Antiqua"/>
        </w:rPr>
        <w:t>arachidonic</w:t>
      </w:r>
      <w:proofErr w:type="spellEnd"/>
      <w:r w:rsidR="006136CE" w:rsidRPr="009F42E6">
        <w:rPr>
          <w:rFonts w:ascii="Book Antiqua" w:hAnsi="Book Antiqua"/>
        </w:rPr>
        <w:t xml:space="preserve"> acid. </w:t>
      </w:r>
      <w:r w:rsidR="000736D8" w:rsidRPr="009F42E6">
        <w:rPr>
          <w:rFonts w:ascii="Book Antiqua" w:hAnsi="Book Antiqua"/>
        </w:rPr>
        <w:t xml:space="preserve">As </w:t>
      </w:r>
      <w:r w:rsidR="000736D8" w:rsidRPr="009F42E6">
        <w:rPr>
          <w:rFonts w:ascii="Book Antiqua" w:hAnsi="Book Antiqua"/>
        </w:rPr>
        <w:lastRenderedPageBreak/>
        <w:t>a result, production of thromboxane A</w:t>
      </w:r>
      <w:r w:rsidR="000736D8" w:rsidRPr="009F42E6">
        <w:rPr>
          <w:rFonts w:ascii="Book Antiqua" w:hAnsi="Book Antiqua"/>
          <w:vertAlign w:val="subscript"/>
        </w:rPr>
        <w:t>2</w:t>
      </w:r>
      <w:r w:rsidR="000736D8" w:rsidRPr="009F42E6">
        <w:rPr>
          <w:rFonts w:ascii="Book Antiqua" w:hAnsi="Book Antiqua"/>
        </w:rPr>
        <w:t xml:space="preserve"> (TxA</w:t>
      </w:r>
      <w:r w:rsidR="000736D8" w:rsidRPr="009F42E6">
        <w:rPr>
          <w:rFonts w:ascii="Book Antiqua" w:hAnsi="Book Antiqua"/>
          <w:vertAlign w:val="subscript"/>
        </w:rPr>
        <w:t>2</w:t>
      </w:r>
      <w:r w:rsidR="00936516" w:rsidRPr="009F42E6">
        <w:rPr>
          <w:rFonts w:ascii="Book Antiqua" w:hAnsi="Book Antiqua"/>
        </w:rPr>
        <w:t>) derived</w:t>
      </w:r>
      <w:r w:rsidR="000736D8" w:rsidRPr="009F42E6">
        <w:rPr>
          <w:rFonts w:ascii="Book Antiqua" w:hAnsi="Book Antiqua"/>
        </w:rPr>
        <w:t xml:space="preserve"> from PGH</w:t>
      </w:r>
      <w:r w:rsidR="000736D8" w:rsidRPr="009F42E6">
        <w:rPr>
          <w:rFonts w:ascii="Book Antiqua" w:hAnsi="Book Antiqua"/>
          <w:vertAlign w:val="subscript"/>
        </w:rPr>
        <w:t>2</w:t>
      </w:r>
      <w:r w:rsidR="000736D8" w:rsidRPr="009F42E6">
        <w:rPr>
          <w:rFonts w:ascii="Book Antiqua" w:hAnsi="Book Antiqua"/>
        </w:rPr>
        <w:t xml:space="preserve"> is decreased. TxA</w:t>
      </w:r>
      <w:r w:rsidR="000736D8" w:rsidRPr="009F42E6">
        <w:rPr>
          <w:rFonts w:ascii="Book Antiqua" w:hAnsi="Book Antiqua"/>
          <w:vertAlign w:val="subscript"/>
        </w:rPr>
        <w:t>2</w:t>
      </w:r>
      <w:r w:rsidR="000736D8" w:rsidRPr="009F42E6">
        <w:rPr>
          <w:rFonts w:ascii="Book Antiqua" w:hAnsi="Book Antiqua"/>
        </w:rPr>
        <w:t xml:space="preserve"> is responsible for platelet aggregation and vasoconstriction.</w:t>
      </w:r>
      <w:r w:rsidR="00624722" w:rsidRPr="009F42E6">
        <w:rPr>
          <w:rFonts w:ascii="Book Antiqua" w:hAnsi="Book Antiqua"/>
        </w:rPr>
        <w:t xml:space="preserve"> Low dose aspirin works as </w:t>
      </w:r>
      <w:r w:rsidR="00AA3A78" w:rsidRPr="009F42E6">
        <w:rPr>
          <w:rFonts w:ascii="Book Antiqua" w:hAnsi="Book Antiqua"/>
        </w:rPr>
        <w:t xml:space="preserve">a </w:t>
      </w:r>
      <w:r w:rsidR="00624722" w:rsidRPr="009F42E6">
        <w:rPr>
          <w:rFonts w:ascii="Book Antiqua" w:hAnsi="Book Antiqua"/>
        </w:rPr>
        <w:t>weak antiplat</w:t>
      </w:r>
      <w:r w:rsidR="00EB31EC" w:rsidRPr="009F42E6">
        <w:rPr>
          <w:rFonts w:ascii="Book Antiqua" w:hAnsi="Book Antiqua"/>
        </w:rPr>
        <w:t>elet agent. Aspirin is widely</w:t>
      </w:r>
      <w:r w:rsidR="00624722" w:rsidRPr="009F42E6">
        <w:rPr>
          <w:rFonts w:ascii="Book Antiqua" w:hAnsi="Book Antiqua"/>
        </w:rPr>
        <w:t xml:space="preserve"> used in coronary artery disease, cerebrovascular disease and atrial fibrillation.</w:t>
      </w:r>
      <w:r w:rsidR="00033C39" w:rsidRPr="009F42E6">
        <w:rPr>
          <w:rFonts w:ascii="Book Antiqua" w:hAnsi="Book Antiqua"/>
        </w:rPr>
        <w:t xml:space="preserve"> As</w:t>
      </w:r>
      <w:r w:rsidR="00AA3A78" w:rsidRPr="009F42E6">
        <w:rPr>
          <w:rFonts w:ascii="Book Antiqua" w:hAnsi="Book Antiqua"/>
        </w:rPr>
        <w:t xml:space="preserve">pirin can be continued for low </w:t>
      </w:r>
      <w:r w:rsidR="00033C39" w:rsidRPr="009F42E6">
        <w:rPr>
          <w:rFonts w:ascii="Book Antiqua" w:hAnsi="Book Antiqua"/>
        </w:rPr>
        <w:t xml:space="preserve">risk </w:t>
      </w:r>
      <w:r w:rsidR="00862870" w:rsidRPr="009F42E6">
        <w:rPr>
          <w:rFonts w:ascii="Book Antiqua" w:hAnsi="Book Antiqua"/>
        </w:rPr>
        <w:t xml:space="preserve">and high-risk </w:t>
      </w:r>
      <w:r w:rsidR="00033C39" w:rsidRPr="009F42E6">
        <w:rPr>
          <w:rFonts w:ascii="Book Antiqua" w:hAnsi="Book Antiqua"/>
        </w:rPr>
        <w:t xml:space="preserve">elective procedures. </w:t>
      </w:r>
    </w:p>
    <w:p w14:paraId="53C74171" w14:textId="77777777" w:rsidR="00AA3A78" w:rsidRPr="009F42E6" w:rsidRDefault="00AA3A78" w:rsidP="00B83F55">
      <w:pPr>
        <w:spacing w:line="360" w:lineRule="auto"/>
        <w:jc w:val="both"/>
        <w:rPr>
          <w:rFonts w:ascii="Book Antiqua" w:hAnsi="Book Antiqua"/>
        </w:rPr>
      </w:pPr>
    </w:p>
    <w:p w14:paraId="0A139FFE" w14:textId="77777777" w:rsidR="009F42E6" w:rsidRPr="009F42E6" w:rsidRDefault="00AA3A78" w:rsidP="00B83F55">
      <w:pPr>
        <w:spacing w:line="360" w:lineRule="auto"/>
        <w:jc w:val="both"/>
        <w:rPr>
          <w:rFonts w:ascii="Book Antiqua" w:eastAsia="宋体" w:hAnsi="Book Antiqua"/>
          <w:b/>
          <w:i/>
          <w:lang w:eastAsia="zh-CN"/>
        </w:rPr>
      </w:pPr>
      <w:r w:rsidRPr="009F42E6">
        <w:rPr>
          <w:rFonts w:ascii="Book Antiqua" w:hAnsi="Book Antiqua"/>
          <w:b/>
          <w:i/>
        </w:rPr>
        <w:t xml:space="preserve">Adenosine </w:t>
      </w:r>
      <w:proofErr w:type="spellStart"/>
      <w:r w:rsidR="00854573" w:rsidRPr="009F42E6">
        <w:rPr>
          <w:rFonts w:ascii="Book Antiqua" w:hAnsi="Book Antiqua"/>
          <w:b/>
          <w:i/>
        </w:rPr>
        <w:t>diphosphate</w:t>
      </w:r>
      <w:proofErr w:type="spellEnd"/>
      <w:r w:rsidR="00854573" w:rsidRPr="009F42E6">
        <w:rPr>
          <w:rFonts w:ascii="Book Antiqua" w:hAnsi="Book Antiqua"/>
          <w:b/>
          <w:i/>
        </w:rPr>
        <w:t xml:space="preserve"> </w:t>
      </w:r>
      <w:r w:rsidR="009F42E6" w:rsidRPr="009F42E6">
        <w:rPr>
          <w:rFonts w:ascii="Book Antiqua" w:hAnsi="Book Antiqua"/>
          <w:b/>
          <w:i/>
        </w:rPr>
        <w:t>receptor inhibitors</w:t>
      </w:r>
    </w:p>
    <w:p w14:paraId="71CA159F" w14:textId="0E1D82D3" w:rsidR="00854573" w:rsidRPr="009F42E6" w:rsidRDefault="00F906F9" w:rsidP="00B83F55">
      <w:pPr>
        <w:spacing w:line="360" w:lineRule="auto"/>
        <w:jc w:val="both"/>
        <w:rPr>
          <w:rFonts w:ascii="Book Antiqua" w:hAnsi="Book Antiqua"/>
        </w:rPr>
      </w:pPr>
      <w:r w:rsidRPr="009F42E6">
        <w:rPr>
          <w:rFonts w:ascii="Book Antiqua" w:hAnsi="Book Antiqua"/>
        </w:rPr>
        <w:t xml:space="preserve">They competitively inhibit ADP from binding to ADP receptors on platelets, and thus prevent ADP mediated up-regulation of glycoprotein </w:t>
      </w:r>
      <w:proofErr w:type="spellStart"/>
      <w:r w:rsidRPr="009F42E6">
        <w:rPr>
          <w:rFonts w:ascii="Book Antiqua" w:hAnsi="Book Antiqua"/>
        </w:rPr>
        <w:t>IIb</w:t>
      </w:r>
      <w:proofErr w:type="spellEnd"/>
      <w:r w:rsidRPr="009F42E6">
        <w:rPr>
          <w:rFonts w:ascii="Book Antiqua" w:hAnsi="Book Antiqua"/>
        </w:rPr>
        <w:t>/</w:t>
      </w:r>
      <w:proofErr w:type="spellStart"/>
      <w:r w:rsidRPr="009F42E6">
        <w:rPr>
          <w:rFonts w:ascii="Book Antiqua" w:hAnsi="Book Antiqua"/>
        </w:rPr>
        <w:t>IIIa</w:t>
      </w:r>
      <w:proofErr w:type="spellEnd"/>
      <w:r w:rsidRPr="009F42E6">
        <w:rPr>
          <w:rFonts w:ascii="Book Antiqua" w:hAnsi="Book Antiqua"/>
        </w:rPr>
        <w:t xml:space="preserve"> receptor, leading to inhibition of platelet aggregation. They include </w:t>
      </w:r>
      <w:proofErr w:type="spellStart"/>
      <w:r w:rsidR="00854573" w:rsidRPr="009F42E6">
        <w:rPr>
          <w:rFonts w:ascii="Book Antiqua" w:hAnsi="Book Antiqua"/>
        </w:rPr>
        <w:t>Clopidogrel</w:t>
      </w:r>
      <w:proofErr w:type="spellEnd"/>
      <w:r w:rsidR="00854573" w:rsidRPr="009F42E6">
        <w:rPr>
          <w:rFonts w:ascii="Book Antiqua" w:hAnsi="Book Antiqua"/>
        </w:rPr>
        <w:t xml:space="preserve"> (Plavix), </w:t>
      </w:r>
      <w:proofErr w:type="spellStart"/>
      <w:r w:rsidR="00854573" w:rsidRPr="009F42E6">
        <w:rPr>
          <w:rFonts w:ascii="Book Antiqua" w:hAnsi="Book Antiqua"/>
        </w:rPr>
        <w:t>Parasugrel</w:t>
      </w:r>
      <w:proofErr w:type="spellEnd"/>
      <w:r w:rsidR="00854573" w:rsidRPr="009F42E6">
        <w:rPr>
          <w:rFonts w:ascii="Book Antiqua" w:hAnsi="Book Antiqua"/>
        </w:rPr>
        <w:t xml:space="preserve"> (</w:t>
      </w:r>
      <w:proofErr w:type="spellStart"/>
      <w:r w:rsidR="00854573" w:rsidRPr="009F42E6">
        <w:rPr>
          <w:rFonts w:ascii="Book Antiqua" w:hAnsi="Book Antiqua"/>
        </w:rPr>
        <w:t>Effient</w:t>
      </w:r>
      <w:proofErr w:type="spellEnd"/>
      <w:r w:rsidR="00854573" w:rsidRPr="009F42E6">
        <w:rPr>
          <w:rFonts w:ascii="Book Antiqua" w:hAnsi="Book Antiqua"/>
        </w:rPr>
        <w:t xml:space="preserve">), </w:t>
      </w:r>
      <w:proofErr w:type="spellStart"/>
      <w:r w:rsidR="00854573" w:rsidRPr="009F42E6">
        <w:rPr>
          <w:rFonts w:ascii="Book Antiqua" w:hAnsi="Book Antiqua"/>
        </w:rPr>
        <w:t>Ticagrelor</w:t>
      </w:r>
      <w:proofErr w:type="spellEnd"/>
      <w:r w:rsidR="00854573" w:rsidRPr="009F42E6">
        <w:rPr>
          <w:rFonts w:ascii="Book Antiqua" w:hAnsi="Book Antiqua"/>
        </w:rPr>
        <w:t xml:space="preserve"> (</w:t>
      </w:r>
      <w:proofErr w:type="spellStart"/>
      <w:r w:rsidR="00854573" w:rsidRPr="009F42E6">
        <w:rPr>
          <w:rFonts w:ascii="Book Antiqua" w:hAnsi="Book Antiqua"/>
        </w:rPr>
        <w:t>Brilinta</w:t>
      </w:r>
      <w:proofErr w:type="spellEnd"/>
      <w:r w:rsidR="00854573" w:rsidRPr="009F42E6">
        <w:rPr>
          <w:rFonts w:ascii="Book Antiqua" w:hAnsi="Book Antiqua"/>
        </w:rPr>
        <w:t xml:space="preserve">) and </w:t>
      </w:r>
      <w:proofErr w:type="spellStart"/>
      <w:r w:rsidR="00854573" w:rsidRPr="009F42E6">
        <w:rPr>
          <w:rFonts w:ascii="Book Antiqua" w:hAnsi="Book Antiqua"/>
        </w:rPr>
        <w:t>Ticlopidine</w:t>
      </w:r>
      <w:proofErr w:type="spellEnd"/>
      <w:r w:rsidR="00854573" w:rsidRPr="009F42E6">
        <w:rPr>
          <w:rFonts w:ascii="Book Antiqua" w:hAnsi="Book Antiqua"/>
        </w:rPr>
        <w:t xml:space="preserve"> (</w:t>
      </w:r>
      <w:proofErr w:type="spellStart"/>
      <w:r w:rsidR="00854573" w:rsidRPr="009F42E6">
        <w:rPr>
          <w:rFonts w:ascii="Book Antiqua" w:hAnsi="Book Antiqua"/>
        </w:rPr>
        <w:t>Ticlid</w:t>
      </w:r>
      <w:proofErr w:type="spellEnd"/>
      <w:r w:rsidR="00854573" w:rsidRPr="009F42E6">
        <w:rPr>
          <w:rFonts w:ascii="Book Antiqua" w:hAnsi="Book Antiqua"/>
        </w:rPr>
        <w:t xml:space="preserve">). </w:t>
      </w:r>
      <w:proofErr w:type="spellStart"/>
      <w:r w:rsidR="00A7037C" w:rsidRPr="009F42E6">
        <w:rPr>
          <w:rFonts w:ascii="Book Antiqua" w:hAnsi="Book Antiqua"/>
        </w:rPr>
        <w:t>Clopidogrel</w:t>
      </w:r>
      <w:proofErr w:type="spellEnd"/>
      <w:r w:rsidR="000873C4" w:rsidRPr="009F42E6">
        <w:rPr>
          <w:rFonts w:ascii="Book Antiqua" w:hAnsi="Book Antiqua"/>
        </w:rPr>
        <w:t xml:space="preserve"> is </w:t>
      </w:r>
      <w:r w:rsidR="003F555A" w:rsidRPr="009F42E6">
        <w:rPr>
          <w:rFonts w:ascii="Book Antiqua" w:hAnsi="Book Antiqua"/>
        </w:rPr>
        <w:t xml:space="preserve">widely </w:t>
      </w:r>
      <w:r w:rsidR="000873C4" w:rsidRPr="009F42E6">
        <w:rPr>
          <w:rFonts w:ascii="Book Antiqua" w:hAnsi="Book Antiqua"/>
        </w:rPr>
        <w:t>used in acute</w:t>
      </w:r>
      <w:r w:rsidR="002C4F7E" w:rsidRPr="009F42E6">
        <w:rPr>
          <w:rFonts w:ascii="Book Antiqua" w:hAnsi="Book Antiqua"/>
        </w:rPr>
        <w:t xml:space="preserve"> coronary syndrome, post-</w:t>
      </w:r>
      <w:r w:rsidR="000873C4" w:rsidRPr="009F42E6">
        <w:rPr>
          <w:rFonts w:ascii="Book Antiqua" w:hAnsi="Book Antiqua"/>
        </w:rPr>
        <w:t xml:space="preserve">coronary artery stenting, </w:t>
      </w:r>
      <w:r w:rsidR="002C4F7E" w:rsidRPr="009F42E6">
        <w:rPr>
          <w:rFonts w:ascii="Book Antiqua" w:hAnsi="Book Antiqua"/>
        </w:rPr>
        <w:t xml:space="preserve">cerebrovascular accidents and </w:t>
      </w:r>
      <w:r w:rsidR="00A7037C" w:rsidRPr="009F42E6">
        <w:rPr>
          <w:rFonts w:ascii="Book Antiqua" w:hAnsi="Book Antiqua"/>
        </w:rPr>
        <w:t xml:space="preserve">peripheral vascular diseases. </w:t>
      </w:r>
      <w:proofErr w:type="spellStart"/>
      <w:r w:rsidR="00A7037C" w:rsidRPr="009F42E6">
        <w:rPr>
          <w:rFonts w:ascii="Book Antiqua" w:hAnsi="Book Antiqua"/>
        </w:rPr>
        <w:t>Parasugrel</w:t>
      </w:r>
      <w:proofErr w:type="spellEnd"/>
      <w:r w:rsidR="00A7037C" w:rsidRPr="009F42E6">
        <w:rPr>
          <w:rFonts w:ascii="Book Antiqua" w:hAnsi="Book Antiqua"/>
        </w:rPr>
        <w:t xml:space="preserve"> is used in acute coronary syndrome. It has rapid onset of action and more bleeding risk.</w:t>
      </w:r>
      <w:r w:rsidR="000A2EA3" w:rsidRPr="009F42E6">
        <w:rPr>
          <w:rFonts w:ascii="Book Antiqua" w:hAnsi="Book Antiqua"/>
        </w:rPr>
        <w:t xml:space="preserve"> </w:t>
      </w:r>
      <w:proofErr w:type="spellStart"/>
      <w:r w:rsidR="000A2EA3" w:rsidRPr="009F42E6">
        <w:rPr>
          <w:rFonts w:ascii="Book Antiqua" w:hAnsi="Book Antiqua"/>
        </w:rPr>
        <w:t>Ticagrelor</w:t>
      </w:r>
      <w:proofErr w:type="spellEnd"/>
      <w:r w:rsidR="000A2EA3" w:rsidRPr="009F42E6">
        <w:rPr>
          <w:rFonts w:ascii="Book Antiqua" w:hAnsi="Book Antiqua"/>
        </w:rPr>
        <w:t xml:space="preserve"> is used in acute coronary syndrome, post</w:t>
      </w:r>
      <w:r w:rsidR="00067107" w:rsidRPr="009F42E6">
        <w:rPr>
          <w:rFonts w:ascii="Book Antiqua" w:hAnsi="Book Antiqua"/>
        </w:rPr>
        <w:t xml:space="preserve">-myocardial infarction and post-coronary artery stenting. </w:t>
      </w:r>
      <w:r w:rsidR="00540187" w:rsidRPr="009F42E6">
        <w:rPr>
          <w:rFonts w:ascii="Book Antiqua" w:hAnsi="Book Antiqua"/>
        </w:rPr>
        <w:t xml:space="preserve"> </w:t>
      </w:r>
      <w:proofErr w:type="spellStart"/>
      <w:r w:rsidR="00540187" w:rsidRPr="009F42E6">
        <w:rPr>
          <w:rFonts w:ascii="Book Antiqua" w:hAnsi="Book Antiqua"/>
        </w:rPr>
        <w:t>Ticlopidine</w:t>
      </w:r>
      <w:proofErr w:type="spellEnd"/>
      <w:r w:rsidR="00540187" w:rsidRPr="009F42E6">
        <w:rPr>
          <w:rFonts w:ascii="Book Antiqua" w:hAnsi="Book Antiqua"/>
        </w:rPr>
        <w:t xml:space="preserve"> is </w:t>
      </w:r>
      <w:r w:rsidR="00F2782F" w:rsidRPr="009F42E6">
        <w:rPr>
          <w:rFonts w:ascii="Book Antiqua" w:hAnsi="Book Antiqua"/>
        </w:rPr>
        <w:t>approved for the prevention of stroke when combined with aspirin, and also for the prevention of coronary artery thrombosis after coronary artery stenting.  But because of its rare but serious side effect of neutropenia and thromboc</w:t>
      </w:r>
      <w:r w:rsidR="00335FFD">
        <w:rPr>
          <w:rFonts w:ascii="Book Antiqua" w:hAnsi="Book Antiqua"/>
        </w:rPr>
        <w:t>ytopenia, it is rarely used nowa</w:t>
      </w:r>
      <w:r w:rsidR="00F2782F" w:rsidRPr="009F42E6">
        <w:rPr>
          <w:rFonts w:ascii="Book Antiqua" w:hAnsi="Book Antiqua"/>
        </w:rPr>
        <w:t>days. These</w:t>
      </w:r>
      <w:r w:rsidR="00067107" w:rsidRPr="009F42E6">
        <w:rPr>
          <w:rFonts w:ascii="Book Antiqua" w:hAnsi="Book Antiqua"/>
        </w:rPr>
        <w:t xml:space="preserve"> medications </w:t>
      </w:r>
      <w:r w:rsidR="00936516" w:rsidRPr="009F42E6">
        <w:rPr>
          <w:rFonts w:ascii="Book Antiqua" w:hAnsi="Book Antiqua"/>
        </w:rPr>
        <w:t xml:space="preserve">are </w:t>
      </w:r>
      <w:proofErr w:type="spellStart"/>
      <w:proofErr w:type="gramStart"/>
      <w:r w:rsidR="00936516" w:rsidRPr="009F42E6">
        <w:rPr>
          <w:rFonts w:ascii="Book Antiqua" w:hAnsi="Book Antiqua"/>
        </w:rPr>
        <w:t>thienopyridines</w:t>
      </w:r>
      <w:proofErr w:type="spellEnd"/>
      <w:r w:rsidR="00936516" w:rsidRPr="009F42E6">
        <w:rPr>
          <w:rFonts w:ascii="Book Antiqua" w:hAnsi="Book Antiqua"/>
        </w:rPr>
        <w:t xml:space="preserve"> which</w:t>
      </w:r>
      <w:proofErr w:type="gramEnd"/>
      <w:r w:rsidR="00F2782F" w:rsidRPr="009F42E6">
        <w:rPr>
          <w:rFonts w:ascii="Book Antiqua" w:hAnsi="Book Antiqua"/>
        </w:rPr>
        <w:t xml:space="preserve"> </w:t>
      </w:r>
      <w:r w:rsidR="00067107" w:rsidRPr="009F42E6">
        <w:rPr>
          <w:rFonts w:ascii="Book Antiqua" w:hAnsi="Book Antiqua"/>
        </w:rPr>
        <w:t xml:space="preserve">inhibit platelet aggregation </w:t>
      </w:r>
      <w:r w:rsidR="00F2782F" w:rsidRPr="009F42E6">
        <w:rPr>
          <w:rFonts w:ascii="Book Antiqua" w:hAnsi="Book Antiqua"/>
        </w:rPr>
        <w:t xml:space="preserve">by </w:t>
      </w:r>
      <w:r w:rsidR="00067107" w:rsidRPr="009F42E6">
        <w:rPr>
          <w:rFonts w:ascii="Book Antiqua" w:hAnsi="Book Antiqua"/>
        </w:rPr>
        <w:t>irreversibly binding to P2Y12 ADP receptors on platelets (4).</w:t>
      </w:r>
      <w:r w:rsidR="002C4F7E" w:rsidRPr="009F42E6">
        <w:rPr>
          <w:rFonts w:ascii="Book Antiqua" w:hAnsi="Book Antiqua"/>
        </w:rPr>
        <w:t xml:space="preserve"> </w:t>
      </w:r>
      <w:r w:rsidR="00184D19" w:rsidRPr="009F42E6">
        <w:rPr>
          <w:rFonts w:ascii="Book Antiqua" w:hAnsi="Book Antiqua"/>
        </w:rPr>
        <w:t xml:space="preserve"> </w:t>
      </w:r>
      <w:proofErr w:type="spellStart"/>
      <w:r w:rsidR="00184D19" w:rsidRPr="009F42E6">
        <w:rPr>
          <w:rFonts w:ascii="Book Antiqua" w:hAnsi="Book Antiqua"/>
        </w:rPr>
        <w:t>Clopidogrel</w:t>
      </w:r>
      <w:proofErr w:type="spellEnd"/>
      <w:r w:rsidR="00184D19" w:rsidRPr="009F42E6">
        <w:rPr>
          <w:rFonts w:ascii="Book Antiqua" w:hAnsi="Book Antiqua"/>
        </w:rPr>
        <w:t xml:space="preserve">, </w:t>
      </w:r>
      <w:proofErr w:type="spellStart"/>
      <w:r w:rsidR="00184D19" w:rsidRPr="009F42E6">
        <w:rPr>
          <w:rFonts w:ascii="Book Antiqua" w:hAnsi="Book Antiqua"/>
        </w:rPr>
        <w:t>parasugr</w:t>
      </w:r>
      <w:r w:rsidR="00936516" w:rsidRPr="009F42E6">
        <w:rPr>
          <w:rFonts w:ascii="Book Antiqua" w:hAnsi="Book Antiqua"/>
        </w:rPr>
        <w:t>el</w:t>
      </w:r>
      <w:proofErr w:type="spellEnd"/>
      <w:r w:rsidR="00936516" w:rsidRPr="009F42E6">
        <w:rPr>
          <w:rFonts w:ascii="Book Antiqua" w:hAnsi="Book Antiqua"/>
        </w:rPr>
        <w:t xml:space="preserve"> and </w:t>
      </w:r>
      <w:proofErr w:type="spellStart"/>
      <w:r w:rsidR="00936516" w:rsidRPr="009F42E6">
        <w:rPr>
          <w:rFonts w:ascii="Book Antiqua" w:hAnsi="Book Antiqua"/>
        </w:rPr>
        <w:t>ticagrelor</w:t>
      </w:r>
      <w:proofErr w:type="spellEnd"/>
      <w:r w:rsidR="00936516" w:rsidRPr="009F42E6">
        <w:rPr>
          <w:rFonts w:ascii="Book Antiqua" w:hAnsi="Book Antiqua"/>
        </w:rPr>
        <w:t xml:space="preserve"> should be withheld</w:t>
      </w:r>
      <w:r w:rsidR="00184D19" w:rsidRPr="009F42E6">
        <w:rPr>
          <w:rFonts w:ascii="Book Antiqua" w:hAnsi="Book Antiqua"/>
        </w:rPr>
        <w:t xml:space="preserve"> for 5-7 </w:t>
      </w:r>
      <w:r w:rsidR="00B83F55">
        <w:rPr>
          <w:rFonts w:ascii="Book Antiqua" w:eastAsia="宋体" w:hAnsi="Book Antiqua" w:hint="eastAsia"/>
          <w:lang w:eastAsia="zh-CN"/>
        </w:rPr>
        <w:t>d</w:t>
      </w:r>
      <w:r w:rsidR="00184D19" w:rsidRPr="009F42E6">
        <w:rPr>
          <w:rFonts w:ascii="Book Antiqua" w:hAnsi="Book Antiqua"/>
        </w:rPr>
        <w:t xml:space="preserve"> and </w:t>
      </w:r>
      <w:proofErr w:type="spellStart"/>
      <w:r w:rsidR="00184D19" w:rsidRPr="009F42E6">
        <w:rPr>
          <w:rFonts w:ascii="Book Antiqua" w:hAnsi="Book Antiqua"/>
        </w:rPr>
        <w:t>ticlopidine</w:t>
      </w:r>
      <w:proofErr w:type="spellEnd"/>
      <w:r w:rsidR="00184D19" w:rsidRPr="009F42E6">
        <w:rPr>
          <w:rFonts w:ascii="Book Antiqua" w:hAnsi="Book Antiqua"/>
        </w:rPr>
        <w:t xml:space="preserve"> for 10-14 </w:t>
      </w:r>
      <w:r w:rsidR="00B83F55">
        <w:rPr>
          <w:rFonts w:ascii="Book Antiqua" w:eastAsia="宋体" w:hAnsi="Book Antiqua" w:hint="eastAsia"/>
          <w:lang w:eastAsia="zh-CN"/>
        </w:rPr>
        <w:t>d</w:t>
      </w:r>
      <w:r w:rsidR="00184D19" w:rsidRPr="009F42E6">
        <w:rPr>
          <w:rFonts w:ascii="Book Antiqua" w:hAnsi="Book Antiqua"/>
        </w:rPr>
        <w:t xml:space="preserve"> prior to any endoscopic procedures.</w:t>
      </w:r>
    </w:p>
    <w:p w14:paraId="4A433CAB" w14:textId="77777777" w:rsidR="00F462D6" w:rsidRPr="009F42E6" w:rsidRDefault="00F462D6" w:rsidP="00B83F55">
      <w:pPr>
        <w:spacing w:line="360" w:lineRule="auto"/>
        <w:jc w:val="both"/>
        <w:rPr>
          <w:rFonts w:ascii="Book Antiqua" w:hAnsi="Book Antiqua"/>
        </w:rPr>
      </w:pPr>
    </w:p>
    <w:p w14:paraId="519B1006" w14:textId="7DB1C777" w:rsidR="00CE07FE" w:rsidRPr="009F42E6" w:rsidRDefault="00F462D6" w:rsidP="00B83F55">
      <w:pPr>
        <w:spacing w:line="360" w:lineRule="auto"/>
        <w:jc w:val="both"/>
        <w:rPr>
          <w:rFonts w:ascii="Book Antiqua" w:eastAsia="宋体" w:hAnsi="Book Antiqua"/>
          <w:i/>
          <w:lang w:eastAsia="zh-CN"/>
        </w:rPr>
      </w:pPr>
      <w:proofErr w:type="spellStart"/>
      <w:r w:rsidRPr="009F42E6">
        <w:rPr>
          <w:rFonts w:ascii="Book Antiqua" w:hAnsi="Book Antiqua"/>
          <w:b/>
          <w:i/>
        </w:rPr>
        <w:t>Phosphodiesterase</w:t>
      </w:r>
      <w:proofErr w:type="spellEnd"/>
      <w:r w:rsidR="009F42E6" w:rsidRPr="009F42E6">
        <w:rPr>
          <w:rFonts w:ascii="Book Antiqua" w:hAnsi="Book Antiqua"/>
          <w:b/>
          <w:i/>
        </w:rPr>
        <w:t xml:space="preserve"> inhibitors</w:t>
      </w:r>
    </w:p>
    <w:p w14:paraId="107B3F5F" w14:textId="0C88D62A" w:rsidR="00F462D6" w:rsidRDefault="00A06F06" w:rsidP="00B83F55">
      <w:pPr>
        <w:spacing w:line="360" w:lineRule="auto"/>
        <w:jc w:val="both"/>
        <w:rPr>
          <w:rFonts w:ascii="Book Antiqua" w:eastAsia="宋体" w:hAnsi="Book Antiqua"/>
          <w:lang w:eastAsia="zh-CN"/>
        </w:rPr>
      </w:pPr>
      <w:proofErr w:type="spellStart"/>
      <w:r w:rsidRPr="00E32AFA">
        <w:rPr>
          <w:rFonts w:ascii="Book Antiqua" w:hAnsi="Book Antiqua"/>
          <w:b/>
        </w:rPr>
        <w:t>Cilostazol</w:t>
      </w:r>
      <w:proofErr w:type="spellEnd"/>
      <w:r w:rsidR="00C43093" w:rsidRPr="00E32AFA">
        <w:rPr>
          <w:rFonts w:ascii="Book Antiqua" w:hAnsi="Book Antiqua"/>
          <w:b/>
        </w:rPr>
        <w:t xml:space="preserve"> (</w:t>
      </w:r>
      <w:proofErr w:type="spellStart"/>
      <w:r w:rsidR="00C43093" w:rsidRPr="00E32AFA">
        <w:rPr>
          <w:rFonts w:ascii="Book Antiqua" w:hAnsi="Book Antiqua"/>
          <w:b/>
        </w:rPr>
        <w:t>Pletal</w:t>
      </w:r>
      <w:proofErr w:type="spellEnd"/>
      <w:r w:rsidR="00C43093" w:rsidRPr="00E32AFA">
        <w:rPr>
          <w:rFonts w:ascii="Book Antiqua" w:hAnsi="Book Antiqua"/>
          <w:b/>
        </w:rPr>
        <w:t>)</w:t>
      </w:r>
      <w:r w:rsidR="00FA3582" w:rsidRPr="00E32AFA">
        <w:rPr>
          <w:rFonts w:ascii="Book Antiqua" w:hAnsi="Book Antiqua"/>
          <w:b/>
        </w:rPr>
        <w:t>:</w:t>
      </w:r>
      <w:r w:rsidR="00FA3582" w:rsidRPr="009F42E6">
        <w:rPr>
          <w:rFonts w:ascii="Book Antiqua" w:hAnsi="Book Antiqua"/>
        </w:rPr>
        <w:t xml:space="preserve"> It</w:t>
      </w:r>
      <w:r w:rsidR="00C43093" w:rsidRPr="009F42E6">
        <w:rPr>
          <w:rFonts w:ascii="Book Antiqua" w:hAnsi="Book Antiqua"/>
        </w:rPr>
        <w:t xml:space="preserve"> </w:t>
      </w:r>
      <w:r w:rsidR="00A103FE" w:rsidRPr="009F42E6">
        <w:rPr>
          <w:rFonts w:ascii="Book Antiqua" w:hAnsi="Book Antiqua"/>
        </w:rPr>
        <w:t xml:space="preserve">prevents platelets from sticking together to form </w:t>
      </w:r>
      <w:r w:rsidR="00C43093" w:rsidRPr="009F42E6">
        <w:rPr>
          <w:rFonts w:ascii="Book Antiqua" w:hAnsi="Book Antiqua"/>
        </w:rPr>
        <w:t>clots and is a direct vasodilator</w:t>
      </w:r>
      <w:r w:rsidR="00936516" w:rsidRPr="009F42E6">
        <w:rPr>
          <w:rFonts w:ascii="Book Antiqua" w:hAnsi="Book Antiqua"/>
        </w:rPr>
        <w:t>. It</w:t>
      </w:r>
      <w:r w:rsidR="00F711A5" w:rsidRPr="009F42E6">
        <w:rPr>
          <w:rFonts w:ascii="Book Antiqua" w:hAnsi="Book Antiqua"/>
        </w:rPr>
        <w:t xml:space="preserve"> reduces intermittent claudication</w:t>
      </w:r>
      <w:r w:rsidR="00892F5A" w:rsidRPr="009F42E6">
        <w:rPr>
          <w:rFonts w:ascii="Book Antiqua" w:hAnsi="Book Antiqua"/>
        </w:rPr>
        <w:t xml:space="preserve"> in peripheral vascular diseases</w:t>
      </w:r>
      <w:r w:rsidRPr="009F42E6">
        <w:rPr>
          <w:rFonts w:ascii="Book Antiqua" w:hAnsi="Book Antiqua"/>
        </w:rPr>
        <w:t xml:space="preserve">. </w:t>
      </w:r>
      <w:proofErr w:type="spellStart"/>
      <w:r w:rsidRPr="009F42E6">
        <w:rPr>
          <w:rFonts w:ascii="Book Antiqua" w:hAnsi="Book Antiqua"/>
        </w:rPr>
        <w:t>Cilostazol</w:t>
      </w:r>
      <w:proofErr w:type="spellEnd"/>
      <w:r w:rsidRPr="009F42E6">
        <w:rPr>
          <w:rFonts w:ascii="Book Antiqua" w:hAnsi="Book Antiqua"/>
        </w:rPr>
        <w:t xml:space="preserve"> sh</w:t>
      </w:r>
      <w:r w:rsidR="00936516" w:rsidRPr="009F42E6">
        <w:rPr>
          <w:rFonts w:ascii="Book Antiqua" w:hAnsi="Book Antiqua"/>
        </w:rPr>
        <w:t>ould be withheld</w:t>
      </w:r>
      <w:r w:rsidRPr="009F42E6">
        <w:rPr>
          <w:rFonts w:ascii="Book Antiqua" w:hAnsi="Book Antiqua"/>
        </w:rPr>
        <w:t xml:space="preserve"> for 2 </w:t>
      </w:r>
      <w:r w:rsidR="00E32AFA">
        <w:rPr>
          <w:rFonts w:ascii="Book Antiqua" w:eastAsia="宋体" w:hAnsi="Book Antiqua" w:hint="eastAsia"/>
          <w:lang w:eastAsia="zh-CN"/>
        </w:rPr>
        <w:t>d</w:t>
      </w:r>
      <w:r w:rsidRPr="009F42E6">
        <w:rPr>
          <w:rFonts w:ascii="Book Antiqua" w:hAnsi="Book Antiqua"/>
        </w:rPr>
        <w:t xml:space="preserve"> prior to endoscopic procedures.</w:t>
      </w:r>
    </w:p>
    <w:p w14:paraId="788CCBA4" w14:textId="77777777" w:rsidR="00E32AFA" w:rsidRPr="00E32AFA" w:rsidRDefault="00E32AFA" w:rsidP="00B83F55">
      <w:pPr>
        <w:spacing w:line="360" w:lineRule="auto"/>
        <w:jc w:val="both"/>
        <w:rPr>
          <w:rFonts w:ascii="Book Antiqua" w:eastAsia="宋体" w:hAnsi="Book Antiqua"/>
          <w:lang w:eastAsia="zh-CN"/>
        </w:rPr>
      </w:pPr>
    </w:p>
    <w:p w14:paraId="2AE9695B" w14:textId="13A9037F" w:rsidR="00AA3A78" w:rsidRPr="009F42E6" w:rsidRDefault="00CE07FE" w:rsidP="00B83F55">
      <w:pPr>
        <w:spacing w:line="360" w:lineRule="auto"/>
        <w:jc w:val="both"/>
        <w:rPr>
          <w:rFonts w:ascii="Book Antiqua" w:hAnsi="Book Antiqua"/>
        </w:rPr>
      </w:pPr>
      <w:proofErr w:type="spellStart"/>
      <w:r w:rsidRPr="00E32AFA">
        <w:rPr>
          <w:rFonts w:ascii="Book Antiqua" w:hAnsi="Book Antiqua"/>
          <w:b/>
        </w:rPr>
        <w:lastRenderedPageBreak/>
        <w:t>Dipyridamole</w:t>
      </w:r>
      <w:proofErr w:type="spellEnd"/>
      <w:r w:rsidR="00FA3582" w:rsidRPr="00E32AFA">
        <w:rPr>
          <w:rFonts w:ascii="Book Antiqua" w:hAnsi="Book Antiqua"/>
          <w:b/>
        </w:rPr>
        <w:t>:</w:t>
      </w:r>
      <w:r w:rsidR="00FA3582" w:rsidRPr="009F42E6">
        <w:rPr>
          <w:rFonts w:ascii="Book Antiqua" w:hAnsi="Book Antiqua"/>
        </w:rPr>
        <w:t xml:space="preserve"> It</w:t>
      </w:r>
      <w:r w:rsidRPr="009F42E6">
        <w:rPr>
          <w:rFonts w:ascii="Book Antiqua" w:hAnsi="Book Antiqua"/>
        </w:rPr>
        <w:t xml:space="preserve"> inhibits </w:t>
      </w:r>
      <w:proofErr w:type="spellStart"/>
      <w:r w:rsidRPr="009F42E6">
        <w:rPr>
          <w:rFonts w:ascii="Book Antiqua" w:hAnsi="Book Antiqua"/>
        </w:rPr>
        <w:t>phosphodiesterase</w:t>
      </w:r>
      <w:proofErr w:type="spellEnd"/>
      <w:r w:rsidRPr="009F42E6">
        <w:rPr>
          <w:rFonts w:ascii="Book Antiqua" w:hAnsi="Book Antiqua"/>
        </w:rPr>
        <w:t xml:space="preserve"> and prevents adenosine reuptake into platelets, red blood cells and endothelial cells.</w:t>
      </w:r>
      <w:r w:rsidR="002E2224" w:rsidRPr="009F42E6">
        <w:rPr>
          <w:rFonts w:ascii="Book Antiqua" w:hAnsi="Book Antiqua"/>
        </w:rPr>
        <w:t xml:space="preserve"> As it prevents platelets aggregation, it is used to prevent clot formation after cardiac valve replacement, and also to prevent myocardial infarcti</w:t>
      </w:r>
      <w:r w:rsidR="00936516" w:rsidRPr="009F42E6">
        <w:rPr>
          <w:rFonts w:ascii="Book Antiqua" w:hAnsi="Book Antiqua"/>
        </w:rPr>
        <w:t>on and stroke. It should be withheld</w:t>
      </w:r>
      <w:r w:rsidR="002E2224" w:rsidRPr="009F42E6">
        <w:rPr>
          <w:rFonts w:ascii="Book Antiqua" w:hAnsi="Book Antiqua"/>
        </w:rPr>
        <w:t xml:space="preserve"> for 2 to 3 </w:t>
      </w:r>
      <w:r w:rsidR="00E32AFA">
        <w:rPr>
          <w:rFonts w:ascii="Book Antiqua" w:eastAsia="宋体" w:hAnsi="Book Antiqua" w:hint="eastAsia"/>
          <w:lang w:eastAsia="zh-CN"/>
        </w:rPr>
        <w:t>d</w:t>
      </w:r>
      <w:r w:rsidR="002E2224" w:rsidRPr="009F42E6">
        <w:rPr>
          <w:rFonts w:ascii="Book Antiqua" w:hAnsi="Book Antiqua"/>
        </w:rPr>
        <w:t xml:space="preserve"> before performing any endoscopic procedure.</w:t>
      </w:r>
    </w:p>
    <w:p w14:paraId="594D9B5A" w14:textId="77777777" w:rsidR="000278B4" w:rsidRPr="009F42E6" w:rsidRDefault="000278B4" w:rsidP="00B83F55">
      <w:pPr>
        <w:spacing w:line="360" w:lineRule="auto"/>
        <w:jc w:val="both"/>
        <w:rPr>
          <w:rFonts w:ascii="Book Antiqua" w:hAnsi="Book Antiqua"/>
        </w:rPr>
      </w:pPr>
    </w:p>
    <w:p w14:paraId="5C586CB6" w14:textId="77777777" w:rsidR="00E32AFA" w:rsidRPr="00E32AFA" w:rsidRDefault="000278B4" w:rsidP="00B83F55">
      <w:pPr>
        <w:spacing w:line="360" w:lineRule="auto"/>
        <w:jc w:val="both"/>
        <w:rPr>
          <w:rFonts w:ascii="Book Antiqua" w:eastAsia="宋体" w:hAnsi="Book Antiqua"/>
          <w:b/>
          <w:i/>
          <w:lang w:eastAsia="zh-CN"/>
        </w:rPr>
      </w:pPr>
      <w:r w:rsidRPr="00E32AFA">
        <w:rPr>
          <w:rFonts w:ascii="Book Antiqua" w:hAnsi="Book Antiqua"/>
          <w:b/>
          <w:i/>
        </w:rPr>
        <w:t>Glycoprotein IIB/IIIA inhibitors</w:t>
      </w:r>
    </w:p>
    <w:p w14:paraId="114DAA2F" w14:textId="2D1A64F3" w:rsidR="000278B4" w:rsidRPr="009F42E6" w:rsidRDefault="00471D3D" w:rsidP="00B83F55">
      <w:pPr>
        <w:spacing w:line="360" w:lineRule="auto"/>
        <w:jc w:val="both"/>
        <w:rPr>
          <w:rFonts w:ascii="Book Antiqua" w:hAnsi="Book Antiqua"/>
        </w:rPr>
      </w:pPr>
      <w:r w:rsidRPr="009F42E6">
        <w:rPr>
          <w:rFonts w:ascii="Book Antiqua" w:hAnsi="Book Antiqua"/>
        </w:rPr>
        <w:t>This group of medications block</w:t>
      </w:r>
      <w:r w:rsidR="00DA5810">
        <w:rPr>
          <w:rFonts w:ascii="Book Antiqua" w:eastAsia="宋体" w:hAnsi="Book Antiqua" w:hint="eastAsia"/>
          <w:lang w:eastAsia="zh-CN"/>
        </w:rPr>
        <w:t>s</w:t>
      </w:r>
      <w:r w:rsidRPr="009F42E6">
        <w:rPr>
          <w:rFonts w:ascii="Book Antiqua" w:hAnsi="Book Antiqua"/>
        </w:rPr>
        <w:t xml:space="preserve"> the receptor on the platelet for fibrinogen and von </w:t>
      </w:r>
      <w:proofErr w:type="spellStart"/>
      <w:r w:rsidRPr="009F42E6">
        <w:rPr>
          <w:rFonts w:ascii="Book Antiqua" w:hAnsi="Book Antiqua"/>
        </w:rPr>
        <w:t>Willebrand</w:t>
      </w:r>
      <w:proofErr w:type="spellEnd"/>
      <w:r w:rsidRPr="009F42E6">
        <w:rPr>
          <w:rFonts w:ascii="Book Antiqua" w:hAnsi="Book Antiqua"/>
        </w:rPr>
        <w:t xml:space="preserve"> factor and thus prevent cross-linking of platelets and platelet aggregation. They are intravenous drugs used in acute coronary syndrome and percutaneous </w:t>
      </w:r>
      <w:r w:rsidR="00D878D5" w:rsidRPr="009F42E6">
        <w:rPr>
          <w:rFonts w:ascii="Book Antiqua" w:hAnsi="Book Antiqua"/>
        </w:rPr>
        <w:t xml:space="preserve">coronary </w:t>
      </w:r>
      <w:r w:rsidRPr="009F42E6">
        <w:rPr>
          <w:rFonts w:ascii="Book Antiqua" w:hAnsi="Book Antiqua"/>
        </w:rPr>
        <w:t xml:space="preserve">intervention. </w:t>
      </w:r>
      <w:r w:rsidR="00821FBE" w:rsidRPr="009F42E6">
        <w:rPr>
          <w:rFonts w:ascii="Book Antiqua" w:hAnsi="Book Antiqua"/>
        </w:rPr>
        <w:t xml:space="preserve">The 3 agents available in this group are </w:t>
      </w:r>
      <w:proofErr w:type="spellStart"/>
      <w:r w:rsidR="00821FBE" w:rsidRPr="009F42E6">
        <w:rPr>
          <w:rFonts w:ascii="Book Antiqua" w:hAnsi="Book Antiqua"/>
          <w:i/>
        </w:rPr>
        <w:t>tirofiban</w:t>
      </w:r>
      <w:proofErr w:type="spellEnd"/>
      <w:r w:rsidR="00821FBE" w:rsidRPr="009F42E6">
        <w:rPr>
          <w:rFonts w:ascii="Book Antiqua" w:hAnsi="Book Antiqua"/>
          <w:i/>
        </w:rPr>
        <w:t xml:space="preserve"> (</w:t>
      </w:r>
      <w:proofErr w:type="spellStart"/>
      <w:r w:rsidR="00821FBE" w:rsidRPr="009F42E6">
        <w:rPr>
          <w:rFonts w:ascii="Book Antiqua" w:hAnsi="Book Antiqua"/>
          <w:i/>
        </w:rPr>
        <w:t>Aggrastat</w:t>
      </w:r>
      <w:proofErr w:type="spellEnd"/>
      <w:r w:rsidR="00821FBE" w:rsidRPr="009F42E6">
        <w:rPr>
          <w:rFonts w:ascii="Book Antiqua" w:hAnsi="Book Antiqua"/>
          <w:i/>
        </w:rPr>
        <w:t>)</w:t>
      </w:r>
      <w:r w:rsidR="00821FBE" w:rsidRPr="009F42E6">
        <w:rPr>
          <w:rFonts w:ascii="Book Antiqua" w:hAnsi="Book Antiqua"/>
        </w:rPr>
        <w:t xml:space="preserve"> – a synthetic non-peptide with a </w:t>
      </w:r>
      <w:r w:rsidR="002D660D" w:rsidRPr="009F42E6">
        <w:rPr>
          <w:rFonts w:ascii="Book Antiqua" w:hAnsi="Book Antiqua"/>
        </w:rPr>
        <w:t>plasma half-</w:t>
      </w:r>
      <w:r w:rsidR="00821FBE" w:rsidRPr="009F42E6">
        <w:rPr>
          <w:rFonts w:ascii="Book Antiqua" w:hAnsi="Book Antiqua"/>
        </w:rPr>
        <w:t xml:space="preserve">life of 1.5 to 2 </w:t>
      </w:r>
      <w:r w:rsidR="00E32AFA">
        <w:rPr>
          <w:rFonts w:ascii="Book Antiqua" w:eastAsia="宋体" w:hAnsi="Book Antiqua" w:hint="eastAsia"/>
          <w:lang w:eastAsia="zh-CN"/>
        </w:rPr>
        <w:t>h</w:t>
      </w:r>
      <w:r w:rsidR="002D660D" w:rsidRPr="009F42E6">
        <w:rPr>
          <w:rFonts w:ascii="Book Antiqua" w:hAnsi="Book Antiqua"/>
        </w:rPr>
        <w:t xml:space="preserve"> and 80% of platelet aggregation returns 4 </w:t>
      </w:r>
      <w:r w:rsidR="00E32AFA">
        <w:rPr>
          <w:rFonts w:ascii="Book Antiqua" w:eastAsia="宋体" w:hAnsi="Book Antiqua" w:hint="eastAsia"/>
          <w:lang w:eastAsia="zh-CN"/>
        </w:rPr>
        <w:t>h</w:t>
      </w:r>
      <w:r w:rsidR="002D660D" w:rsidRPr="009F42E6">
        <w:rPr>
          <w:rFonts w:ascii="Book Antiqua" w:hAnsi="Book Antiqua"/>
        </w:rPr>
        <w:t xml:space="preserve"> after stopping the medication</w:t>
      </w:r>
      <w:r w:rsidR="00821FBE" w:rsidRPr="009F42E6">
        <w:rPr>
          <w:rFonts w:ascii="Book Antiqua" w:hAnsi="Book Antiqua"/>
        </w:rPr>
        <w:t xml:space="preserve">, </w:t>
      </w:r>
      <w:proofErr w:type="spellStart"/>
      <w:r w:rsidR="00821FBE" w:rsidRPr="009F42E6">
        <w:rPr>
          <w:rFonts w:ascii="Book Antiqua" w:hAnsi="Book Antiqua"/>
          <w:i/>
        </w:rPr>
        <w:t>abciximab</w:t>
      </w:r>
      <w:proofErr w:type="spellEnd"/>
      <w:r w:rsidR="00821FBE" w:rsidRPr="009F42E6">
        <w:rPr>
          <w:rFonts w:ascii="Book Antiqua" w:hAnsi="Book Antiqua"/>
          <w:i/>
        </w:rPr>
        <w:t xml:space="preserve"> (</w:t>
      </w:r>
      <w:proofErr w:type="spellStart"/>
      <w:r w:rsidR="00821FBE" w:rsidRPr="009F42E6">
        <w:rPr>
          <w:rFonts w:ascii="Book Antiqua" w:hAnsi="Book Antiqua"/>
          <w:i/>
        </w:rPr>
        <w:t>ReoPro</w:t>
      </w:r>
      <w:proofErr w:type="spellEnd"/>
      <w:r w:rsidR="00821FBE" w:rsidRPr="009F42E6">
        <w:rPr>
          <w:rFonts w:ascii="Book Antiqua" w:hAnsi="Book Antiqua"/>
          <w:i/>
        </w:rPr>
        <w:t>)</w:t>
      </w:r>
      <w:r w:rsidR="00821FBE" w:rsidRPr="009F42E6">
        <w:rPr>
          <w:rFonts w:ascii="Book Antiqua" w:hAnsi="Book Antiqua"/>
        </w:rPr>
        <w:t xml:space="preserve"> – a murine-human chimeric antibody with a </w:t>
      </w:r>
      <w:r w:rsidR="002D660D" w:rsidRPr="009F42E6">
        <w:rPr>
          <w:rFonts w:ascii="Book Antiqua" w:hAnsi="Book Antiqua"/>
        </w:rPr>
        <w:t>plasma half-</w:t>
      </w:r>
      <w:r w:rsidR="00821FBE" w:rsidRPr="009F42E6">
        <w:rPr>
          <w:rFonts w:ascii="Book Antiqua" w:hAnsi="Book Antiqua"/>
        </w:rPr>
        <w:t xml:space="preserve">life of </w:t>
      </w:r>
      <w:r w:rsidR="002D660D" w:rsidRPr="009F42E6">
        <w:rPr>
          <w:rFonts w:ascii="Book Antiqua" w:hAnsi="Book Antiqua"/>
        </w:rPr>
        <w:t xml:space="preserve">10 </w:t>
      </w:r>
      <w:r w:rsidR="00E32AFA">
        <w:rPr>
          <w:rFonts w:ascii="Book Antiqua" w:eastAsia="宋体" w:hAnsi="Book Antiqua" w:hint="eastAsia"/>
          <w:lang w:eastAsia="zh-CN"/>
        </w:rPr>
        <w:t>min</w:t>
      </w:r>
      <w:r w:rsidR="002D660D" w:rsidRPr="009F42E6">
        <w:rPr>
          <w:rFonts w:ascii="Book Antiqua" w:hAnsi="Book Antiqua"/>
        </w:rPr>
        <w:t xml:space="preserve"> and p</w:t>
      </w:r>
      <w:r w:rsidR="00936516" w:rsidRPr="009F42E6">
        <w:rPr>
          <w:rFonts w:ascii="Book Antiqua" w:hAnsi="Book Antiqua"/>
        </w:rPr>
        <w:t>latelet function recovery</w:t>
      </w:r>
      <w:r w:rsidR="002D660D" w:rsidRPr="009F42E6">
        <w:rPr>
          <w:rFonts w:ascii="Book Antiqua" w:hAnsi="Book Antiqua"/>
        </w:rPr>
        <w:t xml:space="preserve"> over 48 </w:t>
      </w:r>
      <w:r w:rsidR="00E32AFA">
        <w:rPr>
          <w:rFonts w:ascii="Book Antiqua" w:eastAsia="宋体" w:hAnsi="Book Antiqua" w:hint="eastAsia"/>
          <w:lang w:eastAsia="zh-CN"/>
        </w:rPr>
        <w:t>h</w:t>
      </w:r>
      <w:r w:rsidR="002D660D" w:rsidRPr="009F42E6">
        <w:rPr>
          <w:rFonts w:ascii="Book Antiqua" w:hAnsi="Book Antiqua"/>
        </w:rPr>
        <w:t xml:space="preserve"> after discontinuing the medication, and </w:t>
      </w:r>
      <w:proofErr w:type="spellStart"/>
      <w:r w:rsidR="00F24FE5" w:rsidRPr="009F42E6">
        <w:rPr>
          <w:rFonts w:ascii="Book Antiqua" w:hAnsi="Book Antiqua"/>
          <w:i/>
        </w:rPr>
        <w:t>Eptifibatide</w:t>
      </w:r>
      <w:proofErr w:type="spellEnd"/>
      <w:r w:rsidR="00F24FE5" w:rsidRPr="009F42E6">
        <w:rPr>
          <w:rFonts w:ascii="Book Antiqua" w:hAnsi="Book Antiqua"/>
          <w:i/>
        </w:rPr>
        <w:t xml:space="preserve"> (</w:t>
      </w:r>
      <w:proofErr w:type="spellStart"/>
      <w:r w:rsidR="00F24FE5" w:rsidRPr="009F42E6">
        <w:rPr>
          <w:rFonts w:ascii="Book Antiqua" w:hAnsi="Book Antiqua"/>
          <w:i/>
        </w:rPr>
        <w:t>Integrilin</w:t>
      </w:r>
      <w:proofErr w:type="spellEnd"/>
      <w:r w:rsidR="00F24FE5" w:rsidRPr="009F42E6">
        <w:rPr>
          <w:rFonts w:ascii="Book Antiqua" w:hAnsi="Book Antiqua"/>
          <w:i/>
        </w:rPr>
        <w:t>)</w:t>
      </w:r>
      <w:r w:rsidR="00F24FE5" w:rsidRPr="009F42E6">
        <w:rPr>
          <w:rFonts w:ascii="Book Antiqua" w:hAnsi="Book Antiqua"/>
        </w:rPr>
        <w:t xml:space="preserve"> – a synthetic peptide </w:t>
      </w:r>
      <w:r w:rsidR="00702EDF" w:rsidRPr="009F42E6">
        <w:rPr>
          <w:rFonts w:ascii="Book Antiqua" w:hAnsi="Book Antiqua"/>
        </w:rPr>
        <w:t xml:space="preserve">with a plasma half life of 2.5 </w:t>
      </w:r>
      <w:r w:rsidR="00E32AFA">
        <w:rPr>
          <w:rFonts w:ascii="Book Antiqua" w:eastAsia="宋体" w:hAnsi="Book Antiqua" w:hint="eastAsia"/>
          <w:lang w:eastAsia="zh-CN"/>
        </w:rPr>
        <w:t>h</w:t>
      </w:r>
      <w:r w:rsidR="00702EDF" w:rsidRPr="009F42E6">
        <w:rPr>
          <w:rFonts w:ascii="Book Antiqua" w:hAnsi="Book Antiqua"/>
        </w:rPr>
        <w:t xml:space="preserve"> and 50% of platelet aggregation returns 4 </w:t>
      </w:r>
      <w:r w:rsidR="00E32AFA">
        <w:rPr>
          <w:rFonts w:ascii="Book Antiqua" w:eastAsia="宋体" w:hAnsi="Book Antiqua" w:hint="eastAsia"/>
          <w:lang w:eastAsia="zh-CN"/>
        </w:rPr>
        <w:t>h</w:t>
      </w:r>
      <w:r w:rsidR="000F2BD0" w:rsidRPr="009F42E6">
        <w:rPr>
          <w:rFonts w:ascii="Book Antiqua" w:hAnsi="Book Antiqua"/>
        </w:rPr>
        <w:t xml:space="preserve"> after stopping the medication</w:t>
      </w:r>
      <w:r w:rsidR="00E32AFA" w:rsidRPr="00E32AFA">
        <w:rPr>
          <w:rFonts w:ascii="Book Antiqua" w:eastAsia="宋体" w:hAnsi="Book Antiqua" w:hint="eastAsia"/>
          <w:vertAlign w:val="superscript"/>
          <w:lang w:eastAsia="zh-CN"/>
        </w:rPr>
        <w:t>[</w:t>
      </w:r>
      <w:r w:rsidR="000F2BD0" w:rsidRPr="00E32AFA">
        <w:rPr>
          <w:rFonts w:ascii="Book Antiqua" w:hAnsi="Book Antiqua"/>
          <w:vertAlign w:val="superscript"/>
        </w:rPr>
        <w:t>5</w:t>
      </w:r>
      <w:r w:rsidR="00E32AFA" w:rsidRPr="00E32AFA">
        <w:rPr>
          <w:rFonts w:ascii="Book Antiqua" w:eastAsia="宋体" w:hAnsi="Book Antiqua" w:hint="eastAsia"/>
          <w:vertAlign w:val="superscript"/>
          <w:lang w:eastAsia="zh-CN"/>
        </w:rPr>
        <w:t>]</w:t>
      </w:r>
      <w:r w:rsidR="000F2BD0" w:rsidRPr="009F42E6">
        <w:rPr>
          <w:rFonts w:ascii="Book Antiqua" w:hAnsi="Book Antiqua"/>
        </w:rPr>
        <w:t>.</w:t>
      </w:r>
      <w:r w:rsidR="00D878D5" w:rsidRPr="009F42E6">
        <w:rPr>
          <w:rFonts w:ascii="Book Antiqua" w:hAnsi="Book Antiqua"/>
        </w:rPr>
        <w:t xml:space="preserve"> </w:t>
      </w:r>
      <w:r w:rsidR="0087558F" w:rsidRPr="009F42E6">
        <w:rPr>
          <w:rFonts w:ascii="Book Antiqua" w:hAnsi="Book Antiqua"/>
        </w:rPr>
        <w:t xml:space="preserve">Elective gastrointestinal procedures are not done while patients are on these medications. </w:t>
      </w:r>
      <w:r w:rsidR="00DA7871" w:rsidRPr="009F42E6">
        <w:rPr>
          <w:rFonts w:ascii="Book Antiqua" w:hAnsi="Book Antiqua"/>
        </w:rPr>
        <w:t>Urgent procedures should be on hold until recovery of platelet aggregation occurs.</w:t>
      </w:r>
    </w:p>
    <w:p w14:paraId="577BA2B9" w14:textId="77777777" w:rsidR="00AA3A78" w:rsidRPr="009F42E6" w:rsidRDefault="00AA3A78" w:rsidP="00B83F55">
      <w:pPr>
        <w:spacing w:line="360" w:lineRule="auto"/>
        <w:jc w:val="both"/>
        <w:rPr>
          <w:rFonts w:ascii="Book Antiqua" w:hAnsi="Book Antiqua"/>
        </w:rPr>
      </w:pPr>
    </w:p>
    <w:p w14:paraId="02E99016" w14:textId="4C31EA73" w:rsidR="00E32AFA" w:rsidRPr="00E32AFA" w:rsidRDefault="00697016" w:rsidP="00B83F55">
      <w:pPr>
        <w:spacing w:line="360" w:lineRule="auto"/>
        <w:jc w:val="both"/>
        <w:rPr>
          <w:rFonts w:ascii="Book Antiqua" w:eastAsia="宋体" w:hAnsi="Book Antiqua"/>
          <w:b/>
          <w:i/>
          <w:lang w:eastAsia="zh-CN"/>
        </w:rPr>
      </w:pPr>
      <w:r w:rsidRPr="00E32AFA">
        <w:rPr>
          <w:rFonts w:ascii="Book Antiqua" w:hAnsi="Book Antiqua"/>
          <w:b/>
          <w:i/>
        </w:rPr>
        <w:t>Protease-activated r</w:t>
      </w:r>
      <w:r w:rsidR="00E32AFA" w:rsidRPr="00E32AFA">
        <w:rPr>
          <w:rFonts w:ascii="Book Antiqua" w:hAnsi="Book Antiqua"/>
          <w:b/>
          <w:i/>
        </w:rPr>
        <w:t>eceptor – 1 inhibitor</w:t>
      </w:r>
    </w:p>
    <w:p w14:paraId="7E38AF90" w14:textId="257ACE84" w:rsidR="00D10F2F" w:rsidRPr="009F42E6" w:rsidRDefault="005B7F85" w:rsidP="00B83F55">
      <w:pPr>
        <w:spacing w:line="360" w:lineRule="auto"/>
        <w:jc w:val="both"/>
        <w:rPr>
          <w:rFonts w:ascii="Book Antiqua" w:hAnsi="Book Antiqua"/>
        </w:rPr>
      </w:pPr>
      <w:proofErr w:type="spellStart"/>
      <w:r w:rsidRPr="009F42E6">
        <w:rPr>
          <w:rFonts w:ascii="Book Antiqua" w:hAnsi="Book Antiqua"/>
        </w:rPr>
        <w:t>Proteolytic</w:t>
      </w:r>
      <w:proofErr w:type="spellEnd"/>
      <w:r w:rsidRPr="009F42E6">
        <w:rPr>
          <w:rFonts w:ascii="Book Antiqua" w:hAnsi="Book Antiqua"/>
        </w:rPr>
        <w:t xml:space="preserve"> activation of</w:t>
      </w:r>
      <w:r w:rsidR="005928DE" w:rsidRPr="009F42E6">
        <w:rPr>
          <w:rFonts w:ascii="Book Antiqua" w:hAnsi="Book Antiqua"/>
        </w:rPr>
        <w:t xml:space="preserve"> cell surface </w:t>
      </w:r>
      <w:r w:rsidR="003F555A" w:rsidRPr="009F42E6">
        <w:rPr>
          <w:rFonts w:ascii="Book Antiqua" w:hAnsi="Book Antiqua"/>
        </w:rPr>
        <w:t xml:space="preserve">of </w:t>
      </w:r>
      <w:r w:rsidR="00E32AFA" w:rsidRPr="00E32AFA">
        <w:rPr>
          <w:rFonts w:ascii="Book Antiqua" w:hAnsi="Book Antiqua"/>
        </w:rPr>
        <w:t>protease-activated receptor – 1 (PAR – 1)</w:t>
      </w:r>
      <w:r w:rsidRPr="009F42E6">
        <w:rPr>
          <w:rFonts w:ascii="Book Antiqua" w:hAnsi="Book Antiqua"/>
        </w:rPr>
        <w:t xml:space="preserve"> by</w:t>
      </w:r>
      <w:r w:rsidR="00C11385" w:rsidRPr="009F42E6">
        <w:rPr>
          <w:rFonts w:ascii="Book Antiqua" w:hAnsi="Book Antiqua"/>
        </w:rPr>
        <w:t xml:space="preserve"> thrombin activates platelets. Selective i</w:t>
      </w:r>
      <w:r w:rsidRPr="009F42E6">
        <w:rPr>
          <w:rFonts w:ascii="Book Antiqua" w:hAnsi="Book Antiqua"/>
        </w:rPr>
        <w:t xml:space="preserve">nhibition of PAR – 1 by </w:t>
      </w:r>
      <w:proofErr w:type="spellStart"/>
      <w:r w:rsidRPr="009F42E6">
        <w:rPr>
          <w:rFonts w:ascii="Book Antiqua" w:hAnsi="Book Antiqua"/>
        </w:rPr>
        <w:t>Vorapaxar</w:t>
      </w:r>
      <w:proofErr w:type="spellEnd"/>
      <w:r w:rsidRPr="009F42E6">
        <w:rPr>
          <w:rFonts w:ascii="Book Antiqua" w:hAnsi="Book Antiqua"/>
        </w:rPr>
        <w:t xml:space="preserve"> </w:t>
      </w:r>
      <w:r w:rsidR="00A90F24" w:rsidRPr="009F42E6">
        <w:rPr>
          <w:rFonts w:ascii="Book Antiqua" w:hAnsi="Book Antiqua"/>
        </w:rPr>
        <w:t>(</w:t>
      </w:r>
      <w:proofErr w:type="spellStart"/>
      <w:r w:rsidR="00A90F24" w:rsidRPr="009F42E6">
        <w:rPr>
          <w:rFonts w:ascii="Book Antiqua" w:hAnsi="Book Antiqua"/>
        </w:rPr>
        <w:t>Zontivity</w:t>
      </w:r>
      <w:proofErr w:type="spellEnd"/>
      <w:r w:rsidR="00A90F24" w:rsidRPr="009F42E6">
        <w:rPr>
          <w:rFonts w:ascii="Book Antiqua" w:hAnsi="Book Antiqua"/>
        </w:rPr>
        <w:t xml:space="preserve">) </w:t>
      </w:r>
      <w:r w:rsidRPr="009F42E6">
        <w:rPr>
          <w:rFonts w:ascii="Book Antiqua" w:hAnsi="Book Antiqua"/>
        </w:rPr>
        <w:t>leads to potent antiplatelet</w:t>
      </w:r>
      <w:r w:rsidR="00C11385" w:rsidRPr="009F42E6">
        <w:rPr>
          <w:rFonts w:ascii="Book Antiqua" w:hAnsi="Book Antiqua"/>
        </w:rPr>
        <w:t xml:space="preserve"> </w:t>
      </w:r>
      <w:proofErr w:type="gramStart"/>
      <w:r w:rsidR="00C11385" w:rsidRPr="009F42E6">
        <w:rPr>
          <w:rFonts w:ascii="Book Antiqua" w:hAnsi="Book Antiqua"/>
        </w:rPr>
        <w:t>effect</w:t>
      </w:r>
      <w:r w:rsidR="00E32AFA" w:rsidRPr="00E32AFA">
        <w:rPr>
          <w:rFonts w:ascii="Book Antiqua" w:eastAsia="宋体" w:hAnsi="Book Antiqua" w:hint="eastAsia"/>
          <w:vertAlign w:val="superscript"/>
          <w:lang w:eastAsia="zh-CN"/>
        </w:rPr>
        <w:t>[</w:t>
      </w:r>
      <w:proofErr w:type="gramEnd"/>
      <w:r w:rsidR="00C11385" w:rsidRPr="00E32AFA">
        <w:rPr>
          <w:rFonts w:ascii="Book Antiqua" w:hAnsi="Book Antiqua"/>
          <w:vertAlign w:val="superscript"/>
        </w:rPr>
        <w:t>6</w:t>
      </w:r>
      <w:r w:rsidR="00E32AFA" w:rsidRPr="00E32AFA">
        <w:rPr>
          <w:rFonts w:ascii="Book Antiqua" w:eastAsia="宋体" w:hAnsi="Book Antiqua" w:hint="eastAsia"/>
          <w:vertAlign w:val="superscript"/>
          <w:lang w:eastAsia="zh-CN"/>
        </w:rPr>
        <w:t>]</w:t>
      </w:r>
      <w:r w:rsidR="00C11385" w:rsidRPr="009F42E6">
        <w:rPr>
          <w:rFonts w:ascii="Book Antiqua" w:hAnsi="Book Antiqua"/>
        </w:rPr>
        <w:t>.</w:t>
      </w:r>
      <w:r w:rsidR="00A90F24" w:rsidRPr="009F42E6">
        <w:rPr>
          <w:rFonts w:ascii="Book Antiqua" w:hAnsi="Book Antiqua"/>
        </w:rPr>
        <w:t xml:space="preserve"> </w:t>
      </w:r>
      <w:proofErr w:type="spellStart"/>
      <w:r w:rsidR="00A90F24" w:rsidRPr="009F42E6">
        <w:rPr>
          <w:rFonts w:ascii="Book Antiqua" w:hAnsi="Book Antiqua"/>
        </w:rPr>
        <w:t>Vorapaxar</w:t>
      </w:r>
      <w:proofErr w:type="spellEnd"/>
      <w:r w:rsidR="00A90F24" w:rsidRPr="009F42E6">
        <w:rPr>
          <w:rFonts w:ascii="Book Antiqua" w:hAnsi="Book Antiqua"/>
        </w:rPr>
        <w:t xml:space="preserve"> has been approved </w:t>
      </w:r>
      <w:r w:rsidR="005A4844" w:rsidRPr="009F42E6">
        <w:rPr>
          <w:rFonts w:ascii="Book Antiqua" w:hAnsi="Book Antiqua"/>
        </w:rPr>
        <w:t xml:space="preserve">as an adjunct to </w:t>
      </w:r>
      <w:r w:rsidR="00FA3582" w:rsidRPr="009F42E6">
        <w:rPr>
          <w:rFonts w:ascii="Book Antiqua" w:hAnsi="Book Antiqua"/>
        </w:rPr>
        <w:t>dual anti-platelet therapy (</w:t>
      </w:r>
      <w:r w:rsidR="005A4844" w:rsidRPr="009F42E6">
        <w:rPr>
          <w:rFonts w:ascii="Book Antiqua" w:hAnsi="Book Antiqua"/>
        </w:rPr>
        <w:t>DAPT</w:t>
      </w:r>
      <w:r w:rsidR="00FA3582" w:rsidRPr="009F42E6">
        <w:rPr>
          <w:rFonts w:ascii="Book Antiqua" w:hAnsi="Book Antiqua"/>
        </w:rPr>
        <w:t>)</w:t>
      </w:r>
      <w:r w:rsidR="005A4844" w:rsidRPr="009F42E6">
        <w:rPr>
          <w:rFonts w:ascii="Book Antiqua" w:hAnsi="Book Antiqua"/>
        </w:rPr>
        <w:t xml:space="preserve"> </w:t>
      </w:r>
      <w:r w:rsidR="00A90F24" w:rsidRPr="009F42E6">
        <w:rPr>
          <w:rFonts w:ascii="Book Antiqua" w:hAnsi="Book Antiqua"/>
        </w:rPr>
        <w:t xml:space="preserve">to reduce myocardial infarction, cerebrovascular accidents, </w:t>
      </w:r>
      <w:proofErr w:type="gramStart"/>
      <w:r w:rsidR="00A90F24" w:rsidRPr="009F42E6">
        <w:rPr>
          <w:rFonts w:ascii="Book Antiqua" w:hAnsi="Book Antiqua"/>
        </w:rPr>
        <w:t>cardiovascular</w:t>
      </w:r>
      <w:proofErr w:type="gramEnd"/>
      <w:r w:rsidR="00A90F24" w:rsidRPr="009F42E6">
        <w:rPr>
          <w:rFonts w:ascii="Book Antiqua" w:hAnsi="Book Antiqua"/>
        </w:rPr>
        <w:t xml:space="preserve"> death and to use during revascularization procedures. </w:t>
      </w:r>
      <w:r w:rsidR="00252BEA" w:rsidRPr="009F42E6">
        <w:rPr>
          <w:rFonts w:ascii="Book Antiqua" w:hAnsi="Book Antiqua"/>
        </w:rPr>
        <w:t xml:space="preserve">It can cause moderate to severe bleeding including intracranial </w:t>
      </w:r>
      <w:proofErr w:type="gramStart"/>
      <w:r w:rsidR="00252BEA" w:rsidRPr="009F42E6">
        <w:rPr>
          <w:rFonts w:ascii="Book Antiqua" w:hAnsi="Book Antiqua"/>
        </w:rPr>
        <w:t>hemorrhage</w:t>
      </w:r>
      <w:r w:rsidR="00E32AFA" w:rsidRPr="00E32AFA">
        <w:rPr>
          <w:rFonts w:ascii="Book Antiqua" w:eastAsia="宋体" w:hAnsi="Book Antiqua" w:hint="eastAsia"/>
          <w:vertAlign w:val="superscript"/>
          <w:lang w:eastAsia="zh-CN"/>
        </w:rPr>
        <w:t>[</w:t>
      </w:r>
      <w:proofErr w:type="gramEnd"/>
      <w:r w:rsidR="00252BEA" w:rsidRPr="00E32AFA">
        <w:rPr>
          <w:rFonts w:ascii="Book Antiqua" w:hAnsi="Book Antiqua"/>
          <w:vertAlign w:val="superscript"/>
        </w:rPr>
        <w:t>7</w:t>
      </w:r>
      <w:r w:rsidR="00E32AFA" w:rsidRPr="00E32AFA">
        <w:rPr>
          <w:rFonts w:ascii="Book Antiqua" w:eastAsia="宋体" w:hAnsi="Book Antiqua" w:hint="eastAsia"/>
          <w:vertAlign w:val="superscript"/>
          <w:lang w:eastAsia="zh-CN"/>
        </w:rPr>
        <w:t>]</w:t>
      </w:r>
      <w:r w:rsidR="00252BEA" w:rsidRPr="009F42E6">
        <w:rPr>
          <w:rFonts w:ascii="Book Antiqua" w:hAnsi="Book Antiqua"/>
        </w:rPr>
        <w:t>.</w:t>
      </w:r>
      <w:r w:rsidR="00125E4B" w:rsidRPr="009F42E6">
        <w:rPr>
          <w:rFonts w:ascii="Book Antiqua" w:hAnsi="Book Antiqua"/>
        </w:rPr>
        <w:t xml:space="preserve"> </w:t>
      </w:r>
      <w:r w:rsidR="00D10F2F" w:rsidRPr="009F42E6">
        <w:rPr>
          <w:rFonts w:ascii="Book Antiqua" w:hAnsi="Book Antiqua"/>
        </w:rPr>
        <w:t xml:space="preserve"> </w:t>
      </w:r>
      <w:r w:rsidR="000A6508" w:rsidRPr="009F42E6">
        <w:rPr>
          <w:rFonts w:ascii="Book Antiqua" w:hAnsi="Book Antiqua"/>
        </w:rPr>
        <w:t xml:space="preserve">It is contraindicated in patients with transient ischemic </w:t>
      </w:r>
      <w:r w:rsidR="000A6508" w:rsidRPr="009F42E6">
        <w:rPr>
          <w:rFonts w:ascii="Book Antiqua" w:hAnsi="Book Antiqua"/>
        </w:rPr>
        <w:lastRenderedPageBreak/>
        <w:t xml:space="preserve">attacks, stroke and </w:t>
      </w:r>
      <w:proofErr w:type="spellStart"/>
      <w:r w:rsidR="000A6508" w:rsidRPr="009F42E6">
        <w:rPr>
          <w:rFonts w:ascii="Book Antiqua" w:hAnsi="Book Antiqua"/>
        </w:rPr>
        <w:t>intracerebral</w:t>
      </w:r>
      <w:proofErr w:type="spellEnd"/>
      <w:r w:rsidR="000A6508" w:rsidRPr="009F42E6">
        <w:rPr>
          <w:rFonts w:ascii="Book Antiqua" w:hAnsi="Book Antiqua"/>
        </w:rPr>
        <w:t xml:space="preserve"> bleeding. </w:t>
      </w:r>
      <w:r w:rsidR="00125E4B" w:rsidRPr="009F42E6">
        <w:rPr>
          <w:rFonts w:ascii="Book Antiqua" w:hAnsi="Book Antiqua"/>
        </w:rPr>
        <w:t xml:space="preserve">Endoscopic procedures should be hold for </w:t>
      </w:r>
      <w:r w:rsidR="00D10F2F" w:rsidRPr="009F42E6">
        <w:rPr>
          <w:rFonts w:ascii="Book Antiqua" w:hAnsi="Book Antiqua"/>
        </w:rPr>
        <w:t xml:space="preserve">about 2 </w:t>
      </w:r>
      <w:proofErr w:type="spellStart"/>
      <w:r w:rsidR="00E32AFA">
        <w:rPr>
          <w:rFonts w:ascii="Book Antiqua" w:eastAsia="宋体" w:hAnsi="Book Antiqua" w:hint="eastAsia"/>
          <w:lang w:eastAsia="zh-CN"/>
        </w:rPr>
        <w:t>wk</w:t>
      </w:r>
      <w:proofErr w:type="spellEnd"/>
      <w:r w:rsidR="00D10F2F" w:rsidRPr="009F42E6">
        <w:rPr>
          <w:rFonts w:ascii="Book Antiqua" w:hAnsi="Book Antiqua"/>
        </w:rPr>
        <w:t xml:space="preserve"> as its duration of action is 5 to 13 </w:t>
      </w:r>
      <w:r w:rsidR="00E32AFA">
        <w:rPr>
          <w:rFonts w:ascii="Book Antiqua" w:eastAsia="宋体" w:hAnsi="Book Antiqua" w:hint="eastAsia"/>
          <w:lang w:eastAsia="zh-CN"/>
        </w:rPr>
        <w:t>d</w:t>
      </w:r>
      <w:r w:rsidR="00D10F2F" w:rsidRPr="009F42E6">
        <w:rPr>
          <w:rFonts w:ascii="Book Antiqua" w:hAnsi="Book Antiqua"/>
        </w:rPr>
        <w:t>.</w:t>
      </w:r>
    </w:p>
    <w:p w14:paraId="1E3A0E35" w14:textId="77777777" w:rsidR="003B5340" w:rsidRPr="009F42E6" w:rsidRDefault="003B5340" w:rsidP="00B83F55">
      <w:pPr>
        <w:spacing w:line="360" w:lineRule="auto"/>
        <w:jc w:val="both"/>
        <w:rPr>
          <w:rFonts w:ascii="Book Antiqua" w:hAnsi="Book Antiqua"/>
        </w:rPr>
      </w:pPr>
    </w:p>
    <w:p w14:paraId="7DC5AA26" w14:textId="77777777" w:rsidR="00E32AFA" w:rsidRPr="00E32AFA" w:rsidRDefault="003B5340" w:rsidP="00B83F55">
      <w:pPr>
        <w:spacing w:line="360" w:lineRule="auto"/>
        <w:jc w:val="both"/>
        <w:rPr>
          <w:rFonts w:ascii="Book Antiqua" w:eastAsia="宋体" w:hAnsi="Book Antiqua"/>
          <w:b/>
          <w:i/>
          <w:lang w:eastAsia="zh-CN"/>
        </w:rPr>
      </w:pPr>
      <w:r w:rsidRPr="00E32AFA">
        <w:rPr>
          <w:rFonts w:ascii="Book Antiqua" w:hAnsi="Book Antiqua"/>
          <w:b/>
          <w:i/>
        </w:rPr>
        <w:t>Anticoagulants</w:t>
      </w:r>
    </w:p>
    <w:p w14:paraId="343FCE96" w14:textId="3FE8B75D" w:rsidR="003B5340" w:rsidRPr="009F42E6" w:rsidRDefault="00E32AFA" w:rsidP="00B83F55">
      <w:pPr>
        <w:spacing w:line="360" w:lineRule="auto"/>
        <w:jc w:val="both"/>
        <w:rPr>
          <w:rFonts w:ascii="Book Antiqua" w:hAnsi="Book Antiqua"/>
        </w:rPr>
      </w:pPr>
      <w:r w:rsidRPr="009F42E6">
        <w:rPr>
          <w:rFonts w:ascii="Book Antiqua" w:hAnsi="Book Antiqua"/>
        </w:rPr>
        <w:t xml:space="preserve">These </w:t>
      </w:r>
      <w:r w:rsidR="00630C3E" w:rsidRPr="009F42E6">
        <w:rPr>
          <w:rFonts w:ascii="Book Antiqua" w:hAnsi="Book Antiqua"/>
        </w:rPr>
        <w:t xml:space="preserve">include parenteral and oral agents. Parenteral agents include </w:t>
      </w:r>
      <w:r w:rsidR="008C416C" w:rsidRPr="009F42E6">
        <w:rPr>
          <w:rFonts w:ascii="Book Antiqua" w:hAnsi="Book Antiqua"/>
        </w:rPr>
        <w:t xml:space="preserve">unfractionated heparin, low molecular heparin and </w:t>
      </w:r>
      <w:proofErr w:type="spellStart"/>
      <w:r w:rsidR="008C416C" w:rsidRPr="009F42E6">
        <w:rPr>
          <w:rFonts w:ascii="Book Antiqua" w:hAnsi="Book Antiqua"/>
        </w:rPr>
        <w:t>fondaparinux</w:t>
      </w:r>
      <w:proofErr w:type="spellEnd"/>
      <w:r w:rsidR="008C416C" w:rsidRPr="009F42E6">
        <w:rPr>
          <w:rFonts w:ascii="Book Antiqua" w:hAnsi="Book Antiqua"/>
        </w:rPr>
        <w:t xml:space="preserve">. Oral agents include warfarin and novel oral anticoagulants (NOAC) which are oral direct factor </w:t>
      </w:r>
      <w:proofErr w:type="spellStart"/>
      <w:r w:rsidR="008C416C" w:rsidRPr="009F42E6">
        <w:rPr>
          <w:rFonts w:ascii="Book Antiqua" w:hAnsi="Book Antiqua"/>
        </w:rPr>
        <w:t>Xa</w:t>
      </w:r>
      <w:proofErr w:type="spellEnd"/>
      <w:r w:rsidR="008C416C" w:rsidRPr="009F42E6">
        <w:rPr>
          <w:rFonts w:ascii="Book Antiqua" w:hAnsi="Book Antiqua"/>
        </w:rPr>
        <w:t xml:space="preserve"> inhibitors and direct thrombin inhibitors.</w:t>
      </w:r>
    </w:p>
    <w:p w14:paraId="40A920D1" w14:textId="77777777" w:rsidR="00E32AFA" w:rsidRDefault="00E32AFA" w:rsidP="00B83F55">
      <w:pPr>
        <w:spacing w:line="360" w:lineRule="auto"/>
        <w:jc w:val="both"/>
        <w:rPr>
          <w:rFonts w:ascii="Book Antiqua" w:eastAsia="宋体" w:hAnsi="Book Antiqua"/>
          <w:lang w:eastAsia="zh-CN"/>
        </w:rPr>
      </w:pPr>
    </w:p>
    <w:p w14:paraId="2B71E05E" w14:textId="77777777" w:rsidR="00E32AFA" w:rsidRPr="00E32AFA" w:rsidRDefault="00E32AFA" w:rsidP="00B83F55">
      <w:pPr>
        <w:spacing w:line="360" w:lineRule="auto"/>
        <w:jc w:val="both"/>
        <w:rPr>
          <w:rFonts w:ascii="Book Antiqua" w:eastAsia="宋体" w:hAnsi="Book Antiqua"/>
          <w:b/>
          <w:i/>
          <w:lang w:eastAsia="zh-CN"/>
        </w:rPr>
      </w:pPr>
      <w:r w:rsidRPr="00E32AFA">
        <w:rPr>
          <w:rFonts w:ascii="Book Antiqua" w:hAnsi="Book Antiqua"/>
          <w:b/>
          <w:i/>
        </w:rPr>
        <w:t xml:space="preserve">Unfractionated heparin </w:t>
      </w:r>
    </w:p>
    <w:p w14:paraId="331D65AA" w14:textId="2C54E7A7" w:rsidR="00FB3431" w:rsidRPr="009F42E6" w:rsidRDefault="00FB3431" w:rsidP="00B83F55">
      <w:pPr>
        <w:spacing w:line="360" w:lineRule="auto"/>
        <w:jc w:val="both"/>
        <w:rPr>
          <w:rFonts w:ascii="Book Antiqua" w:hAnsi="Book Antiqua"/>
        </w:rPr>
      </w:pPr>
      <w:r w:rsidRPr="00E32AFA">
        <w:rPr>
          <w:rFonts w:ascii="Book Antiqua" w:hAnsi="Book Antiqua"/>
        </w:rPr>
        <w:t>Unfractionated heparin</w:t>
      </w:r>
      <w:r w:rsidR="00BA31E2" w:rsidRPr="00E32AFA">
        <w:rPr>
          <w:rFonts w:ascii="Book Antiqua" w:hAnsi="Book Antiqua"/>
        </w:rPr>
        <w:t xml:space="preserve"> </w:t>
      </w:r>
      <w:r w:rsidR="00BA31E2" w:rsidRPr="009F42E6">
        <w:rPr>
          <w:rFonts w:ascii="Book Antiqua" w:hAnsi="Book Antiqua"/>
        </w:rPr>
        <w:t xml:space="preserve">is </w:t>
      </w:r>
      <w:r w:rsidR="007E7134" w:rsidRPr="009F42E6">
        <w:rPr>
          <w:rFonts w:ascii="Book Antiqua" w:hAnsi="Book Antiqua"/>
        </w:rPr>
        <w:t xml:space="preserve">an injectable blood thinner widely used in </w:t>
      </w:r>
      <w:r w:rsidR="009C6F4C" w:rsidRPr="009F42E6">
        <w:rPr>
          <w:rFonts w:ascii="Book Antiqua" w:hAnsi="Book Antiqua"/>
        </w:rPr>
        <w:t xml:space="preserve">the prevention and treatment of deep venous thrombosis and pulmonary embolism. It is also used in atrial fibrillation, </w:t>
      </w:r>
      <w:r w:rsidR="00D035A8" w:rsidRPr="009F42E6">
        <w:rPr>
          <w:rFonts w:ascii="Book Antiqua" w:hAnsi="Book Antiqua"/>
        </w:rPr>
        <w:t>acute coronary syndrome, indwelling peripheral or central venous catheters, hemodialysis/hemofiltration and ECMO</w:t>
      </w:r>
      <w:r w:rsidR="00572727" w:rsidRPr="009F42E6">
        <w:rPr>
          <w:rFonts w:ascii="Book Antiqua" w:hAnsi="Book Antiqua"/>
        </w:rPr>
        <w:t xml:space="preserve"> (extracorporeal membrane oxygenation)</w:t>
      </w:r>
      <w:r w:rsidR="00D035A8" w:rsidRPr="009F42E6">
        <w:rPr>
          <w:rFonts w:ascii="Book Antiqua" w:hAnsi="Book Antiqua"/>
        </w:rPr>
        <w:t xml:space="preserve"> circuit for extracorporeal life support. </w:t>
      </w:r>
      <w:r w:rsidR="00856E0B" w:rsidRPr="009F42E6">
        <w:rPr>
          <w:rFonts w:ascii="Book Antiqua" w:hAnsi="Book Antiqua"/>
        </w:rPr>
        <w:t xml:space="preserve">Heparin exerts its major anticoagulant effect by activating anti-thrombin </w:t>
      </w:r>
      <w:proofErr w:type="gramStart"/>
      <w:r w:rsidR="00856E0B" w:rsidRPr="009F42E6">
        <w:rPr>
          <w:rFonts w:ascii="Book Antiqua" w:hAnsi="Book Antiqua"/>
        </w:rPr>
        <w:t>III which</w:t>
      </w:r>
      <w:proofErr w:type="gramEnd"/>
      <w:r w:rsidR="00856E0B" w:rsidRPr="009F42E6">
        <w:rPr>
          <w:rFonts w:ascii="Book Antiqua" w:hAnsi="Book Antiqua"/>
        </w:rPr>
        <w:t xml:space="preserve"> inactivates thrombin and activated factor X (Factor </w:t>
      </w:r>
      <w:proofErr w:type="spellStart"/>
      <w:r w:rsidR="00856E0B" w:rsidRPr="009F42E6">
        <w:rPr>
          <w:rFonts w:ascii="Book Antiqua" w:hAnsi="Book Antiqua"/>
        </w:rPr>
        <w:t>Xa</w:t>
      </w:r>
      <w:proofErr w:type="spellEnd"/>
      <w:r w:rsidR="00856E0B" w:rsidRPr="009F42E6">
        <w:rPr>
          <w:rFonts w:ascii="Book Antiqua" w:hAnsi="Book Antiqua"/>
        </w:rPr>
        <w:t xml:space="preserve">). Inactivation of thrombin inhibits formation </w:t>
      </w:r>
      <w:r w:rsidR="009D1082" w:rsidRPr="009F42E6">
        <w:rPr>
          <w:rFonts w:ascii="Book Antiqua" w:hAnsi="Book Antiqua"/>
        </w:rPr>
        <w:t xml:space="preserve">of fibrin from fibrinogen and also inhibits thrombin-induced activation of platelets and factor V and </w:t>
      </w:r>
      <w:proofErr w:type="gramStart"/>
      <w:r w:rsidR="009D1082" w:rsidRPr="009F42E6">
        <w:rPr>
          <w:rFonts w:ascii="Book Antiqua" w:hAnsi="Book Antiqua"/>
        </w:rPr>
        <w:t>VIII</w:t>
      </w:r>
      <w:r w:rsidR="00E32AFA" w:rsidRPr="00E32AFA">
        <w:rPr>
          <w:rFonts w:ascii="Book Antiqua" w:eastAsia="宋体" w:hAnsi="Book Antiqua" w:hint="eastAsia"/>
          <w:vertAlign w:val="superscript"/>
          <w:lang w:eastAsia="zh-CN"/>
        </w:rPr>
        <w:t>[</w:t>
      </w:r>
      <w:proofErr w:type="gramEnd"/>
      <w:r w:rsidR="009D1082" w:rsidRPr="00E32AFA">
        <w:rPr>
          <w:rFonts w:ascii="Book Antiqua" w:hAnsi="Book Antiqua"/>
          <w:vertAlign w:val="superscript"/>
        </w:rPr>
        <w:t>8</w:t>
      </w:r>
      <w:r w:rsidR="00E32AFA" w:rsidRPr="00E32AFA">
        <w:rPr>
          <w:rFonts w:ascii="Book Antiqua" w:eastAsia="宋体" w:hAnsi="Book Antiqua" w:hint="eastAsia"/>
          <w:vertAlign w:val="superscript"/>
          <w:lang w:eastAsia="zh-CN"/>
        </w:rPr>
        <w:t>]</w:t>
      </w:r>
      <w:r w:rsidR="009D1082" w:rsidRPr="009F42E6">
        <w:rPr>
          <w:rFonts w:ascii="Book Antiqua" w:hAnsi="Book Antiqua"/>
        </w:rPr>
        <w:t>.</w:t>
      </w:r>
      <w:r w:rsidR="00AC13FC" w:rsidRPr="009F42E6">
        <w:rPr>
          <w:rFonts w:ascii="Book Antiqua" w:hAnsi="Book Antiqua"/>
        </w:rPr>
        <w:t xml:space="preserve"> The main side effect is bleeding. Other side effects include hyperkalemia, abnormal liver function test, heparin-induced thrombocytopenia</w:t>
      </w:r>
      <w:r w:rsidR="00433814" w:rsidRPr="009F42E6">
        <w:rPr>
          <w:rFonts w:ascii="Book Antiqua" w:hAnsi="Book Antiqua"/>
        </w:rPr>
        <w:t xml:space="preserve"> (due to formation of </w:t>
      </w:r>
      <w:proofErr w:type="spellStart"/>
      <w:r w:rsidR="00433814" w:rsidRPr="009F42E6">
        <w:rPr>
          <w:rFonts w:ascii="Book Antiqua" w:hAnsi="Book Antiqua"/>
        </w:rPr>
        <w:t>IgG</w:t>
      </w:r>
      <w:proofErr w:type="spellEnd"/>
      <w:r w:rsidR="00433814" w:rsidRPr="009F42E6">
        <w:rPr>
          <w:rFonts w:ascii="Book Antiqua" w:hAnsi="Book Antiqua"/>
        </w:rPr>
        <w:t xml:space="preserve"> antibody against heparin-platelet factor 4 (PF4) complex in the blood)</w:t>
      </w:r>
      <w:r w:rsidR="00AC13FC" w:rsidRPr="009F42E6">
        <w:rPr>
          <w:rFonts w:ascii="Book Antiqua" w:hAnsi="Book Antiqua"/>
        </w:rPr>
        <w:t>, osteoporosi</w:t>
      </w:r>
      <w:r w:rsidR="00B310DE" w:rsidRPr="009F42E6">
        <w:rPr>
          <w:rFonts w:ascii="Book Antiqua" w:hAnsi="Book Antiqua"/>
        </w:rPr>
        <w:t>s and alopecia. The plasma half-</w:t>
      </w:r>
      <w:r w:rsidR="00AC13FC" w:rsidRPr="009F42E6">
        <w:rPr>
          <w:rFonts w:ascii="Book Antiqua" w:hAnsi="Book Antiqua"/>
        </w:rPr>
        <w:t xml:space="preserve">life </w:t>
      </w:r>
      <w:r w:rsidR="00B310DE" w:rsidRPr="009F42E6">
        <w:rPr>
          <w:rFonts w:ascii="Book Antiqua" w:hAnsi="Book Antiqua"/>
        </w:rPr>
        <w:t xml:space="preserve">varies with the dose of heparin but </w:t>
      </w:r>
      <w:r w:rsidR="00E1044B" w:rsidRPr="009F42E6">
        <w:rPr>
          <w:rFonts w:ascii="Book Antiqua" w:hAnsi="Book Antiqua"/>
        </w:rPr>
        <w:t xml:space="preserve">is </w:t>
      </w:r>
      <w:r w:rsidR="00B310DE" w:rsidRPr="009F42E6">
        <w:rPr>
          <w:rFonts w:ascii="Book Antiqua" w:hAnsi="Book Antiqua"/>
        </w:rPr>
        <w:t>approx</w:t>
      </w:r>
      <w:r w:rsidR="00E1044B" w:rsidRPr="009F42E6">
        <w:rPr>
          <w:rFonts w:ascii="Book Antiqua" w:hAnsi="Book Antiqua"/>
        </w:rPr>
        <w:t xml:space="preserve">imately 90 </w:t>
      </w:r>
      <w:r w:rsidR="00E32AFA">
        <w:rPr>
          <w:rFonts w:ascii="Book Antiqua" w:eastAsia="宋体" w:hAnsi="Book Antiqua" w:hint="eastAsia"/>
          <w:lang w:eastAsia="zh-CN"/>
        </w:rPr>
        <w:t>min</w:t>
      </w:r>
      <w:r w:rsidR="00B310DE" w:rsidRPr="009F42E6">
        <w:rPr>
          <w:rFonts w:ascii="Book Antiqua" w:hAnsi="Book Antiqua"/>
        </w:rPr>
        <w:t xml:space="preserve">. </w:t>
      </w:r>
      <w:r w:rsidR="00894E21" w:rsidRPr="009F42E6">
        <w:rPr>
          <w:rFonts w:ascii="Book Antiqua" w:hAnsi="Book Antiqua"/>
        </w:rPr>
        <w:t>In case of intravenous administration of heparin, endo</w:t>
      </w:r>
      <w:r w:rsidR="004F2106" w:rsidRPr="009F42E6">
        <w:rPr>
          <w:rFonts w:ascii="Book Antiqua" w:hAnsi="Book Antiqua"/>
        </w:rPr>
        <w:t>scopy should be hold for 4</w:t>
      </w:r>
      <w:r w:rsidR="00894E21" w:rsidRPr="009F42E6">
        <w:rPr>
          <w:rFonts w:ascii="Book Antiqua" w:hAnsi="Book Antiqua"/>
        </w:rPr>
        <w:t xml:space="preserve"> to 6 </w:t>
      </w:r>
      <w:r w:rsidR="00E32AFA">
        <w:rPr>
          <w:rFonts w:ascii="Book Antiqua" w:eastAsia="宋体" w:hAnsi="Book Antiqua" w:hint="eastAsia"/>
          <w:lang w:eastAsia="zh-CN"/>
        </w:rPr>
        <w:t>h</w:t>
      </w:r>
      <w:r w:rsidR="00894E21" w:rsidRPr="009F42E6">
        <w:rPr>
          <w:rFonts w:ascii="Book Antiqua" w:hAnsi="Book Antiqua"/>
        </w:rPr>
        <w:t xml:space="preserve"> and in case of subcutaneous administration of </w:t>
      </w:r>
      <w:proofErr w:type="gramStart"/>
      <w:r w:rsidR="00894E21" w:rsidRPr="009F42E6">
        <w:rPr>
          <w:rFonts w:ascii="Book Antiqua" w:hAnsi="Book Antiqua"/>
        </w:rPr>
        <w:t>heparin,</w:t>
      </w:r>
      <w:proofErr w:type="gramEnd"/>
      <w:r w:rsidR="00894E21" w:rsidRPr="009F42E6">
        <w:rPr>
          <w:rFonts w:ascii="Book Antiqua" w:hAnsi="Book Antiqua"/>
        </w:rPr>
        <w:t xml:space="preserve"> endoscopy sh</w:t>
      </w:r>
      <w:r w:rsidR="00936516" w:rsidRPr="009F42E6">
        <w:rPr>
          <w:rFonts w:ascii="Book Antiqua" w:hAnsi="Book Antiqua"/>
        </w:rPr>
        <w:t>ould be he</w:t>
      </w:r>
      <w:r w:rsidR="005A076D" w:rsidRPr="009F42E6">
        <w:rPr>
          <w:rFonts w:ascii="Book Antiqua" w:hAnsi="Book Antiqua"/>
        </w:rPr>
        <w:t xml:space="preserve">ld for 12 to 24 </w:t>
      </w:r>
      <w:r w:rsidR="00E32AFA">
        <w:rPr>
          <w:rFonts w:ascii="Book Antiqua" w:eastAsia="宋体" w:hAnsi="Book Antiqua" w:hint="eastAsia"/>
          <w:lang w:eastAsia="zh-CN"/>
        </w:rPr>
        <w:t>h</w:t>
      </w:r>
      <w:r w:rsidR="005A076D" w:rsidRPr="009F42E6">
        <w:rPr>
          <w:rFonts w:ascii="Book Antiqua" w:hAnsi="Book Antiqua"/>
        </w:rPr>
        <w:t xml:space="preserve"> after stopping heparin.</w:t>
      </w:r>
      <w:r w:rsidR="003E14DC" w:rsidRPr="009F42E6">
        <w:rPr>
          <w:rFonts w:ascii="Book Antiqua" w:hAnsi="Book Antiqua"/>
        </w:rPr>
        <w:t xml:space="preserve"> The </w:t>
      </w:r>
      <w:r w:rsidR="00E82027" w:rsidRPr="009F42E6">
        <w:rPr>
          <w:rFonts w:ascii="Book Antiqua" w:hAnsi="Book Antiqua"/>
        </w:rPr>
        <w:t>action of heparin can be reversed by protamine (1 mg of protamine can neutralize 100 units of heparin).</w:t>
      </w:r>
    </w:p>
    <w:p w14:paraId="73D436F4" w14:textId="77777777" w:rsidR="002751EB" w:rsidRPr="009F42E6" w:rsidRDefault="002751EB" w:rsidP="00B83F55">
      <w:pPr>
        <w:spacing w:line="360" w:lineRule="auto"/>
        <w:jc w:val="both"/>
        <w:rPr>
          <w:rFonts w:ascii="Book Antiqua" w:hAnsi="Book Antiqua"/>
          <w:b/>
        </w:rPr>
      </w:pPr>
    </w:p>
    <w:p w14:paraId="56D762E9" w14:textId="77777777" w:rsidR="00E32AFA" w:rsidRPr="00E32AFA" w:rsidRDefault="007E6955" w:rsidP="00B83F55">
      <w:pPr>
        <w:spacing w:line="360" w:lineRule="auto"/>
        <w:jc w:val="both"/>
        <w:rPr>
          <w:rFonts w:ascii="Book Antiqua" w:eastAsia="宋体" w:hAnsi="Book Antiqua"/>
          <w:b/>
          <w:i/>
          <w:lang w:eastAsia="zh-CN"/>
        </w:rPr>
      </w:pPr>
      <w:r w:rsidRPr="00E32AFA">
        <w:rPr>
          <w:rFonts w:ascii="Book Antiqua" w:hAnsi="Book Antiqua"/>
          <w:b/>
          <w:i/>
        </w:rPr>
        <w:t>Low molecular weight heparin</w:t>
      </w:r>
      <w:r w:rsidR="0035277E" w:rsidRPr="00E32AFA">
        <w:rPr>
          <w:rFonts w:ascii="Book Antiqua" w:hAnsi="Book Antiqua"/>
          <w:b/>
          <w:i/>
        </w:rPr>
        <w:t>s</w:t>
      </w:r>
    </w:p>
    <w:p w14:paraId="2F4D2A0D" w14:textId="5244C161" w:rsidR="002751EB" w:rsidRPr="00E32AFA" w:rsidRDefault="00E32AFA" w:rsidP="00B83F55">
      <w:pPr>
        <w:spacing w:line="360" w:lineRule="auto"/>
        <w:jc w:val="both"/>
        <w:rPr>
          <w:rFonts w:ascii="Book Antiqua" w:eastAsia="宋体" w:hAnsi="Book Antiqua"/>
          <w:b/>
          <w:lang w:eastAsia="zh-CN"/>
        </w:rPr>
      </w:pPr>
      <w:r w:rsidRPr="00E32AFA">
        <w:rPr>
          <w:rFonts w:ascii="Book Antiqua" w:hAnsi="Book Antiqua"/>
        </w:rPr>
        <w:lastRenderedPageBreak/>
        <w:t>Low molecular weight heparins (LMWH)</w:t>
      </w:r>
      <w:r w:rsidR="0035277E" w:rsidRPr="009F42E6">
        <w:rPr>
          <w:rFonts w:ascii="Book Antiqua" w:hAnsi="Book Antiqua"/>
        </w:rPr>
        <w:t xml:space="preserve"> are</w:t>
      </w:r>
      <w:r w:rsidR="001150D8" w:rsidRPr="009F42E6">
        <w:rPr>
          <w:rFonts w:ascii="Book Antiqua" w:hAnsi="Book Antiqua"/>
        </w:rPr>
        <w:t xml:space="preserve"> derived from fractionation of standard heparin</w:t>
      </w:r>
      <w:r w:rsidR="00C27910" w:rsidRPr="009F42E6">
        <w:rPr>
          <w:rFonts w:ascii="Book Antiqua" w:hAnsi="Book Antiqua"/>
        </w:rPr>
        <w:t xml:space="preserve"> so that each fragment is about one third the size of the original compound. </w:t>
      </w:r>
      <w:r w:rsidR="00C97635" w:rsidRPr="009F42E6">
        <w:rPr>
          <w:rFonts w:ascii="Book Antiqua" w:hAnsi="Book Antiqua"/>
        </w:rPr>
        <w:t xml:space="preserve">As the number of long chains is reduced, there is less binding to thrombin. </w:t>
      </w:r>
      <w:r>
        <w:rPr>
          <w:rFonts w:ascii="Book Antiqua" w:hAnsi="Book Antiqua"/>
        </w:rPr>
        <w:t>LMWH</w:t>
      </w:r>
      <w:r>
        <w:rPr>
          <w:rFonts w:ascii="Book Antiqua" w:eastAsia="宋体" w:hAnsi="Book Antiqua" w:hint="eastAsia"/>
          <w:lang w:eastAsia="zh-CN"/>
        </w:rPr>
        <w:t xml:space="preserve"> </w:t>
      </w:r>
      <w:r w:rsidR="00D541D1" w:rsidRPr="009F42E6">
        <w:rPr>
          <w:rFonts w:ascii="Book Antiqua" w:hAnsi="Book Antiqua"/>
        </w:rPr>
        <w:t xml:space="preserve">(containing majority of short chains) mainly </w:t>
      </w:r>
      <w:r w:rsidR="00C27910" w:rsidRPr="009F42E6">
        <w:rPr>
          <w:rFonts w:ascii="Book Antiqua" w:hAnsi="Book Antiqua"/>
        </w:rPr>
        <w:t>works b</w:t>
      </w:r>
      <w:r w:rsidR="00D17449" w:rsidRPr="009F42E6">
        <w:rPr>
          <w:rFonts w:ascii="Book Antiqua" w:hAnsi="Book Antiqua"/>
        </w:rPr>
        <w:t xml:space="preserve">y inhibiting </w:t>
      </w:r>
      <w:r w:rsidR="00D541D1" w:rsidRPr="009F42E6">
        <w:rPr>
          <w:rFonts w:ascii="Book Antiqua" w:hAnsi="Book Antiqua"/>
        </w:rPr>
        <w:t xml:space="preserve">factor </w:t>
      </w:r>
      <w:proofErr w:type="spellStart"/>
      <w:r w:rsidR="00D541D1" w:rsidRPr="009F42E6">
        <w:rPr>
          <w:rFonts w:ascii="Book Antiqua" w:hAnsi="Book Antiqua"/>
        </w:rPr>
        <w:t>Xa</w:t>
      </w:r>
      <w:proofErr w:type="spellEnd"/>
      <w:r w:rsidR="00D541D1" w:rsidRPr="009F42E6">
        <w:rPr>
          <w:rFonts w:ascii="Book Antiqua" w:hAnsi="Book Antiqua"/>
        </w:rPr>
        <w:t xml:space="preserve"> without inactivating </w:t>
      </w:r>
      <w:r w:rsidR="00A20A8F" w:rsidRPr="009F42E6">
        <w:rPr>
          <w:rFonts w:ascii="Book Antiqua" w:hAnsi="Book Antiqua"/>
        </w:rPr>
        <w:t>thrombin.</w:t>
      </w:r>
      <w:r w:rsidR="00D17449" w:rsidRPr="009F42E6">
        <w:rPr>
          <w:rFonts w:ascii="Book Antiqua" w:hAnsi="Book Antiqua"/>
        </w:rPr>
        <w:t xml:space="preserve"> Thus PTT</w:t>
      </w:r>
      <w:r w:rsidR="00C7158C" w:rsidRPr="009F42E6">
        <w:rPr>
          <w:rFonts w:ascii="Book Antiqua" w:hAnsi="Book Antiqua"/>
        </w:rPr>
        <w:t xml:space="preserve"> (partial </w:t>
      </w:r>
      <w:proofErr w:type="spellStart"/>
      <w:r w:rsidR="00C7158C" w:rsidRPr="009F42E6">
        <w:rPr>
          <w:rFonts w:ascii="Book Antiqua" w:hAnsi="Book Antiqua"/>
        </w:rPr>
        <w:t>thromboplastin</w:t>
      </w:r>
      <w:proofErr w:type="spellEnd"/>
      <w:r w:rsidR="00C7158C" w:rsidRPr="009F42E6">
        <w:rPr>
          <w:rFonts w:ascii="Book Antiqua" w:hAnsi="Book Antiqua"/>
        </w:rPr>
        <w:t xml:space="preserve"> time)</w:t>
      </w:r>
      <w:r w:rsidR="00D17449" w:rsidRPr="009F42E6">
        <w:rPr>
          <w:rFonts w:ascii="Book Antiqua" w:hAnsi="Book Antiqua"/>
        </w:rPr>
        <w:t xml:space="preserve">, a measure of anti-thrombin activity is not affected by LMWH. </w:t>
      </w:r>
      <w:r w:rsidR="00FA3F2E" w:rsidRPr="009F42E6">
        <w:rPr>
          <w:rFonts w:ascii="Book Antiqua" w:hAnsi="Book Antiqua"/>
        </w:rPr>
        <w:t>The anti-coagulation effect of LMWH is measured by anti-</w:t>
      </w:r>
      <w:proofErr w:type="spellStart"/>
      <w:r w:rsidR="00FA3F2E" w:rsidRPr="009F42E6">
        <w:rPr>
          <w:rFonts w:ascii="Book Antiqua" w:hAnsi="Book Antiqua"/>
        </w:rPr>
        <w:t>Xa</w:t>
      </w:r>
      <w:proofErr w:type="spellEnd"/>
      <w:r w:rsidR="00FA3F2E" w:rsidRPr="009F42E6">
        <w:rPr>
          <w:rFonts w:ascii="Book Antiqua" w:hAnsi="Book Antiqua"/>
        </w:rPr>
        <w:t xml:space="preserve"> activity. The short chains </w:t>
      </w:r>
      <w:r w:rsidR="008A1909" w:rsidRPr="009F42E6">
        <w:rPr>
          <w:rFonts w:ascii="Book Antiqua" w:hAnsi="Book Antiqua"/>
        </w:rPr>
        <w:t>of LMWH do not bind to plasma and cellular proteins and as a result, the dose-respon</w:t>
      </w:r>
      <w:r w:rsidR="00956848" w:rsidRPr="009F42E6">
        <w:rPr>
          <w:rFonts w:ascii="Book Antiqua" w:hAnsi="Book Antiqua"/>
        </w:rPr>
        <w:t>se relationship is predictable, and the half-life becomes 2 to 4</w:t>
      </w:r>
      <w:r w:rsidR="00997C52" w:rsidRPr="009F42E6">
        <w:rPr>
          <w:rFonts w:ascii="Book Antiqua" w:hAnsi="Book Antiqua"/>
        </w:rPr>
        <w:t xml:space="preserve"> </w:t>
      </w:r>
      <w:r w:rsidR="00956848" w:rsidRPr="009F42E6">
        <w:rPr>
          <w:rFonts w:ascii="Book Antiqua" w:hAnsi="Book Antiqua"/>
        </w:rPr>
        <w:t xml:space="preserve">times that of </w:t>
      </w:r>
      <w:proofErr w:type="gramStart"/>
      <w:r w:rsidRPr="00E32AFA">
        <w:rPr>
          <w:rFonts w:ascii="Book Antiqua" w:hAnsi="Book Antiqua"/>
        </w:rPr>
        <w:t>Unfractionated</w:t>
      </w:r>
      <w:proofErr w:type="gramEnd"/>
      <w:r w:rsidRPr="00E32AFA">
        <w:rPr>
          <w:rFonts w:ascii="Book Antiqua" w:hAnsi="Book Antiqua"/>
        </w:rPr>
        <w:t xml:space="preserve"> heparin</w:t>
      </w:r>
      <w:r w:rsidR="00956848" w:rsidRPr="00E32AFA">
        <w:rPr>
          <w:rFonts w:ascii="Book Antiqua" w:hAnsi="Book Antiqua"/>
        </w:rPr>
        <w:t xml:space="preserve">. </w:t>
      </w:r>
      <w:r w:rsidR="008A1909" w:rsidRPr="009F42E6">
        <w:rPr>
          <w:rFonts w:ascii="Book Antiqua" w:hAnsi="Book Antiqua"/>
        </w:rPr>
        <w:t>There is less binding of LMWH to platelets and osteoclasts leading to less heparin-induced thrombocytopenia and osteopenia</w:t>
      </w:r>
      <w:r w:rsidR="00956848" w:rsidRPr="009F42E6">
        <w:rPr>
          <w:rFonts w:ascii="Book Antiqua" w:hAnsi="Book Antiqua"/>
        </w:rPr>
        <w:t xml:space="preserve"> respectively</w:t>
      </w:r>
      <w:r w:rsidR="008A1909" w:rsidRPr="009F42E6">
        <w:rPr>
          <w:rFonts w:ascii="Book Antiqua" w:hAnsi="Book Antiqua"/>
        </w:rPr>
        <w:t xml:space="preserve">. </w:t>
      </w:r>
      <w:r w:rsidR="00D17449" w:rsidRPr="009F42E6">
        <w:rPr>
          <w:rFonts w:ascii="Book Antiqua" w:hAnsi="Book Antiqua"/>
        </w:rPr>
        <w:t>Currently, the LMWH available are enoxaparin (</w:t>
      </w:r>
      <w:proofErr w:type="spellStart"/>
      <w:r w:rsidR="00D17449" w:rsidRPr="009F42E6">
        <w:rPr>
          <w:rFonts w:ascii="Book Antiqua" w:hAnsi="Book Antiqua"/>
        </w:rPr>
        <w:t>Lovenox</w:t>
      </w:r>
      <w:proofErr w:type="spellEnd"/>
      <w:r w:rsidR="00D17449" w:rsidRPr="009F42E6">
        <w:rPr>
          <w:rFonts w:ascii="Book Antiqua" w:hAnsi="Book Antiqua"/>
        </w:rPr>
        <w:t xml:space="preserve">) and </w:t>
      </w:r>
      <w:proofErr w:type="spellStart"/>
      <w:r w:rsidR="00D17449" w:rsidRPr="009F42E6">
        <w:rPr>
          <w:rFonts w:ascii="Book Antiqua" w:hAnsi="Book Antiqua"/>
        </w:rPr>
        <w:t>dalteparin</w:t>
      </w:r>
      <w:proofErr w:type="spellEnd"/>
      <w:r w:rsidR="00D17449" w:rsidRPr="009F42E6">
        <w:rPr>
          <w:rFonts w:ascii="Book Antiqua" w:hAnsi="Book Antiqua"/>
        </w:rPr>
        <w:t xml:space="preserve"> (</w:t>
      </w:r>
      <w:proofErr w:type="spellStart"/>
      <w:r w:rsidR="00D17449" w:rsidRPr="009F42E6">
        <w:rPr>
          <w:rFonts w:ascii="Book Antiqua" w:hAnsi="Book Antiqua"/>
        </w:rPr>
        <w:t>Fragmin</w:t>
      </w:r>
      <w:proofErr w:type="spellEnd"/>
      <w:r w:rsidR="00D17449" w:rsidRPr="009F42E6">
        <w:rPr>
          <w:rFonts w:ascii="Book Antiqua" w:hAnsi="Book Antiqua"/>
        </w:rPr>
        <w:t xml:space="preserve">). </w:t>
      </w:r>
      <w:r w:rsidR="006620BA" w:rsidRPr="009F42E6">
        <w:rPr>
          <w:rFonts w:ascii="Book Antiqua" w:hAnsi="Book Antiqua"/>
        </w:rPr>
        <w:t xml:space="preserve"> They are associated </w:t>
      </w:r>
      <w:r w:rsidR="00956848" w:rsidRPr="009F42E6">
        <w:rPr>
          <w:rFonts w:ascii="Book Antiqua" w:hAnsi="Book Antiqua"/>
        </w:rPr>
        <w:t xml:space="preserve">with greater efficacy and </w:t>
      </w:r>
      <w:r w:rsidR="00491009" w:rsidRPr="009F42E6">
        <w:rPr>
          <w:rFonts w:ascii="Book Antiqua" w:hAnsi="Book Antiqua"/>
        </w:rPr>
        <w:t xml:space="preserve">less bleeding </w:t>
      </w:r>
      <w:proofErr w:type="gramStart"/>
      <w:r w:rsidR="00491009" w:rsidRPr="009F42E6">
        <w:rPr>
          <w:rFonts w:ascii="Book Antiqua" w:hAnsi="Book Antiqua"/>
        </w:rPr>
        <w:t>ep</w:t>
      </w:r>
      <w:r w:rsidR="00956848" w:rsidRPr="009F42E6">
        <w:rPr>
          <w:rFonts w:ascii="Book Antiqua" w:hAnsi="Book Antiqua"/>
        </w:rPr>
        <w:t>isodes</w:t>
      </w:r>
      <w:r w:rsidRPr="00E32AFA">
        <w:rPr>
          <w:rFonts w:ascii="Book Antiqua" w:eastAsia="宋体" w:hAnsi="Book Antiqua" w:hint="eastAsia"/>
          <w:vertAlign w:val="superscript"/>
          <w:lang w:eastAsia="zh-CN"/>
        </w:rPr>
        <w:t>[</w:t>
      </w:r>
      <w:proofErr w:type="gramEnd"/>
      <w:r w:rsidR="00491009" w:rsidRPr="00E32AFA">
        <w:rPr>
          <w:rFonts w:ascii="Book Antiqua" w:hAnsi="Book Antiqua"/>
          <w:vertAlign w:val="superscript"/>
        </w:rPr>
        <w:t>9</w:t>
      </w:r>
      <w:r w:rsidRPr="00E32AFA">
        <w:rPr>
          <w:rFonts w:ascii="Book Antiqua" w:eastAsia="宋体" w:hAnsi="Book Antiqua" w:hint="eastAsia"/>
          <w:vertAlign w:val="superscript"/>
          <w:lang w:eastAsia="zh-CN"/>
        </w:rPr>
        <w:t>]</w:t>
      </w:r>
      <w:r w:rsidR="00491009" w:rsidRPr="009F42E6">
        <w:rPr>
          <w:rFonts w:ascii="Book Antiqua" w:hAnsi="Book Antiqua"/>
        </w:rPr>
        <w:t>.</w:t>
      </w:r>
      <w:r w:rsidR="00956848" w:rsidRPr="009F42E6">
        <w:rPr>
          <w:rFonts w:ascii="Book Antiqua" w:hAnsi="Book Antiqua"/>
        </w:rPr>
        <w:t xml:space="preserve"> As the duration of action of LMWH is 24 </w:t>
      </w:r>
      <w:r>
        <w:rPr>
          <w:rFonts w:ascii="Book Antiqua" w:eastAsia="宋体" w:hAnsi="Book Antiqua" w:hint="eastAsia"/>
          <w:lang w:eastAsia="zh-CN"/>
        </w:rPr>
        <w:t>h</w:t>
      </w:r>
      <w:r w:rsidR="00956848" w:rsidRPr="009F42E6">
        <w:rPr>
          <w:rFonts w:ascii="Book Antiqua" w:hAnsi="Book Antiqua"/>
        </w:rPr>
        <w:t>, e</w:t>
      </w:r>
      <w:r w:rsidR="00F83F2C" w:rsidRPr="009F42E6">
        <w:rPr>
          <w:rFonts w:ascii="Book Antiqua" w:hAnsi="Book Antiqua"/>
        </w:rPr>
        <w:t>ndoscopi</w:t>
      </w:r>
      <w:r w:rsidR="00956848" w:rsidRPr="009F42E6">
        <w:rPr>
          <w:rFonts w:ascii="Book Antiqua" w:hAnsi="Book Antiqua"/>
        </w:rPr>
        <w:t>c procedures should</w:t>
      </w:r>
      <w:r w:rsidR="002A5488" w:rsidRPr="009F42E6">
        <w:rPr>
          <w:rFonts w:ascii="Book Antiqua" w:hAnsi="Book Antiqua"/>
        </w:rPr>
        <w:t xml:space="preserve"> be done 1 </w:t>
      </w:r>
      <w:r>
        <w:rPr>
          <w:rFonts w:ascii="Book Antiqua" w:eastAsia="宋体" w:hAnsi="Book Antiqua" w:hint="eastAsia"/>
          <w:lang w:eastAsia="zh-CN"/>
        </w:rPr>
        <w:t>d</w:t>
      </w:r>
      <w:r w:rsidR="002A5488" w:rsidRPr="009F42E6">
        <w:rPr>
          <w:rFonts w:ascii="Book Antiqua" w:hAnsi="Book Antiqua"/>
        </w:rPr>
        <w:t xml:space="preserve"> </w:t>
      </w:r>
      <w:r w:rsidR="00F83F2C" w:rsidRPr="009F42E6">
        <w:rPr>
          <w:rFonts w:ascii="Book Antiqua" w:hAnsi="Book Antiqua"/>
        </w:rPr>
        <w:t>after stopping LMWH.</w:t>
      </w:r>
      <w:r w:rsidR="00591EFA" w:rsidRPr="009F42E6">
        <w:rPr>
          <w:rFonts w:ascii="Book Antiqua" w:hAnsi="Book Antiqua"/>
        </w:rPr>
        <w:t xml:space="preserve"> LMWH can also be </w:t>
      </w:r>
      <w:r w:rsidR="00EF4E65" w:rsidRPr="009F42E6">
        <w:rPr>
          <w:rFonts w:ascii="Book Antiqua" w:hAnsi="Book Antiqua"/>
        </w:rPr>
        <w:t xml:space="preserve">partially reversed by </w:t>
      </w:r>
      <w:proofErr w:type="gramStart"/>
      <w:r w:rsidR="00EF4E65" w:rsidRPr="009F42E6">
        <w:rPr>
          <w:rFonts w:ascii="Book Antiqua" w:hAnsi="Book Antiqua"/>
        </w:rPr>
        <w:t>protamine which</w:t>
      </w:r>
      <w:proofErr w:type="gramEnd"/>
      <w:r w:rsidR="00EF4E65" w:rsidRPr="009F42E6">
        <w:rPr>
          <w:rFonts w:ascii="Book Antiqua" w:hAnsi="Book Antiqua"/>
        </w:rPr>
        <w:t xml:space="preserve"> neutralizes 60% activity of anti-factor </w:t>
      </w:r>
      <w:proofErr w:type="spellStart"/>
      <w:r w:rsidR="00EF4E65" w:rsidRPr="009F42E6">
        <w:rPr>
          <w:rFonts w:ascii="Book Antiqua" w:hAnsi="Book Antiqua"/>
        </w:rPr>
        <w:t>Xa</w:t>
      </w:r>
      <w:proofErr w:type="spellEnd"/>
      <w:r w:rsidR="00EF4E65" w:rsidRPr="009F42E6">
        <w:rPr>
          <w:rFonts w:ascii="Book Antiqua" w:hAnsi="Book Antiqua"/>
        </w:rPr>
        <w:t xml:space="preserve">. </w:t>
      </w:r>
    </w:p>
    <w:p w14:paraId="0E929D05" w14:textId="77777777" w:rsidR="00B37A24" w:rsidRPr="009F42E6" w:rsidRDefault="00B37A24" w:rsidP="00B83F55">
      <w:pPr>
        <w:spacing w:line="360" w:lineRule="auto"/>
        <w:jc w:val="both"/>
        <w:rPr>
          <w:rFonts w:ascii="Book Antiqua" w:hAnsi="Book Antiqua"/>
        </w:rPr>
      </w:pPr>
    </w:p>
    <w:p w14:paraId="551A54AC" w14:textId="77777777" w:rsidR="00E32AFA" w:rsidRPr="00E32AFA" w:rsidRDefault="00B37A24" w:rsidP="00B83F55">
      <w:pPr>
        <w:spacing w:line="360" w:lineRule="auto"/>
        <w:jc w:val="both"/>
        <w:rPr>
          <w:rFonts w:ascii="Book Antiqua" w:eastAsia="宋体" w:hAnsi="Book Antiqua"/>
          <w:i/>
          <w:lang w:eastAsia="zh-CN"/>
        </w:rPr>
      </w:pPr>
      <w:proofErr w:type="spellStart"/>
      <w:r w:rsidRPr="00E32AFA">
        <w:rPr>
          <w:rFonts w:ascii="Book Antiqua" w:hAnsi="Book Antiqua"/>
          <w:b/>
          <w:i/>
        </w:rPr>
        <w:t>Fondaparinux</w:t>
      </w:r>
      <w:proofErr w:type="spellEnd"/>
      <w:r w:rsidR="00E32AFA" w:rsidRPr="00E32AFA">
        <w:rPr>
          <w:rFonts w:ascii="Book Antiqua" w:eastAsia="宋体" w:hAnsi="Book Antiqua" w:hint="eastAsia"/>
          <w:b/>
          <w:i/>
          <w:lang w:eastAsia="zh-CN"/>
        </w:rPr>
        <w:t xml:space="preserve"> </w:t>
      </w:r>
      <w:r w:rsidRPr="00E32AFA">
        <w:rPr>
          <w:rFonts w:ascii="Book Antiqua" w:hAnsi="Book Antiqua"/>
          <w:b/>
          <w:i/>
        </w:rPr>
        <w:t>(</w:t>
      </w:r>
      <w:proofErr w:type="spellStart"/>
      <w:r w:rsidRPr="00E32AFA">
        <w:rPr>
          <w:rFonts w:ascii="Book Antiqua" w:hAnsi="Book Antiqua"/>
          <w:b/>
          <w:i/>
        </w:rPr>
        <w:t>Arixtra</w:t>
      </w:r>
      <w:proofErr w:type="spellEnd"/>
      <w:r w:rsidRPr="00E32AFA">
        <w:rPr>
          <w:rFonts w:ascii="Book Antiqua" w:hAnsi="Book Antiqua"/>
          <w:b/>
          <w:i/>
        </w:rPr>
        <w:t>)</w:t>
      </w:r>
      <w:r w:rsidRPr="00E32AFA">
        <w:rPr>
          <w:rFonts w:ascii="Book Antiqua" w:hAnsi="Book Antiqua"/>
          <w:i/>
        </w:rPr>
        <w:t xml:space="preserve"> </w:t>
      </w:r>
    </w:p>
    <w:p w14:paraId="7ED93A6B" w14:textId="22B92A0E" w:rsidR="00762869" w:rsidRDefault="00E32AFA" w:rsidP="00B83F55">
      <w:pPr>
        <w:spacing w:line="360" w:lineRule="auto"/>
        <w:jc w:val="both"/>
        <w:rPr>
          <w:rFonts w:ascii="Book Antiqua" w:eastAsia="宋体" w:hAnsi="Book Antiqua"/>
          <w:lang w:eastAsia="zh-CN"/>
        </w:rPr>
      </w:pPr>
      <w:proofErr w:type="spellStart"/>
      <w:r w:rsidRPr="00E32AFA">
        <w:rPr>
          <w:rFonts w:ascii="Book Antiqua" w:hAnsi="Book Antiqua"/>
        </w:rPr>
        <w:t>Fondaparinux</w:t>
      </w:r>
      <w:proofErr w:type="spellEnd"/>
      <w:r w:rsidRPr="00E32AFA">
        <w:rPr>
          <w:rFonts w:ascii="Book Antiqua" w:eastAsia="宋体" w:hAnsi="Book Antiqua" w:hint="eastAsia"/>
          <w:lang w:eastAsia="zh-CN"/>
        </w:rPr>
        <w:t xml:space="preserve"> </w:t>
      </w:r>
      <w:r w:rsidRPr="00E32AFA">
        <w:rPr>
          <w:rFonts w:ascii="Book Antiqua" w:hAnsi="Book Antiqua"/>
        </w:rPr>
        <w:t>(</w:t>
      </w:r>
      <w:proofErr w:type="spellStart"/>
      <w:r w:rsidRPr="00E32AFA">
        <w:rPr>
          <w:rFonts w:ascii="Book Antiqua" w:hAnsi="Book Antiqua"/>
        </w:rPr>
        <w:t>Arixtra</w:t>
      </w:r>
      <w:proofErr w:type="spellEnd"/>
      <w:r w:rsidRPr="00E32AFA">
        <w:rPr>
          <w:rFonts w:ascii="Book Antiqua" w:hAnsi="Book Antiqua"/>
        </w:rPr>
        <w:t>)</w:t>
      </w:r>
      <w:r w:rsidRPr="009F42E6">
        <w:rPr>
          <w:rFonts w:ascii="Book Antiqua" w:hAnsi="Book Antiqua"/>
        </w:rPr>
        <w:t xml:space="preserve"> </w:t>
      </w:r>
      <w:r w:rsidR="00B37A24" w:rsidRPr="009F42E6">
        <w:rPr>
          <w:rFonts w:ascii="Book Antiqua" w:hAnsi="Book Antiqua"/>
        </w:rPr>
        <w:t xml:space="preserve">is a specific inhibitor of factor </w:t>
      </w:r>
      <w:proofErr w:type="spellStart"/>
      <w:r w:rsidR="00B37A24" w:rsidRPr="009F42E6">
        <w:rPr>
          <w:rFonts w:ascii="Book Antiqua" w:hAnsi="Book Antiqua"/>
        </w:rPr>
        <w:t>Xa</w:t>
      </w:r>
      <w:proofErr w:type="spellEnd"/>
      <w:r w:rsidR="00B37A24" w:rsidRPr="009F42E6">
        <w:rPr>
          <w:rFonts w:ascii="Book Antiqua" w:hAnsi="Book Antiqua"/>
        </w:rPr>
        <w:t xml:space="preserve"> without any effect on throm</w:t>
      </w:r>
      <w:r w:rsidR="000F0C04" w:rsidRPr="009F42E6">
        <w:rPr>
          <w:rFonts w:ascii="Book Antiqua" w:hAnsi="Book Antiqua"/>
        </w:rPr>
        <w:t xml:space="preserve">bin or other clotting factors but it needs </w:t>
      </w:r>
      <w:proofErr w:type="spellStart"/>
      <w:r w:rsidR="000F0C04" w:rsidRPr="009F42E6">
        <w:rPr>
          <w:rFonts w:ascii="Book Antiqua" w:hAnsi="Book Antiqua"/>
        </w:rPr>
        <w:t>antithrombin</w:t>
      </w:r>
      <w:proofErr w:type="spellEnd"/>
      <w:r w:rsidR="000F0C04" w:rsidRPr="009F42E6">
        <w:rPr>
          <w:rFonts w:ascii="Book Antiqua" w:hAnsi="Book Antiqua"/>
        </w:rPr>
        <w:t xml:space="preserve"> III as a cofactor for inhibition of factor </w:t>
      </w:r>
      <w:proofErr w:type="spellStart"/>
      <w:r w:rsidR="000F0C04" w:rsidRPr="009F42E6">
        <w:rPr>
          <w:rFonts w:ascii="Book Antiqua" w:hAnsi="Book Antiqua"/>
        </w:rPr>
        <w:t>Xa</w:t>
      </w:r>
      <w:proofErr w:type="spellEnd"/>
      <w:r w:rsidR="000F0C04" w:rsidRPr="009F42E6">
        <w:rPr>
          <w:rFonts w:ascii="Book Antiqua" w:hAnsi="Book Antiqua"/>
        </w:rPr>
        <w:t xml:space="preserve">. </w:t>
      </w:r>
      <w:r w:rsidR="00B37A24" w:rsidRPr="009F42E6">
        <w:rPr>
          <w:rFonts w:ascii="Book Antiqua" w:hAnsi="Book Antiqua"/>
        </w:rPr>
        <w:t xml:space="preserve">A fixed dose is given subcutaneously and does not require monitoring of </w:t>
      </w:r>
      <w:r w:rsidR="00C7158C" w:rsidRPr="009F42E6">
        <w:rPr>
          <w:rFonts w:ascii="Book Antiqua" w:hAnsi="Book Antiqua"/>
        </w:rPr>
        <w:t>PTT. It is used for the treatment of deep venous thrombosis (DVT) with or without pulmonary embolism, and fo</w:t>
      </w:r>
      <w:r w:rsidR="009B2588" w:rsidRPr="009F42E6">
        <w:rPr>
          <w:rFonts w:ascii="Book Antiqua" w:hAnsi="Book Antiqua"/>
        </w:rPr>
        <w:t>r the prevention of DVT in high-</w:t>
      </w:r>
      <w:r w:rsidR="00C7158C" w:rsidRPr="009F42E6">
        <w:rPr>
          <w:rFonts w:ascii="Book Antiqua" w:hAnsi="Book Antiqua"/>
        </w:rPr>
        <w:t xml:space="preserve">risk individuals who are immobilized or who have undergone abdominal or orthopedic surgery. </w:t>
      </w:r>
      <w:r w:rsidR="00D8006E" w:rsidRPr="009F42E6">
        <w:rPr>
          <w:rFonts w:ascii="Book Antiqua" w:hAnsi="Book Antiqua"/>
        </w:rPr>
        <w:t>As it h</w:t>
      </w:r>
      <w:r w:rsidR="00285BCD" w:rsidRPr="009F42E6">
        <w:rPr>
          <w:rFonts w:ascii="Book Antiqua" w:hAnsi="Book Antiqua"/>
        </w:rPr>
        <w:t>as no affinity for PF-4 antigen</w:t>
      </w:r>
      <w:r w:rsidR="00D8006E" w:rsidRPr="009F42E6">
        <w:rPr>
          <w:rFonts w:ascii="Book Antiqua" w:hAnsi="Book Antiqua"/>
        </w:rPr>
        <w:t xml:space="preserve">, the chance of developing heparin-induced thrombocytopenia </w:t>
      </w:r>
      <w:r w:rsidR="000F0C04" w:rsidRPr="009F42E6">
        <w:rPr>
          <w:rFonts w:ascii="Book Antiqua" w:hAnsi="Book Antiqua"/>
        </w:rPr>
        <w:t xml:space="preserve">is very rare. </w:t>
      </w:r>
      <w:proofErr w:type="spellStart"/>
      <w:r w:rsidR="000F0C04" w:rsidRPr="009F42E6">
        <w:rPr>
          <w:rFonts w:ascii="Book Antiqua" w:hAnsi="Book Antiqua"/>
        </w:rPr>
        <w:t>Fondaparinux</w:t>
      </w:r>
      <w:proofErr w:type="spellEnd"/>
      <w:r w:rsidR="000F0C04" w:rsidRPr="009F42E6">
        <w:rPr>
          <w:rFonts w:ascii="Book Antiqua" w:hAnsi="Book Antiqua"/>
        </w:rPr>
        <w:t xml:space="preserve"> is eliminated mainly unchanged through the urine and the elimination half-life is 17 to 21</w:t>
      </w:r>
      <w:r w:rsidR="00D8006E" w:rsidRPr="009F42E6">
        <w:rPr>
          <w:rFonts w:ascii="Book Antiqua" w:hAnsi="Book Antiqua"/>
        </w:rPr>
        <w:t xml:space="preserve"> </w:t>
      </w:r>
      <w:r>
        <w:rPr>
          <w:rFonts w:ascii="Book Antiqua" w:eastAsia="宋体" w:hAnsi="Book Antiqua" w:hint="eastAsia"/>
          <w:lang w:eastAsia="zh-CN"/>
        </w:rPr>
        <w:t>h</w:t>
      </w:r>
      <w:r w:rsidR="00D8006E" w:rsidRPr="009F42E6">
        <w:rPr>
          <w:rFonts w:ascii="Book Antiqua" w:hAnsi="Book Antiqua"/>
        </w:rPr>
        <w:t xml:space="preserve">. </w:t>
      </w:r>
      <w:r w:rsidR="000F0C04" w:rsidRPr="009F42E6">
        <w:rPr>
          <w:rFonts w:ascii="Book Antiqua" w:hAnsi="Book Antiqua"/>
        </w:rPr>
        <w:t>It</w:t>
      </w:r>
      <w:r w:rsidR="00433814" w:rsidRPr="009F42E6">
        <w:rPr>
          <w:rFonts w:ascii="Book Antiqua" w:hAnsi="Book Antiqua"/>
        </w:rPr>
        <w:t xml:space="preserve"> should be discontinued</w:t>
      </w:r>
      <w:r w:rsidR="000F0C04" w:rsidRPr="009F42E6">
        <w:rPr>
          <w:rFonts w:ascii="Book Antiqua" w:hAnsi="Book Antiqua"/>
        </w:rPr>
        <w:t xml:space="preserve"> 36 </w:t>
      </w:r>
      <w:r w:rsidR="00433814" w:rsidRPr="009F42E6">
        <w:rPr>
          <w:rFonts w:ascii="Book Antiqua" w:hAnsi="Book Antiqua"/>
        </w:rPr>
        <w:t xml:space="preserve">to 48 </w:t>
      </w:r>
      <w:r>
        <w:rPr>
          <w:rFonts w:ascii="Book Antiqua" w:eastAsia="宋体" w:hAnsi="Book Antiqua" w:hint="eastAsia"/>
          <w:lang w:eastAsia="zh-CN"/>
        </w:rPr>
        <w:t>h</w:t>
      </w:r>
      <w:r w:rsidR="000F0C04" w:rsidRPr="009F42E6">
        <w:rPr>
          <w:rFonts w:ascii="Book Antiqua" w:hAnsi="Book Antiqua"/>
        </w:rPr>
        <w:t xml:space="preserve"> prior to any hi</w:t>
      </w:r>
      <w:r w:rsidR="002E1F64" w:rsidRPr="009F42E6">
        <w:rPr>
          <w:rFonts w:ascii="Book Antiqua" w:hAnsi="Book Antiqua"/>
        </w:rPr>
        <w:t>gh-</w:t>
      </w:r>
      <w:r w:rsidR="000F0C04" w:rsidRPr="009F42E6">
        <w:rPr>
          <w:rFonts w:ascii="Book Antiqua" w:hAnsi="Book Antiqua"/>
        </w:rPr>
        <w:t>risk e</w:t>
      </w:r>
      <w:r w:rsidR="00D8006E" w:rsidRPr="009F42E6">
        <w:rPr>
          <w:rFonts w:ascii="Book Antiqua" w:hAnsi="Book Antiqua"/>
        </w:rPr>
        <w:t>ndoscopic procedure</w:t>
      </w:r>
      <w:r w:rsidR="002E1F64" w:rsidRPr="009F42E6">
        <w:rPr>
          <w:rFonts w:ascii="Book Antiqua" w:hAnsi="Book Antiqua"/>
        </w:rPr>
        <w:t>.</w:t>
      </w:r>
      <w:r w:rsidR="008B69D4" w:rsidRPr="009F42E6">
        <w:rPr>
          <w:rFonts w:ascii="Book Antiqua" w:hAnsi="Book Antiqua"/>
        </w:rPr>
        <w:t xml:space="preserve"> </w:t>
      </w:r>
      <w:proofErr w:type="spellStart"/>
      <w:r w:rsidR="008B69D4" w:rsidRPr="009F42E6">
        <w:rPr>
          <w:rFonts w:ascii="Book Antiqua" w:hAnsi="Book Antiqua"/>
        </w:rPr>
        <w:t>Fondaparin</w:t>
      </w:r>
      <w:r w:rsidR="000C6848" w:rsidRPr="009F42E6">
        <w:rPr>
          <w:rFonts w:ascii="Book Antiqua" w:hAnsi="Book Antiqua"/>
        </w:rPr>
        <w:t>ux</w:t>
      </w:r>
      <w:proofErr w:type="spellEnd"/>
      <w:r w:rsidR="000C6848" w:rsidRPr="009F42E6">
        <w:rPr>
          <w:rFonts w:ascii="Book Antiqua" w:hAnsi="Book Antiqua"/>
        </w:rPr>
        <w:t xml:space="preserve"> activity can be reversed by </w:t>
      </w:r>
      <w:r w:rsidR="008B69D4" w:rsidRPr="009F42E6">
        <w:rPr>
          <w:rFonts w:ascii="Book Antiqua" w:hAnsi="Book Antiqua"/>
        </w:rPr>
        <w:t xml:space="preserve">protamine sulfate and </w:t>
      </w:r>
      <w:proofErr w:type="spellStart"/>
      <w:r w:rsidR="008B69D4" w:rsidRPr="009F42E6">
        <w:rPr>
          <w:rFonts w:ascii="Book Antiqua" w:hAnsi="Book Antiqua"/>
        </w:rPr>
        <w:t>rVIIa</w:t>
      </w:r>
      <w:proofErr w:type="spellEnd"/>
      <w:r w:rsidR="008B69D4" w:rsidRPr="009F42E6">
        <w:rPr>
          <w:rFonts w:ascii="Book Antiqua" w:hAnsi="Book Antiqua"/>
        </w:rPr>
        <w:t>.</w:t>
      </w:r>
    </w:p>
    <w:p w14:paraId="0F356754" w14:textId="77777777" w:rsidR="00E32AFA" w:rsidRPr="00E32AFA" w:rsidRDefault="00E32AFA" w:rsidP="00B83F55">
      <w:pPr>
        <w:spacing w:line="360" w:lineRule="auto"/>
        <w:jc w:val="both"/>
        <w:rPr>
          <w:rFonts w:ascii="Book Antiqua" w:eastAsia="宋体" w:hAnsi="Book Antiqua"/>
          <w:lang w:eastAsia="zh-CN"/>
        </w:rPr>
      </w:pPr>
    </w:p>
    <w:p w14:paraId="1A59633F" w14:textId="6D311667" w:rsidR="00630C3E" w:rsidRPr="00E32AFA" w:rsidRDefault="00E32AFA" w:rsidP="00B83F55">
      <w:pPr>
        <w:spacing w:line="360" w:lineRule="auto"/>
        <w:jc w:val="both"/>
        <w:rPr>
          <w:rFonts w:ascii="Book Antiqua" w:hAnsi="Book Antiqua"/>
          <w:b/>
          <w:i/>
        </w:rPr>
      </w:pPr>
      <w:r w:rsidRPr="00E32AFA">
        <w:rPr>
          <w:rFonts w:ascii="Book Antiqua" w:hAnsi="Book Antiqua"/>
          <w:b/>
          <w:i/>
        </w:rPr>
        <w:lastRenderedPageBreak/>
        <w:t>Warfarin</w:t>
      </w:r>
    </w:p>
    <w:p w14:paraId="4B277DE4" w14:textId="4BF36BCA" w:rsidR="00630C3E" w:rsidRDefault="00630C3E" w:rsidP="00B83F55">
      <w:pPr>
        <w:spacing w:line="360" w:lineRule="auto"/>
        <w:jc w:val="both"/>
        <w:rPr>
          <w:rFonts w:ascii="Book Antiqua" w:eastAsia="宋体" w:hAnsi="Book Antiqua"/>
          <w:lang w:eastAsia="zh-CN"/>
        </w:rPr>
      </w:pPr>
      <w:r w:rsidRPr="00E32AFA">
        <w:rPr>
          <w:rFonts w:ascii="Book Antiqua" w:hAnsi="Book Antiqua"/>
        </w:rPr>
        <w:t>Warfarin</w:t>
      </w:r>
      <w:r w:rsidRPr="009F42E6">
        <w:rPr>
          <w:rFonts w:ascii="Book Antiqua" w:hAnsi="Book Antiqua"/>
        </w:rPr>
        <w:t xml:space="preserve"> is the most commonly used oral anticoagulant throughout the world. It is used in various clinical conditions like deep venous thrombosis, pulmonary embolism, atrial fibrillation, following cardiac valve replacement, following hip/knee surgery, to prevent stroke and myocardial infarction.  It inhibits formation of vitamin K dependent clotting factors – II, VII, </w:t>
      </w:r>
      <w:proofErr w:type="gramStart"/>
      <w:r w:rsidRPr="009F42E6">
        <w:rPr>
          <w:rFonts w:ascii="Book Antiqua" w:hAnsi="Book Antiqua"/>
        </w:rPr>
        <w:t>IX</w:t>
      </w:r>
      <w:proofErr w:type="gramEnd"/>
      <w:r w:rsidRPr="009F42E6">
        <w:rPr>
          <w:rFonts w:ascii="Book Antiqua" w:hAnsi="Book Antiqua"/>
        </w:rPr>
        <w:t xml:space="preserve"> and X and natural anticoagulants Protein C and protein S by inhibiting C1 subunit of vitamin K epoxide </w:t>
      </w:r>
      <w:proofErr w:type="spellStart"/>
      <w:r w:rsidRPr="009F42E6">
        <w:rPr>
          <w:rFonts w:ascii="Book Antiqua" w:hAnsi="Book Antiqua"/>
        </w:rPr>
        <w:t>reductase</w:t>
      </w:r>
      <w:proofErr w:type="spellEnd"/>
      <w:r w:rsidRPr="009F42E6">
        <w:rPr>
          <w:rFonts w:ascii="Book Antiqua" w:hAnsi="Book Antiqua"/>
        </w:rPr>
        <w:t>. The major side effect is bleeding. The duration of action of warfarin is 2 to</w:t>
      </w:r>
      <w:r w:rsidR="00936516" w:rsidRPr="009F42E6">
        <w:rPr>
          <w:rFonts w:ascii="Book Antiqua" w:hAnsi="Book Antiqua"/>
        </w:rPr>
        <w:t xml:space="preserve"> 5 </w:t>
      </w:r>
      <w:r w:rsidR="00E32AFA">
        <w:rPr>
          <w:rFonts w:ascii="Book Antiqua" w:eastAsia="宋体" w:hAnsi="Book Antiqua" w:hint="eastAsia"/>
          <w:lang w:eastAsia="zh-CN"/>
        </w:rPr>
        <w:t>d</w:t>
      </w:r>
      <w:r w:rsidR="00936516" w:rsidRPr="009F42E6">
        <w:rPr>
          <w:rFonts w:ascii="Book Antiqua" w:hAnsi="Book Antiqua"/>
        </w:rPr>
        <w:t>.  Endoscopy should be he</w:t>
      </w:r>
      <w:r w:rsidRPr="009F42E6">
        <w:rPr>
          <w:rFonts w:ascii="Book Antiqua" w:hAnsi="Book Antiqua"/>
        </w:rPr>
        <w:t xml:space="preserve">ld for 5 </w:t>
      </w:r>
      <w:r w:rsidR="00E32AFA">
        <w:rPr>
          <w:rFonts w:ascii="Book Antiqua" w:eastAsia="宋体" w:hAnsi="Book Antiqua" w:hint="eastAsia"/>
          <w:lang w:eastAsia="zh-CN"/>
        </w:rPr>
        <w:t>d</w:t>
      </w:r>
      <w:r w:rsidRPr="009F42E6">
        <w:rPr>
          <w:rFonts w:ascii="Book Antiqua" w:hAnsi="Book Antiqua"/>
        </w:rPr>
        <w:t xml:space="preserve"> after stopping warfarin.</w:t>
      </w:r>
    </w:p>
    <w:p w14:paraId="439EFAB2" w14:textId="77777777" w:rsidR="00E32AFA" w:rsidRPr="00E32AFA" w:rsidRDefault="00E32AFA" w:rsidP="00B83F55">
      <w:pPr>
        <w:spacing w:line="360" w:lineRule="auto"/>
        <w:jc w:val="both"/>
        <w:rPr>
          <w:rFonts w:ascii="Book Antiqua" w:eastAsia="宋体" w:hAnsi="Book Antiqua"/>
          <w:lang w:eastAsia="zh-CN"/>
        </w:rPr>
      </w:pPr>
    </w:p>
    <w:p w14:paraId="21934F13" w14:textId="39E28F44" w:rsidR="000F0C04" w:rsidRPr="00E32AFA" w:rsidRDefault="00E32AFA" w:rsidP="00B83F55">
      <w:pPr>
        <w:spacing w:line="360" w:lineRule="auto"/>
        <w:jc w:val="both"/>
        <w:rPr>
          <w:rFonts w:ascii="Book Antiqua" w:eastAsia="宋体" w:hAnsi="Book Antiqua"/>
          <w:i/>
          <w:lang w:eastAsia="zh-CN"/>
        </w:rPr>
      </w:pPr>
      <w:r w:rsidRPr="00E32AFA">
        <w:rPr>
          <w:rFonts w:ascii="Book Antiqua" w:hAnsi="Book Antiqua"/>
          <w:b/>
          <w:i/>
        </w:rPr>
        <w:t xml:space="preserve">Oral direct factor </w:t>
      </w:r>
      <w:proofErr w:type="spellStart"/>
      <w:r w:rsidRPr="00E32AFA">
        <w:rPr>
          <w:rFonts w:ascii="Book Antiqua" w:hAnsi="Book Antiqua"/>
          <w:b/>
          <w:i/>
        </w:rPr>
        <w:t>Xa</w:t>
      </w:r>
      <w:proofErr w:type="spellEnd"/>
      <w:r w:rsidRPr="00E32AFA">
        <w:rPr>
          <w:rFonts w:ascii="Book Antiqua" w:hAnsi="Book Antiqua"/>
          <w:b/>
          <w:i/>
        </w:rPr>
        <w:t xml:space="preserve"> inhibitors</w:t>
      </w:r>
    </w:p>
    <w:p w14:paraId="6EA3124E" w14:textId="5E34D4C6" w:rsidR="00762869" w:rsidRDefault="00024AE5" w:rsidP="00B83F55">
      <w:pPr>
        <w:spacing w:line="360" w:lineRule="auto"/>
        <w:jc w:val="both"/>
        <w:rPr>
          <w:rFonts w:ascii="Book Antiqua" w:eastAsia="宋体" w:hAnsi="Book Antiqua"/>
          <w:lang w:eastAsia="zh-CN"/>
        </w:rPr>
      </w:pPr>
      <w:r w:rsidRPr="00E32AFA">
        <w:rPr>
          <w:rFonts w:ascii="Book Antiqua" w:hAnsi="Book Antiqua"/>
        </w:rPr>
        <w:t xml:space="preserve">Oral direct factor </w:t>
      </w:r>
      <w:proofErr w:type="spellStart"/>
      <w:r w:rsidRPr="00E32AFA">
        <w:rPr>
          <w:rFonts w:ascii="Book Antiqua" w:hAnsi="Book Antiqua"/>
        </w:rPr>
        <w:t>Xa</w:t>
      </w:r>
      <w:proofErr w:type="spellEnd"/>
      <w:r w:rsidRPr="00E32AFA">
        <w:rPr>
          <w:rFonts w:ascii="Book Antiqua" w:hAnsi="Book Antiqua"/>
        </w:rPr>
        <w:t xml:space="preserve"> inhibitors</w:t>
      </w:r>
      <w:r w:rsidR="00AA1CBA" w:rsidRPr="00E32AFA">
        <w:rPr>
          <w:rFonts w:ascii="Book Antiqua" w:hAnsi="Book Antiqua"/>
        </w:rPr>
        <w:t xml:space="preserve"> </w:t>
      </w:r>
      <w:r w:rsidR="00AA1CBA" w:rsidRPr="009F42E6">
        <w:rPr>
          <w:rFonts w:ascii="Book Antiqua" w:hAnsi="Book Antiqua"/>
        </w:rPr>
        <w:t xml:space="preserve">are </w:t>
      </w:r>
      <w:proofErr w:type="spellStart"/>
      <w:r w:rsidR="00AA1CBA" w:rsidRPr="009F42E6">
        <w:rPr>
          <w:rFonts w:ascii="Book Antiqua" w:hAnsi="Book Antiqua"/>
        </w:rPr>
        <w:t>rivaroxaban</w:t>
      </w:r>
      <w:proofErr w:type="spellEnd"/>
      <w:r w:rsidR="00AA1CBA" w:rsidRPr="009F42E6">
        <w:rPr>
          <w:rFonts w:ascii="Book Antiqua" w:hAnsi="Book Antiqua"/>
        </w:rPr>
        <w:t xml:space="preserve"> (</w:t>
      </w:r>
      <w:proofErr w:type="spellStart"/>
      <w:r w:rsidR="00AA1CBA" w:rsidRPr="009F42E6">
        <w:rPr>
          <w:rFonts w:ascii="Book Antiqua" w:hAnsi="Book Antiqua"/>
        </w:rPr>
        <w:t>Xarelto</w:t>
      </w:r>
      <w:proofErr w:type="spellEnd"/>
      <w:r w:rsidR="00AA1CBA" w:rsidRPr="009F42E6">
        <w:rPr>
          <w:rFonts w:ascii="Book Antiqua" w:hAnsi="Book Antiqua"/>
        </w:rPr>
        <w:t xml:space="preserve">), </w:t>
      </w:r>
      <w:proofErr w:type="spellStart"/>
      <w:r w:rsidR="00AA1CBA" w:rsidRPr="009F42E6">
        <w:rPr>
          <w:rFonts w:ascii="Book Antiqua" w:hAnsi="Book Antiqua"/>
        </w:rPr>
        <w:t>apixaban</w:t>
      </w:r>
      <w:proofErr w:type="spellEnd"/>
      <w:r w:rsidR="00AA1CBA" w:rsidRPr="009F42E6">
        <w:rPr>
          <w:rFonts w:ascii="Book Antiqua" w:hAnsi="Book Antiqua"/>
        </w:rPr>
        <w:t xml:space="preserve"> (</w:t>
      </w:r>
      <w:proofErr w:type="spellStart"/>
      <w:r w:rsidR="00AA1CBA" w:rsidRPr="009F42E6">
        <w:rPr>
          <w:rFonts w:ascii="Book Antiqua" w:hAnsi="Book Antiqua"/>
        </w:rPr>
        <w:t>Eliquis</w:t>
      </w:r>
      <w:proofErr w:type="spellEnd"/>
      <w:r w:rsidR="00AA1CBA" w:rsidRPr="009F42E6">
        <w:rPr>
          <w:rFonts w:ascii="Book Antiqua" w:hAnsi="Book Antiqua"/>
        </w:rPr>
        <w:t xml:space="preserve">) and </w:t>
      </w:r>
      <w:proofErr w:type="spellStart"/>
      <w:r w:rsidR="00AA1CBA" w:rsidRPr="009F42E6">
        <w:rPr>
          <w:rFonts w:ascii="Book Antiqua" w:hAnsi="Book Antiqua"/>
        </w:rPr>
        <w:t>edoxaban</w:t>
      </w:r>
      <w:proofErr w:type="spellEnd"/>
      <w:r w:rsidR="00AA1CBA" w:rsidRPr="009F42E6">
        <w:rPr>
          <w:rFonts w:ascii="Book Antiqua" w:hAnsi="Book Antiqua"/>
        </w:rPr>
        <w:t xml:space="preserve"> (</w:t>
      </w:r>
      <w:proofErr w:type="spellStart"/>
      <w:r w:rsidR="00AA1CBA" w:rsidRPr="009F42E6">
        <w:rPr>
          <w:rFonts w:ascii="Book Antiqua" w:hAnsi="Book Antiqua"/>
        </w:rPr>
        <w:t>Savaysa</w:t>
      </w:r>
      <w:proofErr w:type="spellEnd"/>
      <w:r w:rsidR="00AA1CBA" w:rsidRPr="009F42E6">
        <w:rPr>
          <w:rFonts w:ascii="Book Antiqua" w:hAnsi="Book Antiqua"/>
        </w:rPr>
        <w:t xml:space="preserve">). </w:t>
      </w:r>
      <w:proofErr w:type="gramStart"/>
      <w:r w:rsidR="00AA1CBA" w:rsidRPr="009F42E6">
        <w:rPr>
          <w:rFonts w:ascii="Book Antiqua" w:hAnsi="Book Antiqua"/>
        </w:rPr>
        <w:t>Factor X is activated by both extrinsic and intrinsic pathways</w:t>
      </w:r>
      <w:proofErr w:type="gramEnd"/>
      <w:r w:rsidR="00AA1CBA" w:rsidRPr="009F42E6">
        <w:rPr>
          <w:rFonts w:ascii="Book Antiqua" w:hAnsi="Book Antiqua"/>
        </w:rPr>
        <w:t xml:space="preserve">. </w:t>
      </w:r>
      <w:r w:rsidR="009E3C9A" w:rsidRPr="009F42E6">
        <w:rPr>
          <w:rFonts w:ascii="Book Antiqua" w:hAnsi="Book Antiqua"/>
        </w:rPr>
        <w:t xml:space="preserve"> Unlike heparin and </w:t>
      </w:r>
      <w:proofErr w:type="gramStart"/>
      <w:r w:rsidR="009E3C9A" w:rsidRPr="009F42E6">
        <w:rPr>
          <w:rFonts w:ascii="Book Antiqua" w:hAnsi="Book Antiqua"/>
        </w:rPr>
        <w:t>warfarin which</w:t>
      </w:r>
      <w:proofErr w:type="gramEnd"/>
      <w:r w:rsidR="009E3C9A" w:rsidRPr="009F42E6">
        <w:rPr>
          <w:rFonts w:ascii="Book Antiqua" w:hAnsi="Book Antiqua"/>
        </w:rPr>
        <w:t xml:space="preserve"> inhibit multiple coagulation factors, they are specific for factor </w:t>
      </w:r>
      <w:proofErr w:type="spellStart"/>
      <w:r w:rsidR="009E3C9A" w:rsidRPr="009F42E6">
        <w:rPr>
          <w:rFonts w:ascii="Book Antiqua" w:hAnsi="Book Antiqua"/>
        </w:rPr>
        <w:t>Xa</w:t>
      </w:r>
      <w:proofErr w:type="spellEnd"/>
      <w:r w:rsidR="009E3C9A" w:rsidRPr="009F42E6">
        <w:rPr>
          <w:rFonts w:ascii="Book Antiqua" w:hAnsi="Book Antiqua"/>
        </w:rPr>
        <w:t xml:space="preserve">.  They have rapid onset of action </w:t>
      </w:r>
      <w:r w:rsidR="00E32AFA">
        <w:rPr>
          <w:rFonts w:ascii="Book Antiqua" w:hAnsi="Book Antiqua"/>
        </w:rPr>
        <w:t>(</w:t>
      </w:r>
      <w:r w:rsidR="00557365" w:rsidRPr="009F42E6">
        <w:rPr>
          <w:rFonts w:ascii="Book Antiqua" w:hAnsi="Book Antiqua"/>
        </w:rPr>
        <w:t>time to maximal effect: Rivaroxaban</w:t>
      </w:r>
      <w:r w:rsidR="00DA5810">
        <w:rPr>
          <w:rFonts w:ascii="Book Antiqua" w:eastAsia="宋体" w:hAnsi="Book Antiqua" w:hint="eastAsia"/>
          <w:lang w:eastAsia="zh-CN"/>
        </w:rPr>
        <w:t>-</w:t>
      </w:r>
      <w:r w:rsidR="00557365" w:rsidRPr="009F42E6">
        <w:rPr>
          <w:rFonts w:ascii="Book Antiqua" w:hAnsi="Book Antiqua"/>
        </w:rPr>
        <w:t>2 to 4</w:t>
      </w:r>
      <w:r w:rsidR="00F243A0" w:rsidRPr="009F42E6">
        <w:rPr>
          <w:rFonts w:ascii="Book Antiqua" w:hAnsi="Book Antiqua"/>
        </w:rPr>
        <w:t xml:space="preserve"> </w:t>
      </w:r>
      <w:r w:rsidR="00E32AFA">
        <w:rPr>
          <w:rFonts w:ascii="Book Antiqua" w:eastAsia="宋体" w:hAnsi="Book Antiqua" w:hint="eastAsia"/>
          <w:lang w:eastAsia="zh-CN"/>
        </w:rPr>
        <w:t>h</w:t>
      </w:r>
      <w:r w:rsidR="00557365" w:rsidRPr="009F42E6">
        <w:rPr>
          <w:rFonts w:ascii="Book Antiqua" w:hAnsi="Book Antiqua"/>
        </w:rPr>
        <w:t>, Apixaban</w:t>
      </w:r>
      <w:r w:rsidR="00DA5810">
        <w:rPr>
          <w:rFonts w:ascii="Book Antiqua" w:eastAsia="宋体" w:hAnsi="Book Antiqua" w:hint="eastAsia"/>
          <w:lang w:eastAsia="zh-CN"/>
        </w:rPr>
        <w:t>-</w:t>
      </w:r>
      <w:r w:rsidR="00557365" w:rsidRPr="009F42E6">
        <w:rPr>
          <w:rFonts w:ascii="Book Antiqua" w:hAnsi="Book Antiqua"/>
        </w:rPr>
        <w:t xml:space="preserve">1 to 3 </w:t>
      </w:r>
      <w:r w:rsidR="00E32AFA">
        <w:rPr>
          <w:rFonts w:ascii="Book Antiqua" w:eastAsia="宋体" w:hAnsi="Book Antiqua" w:hint="eastAsia"/>
          <w:lang w:eastAsia="zh-CN"/>
        </w:rPr>
        <w:t>h</w:t>
      </w:r>
      <w:r w:rsidR="00557365" w:rsidRPr="009F42E6">
        <w:rPr>
          <w:rFonts w:ascii="Book Antiqua" w:hAnsi="Book Antiqua"/>
        </w:rPr>
        <w:t xml:space="preserve">) </w:t>
      </w:r>
      <w:r w:rsidR="009E3C9A" w:rsidRPr="009F42E6">
        <w:rPr>
          <w:rFonts w:ascii="Book Antiqua" w:hAnsi="Book Antiqua"/>
        </w:rPr>
        <w:t>with good oral bioavailability and they do not need any bri</w:t>
      </w:r>
      <w:r w:rsidR="0017042F" w:rsidRPr="009F42E6">
        <w:rPr>
          <w:rFonts w:ascii="Book Antiqua" w:hAnsi="Book Antiqua"/>
        </w:rPr>
        <w:t xml:space="preserve">dging therapy. </w:t>
      </w:r>
      <w:proofErr w:type="gramStart"/>
      <w:r w:rsidR="00F243A0" w:rsidRPr="009F42E6">
        <w:rPr>
          <w:rFonts w:ascii="Book Antiqua" w:hAnsi="Book Antiqua"/>
        </w:rPr>
        <w:t xml:space="preserve">Their </w:t>
      </w:r>
      <w:r w:rsidR="00557365" w:rsidRPr="009F42E6">
        <w:rPr>
          <w:rFonts w:ascii="Book Antiqua" w:hAnsi="Book Antiqua"/>
        </w:rPr>
        <w:t xml:space="preserve">plasma half-lives range from 8 to 15 </w:t>
      </w:r>
      <w:r w:rsidR="00E32AFA">
        <w:rPr>
          <w:rFonts w:ascii="Book Antiqua" w:eastAsia="宋体" w:hAnsi="Book Antiqua" w:hint="eastAsia"/>
          <w:lang w:eastAsia="zh-CN"/>
        </w:rPr>
        <w:t>h</w:t>
      </w:r>
      <w:r w:rsidR="00557365" w:rsidRPr="009F42E6">
        <w:rPr>
          <w:rFonts w:ascii="Book Antiqua" w:hAnsi="Book Antiqua"/>
        </w:rPr>
        <w:t>.</w:t>
      </w:r>
      <w:proofErr w:type="gramEnd"/>
      <w:r w:rsidR="00557365" w:rsidRPr="009F42E6">
        <w:rPr>
          <w:rFonts w:ascii="Book Antiqua" w:hAnsi="Book Antiqua"/>
        </w:rPr>
        <w:t xml:space="preserve"> </w:t>
      </w:r>
      <w:r w:rsidR="0017042F" w:rsidRPr="009F42E6">
        <w:rPr>
          <w:rFonts w:ascii="Book Antiqua" w:hAnsi="Book Antiqua"/>
        </w:rPr>
        <w:t xml:space="preserve">They have both renal and fecal excretion. As a result they have less accumulation in the body in renal failure. </w:t>
      </w:r>
      <w:proofErr w:type="spellStart"/>
      <w:r w:rsidR="0017042F" w:rsidRPr="009F42E6">
        <w:rPr>
          <w:rFonts w:ascii="Book Antiqua" w:hAnsi="Book Antiqua"/>
        </w:rPr>
        <w:t>Edoxaban</w:t>
      </w:r>
      <w:proofErr w:type="spellEnd"/>
      <w:r w:rsidR="0017042F" w:rsidRPr="009F42E6">
        <w:rPr>
          <w:rFonts w:ascii="Book Antiqua" w:hAnsi="Book Antiqua"/>
        </w:rPr>
        <w:t xml:space="preserve"> should be stopped at least 24 </w:t>
      </w:r>
      <w:r w:rsidR="00E32AFA">
        <w:rPr>
          <w:rFonts w:ascii="Book Antiqua" w:eastAsia="宋体" w:hAnsi="Book Antiqua" w:hint="eastAsia"/>
          <w:lang w:eastAsia="zh-CN"/>
        </w:rPr>
        <w:t>h</w:t>
      </w:r>
      <w:r w:rsidR="0017042F" w:rsidRPr="009F42E6">
        <w:rPr>
          <w:rFonts w:ascii="Book Antiqua" w:hAnsi="Book Antiqua"/>
        </w:rPr>
        <w:t xml:space="preserve"> before any high-risk endoscopic procedure. </w:t>
      </w:r>
      <w:proofErr w:type="spellStart"/>
      <w:r w:rsidR="0017042F" w:rsidRPr="009F42E6">
        <w:rPr>
          <w:rFonts w:ascii="Book Antiqua" w:hAnsi="Book Antiqua"/>
        </w:rPr>
        <w:t>Rivaroxaban</w:t>
      </w:r>
      <w:proofErr w:type="spellEnd"/>
      <w:r w:rsidR="0017042F" w:rsidRPr="009F42E6">
        <w:rPr>
          <w:rFonts w:ascii="Book Antiqua" w:hAnsi="Book Antiqua"/>
        </w:rPr>
        <w:t xml:space="preserve"> and </w:t>
      </w:r>
      <w:proofErr w:type="spellStart"/>
      <w:r w:rsidR="0017042F" w:rsidRPr="009F42E6">
        <w:rPr>
          <w:rFonts w:ascii="Book Antiqua" w:hAnsi="Book Antiqua"/>
        </w:rPr>
        <w:t>apixaban</w:t>
      </w:r>
      <w:proofErr w:type="spellEnd"/>
      <w:r w:rsidR="0017042F" w:rsidRPr="009F42E6">
        <w:rPr>
          <w:rFonts w:ascii="Book Antiqua" w:hAnsi="Book Antiqua"/>
        </w:rPr>
        <w:t xml:space="preserve"> should be stopped 1 to 4 </w:t>
      </w:r>
      <w:r w:rsidR="00E32AFA">
        <w:rPr>
          <w:rFonts w:ascii="Book Antiqua" w:eastAsia="宋体" w:hAnsi="Book Antiqua" w:hint="eastAsia"/>
          <w:lang w:eastAsia="zh-CN"/>
        </w:rPr>
        <w:t>d,</w:t>
      </w:r>
      <w:r w:rsidR="0017042F" w:rsidRPr="009F42E6">
        <w:rPr>
          <w:rFonts w:ascii="Book Antiqua" w:hAnsi="Book Antiqua"/>
        </w:rPr>
        <w:t xml:space="preserve"> </w:t>
      </w:r>
      <w:r w:rsidR="00101B5D" w:rsidRPr="00E32AFA">
        <w:rPr>
          <w:rFonts w:ascii="Book Antiqua" w:hAnsi="Book Antiqua"/>
          <w:i/>
        </w:rPr>
        <w:t>i.e.</w:t>
      </w:r>
      <w:r w:rsidR="00E32AFA" w:rsidRPr="00E32AFA">
        <w:rPr>
          <w:rFonts w:ascii="Book Antiqua" w:eastAsia="宋体" w:hAnsi="Book Antiqua" w:hint="eastAsia"/>
          <w:i/>
          <w:lang w:eastAsia="zh-CN"/>
        </w:rPr>
        <w:t>,</w:t>
      </w:r>
      <w:r w:rsidR="00101B5D" w:rsidRPr="009F42E6">
        <w:rPr>
          <w:rFonts w:ascii="Book Antiqua" w:hAnsi="Book Antiqua"/>
        </w:rPr>
        <w:t xml:space="preserve"> at least 2</w:t>
      </w:r>
      <w:r w:rsidR="00557365" w:rsidRPr="009F42E6">
        <w:rPr>
          <w:rFonts w:ascii="Book Antiqua" w:hAnsi="Book Antiqua"/>
        </w:rPr>
        <w:t xml:space="preserve"> half-lives </w:t>
      </w:r>
      <w:r w:rsidR="0017042F" w:rsidRPr="009F42E6">
        <w:rPr>
          <w:rFonts w:ascii="Book Antiqua" w:hAnsi="Book Antiqua"/>
        </w:rPr>
        <w:t xml:space="preserve">before high-risk endoscopic procedures depending on the </w:t>
      </w:r>
      <w:proofErr w:type="spellStart"/>
      <w:r w:rsidR="0017042F" w:rsidRPr="009F42E6">
        <w:rPr>
          <w:rFonts w:ascii="Book Antiqua" w:hAnsi="Book Antiqua"/>
        </w:rPr>
        <w:t>creatinine</w:t>
      </w:r>
      <w:proofErr w:type="spellEnd"/>
      <w:r w:rsidR="0017042F" w:rsidRPr="009F42E6">
        <w:rPr>
          <w:rFonts w:ascii="Book Antiqua" w:hAnsi="Book Antiqua"/>
        </w:rPr>
        <w:t xml:space="preserve"> clearance.</w:t>
      </w:r>
      <w:r w:rsidR="00AF3689" w:rsidRPr="009F42E6">
        <w:rPr>
          <w:rFonts w:ascii="Book Antiqua" w:hAnsi="Book Antiqua"/>
        </w:rPr>
        <w:t xml:space="preserve"> These medications are approved for prevention of stroke in patients with non-</w:t>
      </w:r>
      <w:proofErr w:type="spellStart"/>
      <w:r w:rsidR="00AF3689" w:rsidRPr="009F42E6">
        <w:rPr>
          <w:rFonts w:ascii="Book Antiqua" w:hAnsi="Book Antiqua"/>
        </w:rPr>
        <w:t>valvular</w:t>
      </w:r>
      <w:proofErr w:type="spellEnd"/>
      <w:r w:rsidR="00AF3689" w:rsidRPr="009F42E6">
        <w:rPr>
          <w:rFonts w:ascii="Book Antiqua" w:hAnsi="Book Antiqua"/>
        </w:rPr>
        <w:t xml:space="preserve"> atrial fibrillation</w:t>
      </w:r>
      <w:r w:rsidR="00756EDF" w:rsidRPr="009F42E6">
        <w:rPr>
          <w:rFonts w:ascii="Book Antiqua" w:hAnsi="Book Antiqua"/>
        </w:rPr>
        <w:t xml:space="preserve"> (NVAF)</w:t>
      </w:r>
      <w:r w:rsidR="00AF3689" w:rsidRPr="009F42E6">
        <w:rPr>
          <w:rFonts w:ascii="Book Antiqua" w:hAnsi="Book Antiqua"/>
        </w:rPr>
        <w:t>, deep venous thrombosis and pulmonary embolism.</w:t>
      </w:r>
      <w:r w:rsidR="00F30A18" w:rsidRPr="009F42E6">
        <w:rPr>
          <w:rFonts w:ascii="Book Antiqua" w:hAnsi="Book Antiqua"/>
        </w:rPr>
        <w:t xml:space="preserve"> In ENGAGE AF-TIMI 48 </w:t>
      </w:r>
      <w:proofErr w:type="gramStart"/>
      <w:r w:rsidR="00F30A18" w:rsidRPr="009F42E6">
        <w:rPr>
          <w:rFonts w:ascii="Book Antiqua" w:hAnsi="Book Antiqua"/>
        </w:rPr>
        <w:t>Trial</w:t>
      </w:r>
      <w:r w:rsidR="00E32AFA" w:rsidRPr="00E32AFA">
        <w:rPr>
          <w:rFonts w:ascii="Book Antiqua" w:eastAsia="宋体" w:hAnsi="Book Antiqua" w:hint="eastAsia"/>
          <w:vertAlign w:val="superscript"/>
          <w:lang w:eastAsia="zh-CN"/>
        </w:rPr>
        <w:t>[</w:t>
      </w:r>
      <w:proofErr w:type="gramEnd"/>
      <w:r w:rsidR="005D3BC5" w:rsidRPr="00E32AFA">
        <w:rPr>
          <w:rFonts w:ascii="Book Antiqua" w:hAnsi="Book Antiqua"/>
          <w:vertAlign w:val="superscript"/>
        </w:rPr>
        <w:t>10</w:t>
      </w:r>
      <w:r w:rsidR="00E32AFA" w:rsidRPr="00E32AFA">
        <w:rPr>
          <w:rFonts w:ascii="Book Antiqua" w:eastAsia="宋体" w:hAnsi="Book Antiqua" w:hint="eastAsia"/>
          <w:vertAlign w:val="superscript"/>
          <w:lang w:eastAsia="zh-CN"/>
        </w:rPr>
        <w:t>]</w:t>
      </w:r>
      <w:r w:rsidR="00F30A18" w:rsidRPr="009F42E6">
        <w:rPr>
          <w:rFonts w:ascii="Book Antiqua" w:hAnsi="Book Antiqua"/>
        </w:rPr>
        <w:t>, both high dose (60 mg/</w:t>
      </w:r>
      <w:r w:rsidR="00E32AFA">
        <w:rPr>
          <w:rFonts w:ascii="Book Antiqua" w:eastAsia="宋体" w:hAnsi="Book Antiqua" w:hint="eastAsia"/>
          <w:lang w:eastAsia="zh-CN"/>
        </w:rPr>
        <w:t>d</w:t>
      </w:r>
      <w:r w:rsidR="00F30A18" w:rsidRPr="009F42E6">
        <w:rPr>
          <w:rFonts w:ascii="Book Antiqua" w:hAnsi="Book Antiqua"/>
        </w:rPr>
        <w:t>) and low dose (30 mg/</w:t>
      </w:r>
      <w:r w:rsidR="00E32AFA">
        <w:rPr>
          <w:rFonts w:ascii="Book Antiqua" w:eastAsia="宋体" w:hAnsi="Book Antiqua" w:hint="eastAsia"/>
          <w:lang w:eastAsia="zh-CN"/>
        </w:rPr>
        <w:t>d</w:t>
      </w:r>
      <w:r w:rsidR="00F30A18" w:rsidRPr="009F42E6">
        <w:rPr>
          <w:rFonts w:ascii="Book Antiqua" w:hAnsi="Book Antiqua"/>
        </w:rPr>
        <w:t xml:space="preserve">) </w:t>
      </w:r>
      <w:proofErr w:type="spellStart"/>
      <w:r w:rsidR="00F30A18" w:rsidRPr="009F42E6">
        <w:rPr>
          <w:rFonts w:ascii="Book Antiqua" w:hAnsi="Book Antiqua"/>
        </w:rPr>
        <w:t>Edoxaban</w:t>
      </w:r>
      <w:proofErr w:type="spellEnd"/>
      <w:r w:rsidR="00F30A18" w:rsidRPr="009F42E6">
        <w:rPr>
          <w:rFonts w:ascii="Book Antiqua" w:hAnsi="Book Antiqua"/>
        </w:rPr>
        <w:t xml:space="preserve"> were found to be non-inferior to warfarin for the prevention of recurrent sy</w:t>
      </w:r>
      <w:r w:rsidR="005D3BC5" w:rsidRPr="009F42E6">
        <w:rPr>
          <w:rFonts w:ascii="Book Antiqua" w:hAnsi="Book Antiqua"/>
        </w:rPr>
        <w:t xml:space="preserve">mptomatic thromboembolism. The annual rate </w:t>
      </w:r>
      <w:r w:rsidR="000B7B2B" w:rsidRPr="009F42E6">
        <w:rPr>
          <w:rFonts w:ascii="Book Antiqua" w:hAnsi="Book Antiqua"/>
        </w:rPr>
        <w:t xml:space="preserve">of </w:t>
      </w:r>
      <w:r w:rsidR="005D3BC5" w:rsidRPr="009F42E6">
        <w:rPr>
          <w:rFonts w:ascii="Book Antiqua" w:hAnsi="Book Antiqua"/>
        </w:rPr>
        <w:t xml:space="preserve">major </w:t>
      </w:r>
      <w:r w:rsidR="000B7B2B" w:rsidRPr="009F42E6">
        <w:rPr>
          <w:rFonts w:ascii="Book Antiqua" w:hAnsi="Book Antiqua"/>
        </w:rPr>
        <w:t xml:space="preserve">gastrointestinal bleeding </w:t>
      </w:r>
      <w:r w:rsidR="005D3BC5" w:rsidRPr="009F42E6">
        <w:rPr>
          <w:rFonts w:ascii="Book Antiqua" w:hAnsi="Book Antiqua"/>
        </w:rPr>
        <w:t xml:space="preserve">was higher with high dose </w:t>
      </w:r>
      <w:proofErr w:type="spellStart"/>
      <w:r w:rsidR="005D3BC5" w:rsidRPr="009F42E6">
        <w:rPr>
          <w:rFonts w:ascii="Book Antiqua" w:hAnsi="Book Antiqua"/>
        </w:rPr>
        <w:t>Edoxaban</w:t>
      </w:r>
      <w:proofErr w:type="spellEnd"/>
      <w:r w:rsidR="005D3BC5" w:rsidRPr="009F42E6">
        <w:rPr>
          <w:rFonts w:ascii="Book Antiqua" w:hAnsi="Book Antiqua"/>
        </w:rPr>
        <w:t xml:space="preserve"> than with warfarin</w:t>
      </w:r>
      <w:r w:rsidR="00E32AFA">
        <w:rPr>
          <w:rFonts w:ascii="Book Antiqua" w:eastAsia="宋体" w:hAnsi="Book Antiqua" w:hint="eastAsia"/>
          <w:lang w:eastAsia="zh-CN"/>
        </w:rPr>
        <w:t xml:space="preserve"> </w:t>
      </w:r>
      <w:r w:rsidR="005D3BC5" w:rsidRPr="009F42E6">
        <w:rPr>
          <w:rFonts w:ascii="Book Antiqua" w:hAnsi="Book Antiqua"/>
        </w:rPr>
        <w:t xml:space="preserve">(1.51% </w:t>
      </w:r>
      <w:proofErr w:type="spellStart"/>
      <w:r w:rsidR="005D3BC5" w:rsidRPr="00E32AFA">
        <w:rPr>
          <w:rFonts w:ascii="Book Antiqua" w:hAnsi="Book Antiqua"/>
          <w:i/>
        </w:rPr>
        <w:t>vs</w:t>
      </w:r>
      <w:proofErr w:type="spellEnd"/>
      <w:r w:rsidR="005D3BC5" w:rsidRPr="009F42E6">
        <w:rPr>
          <w:rFonts w:ascii="Book Antiqua" w:hAnsi="Book Antiqua"/>
        </w:rPr>
        <w:t xml:space="preserve"> 1.23%) </w:t>
      </w:r>
      <w:r w:rsidR="000B7B2B" w:rsidRPr="009F42E6">
        <w:rPr>
          <w:rFonts w:ascii="Book Antiqua" w:hAnsi="Book Antiqua"/>
        </w:rPr>
        <w:t xml:space="preserve">but </w:t>
      </w:r>
      <w:r w:rsidR="005D3BC5" w:rsidRPr="009F42E6">
        <w:rPr>
          <w:rFonts w:ascii="Book Antiqua" w:hAnsi="Book Antiqua"/>
        </w:rPr>
        <w:t xml:space="preserve">lowest with </w:t>
      </w:r>
      <w:r w:rsidR="000B7B2B" w:rsidRPr="009F42E6">
        <w:rPr>
          <w:rFonts w:ascii="Book Antiqua" w:hAnsi="Book Antiqua"/>
        </w:rPr>
        <w:t xml:space="preserve">low dose </w:t>
      </w:r>
      <w:proofErr w:type="spellStart"/>
      <w:r w:rsidR="000B7B2B" w:rsidRPr="009F42E6">
        <w:rPr>
          <w:rFonts w:ascii="Book Antiqua" w:hAnsi="Book Antiqua"/>
        </w:rPr>
        <w:t>Ed</w:t>
      </w:r>
      <w:r w:rsidR="005D3BC5" w:rsidRPr="009F42E6">
        <w:rPr>
          <w:rFonts w:ascii="Book Antiqua" w:hAnsi="Book Antiqua"/>
        </w:rPr>
        <w:t>oxaban</w:t>
      </w:r>
      <w:proofErr w:type="spellEnd"/>
      <w:r w:rsidR="005D3BC5" w:rsidRPr="009F42E6">
        <w:rPr>
          <w:rFonts w:ascii="Book Antiqua" w:hAnsi="Book Antiqua"/>
        </w:rPr>
        <w:t xml:space="preserve"> (0.82%).</w:t>
      </w:r>
      <w:r w:rsidR="009418D2" w:rsidRPr="009F42E6">
        <w:rPr>
          <w:rFonts w:ascii="Book Antiqua" w:hAnsi="Book Antiqua"/>
        </w:rPr>
        <w:t xml:space="preserve"> Although gastrointestinal bleeding risk (GIB) is similar in patients using </w:t>
      </w:r>
      <w:r w:rsidR="009418D2" w:rsidRPr="009F42E6">
        <w:rPr>
          <w:rFonts w:ascii="Book Antiqua" w:hAnsi="Book Antiqua"/>
        </w:rPr>
        <w:lastRenderedPageBreak/>
        <w:t>warfarin and NOAC in the young and middle-aged population, in the elderly (age &gt;</w:t>
      </w:r>
      <w:r w:rsidR="00E32AFA">
        <w:rPr>
          <w:rFonts w:ascii="Book Antiqua" w:eastAsia="宋体" w:hAnsi="Book Antiqua" w:hint="eastAsia"/>
          <w:lang w:eastAsia="zh-CN"/>
        </w:rPr>
        <w:t xml:space="preserve"> </w:t>
      </w:r>
      <w:r w:rsidR="009418D2" w:rsidRPr="009F42E6">
        <w:rPr>
          <w:rFonts w:ascii="Book Antiqua" w:hAnsi="Book Antiqua"/>
        </w:rPr>
        <w:t xml:space="preserve">75) population, there is increased risk of GIB in patients taking </w:t>
      </w:r>
      <w:proofErr w:type="gramStart"/>
      <w:r w:rsidR="009418D2" w:rsidRPr="009F42E6">
        <w:rPr>
          <w:rFonts w:ascii="Book Antiqua" w:hAnsi="Book Antiqua"/>
        </w:rPr>
        <w:t>NOAC</w:t>
      </w:r>
      <w:r w:rsidR="00E32AFA" w:rsidRPr="00E32AFA">
        <w:rPr>
          <w:rFonts w:ascii="Book Antiqua" w:eastAsia="宋体" w:hAnsi="Book Antiqua" w:hint="eastAsia"/>
          <w:vertAlign w:val="superscript"/>
          <w:lang w:eastAsia="zh-CN"/>
        </w:rPr>
        <w:t>[</w:t>
      </w:r>
      <w:proofErr w:type="gramEnd"/>
      <w:r w:rsidR="00B449D1" w:rsidRPr="00E32AFA">
        <w:rPr>
          <w:rFonts w:ascii="Book Antiqua" w:hAnsi="Book Antiqua"/>
          <w:vertAlign w:val="superscript"/>
        </w:rPr>
        <w:t>11</w:t>
      </w:r>
      <w:r w:rsidR="00E32AFA" w:rsidRPr="00E32AFA">
        <w:rPr>
          <w:rFonts w:ascii="Book Antiqua" w:eastAsia="宋体" w:hAnsi="Book Antiqua" w:hint="eastAsia"/>
          <w:vertAlign w:val="superscript"/>
          <w:lang w:eastAsia="zh-CN"/>
        </w:rPr>
        <w:t>]</w:t>
      </w:r>
      <w:r w:rsidR="009418D2" w:rsidRPr="009F42E6">
        <w:rPr>
          <w:rFonts w:ascii="Book Antiqua" w:hAnsi="Book Antiqua"/>
        </w:rPr>
        <w:t>.</w:t>
      </w:r>
    </w:p>
    <w:p w14:paraId="05D9827E" w14:textId="77777777" w:rsidR="00E32AFA" w:rsidRPr="00E32AFA" w:rsidRDefault="00E32AFA" w:rsidP="00B83F55">
      <w:pPr>
        <w:spacing w:line="360" w:lineRule="auto"/>
        <w:jc w:val="both"/>
        <w:rPr>
          <w:rFonts w:ascii="Book Antiqua" w:eastAsia="宋体" w:hAnsi="Book Antiqua"/>
          <w:lang w:eastAsia="zh-CN"/>
        </w:rPr>
      </w:pPr>
    </w:p>
    <w:p w14:paraId="7B92E3AB" w14:textId="05C58705" w:rsidR="00E32AFA" w:rsidRPr="00E32AFA" w:rsidRDefault="00E32AFA" w:rsidP="00B83F55">
      <w:pPr>
        <w:spacing w:line="360" w:lineRule="auto"/>
        <w:jc w:val="both"/>
        <w:rPr>
          <w:rFonts w:ascii="Book Antiqua" w:eastAsia="宋体" w:hAnsi="Book Antiqua"/>
          <w:i/>
          <w:lang w:eastAsia="zh-CN"/>
        </w:rPr>
      </w:pPr>
      <w:r w:rsidRPr="00E32AFA">
        <w:rPr>
          <w:rFonts w:ascii="Book Antiqua" w:hAnsi="Book Antiqua"/>
          <w:b/>
          <w:i/>
        </w:rPr>
        <w:t>Direct thrombin inhibitors</w:t>
      </w:r>
    </w:p>
    <w:p w14:paraId="5DB7F585" w14:textId="36542EAB" w:rsidR="005E4368" w:rsidRDefault="008014CA" w:rsidP="00B83F55">
      <w:pPr>
        <w:spacing w:line="360" w:lineRule="auto"/>
        <w:jc w:val="both"/>
        <w:rPr>
          <w:rFonts w:ascii="Book Antiqua" w:eastAsia="宋体" w:hAnsi="Book Antiqua"/>
          <w:lang w:eastAsia="zh-CN"/>
        </w:rPr>
      </w:pPr>
      <w:r w:rsidRPr="00E32AFA">
        <w:rPr>
          <w:rFonts w:ascii="Book Antiqua" w:hAnsi="Book Antiqua"/>
        </w:rPr>
        <w:t xml:space="preserve">Direct thrombin inhibitors </w:t>
      </w:r>
      <w:r w:rsidRPr="009F42E6">
        <w:rPr>
          <w:rFonts w:ascii="Book Antiqua" w:hAnsi="Book Antiqua"/>
        </w:rPr>
        <w:t xml:space="preserve">are oral </w:t>
      </w:r>
      <w:proofErr w:type="spellStart"/>
      <w:r w:rsidRPr="009F42E6">
        <w:rPr>
          <w:rFonts w:ascii="Book Antiqua" w:hAnsi="Book Antiqua"/>
        </w:rPr>
        <w:t>Dabi</w:t>
      </w:r>
      <w:r w:rsidR="00002498" w:rsidRPr="009F42E6">
        <w:rPr>
          <w:rFonts w:ascii="Book Antiqua" w:hAnsi="Book Antiqua"/>
        </w:rPr>
        <w:t>gatran</w:t>
      </w:r>
      <w:proofErr w:type="spellEnd"/>
      <w:r w:rsidR="00002498" w:rsidRPr="009F42E6">
        <w:rPr>
          <w:rFonts w:ascii="Book Antiqua" w:hAnsi="Book Antiqua"/>
        </w:rPr>
        <w:t xml:space="preserve"> (</w:t>
      </w:r>
      <w:proofErr w:type="spellStart"/>
      <w:r w:rsidR="00002498" w:rsidRPr="009F42E6">
        <w:rPr>
          <w:rFonts w:ascii="Book Antiqua" w:hAnsi="Book Antiqua"/>
        </w:rPr>
        <w:t>Pradaxa</w:t>
      </w:r>
      <w:proofErr w:type="spellEnd"/>
      <w:r w:rsidR="00002498" w:rsidRPr="009F42E6">
        <w:rPr>
          <w:rFonts w:ascii="Book Antiqua" w:hAnsi="Book Antiqua"/>
        </w:rPr>
        <w:t>) and subcutaneous</w:t>
      </w:r>
      <w:r w:rsidRPr="009F42E6">
        <w:rPr>
          <w:rFonts w:ascii="Book Antiqua" w:hAnsi="Book Antiqua"/>
        </w:rPr>
        <w:t xml:space="preserve"> </w:t>
      </w:r>
      <w:proofErr w:type="spellStart"/>
      <w:r w:rsidRPr="009F42E6">
        <w:rPr>
          <w:rFonts w:ascii="Book Antiqua" w:hAnsi="Book Antiqua"/>
        </w:rPr>
        <w:t>Desirudin</w:t>
      </w:r>
      <w:proofErr w:type="spellEnd"/>
      <w:r w:rsidRPr="009F42E6">
        <w:rPr>
          <w:rFonts w:ascii="Book Antiqua" w:hAnsi="Book Antiqua"/>
        </w:rPr>
        <w:t xml:space="preserve"> (</w:t>
      </w:r>
      <w:proofErr w:type="spellStart"/>
      <w:r w:rsidRPr="009F42E6">
        <w:rPr>
          <w:rFonts w:ascii="Book Antiqua" w:hAnsi="Book Antiqua"/>
        </w:rPr>
        <w:t>Iprivask</w:t>
      </w:r>
      <w:proofErr w:type="spellEnd"/>
      <w:r w:rsidRPr="009F42E6">
        <w:rPr>
          <w:rFonts w:ascii="Book Antiqua" w:hAnsi="Book Antiqua"/>
        </w:rPr>
        <w:t>)</w:t>
      </w:r>
      <w:r w:rsidR="00020FF6" w:rsidRPr="009F42E6">
        <w:rPr>
          <w:rFonts w:ascii="Book Antiqua" w:hAnsi="Book Antiqua"/>
        </w:rPr>
        <w:t>.</w:t>
      </w:r>
      <w:r w:rsidR="00B44AC8" w:rsidRPr="009F42E6">
        <w:rPr>
          <w:rFonts w:ascii="Book Antiqua" w:hAnsi="Book Antiqua"/>
        </w:rPr>
        <w:t xml:space="preserve"> </w:t>
      </w:r>
      <w:proofErr w:type="spellStart"/>
      <w:r w:rsidR="00643242" w:rsidRPr="009F42E6">
        <w:rPr>
          <w:rFonts w:ascii="Book Antiqua" w:hAnsi="Book Antiqua"/>
        </w:rPr>
        <w:t>Dabigatran</w:t>
      </w:r>
      <w:proofErr w:type="spellEnd"/>
      <w:r w:rsidR="00643242" w:rsidRPr="009F42E6">
        <w:rPr>
          <w:rFonts w:ascii="Book Antiqua" w:hAnsi="Book Antiqua"/>
        </w:rPr>
        <w:t xml:space="preserve"> is </w:t>
      </w:r>
      <w:r w:rsidR="008A11C5" w:rsidRPr="009F42E6">
        <w:rPr>
          <w:rFonts w:ascii="Book Antiqua" w:hAnsi="Book Antiqua"/>
        </w:rPr>
        <w:t xml:space="preserve">an </w:t>
      </w:r>
      <w:r w:rsidR="00643242" w:rsidRPr="009F42E6">
        <w:rPr>
          <w:rFonts w:ascii="Book Antiqua" w:hAnsi="Book Antiqua"/>
        </w:rPr>
        <w:t>oral anticoagulant which has been approved for: (</w:t>
      </w:r>
      <w:r w:rsidR="00E32AFA">
        <w:rPr>
          <w:rFonts w:ascii="Book Antiqua" w:eastAsia="宋体" w:hAnsi="Book Antiqua" w:hint="eastAsia"/>
          <w:lang w:eastAsia="zh-CN"/>
        </w:rPr>
        <w:t>1</w:t>
      </w:r>
      <w:r w:rsidR="00643242" w:rsidRPr="009F42E6">
        <w:rPr>
          <w:rFonts w:ascii="Book Antiqua" w:hAnsi="Book Antiqua"/>
        </w:rPr>
        <w:t>) the treatment of patients with deep venous thrombosis (DVT) and pulmonary embolism (PE) after 5 to 10 days of parenteral anticoagulant</w:t>
      </w:r>
      <w:r w:rsidR="00E32AFA">
        <w:rPr>
          <w:rFonts w:ascii="Book Antiqua" w:eastAsia="宋体" w:hAnsi="Book Antiqua" w:hint="eastAsia"/>
          <w:lang w:eastAsia="zh-CN"/>
        </w:rPr>
        <w:t>;</w:t>
      </w:r>
      <w:r w:rsidR="00643242" w:rsidRPr="009F42E6">
        <w:rPr>
          <w:rFonts w:ascii="Book Antiqua" w:hAnsi="Book Antiqua"/>
        </w:rPr>
        <w:t xml:space="preserve"> (</w:t>
      </w:r>
      <w:r w:rsidR="00E32AFA">
        <w:rPr>
          <w:rFonts w:ascii="Book Antiqua" w:eastAsia="宋体" w:hAnsi="Book Antiqua" w:hint="eastAsia"/>
          <w:lang w:eastAsia="zh-CN"/>
        </w:rPr>
        <w:t>2</w:t>
      </w:r>
      <w:r w:rsidR="00643242" w:rsidRPr="009F42E6">
        <w:rPr>
          <w:rFonts w:ascii="Book Antiqua" w:hAnsi="Book Antiqua"/>
        </w:rPr>
        <w:t xml:space="preserve">) the prevention of DVT and PE </w:t>
      </w:r>
      <w:r w:rsidR="008A11C5" w:rsidRPr="009F42E6">
        <w:rPr>
          <w:rFonts w:ascii="Book Antiqua" w:hAnsi="Book Antiqua"/>
        </w:rPr>
        <w:t>in patients who have been treated previously</w:t>
      </w:r>
      <w:r w:rsidR="00E32AFA">
        <w:rPr>
          <w:rFonts w:ascii="Book Antiqua" w:eastAsia="宋体" w:hAnsi="Book Antiqua" w:hint="eastAsia"/>
          <w:lang w:eastAsia="zh-CN"/>
        </w:rPr>
        <w:t>;</w:t>
      </w:r>
      <w:r w:rsidR="008A11C5" w:rsidRPr="009F42E6">
        <w:rPr>
          <w:rFonts w:ascii="Book Antiqua" w:hAnsi="Book Antiqua"/>
        </w:rPr>
        <w:t xml:space="preserve"> and (</w:t>
      </w:r>
      <w:r w:rsidR="00E32AFA">
        <w:rPr>
          <w:rFonts w:ascii="Book Antiqua" w:eastAsia="宋体" w:hAnsi="Book Antiqua" w:hint="eastAsia"/>
          <w:lang w:eastAsia="zh-CN"/>
        </w:rPr>
        <w:t>3</w:t>
      </w:r>
      <w:r w:rsidR="008A11C5" w:rsidRPr="009F42E6">
        <w:rPr>
          <w:rFonts w:ascii="Book Antiqua" w:hAnsi="Book Antiqua"/>
        </w:rPr>
        <w:t xml:space="preserve">) the prevention of stroke and systemic </w:t>
      </w:r>
      <w:r w:rsidR="00560AEE" w:rsidRPr="009F42E6">
        <w:rPr>
          <w:rFonts w:ascii="Book Antiqua" w:hAnsi="Book Antiqua"/>
        </w:rPr>
        <w:t>embolism in patients with non-</w:t>
      </w:r>
      <w:proofErr w:type="spellStart"/>
      <w:r w:rsidR="00560AEE" w:rsidRPr="009F42E6">
        <w:rPr>
          <w:rFonts w:ascii="Book Antiqua" w:hAnsi="Book Antiqua"/>
        </w:rPr>
        <w:t>va</w:t>
      </w:r>
      <w:r w:rsidR="008A11C5" w:rsidRPr="009F42E6">
        <w:rPr>
          <w:rFonts w:ascii="Book Antiqua" w:hAnsi="Book Antiqua"/>
        </w:rPr>
        <w:t>lvular</w:t>
      </w:r>
      <w:proofErr w:type="spellEnd"/>
      <w:r w:rsidR="008A11C5" w:rsidRPr="009F42E6">
        <w:rPr>
          <w:rFonts w:ascii="Book Antiqua" w:hAnsi="Book Antiqua"/>
        </w:rPr>
        <w:t xml:space="preserve"> atrial fibrillation (NVAF).  </w:t>
      </w:r>
      <w:proofErr w:type="spellStart"/>
      <w:r w:rsidR="00F812AE" w:rsidRPr="009F42E6">
        <w:rPr>
          <w:rFonts w:ascii="Book Antiqua" w:hAnsi="Book Antiqua"/>
        </w:rPr>
        <w:t>Dabigatran</w:t>
      </w:r>
      <w:proofErr w:type="spellEnd"/>
      <w:r w:rsidR="00F812AE" w:rsidRPr="009F42E6">
        <w:rPr>
          <w:rFonts w:ascii="Book Antiqua" w:hAnsi="Book Antiqua"/>
        </w:rPr>
        <w:t xml:space="preserve"> was </w:t>
      </w:r>
      <w:r w:rsidR="009C0956" w:rsidRPr="009F42E6">
        <w:rPr>
          <w:rFonts w:ascii="Book Antiqua" w:hAnsi="Book Antiqua"/>
        </w:rPr>
        <w:t xml:space="preserve">found to be </w:t>
      </w:r>
      <w:r w:rsidR="00F812AE" w:rsidRPr="009F42E6">
        <w:rPr>
          <w:rFonts w:ascii="Book Antiqua" w:hAnsi="Book Antiqua"/>
        </w:rPr>
        <w:t>non-inferior to warfarin in the treatment and prevention of DVT and PE but car</w:t>
      </w:r>
      <w:r w:rsidR="00E32AFA">
        <w:rPr>
          <w:rFonts w:ascii="Book Antiqua" w:hAnsi="Book Antiqua"/>
        </w:rPr>
        <w:t xml:space="preserve">ried increased risk of </w:t>
      </w:r>
      <w:proofErr w:type="gramStart"/>
      <w:r w:rsidR="00E32AFA">
        <w:rPr>
          <w:rFonts w:ascii="Book Antiqua" w:hAnsi="Book Antiqua"/>
        </w:rPr>
        <w:t>bleeding</w:t>
      </w:r>
      <w:r w:rsidR="00E32AFA" w:rsidRPr="00E32AFA">
        <w:rPr>
          <w:rFonts w:ascii="Book Antiqua" w:eastAsia="宋体" w:hAnsi="Book Antiqua" w:hint="eastAsia"/>
          <w:vertAlign w:val="superscript"/>
          <w:lang w:eastAsia="zh-CN"/>
        </w:rPr>
        <w:t>[</w:t>
      </w:r>
      <w:proofErr w:type="gramEnd"/>
      <w:r w:rsidR="00130569" w:rsidRPr="00E32AFA">
        <w:rPr>
          <w:rFonts w:ascii="Book Antiqua" w:hAnsi="Book Antiqua"/>
          <w:vertAlign w:val="superscript"/>
        </w:rPr>
        <w:t>12</w:t>
      </w:r>
      <w:r w:rsidR="00E32AFA" w:rsidRPr="00E32AFA">
        <w:rPr>
          <w:rFonts w:ascii="Book Antiqua" w:eastAsia="宋体" w:hAnsi="Book Antiqua" w:hint="eastAsia"/>
          <w:vertAlign w:val="superscript"/>
          <w:lang w:eastAsia="zh-CN"/>
        </w:rPr>
        <w:t>]</w:t>
      </w:r>
      <w:r w:rsidR="00E32AFA">
        <w:rPr>
          <w:rFonts w:ascii="Book Antiqua" w:eastAsia="宋体" w:hAnsi="Book Antiqua" w:hint="eastAsia"/>
          <w:lang w:eastAsia="zh-CN"/>
        </w:rPr>
        <w:t xml:space="preserve"> </w:t>
      </w:r>
      <w:r w:rsidR="00F812AE" w:rsidRPr="009F42E6">
        <w:rPr>
          <w:rFonts w:ascii="Book Antiqua" w:hAnsi="Book Antiqua"/>
        </w:rPr>
        <w:t xml:space="preserve">particularly gastrointestinal bleeding than the placebo group (5.3% </w:t>
      </w:r>
      <w:proofErr w:type="spellStart"/>
      <w:r w:rsidR="00F812AE" w:rsidRPr="00E32AFA">
        <w:rPr>
          <w:rFonts w:ascii="Book Antiqua" w:hAnsi="Book Antiqua"/>
          <w:i/>
        </w:rPr>
        <w:t>vs</w:t>
      </w:r>
      <w:proofErr w:type="spellEnd"/>
      <w:r w:rsidR="00F812AE" w:rsidRPr="009F42E6">
        <w:rPr>
          <w:rFonts w:ascii="Book Antiqua" w:hAnsi="Book Antiqua"/>
        </w:rPr>
        <w:t xml:space="preserve"> 1.8%).</w:t>
      </w:r>
      <w:r w:rsidR="009C0956" w:rsidRPr="009F42E6">
        <w:rPr>
          <w:rFonts w:ascii="Book Antiqua" w:hAnsi="Book Antiqua"/>
        </w:rPr>
        <w:t xml:space="preserve"> </w:t>
      </w:r>
      <w:proofErr w:type="gramStart"/>
      <w:r w:rsidR="00A04DAD" w:rsidRPr="009F42E6">
        <w:rPr>
          <w:rFonts w:ascii="Book Antiqua" w:hAnsi="Book Antiqua"/>
        </w:rPr>
        <w:t xml:space="preserve">Its anticoagulant activity can be assessed by </w:t>
      </w:r>
      <w:proofErr w:type="spellStart"/>
      <w:r w:rsidR="00A04DAD" w:rsidRPr="009F42E6">
        <w:rPr>
          <w:rFonts w:ascii="Book Antiqua" w:hAnsi="Book Antiqua"/>
        </w:rPr>
        <w:t>Ecarin</w:t>
      </w:r>
      <w:proofErr w:type="spellEnd"/>
      <w:r w:rsidR="00A04DAD" w:rsidRPr="009F42E6">
        <w:rPr>
          <w:rFonts w:ascii="Book Antiqua" w:hAnsi="Book Antiqua"/>
        </w:rPr>
        <w:t xml:space="preserve"> Clotting Time or dilute thrombin time</w:t>
      </w:r>
      <w:proofErr w:type="gramEnd"/>
      <w:r w:rsidR="00A04DAD" w:rsidRPr="009F42E6">
        <w:rPr>
          <w:rFonts w:ascii="Book Antiqua" w:hAnsi="Book Antiqua"/>
        </w:rPr>
        <w:t xml:space="preserve">. </w:t>
      </w:r>
      <w:proofErr w:type="spellStart"/>
      <w:r w:rsidR="009C0956" w:rsidRPr="009F42E6">
        <w:rPr>
          <w:rFonts w:ascii="Book Antiqua" w:hAnsi="Book Antiqua"/>
        </w:rPr>
        <w:t>Dabigatran</w:t>
      </w:r>
      <w:proofErr w:type="spellEnd"/>
      <w:r w:rsidR="009C0956" w:rsidRPr="009F42E6">
        <w:rPr>
          <w:rFonts w:ascii="Book Antiqua" w:hAnsi="Book Antiqua"/>
        </w:rPr>
        <w:t xml:space="preserve"> </w:t>
      </w:r>
      <w:r w:rsidR="00E02955" w:rsidRPr="009F42E6">
        <w:rPr>
          <w:rFonts w:ascii="Book Antiqua" w:hAnsi="Book Antiqua"/>
        </w:rPr>
        <w:t xml:space="preserve">is fixed dose, </w:t>
      </w:r>
      <w:r w:rsidR="009C0956" w:rsidRPr="009F42E6">
        <w:rPr>
          <w:rFonts w:ascii="Book Antiqua" w:hAnsi="Book Antiqua"/>
        </w:rPr>
        <w:t xml:space="preserve">does not require monitoring </w:t>
      </w:r>
      <w:r w:rsidR="00C5192A" w:rsidRPr="009F42E6">
        <w:rPr>
          <w:rFonts w:ascii="Book Antiqua" w:hAnsi="Book Antiqua"/>
        </w:rPr>
        <w:t>by INR (I</w:t>
      </w:r>
      <w:r w:rsidR="00E02955" w:rsidRPr="009F42E6">
        <w:rPr>
          <w:rFonts w:ascii="Book Antiqua" w:hAnsi="Book Antiqua"/>
        </w:rPr>
        <w:t xml:space="preserve">nternational </w:t>
      </w:r>
      <w:r w:rsidR="00C5192A" w:rsidRPr="009F42E6">
        <w:rPr>
          <w:rFonts w:ascii="Book Antiqua" w:hAnsi="Book Antiqua"/>
        </w:rPr>
        <w:t>Normalized R</w:t>
      </w:r>
      <w:r w:rsidR="00E02955" w:rsidRPr="009F42E6">
        <w:rPr>
          <w:rFonts w:ascii="Book Antiqua" w:hAnsi="Book Antiqua"/>
        </w:rPr>
        <w:t xml:space="preserve">atio) and excessive bleeding can be reversed by a monoclonal </w:t>
      </w:r>
      <w:proofErr w:type="gramStart"/>
      <w:r w:rsidR="00E02955" w:rsidRPr="009F42E6">
        <w:rPr>
          <w:rFonts w:ascii="Book Antiqua" w:hAnsi="Book Antiqua"/>
        </w:rPr>
        <w:t>antibody</w:t>
      </w:r>
      <w:r w:rsidR="00E32AFA" w:rsidRPr="00E32AFA">
        <w:rPr>
          <w:rFonts w:ascii="Book Antiqua" w:eastAsia="宋体" w:hAnsi="Book Antiqua" w:hint="eastAsia"/>
          <w:vertAlign w:val="superscript"/>
          <w:lang w:eastAsia="zh-CN"/>
        </w:rPr>
        <w:t>[</w:t>
      </w:r>
      <w:proofErr w:type="gramEnd"/>
      <w:r w:rsidR="00E32AFA">
        <w:rPr>
          <w:rFonts w:ascii="Book Antiqua" w:eastAsia="宋体" w:hAnsi="Book Antiqua" w:hint="eastAsia"/>
          <w:vertAlign w:val="superscript"/>
          <w:lang w:eastAsia="zh-CN"/>
        </w:rPr>
        <w:t>13</w:t>
      </w:r>
      <w:r w:rsidR="00E32AFA" w:rsidRPr="00E32AFA">
        <w:rPr>
          <w:rFonts w:ascii="Book Antiqua" w:eastAsia="宋体" w:hAnsi="Book Antiqua" w:hint="eastAsia"/>
          <w:vertAlign w:val="superscript"/>
          <w:lang w:eastAsia="zh-CN"/>
        </w:rPr>
        <w:t>]</w:t>
      </w:r>
      <w:r w:rsidR="00E02955" w:rsidRPr="009F42E6">
        <w:rPr>
          <w:rFonts w:ascii="Book Antiqua" w:hAnsi="Book Antiqua"/>
        </w:rPr>
        <w:t xml:space="preserve"> called </w:t>
      </w:r>
      <w:proofErr w:type="spellStart"/>
      <w:r w:rsidR="00E02955" w:rsidRPr="009F42E6">
        <w:rPr>
          <w:rFonts w:ascii="Book Antiqua" w:hAnsi="Book Antiqua"/>
        </w:rPr>
        <w:t>idarucizumab</w:t>
      </w:r>
      <w:proofErr w:type="spellEnd"/>
      <w:r w:rsidR="00E02955" w:rsidRPr="009F42E6">
        <w:rPr>
          <w:rFonts w:ascii="Book Antiqua" w:hAnsi="Book Antiqua"/>
        </w:rPr>
        <w:t xml:space="preserve"> (</w:t>
      </w:r>
      <w:proofErr w:type="spellStart"/>
      <w:r w:rsidR="00E02955" w:rsidRPr="009F42E6">
        <w:rPr>
          <w:rFonts w:ascii="Book Antiqua" w:hAnsi="Book Antiqua"/>
        </w:rPr>
        <w:t>Praxbind</w:t>
      </w:r>
      <w:proofErr w:type="spellEnd"/>
      <w:r w:rsidR="00E02955" w:rsidRPr="009F42E6">
        <w:rPr>
          <w:rFonts w:ascii="Book Antiqua" w:hAnsi="Book Antiqua"/>
        </w:rPr>
        <w:t xml:space="preserve">). </w:t>
      </w:r>
      <w:proofErr w:type="spellStart"/>
      <w:r w:rsidR="00E628FC" w:rsidRPr="009F42E6">
        <w:rPr>
          <w:rFonts w:ascii="Book Antiqua" w:hAnsi="Book Antiqua"/>
        </w:rPr>
        <w:t>Dabigatran</w:t>
      </w:r>
      <w:proofErr w:type="spellEnd"/>
      <w:r w:rsidR="00E628FC" w:rsidRPr="009F42E6">
        <w:rPr>
          <w:rFonts w:ascii="Book Antiqua" w:hAnsi="Book Antiqua"/>
        </w:rPr>
        <w:t xml:space="preserve"> has a </w:t>
      </w:r>
      <w:proofErr w:type="gramStart"/>
      <w:r w:rsidR="00E628FC" w:rsidRPr="009F42E6">
        <w:rPr>
          <w:rFonts w:ascii="Book Antiqua" w:hAnsi="Book Antiqua"/>
        </w:rPr>
        <w:t>half life</w:t>
      </w:r>
      <w:proofErr w:type="gramEnd"/>
      <w:r w:rsidR="00E628FC" w:rsidRPr="009F42E6">
        <w:rPr>
          <w:rFonts w:ascii="Book Antiqua" w:hAnsi="Book Antiqua"/>
        </w:rPr>
        <w:t xml:space="preserve"> of 12-24 </w:t>
      </w:r>
      <w:r w:rsidR="00E32AFA">
        <w:rPr>
          <w:rFonts w:ascii="Book Antiqua" w:eastAsia="宋体" w:hAnsi="Book Antiqua" w:hint="eastAsia"/>
          <w:lang w:eastAsia="zh-CN"/>
        </w:rPr>
        <w:t>h</w:t>
      </w:r>
      <w:r w:rsidR="00E628FC" w:rsidRPr="009F42E6">
        <w:rPr>
          <w:rFonts w:ascii="Book Antiqua" w:hAnsi="Book Antiqua"/>
        </w:rPr>
        <w:t>. It should be stopp</w:t>
      </w:r>
      <w:r w:rsidR="00101B5D" w:rsidRPr="009F42E6">
        <w:rPr>
          <w:rFonts w:ascii="Book Antiqua" w:hAnsi="Book Antiqua"/>
        </w:rPr>
        <w:t>ed 2</w:t>
      </w:r>
      <w:r w:rsidR="00A04DAD" w:rsidRPr="009F42E6">
        <w:rPr>
          <w:rFonts w:ascii="Book Antiqua" w:hAnsi="Book Antiqua"/>
        </w:rPr>
        <w:t xml:space="preserve"> to 6 </w:t>
      </w:r>
      <w:r w:rsidR="00E32AFA">
        <w:rPr>
          <w:rFonts w:ascii="Book Antiqua" w:eastAsia="宋体" w:hAnsi="Book Antiqua" w:hint="eastAsia"/>
          <w:lang w:eastAsia="zh-CN"/>
        </w:rPr>
        <w:t>d</w:t>
      </w:r>
      <w:r w:rsidR="00A04DAD" w:rsidRPr="009F42E6">
        <w:rPr>
          <w:rFonts w:ascii="Book Antiqua" w:hAnsi="Book Antiqua"/>
        </w:rPr>
        <w:t xml:space="preserve"> </w:t>
      </w:r>
      <w:r w:rsidR="00101B5D" w:rsidRPr="009F42E6">
        <w:rPr>
          <w:rFonts w:ascii="Book Antiqua" w:hAnsi="Book Antiqua"/>
        </w:rPr>
        <w:t>(</w:t>
      </w:r>
      <w:r w:rsidR="00101B5D" w:rsidRPr="00E32AFA">
        <w:rPr>
          <w:rFonts w:ascii="Book Antiqua" w:hAnsi="Book Antiqua"/>
          <w:i/>
        </w:rPr>
        <w:t>i.e.</w:t>
      </w:r>
      <w:r w:rsidR="00E32AFA" w:rsidRPr="00E32AFA">
        <w:rPr>
          <w:rFonts w:ascii="Book Antiqua" w:eastAsia="宋体" w:hAnsi="Book Antiqua" w:hint="eastAsia"/>
          <w:i/>
          <w:lang w:eastAsia="zh-CN"/>
        </w:rPr>
        <w:t>,</w:t>
      </w:r>
      <w:r w:rsidR="00101B5D" w:rsidRPr="009F42E6">
        <w:rPr>
          <w:rFonts w:ascii="Book Antiqua" w:hAnsi="Book Antiqua"/>
        </w:rPr>
        <w:t xml:space="preserve"> at least for 4 half-lives)</w:t>
      </w:r>
      <w:r w:rsidR="00756EDF" w:rsidRPr="009F42E6">
        <w:rPr>
          <w:rFonts w:ascii="Book Antiqua" w:hAnsi="Book Antiqua"/>
        </w:rPr>
        <w:t xml:space="preserve"> </w:t>
      </w:r>
      <w:r w:rsidR="00E628FC" w:rsidRPr="009F42E6">
        <w:rPr>
          <w:rFonts w:ascii="Book Antiqua" w:hAnsi="Book Antiqua"/>
        </w:rPr>
        <w:t xml:space="preserve">prior to </w:t>
      </w:r>
      <w:proofErr w:type="gramStart"/>
      <w:r w:rsidR="00101B5D" w:rsidRPr="009F42E6">
        <w:rPr>
          <w:rFonts w:ascii="Book Antiqua" w:hAnsi="Book Antiqua"/>
        </w:rPr>
        <w:t>high risk</w:t>
      </w:r>
      <w:proofErr w:type="gramEnd"/>
      <w:r w:rsidR="00101B5D" w:rsidRPr="009F42E6">
        <w:rPr>
          <w:rFonts w:ascii="Book Antiqua" w:hAnsi="Book Antiqua"/>
        </w:rPr>
        <w:t xml:space="preserve"> </w:t>
      </w:r>
      <w:r w:rsidR="00E628FC" w:rsidRPr="009F42E6">
        <w:rPr>
          <w:rFonts w:ascii="Book Antiqua" w:hAnsi="Book Antiqua"/>
        </w:rPr>
        <w:t>endoscopic procedures</w:t>
      </w:r>
      <w:r w:rsidR="00A04DAD" w:rsidRPr="009F42E6">
        <w:rPr>
          <w:rFonts w:ascii="Book Antiqua" w:hAnsi="Book Antiqua"/>
        </w:rPr>
        <w:t xml:space="preserve"> depending on the </w:t>
      </w:r>
      <w:proofErr w:type="spellStart"/>
      <w:r w:rsidR="00A04DAD" w:rsidRPr="009F42E6">
        <w:rPr>
          <w:rFonts w:ascii="Book Antiqua" w:hAnsi="Book Antiqua"/>
        </w:rPr>
        <w:t>creatinine</w:t>
      </w:r>
      <w:proofErr w:type="spellEnd"/>
      <w:r w:rsidR="00A04DAD" w:rsidRPr="009F42E6">
        <w:rPr>
          <w:rFonts w:ascii="Book Antiqua" w:hAnsi="Book Antiqua"/>
        </w:rPr>
        <w:t xml:space="preserve"> clearance</w:t>
      </w:r>
      <w:r w:rsidR="007022B0" w:rsidRPr="009F42E6">
        <w:rPr>
          <w:rFonts w:ascii="Book Antiqua" w:hAnsi="Book Antiqua"/>
        </w:rPr>
        <w:t xml:space="preserve">. </w:t>
      </w:r>
      <w:proofErr w:type="spellStart"/>
      <w:r w:rsidR="00002498" w:rsidRPr="009F42E6">
        <w:rPr>
          <w:rFonts w:ascii="Book Antiqua" w:hAnsi="Book Antiqua"/>
        </w:rPr>
        <w:t>Desirudin</w:t>
      </w:r>
      <w:proofErr w:type="spellEnd"/>
      <w:r w:rsidR="00002498" w:rsidRPr="009F42E6">
        <w:rPr>
          <w:rFonts w:ascii="Book Antiqua" w:hAnsi="Book Antiqua"/>
        </w:rPr>
        <w:t xml:space="preserve"> has been approved for the prevention of DVT in patients </w:t>
      </w:r>
      <w:r w:rsidR="00F641B3" w:rsidRPr="009F42E6">
        <w:rPr>
          <w:rFonts w:ascii="Book Antiqua" w:hAnsi="Book Antiqua"/>
        </w:rPr>
        <w:t xml:space="preserve">after elective hip replacement surgery. As this medication is metabolized and excreted </w:t>
      </w:r>
      <w:proofErr w:type="spellStart"/>
      <w:r w:rsidR="00F641B3" w:rsidRPr="009F42E6">
        <w:rPr>
          <w:rFonts w:ascii="Book Antiqua" w:hAnsi="Book Antiqua"/>
        </w:rPr>
        <w:t>renally</w:t>
      </w:r>
      <w:proofErr w:type="spellEnd"/>
      <w:r w:rsidR="00A04DAD" w:rsidRPr="009F42E6">
        <w:rPr>
          <w:rFonts w:ascii="Book Antiqua" w:hAnsi="Book Antiqua"/>
        </w:rPr>
        <w:t xml:space="preserve"> similar to </w:t>
      </w:r>
      <w:proofErr w:type="spellStart"/>
      <w:r w:rsidR="00A04DAD" w:rsidRPr="009F42E6">
        <w:rPr>
          <w:rFonts w:ascii="Book Antiqua" w:hAnsi="Book Antiqua"/>
        </w:rPr>
        <w:t>Dabigatran</w:t>
      </w:r>
      <w:proofErr w:type="spellEnd"/>
      <w:r w:rsidR="00F641B3" w:rsidRPr="009F42E6">
        <w:rPr>
          <w:rFonts w:ascii="Book Antiqua" w:hAnsi="Book Antiqua"/>
        </w:rPr>
        <w:t xml:space="preserve">, the dose is adjusted according to </w:t>
      </w:r>
      <w:proofErr w:type="spellStart"/>
      <w:r w:rsidR="00F641B3" w:rsidRPr="009F42E6">
        <w:rPr>
          <w:rFonts w:ascii="Book Antiqua" w:hAnsi="Book Antiqua"/>
        </w:rPr>
        <w:t>creatinine</w:t>
      </w:r>
      <w:proofErr w:type="spellEnd"/>
      <w:r w:rsidR="00F641B3" w:rsidRPr="009F42E6">
        <w:rPr>
          <w:rFonts w:ascii="Book Antiqua" w:hAnsi="Book Antiqua"/>
        </w:rPr>
        <w:t xml:space="preserve"> clearance</w:t>
      </w:r>
      <w:r w:rsidR="0062108C" w:rsidRPr="009F42E6">
        <w:rPr>
          <w:rFonts w:ascii="Book Antiqua" w:hAnsi="Book Antiqua"/>
        </w:rPr>
        <w:t xml:space="preserve">. The anticoagulant activity can be monitored by </w:t>
      </w:r>
      <w:proofErr w:type="spellStart"/>
      <w:r w:rsidR="0062108C" w:rsidRPr="009F42E6">
        <w:rPr>
          <w:rFonts w:ascii="Book Antiqua" w:hAnsi="Book Antiqua"/>
        </w:rPr>
        <w:t>aPTT</w:t>
      </w:r>
      <w:proofErr w:type="spellEnd"/>
      <w:r w:rsidR="0062108C" w:rsidRPr="009F42E6">
        <w:rPr>
          <w:rFonts w:ascii="Book Antiqua" w:hAnsi="Book Antiqua"/>
        </w:rPr>
        <w:t xml:space="preserve">. The terminal half-life is 2 </w:t>
      </w:r>
      <w:r w:rsidR="00E32AFA">
        <w:rPr>
          <w:rFonts w:ascii="Book Antiqua" w:eastAsia="宋体" w:hAnsi="Book Antiqua" w:hint="eastAsia"/>
          <w:lang w:eastAsia="zh-CN"/>
        </w:rPr>
        <w:t>h</w:t>
      </w:r>
      <w:r w:rsidR="0062108C" w:rsidRPr="009F42E6">
        <w:rPr>
          <w:rFonts w:ascii="Book Antiqua" w:hAnsi="Book Antiqua"/>
        </w:rPr>
        <w:t xml:space="preserve"> after subcutaneous administration. High-risk endoscopic procedures should be done 10 hours after discontinuation of </w:t>
      </w:r>
      <w:proofErr w:type="spellStart"/>
      <w:r w:rsidR="0062108C" w:rsidRPr="009F42E6">
        <w:rPr>
          <w:rFonts w:ascii="Book Antiqua" w:hAnsi="Book Antiqua"/>
        </w:rPr>
        <w:t>desirudin</w:t>
      </w:r>
      <w:proofErr w:type="spellEnd"/>
      <w:r w:rsidR="0062108C" w:rsidRPr="009F42E6">
        <w:rPr>
          <w:rFonts w:ascii="Book Antiqua" w:hAnsi="Book Antiqua"/>
        </w:rPr>
        <w:t>.</w:t>
      </w:r>
    </w:p>
    <w:p w14:paraId="62658935" w14:textId="77777777" w:rsidR="00E32AFA" w:rsidRPr="00E32AFA" w:rsidRDefault="00E32AFA" w:rsidP="00B83F55">
      <w:pPr>
        <w:spacing w:line="360" w:lineRule="auto"/>
        <w:jc w:val="both"/>
        <w:rPr>
          <w:rFonts w:ascii="Book Antiqua" w:eastAsia="宋体" w:hAnsi="Book Antiqua"/>
          <w:lang w:eastAsia="zh-CN"/>
        </w:rPr>
      </w:pPr>
    </w:p>
    <w:p w14:paraId="568F3594" w14:textId="6B8EDA9C" w:rsidR="00E32AFA" w:rsidRPr="00E32AFA" w:rsidRDefault="00E32AFA" w:rsidP="00B83F55">
      <w:pPr>
        <w:spacing w:line="360" w:lineRule="auto"/>
        <w:jc w:val="both"/>
        <w:rPr>
          <w:rFonts w:ascii="Book Antiqua" w:eastAsia="宋体" w:hAnsi="Book Antiqua"/>
          <w:i/>
          <w:lang w:eastAsia="zh-CN"/>
        </w:rPr>
      </w:pPr>
      <w:r w:rsidRPr="00E32AFA">
        <w:rPr>
          <w:rFonts w:ascii="Book Antiqua" w:hAnsi="Book Antiqua"/>
          <w:b/>
          <w:i/>
        </w:rPr>
        <w:t>Thrombolytic agents</w:t>
      </w:r>
    </w:p>
    <w:p w14:paraId="7A066D6D" w14:textId="2E543A3F" w:rsidR="00C55572" w:rsidRDefault="00C55572" w:rsidP="00B83F55">
      <w:pPr>
        <w:spacing w:line="360" w:lineRule="auto"/>
        <w:jc w:val="both"/>
        <w:rPr>
          <w:rFonts w:ascii="Book Antiqua" w:eastAsia="宋体" w:hAnsi="Book Antiqua"/>
          <w:lang w:eastAsia="zh-CN"/>
        </w:rPr>
      </w:pPr>
      <w:r w:rsidRPr="00E32AFA">
        <w:rPr>
          <w:rFonts w:ascii="Book Antiqua" w:hAnsi="Book Antiqua"/>
        </w:rPr>
        <w:t>Thrombolytic agents</w:t>
      </w:r>
      <w:r w:rsidR="00560AEE" w:rsidRPr="00E32AFA">
        <w:rPr>
          <w:rFonts w:ascii="Book Antiqua" w:hAnsi="Book Antiqua"/>
        </w:rPr>
        <w:t xml:space="preserve"> a</w:t>
      </w:r>
      <w:r w:rsidR="00560AEE" w:rsidRPr="009F42E6">
        <w:rPr>
          <w:rFonts w:ascii="Book Antiqua" w:hAnsi="Book Antiqua"/>
        </w:rPr>
        <w:t>re clot busters</w:t>
      </w:r>
      <w:r w:rsidRPr="009F42E6">
        <w:rPr>
          <w:rFonts w:ascii="Book Antiqua" w:hAnsi="Book Antiqua"/>
        </w:rPr>
        <w:t xml:space="preserve"> used in acute myocardial infarction</w:t>
      </w:r>
      <w:r w:rsidR="004D05F8" w:rsidRPr="009F42E6">
        <w:rPr>
          <w:rFonts w:ascii="Book Antiqua" w:hAnsi="Book Antiqua"/>
        </w:rPr>
        <w:t>, cerebral infarction</w:t>
      </w:r>
      <w:r w:rsidRPr="009F42E6">
        <w:rPr>
          <w:rFonts w:ascii="Book Antiqua" w:hAnsi="Book Antiqua"/>
        </w:rPr>
        <w:t xml:space="preserve"> and occasionally in massive pulmonary embolism.</w:t>
      </w:r>
      <w:r w:rsidR="00D174CC" w:rsidRPr="009F42E6">
        <w:rPr>
          <w:rFonts w:ascii="Book Antiqua" w:hAnsi="Book Antiqua"/>
        </w:rPr>
        <w:t xml:space="preserve"> </w:t>
      </w:r>
      <w:proofErr w:type="spellStart"/>
      <w:r w:rsidR="00D174CC" w:rsidRPr="009F42E6">
        <w:rPr>
          <w:rFonts w:ascii="Book Antiqua" w:hAnsi="Book Antiqua"/>
        </w:rPr>
        <w:t>Thrombolytics</w:t>
      </w:r>
      <w:proofErr w:type="spellEnd"/>
      <w:r w:rsidR="00D174CC" w:rsidRPr="009F42E6">
        <w:rPr>
          <w:rFonts w:ascii="Book Antiqua" w:hAnsi="Book Antiqua"/>
        </w:rPr>
        <w:t xml:space="preserve"> have a</w:t>
      </w:r>
      <w:r w:rsidR="00560AEE" w:rsidRPr="009F42E6">
        <w:rPr>
          <w:rFonts w:ascii="Book Antiqua" w:hAnsi="Book Antiqua"/>
        </w:rPr>
        <w:t>lso been used as provocative ag</w:t>
      </w:r>
      <w:r w:rsidR="00D174CC" w:rsidRPr="009F42E6">
        <w:rPr>
          <w:rFonts w:ascii="Book Antiqua" w:hAnsi="Book Antiqua"/>
        </w:rPr>
        <w:t xml:space="preserve">ents </w:t>
      </w:r>
      <w:r w:rsidR="00B15229" w:rsidRPr="009F42E6">
        <w:rPr>
          <w:rFonts w:ascii="Book Antiqua" w:hAnsi="Book Antiqua"/>
        </w:rPr>
        <w:t xml:space="preserve">to induce bleeding during endoscopic </w:t>
      </w:r>
      <w:r w:rsidR="00B15229" w:rsidRPr="009F42E6">
        <w:rPr>
          <w:rFonts w:ascii="Book Antiqua" w:hAnsi="Book Antiqua"/>
        </w:rPr>
        <w:lastRenderedPageBreak/>
        <w:t xml:space="preserve">procedures, bleeding scan and angiogram to evaluate </w:t>
      </w:r>
      <w:r w:rsidR="00D174CC" w:rsidRPr="009F42E6">
        <w:rPr>
          <w:rFonts w:ascii="Book Antiqua" w:hAnsi="Book Antiqua"/>
        </w:rPr>
        <w:t>obscure gastrointestinal bleeding</w:t>
      </w:r>
      <w:r w:rsidR="00B15229" w:rsidRPr="009F42E6">
        <w:rPr>
          <w:rFonts w:ascii="Book Antiqua" w:hAnsi="Book Antiqua"/>
        </w:rPr>
        <w:t>.</w:t>
      </w:r>
      <w:r w:rsidR="0019627D" w:rsidRPr="009F42E6">
        <w:rPr>
          <w:rFonts w:ascii="Book Antiqua" w:hAnsi="Book Antiqua"/>
        </w:rPr>
        <w:t xml:space="preserve"> The five </w:t>
      </w:r>
      <w:proofErr w:type="spellStart"/>
      <w:r w:rsidR="0019627D" w:rsidRPr="009F42E6">
        <w:rPr>
          <w:rFonts w:ascii="Book Antiqua" w:hAnsi="Book Antiqua"/>
        </w:rPr>
        <w:t>thrombolytics</w:t>
      </w:r>
      <w:proofErr w:type="spellEnd"/>
      <w:r w:rsidR="0019627D" w:rsidRPr="009F42E6">
        <w:rPr>
          <w:rFonts w:ascii="Book Antiqua" w:hAnsi="Book Antiqua"/>
        </w:rPr>
        <w:t xml:space="preserve"> currently available in the United States have different plasma half-lives</w:t>
      </w:r>
      <w:r w:rsidR="001D314D" w:rsidRPr="009F42E6">
        <w:rPr>
          <w:rFonts w:ascii="Book Antiqua" w:hAnsi="Book Antiqua"/>
        </w:rPr>
        <w:t xml:space="preserve">: streptokinase – 20 </w:t>
      </w:r>
      <w:r w:rsidR="00E32AFA">
        <w:rPr>
          <w:rFonts w:ascii="Book Antiqua" w:eastAsia="宋体" w:hAnsi="Book Antiqua" w:hint="eastAsia"/>
          <w:lang w:eastAsia="zh-CN"/>
        </w:rPr>
        <w:t>min</w:t>
      </w:r>
      <w:r w:rsidR="001D314D" w:rsidRPr="009F42E6">
        <w:rPr>
          <w:rFonts w:ascii="Book Antiqua" w:hAnsi="Book Antiqua"/>
        </w:rPr>
        <w:t xml:space="preserve">, tissue plasminogen activator– 5 </w:t>
      </w:r>
      <w:r w:rsidR="00E32AFA">
        <w:rPr>
          <w:rFonts w:ascii="Book Antiqua" w:eastAsia="宋体" w:hAnsi="Book Antiqua" w:hint="eastAsia"/>
          <w:lang w:eastAsia="zh-CN"/>
        </w:rPr>
        <w:t>min</w:t>
      </w:r>
      <w:r w:rsidR="001D314D" w:rsidRPr="009F42E6">
        <w:rPr>
          <w:rFonts w:ascii="Book Antiqua" w:hAnsi="Book Antiqua"/>
        </w:rPr>
        <w:t xml:space="preserve">, </w:t>
      </w:r>
      <w:proofErr w:type="spellStart"/>
      <w:r w:rsidR="001D314D" w:rsidRPr="009F42E6">
        <w:rPr>
          <w:rFonts w:ascii="Book Antiqua" w:hAnsi="Book Antiqua"/>
        </w:rPr>
        <w:t>anistreplase</w:t>
      </w:r>
      <w:proofErr w:type="spellEnd"/>
      <w:r w:rsidR="001D314D" w:rsidRPr="009F42E6">
        <w:rPr>
          <w:rFonts w:ascii="Book Antiqua" w:hAnsi="Book Antiqua"/>
        </w:rPr>
        <w:t xml:space="preserve"> – 2 </w:t>
      </w:r>
      <w:r w:rsidR="00E32AFA">
        <w:rPr>
          <w:rFonts w:ascii="Book Antiqua" w:eastAsia="宋体" w:hAnsi="Book Antiqua" w:hint="eastAsia"/>
          <w:lang w:eastAsia="zh-CN"/>
        </w:rPr>
        <w:t>h</w:t>
      </w:r>
      <w:r w:rsidR="001D314D" w:rsidRPr="009F42E6">
        <w:rPr>
          <w:rFonts w:ascii="Book Antiqua" w:hAnsi="Book Antiqua"/>
        </w:rPr>
        <w:t xml:space="preserve">, </w:t>
      </w:r>
      <w:proofErr w:type="spellStart"/>
      <w:r w:rsidR="001D314D" w:rsidRPr="009F42E6">
        <w:rPr>
          <w:rFonts w:ascii="Book Antiqua" w:hAnsi="Book Antiqua"/>
        </w:rPr>
        <w:t>reteplase</w:t>
      </w:r>
      <w:proofErr w:type="spellEnd"/>
      <w:r w:rsidR="001D314D" w:rsidRPr="009F42E6">
        <w:rPr>
          <w:rFonts w:ascii="Book Antiqua" w:hAnsi="Book Antiqua"/>
        </w:rPr>
        <w:t xml:space="preserve"> – 18 </w:t>
      </w:r>
      <w:r w:rsidR="00E32AFA">
        <w:rPr>
          <w:rFonts w:ascii="Book Antiqua" w:eastAsia="宋体" w:hAnsi="Book Antiqua" w:hint="eastAsia"/>
          <w:lang w:eastAsia="zh-CN"/>
        </w:rPr>
        <w:t>min</w:t>
      </w:r>
      <w:r w:rsidR="00E32AFA" w:rsidRPr="009F42E6">
        <w:rPr>
          <w:rFonts w:ascii="Book Antiqua" w:hAnsi="Book Antiqua"/>
        </w:rPr>
        <w:t xml:space="preserve"> </w:t>
      </w:r>
      <w:r w:rsidR="001D314D" w:rsidRPr="009F42E6">
        <w:rPr>
          <w:rFonts w:ascii="Book Antiqua" w:hAnsi="Book Antiqua"/>
        </w:rPr>
        <w:t xml:space="preserve">and </w:t>
      </w:r>
      <w:proofErr w:type="spellStart"/>
      <w:r w:rsidR="001D314D" w:rsidRPr="009F42E6">
        <w:rPr>
          <w:rFonts w:ascii="Book Antiqua" w:hAnsi="Book Antiqua"/>
        </w:rPr>
        <w:t>tenecteplase</w:t>
      </w:r>
      <w:proofErr w:type="spellEnd"/>
      <w:r w:rsidR="001D314D" w:rsidRPr="009F42E6">
        <w:rPr>
          <w:rFonts w:ascii="Book Antiqua" w:hAnsi="Book Antiqua"/>
        </w:rPr>
        <w:t xml:space="preserve"> –</w:t>
      </w:r>
      <w:r w:rsidR="00BC6994" w:rsidRPr="009F42E6">
        <w:rPr>
          <w:rFonts w:ascii="Book Antiqua" w:hAnsi="Book Antiqua"/>
        </w:rPr>
        <w:t xml:space="preserve"> 20 </w:t>
      </w:r>
      <w:r w:rsidR="00E32AFA">
        <w:rPr>
          <w:rFonts w:ascii="Book Antiqua" w:eastAsia="宋体" w:hAnsi="Book Antiqua" w:hint="eastAsia"/>
          <w:lang w:eastAsia="zh-CN"/>
        </w:rPr>
        <w:t>min</w:t>
      </w:r>
      <w:r w:rsidR="00BC6994" w:rsidRPr="009F42E6">
        <w:rPr>
          <w:rFonts w:ascii="Book Antiqua" w:hAnsi="Book Antiqua"/>
        </w:rPr>
        <w:t xml:space="preserve">. </w:t>
      </w:r>
      <w:r w:rsidR="00E32AFA">
        <w:rPr>
          <w:rFonts w:ascii="Book Antiqua" w:eastAsia="宋体" w:hAnsi="Book Antiqua"/>
          <w:lang w:eastAsia="zh-CN"/>
        </w:rPr>
        <w:t xml:space="preserve">Percent </w:t>
      </w:r>
      <w:r w:rsidR="00BC6994" w:rsidRPr="009F42E6">
        <w:rPr>
          <w:rFonts w:ascii="Book Antiqua" w:hAnsi="Book Antiqua"/>
        </w:rPr>
        <w:t>5</w:t>
      </w:r>
      <w:r w:rsidR="001D314D" w:rsidRPr="009F42E6">
        <w:rPr>
          <w:rFonts w:ascii="Book Antiqua" w:hAnsi="Book Antiqua"/>
        </w:rPr>
        <w:t xml:space="preserve"> of patients on </w:t>
      </w:r>
      <w:proofErr w:type="spellStart"/>
      <w:r w:rsidR="001D314D" w:rsidRPr="009F42E6">
        <w:rPr>
          <w:rFonts w:ascii="Book Antiqua" w:hAnsi="Book Antiqua"/>
        </w:rPr>
        <w:t>thrombolytics</w:t>
      </w:r>
      <w:proofErr w:type="spellEnd"/>
      <w:r w:rsidR="00BC6994" w:rsidRPr="009F42E6">
        <w:rPr>
          <w:rFonts w:ascii="Book Antiqua" w:hAnsi="Book Antiqua"/>
        </w:rPr>
        <w:t xml:space="preserve"> can have minor bleeding, 1% serious bleeding including intracranial hemorrhage. </w:t>
      </w:r>
      <w:r w:rsidR="00AD661C" w:rsidRPr="009F42E6">
        <w:rPr>
          <w:rFonts w:ascii="Book Antiqua" w:hAnsi="Book Antiqua"/>
        </w:rPr>
        <w:t xml:space="preserve"> At the present time, there is no guideline about doing endoscopic procedures</w:t>
      </w:r>
      <w:r w:rsidR="005F3AC4" w:rsidRPr="009F42E6">
        <w:rPr>
          <w:rFonts w:ascii="Book Antiqua" w:hAnsi="Book Antiqua"/>
        </w:rPr>
        <w:t xml:space="preserve"> on patients who received thrombolytic therapy.</w:t>
      </w:r>
      <w:r w:rsidR="008C3A49" w:rsidRPr="009F42E6">
        <w:rPr>
          <w:rFonts w:ascii="Book Antiqua" w:hAnsi="Book Antiqua"/>
        </w:rPr>
        <w:t xml:space="preserve"> In patients with acute myocardial infarction and overt upper gastrointestinal bleeding, upper e</w:t>
      </w:r>
      <w:r w:rsidR="00B75512" w:rsidRPr="009F42E6">
        <w:rPr>
          <w:rFonts w:ascii="Book Antiqua" w:hAnsi="Book Antiqua"/>
        </w:rPr>
        <w:t>ndoscopy prior to cardiac cathe</w:t>
      </w:r>
      <w:r w:rsidR="008C3A49" w:rsidRPr="009F42E6">
        <w:rPr>
          <w:rFonts w:ascii="Book Antiqua" w:hAnsi="Book Antiqua"/>
        </w:rPr>
        <w:t xml:space="preserve">terization has been advocated </w:t>
      </w:r>
      <w:r w:rsidR="005C01C8" w:rsidRPr="009F42E6">
        <w:rPr>
          <w:rFonts w:ascii="Book Antiqua" w:hAnsi="Book Antiqua"/>
        </w:rPr>
        <w:t xml:space="preserve">as platelet inhibition and anticoagulation are needed post percutaneous coronary </w:t>
      </w:r>
      <w:proofErr w:type="gramStart"/>
      <w:r w:rsidR="005C01C8" w:rsidRPr="009F42E6">
        <w:rPr>
          <w:rFonts w:ascii="Book Antiqua" w:hAnsi="Book Antiqua"/>
        </w:rPr>
        <w:t>intervention</w:t>
      </w:r>
      <w:r w:rsidR="00E32AFA" w:rsidRPr="00E32AFA">
        <w:rPr>
          <w:rFonts w:ascii="Book Antiqua" w:eastAsia="宋体" w:hAnsi="Book Antiqua" w:hint="eastAsia"/>
          <w:vertAlign w:val="superscript"/>
          <w:lang w:eastAsia="zh-CN"/>
        </w:rPr>
        <w:t>[</w:t>
      </w:r>
      <w:proofErr w:type="gramEnd"/>
      <w:r w:rsidR="00130569" w:rsidRPr="00E32AFA">
        <w:rPr>
          <w:rFonts w:ascii="Book Antiqua" w:hAnsi="Book Antiqua"/>
          <w:vertAlign w:val="superscript"/>
        </w:rPr>
        <w:t>14</w:t>
      </w:r>
      <w:r w:rsidR="00E32AFA" w:rsidRPr="00E32AFA">
        <w:rPr>
          <w:rFonts w:ascii="Book Antiqua" w:eastAsia="宋体" w:hAnsi="Book Antiqua" w:hint="eastAsia"/>
          <w:vertAlign w:val="superscript"/>
          <w:lang w:eastAsia="zh-CN"/>
        </w:rPr>
        <w:t>]</w:t>
      </w:r>
      <w:r w:rsidR="008C3A49" w:rsidRPr="009F42E6">
        <w:rPr>
          <w:rFonts w:ascii="Book Antiqua" w:hAnsi="Book Antiqua"/>
        </w:rPr>
        <w:t>.</w:t>
      </w:r>
      <w:r w:rsidR="007022B0" w:rsidRPr="009F42E6">
        <w:rPr>
          <w:rFonts w:ascii="Book Antiqua" w:hAnsi="Book Antiqua"/>
        </w:rPr>
        <w:t xml:space="preserve"> </w:t>
      </w:r>
    </w:p>
    <w:p w14:paraId="1BCAC8A8" w14:textId="77777777" w:rsidR="00E32AFA" w:rsidRPr="00E32AFA" w:rsidRDefault="00E32AFA" w:rsidP="00B83F55">
      <w:pPr>
        <w:spacing w:line="360" w:lineRule="auto"/>
        <w:jc w:val="both"/>
        <w:rPr>
          <w:rFonts w:ascii="Book Antiqua" w:eastAsia="宋体" w:hAnsi="Book Antiqua"/>
          <w:lang w:eastAsia="zh-CN"/>
        </w:rPr>
      </w:pPr>
    </w:p>
    <w:p w14:paraId="370C2563" w14:textId="1BA2690F" w:rsidR="00EA3EF8" w:rsidRPr="00E32AFA" w:rsidRDefault="00E32AFA" w:rsidP="00B83F55">
      <w:pPr>
        <w:spacing w:line="360" w:lineRule="auto"/>
        <w:jc w:val="both"/>
        <w:rPr>
          <w:rFonts w:ascii="Book Antiqua" w:eastAsia="宋体" w:hAnsi="Book Antiqua"/>
          <w:b/>
          <w:lang w:eastAsia="zh-CN"/>
        </w:rPr>
      </w:pPr>
      <w:r w:rsidRPr="009F42E6">
        <w:rPr>
          <w:rFonts w:ascii="Book Antiqua" w:hAnsi="Book Antiqua"/>
          <w:b/>
        </w:rPr>
        <w:t>GUIDELINES</w:t>
      </w:r>
    </w:p>
    <w:p w14:paraId="152FC568" w14:textId="20D05339" w:rsidR="00CD6627" w:rsidRDefault="00CD6627" w:rsidP="00B83F55">
      <w:pPr>
        <w:spacing w:line="360" w:lineRule="auto"/>
        <w:jc w:val="both"/>
        <w:rPr>
          <w:rFonts w:ascii="Book Antiqua" w:eastAsia="宋体" w:hAnsi="Book Antiqua"/>
          <w:lang w:eastAsia="zh-CN"/>
        </w:rPr>
      </w:pPr>
      <w:r w:rsidRPr="009F42E6">
        <w:rPr>
          <w:rFonts w:ascii="Book Antiqua" w:hAnsi="Book Antiqua"/>
        </w:rPr>
        <w:t xml:space="preserve">Before doing </w:t>
      </w:r>
      <w:r w:rsidR="009B6D46" w:rsidRPr="009F42E6">
        <w:rPr>
          <w:rFonts w:ascii="Book Antiqua" w:hAnsi="Book Antiqua"/>
        </w:rPr>
        <w:t>an elective endoscopic procedure for</w:t>
      </w:r>
      <w:r w:rsidRPr="009F42E6">
        <w:rPr>
          <w:rFonts w:ascii="Book Antiqua" w:hAnsi="Book Antiqua"/>
        </w:rPr>
        <w:t xml:space="preserve"> patients on blood thinners, we must evaluate whether the p</w:t>
      </w:r>
      <w:r w:rsidR="00D91B76" w:rsidRPr="009F42E6">
        <w:rPr>
          <w:rFonts w:ascii="Book Antiqua" w:hAnsi="Book Antiqua"/>
        </w:rPr>
        <w:t>atient has high-</w:t>
      </w:r>
      <w:r w:rsidR="006607F7" w:rsidRPr="009F42E6">
        <w:rPr>
          <w:rFonts w:ascii="Book Antiqua" w:hAnsi="Book Antiqua"/>
        </w:rPr>
        <w:t xml:space="preserve">risk </w:t>
      </w:r>
      <w:r w:rsidRPr="009F42E6">
        <w:rPr>
          <w:rFonts w:ascii="Book Antiqua" w:hAnsi="Book Antiqua"/>
        </w:rPr>
        <w:t>or low</w:t>
      </w:r>
      <w:r w:rsidR="00D91B76" w:rsidRPr="009F42E6">
        <w:rPr>
          <w:rFonts w:ascii="Book Antiqua" w:hAnsi="Book Antiqua"/>
        </w:rPr>
        <w:t>-</w:t>
      </w:r>
      <w:r w:rsidRPr="009F42E6">
        <w:rPr>
          <w:rFonts w:ascii="Book Antiqua" w:hAnsi="Book Antiqua"/>
        </w:rPr>
        <w:t xml:space="preserve"> risk condition and </w:t>
      </w:r>
      <w:r w:rsidR="006607F7" w:rsidRPr="009F42E6">
        <w:rPr>
          <w:rFonts w:ascii="Book Antiqua" w:hAnsi="Book Antiqua"/>
        </w:rPr>
        <w:t>whether it is a high-risk or low-risk endoscopic procedure.</w:t>
      </w:r>
    </w:p>
    <w:p w14:paraId="40A53586" w14:textId="77777777" w:rsidR="00E32AFA" w:rsidRPr="00E32AFA" w:rsidRDefault="00E32AFA" w:rsidP="00B83F55">
      <w:pPr>
        <w:spacing w:line="360" w:lineRule="auto"/>
        <w:jc w:val="both"/>
        <w:rPr>
          <w:rFonts w:ascii="Book Antiqua" w:eastAsia="宋体" w:hAnsi="Book Antiqua"/>
          <w:lang w:eastAsia="zh-CN"/>
        </w:rPr>
      </w:pPr>
    </w:p>
    <w:p w14:paraId="3A0980F1" w14:textId="77777777" w:rsidR="00E32AFA" w:rsidRPr="00E32AFA" w:rsidRDefault="00D91B76" w:rsidP="00B83F55">
      <w:pPr>
        <w:spacing w:line="360" w:lineRule="auto"/>
        <w:jc w:val="both"/>
        <w:rPr>
          <w:rFonts w:ascii="Book Antiqua" w:eastAsia="宋体" w:hAnsi="Book Antiqua"/>
          <w:b/>
          <w:i/>
          <w:lang w:eastAsia="zh-CN"/>
        </w:rPr>
      </w:pPr>
      <w:r w:rsidRPr="00E32AFA">
        <w:rPr>
          <w:rFonts w:ascii="Book Antiqua" w:hAnsi="Book Antiqua"/>
          <w:b/>
          <w:i/>
        </w:rPr>
        <w:t>Low-</w:t>
      </w:r>
      <w:r w:rsidR="00E32AFA" w:rsidRPr="00E32AFA">
        <w:rPr>
          <w:rFonts w:ascii="Book Antiqua" w:hAnsi="Book Antiqua"/>
          <w:b/>
          <w:i/>
        </w:rPr>
        <w:t>risk conditions</w:t>
      </w:r>
    </w:p>
    <w:p w14:paraId="287A20CC" w14:textId="40DECC54" w:rsidR="00D91B76" w:rsidRPr="009F42E6" w:rsidRDefault="00E32AFA" w:rsidP="00B83F55">
      <w:pPr>
        <w:spacing w:line="360" w:lineRule="auto"/>
        <w:jc w:val="both"/>
        <w:rPr>
          <w:rFonts w:ascii="Book Antiqua" w:hAnsi="Book Antiqua"/>
        </w:rPr>
      </w:pPr>
      <w:proofErr w:type="gramStart"/>
      <w:r w:rsidRPr="00E32AFA">
        <w:rPr>
          <w:rFonts w:ascii="Book Antiqua" w:hAnsi="Book Antiqua"/>
        </w:rPr>
        <w:t xml:space="preserve">Low-risk </w:t>
      </w:r>
      <w:proofErr w:type="spellStart"/>
      <w:r w:rsidRPr="00E32AFA">
        <w:rPr>
          <w:rFonts w:ascii="Book Antiqua" w:hAnsi="Book Antiqua"/>
        </w:rPr>
        <w:t>conditions</w:t>
      </w:r>
      <w:r w:rsidR="009B6D46" w:rsidRPr="009F42E6">
        <w:rPr>
          <w:rFonts w:ascii="Book Antiqua" w:hAnsi="Book Antiqua"/>
        </w:rPr>
        <w:t>have</w:t>
      </w:r>
      <w:proofErr w:type="spellEnd"/>
      <w:r w:rsidR="009B6D46" w:rsidRPr="009F42E6">
        <w:rPr>
          <w:rFonts w:ascii="Book Antiqua" w:hAnsi="Book Antiqua"/>
        </w:rPr>
        <w:t xml:space="preserve"> low risk of thromboembolic events after temporary interruption of blood thinners</w:t>
      </w:r>
      <w:r w:rsidR="00F277EF" w:rsidRPr="009F42E6">
        <w:rPr>
          <w:rFonts w:ascii="Book Antiqua" w:hAnsi="Book Antiqua"/>
        </w:rPr>
        <w:t xml:space="preserve"> (absolute risk less than 2 per</w:t>
      </w:r>
      <w:r w:rsidR="002C17AC" w:rsidRPr="009F42E6">
        <w:rPr>
          <w:rFonts w:ascii="Book Antiqua" w:hAnsi="Book Antiqua"/>
        </w:rPr>
        <w:t xml:space="preserve"> 1000 patients)</w:t>
      </w:r>
      <w:r w:rsidR="009B6D46" w:rsidRPr="009F42E6">
        <w:rPr>
          <w:rFonts w:ascii="Book Antiqua" w:hAnsi="Book Antiqua"/>
        </w:rPr>
        <w:t>.</w:t>
      </w:r>
      <w:proofErr w:type="gramEnd"/>
      <w:r w:rsidR="009B6D46" w:rsidRPr="009F42E6">
        <w:rPr>
          <w:rFonts w:ascii="Book Antiqua" w:hAnsi="Book Antiqua"/>
        </w:rPr>
        <w:t xml:space="preserve"> These include deep venous thrombosis, non</w:t>
      </w:r>
      <w:r w:rsidR="005F5F5C" w:rsidRPr="009F42E6">
        <w:rPr>
          <w:rFonts w:ascii="Book Antiqua" w:hAnsi="Book Antiqua"/>
        </w:rPr>
        <w:t>-</w:t>
      </w:r>
      <w:proofErr w:type="spellStart"/>
      <w:r w:rsidR="009B6D46" w:rsidRPr="009F42E6">
        <w:rPr>
          <w:rFonts w:ascii="Book Antiqua" w:hAnsi="Book Antiqua"/>
        </w:rPr>
        <w:t>valvular</w:t>
      </w:r>
      <w:proofErr w:type="spellEnd"/>
      <w:r w:rsidR="009B6D46" w:rsidRPr="009F42E6">
        <w:rPr>
          <w:rFonts w:ascii="Book Antiqua" w:hAnsi="Book Antiqua"/>
        </w:rPr>
        <w:t xml:space="preserve"> atrial fibrillation, biologic heart valve, mechanical heart valve in the aort</w:t>
      </w:r>
      <w:r w:rsidR="00CF54AE" w:rsidRPr="009F42E6">
        <w:rPr>
          <w:rFonts w:ascii="Book Antiqua" w:hAnsi="Book Antiqua"/>
        </w:rPr>
        <w:t xml:space="preserve">ic </w:t>
      </w:r>
      <w:proofErr w:type="gramStart"/>
      <w:r w:rsidR="00CF54AE" w:rsidRPr="009F42E6">
        <w:rPr>
          <w:rFonts w:ascii="Book Antiqua" w:hAnsi="Book Antiqua"/>
        </w:rPr>
        <w:t>p</w:t>
      </w:r>
      <w:r w:rsidR="00130569" w:rsidRPr="009F42E6">
        <w:rPr>
          <w:rFonts w:ascii="Book Antiqua" w:hAnsi="Book Antiqua"/>
        </w:rPr>
        <w:t>osition</w:t>
      </w:r>
      <w:r w:rsidRPr="00E32AFA">
        <w:rPr>
          <w:rFonts w:ascii="Book Antiqua" w:eastAsia="宋体" w:hAnsi="Book Antiqua" w:hint="eastAsia"/>
          <w:vertAlign w:val="superscript"/>
          <w:lang w:eastAsia="zh-CN"/>
        </w:rPr>
        <w:t>[</w:t>
      </w:r>
      <w:proofErr w:type="gramEnd"/>
      <w:r w:rsidR="00130569" w:rsidRPr="00E32AFA">
        <w:rPr>
          <w:rFonts w:ascii="Book Antiqua" w:hAnsi="Book Antiqua"/>
          <w:vertAlign w:val="superscript"/>
        </w:rPr>
        <w:t>15</w:t>
      </w:r>
      <w:r w:rsidRPr="00E32AFA">
        <w:rPr>
          <w:rFonts w:ascii="Book Antiqua" w:eastAsia="宋体" w:hAnsi="Book Antiqua" w:hint="eastAsia"/>
          <w:vertAlign w:val="superscript"/>
          <w:lang w:eastAsia="zh-CN"/>
        </w:rPr>
        <w:t>]</w:t>
      </w:r>
      <w:r w:rsidR="0072332E" w:rsidRPr="009F42E6">
        <w:rPr>
          <w:rFonts w:ascii="Book Antiqua" w:hAnsi="Book Antiqua"/>
        </w:rPr>
        <w:t>.</w:t>
      </w:r>
    </w:p>
    <w:p w14:paraId="0F959CE6" w14:textId="6C586AAA" w:rsidR="00E32AFA" w:rsidRPr="00E32AFA" w:rsidRDefault="00E32AFA" w:rsidP="00B83F55">
      <w:pPr>
        <w:spacing w:line="360" w:lineRule="auto"/>
        <w:jc w:val="both"/>
        <w:rPr>
          <w:rFonts w:ascii="Book Antiqua" w:eastAsia="宋体" w:hAnsi="Book Antiqua"/>
          <w:b/>
          <w:i/>
          <w:lang w:eastAsia="zh-CN"/>
        </w:rPr>
      </w:pPr>
      <w:r w:rsidRPr="00E32AFA">
        <w:rPr>
          <w:rFonts w:ascii="Book Antiqua" w:hAnsi="Book Antiqua"/>
          <w:b/>
          <w:i/>
        </w:rPr>
        <w:t>High-risk conditions</w:t>
      </w:r>
    </w:p>
    <w:p w14:paraId="7832FB56" w14:textId="2B413F1A" w:rsidR="009B6D46" w:rsidRDefault="00D91B76" w:rsidP="00B83F55">
      <w:pPr>
        <w:spacing w:line="360" w:lineRule="auto"/>
        <w:jc w:val="both"/>
        <w:rPr>
          <w:rFonts w:ascii="Book Antiqua" w:eastAsia="宋体" w:hAnsi="Book Antiqua"/>
          <w:lang w:eastAsia="zh-CN"/>
        </w:rPr>
      </w:pPr>
      <w:r w:rsidRPr="00E32AFA">
        <w:rPr>
          <w:rFonts w:ascii="Book Antiqua" w:hAnsi="Book Antiqua"/>
        </w:rPr>
        <w:t>High-</w:t>
      </w:r>
      <w:r w:rsidR="009B6D46" w:rsidRPr="00E32AFA">
        <w:rPr>
          <w:rFonts w:ascii="Book Antiqua" w:hAnsi="Book Antiqua"/>
        </w:rPr>
        <w:t>risk conditions</w:t>
      </w:r>
      <w:r w:rsidR="00E32AFA" w:rsidRPr="00E32AFA">
        <w:rPr>
          <w:rFonts w:ascii="Book Antiqua" w:eastAsia="宋体" w:hAnsi="Book Antiqua" w:hint="eastAsia"/>
          <w:lang w:eastAsia="zh-CN"/>
        </w:rPr>
        <w:t xml:space="preserve"> </w:t>
      </w:r>
      <w:r w:rsidR="009B6D46" w:rsidRPr="009F42E6">
        <w:rPr>
          <w:rFonts w:ascii="Book Antiqua" w:hAnsi="Book Antiqua"/>
        </w:rPr>
        <w:t>have high risk of thromboembolic events after temporary interruption of blood thinners</w:t>
      </w:r>
      <w:r w:rsidR="002C17AC" w:rsidRPr="009F42E6">
        <w:rPr>
          <w:rFonts w:ascii="Book Antiqua" w:hAnsi="Book Antiqua"/>
        </w:rPr>
        <w:t xml:space="preserve"> (absolute risk more than 2 per 1000 patients)</w:t>
      </w:r>
      <w:r w:rsidR="009B6D46" w:rsidRPr="009F42E6">
        <w:rPr>
          <w:rFonts w:ascii="Book Antiqua" w:hAnsi="Book Antiqua"/>
        </w:rPr>
        <w:t xml:space="preserve">. These include </w:t>
      </w:r>
      <w:proofErr w:type="spellStart"/>
      <w:r w:rsidR="009B6D46" w:rsidRPr="009F42E6">
        <w:rPr>
          <w:rFonts w:ascii="Book Antiqua" w:hAnsi="Book Antiqua"/>
        </w:rPr>
        <w:t>valvular</w:t>
      </w:r>
      <w:proofErr w:type="spellEnd"/>
      <w:r w:rsidR="009B6D46" w:rsidRPr="009F42E6">
        <w:rPr>
          <w:rFonts w:ascii="Book Antiqua" w:hAnsi="Book Antiqua"/>
        </w:rPr>
        <w:t xml:space="preserve"> atrial fibrillation</w:t>
      </w:r>
      <w:r w:rsidR="0081503C" w:rsidRPr="009F42E6">
        <w:rPr>
          <w:rFonts w:ascii="Book Antiqua" w:hAnsi="Book Antiqua"/>
        </w:rPr>
        <w:t xml:space="preserve"> (AF) or AF associated with other risk factors (prosthetic heart valve, congestive heart failure with ejection fraction of &lt;</w:t>
      </w:r>
      <w:r w:rsidR="00E32AFA">
        <w:rPr>
          <w:rFonts w:ascii="Book Antiqua" w:eastAsia="宋体" w:hAnsi="Book Antiqua" w:hint="eastAsia"/>
          <w:lang w:eastAsia="zh-CN"/>
        </w:rPr>
        <w:t xml:space="preserve"> </w:t>
      </w:r>
      <w:r w:rsidR="0081503C" w:rsidRPr="009F42E6">
        <w:rPr>
          <w:rFonts w:ascii="Book Antiqua" w:hAnsi="Book Antiqua"/>
        </w:rPr>
        <w:t>35%</w:t>
      </w:r>
      <w:r w:rsidR="009B6D46" w:rsidRPr="009F42E6">
        <w:rPr>
          <w:rFonts w:ascii="Book Antiqua" w:hAnsi="Book Antiqua"/>
        </w:rPr>
        <w:t xml:space="preserve">, </w:t>
      </w:r>
      <w:r w:rsidR="0081503C" w:rsidRPr="009F42E6">
        <w:rPr>
          <w:rFonts w:ascii="Book Antiqua" w:hAnsi="Book Antiqua"/>
        </w:rPr>
        <w:t>history of thromboembolism, diabetes mellitus, hypertension or age &gt;</w:t>
      </w:r>
      <w:r w:rsidR="00E32AFA">
        <w:rPr>
          <w:rFonts w:ascii="Book Antiqua" w:eastAsia="宋体" w:hAnsi="Book Antiqua" w:hint="eastAsia"/>
          <w:lang w:eastAsia="zh-CN"/>
        </w:rPr>
        <w:t xml:space="preserve"> </w:t>
      </w:r>
      <w:r w:rsidR="0081503C" w:rsidRPr="009F42E6">
        <w:rPr>
          <w:rFonts w:ascii="Book Antiqua" w:hAnsi="Book Antiqua"/>
        </w:rPr>
        <w:t xml:space="preserve">75), </w:t>
      </w:r>
      <w:r w:rsidR="009B6D46" w:rsidRPr="009F42E6">
        <w:rPr>
          <w:rFonts w:ascii="Book Antiqua" w:hAnsi="Book Antiqua"/>
        </w:rPr>
        <w:t xml:space="preserve">coronary artery stenting </w:t>
      </w:r>
      <w:r w:rsidR="00D3560B" w:rsidRPr="009F42E6">
        <w:rPr>
          <w:rFonts w:ascii="Book Antiqua" w:hAnsi="Book Antiqua"/>
        </w:rPr>
        <w:t xml:space="preserve"> - bare metal less than 1 month, drug-eluting less than 12 </w:t>
      </w:r>
      <w:proofErr w:type="spellStart"/>
      <w:r w:rsidR="00E32AFA">
        <w:rPr>
          <w:rFonts w:ascii="Book Antiqua" w:eastAsia="宋体" w:hAnsi="Book Antiqua" w:hint="eastAsia"/>
          <w:lang w:eastAsia="zh-CN"/>
        </w:rPr>
        <w:t>mo</w:t>
      </w:r>
      <w:proofErr w:type="spellEnd"/>
      <w:r w:rsidR="00D3560B" w:rsidRPr="009F42E6">
        <w:rPr>
          <w:rFonts w:ascii="Book Antiqua" w:hAnsi="Book Antiqua"/>
        </w:rPr>
        <w:t xml:space="preserve">, mechanical heart valve in the mitral position, mechanical heart valve in any </w:t>
      </w:r>
      <w:r w:rsidR="00D3560B" w:rsidRPr="009F42E6">
        <w:rPr>
          <w:rFonts w:ascii="Book Antiqua" w:hAnsi="Book Antiqua"/>
        </w:rPr>
        <w:lastRenderedPageBreak/>
        <w:t xml:space="preserve">position with history of thromboembolism, </w:t>
      </w:r>
      <w:r w:rsidR="0081503C" w:rsidRPr="009F42E6">
        <w:rPr>
          <w:rFonts w:ascii="Book Antiqua" w:hAnsi="Book Antiqua"/>
        </w:rPr>
        <w:t>acute</w:t>
      </w:r>
      <w:r w:rsidR="0005761E" w:rsidRPr="009F42E6">
        <w:rPr>
          <w:rFonts w:ascii="Book Antiqua" w:hAnsi="Book Antiqua"/>
        </w:rPr>
        <w:t xml:space="preserve"> coronary artery syndrome, </w:t>
      </w:r>
      <w:r w:rsidR="0081503C" w:rsidRPr="009F42E6">
        <w:rPr>
          <w:rFonts w:ascii="Book Antiqua" w:hAnsi="Book Antiqua"/>
        </w:rPr>
        <w:t xml:space="preserve">percutaneous </w:t>
      </w:r>
      <w:r w:rsidR="00E240FD" w:rsidRPr="009F42E6">
        <w:rPr>
          <w:rFonts w:ascii="Book Antiqua" w:hAnsi="Book Antiqua"/>
        </w:rPr>
        <w:t xml:space="preserve">coronary </w:t>
      </w:r>
      <w:r w:rsidR="0081503C" w:rsidRPr="009F42E6">
        <w:rPr>
          <w:rFonts w:ascii="Book Antiqua" w:hAnsi="Book Antiqua"/>
        </w:rPr>
        <w:t xml:space="preserve">intervention  </w:t>
      </w:r>
      <w:r w:rsidR="0005761E" w:rsidRPr="009F42E6">
        <w:rPr>
          <w:rFonts w:ascii="Book Antiqua" w:hAnsi="Book Antiqua"/>
        </w:rPr>
        <w:t>without coronary artery stenting after  myocardial infarction</w:t>
      </w:r>
      <w:r w:rsidR="0072332E" w:rsidRPr="009F42E6">
        <w:rPr>
          <w:rFonts w:ascii="Book Antiqua" w:hAnsi="Book Antiqua"/>
        </w:rPr>
        <w:t>.</w:t>
      </w:r>
    </w:p>
    <w:p w14:paraId="40FA0886" w14:textId="77777777" w:rsidR="00E32AFA" w:rsidRPr="00E32AFA" w:rsidRDefault="00E32AFA" w:rsidP="00B83F55">
      <w:pPr>
        <w:spacing w:line="360" w:lineRule="auto"/>
        <w:jc w:val="both"/>
        <w:rPr>
          <w:rFonts w:ascii="Book Antiqua" w:eastAsia="宋体" w:hAnsi="Book Antiqua"/>
          <w:lang w:eastAsia="zh-CN"/>
        </w:rPr>
      </w:pPr>
    </w:p>
    <w:p w14:paraId="011E85AA" w14:textId="0CDACD13" w:rsidR="00E32AFA" w:rsidRPr="00E32AFA" w:rsidRDefault="00E32AFA" w:rsidP="00B83F55">
      <w:pPr>
        <w:spacing w:line="360" w:lineRule="auto"/>
        <w:jc w:val="both"/>
        <w:rPr>
          <w:rFonts w:ascii="Book Antiqua" w:eastAsia="宋体" w:hAnsi="Book Antiqua"/>
          <w:i/>
          <w:lang w:eastAsia="zh-CN"/>
        </w:rPr>
      </w:pPr>
      <w:r w:rsidRPr="00E32AFA">
        <w:rPr>
          <w:rFonts w:ascii="Book Antiqua" w:hAnsi="Book Antiqua"/>
          <w:b/>
          <w:i/>
        </w:rPr>
        <w:t>Low-risk procedures:</w:t>
      </w:r>
    </w:p>
    <w:p w14:paraId="568C27FA" w14:textId="6B235828" w:rsidR="002723AA" w:rsidRPr="009F42E6" w:rsidRDefault="00E32AFA" w:rsidP="00B83F55">
      <w:pPr>
        <w:spacing w:line="360" w:lineRule="auto"/>
        <w:jc w:val="both"/>
        <w:rPr>
          <w:rFonts w:ascii="Book Antiqua" w:hAnsi="Book Antiqua"/>
        </w:rPr>
      </w:pPr>
      <w:r w:rsidRPr="009F42E6">
        <w:rPr>
          <w:rFonts w:ascii="Book Antiqua" w:hAnsi="Book Antiqua"/>
        </w:rPr>
        <w:t xml:space="preserve">In </w:t>
      </w:r>
      <w:r w:rsidR="0072332E" w:rsidRPr="009F42E6">
        <w:rPr>
          <w:rFonts w:ascii="Book Antiqua" w:hAnsi="Book Antiqua"/>
        </w:rPr>
        <w:t>the absence of blood thinners, the risk of clinically signific</w:t>
      </w:r>
      <w:r w:rsidR="00130569" w:rsidRPr="009F42E6">
        <w:rPr>
          <w:rFonts w:ascii="Book Antiqua" w:hAnsi="Book Antiqua"/>
        </w:rPr>
        <w:t>ant bleeding is less than 1%</w:t>
      </w:r>
      <w:r w:rsidRPr="00E32AFA">
        <w:rPr>
          <w:rFonts w:ascii="Book Antiqua" w:eastAsia="宋体" w:hAnsi="Book Antiqua" w:hint="eastAsia"/>
          <w:vertAlign w:val="superscript"/>
          <w:lang w:eastAsia="zh-CN"/>
        </w:rPr>
        <w:t>[</w:t>
      </w:r>
      <w:r w:rsidR="00130569" w:rsidRPr="00E32AFA">
        <w:rPr>
          <w:rFonts w:ascii="Book Antiqua" w:hAnsi="Book Antiqua"/>
          <w:vertAlign w:val="superscript"/>
        </w:rPr>
        <w:t>16</w:t>
      </w:r>
      <w:r w:rsidRPr="00E32AFA">
        <w:rPr>
          <w:rFonts w:ascii="Book Antiqua" w:eastAsia="宋体" w:hAnsi="Book Antiqua" w:hint="eastAsia"/>
          <w:vertAlign w:val="superscript"/>
          <w:lang w:eastAsia="zh-CN"/>
        </w:rPr>
        <w:t>]</w:t>
      </w:r>
      <w:r w:rsidR="0072332E" w:rsidRPr="009F42E6">
        <w:rPr>
          <w:rFonts w:ascii="Book Antiqua" w:hAnsi="Book Antiqua"/>
        </w:rPr>
        <w:t xml:space="preserve">. These </w:t>
      </w:r>
      <w:r w:rsidR="002723AA" w:rsidRPr="009F42E6">
        <w:rPr>
          <w:rFonts w:ascii="Book Antiqua" w:hAnsi="Book Antiqua"/>
        </w:rPr>
        <w:t xml:space="preserve">include diagnostic </w:t>
      </w:r>
      <w:proofErr w:type="spellStart"/>
      <w:r w:rsidR="003B316B" w:rsidRPr="009F42E6">
        <w:rPr>
          <w:rFonts w:ascii="Book Antiqua" w:hAnsi="Book Antiqua"/>
        </w:rPr>
        <w:t>Diagnostic</w:t>
      </w:r>
      <w:proofErr w:type="spellEnd"/>
      <w:r w:rsidR="003B316B" w:rsidRPr="009F42E6">
        <w:rPr>
          <w:rFonts w:ascii="Book Antiqua" w:hAnsi="Book Antiqua"/>
        </w:rPr>
        <w:t xml:space="preserve"> </w:t>
      </w:r>
      <w:r w:rsidR="002723AA" w:rsidRPr="009F42E6">
        <w:rPr>
          <w:rFonts w:ascii="Book Antiqua" w:hAnsi="Book Antiqua"/>
        </w:rPr>
        <w:t xml:space="preserve">esophagogastroduodenoscopy, colonoscopy and flexible </w:t>
      </w:r>
      <w:proofErr w:type="spellStart"/>
      <w:r w:rsidR="002723AA" w:rsidRPr="009F42E6">
        <w:rPr>
          <w:rFonts w:ascii="Book Antiqua" w:hAnsi="Book Antiqua"/>
        </w:rPr>
        <w:t>sigmoidoscopy</w:t>
      </w:r>
      <w:proofErr w:type="spellEnd"/>
      <w:r w:rsidR="002723AA" w:rsidRPr="009F42E6">
        <w:rPr>
          <w:rFonts w:ascii="Book Antiqua" w:hAnsi="Book Antiqua"/>
        </w:rPr>
        <w:t xml:space="preserve"> with or without biopsy, </w:t>
      </w:r>
      <w:r w:rsidR="0094458F" w:rsidRPr="009F42E6">
        <w:rPr>
          <w:rFonts w:ascii="Book Antiqua" w:hAnsi="Book Antiqua"/>
        </w:rPr>
        <w:t xml:space="preserve">Argon plasma coagulation, </w:t>
      </w:r>
      <w:r w:rsidR="003B316B" w:rsidRPr="009F42E6">
        <w:rPr>
          <w:rFonts w:ascii="Book Antiqua" w:hAnsi="Book Antiqua"/>
        </w:rPr>
        <w:t xml:space="preserve">Barrett’s ablation, </w:t>
      </w:r>
      <w:r w:rsidR="002723AA" w:rsidRPr="009F42E6">
        <w:rPr>
          <w:rFonts w:ascii="Book Antiqua" w:hAnsi="Book Antiqua"/>
        </w:rPr>
        <w:t xml:space="preserve">ERCP without </w:t>
      </w:r>
      <w:proofErr w:type="spellStart"/>
      <w:r w:rsidR="002723AA" w:rsidRPr="009F42E6">
        <w:rPr>
          <w:rFonts w:ascii="Book Antiqua" w:hAnsi="Book Antiqua"/>
        </w:rPr>
        <w:t>sphincterotomy</w:t>
      </w:r>
      <w:proofErr w:type="spellEnd"/>
      <w:r w:rsidR="002723AA" w:rsidRPr="009F42E6">
        <w:rPr>
          <w:rFonts w:ascii="Book Antiqua" w:hAnsi="Book Antiqua"/>
        </w:rPr>
        <w:t xml:space="preserve">, EUS without FNA, </w:t>
      </w:r>
      <w:r w:rsidR="004C0E68" w:rsidRPr="009F42E6">
        <w:rPr>
          <w:rFonts w:ascii="Book Antiqua" w:hAnsi="Book Antiqua"/>
        </w:rPr>
        <w:t xml:space="preserve">push </w:t>
      </w:r>
      <w:proofErr w:type="spellStart"/>
      <w:r w:rsidR="002723AA" w:rsidRPr="009F42E6">
        <w:rPr>
          <w:rFonts w:ascii="Book Antiqua" w:hAnsi="Book Antiqua"/>
        </w:rPr>
        <w:t>enteroscopy</w:t>
      </w:r>
      <w:proofErr w:type="spellEnd"/>
      <w:r w:rsidR="002723AA" w:rsidRPr="009F42E6">
        <w:rPr>
          <w:rFonts w:ascii="Book Antiqua" w:hAnsi="Book Antiqua"/>
        </w:rPr>
        <w:t xml:space="preserve"> with or without biopsy, </w:t>
      </w:r>
      <w:r w:rsidR="005D238F" w:rsidRPr="009F42E6">
        <w:rPr>
          <w:rFonts w:ascii="Book Antiqua" w:hAnsi="Book Antiqua"/>
        </w:rPr>
        <w:t xml:space="preserve">diagnostic balloon-assisted </w:t>
      </w:r>
      <w:proofErr w:type="spellStart"/>
      <w:r w:rsidR="005D238F" w:rsidRPr="009F42E6">
        <w:rPr>
          <w:rFonts w:ascii="Book Antiqua" w:hAnsi="Book Antiqua"/>
        </w:rPr>
        <w:t>enteroscopy</w:t>
      </w:r>
      <w:proofErr w:type="spellEnd"/>
      <w:r w:rsidR="005D238F" w:rsidRPr="009F42E6">
        <w:rPr>
          <w:rFonts w:ascii="Book Antiqua" w:hAnsi="Book Antiqua"/>
        </w:rPr>
        <w:t>,</w:t>
      </w:r>
      <w:r w:rsidR="00335FFD">
        <w:rPr>
          <w:rFonts w:ascii="Book Antiqua" w:hAnsi="Book Antiqua"/>
        </w:rPr>
        <w:t xml:space="preserve"> </w:t>
      </w:r>
      <w:r w:rsidR="003B316B" w:rsidRPr="009F42E6">
        <w:rPr>
          <w:rFonts w:ascii="Book Antiqua" w:hAnsi="Book Antiqua"/>
        </w:rPr>
        <w:t>capsule endos</w:t>
      </w:r>
      <w:r w:rsidR="002723AA" w:rsidRPr="009F42E6">
        <w:rPr>
          <w:rFonts w:ascii="Book Antiqua" w:hAnsi="Book Antiqua"/>
        </w:rPr>
        <w:t>copy and</w:t>
      </w:r>
      <w:r w:rsidR="005D238F" w:rsidRPr="009F42E6">
        <w:rPr>
          <w:rFonts w:ascii="Book Antiqua" w:hAnsi="Book Antiqua"/>
        </w:rPr>
        <w:t xml:space="preserve"> enteral stent placement without dilation</w:t>
      </w:r>
      <w:r w:rsidR="0094458F" w:rsidRPr="009F42E6">
        <w:rPr>
          <w:rFonts w:ascii="Book Antiqua" w:hAnsi="Book Antiqua"/>
        </w:rPr>
        <w:t xml:space="preserve"> (controversial).</w:t>
      </w:r>
    </w:p>
    <w:p w14:paraId="10E31535" w14:textId="77777777" w:rsidR="00E32AFA" w:rsidRDefault="00E32AFA" w:rsidP="00B83F55">
      <w:pPr>
        <w:spacing w:line="360" w:lineRule="auto"/>
        <w:jc w:val="both"/>
        <w:rPr>
          <w:rFonts w:ascii="Book Antiqua" w:eastAsia="宋体" w:hAnsi="Book Antiqua"/>
          <w:b/>
          <w:lang w:eastAsia="zh-CN"/>
        </w:rPr>
      </w:pPr>
    </w:p>
    <w:p w14:paraId="3A0FD26A" w14:textId="77777777" w:rsidR="00E32AFA" w:rsidRPr="00E32AFA" w:rsidRDefault="00D91B76" w:rsidP="00B83F55">
      <w:pPr>
        <w:spacing w:line="360" w:lineRule="auto"/>
        <w:jc w:val="both"/>
        <w:rPr>
          <w:rFonts w:ascii="Book Antiqua" w:eastAsia="宋体" w:hAnsi="Book Antiqua"/>
          <w:b/>
          <w:i/>
          <w:lang w:eastAsia="zh-CN"/>
        </w:rPr>
      </w:pPr>
      <w:r w:rsidRPr="00E32AFA">
        <w:rPr>
          <w:rFonts w:ascii="Book Antiqua" w:hAnsi="Book Antiqua"/>
          <w:b/>
          <w:i/>
        </w:rPr>
        <w:t>High-</w:t>
      </w:r>
      <w:r w:rsidR="005D238F" w:rsidRPr="00E32AFA">
        <w:rPr>
          <w:rFonts w:ascii="Book Antiqua" w:hAnsi="Book Antiqua"/>
          <w:b/>
          <w:i/>
        </w:rPr>
        <w:t>risk procedures</w:t>
      </w:r>
    </w:p>
    <w:p w14:paraId="1E7B6661" w14:textId="0B7F6849" w:rsidR="008920C1" w:rsidRDefault="005403BB" w:rsidP="00B83F55">
      <w:pPr>
        <w:spacing w:line="360" w:lineRule="auto"/>
        <w:jc w:val="both"/>
        <w:rPr>
          <w:rFonts w:ascii="Book Antiqua" w:eastAsia="宋体" w:hAnsi="Book Antiqua"/>
          <w:lang w:eastAsia="zh-CN"/>
        </w:rPr>
      </w:pPr>
      <w:r w:rsidRPr="009F42E6">
        <w:rPr>
          <w:rFonts w:ascii="Book Antiqua" w:hAnsi="Book Antiqua"/>
        </w:rPr>
        <w:t>The risk of clinically significant bleeding is more than 1% in the absence of blood thinners. These</w:t>
      </w:r>
      <w:r w:rsidR="005D238F" w:rsidRPr="009F42E6">
        <w:rPr>
          <w:rFonts w:ascii="Book Antiqua" w:hAnsi="Book Antiqua"/>
        </w:rPr>
        <w:t xml:space="preserve"> include </w:t>
      </w:r>
      <w:proofErr w:type="spellStart"/>
      <w:r w:rsidR="005D238F" w:rsidRPr="009F42E6">
        <w:rPr>
          <w:rFonts w:ascii="Book Antiqua" w:hAnsi="Book Antiqua"/>
        </w:rPr>
        <w:t>polypectomy</w:t>
      </w:r>
      <w:proofErr w:type="spellEnd"/>
      <w:r w:rsidR="005D238F" w:rsidRPr="009F42E6">
        <w:rPr>
          <w:rFonts w:ascii="Book Antiqua" w:hAnsi="Book Antiqua"/>
        </w:rPr>
        <w:t xml:space="preserve">, </w:t>
      </w:r>
      <w:r w:rsidR="00C05DCC" w:rsidRPr="009F42E6">
        <w:rPr>
          <w:rFonts w:ascii="Book Antiqua" w:hAnsi="Book Antiqua"/>
        </w:rPr>
        <w:t xml:space="preserve">treatment of </w:t>
      </w:r>
      <w:proofErr w:type="spellStart"/>
      <w:r w:rsidR="00C05DCC" w:rsidRPr="009F42E6">
        <w:rPr>
          <w:rFonts w:ascii="Book Antiqua" w:hAnsi="Book Antiqua"/>
        </w:rPr>
        <w:t>varices</w:t>
      </w:r>
      <w:proofErr w:type="spellEnd"/>
      <w:r w:rsidR="00C05DCC" w:rsidRPr="009F42E6">
        <w:rPr>
          <w:rFonts w:ascii="Book Antiqua" w:hAnsi="Book Antiqua"/>
        </w:rPr>
        <w:t xml:space="preserve">, </w:t>
      </w:r>
      <w:r w:rsidR="006C3FDC" w:rsidRPr="009F42E6">
        <w:rPr>
          <w:rFonts w:ascii="Book Antiqua" w:hAnsi="Book Antiqua"/>
        </w:rPr>
        <w:t xml:space="preserve">endoscopic hemostasis, </w:t>
      </w:r>
      <w:r w:rsidR="003937C1" w:rsidRPr="009F42E6">
        <w:rPr>
          <w:rFonts w:ascii="Book Antiqua" w:hAnsi="Book Antiqua"/>
        </w:rPr>
        <w:t>percutaneous endosco</w:t>
      </w:r>
      <w:r w:rsidR="00F0201D" w:rsidRPr="009F42E6">
        <w:rPr>
          <w:rFonts w:ascii="Book Antiqua" w:hAnsi="Book Antiqua"/>
        </w:rPr>
        <w:t>pic gastrostomy</w:t>
      </w:r>
      <w:r w:rsidR="00C05DCC" w:rsidRPr="009F42E6">
        <w:rPr>
          <w:rFonts w:ascii="Book Antiqua" w:hAnsi="Book Antiqua"/>
        </w:rPr>
        <w:t xml:space="preserve"> (PEG)</w:t>
      </w:r>
      <w:r w:rsidR="00F0201D" w:rsidRPr="009F42E6">
        <w:rPr>
          <w:rFonts w:ascii="Book Antiqua" w:hAnsi="Book Antiqua"/>
        </w:rPr>
        <w:t xml:space="preserve">, percutaneous endoscopic </w:t>
      </w:r>
      <w:proofErr w:type="spellStart"/>
      <w:r w:rsidR="00F0201D" w:rsidRPr="009F42E6">
        <w:rPr>
          <w:rFonts w:ascii="Book Antiqua" w:hAnsi="Book Antiqua"/>
        </w:rPr>
        <w:t>jejunostomy</w:t>
      </w:r>
      <w:proofErr w:type="spellEnd"/>
      <w:r w:rsidR="00C05DCC" w:rsidRPr="009F42E6">
        <w:rPr>
          <w:rFonts w:ascii="Book Antiqua" w:hAnsi="Book Antiqua"/>
        </w:rPr>
        <w:t xml:space="preserve"> (PEJ)</w:t>
      </w:r>
      <w:r w:rsidR="00F0201D" w:rsidRPr="009F42E6">
        <w:rPr>
          <w:rFonts w:ascii="Book Antiqua" w:hAnsi="Book Antiqua"/>
        </w:rPr>
        <w:t xml:space="preserve">, </w:t>
      </w:r>
      <w:r w:rsidR="006C3FDC" w:rsidRPr="009F42E6">
        <w:rPr>
          <w:rFonts w:ascii="Book Antiqua" w:hAnsi="Book Antiqua"/>
        </w:rPr>
        <w:t xml:space="preserve">pneumatic or </w:t>
      </w:r>
      <w:proofErr w:type="spellStart"/>
      <w:r w:rsidR="006C3FDC" w:rsidRPr="009F42E6">
        <w:rPr>
          <w:rFonts w:ascii="Book Antiqua" w:hAnsi="Book Antiqua"/>
        </w:rPr>
        <w:t>bougie</w:t>
      </w:r>
      <w:proofErr w:type="spellEnd"/>
      <w:r w:rsidR="006C3FDC" w:rsidRPr="009F42E6">
        <w:rPr>
          <w:rFonts w:ascii="Book Antiqua" w:hAnsi="Book Antiqua"/>
        </w:rPr>
        <w:t xml:space="preserve"> dilation, </w:t>
      </w:r>
      <w:r w:rsidR="00C40B2C" w:rsidRPr="009F42E6">
        <w:rPr>
          <w:rFonts w:ascii="Book Antiqua" w:hAnsi="Book Antiqua"/>
        </w:rPr>
        <w:t>pneumatic balloon</w:t>
      </w:r>
      <w:r w:rsidR="00B607E4" w:rsidRPr="009F42E6">
        <w:rPr>
          <w:rFonts w:ascii="Book Antiqua" w:hAnsi="Book Antiqua"/>
        </w:rPr>
        <w:t xml:space="preserve"> dilation</w:t>
      </w:r>
      <w:r w:rsidR="00C40B2C" w:rsidRPr="009F42E6">
        <w:rPr>
          <w:rFonts w:ascii="Book Antiqua" w:hAnsi="Book Antiqua"/>
        </w:rPr>
        <w:t xml:space="preserve"> for achalasia</w:t>
      </w:r>
      <w:r w:rsidR="00B607E4" w:rsidRPr="009F42E6">
        <w:rPr>
          <w:rFonts w:ascii="Book Antiqua" w:hAnsi="Book Antiqua"/>
        </w:rPr>
        <w:t>,</w:t>
      </w:r>
      <w:r w:rsidR="00A01D56" w:rsidRPr="009F42E6">
        <w:rPr>
          <w:rFonts w:ascii="Book Antiqua" w:hAnsi="Book Antiqua"/>
        </w:rPr>
        <w:t xml:space="preserve"> </w:t>
      </w:r>
      <w:r w:rsidR="006C3FDC" w:rsidRPr="009F42E6">
        <w:rPr>
          <w:rFonts w:ascii="Book Antiqua" w:hAnsi="Book Antiqua"/>
        </w:rPr>
        <w:t xml:space="preserve">endoscopic therapy of </w:t>
      </w:r>
      <w:proofErr w:type="spellStart"/>
      <w:r w:rsidR="006C3FDC" w:rsidRPr="009F42E6">
        <w:rPr>
          <w:rFonts w:ascii="Book Antiqua" w:hAnsi="Book Antiqua"/>
        </w:rPr>
        <w:t>Zenker</w:t>
      </w:r>
      <w:r w:rsidR="00DB4C1F" w:rsidRPr="009F42E6">
        <w:rPr>
          <w:rFonts w:ascii="Book Antiqua" w:hAnsi="Book Antiqua"/>
        </w:rPr>
        <w:t>’s</w:t>
      </w:r>
      <w:proofErr w:type="spellEnd"/>
      <w:r w:rsidR="00DB4C1F" w:rsidRPr="009F42E6">
        <w:rPr>
          <w:rFonts w:ascii="Book Antiqua" w:hAnsi="Book Antiqua"/>
        </w:rPr>
        <w:t xml:space="preserve"> diverticulum, </w:t>
      </w:r>
      <w:r w:rsidR="00C40B2C" w:rsidRPr="009F42E6">
        <w:rPr>
          <w:rFonts w:ascii="Book Antiqua" w:hAnsi="Book Antiqua"/>
        </w:rPr>
        <w:t xml:space="preserve">endoscopic mucosal resection (EMR), endoscopic </w:t>
      </w:r>
      <w:proofErr w:type="spellStart"/>
      <w:r w:rsidR="00C40B2C" w:rsidRPr="009F42E6">
        <w:rPr>
          <w:rFonts w:ascii="Book Antiqua" w:hAnsi="Book Antiqua"/>
        </w:rPr>
        <w:t>submucosal</w:t>
      </w:r>
      <w:proofErr w:type="spellEnd"/>
      <w:r w:rsidR="00C40B2C" w:rsidRPr="009F42E6">
        <w:rPr>
          <w:rFonts w:ascii="Book Antiqua" w:hAnsi="Book Antiqua"/>
        </w:rPr>
        <w:t xml:space="preserve"> dissection (ESD), endoscopic tumor ablation by any technique (esophagus, stomach, colon, and rectum), </w:t>
      </w:r>
      <w:r w:rsidR="003937C1" w:rsidRPr="009F42E6">
        <w:rPr>
          <w:rFonts w:ascii="Book Antiqua" w:hAnsi="Book Antiqua"/>
        </w:rPr>
        <w:t xml:space="preserve">therapeutic balloon-assisted </w:t>
      </w:r>
      <w:proofErr w:type="spellStart"/>
      <w:r w:rsidR="003937C1" w:rsidRPr="009F42E6">
        <w:rPr>
          <w:rFonts w:ascii="Book Antiqua" w:hAnsi="Book Antiqua"/>
        </w:rPr>
        <w:t>enteroscopy</w:t>
      </w:r>
      <w:proofErr w:type="spellEnd"/>
      <w:r w:rsidR="00F0201D" w:rsidRPr="009F42E6">
        <w:rPr>
          <w:rFonts w:ascii="Book Antiqua" w:hAnsi="Book Antiqua"/>
        </w:rPr>
        <w:t xml:space="preserve"> (other than argon plasma coagulation)</w:t>
      </w:r>
      <w:r w:rsidR="003937C1" w:rsidRPr="009F42E6">
        <w:rPr>
          <w:rFonts w:ascii="Book Antiqua" w:hAnsi="Book Antiqua"/>
        </w:rPr>
        <w:t xml:space="preserve">, </w:t>
      </w:r>
      <w:r w:rsidR="00C40B2C" w:rsidRPr="009F42E6">
        <w:rPr>
          <w:rFonts w:ascii="Book Antiqua" w:hAnsi="Book Antiqua"/>
        </w:rPr>
        <w:t xml:space="preserve">endoscopic </w:t>
      </w:r>
      <w:proofErr w:type="spellStart"/>
      <w:r w:rsidR="003937C1" w:rsidRPr="009F42E6">
        <w:rPr>
          <w:rFonts w:ascii="Book Antiqua" w:hAnsi="Book Antiqua"/>
        </w:rPr>
        <w:t>sphincterotomy</w:t>
      </w:r>
      <w:proofErr w:type="spellEnd"/>
      <w:r w:rsidR="003937C1" w:rsidRPr="009F42E6">
        <w:rPr>
          <w:rFonts w:ascii="Book Antiqua" w:hAnsi="Book Antiqua"/>
        </w:rPr>
        <w:t xml:space="preserve">, </w:t>
      </w:r>
      <w:proofErr w:type="spellStart"/>
      <w:r w:rsidR="00C05DCC" w:rsidRPr="009F42E6">
        <w:rPr>
          <w:rFonts w:ascii="Book Antiqua" w:hAnsi="Book Antiqua"/>
        </w:rPr>
        <w:t>ampullary</w:t>
      </w:r>
      <w:proofErr w:type="spellEnd"/>
      <w:r w:rsidR="00C05DCC" w:rsidRPr="009F42E6">
        <w:rPr>
          <w:rFonts w:ascii="Book Antiqua" w:hAnsi="Book Antiqua"/>
        </w:rPr>
        <w:t xml:space="preserve"> resection, </w:t>
      </w:r>
      <w:r w:rsidR="003937C1" w:rsidRPr="009F42E6">
        <w:rPr>
          <w:rFonts w:ascii="Book Antiqua" w:hAnsi="Book Antiqua"/>
        </w:rPr>
        <w:t xml:space="preserve">EUS with FNA, </w:t>
      </w:r>
      <w:proofErr w:type="spellStart"/>
      <w:r w:rsidR="00A01D56" w:rsidRPr="009F42E6">
        <w:rPr>
          <w:rFonts w:ascii="Book Antiqua" w:hAnsi="Book Antiqua"/>
        </w:rPr>
        <w:t>cys</w:t>
      </w:r>
      <w:r w:rsidR="0005761E" w:rsidRPr="009F42E6">
        <w:rPr>
          <w:rFonts w:ascii="Book Antiqua" w:hAnsi="Book Antiqua"/>
        </w:rPr>
        <w:t>to</w:t>
      </w:r>
      <w:r w:rsidR="00C40B2C" w:rsidRPr="009F42E6">
        <w:rPr>
          <w:rFonts w:ascii="Book Antiqua" w:hAnsi="Book Antiqua"/>
        </w:rPr>
        <w:t>gastrostomy</w:t>
      </w:r>
      <w:proofErr w:type="spellEnd"/>
      <w:r w:rsidR="00C40B2C" w:rsidRPr="009F42E6">
        <w:rPr>
          <w:rFonts w:ascii="Book Antiqua" w:hAnsi="Book Antiqua"/>
        </w:rPr>
        <w:t xml:space="preserve">, </w:t>
      </w:r>
      <w:proofErr w:type="spellStart"/>
      <w:r w:rsidR="00C40B2C" w:rsidRPr="009F42E6">
        <w:rPr>
          <w:rFonts w:ascii="Book Antiqua" w:hAnsi="Book Antiqua"/>
        </w:rPr>
        <w:t>cystoenterostomy</w:t>
      </w:r>
      <w:proofErr w:type="spellEnd"/>
      <w:r w:rsidR="00C40B2C" w:rsidRPr="009F42E6">
        <w:rPr>
          <w:rFonts w:ascii="Book Antiqua" w:hAnsi="Book Antiqua"/>
        </w:rPr>
        <w:t xml:space="preserve">, </w:t>
      </w:r>
      <w:r w:rsidR="00130569" w:rsidRPr="009F42E6">
        <w:rPr>
          <w:rFonts w:ascii="Book Antiqua" w:hAnsi="Book Antiqua"/>
        </w:rPr>
        <w:t xml:space="preserve">per-oral endoscopic </w:t>
      </w:r>
      <w:proofErr w:type="spellStart"/>
      <w:r w:rsidR="00130569" w:rsidRPr="009F42E6">
        <w:rPr>
          <w:rFonts w:ascii="Book Antiqua" w:hAnsi="Book Antiqua"/>
        </w:rPr>
        <w:t>myotomy</w:t>
      </w:r>
      <w:proofErr w:type="spellEnd"/>
      <w:r w:rsidR="00E32AFA" w:rsidRPr="00E32AFA">
        <w:rPr>
          <w:rFonts w:ascii="Book Antiqua" w:eastAsia="宋体" w:hAnsi="Book Antiqua" w:hint="eastAsia"/>
          <w:vertAlign w:val="superscript"/>
          <w:lang w:eastAsia="zh-CN"/>
        </w:rPr>
        <w:t>[</w:t>
      </w:r>
      <w:r w:rsidR="00130569" w:rsidRPr="00E32AFA">
        <w:rPr>
          <w:rFonts w:ascii="Book Antiqua" w:hAnsi="Book Antiqua"/>
          <w:vertAlign w:val="superscript"/>
        </w:rPr>
        <w:t>17</w:t>
      </w:r>
      <w:r w:rsidR="00E32AFA" w:rsidRPr="00E32AFA">
        <w:rPr>
          <w:rFonts w:ascii="Book Antiqua" w:eastAsia="宋体" w:hAnsi="Book Antiqua" w:hint="eastAsia"/>
          <w:vertAlign w:val="superscript"/>
          <w:lang w:eastAsia="zh-CN"/>
        </w:rPr>
        <w:t>]</w:t>
      </w:r>
      <w:r w:rsidR="00617E7A" w:rsidRPr="009F42E6">
        <w:rPr>
          <w:rFonts w:ascii="Book Antiqua" w:hAnsi="Book Antiqua"/>
        </w:rPr>
        <w:t>.</w:t>
      </w:r>
    </w:p>
    <w:p w14:paraId="31D06ED8" w14:textId="77777777" w:rsidR="00E32AFA" w:rsidRPr="00E32AFA" w:rsidRDefault="00E32AFA" w:rsidP="00B83F55">
      <w:pPr>
        <w:spacing w:line="360" w:lineRule="auto"/>
        <w:jc w:val="both"/>
        <w:rPr>
          <w:rFonts w:ascii="Book Antiqua" w:eastAsia="宋体" w:hAnsi="Book Antiqua"/>
          <w:lang w:eastAsia="zh-CN"/>
        </w:rPr>
      </w:pPr>
    </w:p>
    <w:p w14:paraId="0A300AE8" w14:textId="77777777" w:rsidR="00E32AFA" w:rsidRPr="00E32AFA" w:rsidRDefault="00E32AFA" w:rsidP="00B83F55">
      <w:pPr>
        <w:spacing w:line="360" w:lineRule="auto"/>
        <w:jc w:val="both"/>
        <w:rPr>
          <w:rFonts w:ascii="Book Antiqua" w:eastAsia="宋体" w:hAnsi="Book Antiqua"/>
          <w:b/>
          <w:i/>
          <w:lang w:eastAsia="zh-CN"/>
        </w:rPr>
      </w:pPr>
      <w:r w:rsidRPr="00E32AFA">
        <w:rPr>
          <w:rFonts w:ascii="Book Antiqua" w:hAnsi="Book Antiqua"/>
          <w:b/>
          <w:i/>
        </w:rPr>
        <w:t>Risk stratification</w:t>
      </w:r>
    </w:p>
    <w:p w14:paraId="00F8AEFC" w14:textId="701F2285" w:rsidR="00D7267A" w:rsidRDefault="00862870" w:rsidP="00B83F55">
      <w:pPr>
        <w:spacing w:line="360" w:lineRule="auto"/>
        <w:jc w:val="both"/>
        <w:rPr>
          <w:rFonts w:ascii="Book Antiqua" w:eastAsia="宋体" w:hAnsi="Book Antiqua"/>
          <w:lang w:eastAsia="zh-CN"/>
        </w:rPr>
      </w:pPr>
      <w:r w:rsidRPr="009F42E6">
        <w:rPr>
          <w:rFonts w:ascii="Book Antiqua" w:hAnsi="Book Antiqua"/>
        </w:rPr>
        <w:t>Aspirin and non-steroidal anti-inflammatory drugs are safe in both low-risk and high-risk procedures</w:t>
      </w:r>
      <w:r w:rsidR="0013766E" w:rsidRPr="009F42E6">
        <w:rPr>
          <w:rFonts w:ascii="Book Antiqua" w:hAnsi="Book Antiqua"/>
        </w:rPr>
        <w:t xml:space="preserve"> except EMR, ESD and </w:t>
      </w:r>
      <w:proofErr w:type="spellStart"/>
      <w:r w:rsidR="0013766E" w:rsidRPr="009F42E6">
        <w:rPr>
          <w:rFonts w:ascii="Book Antiqua" w:hAnsi="Book Antiqua"/>
        </w:rPr>
        <w:t>ampullectomy</w:t>
      </w:r>
      <w:proofErr w:type="spellEnd"/>
      <w:r w:rsidRPr="009F42E6">
        <w:rPr>
          <w:rFonts w:ascii="Book Antiqua" w:hAnsi="Book Antiqua"/>
        </w:rPr>
        <w:t xml:space="preserve">. </w:t>
      </w:r>
    </w:p>
    <w:p w14:paraId="757C4A04" w14:textId="77777777" w:rsidR="00E32AFA" w:rsidRPr="00E32AFA" w:rsidRDefault="00E32AFA" w:rsidP="00B83F55">
      <w:pPr>
        <w:spacing w:line="360" w:lineRule="auto"/>
        <w:jc w:val="both"/>
        <w:rPr>
          <w:rFonts w:ascii="Book Antiqua" w:eastAsia="宋体" w:hAnsi="Book Antiqua"/>
          <w:lang w:eastAsia="zh-CN"/>
        </w:rPr>
      </w:pPr>
    </w:p>
    <w:p w14:paraId="4D3C93C1" w14:textId="77777777" w:rsidR="00E32AFA" w:rsidRPr="00E32AFA" w:rsidRDefault="00D7267A" w:rsidP="00B83F55">
      <w:pPr>
        <w:spacing w:line="360" w:lineRule="auto"/>
        <w:jc w:val="both"/>
        <w:rPr>
          <w:rFonts w:ascii="Book Antiqua" w:eastAsia="宋体" w:hAnsi="Book Antiqua"/>
          <w:b/>
          <w:i/>
          <w:lang w:eastAsia="zh-CN"/>
        </w:rPr>
      </w:pPr>
      <w:r w:rsidRPr="00E32AFA">
        <w:rPr>
          <w:rFonts w:ascii="Book Antiqua" w:hAnsi="Book Antiqua"/>
          <w:b/>
          <w:i/>
        </w:rPr>
        <w:t>Low-risk endoscopic procedures</w:t>
      </w:r>
      <w:r w:rsidR="00DF3B20" w:rsidRPr="00E32AFA">
        <w:rPr>
          <w:rFonts w:ascii="Book Antiqua" w:hAnsi="Book Antiqua"/>
          <w:b/>
          <w:i/>
        </w:rPr>
        <w:t xml:space="preserve"> irrespective of</w:t>
      </w:r>
      <w:r w:rsidR="00D91B76" w:rsidRPr="00E32AFA">
        <w:rPr>
          <w:rFonts w:ascii="Book Antiqua" w:hAnsi="Book Antiqua"/>
          <w:b/>
          <w:i/>
        </w:rPr>
        <w:t xml:space="preserve"> low-</w:t>
      </w:r>
      <w:r w:rsidR="006E4EF8" w:rsidRPr="00E32AFA">
        <w:rPr>
          <w:rFonts w:ascii="Book Antiqua" w:hAnsi="Book Antiqua"/>
          <w:b/>
          <w:i/>
        </w:rPr>
        <w:t xml:space="preserve">risk </w:t>
      </w:r>
      <w:r w:rsidR="00D91B76" w:rsidRPr="00E32AFA">
        <w:rPr>
          <w:rFonts w:ascii="Book Antiqua" w:hAnsi="Book Antiqua"/>
          <w:b/>
          <w:i/>
        </w:rPr>
        <w:t>or high-</w:t>
      </w:r>
      <w:r w:rsidR="00DF3B20" w:rsidRPr="00E32AFA">
        <w:rPr>
          <w:rFonts w:ascii="Book Antiqua" w:hAnsi="Book Antiqua"/>
          <w:b/>
          <w:i/>
        </w:rPr>
        <w:t>risk condition</w:t>
      </w:r>
    </w:p>
    <w:p w14:paraId="10749083" w14:textId="2C8D1938" w:rsidR="002C17AC" w:rsidRDefault="00862870" w:rsidP="00B83F55">
      <w:pPr>
        <w:spacing w:line="360" w:lineRule="auto"/>
        <w:jc w:val="both"/>
        <w:rPr>
          <w:rFonts w:ascii="Book Antiqua" w:eastAsia="宋体" w:hAnsi="Book Antiqua"/>
          <w:lang w:eastAsia="zh-CN"/>
        </w:rPr>
      </w:pPr>
      <w:r w:rsidRPr="009F42E6">
        <w:rPr>
          <w:rFonts w:ascii="Book Antiqua" w:hAnsi="Book Antiqua"/>
        </w:rPr>
        <w:lastRenderedPageBreak/>
        <w:t>If the pa</w:t>
      </w:r>
      <w:r w:rsidR="00775D34" w:rsidRPr="009F42E6">
        <w:rPr>
          <w:rFonts w:ascii="Book Antiqua" w:hAnsi="Book Antiqua"/>
        </w:rPr>
        <w:t>tient is on antiplatelet</w:t>
      </w:r>
      <w:r w:rsidRPr="009F42E6">
        <w:rPr>
          <w:rFonts w:ascii="Book Antiqua" w:hAnsi="Book Antiqua"/>
        </w:rPr>
        <w:t xml:space="preserve"> </w:t>
      </w:r>
      <w:r w:rsidR="002C17AC" w:rsidRPr="009F42E6">
        <w:rPr>
          <w:rFonts w:ascii="Book Antiqua" w:hAnsi="Book Antiqua"/>
        </w:rPr>
        <w:t xml:space="preserve">agent </w:t>
      </w:r>
      <w:r w:rsidRPr="009F42E6">
        <w:rPr>
          <w:rFonts w:ascii="Book Antiqua" w:hAnsi="Book Antiqua"/>
        </w:rPr>
        <w:t>or anticoagulant, it should be continued.</w:t>
      </w:r>
      <w:r w:rsidR="007D5349" w:rsidRPr="009F42E6">
        <w:rPr>
          <w:rFonts w:ascii="Book Antiqua" w:hAnsi="Book Antiqua"/>
        </w:rPr>
        <w:t xml:space="preserve"> In case of warfarin, the INR should be in therapeutic range. If the INR is supra</w:t>
      </w:r>
      <w:r w:rsidR="004E376D" w:rsidRPr="009F42E6">
        <w:rPr>
          <w:rFonts w:ascii="Book Antiqua" w:hAnsi="Book Antiqua"/>
        </w:rPr>
        <w:t>-</w:t>
      </w:r>
      <w:r w:rsidR="007D5349" w:rsidRPr="009F42E6">
        <w:rPr>
          <w:rFonts w:ascii="Book Antiqua" w:hAnsi="Book Antiqua"/>
        </w:rPr>
        <w:t>therapeutic, warfarin dose should be adjusted to keep the INR in therapeutic range before</w:t>
      </w:r>
      <w:r w:rsidR="0094533E" w:rsidRPr="009F42E6">
        <w:rPr>
          <w:rFonts w:ascii="Book Antiqua" w:hAnsi="Book Antiqua"/>
        </w:rPr>
        <w:t xml:space="preserve"> do</w:t>
      </w:r>
      <w:r w:rsidR="00130569" w:rsidRPr="009F42E6">
        <w:rPr>
          <w:rFonts w:ascii="Book Antiqua" w:hAnsi="Book Antiqua"/>
        </w:rPr>
        <w:t xml:space="preserve">ing the endoscopic </w:t>
      </w:r>
      <w:proofErr w:type="gramStart"/>
      <w:r w:rsidR="00130569" w:rsidRPr="009F42E6">
        <w:rPr>
          <w:rFonts w:ascii="Book Antiqua" w:hAnsi="Book Antiqua"/>
        </w:rPr>
        <w:t>procedure</w:t>
      </w:r>
      <w:r w:rsidR="00E32AFA" w:rsidRPr="00E32AFA">
        <w:rPr>
          <w:rFonts w:ascii="Book Antiqua" w:eastAsia="宋体" w:hAnsi="Book Antiqua" w:hint="eastAsia"/>
          <w:vertAlign w:val="superscript"/>
          <w:lang w:eastAsia="zh-CN"/>
        </w:rPr>
        <w:t>[</w:t>
      </w:r>
      <w:proofErr w:type="gramEnd"/>
      <w:r w:rsidR="00130569" w:rsidRPr="00E32AFA">
        <w:rPr>
          <w:rFonts w:ascii="Book Antiqua" w:hAnsi="Book Antiqua"/>
          <w:vertAlign w:val="superscript"/>
        </w:rPr>
        <w:t>18</w:t>
      </w:r>
      <w:r w:rsidR="00E32AFA" w:rsidRPr="00E32AFA">
        <w:rPr>
          <w:rFonts w:ascii="Book Antiqua" w:eastAsia="宋体" w:hAnsi="Book Antiqua" w:hint="eastAsia"/>
          <w:vertAlign w:val="superscript"/>
          <w:lang w:eastAsia="zh-CN"/>
        </w:rPr>
        <w:t>]</w:t>
      </w:r>
      <w:r w:rsidR="0094533E" w:rsidRPr="009F42E6">
        <w:rPr>
          <w:rFonts w:ascii="Book Antiqua" w:hAnsi="Book Antiqua"/>
        </w:rPr>
        <w:t>.</w:t>
      </w:r>
      <w:r w:rsidR="002F0E2E" w:rsidRPr="009F42E6">
        <w:rPr>
          <w:rFonts w:ascii="Book Antiqua" w:hAnsi="Book Antiqua"/>
        </w:rPr>
        <w:t xml:space="preserve"> The morning dose of NOAC should be missed on the day of the procedure.</w:t>
      </w:r>
    </w:p>
    <w:p w14:paraId="3C0D31B1" w14:textId="77777777" w:rsidR="00E32AFA" w:rsidRPr="00E32AFA" w:rsidRDefault="00E32AFA" w:rsidP="00B83F55">
      <w:pPr>
        <w:spacing w:line="360" w:lineRule="auto"/>
        <w:jc w:val="both"/>
        <w:rPr>
          <w:rFonts w:ascii="Book Antiqua" w:eastAsia="宋体" w:hAnsi="Book Antiqua"/>
          <w:lang w:eastAsia="zh-CN"/>
        </w:rPr>
      </w:pPr>
    </w:p>
    <w:p w14:paraId="56351320" w14:textId="77777777" w:rsidR="00E32AFA" w:rsidRPr="00E32AFA" w:rsidRDefault="00775D34" w:rsidP="00B83F55">
      <w:pPr>
        <w:spacing w:line="360" w:lineRule="auto"/>
        <w:jc w:val="both"/>
        <w:rPr>
          <w:rFonts w:ascii="Book Antiqua" w:eastAsia="宋体" w:hAnsi="Book Antiqua"/>
          <w:b/>
          <w:i/>
          <w:lang w:eastAsia="zh-CN"/>
        </w:rPr>
      </w:pPr>
      <w:r w:rsidRPr="00E32AFA">
        <w:rPr>
          <w:rFonts w:ascii="Book Antiqua" w:hAnsi="Book Antiqua"/>
          <w:b/>
          <w:i/>
        </w:rPr>
        <w:t>High-risk p</w:t>
      </w:r>
      <w:r w:rsidR="00E32AFA" w:rsidRPr="00E32AFA">
        <w:rPr>
          <w:rFonts w:ascii="Book Antiqua" w:hAnsi="Book Antiqua"/>
          <w:b/>
          <w:i/>
        </w:rPr>
        <w:t>rocedure but low-risk condition</w:t>
      </w:r>
    </w:p>
    <w:p w14:paraId="54D3AC08" w14:textId="3F2EC054" w:rsidR="00775D34" w:rsidRPr="009F42E6" w:rsidRDefault="00E32AFA" w:rsidP="00B83F55">
      <w:pPr>
        <w:spacing w:line="360" w:lineRule="auto"/>
        <w:jc w:val="both"/>
        <w:rPr>
          <w:rFonts w:ascii="Book Antiqua" w:hAnsi="Book Antiqua"/>
        </w:rPr>
      </w:pPr>
      <w:r w:rsidRPr="009F42E6">
        <w:rPr>
          <w:rFonts w:ascii="Book Antiqua" w:hAnsi="Book Antiqua"/>
        </w:rPr>
        <w:t>If</w:t>
      </w:r>
      <w:r w:rsidR="00775D34" w:rsidRPr="009F42E6">
        <w:rPr>
          <w:rFonts w:ascii="Book Antiqua" w:hAnsi="Book Antiqua"/>
        </w:rPr>
        <w:t xml:space="preserve"> the patient is on aspirin and </w:t>
      </w:r>
      <w:proofErr w:type="spellStart"/>
      <w:r w:rsidR="00775D34" w:rsidRPr="009F42E6">
        <w:rPr>
          <w:rFonts w:ascii="Book Antiqua" w:hAnsi="Book Antiqua"/>
        </w:rPr>
        <w:t>clopidogrel</w:t>
      </w:r>
      <w:proofErr w:type="spellEnd"/>
      <w:r w:rsidR="00775D34" w:rsidRPr="009F42E6">
        <w:rPr>
          <w:rFonts w:ascii="Book Antiqua" w:hAnsi="Book Antiqua"/>
        </w:rPr>
        <w:t xml:space="preserve">, </w:t>
      </w:r>
      <w:proofErr w:type="spellStart"/>
      <w:r w:rsidR="00775D34" w:rsidRPr="009F42E6">
        <w:rPr>
          <w:rFonts w:ascii="Book Antiqua" w:hAnsi="Book Antiqua"/>
        </w:rPr>
        <w:t>clopidogrel</w:t>
      </w:r>
      <w:proofErr w:type="spellEnd"/>
      <w:r w:rsidR="00775D34" w:rsidRPr="009F42E6">
        <w:rPr>
          <w:rFonts w:ascii="Book Antiqua" w:hAnsi="Book Antiqua"/>
        </w:rPr>
        <w:t xml:space="preserve"> should be stopped </w:t>
      </w:r>
      <w:r w:rsidR="00530A19" w:rsidRPr="009F42E6">
        <w:rPr>
          <w:rFonts w:ascii="Book Antiqua" w:hAnsi="Book Antiqua"/>
        </w:rPr>
        <w:t xml:space="preserve">5 to </w:t>
      </w:r>
      <w:r w:rsidR="00775D34" w:rsidRPr="009F42E6">
        <w:rPr>
          <w:rFonts w:ascii="Book Antiqua" w:hAnsi="Book Antiqua"/>
        </w:rPr>
        <w:t xml:space="preserve">7 </w:t>
      </w:r>
      <w:r>
        <w:rPr>
          <w:rFonts w:ascii="Book Antiqua" w:eastAsia="宋体" w:hAnsi="Book Antiqua" w:hint="eastAsia"/>
          <w:lang w:eastAsia="zh-CN"/>
        </w:rPr>
        <w:t>d</w:t>
      </w:r>
      <w:r w:rsidR="00775D34" w:rsidRPr="009F42E6">
        <w:rPr>
          <w:rFonts w:ascii="Book Antiqua" w:hAnsi="Book Antiqua"/>
        </w:rPr>
        <w:t xml:space="preserve"> prior to the procedure but aspirin should be continued.  If the patient is on warfa</w:t>
      </w:r>
      <w:r w:rsidR="00B66F8D" w:rsidRPr="009F42E6">
        <w:rPr>
          <w:rFonts w:ascii="Book Antiqua" w:hAnsi="Book Antiqua"/>
        </w:rPr>
        <w:t xml:space="preserve">rin, it should be discontinued </w:t>
      </w:r>
      <w:r w:rsidR="00775D34" w:rsidRPr="009F42E6">
        <w:rPr>
          <w:rFonts w:ascii="Book Antiqua" w:hAnsi="Book Antiqua"/>
        </w:rPr>
        <w:t xml:space="preserve">5 </w:t>
      </w:r>
      <w:r>
        <w:rPr>
          <w:rFonts w:ascii="Book Antiqua" w:eastAsia="宋体" w:hAnsi="Book Antiqua" w:hint="eastAsia"/>
          <w:lang w:eastAsia="zh-CN"/>
        </w:rPr>
        <w:t>d</w:t>
      </w:r>
      <w:r w:rsidR="00775D34" w:rsidRPr="009F42E6">
        <w:rPr>
          <w:rFonts w:ascii="Book Antiqua" w:hAnsi="Book Antiqua"/>
        </w:rPr>
        <w:t xml:space="preserve"> prior to the procedure. </w:t>
      </w:r>
      <w:r w:rsidR="00B66F8D" w:rsidRPr="009F42E6">
        <w:rPr>
          <w:rFonts w:ascii="Book Antiqua" w:hAnsi="Book Antiqua"/>
        </w:rPr>
        <w:t>INR should be less than 1.5 prior to the procedure. Warfarin should be restarted after the procedure on the same day with the usual daily dose. Patient’s INR should be rechecked one week after the procedure to make sure that the patient is getting enough anticoagulation.</w:t>
      </w:r>
    </w:p>
    <w:p w14:paraId="742D7090" w14:textId="2F6B87D1" w:rsidR="00BA2C1C" w:rsidRDefault="00BA2C1C" w:rsidP="00B83F55">
      <w:pPr>
        <w:spacing w:line="360" w:lineRule="auto"/>
        <w:ind w:firstLineChars="150" w:firstLine="360"/>
        <w:jc w:val="both"/>
        <w:rPr>
          <w:rFonts w:ascii="Book Antiqua" w:eastAsia="宋体" w:hAnsi="Book Antiqua"/>
          <w:lang w:eastAsia="zh-CN"/>
        </w:rPr>
      </w:pPr>
      <w:r w:rsidRPr="009F42E6">
        <w:rPr>
          <w:rFonts w:ascii="Book Antiqua" w:hAnsi="Book Antiqua"/>
        </w:rPr>
        <w:t>NOAC should be discontinued 4</w:t>
      </w:r>
      <w:r w:rsidR="00D44C64" w:rsidRPr="009F42E6">
        <w:rPr>
          <w:rFonts w:ascii="Book Antiqua" w:hAnsi="Book Antiqua"/>
        </w:rPr>
        <w:t xml:space="preserve">8 </w:t>
      </w:r>
      <w:r w:rsidR="009418C0">
        <w:rPr>
          <w:rFonts w:ascii="Book Antiqua" w:eastAsia="宋体" w:hAnsi="Book Antiqua" w:hint="eastAsia"/>
          <w:lang w:eastAsia="zh-CN"/>
        </w:rPr>
        <w:t>h</w:t>
      </w:r>
      <w:r w:rsidR="00D44C64" w:rsidRPr="009F42E6">
        <w:rPr>
          <w:rFonts w:ascii="Book Antiqua" w:hAnsi="Book Antiqua"/>
        </w:rPr>
        <w:t xml:space="preserve"> prior to the procedure in patients with normal renal function. If the </w:t>
      </w:r>
      <w:proofErr w:type="spellStart"/>
      <w:r w:rsidR="00D44C64" w:rsidRPr="009F42E6">
        <w:rPr>
          <w:rFonts w:ascii="Book Antiqua" w:hAnsi="Book Antiqua"/>
        </w:rPr>
        <w:t>creatinine</w:t>
      </w:r>
      <w:proofErr w:type="spellEnd"/>
      <w:r w:rsidR="00D44C64" w:rsidRPr="009F42E6">
        <w:rPr>
          <w:rFonts w:ascii="Book Antiqua" w:hAnsi="Book Antiqua"/>
        </w:rPr>
        <w:t xml:space="preserve"> clearance is 30 to 50 m</w:t>
      </w:r>
      <w:r w:rsidR="009418C0" w:rsidRPr="009F42E6">
        <w:rPr>
          <w:rFonts w:ascii="Book Antiqua" w:hAnsi="Book Antiqua"/>
        </w:rPr>
        <w:t>L</w:t>
      </w:r>
      <w:r w:rsidR="00D44C64" w:rsidRPr="009F42E6">
        <w:rPr>
          <w:rFonts w:ascii="Book Antiqua" w:hAnsi="Book Antiqua"/>
        </w:rPr>
        <w:t>/</w:t>
      </w:r>
      <w:r w:rsidR="009418C0">
        <w:rPr>
          <w:rFonts w:ascii="Book Antiqua" w:eastAsia="宋体" w:hAnsi="Book Antiqua" w:hint="eastAsia"/>
          <w:lang w:eastAsia="zh-CN"/>
        </w:rPr>
        <w:t>min</w:t>
      </w:r>
      <w:r w:rsidR="00D44C64" w:rsidRPr="009F42E6">
        <w:rPr>
          <w:rFonts w:ascii="Book Antiqua" w:hAnsi="Book Antiqua"/>
        </w:rPr>
        <w:t xml:space="preserve">, last dose of NOAC should be given 72 </w:t>
      </w:r>
      <w:r w:rsidR="009418C0">
        <w:rPr>
          <w:rFonts w:ascii="Book Antiqua" w:eastAsia="宋体" w:hAnsi="Book Antiqua" w:hint="eastAsia"/>
          <w:lang w:eastAsia="zh-CN"/>
        </w:rPr>
        <w:t>h</w:t>
      </w:r>
      <w:r w:rsidR="00D44C64" w:rsidRPr="009F42E6">
        <w:rPr>
          <w:rFonts w:ascii="Book Antiqua" w:hAnsi="Book Antiqua"/>
        </w:rPr>
        <w:t xml:space="preserve"> prior to the procedure.</w:t>
      </w:r>
    </w:p>
    <w:p w14:paraId="02C2EBDB" w14:textId="77777777" w:rsidR="009418C0" w:rsidRPr="009418C0" w:rsidRDefault="009418C0" w:rsidP="00B83F55">
      <w:pPr>
        <w:spacing w:line="360" w:lineRule="auto"/>
        <w:ind w:firstLineChars="150" w:firstLine="360"/>
        <w:jc w:val="both"/>
        <w:rPr>
          <w:rFonts w:ascii="Book Antiqua" w:eastAsia="宋体" w:hAnsi="Book Antiqua"/>
          <w:lang w:eastAsia="zh-CN"/>
        </w:rPr>
      </w:pPr>
    </w:p>
    <w:p w14:paraId="3271E13F" w14:textId="77777777" w:rsidR="009418C0" w:rsidRPr="009418C0" w:rsidRDefault="00B66F8D" w:rsidP="00B83F55">
      <w:pPr>
        <w:spacing w:line="360" w:lineRule="auto"/>
        <w:jc w:val="both"/>
        <w:rPr>
          <w:rFonts w:ascii="Book Antiqua" w:eastAsia="宋体" w:hAnsi="Book Antiqua"/>
          <w:b/>
          <w:i/>
          <w:lang w:eastAsia="zh-CN"/>
        </w:rPr>
      </w:pPr>
      <w:r w:rsidRPr="009418C0">
        <w:rPr>
          <w:rFonts w:ascii="Book Antiqua" w:hAnsi="Book Antiqua"/>
          <w:b/>
          <w:i/>
        </w:rPr>
        <w:t>High-risk pr</w:t>
      </w:r>
      <w:r w:rsidR="009418C0" w:rsidRPr="009418C0">
        <w:rPr>
          <w:rFonts w:ascii="Book Antiqua" w:hAnsi="Book Antiqua"/>
          <w:b/>
          <w:i/>
        </w:rPr>
        <w:t>ocedure and high-risk condition</w:t>
      </w:r>
    </w:p>
    <w:p w14:paraId="74860338" w14:textId="6DC1B28D" w:rsidR="00122292" w:rsidRPr="009F42E6" w:rsidRDefault="004F5F1C" w:rsidP="00B83F55">
      <w:pPr>
        <w:spacing w:line="360" w:lineRule="auto"/>
        <w:jc w:val="both"/>
        <w:rPr>
          <w:rFonts w:ascii="Book Antiqua" w:hAnsi="Book Antiqua"/>
        </w:rPr>
      </w:pPr>
      <w:r w:rsidRPr="009F42E6">
        <w:rPr>
          <w:rFonts w:ascii="Book Antiqua" w:hAnsi="Book Antiqua"/>
        </w:rPr>
        <w:t>If the patien</w:t>
      </w:r>
      <w:r w:rsidR="00FD4FA1" w:rsidRPr="009F42E6">
        <w:rPr>
          <w:rFonts w:ascii="Book Antiqua" w:hAnsi="Book Antiqua"/>
        </w:rPr>
        <w:t xml:space="preserve">t is on aspirin and </w:t>
      </w:r>
      <w:proofErr w:type="spellStart"/>
      <w:r w:rsidR="00FD4FA1" w:rsidRPr="009F42E6">
        <w:rPr>
          <w:rFonts w:ascii="Book Antiqua" w:hAnsi="Book Antiqua"/>
        </w:rPr>
        <w:t>clopidogrel</w:t>
      </w:r>
      <w:proofErr w:type="spellEnd"/>
      <w:r w:rsidR="00D92C80" w:rsidRPr="009F42E6">
        <w:rPr>
          <w:rFonts w:ascii="Book Antiqua" w:hAnsi="Book Antiqua"/>
        </w:rPr>
        <w:t xml:space="preserve">, </w:t>
      </w:r>
      <w:proofErr w:type="spellStart"/>
      <w:r w:rsidR="00D92C80" w:rsidRPr="009F42E6">
        <w:rPr>
          <w:rFonts w:ascii="Book Antiqua" w:hAnsi="Book Antiqua"/>
        </w:rPr>
        <w:t>clopidogrel</w:t>
      </w:r>
      <w:proofErr w:type="spellEnd"/>
      <w:r w:rsidR="00D92C80" w:rsidRPr="009F42E6">
        <w:rPr>
          <w:rFonts w:ascii="Book Antiqua" w:hAnsi="Book Antiqua"/>
        </w:rPr>
        <w:t xml:space="preserve"> should</w:t>
      </w:r>
      <w:r w:rsidRPr="009F42E6">
        <w:rPr>
          <w:rFonts w:ascii="Book Antiqua" w:hAnsi="Book Antiqua"/>
        </w:rPr>
        <w:t xml:space="preserve"> only be discontinued after </w:t>
      </w:r>
      <w:r w:rsidR="00396280" w:rsidRPr="009F42E6">
        <w:rPr>
          <w:rFonts w:ascii="Book Antiqua" w:hAnsi="Book Antiqua"/>
        </w:rPr>
        <w:t xml:space="preserve">discussion with the cardiologist taking care of the patient. </w:t>
      </w:r>
      <w:r w:rsidR="007476CF" w:rsidRPr="009F42E6">
        <w:rPr>
          <w:rFonts w:ascii="Book Antiqua" w:hAnsi="Book Antiqua"/>
        </w:rPr>
        <w:t xml:space="preserve"> Aspirin should be continued. </w:t>
      </w:r>
      <w:r w:rsidR="005422B8" w:rsidRPr="009F42E6">
        <w:rPr>
          <w:rFonts w:ascii="Book Antiqua" w:hAnsi="Book Antiqua"/>
        </w:rPr>
        <w:t xml:space="preserve">As the risk of thromboembolism is always a concern, </w:t>
      </w:r>
      <w:r w:rsidR="00520A9D" w:rsidRPr="009F42E6">
        <w:rPr>
          <w:rFonts w:ascii="Book Antiqua" w:hAnsi="Book Antiqua"/>
        </w:rPr>
        <w:t xml:space="preserve">elective endoscopic procedure should be delayed. </w:t>
      </w:r>
      <w:proofErr w:type="spellStart"/>
      <w:r w:rsidR="00520A9D" w:rsidRPr="009F42E6">
        <w:rPr>
          <w:rFonts w:ascii="Book Antiqua" w:hAnsi="Book Antiqua"/>
        </w:rPr>
        <w:t>Cl</w:t>
      </w:r>
      <w:r w:rsidR="005422B8" w:rsidRPr="009F42E6">
        <w:rPr>
          <w:rFonts w:ascii="Book Antiqua" w:hAnsi="Book Antiqua"/>
        </w:rPr>
        <w:t>opidogrel</w:t>
      </w:r>
      <w:proofErr w:type="spellEnd"/>
      <w:r w:rsidR="005422B8" w:rsidRPr="009F42E6">
        <w:rPr>
          <w:rFonts w:ascii="Book Antiqua" w:hAnsi="Book Antiqua"/>
        </w:rPr>
        <w:t xml:space="preserve"> should not be stopped in certain high-risk conditions such as within one month of placing of a bare metal coronary stent and within 12 </w:t>
      </w:r>
      <w:proofErr w:type="spellStart"/>
      <w:r w:rsidR="009418C0">
        <w:rPr>
          <w:rFonts w:ascii="Book Antiqua" w:eastAsia="宋体" w:hAnsi="Book Antiqua" w:hint="eastAsia"/>
          <w:lang w:eastAsia="zh-CN"/>
        </w:rPr>
        <w:t>mo</w:t>
      </w:r>
      <w:proofErr w:type="spellEnd"/>
      <w:r w:rsidR="005422B8" w:rsidRPr="009F42E6">
        <w:rPr>
          <w:rFonts w:ascii="Book Antiqua" w:hAnsi="Book Antiqua"/>
        </w:rPr>
        <w:t xml:space="preserve"> of placing a drug-eluting coronary stent.</w:t>
      </w:r>
      <w:r w:rsidR="007B7292" w:rsidRPr="009F42E6">
        <w:rPr>
          <w:rFonts w:ascii="Book Antiqua" w:hAnsi="Book Antiqua"/>
        </w:rPr>
        <w:t xml:space="preserve"> After these periods, </w:t>
      </w:r>
      <w:proofErr w:type="spellStart"/>
      <w:r w:rsidR="007B7292" w:rsidRPr="009F42E6">
        <w:rPr>
          <w:rFonts w:ascii="Book Antiqua" w:hAnsi="Book Antiqua"/>
        </w:rPr>
        <w:t>clopidogrel</w:t>
      </w:r>
      <w:proofErr w:type="spellEnd"/>
      <w:r w:rsidR="007B7292" w:rsidRPr="009F42E6">
        <w:rPr>
          <w:rFonts w:ascii="Book Antiqua" w:hAnsi="Book Antiqua"/>
        </w:rPr>
        <w:t xml:space="preserve"> can be temporarily stopped 7 </w:t>
      </w:r>
      <w:r w:rsidR="00B83F55">
        <w:rPr>
          <w:rFonts w:ascii="Book Antiqua" w:eastAsia="宋体" w:hAnsi="Book Antiqua" w:hint="eastAsia"/>
          <w:lang w:eastAsia="zh-CN"/>
        </w:rPr>
        <w:t>d</w:t>
      </w:r>
      <w:r w:rsidR="007B7292" w:rsidRPr="009F42E6">
        <w:rPr>
          <w:rFonts w:ascii="Book Antiqua" w:hAnsi="Book Antiqua"/>
        </w:rPr>
        <w:t xml:space="preserve"> prior to the endoscopic procedure and then can be restarted on the day after the procedure.</w:t>
      </w:r>
      <w:r w:rsidR="00B83F55">
        <w:rPr>
          <w:rFonts w:ascii="Book Antiqua" w:eastAsia="宋体" w:hAnsi="Book Antiqua" w:hint="eastAsia"/>
          <w:lang w:eastAsia="zh-CN"/>
        </w:rPr>
        <w:t xml:space="preserve"> </w:t>
      </w:r>
      <w:r w:rsidR="007B7292" w:rsidRPr="009F42E6">
        <w:rPr>
          <w:rFonts w:ascii="Book Antiqua" w:hAnsi="Book Antiqua"/>
        </w:rPr>
        <w:t xml:space="preserve">If the patient is on warfarin, bridge therapy should be </w:t>
      </w:r>
      <w:r w:rsidR="00520A9D" w:rsidRPr="009F42E6">
        <w:rPr>
          <w:rFonts w:ascii="Book Antiqua" w:hAnsi="Book Antiqua"/>
        </w:rPr>
        <w:t xml:space="preserve">utilized. </w:t>
      </w:r>
      <w:r w:rsidR="0001254E" w:rsidRPr="009F42E6">
        <w:rPr>
          <w:rFonts w:ascii="Book Antiqua" w:hAnsi="Book Antiqua"/>
        </w:rPr>
        <w:t>The risk of systemic thromboembolism must be taken into consideration against the risk of bleeding during bridge therapy.</w:t>
      </w:r>
    </w:p>
    <w:p w14:paraId="6A6DEDB2" w14:textId="02B9E86B" w:rsidR="007B7292" w:rsidRDefault="00936516" w:rsidP="00B83F55">
      <w:pPr>
        <w:spacing w:line="360" w:lineRule="auto"/>
        <w:ind w:firstLineChars="150" w:firstLine="360"/>
        <w:contextualSpacing/>
        <w:jc w:val="both"/>
        <w:rPr>
          <w:rFonts w:ascii="Book Antiqua" w:eastAsia="宋体" w:hAnsi="Book Antiqua"/>
          <w:lang w:eastAsia="zh-CN"/>
        </w:rPr>
      </w:pPr>
      <w:r w:rsidRPr="009F42E6">
        <w:rPr>
          <w:rFonts w:ascii="Book Antiqua" w:hAnsi="Book Antiqua"/>
        </w:rPr>
        <w:lastRenderedPageBreak/>
        <w:t>Warfarin should be he</w:t>
      </w:r>
      <w:r w:rsidR="00520A9D" w:rsidRPr="009F42E6">
        <w:rPr>
          <w:rFonts w:ascii="Book Antiqua" w:hAnsi="Book Antiqua"/>
        </w:rPr>
        <w:t xml:space="preserve">ld 5 </w:t>
      </w:r>
      <w:r w:rsidR="00B83F55">
        <w:rPr>
          <w:rFonts w:ascii="Book Antiqua" w:eastAsia="宋体" w:hAnsi="Book Antiqua" w:hint="eastAsia"/>
          <w:lang w:eastAsia="zh-CN"/>
        </w:rPr>
        <w:t>d</w:t>
      </w:r>
      <w:r w:rsidR="00520A9D" w:rsidRPr="009F42E6">
        <w:rPr>
          <w:rFonts w:ascii="Book Antiqua" w:hAnsi="Book Antiqua"/>
        </w:rPr>
        <w:t xml:space="preserve"> prior to the procedure</w:t>
      </w:r>
      <w:r w:rsidR="00356211" w:rsidRPr="009F42E6">
        <w:rPr>
          <w:rFonts w:ascii="Book Antiqua" w:hAnsi="Book Antiqua"/>
        </w:rPr>
        <w:t xml:space="preserve"> and low molecular weight heparin (LMWH) should be started two days after discontinuing warfarin. On the night of the procedure, regular dose of warfarin should be started. LMWH should be started the following day and continued until therapeutic INR is achieved.</w:t>
      </w:r>
      <w:r w:rsidR="00152C12" w:rsidRPr="009F42E6">
        <w:rPr>
          <w:rFonts w:ascii="Book Antiqua" w:hAnsi="Book Antiqua"/>
        </w:rPr>
        <w:t xml:space="preserve"> NOAC are not used for high-</w:t>
      </w:r>
      <w:r w:rsidR="003E15FD" w:rsidRPr="009F42E6">
        <w:rPr>
          <w:rFonts w:ascii="Book Antiqua" w:hAnsi="Book Antiqua"/>
        </w:rPr>
        <w:t>risk conditions.</w:t>
      </w:r>
    </w:p>
    <w:p w14:paraId="0F1BCFCC" w14:textId="77777777" w:rsidR="009418C0" w:rsidRPr="009418C0" w:rsidRDefault="009418C0" w:rsidP="00B83F55">
      <w:pPr>
        <w:spacing w:line="360" w:lineRule="auto"/>
        <w:ind w:firstLineChars="150" w:firstLine="360"/>
        <w:contextualSpacing/>
        <w:jc w:val="both"/>
        <w:rPr>
          <w:rFonts w:ascii="Book Antiqua" w:eastAsia="宋体" w:hAnsi="Book Antiqua"/>
          <w:lang w:eastAsia="zh-CN"/>
        </w:rPr>
      </w:pPr>
    </w:p>
    <w:p w14:paraId="581E6546" w14:textId="77777777" w:rsidR="009418C0" w:rsidRPr="009418C0" w:rsidRDefault="009418C0" w:rsidP="00B83F55">
      <w:pPr>
        <w:spacing w:line="360" w:lineRule="auto"/>
        <w:jc w:val="both"/>
        <w:rPr>
          <w:rFonts w:ascii="Book Antiqua" w:eastAsia="宋体" w:hAnsi="Book Antiqua"/>
          <w:b/>
          <w:i/>
          <w:lang w:eastAsia="zh-CN"/>
        </w:rPr>
      </w:pPr>
      <w:r w:rsidRPr="009418C0">
        <w:rPr>
          <w:rFonts w:ascii="Book Antiqua" w:hAnsi="Book Antiqua"/>
          <w:b/>
          <w:i/>
        </w:rPr>
        <w:t>Bleeding risk</w:t>
      </w:r>
    </w:p>
    <w:p w14:paraId="6C54EF3A" w14:textId="7D32904C" w:rsidR="00A92B50" w:rsidRDefault="002147A2" w:rsidP="00B83F55">
      <w:pPr>
        <w:spacing w:line="360" w:lineRule="auto"/>
        <w:jc w:val="both"/>
        <w:rPr>
          <w:rFonts w:ascii="Book Antiqua" w:eastAsia="宋体" w:hAnsi="Book Antiqua"/>
          <w:lang w:eastAsia="zh-CN"/>
        </w:rPr>
      </w:pPr>
      <w:r w:rsidRPr="009F42E6">
        <w:rPr>
          <w:rFonts w:ascii="Book Antiqua" w:hAnsi="Book Antiqua"/>
        </w:rPr>
        <w:t>In patients with history of venous thromboembolism on warfarin, bridge therapy for invasive procedures was associated wit</w:t>
      </w:r>
      <w:r w:rsidR="00130569" w:rsidRPr="009F42E6">
        <w:rPr>
          <w:rFonts w:ascii="Book Antiqua" w:hAnsi="Book Antiqua"/>
        </w:rPr>
        <w:t xml:space="preserve">h increased risk of </w:t>
      </w:r>
      <w:proofErr w:type="gramStart"/>
      <w:r w:rsidR="00130569" w:rsidRPr="009F42E6">
        <w:rPr>
          <w:rFonts w:ascii="Book Antiqua" w:hAnsi="Book Antiqua"/>
        </w:rPr>
        <w:t>bleeding</w:t>
      </w:r>
      <w:r w:rsidR="009418C0" w:rsidRPr="009418C0">
        <w:rPr>
          <w:rFonts w:ascii="Book Antiqua" w:eastAsia="宋体" w:hAnsi="Book Antiqua" w:hint="eastAsia"/>
          <w:vertAlign w:val="superscript"/>
          <w:lang w:eastAsia="zh-CN"/>
        </w:rPr>
        <w:t>[</w:t>
      </w:r>
      <w:proofErr w:type="gramEnd"/>
      <w:r w:rsidR="00130569" w:rsidRPr="009418C0">
        <w:rPr>
          <w:rFonts w:ascii="Book Antiqua" w:hAnsi="Book Antiqua"/>
          <w:vertAlign w:val="superscript"/>
        </w:rPr>
        <w:t>19</w:t>
      </w:r>
      <w:r w:rsidR="009418C0" w:rsidRPr="009418C0">
        <w:rPr>
          <w:rFonts w:ascii="Book Antiqua" w:eastAsia="宋体" w:hAnsi="Book Antiqua" w:hint="eastAsia"/>
          <w:vertAlign w:val="superscript"/>
          <w:lang w:eastAsia="zh-CN"/>
        </w:rPr>
        <w:t>]</w:t>
      </w:r>
      <w:r w:rsidRPr="009F42E6">
        <w:rPr>
          <w:rFonts w:ascii="Book Antiqua" w:hAnsi="Book Antiqua"/>
        </w:rPr>
        <w:t>.</w:t>
      </w:r>
    </w:p>
    <w:p w14:paraId="730D1D5A" w14:textId="77777777" w:rsidR="009418C0" w:rsidRPr="009418C0" w:rsidRDefault="009418C0" w:rsidP="00B83F55">
      <w:pPr>
        <w:spacing w:line="360" w:lineRule="auto"/>
        <w:jc w:val="both"/>
        <w:rPr>
          <w:rFonts w:ascii="Book Antiqua" w:eastAsia="宋体" w:hAnsi="Book Antiqua"/>
          <w:lang w:eastAsia="zh-CN"/>
        </w:rPr>
      </w:pPr>
    </w:p>
    <w:p w14:paraId="4F16F3EA" w14:textId="77777777" w:rsidR="009418C0" w:rsidRPr="009418C0" w:rsidRDefault="006E120C" w:rsidP="00B83F55">
      <w:pPr>
        <w:spacing w:line="360" w:lineRule="auto"/>
        <w:jc w:val="both"/>
        <w:rPr>
          <w:rFonts w:ascii="Book Antiqua" w:eastAsia="宋体" w:hAnsi="Book Antiqua"/>
          <w:b/>
          <w:i/>
          <w:lang w:eastAsia="zh-CN"/>
        </w:rPr>
      </w:pPr>
      <w:r w:rsidRPr="009418C0">
        <w:rPr>
          <w:rFonts w:ascii="Book Antiqua" w:hAnsi="Book Antiqua"/>
          <w:b/>
          <w:i/>
        </w:rPr>
        <w:t>Thrombosis</w:t>
      </w:r>
      <w:r w:rsidR="009418C0" w:rsidRPr="009418C0">
        <w:rPr>
          <w:rFonts w:ascii="Book Antiqua" w:hAnsi="Book Antiqua"/>
          <w:b/>
          <w:i/>
        </w:rPr>
        <w:t xml:space="preserve"> risk</w:t>
      </w:r>
    </w:p>
    <w:p w14:paraId="4971686E" w14:textId="25F62340" w:rsidR="000E1648" w:rsidRDefault="00BA1D83" w:rsidP="00B83F55">
      <w:pPr>
        <w:spacing w:line="360" w:lineRule="auto"/>
        <w:jc w:val="both"/>
        <w:rPr>
          <w:rFonts w:ascii="Book Antiqua" w:eastAsia="宋体" w:hAnsi="Book Antiqua"/>
          <w:lang w:eastAsia="zh-CN"/>
        </w:rPr>
      </w:pPr>
      <w:r w:rsidRPr="009F42E6">
        <w:rPr>
          <w:rFonts w:ascii="Book Antiqua" w:hAnsi="Book Antiqua"/>
        </w:rPr>
        <w:t>There is also increased</w:t>
      </w:r>
      <w:r w:rsidR="006E120C" w:rsidRPr="009F42E6">
        <w:rPr>
          <w:rFonts w:ascii="Book Antiqua" w:hAnsi="Book Antiqua"/>
        </w:rPr>
        <w:t xml:space="preserve"> risk of thrombosis in patients receiving LMWH for mechanical heart valve</w:t>
      </w:r>
      <w:r w:rsidR="000E1648">
        <w:rPr>
          <w:rFonts w:ascii="Book Antiqua" w:eastAsia="宋体" w:hAnsi="Book Antiqua" w:hint="eastAsia"/>
          <w:lang w:eastAsia="zh-CN"/>
        </w:rPr>
        <w:t xml:space="preserve"> (</w:t>
      </w:r>
      <w:r w:rsidR="000E1648">
        <w:rPr>
          <w:rFonts w:ascii="Book Antiqua" w:eastAsia="宋体" w:hAnsi="Book Antiqua"/>
          <w:lang w:eastAsia="zh-CN"/>
        </w:rPr>
        <w:t xml:space="preserve">Table </w:t>
      </w:r>
      <w:r w:rsidR="00743FD4">
        <w:rPr>
          <w:rFonts w:ascii="Book Antiqua" w:eastAsia="宋体" w:hAnsi="Book Antiqua" w:hint="eastAsia"/>
          <w:lang w:eastAsia="zh-CN"/>
        </w:rPr>
        <w:t>1</w:t>
      </w:r>
      <w:r w:rsidR="000E1648">
        <w:rPr>
          <w:rFonts w:ascii="Book Antiqua" w:eastAsia="宋体" w:hAnsi="Book Antiqua" w:hint="eastAsia"/>
          <w:lang w:eastAsia="zh-CN"/>
        </w:rPr>
        <w:t>)</w:t>
      </w:r>
      <w:r w:rsidR="006E120C" w:rsidRPr="009F42E6">
        <w:rPr>
          <w:rFonts w:ascii="Book Antiqua" w:hAnsi="Book Antiqua"/>
        </w:rPr>
        <w:t>.</w:t>
      </w:r>
    </w:p>
    <w:p w14:paraId="4C92A570" w14:textId="1EC01FAD" w:rsidR="003E15FD" w:rsidRPr="009F42E6" w:rsidRDefault="000E1648" w:rsidP="00B83F55">
      <w:pPr>
        <w:spacing w:line="360" w:lineRule="auto"/>
        <w:jc w:val="both"/>
        <w:rPr>
          <w:rFonts w:ascii="Book Antiqua" w:hAnsi="Book Antiqua"/>
          <w:b/>
        </w:rPr>
      </w:pPr>
      <w:r w:rsidRPr="009F42E6">
        <w:rPr>
          <w:rFonts w:ascii="Book Antiqua" w:hAnsi="Book Antiqua"/>
          <w:b/>
        </w:rPr>
        <w:t xml:space="preserve"> </w:t>
      </w:r>
    </w:p>
    <w:p w14:paraId="646448A6" w14:textId="77777777" w:rsidR="009418C0" w:rsidRPr="009418C0" w:rsidRDefault="009418C0" w:rsidP="00B83F55">
      <w:pPr>
        <w:spacing w:line="360" w:lineRule="auto"/>
        <w:jc w:val="both"/>
        <w:rPr>
          <w:rFonts w:ascii="Book Antiqua" w:eastAsia="宋体" w:hAnsi="Book Antiqua"/>
          <w:b/>
          <w:i/>
          <w:lang w:eastAsia="zh-CN"/>
        </w:rPr>
      </w:pPr>
      <w:r w:rsidRPr="009418C0">
        <w:rPr>
          <w:rFonts w:ascii="Book Antiqua" w:hAnsi="Book Antiqua"/>
          <w:b/>
          <w:i/>
        </w:rPr>
        <w:t>Emergency endoscopic procedures</w:t>
      </w:r>
    </w:p>
    <w:p w14:paraId="78A2AD5C" w14:textId="2A6BA7EA" w:rsidR="00D77BA2" w:rsidRPr="009418C0" w:rsidRDefault="00A6156A" w:rsidP="00B83F55">
      <w:pPr>
        <w:spacing w:line="360" w:lineRule="auto"/>
        <w:jc w:val="both"/>
        <w:rPr>
          <w:rFonts w:ascii="Book Antiqua" w:eastAsia="宋体" w:hAnsi="Book Antiqua"/>
          <w:lang w:eastAsia="zh-CN"/>
        </w:rPr>
      </w:pPr>
      <w:r w:rsidRPr="009F42E6">
        <w:rPr>
          <w:rFonts w:ascii="Book Antiqua" w:hAnsi="Book Antiqua"/>
        </w:rPr>
        <w:t>Frequently we encounter acute gastroint</w:t>
      </w:r>
      <w:r w:rsidR="00D77BA2" w:rsidRPr="009F42E6">
        <w:rPr>
          <w:rFonts w:ascii="Book Antiqua" w:hAnsi="Book Antiqua"/>
        </w:rPr>
        <w:t>estinal bleeding in patients</w:t>
      </w:r>
      <w:r w:rsidR="009418C0">
        <w:rPr>
          <w:rFonts w:ascii="Book Antiqua" w:eastAsia="宋体" w:hAnsi="Book Antiqua" w:hint="eastAsia"/>
          <w:lang w:eastAsia="zh-CN"/>
        </w:rPr>
        <w:t>: (1)</w:t>
      </w:r>
      <w:r w:rsidRPr="009F42E6">
        <w:rPr>
          <w:rFonts w:ascii="Book Antiqua" w:hAnsi="Book Antiqua"/>
        </w:rPr>
        <w:t xml:space="preserve"> </w:t>
      </w:r>
      <w:r w:rsidR="00D77BA2" w:rsidRPr="009418C0">
        <w:rPr>
          <w:rFonts w:ascii="Book Antiqua" w:hAnsi="Book Antiqua"/>
        </w:rPr>
        <w:t xml:space="preserve">Who </w:t>
      </w:r>
      <w:r w:rsidRPr="009418C0">
        <w:rPr>
          <w:rFonts w:ascii="Book Antiqua" w:hAnsi="Book Antiqua"/>
        </w:rPr>
        <w:t>are on antipla</w:t>
      </w:r>
      <w:r w:rsidR="00D77BA2" w:rsidRPr="009418C0">
        <w:rPr>
          <w:rFonts w:ascii="Book Antiqua" w:hAnsi="Book Antiqua"/>
        </w:rPr>
        <w:t xml:space="preserve">telet or anticoagulant therapy </w:t>
      </w:r>
      <w:r w:rsidR="00152C12" w:rsidRPr="009418C0">
        <w:rPr>
          <w:rFonts w:ascii="Book Antiqua" w:hAnsi="Book Antiqua"/>
        </w:rPr>
        <w:t xml:space="preserve">for various </w:t>
      </w:r>
      <w:r w:rsidR="009418C0">
        <w:rPr>
          <w:rFonts w:ascii="Book Antiqua" w:hAnsi="Book Antiqua"/>
        </w:rPr>
        <w:t>reasons</w:t>
      </w:r>
      <w:r w:rsidR="009418C0">
        <w:rPr>
          <w:rFonts w:ascii="Book Antiqua" w:eastAsia="宋体" w:hAnsi="Book Antiqua" w:hint="eastAsia"/>
          <w:lang w:eastAsia="zh-CN"/>
        </w:rPr>
        <w:t xml:space="preserve">; (2) </w:t>
      </w:r>
      <w:r w:rsidR="00D77BA2" w:rsidRPr="009418C0">
        <w:rPr>
          <w:rFonts w:ascii="Book Antiqua" w:hAnsi="Book Antiqua"/>
        </w:rPr>
        <w:t>Who had coronary vascular stent placed recently</w:t>
      </w:r>
      <w:r w:rsidR="009418C0">
        <w:rPr>
          <w:rFonts w:ascii="Book Antiqua" w:eastAsia="宋体" w:hAnsi="Book Antiqua" w:hint="eastAsia"/>
          <w:lang w:eastAsia="zh-CN"/>
        </w:rPr>
        <w:t xml:space="preserve">; and (3) </w:t>
      </w:r>
      <w:r w:rsidR="00D77BA2" w:rsidRPr="009418C0">
        <w:rPr>
          <w:rFonts w:ascii="Book Antiqua" w:hAnsi="Book Antiqua"/>
        </w:rPr>
        <w:t xml:space="preserve">Who have </w:t>
      </w:r>
      <w:r w:rsidR="00932148" w:rsidRPr="009418C0">
        <w:rPr>
          <w:rFonts w:ascii="Book Antiqua" w:hAnsi="Book Antiqua"/>
        </w:rPr>
        <w:t xml:space="preserve">acute coronary syndrome (ACS): </w:t>
      </w:r>
      <w:r w:rsidR="00D77BA2" w:rsidRPr="009418C0">
        <w:rPr>
          <w:rFonts w:ascii="Book Antiqua" w:hAnsi="Book Antiqua"/>
        </w:rPr>
        <w:t>unstable angina or acute myocardial infarction</w:t>
      </w:r>
      <w:r w:rsidR="00932148" w:rsidRPr="009418C0">
        <w:rPr>
          <w:rFonts w:ascii="Book Antiqua" w:hAnsi="Book Antiqua"/>
        </w:rPr>
        <w:t>.</w:t>
      </w:r>
    </w:p>
    <w:p w14:paraId="5F1397BA" w14:textId="15F5DB5A" w:rsidR="008678BA" w:rsidRPr="009F42E6" w:rsidRDefault="008678BA" w:rsidP="00B83F55">
      <w:pPr>
        <w:spacing w:line="360" w:lineRule="auto"/>
        <w:ind w:firstLineChars="150" w:firstLine="360"/>
        <w:jc w:val="both"/>
        <w:rPr>
          <w:rFonts w:ascii="Book Antiqua" w:hAnsi="Book Antiqua"/>
        </w:rPr>
      </w:pPr>
      <w:r w:rsidRPr="009F42E6">
        <w:rPr>
          <w:rFonts w:ascii="Book Antiqua" w:hAnsi="Book Antiqua"/>
        </w:rPr>
        <w:t xml:space="preserve">The risk of bleeding to death should be assessed against the risk of thromboembolism due to discontinuation of antiplatelet or anticoagulant therapy on an individual basis. </w:t>
      </w:r>
      <w:r w:rsidR="00E71FE8" w:rsidRPr="009F42E6">
        <w:rPr>
          <w:rFonts w:ascii="Book Antiqua" w:hAnsi="Book Antiqua"/>
        </w:rPr>
        <w:t>Patients on antiplatelet therapy should be discussed with their cardiologist</w:t>
      </w:r>
      <w:r w:rsidR="002B2C18" w:rsidRPr="009F42E6">
        <w:rPr>
          <w:rFonts w:ascii="Book Antiqua" w:hAnsi="Book Antiqua"/>
        </w:rPr>
        <w:t>s</w:t>
      </w:r>
      <w:r w:rsidR="00E71FE8" w:rsidRPr="009F42E6">
        <w:rPr>
          <w:rFonts w:ascii="Book Antiqua" w:hAnsi="Book Antiqua"/>
        </w:rPr>
        <w:t>. In case of significant gastrointestinal bleeding, the antiplatelet agent should be stopped after discussing with the cardiologist</w:t>
      </w:r>
      <w:r w:rsidR="001456CD" w:rsidRPr="009F42E6">
        <w:rPr>
          <w:rFonts w:ascii="Book Antiqua" w:hAnsi="Book Antiqua"/>
        </w:rPr>
        <w:t>, and platelet transfusion can be given. In case of baby aspi</w:t>
      </w:r>
      <w:r w:rsidR="00152C12" w:rsidRPr="009F42E6">
        <w:rPr>
          <w:rFonts w:ascii="Book Antiqua" w:hAnsi="Book Antiqua"/>
        </w:rPr>
        <w:t>rin induced pe</w:t>
      </w:r>
      <w:r w:rsidR="002B2C18" w:rsidRPr="009F42E6">
        <w:rPr>
          <w:rFonts w:ascii="Book Antiqua" w:hAnsi="Book Antiqua"/>
        </w:rPr>
        <w:t>ptic ulcer bleeding</w:t>
      </w:r>
      <w:r w:rsidR="001456CD" w:rsidRPr="009F42E6">
        <w:rPr>
          <w:rFonts w:ascii="Book Antiqua" w:hAnsi="Book Antiqua"/>
        </w:rPr>
        <w:t xml:space="preserve">, aspirin should be continued and proton pump therapy should </w:t>
      </w:r>
      <w:r w:rsidR="00152C12" w:rsidRPr="009F42E6">
        <w:rPr>
          <w:rFonts w:ascii="Book Antiqua" w:hAnsi="Book Antiqua"/>
        </w:rPr>
        <w:t xml:space="preserve">be </w:t>
      </w:r>
      <w:r w:rsidR="001456CD" w:rsidRPr="009F42E6">
        <w:rPr>
          <w:rFonts w:ascii="Book Antiqua" w:hAnsi="Book Antiqua"/>
        </w:rPr>
        <w:t>started.</w:t>
      </w:r>
      <w:r w:rsidR="002B2C18" w:rsidRPr="009F42E6">
        <w:rPr>
          <w:rFonts w:ascii="Book Antiqua" w:hAnsi="Book Antiqua"/>
        </w:rPr>
        <w:t xml:space="preserve"> </w:t>
      </w:r>
      <w:r w:rsidR="003D38A6" w:rsidRPr="009F42E6">
        <w:rPr>
          <w:rFonts w:ascii="Book Antiqua" w:hAnsi="Book Antiqua"/>
        </w:rPr>
        <w:t>As soon as endoscopic hemostasis is obtained, antiplatel</w:t>
      </w:r>
      <w:r w:rsidR="009418C0">
        <w:rPr>
          <w:rFonts w:ascii="Book Antiqua" w:hAnsi="Book Antiqua"/>
        </w:rPr>
        <w:t xml:space="preserve">et therapy should be </w:t>
      </w:r>
      <w:proofErr w:type="gramStart"/>
      <w:r w:rsidR="009418C0">
        <w:rPr>
          <w:rFonts w:ascii="Book Antiqua" w:hAnsi="Book Antiqua"/>
        </w:rPr>
        <w:t>resumed</w:t>
      </w:r>
      <w:r w:rsidR="009418C0" w:rsidRPr="009418C0">
        <w:rPr>
          <w:rFonts w:ascii="Book Antiqua" w:eastAsia="宋体" w:hAnsi="Book Antiqua" w:hint="eastAsia"/>
          <w:vertAlign w:val="superscript"/>
          <w:lang w:eastAsia="zh-CN"/>
        </w:rPr>
        <w:t>[</w:t>
      </w:r>
      <w:proofErr w:type="gramEnd"/>
      <w:r w:rsidR="00130569" w:rsidRPr="009418C0">
        <w:rPr>
          <w:rFonts w:ascii="Book Antiqua" w:hAnsi="Book Antiqua"/>
          <w:vertAlign w:val="superscript"/>
        </w:rPr>
        <w:t>20</w:t>
      </w:r>
      <w:r w:rsidR="009418C0" w:rsidRPr="009418C0">
        <w:rPr>
          <w:rFonts w:ascii="Book Antiqua" w:eastAsia="宋体" w:hAnsi="Book Antiqua" w:hint="eastAsia"/>
          <w:vertAlign w:val="superscript"/>
          <w:lang w:eastAsia="zh-CN"/>
        </w:rPr>
        <w:t>]</w:t>
      </w:r>
      <w:r w:rsidR="003D38A6" w:rsidRPr="009F42E6">
        <w:rPr>
          <w:rFonts w:ascii="Book Antiqua" w:hAnsi="Book Antiqua"/>
        </w:rPr>
        <w:t>.</w:t>
      </w:r>
    </w:p>
    <w:p w14:paraId="4D801250" w14:textId="7A4F7AED" w:rsidR="002E2989" w:rsidRPr="009F42E6" w:rsidRDefault="002E2989" w:rsidP="00B83F55">
      <w:pPr>
        <w:spacing w:line="360" w:lineRule="auto"/>
        <w:ind w:firstLineChars="150" w:firstLine="360"/>
        <w:jc w:val="both"/>
        <w:rPr>
          <w:rFonts w:ascii="Book Antiqua" w:hAnsi="Book Antiqua"/>
        </w:rPr>
      </w:pPr>
      <w:r w:rsidRPr="009F42E6">
        <w:rPr>
          <w:rFonts w:ascii="Book Antiqua" w:hAnsi="Book Antiqua"/>
        </w:rPr>
        <w:t>The risk factors for GIB in patients on anticoagulant therapy are prior history of GIB, use of aspirin and supra</w:t>
      </w:r>
      <w:r w:rsidR="00152C12" w:rsidRPr="009F42E6">
        <w:rPr>
          <w:rFonts w:ascii="Book Antiqua" w:hAnsi="Book Antiqua"/>
        </w:rPr>
        <w:t>-</w:t>
      </w:r>
      <w:r w:rsidRPr="009F42E6">
        <w:rPr>
          <w:rFonts w:ascii="Book Antiqua" w:hAnsi="Book Antiqua"/>
        </w:rPr>
        <w:t>therapeutic INR.</w:t>
      </w:r>
    </w:p>
    <w:p w14:paraId="5CADDFB4" w14:textId="416F45D1" w:rsidR="000363A8" w:rsidRPr="009F42E6" w:rsidRDefault="000363A8" w:rsidP="00B83F55">
      <w:pPr>
        <w:spacing w:line="360" w:lineRule="auto"/>
        <w:ind w:firstLineChars="150" w:firstLine="360"/>
        <w:jc w:val="both"/>
        <w:rPr>
          <w:rFonts w:ascii="Book Antiqua" w:hAnsi="Book Antiqua"/>
        </w:rPr>
      </w:pPr>
      <w:r w:rsidRPr="009F42E6">
        <w:rPr>
          <w:rFonts w:ascii="Book Antiqua" w:hAnsi="Book Antiqua"/>
        </w:rPr>
        <w:lastRenderedPageBreak/>
        <w:t xml:space="preserve">Anticoagulation therapy should be discontinued in patients with active gastrointestinal </w:t>
      </w:r>
      <w:r w:rsidR="006F60D3" w:rsidRPr="009F42E6">
        <w:rPr>
          <w:rFonts w:ascii="Book Antiqua" w:hAnsi="Book Antiqua"/>
        </w:rPr>
        <w:t xml:space="preserve">(GI) </w:t>
      </w:r>
      <w:r w:rsidRPr="009F42E6">
        <w:rPr>
          <w:rFonts w:ascii="Book Antiqua" w:hAnsi="Book Antiqua"/>
        </w:rPr>
        <w:t xml:space="preserve">bleeding. </w:t>
      </w:r>
      <w:r w:rsidR="006F60D3" w:rsidRPr="009F42E6">
        <w:rPr>
          <w:rFonts w:ascii="Book Antiqua" w:hAnsi="Book Antiqua"/>
        </w:rPr>
        <w:t>If the patient is on warfarin and</w:t>
      </w:r>
      <w:r w:rsidR="00CD2B3A" w:rsidRPr="009F42E6">
        <w:rPr>
          <w:rFonts w:ascii="Book Antiqua" w:hAnsi="Book Antiqua"/>
        </w:rPr>
        <w:t xml:space="preserve"> the bleeding is massive, rapid reversal of INR can be done with fresh frozen plasma</w:t>
      </w:r>
      <w:r w:rsidR="006F60D3" w:rsidRPr="009F42E6">
        <w:rPr>
          <w:rFonts w:ascii="Book Antiqua" w:hAnsi="Book Antiqua"/>
        </w:rPr>
        <w:t xml:space="preserve"> (FFP)</w:t>
      </w:r>
      <w:r w:rsidR="00CD2B3A" w:rsidRPr="009F42E6">
        <w:rPr>
          <w:rFonts w:ascii="Book Antiqua" w:hAnsi="Book Antiqua"/>
        </w:rPr>
        <w:t xml:space="preserve">, 4-factor </w:t>
      </w:r>
      <w:proofErr w:type="spellStart"/>
      <w:r w:rsidR="00CD2B3A" w:rsidRPr="009F42E6">
        <w:rPr>
          <w:rFonts w:ascii="Book Antiqua" w:hAnsi="Book Antiqua"/>
        </w:rPr>
        <w:t>prothrombin</w:t>
      </w:r>
      <w:proofErr w:type="spellEnd"/>
      <w:r w:rsidR="00CD2B3A" w:rsidRPr="009F42E6">
        <w:rPr>
          <w:rFonts w:ascii="Book Antiqua" w:hAnsi="Book Antiqua"/>
        </w:rPr>
        <w:t xml:space="preserve"> complex</w:t>
      </w:r>
      <w:r w:rsidR="004E376D" w:rsidRPr="009F42E6">
        <w:rPr>
          <w:rFonts w:ascii="Book Antiqua" w:hAnsi="Book Antiqua"/>
        </w:rPr>
        <w:t xml:space="preserve"> </w:t>
      </w:r>
      <w:r w:rsidR="00CD2B3A" w:rsidRPr="009F42E6">
        <w:rPr>
          <w:rFonts w:ascii="Book Antiqua" w:hAnsi="Book Antiqua"/>
        </w:rPr>
        <w:t>(PCC) containing factors II, VII, IX and X, or intravenous vitamin K.</w:t>
      </w:r>
      <w:r w:rsidR="006F60D3" w:rsidRPr="009F42E6">
        <w:rPr>
          <w:rFonts w:ascii="Book Antiqua" w:hAnsi="Book Antiqua"/>
        </w:rPr>
        <w:t xml:space="preserve"> In case of mechanical heart valve and massive GI bleeding, FFP or PCC can be given but vitamin K should be avoided because of the r</w:t>
      </w:r>
      <w:r w:rsidR="00CF54AE" w:rsidRPr="009F42E6">
        <w:rPr>
          <w:rFonts w:ascii="Book Antiqua" w:hAnsi="Book Antiqua"/>
        </w:rPr>
        <w:t xml:space="preserve">isk of </w:t>
      </w:r>
      <w:proofErr w:type="spellStart"/>
      <w:r w:rsidR="00CF54AE" w:rsidRPr="009F42E6">
        <w:rPr>
          <w:rFonts w:ascii="Book Antiqua" w:hAnsi="Book Antiqua"/>
        </w:rPr>
        <w:t>hypercoag</w:t>
      </w:r>
      <w:r w:rsidR="00130569" w:rsidRPr="009F42E6">
        <w:rPr>
          <w:rFonts w:ascii="Book Antiqua" w:hAnsi="Book Antiqua"/>
        </w:rPr>
        <w:t>ulable</w:t>
      </w:r>
      <w:proofErr w:type="spellEnd"/>
      <w:r w:rsidR="00130569" w:rsidRPr="009F42E6">
        <w:rPr>
          <w:rFonts w:ascii="Book Antiqua" w:hAnsi="Book Antiqua"/>
        </w:rPr>
        <w:t xml:space="preserve"> </w:t>
      </w:r>
      <w:proofErr w:type="gramStart"/>
      <w:r w:rsidR="00130569" w:rsidRPr="009F42E6">
        <w:rPr>
          <w:rFonts w:ascii="Book Antiqua" w:hAnsi="Book Antiqua"/>
        </w:rPr>
        <w:t>state</w:t>
      </w:r>
      <w:r w:rsidR="009418C0" w:rsidRPr="009418C0">
        <w:rPr>
          <w:rFonts w:ascii="Book Antiqua" w:eastAsia="宋体" w:hAnsi="Book Antiqua" w:hint="eastAsia"/>
          <w:vertAlign w:val="superscript"/>
          <w:lang w:eastAsia="zh-CN"/>
        </w:rPr>
        <w:t>[</w:t>
      </w:r>
      <w:proofErr w:type="gramEnd"/>
      <w:r w:rsidR="009418C0">
        <w:rPr>
          <w:rFonts w:ascii="Book Antiqua" w:eastAsia="宋体" w:hAnsi="Book Antiqua" w:hint="eastAsia"/>
          <w:vertAlign w:val="superscript"/>
          <w:lang w:eastAsia="zh-CN"/>
        </w:rPr>
        <w:t>21</w:t>
      </w:r>
      <w:r w:rsidR="009418C0" w:rsidRPr="009418C0">
        <w:rPr>
          <w:rFonts w:ascii="Book Antiqua" w:eastAsia="宋体" w:hAnsi="Book Antiqua" w:hint="eastAsia"/>
          <w:vertAlign w:val="superscript"/>
          <w:lang w:eastAsia="zh-CN"/>
        </w:rPr>
        <w:t>]</w:t>
      </w:r>
      <w:r w:rsidR="006F60D3" w:rsidRPr="009F42E6">
        <w:rPr>
          <w:rFonts w:ascii="Book Antiqua" w:hAnsi="Book Antiqua"/>
        </w:rPr>
        <w:t>.</w:t>
      </w:r>
      <w:r w:rsidR="00096E25" w:rsidRPr="009F42E6">
        <w:rPr>
          <w:rFonts w:ascii="Book Antiqua" w:hAnsi="Book Antiqua"/>
        </w:rPr>
        <w:t xml:space="preserve"> Endoscopic therapy should be given in patients with active</w:t>
      </w:r>
      <w:r w:rsidR="00152C12" w:rsidRPr="009F42E6">
        <w:rPr>
          <w:rFonts w:ascii="Book Antiqua" w:hAnsi="Book Antiqua"/>
        </w:rPr>
        <w:t xml:space="preserve"> bleeding and INR &lt;</w:t>
      </w:r>
      <w:r w:rsidR="009418C0">
        <w:rPr>
          <w:rFonts w:ascii="Book Antiqua" w:eastAsia="宋体" w:hAnsi="Book Antiqua" w:hint="eastAsia"/>
          <w:lang w:eastAsia="zh-CN"/>
        </w:rPr>
        <w:t xml:space="preserve"> </w:t>
      </w:r>
      <w:r w:rsidR="00152C12" w:rsidRPr="009F42E6">
        <w:rPr>
          <w:rFonts w:ascii="Book Antiqua" w:hAnsi="Book Antiqua"/>
        </w:rPr>
        <w:t>2.5. In high-</w:t>
      </w:r>
      <w:r w:rsidR="00096E25" w:rsidRPr="009F42E6">
        <w:rPr>
          <w:rFonts w:ascii="Book Antiqua" w:hAnsi="Book Antiqua"/>
        </w:rPr>
        <w:t xml:space="preserve">risk patients, heparin infusion should be started after endoscopic hemostasis. Hemodialysis should be done in case of </w:t>
      </w:r>
      <w:proofErr w:type="spellStart"/>
      <w:r w:rsidR="00096E25" w:rsidRPr="009F42E6">
        <w:rPr>
          <w:rFonts w:ascii="Book Antiqua" w:hAnsi="Book Antiqua"/>
        </w:rPr>
        <w:t>dabigatran</w:t>
      </w:r>
      <w:proofErr w:type="spellEnd"/>
      <w:r w:rsidR="00096E25" w:rsidRPr="009F42E6">
        <w:rPr>
          <w:rFonts w:ascii="Book Antiqua" w:hAnsi="Book Antiqua"/>
        </w:rPr>
        <w:t>-induced massive GI bleeding.</w:t>
      </w:r>
      <w:r w:rsidR="002E2989" w:rsidRPr="009F42E6">
        <w:rPr>
          <w:rFonts w:ascii="Book Antiqua" w:hAnsi="Book Antiqua"/>
        </w:rPr>
        <w:t xml:space="preserve"> </w:t>
      </w:r>
    </w:p>
    <w:p w14:paraId="2C5B2041" w14:textId="5847E9D1" w:rsidR="00926C61" w:rsidRPr="009F42E6" w:rsidRDefault="00926C61" w:rsidP="00B83F55">
      <w:pPr>
        <w:spacing w:line="360" w:lineRule="auto"/>
        <w:ind w:firstLineChars="150" w:firstLine="360"/>
        <w:jc w:val="both"/>
        <w:rPr>
          <w:rFonts w:ascii="Book Antiqua" w:hAnsi="Book Antiqua"/>
        </w:rPr>
      </w:pPr>
      <w:r w:rsidRPr="009F42E6">
        <w:rPr>
          <w:rFonts w:ascii="Book Antiqua" w:hAnsi="Book Antiqua"/>
        </w:rPr>
        <w:t xml:space="preserve">Patients with active gastrointestinal bleeding with history of coronary artery stent placement </w:t>
      </w:r>
      <w:r w:rsidR="00FD10F4" w:rsidRPr="009F42E6">
        <w:rPr>
          <w:rFonts w:ascii="Book Antiqua" w:hAnsi="Book Antiqua"/>
        </w:rPr>
        <w:t>–</w:t>
      </w:r>
      <w:r w:rsidRPr="009418C0">
        <w:rPr>
          <w:rFonts w:ascii="Book Antiqua" w:hAnsi="Book Antiqua"/>
          <w:i/>
        </w:rPr>
        <w:t xml:space="preserve"> </w:t>
      </w:r>
      <w:r w:rsidR="00FD10F4" w:rsidRPr="009418C0">
        <w:rPr>
          <w:rFonts w:ascii="Book Antiqua" w:hAnsi="Book Antiqua"/>
          <w:i/>
        </w:rPr>
        <w:t>i.e.</w:t>
      </w:r>
      <w:r w:rsidR="009418C0" w:rsidRPr="009418C0">
        <w:rPr>
          <w:rFonts w:ascii="Book Antiqua" w:eastAsia="宋体" w:hAnsi="Book Antiqua" w:hint="eastAsia"/>
          <w:i/>
          <w:lang w:eastAsia="zh-CN"/>
        </w:rPr>
        <w:t>,</w:t>
      </w:r>
      <w:r w:rsidR="00FD10F4" w:rsidRPr="009F42E6">
        <w:rPr>
          <w:rFonts w:ascii="Book Antiqua" w:hAnsi="Book Antiqua"/>
        </w:rPr>
        <w:t xml:space="preserve"> </w:t>
      </w:r>
      <w:r w:rsidRPr="009F42E6">
        <w:rPr>
          <w:rFonts w:ascii="Book Antiqua" w:hAnsi="Book Antiqua"/>
        </w:rPr>
        <w:t>within one month of bare metal stenting and within one year of drug eluting stenting, should be discussed with the cardiologist.</w:t>
      </w:r>
      <w:r w:rsidR="00863F4B" w:rsidRPr="009F42E6">
        <w:rPr>
          <w:rFonts w:ascii="Book Antiqua" w:hAnsi="Book Antiqua"/>
        </w:rPr>
        <w:t xml:space="preserve"> </w:t>
      </w:r>
      <w:proofErr w:type="spellStart"/>
      <w:r w:rsidR="00863F4B" w:rsidRPr="009F42E6">
        <w:rPr>
          <w:rFonts w:ascii="Book Antiqua" w:hAnsi="Book Antiqua"/>
        </w:rPr>
        <w:t>Clopidogrel</w:t>
      </w:r>
      <w:proofErr w:type="spellEnd"/>
      <w:r w:rsidR="00863F4B" w:rsidRPr="009F42E6">
        <w:rPr>
          <w:rFonts w:ascii="Book Antiqua" w:hAnsi="Book Antiqua"/>
        </w:rPr>
        <w:t xml:space="preserve"> should not </w:t>
      </w:r>
      <w:r w:rsidR="0042314F" w:rsidRPr="009F42E6">
        <w:rPr>
          <w:rFonts w:ascii="Book Antiqua" w:hAnsi="Book Antiqua"/>
        </w:rPr>
        <w:t xml:space="preserve">be </w:t>
      </w:r>
      <w:r w:rsidR="00863F4B" w:rsidRPr="009F42E6">
        <w:rPr>
          <w:rFonts w:ascii="Book Antiqua" w:hAnsi="Book Antiqua"/>
        </w:rPr>
        <w:t>discontinued</w:t>
      </w:r>
      <w:r w:rsidR="00F96EDA" w:rsidRPr="009F42E6">
        <w:rPr>
          <w:rFonts w:ascii="Book Antiqua" w:hAnsi="Book Antiqua"/>
        </w:rPr>
        <w:t xml:space="preserve"> without permission from the </w:t>
      </w:r>
      <w:proofErr w:type="gramStart"/>
      <w:r w:rsidR="00F96EDA" w:rsidRPr="009F42E6">
        <w:rPr>
          <w:rFonts w:ascii="Book Antiqua" w:hAnsi="Book Antiqua"/>
        </w:rPr>
        <w:t>cardiologist</w:t>
      </w:r>
      <w:proofErr w:type="gramEnd"/>
      <w:r w:rsidR="00F96EDA" w:rsidRPr="009F42E6">
        <w:rPr>
          <w:rFonts w:ascii="Book Antiqua" w:hAnsi="Book Antiqua"/>
        </w:rPr>
        <w:t xml:space="preserve"> as there is high risk of coronary artery thrombosis and myocardial infarction. Discontinuation of </w:t>
      </w:r>
      <w:proofErr w:type="spellStart"/>
      <w:r w:rsidR="00F96EDA" w:rsidRPr="009F42E6">
        <w:rPr>
          <w:rFonts w:ascii="Book Antiqua" w:hAnsi="Book Antiqua"/>
        </w:rPr>
        <w:t>clopidogrel</w:t>
      </w:r>
      <w:proofErr w:type="spellEnd"/>
      <w:r w:rsidR="00F96EDA" w:rsidRPr="009F42E6">
        <w:rPr>
          <w:rFonts w:ascii="Book Antiqua" w:hAnsi="Book Antiqua"/>
        </w:rPr>
        <w:t xml:space="preserve"> should not exceed 5 </w:t>
      </w:r>
      <w:r w:rsidR="009418C0">
        <w:rPr>
          <w:rFonts w:ascii="Book Antiqua" w:eastAsia="宋体" w:hAnsi="Book Antiqua" w:hint="eastAsia"/>
          <w:lang w:eastAsia="zh-CN"/>
        </w:rPr>
        <w:t>d</w:t>
      </w:r>
      <w:r w:rsidR="00F96EDA" w:rsidRPr="009F42E6">
        <w:rPr>
          <w:rFonts w:ascii="Book Antiqua" w:hAnsi="Book Antiqua"/>
        </w:rPr>
        <w:t xml:space="preserve"> because of the risk of increased stent thrombosis.</w:t>
      </w:r>
    </w:p>
    <w:p w14:paraId="074E384C" w14:textId="2BD3A126" w:rsidR="00C1629D" w:rsidRPr="009418C0" w:rsidRDefault="00932148" w:rsidP="00B83F55">
      <w:pPr>
        <w:spacing w:line="360" w:lineRule="auto"/>
        <w:ind w:firstLineChars="200" w:firstLine="480"/>
        <w:jc w:val="both"/>
        <w:rPr>
          <w:rFonts w:ascii="Book Antiqua" w:hAnsi="Book Antiqua"/>
        </w:rPr>
      </w:pPr>
      <w:r w:rsidRPr="009F42E6">
        <w:rPr>
          <w:rFonts w:ascii="Book Antiqua" w:hAnsi="Book Antiqua"/>
        </w:rPr>
        <w:t xml:space="preserve">Patients with ACS and gastrointestinal bleeding </w:t>
      </w:r>
      <w:r w:rsidR="00216515" w:rsidRPr="009F42E6">
        <w:rPr>
          <w:rFonts w:ascii="Book Antiqua" w:hAnsi="Book Antiqua"/>
        </w:rPr>
        <w:t xml:space="preserve">(GIB) </w:t>
      </w:r>
      <w:r w:rsidRPr="009F42E6">
        <w:rPr>
          <w:rFonts w:ascii="Book Antiqua" w:hAnsi="Book Antiqua"/>
        </w:rPr>
        <w:t xml:space="preserve">are unique group of patients who </w:t>
      </w:r>
      <w:r w:rsidR="00B964BC" w:rsidRPr="009F42E6">
        <w:rPr>
          <w:rFonts w:ascii="Book Antiqua" w:hAnsi="Book Antiqua"/>
        </w:rPr>
        <w:t>require close communication bet</w:t>
      </w:r>
      <w:r w:rsidRPr="009F42E6">
        <w:rPr>
          <w:rFonts w:ascii="Book Antiqua" w:hAnsi="Book Antiqua"/>
        </w:rPr>
        <w:t xml:space="preserve">ween </w:t>
      </w:r>
      <w:r w:rsidR="00B964BC" w:rsidRPr="009F42E6">
        <w:rPr>
          <w:rFonts w:ascii="Book Antiqua" w:hAnsi="Book Antiqua"/>
        </w:rPr>
        <w:t xml:space="preserve">the cardiologist and the gastroenterologist. </w:t>
      </w:r>
      <w:r w:rsidR="00216515" w:rsidRPr="009F42E6">
        <w:rPr>
          <w:rFonts w:ascii="Book Antiqua" w:hAnsi="Book Antiqua"/>
        </w:rPr>
        <w:t>This is a serous entity as ACS and GIB are independent risk factors for ischemic complications</w:t>
      </w:r>
      <w:r w:rsidR="00BE7D7B" w:rsidRPr="009F42E6">
        <w:rPr>
          <w:rFonts w:ascii="Book Antiqua" w:hAnsi="Book Antiqua"/>
        </w:rPr>
        <w:t>, higher morbidity</w:t>
      </w:r>
      <w:r w:rsidR="00216515" w:rsidRPr="009F42E6">
        <w:rPr>
          <w:rFonts w:ascii="Book Antiqua" w:hAnsi="Book Antiqua"/>
        </w:rPr>
        <w:t xml:space="preserve"> and mortality. </w:t>
      </w:r>
      <w:r w:rsidR="00B964BC" w:rsidRPr="009F42E6">
        <w:rPr>
          <w:rFonts w:ascii="Book Antiqua" w:hAnsi="Book Antiqua"/>
        </w:rPr>
        <w:t>Th</w:t>
      </w:r>
      <w:r w:rsidR="009418C0">
        <w:rPr>
          <w:rFonts w:ascii="Book Antiqua" w:hAnsi="Book Antiqua"/>
        </w:rPr>
        <w:t>ere are two distinct settings</w:t>
      </w:r>
      <w:r w:rsidR="009418C0">
        <w:rPr>
          <w:rFonts w:ascii="Book Antiqua" w:eastAsia="宋体" w:hAnsi="Book Antiqua" w:hint="eastAsia"/>
          <w:lang w:eastAsia="zh-CN"/>
        </w:rPr>
        <w:t xml:space="preserve">: </w:t>
      </w:r>
      <w:r w:rsidR="00B964BC" w:rsidRPr="009F42E6">
        <w:rPr>
          <w:rFonts w:ascii="Book Antiqua" w:hAnsi="Book Antiqua"/>
        </w:rPr>
        <w:t>(1)</w:t>
      </w:r>
      <w:r w:rsidR="009418C0">
        <w:rPr>
          <w:rFonts w:ascii="Book Antiqua" w:eastAsia="宋体" w:hAnsi="Book Antiqua" w:hint="eastAsia"/>
          <w:lang w:eastAsia="zh-CN"/>
        </w:rPr>
        <w:t xml:space="preserve"> </w:t>
      </w:r>
      <w:r w:rsidR="00B964BC" w:rsidRPr="009F42E6">
        <w:rPr>
          <w:rFonts w:ascii="Book Antiqua" w:hAnsi="Book Antiqua"/>
        </w:rPr>
        <w:t xml:space="preserve">patients develop gastrointestinal bleeding first, </w:t>
      </w:r>
      <w:proofErr w:type="gramStart"/>
      <w:r w:rsidR="00B964BC" w:rsidRPr="009F42E6">
        <w:rPr>
          <w:rFonts w:ascii="Book Antiqua" w:hAnsi="Book Antiqua"/>
        </w:rPr>
        <w:t>then</w:t>
      </w:r>
      <w:proofErr w:type="gramEnd"/>
      <w:r w:rsidR="00B964BC" w:rsidRPr="009F42E6">
        <w:rPr>
          <w:rFonts w:ascii="Book Antiqua" w:hAnsi="Book Antiqua"/>
        </w:rPr>
        <w:t xml:space="preserve"> develop ACS. </w:t>
      </w:r>
      <w:proofErr w:type="gramStart"/>
      <w:r w:rsidR="00351E2F" w:rsidRPr="009F42E6">
        <w:rPr>
          <w:rFonts w:ascii="Book Antiqua" w:hAnsi="Book Antiqua"/>
        </w:rPr>
        <w:t xml:space="preserve">This </w:t>
      </w:r>
      <w:r w:rsidR="00BF6568" w:rsidRPr="009F42E6">
        <w:rPr>
          <w:rFonts w:ascii="Book Antiqua" w:hAnsi="Book Antiqua"/>
        </w:rPr>
        <w:t>group of patients have</w:t>
      </w:r>
      <w:proofErr w:type="gramEnd"/>
      <w:r w:rsidR="00BF6568" w:rsidRPr="009F42E6">
        <w:rPr>
          <w:rFonts w:ascii="Book Antiqua" w:hAnsi="Book Antiqua"/>
        </w:rPr>
        <w:t xml:space="preserve"> primary gastrointestinal lesions which have caused GIB. As GIB is the inciting event leading to ACS, endoscopic treatment would be more beneficia</w:t>
      </w:r>
      <w:r w:rsidR="00130569" w:rsidRPr="009F42E6">
        <w:rPr>
          <w:rFonts w:ascii="Book Antiqua" w:hAnsi="Book Antiqua"/>
        </w:rPr>
        <w:t xml:space="preserve">l for this group of </w:t>
      </w:r>
      <w:proofErr w:type="gramStart"/>
      <w:r w:rsidR="00130569" w:rsidRPr="009F42E6">
        <w:rPr>
          <w:rFonts w:ascii="Book Antiqua" w:hAnsi="Book Antiqua"/>
        </w:rPr>
        <w:t>patients</w:t>
      </w:r>
      <w:r w:rsidR="009418C0" w:rsidRPr="009418C0">
        <w:rPr>
          <w:rFonts w:ascii="Book Antiqua" w:eastAsia="宋体" w:hAnsi="Book Antiqua" w:hint="eastAsia"/>
          <w:vertAlign w:val="superscript"/>
          <w:lang w:eastAsia="zh-CN"/>
        </w:rPr>
        <w:t>[</w:t>
      </w:r>
      <w:proofErr w:type="gramEnd"/>
      <w:r w:rsidR="009418C0">
        <w:rPr>
          <w:rFonts w:ascii="Book Antiqua" w:eastAsia="宋体" w:hAnsi="Book Antiqua" w:hint="eastAsia"/>
          <w:vertAlign w:val="superscript"/>
          <w:lang w:eastAsia="zh-CN"/>
        </w:rPr>
        <w:t>22</w:t>
      </w:r>
      <w:r w:rsidR="009418C0" w:rsidRPr="009418C0">
        <w:rPr>
          <w:rFonts w:ascii="Book Antiqua" w:eastAsia="宋体" w:hAnsi="Book Antiqua" w:hint="eastAsia"/>
          <w:vertAlign w:val="superscript"/>
          <w:lang w:eastAsia="zh-CN"/>
        </w:rPr>
        <w:t>]</w:t>
      </w:r>
      <w:r w:rsidR="009418C0">
        <w:rPr>
          <w:rFonts w:ascii="Book Antiqua" w:eastAsia="宋体" w:hAnsi="Book Antiqua" w:hint="eastAsia"/>
          <w:lang w:eastAsia="zh-CN"/>
        </w:rPr>
        <w:t xml:space="preserve">; </w:t>
      </w:r>
      <w:r w:rsidR="00B83F55">
        <w:rPr>
          <w:rFonts w:ascii="Book Antiqua" w:eastAsia="宋体" w:hAnsi="Book Antiqua" w:hint="eastAsia"/>
          <w:lang w:eastAsia="zh-CN"/>
        </w:rPr>
        <w:t xml:space="preserve">and </w:t>
      </w:r>
      <w:r w:rsidR="008F679A" w:rsidRPr="009F42E6">
        <w:rPr>
          <w:rFonts w:ascii="Book Antiqua" w:hAnsi="Book Antiqua"/>
        </w:rPr>
        <w:t>(2)</w:t>
      </w:r>
      <w:r w:rsidR="009418C0">
        <w:rPr>
          <w:rFonts w:ascii="Book Antiqua" w:eastAsia="宋体" w:hAnsi="Book Antiqua" w:hint="eastAsia"/>
          <w:lang w:eastAsia="zh-CN"/>
        </w:rPr>
        <w:t xml:space="preserve"> </w:t>
      </w:r>
      <w:r w:rsidR="00B964BC" w:rsidRPr="009F42E6">
        <w:rPr>
          <w:rFonts w:ascii="Book Antiqua" w:hAnsi="Book Antiqua"/>
        </w:rPr>
        <w:t>p</w:t>
      </w:r>
      <w:r w:rsidR="00351E2F" w:rsidRPr="009F42E6">
        <w:rPr>
          <w:rFonts w:ascii="Book Antiqua" w:hAnsi="Book Antiqua"/>
        </w:rPr>
        <w:t xml:space="preserve">atients develop ACS first, then </w:t>
      </w:r>
      <w:r w:rsidR="00B964BC" w:rsidRPr="009F42E6">
        <w:rPr>
          <w:rFonts w:ascii="Book Antiqua" w:hAnsi="Book Antiqua"/>
        </w:rPr>
        <w:t xml:space="preserve">develop gastrointestinal bleeding. </w:t>
      </w:r>
      <w:r w:rsidR="008B4E69" w:rsidRPr="009F42E6">
        <w:rPr>
          <w:rFonts w:ascii="Book Antiqua" w:hAnsi="Book Antiqua"/>
        </w:rPr>
        <w:t>This</w:t>
      </w:r>
      <w:r w:rsidR="00351E2F" w:rsidRPr="009F42E6">
        <w:rPr>
          <w:rFonts w:ascii="Book Antiqua" w:hAnsi="Book Antiqua"/>
        </w:rPr>
        <w:t xml:space="preserve"> is the commoner entity as </w:t>
      </w:r>
      <w:proofErr w:type="gramStart"/>
      <w:r w:rsidR="00351E2F" w:rsidRPr="009F42E6">
        <w:rPr>
          <w:rFonts w:ascii="Book Antiqua" w:hAnsi="Book Antiqua"/>
        </w:rPr>
        <w:t xml:space="preserve">this </w:t>
      </w:r>
      <w:r w:rsidR="008B4E69" w:rsidRPr="009F42E6">
        <w:rPr>
          <w:rFonts w:ascii="Book Antiqua" w:hAnsi="Book Antiqua"/>
        </w:rPr>
        <w:t>group of patients receive</w:t>
      </w:r>
      <w:proofErr w:type="gramEnd"/>
      <w:r w:rsidR="008B4E69" w:rsidRPr="009F42E6">
        <w:rPr>
          <w:rFonts w:ascii="Book Antiqua" w:hAnsi="Book Antiqua"/>
        </w:rPr>
        <w:t xml:space="preserve"> antiplatelet and/or antithrombotic age</w:t>
      </w:r>
      <w:r w:rsidR="00F30F8F" w:rsidRPr="009F42E6">
        <w:rPr>
          <w:rFonts w:ascii="Book Antiqua" w:hAnsi="Book Antiqua"/>
        </w:rPr>
        <w:t xml:space="preserve">nts </w:t>
      </w:r>
      <w:r w:rsidR="00351E2F" w:rsidRPr="009F42E6">
        <w:rPr>
          <w:rFonts w:ascii="Book Antiqua" w:hAnsi="Book Antiqua"/>
        </w:rPr>
        <w:t xml:space="preserve">for their ACS, </w:t>
      </w:r>
      <w:r w:rsidR="00F30F8F" w:rsidRPr="009F42E6">
        <w:rPr>
          <w:rFonts w:ascii="Book Antiqua" w:hAnsi="Book Antiqua"/>
        </w:rPr>
        <w:t xml:space="preserve">either treated </w:t>
      </w:r>
      <w:r w:rsidR="00FD76EE" w:rsidRPr="009F42E6">
        <w:rPr>
          <w:rFonts w:ascii="Book Antiqua" w:hAnsi="Book Antiqua"/>
        </w:rPr>
        <w:t xml:space="preserve">conservatively or by </w:t>
      </w:r>
      <w:r w:rsidR="008B4E69" w:rsidRPr="009F42E6">
        <w:rPr>
          <w:rFonts w:ascii="Book Antiqua" w:hAnsi="Book Antiqua"/>
        </w:rPr>
        <w:t>PCI.</w:t>
      </w:r>
      <w:r w:rsidR="00FD76EE" w:rsidRPr="009F42E6">
        <w:rPr>
          <w:rFonts w:ascii="Book Antiqua" w:hAnsi="Book Antiqua"/>
        </w:rPr>
        <w:t xml:space="preserve"> One study showed 1.3% of patients developed GIB within 30 days of acute coronary </w:t>
      </w:r>
      <w:proofErr w:type="gramStart"/>
      <w:r w:rsidR="00FD76EE" w:rsidRPr="009F42E6">
        <w:rPr>
          <w:rFonts w:ascii="Book Antiqua" w:hAnsi="Book Antiqua"/>
        </w:rPr>
        <w:t>syndrome</w:t>
      </w:r>
      <w:r w:rsidR="009418C0" w:rsidRPr="009418C0">
        <w:rPr>
          <w:rFonts w:ascii="Book Antiqua" w:eastAsia="宋体" w:hAnsi="Book Antiqua" w:hint="eastAsia"/>
          <w:vertAlign w:val="superscript"/>
          <w:lang w:eastAsia="zh-CN"/>
        </w:rPr>
        <w:t>[</w:t>
      </w:r>
      <w:proofErr w:type="gramEnd"/>
      <w:r w:rsidR="009418C0">
        <w:rPr>
          <w:rFonts w:ascii="Book Antiqua" w:eastAsia="宋体" w:hAnsi="Book Antiqua" w:hint="eastAsia"/>
          <w:vertAlign w:val="superscript"/>
          <w:lang w:eastAsia="zh-CN"/>
        </w:rPr>
        <w:t>23</w:t>
      </w:r>
      <w:r w:rsidR="009418C0" w:rsidRPr="009418C0">
        <w:rPr>
          <w:rFonts w:ascii="Book Antiqua" w:eastAsia="宋体" w:hAnsi="Book Antiqua" w:hint="eastAsia"/>
          <w:vertAlign w:val="superscript"/>
          <w:lang w:eastAsia="zh-CN"/>
        </w:rPr>
        <w:t>]</w:t>
      </w:r>
      <w:r w:rsidR="00FD76EE" w:rsidRPr="009F42E6">
        <w:rPr>
          <w:rFonts w:ascii="Book Antiqua" w:hAnsi="Book Antiqua"/>
        </w:rPr>
        <w:t xml:space="preserve">. </w:t>
      </w:r>
      <w:r w:rsidR="00393E24" w:rsidRPr="009F42E6">
        <w:rPr>
          <w:rFonts w:ascii="Book Antiqua" w:eastAsia="MS Gothic" w:hAnsi="Book Antiqua"/>
          <w:color w:val="000000"/>
        </w:rPr>
        <w:t>There was significantly increased incidence of stent thrombosis in the GIB group than non-</w:t>
      </w:r>
      <w:r w:rsidR="00393E24" w:rsidRPr="009F42E6">
        <w:rPr>
          <w:rFonts w:ascii="Book Antiqua" w:eastAsia="MS Gothic" w:hAnsi="Book Antiqua"/>
          <w:color w:val="000000"/>
        </w:rPr>
        <w:lastRenderedPageBreak/>
        <w:t xml:space="preserve">GIB group (5.8% </w:t>
      </w:r>
      <w:proofErr w:type="spellStart"/>
      <w:r w:rsidR="00393E24" w:rsidRPr="009418C0">
        <w:rPr>
          <w:rFonts w:ascii="Book Antiqua" w:eastAsia="MS Gothic" w:hAnsi="Book Antiqua"/>
          <w:i/>
          <w:color w:val="000000"/>
        </w:rPr>
        <w:t>vs</w:t>
      </w:r>
      <w:proofErr w:type="spellEnd"/>
      <w:r w:rsidR="00393E24" w:rsidRPr="009F42E6">
        <w:rPr>
          <w:rFonts w:ascii="Book Antiqua" w:eastAsia="MS Gothic" w:hAnsi="Book Antiqua"/>
          <w:color w:val="000000"/>
        </w:rPr>
        <w:t xml:space="preserve"> 2.4%).</w:t>
      </w:r>
      <w:r w:rsidR="00F30F8F" w:rsidRPr="009F42E6">
        <w:rPr>
          <w:rFonts w:ascii="Book Antiqua" w:eastAsia="MS Gothic" w:hAnsi="Book Antiqua"/>
          <w:color w:val="000000"/>
        </w:rPr>
        <w:t xml:space="preserve"> </w:t>
      </w:r>
      <w:r w:rsidR="00FD76EE" w:rsidRPr="009F42E6">
        <w:rPr>
          <w:rFonts w:ascii="Book Antiqua" w:hAnsi="Book Antiqua"/>
        </w:rPr>
        <w:t xml:space="preserve">Predictors of </w:t>
      </w:r>
      <w:r w:rsidR="00393E24" w:rsidRPr="009F42E6">
        <w:rPr>
          <w:rFonts w:ascii="Book Antiqua" w:hAnsi="Book Antiqua"/>
        </w:rPr>
        <w:t xml:space="preserve">post-ACS </w:t>
      </w:r>
      <w:r w:rsidR="00FD76EE" w:rsidRPr="009F42E6">
        <w:rPr>
          <w:rFonts w:ascii="Book Antiqua" w:hAnsi="Book Antiqua"/>
        </w:rPr>
        <w:t xml:space="preserve">GIB were old age, </w:t>
      </w:r>
      <w:r w:rsidR="004E2B32" w:rsidRPr="009F42E6">
        <w:rPr>
          <w:rFonts w:ascii="Book Antiqua" w:hAnsi="Book Antiqua"/>
        </w:rPr>
        <w:t xml:space="preserve">female sex, </w:t>
      </w:r>
      <w:r w:rsidR="00FD76EE" w:rsidRPr="009F42E6">
        <w:rPr>
          <w:rFonts w:ascii="Book Antiqua" w:hAnsi="Book Antiqua"/>
        </w:rPr>
        <w:t>smoking</w:t>
      </w:r>
      <w:r w:rsidR="005D7020" w:rsidRPr="009F42E6">
        <w:rPr>
          <w:rFonts w:ascii="Book Antiqua" w:hAnsi="Book Antiqua"/>
        </w:rPr>
        <w:t xml:space="preserve"> status</w:t>
      </w:r>
      <w:r w:rsidR="00FD76EE" w:rsidRPr="009F42E6">
        <w:rPr>
          <w:rFonts w:ascii="Book Antiqua" w:hAnsi="Book Antiqua"/>
        </w:rPr>
        <w:t xml:space="preserve">, </w:t>
      </w:r>
      <w:r w:rsidR="005D7020" w:rsidRPr="009F42E6">
        <w:rPr>
          <w:rFonts w:ascii="Book Antiqua" w:hAnsi="Book Antiqua"/>
        </w:rPr>
        <w:t xml:space="preserve">baseline anemia, </w:t>
      </w:r>
      <w:r w:rsidR="00C1629D" w:rsidRPr="009F42E6">
        <w:rPr>
          <w:rFonts w:ascii="Book Antiqua" w:hAnsi="Book Antiqua"/>
        </w:rPr>
        <w:t>diab</w:t>
      </w:r>
      <w:r w:rsidR="005D7020" w:rsidRPr="009F42E6">
        <w:rPr>
          <w:rFonts w:ascii="Book Antiqua" w:hAnsi="Book Antiqua"/>
        </w:rPr>
        <w:t xml:space="preserve">etes mellitus, hypertension, heart failure, </w:t>
      </w:r>
      <w:r w:rsidR="00C1629D" w:rsidRPr="009F42E6">
        <w:rPr>
          <w:rFonts w:ascii="Book Antiqua" w:hAnsi="Book Antiqua"/>
        </w:rPr>
        <w:t xml:space="preserve">ST-segment elevation </w:t>
      </w:r>
      <w:r w:rsidR="00C1629D" w:rsidRPr="009F42E6">
        <w:rPr>
          <w:rFonts w:ascii="Book Antiqua" w:eastAsia="MS Gothic" w:hAnsi="Book Antiqua"/>
          <w:color w:val="000000"/>
        </w:rPr>
        <w:t>≥</w:t>
      </w:r>
      <w:r w:rsidR="009418C0">
        <w:rPr>
          <w:rFonts w:ascii="Book Antiqua" w:eastAsia="宋体" w:hAnsi="Book Antiqua" w:hint="eastAsia"/>
          <w:color w:val="000000"/>
          <w:lang w:eastAsia="zh-CN"/>
        </w:rPr>
        <w:t xml:space="preserve"> </w:t>
      </w:r>
      <w:r w:rsidR="00C1629D" w:rsidRPr="009F42E6">
        <w:rPr>
          <w:rFonts w:ascii="Book Antiqua" w:eastAsia="MS Gothic" w:hAnsi="Book Antiqua"/>
          <w:color w:val="000000"/>
        </w:rPr>
        <w:t>1 mm, longer duration of blood thinner admi</w:t>
      </w:r>
      <w:r w:rsidR="00393E24" w:rsidRPr="009F42E6">
        <w:rPr>
          <w:rFonts w:ascii="Book Antiqua" w:eastAsia="MS Gothic" w:hAnsi="Book Antiqua"/>
          <w:color w:val="000000"/>
        </w:rPr>
        <w:t xml:space="preserve">nistration before </w:t>
      </w:r>
      <w:proofErr w:type="gramStart"/>
      <w:r w:rsidR="00393E24" w:rsidRPr="009F42E6">
        <w:rPr>
          <w:rFonts w:ascii="Book Antiqua" w:eastAsia="MS Gothic" w:hAnsi="Book Antiqua"/>
          <w:color w:val="000000"/>
        </w:rPr>
        <w:t>angiogram</w:t>
      </w:r>
      <w:r w:rsidR="009418C0" w:rsidRPr="009418C0">
        <w:rPr>
          <w:rFonts w:ascii="Book Antiqua" w:eastAsia="宋体" w:hAnsi="Book Antiqua" w:hint="eastAsia"/>
          <w:color w:val="000000"/>
          <w:vertAlign w:val="superscript"/>
          <w:lang w:eastAsia="zh-CN"/>
        </w:rPr>
        <w:t>[</w:t>
      </w:r>
      <w:proofErr w:type="gramEnd"/>
      <w:r w:rsidR="009418C0" w:rsidRPr="009418C0">
        <w:rPr>
          <w:rFonts w:ascii="Book Antiqua" w:eastAsia="MS Gothic" w:hAnsi="Book Antiqua"/>
          <w:color w:val="000000"/>
          <w:vertAlign w:val="superscript"/>
        </w:rPr>
        <w:t>23,</w:t>
      </w:r>
      <w:r w:rsidR="00130569" w:rsidRPr="009418C0">
        <w:rPr>
          <w:rFonts w:ascii="Book Antiqua" w:eastAsia="MS Gothic" w:hAnsi="Book Antiqua"/>
          <w:color w:val="000000"/>
          <w:vertAlign w:val="superscript"/>
        </w:rPr>
        <w:t>24</w:t>
      </w:r>
      <w:r w:rsidR="009418C0" w:rsidRPr="009418C0">
        <w:rPr>
          <w:rFonts w:ascii="Book Antiqua" w:eastAsia="宋体" w:hAnsi="Book Antiqua" w:hint="eastAsia"/>
          <w:color w:val="000000"/>
          <w:vertAlign w:val="superscript"/>
          <w:lang w:eastAsia="zh-CN"/>
        </w:rPr>
        <w:t>]</w:t>
      </w:r>
      <w:r w:rsidR="00C1629D" w:rsidRPr="009F42E6">
        <w:rPr>
          <w:rFonts w:ascii="Book Antiqua" w:eastAsia="MS Gothic" w:hAnsi="Book Antiqua"/>
          <w:color w:val="000000"/>
        </w:rPr>
        <w:t>.</w:t>
      </w:r>
      <w:r w:rsidR="00037708" w:rsidRPr="009F42E6">
        <w:rPr>
          <w:rFonts w:ascii="Book Antiqua" w:eastAsia="MS Gothic" w:hAnsi="Book Antiqua"/>
          <w:color w:val="000000"/>
        </w:rPr>
        <w:t xml:space="preserve"> </w:t>
      </w:r>
      <w:r w:rsidR="00DC6B26" w:rsidRPr="009F42E6">
        <w:rPr>
          <w:rFonts w:ascii="Book Antiqua" w:eastAsia="MS Gothic" w:hAnsi="Book Antiqua"/>
          <w:color w:val="000000"/>
        </w:rPr>
        <w:t xml:space="preserve">There was </w:t>
      </w:r>
      <w:proofErr w:type="gramStart"/>
      <w:r w:rsidR="00DC6B26" w:rsidRPr="009F42E6">
        <w:rPr>
          <w:rFonts w:ascii="Book Antiqua" w:eastAsia="MS Gothic" w:hAnsi="Book Antiqua"/>
          <w:color w:val="000000"/>
        </w:rPr>
        <w:t>8 fold</w:t>
      </w:r>
      <w:proofErr w:type="gramEnd"/>
      <w:r w:rsidR="00DC6B26" w:rsidRPr="009F42E6">
        <w:rPr>
          <w:rFonts w:ascii="Book Antiqua" w:eastAsia="MS Gothic" w:hAnsi="Book Antiqua"/>
          <w:color w:val="000000"/>
        </w:rPr>
        <w:t xml:space="preserve"> increase in mortality when ACS patients developed GIB.</w:t>
      </w:r>
      <w:r w:rsidR="00753882" w:rsidRPr="009F42E6">
        <w:rPr>
          <w:rFonts w:ascii="Book Antiqua" w:eastAsia="MS Gothic" w:hAnsi="Book Antiqua"/>
          <w:color w:val="000000"/>
        </w:rPr>
        <w:t xml:space="preserve"> Another study showed that patients with ACS who had also upper GIB had 30% mortality within 30 </w:t>
      </w:r>
      <w:r w:rsidR="009418C0">
        <w:rPr>
          <w:rFonts w:ascii="Book Antiqua" w:eastAsia="宋体" w:hAnsi="Book Antiqua" w:hint="eastAsia"/>
          <w:color w:val="000000"/>
          <w:lang w:eastAsia="zh-CN"/>
        </w:rPr>
        <w:t>d</w:t>
      </w:r>
      <w:r w:rsidR="00753882" w:rsidRPr="009F42E6">
        <w:rPr>
          <w:rFonts w:ascii="Book Antiqua" w:eastAsia="MS Gothic" w:hAnsi="Book Antiqua"/>
          <w:color w:val="000000"/>
        </w:rPr>
        <w:t xml:space="preserve"> of</w:t>
      </w:r>
      <w:r w:rsidR="00130569" w:rsidRPr="009F42E6">
        <w:rPr>
          <w:rFonts w:ascii="Book Antiqua" w:eastAsia="MS Gothic" w:hAnsi="Book Antiqua"/>
          <w:color w:val="000000"/>
        </w:rPr>
        <w:t xml:space="preserve"> their </w:t>
      </w:r>
      <w:proofErr w:type="gramStart"/>
      <w:r w:rsidR="00130569" w:rsidRPr="009F42E6">
        <w:rPr>
          <w:rFonts w:ascii="Book Antiqua" w:eastAsia="MS Gothic" w:hAnsi="Book Antiqua"/>
          <w:color w:val="000000"/>
        </w:rPr>
        <w:t>ACS</w:t>
      </w:r>
      <w:r w:rsidR="009418C0" w:rsidRPr="009418C0">
        <w:rPr>
          <w:rFonts w:ascii="Book Antiqua" w:eastAsia="宋体" w:hAnsi="Book Antiqua" w:hint="eastAsia"/>
          <w:vertAlign w:val="superscript"/>
          <w:lang w:eastAsia="zh-CN"/>
        </w:rPr>
        <w:t>[</w:t>
      </w:r>
      <w:proofErr w:type="gramEnd"/>
      <w:r w:rsidR="009418C0">
        <w:rPr>
          <w:rFonts w:ascii="Book Antiqua" w:eastAsia="宋体" w:hAnsi="Book Antiqua" w:hint="eastAsia"/>
          <w:vertAlign w:val="superscript"/>
          <w:lang w:eastAsia="zh-CN"/>
        </w:rPr>
        <w:t>25</w:t>
      </w:r>
      <w:r w:rsidR="009418C0" w:rsidRPr="009418C0">
        <w:rPr>
          <w:rFonts w:ascii="Book Antiqua" w:eastAsia="宋体" w:hAnsi="Book Antiqua" w:hint="eastAsia"/>
          <w:vertAlign w:val="superscript"/>
          <w:lang w:eastAsia="zh-CN"/>
        </w:rPr>
        <w:t>]</w:t>
      </w:r>
      <w:r w:rsidR="00753882" w:rsidRPr="009F42E6">
        <w:rPr>
          <w:rFonts w:ascii="Book Antiqua" w:eastAsia="MS Gothic" w:hAnsi="Book Antiqua"/>
          <w:color w:val="000000"/>
        </w:rPr>
        <w:t>.</w:t>
      </w:r>
      <w:r w:rsidR="00CC31B4" w:rsidRPr="009F42E6">
        <w:rPr>
          <w:rFonts w:ascii="Book Antiqua" w:eastAsia="MS Gothic" w:hAnsi="Book Antiqua"/>
          <w:color w:val="000000"/>
        </w:rPr>
        <w:t xml:space="preserve"> Upper endoscopy can have procedural </w:t>
      </w:r>
      <w:r w:rsidR="00F86EC8" w:rsidRPr="009F42E6">
        <w:rPr>
          <w:rFonts w:ascii="Book Antiqua" w:eastAsia="MS Gothic" w:hAnsi="Book Antiqua"/>
          <w:color w:val="000000"/>
        </w:rPr>
        <w:t xml:space="preserve">and anesthetic </w:t>
      </w:r>
      <w:r w:rsidR="00CC31B4" w:rsidRPr="009F42E6">
        <w:rPr>
          <w:rFonts w:ascii="Book Antiqua" w:eastAsia="MS Gothic" w:hAnsi="Book Antiqua"/>
          <w:color w:val="000000"/>
        </w:rPr>
        <w:t xml:space="preserve">risk like </w:t>
      </w:r>
      <w:r w:rsidR="00F86EC8" w:rsidRPr="009F42E6">
        <w:rPr>
          <w:rFonts w:ascii="Book Antiqua" w:eastAsia="MS Gothic" w:hAnsi="Book Antiqua"/>
          <w:color w:val="000000"/>
        </w:rPr>
        <w:t xml:space="preserve">hypotension, EKG changes, hypoxia and </w:t>
      </w:r>
      <w:r w:rsidR="00CC31B4" w:rsidRPr="009F42E6">
        <w:rPr>
          <w:rFonts w:ascii="Book Antiqua" w:eastAsia="MS Gothic" w:hAnsi="Book Antiqua"/>
          <w:color w:val="000000"/>
        </w:rPr>
        <w:t>life threatening arrhythmia in the setting of ACS. One study done in a tertiary care center found upper endoscopy to be relatively safe</w:t>
      </w:r>
      <w:r w:rsidR="00BC4EFE" w:rsidRPr="009F42E6">
        <w:rPr>
          <w:rFonts w:ascii="Book Antiqua" w:eastAsia="MS Gothic" w:hAnsi="Book Antiqua"/>
          <w:color w:val="000000"/>
        </w:rPr>
        <w:t xml:space="preserve"> in the diagnosis and management of upper GIB within 30 d of </w:t>
      </w:r>
      <w:r w:rsidR="00E76F34" w:rsidRPr="009F42E6">
        <w:rPr>
          <w:rFonts w:ascii="Book Antiqua" w:eastAsia="MS Gothic" w:hAnsi="Book Antiqua"/>
          <w:color w:val="000000"/>
        </w:rPr>
        <w:t>having</w:t>
      </w:r>
      <w:r w:rsidR="00130569" w:rsidRPr="009F42E6">
        <w:rPr>
          <w:rFonts w:ascii="Book Antiqua" w:eastAsia="MS Gothic" w:hAnsi="Book Antiqua"/>
          <w:color w:val="000000"/>
        </w:rPr>
        <w:t xml:space="preserve"> myocardial </w:t>
      </w:r>
      <w:proofErr w:type="gramStart"/>
      <w:r w:rsidR="00130569" w:rsidRPr="009F42E6">
        <w:rPr>
          <w:rFonts w:ascii="Book Antiqua" w:eastAsia="MS Gothic" w:hAnsi="Book Antiqua"/>
          <w:color w:val="000000"/>
        </w:rPr>
        <w:t>infarction</w:t>
      </w:r>
      <w:r w:rsidR="009418C0" w:rsidRPr="009418C0">
        <w:rPr>
          <w:rFonts w:ascii="Book Antiqua" w:eastAsia="宋体" w:hAnsi="Book Antiqua" w:hint="eastAsia"/>
          <w:vertAlign w:val="superscript"/>
          <w:lang w:eastAsia="zh-CN"/>
        </w:rPr>
        <w:t>[</w:t>
      </w:r>
      <w:proofErr w:type="gramEnd"/>
      <w:r w:rsidR="009418C0">
        <w:rPr>
          <w:rFonts w:ascii="Book Antiqua" w:eastAsia="宋体" w:hAnsi="Book Antiqua" w:hint="eastAsia"/>
          <w:vertAlign w:val="superscript"/>
          <w:lang w:eastAsia="zh-CN"/>
        </w:rPr>
        <w:t>26</w:t>
      </w:r>
      <w:r w:rsidR="009418C0" w:rsidRPr="009418C0">
        <w:rPr>
          <w:rFonts w:ascii="Book Antiqua" w:eastAsia="宋体" w:hAnsi="Book Antiqua" w:hint="eastAsia"/>
          <w:vertAlign w:val="superscript"/>
          <w:lang w:eastAsia="zh-CN"/>
        </w:rPr>
        <w:t>]</w:t>
      </w:r>
      <w:r w:rsidR="000E1648">
        <w:rPr>
          <w:rFonts w:ascii="Book Antiqua" w:eastAsia="宋体" w:hAnsi="Book Antiqua" w:hint="eastAsia"/>
          <w:vertAlign w:val="superscript"/>
          <w:lang w:eastAsia="zh-CN"/>
        </w:rPr>
        <w:t xml:space="preserve"> </w:t>
      </w:r>
      <w:r w:rsidR="000E1648">
        <w:rPr>
          <w:rFonts w:ascii="Book Antiqua" w:eastAsia="宋体" w:hAnsi="Book Antiqua" w:hint="eastAsia"/>
          <w:lang w:eastAsia="zh-CN"/>
        </w:rPr>
        <w:t>(Table 2)</w:t>
      </w:r>
      <w:r w:rsidR="00BC4EFE" w:rsidRPr="009F42E6">
        <w:rPr>
          <w:rFonts w:ascii="Book Antiqua" w:eastAsia="MS Gothic" w:hAnsi="Book Antiqua"/>
          <w:color w:val="000000"/>
        </w:rPr>
        <w:t>.</w:t>
      </w:r>
    </w:p>
    <w:p w14:paraId="6EA90E1F" w14:textId="77777777" w:rsidR="000E1648" w:rsidRDefault="000E1648" w:rsidP="00B83F55">
      <w:pPr>
        <w:tabs>
          <w:tab w:val="left" w:pos="3060"/>
        </w:tabs>
        <w:spacing w:line="360" w:lineRule="auto"/>
        <w:jc w:val="both"/>
        <w:rPr>
          <w:rFonts w:ascii="Book Antiqua" w:eastAsia="宋体" w:hAnsi="Book Antiqua"/>
          <w:b/>
          <w:lang w:eastAsia="zh-CN"/>
        </w:rPr>
      </w:pPr>
    </w:p>
    <w:p w14:paraId="633B8761" w14:textId="296D2CBB" w:rsidR="00FA04ED" w:rsidRPr="009418C0" w:rsidRDefault="009418C0" w:rsidP="00B83F55">
      <w:pPr>
        <w:tabs>
          <w:tab w:val="left" w:pos="3060"/>
        </w:tabs>
        <w:spacing w:line="360" w:lineRule="auto"/>
        <w:jc w:val="both"/>
        <w:rPr>
          <w:rFonts w:ascii="Book Antiqua" w:eastAsia="宋体" w:hAnsi="Book Antiqua"/>
          <w:lang w:eastAsia="zh-CN"/>
        </w:rPr>
      </w:pPr>
      <w:r>
        <w:rPr>
          <w:rFonts w:ascii="Book Antiqua" w:eastAsia="宋体" w:hAnsi="Book Antiqua"/>
          <w:b/>
          <w:lang w:eastAsia="zh-CN"/>
        </w:rPr>
        <w:t xml:space="preserve">CONCLUSION </w:t>
      </w:r>
    </w:p>
    <w:p w14:paraId="6FE20D6A" w14:textId="266AC22F" w:rsidR="0017773E" w:rsidRPr="009F42E6" w:rsidRDefault="00936516" w:rsidP="00B83F55">
      <w:pPr>
        <w:spacing w:line="360" w:lineRule="auto"/>
        <w:jc w:val="both"/>
        <w:rPr>
          <w:rFonts w:ascii="Book Antiqua" w:hAnsi="Book Antiqua"/>
        </w:rPr>
      </w:pPr>
      <w:r w:rsidRPr="009F42E6">
        <w:rPr>
          <w:rFonts w:ascii="Book Antiqua" w:hAnsi="Book Antiqua"/>
        </w:rPr>
        <w:t>Because a</w:t>
      </w:r>
      <w:r w:rsidR="00F50C98" w:rsidRPr="009F42E6">
        <w:rPr>
          <w:rFonts w:ascii="Book Antiqua" w:hAnsi="Book Antiqua"/>
        </w:rPr>
        <w:t xml:space="preserve"> good number of blood thinners </w:t>
      </w:r>
      <w:r w:rsidRPr="009F42E6">
        <w:rPr>
          <w:rFonts w:ascii="Book Antiqua" w:hAnsi="Book Antiqua"/>
        </w:rPr>
        <w:t>are available in the market,</w:t>
      </w:r>
      <w:r w:rsidR="00F50C98" w:rsidRPr="009F42E6">
        <w:rPr>
          <w:rFonts w:ascii="Book Antiqua" w:hAnsi="Book Antiqua"/>
        </w:rPr>
        <w:t xml:space="preserve"> sound knowledge about these blood thinners is necessary.</w:t>
      </w:r>
      <w:r w:rsidR="00102A46" w:rsidRPr="009F42E6">
        <w:rPr>
          <w:rFonts w:ascii="Book Antiqua" w:hAnsi="Book Antiqua"/>
        </w:rPr>
        <w:t xml:space="preserve"> </w:t>
      </w:r>
      <w:r w:rsidR="00320B6D" w:rsidRPr="009F42E6">
        <w:rPr>
          <w:rFonts w:ascii="Book Antiqua" w:hAnsi="Book Antiqua"/>
        </w:rPr>
        <w:t>Anti-platelet agents, hep</w:t>
      </w:r>
      <w:r w:rsidR="00FC74CB" w:rsidRPr="009F42E6">
        <w:rPr>
          <w:rFonts w:ascii="Book Antiqua" w:hAnsi="Book Antiqua"/>
        </w:rPr>
        <w:t>arin and warfarin have been</w:t>
      </w:r>
      <w:r w:rsidR="00320B6D" w:rsidRPr="009F42E6">
        <w:rPr>
          <w:rFonts w:ascii="Book Antiqua" w:hAnsi="Book Antiqua"/>
        </w:rPr>
        <w:t xml:space="preserve"> in our clinical practice for many years. NOAC introduced over the last f</w:t>
      </w:r>
      <w:r w:rsidR="00737A19" w:rsidRPr="009F42E6">
        <w:rPr>
          <w:rFonts w:ascii="Book Antiqua" w:hAnsi="Book Antiqua"/>
        </w:rPr>
        <w:t xml:space="preserve">ew years are being increasingly </w:t>
      </w:r>
      <w:proofErr w:type="gramStart"/>
      <w:r w:rsidR="00320B6D" w:rsidRPr="009F42E6">
        <w:rPr>
          <w:rFonts w:ascii="Book Antiqua" w:hAnsi="Book Antiqua"/>
        </w:rPr>
        <w:t>used</w:t>
      </w:r>
      <w:proofErr w:type="gramEnd"/>
      <w:r w:rsidR="00320B6D" w:rsidRPr="009F42E6">
        <w:rPr>
          <w:rFonts w:ascii="Book Antiqua" w:hAnsi="Book Antiqua"/>
        </w:rPr>
        <w:t xml:space="preserve"> as they do not need Lab </w:t>
      </w:r>
      <w:r w:rsidR="0017773E" w:rsidRPr="009F42E6">
        <w:rPr>
          <w:rFonts w:ascii="Book Antiqua" w:hAnsi="Book Antiqua"/>
        </w:rPr>
        <w:t xml:space="preserve">test monitoring like warfarin.  Their onset of action is short and the duration of action depends on </w:t>
      </w:r>
      <w:proofErr w:type="spellStart"/>
      <w:r w:rsidR="0017773E" w:rsidRPr="009F42E6">
        <w:rPr>
          <w:rFonts w:ascii="Book Antiqua" w:hAnsi="Book Antiqua"/>
        </w:rPr>
        <w:t>creatinine</w:t>
      </w:r>
      <w:proofErr w:type="spellEnd"/>
      <w:r w:rsidR="0017773E" w:rsidRPr="009F42E6">
        <w:rPr>
          <w:rFonts w:ascii="Book Antiqua" w:hAnsi="Book Antiqua"/>
        </w:rPr>
        <w:t xml:space="preserve"> clearance.</w:t>
      </w:r>
      <w:r w:rsidR="00101B5D" w:rsidRPr="009F42E6">
        <w:rPr>
          <w:rFonts w:ascii="Book Antiqua" w:hAnsi="Book Antiqua"/>
        </w:rPr>
        <w:t xml:space="preserve"> So serum </w:t>
      </w:r>
      <w:proofErr w:type="spellStart"/>
      <w:r w:rsidR="00101B5D" w:rsidRPr="009F42E6">
        <w:rPr>
          <w:rFonts w:ascii="Book Antiqua" w:hAnsi="Book Antiqua"/>
        </w:rPr>
        <w:t>creatinine</w:t>
      </w:r>
      <w:proofErr w:type="spellEnd"/>
      <w:r w:rsidR="00101B5D" w:rsidRPr="009F42E6">
        <w:rPr>
          <w:rFonts w:ascii="Book Antiqua" w:hAnsi="Book Antiqua"/>
        </w:rPr>
        <w:t xml:space="preserve"> and half–life of these medications should be </w:t>
      </w:r>
      <w:r w:rsidR="00E51571" w:rsidRPr="009F42E6">
        <w:rPr>
          <w:rFonts w:ascii="Book Antiqua" w:hAnsi="Book Antiqua"/>
        </w:rPr>
        <w:t xml:space="preserve">considered in the </w:t>
      </w:r>
      <w:proofErr w:type="spellStart"/>
      <w:r w:rsidR="00E51571" w:rsidRPr="009F42E6">
        <w:rPr>
          <w:rFonts w:ascii="Book Antiqua" w:hAnsi="Book Antiqua"/>
        </w:rPr>
        <w:t>periendoscopic</w:t>
      </w:r>
      <w:proofErr w:type="spellEnd"/>
      <w:r w:rsidR="00E51571" w:rsidRPr="009F42E6">
        <w:rPr>
          <w:rFonts w:ascii="Book Antiqua" w:hAnsi="Book Antiqua"/>
        </w:rPr>
        <w:t xml:space="preserve"> period.</w:t>
      </w:r>
      <w:r w:rsidR="005220DA" w:rsidRPr="009F42E6">
        <w:rPr>
          <w:rFonts w:ascii="Book Antiqua" w:hAnsi="Book Antiqua"/>
        </w:rPr>
        <w:t xml:space="preserve"> </w:t>
      </w:r>
      <w:r w:rsidR="00B75198" w:rsidRPr="009F42E6">
        <w:rPr>
          <w:rFonts w:ascii="Book Antiqua" w:hAnsi="Book Antiqua"/>
        </w:rPr>
        <w:t>Whether it is an elective case or an emergent case,</w:t>
      </w:r>
      <w:r w:rsidR="002D556B" w:rsidRPr="009F42E6">
        <w:rPr>
          <w:rFonts w:ascii="Book Antiqua" w:hAnsi="Book Antiqua"/>
        </w:rPr>
        <w:t xml:space="preserve"> an </w:t>
      </w:r>
      <w:proofErr w:type="spellStart"/>
      <w:r w:rsidR="002D556B" w:rsidRPr="009F42E6">
        <w:rPr>
          <w:rFonts w:ascii="Book Antiqua" w:hAnsi="Book Antiqua"/>
        </w:rPr>
        <w:t>endoscopist</w:t>
      </w:r>
      <w:proofErr w:type="spellEnd"/>
      <w:r w:rsidR="002D556B" w:rsidRPr="009F42E6">
        <w:rPr>
          <w:rFonts w:ascii="Book Antiqua" w:hAnsi="Book Antiqua"/>
        </w:rPr>
        <w:t xml:space="preserve"> </w:t>
      </w:r>
      <w:r w:rsidR="00B75198" w:rsidRPr="009F42E6">
        <w:rPr>
          <w:rFonts w:ascii="Book Antiqua" w:hAnsi="Book Antiqua"/>
        </w:rPr>
        <w:t>should always evaluate high-risk and low-risk conditions and procedures, and bleeding and thrombotic risk. The main aim is success of the procedure maintaining safety of the patient.</w:t>
      </w:r>
    </w:p>
    <w:p w14:paraId="6FC1D434" w14:textId="5A7CD8CA" w:rsidR="00CD00A8" w:rsidRPr="009F42E6" w:rsidRDefault="0017773E" w:rsidP="00B83F55">
      <w:pPr>
        <w:spacing w:line="360" w:lineRule="auto"/>
        <w:jc w:val="both"/>
        <w:rPr>
          <w:rFonts w:ascii="Book Antiqua" w:hAnsi="Book Antiqua"/>
        </w:rPr>
      </w:pPr>
      <w:r w:rsidRPr="009F42E6">
        <w:rPr>
          <w:rFonts w:ascii="Book Antiqua" w:hAnsi="Book Antiqua"/>
        </w:rPr>
        <w:t xml:space="preserve"> </w:t>
      </w:r>
    </w:p>
    <w:p w14:paraId="1B8700BA" w14:textId="77777777" w:rsidR="009418C0" w:rsidRDefault="009418C0" w:rsidP="00B83F55">
      <w:pPr>
        <w:jc w:val="both"/>
        <w:rPr>
          <w:rFonts w:ascii="Book Antiqua" w:hAnsi="Book Antiqua"/>
          <w:b/>
        </w:rPr>
      </w:pPr>
      <w:r>
        <w:rPr>
          <w:rFonts w:ascii="Book Antiqua" w:hAnsi="Book Antiqua"/>
          <w:b/>
        </w:rPr>
        <w:br w:type="page"/>
      </w:r>
    </w:p>
    <w:p w14:paraId="750F4E69" w14:textId="58A69F9B" w:rsidR="00BC4EFE" w:rsidRDefault="009418C0" w:rsidP="00B83F55">
      <w:pPr>
        <w:spacing w:line="360" w:lineRule="auto"/>
        <w:jc w:val="both"/>
        <w:rPr>
          <w:rFonts w:ascii="Book Antiqua" w:eastAsia="宋体" w:hAnsi="Book Antiqua" w:cs="CartoGothicStd-Book"/>
          <w:lang w:eastAsia="zh-CN"/>
        </w:rPr>
      </w:pPr>
      <w:r>
        <w:rPr>
          <w:rFonts w:ascii="Book Antiqua" w:hAnsi="Book Antiqua"/>
          <w:b/>
        </w:rPr>
        <w:lastRenderedPageBreak/>
        <w:t>REFERENCES</w:t>
      </w:r>
    </w:p>
    <w:p w14:paraId="13330945" w14:textId="35E4434B" w:rsidR="00743FD4" w:rsidRPr="00C66870" w:rsidRDefault="00743FD4" w:rsidP="00B83F55">
      <w:pPr>
        <w:spacing w:line="360" w:lineRule="auto"/>
        <w:jc w:val="both"/>
        <w:rPr>
          <w:rFonts w:ascii="Book Antiqua" w:eastAsia="宋体" w:hAnsi="Book Antiqua" w:cs="宋体"/>
        </w:rPr>
      </w:pPr>
      <w:r>
        <w:rPr>
          <w:rFonts w:ascii="Book Antiqua" w:eastAsia="宋体" w:hAnsi="Book Antiqua" w:cs="宋体"/>
        </w:rPr>
        <w:t xml:space="preserve">1 </w:t>
      </w:r>
      <w:r w:rsidRPr="00C66870">
        <w:rPr>
          <w:rFonts w:ascii="Book Antiqua" w:eastAsia="宋体" w:hAnsi="Book Antiqua" w:cs="宋体"/>
        </w:rPr>
        <w:t>Blood Thinner Pills: Y</w:t>
      </w:r>
      <w:r w:rsidR="00F92016">
        <w:rPr>
          <w:rFonts w:ascii="Book Antiqua" w:eastAsia="宋体" w:hAnsi="Book Antiqua" w:cs="宋体"/>
        </w:rPr>
        <w:t>our Guide to Using Them Safely</w:t>
      </w:r>
      <w:r w:rsidRPr="00C66870">
        <w:rPr>
          <w:rFonts w:ascii="Book Antiqua" w:eastAsia="宋体" w:hAnsi="Book Antiqua" w:cs="宋体"/>
        </w:rPr>
        <w:t xml:space="preserve">. </w:t>
      </w:r>
      <w:r w:rsidR="00F92016" w:rsidRPr="00C66870">
        <w:rPr>
          <w:rFonts w:ascii="Book Antiqua" w:eastAsia="宋体" w:hAnsi="Book Antiqua" w:cs="宋体"/>
        </w:rPr>
        <w:t>Rockville, MD</w:t>
      </w:r>
      <w:r w:rsidR="00F92016">
        <w:rPr>
          <w:rFonts w:ascii="Book Antiqua" w:eastAsia="宋体" w:hAnsi="Book Antiqua" w:cs="宋体"/>
        </w:rPr>
        <w:t xml:space="preserve">: </w:t>
      </w:r>
      <w:r w:rsidRPr="00C66870">
        <w:rPr>
          <w:rFonts w:ascii="Book Antiqua" w:eastAsia="宋体" w:hAnsi="Book Antiqua" w:cs="宋体"/>
        </w:rPr>
        <w:t>Agency for Healthcare Research and Qua</w:t>
      </w:r>
      <w:r w:rsidR="00F92016">
        <w:rPr>
          <w:rFonts w:ascii="Book Antiqua" w:eastAsia="宋体" w:hAnsi="Book Antiqua" w:cs="宋体"/>
        </w:rPr>
        <w:t>lity</w:t>
      </w:r>
      <w:r w:rsidRPr="00C66870">
        <w:rPr>
          <w:rFonts w:ascii="Book Antiqua" w:eastAsia="宋体" w:hAnsi="Book Antiqua" w:cs="宋体"/>
        </w:rPr>
        <w:t>.</w:t>
      </w:r>
      <w:r w:rsidR="00F92016">
        <w:rPr>
          <w:rFonts w:ascii="Book Antiqua" w:eastAsia="宋体" w:hAnsi="Book Antiqua" w:cs="宋体"/>
        </w:rPr>
        <w:t xml:space="preserve"> [</w:t>
      </w:r>
      <w:proofErr w:type="gramStart"/>
      <w:r w:rsidR="00F92016">
        <w:rPr>
          <w:rFonts w:ascii="Book Antiqua" w:eastAsia="宋体" w:hAnsi="Book Antiqua" w:cs="宋体"/>
        </w:rPr>
        <w:t>updated</w:t>
      </w:r>
      <w:proofErr w:type="gramEnd"/>
      <w:r w:rsidR="00F92016" w:rsidRPr="00C66870">
        <w:rPr>
          <w:rFonts w:ascii="Book Antiqua" w:eastAsia="宋体" w:hAnsi="Book Antiqua" w:cs="宋体"/>
        </w:rPr>
        <w:t xml:space="preserve"> 2015</w:t>
      </w:r>
      <w:r w:rsidRPr="00C66870">
        <w:rPr>
          <w:rFonts w:ascii="Book Antiqua" w:eastAsia="宋体" w:hAnsi="Book Antiqua" w:cs="宋体"/>
        </w:rPr>
        <w:t xml:space="preserve"> </w:t>
      </w:r>
      <w:r w:rsidR="00F92016">
        <w:rPr>
          <w:rFonts w:ascii="Book Antiqua" w:eastAsia="宋体" w:hAnsi="Book Antiqua" w:cs="宋体"/>
        </w:rPr>
        <w:t xml:space="preserve">Sept]. </w:t>
      </w:r>
      <w:r w:rsidRPr="00C66870">
        <w:rPr>
          <w:rFonts w:ascii="Book Antiqua" w:eastAsia="宋体" w:hAnsi="Book Antiqua" w:cs="宋体"/>
        </w:rPr>
        <w:t>Available from: URL:</w:t>
      </w:r>
      <w:r>
        <w:rPr>
          <w:rFonts w:ascii="Book Antiqua" w:eastAsia="宋体" w:hAnsi="Book Antiqua" w:cs="宋体" w:hint="eastAsia"/>
        </w:rPr>
        <w:t xml:space="preserve"> </w:t>
      </w:r>
      <w:r w:rsidRPr="00C66870">
        <w:rPr>
          <w:rFonts w:ascii="Book Antiqua" w:eastAsia="宋体" w:hAnsi="Book Antiqua" w:cs="宋体"/>
        </w:rPr>
        <w:t>http: //www.ahrq.gov/patients-consumers/diagnosis- treatment/treatments/</w:t>
      </w:r>
      <w:proofErr w:type="spellStart"/>
      <w:r w:rsidRPr="00C66870">
        <w:rPr>
          <w:rFonts w:ascii="Book Antiqua" w:eastAsia="宋体" w:hAnsi="Book Antiqua" w:cs="宋体"/>
        </w:rPr>
        <w:t>btpills</w:t>
      </w:r>
      <w:proofErr w:type="spellEnd"/>
      <w:r w:rsidRPr="00C66870">
        <w:rPr>
          <w:rFonts w:ascii="Book Antiqua" w:eastAsia="宋体" w:hAnsi="Book Antiqua" w:cs="宋体"/>
        </w:rPr>
        <w:t>/btpills.html</w:t>
      </w:r>
    </w:p>
    <w:p w14:paraId="27F75DC8"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2 </w:t>
      </w:r>
      <w:proofErr w:type="spellStart"/>
      <w:r w:rsidRPr="00C66870">
        <w:rPr>
          <w:rFonts w:ascii="Book Antiqua" w:eastAsia="宋体" w:hAnsi="Book Antiqua" w:cs="宋体"/>
          <w:b/>
          <w:bCs/>
        </w:rPr>
        <w:t>Seeff</w:t>
      </w:r>
      <w:proofErr w:type="spellEnd"/>
      <w:r w:rsidRPr="00C66870">
        <w:rPr>
          <w:rFonts w:ascii="Book Antiqua" w:eastAsia="宋体" w:hAnsi="Book Antiqua" w:cs="宋体"/>
          <w:b/>
          <w:bCs/>
        </w:rPr>
        <w:t xml:space="preserve"> LC</w:t>
      </w:r>
      <w:r w:rsidRPr="00C66870">
        <w:rPr>
          <w:rFonts w:ascii="Book Antiqua" w:eastAsia="宋体" w:hAnsi="Book Antiqua" w:cs="宋体"/>
        </w:rPr>
        <w:t xml:space="preserve">, Richards TB, Shapiro JA, </w:t>
      </w:r>
      <w:proofErr w:type="spellStart"/>
      <w:r w:rsidRPr="00C66870">
        <w:rPr>
          <w:rFonts w:ascii="Book Antiqua" w:eastAsia="宋体" w:hAnsi="Book Antiqua" w:cs="宋体"/>
        </w:rPr>
        <w:t>Nadel</w:t>
      </w:r>
      <w:proofErr w:type="spellEnd"/>
      <w:r w:rsidRPr="00C66870">
        <w:rPr>
          <w:rFonts w:ascii="Book Antiqua" w:eastAsia="宋体" w:hAnsi="Book Antiqua" w:cs="宋体"/>
        </w:rPr>
        <w:t xml:space="preserve"> MR, </w:t>
      </w:r>
      <w:proofErr w:type="spellStart"/>
      <w:r w:rsidRPr="00C66870">
        <w:rPr>
          <w:rFonts w:ascii="Book Antiqua" w:eastAsia="宋体" w:hAnsi="Book Antiqua" w:cs="宋体"/>
        </w:rPr>
        <w:t>Manninen</w:t>
      </w:r>
      <w:proofErr w:type="spellEnd"/>
      <w:r w:rsidRPr="00C66870">
        <w:rPr>
          <w:rFonts w:ascii="Book Antiqua" w:eastAsia="宋体" w:hAnsi="Book Antiqua" w:cs="宋体"/>
        </w:rPr>
        <w:t xml:space="preserve"> DL, Given LS, Dong FB, </w:t>
      </w:r>
      <w:proofErr w:type="spellStart"/>
      <w:r w:rsidRPr="00C66870">
        <w:rPr>
          <w:rFonts w:ascii="Book Antiqua" w:eastAsia="宋体" w:hAnsi="Book Antiqua" w:cs="宋体"/>
        </w:rPr>
        <w:t>Winges</w:t>
      </w:r>
      <w:proofErr w:type="spellEnd"/>
      <w:r w:rsidRPr="00C66870">
        <w:rPr>
          <w:rFonts w:ascii="Book Antiqua" w:eastAsia="宋体" w:hAnsi="Book Antiqua" w:cs="宋体"/>
        </w:rPr>
        <w:t xml:space="preserve"> LD, McKenna MT. How many endoscopies are performed for colorectal cancer screening? Results from CDC's survey of endoscopic capacity. </w:t>
      </w:r>
      <w:r w:rsidRPr="00C66870">
        <w:rPr>
          <w:rFonts w:ascii="Book Antiqua" w:eastAsia="宋体" w:hAnsi="Book Antiqua" w:cs="宋体"/>
          <w:i/>
          <w:iCs/>
        </w:rPr>
        <w:t>Gastroenterology</w:t>
      </w:r>
      <w:r w:rsidRPr="00C66870">
        <w:rPr>
          <w:rFonts w:ascii="Book Antiqua" w:eastAsia="宋体" w:hAnsi="Book Antiqua" w:cs="宋体"/>
        </w:rPr>
        <w:t> 2004; </w:t>
      </w:r>
      <w:r w:rsidRPr="00C66870">
        <w:rPr>
          <w:rFonts w:ascii="Book Antiqua" w:eastAsia="宋体" w:hAnsi="Book Antiqua" w:cs="宋体"/>
          <w:b/>
          <w:bCs/>
        </w:rPr>
        <w:t>127</w:t>
      </w:r>
      <w:r w:rsidRPr="00C66870">
        <w:rPr>
          <w:rFonts w:ascii="Book Antiqua" w:eastAsia="宋体" w:hAnsi="Book Antiqua" w:cs="宋体"/>
        </w:rPr>
        <w:t>: 1670-1677 [PMID: 15578503]</w:t>
      </w:r>
    </w:p>
    <w:p w14:paraId="57D58098"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3 </w:t>
      </w:r>
      <w:proofErr w:type="spellStart"/>
      <w:r w:rsidRPr="00C66870">
        <w:rPr>
          <w:rFonts w:ascii="Book Antiqua" w:eastAsia="宋体" w:hAnsi="Book Antiqua" w:cs="宋体"/>
          <w:b/>
          <w:bCs/>
        </w:rPr>
        <w:t>Peery</w:t>
      </w:r>
      <w:proofErr w:type="spellEnd"/>
      <w:r w:rsidRPr="00C66870">
        <w:rPr>
          <w:rFonts w:ascii="Book Antiqua" w:eastAsia="宋体" w:hAnsi="Book Antiqua" w:cs="宋体"/>
          <w:b/>
          <w:bCs/>
        </w:rPr>
        <w:t xml:space="preserve"> AF</w:t>
      </w:r>
      <w:r w:rsidRPr="00C66870">
        <w:rPr>
          <w:rFonts w:ascii="Book Antiqua" w:eastAsia="宋体" w:hAnsi="Book Antiqua" w:cs="宋体"/>
        </w:rPr>
        <w:t xml:space="preserve">, </w:t>
      </w:r>
      <w:proofErr w:type="spellStart"/>
      <w:r w:rsidRPr="00C66870">
        <w:rPr>
          <w:rFonts w:ascii="Book Antiqua" w:eastAsia="宋体" w:hAnsi="Book Antiqua" w:cs="宋体"/>
        </w:rPr>
        <w:t>Dellon</w:t>
      </w:r>
      <w:proofErr w:type="spellEnd"/>
      <w:r w:rsidRPr="00C66870">
        <w:rPr>
          <w:rFonts w:ascii="Book Antiqua" w:eastAsia="宋体" w:hAnsi="Book Antiqua" w:cs="宋体"/>
        </w:rPr>
        <w:t xml:space="preserve"> ES, Lund J, Crockett SD, McGowan CE, </w:t>
      </w:r>
      <w:proofErr w:type="spellStart"/>
      <w:r w:rsidRPr="00C66870">
        <w:rPr>
          <w:rFonts w:ascii="Book Antiqua" w:eastAsia="宋体" w:hAnsi="Book Antiqua" w:cs="宋体"/>
        </w:rPr>
        <w:t>Bulsiewicz</w:t>
      </w:r>
      <w:proofErr w:type="spellEnd"/>
      <w:r w:rsidRPr="00C66870">
        <w:rPr>
          <w:rFonts w:ascii="Book Antiqua" w:eastAsia="宋体" w:hAnsi="Book Antiqua" w:cs="宋体"/>
        </w:rPr>
        <w:t xml:space="preserve"> WJ, </w:t>
      </w:r>
      <w:proofErr w:type="spellStart"/>
      <w:r w:rsidRPr="00C66870">
        <w:rPr>
          <w:rFonts w:ascii="Book Antiqua" w:eastAsia="宋体" w:hAnsi="Book Antiqua" w:cs="宋体"/>
        </w:rPr>
        <w:t>Gangarosa</w:t>
      </w:r>
      <w:proofErr w:type="spellEnd"/>
      <w:r w:rsidRPr="00C66870">
        <w:rPr>
          <w:rFonts w:ascii="Book Antiqua" w:eastAsia="宋体" w:hAnsi="Book Antiqua" w:cs="宋体"/>
        </w:rPr>
        <w:t xml:space="preserve"> LM, </w:t>
      </w:r>
      <w:proofErr w:type="spellStart"/>
      <w:r w:rsidRPr="00C66870">
        <w:rPr>
          <w:rFonts w:ascii="Book Antiqua" w:eastAsia="宋体" w:hAnsi="Book Antiqua" w:cs="宋体"/>
        </w:rPr>
        <w:t>Thiny</w:t>
      </w:r>
      <w:proofErr w:type="spellEnd"/>
      <w:r w:rsidRPr="00C66870">
        <w:rPr>
          <w:rFonts w:ascii="Book Antiqua" w:eastAsia="宋体" w:hAnsi="Book Antiqua" w:cs="宋体"/>
        </w:rPr>
        <w:t xml:space="preserve"> MT, </w:t>
      </w:r>
      <w:proofErr w:type="spellStart"/>
      <w:r w:rsidRPr="00C66870">
        <w:rPr>
          <w:rFonts w:ascii="Book Antiqua" w:eastAsia="宋体" w:hAnsi="Book Antiqua" w:cs="宋体"/>
        </w:rPr>
        <w:t>Stizenberg</w:t>
      </w:r>
      <w:proofErr w:type="spellEnd"/>
      <w:r w:rsidRPr="00C66870">
        <w:rPr>
          <w:rFonts w:ascii="Book Antiqua" w:eastAsia="宋体" w:hAnsi="Book Antiqua" w:cs="宋体"/>
        </w:rPr>
        <w:t xml:space="preserve"> K, Morgan DR, </w:t>
      </w:r>
      <w:proofErr w:type="spellStart"/>
      <w:r w:rsidRPr="00C66870">
        <w:rPr>
          <w:rFonts w:ascii="Book Antiqua" w:eastAsia="宋体" w:hAnsi="Book Antiqua" w:cs="宋体"/>
        </w:rPr>
        <w:t>Ringel</w:t>
      </w:r>
      <w:proofErr w:type="spellEnd"/>
      <w:r w:rsidRPr="00C66870">
        <w:rPr>
          <w:rFonts w:ascii="Book Antiqua" w:eastAsia="宋体" w:hAnsi="Book Antiqua" w:cs="宋体"/>
        </w:rPr>
        <w:t xml:space="preserve"> Y, Kim HP, </w:t>
      </w:r>
      <w:proofErr w:type="spellStart"/>
      <w:r w:rsidRPr="00C66870">
        <w:rPr>
          <w:rFonts w:ascii="Book Antiqua" w:eastAsia="宋体" w:hAnsi="Book Antiqua" w:cs="宋体"/>
        </w:rPr>
        <w:t>Dibonaventura</w:t>
      </w:r>
      <w:proofErr w:type="spellEnd"/>
      <w:r w:rsidRPr="00C66870">
        <w:rPr>
          <w:rFonts w:ascii="Book Antiqua" w:eastAsia="宋体" w:hAnsi="Book Antiqua" w:cs="宋体"/>
        </w:rPr>
        <w:t xml:space="preserve"> MD, Carroll CF, Allen JK, Cook SF, Sandler RS, </w:t>
      </w:r>
      <w:proofErr w:type="spellStart"/>
      <w:r w:rsidRPr="00C66870">
        <w:rPr>
          <w:rFonts w:ascii="Book Antiqua" w:eastAsia="宋体" w:hAnsi="Book Antiqua" w:cs="宋体"/>
        </w:rPr>
        <w:t>Kappelman</w:t>
      </w:r>
      <w:proofErr w:type="spellEnd"/>
      <w:r w:rsidRPr="00C66870">
        <w:rPr>
          <w:rFonts w:ascii="Book Antiqua" w:eastAsia="宋体" w:hAnsi="Book Antiqua" w:cs="宋体"/>
        </w:rPr>
        <w:t xml:space="preserve"> MD, </w:t>
      </w:r>
      <w:proofErr w:type="spellStart"/>
      <w:r w:rsidRPr="00C66870">
        <w:rPr>
          <w:rFonts w:ascii="Book Antiqua" w:eastAsia="宋体" w:hAnsi="Book Antiqua" w:cs="宋体"/>
        </w:rPr>
        <w:t>Shaheen</w:t>
      </w:r>
      <w:proofErr w:type="spellEnd"/>
      <w:r w:rsidRPr="00C66870">
        <w:rPr>
          <w:rFonts w:ascii="Book Antiqua" w:eastAsia="宋体" w:hAnsi="Book Antiqua" w:cs="宋体"/>
        </w:rPr>
        <w:t xml:space="preserve"> NJ. Burden of gastrointestinal disease in the United States: 2012 update. </w:t>
      </w:r>
      <w:r w:rsidRPr="00C66870">
        <w:rPr>
          <w:rFonts w:ascii="Book Antiqua" w:eastAsia="宋体" w:hAnsi="Book Antiqua" w:cs="宋体"/>
          <w:i/>
          <w:iCs/>
        </w:rPr>
        <w:t>Gastroenterology</w:t>
      </w:r>
      <w:r w:rsidRPr="00C66870">
        <w:rPr>
          <w:rFonts w:ascii="Book Antiqua" w:eastAsia="宋体" w:hAnsi="Book Antiqua" w:cs="宋体"/>
        </w:rPr>
        <w:t> 2012; </w:t>
      </w:r>
      <w:r w:rsidRPr="00C66870">
        <w:rPr>
          <w:rFonts w:ascii="Book Antiqua" w:eastAsia="宋体" w:hAnsi="Book Antiqua" w:cs="宋体"/>
          <w:b/>
          <w:bCs/>
        </w:rPr>
        <w:t>143</w:t>
      </w:r>
      <w:r w:rsidRPr="00C66870">
        <w:rPr>
          <w:rFonts w:ascii="Book Antiqua" w:eastAsia="宋体" w:hAnsi="Book Antiqua" w:cs="宋体"/>
        </w:rPr>
        <w:t>: 1179-87.e1-3 [PMID: 22885331 DOI: 10.1053/j.gastro.2012.08.002]</w:t>
      </w:r>
    </w:p>
    <w:p w14:paraId="34B3373D"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 xml:space="preserve">4 </w:t>
      </w:r>
      <w:r w:rsidRPr="00C66870">
        <w:rPr>
          <w:rFonts w:ascii="Book Antiqua" w:eastAsia="宋体" w:hAnsi="Book Antiqua" w:cs="宋体"/>
          <w:b/>
        </w:rPr>
        <w:t>Nguyen TV</w:t>
      </w:r>
      <w:r w:rsidRPr="00C66870">
        <w:rPr>
          <w:rFonts w:ascii="Book Antiqua" w:eastAsia="宋体" w:hAnsi="Book Antiqua" w:cs="宋体"/>
        </w:rPr>
        <w:t xml:space="preserve">, Lac TH, </w:t>
      </w:r>
      <w:proofErr w:type="spellStart"/>
      <w:r w:rsidRPr="00C66870">
        <w:rPr>
          <w:rFonts w:ascii="Book Antiqua" w:eastAsia="宋体" w:hAnsi="Book Antiqua" w:cs="宋体"/>
        </w:rPr>
        <w:t>Ishkhakova</w:t>
      </w:r>
      <w:proofErr w:type="spellEnd"/>
      <w:r w:rsidRPr="00C66870">
        <w:rPr>
          <w:rFonts w:ascii="Book Antiqua" w:eastAsia="宋体" w:hAnsi="Book Antiqua" w:cs="宋体"/>
        </w:rPr>
        <w:t xml:space="preserve"> M, </w:t>
      </w:r>
      <w:proofErr w:type="spellStart"/>
      <w:r w:rsidRPr="00C66870">
        <w:rPr>
          <w:rFonts w:ascii="Book Antiqua" w:eastAsia="宋体" w:hAnsi="Book Antiqua" w:cs="宋体"/>
        </w:rPr>
        <w:t>Srbljak</w:t>
      </w:r>
      <w:proofErr w:type="spellEnd"/>
      <w:r w:rsidRPr="00C66870">
        <w:rPr>
          <w:rFonts w:ascii="Book Antiqua" w:eastAsia="宋体" w:hAnsi="Book Antiqua" w:cs="宋体"/>
        </w:rPr>
        <w:t xml:space="preserve"> A. </w:t>
      </w:r>
      <w:proofErr w:type="gramStart"/>
      <w:r w:rsidRPr="00C66870">
        <w:rPr>
          <w:rFonts w:ascii="Book Antiqua" w:eastAsia="宋体" w:hAnsi="Book Antiqua" w:cs="宋体"/>
        </w:rPr>
        <w:t>A prescriber’s guides to oral antiplatelet therapy.</w:t>
      </w:r>
      <w:proofErr w:type="gramEnd"/>
      <w:r w:rsidRPr="00C66870">
        <w:rPr>
          <w:rFonts w:ascii="Book Antiqua" w:eastAsia="宋体" w:hAnsi="Book Antiqua" w:cs="宋体"/>
          <w:i/>
        </w:rPr>
        <w:t xml:space="preserve"> J</w:t>
      </w:r>
      <w:r w:rsidRPr="00C66870">
        <w:rPr>
          <w:rFonts w:ascii="Book Antiqua" w:eastAsia="宋体" w:hAnsi="Book Antiqua" w:cs="宋体" w:hint="eastAsia"/>
          <w:i/>
        </w:rPr>
        <w:t xml:space="preserve"> </w:t>
      </w:r>
      <w:proofErr w:type="spellStart"/>
      <w:r w:rsidRPr="00C66870">
        <w:rPr>
          <w:rFonts w:ascii="Book Antiqua" w:eastAsia="宋体" w:hAnsi="Book Antiqua" w:cs="宋体"/>
          <w:i/>
        </w:rPr>
        <w:t>Nur</w:t>
      </w:r>
      <w:proofErr w:type="spellEnd"/>
      <w:r w:rsidRPr="00C66870">
        <w:rPr>
          <w:rFonts w:ascii="Book Antiqua" w:eastAsia="宋体" w:hAnsi="Book Antiqua" w:cs="宋体"/>
          <w:i/>
        </w:rPr>
        <w:t xml:space="preserve"> </w:t>
      </w:r>
      <w:proofErr w:type="spellStart"/>
      <w:r w:rsidRPr="00C66870">
        <w:rPr>
          <w:rFonts w:ascii="Book Antiqua" w:eastAsia="宋体" w:hAnsi="Book Antiqua" w:cs="宋体"/>
          <w:i/>
        </w:rPr>
        <w:t>Practit</w:t>
      </w:r>
      <w:proofErr w:type="spellEnd"/>
      <w:r w:rsidRPr="00C66870">
        <w:rPr>
          <w:rFonts w:ascii="Book Antiqua" w:eastAsia="宋体" w:hAnsi="Book Antiqua" w:cs="宋体"/>
          <w:i/>
        </w:rPr>
        <w:t xml:space="preserve"> </w:t>
      </w:r>
      <w:r w:rsidRPr="00C66870">
        <w:rPr>
          <w:rFonts w:ascii="Book Antiqua" w:eastAsia="宋体" w:hAnsi="Book Antiqua" w:cs="宋体"/>
        </w:rPr>
        <w:t xml:space="preserve">2011; </w:t>
      </w:r>
      <w:r w:rsidRPr="00C66870">
        <w:rPr>
          <w:rFonts w:ascii="Book Antiqua" w:eastAsia="宋体" w:hAnsi="Book Antiqua" w:cs="宋体"/>
          <w:b/>
        </w:rPr>
        <w:t>7:</w:t>
      </w:r>
      <w:r w:rsidRPr="00C66870">
        <w:rPr>
          <w:rFonts w:ascii="Book Antiqua" w:eastAsia="宋体" w:hAnsi="Book Antiqua" w:cs="宋体"/>
        </w:rPr>
        <w:t xml:space="preserve"> 847-852.</w:t>
      </w:r>
    </w:p>
    <w:p w14:paraId="5A5AE7D7" w14:textId="77777777" w:rsidR="00743FD4" w:rsidRPr="00C66870" w:rsidRDefault="00743FD4" w:rsidP="00B83F55">
      <w:pPr>
        <w:spacing w:line="360" w:lineRule="auto"/>
        <w:jc w:val="both"/>
        <w:rPr>
          <w:rFonts w:ascii="Book Antiqua" w:eastAsia="宋体" w:hAnsi="Book Antiqua" w:cs="宋体"/>
        </w:rPr>
      </w:pPr>
      <w:proofErr w:type="gramStart"/>
      <w:r w:rsidRPr="00C66870">
        <w:rPr>
          <w:rFonts w:ascii="Book Antiqua" w:eastAsia="宋体" w:hAnsi="Book Antiqua" w:cs="宋体"/>
        </w:rPr>
        <w:t>5 </w:t>
      </w:r>
      <w:proofErr w:type="spellStart"/>
      <w:r w:rsidRPr="00C66870">
        <w:rPr>
          <w:rFonts w:ascii="Book Antiqua" w:eastAsia="宋体" w:hAnsi="Book Antiqua" w:cs="宋体"/>
          <w:b/>
          <w:bCs/>
        </w:rPr>
        <w:t>Oprea</w:t>
      </w:r>
      <w:proofErr w:type="spellEnd"/>
      <w:r w:rsidRPr="00C66870">
        <w:rPr>
          <w:rFonts w:ascii="Book Antiqua" w:eastAsia="宋体" w:hAnsi="Book Antiqua" w:cs="宋体"/>
          <w:b/>
          <w:bCs/>
        </w:rPr>
        <w:t xml:space="preserve"> AD</w:t>
      </w:r>
      <w:r w:rsidRPr="00C66870">
        <w:rPr>
          <w:rFonts w:ascii="Book Antiqua" w:eastAsia="宋体" w:hAnsi="Book Antiqua" w:cs="宋体"/>
        </w:rPr>
        <w:t xml:space="preserve">, </w:t>
      </w:r>
      <w:proofErr w:type="spellStart"/>
      <w:r w:rsidRPr="00C66870">
        <w:rPr>
          <w:rFonts w:ascii="Book Antiqua" w:eastAsia="宋体" w:hAnsi="Book Antiqua" w:cs="宋体"/>
        </w:rPr>
        <w:t>Popescu</w:t>
      </w:r>
      <w:proofErr w:type="spellEnd"/>
      <w:r w:rsidRPr="00C66870">
        <w:rPr>
          <w:rFonts w:ascii="Book Antiqua" w:eastAsia="宋体" w:hAnsi="Book Antiqua" w:cs="宋体"/>
        </w:rPr>
        <w:t xml:space="preserve"> WM. Perioperative management of antiplatelet therapy.</w:t>
      </w:r>
      <w:proofErr w:type="gramEnd"/>
      <w:r w:rsidRPr="00C66870">
        <w:rPr>
          <w:rFonts w:ascii="Book Antiqua" w:eastAsia="宋体" w:hAnsi="Book Antiqua" w:cs="宋体"/>
        </w:rPr>
        <w:t> </w:t>
      </w:r>
      <w:r w:rsidRPr="00C66870">
        <w:rPr>
          <w:rFonts w:ascii="Book Antiqua" w:eastAsia="宋体" w:hAnsi="Book Antiqua" w:cs="宋体"/>
          <w:i/>
          <w:iCs/>
        </w:rPr>
        <w:t xml:space="preserve">Br J </w:t>
      </w:r>
      <w:proofErr w:type="spellStart"/>
      <w:r w:rsidRPr="00C66870">
        <w:rPr>
          <w:rFonts w:ascii="Book Antiqua" w:eastAsia="宋体" w:hAnsi="Book Antiqua" w:cs="宋体"/>
          <w:i/>
          <w:iCs/>
        </w:rPr>
        <w:t>Anaesth</w:t>
      </w:r>
      <w:proofErr w:type="spellEnd"/>
      <w:r w:rsidRPr="00C66870">
        <w:rPr>
          <w:rFonts w:ascii="Book Antiqua" w:eastAsia="宋体" w:hAnsi="Book Antiqua" w:cs="宋体"/>
        </w:rPr>
        <w:t> 2013; </w:t>
      </w:r>
      <w:r w:rsidRPr="00C66870">
        <w:rPr>
          <w:rFonts w:ascii="Book Antiqua" w:eastAsia="宋体" w:hAnsi="Book Antiqua" w:cs="宋体"/>
          <w:b/>
          <w:bCs/>
        </w:rPr>
        <w:t xml:space="preserve">111 </w:t>
      </w:r>
      <w:proofErr w:type="spellStart"/>
      <w:r w:rsidRPr="00C66870">
        <w:rPr>
          <w:rFonts w:ascii="Book Antiqua" w:eastAsia="宋体" w:hAnsi="Book Antiqua" w:cs="宋体"/>
          <w:bCs/>
        </w:rPr>
        <w:t>Suppl</w:t>
      </w:r>
      <w:proofErr w:type="spellEnd"/>
      <w:r w:rsidRPr="00C66870">
        <w:rPr>
          <w:rFonts w:ascii="Book Antiqua" w:eastAsia="宋体" w:hAnsi="Book Antiqua" w:cs="宋体"/>
          <w:bCs/>
        </w:rPr>
        <w:t xml:space="preserve"> 1</w:t>
      </w:r>
      <w:r w:rsidRPr="00C66870">
        <w:rPr>
          <w:rFonts w:ascii="Book Antiqua" w:eastAsia="宋体" w:hAnsi="Book Antiqua" w:cs="宋体"/>
        </w:rPr>
        <w:t>: i3-17 [PMID: 24335397 DOI: 10.1093/</w:t>
      </w:r>
      <w:proofErr w:type="spellStart"/>
      <w:r w:rsidRPr="00C66870">
        <w:rPr>
          <w:rFonts w:ascii="Book Antiqua" w:eastAsia="宋体" w:hAnsi="Book Antiqua" w:cs="宋体"/>
        </w:rPr>
        <w:t>bja</w:t>
      </w:r>
      <w:proofErr w:type="spellEnd"/>
      <w:r w:rsidRPr="00C66870">
        <w:rPr>
          <w:rFonts w:ascii="Book Antiqua" w:eastAsia="宋体" w:hAnsi="Book Antiqua" w:cs="宋体"/>
        </w:rPr>
        <w:t>/aet402]</w:t>
      </w:r>
    </w:p>
    <w:p w14:paraId="6C7D0449"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6 </w:t>
      </w:r>
      <w:proofErr w:type="spellStart"/>
      <w:r w:rsidRPr="00C66870">
        <w:rPr>
          <w:rFonts w:ascii="Book Antiqua" w:eastAsia="宋体" w:hAnsi="Book Antiqua" w:cs="宋体"/>
          <w:b/>
          <w:bCs/>
        </w:rPr>
        <w:t>Abdulsattar</w:t>
      </w:r>
      <w:proofErr w:type="spellEnd"/>
      <w:r w:rsidRPr="00C66870">
        <w:rPr>
          <w:rFonts w:ascii="Book Antiqua" w:eastAsia="宋体" w:hAnsi="Book Antiqua" w:cs="宋体"/>
          <w:b/>
          <w:bCs/>
        </w:rPr>
        <w:t xml:space="preserve"> Y</w:t>
      </w:r>
      <w:r w:rsidRPr="00C66870">
        <w:rPr>
          <w:rFonts w:ascii="Book Antiqua" w:eastAsia="宋体" w:hAnsi="Book Antiqua" w:cs="宋体"/>
        </w:rPr>
        <w:t xml:space="preserve">, </w:t>
      </w:r>
      <w:proofErr w:type="spellStart"/>
      <w:r w:rsidRPr="00C66870">
        <w:rPr>
          <w:rFonts w:ascii="Book Antiqua" w:eastAsia="宋体" w:hAnsi="Book Antiqua" w:cs="宋体"/>
        </w:rPr>
        <w:t>Ternas</w:t>
      </w:r>
      <w:proofErr w:type="spellEnd"/>
      <w:r w:rsidRPr="00C66870">
        <w:rPr>
          <w:rFonts w:ascii="Book Antiqua" w:eastAsia="宋体" w:hAnsi="Book Antiqua" w:cs="宋体"/>
        </w:rPr>
        <w:t xml:space="preserve"> T, Garcia D. </w:t>
      </w:r>
      <w:proofErr w:type="spellStart"/>
      <w:r w:rsidRPr="00C66870">
        <w:rPr>
          <w:rFonts w:ascii="Book Antiqua" w:eastAsia="宋体" w:hAnsi="Book Antiqua" w:cs="宋体"/>
        </w:rPr>
        <w:t>Vorapaxar</w:t>
      </w:r>
      <w:proofErr w:type="spellEnd"/>
      <w:r w:rsidRPr="00C66870">
        <w:rPr>
          <w:rFonts w:ascii="Book Antiqua" w:eastAsia="宋体" w:hAnsi="Book Antiqua" w:cs="宋体"/>
        </w:rPr>
        <w:t>: targeting a novel antiplatelet pathway. </w:t>
      </w:r>
      <w:r w:rsidRPr="00C66870">
        <w:rPr>
          <w:rFonts w:ascii="Book Antiqua" w:eastAsia="宋体" w:hAnsi="Book Antiqua" w:cs="宋体"/>
          <w:i/>
          <w:iCs/>
        </w:rPr>
        <w:t>P T</w:t>
      </w:r>
      <w:r w:rsidRPr="00C66870">
        <w:rPr>
          <w:rFonts w:ascii="Book Antiqua" w:eastAsia="宋体" w:hAnsi="Book Antiqua" w:cs="宋体"/>
        </w:rPr>
        <w:t> 2011; </w:t>
      </w:r>
      <w:r w:rsidRPr="00C66870">
        <w:rPr>
          <w:rFonts w:ascii="Book Antiqua" w:eastAsia="宋体" w:hAnsi="Book Antiqua" w:cs="宋体"/>
          <w:b/>
          <w:bCs/>
        </w:rPr>
        <w:t>36</w:t>
      </w:r>
      <w:r w:rsidRPr="00C66870">
        <w:rPr>
          <w:rFonts w:ascii="Book Antiqua" w:eastAsia="宋体" w:hAnsi="Book Antiqua" w:cs="宋体"/>
        </w:rPr>
        <w:t>: 564-568 [PMID: 22346324]</w:t>
      </w:r>
    </w:p>
    <w:p w14:paraId="131A54EA"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7 </w:t>
      </w:r>
      <w:r w:rsidRPr="00C66870">
        <w:rPr>
          <w:rFonts w:ascii="Book Antiqua" w:eastAsia="宋体" w:hAnsi="Book Antiqua" w:cs="宋体"/>
          <w:b/>
          <w:bCs/>
        </w:rPr>
        <w:t>Morrow DA</w:t>
      </w:r>
      <w:r w:rsidRPr="00C66870">
        <w:rPr>
          <w:rFonts w:ascii="Book Antiqua" w:eastAsia="宋体" w:hAnsi="Book Antiqua" w:cs="宋体"/>
        </w:rPr>
        <w:t xml:space="preserve">, </w:t>
      </w:r>
      <w:proofErr w:type="spellStart"/>
      <w:r w:rsidRPr="00C66870">
        <w:rPr>
          <w:rFonts w:ascii="Book Antiqua" w:eastAsia="宋体" w:hAnsi="Book Antiqua" w:cs="宋体"/>
        </w:rPr>
        <w:t>Braunwald</w:t>
      </w:r>
      <w:proofErr w:type="spellEnd"/>
      <w:r w:rsidRPr="00C66870">
        <w:rPr>
          <w:rFonts w:ascii="Book Antiqua" w:eastAsia="宋体" w:hAnsi="Book Antiqua" w:cs="宋体"/>
        </w:rPr>
        <w:t xml:space="preserve"> E, </w:t>
      </w:r>
      <w:proofErr w:type="spellStart"/>
      <w:r w:rsidRPr="00C66870">
        <w:rPr>
          <w:rFonts w:ascii="Book Antiqua" w:eastAsia="宋体" w:hAnsi="Book Antiqua" w:cs="宋体"/>
        </w:rPr>
        <w:t>Bonaca</w:t>
      </w:r>
      <w:proofErr w:type="spellEnd"/>
      <w:r w:rsidRPr="00C66870">
        <w:rPr>
          <w:rFonts w:ascii="Book Antiqua" w:eastAsia="宋体" w:hAnsi="Book Antiqua" w:cs="宋体"/>
        </w:rPr>
        <w:t xml:space="preserve"> MP, </w:t>
      </w:r>
      <w:proofErr w:type="spellStart"/>
      <w:r w:rsidRPr="00C66870">
        <w:rPr>
          <w:rFonts w:ascii="Book Antiqua" w:eastAsia="宋体" w:hAnsi="Book Antiqua" w:cs="宋体"/>
        </w:rPr>
        <w:t>Ameriso</w:t>
      </w:r>
      <w:proofErr w:type="spellEnd"/>
      <w:r w:rsidRPr="00C66870">
        <w:rPr>
          <w:rFonts w:ascii="Book Antiqua" w:eastAsia="宋体" w:hAnsi="Book Antiqua" w:cs="宋体"/>
        </w:rPr>
        <w:t xml:space="preserve"> SF, </w:t>
      </w:r>
      <w:proofErr w:type="spellStart"/>
      <w:r w:rsidRPr="00C66870">
        <w:rPr>
          <w:rFonts w:ascii="Book Antiqua" w:eastAsia="宋体" w:hAnsi="Book Antiqua" w:cs="宋体"/>
        </w:rPr>
        <w:t>Dalby</w:t>
      </w:r>
      <w:proofErr w:type="spellEnd"/>
      <w:r w:rsidRPr="00C66870">
        <w:rPr>
          <w:rFonts w:ascii="Book Antiqua" w:eastAsia="宋体" w:hAnsi="Book Antiqua" w:cs="宋体"/>
        </w:rPr>
        <w:t xml:space="preserve"> AJ, Fish MP, Fox KA, </w:t>
      </w:r>
      <w:proofErr w:type="spellStart"/>
      <w:r w:rsidRPr="00C66870">
        <w:rPr>
          <w:rFonts w:ascii="Book Antiqua" w:eastAsia="宋体" w:hAnsi="Book Antiqua" w:cs="宋体"/>
        </w:rPr>
        <w:t>Lipka</w:t>
      </w:r>
      <w:proofErr w:type="spellEnd"/>
      <w:r w:rsidRPr="00C66870">
        <w:rPr>
          <w:rFonts w:ascii="Book Antiqua" w:eastAsia="宋体" w:hAnsi="Book Antiqua" w:cs="宋体"/>
        </w:rPr>
        <w:t xml:space="preserve"> LJ, Liu X, </w:t>
      </w:r>
      <w:proofErr w:type="spellStart"/>
      <w:r w:rsidRPr="00C66870">
        <w:rPr>
          <w:rFonts w:ascii="Book Antiqua" w:eastAsia="宋体" w:hAnsi="Book Antiqua" w:cs="宋体"/>
        </w:rPr>
        <w:t>Nicolau</w:t>
      </w:r>
      <w:proofErr w:type="spellEnd"/>
      <w:r w:rsidRPr="00C66870">
        <w:rPr>
          <w:rFonts w:ascii="Book Antiqua" w:eastAsia="宋体" w:hAnsi="Book Antiqua" w:cs="宋体"/>
        </w:rPr>
        <w:t xml:space="preserve"> JC, </w:t>
      </w:r>
      <w:proofErr w:type="spellStart"/>
      <w:r w:rsidRPr="00C66870">
        <w:rPr>
          <w:rFonts w:ascii="Book Antiqua" w:eastAsia="宋体" w:hAnsi="Book Antiqua" w:cs="宋体"/>
        </w:rPr>
        <w:t>Ophuis</w:t>
      </w:r>
      <w:proofErr w:type="spellEnd"/>
      <w:r w:rsidRPr="00C66870">
        <w:rPr>
          <w:rFonts w:ascii="Book Antiqua" w:eastAsia="宋体" w:hAnsi="Book Antiqua" w:cs="宋体"/>
        </w:rPr>
        <w:t xml:space="preserve"> AJ, </w:t>
      </w:r>
      <w:proofErr w:type="spellStart"/>
      <w:r w:rsidRPr="00C66870">
        <w:rPr>
          <w:rFonts w:ascii="Book Antiqua" w:eastAsia="宋体" w:hAnsi="Book Antiqua" w:cs="宋体"/>
        </w:rPr>
        <w:t>Paolasso</w:t>
      </w:r>
      <w:proofErr w:type="spellEnd"/>
      <w:r w:rsidRPr="00C66870">
        <w:rPr>
          <w:rFonts w:ascii="Book Antiqua" w:eastAsia="宋体" w:hAnsi="Book Antiqua" w:cs="宋体"/>
        </w:rPr>
        <w:t xml:space="preserve"> E, </w:t>
      </w:r>
      <w:proofErr w:type="spellStart"/>
      <w:r w:rsidRPr="00C66870">
        <w:rPr>
          <w:rFonts w:ascii="Book Antiqua" w:eastAsia="宋体" w:hAnsi="Book Antiqua" w:cs="宋体"/>
        </w:rPr>
        <w:t>Scirica</w:t>
      </w:r>
      <w:proofErr w:type="spellEnd"/>
      <w:r w:rsidRPr="00C66870">
        <w:rPr>
          <w:rFonts w:ascii="Book Antiqua" w:eastAsia="宋体" w:hAnsi="Book Antiqua" w:cs="宋体"/>
        </w:rPr>
        <w:t xml:space="preserve"> BM, </w:t>
      </w:r>
      <w:proofErr w:type="spellStart"/>
      <w:r w:rsidRPr="00C66870">
        <w:rPr>
          <w:rFonts w:ascii="Book Antiqua" w:eastAsia="宋体" w:hAnsi="Book Antiqua" w:cs="宋体"/>
        </w:rPr>
        <w:t>Spinar</w:t>
      </w:r>
      <w:proofErr w:type="spellEnd"/>
      <w:r w:rsidRPr="00C66870">
        <w:rPr>
          <w:rFonts w:ascii="Book Antiqua" w:eastAsia="宋体" w:hAnsi="Book Antiqua" w:cs="宋体"/>
        </w:rPr>
        <w:t xml:space="preserve"> J, Theroux P, </w:t>
      </w:r>
      <w:proofErr w:type="spellStart"/>
      <w:r w:rsidRPr="00C66870">
        <w:rPr>
          <w:rFonts w:ascii="Book Antiqua" w:eastAsia="宋体" w:hAnsi="Book Antiqua" w:cs="宋体"/>
        </w:rPr>
        <w:t>Wiviott</w:t>
      </w:r>
      <w:proofErr w:type="spellEnd"/>
      <w:r w:rsidRPr="00C66870">
        <w:rPr>
          <w:rFonts w:ascii="Book Antiqua" w:eastAsia="宋体" w:hAnsi="Book Antiqua" w:cs="宋体"/>
        </w:rPr>
        <w:t xml:space="preserve"> SD, </w:t>
      </w:r>
      <w:proofErr w:type="spellStart"/>
      <w:r w:rsidRPr="00C66870">
        <w:rPr>
          <w:rFonts w:ascii="Book Antiqua" w:eastAsia="宋体" w:hAnsi="Book Antiqua" w:cs="宋体"/>
        </w:rPr>
        <w:t>Strony</w:t>
      </w:r>
      <w:proofErr w:type="spellEnd"/>
      <w:r w:rsidRPr="00C66870">
        <w:rPr>
          <w:rFonts w:ascii="Book Antiqua" w:eastAsia="宋体" w:hAnsi="Book Antiqua" w:cs="宋体"/>
        </w:rPr>
        <w:t xml:space="preserve"> J, Murphy SA. </w:t>
      </w:r>
      <w:proofErr w:type="spellStart"/>
      <w:proofErr w:type="gramStart"/>
      <w:r w:rsidRPr="00C66870">
        <w:rPr>
          <w:rFonts w:ascii="Book Antiqua" w:eastAsia="宋体" w:hAnsi="Book Antiqua" w:cs="宋体"/>
        </w:rPr>
        <w:t>Vorapaxar</w:t>
      </w:r>
      <w:proofErr w:type="spellEnd"/>
      <w:r w:rsidRPr="00C66870">
        <w:rPr>
          <w:rFonts w:ascii="Book Antiqua" w:eastAsia="宋体" w:hAnsi="Book Antiqua" w:cs="宋体"/>
        </w:rPr>
        <w:t xml:space="preserve"> in the secondary prevention of </w:t>
      </w:r>
      <w:proofErr w:type="spellStart"/>
      <w:r w:rsidRPr="00C66870">
        <w:rPr>
          <w:rFonts w:ascii="Book Antiqua" w:eastAsia="宋体" w:hAnsi="Book Antiqua" w:cs="宋体"/>
        </w:rPr>
        <w:t>atherothrombotic</w:t>
      </w:r>
      <w:proofErr w:type="spellEnd"/>
      <w:r w:rsidRPr="00C66870">
        <w:rPr>
          <w:rFonts w:ascii="Book Antiqua" w:eastAsia="宋体" w:hAnsi="Book Antiqua" w:cs="宋体"/>
        </w:rPr>
        <w:t xml:space="preserve"> events.</w:t>
      </w:r>
      <w:proofErr w:type="gramEnd"/>
      <w:r w:rsidRPr="00C66870">
        <w:rPr>
          <w:rFonts w:ascii="Book Antiqua" w:eastAsia="宋体" w:hAnsi="Book Antiqua" w:cs="宋体"/>
        </w:rPr>
        <w:t> </w:t>
      </w:r>
      <w:r w:rsidRPr="00C66870">
        <w:rPr>
          <w:rFonts w:ascii="Book Antiqua" w:eastAsia="宋体" w:hAnsi="Book Antiqua" w:cs="宋体"/>
          <w:i/>
          <w:iCs/>
        </w:rPr>
        <w:t xml:space="preserve">N </w:t>
      </w:r>
      <w:proofErr w:type="spellStart"/>
      <w:r w:rsidRPr="00C66870">
        <w:rPr>
          <w:rFonts w:ascii="Book Antiqua" w:eastAsia="宋体" w:hAnsi="Book Antiqua" w:cs="宋体"/>
          <w:i/>
          <w:iCs/>
        </w:rPr>
        <w:t>Engl</w:t>
      </w:r>
      <w:proofErr w:type="spellEnd"/>
      <w:r w:rsidRPr="00C66870">
        <w:rPr>
          <w:rFonts w:ascii="Book Antiqua" w:eastAsia="宋体" w:hAnsi="Book Antiqua" w:cs="宋体"/>
          <w:i/>
          <w:iCs/>
        </w:rPr>
        <w:t xml:space="preserve"> J Med</w:t>
      </w:r>
      <w:r w:rsidRPr="00C66870">
        <w:rPr>
          <w:rFonts w:ascii="Book Antiqua" w:eastAsia="宋体" w:hAnsi="Book Antiqua" w:cs="宋体"/>
        </w:rPr>
        <w:t> 2012; </w:t>
      </w:r>
      <w:r w:rsidRPr="00C66870">
        <w:rPr>
          <w:rFonts w:ascii="Book Antiqua" w:eastAsia="宋体" w:hAnsi="Book Antiqua" w:cs="宋体"/>
          <w:b/>
          <w:bCs/>
        </w:rPr>
        <w:t>366</w:t>
      </w:r>
      <w:r w:rsidRPr="00C66870">
        <w:rPr>
          <w:rFonts w:ascii="Book Antiqua" w:eastAsia="宋体" w:hAnsi="Book Antiqua" w:cs="宋体"/>
        </w:rPr>
        <w:t>: 1404-1413 [PMID: 22443427 DOI: 10.1056/NEJMoa1200933</w:t>
      </w:r>
      <w:r>
        <w:rPr>
          <w:rFonts w:ascii="Book Antiqua" w:eastAsia="宋体" w:hAnsi="Book Antiqua" w:cs="宋体"/>
        </w:rPr>
        <w:t>]</w:t>
      </w:r>
    </w:p>
    <w:p w14:paraId="74385A2A"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8</w:t>
      </w:r>
      <w:r w:rsidRPr="00C66870">
        <w:rPr>
          <w:rFonts w:ascii="Book Antiqua" w:eastAsia="宋体" w:hAnsi="Book Antiqua" w:cs="宋体"/>
          <w:b/>
        </w:rPr>
        <w:t xml:space="preserve"> Hirsch J</w:t>
      </w:r>
      <w:r w:rsidRPr="00C66870">
        <w:rPr>
          <w:rFonts w:ascii="Book Antiqua" w:eastAsia="宋体" w:hAnsi="Book Antiqua" w:cs="宋体"/>
        </w:rPr>
        <w:t xml:space="preserve">, </w:t>
      </w:r>
      <w:proofErr w:type="spellStart"/>
      <w:r w:rsidRPr="00C66870">
        <w:rPr>
          <w:rFonts w:ascii="Book Antiqua" w:eastAsia="宋体" w:hAnsi="Book Antiqua" w:cs="宋体"/>
        </w:rPr>
        <w:t>Anand</w:t>
      </w:r>
      <w:proofErr w:type="spellEnd"/>
      <w:r w:rsidRPr="00C66870">
        <w:rPr>
          <w:rFonts w:ascii="Book Antiqua" w:eastAsia="宋体" w:hAnsi="Book Antiqua" w:cs="宋体"/>
        </w:rPr>
        <w:t xml:space="preserve"> SS, </w:t>
      </w:r>
      <w:proofErr w:type="spellStart"/>
      <w:r w:rsidRPr="00C66870">
        <w:rPr>
          <w:rFonts w:ascii="Book Antiqua" w:eastAsia="宋体" w:hAnsi="Book Antiqua" w:cs="宋体"/>
        </w:rPr>
        <w:t>Halperin</w:t>
      </w:r>
      <w:proofErr w:type="spellEnd"/>
      <w:r w:rsidRPr="00C66870">
        <w:rPr>
          <w:rFonts w:ascii="Book Antiqua" w:eastAsia="宋体" w:hAnsi="Book Antiqua" w:cs="宋体"/>
        </w:rPr>
        <w:t xml:space="preserve"> JL, </w:t>
      </w:r>
      <w:proofErr w:type="spellStart"/>
      <w:r w:rsidRPr="00C66870">
        <w:rPr>
          <w:rFonts w:ascii="Book Antiqua" w:eastAsia="宋体" w:hAnsi="Book Antiqua" w:cs="宋体"/>
        </w:rPr>
        <w:t>Fuster</w:t>
      </w:r>
      <w:proofErr w:type="spellEnd"/>
      <w:r w:rsidRPr="00C66870">
        <w:rPr>
          <w:rFonts w:ascii="Book Antiqua" w:eastAsia="宋体" w:hAnsi="Book Antiqua" w:cs="宋体"/>
        </w:rPr>
        <w:t xml:space="preserve"> V. Mechanism of action and Pharmacology of Unfractionated Heparin (Editorial). </w:t>
      </w:r>
      <w:proofErr w:type="spellStart"/>
      <w:r w:rsidRPr="00C66870">
        <w:rPr>
          <w:rFonts w:ascii="Book Antiqua" w:eastAsia="宋体" w:hAnsi="Book Antiqua" w:cs="宋体"/>
          <w:i/>
        </w:rPr>
        <w:t>Arterioscl</w:t>
      </w:r>
      <w:proofErr w:type="spellEnd"/>
      <w:r w:rsidRPr="00C66870">
        <w:rPr>
          <w:rFonts w:ascii="Book Antiqua" w:eastAsia="宋体" w:hAnsi="Book Antiqua" w:cs="宋体" w:hint="eastAsia"/>
          <w:i/>
        </w:rPr>
        <w:t xml:space="preserve"> </w:t>
      </w:r>
      <w:proofErr w:type="spellStart"/>
      <w:r w:rsidRPr="00C66870">
        <w:rPr>
          <w:rFonts w:ascii="Book Antiqua" w:eastAsia="宋体" w:hAnsi="Book Antiqua" w:cs="宋体"/>
          <w:i/>
        </w:rPr>
        <w:t>Thromb</w:t>
      </w:r>
      <w:proofErr w:type="spellEnd"/>
      <w:r w:rsidRPr="00C66870">
        <w:rPr>
          <w:rFonts w:ascii="Book Antiqua" w:eastAsia="宋体" w:hAnsi="Book Antiqua" w:cs="宋体" w:hint="eastAsia"/>
          <w:i/>
        </w:rPr>
        <w:t xml:space="preserve"> </w:t>
      </w:r>
      <w:proofErr w:type="spellStart"/>
      <w:r w:rsidRPr="00C66870">
        <w:rPr>
          <w:rFonts w:ascii="Book Antiqua" w:eastAsia="宋体" w:hAnsi="Book Antiqua" w:cs="宋体"/>
          <w:i/>
        </w:rPr>
        <w:t>Vascul</w:t>
      </w:r>
      <w:proofErr w:type="spellEnd"/>
      <w:r w:rsidRPr="00C66870">
        <w:rPr>
          <w:rFonts w:ascii="Book Antiqua" w:eastAsia="宋体" w:hAnsi="Book Antiqua" w:cs="宋体" w:hint="eastAsia"/>
          <w:i/>
        </w:rPr>
        <w:t xml:space="preserve"> </w:t>
      </w:r>
      <w:proofErr w:type="spellStart"/>
      <w:r w:rsidRPr="00C66870">
        <w:rPr>
          <w:rFonts w:ascii="Book Antiqua" w:eastAsia="宋体" w:hAnsi="Book Antiqua" w:cs="宋体"/>
          <w:i/>
        </w:rPr>
        <w:t>Biol</w:t>
      </w:r>
      <w:proofErr w:type="spellEnd"/>
      <w:r w:rsidRPr="00C66870">
        <w:rPr>
          <w:rFonts w:ascii="Book Antiqua" w:eastAsia="宋体" w:hAnsi="Book Antiqua" w:cs="宋体"/>
          <w:i/>
        </w:rPr>
        <w:t xml:space="preserve"> </w:t>
      </w:r>
      <w:r w:rsidRPr="00C66870">
        <w:rPr>
          <w:rFonts w:ascii="Book Antiqua" w:eastAsia="宋体" w:hAnsi="Book Antiqua" w:cs="宋体"/>
        </w:rPr>
        <w:t xml:space="preserve">2001; </w:t>
      </w:r>
      <w:r w:rsidRPr="00C66870">
        <w:rPr>
          <w:rFonts w:ascii="Book Antiqua" w:eastAsia="宋体" w:hAnsi="Book Antiqua" w:cs="宋体"/>
          <w:b/>
        </w:rPr>
        <w:t>21</w:t>
      </w:r>
      <w:r w:rsidRPr="00C66870">
        <w:rPr>
          <w:rFonts w:ascii="Book Antiqua" w:eastAsia="宋体" w:hAnsi="Book Antiqua" w:cs="宋体"/>
        </w:rPr>
        <w:t>: 1094</w:t>
      </w:r>
      <w:r>
        <w:rPr>
          <w:rFonts w:ascii="Book Antiqua" w:eastAsia="宋体" w:hAnsi="Book Antiqua" w:cs="宋体" w:hint="eastAsia"/>
        </w:rPr>
        <w:t>-</w:t>
      </w:r>
      <w:r w:rsidRPr="00C66870">
        <w:rPr>
          <w:rFonts w:ascii="Book Antiqua" w:eastAsia="宋体" w:hAnsi="Book Antiqua" w:cs="宋体"/>
        </w:rPr>
        <w:t>1096</w:t>
      </w:r>
      <w:r>
        <w:rPr>
          <w:rFonts w:ascii="Book Antiqua" w:eastAsia="宋体" w:hAnsi="Book Antiqua" w:cs="宋体" w:hint="eastAsia"/>
        </w:rPr>
        <w:t xml:space="preserve"> [</w:t>
      </w:r>
      <w:r>
        <w:rPr>
          <w:rFonts w:ascii="Book Antiqua" w:eastAsia="宋体" w:hAnsi="Book Antiqua" w:cs="宋体"/>
        </w:rPr>
        <w:t>DOI: 10.1161/hq0701.093686</w:t>
      </w:r>
      <w:r>
        <w:rPr>
          <w:rFonts w:ascii="Book Antiqua" w:eastAsia="宋体" w:hAnsi="Book Antiqua" w:cs="宋体" w:hint="eastAsia"/>
        </w:rPr>
        <w:t>]</w:t>
      </w:r>
    </w:p>
    <w:p w14:paraId="30E7F033" w14:textId="77777777" w:rsidR="00743FD4" w:rsidRPr="00C66870" w:rsidRDefault="00743FD4" w:rsidP="00B83F55">
      <w:pPr>
        <w:spacing w:line="360" w:lineRule="auto"/>
        <w:jc w:val="both"/>
        <w:rPr>
          <w:rFonts w:ascii="Book Antiqua" w:eastAsia="宋体" w:hAnsi="Book Antiqua" w:cs="宋体"/>
        </w:rPr>
      </w:pPr>
      <w:proofErr w:type="gramStart"/>
      <w:r w:rsidRPr="00C66870">
        <w:rPr>
          <w:rFonts w:ascii="Book Antiqua" w:eastAsia="宋体" w:hAnsi="Book Antiqua" w:cs="宋体"/>
        </w:rPr>
        <w:lastRenderedPageBreak/>
        <w:t>9 </w:t>
      </w:r>
      <w:r w:rsidRPr="00C66870">
        <w:rPr>
          <w:rFonts w:ascii="Book Antiqua" w:eastAsia="宋体" w:hAnsi="Book Antiqua" w:cs="宋体"/>
          <w:b/>
          <w:bCs/>
        </w:rPr>
        <w:t>Hirsh J</w:t>
      </w:r>
      <w:r>
        <w:rPr>
          <w:rFonts w:ascii="Book Antiqua" w:eastAsia="宋体" w:hAnsi="Book Antiqua" w:cs="宋体"/>
        </w:rPr>
        <w:t>. Low-molecular-weight heparin</w:t>
      </w:r>
      <w:proofErr w:type="gramEnd"/>
      <w:r w:rsidRPr="00C66870">
        <w:rPr>
          <w:rFonts w:ascii="Book Antiqua" w:eastAsia="宋体" w:hAnsi="Book Antiqua" w:cs="宋体"/>
        </w:rPr>
        <w:t>: A review of the results of recent studies of the treatment of venous thromboembolism and unstable angina. </w:t>
      </w:r>
      <w:r w:rsidRPr="00C66870">
        <w:rPr>
          <w:rFonts w:ascii="Book Antiqua" w:eastAsia="宋体" w:hAnsi="Book Antiqua" w:cs="宋体"/>
          <w:i/>
          <w:iCs/>
        </w:rPr>
        <w:t>Circulation</w:t>
      </w:r>
      <w:r w:rsidRPr="00C66870">
        <w:rPr>
          <w:rFonts w:ascii="Book Antiqua" w:eastAsia="宋体" w:hAnsi="Book Antiqua" w:cs="宋体"/>
        </w:rPr>
        <w:t> 1998; </w:t>
      </w:r>
      <w:r w:rsidRPr="00C66870">
        <w:rPr>
          <w:rFonts w:ascii="Book Antiqua" w:eastAsia="宋体" w:hAnsi="Book Antiqua" w:cs="宋体"/>
          <w:b/>
          <w:bCs/>
        </w:rPr>
        <w:t>98</w:t>
      </w:r>
      <w:r w:rsidRPr="00C66870">
        <w:rPr>
          <w:rFonts w:ascii="Book Antiqua" w:eastAsia="宋体" w:hAnsi="Book Antiqua" w:cs="宋体"/>
        </w:rPr>
        <w:t>: 1575-1582 [PMID: 9769312 DOI: 10.1161/01.CIR.98.15.1575]</w:t>
      </w:r>
    </w:p>
    <w:p w14:paraId="4CF6A06E"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10 </w:t>
      </w:r>
      <w:proofErr w:type="spellStart"/>
      <w:r w:rsidRPr="00C66870">
        <w:rPr>
          <w:rFonts w:ascii="Book Antiqua" w:eastAsia="宋体" w:hAnsi="Book Antiqua" w:cs="宋体"/>
          <w:b/>
          <w:bCs/>
        </w:rPr>
        <w:t>Giugliano</w:t>
      </w:r>
      <w:proofErr w:type="spellEnd"/>
      <w:r w:rsidRPr="00C66870">
        <w:rPr>
          <w:rFonts w:ascii="Book Antiqua" w:eastAsia="宋体" w:hAnsi="Book Antiqua" w:cs="宋体"/>
          <w:b/>
          <w:bCs/>
        </w:rPr>
        <w:t xml:space="preserve"> RP</w:t>
      </w:r>
      <w:r w:rsidRPr="00C66870">
        <w:rPr>
          <w:rFonts w:ascii="Book Antiqua" w:eastAsia="宋体" w:hAnsi="Book Antiqua" w:cs="宋体"/>
        </w:rPr>
        <w:t xml:space="preserve">, Ruff CT, </w:t>
      </w:r>
      <w:proofErr w:type="spellStart"/>
      <w:r w:rsidRPr="00C66870">
        <w:rPr>
          <w:rFonts w:ascii="Book Antiqua" w:eastAsia="宋体" w:hAnsi="Book Antiqua" w:cs="宋体"/>
        </w:rPr>
        <w:t>Braunwald</w:t>
      </w:r>
      <w:proofErr w:type="spellEnd"/>
      <w:r w:rsidRPr="00C66870">
        <w:rPr>
          <w:rFonts w:ascii="Book Antiqua" w:eastAsia="宋体" w:hAnsi="Book Antiqua" w:cs="宋体"/>
        </w:rPr>
        <w:t xml:space="preserve"> E, Murphy SA, </w:t>
      </w:r>
      <w:proofErr w:type="spellStart"/>
      <w:r w:rsidRPr="00C66870">
        <w:rPr>
          <w:rFonts w:ascii="Book Antiqua" w:eastAsia="宋体" w:hAnsi="Book Antiqua" w:cs="宋体"/>
        </w:rPr>
        <w:t>Wiviott</w:t>
      </w:r>
      <w:proofErr w:type="spellEnd"/>
      <w:r w:rsidRPr="00C66870">
        <w:rPr>
          <w:rFonts w:ascii="Book Antiqua" w:eastAsia="宋体" w:hAnsi="Book Antiqua" w:cs="宋体"/>
        </w:rPr>
        <w:t xml:space="preserve"> SD, </w:t>
      </w:r>
      <w:proofErr w:type="spellStart"/>
      <w:r w:rsidRPr="00C66870">
        <w:rPr>
          <w:rFonts w:ascii="Book Antiqua" w:eastAsia="宋体" w:hAnsi="Book Antiqua" w:cs="宋体"/>
        </w:rPr>
        <w:t>Halperin</w:t>
      </w:r>
      <w:proofErr w:type="spellEnd"/>
      <w:r w:rsidRPr="00C66870">
        <w:rPr>
          <w:rFonts w:ascii="Book Antiqua" w:eastAsia="宋体" w:hAnsi="Book Antiqua" w:cs="宋体"/>
        </w:rPr>
        <w:t xml:space="preserve"> JL, Waldo AL, </w:t>
      </w:r>
      <w:proofErr w:type="spellStart"/>
      <w:r w:rsidRPr="00C66870">
        <w:rPr>
          <w:rFonts w:ascii="Book Antiqua" w:eastAsia="宋体" w:hAnsi="Book Antiqua" w:cs="宋体"/>
        </w:rPr>
        <w:t>Ezekowitz</w:t>
      </w:r>
      <w:proofErr w:type="spellEnd"/>
      <w:r w:rsidRPr="00C66870">
        <w:rPr>
          <w:rFonts w:ascii="Book Antiqua" w:eastAsia="宋体" w:hAnsi="Book Antiqua" w:cs="宋体"/>
        </w:rPr>
        <w:t xml:space="preserve"> MD, </w:t>
      </w:r>
      <w:proofErr w:type="spellStart"/>
      <w:r w:rsidRPr="00C66870">
        <w:rPr>
          <w:rFonts w:ascii="Book Antiqua" w:eastAsia="宋体" w:hAnsi="Book Antiqua" w:cs="宋体"/>
        </w:rPr>
        <w:t>Weitz</w:t>
      </w:r>
      <w:proofErr w:type="spellEnd"/>
      <w:r w:rsidRPr="00C66870">
        <w:rPr>
          <w:rFonts w:ascii="Book Antiqua" w:eastAsia="宋体" w:hAnsi="Book Antiqua" w:cs="宋体"/>
        </w:rPr>
        <w:t xml:space="preserve"> JI, </w:t>
      </w:r>
      <w:proofErr w:type="spellStart"/>
      <w:r w:rsidRPr="00C66870">
        <w:rPr>
          <w:rFonts w:ascii="Book Antiqua" w:eastAsia="宋体" w:hAnsi="Book Antiqua" w:cs="宋体"/>
        </w:rPr>
        <w:t>Špinar</w:t>
      </w:r>
      <w:proofErr w:type="spellEnd"/>
      <w:r w:rsidRPr="00C66870">
        <w:rPr>
          <w:rFonts w:ascii="Book Antiqua" w:eastAsia="宋体" w:hAnsi="Book Antiqua" w:cs="宋体"/>
        </w:rPr>
        <w:t xml:space="preserve"> J, </w:t>
      </w:r>
      <w:proofErr w:type="spellStart"/>
      <w:r w:rsidRPr="00C66870">
        <w:rPr>
          <w:rFonts w:ascii="Book Antiqua" w:eastAsia="宋体" w:hAnsi="Book Antiqua" w:cs="宋体"/>
        </w:rPr>
        <w:t>Ruzyllo</w:t>
      </w:r>
      <w:proofErr w:type="spellEnd"/>
      <w:r w:rsidRPr="00C66870">
        <w:rPr>
          <w:rFonts w:ascii="Book Antiqua" w:eastAsia="宋体" w:hAnsi="Book Antiqua" w:cs="宋体"/>
        </w:rPr>
        <w:t xml:space="preserve"> W, </w:t>
      </w:r>
      <w:proofErr w:type="spellStart"/>
      <w:r w:rsidRPr="00C66870">
        <w:rPr>
          <w:rFonts w:ascii="Book Antiqua" w:eastAsia="宋体" w:hAnsi="Book Antiqua" w:cs="宋体"/>
        </w:rPr>
        <w:t>Ruda</w:t>
      </w:r>
      <w:proofErr w:type="spellEnd"/>
      <w:r w:rsidRPr="00C66870">
        <w:rPr>
          <w:rFonts w:ascii="Book Antiqua" w:eastAsia="宋体" w:hAnsi="Book Antiqua" w:cs="宋体"/>
        </w:rPr>
        <w:t xml:space="preserve"> M, </w:t>
      </w:r>
      <w:proofErr w:type="spellStart"/>
      <w:r w:rsidRPr="00C66870">
        <w:rPr>
          <w:rFonts w:ascii="Book Antiqua" w:eastAsia="宋体" w:hAnsi="Book Antiqua" w:cs="宋体"/>
        </w:rPr>
        <w:t>Koretsune</w:t>
      </w:r>
      <w:proofErr w:type="spellEnd"/>
      <w:r w:rsidRPr="00C66870">
        <w:rPr>
          <w:rFonts w:ascii="Book Antiqua" w:eastAsia="宋体" w:hAnsi="Book Antiqua" w:cs="宋体"/>
        </w:rPr>
        <w:t xml:space="preserve"> Y, </w:t>
      </w:r>
      <w:proofErr w:type="spellStart"/>
      <w:r w:rsidRPr="00C66870">
        <w:rPr>
          <w:rFonts w:ascii="Book Antiqua" w:eastAsia="宋体" w:hAnsi="Book Antiqua" w:cs="宋体"/>
        </w:rPr>
        <w:t>Betcher</w:t>
      </w:r>
      <w:proofErr w:type="spellEnd"/>
      <w:r w:rsidRPr="00C66870">
        <w:rPr>
          <w:rFonts w:ascii="Book Antiqua" w:eastAsia="宋体" w:hAnsi="Book Antiqua" w:cs="宋体"/>
        </w:rPr>
        <w:t xml:space="preserve"> J, Shi M, Grip LT, Patel SP, Patel I, </w:t>
      </w:r>
      <w:proofErr w:type="spellStart"/>
      <w:r w:rsidRPr="00C66870">
        <w:rPr>
          <w:rFonts w:ascii="Book Antiqua" w:eastAsia="宋体" w:hAnsi="Book Antiqua" w:cs="宋体"/>
        </w:rPr>
        <w:t>Hanyok</w:t>
      </w:r>
      <w:proofErr w:type="spellEnd"/>
      <w:r w:rsidRPr="00C66870">
        <w:rPr>
          <w:rFonts w:ascii="Book Antiqua" w:eastAsia="宋体" w:hAnsi="Book Antiqua" w:cs="宋体"/>
        </w:rPr>
        <w:t xml:space="preserve"> JJ, </w:t>
      </w:r>
      <w:proofErr w:type="spellStart"/>
      <w:r w:rsidRPr="00C66870">
        <w:rPr>
          <w:rFonts w:ascii="Book Antiqua" w:eastAsia="宋体" w:hAnsi="Book Antiqua" w:cs="宋体"/>
        </w:rPr>
        <w:t>Mercuri</w:t>
      </w:r>
      <w:proofErr w:type="spellEnd"/>
      <w:r w:rsidRPr="00C66870">
        <w:rPr>
          <w:rFonts w:ascii="Book Antiqua" w:eastAsia="宋体" w:hAnsi="Book Antiqua" w:cs="宋体"/>
        </w:rPr>
        <w:t xml:space="preserve"> M, </w:t>
      </w:r>
      <w:proofErr w:type="spellStart"/>
      <w:r w:rsidRPr="00C66870">
        <w:rPr>
          <w:rFonts w:ascii="Book Antiqua" w:eastAsia="宋体" w:hAnsi="Book Antiqua" w:cs="宋体"/>
        </w:rPr>
        <w:t>Antman</w:t>
      </w:r>
      <w:proofErr w:type="spellEnd"/>
      <w:r w:rsidRPr="00C66870">
        <w:rPr>
          <w:rFonts w:ascii="Book Antiqua" w:eastAsia="宋体" w:hAnsi="Book Antiqua" w:cs="宋体"/>
        </w:rPr>
        <w:t xml:space="preserve"> EM. </w:t>
      </w:r>
      <w:proofErr w:type="spellStart"/>
      <w:proofErr w:type="gramStart"/>
      <w:r w:rsidRPr="00C66870">
        <w:rPr>
          <w:rFonts w:ascii="Book Antiqua" w:eastAsia="宋体" w:hAnsi="Book Antiqua" w:cs="宋体"/>
        </w:rPr>
        <w:t>Edoxaban</w:t>
      </w:r>
      <w:proofErr w:type="spellEnd"/>
      <w:r w:rsidRPr="00C66870">
        <w:rPr>
          <w:rFonts w:ascii="Book Antiqua" w:eastAsia="宋体" w:hAnsi="Book Antiqua" w:cs="宋体"/>
        </w:rPr>
        <w:t xml:space="preserve"> versus warfarin in patients with atrial fibrillation.</w:t>
      </w:r>
      <w:proofErr w:type="gramEnd"/>
      <w:r w:rsidRPr="00C66870">
        <w:rPr>
          <w:rFonts w:ascii="Book Antiqua" w:eastAsia="宋体" w:hAnsi="Book Antiqua" w:cs="宋体"/>
        </w:rPr>
        <w:t> </w:t>
      </w:r>
      <w:r w:rsidRPr="00C66870">
        <w:rPr>
          <w:rFonts w:ascii="Book Antiqua" w:eastAsia="宋体" w:hAnsi="Book Antiqua" w:cs="宋体"/>
          <w:i/>
          <w:iCs/>
        </w:rPr>
        <w:t xml:space="preserve">N </w:t>
      </w:r>
      <w:proofErr w:type="spellStart"/>
      <w:r w:rsidRPr="00C66870">
        <w:rPr>
          <w:rFonts w:ascii="Book Antiqua" w:eastAsia="宋体" w:hAnsi="Book Antiqua" w:cs="宋体"/>
          <w:i/>
          <w:iCs/>
        </w:rPr>
        <w:t>Engl</w:t>
      </w:r>
      <w:proofErr w:type="spellEnd"/>
      <w:r w:rsidRPr="00C66870">
        <w:rPr>
          <w:rFonts w:ascii="Book Antiqua" w:eastAsia="宋体" w:hAnsi="Book Antiqua" w:cs="宋体"/>
          <w:i/>
          <w:iCs/>
        </w:rPr>
        <w:t xml:space="preserve"> J Med</w:t>
      </w:r>
      <w:r w:rsidRPr="00C66870">
        <w:rPr>
          <w:rFonts w:ascii="Book Antiqua" w:eastAsia="宋体" w:hAnsi="Book Antiqua" w:cs="宋体"/>
        </w:rPr>
        <w:t> 2013; </w:t>
      </w:r>
      <w:r w:rsidRPr="00C66870">
        <w:rPr>
          <w:rFonts w:ascii="Book Antiqua" w:eastAsia="宋体" w:hAnsi="Book Antiqua" w:cs="宋体"/>
          <w:b/>
          <w:bCs/>
        </w:rPr>
        <w:t>369</w:t>
      </w:r>
      <w:r w:rsidRPr="00C66870">
        <w:rPr>
          <w:rFonts w:ascii="Book Antiqua" w:eastAsia="宋体" w:hAnsi="Book Antiqua" w:cs="宋体"/>
        </w:rPr>
        <w:t>: 2093-2104 [PMID: 24251359 DOI: 10.1056/NEJMoa1310907</w:t>
      </w:r>
      <w:r>
        <w:rPr>
          <w:rFonts w:ascii="Book Antiqua" w:eastAsia="宋体" w:hAnsi="Book Antiqua" w:cs="宋体"/>
        </w:rPr>
        <w:t>]</w:t>
      </w:r>
    </w:p>
    <w:p w14:paraId="2C7575E0"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11 </w:t>
      </w:r>
      <w:r w:rsidRPr="00C66870">
        <w:rPr>
          <w:rFonts w:ascii="Book Antiqua" w:eastAsia="宋体" w:hAnsi="Book Antiqua" w:cs="宋体"/>
          <w:b/>
          <w:bCs/>
        </w:rPr>
        <w:t>Abraham NS</w:t>
      </w:r>
      <w:r w:rsidRPr="00C66870">
        <w:rPr>
          <w:rFonts w:ascii="Book Antiqua" w:eastAsia="宋体" w:hAnsi="Book Antiqua" w:cs="宋体"/>
        </w:rPr>
        <w:t xml:space="preserve">, Singh S, Alexander GC, </w:t>
      </w:r>
      <w:proofErr w:type="spellStart"/>
      <w:r w:rsidRPr="00C66870">
        <w:rPr>
          <w:rFonts w:ascii="Book Antiqua" w:eastAsia="宋体" w:hAnsi="Book Antiqua" w:cs="宋体"/>
        </w:rPr>
        <w:t>Heien</w:t>
      </w:r>
      <w:proofErr w:type="spellEnd"/>
      <w:r w:rsidRPr="00C66870">
        <w:rPr>
          <w:rFonts w:ascii="Book Antiqua" w:eastAsia="宋体" w:hAnsi="Book Antiqua" w:cs="宋体"/>
        </w:rPr>
        <w:t xml:space="preserve"> H, Haas LR, Crown W, Shah ND. Comparative risk of gastrointestinal bleeding with </w:t>
      </w:r>
      <w:proofErr w:type="spellStart"/>
      <w:r w:rsidRPr="00C66870">
        <w:rPr>
          <w:rFonts w:ascii="Book Antiqua" w:eastAsia="宋体" w:hAnsi="Book Antiqua" w:cs="宋体"/>
        </w:rPr>
        <w:t>dabigatran</w:t>
      </w:r>
      <w:proofErr w:type="spellEnd"/>
      <w:r w:rsidRPr="00C66870">
        <w:rPr>
          <w:rFonts w:ascii="Book Antiqua" w:eastAsia="宋体" w:hAnsi="Book Antiqua" w:cs="宋体"/>
        </w:rPr>
        <w:t xml:space="preserve">, </w:t>
      </w:r>
      <w:proofErr w:type="spellStart"/>
      <w:r w:rsidRPr="00C66870">
        <w:rPr>
          <w:rFonts w:ascii="Book Antiqua" w:eastAsia="宋体" w:hAnsi="Book Antiqua" w:cs="宋体"/>
        </w:rPr>
        <w:t>rivaroxaban</w:t>
      </w:r>
      <w:proofErr w:type="spellEnd"/>
      <w:r w:rsidRPr="00C66870">
        <w:rPr>
          <w:rFonts w:ascii="Book Antiqua" w:eastAsia="宋体" w:hAnsi="Book Antiqua" w:cs="宋体"/>
        </w:rPr>
        <w:t>, and warfarin: population based cohort study. </w:t>
      </w:r>
      <w:r w:rsidRPr="00C66870">
        <w:rPr>
          <w:rFonts w:ascii="Book Antiqua" w:eastAsia="宋体" w:hAnsi="Book Antiqua" w:cs="宋体"/>
          <w:i/>
          <w:iCs/>
        </w:rPr>
        <w:t>BMJ</w:t>
      </w:r>
      <w:r w:rsidRPr="00C66870">
        <w:rPr>
          <w:rFonts w:ascii="Book Antiqua" w:eastAsia="宋体" w:hAnsi="Book Antiqua" w:cs="宋体"/>
        </w:rPr>
        <w:t> 2015; </w:t>
      </w:r>
      <w:r w:rsidRPr="00C66870">
        <w:rPr>
          <w:rFonts w:ascii="Book Antiqua" w:eastAsia="宋体" w:hAnsi="Book Antiqua" w:cs="宋体"/>
          <w:b/>
          <w:bCs/>
        </w:rPr>
        <w:t>350</w:t>
      </w:r>
      <w:r w:rsidRPr="00C66870">
        <w:rPr>
          <w:rFonts w:ascii="Book Antiqua" w:eastAsia="宋体" w:hAnsi="Book Antiqua" w:cs="宋体"/>
        </w:rPr>
        <w:t>: h1857 [PMID: 25910928 DOI: 10.1136/bmj.h1857]</w:t>
      </w:r>
    </w:p>
    <w:p w14:paraId="3137EB04"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 xml:space="preserve">12 </w:t>
      </w:r>
      <w:r w:rsidRPr="00C66870">
        <w:rPr>
          <w:rFonts w:ascii="Book Antiqua" w:eastAsia="宋体" w:hAnsi="Book Antiqua" w:cs="宋体"/>
          <w:b/>
        </w:rPr>
        <w:t xml:space="preserve">Schulman S, </w:t>
      </w:r>
      <w:proofErr w:type="spellStart"/>
      <w:r w:rsidRPr="00C66870">
        <w:rPr>
          <w:rFonts w:ascii="Book Antiqua" w:eastAsia="宋体" w:hAnsi="Book Antiqua" w:cs="宋体"/>
        </w:rPr>
        <w:t>Kearon</w:t>
      </w:r>
      <w:proofErr w:type="spellEnd"/>
      <w:r w:rsidRPr="00C66870">
        <w:rPr>
          <w:rFonts w:ascii="Book Antiqua" w:eastAsia="宋体" w:hAnsi="Book Antiqua" w:cs="宋体"/>
        </w:rPr>
        <w:t xml:space="preserve"> C, </w:t>
      </w:r>
      <w:proofErr w:type="spellStart"/>
      <w:r w:rsidRPr="00C66870">
        <w:rPr>
          <w:rFonts w:ascii="Book Antiqua" w:eastAsia="宋体" w:hAnsi="Book Antiqua" w:cs="宋体"/>
        </w:rPr>
        <w:t>Kakkar</w:t>
      </w:r>
      <w:proofErr w:type="spellEnd"/>
      <w:r w:rsidRPr="00C66870">
        <w:rPr>
          <w:rFonts w:ascii="Book Antiqua" w:eastAsia="宋体" w:hAnsi="Book Antiqua" w:cs="宋体"/>
        </w:rPr>
        <w:t xml:space="preserve"> AK, </w:t>
      </w:r>
      <w:proofErr w:type="spellStart"/>
      <w:r w:rsidRPr="00C66870">
        <w:rPr>
          <w:rFonts w:ascii="Book Antiqua" w:eastAsia="宋体" w:hAnsi="Book Antiqua" w:cs="宋体"/>
        </w:rPr>
        <w:t>Schellong</w:t>
      </w:r>
      <w:proofErr w:type="spellEnd"/>
      <w:r w:rsidRPr="00C66870">
        <w:rPr>
          <w:rFonts w:ascii="Book Antiqua" w:eastAsia="宋体" w:hAnsi="Book Antiqua" w:cs="宋体"/>
        </w:rPr>
        <w:t xml:space="preserve"> S, Eriksson H, </w:t>
      </w:r>
      <w:proofErr w:type="spellStart"/>
      <w:r w:rsidRPr="00C66870">
        <w:rPr>
          <w:rFonts w:ascii="Book Antiqua" w:eastAsia="宋体" w:hAnsi="Book Antiqua" w:cs="宋体"/>
        </w:rPr>
        <w:t>Baanstra</w:t>
      </w:r>
      <w:proofErr w:type="spellEnd"/>
      <w:r w:rsidRPr="00C66870">
        <w:rPr>
          <w:rFonts w:ascii="Book Antiqua" w:eastAsia="宋体" w:hAnsi="Book Antiqua" w:cs="宋体"/>
        </w:rPr>
        <w:t xml:space="preserve"> D, </w:t>
      </w:r>
      <w:proofErr w:type="spellStart"/>
      <w:r w:rsidRPr="00C66870">
        <w:rPr>
          <w:rFonts w:ascii="Book Antiqua" w:eastAsia="宋体" w:hAnsi="Book Antiqua" w:cs="宋体"/>
        </w:rPr>
        <w:t>Kvamme</w:t>
      </w:r>
      <w:proofErr w:type="spellEnd"/>
      <w:r w:rsidRPr="00C66870">
        <w:rPr>
          <w:rFonts w:ascii="Book Antiqua" w:eastAsia="宋体" w:hAnsi="Book Antiqua" w:cs="宋体"/>
        </w:rPr>
        <w:t xml:space="preserve"> AM, Friedman J, </w:t>
      </w:r>
      <w:proofErr w:type="spellStart"/>
      <w:r w:rsidRPr="00C66870">
        <w:rPr>
          <w:rFonts w:ascii="Book Antiqua" w:eastAsia="宋体" w:hAnsi="Book Antiqua" w:cs="宋体"/>
        </w:rPr>
        <w:t>Mismetti</w:t>
      </w:r>
      <w:proofErr w:type="spellEnd"/>
      <w:r w:rsidRPr="00C66870">
        <w:rPr>
          <w:rFonts w:ascii="Book Antiqua" w:eastAsia="宋体" w:hAnsi="Book Antiqua" w:cs="宋体"/>
        </w:rPr>
        <w:t xml:space="preserve"> P, and </w:t>
      </w:r>
      <w:proofErr w:type="spellStart"/>
      <w:r w:rsidRPr="00C66870">
        <w:rPr>
          <w:rFonts w:ascii="Book Antiqua" w:eastAsia="宋体" w:hAnsi="Book Antiqua" w:cs="宋体"/>
        </w:rPr>
        <w:t>Goldhaber</w:t>
      </w:r>
      <w:proofErr w:type="spellEnd"/>
      <w:r w:rsidRPr="00C66870">
        <w:rPr>
          <w:rFonts w:ascii="Book Antiqua" w:eastAsia="宋体" w:hAnsi="Book Antiqua" w:cs="宋体"/>
        </w:rPr>
        <w:t xml:space="preserve"> SZ for the RE-MEDY and the RE-SONATE Trials Investigators. Extended Use of </w:t>
      </w:r>
      <w:proofErr w:type="spellStart"/>
      <w:r w:rsidRPr="00C66870">
        <w:rPr>
          <w:rFonts w:ascii="Book Antiqua" w:eastAsia="宋体" w:hAnsi="Book Antiqua" w:cs="宋体"/>
        </w:rPr>
        <w:t>Dabigatran</w:t>
      </w:r>
      <w:proofErr w:type="spellEnd"/>
      <w:r w:rsidRPr="00C66870">
        <w:rPr>
          <w:rFonts w:ascii="Book Antiqua" w:eastAsia="宋体" w:hAnsi="Book Antiqua" w:cs="宋体"/>
        </w:rPr>
        <w:t xml:space="preserve">, Warfarin, or Placebo in Venous Thromboembolism. </w:t>
      </w:r>
      <w:r w:rsidRPr="00C66870">
        <w:rPr>
          <w:rFonts w:ascii="Book Antiqua" w:eastAsia="宋体" w:hAnsi="Book Antiqua" w:cs="宋体"/>
          <w:i/>
        </w:rPr>
        <w:t>New England J</w:t>
      </w:r>
      <w:r w:rsidRPr="00C66870">
        <w:rPr>
          <w:rFonts w:ascii="Book Antiqua" w:eastAsia="宋体" w:hAnsi="Book Antiqua" w:cs="宋体" w:hint="eastAsia"/>
          <w:i/>
        </w:rPr>
        <w:t xml:space="preserve"> </w:t>
      </w:r>
      <w:r w:rsidRPr="00C66870">
        <w:rPr>
          <w:rFonts w:ascii="Book Antiqua" w:eastAsia="宋体" w:hAnsi="Book Antiqua" w:cs="宋体"/>
          <w:i/>
        </w:rPr>
        <w:t>Med</w:t>
      </w:r>
      <w:r>
        <w:rPr>
          <w:rFonts w:ascii="Book Antiqua" w:eastAsia="宋体" w:hAnsi="Book Antiqua" w:cs="宋体" w:hint="eastAsia"/>
        </w:rPr>
        <w:t xml:space="preserve"> </w:t>
      </w:r>
      <w:r>
        <w:rPr>
          <w:rFonts w:ascii="Book Antiqua" w:eastAsia="宋体" w:hAnsi="Book Antiqua" w:cs="宋体"/>
        </w:rPr>
        <w:t xml:space="preserve">2013; </w:t>
      </w:r>
      <w:r w:rsidRPr="00C66870">
        <w:rPr>
          <w:rFonts w:ascii="Book Antiqua" w:eastAsia="宋体" w:hAnsi="Book Antiqua" w:cs="宋体"/>
          <w:b/>
        </w:rPr>
        <w:t>368</w:t>
      </w:r>
      <w:r w:rsidRPr="00C66870">
        <w:rPr>
          <w:rFonts w:ascii="Book Antiqua" w:eastAsia="宋体" w:hAnsi="Book Antiqua" w:cs="宋体"/>
        </w:rPr>
        <w:t>: 709-</w:t>
      </w:r>
      <w:r>
        <w:rPr>
          <w:rFonts w:ascii="Book Antiqua" w:eastAsia="宋体" w:hAnsi="Book Antiqua" w:cs="宋体" w:hint="eastAsia"/>
        </w:rPr>
        <w:t>7</w:t>
      </w:r>
      <w:r>
        <w:rPr>
          <w:rFonts w:ascii="Book Antiqua" w:eastAsia="宋体" w:hAnsi="Book Antiqua" w:cs="宋体"/>
        </w:rPr>
        <w:t>18</w:t>
      </w:r>
      <w:r>
        <w:rPr>
          <w:rFonts w:ascii="Book Antiqua" w:eastAsia="宋体" w:hAnsi="Book Antiqua" w:cs="宋体" w:hint="eastAsia"/>
        </w:rPr>
        <w:t xml:space="preserve"> [</w:t>
      </w:r>
      <w:r>
        <w:rPr>
          <w:rFonts w:ascii="Book Antiqua" w:eastAsia="宋体" w:hAnsi="Book Antiqua" w:cs="宋体"/>
        </w:rPr>
        <w:t>DOI: 10.1056/NEJMoa1113697</w:t>
      </w:r>
      <w:r>
        <w:rPr>
          <w:rFonts w:ascii="Book Antiqua" w:eastAsia="宋体" w:hAnsi="Book Antiqua" w:cs="宋体" w:hint="eastAsia"/>
        </w:rPr>
        <w:t>]</w:t>
      </w:r>
    </w:p>
    <w:p w14:paraId="493FCDB9"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13 </w:t>
      </w:r>
      <w:r w:rsidRPr="00C66870">
        <w:rPr>
          <w:rFonts w:ascii="Book Antiqua" w:eastAsia="宋体" w:hAnsi="Book Antiqua" w:cs="宋体"/>
          <w:b/>
          <w:bCs/>
        </w:rPr>
        <w:t>Pollack CV</w:t>
      </w:r>
      <w:r w:rsidRPr="00C66870">
        <w:rPr>
          <w:rFonts w:ascii="Book Antiqua" w:eastAsia="宋体" w:hAnsi="Book Antiqua" w:cs="宋体"/>
        </w:rPr>
        <w:t xml:space="preserve">, Reilly PA, </w:t>
      </w:r>
      <w:proofErr w:type="spellStart"/>
      <w:r w:rsidRPr="00C66870">
        <w:rPr>
          <w:rFonts w:ascii="Book Antiqua" w:eastAsia="宋体" w:hAnsi="Book Antiqua" w:cs="宋体"/>
        </w:rPr>
        <w:t>Eikelboom</w:t>
      </w:r>
      <w:proofErr w:type="spellEnd"/>
      <w:r w:rsidRPr="00C66870">
        <w:rPr>
          <w:rFonts w:ascii="Book Antiqua" w:eastAsia="宋体" w:hAnsi="Book Antiqua" w:cs="宋体"/>
        </w:rPr>
        <w:t xml:space="preserve"> J, </w:t>
      </w:r>
      <w:proofErr w:type="spellStart"/>
      <w:r w:rsidRPr="00C66870">
        <w:rPr>
          <w:rFonts w:ascii="Book Antiqua" w:eastAsia="宋体" w:hAnsi="Book Antiqua" w:cs="宋体"/>
        </w:rPr>
        <w:t>Glund</w:t>
      </w:r>
      <w:proofErr w:type="spellEnd"/>
      <w:r w:rsidRPr="00C66870">
        <w:rPr>
          <w:rFonts w:ascii="Book Antiqua" w:eastAsia="宋体" w:hAnsi="Book Antiqua" w:cs="宋体"/>
        </w:rPr>
        <w:t xml:space="preserve"> S, </w:t>
      </w:r>
      <w:proofErr w:type="spellStart"/>
      <w:r w:rsidRPr="00C66870">
        <w:rPr>
          <w:rFonts w:ascii="Book Antiqua" w:eastAsia="宋体" w:hAnsi="Book Antiqua" w:cs="宋体"/>
        </w:rPr>
        <w:t>Verhamme</w:t>
      </w:r>
      <w:proofErr w:type="spellEnd"/>
      <w:r w:rsidRPr="00C66870">
        <w:rPr>
          <w:rFonts w:ascii="Book Antiqua" w:eastAsia="宋体" w:hAnsi="Book Antiqua" w:cs="宋体"/>
        </w:rPr>
        <w:t xml:space="preserve"> P, Bernstein RA, </w:t>
      </w:r>
      <w:proofErr w:type="spellStart"/>
      <w:r w:rsidRPr="00C66870">
        <w:rPr>
          <w:rFonts w:ascii="Book Antiqua" w:eastAsia="宋体" w:hAnsi="Book Antiqua" w:cs="宋体"/>
        </w:rPr>
        <w:t>Dubiel</w:t>
      </w:r>
      <w:proofErr w:type="spellEnd"/>
      <w:r w:rsidRPr="00C66870">
        <w:rPr>
          <w:rFonts w:ascii="Book Antiqua" w:eastAsia="宋体" w:hAnsi="Book Antiqua" w:cs="宋体"/>
        </w:rPr>
        <w:t xml:space="preserve"> R, </w:t>
      </w:r>
      <w:proofErr w:type="spellStart"/>
      <w:r w:rsidRPr="00C66870">
        <w:rPr>
          <w:rFonts w:ascii="Book Antiqua" w:eastAsia="宋体" w:hAnsi="Book Antiqua" w:cs="宋体"/>
        </w:rPr>
        <w:t>Huisman</w:t>
      </w:r>
      <w:proofErr w:type="spellEnd"/>
      <w:r w:rsidRPr="00C66870">
        <w:rPr>
          <w:rFonts w:ascii="Book Antiqua" w:eastAsia="宋体" w:hAnsi="Book Antiqua" w:cs="宋体"/>
        </w:rPr>
        <w:t xml:space="preserve"> MV, </w:t>
      </w:r>
      <w:proofErr w:type="spellStart"/>
      <w:r w:rsidRPr="00C66870">
        <w:rPr>
          <w:rFonts w:ascii="Book Antiqua" w:eastAsia="宋体" w:hAnsi="Book Antiqua" w:cs="宋体"/>
        </w:rPr>
        <w:t>Hylek</w:t>
      </w:r>
      <w:proofErr w:type="spellEnd"/>
      <w:r w:rsidRPr="00C66870">
        <w:rPr>
          <w:rFonts w:ascii="Book Antiqua" w:eastAsia="宋体" w:hAnsi="Book Antiqua" w:cs="宋体"/>
        </w:rPr>
        <w:t xml:space="preserve"> EM, </w:t>
      </w:r>
      <w:proofErr w:type="spellStart"/>
      <w:r w:rsidRPr="00C66870">
        <w:rPr>
          <w:rFonts w:ascii="Book Antiqua" w:eastAsia="宋体" w:hAnsi="Book Antiqua" w:cs="宋体"/>
        </w:rPr>
        <w:t>Kamphuisen</w:t>
      </w:r>
      <w:proofErr w:type="spellEnd"/>
      <w:r w:rsidRPr="00C66870">
        <w:rPr>
          <w:rFonts w:ascii="Book Antiqua" w:eastAsia="宋体" w:hAnsi="Book Antiqua" w:cs="宋体"/>
        </w:rPr>
        <w:t xml:space="preserve"> PW, </w:t>
      </w:r>
      <w:proofErr w:type="spellStart"/>
      <w:r w:rsidRPr="00C66870">
        <w:rPr>
          <w:rFonts w:ascii="Book Antiqua" w:eastAsia="宋体" w:hAnsi="Book Antiqua" w:cs="宋体"/>
        </w:rPr>
        <w:t>Kreuzer</w:t>
      </w:r>
      <w:proofErr w:type="spellEnd"/>
      <w:r w:rsidRPr="00C66870">
        <w:rPr>
          <w:rFonts w:ascii="Book Antiqua" w:eastAsia="宋体" w:hAnsi="Book Antiqua" w:cs="宋体"/>
        </w:rPr>
        <w:t xml:space="preserve"> J, Levy JH, </w:t>
      </w:r>
      <w:proofErr w:type="spellStart"/>
      <w:r w:rsidRPr="00C66870">
        <w:rPr>
          <w:rFonts w:ascii="Book Antiqua" w:eastAsia="宋体" w:hAnsi="Book Antiqua" w:cs="宋体"/>
        </w:rPr>
        <w:t>Sellke</w:t>
      </w:r>
      <w:proofErr w:type="spellEnd"/>
      <w:r w:rsidRPr="00C66870">
        <w:rPr>
          <w:rFonts w:ascii="Book Antiqua" w:eastAsia="宋体" w:hAnsi="Book Antiqua" w:cs="宋体"/>
        </w:rPr>
        <w:t xml:space="preserve"> FW, </w:t>
      </w:r>
      <w:proofErr w:type="spellStart"/>
      <w:r w:rsidRPr="00C66870">
        <w:rPr>
          <w:rFonts w:ascii="Book Antiqua" w:eastAsia="宋体" w:hAnsi="Book Antiqua" w:cs="宋体"/>
        </w:rPr>
        <w:t>Stangier</w:t>
      </w:r>
      <w:proofErr w:type="spellEnd"/>
      <w:r w:rsidRPr="00C66870">
        <w:rPr>
          <w:rFonts w:ascii="Book Antiqua" w:eastAsia="宋体" w:hAnsi="Book Antiqua" w:cs="宋体"/>
        </w:rPr>
        <w:t xml:space="preserve"> J, Steiner T, Wang B, </w:t>
      </w:r>
      <w:proofErr w:type="spellStart"/>
      <w:r w:rsidRPr="00C66870">
        <w:rPr>
          <w:rFonts w:ascii="Book Antiqua" w:eastAsia="宋体" w:hAnsi="Book Antiqua" w:cs="宋体"/>
        </w:rPr>
        <w:t>Kam</w:t>
      </w:r>
      <w:proofErr w:type="spellEnd"/>
      <w:r w:rsidRPr="00C66870">
        <w:rPr>
          <w:rFonts w:ascii="Book Antiqua" w:eastAsia="宋体" w:hAnsi="Book Antiqua" w:cs="宋体"/>
        </w:rPr>
        <w:t xml:space="preserve"> CW, </w:t>
      </w:r>
      <w:proofErr w:type="spellStart"/>
      <w:r w:rsidRPr="00C66870">
        <w:rPr>
          <w:rFonts w:ascii="Book Antiqua" w:eastAsia="宋体" w:hAnsi="Book Antiqua" w:cs="宋体"/>
        </w:rPr>
        <w:t>Weitz</w:t>
      </w:r>
      <w:proofErr w:type="spellEnd"/>
      <w:r w:rsidRPr="00C66870">
        <w:rPr>
          <w:rFonts w:ascii="Book Antiqua" w:eastAsia="宋体" w:hAnsi="Book Antiqua" w:cs="宋体"/>
        </w:rPr>
        <w:t xml:space="preserve"> JI. </w:t>
      </w:r>
      <w:proofErr w:type="spellStart"/>
      <w:proofErr w:type="gramStart"/>
      <w:r w:rsidRPr="00C66870">
        <w:rPr>
          <w:rFonts w:ascii="Book Antiqua" w:eastAsia="宋体" w:hAnsi="Book Antiqua" w:cs="宋体"/>
        </w:rPr>
        <w:t>Idarucizumab</w:t>
      </w:r>
      <w:proofErr w:type="spellEnd"/>
      <w:r w:rsidRPr="00C66870">
        <w:rPr>
          <w:rFonts w:ascii="Book Antiqua" w:eastAsia="宋体" w:hAnsi="Book Antiqua" w:cs="宋体"/>
        </w:rPr>
        <w:t xml:space="preserve"> for </w:t>
      </w:r>
      <w:proofErr w:type="spellStart"/>
      <w:r w:rsidRPr="00C66870">
        <w:rPr>
          <w:rFonts w:ascii="Book Antiqua" w:eastAsia="宋体" w:hAnsi="Book Antiqua" w:cs="宋体"/>
        </w:rPr>
        <w:t>Dabigatran</w:t>
      </w:r>
      <w:proofErr w:type="spellEnd"/>
      <w:r w:rsidRPr="00C66870">
        <w:rPr>
          <w:rFonts w:ascii="Book Antiqua" w:eastAsia="宋体" w:hAnsi="Book Antiqua" w:cs="宋体"/>
        </w:rPr>
        <w:t xml:space="preserve"> Reversal.</w:t>
      </w:r>
      <w:proofErr w:type="gramEnd"/>
      <w:r w:rsidRPr="00C66870">
        <w:rPr>
          <w:rFonts w:ascii="Book Antiqua" w:eastAsia="宋体" w:hAnsi="Book Antiqua" w:cs="宋体"/>
        </w:rPr>
        <w:t> </w:t>
      </w:r>
      <w:r w:rsidRPr="00C66870">
        <w:rPr>
          <w:rFonts w:ascii="Book Antiqua" w:eastAsia="宋体" w:hAnsi="Book Antiqua" w:cs="宋体"/>
          <w:i/>
          <w:iCs/>
        </w:rPr>
        <w:t xml:space="preserve">N </w:t>
      </w:r>
      <w:proofErr w:type="spellStart"/>
      <w:r w:rsidRPr="00C66870">
        <w:rPr>
          <w:rFonts w:ascii="Book Antiqua" w:eastAsia="宋体" w:hAnsi="Book Antiqua" w:cs="宋体"/>
          <w:i/>
          <w:iCs/>
        </w:rPr>
        <w:t>Engl</w:t>
      </w:r>
      <w:proofErr w:type="spellEnd"/>
      <w:r w:rsidRPr="00C66870">
        <w:rPr>
          <w:rFonts w:ascii="Book Antiqua" w:eastAsia="宋体" w:hAnsi="Book Antiqua" w:cs="宋体"/>
          <w:i/>
          <w:iCs/>
        </w:rPr>
        <w:t xml:space="preserve"> J Med</w:t>
      </w:r>
      <w:r w:rsidRPr="00C66870">
        <w:rPr>
          <w:rFonts w:ascii="Book Antiqua" w:eastAsia="宋体" w:hAnsi="Book Antiqua" w:cs="宋体"/>
        </w:rPr>
        <w:t> 2015; </w:t>
      </w:r>
      <w:r w:rsidRPr="00C66870">
        <w:rPr>
          <w:rFonts w:ascii="Book Antiqua" w:eastAsia="宋体" w:hAnsi="Book Antiqua" w:cs="宋体"/>
          <w:b/>
          <w:bCs/>
        </w:rPr>
        <w:t>373</w:t>
      </w:r>
      <w:r w:rsidRPr="00C66870">
        <w:rPr>
          <w:rFonts w:ascii="Book Antiqua" w:eastAsia="宋体" w:hAnsi="Book Antiqua" w:cs="宋体"/>
        </w:rPr>
        <w:t>: 511-520 [PMID: 26095746 DOI: 10.1056/NEJMoa1502000</w:t>
      </w:r>
      <w:r>
        <w:rPr>
          <w:rFonts w:ascii="Book Antiqua" w:eastAsia="宋体" w:hAnsi="Book Antiqua" w:cs="宋体"/>
        </w:rPr>
        <w:t>]</w:t>
      </w:r>
    </w:p>
    <w:p w14:paraId="2FC400CF"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14 </w:t>
      </w:r>
      <w:proofErr w:type="spellStart"/>
      <w:r w:rsidRPr="00C66870">
        <w:rPr>
          <w:rFonts w:ascii="Book Antiqua" w:eastAsia="宋体" w:hAnsi="Book Antiqua" w:cs="宋体"/>
          <w:b/>
          <w:bCs/>
        </w:rPr>
        <w:t>Yachimski</w:t>
      </w:r>
      <w:proofErr w:type="spellEnd"/>
      <w:r w:rsidRPr="00C66870">
        <w:rPr>
          <w:rFonts w:ascii="Book Antiqua" w:eastAsia="宋体" w:hAnsi="Book Antiqua" w:cs="宋体"/>
          <w:b/>
          <w:bCs/>
        </w:rPr>
        <w:t xml:space="preserve"> P</w:t>
      </w:r>
      <w:r w:rsidRPr="00C66870">
        <w:rPr>
          <w:rFonts w:ascii="Book Antiqua" w:eastAsia="宋体" w:hAnsi="Book Antiqua" w:cs="宋体"/>
        </w:rPr>
        <w:t xml:space="preserve">, </w:t>
      </w:r>
      <w:proofErr w:type="spellStart"/>
      <w:r w:rsidRPr="00C66870">
        <w:rPr>
          <w:rFonts w:ascii="Book Antiqua" w:eastAsia="宋体" w:hAnsi="Book Antiqua" w:cs="宋体"/>
        </w:rPr>
        <w:t>Hur</w:t>
      </w:r>
      <w:proofErr w:type="spellEnd"/>
      <w:r w:rsidRPr="00C66870">
        <w:rPr>
          <w:rFonts w:ascii="Book Antiqua" w:eastAsia="宋体" w:hAnsi="Book Antiqua" w:cs="宋体"/>
        </w:rPr>
        <w:t xml:space="preserve"> C. Upper endoscopy in patients with acute myocardial infarction and upper gastrointestinal bleeding: results of a decision analysis. </w:t>
      </w:r>
      <w:r w:rsidRPr="00C66870">
        <w:rPr>
          <w:rFonts w:ascii="Book Antiqua" w:eastAsia="宋体" w:hAnsi="Book Antiqua" w:cs="宋体"/>
          <w:i/>
          <w:iCs/>
        </w:rPr>
        <w:t xml:space="preserve">Dig Dis </w:t>
      </w:r>
      <w:proofErr w:type="spellStart"/>
      <w:r w:rsidRPr="00C66870">
        <w:rPr>
          <w:rFonts w:ascii="Book Antiqua" w:eastAsia="宋体" w:hAnsi="Book Antiqua" w:cs="宋体"/>
          <w:i/>
          <w:iCs/>
        </w:rPr>
        <w:t>Sci</w:t>
      </w:r>
      <w:proofErr w:type="spellEnd"/>
      <w:r w:rsidRPr="00C66870">
        <w:rPr>
          <w:rFonts w:ascii="Book Antiqua" w:eastAsia="宋体" w:hAnsi="Book Antiqua" w:cs="宋体"/>
        </w:rPr>
        <w:t> 2009; </w:t>
      </w:r>
      <w:r w:rsidRPr="00C66870">
        <w:rPr>
          <w:rFonts w:ascii="Book Antiqua" w:eastAsia="宋体" w:hAnsi="Book Antiqua" w:cs="宋体"/>
          <w:b/>
          <w:bCs/>
        </w:rPr>
        <w:t>54</w:t>
      </w:r>
      <w:r w:rsidRPr="00C66870">
        <w:rPr>
          <w:rFonts w:ascii="Book Antiqua" w:eastAsia="宋体" w:hAnsi="Book Antiqua" w:cs="宋体"/>
        </w:rPr>
        <w:t>: 701-711 [PMID: 18661236 DOI: 10.1007/s10620-008-0403-y]</w:t>
      </w:r>
    </w:p>
    <w:p w14:paraId="0D5FCD6F"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15</w:t>
      </w:r>
      <w:r w:rsidRPr="00C66870">
        <w:rPr>
          <w:rFonts w:ascii="Book Antiqua" w:eastAsia="宋体" w:hAnsi="Book Antiqua" w:cs="宋体"/>
          <w:b/>
        </w:rPr>
        <w:t xml:space="preserve"> Anderson MA, </w:t>
      </w:r>
      <w:r w:rsidRPr="00C66870">
        <w:rPr>
          <w:rFonts w:ascii="Book Antiqua" w:eastAsia="宋体" w:hAnsi="Book Antiqua" w:cs="宋体"/>
        </w:rPr>
        <w:t>Ben-</w:t>
      </w:r>
      <w:proofErr w:type="spellStart"/>
      <w:r w:rsidRPr="00C66870">
        <w:rPr>
          <w:rFonts w:ascii="Book Antiqua" w:eastAsia="宋体" w:hAnsi="Book Antiqua" w:cs="宋体"/>
        </w:rPr>
        <w:t>Menachem</w:t>
      </w:r>
      <w:proofErr w:type="spellEnd"/>
      <w:r w:rsidRPr="00C66870">
        <w:rPr>
          <w:rFonts w:ascii="Book Antiqua" w:eastAsia="宋体" w:hAnsi="Book Antiqua" w:cs="宋体"/>
        </w:rPr>
        <w:t xml:space="preserve"> T, </w:t>
      </w:r>
      <w:proofErr w:type="spellStart"/>
      <w:r w:rsidRPr="00C66870">
        <w:rPr>
          <w:rFonts w:ascii="Book Antiqua" w:eastAsia="宋体" w:hAnsi="Book Antiqua" w:cs="宋体"/>
        </w:rPr>
        <w:t>Gan</w:t>
      </w:r>
      <w:proofErr w:type="spellEnd"/>
      <w:r w:rsidRPr="00C66870">
        <w:rPr>
          <w:rFonts w:ascii="Book Antiqua" w:eastAsia="宋体" w:hAnsi="Book Antiqua" w:cs="宋体"/>
        </w:rPr>
        <w:t xml:space="preserve"> SI, </w:t>
      </w:r>
      <w:proofErr w:type="spellStart"/>
      <w:r w:rsidRPr="00C66870">
        <w:rPr>
          <w:rFonts w:ascii="Book Antiqua" w:eastAsia="宋体" w:hAnsi="Book Antiqua" w:cs="宋体"/>
        </w:rPr>
        <w:t>Appalaneni</w:t>
      </w:r>
      <w:proofErr w:type="spellEnd"/>
      <w:r w:rsidRPr="00C66870">
        <w:rPr>
          <w:rFonts w:ascii="Book Antiqua" w:eastAsia="宋体" w:hAnsi="Book Antiqua" w:cs="宋体"/>
        </w:rPr>
        <w:t xml:space="preserve"> V, Banerjee S, Cash BD, Fisher L, Harrison ME, </w:t>
      </w:r>
      <w:proofErr w:type="spellStart"/>
      <w:r w:rsidRPr="00C66870">
        <w:rPr>
          <w:rFonts w:ascii="Book Antiqua" w:eastAsia="宋体" w:hAnsi="Book Antiqua" w:cs="宋体"/>
        </w:rPr>
        <w:t>Fanelli</w:t>
      </w:r>
      <w:proofErr w:type="spellEnd"/>
      <w:r w:rsidRPr="00C66870">
        <w:rPr>
          <w:rFonts w:ascii="Book Antiqua" w:eastAsia="宋体" w:hAnsi="Book Antiqua" w:cs="宋体"/>
        </w:rPr>
        <w:t xml:space="preserve"> RD, </w:t>
      </w:r>
      <w:proofErr w:type="spellStart"/>
      <w:r w:rsidRPr="00C66870">
        <w:rPr>
          <w:rFonts w:ascii="Book Antiqua" w:eastAsia="宋体" w:hAnsi="Book Antiqua" w:cs="宋体"/>
        </w:rPr>
        <w:t>Fukami</w:t>
      </w:r>
      <w:proofErr w:type="spellEnd"/>
      <w:r w:rsidRPr="00C66870">
        <w:rPr>
          <w:rFonts w:ascii="Book Antiqua" w:eastAsia="宋体" w:hAnsi="Book Antiqua" w:cs="宋体"/>
        </w:rPr>
        <w:t xml:space="preserve"> N, </w:t>
      </w:r>
      <w:proofErr w:type="spellStart"/>
      <w:r w:rsidRPr="00C66870">
        <w:rPr>
          <w:rFonts w:ascii="Book Antiqua" w:eastAsia="宋体" w:hAnsi="Book Antiqua" w:cs="宋体"/>
        </w:rPr>
        <w:t>Ikenberry</w:t>
      </w:r>
      <w:proofErr w:type="spellEnd"/>
      <w:r w:rsidRPr="00C66870">
        <w:rPr>
          <w:rFonts w:ascii="Book Antiqua" w:eastAsia="宋体" w:hAnsi="Book Antiqua" w:cs="宋体"/>
        </w:rPr>
        <w:t xml:space="preserve"> SO, Jain R, Khan K, </w:t>
      </w:r>
      <w:proofErr w:type="spellStart"/>
      <w:r w:rsidRPr="00C66870">
        <w:rPr>
          <w:rFonts w:ascii="Book Antiqua" w:eastAsia="宋体" w:hAnsi="Book Antiqua" w:cs="宋体"/>
        </w:rPr>
        <w:t>Krinsky</w:t>
      </w:r>
      <w:proofErr w:type="spellEnd"/>
      <w:r w:rsidRPr="00C66870">
        <w:rPr>
          <w:rFonts w:ascii="Book Antiqua" w:eastAsia="宋体" w:hAnsi="Book Antiqua" w:cs="宋体"/>
        </w:rPr>
        <w:t xml:space="preserve"> ML, Lichtenstein DR, Maple JT, </w:t>
      </w:r>
      <w:proofErr w:type="spellStart"/>
      <w:r w:rsidRPr="00C66870">
        <w:rPr>
          <w:rFonts w:ascii="Book Antiqua" w:eastAsia="宋体" w:hAnsi="Book Antiqua" w:cs="宋体"/>
        </w:rPr>
        <w:t>Shen</w:t>
      </w:r>
      <w:proofErr w:type="spellEnd"/>
      <w:r w:rsidRPr="00C66870">
        <w:rPr>
          <w:rFonts w:ascii="Book Antiqua" w:eastAsia="宋体" w:hAnsi="Book Antiqua" w:cs="宋体"/>
        </w:rPr>
        <w:t xml:space="preserve"> B, </w:t>
      </w:r>
      <w:proofErr w:type="spellStart"/>
      <w:r w:rsidRPr="00C66870">
        <w:rPr>
          <w:rFonts w:ascii="Book Antiqua" w:eastAsia="宋体" w:hAnsi="Book Antiqua" w:cs="宋体"/>
        </w:rPr>
        <w:t>Strohmeyer</w:t>
      </w:r>
      <w:proofErr w:type="spellEnd"/>
      <w:r w:rsidRPr="00C66870">
        <w:rPr>
          <w:rFonts w:ascii="Book Antiqua" w:eastAsia="宋体" w:hAnsi="Book Antiqua" w:cs="宋体"/>
        </w:rPr>
        <w:t xml:space="preserve"> L, Baron T, </w:t>
      </w:r>
      <w:proofErr w:type="spellStart"/>
      <w:r w:rsidRPr="00C66870">
        <w:rPr>
          <w:rFonts w:ascii="Book Antiqua" w:eastAsia="宋体" w:hAnsi="Book Antiqua" w:cs="宋体"/>
        </w:rPr>
        <w:t>Dominitz</w:t>
      </w:r>
      <w:proofErr w:type="spellEnd"/>
      <w:r w:rsidRPr="00C66870">
        <w:rPr>
          <w:rFonts w:ascii="Book Antiqua" w:eastAsia="宋体" w:hAnsi="Book Antiqua" w:cs="宋体"/>
        </w:rPr>
        <w:t xml:space="preserve"> </w:t>
      </w:r>
      <w:r w:rsidRPr="00C66870">
        <w:rPr>
          <w:rFonts w:ascii="Book Antiqua" w:eastAsia="宋体" w:hAnsi="Book Antiqua" w:cs="宋体"/>
        </w:rPr>
        <w:lastRenderedPageBreak/>
        <w:t xml:space="preserve">JA. </w:t>
      </w:r>
      <w:proofErr w:type="gramStart"/>
      <w:r w:rsidRPr="00C66870">
        <w:rPr>
          <w:rFonts w:ascii="Book Antiqua" w:eastAsia="宋体" w:hAnsi="Book Antiqua" w:cs="宋体"/>
        </w:rPr>
        <w:t>Management of anti-thrombotic agents for endoscopic procedu</w:t>
      </w:r>
      <w:r>
        <w:rPr>
          <w:rFonts w:ascii="Book Antiqua" w:eastAsia="宋体" w:hAnsi="Book Antiqua" w:cs="宋体"/>
        </w:rPr>
        <w:t>res.</w:t>
      </w:r>
      <w:proofErr w:type="gramEnd"/>
      <w:r w:rsidRPr="00C66870">
        <w:rPr>
          <w:rFonts w:ascii="Book Antiqua" w:eastAsia="宋体" w:hAnsi="Book Antiqua" w:cs="宋体"/>
          <w:i/>
        </w:rPr>
        <w:t xml:space="preserve"> </w:t>
      </w:r>
      <w:proofErr w:type="spellStart"/>
      <w:r w:rsidRPr="00C66870">
        <w:rPr>
          <w:rFonts w:ascii="Book Antiqua" w:eastAsia="宋体" w:hAnsi="Book Antiqua" w:cs="宋体"/>
          <w:i/>
        </w:rPr>
        <w:t>Gastroint</w:t>
      </w:r>
      <w:proofErr w:type="spellEnd"/>
      <w:r w:rsidRPr="00C66870">
        <w:rPr>
          <w:rFonts w:ascii="Book Antiqua" w:eastAsia="宋体" w:hAnsi="Book Antiqua" w:cs="宋体" w:hint="eastAsia"/>
          <w:i/>
        </w:rPr>
        <w:t xml:space="preserve"> </w:t>
      </w:r>
      <w:proofErr w:type="spellStart"/>
      <w:r w:rsidRPr="00C66870">
        <w:rPr>
          <w:rFonts w:ascii="Book Antiqua" w:eastAsia="宋体" w:hAnsi="Book Antiqua" w:cs="宋体"/>
          <w:i/>
        </w:rPr>
        <w:t>Endosc</w:t>
      </w:r>
      <w:proofErr w:type="spellEnd"/>
      <w:r w:rsidRPr="00C66870">
        <w:rPr>
          <w:rFonts w:ascii="Book Antiqua" w:eastAsia="宋体" w:hAnsi="Book Antiqua" w:cs="宋体"/>
          <w:i/>
        </w:rPr>
        <w:t xml:space="preserve"> </w:t>
      </w:r>
      <w:r w:rsidRPr="00C66870">
        <w:rPr>
          <w:rFonts w:ascii="Book Antiqua" w:eastAsia="宋体" w:hAnsi="Book Antiqua" w:cs="宋体"/>
        </w:rPr>
        <w:t xml:space="preserve">2009; </w:t>
      </w:r>
      <w:r w:rsidRPr="00C66870">
        <w:rPr>
          <w:rFonts w:ascii="Book Antiqua" w:eastAsia="宋体" w:hAnsi="Book Antiqua" w:cs="宋体"/>
          <w:b/>
        </w:rPr>
        <w:t>70</w:t>
      </w:r>
      <w:r>
        <w:rPr>
          <w:rFonts w:ascii="Book Antiqua" w:eastAsia="宋体" w:hAnsi="Book Antiqua" w:cs="宋体"/>
        </w:rPr>
        <w:t>: 1060-1070</w:t>
      </w:r>
      <w:r>
        <w:rPr>
          <w:rFonts w:ascii="Book Antiqua" w:eastAsia="宋体" w:hAnsi="Book Antiqua" w:cs="宋体" w:hint="eastAsia"/>
        </w:rPr>
        <w:t xml:space="preserve"> [</w:t>
      </w:r>
      <w:r w:rsidRPr="00C66870">
        <w:rPr>
          <w:rFonts w:ascii="Book Antiqua" w:eastAsia="宋体" w:hAnsi="Book Antiqua" w:cs="宋体"/>
        </w:rPr>
        <w:t>DOI: 10.1016/j.gie.2009.09.040</w:t>
      </w:r>
      <w:r>
        <w:rPr>
          <w:rFonts w:ascii="Book Antiqua" w:eastAsia="宋体" w:hAnsi="Book Antiqua" w:cs="宋体" w:hint="eastAsia"/>
        </w:rPr>
        <w:t>]</w:t>
      </w:r>
    </w:p>
    <w:p w14:paraId="2F58D2B3"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16 </w:t>
      </w:r>
      <w:proofErr w:type="spellStart"/>
      <w:r w:rsidRPr="00C66870">
        <w:rPr>
          <w:rFonts w:ascii="Book Antiqua" w:eastAsia="宋体" w:hAnsi="Book Antiqua" w:cs="宋体"/>
          <w:b/>
          <w:bCs/>
        </w:rPr>
        <w:t>Eisen</w:t>
      </w:r>
      <w:proofErr w:type="spellEnd"/>
      <w:r w:rsidRPr="00C66870">
        <w:rPr>
          <w:rFonts w:ascii="Book Antiqua" w:eastAsia="宋体" w:hAnsi="Book Antiqua" w:cs="宋体"/>
          <w:b/>
          <w:bCs/>
        </w:rPr>
        <w:t xml:space="preserve"> GM</w:t>
      </w:r>
      <w:r w:rsidRPr="00C66870">
        <w:rPr>
          <w:rFonts w:ascii="Book Antiqua" w:eastAsia="宋体" w:hAnsi="Book Antiqua" w:cs="宋体"/>
        </w:rPr>
        <w:t xml:space="preserve">, Baron TH, </w:t>
      </w:r>
      <w:proofErr w:type="spellStart"/>
      <w:r w:rsidRPr="00C66870">
        <w:rPr>
          <w:rFonts w:ascii="Book Antiqua" w:eastAsia="宋体" w:hAnsi="Book Antiqua" w:cs="宋体"/>
        </w:rPr>
        <w:t>Dominitz</w:t>
      </w:r>
      <w:proofErr w:type="spellEnd"/>
      <w:r w:rsidRPr="00C66870">
        <w:rPr>
          <w:rFonts w:ascii="Book Antiqua" w:eastAsia="宋体" w:hAnsi="Book Antiqua" w:cs="宋体"/>
        </w:rPr>
        <w:t xml:space="preserve"> JA, </w:t>
      </w:r>
      <w:proofErr w:type="spellStart"/>
      <w:r w:rsidRPr="00C66870">
        <w:rPr>
          <w:rFonts w:ascii="Book Antiqua" w:eastAsia="宋体" w:hAnsi="Book Antiqua" w:cs="宋体"/>
        </w:rPr>
        <w:t>Faigel</w:t>
      </w:r>
      <w:proofErr w:type="spellEnd"/>
      <w:r w:rsidRPr="00C66870">
        <w:rPr>
          <w:rFonts w:ascii="Book Antiqua" w:eastAsia="宋体" w:hAnsi="Book Antiqua" w:cs="宋体"/>
        </w:rPr>
        <w:t xml:space="preserve"> DO, Goldstein JL, </w:t>
      </w:r>
      <w:proofErr w:type="spellStart"/>
      <w:r w:rsidRPr="00C66870">
        <w:rPr>
          <w:rFonts w:ascii="Book Antiqua" w:eastAsia="宋体" w:hAnsi="Book Antiqua" w:cs="宋体"/>
        </w:rPr>
        <w:t>Johanson</w:t>
      </w:r>
      <w:proofErr w:type="spellEnd"/>
      <w:r w:rsidRPr="00C66870">
        <w:rPr>
          <w:rFonts w:ascii="Book Antiqua" w:eastAsia="宋体" w:hAnsi="Book Antiqua" w:cs="宋体"/>
        </w:rPr>
        <w:t xml:space="preserve"> JF, </w:t>
      </w:r>
      <w:proofErr w:type="spellStart"/>
      <w:r w:rsidRPr="00C66870">
        <w:rPr>
          <w:rFonts w:ascii="Book Antiqua" w:eastAsia="宋体" w:hAnsi="Book Antiqua" w:cs="宋体"/>
        </w:rPr>
        <w:t>Mallery</w:t>
      </w:r>
      <w:proofErr w:type="spellEnd"/>
      <w:r w:rsidRPr="00C66870">
        <w:rPr>
          <w:rFonts w:ascii="Book Antiqua" w:eastAsia="宋体" w:hAnsi="Book Antiqua" w:cs="宋体"/>
        </w:rPr>
        <w:t xml:space="preserve"> JS, </w:t>
      </w:r>
      <w:proofErr w:type="spellStart"/>
      <w:r w:rsidRPr="00C66870">
        <w:rPr>
          <w:rFonts w:ascii="Book Antiqua" w:eastAsia="宋体" w:hAnsi="Book Antiqua" w:cs="宋体"/>
        </w:rPr>
        <w:t>Raddawi</w:t>
      </w:r>
      <w:proofErr w:type="spellEnd"/>
      <w:r w:rsidRPr="00C66870">
        <w:rPr>
          <w:rFonts w:ascii="Book Antiqua" w:eastAsia="宋体" w:hAnsi="Book Antiqua" w:cs="宋体"/>
        </w:rPr>
        <w:t xml:space="preserve"> HM, </w:t>
      </w:r>
      <w:proofErr w:type="spellStart"/>
      <w:r w:rsidRPr="00C66870">
        <w:rPr>
          <w:rFonts w:ascii="Book Antiqua" w:eastAsia="宋体" w:hAnsi="Book Antiqua" w:cs="宋体"/>
        </w:rPr>
        <w:t>Vargo</w:t>
      </w:r>
      <w:proofErr w:type="spellEnd"/>
      <w:r w:rsidRPr="00C66870">
        <w:rPr>
          <w:rFonts w:ascii="Book Antiqua" w:eastAsia="宋体" w:hAnsi="Book Antiqua" w:cs="宋体"/>
        </w:rPr>
        <w:t xml:space="preserve"> JJ, </w:t>
      </w:r>
      <w:proofErr w:type="spellStart"/>
      <w:r w:rsidRPr="00C66870">
        <w:rPr>
          <w:rFonts w:ascii="Book Antiqua" w:eastAsia="宋体" w:hAnsi="Book Antiqua" w:cs="宋体"/>
        </w:rPr>
        <w:t>Waring</w:t>
      </w:r>
      <w:proofErr w:type="spellEnd"/>
      <w:r w:rsidRPr="00C66870">
        <w:rPr>
          <w:rFonts w:ascii="Book Antiqua" w:eastAsia="宋体" w:hAnsi="Book Antiqua" w:cs="宋体"/>
        </w:rPr>
        <w:t xml:space="preserve"> JP, </w:t>
      </w:r>
      <w:proofErr w:type="spellStart"/>
      <w:r w:rsidRPr="00C66870">
        <w:rPr>
          <w:rFonts w:ascii="Book Antiqua" w:eastAsia="宋体" w:hAnsi="Book Antiqua" w:cs="宋体"/>
        </w:rPr>
        <w:t>Fanelli</w:t>
      </w:r>
      <w:proofErr w:type="spellEnd"/>
      <w:r w:rsidRPr="00C66870">
        <w:rPr>
          <w:rFonts w:ascii="Book Antiqua" w:eastAsia="宋体" w:hAnsi="Book Antiqua" w:cs="宋体"/>
        </w:rPr>
        <w:t xml:space="preserve"> RD, Wheeler-</w:t>
      </w:r>
      <w:proofErr w:type="spellStart"/>
      <w:r w:rsidRPr="00C66870">
        <w:rPr>
          <w:rFonts w:ascii="Book Antiqua" w:eastAsia="宋体" w:hAnsi="Book Antiqua" w:cs="宋体"/>
        </w:rPr>
        <w:t>Harbough</w:t>
      </w:r>
      <w:proofErr w:type="spellEnd"/>
      <w:r w:rsidRPr="00C66870">
        <w:rPr>
          <w:rFonts w:ascii="Book Antiqua" w:eastAsia="宋体" w:hAnsi="Book Antiqua" w:cs="宋体"/>
        </w:rPr>
        <w:t xml:space="preserve"> J. Guideline on the management of anticoagulation and antiplatelet therapy for endoscopic procedures. </w:t>
      </w:r>
      <w:proofErr w:type="spellStart"/>
      <w:r w:rsidRPr="00C66870">
        <w:rPr>
          <w:rFonts w:ascii="Book Antiqua" w:eastAsia="宋体" w:hAnsi="Book Antiqua" w:cs="宋体"/>
          <w:i/>
          <w:iCs/>
        </w:rPr>
        <w:t>Gastrointest</w:t>
      </w:r>
      <w:proofErr w:type="spellEnd"/>
      <w:r w:rsidRPr="00C66870">
        <w:rPr>
          <w:rFonts w:ascii="Book Antiqua" w:eastAsia="宋体" w:hAnsi="Book Antiqua" w:cs="宋体"/>
          <w:i/>
          <w:iCs/>
        </w:rPr>
        <w:t xml:space="preserve"> </w:t>
      </w:r>
      <w:proofErr w:type="spellStart"/>
      <w:r w:rsidRPr="00C66870">
        <w:rPr>
          <w:rFonts w:ascii="Book Antiqua" w:eastAsia="宋体" w:hAnsi="Book Antiqua" w:cs="宋体"/>
          <w:i/>
          <w:iCs/>
        </w:rPr>
        <w:t>Endosc</w:t>
      </w:r>
      <w:proofErr w:type="spellEnd"/>
      <w:r w:rsidRPr="00C66870">
        <w:rPr>
          <w:rFonts w:ascii="Book Antiqua" w:eastAsia="宋体" w:hAnsi="Book Antiqua" w:cs="宋体"/>
        </w:rPr>
        <w:t> 2002; </w:t>
      </w:r>
      <w:r w:rsidRPr="00C66870">
        <w:rPr>
          <w:rFonts w:ascii="Book Antiqua" w:eastAsia="宋体" w:hAnsi="Book Antiqua" w:cs="宋体"/>
          <w:b/>
          <w:bCs/>
        </w:rPr>
        <w:t>55</w:t>
      </w:r>
      <w:r w:rsidRPr="00C66870">
        <w:rPr>
          <w:rFonts w:ascii="Book Antiqua" w:eastAsia="宋体" w:hAnsi="Book Antiqua" w:cs="宋体"/>
        </w:rPr>
        <w:t>: 775-779 [PMID: 12024126]</w:t>
      </w:r>
    </w:p>
    <w:p w14:paraId="7D97D96B"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17 </w:t>
      </w:r>
      <w:r w:rsidRPr="00C66870">
        <w:rPr>
          <w:rFonts w:ascii="Book Antiqua" w:eastAsia="宋体" w:hAnsi="Book Antiqua" w:cs="宋体"/>
          <w:b/>
          <w:bCs/>
        </w:rPr>
        <w:t>Acosta RD</w:t>
      </w:r>
      <w:r w:rsidRPr="00C66870">
        <w:rPr>
          <w:rFonts w:ascii="Book Antiqua" w:eastAsia="宋体" w:hAnsi="Book Antiqua" w:cs="宋体"/>
        </w:rPr>
        <w:t xml:space="preserve">, Abraham NS, </w:t>
      </w:r>
      <w:proofErr w:type="spellStart"/>
      <w:r w:rsidRPr="00C66870">
        <w:rPr>
          <w:rFonts w:ascii="Book Antiqua" w:eastAsia="宋体" w:hAnsi="Book Antiqua" w:cs="宋体"/>
        </w:rPr>
        <w:t>Chandrasekhara</w:t>
      </w:r>
      <w:proofErr w:type="spellEnd"/>
      <w:r w:rsidRPr="00C66870">
        <w:rPr>
          <w:rFonts w:ascii="Book Antiqua" w:eastAsia="宋体" w:hAnsi="Book Antiqua" w:cs="宋体"/>
        </w:rPr>
        <w:t xml:space="preserve"> V, </w:t>
      </w:r>
      <w:proofErr w:type="spellStart"/>
      <w:r w:rsidRPr="00C66870">
        <w:rPr>
          <w:rFonts w:ascii="Book Antiqua" w:eastAsia="宋体" w:hAnsi="Book Antiqua" w:cs="宋体"/>
        </w:rPr>
        <w:t>Chathadi</w:t>
      </w:r>
      <w:proofErr w:type="spellEnd"/>
      <w:r w:rsidRPr="00C66870">
        <w:rPr>
          <w:rFonts w:ascii="Book Antiqua" w:eastAsia="宋体" w:hAnsi="Book Antiqua" w:cs="宋体"/>
        </w:rPr>
        <w:t xml:space="preserve"> KV, Early DS, </w:t>
      </w:r>
      <w:proofErr w:type="spellStart"/>
      <w:r w:rsidRPr="00C66870">
        <w:rPr>
          <w:rFonts w:ascii="Book Antiqua" w:eastAsia="宋体" w:hAnsi="Book Antiqua" w:cs="宋体"/>
        </w:rPr>
        <w:t>Eloubeidi</w:t>
      </w:r>
      <w:proofErr w:type="spellEnd"/>
      <w:r w:rsidRPr="00C66870">
        <w:rPr>
          <w:rFonts w:ascii="Book Antiqua" w:eastAsia="宋体" w:hAnsi="Book Antiqua" w:cs="宋体"/>
        </w:rPr>
        <w:t xml:space="preserve"> MA, Evans JA, </w:t>
      </w:r>
      <w:proofErr w:type="spellStart"/>
      <w:r w:rsidRPr="00C66870">
        <w:rPr>
          <w:rFonts w:ascii="Book Antiqua" w:eastAsia="宋体" w:hAnsi="Book Antiqua" w:cs="宋体"/>
        </w:rPr>
        <w:t>Faulx</w:t>
      </w:r>
      <w:proofErr w:type="spellEnd"/>
      <w:r w:rsidRPr="00C66870">
        <w:rPr>
          <w:rFonts w:ascii="Book Antiqua" w:eastAsia="宋体" w:hAnsi="Book Antiqua" w:cs="宋体"/>
        </w:rPr>
        <w:t xml:space="preserve"> AL, Fisher DA, </w:t>
      </w:r>
      <w:proofErr w:type="spellStart"/>
      <w:r w:rsidRPr="00C66870">
        <w:rPr>
          <w:rFonts w:ascii="Book Antiqua" w:eastAsia="宋体" w:hAnsi="Book Antiqua" w:cs="宋体"/>
        </w:rPr>
        <w:t>Fonkalsrud</w:t>
      </w:r>
      <w:proofErr w:type="spellEnd"/>
      <w:r w:rsidRPr="00C66870">
        <w:rPr>
          <w:rFonts w:ascii="Book Antiqua" w:eastAsia="宋体" w:hAnsi="Book Antiqua" w:cs="宋体"/>
        </w:rPr>
        <w:t xml:space="preserve"> L, Hwang JH, </w:t>
      </w:r>
      <w:proofErr w:type="spellStart"/>
      <w:r w:rsidRPr="00C66870">
        <w:rPr>
          <w:rFonts w:ascii="Book Antiqua" w:eastAsia="宋体" w:hAnsi="Book Antiqua" w:cs="宋体"/>
        </w:rPr>
        <w:t>Khashab</w:t>
      </w:r>
      <w:proofErr w:type="spellEnd"/>
      <w:r w:rsidRPr="00C66870">
        <w:rPr>
          <w:rFonts w:ascii="Book Antiqua" w:eastAsia="宋体" w:hAnsi="Book Antiqua" w:cs="宋体"/>
        </w:rPr>
        <w:t xml:space="preserve"> MA, </w:t>
      </w:r>
      <w:proofErr w:type="spellStart"/>
      <w:r w:rsidRPr="00C66870">
        <w:rPr>
          <w:rFonts w:ascii="Book Antiqua" w:eastAsia="宋体" w:hAnsi="Book Antiqua" w:cs="宋体"/>
        </w:rPr>
        <w:t>Lightdale</w:t>
      </w:r>
      <w:proofErr w:type="spellEnd"/>
      <w:r w:rsidRPr="00C66870">
        <w:rPr>
          <w:rFonts w:ascii="Book Antiqua" w:eastAsia="宋体" w:hAnsi="Book Antiqua" w:cs="宋体"/>
        </w:rPr>
        <w:t xml:space="preserve"> JR, </w:t>
      </w:r>
      <w:proofErr w:type="spellStart"/>
      <w:r w:rsidRPr="00C66870">
        <w:rPr>
          <w:rFonts w:ascii="Book Antiqua" w:eastAsia="宋体" w:hAnsi="Book Antiqua" w:cs="宋体"/>
        </w:rPr>
        <w:t>Muthusamy</w:t>
      </w:r>
      <w:proofErr w:type="spellEnd"/>
      <w:r w:rsidRPr="00C66870">
        <w:rPr>
          <w:rFonts w:ascii="Book Antiqua" w:eastAsia="宋体" w:hAnsi="Book Antiqua" w:cs="宋体"/>
        </w:rPr>
        <w:t xml:space="preserve"> VR, Pasha SF, Saltzman JR, </w:t>
      </w:r>
      <w:proofErr w:type="spellStart"/>
      <w:r w:rsidRPr="00C66870">
        <w:rPr>
          <w:rFonts w:ascii="Book Antiqua" w:eastAsia="宋体" w:hAnsi="Book Antiqua" w:cs="宋体"/>
        </w:rPr>
        <w:t>Shaukat</w:t>
      </w:r>
      <w:proofErr w:type="spellEnd"/>
      <w:r w:rsidRPr="00C66870">
        <w:rPr>
          <w:rFonts w:ascii="Book Antiqua" w:eastAsia="宋体" w:hAnsi="Book Antiqua" w:cs="宋体"/>
        </w:rPr>
        <w:t xml:space="preserve"> A, </w:t>
      </w:r>
      <w:proofErr w:type="spellStart"/>
      <w:r w:rsidRPr="00C66870">
        <w:rPr>
          <w:rFonts w:ascii="Book Antiqua" w:eastAsia="宋体" w:hAnsi="Book Antiqua" w:cs="宋体"/>
        </w:rPr>
        <w:t>Shergill</w:t>
      </w:r>
      <w:proofErr w:type="spellEnd"/>
      <w:r w:rsidRPr="00C66870">
        <w:rPr>
          <w:rFonts w:ascii="Book Antiqua" w:eastAsia="宋体" w:hAnsi="Book Antiqua" w:cs="宋体"/>
        </w:rPr>
        <w:t xml:space="preserve"> AK, Wang A, Cash BD, DeWitt JM. </w:t>
      </w:r>
      <w:proofErr w:type="gramStart"/>
      <w:r w:rsidRPr="00C66870">
        <w:rPr>
          <w:rFonts w:ascii="Book Antiqua" w:eastAsia="宋体" w:hAnsi="Book Antiqua" w:cs="宋体"/>
        </w:rPr>
        <w:t>The management of antithrombotic agents for patients undergoing GI endoscopy.</w:t>
      </w:r>
      <w:proofErr w:type="gramEnd"/>
      <w:r w:rsidRPr="00C66870">
        <w:rPr>
          <w:rFonts w:ascii="Book Antiqua" w:eastAsia="宋体" w:hAnsi="Book Antiqua" w:cs="宋体"/>
        </w:rPr>
        <w:t> </w:t>
      </w:r>
      <w:proofErr w:type="spellStart"/>
      <w:r w:rsidRPr="00C66870">
        <w:rPr>
          <w:rFonts w:ascii="Book Antiqua" w:eastAsia="宋体" w:hAnsi="Book Antiqua" w:cs="宋体"/>
          <w:i/>
          <w:iCs/>
        </w:rPr>
        <w:t>Gastrointest</w:t>
      </w:r>
      <w:proofErr w:type="spellEnd"/>
      <w:r w:rsidRPr="00C66870">
        <w:rPr>
          <w:rFonts w:ascii="Book Antiqua" w:eastAsia="宋体" w:hAnsi="Book Antiqua" w:cs="宋体"/>
          <w:i/>
          <w:iCs/>
        </w:rPr>
        <w:t xml:space="preserve"> </w:t>
      </w:r>
      <w:proofErr w:type="spellStart"/>
      <w:r w:rsidRPr="00C66870">
        <w:rPr>
          <w:rFonts w:ascii="Book Antiqua" w:eastAsia="宋体" w:hAnsi="Book Antiqua" w:cs="宋体"/>
          <w:i/>
          <w:iCs/>
        </w:rPr>
        <w:t>Endosc</w:t>
      </w:r>
      <w:proofErr w:type="spellEnd"/>
      <w:r w:rsidRPr="00C66870">
        <w:rPr>
          <w:rFonts w:ascii="Book Antiqua" w:eastAsia="宋体" w:hAnsi="Book Antiqua" w:cs="宋体"/>
        </w:rPr>
        <w:t> 2016; </w:t>
      </w:r>
      <w:r w:rsidRPr="00C66870">
        <w:rPr>
          <w:rFonts w:ascii="Book Antiqua" w:eastAsia="宋体" w:hAnsi="Book Antiqua" w:cs="宋体"/>
          <w:b/>
          <w:bCs/>
        </w:rPr>
        <w:t>83</w:t>
      </w:r>
      <w:r w:rsidRPr="00C66870">
        <w:rPr>
          <w:rFonts w:ascii="Book Antiqua" w:eastAsia="宋体" w:hAnsi="Book Antiqua" w:cs="宋体"/>
        </w:rPr>
        <w:t>: 3-16 [PMID: 26621548 DOI: 10.1016/j.gie.2015.09.035</w:t>
      </w:r>
      <w:r>
        <w:rPr>
          <w:rFonts w:ascii="Book Antiqua" w:eastAsia="宋体" w:hAnsi="Book Antiqua" w:cs="宋体"/>
        </w:rPr>
        <w:t>]</w:t>
      </w:r>
    </w:p>
    <w:p w14:paraId="457CC725"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18 </w:t>
      </w:r>
      <w:proofErr w:type="spellStart"/>
      <w:r w:rsidRPr="00C66870">
        <w:rPr>
          <w:rFonts w:ascii="Book Antiqua" w:eastAsia="宋体" w:hAnsi="Book Antiqua" w:cs="宋体"/>
          <w:b/>
          <w:bCs/>
        </w:rPr>
        <w:t>Veitch</w:t>
      </w:r>
      <w:proofErr w:type="spellEnd"/>
      <w:r w:rsidRPr="00C66870">
        <w:rPr>
          <w:rFonts w:ascii="Book Antiqua" w:eastAsia="宋体" w:hAnsi="Book Antiqua" w:cs="宋体"/>
          <w:b/>
          <w:bCs/>
        </w:rPr>
        <w:t xml:space="preserve"> AM</w:t>
      </w:r>
      <w:r w:rsidRPr="00C66870">
        <w:rPr>
          <w:rFonts w:ascii="Book Antiqua" w:eastAsia="宋体" w:hAnsi="Book Antiqua" w:cs="宋体"/>
        </w:rPr>
        <w:t xml:space="preserve">, </w:t>
      </w:r>
      <w:proofErr w:type="spellStart"/>
      <w:r w:rsidRPr="00C66870">
        <w:rPr>
          <w:rFonts w:ascii="Book Antiqua" w:eastAsia="宋体" w:hAnsi="Book Antiqua" w:cs="宋体"/>
        </w:rPr>
        <w:t>Vanbiervliet</w:t>
      </w:r>
      <w:proofErr w:type="spellEnd"/>
      <w:r w:rsidRPr="00C66870">
        <w:rPr>
          <w:rFonts w:ascii="Book Antiqua" w:eastAsia="宋体" w:hAnsi="Book Antiqua" w:cs="宋体"/>
        </w:rPr>
        <w:t xml:space="preserve"> G, </w:t>
      </w:r>
      <w:proofErr w:type="spellStart"/>
      <w:r w:rsidRPr="00C66870">
        <w:rPr>
          <w:rFonts w:ascii="Book Antiqua" w:eastAsia="宋体" w:hAnsi="Book Antiqua" w:cs="宋体"/>
        </w:rPr>
        <w:t>Gershlick</w:t>
      </w:r>
      <w:proofErr w:type="spellEnd"/>
      <w:r w:rsidRPr="00C66870">
        <w:rPr>
          <w:rFonts w:ascii="Book Antiqua" w:eastAsia="宋体" w:hAnsi="Book Antiqua" w:cs="宋体"/>
        </w:rPr>
        <w:t xml:space="preserve"> AH, </w:t>
      </w:r>
      <w:proofErr w:type="spellStart"/>
      <w:r w:rsidRPr="00C66870">
        <w:rPr>
          <w:rFonts w:ascii="Book Antiqua" w:eastAsia="宋体" w:hAnsi="Book Antiqua" w:cs="宋体"/>
        </w:rPr>
        <w:t>Boustiere</w:t>
      </w:r>
      <w:proofErr w:type="spellEnd"/>
      <w:r w:rsidRPr="00C66870">
        <w:rPr>
          <w:rFonts w:ascii="Book Antiqua" w:eastAsia="宋体" w:hAnsi="Book Antiqua" w:cs="宋体"/>
        </w:rPr>
        <w:t xml:space="preserve"> C, </w:t>
      </w:r>
      <w:proofErr w:type="spellStart"/>
      <w:r w:rsidRPr="00C66870">
        <w:rPr>
          <w:rFonts w:ascii="Book Antiqua" w:eastAsia="宋体" w:hAnsi="Book Antiqua" w:cs="宋体"/>
        </w:rPr>
        <w:t>Baglin</w:t>
      </w:r>
      <w:proofErr w:type="spellEnd"/>
      <w:r w:rsidRPr="00C66870">
        <w:rPr>
          <w:rFonts w:ascii="Book Antiqua" w:eastAsia="宋体" w:hAnsi="Book Antiqua" w:cs="宋体"/>
        </w:rPr>
        <w:t xml:space="preserve"> TP, Smith LA, </w:t>
      </w:r>
      <w:proofErr w:type="spellStart"/>
      <w:r w:rsidRPr="00C66870">
        <w:rPr>
          <w:rFonts w:ascii="Book Antiqua" w:eastAsia="宋体" w:hAnsi="Book Antiqua" w:cs="宋体"/>
        </w:rPr>
        <w:t>Radaelli</w:t>
      </w:r>
      <w:proofErr w:type="spellEnd"/>
      <w:r w:rsidRPr="00C66870">
        <w:rPr>
          <w:rFonts w:ascii="Book Antiqua" w:eastAsia="宋体" w:hAnsi="Book Antiqua" w:cs="宋体"/>
        </w:rPr>
        <w:t xml:space="preserve"> F, Knight E, </w:t>
      </w:r>
      <w:proofErr w:type="spellStart"/>
      <w:r w:rsidRPr="00C66870">
        <w:rPr>
          <w:rFonts w:ascii="Book Antiqua" w:eastAsia="宋体" w:hAnsi="Book Antiqua" w:cs="宋体"/>
        </w:rPr>
        <w:t>Gralnek</w:t>
      </w:r>
      <w:proofErr w:type="spellEnd"/>
      <w:r w:rsidRPr="00C66870">
        <w:rPr>
          <w:rFonts w:ascii="Book Antiqua" w:eastAsia="宋体" w:hAnsi="Book Antiqua" w:cs="宋体"/>
        </w:rPr>
        <w:t xml:space="preserve"> IM, Hassan C, </w:t>
      </w:r>
      <w:proofErr w:type="spellStart"/>
      <w:r w:rsidRPr="00C66870">
        <w:rPr>
          <w:rFonts w:ascii="Book Antiqua" w:eastAsia="宋体" w:hAnsi="Book Antiqua" w:cs="宋体"/>
        </w:rPr>
        <w:t>Dumonceau</w:t>
      </w:r>
      <w:proofErr w:type="spellEnd"/>
      <w:r w:rsidRPr="00C66870">
        <w:rPr>
          <w:rFonts w:ascii="Book Antiqua" w:eastAsia="宋体" w:hAnsi="Book Antiqua" w:cs="宋体"/>
        </w:rPr>
        <w:t xml:space="preserve"> JM. Endoscopy in patients on antiplatelet or anticoagulant therapy, including direct oral anticoagulants: British Society of Gastroenterology (BSG) and European Society of Gastrointestinal Endoscopy (ESGE) guidelines. </w:t>
      </w:r>
      <w:r w:rsidRPr="00C66870">
        <w:rPr>
          <w:rFonts w:ascii="Book Antiqua" w:eastAsia="宋体" w:hAnsi="Book Antiqua" w:cs="宋体"/>
          <w:i/>
          <w:iCs/>
        </w:rPr>
        <w:t>Endoscopy</w:t>
      </w:r>
      <w:r w:rsidRPr="00C66870">
        <w:rPr>
          <w:rFonts w:ascii="Book Antiqua" w:eastAsia="宋体" w:hAnsi="Book Antiqua" w:cs="宋体"/>
        </w:rPr>
        <w:t> 2016; </w:t>
      </w:r>
      <w:r w:rsidRPr="00C66870">
        <w:rPr>
          <w:rFonts w:ascii="Book Antiqua" w:eastAsia="宋体" w:hAnsi="Book Antiqua" w:cs="宋体"/>
          <w:b/>
          <w:bCs/>
        </w:rPr>
        <w:t>48</w:t>
      </w:r>
      <w:r w:rsidRPr="00C66870">
        <w:rPr>
          <w:rFonts w:ascii="Book Antiqua" w:eastAsia="宋体" w:hAnsi="Book Antiqua" w:cs="宋体"/>
        </w:rPr>
        <w:t>: 385-402 [PMID: 26890676 DOI: 10.1136/gutjnl-2015-311110]</w:t>
      </w:r>
    </w:p>
    <w:p w14:paraId="5EF0B839" w14:textId="2136AC56" w:rsidR="00743FD4" w:rsidRPr="00C66870" w:rsidRDefault="00743FD4" w:rsidP="00B83F55">
      <w:pPr>
        <w:spacing w:line="360" w:lineRule="auto"/>
        <w:jc w:val="both"/>
        <w:rPr>
          <w:rFonts w:ascii="Book Antiqua" w:eastAsia="宋体" w:hAnsi="Book Antiqua" w:cs="宋体"/>
          <w:lang w:eastAsia="zh-CN"/>
        </w:rPr>
      </w:pPr>
      <w:r w:rsidRPr="00C66870">
        <w:rPr>
          <w:rFonts w:ascii="Book Antiqua" w:eastAsia="宋体" w:hAnsi="Book Antiqua" w:cs="宋体"/>
        </w:rPr>
        <w:t xml:space="preserve">19 </w:t>
      </w:r>
      <w:r w:rsidRPr="00C66870">
        <w:rPr>
          <w:rFonts w:ascii="Book Antiqua" w:eastAsia="宋体" w:hAnsi="Book Antiqua" w:cs="宋体"/>
          <w:b/>
        </w:rPr>
        <w:t>Clar</w:t>
      </w:r>
      <w:r w:rsidRPr="005D1DA4">
        <w:rPr>
          <w:rFonts w:ascii="Book Antiqua" w:eastAsia="宋体" w:hAnsi="Book Antiqua" w:cs="宋体"/>
          <w:b/>
        </w:rPr>
        <w:t>k NP</w:t>
      </w:r>
      <w:r w:rsidRPr="005D1DA4">
        <w:rPr>
          <w:rFonts w:ascii="Book Antiqua" w:eastAsia="宋体" w:hAnsi="Book Antiqua" w:cs="宋体"/>
        </w:rPr>
        <w:t xml:space="preserve">, Witt DM, Davies LE, Saito EM, McCool KH, </w:t>
      </w:r>
      <w:proofErr w:type="spellStart"/>
      <w:r w:rsidRPr="005D1DA4">
        <w:rPr>
          <w:rFonts w:ascii="Book Antiqua" w:eastAsia="宋体" w:hAnsi="Book Antiqua" w:cs="宋体"/>
        </w:rPr>
        <w:t>Douketis</w:t>
      </w:r>
      <w:proofErr w:type="spellEnd"/>
      <w:r w:rsidRPr="005D1DA4">
        <w:rPr>
          <w:rFonts w:ascii="Book Antiqua" w:eastAsia="宋体" w:hAnsi="Book Antiqua" w:cs="宋体"/>
        </w:rPr>
        <w:t xml:space="preserve"> JD, Metz KR, </w:t>
      </w:r>
      <w:proofErr w:type="spellStart"/>
      <w:r w:rsidRPr="005D1DA4">
        <w:rPr>
          <w:rFonts w:ascii="Book Antiqua" w:eastAsia="宋体" w:hAnsi="Book Antiqua" w:cs="宋体"/>
        </w:rPr>
        <w:t>Delate</w:t>
      </w:r>
      <w:proofErr w:type="spellEnd"/>
      <w:r w:rsidRPr="005D1DA4">
        <w:rPr>
          <w:rFonts w:ascii="Book Antiqua" w:eastAsia="宋体" w:hAnsi="Book Antiqua" w:cs="宋体"/>
        </w:rPr>
        <w:t xml:space="preserve"> T. JAMA Intern Med. Bleeding, Recurrent Venous Thromboembolism, and Mortality Risks During Warfarin Interruption for Invasive Procedures.</w:t>
      </w:r>
      <w:r w:rsidR="005D1DA4" w:rsidRPr="005D1DA4">
        <w:rPr>
          <w:rFonts w:ascii="Book Antiqua" w:eastAsia="宋体" w:hAnsi="Book Antiqua" w:cs="宋体" w:hint="eastAsia"/>
          <w:lang w:eastAsia="zh-CN"/>
        </w:rPr>
        <w:t xml:space="preserve"> </w:t>
      </w:r>
      <w:r w:rsidR="005D1DA4" w:rsidRPr="005D1DA4">
        <w:rPr>
          <w:rFonts w:ascii="Book Antiqua" w:eastAsia="宋体" w:hAnsi="Book Antiqua" w:cs="宋体"/>
          <w:i/>
          <w:lang w:eastAsia="zh-CN"/>
        </w:rPr>
        <w:t>JAMA Intern Med</w:t>
      </w:r>
      <w:r w:rsidR="005D1DA4" w:rsidRPr="005D1DA4">
        <w:rPr>
          <w:rFonts w:ascii="Book Antiqua" w:eastAsia="宋体" w:hAnsi="Book Antiqua" w:cs="宋体" w:hint="eastAsia"/>
          <w:lang w:eastAsia="zh-CN"/>
        </w:rPr>
        <w:t xml:space="preserve"> </w:t>
      </w:r>
      <w:r w:rsidR="005D1DA4" w:rsidRPr="005D1DA4">
        <w:rPr>
          <w:rFonts w:ascii="Book Antiqua" w:eastAsia="宋体" w:hAnsi="Book Antiqua" w:cs="宋体"/>
          <w:lang w:eastAsia="zh-CN"/>
        </w:rPr>
        <w:t>2015;</w:t>
      </w:r>
      <w:r w:rsidR="005D1DA4" w:rsidRPr="005D1DA4">
        <w:rPr>
          <w:rFonts w:ascii="Book Antiqua" w:eastAsia="宋体" w:hAnsi="Book Antiqua" w:cs="宋体" w:hint="eastAsia"/>
          <w:lang w:eastAsia="zh-CN"/>
        </w:rPr>
        <w:t xml:space="preserve"> </w:t>
      </w:r>
      <w:r w:rsidR="005D1DA4" w:rsidRPr="005D1DA4">
        <w:rPr>
          <w:rFonts w:ascii="Book Antiqua" w:eastAsia="宋体" w:hAnsi="Book Antiqua" w:cs="宋体"/>
          <w:b/>
          <w:lang w:eastAsia="zh-CN"/>
        </w:rPr>
        <w:t>175</w:t>
      </w:r>
      <w:r w:rsidR="005D1DA4" w:rsidRPr="005D1DA4">
        <w:rPr>
          <w:rFonts w:ascii="Book Antiqua" w:eastAsia="宋体" w:hAnsi="Book Antiqua" w:cs="宋体"/>
          <w:lang w:eastAsia="zh-CN"/>
        </w:rPr>
        <w:t>:</w:t>
      </w:r>
      <w:r w:rsidR="005D1DA4" w:rsidRPr="005D1DA4">
        <w:rPr>
          <w:rFonts w:ascii="Book Antiqua" w:eastAsia="宋体" w:hAnsi="Book Antiqua" w:cs="宋体" w:hint="eastAsia"/>
          <w:lang w:eastAsia="zh-CN"/>
        </w:rPr>
        <w:t xml:space="preserve"> </w:t>
      </w:r>
      <w:r w:rsidR="005D1DA4" w:rsidRPr="005D1DA4">
        <w:rPr>
          <w:rFonts w:ascii="Book Antiqua" w:eastAsia="宋体" w:hAnsi="Book Antiqua" w:cs="宋体"/>
          <w:lang w:eastAsia="zh-CN"/>
        </w:rPr>
        <w:t>1163-</w:t>
      </w:r>
      <w:r w:rsidR="005D1DA4" w:rsidRPr="005D1DA4">
        <w:rPr>
          <w:rFonts w:ascii="Book Antiqua" w:eastAsia="宋体" w:hAnsi="Book Antiqua" w:cs="宋体" w:hint="eastAsia"/>
          <w:lang w:eastAsia="zh-CN"/>
        </w:rPr>
        <w:t>116</w:t>
      </w:r>
      <w:r w:rsidR="005D1DA4" w:rsidRPr="005D1DA4">
        <w:rPr>
          <w:rFonts w:ascii="Book Antiqua" w:eastAsia="宋体" w:hAnsi="Book Antiqua" w:cs="宋体"/>
          <w:lang w:eastAsia="zh-CN"/>
        </w:rPr>
        <w:t>8</w:t>
      </w:r>
      <w:r w:rsidR="005D1DA4" w:rsidRPr="005D1DA4">
        <w:rPr>
          <w:rFonts w:ascii="Book Antiqua" w:eastAsia="宋体" w:hAnsi="Book Antiqua" w:cs="宋体" w:hint="eastAsia"/>
          <w:lang w:eastAsia="zh-CN"/>
        </w:rPr>
        <w:t xml:space="preserve"> [</w:t>
      </w:r>
      <w:r w:rsidR="005D1DA4" w:rsidRPr="005D1DA4">
        <w:rPr>
          <w:rFonts w:ascii="Book Antiqua" w:eastAsia="宋体" w:hAnsi="Book Antiqua" w:cs="宋体"/>
          <w:lang w:eastAsia="zh-CN"/>
        </w:rPr>
        <w:t>PMID: 26010033 DOI: 10.1001/jamainternmed.2015.1843</w:t>
      </w:r>
      <w:r w:rsidR="005D1DA4" w:rsidRPr="005D1DA4">
        <w:rPr>
          <w:rFonts w:ascii="Book Antiqua" w:eastAsia="宋体" w:hAnsi="Book Antiqua" w:cs="宋体" w:hint="eastAsia"/>
          <w:lang w:eastAsia="zh-CN"/>
        </w:rPr>
        <w:t>]</w:t>
      </w:r>
    </w:p>
    <w:p w14:paraId="53D83E1E"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20 </w:t>
      </w:r>
      <w:r w:rsidRPr="00C66870">
        <w:rPr>
          <w:rFonts w:ascii="Book Antiqua" w:eastAsia="宋体" w:hAnsi="Book Antiqua" w:cs="宋体"/>
          <w:b/>
          <w:bCs/>
        </w:rPr>
        <w:t>Clark NP</w:t>
      </w:r>
      <w:r w:rsidRPr="00C66870">
        <w:rPr>
          <w:rFonts w:ascii="Book Antiqua" w:eastAsia="宋体" w:hAnsi="Book Antiqua" w:cs="宋体"/>
        </w:rPr>
        <w:t xml:space="preserve">, Witt DM, Davies LE, Saito EM, McCool KH, </w:t>
      </w:r>
      <w:proofErr w:type="spellStart"/>
      <w:r w:rsidRPr="00C66870">
        <w:rPr>
          <w:rFonts w:ascii="Book Antiqua" w:eastAsia="宋体" w:hAnsi="Book Antiqua" w:cs="宋体"/>
        </w:rPr>
        <w:t>Douketis</w:t>
      </w:r>
      <w:proofErr w:type="spellEnd"/>
      <w:r w:rsidRPr="00C66870">
        <w:rPr>
          <w:rFonts w:ascii="Book Antiqua" w:eastAsia="宋体" w:hAnsi="Book Antiqua" w:cs="宋体"/>
        </w:rPr>
        <w:t xml:space="preserve"> JD, Metz KR, </w:t>
      </w:r>
      <w:proofErr w:type="spellStart"/>
      <w:r w:rsidRPr="00C66870">
        <w:rPr>
          <w:rFonts w:ascii="Book Antiqua" w:eastAsia="宋体" w:hAnsi="Book Antiqua" w:cs="宋体"/>
        </w:rPr>
        <w:t>Delate</w:t>
      </w:r>
      <w:proofErr w:type="spellEnd"/>
      <w:r w:rsidRPr="00C66870">
        <w:rPr>
          <w:rFonts w:ascii="Book Antiqua" w:eastAsia="宋体" w:hAnsi="Book Antiqua" w:cs="宋体"/>
        </w:rPr>
        <w:t xml:space="preserve"> T. Bleeding, Recurrent Venous Thromboembolism, and Mortality Risks During Warfarin Interruption for Invasive Procedures. </w:t>
      </w:r>
      <w:r w:rsidRPr="00C66870">
        <w:rPr>
          <w:rFonts w:ascii="Book Antiqua" w:eastAsia="宋体" w:hAnsi="Book Antiqua" w:cs="宋体"/>
          <w:i/>
          <w:iCs/>
        </w:rPr>
        <w:t>JAMA Intern Med</w:t>
      </w:r>
      <w:r w:rsidRPr="00C66870">
        <w:rPr>
          <w:rFonts w:ascii="Book Antiqua" w:eastAsia="宋体" w:hAnsi="Book Antiqua" w:cs="宋体"/>
        </w:rPr>
        <w:t> 2015; </w:t>
      </w:r>
      <w:r w:rsidRPr="00C66870">
        <w:rPr>
          <w:rFonts w:ascii="Book Antiqua" w:eastAsia="宋体" w:hAnsi="Book Antiqua" w:cs="宋体"/>
          <w:b/>
          <w:bCs/>
        </w:rPr>
        <w:t>175</w:t>
      </w:r>
      <w:r w:rsidRPr="00C66870">
        <w:rPr>
          <w:rFonts w:ascii="Book Antiqua" w:eastAsia="宋体" w:hAnsi="Book Antiqua" w:cs="宋体"/>
        </w:rPr>
        <w:t>: 1163-1168 [PMID: 26010033 DOI: 10.1001/jamainternmed.2015.1843</w:t>
      </w:r>
      <w:r>
        <w:rPr>
          <w:rFonts w:ascii="Book Antiqua" w:eastAsia="宋体" w:hAnsi="Book Antiqua" w:cs="宋体"/>
        </w:rPr>
        <w:t>]</w:t>
      </w:r>
    </w:p>
    <w:p w14:paraId="29D3F5D1"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21 </w:t>
      </w:r>
      <w:r w:rsidRPr="00C66870">
        <w:rPr>
          <w:rFonts w:ascii="Book Antiqua" w:eastAsia="宋体" w:hAnsi="Book Antiqua" w:cs="宋体"/>
          <w:b/>
          <w:bCs/>
        </w:rPr>
        <w:t>Nishimura RA</w:t>
      </w:r>
      <w:r w:rsidRPr="00C66870">
        <w:rPr>
          <w:rFonts w:ascii="Book Antiqua" w:eastAsia="宋体" w:hAnsi="Book Antiqua" w:cs="宋体"/>
        </w:rPr>
        <w:t xml:space="preserve">, Otto CM, </w:t>
      </w:r>
      <w:proofErr w:type="spellStart"/>
      <w:r w:rsidRPr="00C66870">
        <w:rPr>
          <w:rFonts w:ascii="Book Antiqua" w:eastAsia="宋体" w:hAnsi="Book Antiqua" w:cs="宋体"/>
        </w:rPr>
        <w:t>Bonow</w:t>
      </w:r>
      <w:proofErr w:type="spellEnd"/>
      <w:r w:rsidRPr="00C66870">
        <w:rPr>
          <w:rFonts w:ascii="Book Antiqua" w:eastAsia="宋体" w:hAnsi="Book Antiqua" w:cs="宋体"/>
        </w:rPr>
        <w:t xml:space="preserve"> RO, </w:t>
      </w:r>
      <w:proofErr w:type="spellStart"/>
      <w:r w:rsidRPr="00C66870">
        <w:rPr>
          <w:rFonts w:ascii="Book Antiqua" w:eastAsia="宋体" w:hAnsi="Book Antiqua" w:cs="宋体"/>
        </w:rPr>
        <w:t>Carabello</w:t>
      </w:r>
      <w:proofErr w:type="spellEnd"/>
      <w:r w:rsidRPr="00C66870">
        <w:rPr>
          <w:rFonts w:ascii="Book Antiqua" w:eastAsia="宋体" w:hAnsi="Book Antiqua" w:cs="宋体"/>
        </w:rPr>
        <w:t xml:space="preserve"> BA, Erwin JP, Guyton RA, O'Gara PT, Ruiz CE, </w:t>
      </w:r>
      <w:proofErr w:type="spellStart"/>
      <w:r w:rsidRPr="00C66870">
        <w:rPr>
          <w:rFonts w:ascii="Book Antiqua" w:eastAsia="宋体" w:hAnsi="Book Antiqua" w:cs="宋体"/>
        </w:rPr>
        <w:t>Skubas</w:t>
      </w:r>
      <w:proofErr w:type="spellEnd"/>
      <w:r w:rsidRPr="00C66870">
        <w:rPr>
          <w:rFonts w:ascii="Book Antiqua" w:eastAsia="宋体" w:hAnsi="Book Antiqua" w:cs="宋体"/>
        </w:rPr>
        <w:t xml:space="preserve"> NJ, </w:t>
      </w:r>
      <w:proofErr w:type="spellStart"/>
      <w:r w:rsidRPr="00C66870">
        <w:rPr>
          <w:rFonts w:ascii="Book Antiqua" w:eastAsia="宋体" w:hAnsi="Book Antiqua" w:cs="宋体"/>
        </w:rPr>
        <w:t>Sorajja</w:t>
      </w:r>
      <w:proofErr w:type="spellEnd"/>
      <w:r w:rsidRPr="00C66870">
        <w:rPr>
          <w:rFonts w:ascii="Book Antiqua" w:eastAsia="宋体" w:hAnsi="Book Antiqua" w:cs="宋体"/>
        </w:rPr>
        <w:t xml:space="preserve"> P, </w:t>
      </w:r>
      <w:proofErr w:type="spellStart"/>
      <w:r w:rsidRPr="00C66870">
        <w:rPr>
          <w:rFonts w:ascii="Book Antiqua" w:eastAsia="宋体" w:hAnsi="Book Antiqua" w:cs="宋体"/>
        </w:rPr>
        <w:t>Sundt</w:t>
      </w:r>
      <w:proofErr w:type="spellEnd"/>
      <w:r w:rsidRPr="00C66870">
        <w:rPr>
          <w:rFonts w:ascii="Book Antiqua" w:eastAsia="宋体" w:hAnsi="Book Antiqua" w:cs="宋体"/>
        </w:rPr>
        <w:t xml:space="preserve"> TM, Thomas JD. 2014 AHA/ACC guideline for the management of patients with </w:t>
      </w:r>
      <w:proofErr w:type="spellStart"/>
      <w:r w:rsidRPr="00C66870">
        <w:rPr>
          <w:rFonts w:ascii="Book Antiqua" w:eastAsia="宋体" w:hAnsi="Book Antiqua" w:cs="宋体"/>
        </w:rPr>
        <w:t>valvular</w:t>
      </w:r>
      <w:proofErr w:type="spellEnd"/>
      <w:r w:rsidRPr="00C66870">
        <w:rPr>
          <w:rFonts w:ascii="Book Antiqua" w:eastAsia="宋体" w:hAnsi="Book Antiqua" w:cs="宋体"/>
        </w:rPr>
        <w:t xml:space="preserve"> heart disease: executive </w:t>
      </w:r>
      <w:r w:rsidRPr="00C66870">
        <w:rPr>
          <w:rFonts w:ascii="Book Antiqua" w:eastAsia="宋体" w:hAnsi="Book Antiqua" w:cs="宋体"/>
        </w:rPr>
        <w:lastRenderedPageBreak/>
        <w:t>summary: a report of the American College of Cardiology/American Heart Association Task Force on Practice Guidelines. </w:t>
      </w:r>
      <w:r w:rsidRPr="00C66870">
        <w:rPr>
          <w:rFonts w:ascii="Book Antiqua" w:eastAsia="宋体" w:hAnsi="Book Antiqua" w:cs="宋体"/>
          <w:i/>
          <w:iCs/>
        </w:rPr>
        <w:t xml:space="preserve">J Am </w:t>
      </w:r>
      <w:proofErr w:type="spellStart"/>
      <w:r w:rsidRPr="00C66870">
        <w:rPr>
          <w:rFonts w:ascii="Book Antiqua" w:eastAsia="宋体" w:hAnsi="Book Antiqua" w:cs="宋体"/>
          <w:i/>
          <w:iCs/>
        </w:rPr>
        <w:t>Coll</w:t>
      </w:r>
      <w:proofErr w:type="spellEnd"/>
      <w:r w:rsidRPr="00C66870">
        <w:rPr>
          <w:rFonts w:ascii="Book Antiqua" w:eastAsia="宋体" w:hAnsi="Book Antiqua" w:cs="宋体"/>
          <w:i/>
          <w:iCs/>
        </w:rPr>
        <w:t xml:space="preserve"> </w:t>
      </w:r>
      <w:proofErr w:type="spellStart"/>
      <w:r w:rsidRPr="00C66870">
        <w:rPr>
          <w:rFonts w:ascii="Book Antiqua" w:eastAsia="宋体" w:hAnsi="Book Antiqua" w:cs="宋体"/>
          <w:i/>
          <w:iCs/>
        </w:rPr>
        <w:t>Cardiol</w:t>
      </w:r>
      <w:proofErr w:type="spellEnd"/>
      <w:r w:rsidRPr="00C66870">
        <w:rPr>
          <w:rFonts w:ascii="Book Antiqua" w:eastAsia="宋体" w:hAnsi="Book Antiqua" w:cs="宋体"/>
        </w:rPr>
        <w:t> 2014; </w:t>
      </w:r>
      <w:r w:rsidRPr="00C66870">
        <w:rPr>
          <w:rFonts w:ascii="Book Antiqua" w:eastAsia="宋体" w:hAnsi="Book Antiqua" w:cs="宋体"/>
          <w:b/>
          <w:bCs/>
        </w:rPr>
        <w:t>63</w:t>
      </w:r>
      <w:r w:rsidRPr="00C66870">
        <w:rPr>
          <w:rFonts w:ascii="Book Antiqua" w:eastAsia="宋体" w:hAnsi="Book Antiqua" w:cs="宋体"/>
        </w:rPr>
        <w:t>: 2438-2488 [PMID: 24603192 DOI: 10.1161/CIR.0000000000000029</w:t>
      </w:r>
      <w:r>
        <w:rPr>
          <w:rFonts w:ascii="Book Antiqua" w:eastAsia="宋体" w:hAnsi="Book Antiqua" w:cs="宋体"/>
        </w:rPr>
        <w:t>]</w:t>
      </w:r>
    </w:p>
    <w:p w14:paraId="438A2280" w14:textId="77777777" w:rsidR="00743FD4" w:rsidRPr="00C66870" w:rsidRDefault="00743FD4" w:rsidP="00B83F55">
      <w:pPr>
        <w:spacing w:line="360" w:lineRule="auto"/>
        <w:jc w:val="both"/>
        <w:rPr>
          <w:rFonts w:ascii="Book Antiqua" w:eastAsia="宋体" w:hAnsi="Book Antiqua" w:cs="宋体"/>
        </w:rPr>
      </w:pPr>
      <w:r w:rsidRPr="00C66870">
        <w:rPr>
          <w:rFonts w:ascii="Book Antiqua" w:eastAsia="宋体" w:hAnsi="Book Antiqua" w:cs="宋体"/>
        </w:rPr>
        <w:t>22 </w:t>
      </w:r>
      <w:r w:rsidRPr="00C66870">
        <w:rPr>
          <w:rFonts w:ascii="Book Antiqua" w:eastAsia="宋体" w:hAnsi="Book Antiqua" w:cs="宋体"/>
          <w:b/>
          <w:bCs/>
        </w:rPr>
        <w:t>Lin S</w:t>
      </w:r>
      <w:r w:rsidRPr="00C66870">
        <w:rPr>
          <w:rFonts w:ascii="Book Antiqua" w:eastAsia="宋体" w:hAnsi="Book Antiqua" w:cs="宋体"/>
        </w:rPr>
        <w:t xml:space="preserve">, </w:t>
      </w:r>
      <w:proofErr w:type="spellStart"/>
      <w:r w:rsidRPr="00C66870">
        <w:rPr>
          <w:rFonts w:ascii="Book Antiqua" w:eastAsia="宋体" w:hAnsi="Book Antiqua" w:cs="宋体"/>
        </w:rPr>
        <w:t>Konstance</w:t>
      </w:r>
      <w:proofErr w:type="spellEnd"/>
      <w:r w:rsidRPr="00C66870">
        <w:rPr>
          <w:rFonts w:ascii="Book Antiqua" w:eastAsia="宋体" w:hAnsi="Book Antiqua" w:cs="宋体"/>
        </w:rPr>
        <w:t xml:space="preserve"> R, </w:t>
      </w:r>
      <w:proofErr w:type="spellStart"/>
      <w:r w:rsidRPr="00C66870">
        <w:rPr>
          <w:rFonts w:ascii="Book Antiqua" w:eastAsia="宋体" w:hAnsi="Book Antiqua" w:cs="宋体"/>
        </w:rPr>
        <w:t>Jollis</w:t>
      </w:r>
      <w:proofErr w:type="spellEnd"/>
      <w:r w:rsidRPr="00C66870">
        <w:rPr>
          <w:rFonts w:ascii="Book Antiqua" w:eastAsia="宋体" w:hAnsi="Book Antiqua" w:cs="宋体"/>
        </w:rPr>
        <w:t xml:space="preserve"> J, Fisher DA. </w:t>
      </w:r>
      <w:proofErr w:type="gramStart"/>
      <w:r w:rsidRPr="00C66870">
        <w:rPr>
          <w:rFonts w:ascii="Book Antiqua" w:eastAsia="宋体" w:hAnsi="Book Antiqua" w:cs="宋体"/>
        </w:rPr>
        <w:t>The utility of upper endoscopy in patients with concomitant upper gastrointestinal bleeding and acute myocardial infarction.</w:t>
      </w:r>
      <w:proofErr w:type="gramEnd"/>
      <w:r w:rsidRPr="00C66870">
        <w:rPr>
          <w:rFonts w:ascii="Book Antiqua" w:eastAsia="宋体" w:hAnsi="Book Antiqua" w:cs="宋体"/>
        </w:rPr>
        <w:t> </w:t>
      </w:r>
      <w:r w:rsidRPr="00C66870">
        <w:rPr>
          <w:rFonts w:ascii="Book Antiqua" w:eastAsia="宋体" w:hAnsi="Book Antiqua" w:cs="宋体"/>
          <w:i/>
          <w:iCs/>
        </w:rPr>
        <w:t xml:space="preserve">Dig Dis </w:t>
      </w:r>
      <w:proofErr w:type="spellStart"/>
      <w:r w:rsidRPr="00C66870">
        <w:rPr>
          <w:rFonts w:ascii="Book Antiqua" w:eastAsia="宋体" w:hAnsi="Book Antiqua" w:cs="宋体"/>
          <w:i/>
          <w:iCs/>
        </w:rPr>
        <w:t>Sci</w:t>
      </w:r>
      <w:proofErr w:type="spellEnd"/>
      <w:r w:rsidRPr="00C66870">
        <w:rPr>
          <w:rFonts w:ascii="Book Antiqua" w:eastAsia="宋体" w:hAnsi="Book Antiqua" w:cs="宋体"/>
        </w:rPr>
        <w:t> 2006; </w:t>
      </w:r>
      <w:r w:rsidRPr="00C66870">
        <w:rPr>
          <w:rFonts w:ascii="Book Antiqua" w:eastAsia="宋体" w:hAnsi="Book Antiqua" w:cs="宋体"/>
          <w:b/>
          <w:bCs/>
        </w:rPr>
        <w:t>51</w:t>
      </w:r>
      <w:r w:rsidRPr="00C66870">
        <w:rPr>
          <w:rFonts w:ascii="Book Antiqua" w:eastAsia="宋体" w:hAnsi="Book Antiqua" w:cs="宋体"/>
        </w:rPr>
        <w:t>: 2377-2383 [PMID: 17151907 DOI: 10.1007/s10620-006-9326-7]</w:t>
      </w:r>
    </w:p>
    <w:p w14:paraId="255A5E98" w14:textId="77777777" w:rsidR="00743FD4" w:rsidRPr="00C66870" w:rsidRDefault="00743FD4" w:rsidP="00B83F55">
      <w:pPr>
        <w:spacing w:line="360" w:lineRule="auto"/>
        <w:jc w:val="both"/>
        <w:rPr>
          <w:rFonts w:ascii="Book Antiqua" w:eastAsia="宋体" w:hAnsi="Book Antiqua" w:cs="宋体"/>
        </w:rPr>
      </w:pPr>
      <w:r>
        <w:rPr>
          <w:rFonts w:ascii="Book Antiqua" w:eastAsia="宋体" w:hAnsi="Book Antiqua" w:cs="宋体"/>
        </w:rPr>
        <w:t>23</w:t>
      </w:r>
      <w:r w:rsidRPr="00C66870">
        <w:rPr>
          <w:rFonts w:ascii="Book Antiqua" w:eastAsia="宋体" w:hAnsi="Book Antiqua" w:cs="宋体"/>
          <w:b/>
        </w:rPr>
        <w:t xml:space="preserve"> </w:t>
      </w:r>
      <w:proofErr w:type="spellStart"/>
      <w:r w:rsidRPr="00C66870">
        <w:rPr>
          <w:rFonts w:ascii="Book Antiqua" w:eastAsia="宋体" w:hAnsi="Book Antiqua" w:cs="宋体"/>
          <w:b/>
        </w:rPr>
        <w:t>Nikolsky</w:t>
      </w:r>
      <w:proofErr w:type="spellEnd"/>
      <w:r w:rsidRPr="00C66870">
        <w:rPr>
          <w:rFonts w:ascii="Book Antiqua" w:eastAsia="宋体" w:hAnsi="Book Antiqua" w:cs="宋体"/>
          <w:b/>
        </w:rPr>
        <w:t xml:space="preserve"> E1, </w:t>
      </w:r>
      <w:r w:rsidRPr="00C66870">
        <w:rPr>
          <w:rFonts w:ascii="Book Antiqua" w:eastAsia="宋体" w:hAnsi="Book Antiqua" w:cs="宋体"/>
        </w:rPr>
        <w:t xml:space="preserve">Stone GW, </w:t>
      </w:r>
      <w:proofErr w:type="spellStart"/>
      <w:r w:rsidRPr="00C66870">
        <w:rPr>
          <w:rFonts w:ascii="Book Antiqua" w:eastAsia="宋体" w:hAnsi="Book Antiqua" w:cs="宋体"/>
        </w:rPr>
        <w:t>Kirtane</w:t>
      </w:r>
      <w:proofErr w:type="spellEnd"/>
      <w:r w:rsidRPr="00C66870">
        <w:rPr>
          <w:rFonts w:ascii="Book Antiqua" w:eastAsia="宋体" w:hAnsi="Book Antiqua" w:cs="宋体"/>
        </w:rPr>
        <w:t xml:space="preserve"> AJ, </w:t>
      </w:r>
      <w:proofErr w:type="spellStart"/>
      <w:r w:rsidRPr="00C66870">
        <w:rPr>
          <w:rFonts w:ascii="Book Antiqua" w:eastAsia="宋体" w:hAnsi="Book Antiqua" w:cs="宋体"/>
        </w:rPr>
        <w:t>Dangas</w:t>
      </w:r>
      <w:proofErr w:type="spellEnd"/>
      <w:r w:rsidRPr="00C66870">
        <w:rPr>
          <w:rFonts w:ascii="Book Antiqua" w:eastAsia="宋体" w:hAnsi="Book Antiqua" w:cs="宋体"/>
        </w:rPr>
        <w:t xml:space="preserve"> GD, Lansky AJ, </w:t>
      </w:r>
      <w:proofErr w:type="spellStart"/>
      <w:r w:rsidRPr="00C66870">
        <w:rPr>
          <w:rFonts w:ascii="Book Antiqua" w:eastAsia="宋体" w:hAnsi="Book Antiqua" w:cs="宋体"/>
        </w:rPr>
        <w:t>McLaurin</w:t>
      </w:r>
      <w:proofErr w:type="spellEnd"/>
      <w:r w:rsidRPr="00C66870">
        <w:rPr>
          <w:rFonts w:ascii="Book Antiqua" w:eastAsia="宋体" w:hAnsi="Book Antiqua" w:cs="宋体"/>
        </w:rPr>
        <w:t xml:space="preserve"> B, </w:t>
      </w:r>
      <w:proofErr w:type="spellStart"/>
      <w:r w:rsidRPr="00C66870">
        <w:rPr>
          <w:rFonts w:ascii="Book Antiqua" w:eastAsia="宋体" w:hAnsi="Book Antiqua" w:cs="宋体"/>
        </w:rPr>
        <w:t>Lincoff</w:t>
      </w:r>
      <w:proofErr w:type="spellEnd"/>
      <w:r w:rsidRPr="00C66870">
        <w:rPr>
          <w:rFonts w:ascii="Book Antiqua" w:eastAsia="宋体" w:hAnsi="Book Antiqua" w:cs="宋体"/>
        </w:rPr>
        <w:t xml:space="preserve"> AM, </w:t>
      </w:r>
      <w:proofErr w:type="spellStart"/>
      <w:r w:rsidRPr="00C66870">
        <w:rPr>
          <w:rFonts w:ascii="Book Antiqua" w:eastAsia="宋体" w:hAnsi="Book Antiqua" w:cs="宋体"/>
        </w:rPr>
        <w:t>Feit</w:t>
      </w:r>
      <w:proofErr w:type="spellEnd"/>
      <w:r w:rsidRPr="00C66870">
        <w:rPr>
          <w:rFonts w:ascii="Book Antiqua" w:eastAsia="宋体" w:hAnsi="Book Antiqua" w:cs="宋体"/>
        </w:rPr>
        <w:t xml:space="preserve"> F, Moses JW, </w:t>
      </w:r>
      <w:proofErr w:type="spellStart"/>
      <w:r w:rsidRPr="00C66870">
        <w:rPr>
          <w:rFonts w:ascii="Book Antiqua" w:eastAsia="宋体" w:hAnsi="Book Antiqua" w:cs="宋体"/>
        </w:rPr>
        <w:t>Fahy</w:t>
      </w:r>
      <w:proofErr w:type="spellEnd"/>
      <w:r w:rsidRPr="00C66870">
        <w:rPr>
          <w:rFonts w:ascii="Book Antiqua" w:eastAsia="宋体" w:hAnsi="Book Antiqua" w:cs="宋体"/>
        </w:rPr>
        <w:t xml:space="preserve"> M, </w:t>
      </w:r>
      <w:proofErr w:type="spellStart"/>
      <w:r w:rsidRPr="00C66870">
        <w:rPr>
          <w:rFonts w:ascii="Book Antiqua" w:eastAsia="宋体" w:hAnsi="Book Antiqua" w:cs="宋体"/>
        </w:rPr>
        <w:t>Manoukian</w:t>
      </w:r>
      <w:proofErr w:type="spellEnd"/>
      <w:r w:rsidRPr="00C66870">
        <w:rPr>
          <w:rFonts w:ascii="Book Antiqua" w:eastAsia="宋体" w:hAnsi="Book Antiqua" w:cs="宋体"/>
        </w:rPr>
        <w:t xml:space="preserve"> SV, White HD, </w:t>
      </w:r>
      <w:proofErr w:type="spellStart"/>
      <w:r w:rsidRPr="00C66870">
        <w:rPr>
          <w:rFonts w:ascii="Book Antiqua" w:eastAsia="宋体" w:hAnsi="Book Antiqua" w:cs="宋体"/>
        </w:rPr>
        <w:t>Ohman</w:t>
      </w:r>
      <w:proofErr w:type="spellEnd"/>
      <w:r w:rsidRPr="00C66870">
        <w:rPr>
          <w:rFonts w:ascii="Book Antiqua" w:eastAsia="宋体" w:hAnsi="Book Antiqua" w:cs="宋体"/>
        </w:rPr>
        <w:t xml:space="preserve"> EM, Bertrand ME, Cox DA, </w:t>
      </w:r>
      <w:proofErr w:type="spellStart"/>
      <w:r w:rsidRPr="00C66870">
        <w:rPr>
          <w:rFonts w:ascii="Book Antiqua" w:eastAsia="宋体" w:hAnsi="Book Antiqua" w:cs="宋体"/>
        </w:rPr>
        <w:t>Mehran</w:t>
      </w:r>
      <w:proofErr w:type="spellEnd"/>
      <w:r w:rsidRPr="00C66870">
        <w:rPr>
          <w:rFonts w:ascii="Book Antiqua" w:eastAsia="宋体" w:hAnsi="Book Antiqua" w:cs="宋体"/>
        </w:rPr>
        <w:t xml:space="preserve"> R. Gastrointestinal bleeding in patients with acute coronary syndromes: incidence, predictors, and clinical implications: analysis from the ACUITY (Acute Catheterization and Urgent Intervention Triage Strategy) trial. </w:t>
      </w:r>
      <w:r w:rsidRPr="00C66870">
        <w:rPr>
          <w:rFonts w:ascii="Book Antiqua" w:eastAsia="宋体" w:hAnsi="Book Antiqua" w:cs="宋体"/>
          <w:i/>
        </w:rPr>
        <w:t xml:space="preserve">J Am College </w:t>
      </w:r>
      <w:proofErr w:type="spellStart"/>
      <w:r w:rsidRPr="00C66870">
        <w:rPr>
          <w:rFonts w:ascii="Book Antiqua" w:eastAsia="宋体" w:hAnsi="Book Antiqua" w:cs="宋体"/>
          <w:i/>
        </w:rPr>
        <w:t>Cardiol</w:t>
      </w:r>
      <w:proofErr w:type="spellEnd"/>
      <w:r w:rsidRPr="00C66870">
        <w:rPr>
          <w:rFonts w:ascii="Book Antiqua" w:eastAsia="宋体" w:hAnsi="Book Antiqua" w:cs="宋体"/>
        </w:rPr>
        <w:t xml:space="preserve"> 2009; </w:t>
      </w:r>
      <w:r w:rsidRPr="00C66870">
        <w:rPr>
          <w:rFonts w:ascii="Book Antiqua" w:eastAsia="宋体" w:hAnsi="Book Antiqua" w:cs="宋体"/>
          <w:b/>
        </w:rPr>
        <w:t>54</w:t>
      </w:r>
      <w:r w:rsidRPr="00C66870">
        <w:rPr>
          <w:rFonts w:ascii="Book Antiqua" w:eastAsia="宋体" w:hAnsi="Book Antiqua" w:cs="宋体"/>
        </w:rPr>
        <w:t>: 1293-</w:t>
      </w:r>
      <w:r>
        <w:rPr>
          <w:rFonts w:ascii="Book Antiqua" w:eastAsia="宋体" w:hAnsi="Book Antiqua" w:cs="宋体" w:hint="eastAsia"/>
        </w:rPr>
        <w:t>1</w:t>
      </w:r>
      <w:r>
        <w:rPr>
          <w:rFonts w:ascii="Book Antiqua" w:eastAsia="宋体" w:hAnsi="Book Antiqua" w:cs="宋体"/>
        </w:rPr>
        <w:t>302</w:t>
      </w:r>
      <w:r>
        <w:rPr>
          <w:rFonts w:ascii="Book Antiqua" w:eastAsia="宋体" w:hAnsi="Book Antiqua" w:cs="宋体" w:hint="eastAsia"/>
        </w:rPr>
        <w:t xml:space="preserve"> [</w:t>
      </w:r>
      <w:r>
        <w:rPr>
          <w:rFonts w:ascii="Book Antiqua" w:eastAsia="宋体" w:hAnsi="Book Antiqua" w:cs="宋体"/>
        </w:rPr>
        <w:t>DOI: 10.1016/j.jacc.2009.07.019</w:t>
      </w:r>
      <w:r>
        <w:rPr>
          <w:rFonts w:ascii="Book Antiqua" w:eastAsia="宋体" w:hAnsi="Book Antiqua" w:cs="宋体" w:hint="eastAsia"/>
        </w:rPr>
        <w:t>]</w:t>
      </w:r>
    </w:p>
    <w:p w14:paraId="16EBBBBF" w14:textId="77777777" w:rsidR="00743FD4" w:rsidRPr="00C66870" w:rsidRDefault="00743FD4" w:rsidP="00B83F55">
      <w:pPr>
        <w:spacing w:line="360" w:lineRule="auto"/>
        <w:jc w:val="both"/>
        <w:rPr>
          <w:rFonts w:ascii="Book Antiqua" w:eastAsia="宋体" w:hAnsi="Book Antiqua" w:cs="宋体"/>
        </w:rPr>
      </w:pPr>
      <w:proofErr w:type="gramStart"/>
      <w:r w:rsidRPr="00C66870">
        <w:rPr>
          <w:rFonts w:ascii="Book Antiqua" w:eastAsia="宋体" w:hAnsi="Book Antiqua" w:cs="宋体"/>
        </w:rPr>
        <w:t>24 </w:t>
      </w:r>
      <w:r w:rsidRPr="00C66870">
        <w:rPr>
          <w:rFonts w:ascii="Book Antiqua" w:eastAsia="宋体" w:hAnsi="Book Antiqua" w:cs="宋体"/>
          <w:b/>
          <w:bCs/>
        </w:rPr>
        <w:t>Al-</w:t>
      </w:r>
      <w:proofErr w:type="spellStart"/>
      <w:r w:rsidRPr="00C66870">
        <w:rPr>
          <w:rFonts w:ascii="Book Antiqua" w:eastAsia="宋体" w:hAnsi="Book Antiqua" w:cs="宋体"/>
          <w:b/>
          <w:bCs/>
        </w:rPr>
        <w:t>Mallah</w:t>
      </w:r>
      <w:proofErr w:type="spellEnd"/>
      <w:r w:rsidRPr="00C66870">
        <w:rPr>
          <w:rFonts w:ascii="Book Antiqua" w:eastAsia="宋体" w:hAnsi="Book Antiqua" w:cs="宋体"/>
          <w:b/>
          <w:bCs/>
        </w:rPr>
        <w:t xml:space="preserve"> M</w:t>
      </w:r>
      <w:r w:rsidRPr="00C66870">
        <w:rPr>
          <w:rFonts w:ascii="Book Antiqua" w:eastAsia="宋体" w:hAnsi="Book Antiqua" w:cs="宋体"/>
        </w:rPr>
        <w:t xml:space="preserve">, </w:t>
      </w:r>
      <w:proofErr w:type="spellStart"/>
      <w:r w:rsidRPr="00C66870">
        <w:rPr>
          <w:rFonts w:ascii="Book Antiqua" w:eastAsia="宋体" w:hAnsi="Book Antiqua" w:cs="宋体"/>
        </w:rPr>
        <w:t>Bazari</w:t>
      </w:r>
      <w:proofErr w:type="spellEnd"/>
      <w:r w:rsidRPr="00C66870">
        <w:rPr>
          <w:rFonts w:ascii="Book Antiqua" w:eastAsia="宋体" w:hAnsi="Book Antiqua" w:cs="宋体"/>
        </w:rPr>
        <w:t xml:space="preserve"> RN, Jankowski M, Hudson MP.</w:t>
      </w:r>
      <w:proofErr w:type="gramEnd"/>
      <w:r w:rsidRPr="00C66870">
        <w:rPr>
          <w:rFonts w:ascii="Book Antiqua" w:eastAsia="宋体" w:hAnsi="Book Antiqua" w:cs="宋体"/>
        </w:rPr>
        <w:t xml:space="preserve"> Predictors and outcomes associated with gastrointestinal bleeding in patients with acute coronary syndromes. </w:t>
      </w:r>
      <w:r w:rsidRPr="00C66870">
        <w:rPr>
          <w:rFonts w:ascii="Book Antiqua" w:eastAsia="宋体" w:hAnsi="Book Antiqua" w:cs="宋体"/>
          <w:i/>
          <w:iCs/>
        </w:rPr>
        <w:t xml:space="preserve">J </w:t>
      </w:r>
      <w:proofErr w:type="spellStart"/>
      <w:r w:rsidRPr="00C66870">
        <w:rPr>
          <w:rFonts w:ascii="Book Antiqua" w:eastAsia="宋体" w:hAnsi="Book Antiqua" w:cs="宋体"/>
          <w:i/>
          <w:iCs/>
        </w:rPr>
        <w:t>Thromb</w:t>
      </w:r>
      <w:proofErr w:type="spellEnd"/>
      <w:r w:rsidRPr="00C66870">
        <w:rPr>
          <w:rFonts w:ascii="Book Antiqua" w:eastAsia="宋体" w:hAnsi="Book Antiqua" w:cs="宋体"/>
          <w:i/>
          <w:iCs/>
        </w:rPr>
        <w:t xml:space="preserve"> Thrombolysis</w:t>
      </w:r>
      <w:r w:rsidRPr="00C66870">
        <w:rPr>
          <w:rFonts w:ascii="Book Antiqua" w:eastAsia="宋体" w:hAnsi="Book Antiqua" w:cs="宋体"/>
        </w:rPr>
        <w:t> 2007; </w:t>
      </w:r>
      <w:r w:rsidRPr="00C66870">
        <w:rPr>
          <w:rFonts w:ascii="Book Antiqua" w:eastAsia="宋体" w:hAnsi="Book Antiqua" w:cs="宋体"/>
          <w:b/>
          <w:bCs/>
        </w:rPr>
        <w:t>23</w:t>
      </w:r>
      <w:r w:rsidRPr="00C66870">
        <w:rPr>
          <w:rFonts w:ascii="Book Antiqua" w:eastAsia="宋体" w:hAnsi="Book Antiqua" w:cs="宋体"/>
        </w:rPr>
        <w:t>: 51-55 [PMID: 17186397]</w:t>
      </w:r>
    </w:p>
    <w:p w14:paraId="6C8E4FA6" w14:textId="77777777" w:rsidR="00743FD4" w:rsidRPr="00C66870" w:rsidRDefault="00743FD4" w:rsidP="00B83F55">
      <w:pPr>
        <w:spacing w:line="360" w:lineRule="auto"/>
        <w:jc w:val="both"/>
        <w:rPr>
          <w:rFonts w:ascii="Book Antiqua" w:eastAsia="宋体" w:hAnsi="Book Antiqua" w:cs="宋体"/>
        </w:rPr>
      </w:pPr>
      <w:r>
        <w:rPr>
          <w:rFonts w:ascii="Book Antiqua" w:eastAsia="宋体" w:hAnsi="Book Antiqua" w:cs="宋体"/>
        </w:rPr>
        <w:t>25</w:t>
      </w:r>
      <w:r w:rsidRPr="00C66870">
        <w:rPr>
          <w:rFonts w:ascii="Book Antiqua" w:eastAsia="宋体" w:hAnsi="Book Antiqua" w:cs="宋体"/>
          <w:b/>
        </w:rPr>
        <w:t xml:space="preserve"> </w:t>
      </w:r>
      <w:proofErr w:type="spellStart"/>
      <w:r w:rsidRPr="00C66870">
        <w:rPr>
          <w:rFonts w:ascii="Book Antiqua" w:eastAsia="宋体" w:hAnsi="Book Antiqua" w:cs="宋体"/>
          <w:b/>
        </w:rPr>
        <w:t>Shalev</w:t>
      </w:r>
      <w:proofErr w:type="spellEnd"/>
      <w:r w:rsidRPr="00C66870">
        <w:rPr>
          <w:rFonts w:ascii="Book Antiqua" w:eastAsia="宋体" w:hAnsi="Book Antiqua" w:cs="宋体"/>
          <w:b/>
        </w:rPr>
        <w:t xml:space="preserve"> A, </w:t>
      </w:r>
      <w:proofErr w:type="spellStart"/>
      <w:r w:rsidRPr="00C66870">
        <w:rPr>
          <w:rFonts w:ascii="Book Antiqua" w:eastAsia="宋体" w:hAnsi="Book Antiqua" w:cs="宋体"/>
        </w:rPr>
        <w:t>Zahger</w:t>
      </w:r>
      <w:proofErr w:type="spellEnd"/>
      <w:r w:rsidRPr="00C66870">
        <w:rPr>
          <w:rFonts w:ascii="Book Antiqua" w:eastAsia="宋体" w:hAnsi="Book Antiqua" w:cs="宋体"/>
        </w:rPr>
        <w:t xml:space="preserve"> D, </w:t>
      </w:r>
      <w:proofErr w:type="spellStart"/>
      <w:r w:rsidRPr="00C66870">
        <w:rPr>
          <w:rFonts w:ascii="Book Antiqua" w:eastAsia="宋体" w:hAnsi="Book Antiqua" w:cs="宋体"/>
        </w:rPr>
        <w:t>Novack</w:t>
      </w:r>
      <w:proofErr w:type="spellEnd"/>
      <w:r w:rsidRPr="00C66870">
        <w:rPr>
          <w:rFonts w:ascii="Book Antiqua" w:eastAsia="宋体" w:hAnsi="Book Antiqua" w:cs="宋体"/>
        </w:rPr>
        <w:t xml:space="preserve"> V, </w:t>
      </w:r>
      <w:proofErr w:type="spellStart"/>
      <w:r w:rsidRPr="00C66870">
        <w:rPr>
          <w:rFonts w:ascii="Book Antiqua" w:eastAsia="宋体" w:hAnsi="Book Antiqua" w:cs="宋体"/>
        </w:rPr>
        <w:t>Etzion</w:t>
      </w:r>
      <w:proofErr w:type="spellEnd"/>
      <w:r w:rsidRPr="00C66870">
        <w:rPr>
          <w:rFonts w:ascii="Book Antiqua" w:eastAsia="宋体" w:hAnsi="Book Antiqua" w:cs="宋体"/>
        </w:rPr>
        <w:t xml:space="preserve"> O, </w:t>
      </w:r>
      <w:proofErr w:type="spellStart"/>
      <w:r w:rsidRPr="00C66870">
        <w:rPr>
          <w:rFonts w:ascii="Book Antiqua" w:eastAsia="宋体" w:hAnsi="Book Antiqua" w:cs="宋体"/>
        </w:rPr>
        <w:t>Shimony</w:t>
      </w:r>
      <w:proofErr w:type="spellEnd"/>
      <w:r w:rsidRPr="00C66870">
        <w:rPr>
          <w:rFonts w:ascii="Book Antiqua" w:eastAsia="宋体" w:hAnsi="Book Antiqua" w:cs="宋体"/>
        </w:rPr>
        <w:t xml:space="preserve"> A, </w:t>
      </w:r>
      <w:proofErr w:type="spellStart"/>
      <w:r w:rsidRPr="00C66870">
        <w:rPr>
          <w:rFonts w:ascii="Book Antiqua" w:eastAsia="宋体" w:hAnsi="Book Antiqua" w:cs="宋体"/>
        </w:rPr>
        <w:t>Gilutz</w:t>
      </w:r>
      <w:proofErr w:type="spellEnd"/>
      <w:r w:rsidRPr="00C66870">
        <w:rPr>
          <w:rFonts w:ascii="Book Antiqua" w:eastAsia="宋体" w:hAnsi="Book Antiqua" w:cs="宋体"/>
        </w:rPr>
        <w:t xml:space="preserve"> H, </w:t>
      </w:r>
      <w:proofErr w:type="spellStart"/>
      <w:r w:rsidRPr="00C66870">
        <w:rPr>
          <w:rFonts w:ascii="Book Antiqua" w:eastAsia="宋体" w:hAnsi="Book Antiqua" w:cs="宋体"/>
        </w:rPr>
        <w:t>Cafri</w:t>
      </w:r>
      <w:proofErr w:type="spellEnd"/>
      <w:r w:rsidRPr="00C66870">
        <w:rPr>
          <w:rFonts w:ascii="Book Antiqua" w:eastAsia="宋体" w:hAnsi="Book Antiqua" w:cs="宋体"/>
        </w:rPr>
        <w:t xml:space="preserve"> C, Ilia R, </w:t>
      </w:r>
      <w:proofErr w:type="spellStart"/>
      <w:r w:rsidRPr="00C66870">
        <w:rPr>
          <w:rFonts w:ascii="Book Antiqua" w:eastAsia="宋体" w:hAnsi="Book Antiqua" w:cs="宋体"/>
        </w:rPr>
        <w:t>Fich</w:t>
      </w:r>
      <w:proofErr w:type="spellEnd"/>
      <w:r w:rsidRPr="00C66870">
        <w:rPr>
          <w:rFonts w:ascii="Book Antiqua" w:eastAsia="宋体" w:hAnsi="Book Antiqua" w:cs="宋体"/>
        </w:rPr>
        <w:t xml:space="preserve"> A. Incidence, predictors and outcome of upper gastrointestinal bleeding in patients with acute coronary syndromes.</w:t>
      </w:r>
      <w:r w:rsidRPr="00C66870">
        <w:rPr>
          <w:rFonts w:ascii="Book Antiqua" w:eastAsia="宋体" w:hAnsi="Book Antiqua" w:cs="宋体"/>
          <w:i/>
        </w:rPr>
        <w:t xml:space="preserve"> </w:t>
      </w:r>
      <w:proofErr w:type="spellStart"/>
      <w:r w:rsidRPr="00C66870">
        <w:rPr>
          <w:rFonts w:ascii="Book Antiqua" w:eastAsia="宋体" w:hAnsi="Book Antiqua" w:cs="宋体"/>
          <w:i/>
        </w:rPr>
        <w:t>Int</w:t>
      </w:r>
      <w:proofErr w:type="spellEnd"/>
      <w:r w:rsidRPr="00C66870">
        <w:rPr>
          <w:rFonts w:ascii="Book Antiqua" w:eastAsia="宋体" w:hAnsi="Book Antiqua" w:cs="宋体" w:hint="eastAsia"/>
          <w:i/>
        </w:rPr>
        <w:t xml:space="preserve"> </w:t>
      </w:r>
      <w:r w:rsidRPr="00C66870">
        <w:rPr>
          <w:rFonts w:ascii="Book Antiqua" w:eastAsia="宋体" w:hAnsi="Book Antiqua" w:cs="宋体"/>
          <w:i/>
        </w:rPr>
        <w:t>J</w:t>
      </w:r>
      <w:r w:rsidRPr="00C66870">
        <w:rPr>
          <w:rFonts w:ascii="Book Antiqua" w:eastAsia="宋体" w:hAnsi="Book Antiqua" w:cs="宋体" w:hint="eastAsia"/>
          <w:i/>
        </w:rPr>
        <w:t xml:space="preserve"> </w:t>
      </w:r>
      <w:proofErr w:type="spellStart"/>
      <w:r w:rsidRPr="00C66870">
        <w:rPr>
          <w:rFonts w:ascii="Book Antiqua" w:eastAsia="宋体" w:hAnsi="Book Antiqua" w:cs="宋体"/>
          <w:i/>
        </w:rPr>
        <w:t>Cardiol</w:t>
      </w:r>
      <w:proofErr w:type="spellEnd"/>
      <w:r w:rsidRPr="00C66870">
        <w:rPr>
          <w:rFonts w:ascii="Book Antiqua" w:eastAsia="宋体" w:hAnsi="Book Antiqua" w:cs="宋体"/>
        </w:rPr>
        <w:t xml:space="preserve"> 2012; </w:t>
      </w:r>
      <w:r w:rsidRPr="00C66870">
        <w:rPr>
          <w:rFonts w:ascii="Book Antiqua" w:eastAsia="宋体" w:hAnsi="Book Antiqua" w:cs="宋体"/>
          <w:b/>
        </w:rPr>
        <w:t>157</w:t>
      </w:r>
      <w:r w:rsidRPr="00C66870">
        <w:rPr>
          <w:rFonts w:ascii="Book Antiqua" w:eastAsia="宋体" w:hAnsi="Book Antiqua" w:cs="宋体"/>
        </w:rPr>
        <w:t>: 386-</w:t>
      </w:r>
      <w:r>
        <w:rPr>
          <w:rFonts w:ascii="Book Antiqua" w:eastAsia="宋体" w:hAnsi="Book Antiqua" w:cs="宋体" w:hint="eastAsia"/>
        </w:rPr>
        <w:t>3</w:t>
      </w:r>
      <w:r w:rsidRPr="00C66870">
        <w:rPr>
          <w:rFonts w:ascii="Book Antiqua" w:eastAsia="宋体" w:hAnsi="Book Antiqua" w:cs="宋体"/>
        </w:rPr>
        <w:t>90</w:t>
      </w:r>
      <w:r>
        <w:rPr>
          <w:rFonts w:ascii="Book Antiqua" w:eastAsia="宋体" w:hAnsi="Book Antiqua" w:cs="宋体" w:hint="eastAsia"/>
        </w:rPr>
        <w:t xml:space="preserve"> [</w:t>
      </w:r>
      <w:r w:rsidRPr="00C66870">
        <w:rPr>
          <w:rFonts w:ascii="Book Antiqua" w:eastAsia="宋体" w:hAnsi="Book Antiqua" w:cs="宋体"/>
        </w:rPr>
        <w:t>PMID: 21277643 DOI: 10.1016/j.ijcard.2010.12.081</w:t>
      </w:r>
      <w:r>
        <w:rPr>
          <w:rFonts w:ascii="Book Antiqua" w:eastAsia="宋体" w:hAnsi="Book Antiqua" w:cs="宋体" w:hint="eastAsia"/>
        </w:rPr>
        <w:t>]</w:t>
      </w:r>
    </w:p>
    <w:p w14:paraId="0B45E370" w14:textId="1C69D23A" w:rsidR="00743FD4" w:rsidRPr="00743FD4" w:rsidRDefault="00743FD4" w:rsidP="00B83F55">
      <w:pPr>
        <w:spacing w:line="360" w:lineRule="auto"/>
        <w:jc w:val="both"/>
        <w:rPr>
          <w:rFonts w:ascii="Book Antiqua" w:eastAsia="宋体" w:hAnsi="Book Antiqua" w:cs="宋体"/>
          <w:lang w:eastAsia="zh-CN"/>
        </w:rPr>
      </w:pPr>
      <w:r w:rsidRPr="00C66870">
        <w:rPr>
          <w:rFonts w:ascii="Book Antiqua" w:eastAsia="宋体" w:hAnsi="Book Antiqua" w:cs="宋体"/>
        </w:rPr>
        <w:t>26 </w:t>
      </w:r>
      <w:r w:rsidRPr="00C66870">
        <w:rPr>
          <w:rFonts w:ascii="Book Antiqua" w:eastAsia="宋体" w:hAnsi="Book Antiqua" w:cs="宋体"/>
          <w:b/>
          <w:bCs/>
        </w:rPr>
        <w:t>Lim RG</w:t>
      </w:r>
      <w:r w:rsidRPr="00C66870">
        <w:rPr>
          <w:rFonts w:ascii="Book Antiqua" w:eastAsia="宋体" w:hAnsi="Book Antiqua" w:cs="宋体"/>
        </w:rPr>
        <w:t xml:space="preserve">, </w:t>
      </w:r>
      <w:proofErr w:type="spellStart"/>
      <w:r w:rsidRPr="00C66870">
        <w:rPr>
          <w:rFonts w:ascii="Book Antiqua" w:eastAsia="宋体" w:hAnsi="Book Antiqua" w:cs="宋体"/>
        </w:rPr>
        <w:t>Cobell</w:t>
      </w:r>
      <w:proofErr w:type="spellEnd"/>
      <w:r w:rsidRPr="00C66870">
        <w:rPr>
          <w:rFonts w:ascii="Book Antiqua" w:eastAsia="宋体" w:hAnsi="Book Antiqua" w:cs="宋体"/>
        </w:rPr>
        <w:t xml:space="preserve"> WJ, </w:t>
      </w:r>
      <w:proofErr w:type="spellStart"/>
      <w:r w:rsidRPr="00C66870">
        <w:rPr>
          <w:rFonts w:ascii="Book Antiqua" w:eastAsia="宋体" w:hAnsi="Book Antiqua" w:cs="宋体"/>
        </w:rPr>
        <w:t>Theivanayagam</w:t>
      </w:r>
      <w:proofErr w:type="spellEnd"/>
      <w:r w:rsidRPr="00C66870">
        <w:rPr>
          <w:rFonts w:ascii="Book Antiqua" w:eastAsia="宋体" w:hAnsi="Book Antiqua" w:cs="宋体"/>
        </w:rPr>
        <w:t xml:space="preserve"> S, Kilgore TW, Matteson ML, </w:t>
      </w:r>
      <w:proofErr w:type="spellStart"/>
      <w:r w:rsidRPr="00C66870">
        <w:rPr>
          <w:rFonts w:ascii="Book Antiqua" w:eastAsia="宋体" w:hAnsi="Book Antiqua" w:cs="宋体"/>
        </w:rPr>
        <w:t>Puli</w:t>
      </w:r>
      <w:proofErr w:type="spellEnd"/>
      <w:r w:rsidRPr="00C66870">
        <w:rPr>
          <w:rFonts w:ascii="Book Antiqua" w:eastAsia="宋体" w:hAnsi="Book Antiqua" w:cs="宋体"/>
        </w:rPr>
        <w:t xml:space="preserve"> SR, </w:t>
      </w:r>
      <w:proofErr w:type="spellStart"/>
      <w:r w:rsidRPr="00C66870">
        <w:rPr>
          <w:rFonts w:ascii="Book Antiqua" w:eastAsia="宋体" w:hAnsi="Book Antiqua" w:cs="宋体"/>
        </w:rPr>
        <w:t>Bechtold</w:t>
      </w:r>
      <w:proofErr w:type="spellEnd"/>
      <w:r w:rsidRPr="00C66870">
        <w:rPr>
          <w:rFonts w:ascii="Book Antiqua" w:eastAsia="宋体" w:hAnsi="Book Antiqua" w:cs="宋体"/>
        </w:rPr>
        <w:t xml:space="preserve"> ML. Endoscopy after acute myocardial infarction: an evaluation of safety. </w:t>
      </w:r>
      <w:r w:rsidRPr="00C66870">
        <w:rPr>
          <w:rFonts w:ascii="Book Antiqua" w:eastAsia="宋体" w:hAnsi="Book Antiqua" w:cs="宋体"/>
          <w:i/>
          <w:iCs/>
        </w:rPr>
        <w:t>South Med J</w:t>
      </w:r>
      <w:r w:rsidRPr="00C66870">
        <w:rPr>
          <w:rFonts w:ascii="Book Antiqua" w:eastAsia="宋体" w:hAnsi="Book Antiqua" w:cs="宋体"/>
        </w:rPr>
        <w:t> 2013; </w:t>
      </w:r>
      <w:r w:rsidRPr="00C66870">
        <w:rPr>
          <w:rFonts w:ascii="Book Antiqua" w:eastAsia="宋体" w:hAnsi="Book Antiqua" w:cs="宋体"/>
          <w:b/>
          <w:bCs/>
        </w:rPr>
        <w:t>106</w:t>
      </w:r>
      <w:r w:rsidRPr="00C66870">
        <w:rPr>
          <w:rFonts w:ascii="Book Antiqua" w:eastAsia="宋体" w:hAnsi="Book Antiqua" w:cs="宋体"/>
        </w:rPr>
        <w:t>: 545-549 [PMID: 24096947 DOI: 10.1097/SMJ.0000000000000001</w:t>
      </w:r>
      <w:r>
        <w:rPr>
          <w:rFonts w:ascii="Book Antiqua" w:eastAsia="宋体" w:hAnsi="Book Antiqua" w:cs="宋体"/>
        </w:rPr>
        <w:t>]</w:t>
      </w:r>
    </w:p>
    <w:p w14:paraId="7E182FEE" w14:textId="0D1AC6F5" w:rsidR="002147A2" w:rsidRPr="009F42E6" w:rsidRDefault="002147A2" w:rsidP="00B83F55">
      <w:pPr>
        <w:spacing w:line="360" w:lineRule="auto"/>
        <w:jc w:val="both"/>
        <w:rPr>
          <w:rFonts w:ascii="Book Antiqua" w:eastAsia="Times New Roman" w:hAnsi="Book Antiqua" w:cs="Times New Roman"/>
        </w:rPr>
      </w:pPr>
    </w:p>
    <w:p w14:paraId="497E24DA" w14:textId="77777777" w:rsidR="005D1DA4" w:rsidRDefault="00B614FC" w:rsidP="00B83F55">
      <w:pPr>
        <w:pStyle w:val="ListParagraph"/>
        <w:wordWrap w:val="0"/>
        <w:spacing w:line="360" w:lineRule="auto"/>
        <w:ind w:left="360" w:right="120"/>
        <w:jc w:val="right"/>
        <w:rPr>
          <w:rFonts w:ascii="Book Antiqua" w:eastAsia="宋体" w:hAnsi="Book Antiqua"/>
          <w:b/>
          <w:bCs/>
          <w:color w:val="000000"/>
          <w:lang w:eastAsia="zh-CN"/>
        </w:rPr>
      </w:pPr>
      <w:bookmarkStart w:id="13" w:name="OLE_LINK427"/>
      <w:bookmarkStart w:id="14" w:name="OLE_LINK435"/>
      <w:bookmarkStart w:id="15" w:name="OLE_LINK516"/>
      <w:bookmarkStart w:id="16" w:name="OLE_LINK45"/>
      <w:bookmarkStart w:id="17" w:name="OLE_LINK132"/>
      <w:bookmarkStart w:id="18" w:name="OLE_LINK529"/>
      <w:bookmarkStart w:id="19" w:name="OLE_LINK541"/>
      <w:bookmarkStart w:id="20" w:name="OLE_LINK560"/>
      <w:bookmarkStart w:id="21"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Armellini</w:t>
      </w:r>
      <w:proofErr w:type="spellEnd"/>
      <w:r>
        <w:rPr>
          <w:rFonts w:ascii="Book Antiqua" w:eastAsia="宋体" w:hAnsi="Book Antiqua" w:hint="eastAsia"/>
          <w:bCs/>
          <w:color w:val="000000"/>
          <w:lang w:eastAsia="zh-CN"/>
        </w:rPr>
        <w:t xml:space="preserve"> </w:t>
      </w:r>
      <w:r w:rsidRPr="00B614FC">
        <w:rPr>
          <w:rFonts w:ascii="Book Antiqua" w:hAnsi="Book Antiqua"/>
          <w:bCs/>
          <w:color w:val="000000"/>
        </w:rPr>
        <w:t>E</w:t>
      </w:r>
      <w:r>
        <w:rPr>
          <w:rFonts w:ascii="Book Antiqua" w:eastAsia="宋体" w:hAnsi="Book Antiqua" w:hint="eastAsia"/>
          <w:bCs/>
          <w:color w:val="000000"/>
          <w:lang w:eastAsia="zh-CN"/>
        </w:rPr>
        <w:t>,</w:t>
      </w:r>
      <w:r w:rsidRPr="00712F63">
        <w:rPr>
          <w:rFonts w:ascii="Book Antiqua" w:hAnsi="Book Antiqua"/>
          <w:bCs/>
          <w:color w:val="000000"/>
        </w:rPr>
        <w:t xml:space="preserve"> </w:t>
      </w:r>
      <w:r w:rsidRPr="00B614FC">
        <w:rPr>
          <w:rFonts w:ascii="Book Antiqua" w:hAnsi="Book Antiqua"/>
          <w:bCs/>
          <w:color w:val="000000"/>
        </w:rPr>
        <w:t>Braden</w:t>
      </w:r>
      <w:r>
        <w:rPr>
          <w:rFonts w:ascii="Book Antiqua" w:eastAsia="宋体" w:hAnsi="Book Antiqua" w:hint="eastAsia"/>
          <w:bCs/>
          <w:color w:val="000000"/>
          <w:lang w:eastAsia="zh-CN"/>
        </w:rPr>
        <w:t xml:space="preserve"> B,</w:t>
      </w:r>
      <w:r w:rsidRPr="00712F63">
        <w:rPr>
          <w:rFonts w:ascii="Book Antiqua" w:hAnsi="Book Antiqua"/>
          <w:bCs/>
          <w:color w:val="000000"/>
        </w:rPr>
        <w:t xml:space="preserve"> </w:t>
      </w:r>
      <w:r>
        <w:rPr>
          <w:rFonts w:ascii="Book Antiqua" w:hAnsi="Book Antiqua"/>
          <w:bCs/>
          <w:color w:val="000000"/>
        </w:rPr>
        <w:t>Zhang</w:t>
      </w:r>
      <w:r>
        <w:rPr>
          <w:rFonts w:ascii="Book Antiqua" w:eastAsia="宋体" w:hAnsi="Book Antiqua" w:hint="eastAsia"/>
          <w:bCs/>
          <w:color w:val="000000"/>
          <w:lang w:eastAsia="zh-CN"/>
        </w:rPr>
        <w:t xml:space="preserve"> </w:t>
      </w:r>
      <w:r w:rsidRPr="00B614FC">
        <w:rPr>
          <w:rFonts w:ascii="Book Antiqua" w:hAnsi="Book Antiqua"/>
          <w:bCs/>
          <w:color w:val="000000"/>
        </w:rPr>
        <w:t>QS</w:t>
      </w:r>
      <w:r>
        <w:rPr>
          <w:rFonts w:ascii="Book Antiqua" w:eastAsia="宋体" w:hAnsi="Book Antiqua" w:hint="eastAsia"/>
          <w:bCs/>
          <w:color w:val="000000"/>
          <w:lang w:eastAsia="zh-CN"/>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14:paraId="2F4A262B" w14:textId="07588F39" w:rsidR="00B614FC" w:rsidRPr="00712F63" w:rsidRDefault="00B614FC" w:rsidP="00B83F55">
      <w:pPr>
        <w:pStyle w:val="ListParagraph"/>
        <w:spacing w:line="360" w:lineRule="auto"/>
        <w:ind w:left="360" w:right="120"/>
        <w:jc w:val="right"/>
        <w:rPr>
          <w:rFonts w:ascii="Book Antiqua" w:eastAsia="宋体" w:hAnsi="Book Antiqua"/>
          <w:b/>
          <w:bCs/>
          <w:color w:val="000000"/>
          <w:lang w:eastAsia="zh-CN"/>
        </w:rPr>
      </w:pP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13"/>
    <w:bookmarkEnd w:id="14"/>
    <w:bookmarkEnd w:id="15"/>
    <w:bookmarkEnd w:id="16"/>
    <w:bookmarkEnd w:id="17"/>
    <w:bookmarkEnd w:id="18"/>
    <w:bookmarkEnd w:id="19"/>
    <w:bookmarkEnd w:id="20"/>
    <w:bookmarkEnd w:id="21"/>
    <w:p w14:paraId="1D4ABEC7" w14:textId="668FB445" w:rsidR="000E1648" w:rsidRDefault="000E1648" w:rsidP="00B83F55">
      <w:pPr>
        <w:jc w:val="both"/>
        <w:rPr>
          <w:rFonts w:ascii="Book Antiqua" w:hAnsi="Book Antiqua"/>
        </w:rPr>
      </w:pPr>
      <w:r>
        <w:rPr>
          <w:rFonts w:ascii="Book Antiqua" w:hAnsi="Book Antiqua"/>
        </w:rPr>
        <w:br w:type="page"/>
      </w:r>
    </w:p>
    <w:p w14:paraId="4B8BEFE9" w14:textId="77777777" w:rsidR="000E1648" w:rsidRDefault="000E1648" w:rsidP="00B83F55">
      <w:pPr>
        <w:spacing w:line="360" w:lineRule="auto"/>
        <w:jc w:val="both"/>
        <w:rPr>
          <w:rFonts w:ascii="Book Antiqua" w:eastAsia="宋体" w:hAnsi="Book Antiqua"/>
          <w:lang w:eastAsia="zh-CN"/>
        </w:rPr>
      </w:pPr>
    </w:p>
    <w:p w14:paraId="527FA319" w14:textId="77777777" w:rsidR="000E1648" w:rsidRPr="009418C0" w:rsidRDefault="000E1648" w:rsidP="00B83F55">
      <w:pPr>
        <w:spacing w:line="360" w:lineRule="auto"/>
        <w:jc w:val="both"/>
        <w:rPr>
          <w:rFonts w:ascii="Book Antiqua" w:eastAsia="宋体" w:hAnsi="Book Antiqua"/>
          <w:lang w:eastAsia="zh-CN"/>
        </w:rPr>
      </w:pPr>
    </w:p>
    <w:p w14:paraId="05A0CDAD" w14:textId="7C98AE33" w:rsidR="000E1648" w:rsidRPr="000E1648" w:rsidRDefault="000E1648" w:rsidP="00B83F55">
      <w:pPr>
        <w:spacing w:line="360" w:lineRule="auto"/>
        <w:jc w:val="both"/>
        <w:rPr>
          <w:rFonts w:ascii="Book Antiqua" w:eastAsia="宋体" w:hAnsi="Book Antiqua"/>
          <w:b/>
          <w:lang w:eastAsia="zh-CN"/>
        </w:rPr>
      </w:pPr>
      <w:r>
        <w:rPr>
          <w:rFonts w:ascii="Book Antiqua" w:eastAsia="宋体" w:hAnsi="Book Antiqua" w:hint="eastAsia"/>
          <w:b/>
          <w:lang w:eastAsia="zh-CN"/>
        </w:rPr>
        <w:t xml:space="preserve">Table 1 </w:t>
      </w:r>
      <w:r w:rsidRPr="009F42E6">
        <w:rPr>
          <w:rFonts w:ascii="Book Antiqua" w:hAnsi="Book Antiqua"/>
          <w:b/>
        </w:rPr>
        <w:t>Summary of recommendations fo</w:t>
      </w:r>
      <w:r>
        <w:rPr>
          <w:rFonts w:ascii="Book Antiqua" w:hAnsi="Book Antiqua"/>
          <w:b/>
        </w:rPr>
        <w:t>r elective endoscopic procedure</w:t>
      </w:r>
    </w:p>
    <w:tbl>
      <w:tblPr>
        <w:tblStyle w:val="TableGrid"/>
        <w:tblW w:w="12240" w:type="dxa"/>
        <w:tblInd w:w="-15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616"/>
        <w:gridCol w:w="4824"/>
      </w:tblGrid>
      <w:tr w:rsidR="000E1648" w:rsidRPr="009F42E6" w14:paraId="38ECC54D" w14:textId="77777777" w:rsidTr="000E1648">
        <w:tc>
          <w:tcPr>
            <w:tcW w:w="1800" w:type="dxa"/>
            <w:tcBorders>
              <w:top w:val="single" w:sz="4" w:space="0" w:color="auto"/>
              <w:bottom w:val="single" w:sz="4" w:space="0" w:color="auto"/>
            </w:tcBorders>
          </w:tcPr>
          <w:p w14:paraId="04FF264A" w14:textId="77777777" w:rsidR="000E1648" w:rsidRPr="000E1648" w:rsidRDefault="000E1648" w:rsidP="00B83F55">
            <w:pPr>
              <w:spacing w:line="360" w:lineRule="auto"/>
              <w:jc w:val="both"/>
              <w:rPr>
                <w:rFonts w:ascii="Book Antiqua" w:hAnsi="Book Antiqua"/>
                <w:b/>
              </w:rPr>
            </w:pPr>
          </w:p>
        </w:tc>
        <w:tc>
          <w:tcPr>
            <w:tcW w:w="5616" w:type="dxa"/>
            <w:tcBorders>
              <w:top w:val="single" w:sz="4" w:space="0" w:color="auto"/>
              <w:bottom w:val="single" w:sz="4" w:space="0" w:color="auto"/>
            </w:tcBorders>
          </w:tcPr>
          <w:p w14:paraId="4B6CA073" w14:textId="77777777" w:rsidR="000E1648" w:rsidRPr="000E1648" w:rsidRDefault="000E1648" w:rsidP="00B83F55">
            <w:pPr>
              <w:spacing w:line="360" w:lineRule="auto"/>
              <w:jc w:val="both"/>
              <w:rPr>
                <w:rFonts w:ascii="Book Antiqua" w:hAnsi="Book Antiqua"/>
                <w:b/>
              </w:rPr>
            </w:pPr>
            <w:r w:rsidRPr="000E1648">
              <w:rPr>
                <w:rFonts w:ascii="Book Antiqua" w:hAnsi="Book Antiqua"/>
                <w:b/>
              </w:rPr>
              <w:t>Low-risk conditions</w:t>
            </w:r>
          </w:p>
        </w:tc>
        <w:tc>
          <w:tcPr>
            <w:tcW w:w="4824" w:type="dxa"/>
            <w:tcBorders>
              <w:top w:val="single" w:sz="4" w:space="0" w:color="auto"/>
              <w:bottom w:val="single" w:sz="4" w:space="0" w:color="auto"/>
            </w:tcBorders>
          </w:tcPr>
          <w:p w14:paraId="21544521" w14:textId="77777777" w:rsidR="000E1648" w:rsidRPr="000E1648" w:rsidRDefault="000E1648" w:rsidP="00B83F55">
            <w:pPr>
              <w:spacing w:line="360" w:lineRule="auto"/>
              <w:jc w:val="both"/>
              <w:rPr>
                <w:rFonts w:ascii="Book Antiqua" w:hAnsi="Book Antiqua"/>
                <w:b/>
              </w:rPr>
            </w:pPr>
            <w:r w:rsidRPr="000E1648">
              <w:rPr>
                <w:rFonts w:ascii="Book Antiqua" w:hAnsi="Book Antiqua"/>
                <w:b/>
              </w:rPr>
              <w:t>High-risk conditions</w:t>
            </w:r>
          </w:p>
        </w:tc>
      </w:tr>
      <w:tr w:rsidR="000E1648" w:rsidRPr="009F42E6" w14:paraId="645D78A6" w14:textId="77777777" w:rsidTr="000E1648">
        <w:trPr>
          <w:trHeight w:val="2600"/>
        </w:trPr>
        <w:tc>
          <w:tcPr>
            <w:tcW w:w="1800" w:type="dxa"/>
            <w:tcBorders>
              <w:top w:val="single" w:sz="4" w:space="0" w:color="auto"/>
            </w:tcBorders>
          </w:tcPr>
          <w:p w14:paraId="6E59EB4B" w14:textId="77777777" w:rsidR="000E1648" w:rsidRPr="009F42E6" w:rsidRDefault="000E1648" w:rsidP="00B83F55">
            <w:pPr>
              <w:spacing w:line="360" w:lineRule="auto"/>
              <w:jc w:val="both"/>
              <w:rPr>
                <w:rFonts w:ascii="Book Antiqua" w:hAnsi="Book Antiqua"/>
              </w:rPr>
            </w:pPr>
            <w:r w:rsidRPr="009F42E6">
              <w:rPr>
                <w:rFonts w:ascii="Book Antiqua" w:hAnsi="Book Antiqua"/>
              </w:rPr>
              <w:t>Low-risk procedures</w:t>
            </w:r>
          </w:p>
        </w:tc>
        <w:tc>
          <w:tcPr>
            <w:tcW w:w="5616" w:type="dxa"/>
            <w:tcBorders>
              <w:top w:val="single" w:sz="4" w:space="0" w:color="auto"/>
            </w:tcBorders>
          </w:tcPr>
          <w:p w14:paraId="0AA491AA" w14:textId="77777777" w:rsidR="000E1648" w:rsidRPr="009F42E6" w:rsidRDefault="000E1648" w:rsidP="00B83F55">
            <w:pPr>
              <w:spacing w:line="360" w:lineRule="auto"/>
              <w:jc w:val="both"/>
              <w:rPr>
                <w:rFonts w:ascii="Book Antiqua" w:hAnsi="Book Antiqua"/>
              </w:rPr>
            </w:pPr>
            <w:r w:rsidRPr="009F42E6">
              <w:rPr>
                <w:rFonts w:ascii="Book Antiqua" w:hAnsi="Book Antiqua"/>
              </w:rPr>
              <w:t>Continue APA, warfarin and NOAC.</w:t>
            </w:r>
          </w:p>
          <w:p w14:paraId="6674CC25" w14:textId="77777777" w:rsidR="000E1648" w:rsidRPr="009F42E6" w:rsidRDefault="000E1648" w:rsidP="00B83F55">
            <w:pPr>
              <w:spacing w:line="360" w:lineRule="auto"/>
              <w:jc w:val="both"/>
              <w:rPr>
                <w:rFonts w:ascii="Book Antiqua" w:hAnsi="Book Antiqua"/>
              </w:rPr>
            </w:pPr>
            <w:r w:rsidRPr="009F42E6">
              <w:rPr>
                <w:rFonts w:ascii="Book Antiqua" w:hAnsi="Book Antiqua"/>
              </w:rPr>
              <w:t>Keep INR in therapeutic range in case of warfarin</w:t>
            </w:r>
          </w:p>
        </w:tc>
        <w:tc>
          <w:tcPr>
            <w:tcW w:w="4824" w:type="dxa"/>
            <w:tcBorders>
              <w:top w:val="single" w:sz="4" w:space="0" w:color="auto"/>
            </w:tcBorders>
          </w:tcPr>
          <w:p w14:paraId="29C899C9" w14:textId="77777777" w:rsidR="000E1648" w:rsidRPr="009F42E6" w:rsidRDefault="000E1648" w:rsidP="00B83F55">
            <w:pPr>
              <w:spacing w:line="360" w:lineRule="auto"/>
              <w:jc w:val="both"/>
              <w:rPr>
                <w:rFonts w:ascii="Book Antiqua" w:hAnsi="Book Antiqua"/>
              </w:rPr>
            </w:pPr>
            <w:r w:rsidRPr="009F42E6">
              <w:rPr>
                <w:rFonts w:ascii="Book Antiqua" w:hAnsi="Book Antiqua"/>
              </w:rPr>
              <w:t>Continue APA, warfarin and NOAC.</w:t>
            </w:r>
          </w:p>
          <w:p w14:paraId="0FC06E8B" w14:textId="77777777" w:rsidR="000E1648" w:rsidRPr="009F42E6" w:rsidRDefault="000E1648" w:rsidP="00B83F55">
            <w:pPr>
              <w:spacing w:line="360" w:lineRule="auto"/>
              <w:jc w:val="both"/>
              <w:rPr>
                <w:rFonts w:ascii="Book Antiqua" w:hAnsi="Book Antiqua"/>
              </w:rPr>
            </w:pPr>
            <w:r w:rsidRPr="009F42E6">
              <w:rPr>
                <w:rFonts w:ascii="Book Antiqua" w:hAnsi="Book Antiqua"/>
              </w:rPr>
              <w:t>Keep INR in therapeutic range in case of warfarin</w:t>
            </w:r>
          </w:p>
        </w:tc>
      </w:tr>
      <w:tr w:rsidR="000E1648" w:rsidRPr="009F42E6" w14:paraId="560F8939" w14:textId="77777777" w:rsidTr="000E1648">
        <w:trPr>
          <w:trHeight w:val="90"/>
        </w:trPr>
        <w:tc>
          <w:tcPr>
            <w:tcW w:w="1800" w:type="dxa"/>
          </w:tcPr>
          <w:p w14:paraId="70EA744F" w14:textId="77777777" w:rsidR="000E1648" w:rsidRPr="009F42E6" w:rsidRDefault="000E1648" w:rsidP="00B83F55">
            <w:pPr>
              <w:spacing w:line="360" w:lineRule="auto"/>
              <w:jc w:val="both"/>
              <w:rPr>
                <w:rFonts w:ascii="Book Antiqua" w:hAnsi="Book Antiqua"/>
              </w:rPr>
            </w:pPr>
            <w:r w:rsidRPr="009F42E6">
              <w:rPr>
                <w:rFonts w:ascii="Book Antiqua" w:hAnsi="Book Antiqua"/>
              </w:rPr>
              <w:t>High-risk procedures</w:t>
            </w:r>
          </w:p>
        </w:tc>
        <w:tc>
          <w:tcPr>
            <w:tcW w:w="5616" w:type="dxa"/>
          </w:tcPr>
          <w:p w14:paraId="6D7CEC23" w14:textId="4AF35FAF" w:rsidR="000E1648" w:rsidRPr="009F42E6" w:rsidRDefault="000E1648" w:rsidP="00B83F55">
            <w:pPr>
              <w:spacing w:line="360" w:lineRule="auto"/>
              <w:jc w:val="both"/>
              <w:rPr>
                <w:rFonts w:ascii="Book Antiqua" w:hAnsi="Book Antiqua"/>
              </w:rPr>
            </w:pPr>
            <w:r w:rsidRPr="009F42E6">
              <w:rPr>
                <w:rFonts w:ascii="Book Antiqua" w:hAnsi="Book Antiqua"/>
              </w:rPr>
              <w:t xml:space="preserve">1. Hold </w:t>
            </w:r>
            <w:proofErr w:type="spellStart"/>
            <w:r w:rsidRPr="009F42E6">
              <w:rPr>
                <w:rFonts w:ascii="Book Antiqua" w:hAnsi="Book Antiqua"/>
              </w:rPr>
              <w:t>thienopyridines</w:t>
            </w:r>
            <w:proofErr w:type="spellEnd"/>
            <w:r w:rsidRPr="009F42E6">
              <w:rPr>
                <w:rFonts w:ascii="Book Antiqua" w:hAnsi="Book Antiqua"/>
              </w:rPr>
              <w:t xml:space="preserve"> for 5 to 7 </w:t>
            </w:r>
            <w:r>
              <w:rPr>
                <w:rFonts w:ascii="Book Antiqua" w:eastAsia="宋体" w:hAnsi="Book Antiqua" w:hint="eastAsia"/>
                <w:lang w:eastAsia="zh-CN"/>
              </w:rPr>
              <w:t>d</w:t>
            </w:r>
            <w:r w:rsidRPr="009F42E6">
              <w:rPr>
                <w:rFonts w:ascii="Book Antiqua" w:hAnsi="Book Antiqua"/>
              </w:rPr>
              <w:t xml:space="preserve"> before the procedure. Resume </w:t>
            </w:r>
            <w:proofErr w:type="spellStart"/>
            <w:r w:rsidRPr="009F42E6">
              <w:rPr>
                <w:rFonts w:ascii="Book Antiqua" w:hAnsi="Book Antiqua"/>
              </w:rPr>
              <w:t>theonopyridine</w:t>
            </w:r>
            <w:proofErr w:type="spellEnd"/>
            <w:r w:rsidRPr="009F42E6">
              <w:rPr>
                <w:rFonts w:ascii="Book Antiqua" w:hAnsi="Book Antiqua"/>
              </w:rPr>
              <w:t xml:space="preserve"> once hemostasis is obtained.</w:t>
            </w:r>
          </w:p>
          <w:p w14:paraId="1933A46F" w14:textId="74FEE88A" w:rsidR="000E1648" w:rsidRPr="000E1648" w:rsidRDefault="000E1648" w:rsidP="00B83F55">
            <w:pPr>
              <w:spacing w:line="360" w:lineRule="auto"/>
              <w:jc w:val="both"/>
              <w:rPr>
                <w:rFonts w:ascii="Book Antiqua" w:eastAsia="宋体" w:hAnsi="Book Antiqua"/>
                <w:lang w:eastAsia="zh-CN"/>
              </w:rPr>
            </w:pPr>
            <w:r w:rsidRPr="009F42E6">
              <w:rPr>
                <w:rFonts w:ascii="Book Antiqua" w:hAnsi="Book Antiqua"/>
              </w:rPr>
              <w:t xml:space="preserve">2. </w:t>
            </w:r>
            <w:proofErr w:type="gramStart"/>
            <w:r w:rsidRPr="009F42E6">
              <w:rPr>
                <w:rFonts w:ascii="Book Antiqua" w:hAnsi="Book Antiqua"/>
              </w:rPr>
              <w:t>in</w:t>
            </w:r>
            <w:proofErr w:type="gramEnd"/>
            <w:r w:rsidRPr="009F42E6">
              <w:rPr>
                <w:rFonts w:ascii="Book Antiqua" w:hAnsi="Book Antiqua"/>
              </w:rPr>
              <w:t xml:space="preserve"> case of dual APA, hold  </w:t>
            </w:r>
            <w:proofErr w:type="spellStart"/>
            <w:r w:rsidRPr="009F42E6">
              <w:rPr>
                <w:rFonts w:ascii="Book Antiqua" w:hAnsi="Book Antiqua"/>
              </w:rPr>
              <w:t>thienopyridines</w:t>
            </w:r>
            <w:proofErr w:type="spellEnd"/>
            <w:r w:rsidRPr="009F42E6">
              <w:rPr>
                <w:rFonts w:ascii="Book Antiqua" w:hAnsi="Book Antiqua"/>
              </w:rPr>
              <w:t xml:space="preserve"> for 5 to 7 </w:t>
            </w:r>
            <w:r>
              <w:rPr>
                <w:rFonts w:ascii="Book Antiqua" w:eastAsia="宋体" w:hAnsi="Book Antiqua" w:hint="eastAsia"/>
                <w:lang w:eastAsia="zh-CN"/>
              </w:rPr>
              <w:t>d</w:t>
            </w:r>
            <w:r w:rsidRPr="009F42E6">
              <w:rPr>
                <w:rFonts w:ascii="Book Antiqua" w:hAnsi="Book Antiqua"/>
              </w:rPr>
              <w:t xml:space="preserve"> before the procedure but continue aspirin.</w:t>
            </w:r>
          </w:p>
          <w:p w14:paraId="1821EBD7" w14:textId="57E4863E" w:rsidR="000E1648" w:rsidRPr="000E1648" w:rsidRDefault="000E1648" w:rsidP="00B83F55">
            <w:pPr>
              <w:spacing w:line="360" w:lineRule="auto"/>
              <w:jc w:val="both"/>
              <w:rPr>
                <w:rFonts w:ascii="Book Antiqua" w:eastAsia="宋体" w:hAnsi="Book Antiqua"/>
                <w:lang w:eastAsia="zh-CN"/>
              </w:rPr>
            </w:pPr>
            <w:r w:rsidRPr="009F42E6">
              <w:rPr>
                <w:rFonts w:ascii="Book Antiqua" w:hAnsi="Book Antiqua"/>
              </w:rPr>
              <w:t xml:space="preserve">3. Hold warfarin 5 </w:t>
            </w:r>
            <w:r>
              <w:rPr>
                <w:rFonts w:ascii="Book Antiqua" w:eastAsia="宋体" w:hAnsi="Book Antiqua" w:hint="eastAsia"/>
                <w:lang w:eastAsia="zh-CN"/>
              </w:rPr>
              <w:t>d</w:t>
            </w:r>
            <w:r w:rsidRPr="009F42E6">
              <w:rPr>
                <w:rFonts w:ascii="Book Antiqua" w:hAnsi="Book Antiqua"/>
              </w:rPr>
              <w:t xml:space="preserve"> before the procedure. Resume warfarin on the </w:t>
            </w:r>
            <w:r>
              <w:rPr>
                <w:rFonts w:ascii="Book Antiqua" w:hAnsi="Book Antiqua"/>
              </w:rPr>
              <w:t>same day as the procedure</w:t>
            </w:r>
          </w:p>
          <w:p w14:paraId="6861640E" w14:textId="105DBCBB" w:rsidR="000E1648" w:rsidRPr="009F42E6" w:rsidRDefault="000E1648" w:rsidP="00B83F55">
            <w:pPr>
              <w:spacing w:line="360" w:lineRule="auto"/>
              <w:jc w:val="both"/>
              <w:rPr>
                <w:rFonts w:ascii="Book Antiqua" w:hAnsi="Book Antiqua"/>
              </w:rPr>
            </w:pPr>
            <w:r w:rsidRPr="009F42E6">
              <w:rPr>
                <w:rFonts w:ascii="Book Antiqua" w:hAnsi="Book Antiqua"/>
              </w:rPr>
              <w:t xml:space="preserve">4. Hold NOAC: </w:t>
            </w:r>
            <w:proofErr w:type="spellStart"/>
            <w:r w:rsidRPr="009F42E6">
              <w:rPr>
                <w:rFonts w:ascii="Book Antiqua" w:hAnsi="Book Antiqua"/>
              </w:rPr>
              <w:t>rivaroxaban</w:t>
            </w:r>
            <w:proofErr w:type="spellEnd"/>
            <w:r w:rsidRPr="009F42E6">
              <w:rPr>
                <w:rFonts w:ascii="Book Antiqua" w:hAnsi="Book Antiqua"/>
              </w:rPr>
              <w:t xml:space="preserve"> 2 to 4 </w:t>
            </w:r>
            <w:r>
              <w:rPr>
                <w:rFonts w:ascii="Book Antiqua" w:eastAsia="宋体" w:hAnsi="Book Antiqua" w:hint="eastAsia"/>
                <w:lang w:eastAsia="zh-CN"/>
              </w:rPr>
              <w:t>d</w:t>
            </w:r>
            <w:r w:rsidRPr="009F42E6">
              <w:rPr>
                <w:rFonts w:ascii="Book Antiqua" w:hAnsi="Book Antiqua"/>
              </w:rPr>
              <w:t xml:space="preserve">, </w:t>
            </w:r>
            <w:proofErr w:type="spellStart"/>
            <w:r w:rsidRPr="009F42E6">
              <w:rPr>
                <w:rFonts w:ascii="Book Antiqua" w:hAnsi="Book Antiqua"/>
              </w:rPr>
              <w:t>apixaban</w:t>
            </w:r>
            <w:proofErr w:type="spellEnd"/>
            <w:r w:rsidRPr="009F42E6">
              <w:rPr>
                <w:rFonts w:ascii="Book Antiqua" w:hAnsi="Book Antiqua"/>
              </w:rPr>
              <w:t xml:space="preserve"> 2 to 4 days, </w:t>
            </w:r>
            <w:proofErr w:type="spellStart"/>
            <w:r w:rsidRPr="009F42E6">
              <w:rPr>
                <w:rFonts w:ascii="Book Antiqua" w:hAnsi="Book Antiqua"/>
              </w:rPr>
              <w:t>edoxaban</w:t>
            </w:r>
            <w:proofErr w:type="spellEnd"/>
            <w:r w:rsidRPr="009F42E6">
              <w:rPr>
                <w:rFonts w:ascii="Book Antiqua" w:hAnsi="Book Antiqua"/>
              </w:rPr>
              <w:t xml:space="preserve"> 1 day and </w:t>
            </w:r>
            <w:proofErr w:type="spellStart"/>
            <w:r w:rsidRPr="009F42E6">
              <w:rPr>
                <w:rFonts w:ascii="Book Antiqua" w:hAnsi="Book Antiqua"/>
              </w:rPr>
              <w:t>dabigatran</w:t>
            </w:r>
            <w:proofErr w:type="spellEnd"/>
            <w:r w:rsidRPr="009F42E6">
              <w:rPr>
                <w:rFonts w:ascii="Book Antiqua" w:hAnsi="Book Antiqua"/>
              </w:rPr>
              <w:t xml:space="preserve"> 2 to 6 days before the procedure depending on </w:t>
            </w:r>
            <w:proofErr w:type="spellStart"/>
            <w:r w:rsidRPr="009F42E6">
              <w:rPr>
                <w:rFonts w:ascii="Book Antiqua" w:hAnsi="Book Antiqua"/>
              </w:rPr>
              <w:t>creatinine</w:t>
            </w:r>
            <w:proofErr w:type="spellEnd"/>
            <w:r w:rsidRPr="009F42E6">
              <w:rPr>
                <w:rFonts w:ascii="Book Antiqua" w:hAnsi="Book Antiqua"/>
              </w:rPr>
              <w:t xml:space="preserve"> clearance. Resume NOAC when adequate hemostasis is obtained.</w:t>
            </w:r>
          </w:p>
        </w:tc>
        <w:tc>
          <w:tcPr>
            <w:tcW w:w="4824" w:type="dxa"/>
          </w:tcPr>
          <w:p w14:paraId="7B485BD4" w14:textId="2EF1344F" w:rsidR="000E1648" w:rsidRPr="009F42E6" w:rsidRDefault="000E1648" w:rsidP="00B83F55">
            <w:pPr>
              <w:spacing w:line="360" w:lineRule="auto"/>
              <w:jc w:val="both"/>
              <w:rPr>
                <w:rFonts w:ascii="Book Antiqua" w:hAnsi="Book Antiqua"/>
              </w:rPr>
            </w:pPr>
            <w:r w:rsidRPr="009F42E6">
              <w:rPr>
                <w:rFonts w:ascii="Book Antiqua" w:hAnsi="Book Antiqua"/>
              </w:rPr>
              <w:t xml:space="preserve">1. Hold </w:t>
            </w:r>
            <w:proofErr w:type="spellStart"/>
            <w:r w:rsidRPr="009F42E6">
              <w:rPr>
                <w:rFonts w:ascii="Book Antiqua" w:hAnsi="Book Antiqua"/>
              </w:rPr>
              <w:t>thienopyridines</w:t>
            </w:r>
            <w:proofErr w:type="spellEnd"/>
            <w:r w:rsidRPr="009F42E6">
              <w:rPr>
                <w:rFonts w:ascii="Book Antiqua" w:hAnsi="Book Antiqua"/>
              </w:rPr>
              <w:t xml:space="preserve"> for 5 to 7 </w:t>
            </w:r>
            <w:r>
              <w:rPr>
                <w:rFonts w:ascii="Book Antiqua" w:eastAsia="宋体" w:hAnsi="Book Antiqua" w:hint="eastAsia"/>
                <w:lang w:eastAsia="zh-CN"/>
              </w:rPr>
              <w:t>d</w:t>
            </w:r>
            <w:r w:rsidRPr="009F42E6">
              <w:rPr>
                <w:rFonts w:ascii="Book Antiqua" w:hAnsi="Book Antiqua"/>
              </w:rPr>
              <w:t xml:space="preserve"> before the procedure after discussion with the cardiologist. Resume </w:t>
            </w:r>
            <w:proofErr w:type="spellStart"/>
            <w:r w:rsidRPr="009F42E6">
              <w:rPr>
                <w:rFonts w:ascii="Book Antiqua" w:hAnsi="Book Antiqua"/>
              </w:rPr>
              <w:t>theonopyridine</w:t>
            </w:r>
            <w:proofErr w:type="spellEnd"/>
            <w:r w:rsidRPr="009F42E6">
              <w:rPr>
                <w:rFonts w:ascii="Book Antiqua" w:hAnsi="Book Antiqua"/>
              </w:rPr>
              <w:t xml:space="preserve"> once hemostasis is obtained.</w:t>
            </w:r>
          </w:p>
          <w:p w14:paraId="21F7BFB1" w14:textId="55243F1E" w:rsidR="000E1648" w:rsidRPr="009F42E6" w:rsidRDefault="000E1648" w:rsidP="00B83F55">
            <w:pPr>
              <w:spacing w:line="360" w:lineRule="auto"/>
              <w:jc w:val="both"/>
              <w:rPr>
                <w:rFonts w:ascii="Book Antiqua" w:hAnsi="Book Antiqua"/>
              </w:rPr>
            </w:pPr>
            <w:r w:rsidRPr="009F42E6">
              <w:rPr>
                <w:rFonts w:ascii="Book Antiqua" w:hAnsi="Book Antiqua"/>
              </w:rPr>
              <w:t xml:space="preserve">2. </w:t>
            </w:r>
            <w:bookmarkStart w:id="22" w:name="_GoBack"/>
            <w:bookmarkEnd w:id="22"/>
            <w:r w:rsidR="00F92016" w:rsidRPr="009F42E6">
              <w:rPr>
                <w:rFonts w:ascii="Book Antiqua" w:hAnsi="Book Antiqua"/>
              </w:rPr>
              <w:t>In</w:t>
            </w:r>
            <w:r w:rsidRPr="009F42E6">
              <w:rPr>
                <w:rFonts w:ascii="Book Antiqua" w:hAnsi="Book Antiqua"/>
              </w:rPr>
              <w:t xml:space="preserve"> case of dual APA, </w:t>
            </w:r>
            <w:proofErr w:type="gramStart"/>
            <w:r w:rsidRPr="009F42E6">
              <w:rPr>
                <w:rFonts w:ascii="Book Antiqua" w:hAnsi="Book Antiqua"/>
              </w:rPr>
              <w:t xml:space="preserve">hold  </w:t>
            </w:r>
            <w:proofErr w:type="spellStart"/>
            <w:r w:rsidRPr="009F42E6">
              <w:rPr>
                <w:rFonts w:ascii="Book Antiqua" w:hAnsi="Book Antiqua"/>
              </w:rPr>
              <w:t>thienopyridines</w:t>
            </w:r>
            <w:proofErr w:type="spellEnd"/>
            <w:proofErr w:type="gramEnd"/>
            <w:r w:rsidRPr="009F42E6">
              <w:rPr>
                <w:rFonts w:ascii="Book Antiqua" w:hAnsi="Book Antiqua"/>
              </w:rPr>
              <w:t xml:space="preserve"> for 5 to 7 </w:t>
            </w:r>
            <w:r w:rsidR="00743FD4">
              <w:rPr>
                <w:rFonts w:ascii="Book Antiqua" w:eastAsia="宋体" w:hAnsi="Book Antiqua" w:hint="eastAsia"/>
                <w:lang w:eastAsia="zh-CN"/>
              </w:rPr>
              <w:t>d</w:t>
            </w:r>
            <w:r w:rsidRPr="009F42E6">
              <w:rPr>
                <w:rFonts w:ascii="Book Antiqua" w:hAnsi="Book Antiqua"/>
              </w:rPr>
              <w:t xml:space="preserve"> before the procedure but continue aspirin.</w:t>
            </w:r>
          </w:p>
          <w:p w14:paraId="38819D87" w14:textId="77777777" w:rsidR="000E1648" w:rsidRPr="009F42E6" w:rsidRDefault="000E1648" w:rsidP="00B83F55">
            <w:pPr>
              <w:spacing w:line="360" w:lineRule="auto"/>
              <w:jc w:val="both"/>
              <w:rPr>
                <w:rFonts w:ascii="Book Antiqua" w:hAnsi="Book Antiqua"/>
              </w:rPr>
            </w:pPr>
          </w:p>
          <w:p w14:paraId="5F850EAC" w14:textId="77777777" w:rsidR="000E1648" w:rsidRPr="009F42E6" w:rsidRDefault="000E1648" w:rsidP="00B83F55">
            <w:pPr>
              <w:spacing w:line="360" w:lineRule="auto"/>
              <w:jc w:val="both"/>
              <w:rPr>
                <w:rFonts w:ascii="Book Antiqua" w:hAnsi="Book Antiqua"/>
              </w:rPr>
            </w:pPr>
            <w:r w:rsidRPr="009F42E6">
              <w:rPr>
                <w:rFonts w:ascii="Book Antiqua" w:hAnsi="Book Antiqua"/>
              </w:rPr>
              <w:t xml:space="preserve">3. Delay endoscopic procedure if coronary artery stenting done and </w:t>
            </w:r>
            <w:proofErr w:type="spellStart"/>
            <w:r w:rsidRPr="009F42E6">
              <w:rPr>
                <w:rFonts w:ascii="Book Antiqua" w:hAnsi="Book Antiqua"/>
              </w:rPr>
              <w:t>thienopyridines</w:t>
            </w:r>
            <w:proofErr w:type="spellEnd"/>
            <w:r w:rsidRPr="009F42E6">
              <w:rPr>
                <w:rFonts w:ascii="Book Antiqua" w:hAnsi="Book Antiqua"/>
              </w:rPr>
              <w:t xml:space="preserve"> cannot be discontinued.</w:t>
            </w:r>
          </w:p>
          <w:p w14:paraId="0E90B308" w14:textId="77777777" w:rsidR="000E1648" w:rsidRPr="009F42E6" w:rsidRDefault="000E1648" w:rsidP="00B83F55">
            <w:pPr>
              <w:spacing w:line="360" w:lineRule="auto"/>
              <w:jc w:val="both"/>
              <w:rPr>
                <w:rFonts w:ascii="Book Antiqua" w:hAnsi="Book Antiqua"/>
              </w:rPr>
            </w:pPr>
            <w:r w:rsidRPr="009F42E6">
              <w:rPr>
                <w:rFonts w:ascii="Book Antiqua" w:hAnsi="Book Antiqua"/>
              </w:rPr>
              <w:t>4. If the patient is on warfarin, bridge therapy with LMWH.</w:t>
            </w:r>
          </w:p>
          <w:p w14:paraId="6030E583" w14:textId="77777777" w:rsidR="000E1648" w:rsidRPr="009F42E6" w:rsidRDefault="000E1648" w:rsidP="00B83F55">
            <w:pPr>
              <w:spacing w:line="360" w:lineRule="auto"/>
              <w:jc w:val="both"/>
              <w:rPr>
                <w:rFonts w:ascii="Book Antiqua" w:hAnsi="Book Antiqua"/>
              </w:rPr>
            </w:pPr>
          </w:p>
          <w:p w14:paraId="4EE1C7DA" w14:textId="77777777" w:rsidR="000E1648" w:rsidRPr="009F42E6" w:rsidRDefault="000E1648" w:rsidP="00B83F55">
            <w:pPr>
              <w:spacing w:line="360" w:lineRule="auto"/>
              <w:jc w:val="both"/>
              <w:rPr>
                <w:rFonts w:ascii="Book Antiqua" w:hAnsi="Book Antiqua"/>
              </w:rPr>
            </w:pPr>
          </w:p>
          <w:p w14:paraId="46BCDA4D" w14:textId="77777777" w:rsidR="000E1648" w:rsidRPr="009F42E6" w:rsidRDefault="000E1648" w:rsidP="00B83F55">
            <w:pPr>
              <w:spacing w:line="360" w:lineRule="auto"/>
              <w:jc w:val="both"/>
              <w:rPr>
                <w:rFonts w:ascii="Book Antiqua" w:hAnsi="Book Antiqua"/>
              </w:rPr>
            </w:pPr>
          </w:p>
        </w:tc>
      </w:tr>
    </w:tbl>
    <w:p w14:paraId="73C2D5B5" w14:textId="75ED658A" w:rsidR="00743FD4" w:rsidRPr="000E1648" w:rsidRDefault="00743FD4" w:rsidP="00B83F55">
      <w:pPr>
        <w:tabs>
          <w:tab w:val="left" w:pos="3060"/>
        </w:tabs>
        <w:spacing w:line="360" w:lineRule="auto"/>
        <w:jc w:val="both"/>
        <w:rPr>
          <w:rFonts w:ascii="Book Antiqua" w:eastAsia="宋体" w:hAnsi="Book Antiqua"/>
          <w:lang w:eastAsia="zh-CN"/>
        </w:rPr>
      </w:pPr>
      <w:r w:rsidRPr="000E1648">
        <w:rPr>
          <w:rFonts w:ascii="Book Antiqua" w:hAnsi="Book Antiqua"/>
        </w:rPr>
        <w:t>APA</w:t>
      </w:r>
      <w:r w:rsidRPr="000E1648">
        <w:rPr>
          <w:rFonts w:ascii="Book Antiqua" w:eastAsia="宋体" w:hAnsi="Book Antiqua" w:hint="eastAsia"/>
          <w:lang w:eastAsia="zh-CN"/>
        </w:rPr>
        <w:t xml:space="preserve">: </w:t>
      </w:r>
      <w:r w:rsidRPr="000E1648">
        <w:rPr>
          <w:rFonts w:ascii="Book Antiqua" w:hAnsi="Book Antiqua"/>
        </w:rPr>
        <w:t>Antiplatelet agents</w:t>
      </w:r>
      <w:r>
        <w:rPr>
          <w:rFonts w:ascii="Book Antiqua" w:eastAsia="宋体" w:hAnsi="Book Antiqua" w:hint="eastAsia"/>
          <w:lang w:eastAsia="zh-CN"/>
        </w:rPr>
        <w:t xml:space="preserve">; </w:t>
      </w:r>
      <w:r w:rsidRPr="000E1648">
        <w:rPr>
          <w:rFonts w:ascii="Book Antiqua" w:eastAsia="宋体" w:hAnsi="Book Antiqua"/>
          <w:lang w:eastAsia="zh-CN"/>
        </w:rPr>
        <w:t>PCC</w:t>
      </w:r>
      <w:r>
        <w:rPr>
          <w:rFonts w:ascii="Book Antiqua" w:eastAsia="宋体" w:hAnsi="Book Antiqua" w:hint="eastAsia"/>
          <w:lang w:eastAsia="zh-CN"/>
        </w:rPr>
        <w:t xml:space="preserve">: </w:t>
      </w:r>
      <w:proofErr w:type="spellStart"/>
      <w:r w:rsidRPr="000E1648">
        <w:rPr>
          <w:rFonts w:ascii="Book Antiqua" w:eastAsia="宋体" w:hAnsi="Book Antiqua"/>
          <w:lang w:eastAsia="zh-CN"/>
        </w:rPr>
        <w:t>Prothrombin</w:t>
      </w:r>
      <w:proofErr w:type="spellEnd"/>
      <w:r w:rsidRPr="000E1648">
        <w:rPr>
          <w:rFonts w:ascii="Book Antiqua" w:eastAsia="宋体" w:hAnsi="Book Antiqua"/>
          <w:lang w:eastAsia="zh-CN"/>
        </w:rPr>
        <w:t xml:space="preserve"> complex</w:t>
      </w:r>
      <w:r>
        <w:rPr>
          <w:rFonts w:ascii="Book Antiqua" w:eastAsia="宋体" w:hAnsi="Book Antiqua" w:hint="eastAsia"/>
          <w:lang w:eastAsia="zh-CN"/>
        </w:rPr>
        <w:t xml:space="preserve">; </w:t>
      </w:r>
      <w:r w:rsidRPr="009418C0">
        <w:rPr>
          <w:rFonts w:ascii="Book Antiqua" w:hAnsi="Book Antiqua"/>
        </w:rPr>
        <w:t>ACS</w:t>
      </w:r>
      <w:r>
        <w:rPr>
          <w:rFonts w:ascii="Book Antiqua" w:hAnsi="Book Antiqua"/>
        </w:rPr>
        <w:t xml:space="preserve">: </w:t>
      </w:r>
      <w:r w:rsidRPr="009418C0">
        <w:rPr>
          <w:rFonts w:ascii="Book Antiqua" w:hAnsi="Book Antiqua"/>
        </w:rPr>
        <w:t>Acute coronary syndrome</w:t>
      </w:r>
      <w:r>
        <w:rPr>
          <w:rFonts w:ascii="Book Antiqua" w:eastAsia="宋体" w:hAnsi="Book Antiqua" w:hint="eastAsia"/>
          <w:lang w:eastAsia="zh-CN"/>
        </w:rPr>
        <w:t>;</w:t>
      </w:r>
      <w:r w:rsidRPr="00743FD4">
        <w:t xml:space="preserve"> </w:t>
      </w:r>
      <w:r w:rsidRPr="00743FD4">
        <w:rPr>
          <w:rFonts w:ascii="Book Antiqua" w:hAnsi="Book Antiqua"/>
        </w:rPr>
        <w:t>NOAC</w:t>
      </w:r>
      <w:r>
        <w:rPr>
          <w:rFonts w:ascii="Book Antiqua" w:eastAsia="宋体" w:hAnsi="Book Antiqua" w:hint="eastAsia"/>
          <w:lang w:eastAsia="zh-CN"/>
        </w:rPr>
        <w:t xml:space="preserve">: </w:t>
      </w:r>
      <w:r w:rsidRPr="00743FD4">
        <w:rPr>
          <w:rFonts w:ascii="Book Antiqua" w:hAnsi="Book Antiqua"/>
        </w:rPr>
        <w:t>Novel oral anticoagulants</w:t>
      </w:r>
      <w:r>
        <w:rPr>
          <w:rFonts w:ascii="Book Antiqua" w:eastAsia="宋体" w:hAnsi="Book Antiqua" w:hint="eastAsia"/>
          <w:lang w:eastAsia="zh-CN"/>
        </w:rPr>
        <w:t xml:space="preserve">; </w:t>
      </w:r>
      <w:r w:rsidRPr="00743FD4">
        <w:rPr>
          <w:rFonts w:ascii="Book Antiqua" w:eastAsia="宋体" w:hAnsi="Book Antiqua"/>
          <w:lang w:eastAsia="zh-CN"/>
        </w:rPr>
        <w:t>LMWH</w:t>
      </w:r>
      <w:r>
        <w:rPr>
          <w:rFonts w:ascii="Book Antiqua" w:eastAsia="宋体" w:hAnsi="Book Antiqua" w:hint="eastAsia"/>
          <w:lang w:eastAsia="zh-CN"/>
        </w:rPr>
        <w:t>:</w:t>
      </w:r>
      <w:r w:rsidRPr="00743FD4">
        <w:rPr>
          <w:rFonts w:ascii="Book Antiqua" w:eastAsia="宋体" w:hAnsi="Book Antiqua"/>
          <w:lang w:eastAsia="zh-CN"/>
        </w:rPr>
        <w:t xml:space="preserve"> Low molecular weight heparins</w:t>
      </w:r>
      <w:r>
        <w:rPr>
          <w:rFonts w:ascii="Book Antiqua" w:eastAsia="宋体" w:hAnsi="Book Antiqua" w:hint="eastAsia"/>
          <w:lang w:eastAsia="zh-CN"/>
        </w:rPr>
        <w:t>.</w:t>
      </w:r>
    </w:p>
    <w:p w14:paraId="65E8BDF0" w14:textId="722BE52C" w:rsidR="000E1648" w:rsidRPr="000E1648" w:rsidRDefault="000E1648" w:rsidP="00B83F55">
      <w:pPr>
        <w:spacing w:line="360" w:lineRule="auto"/>
        <w:jc w:val="both"/>
        <w:rPr>
          <w:rFonts w:ascii="Book Antiqua" w:eastAsia="宋体" w:hAnsi="Book Antiqua"/>
          <w:b/>
          <w:lang w:eastAsia="zh-CN"/>
        </w:rPr>
      </w:pPr>
      <w:r>
        <w:rPr>
          <w:rFonts w:ascii="Book Antiqua" w:eastAsia="宋体" w:hAnsi="Book Antiqua" w:hint="eastAsia"/>
          <w:b/>
          <w:lang w:eastAsia="zh-CN"/>
        </w:rPr>
        <w:t xml:space="preserve">Table 2 </w:t>
      </w:r>
      <w:r w:rsidRPr="009F42E6">
        <w:rPr>
          <w:rFonts w:ascii="Book Antiqua" w:hAnsi="Book Antiqua"/>
          <w:b/>
        </w:rPr>
        <w:t>Summary of recommendations for emergency endo</w:t>
      </w:r>
      <w:r>
        <w:rPr>
          <w:rFonts w:ascii="Book Antiqua" w:hAnsi="Book Antiqua"/>
          <w:b/>
        </w:rPr>
        <w:t>scopic procedures</w:t>
      </w:r>
    </w:p>
    <w:p w14:paraId="2CCB8F9B" w14:textId="77777777" w:rsidR="000E1648" w:rsidRPr="009F42E6" w:rsidRDefault="000E1648" w:rsidP="00B83F55">
      <w:pPr>
        <w:spacing w:line="360" w:lineRule="auto"/>
        <w:jc w:val="both"/>
        <w:rPr>
          <w:rFonts w:ascii="Book Antiqua" w:hAnsi="Book Antiqua"/>
        </w:rPr>
      </w:pPr>
    </w:p>
    <w:tbl>
      <w:tblPr>
        <w:tblStyle w:val="TableGrid"/>
        <w:tblW w:w="10980" w:type="dxa"/>
        <w:tblInd w:w="-9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220"/>
        <w:gridCol w:w="4410"/>
      </w:tblGrid>
      <w:tr w:rsidR="000E1648" w:rsidRPr="009F42E6" w14:paraId="71DE09AE" w14:textId="77777777" w:rsidTr="000E1648">
        <w:tc>
          <w:tcPr>
            <w:tcW w:w="1350" w:type="dxa"/>
            <w:tcBorders>
              <w:top w:val="single" w:sz="4" w:space="0" w:color="auto"/>
              <w:bottom w:val="single" w:sz="4" w:space="0" w:color="auto"/>
            </w:tcBorders>
          </w:tcPr>
          <w:p w14:paraId="18510AF9" w14:textId="77777777" w:rsidR="000E1648" w:rsidRPr="000E1648" w:rsidRDefault="000E1648" w:rsidP="00B83F55">
            <w:pPr>
              <w:pStyle w:val="ListParagraph"/>
              <w:spacing w:line="360" w:lineRule="auto"/>
              <w:ind w:left="0"/>
              <w:jc w:val="both"/>
              <w:rPr>
                <w:rFonts w:ascii="Book Antiqua" w:hAnsi="Book Antiqua"/>
                <w:b/>
              </w:rPr>
            </w:pPr>
          </w:p>
        </w:tc>
        <w:tc>
          <w:tcPr>
            <w:tcW w:w="5220" w:type="dxa"/>
            <w:tcBorders>
              <w:top w:val="single" w:sz="4" w:space="0" w:color="auto"/>
              <w:bottom w:val="single" w:sz="4" w:space="0" w:color="auto"/>
            </w:tcBorders>
          </w:tcPr>
          <w:p w14:paraId="781EA7E1" w14:textId="77777777" w:rsidR="000E1648" w:rsidRPr="000E1648" w:rsidRDefault="000E1648" w:rsidP="00B83F55">
            <w:pPr>
              <w:pStyle w:val="ListParagraph"/>
              <w:spacing w:line="360" w:lineRule="auto"/>
              <w:ind w:left="0"/>
              <w:jc w:val="both"/>
              <w:rPr>
                <w:rFonts w:ascii="Book Antiqua" w:hAnsi="Book Antiqua"/>
                <w:b/>
              </w:rPr>
            </w:pPr>
            <w:r w:rsidRPr="000E1648">
              <w:rPr>
                <w:rFonts w:ascii="Book Antiqua" w:hAnsi="Book Antiqua"/>
                <w:b/>
              </w:rPr>
              <w:t>Anticoagulant</w:t>
            </w:r>
          </w:p>
        </w:tc>
        <w:tc>
          <w:tcPr>
            <w:tcW w:w="4410" w:type="dxa"/>
            <w:tcBorders>
              <w:top w:val="single" w:sz="4" w:space="0" w:color="auto"/>
              <w:bottom w:val="single" w:sz="4" w:space="0" w:color="auto"/>
            </w:tcBorders>
          </w:tcPr>
          <w:p w14:paraId="4B1B5022" w14:textId="77777777" w:rsidR="000E1648" w:rsidRPr="000E1648" w:rsidRDefault="000E1648" w:rsidP="00B83F55">
            <w:pPr>
              <w:pStyle w:val="ListParagraph"/>
              <w:spacing w:line="360" w:lineRule="auto"/>
              <w:ind w:left="0"/>
              <w:jc w:val="both"/>
              <w:rPr>
                <w:rFonts w:ascii="Book Antiqua" w:hAnsi="Book Antiqua"/>
                <w:b/>
              </w:rPr>
            </w:pPr>
            <w:r w:rsidRPr="000E1648">
              <w:rPr>
                <w:rFonts w:ascii="Book Antiqua" w:hAnsi="Book Antiqua"/>
                <w:b/>
              </w:rPr>
              <w:t>APA</w:t>
            </w:r>
          </w:p>
        </w:tc>
      </w:tr>
      <w:tr w:rsidR="000E1648" w:rsidRPr="009F42E6" w14:paraId="2D33B856" w14:textId="77777777" w:rsidTr="000E1648">
        <w:trPr>
          <w:trHeight w:val="4382"/>
        </w:trPr>
        <w:tc>
          <w:tcPr>
            <w:tcW w:w="1350" w:type="dxa"/>
            <w:tcBorders>
              <w:top w:val="single" w:sz="4" w:space="0" w:color="auto"/>
            </w:tcBorders>
          </w:tcPr>
          <w:p w14:paraId="6E26568A" w14:textId="77777777" w:rsidR="000E1648" w:rsidRPr="009F42E6" w:rsidRDefault="000E1648" w:rsidP="00B83F55">
            <w:pPr>
              <w:pStyle w:val="ListParagraph"/>
              <w:spacing w:line="360" w:lineRule="auto"/>
              <w:ind w:left="0"/>
              <w:jc w:val="both"/>
              <w:rPr>
                <w:rFonts w:ascii="Book Antiqua" w:hAnsi="Book Antiqua"/>
              </w:rPr>
            </w:pPr>
            <w:r w:rsidRPr="009F42E6">
              <w:rPr>
                <w:rFonts w:ascii="Book Antiqua" w:hAnsi="Book Antiqua"/>
              </w:rPr>
              <w:t>Active GI bleed</w:t>
            </w:r>
          </w:p>
        </w:tc>
        <w:tc>
          <w:tcPr>
            <w:tcW w:w="5220" w:type="dxa"/>
            <w:tcBorders>
              <w:top w:val="single" w:sz="4" w:space="0" w:color="auto"/>
            </w:tcBorders>
          </w:tcPr>
          <w:p w14:paraId="4FD2CF6A" w14:textId="77777777" w:rsidR="000E1648" w:rsidRPr="009F42E6" w:rsidRDefault="000E1648" w:rsidP="00B83F55">
            <w:pPr>
              <w:pStyle w:val="ListParagraph"/>
              <w:numPr>
                <w:ilvl w:val="0"/>
                <w:numId w:val="8"/>
              </w:numPr>
              <w:spacing w:line="360" w:lineRule="auto"/>
              <w:jc w:val="both"/>
              <w:rPr>
                <w:rFonts w:ascii="Book Antiqua" w:hAnsi="Book Antiqua"/>
              </w:rPr>
            </w:pPr>
            <w:r w:rsidRPr="009F42E6">
              <w:rPr>
                <w:rFonts w:ascii="Book Antiqua" w:hAnsi="Book Antiqua"/>
              </w:rPr>
              <w:t>Hold the anticoagulant</w:t>
            </w:r>
          </w:p>
          <w:p w14:paraId="656BE2E8" w14:textId="77777777" w:rsidR="000E1648" w:rsidRPr="009F42E6" w:rsidRDefault="000E1648" w:rsidP="00B83F55">
            <w:pPr>
              <w:pStyle w:val="ListParagraph"/>
              <w:numPr>
                <w:ilvl w:val="0"/>
                <w:numId w:val="8"/>
              </w:numPr>
              <w:spacing w:line="360" w:lineRule="auto"/>
              <w:jc w:val="both"/>
              <w:rPr>
                <w:rFonts w:ascii="Book Antiqua" w:hAnsi="Book Antiqua"/>
              </w:rPr>
            </w:pPr>
            <w:r w:rsidRPr="009F42E6">
              <w:rPr>
                <w:rFonts w:ascii="Book Antiqua" w:hAnsi="Book Antiqua"/>
              </w:rPr>
              <w:t>If on warfarin, give FFP, 4-factor PCC or IV Vitamin K to improve INR</w:t>
            </w:r>
          </w:p>
          <w:p w14:paraId="76ECD078" w14:textId="77777777" w:rsidR="000E1648" w:rsidRPr="009F42E6" w:rsidRDefault="000E1648" w:rsidP="00B83F55">
            <w:pPr>
              <w:pStyle w:val="ListParagraph"/>
              <w:numPr>
                <w:ilvl w:val="0"/>
                <w:numId w:val="8"/>
              </w:numPr>
              <w:spacing w:line="360" w:lineRule="auto"/>
              <w:jc w:val="both"/>
              <w:rPr>
                <w:rFonts w:ascii="Book Antiqua" w:hAnsi="Book Antiqua"/>
              </w:rPr>
            </w:pPr>
            <w:r w:rsidRPr="009F42E6">
              <w:rPr>
                <w:rFonts w:ascii="Book Antiqua" w:hAnsi="Book Antiqua"/>
              </w:rPr>
              <w:t>Avoid vitamin K in case of mechanical heart valve.</w:t>
            </w:r>
          </w:p>
          <w:p w14:paraId="760684E6" w14:textId="77777777" w:rsidR="000E1648" w:rsidRPr="009F42E6" w:rsidRDefault="000E1648" w:rsidP="00B83F55">
            <w:pPr>
              <w:pStyle w:val="ListParagraph"/>
              <w:numPr>
                <w:ilvl w:val="0"/>
                <w:numId w:val="8"/>
              </w:numPr>
              <w:spacing w:line="360" w:lineRule="auto"/>
              <w:jc w:val="both"/>
              <w:rPr>
                <w:rFonts w:ascii="Book Antiqua" w:hAnsi="Book Antiqua"/>
              </w:rPr>
            </w:pPr>
            <w:r w:rsidRPr="009F42E6">
              <w:rPr>
                <w:rFonts w:ascii="Book Antiqua" w:hAnsi="Book Antiqua"/>
              </w:rPr>
              <w:t xml:space="preserve">Hemodialysis in case of </w:t>
            </w:r>
            <w:proofErr w:type="spellStart"/>
            <w:r w:rsidRPr="009F42E6">
              <w:rPr>
                <w:rFonts w:ascii="Book Antiqua" w:hAnsi="Book Antiqua"/>
              </w:rPr>
              <w:t>Dabigatran</w:t>
            </w:r>
            <w:proofErr w:type="spellEnd"/>
          </w:p>
          <w:p w14:paraId="73256EC0" w14:textId="77777777" w:rsidR="000E1648" w:rsidRPr="009F42E6" w:rsidRDefault="000E1648" w:rsidP="00B83F55">
            <w:pPr>
              <w:pStyle w:val="ListParagraph"/>
              <w:numPr>
                <w:ilvl w:val="0"/>
                <w:numId w:val="8"/>
              </w:numPr>
              <w:spacing w:line="360" w:lineRule="auto"/>
              <w:jc w:val="both"/>
              <w:rPr>
                <w:rFonts w:ascii="Book Antiqua" w:hAnsi="Book Antiqua"/>
              </w:rPr>
            </w:pPr>
            <w:r w:rsidRPr="009F42E6">
              <w:rPr>
                <w:rFonts w:ascii="Book Antiqua" w:hAnsi="Book Antiqua"/>
              </w:rPr>
              <w:t>Endoscopic therapy when INR is less than 2.5.</w:t>
            </w:r>
          </w:p>
        </w:tc>
        <w:tc>
          <w:tcPr>
            <w:tcW w:w="4410" w:type="dxa"/>
            <w:tcBorders>
              <w:top w:val="single" w:sz="4" w:space="0" w:color="auto"/>
            </w:tcBorders>
          </w:tcPr>
          <w:p w14:paraId="7E16BE0C" w14:textId="2FFD3D81" w:rsidR="000E1648" w:rsidRPr="009F42E6" w:rsidRDefault="000E1648" w:rsidP="00B83F55">
            <w:pPr>
              <w:pStyle w:val="ListParagraph"/>
              <w:numPr>
                <w:ilvl w:val="0"/>
                <w:numId w:val="9"/>
              </w:numPr>
              <w:spacing w:line="360" w:lineRule="auto"/>
              <w:jc w:val="both"/>
              <w:rPr>
                <w:rFonts w:ascii="Book Antiqua" w:hAnsi="Book Antiqua"/>
              </w:rPr>
            </w:pPr>
            <w:r w:rsidRPr="009F42E6">
              <w:rPr>
                <w:rFonts w:ascii="Book Antiqua" w:hAnsi="Book Antiqua"/>
              </w:rPr>
              <w:t xml:space="preserve">Do not stop </w:t>
            </w:r>
            <w:proofErr w:type="spellStart"/>
            <w:r w:rsidRPr="009F42E6">
              <w:rPr>
                <w:rFonts w:ascii="Book Antiqua" w:hAnsi="Book Antiqua"/>
              </w:rPr>
              <w:t>thienopyridines</w:t>
            </w:r>
            <w:proofErr w:type="spellEnd"/>
            <w:r w:rsidRPr="009F42E6">
              <w:rPr>
                <w:rFonts w:ascii="Book Antiqua" w:hAnsi="Book Antiqua"/>
              </w:rPr>
              <w:t xml:space="preserve"> without discussion with the cardiologist in </w:t>
            </w:r>
            <w:proofErr w:type="gramStart"/>
            <w:r w:rsidRPr="009F42E6">
              <w:rPr>
                <w:rFonts w:ascii="Book Antiqua" w:hAnsi="Book Antiqua"/>
              </w:rPr>
              <w:t>high risk</w:t>
            </w:r>
            <w:proofErr w:type="gramEnd"/>
            <w:r w:rsidRPr="009F42E6">
              <w:rPr>
                <w:rFonts w:ascii="Book Antiqua" w:hAnsi="Book Antiqua"/>
              </w:rPr>
              <w:t xml:space="preserve"> situations like within 3 </w:t>
            </w:r>
            <w:proofErr w:type="spellStart"/>
            <w:r>
              <w:rPr>
                <w:rFonts w:ascii="Book Antiqua" w:eastAsia="宋体" w:hAnsi="Book Antiqua" w:hint="eastAsia"/>
                <w:lang w:eastAsia="zh-CN"/>
              </w:rPr>
              <w:t>mo</w:t>
            </w:r>
            <w:proofErr w:type="spellEnd"/>
            <w:r w:rsidRPr="009F42E6">
              <w:rPr>
                <w:rFonts w:ascii="Book Antiqua" w:hAnsi="Book Antiqua"/>
              </w:rPr>
              <w:t xml:space="preserve"> of ACS, within 1 </w:t>
            </w:r>
            <w:proofErr w:type="spellStart"/>
            <w:r>
              <w:rPr>
                <w:rFonts w:ascii="Book Antiqua" w:eastAsia="宋体" w:hAnsi="Book Antiqua" w:hint="eastAsia"/>
                <w:lang w:eastAsia="zh-CN"/>
              </w:rPr>
              <w:t>mo</w:t>
            </w:r>
            <w:proofErr w:type="spellEnd"/>
            <w:r w:rsidRPr="009F42E6">
              <w:rPr>
                <w:rFonts w:ascii="Book Antiqua" w:hAnsi="Book Antiqua"/>
              </w:rPr>
              <w:t xml:space="preserve"> of placing a bare metal coronary stent and within 12 </w:t>
            </w:r>
            <w:proofErr w:type="spellStart"/>
            <w:r>
              <w:rPr>
                <w:rFonts w:ascii="Book Antiqua" w:eastAsia="宋体" w:hAnsi="Book Antiqua" w:hint="eastAsia"/>
                <w:lang w:eastAsia="zh-CN"/>
              </w:rPr>
              <w:t>mo</w:t>
            </w:r>
            <w:proofErr w:type="spellEnd"/>
            <w:r w:rsidRPr="009F42E6">
              <w:rPr>
                <w:rFonts w:ascii="Book Antiqua" w:hAnsi="Book Antiqua"/>
              </w:rPr>
              <w:t xml:space="preserve"> of placing a drug eluting coronary stent.</w:t>
            </w:r>
          </w:p>
          <w:p w14:paraId="4985CDC4" w14:textId="77777777" w:rsidR="000E1648" w:rsidRPr="009F42E6" w:rsidRDefault="000E1648" w:rsidP="00B83F55">
            <w:pPr>
              <w:pStyle w:val="ListParagraph"/>
              <w:spacing w:line="360" w:lineRule="auto"/>
              <w:jc w:val="both"/>
              <w:rPr>
                <w:rFonts w:ascii="Book Antiqua" w:hAnsi="Book Antiqua"/>
              </w:rPr>
            </w:pPr>
          </w:p>
        </w:tc>
      </w:tr>
    </w:tbl>
    <w:p w14:paraId="343396CE" w14:textId="480DF51E" w:rsidR="000E1648" w:rsidRPr="000E1648" w:rsidRDefault="000E1648" w:rsidP="00B83F55">
      <w:pPr>
        <w:tabs>
          <w:tab w:val="left" w:pos="3060"/>
        </w:tabs>
        <w:spacing w:line="360" w:lineRule="auto"/>
        <w:jc w:val="both"/>
        <w:rPr>
          <w:rFonts w:ascii="Book Antiqua" w:eastAsia="宋体" w:hAnsi="Book Antiqua"/>
          <w:lang w:eastAsia="zh-CN"/>
        </w:rPr>
      </w:pPr>
      <w:r w:rsidRPr="000E1648">
        <w:rPr>
          <w:rFonts w:ascii="Book Antiqua" w:hAnsi="Book Antiqua"/>
        </w:rPr>
        <w:t>APA</w:t>
      </w:r>
      <w:r w:rsidRPr="000E1648">
        <w:rPr>
          <w:rFonts w:ascii="Book Antiqua" w:eastAsia="宋体" w:hAnsi="Book Antiqua" w:hint="eastAsia"/>
          <w:lang w:eastAsia="zh-CN"/>
        </w:rPr>
        <w:t xml:space="preserve">: </w:t>
      </w:r>
      <w:r w:rsidRPr="000E1648">
        <w:rPr>
          <w:rFonts w:ascii="Book Antiqua" w:hAnsi="Book Antiqua"/>
        </w:rPr>
        <w:t>Antiplatelet agents</w:t>
      </w:r>
      <w:r>
        <w:rPr>
          <w:rFonts w:ascii="Book Antiqua" w:eastAsia="宋体" w:hAnsi="Book Antiqua" w:hint="eastAsia"/>
          <w:lang w:eastAsia="zh-CN"/>
        </w:rPr>
        <w:t xml:space="preserve">; </w:t>
      </w:r>
      <w:r w:rsidR="00743FD4" w:rsidRPr="000E1648">
        <w:rPr>
          <w:rFonts w:ascii="Book Antiqua" w:eastAsia="宋体" w:hAnsi="Book Antiqua"/>
          <w:lang w:eastAsia="zh-CN"/>
        </w:rPr>
        <w:t>PCC</w:t>
      </w:r>
      <w:r w:rsidR="00743FD4">
        <w:rPr>
          <w:rFonts w:ascii="Book Antiqua" w:eastAsia="宋体" w:hAnsi="Book Antiqua" w:hint="eastAsia"/>
          <w:lang w:eastAsia="zh-CN"/>
        </w:rPr>
        <w:t xml:space="preserve">: </w:t>
      </w:r>
      <w:proofErr w:type="spellStart"/>
      <w:r w:rsidR="00743FD4" w:rsidRPr="000E1648">
        <w:rPr>
          <w:rFonts w:ascii="Book Antiqua" w:eastAsia="宋体" w:hAnsi="Book Antiqua"/>
          <w:lang w:eastAsia="zh-CN"/>
        </w:rPr>
        <w:t>Prothrombin</w:t>
      </w:r>
      <w:proofErr w:type="spellEnd"/>
      <w:r w:rsidR="00743FD4" w:rsidRPr="000E1648">
        <w:rPr>
          <w:rFonts w:ascii="Book Antiqua" w:eastAsia="宋体" w:hAnsi="Book Antiqua"/>
          <w:lang w:eastAsia="zh-CN"/>
        </w:rPr>
        <w:t xml:space="preserve"> </w:t>
      </w:r>
      <w:r w:rsidRPr="000E1648">
        <w:rPr>
          <w:rFonts w:ascii="Book Antiqua" w:eastAsia="宋体" w:hAnsi="Book Antiqua"/>
          <w:lang w:eastAsia="zh-CN"/>
        </w:rPr>
        <w:t>complex</w:t>
      </w:r>
      <w:r>
        <w:rPr>
          <w:rFonts w:ascii="Book Antiqua" w:eastAsia="宋体" w:hAnsi="Book Antiqua" w:hint="eastAsia"/>
          <w:lang w:eastAsia="zh-CN"/>
        </w:rPr>
        <w:t xml:space="preserve">; </w:t>
      </w:r>
      <w:r w:rsidR="00743FD4" w:rsidRPr="009418C0">
        <w:rPr>
          <w:rFonts w:ascii="Book Antiqua" w:hAnsi="Book Antiqua"/>
        </w:rPr>
        <w:t>ACS</w:t>
      </w:r>
      <w:r w:rsidR="00743FD4">
        <w:rPr>
          <w:rFonts w:ascii="Book Antiqua" w:hAnsi="Book Antiqua"/>
        </w:rPr>
        <w:t xml:space="preserve">: </w:t>
      </w:r>
      <w:r w:rsidR="00743FD4" w:rsidRPr="009418C0">
        <w:rPr>
          <w:rFonts w:ascii="Book Antiqua" w:hAnsi="Book Antiqua"/>
        </w:rPr>
        <w:t>Acute coronary syndrome</w:t>
      </w:r>
      <w:r w:rsidR="00743FD4">
        <w:rPr>
          <w:rFonts w:ascii="Book Antiqua" w:eastAsia="宋体" w:hAnsi="Book Antiqua" w:hint="eastAsia"/>
          <w:lang w:eastAsia="zh-CN"/>
        </w:rPr>
        <w:t xml:space="preserve">. </w:t>
      </w:r>
    </w:p>
    <w:p w14:paraId="3A2D3554" w14:textId="77777777" w:rsidR="000E1648" w:rsidRPr="009F42E6" w:rsidRDefault="000E1648" w:rsidP="00B83F55">
      <w:pPr>
        <w:tabs>
          <w:tab w:val="left" w:pos="3060"/>
        </w:tabs>
        <w:spacing w:line="360" w:lineRule="auto"/>
        <w:jc w:val="both"/>
        <w:rPr>
          <w:rFonts w:ascii="Book Antiqua" w:hAnsi="Book Antiqua"/>
          <w:b/>
        </w:rPr>
      </w:pPr>
    </w:p>
    <w:p w14:paraId="3203A265" w14:textId="77777777" w:rsidR="004E5CE7" w:rsidRPr="000E1648" w:rsidRDefault="004E5CE7" w:rsidP="00B83F55">
      <w:pPr>
        <w:spacing w:line="360" w:lineRule="auto"/>
        <w:jc w:val="both"/>
        <w:rPr>
          <w:rFonts w:ascii="Book Antiqua" w:eastAsia="宋体" w:hAnsi="Book Antiqua"/>
          <w:lang w:eastAsia="zh-CN"/>
        </w:rPr>
      </w:pPr>
    </w:p>
    <w:sectPr w:rsidR="004E5CE7" w:rsidRPr="000E1648" w:rsidSect="0012229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CBA9F" w14:textId="77777777" w:rsidR="00335FFD" w:rsidRDefault="00335FFD" w:rsidP="009F42E6">
      <w:r>
        <w:separator/>
      </w:r>
    </w:p>
  </w:endnote>
  <w:endnote w:type="continuationSeparator" w:id="0">
    <w:p w14:paraId="76D7BD4A" w14:textId="77777777" w:rsidR="00335FFD" w:rsidRDefault="00335FFD" w:rsidP="009F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CartoGothicStd-Book">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DB2A1" w14:textId="77777777" w:rsidR="00335FFD" w:rsidRDefault="00335FFD" w:rsidP="009F42E6">
      <w:r>
        <w:separator/>
      </w:r>
    </w:p>
  </w:footnote>
  <w:footnote w:type="continuationSeparator" w:id="0">
    <w:p w14:paraId="5E4C7796" w14:textId="77777777" w:rsidR="00335FFD" w:rsidRDefault="00335FFD" w:rsidP="009F42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711"/>
    <w:multiLevelType w:val="hybridMultilevel"/>
    <w:tmpl w:val="17A4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D68C8"/>
    <w:multiLevelType w:val="hybridMultilevel"/>
    <w:tmpl w:val="242C1BAA"/>
    <w:lvl w:ilvl="0" w:tplc="D02E1C18">
      <w:start w:val="20"/>
      <w:numFmt w:val="decimal"/>
      <w:lvlText w:val="%1."/>
      <w:lvlJc w:val="left"/>
      <w:pPr>
        <w:ind w:left="1160" w:hanging="44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D6D57"/>
    <w:multiLevelType w:val="hybridMultilevel"/>
    <w:tmpl w:val="16D2B7A0"/>
    <w:lvl w:ilvl="0" w:tplc="5F0E204A">
      <w:start w:val="22"/>
      <w:numFmt w:val="decimal"/>
      <w:lvlText w:val="%1."/>
      <w:lvlJc w:val="left"/>
      <w:pPr>
        <w:ind w:left="1080" w:hanging="360"/>
      </w:pPr>
      <w:rPr>
        <w:rFonts w:ascii="Times" w:hAnsi="Times"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EB40DD"/>
    <w:multiLevelType w:val="hybridMultilevel"/>
    <w:tmpl w:val="57FCE01A"/>
    <w:lvl w:ilvl="0" w:tplc="235A815E">
      <w:start w:val="18"/>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B26B6"/>
    <w:multiLevelType w:val="hybridMultilevel"/>
    <w:tmpl w:val="318C3D1E"/>
    <w:lvl w:ilvl="0" w:tplc="4406ED32">
      <w:start w:val="21"/>
      <w:numFmt w:val="decimal"/>
      <w:lvlText w:val="%1."/>
      <w:lvlJc w:val="left"/>
      <w:pPr>
        <w:ind w:left="1120" w:hanging="400"/>
      </w:pPr>
      <w:rPr>
        <w:rFonts w:ascii="Times" w:hAnsi="Times" w:cstheme="minorBidi"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7A7F92"/>
    <w:multiLevelType w:val="hybridMultilevel"/>
    <w:tmpl w:val="EEBC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C0D6D"/>
    <w:multiLevelType w:val="hybridMultilevel"/>
    <w:tmpl w:val="4484C922"/>
    <w:lvl w:ilvl="0" w:tplc="97645B7E">
      <w:start w:val="23"/>
      <w:numFmt w:val="decimal"/>
      <w:lvlText w:val="%1."/>
      <w:lvlJc w:val="left"/>
      <w:pPr>
        <w:ind w:left="760" w:hanging="400"/>
      </w:pPr>
      <w:rPr>
        <w:rFonts w:ascii="Times" w:hAnsi="Times"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D4FE5"/>
    <w:multiLevelType w:val="hybridMultilevel"/>
    <w:tmpl w:val="0A162AE8"/>
    <w:lvl w:ilvl="0" w:tplc="14D4477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F1453"/>
    <w:multiLevelType w:val="hybridMultilevel"/>
    <w:tmpl w:val="165AB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80A1E"/>
    <w:multiLevelType w:val="hybridMultilevel"/>
    <w:tmpl w:val="101EC926"/>
    <w:lvl w:ilvl="0" w:tplc="E5CC75F8">
      <w:start w:val="17"/>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27B01"/>
    <w:multiLevelType w:val="hybridMultilevel"/>
    <w:tmpl w:val="ABC884E6"/>
    <w:lvl w:ilvl="0" w:tplc="F24CED3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518A0"/>
    <w:multiLevelType w:val="hybridMultilevel"/>
    <w:tmpl w:val="C6F0959A"/>
    <w:lvl w:ilvl="0" w:tplc="4CF2605A">
      <w:start w:val="11"/>
      <w:numFmt w:val="decimal"/>
      <w:lvlText w:val="%1."/>
      <w:lvlJc w:val="left"/>
      <w:pPr>
        <w:ind w:left="800" w:hanging="440"/>
      </w:pPr>
      <w:rPr>
        <w:rFonts w:ascii="Arial" w:hAnsi="Arial" w:cs="Arial" w:hint="default"/>
        <w:color w:val="666666"/>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556D0"/>
    <w:multiLevelType w:val="hybridMultilevel"/>
    <w:tmpl w:val="686C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C4DFA"/>
    <w:multiLevelType w:val="hybridMultilevel"/>
    <w:tmpl w:val="0E46E1E6"/>
    <w:lvl w:ilvl="0" w:tplc="03006A72">
      <w:start w:val="11"/>
      <w:numFmt w:val="decimal"/>
      <w:lvlText w:val="%1."/>
      <w:lvlJc w:val="left"/>
      <w:pPr>
        <w:ind w:left="800" w:hanging="44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8106C"/>
    <w:multiLevelType w:val="hybridMultilevel"/>
    <w:tmpl w:val="227C4780"/>
    <w:lvl w:ilvl="0" w:tplc="87764150">
      <w:start w:val="22"/>
      <w:numFmt w:val="decimal"/>
      <w:lvlText w:val="%1."/>
      <w:lvlJc w:val="left"/>
      <w:pPr>
        <w:ind w:left="760" w:hanging="400"/>
      </w:pPr>
      <w:rPr>
        <w:rFonts w:ascii="Times" w:hAnsi="Times"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52984"/>
    <w:multiLevelType w:val="hybridMultilevel"/>
    <w:tmpl w:val="ABC884E6"/>
    <w:lvl w:ilvl="0" w:tplc="F24CED3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05490A"/>
    <w:multiLevelType w:val="hybridMultilevel"/>
    <w:tmpl w:val="4E8CE122"/>
    <w:lvl w:ilvl="0" w:tplc="93BE8BA8">
      <w:start w:val="13"/>
      <w:numFmt w:val="decimal"/>
      <w:lvlText w:val="%1."/>
      <w:lvlJc w:val="left"/>
      <w:pPr>
        <w:ind w:left="1140" w:hanging="420"/>
      </w:pPr>
      <w:rPr>
        <w:rFonts w:asciiTheme="minorHAnsi" w:eastAsiaTheme="minorEastAsia"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12"/>
  </w:num>
  <w:num w:numId="5">
    <w:abstractNumId w:val="15"/>
  </w:num>
  <w:num w:numId="6">
    <w:abstractNumId w:val="1"/>
  </w:num>
  <w:num w:numId="7">
    <w:abstractNumId w:val="4"/>
  </w:num>
  <w:num w:numId="8">
    <w:abstractNumId w:val="5"/>
  </w:num>
  <w:num w:numId="9">
    <w:abstractNumId w:val="8"/>
  </w:num>
  <w:num w:numId="10">
    <w:abstractNumId w:val="13"/>
  </w:num>
  <w:num w:numId="11">
    <w:abstractNumId w:val="9"/>
  </w:num>
  <w:num w:numId="12">
    <w:abstractNumId w:val="2"/>
  </w:num>
  <w:num w:numId="13">
    <w:abstractNumId w:val="14"/>
  </w:num>
  <w:num w:numId="14">
    <w:abstractNumId w:val="11"/>
  </w:num>
  <w:num w:numId="15">
    <w:abstractNumId w:val="16"/>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A1"/>
    <w:rsid w:val="00002498"/>
    <w:rsid w:val="0000538D"/>
    <w:rsid w:val="0001254E"/>
    <w:rsid w:val="00020FF6"/>
    <w:rsid w:val="00024AE5"/>
    <w:rsid w:val="000278B4"/>
    <w:rsid w:val="00033C39"/>
    <w:rsid w:val="000363A8"/>
    <w:rsid w:val="00037708"/>
    <w:rsid w:val="0005761E"/>
    <w:rsid w:val="000577EA"/>
    <w:rsid w:val="00067107"/>
    <w:rsid w:val="000736D8"/>
    <w:rsid w:val="000812F6"/>
    <w:rsid w:val="000873C4"/>
    <w:rsid w:val="00096E25"/>
    <w:rsid w:val="000A2EA3"/>
    <w:rsid w:val="000A4FB0"/>
    <w:rsid w:val="000A6458"/>
    <w:rsid w:val="000A6508"/>
    <w:rsid w:val="000B0C03"/>
    <w:rsid w:val="000B0FB0"/>
    <w:rsid w:val="000B34E8"/>
    <w:rsid w:val="000B7B2B"/>
    <w:rsid w:val="000C6848"/>
    <w:rsid w:val="000D17E7"/>
    <w:rsid w:val="000D60A2"/>
    <w:rsid w:val="000E078D"/>
    <w:rsid w:val="000E1648"/>
    <w:rsid w:val="000E41C8"/>
    <w:rsid w:val="000F0C04"/>
    <w:rsid w:val="000F2112"/>
    <w:rsid w:val="000F2BD0"/>
    <w:rsid w:val="000F53BA"/>
    <w:rsid w:val="00101B5D"/>
    <w:rsid w:val="00102A46"/>
    <w:rsid w:val="001150D8"/>
    <w:rsid w:val="00122292"/>
    <w:rsid w:val="00125E4B"/>
    <w:rsid w:val="00130569"/>
    <w:rsid w:val="0013766E"/>
    <w:rsid w:val="001456CD"/>
    <w:rsid w:val="001509B7"/>
    <w:rsid w:val="00152C12"/>
    <w:rsid w:val="0017042F"/>
    <w:rsid w:val="0017773E"/>
    <w:rsid w:val="00184D19"/>
    <w:rsid w:val="0018664C"/>
    <w:rsid w:val="0019627D"/>
    <w:rsid w:val="001D314D"/>
    <w:rsid w:val="001E43A5"/>
    <w:rsid w:val="001F4BD8"/>
    <w:rsid w:val="00211695"/>
    <w:rsid w:val="002147A2"/>
    <w:rsid w:val="00215B54"/>
    <w:rsid w:val="00216515"/>
    <w:rsid w:val="00223B6D"/>
    <w:rsid w:val="00223D5E"/>
    <w:rsid w:val="00224DDC"/>
    <w:rsid w:val="00226456"/>
    <w:rsid w:val="00252BEA"/>
    <w:rsid w:val="00256282"/>
    <w:rsid w:val="00261018"/>
    <w:rsid w:val="002656B2"/>
    <w:rsid w:val="002723AA"/>
    <w:rsid w:val="002751EB"/>
    <w:rsid w:val="002802CA"/>
    <w:rsid w:val="00285BCD"/>
    <w:rsid w:val="0028604B"/>
    <w:rsid w:val="002A0A4B"/>
    <w:rsid w:val="002A5488"/>
    <w:rsid w:val="002A587F"/>
    <w:rsid w:val="002B2C18"/>
    <w:rsid w:val="002B3EDC"/>
    <w:rsid w:val="002B6207"/>
    <w:rsid w:val="002C17AC"/>
    <w:rsid w:val="002C4F7E"/>
    <w:rsid w:val="002D556B"/>
    <w:rsid w:val="002D660D"/>
    <w:rsid w:val="002D7318"/>
    <w:rsid w:val="002E1F64"/>
    <w:rsid w:val="002E2224"/>
    <w:rsid w:val="002E2989"/>
    <w:rsid w:val="002F0E2E"/>
    <w:rsid w:val="002F2E8F"/>
    <w:rsid w:val="002F4C30"/>
    <w:rsid w:val="002F4FF6"/>
    <w:rsid w:val="003154C5"/>
    <w:rsid w:val="00320B6D"/>
    <w:rsid w:val="00322D39"/>
    <w:rsid w:val="00332736"/>
    <w:rsid w:val="00334056"/>
    <w:rsid w:val="00335FFD"/>
    <w:rsid w:val="0033780A"/>
    <w:rsid w:val="003456C7"/>
    <w:rsid w:val="00351E2F"/>
    <w:rsid w:val="0035277E"/>
    <w:rsid w:val="00356211"/>
    <w:rsid w:val="00365906"/>
    <w:rsid w:val="003661FD"/>
    <w:rsid w:val="00376F19"/>
    <w:rsid w:val="00385ADF"/>
    <w:rsid w:val="003937C1"/>
    <w:rsid w:val="00393E24"/>
    <w:rsid w:val="00396280"/>
    <w:rsid w:val="003B1C0E"/>
    <w:rsid w:val="003B316B"/>
    <w:rsid w:val="003B5340"/>
    <w:rsid w:val="003B7595"/>
    <w:rsid w:val="003D1540"/>
    <w:rsid w:val="003D38A6"/>
    <w:rsid w:val="003E14DC"/>
    <w:rsid w:val="003E15FD"/>
    <w:rsid w:val="003F492F"/>
    <w:rsid w:val="003F555A"/>
    <w:rsid w:val="00400A5B"/>
    <w:rsid w:val="00403AD5"/>
    <w:rsid w:val="00405365"/>
    <w:rsid w:val="00411B74"/>
    <w:rsid w:val="0042314F"/>
    <w:rsid w:val="00427D04"/>
    <w:rsid w:val="00433814"/>
    <w:rsid w:val="00467E69"/>
    <w:rsid w:val="00471D3D"/>
    <w:rsid w:val="00491009"/>
    <w:rsid w:val="00491171"/>
    <w:rsid w:val="004B106E"/>
    <w:rsid w:val="004B19BE"/>
    <w:rsid w:val="004C0E68"/>
    <w:rsid w:val="004D05F8"/>
    <w:rsid w:val="004D4B80"/>
    <w:rsid w:val="004D7870"/>
    <w:rsid w:val="004E2B32"/>
    <w:rsid w:val="004E376D"/>
    <w:rsid w:val="004E4165"/>
    <w:rsid w:val="004E5CE7"/>
    <w:rsid w:val="004F2106"/>
    <w:rsid w:val="004F57E2"/>
    <w:rsid w:val="004F5F1C"/>
    <w:rsid w:val="00507986"/>
    <w:rsid w:val="005153CB"/>
    <w:rsid w:val="00520A9D"/>
    <w:rsid w:val="005220DA"/>
    <w:rsid w:val="0052575A"/>
    <w:rsid w:val="00530A19"/>
    <w:rsid w:val="00532692"/>
    <w:rsid w:val="00540187"/>
    <w:rsid w:val="005403BB"/>
    <w:rsid w:val="005411A3"/>
    <w:rsid w:val="005422B8"/>
    <w:rsid w:val="00545125"/>
    <w:rsid w:val="00552468"/>
    <w:rsid w:val="00557365"/>
    <w:rsid w:val="00560AEE"/>
    <w:rsid w:val="00562213"/>
    <w:rsid w:val="00562417"/>
    <w:rsid w:val="005671ED"/>
    <w:rsid w:val="00572727"/>
    <w:rsid w:val="00591EFA"/>
    <w:rsid w:val="005928DE"/>
    <w:rsid w:val="005A076D"/>
    <w:rsid w:val="005A4844"/>
    <w:rsid w:val="005B7F85"/>
    <w:rsid w:val="005C01C8"/>
    <w:rsid w:val="005C25C0"/>
    <w:rsid w:val="005C7CC4"/>
    <w:rsid w:val="005D1DA4"/>
    <w:rsid w:val="005D20F2"/>
    <w:rsid w:val="005D238F"/>
    <w:rsid w:val="005D36F4"/>
    <w:rsid w:val="005D3BC5"/>
    <w:rsid w:val="005D7020"/>
    <w:rsid w:val="005E4368"/>
    <w:rsid w:val="005E7DE0"/>
    <w:rsid w:val="005F3AC4"/>
    <w:rsid w:val="005F5F5C"/>
    <w:rsid w:val="0061339B"/>
    <w:rsid w:val="006136CE"/>
    <w:rsid w:val="00617E7A"/>
    <w:rsid w:val="0062108C"/>
    <w:rsid w:val="00623C4E"/>
    <w:rsid w:val="00624722"/>
    <w:rsid w:val="00630C3E"/>
    <w:rsid w:val="00643242"/>
    <w:rsid w:val="00647C75"/>
    <w:rsid w:val="0065547E"/>
    <w:rsid w:val="006607F7"/>
    <w:rsid w:val="006620BA"/>
    <w:rsid w:val="006631B0"/>
    <w:rsid w:val="00665F2E"/>
    <w:rsid w:val="00697016"/>
    <w:rsid w:val="006A1C47"/>
    <w:rsid w:val="006A5CAC"/>
    <w:rsid w:val="006B7D92"/>
    <w:rsid w:val="006C3FDC"/>
    <w:rsid w:val="006E120C"/>
    <w:rsid w:val="006E19A9"/>
    <w:rsid w:val="006E4EF8"/>
    <w:rsid w:val="006F60D3"/>
    <w:rsid w:val="007000A1"/>
    <w:rsid w:val="007022B0"/>
    <w:rsid w:val="00702EDF"/>
    <w:rsid w:val="0072332E"/>
    <w:rsid w:val="00737A19"/>
    <w:rsid w:val="00743FD4"/>
    <w:rsid w:val="007476CF"/>
    <w:rsid w:val="00753882"/>
    <w:rsid w:val="00756EDF"/>
    <w:rsid w:val="00762869"/>
    <w:rsid w:val="00775D34"/>
    <w:rsid w:val="00780D27"/>
    <w:rsid w:val="00785425"/>
    <w:rsid w:val="00795895"/>
    <w:rsid w:val="007B7292"/>
    <w:rsid w:val="007D5349"/>
    <w:rsid w:val="007E2368"/>
    <w:rsid w:val="007E6955"/>
    <w:rsid w:val="007E7134"/>
    <w:rsid w:val="007E79CF"/>
    <w:rsid w:val="007F1B1C"/>
    <w:rsid w:val="007F4EA8"/>
    <w:rsid w:val="008014CA"/>
    <w:rsid w:val="00804AD2"/>
    <w:rsid w:val="00805C79"/>
    <w:rsid w:val="0081503C"/>
    <w:rsid w:val="0081592C"/>
    <w:rsid w:val="00816F59"/>
    <w:rsid w:val="00821FBE"/>
    <w:rsid w:val="00836602"/>
    <w:rsid w:val="0084507C"/>
    <w:rsid w:val="00850A15"/>
    <w:rsid w:val="00854573"/>
    <w:rsid w:val="00856E0B"/>
    <w:rsid w:val="008575A4"/>
    <w:rsid w:val="00862870"/>
    <w:rsid w:val="00863F4B"/>
    <w:rsid w:val="008678BA"/>
    <w:rsid w:val="0087558F"/>
    <w:rsid w:val="00884A21"/>
    <w:rsid w:val="008920C1"/>
    <w:rsid w:val="00892F5A"/>
    <w:rsid w:val="00894E21"/>
    <w:rsid w:val="008A11C5"/>
    <w:rsid w:val="008A1909"/>
    <w:rsid w:val="008B4E69"/>
    <w:rsid w:val="008B69D4"/>
    <w:rsid w:val="008C18F7"/>
    <w:rsid w:val="008C3A49"/>
    <w:rsid w:val="008C416C"/>
    <w:rsid w:val="008F0026"/>
    <w:rsid w:val="008F09F4"/>
    <w:rsid w:val="008F679A"/>
    <w:rsid w:val="00904CFF"/>
    <w:rsid w:val="00914494"/>
    <w:rsid w:val="00926C61"/>
    <w:rsid w:val="00932148"/>
    <w:rsid w:val="00936516"/>
    <w:rsid w:val="009418C0"/>
    <w:rsid w:val="009418D2"/>
    <w:rsid w:val="0094458F"/>
    <w:rsid w:val="0094533E"/>
    <w:rsid w:val="00956848"/>
    <w:rsid w:val="00975381"/>
    <w:rsid w:val="009834F4"/>
    <w:rsid w:val="009873D9"/>
    <w:rsid w:val="00997C52"/>
    <w:rsid w:val="009A3A6F"/>
    <w:rsid w:val="009A566E"/>
    <w:rsid w:val="009B2588"/>
    <w:rsid w:val="009B6D46"/>
    <w:rsid w:val="009B6FF1"/>
    <w:rsid w:val="009C0956"/>
    <w:rsid w:val="009C49BA"/>
    <w:rsid w:val="009C6F4C"/>
    <w:rsid w:val="009C70BB"/>
    <w:rsid w:val="009D1082"/>
    <w:rsid w:val="009D20D1"/>
    <w:rsid w:val="009E3C9A"/>
    <w:rsid w:val="009F42E6"/>
    <w:rsid w:val="00A01D56"/>
    <w:rsid w:val="00A03702"/>
    <w:rsid w:val="00A04DAD"/>
    <w:rsid w:val="00A06F06"/>
    <w:rsid w:val="00A103FE"/>
    <w:rsid w:val="00A1056C"/>
    <w:rsid w:val="00A20A8F"/>
    <w:rsid w:val="00A24313"/>
    <w:rsid w:val="00A401B6"/>
    <w:rsid w:val="00A47A5E"/>
    <w:rsid w:val="00A6156A"/>
    <w:rsid w:val="00A7037C"/>
    <w:rsid w:val="00A745D9"/>
    <w:rsid w:val="00A865A3"/>
    <w:rsid w:val="00A90F24"/>
    <w:rsid w:val="00A92B50"/>
    <w:rsid w:val="00AA1CBA"/>
    <w:rsid w:val="00AA3A78"/>
    <w:rsid w:val="00AC13FC"/>
    <w:rsid w:val="00AC5E4B"/>
    <w:rsid w:val="00AD661C"/>
    <w:rsid w:val="00AE3B75"/>
    <w:rsid w:val="00AE4863"/>
    <w:rsid w:val="00AF3689"/>
    <w:rsid w:val="00B013D6"/>
    <w:rsid w:val="00B15229"/>
    <w:rsid w:val="00B203CA"/>
    <w:rsid w:val="00B21455"/>
    <w:rsid w:val="00B24A0F"/>
    <w:rsid w:val="00B24E52"/>
    <w:rsid w:val="00B310DE"/>
    <w:rsid w:val="00B37A24"/>
    <w:rsid w:val="00B42839"/>
    <w:rsid w:val="00B449D1"/>
    <w:rsid w:val="00B44AC8"/>
    <w:rsid w:val="00B607E4"/>
    <w:rsid w:val="00B614FC"/>
    <w:rsid w:val="00B66F8D"/>
    <w:rsid w:val="00B70D45"/>
    <w:rsid w:val="00B75198"/>
    <w:rsid w:val="00B75512"/>
    <w:rsid w:val="00B83F55"/>
    <w:rsid w:val="00B85378"/>
    <w:rsid w:val="00B964BC"/>
    <w:rsid w:val="00BA1D83"/>
    <w:rsid w:val="00BA2C1C"/>
    <w:rsid w:val="00BA31E2"/>
    <w:rsid w:val="00BA7A79"/>
    <w:rsid w:val="00BB3414"/>
    <w:rsid w:val="00BC4EFE"/>
    <w:rsid w:val="00BC6994"/>
    <w:rsid w:val="00BD4120"/>
    <w:rsid w:val="00BE65F8"/>
    <w:rsid w:val="00BE7D7B"/>
    <w:rsid w:val="00BF16CD"/>
    <w:rsid w:val="00BF6568"/>
    <w:rsid w:val="00C05DCC"/>
    <w:rsid w:val="00C11385"/>
    <w:rsid w:val="00C11B9B"/>
    <w:rsid w:val="00C1629D"/>
    <w:rsid w:val="00C27910"/>
    <w:rsid w:val="00C40B2C"/>
    <w:rsid w:val="00C43093"/>
    <w:rsid w:val="00C5192A"/>
    <w:rsid w:val="00C55572"/>
    <w:rsid w:val="00C7158C"/>
    <w:rsid w:val="00C814E9"/>
    <w:rsid w:val="00C97635"/>
    <w:rsid w:val="00CA1EAA"/>
    <w:rsid w:val="00CA6030"/>
    <w:rsid w:val="00CC16BC"/>
    <w:rsid w:val="00CC31B4"/>
    <w:rsid w:val="00CC6F97"/>
    <w:rsid w:val="00CC7465"/>
    <w:rsid w:val="00CD00A8"/>
    <w:rsid w:val="00CD1DA1"/>
    <w:rsid w:val="00CD2B3A"/>
    <w:rsid w:val="00CD6627"/>
    <w:rsid w:val="00CE07FE"/>
    <w:rsid w:val="00CF54AE"/>
    <w:rsid w:val="00D00CF3"/>
    <w:rsid w:val="00D01E88"/>
    <w:rsid w:val="00D035A8"/>
    <w:rsid w:val="00D10145"/>
    <w:rsid w:val="00D10F2F"/>
    <w:rsid w:val="00D1117B"/>
    <w:rsid w:val="00D12C9B"/>
    <w:rsid w:val="00D167BB"/>
    <w:rsid w:val="00D17449"/>
    <w:rsid w:val="00D174CC"/>
    <w:rsid w:val="00D3560B"/>
    <w:rsid w:val="00D40700"/>
    <w:rsid w:val="00D4077F"/>
    <w:rsid w:val="00D44C64"/>
    <w:rsid w:val="00D541D1"/>
    <w:rsid w:val="00D55BD6"/>
    <w:rsid w:val="00D561E7"/>
    <w:rsid w:val="00D6136A"/>
    <w:rsid w:val="00D7267A"/>
    <w:rsid w:val="00D77BA2"/>
    <w:rsid w:val="00D8006E"/>
    <w:rsid w:val="00D841BD"/>
    <w:rsid w:val="00D878D5"/>
    <w:rsid w:val="00D91B76"/>
    <w:rsid w:val="00D92C80"/>
    <w:rsid w:val="00D9358D"/>
    <w:rsid w:val="00DA5810"/>
    <w:rsid w:val="00DA7871"/>
    <w:rsid w:val="00DB4C1F"/>
    <w:rsid w:val="00DC5EF3"/>
    <w:rsid w:val="00DC6B26"/>
    <w:rsid w:val="00DE567C"/>
    <w:rsid w:val="00DF3B20"/>
    <w:rsid w:val="00DF603D"/>
    <w:rsid w:val="00DF6665"/>
    <w:rsid w:val="00E02955"/>
    <w:rsid w:val="00E03B89"/>
    <w:rsid w:val="00E059F2"/>
    <w:rsid w:val="00E1044B"/>
    <w:rsid w:val="00E13C09"/>
    <w:rsid w:val="00E240FD"/>
    <w:rsid w:val="00E32AFA"/>
    <w:rsid w:val="00E35D38"/>
    <w:rsid w:val="00E46A22"/>
    <w:rsid w:val="00E51571"/>
    <w:rsid w:val="00E628FC"/>
    <w:rsid w:val="00E71FE8"/>
    <w:rsid w:val="00E76F34"/>
    <w:rsid w:val="00E82027"/>
    <w:rsid w:val="00E91DD2"/>
    <w:rsid w:val="00EA3EF8"/>
    <w:rsid w:val="00EB31EC"/>
    <w:rsid w:val="00EB6D23"/>
    <w:rsid w:val="00EC0F81"/>
    <w:rsid w:val="00EC1604"/>
    <w:rsid w:val="00ED3C54"/>
    <w:rsid w:val="00EE3779"/>
    <w:rsid w:val="00EF4E65"/>
    <w:rsid w:val="00F00604"/>
    <w:rsid w:val="00F0201D"/>
    <w:rsid w:val="00F024CC"/>
    <w:rsid w:val="00F045C4"/>
    <w:rsid w:val="00F12EB6"/>
    <w:rsid w:val="00F211E6"/>
    <w:rsid w:val="00F243A0"/>
    <w:rsid w:val="00F24FE5"/>
    <w:rsid w:val="00F2692C"/>
    <w:rsid w:val="00F277EF"/>
    <w:rsid w:val="00F2782F"/>
    <w:rsid w:val="00F30A18"/>
    <w:rsid w:val="00F30F8F"/>
    <w:rsid w:val="00F346E2"/>
    <w:rsid w:val="00F462D6"/>
    <w:rsid w:val="00F47597"/>
    <w:rsid w:val="00F50C98"/>
    <w:rsid w:val="00F56F3D"/>
    <w:rsid w:val="00F641B3"/>
    <w:rsid w:val="00F70868"/>
    <w:rsid w:val="00F711A5"/>
    <w:rsid w:val="00F812AE"/>
    <w:rsid w:val="00F83A74"/>
    <w:rsid w:val="00F83F2C"/>
    <w:rsid w:val="00F86EC8"/>
    <w:rsid w:val="00F906F9"/>
    <w:rsid w:val="00F92016"/>
    <w:rsid w:val="00F96EDA"/>
    <w:rsid w:val="00FA04ED"/>
    <w:rsid w:val="00FA3582"/>
    <w:rsid w:val="00FA3F2E"/>
    <w:rsid w:val="00FA4078"/>
    <w:rsid w:val="00FB3431"/>
    <w:rsid w:val="00FC0CEF"/>
    <w:rsid w:val="00FC74CB"/>
    <w:rsid w:val="00FD10F4"/>
    <w:rsid w:val="00FD4FA1"/>
    <w:rsid w:val="00FD76EE"/>
    <w:rsid w:val="00FE6E86"/>
    <w:rsid w:val="00FF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252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18F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B7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9B"/>
    <w:pPr>
      <w:ind w:left="720"/>
      <w:contextualSpacing/>
    </w:pPr>
  </w:style>
  <w:style w:type="character" w:styleId="Hyperlink">
    <w:name w:val="Hyperlink"/>
    <w:basedOn w:val="DefaultParagraphFont"/>
    <w:uiPriority w:val="99"/>
    <w:unhideWhenUsed/>
    <w:rsid w:val="00C11B9B"/>
    <w:rPr>
      <w:color w:val="0000FF" w:themeColor="hyperlink"/>
      <w:u w:val="single"/>
    </w:rPr>
  </w:style>
  <w:style w:type="character" w:customStyle="1" w:styleId="apple-converted-space">
    <w:name w:val="apple-converted-space"/>
    <w:basedOn w:val="DefaultParagraphFont"/>
    <w:rsid w:val="004E5CE7"/>
  </w:style>
  <w:style w:type="character" w:styleId="FollowedHyperlink">
    <w:name w:val="FollowedHyperlink"/>
    <w:basedOn w:val="DefaultParagraphFont"/>
    <w:uiPriority w:val="99"/>
    <w:semiHidden/>
    <w:unhideWhenUsed/>
    <w:rsid w:val="004D7870"/>
    <w:rPr>
      <w:color w:val="800080" w:themeColor="followedHyperlink"/>
      <w:u w:val="single"/>
    </w:rPr>
  </w:style>
  <w:style w:type="character" w:customStyle="1" w:styleId="Heading1Char">
    <w:name w:val="Heading 1 Char"/>
    <w:basedOn w:val="DefaultParagraphFont"/>
    <w:link w:val="Heading1"/>
    <w:uiPriority w:val="9"/>
    <w:rsid w:val="008C18F7"/>
    <w:rPr>
      <w:rFonts w:ascii="Times" w:hAnsi="Times"/>
      <w:b/>
      <w:bCs/>
      <w:kern w:val="36"/>
      <w:sz w:val="48"/>
      <w:szCs w:val="48"/>
    </w:rPr>
  </w:style>
  <w:style w:type="character" w:customStyle="1" w:styleId="cit">
    <w:name w:val="cit"/>
    <w:basedOn w:val="DefaultParagraphFont"/>
    <w:rsid w:val="008C18F7"/>
  </w:style>
  <w:style w:type="character" w:customStyle="1" w:styleId="fm-vol-iss-date">
    <w:name w:val="fm-vol-iss-date"/>
    <w:basedOn w:val="DefaultParagraphFont"/>
    <w:rsid w:val="008C18F7"/>
  </w:style>
  <w:style w:type="character" w:customStyle="1" w:styleId="doi">
    <w:name w:val="doi"/>
    <w:basedOn w:val="DefaultParagraphFont"/>
    <w:rsid w:val="008C18F7"/>
  </w:style>
  <w:style w:type="character" w:customStyle="1" w:styleId="Heading2Char">
    <w:name w:val="Heading 2 Char"/>
    <w:basedOn w:val="DefaultParagraphFont"/>
    <w:link w:val="Heading2"/>
    <w:uiPriority w:val="9"/>
    <w:semiHidden/>
    <w:rsid w:val="006B7D92"/>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6B7D92"/>
    <w:rPr>
      <w:i/>
      <w:iCs/>
    </w:rPr>
  </w:style>
  <w:style w:type="character" w:customStyle="1" w:styleId="slug-pub-date">
    <w:name w:val="slug-pub-date"/>
    <w:basedOn w:val="DefaultParagraphFont"/>
    <w:rsid w:val="006B7D92"/>
  </w:style>
  <w:style w:type="character" w:customStyle="1" w:styleId="slug-vol">
    <w:name w:val="slug-vol"/>
    <w:basedOn w:val="DefaultParagraphFont"/>
    <w:rsid w:val="006B7D92"/>
  </w:style>
  <w:style w:type="character" w:customStyle="1" w:styleId="slug-pages">
    <w:name w:val="slug-pages"/>
    <w:basedOn w:val="DefaultParagraphFont"/>
    <w:rsid w:val="006B7D92"/>
  </w:style>
  <w:style w:type="character" w:customStyle="1" w:styleId="slug-doi">
    <w:name w:val="slug-doi"/>
    <w:basedOn w:val="DefaultParagraphFont"/>
    <w:rsid w:val="006B7D92"/>
  </w:style>
  <w:style w:type="paragraph" w:customStyle="1" w:styleId="authors">
    <w:name w:val="authors"/>
    <w:basedOn w:val="Normal"/>
    <w:rsid w:val="00836602"/>
    <w:pPr>
      <w:spacing w:before="100" w:beforeAutospacing="1" w:after="100" w:afterAutospacing="1"/>
    </w:pPr>
    <w:rPr>
      <w:rFonts w:ascii="Times" w:hAnsi="Times"/>
      <w:sz w:val="20"/>
      <w:szCs w:val="20"/>
    </w:rPr>
  </w:style>
  <w:style w:type="character" w:customStyle="1" w:styleId="nlmon-behalf-of">
    <w:name w:val="nlm_on-behalf-of"/>
    <w:basedOn w:val="DefaultParagraphFont"/>
    <w:rsid w:val="00836602"/>
  </w:style>
  <w:style w:type="paragraph" w:styleId="Title">
    <w:name w:val="Title"/>
    <w:aliases w:val="title"/>
    <w:basedOn w:val="Normal"/>
    <w:link w:val="TitleChar"/>
    <w:uiPriority w:val="10"/>
    <w:qFormat/>
    <w:rsid w:val="00816F59"/>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816F59"/>
    <w:rPr>
      <w:rFonts w:ascii="Times" w:hAnsi="Times"/>
      <w:sz w:val="20"/>
      <w:szCs w:val="20"/>
    </w:rPr>
  </w:style>
  <w:style w:type="paragraph" w:customStyle="1" w:styleId="desc">
    <w:name w:val="desc"/>
    <w:basedOn w:val="Normal"/>
    <w:rsid w:val="00816F59"/>
    <w:pPr>
      <w:spacing w:before="100" w:beforeAutospacing="1" w:after="100" w:afterAutospacing="1"/>
    </w:pPr>
    <w:rPr>
      <w:rFonts w:ascii="Times" w:hAnsi="Times"/>
      <w:sz w:val="20"/>
      <w:szCs w:val="20"/>
    </w:rPr>
  </w:style>
  <w:style w:type="paragraph" w:customStyle="1" w:styleId="details">
    <w:name w:val="details"/>
    <w:basedOn w:val="Normal"/>
    <w:rsid w:val="00816F59"/>
    <w:pPr>
      <w:spacing w:before="100" w:beforeAutospacing="1" w:after="100" w:afterAutospacing="1"/>
    </w:pPr>
    <w:rPr>
      <w:rFonts w:ascii="Times" w:hAnsi="Times"/>
      <w:sz w:val="20"/>
      <w:szCs w:val="20"/>
    </w:rPr>
  </w:style>
  <w:style w:type="character" w:customStyle="1" w:styleId="jrnl">
    <w:name w:val="jrnl"/>
    <w:basedOn w:val="DefaultParagraphFont"/>
    <w:rsid w:val="00816F59"/>
  </w:style>
  <w:style w:type="character" w:styleId="BookTitle">
    <w:name w:val="Book Title"/>
    <w:basedOn w:val="DefaultParagraphFont"/>
    <w:uiPriority w:val="33"/>
    <w:qFormat/>
    <w:rsid w:val="00C1629D"/>
    <w:rPr>
      <w:b/>
      <w:bCs/>
      <w:smallCaps/>
      <w:spacing w:val="5"/>
    </w:rPr>
  </w:style>
  <w:style w:type="character" w:customStyle="1" w:styleId="highlight">
    <w:name w:val="highlight"/>
    <w:basedOn w:val="DefaultParagraphFont"/>
    <w:rsid w:val="00E76F34"/>
  </w:style>
  <w:style w:type="table" w:styleId="TableGrid">
    <w:name w:val="Table Grid"/>
    <w:basedOn w:val="TableNormal"/>
    <w:uiPriority w:val="59"/>
    <w:rsid w:val="00ED3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m-citation-ids-label">
    <w:name w:val="fm-citation-ids-label"/>
    <w:basedOn w:val="DefaultParagraphFont"/>
    <w:rsid w:val="00CC16BC"/>
  </w:style>
  <w:style w:type="paragraph" w:styleId="Header">
    <w:name w:val="header"/>
    <w:basedOn w:val="Normal"/>
    <w:link w:val="HeaderChar"/>
    <w:uiPriority w:val="99"/>
    <w:unhideWhenUsed/>
    <w:rsid w:val="009F42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F42E6"/>
    <w:rPr>
      <w:sz w:val="18"/>
      <w:szCs w:val="18"/>
    </w:rPr>
  </w:style>
  <w:style w:type="paragraph" w:styleId="Footer">
    <w:name w:val="footer"/>
    <w:basedOn w:val="Normal"/>
    <w:link w:val="FooterChar"/>
    <w:uiPriority w:val="99"/>
    <w:unhideWhenUsed/>
    <w:rsid w:val="009F42E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F42E6"/>
    <w:rPr>
      <w:sz w:val="18"/>
      <w:szCs w:val="18"/>
    </w:rPr>
  </w:style>
  <w:style w:type="character" w:styleId="Strong">
    <w:name w:val="Strong"/>
    <w:uiPriority w:val="22"/>
    <w:qFormat/>
    <w:rsid w:val="00B614FC"/>
    <w:rPr>
      <w:b/>
      <w:bCs/>
    </w:rPr>
  </w:style>
  <w:style w:type="character" w:styleId="Emphasis">
    <w:name w:val="Emphasis"/>
    <w:qFormat/>
    <w:rsid w:val="00F7086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18F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B7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9B"/>
    <w:pPr>
      <w:ind w:left="720"/>
      <w:contextualSpacing/>
    </w:pPr>
  </w:style>
  <w:style w:type="character" w:styleId="Hyperlink">
    <w:name w:val="Hyperlink"/>
    <w:basedOn w:val="DefaultParagraphFont"/>
    <w:uiPriority w:val="99"/>
    <w:unhideWhenUsed/>
    <w:rsid w:val="00C11B9B"/>
    <w:rPr>
      <w:color w:val="0000FF" w:themeColor="hyperlink"/>
      <w:u w:val="single"/>
    </w:rPr>
  </w:style>
  <w:style w:type="character" w:customStyle="1" w:styleId="apple-converted-space">
    <w:name w:val="apple-converted-space"/>
    <w:basedOn w:val="DefaultParagraphFont"/>
    <w:rsid w:val="004E5CE7"/>
  </w:style>
  <w:style w:type="character" w:styleId="FollowedHyperlink">
    <w:name w:val="FollowedHyperlink"/>
    <w:basedOn w:val="DefaultParagraphFont"/>
    <w:uiPriority w:val="99"/>
    <w:semiHidden/>
    <w:unhideWhenUsed/>
    <w:rsid w:val="004D7870"/>
    <w:rPr>
      <w:color w:val="800080" w:themeColor="followedHyperlink"/>
      <w:u w:val="single"/>
    </w:rPr>
  </w:style>
  <w:style w:type="character" w:customStyle="1" w:styleId="Heading1Char">
    <w:name w:val="Heading 1 Char"/>
    <w:basedOn w:val="DefaultParagraphFont"/>
    <w:link w:val="Heading1"/>
    <w:uiPriority w:val="9"/>
    <w:rsid w:val="008C18F7"/>
    <w:rPr>
      <w:rFonts w:ascii="Times" w:hAnsi="Times"/>
      <w:b/>
      <w:bCs/>
      <w:kern w:val="36"/>
      <w:sz w:val="48"/>
      <w:szCs w:val="48"/>
    </w:rPr>
  </w:style>
  <w:style w:type="character" w:customStyle="1" w:styleId="cit">
    <w:name w:val="cit"/>
    <w:basedOn w:val="DefaultParagraphFont"/>
    <w:rsid w:val="008C18F7"/>
  </w:style>
  <w:style w:type="character" w:customStyle="1" w:styleId="fm-vol-iss-date">
    <w:name w:val="fm-vol-iss-date"/>
    <w:basedOn w:val="DefaultParagraphFont"/>
    <w:rsid w:val="008C18F7"/>
  </w:style>
  <w:style w:type="character" w:customStyle="1" w:styleId="doi">
    <w:name w:val="doi"/>
    <w:basedOn w:val="DefaultParagraphFont"/>
    <w:rsid w:val="008C18F7"/>
  </w:style>
  <w:style w:type="character" w:customStyle="1" w:styleId="Heading2Char">
    <w:name w:val="Heading 2 Char"/>
    <w:basedOn w:val="DefaultParagraphFont"/>
    <w:link w:val="Heading2"/>
    <w:uiPriority w:val="9"/>
    <w:semiHidden/>
    <w:rsid w:val="006B7D92"/>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6B7D92"/>
    <w:rPr>
      <w:i/>
      <w:iCs/>
    </w:rPr>
  </w:style>
  <w:style w:type="character" w:customStyle="1" w:styleId="slug-pub-date">
    <w:name w:val="slug-pub-date"/>
    <w:basedOn w:val="DefaultParagraphFont"/>
    <w:rsid w:val="006B7D92"/>
  </w:style>
  <w:style w:type="character" w:customStyle="1" w:styleId="slug-vol">
    <w:name w:val="slug-vol"/>
    <w:basedOn w:val="DefaultParagraphFont"/>
    <w:rsid w:val="006B7D92"/>
  </w:style>
  <w:style w:type="character" w:customStyle="1" w:styleId="slug-pages">
    <w:name w:val="slug-pages"/>
    <w:basedOn w:val="DefaultParagraphFont"/>
    <w:rsid w:val="006B7D92"/>
  </w:style>
  <w:style w:type="character" w:customStyle="1" w:styleId="slug-doi">
    <w:name w:val="slug-doi"/>
    <w:basedOn w:val="DefaultParagraphFont"/>
    <w:rsid w:val="006B7D92"/>
  </w:style>
  <w:style w:type="paragraph" w:customStyle="1" w:styleId="authors">
    <w:name w:val="authors"/>
    <w:basedOn w:val="Normal"/>
    <w:rsid w:val="00836602"/>
    <w:pPr>
      <w:spacing w:before="100" w:beforeAutospacing="1" w:after="100" w:afterAutospacing="1"/>
    </w:pPr>
    <w:rPr>
      <w:rFonts w:ascii="Times" w:hAnsi="Times"/>
      <w:sz w:val="20"/>
      <w:szCs w:val="20"/>
    </w:rPr>
  </w:style>
  <w:style w:type="character" w:customStyle="1" w:styleId="nlmon-behalf-of">
    <w:name w:val="nlm_on-behalf-of"/>
    <w:basedOn w:val="DefaultParagraphFont"/>
    <w:rsid w:val="00836602"/>
  </w:style>
  <w:style w:type="paragraph" w:styleId="Title">
    <w:name w:val="Title"/>
    <w:aliases w:val="title"/>
    <w:basedOn w:val="Normal"/>
    <w:link w:val="TitleChar"/>
    <w:uiPriority w:val="10"/>
    <w:qFormat/>
    <w:rsid w:val="00816F59"/>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816F59"/>
    <w:rPr>
      <w:rFonts w:ascii="Times" w:hAnsi="Times"/>
      <w:sz w:val="20"/>
      <w:szCs w:val="20"/>
    </w:rPr>
  </w:style>
  <w:style w:type="paragraph" w:customStyle="1" w:styleId="desc">
    <w:name w:val="desc"/>
    <w:basedOn w:val="Normal"/>
    <w:rsid w:val="00816F59"/>
    <w:pPr>
      <w:spacing w:before="100" w:beforeAutospacing="1" w:after="100" w:afterAutospacing="1"/>
    </w:pPr>
    <w:rPr>
      <w:rFonts w:ascii="Times" w:hAnsi="Times"/>
      <w:sz w:val="20"/>
      <w:szCs w:val="20"/>
    </w:rPr>
  </w:style>
  <w:style w:type="paragraph" w:customStyle="1" w:styleId="details">
    <w:name w:val="details"/>
    <w:basedOn w:val="Normal"/>
    <w:rsid w:val="00816F59"/>
    <w:pPr>
      <w:spacing w:before="100" w:beforeAutospacing="1" w:after="100" w:afterAutospacing="1"/>
    </w:pPr>
    <w:rPr>
      <w:rFonts w:ascii="Times" w:hAnsi="Times"/>
      <w:sz w:val="20"/>
      <w:szCs w:val="20"/>
    </w:rPr>
  </w:style>
  <w:style w:type="character" w:customStyle="1" w:styleId="jrnl">
    <w:name w:val="jrnl"/>
    <w:basedOn w:val="DefaultParagraphFont"/>
    <w:rsid w:val="00816F59"/>
  </w:style>
  <w:style w:type="character" w:styleId="BookTitle">
    <w:name w:val="Book Title"/>
    <w:basedOn w:val="DefaultParagraphFont"/>
    <w:uiPriority w:val="33"/>
    <w:qFormat/>
    <w:rsid w:val="00C1629D"/>
    <w:rPr>
      <w:b/>
      <w:bCs/>
      <w:smallCaps/>
      <w:spacing w:val="5"/>
    </w:rPr>
  </w:style>
  <w:style w:type="character" w:customStyle="1" w:styleId="highlight">
    <w:name w:val="highlight"/>
    <w:basedOn w:val="DefaultParagraphFont"/>
    <w:rsid w:val="00E76F34"/>
  </w:style>
  <w:style w:type="table" w:styleId="TableGrid">
    <w:name w:val="Table Grid"/>
    <w:basedOn w:val="TableNormal"/>
    <w:uiPriority w:val="59"/>
    <w:rsid w:val="00ED3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m-citation-ids-label">
    <w:name w:val="fm-citation-ids-label"/>
    <w:basedOn w:val="DefaultParagraphFont"/>
    <w:rsid w:val="00CC16BC"/>
  </w:style>
  <w:style w:type="paragraph" w:styleId="Header">
    <w:name w:val="header"/>
    <w:basedOn w:val="Normal"/>
    <w:link w:val="HeaderChar"/>
    <w:uiPriority w:val="99"/>
    <w:unhideWhenUsed/>
    <w:rsid w:val="009F42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F42E6"/>
    <w:rPr>
      <w:sz w:val="18"/>
      <w:szCs w:val="18"/>
    </w:rPr>
  </w:style>
  <w:style w:type="paragraph" w:styleId="Footer">
    <w:name w:val="footer"/>
    <w:basedOn w:val="Normal"/>
    <w:link w:val="FooterChar"/>
    <w:uiPriority w:val="99"/>
    <w:unhideWhenUsed/>
    <w:rsid w:val="009F42E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F42E6"/>
    <w:rPr>
      <w:sz w:val="18"/>
      <w:szCs w:val="18"/>
    </w:rPr>
  </w:style>
  <w:style w:type="character" w:styleId="Strong">
    <w:name w:val="Strong"/>
    <w:uiPriority w:val="22"/>
    <w:qFormat/>
    <w:rsid w:val="00B614FC"/>
    <w:rPr>
      <w:b/>
      <w:bCs/>
    </w:rPr>
  </w:style>
  <w:style w:type="character" w:styleId="Emphasis">
    <w:name w:val="Emphasis"/>
    <w:qFormat/>
    <w:rsid w:val="00F7086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095">
      <w:bodyDiv w:val="1"/>
      <w:marLeft w:val="0"/>
      <w:marRight w:val="0"/>
      <w:marTop w:val="0"/>
      <w:marBottom w:val="0"/>
      <w:divBdr>
        <w:top w:val="none" w:sz="0" w:space="0" w:color="auto"/>
        <w:left w:val="none" w:sz="0" w:space="0" w:color="auto"/>
        <w:bottom w:val="none" w:sz="0" w:space="0" w:color="auto"/>
        <w:right w:val="none" w:sz="0" w:space="0" w:color="auto"/>
      </w:divBdr>
    </w:div>
    <w:div w:id="13000301">
      <w:bodyDiv w:val="1"/>
      <w:marLeft w:val="0"/>
      <w:marRight w:val="0"/>
      <w:marTop w:val="0"/>
      <w:marBottom w:val="0"/>
      <w:divBdr>
        <w:top w:val="none" w:sz="0" w:space="0" w:color="auto"/>
        <w:left w:val="none" w:sz="0" w:space="0" w:color="auto"/>
        <w:bottom w:val="none" w:sz="0" w:space="0" w:color="auto"/>
        <w:right w:val="none" w:sz="0" w:space="0" w:color="auto"/>
      </w:divBdr>
    </w:div>
    <w:div w:id="83573317">
      <w:bodyDiv w:val="1"/>
      <w:marLeft w:val="0"/>
      <w:marRight w:val="0"/>
      <w:marTop w:val="0"/>
      <w:marBottom w:val="0"/>
      <w:divBdr>
        <w:top w:val="none" w:sz="0" w:space="0" w:color="auto"/>
        <w:left w:val="none" w:sz="0" w:space="0" w:color="auto"/>
        <w:bottom w:val="none" w:sz="0" w:space="0" w:color="auto"/>
        <w:right w:val="none" w:sz="0" w:space="0" w:color="auto"/>
      </w:divBdr>
    </w:div>
    <w:div w:id="124005168">
      <w:bodyDiv w:val="1"/>
      <w:marLeft w:val="0"/>
      <w:marRight w:val="0"/>
      <w:marTop w:val="0"/>
      <w:marBottom w:val="0"/>
      <w:divBdr>
        <w:top w:val="none" w:sz="0" w:space="0" w:color="auto"/>
        <w:left w:val="none" w:sz="0" w:space="0" w:color="auto"/>
        <w:bottom w:val="none" w:sz="0" w:space="0" w:color="auto"/>
        <w:right w:val="none" w:sz="0" w:space="0" w:color="auto"/>
      </w:divBdr>
    </w:div>
    <w:div w:id="162670806">
      <w:bodyDiv w:val="1"/>
      <w:marLeft w:val="0"/>
      <w:marRight w:val="0"/>
      <w:marTop w:val="0"/>
      <w:marBottom w:val="0"/>
      <w:divBdr>
        <w:top w:val="none" w:sz="0" w:space="0" w:color="auto"/>
        <w:left w:val="none" w:sz="0" w:space="0" w:color="auto"/>
        <w:bottom w:val="none" w:sz="0" w:space="0" w:color="auto"/>
        <w:right w:val="none" w:sz="0" w:space="0" w:color="auto"/>
      </w:divBdr>
    </w:div>
    <w:div w:id="212548064">
      <w:bodyDiv w:val="1"/>
      <w:marLeft w:val="0"/>
      <w:marRight w:val="0"/>
      <w:marTop w:val="0"/>
      <w:marBottom w:val="0"/>
      <w:divBdr>
        <w:top w:val="none" w:sz="0" w:space="0" w:color="auto"/>
        <w:left w:val="none" w:sz="0" w:space="0" w:color="auto"/>
        <w:bottom w:val="none" w:sz="0" w:space="0" w:color="auto"/>
        <w:right w:val="none" w:sz="0" w:space="0" w:color="auto"/>
      </w:divBdr>
    </w:div>
    <w:div w:id="272370718">
      <w:bodyDiv w:val="1"/>
      <w:marLeft w:val="0"/>
      <w:marRight w:val="0"/>
      <w:marTop w:val="0"/>
      <w:marBottom w:val="0"/>
      <w:divBdr>
        <w:top w:val="none" w:sz="0" w:space="0" w:color="auto"/>
        <w:left w:val="none" w:sz="0" w:space="0" w:color="auto"/>
        <w:bottom w:val="none" w:sz="0" w:space="0" w:color="auto"/>
        <w:right w:val="none" w:sz="0" w:space="0" w:color="auto"/>
      </w:divBdr>
    </w:div>
    <w:div w:id="279337235">
      <w:bodyDiv w:val="1"/>
      <w:marLeft w:val="0"/>
      <w:marRight w:val="0"/>
      <w:marTop w:val="0"/>
      <w:marBottom w:val="0"/>
      <w:divBdr>
        <w:top w:val="none" w:sz="0" w:space="0" w:color="auto"/>
        <w:left w:val="none" w:sz="0" w:space="0" w:color="auto"/>
        <w:bottom w:val="none" w:sz="0" w:space="0" w:color="auto"/>
        <w:right w:val="none" w:sz="0" w:space="0" w:color="auto"/>
      </w:divBdr>
    </w:div>
    <w:div w:id="307782140">
      <w:bodyDiv w:val="1"/>
      <w:marLeft w:val="0"/>
      <w:marRight w:val="0"/>
      <w:marTop w:val="0"/>
      <w:marBottom w:val="0"/>
      <w:divBdr>
        <w:top w:val="none" w:sz="0" w:space="0" w:color="auto"/>
        <w:left w:val="none" w:sz="0" w:space="0" w:color="auto"/>
        <w:bottom w:val="none" w:sz="0" w:space="0" w:color="auto"/>
        <w:right w:val="none" w:sz="0" w:space="0" w:color="auto"/>
      </w:divBdr>
    </w:div>
    <w:div w:id="351616395">
      <w:bodyDiv w:val="1"/>
      <w:marLeft w:val="0"/>
      <w:marRight w:val="0"/>
      <w:marTop w:val="0"/>
      <w:marBottom w:val="0"/>
      <w:divBdr>
        <w:top w:val="none" w:sz="0" w:space="0" w:color="auto"/>
        <w:left w:val="none" w:sz="0" w:space="0" w:color="auto"/>
        <w:bottom w:val="none" w:sz="0" w:space="0" w:color="auto"/>
        <w:right w:val="none" w:sz="0" w:space="0" w:color="auto"/>
      </w:divBdr>
    </w:div>
    <w:div w:id="403452227">
      <w:bodyDiv w:val="1"/>
      <w:marLeft w:val="0"/>
      <w:marRight w:val="0"/>
      <w:marTop w:val="0"/>
      <w:marBottom w:val="0"/>
      <w:divBdr>
        <w:top w:val="none" w:sz="0" w:space="0" w:color="auto"/>
        <w:left w:val="none" w:sz="0" w:space="0" w:color="auto"/>
        <w:bottom w:val="none" w:sz="0" w:space="0" w:color="auto"/>
        <w:right w:val="none" w:sz="0" w:space="0" w:color="auto"/>
      </w:divBdr>
    </w:div>
    <w:div w:id="468128761">
      <w:bodyDiv w:val="1"/>
      <w:marLeft w:val="0"/>
      <w:marRight w:val="0"/>
      <w:marTop w:val="0"/>
      <w:marBottom w:val="0"/>
      <w:divBdr>
        <w:top w:val="none" w:sz="0" w:space="0" w:color="auto"/>
        <w:left w:val="none" w:sz="0" w:space="0" w:color="auto"/>
        <w:bottom w:val="none" w:sz="0" w:space="0" w:color="auto"/>
        <w:right w:val="none" w:sz="0" w:space="0" w:color="auto"/>
      </w:divBdr>
    </w:div>
    <w:div w:id="537668271">
      <w:bodyDiv w:val="1"/>
      <w:marLeft w:val="0"/>
      <w:marRight w:val="0"/>
      <w:marTop w:val="0"/>
      <w:marBottom w:val="0"/>
      <w:divBdr>
        <w:top w:val="none" w:sz="0" w:space="0" w:color="auto"/>
        <w:left w:val="none" w:sz="0" w:space="0" w:color="auto"/>
        <w:bottom w:val="none" w:sz="0" w:space="0" w:color="auto"/>
        <w:right w:val="none" w:sz="0" w:space="0" w:color="auto"/>
      </w:divBdr>
    </w:div>
    <w:div w:id="687175857">
      <w:bodyDiv w:val="1"/>
      <w:marLeft w:val="0"/>
      <w:marRight w:val="0"/>
      <w:marTop w:val="0"/>
      <w:marBottom w:val="0"/>
      <w:divBdr>
        <w:top w:val="none" w:sz="0" w:space="0" w:color="auto"/>
        <w:left w:val="none" w:sz="0" w:space="0" w:color="auto"/>
        <w:bottom w:val="none" w:sz="0" w:space="0" w:color="auto"/>
        <w:right w:val="none" w:sz="0" w:space="0" w:color="auto"/>
      </w:divBdr>
    </w:div>
    <w:div w:id="688339117">
      <w:bodyDiv w:val="1"/>
      <w:marLeft w:val="0"/>
      <w:marRight w:val="0"/>
      <w:marTop w:val="0"/>
      <w:marBottom w:val="0"/>
      <w:divBdr>
        <w:top w:val="none" w:sz="0" w:space="0" w:color="auto"/>
        <w:left w:val="none" w:sz="0" w:space="0" w:color="auto"/>
        <w:bottom w:val="none" w:sz="0" w:space="0" w:color="auto"/>
        <w:right w:val="none" w:sz="0" w:space="0" w:color="auto"/>
      </w:divBdr>
    </w:div>
    <w:div w:id="801071109">
      <w:bodyDiv w:val="1"/>
      <w:marLeft w:val="0"/>
      <w:marRight w:val="0"/>
      <w:marTop w:val="0"/>
      <w:marBottom w:val="0"/>
      <w:divBdr>
        <w:top w:val="none" w:sz="0" w:space="0" w:color="auto"/>
        <w:left w:val="none" w:sz="0" w:space="0" w:color="auto"/>
        <w:bottom w:val="none" w:sz="0" w:space="0" w:color="auto"/>
        <w:right w:val="none" w:sz="0" w:space="0" w:color="auto"/>
      </w:divBdr>
    </w:div>
    <w:div w:id="803348179">
      <w:bodyDiv w:val="1"/>
      <w:marLeft w:val="0"/>
      <w:marRight w:val="0"/>
      <w:marTop w:val="0"/>
      <w:marBottom w:val="0"/>
      <w:divBdr>
        <w:top w:val="none" w:sz="0" w:space="0" w:color="auto"/>
        <w:left w:val="none" w:sz="0" w:space="0" w:color="auto"/>
        <w:bottom w:val="none" w:sz="0" w:space="0" w:color="auto"/>
        <w:right w:val="none" w:sz="0" w:space="0" w:color="auto"/>
      </w:divBdr>
    </w:div>
    <w:div w:id="818619468">
      <w:bodyDiv w:val="1"/>
      <w:marLeft w:val="0"/>
      <w:marRight w:val="0"/>
      <w:marTop w:val="0"/>
      <w:marBottom w:val="0"/>
      <w:divBdr>
        <w:top w:val="none" w:sz="0" w:space="0" w:color="auto"/>
        <w:left w:val="none" w:sz="0" w:space="0" w:color="auto"/>
        <w:bottom w:val="none" w:sz="0" w:space="0" w:color="auto"/>
        <w:right w:val="none" w:sz="0" w:space="0" w:color="auto"/>
      </w:divBdr>
    </w:div>
    <w:div w:id="873738018">
      <w:bodyDiv w:val="1"/>
      <w:marLeft w:val="0"/>
      <w:marRight w:val="0"/>
      <w:marTop w:val="0"/>
      <w:marBottom w:val="0"/>
      <w:divBdr>
        <w:top w:val="none" w:sz="0" w:space="0" w:color="auto"/>
        <w:left w:val="none" w:sz="0" w:space="0" w:color="auto"/>
        <w:bottom w:val="none" w:sz="0" w:space="0" w:color="auto"/>
        <w:right w:val="none" w:sz="0" w:space="0" w:color="auto"/>
      </w:divBdr>
    </w:div>
    <w:div w:id="979726677">
      <w:bodyDiv w:val="1"/>
      <w:marLeft w:val="0"/>
      <w:marRight w:val="0"/>
      <w:marTop w:val="0"/>
      <w:marBottom w:val="0"/>
      <w:divBdr>
        <w:top w:val="none" w:sz="0" w:space="0" w:color="auto"/>
        <w:left w:val="none" w:sz="0" w:space="0" w:color="auto"/>
        <w:bottom w:val="none" w:sz="0" w:space="0" w:color="auto"/>
        <w:right w:val="none" w:sz="0" w:space="0" w:color="auto"/>
      </w:divBdr>
    </w:div>
    <w:div w:id="1007248433">
      <w:bodyDiv w:val="1"/>
      <w:marLeft w:val="0"/>
      <w:marRight w:val="0"/>
      <w:marTop w:val="0"/>
      <w:marBottom w:val="0"/>
      <w:divBdr>
        <w:top w:val="none" w:sz="0" w:space="0" w:color="auto"/>
        <w:left w:val="none" w:sz="0" w:space="0" w:color="auto"/>
        <w:bottom w:val="none" w:sz="0" w:space="0" w:color="auto"/>
        <w:right w:val="none" w:sz="0" w:space="0" w:color="auto"/>
      </w:divBdr>
    </w:div>
    <w:div w:id="1063288550">
      <w:bodyDiv w:val="1"/>
      <w:marLeft w:val="0"/>
      <w:marRight w:val="0"/>
      <w:marTop w:val="0"/>
      <w:marBottom w:val="0"/>
      <w:divBdr>
        <w:top w:val="none" w:sz="0" w:space="0" w:color="auto"/>
        <w:left w:val="none" w:sz="0" w:space="0" w:color="auto"/>
        <w:bottom w:val="none" w:sz="0" w:space="0" w:color="auto"/>
        <w:right w:val="none" w:sz="0" w:space="0" w:color="auto"/>
      </w:divBdr>
    </w:div>
    <w:div w:id="1130436421">
      <w:bodyDiv w:val="1"/>
      <w:marLeft w:val="0"/>
      <w:marRight w:val="0"/>
      <w:marTop w:val="0"/>
      <w:marBottom w:val="0"/>
      <w:divBdr>
        <w:top w:val="none" w:sz="0" w:space="0" w:color="auto"/>
        <w:left w:val="none" w:sz="0" w:space="0" w:color="auto"/>
        <w:bottom w:val="none" w:sz="0" w:space="0" w:color="auto"/>
        <w:right w:val="none" w:sz="0" w:space="0" w:color="auto"/>
      </w:divBdr>
    </w:div>
    <w:div w:id="1157647040">
      <w:bodyDiv w:val="1"/>
      <w:marLeft w:val="0"/>
      <w:marRight w:val="0"/>
      <w:marTop w:val="0"/>
      <w:marBottom w:val="0"/>
      <w:divBdr>
        <w:top w:val="none" w:sz="0" w:space="0" w:color="auto"/>
        <w:left w:val="none" w:sz="0" w:space="0" w:color="auto"/>
        <w:bottom w:val="none" w:sz="0" w:space="0" w:color="auto"/>
        <w:right w:val="none" w:sz="0" w:space="0" w:color="auto"/>
      </w:divBdr>
    </w:div>
    <w:div w:id="1233546880">
      <w:bodyDiv w:val="1"/>
      <w:marLeft w:val="0"/>
      <w:marRight w:val="0"/>
      <w:marTop w:val="0"/>
      <w:marBottom w:val="0"/>
      <w:divBdr>
        <w:top w:val="none" w:sz="0" w:space="0" w:color="auto"/>
        <w:left w:val="none" w:sz="0" w:space="0" w:color="auto"/>
        <w:bottom w:val="none" w:sz="0" w:space="0" w:color="auto"/>
        <w:right w:val="none" w:sz="0" w:space="0" w:color="auto"/>
      </w:divBdr>
      <w:divsChild>
        <w:div w:id="1481771349">
          <w:marLeft w:val="0"/>
          <w:marRight w:val="0"/>
          <w:marTop w:val="166"/>
          <w:marBottom w:val="166"/>
          <w:divBdr>
            <w:top w:val="none" w:sz="0" w:space="0" w:color="auto"/>
            <w:left w:val="none" w:sz="0" w:space="0" w:color="auto"/>
            <w:bottom w:val="none" w:sz="0" w:space="0" w:color="auto"/>
            <w:right w:val="none" w:sz="0" w:space="0" w:color="auto"/>
          </w:divBdr>
          <w:divsChild>
            <w:div w:id="1342121252">
              <w:marLeft w:val="0"/>
              <w:marRight w:val="0"/>
              <w:marTop w:val="0"/>
              <w:marBottom w:val="0"/>
              <w:divBdr>
                <w:top w:val="none" w:sz="0" w:space="0" w:color="auto"/>
                <w:left w:val="none" w:sz="0" w:space="0" w:color="auto"/>
                <w:bottom w:val="none" w:sz="0" w:space="0" w:color="auto"/>
                <w:right w:val="none" w:sz="0" w:space="0" w:color="auto"/>
              </w:divBdr>
            </w:div>
          </w:divsChild>
        </w:div>
        <w:div w:id="506143101">
          <w:marLeft w:val="0"/>
          <w:marRight w:val="0"/>
          <w:marTop w:val="166"/>
          <w:marBottom w:val="166"/>
          <w:divBdr>
            <w:top w:val="none" w:sz="0" w:space="0" w:color="auto"/>
            <w:left w:val="none" w:sz="0" w:space="0" w:color="auto"/>
            <w:bottom w:val="none" w:sz="0" w:space="0" w:color="auto"/>
            <w:right w:val="none" w:sz="0" w:space="0" w:color="auto"/>
          </w:divBdr>
        </w:div>
      </w:divsChild>
    </w:div>
    <w:div w:id="1268731116">
      <w:bodyDiv w:val="1"/>
      <w:marLeft w:val="0"/>
      <w:marRight w:val="0"/>
      <w:marTop w:val="0"/>
      <w:marBottom w:val="0"/>
      <w:divBdr>
        <w:top w:val="none" w:sz="0" w:space="0" w:color="auto"/>
        <w:left w:val="none" w:sz="0" w:space="0" w:color="auto"/>
        <w:bottom w:val="none" w:sz="0" w:space="0" w:color="auto"/>
        <w:right w:val="none" w:sz="0" w:space="0" w:color="auto"/>
      </w:divBdr>
    </w:div>
    <w:div w:id="1284580721">
      <w:bodyDiv w:val="1"/>
      <w:marLeft w:val="0"/>
      <w:marRight w:val="0"/>
      <w:marTop w:val="0"/>
      <w:marBottom w:val="0"/>
      <w:divBdr>
        <w:top w:val="none" w:sz="0" w:space="0" w:color="auto"/>
        <w:left w:val="none" w:sz="0" w:space="0" w:color="auto"/>
        <w:bottom w:val="none" w:sz="0" w:space="0" w:color="auto"/>
        <w:right w:val="none" w:sz="0" w:space="0" w:color="auto"/>
      </w:divBdr>
    </w:div>
    <w:div w:id="1285386013">
      <w:bodyDiv w:val="1"/>
      <w:marLeft w:val="0"/>
      <w:marRight w:val="0"/>
      <w:marTop w:val="0"/>
      <w:marBottom w:val="0"/>
      <w:divBdr>
        <w:top w:val="none" w:sz="0" w:space="0" w:color="auto"/>
        <w:left w:val="none" w:sz="0" w:space="0" w:color="auto"/>
        <w:bottom w:val="none" w:sz="0" w:space="0" w:color="auto"/>
        <w:right w:val="none" w:sz="0" w:space="0" w:color="auto"/>
      </w:divBdr>
    </w:div>
    <w:div w:id="1293752137">
      <w:bodyDiv w:val="1"/>
      <w:marLeft w:val="0"/>
      <w:marRight w:val="0"/>
      <w:marTop w:val="0"/>
      <w:marBottom w:val="0"/>
      <w:divBdr>
        <w:top w:val="none" w:sz="0" w:space="0" w:color="auto"/>
        <w:left w:val="none" w:sz="0" w:space="0" w:color="auto"/>
        <w:bottom w:val="none" w:sz="0" w:space="0" w:color="auto"/>
        <w:right w:val="none" w:sz="0" w:space="0" w:color="auto"/>
      </w:divBdr>
    </w:div>
    <w:div w:id="1314606302">
      <w:bodyDiv w:val="1"/>
      <w:marLeft w:val="0"/>
      <w:marRight w:val="0"/>
      <w:marTop w:val="0"/>
      <w:marBottom w:val="0"/>
      <w:divBdr>
        <w:top w:val="none" w:sz="0" w:space="0" w:color="auto"/>
        <w:left w:val="none" w:sz="0" w:space="0" w:color="auto"/>
        <w:bottom w:val="none" w:sz="0" w:space="0" w:color="auto"/>
        <w:right w:val="none" w:sz="0" w:space="0" w:color="auto"/>
      </w:divBdr>
      <w:divsChild>
        <w:div w:id="1187138167">
          <w:marLeft w:val="0"/>
          <w:marRight w:val="0"/>
          <w:marTop w:val="34"/>
          <w:marBottom w:val="34"/>
          <w:divBdr>
            <w:top w:val="none" w:sz="0" w:space="0" w:color="auto"/>
            <w:left w:val="none" w:sz="0" w:space="0" w:color="auto"/>
            <w:bottom w:val="none" w:sz="0" w:space="0" w:color="auto"/>
            <w:right w:val="none" w:sz="0" w:space="0" w:color="auto"/>
          </w:divBdr>
        </w:div>
      </w:divsChild>
    </w:div>
    <w:div w:id="1445078048">
      <w:bodyDiv w:val="1"/>
      <w:marLeft w:val="0"/>
      <w:marRight w:val="0"/>
      <w:marTop w:val="0"/>
      <w:marBottom w:val="0"/>
      <w:divBdr>
        <w:top w:val="none" w:sz="0" w:space="0" w:color="auto"/>
        <w:left w:val="none" w:sz="0" w:space="0" w:color="auto"/>
        <w:bottom w:val="none" w:sz="0" w:space="0" w:color="auto"/>
        <w:right w:val="none" w:sz="0" w:space="0" w:color="auto"/>
      </w:divBdr>
    </w:div>
    <w:div w:id="1515657161">
      <w:bodyDiv w:val="1"/>
      <w:marLeft w:val="0"/>
      <w:marRight w:val="0"/>
      <w:marTop w:val="0"/>
      <w:marBottom w:val="0"/>
      <w:divBdr>
        <w:top w:val="none" w:sz="0" w:space="0" w:color="auto"/>
        <w:left w:val="none" w:sz="0" w:space="0" w:color="auto"/>
        <w:bottom w:val="none" w:sz="0" w:space="0" w:color="auto"/>
        <w:right w:val="none" w:sz="0" w:space="0" w:color="auto"/>
      </w:divBdr>
    </w:div>
    <w:div w:id="1518303926">
      <w:bodyDiv w:val="1"/>
      <w:marLeft w:val="0"/>
      <w:marRight w:val="0"/>
      <w:marTop w:val="0"/>
      <w:marBottom w:val="0"/>
      <w:divBdr>
        <w:top w:val="none" w:sz="0" w:space="0" w:color="auto"/>
        <w:left w:val="none" w:sz="0" w:space="0" w:color="auto"/>
        <w:bottom w:val="none" w:sz="0" w:space="0" w:color="auto"/>
        <w:right w:val="none" w:sz="0" w:space="0" w:color="auto"/>
      </w:divBdr>
    </w:div>
    <w:div w:id="1661421808">
      <w:bodyDiv w:val="1"/>
      <w:marLeft w:val="0"/>
      <w:marRight w:val="0"/>
      <w:marTop w:val="0"/>
      <w:marBottom w:val="0"/>
      <w:divBdr>
        <w:top w:val="none" w:sz="0" w:space="0" w:color="auto"/>
        <w:left w:val="none" w:sz="0" w:space="0" w:color="auto"/>
        <w:bottom w:val="none" w:sz="0" w:space="0" w:color="auto"/>
        <w:right w:val="none" w:sz="0" w:space="0" w:color="auto"/>
      </w:divBdr>
    </w:div>
    <w:div w:id="1679766351">
      <w:bodyDiv w:val="1"/>
      <w:marLeft w:val="0"/>
      <w:marRight w:val="0"/>
      <w:marTop w:val="0"/>
      <w:marBottom w:val="0"/>
      <w:divBdr>
        <w:top w:val="none" w:sz="0" w:space="0" w:color="auto"/>
        <w:left w:val="none" w:sz="0" w:space="0" w:color="auto"/>
        <w:bottom w:val="none" w:sz="0" w:space="0" w:color="auto"/>
        <w:right w:val="none" w:sz="0" w:space="0" w:color="auto"/>
      </w:divBdr>
    </w:div>
    <w:div w:id="1691881402">
      <w:bodyDiv w:val="1"/>
      <w:marLeft w:val="0"/>
      <w:marRight w:val="0"/>
      <w:marTop w:val="0"/>
      <w:marBottom w:val="0"/>
      <w:divBdr>
        <w:top w:val="none" w:sz="0" w:space="0" w:color="auto"/>
        <w:left w:val="none" w:sz="0" w:space="0" w:color="auto"/>
        <w:bottom w:val="none" w:sz="0" w:space="0" w:color="auto"/>
        <w:right w:val="none" w:sz="0" w:space="0" w:color="auto"/>
      </w:divBdr>
    </w:div>
    <w:div w:id="1816726131">
      <w:bodyDiv w:val="1"/>
      <w:marLeft w:val="0"/>
      <w:marRight w:val="0"/>
      <w:marTop w:val="0"/>
      <w:marBottom w:val="0"/>
      <w:divBdr>
        <w:top w:val="none" w:sz="0" w:space="0" w:color="auto"/>
        <w:left w:val="none" w:sz="0" w:space="0" w:color="auto"/>
        <w:bottom w:val="none" w:sz="0" w:space="0" w:color="auto"/>
        <w:right w:val="none" w:sz="0" w:space="0" w:color="auto"/>
      </w:divBdr>
    </w:div>
    <w:div w:id="1829177174">
      <w:bodyDiv w:val="1"/>
      <w:marLeft w:val="0"/>
      <w:marRight w:val="0"/>
      <w:marTop w:val="0"/>
      <w:marBottom w:val="0"/>
      <w:divBdr>
        <w:top w:val="none" w:sz="0" w:space="0" w:color="auto"/>
        <w:left w:val="none" w:sz="0" w:space="0" w:color="auto"/>
        <w:bottom w:val="none" w:sz="0" w:space="0" w:color="auto"/>
        <w:right w:val="none" w:sz="0" w:space="0" w:color="auto"/>
      </w:divBdr>
    </w:div>
    <w:div w:id="1872376087">
      <w:bodyDiv w:val="1"/>
      <w:marLeft w:val="0"/>
      <w:marRight w:val="0"/>
      <w:marTop w:val="0"/>
      <w:marBottom w:val="0"/>
      <w:divBdr>
        <w:top w:val="none" w:sz="0" w:space="0" w:color="auto"/>
        <w:left w:val="none" w:sz="0" w:space="0" w:color="auto"/>
        <w:bottom w:val="none" w:sz="0" w:space="0" w:color="auto"/>
        <w:right w:val="none" w:sz="0" w:space="0" w:color="auto"/>
      </w:divBdr>
    </w:div>
    <w:div w:id="1894732661">
      <w:bodyDiv w:val="1"/>
      <w:marLeft w:val="0"/>
      <w:marRight w:val="0"/>
      <w:marTop w:val="0"/>
      <w:marBottom w:val="0"/>
      <w:divBdr>
        <w:top w:val="none" w:sz="0" w:space="0" w:color="auto"/>
        <w:left w:val="none" w:sz="0" w:space="0" w:color="auto"/>
        <w:bottom w:val="none" w:sz="0" w:space="0" w:color="auto"/>
        <w:right w:val="none" w:sz="0" w:space="0" w:color="auto"/>
      </w:divBdr>
    </w:div>
    <w:div w:id="1950042940">
      <w:bodyDiv w:val="1"/>
      <w:marLeft w:val="0"/>
      <w:marRight w:val="0"/>
      <w:marTop w:val="0"/>
      <w:marBottom w:val="0"/>
      <w:divBdr>
        <w:top w:val="none" w:sz="0" w:space="0" w:color="auto"/>
        <w:left w:val="none" w:sz="0" w:space="0" w:color="auto"/>
        <w:bottom w:val="none" w:sz="0" w:space="0" w:color="auto"/>
        <w:right w:val="none" w:sz="0" w:space="0" w:color="auto"/>
      </w:divBdr>
    </w:div>
    <w:div w:id="2010863503">
      <w:bodyDiv w:val="1"/>
      <w:marLeft w:val="0"/>
      <w:marRight w:val="0"/>
      <w:marTop w:val="0"/>
      <w:marBottom w:val="0"/>
      <w:divBdr>
        <w:top w:val="none" w:sz="0" w:space="0" w:color="auto"/>
        <w:left w:val="none" w:sz="0" w:space="0" w:color="auto"/>
        <w:bottom w:val="none" w:sz="0" w:space="0" w:color="auto"/>
        <w:right w:val="none" w:sz="0" w:space="0" w:color="auto"/>
      </w:divBdr>
    </w:div>
    <w:div w:id="2020309886">
      <w:bodyDiv w:val="1"/>
      <w:marLeft w:val="0"/>
      <w:marRight w:val="0"/>
      <w:marTop w:val="0"/>
      <w:marBottom w:val="0"/>
      <w:divBdr>
        <w:top w:val="none" w:sz="0" w:space="0" w:color="auto"/>
        <w:left w:val="none" w:sz="0" w:space="0" w:color="auto"/>
        <w:bottom w:val="none" w:sz="0" w:space="0" w:color="auto"/>
        <w:right w:val="none" w:sz="0" w:space="0" w:color="auto"/>
      </w:divBdr>
    </w:div>
    <w:div w:id="2025549472">
      <w:bodyDiv w:val="1"/>
      <w:marLeft w:val="0"/>
      <w:marRight w:val="0"/>
      <w:marTop w:val="0"/>
      <w:marBottom w:val="0"/>
      <w:divBdr>
        <w:top w:val="none" w:sz="0" w:space="0" w:color="auto"/>
        <w:left w:val="none" w:sz="0" w:space="0" w:color="auto"/>
        <w:bottom w:val="none" w:sz="0" w:space="0" w:color="auto"/>
        <w:right w:val="none" w:sz="0" w:space="0" w:color="auto"/>
      </w:divBdr>
    </w:div>
    <w:div w:id="2136436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onjur.ahmed@jefferso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5703</Words>
  <Characters>32508</Characters>
  <Application>Microsoft Macintosh Word</Application>
  <DocSecurity>0</DocSecurity>
  <Lines>270</Lines>
  <Paragraphs>76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Hirsch J. Low-Molecular-Weight Heparin. A Review of the Results of Recent Studie</vt:lpstr>
      <vt:lpstr/>
      <vt:lpstr/>
    </vt:vector>
  </TitlesOfParts>
  <Manager/>
  <Company/>
  <LinksUpToDate>false</LinksUpToDate>
  <CharactersWithSpaces>38135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BLEED</dc:title>
  <dc:subject/>
  <dc:creator>Monjur Ahmed</dc:creator>
  <cp:keywords/>
  <dc:description/>
  <cp:lastModifiedBy>Na Ma</cp:lastModifiedBy>
  <cp:revision>2</cp:revision>
  <cp:lastPrinted>2016-03-12T15:56:00Z</cp:lastPrinted>
  <dcterms:created xsi:type="dcterms:W3CDTF">2016-07-21T02:40:00Z</dcterms:created>
  <dcterms:modified xsi:type="dcterms:W3CDTF">2016-07-21T02:40:00Z</dcterms:modified>
  <cp:category/>
</cp:coreProperties>
</file>