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2" w:rsidRPr="00082ABB" w:rsidRDefault="00BC5F12" w:rsidP="007061C9">
      <w:pPr>
        <w:snapToGrid w:val="0"/>
        <w:spacing w:line="360" w:lineRule="auto"/>
        <w:rPr>
          <w:rFonts w:ascii="Book Antiqua" w:hAnsi="Book Antiqua"/>
          <w:b/>
          <w:sz w:val="24"/>
          <w:szCs w:val="24"/>
        </w:rPr>
      </w:pPr>
      <w:r w:rsidRPr="00082ABB">
        <w:rPr>
          <w:rFonts w:ascii="Book Antiqua" w:hAnsi="Book Antiqua"/>
          <w:b/>
          <w:sz w:val="24"/>
          <w:szCs w:val="24"/>
        </w:rPr>
        <w:t>Name of</w:t>
      </w:r>
      <w:r w:rsidRPr="00082ABB">
        <w:rPr>
          <w:rFonts w:ascii="Book Antiqua" w:hAnsi="Book Antiqua"/>
          <w:b/>
          <w:caps/>
          <w:sz w:val="24"/>
          <w:szCs w:val="24"/>
        </w:rPr>
        <w:t xml:space="preserve"> j</w:t>
      </w:r>
      <w:r w:rsidRPr="00082ABB">
        <w:rPr>
          <w:rFonts w:ascii="Book Antiqua" w:hAnsi="Book Antiqua"/>
          <w:b/>
          <w:sz w:val="24"/>
          <w:szCs w:val="24"/>
        </w:rPr>
        <w:t xml:space="preserve">ournal: </w:t>
      </w:r>
      <w:r w:rsidRPr="00082ABB">
        <w:rPr>
          <w:rFonts w:ascii="Book Antiqua" w:hAnsi="Book Antiqua"/>
          <w:b/>
          <w:i/>
          <w:sz w:val="24"/>
          <w:szCs w:val="24"/>
        </w:rPr>
        <w:t>W</w:t>
      </w:r>
      <w:r w:rsidR="00B516BC" w:rsidRPr="00082ABB">
        <w:rPr>
          <w:rFonts w:ascii="Book Antiqua" w:hAnsi="Book Antiqua"/>
          <w:b/>
          <w:i/>
          <w:sz w:val="24"/>
          <w:szCs w:val="24"/>
        </w:rPr>
        <w:t>orld Journal of Gastrointestinal Oncology</w:t>
      </w:r>
    </w:p>
    <w:p w:rsidR="00AD57BA" w:rsidRPr="00082ABB" w:rsidRDefault="00AD57BA" w:rsidP="007061C9">
      <w:pPr>
        <w:snapToGrid w:val="0"/>
        <w:spacing w:line="360" w:lineRule="auto"/>
        <w:rPr>
          <w:rFonts w:ascii="Book Antiqua" w:hAnsi="Book Antiqua"/>
          <w:b/>
          <w:sz w:val="24"/>
          <w:szCs w:val="24"/>
        </w:rPr>
      </w:pPr>
      <w:r w:rsidRPr="00082ABB">
        <w:rPr>
          <w:rFonts w:ascii="Book Antiqua" w:hAnsi="Book Antiqua"/>
          <w:b/>
          <w:sz w:val="24"/>
          <w:szCs w:val="24"/>
        </w:rPr>
        <w:t>ESPS Manuscript NO: 25905</w:t>
      </w:r>
    </w:p>
    <w:p w:rsidR="00BC5F12" w:rsidRPr="00082ABB" w:rsidRDefault="00BC5F12" w:rsidP="007061C9">
      <w:pPr>
        <w:snapToGrid w:val="0"/>
        <w:spacing w:line="360" w:lineRule="auto"/>
        <w:rPr>
          <w:rFonts w:ascii="Book Antiqua" w:hAnsi="Book Antiqua"/>
          <w:b/>
          <w:sz w:val="24"/>
          <w:szCs w:val="24"/>
        </w:rPr>
      </w:pPr>
      <w:r w:rsidRPr="00082ABB">
        <w:rPr>
          <w:rFonts w:ascii="Book Antiqua" w:hAnsi="Book Antiqua"/>
          <w:b/>
          <w:sz w:val="24"/>
          <w:szCs w:val="24"/>
        </w:rPr>
        <w:t>Manuscript Type: T</w:t>
      </w:r>
      <w:r w:rsidR="00FA1AB2" w:rsidRPr="00082ABB">
        <w:rPr>
          <w:rFonts w:ascii="Book Antiqua" w:hAnsi="Book Antiqua"/>
          <w:b/>
          <w:sz w:val="24"/>
          <w:szCs w:val="24"/>
        </w:rPr>
        <w:t>opic</w:t>
      </w:r>
      <w:r w:rsidRPr="00082ABB">
        <w:rPr>
          <w:rFonts w:ascii="Book Antiqua" w:hAnsi="Book Antiqua"/>
          <w:b/>
          <w:sz w:val="24"/>
          <w:szCs w:val="24"/>
        </w:rPr>
        <w:t xml:space="preserve"> H</w:t>
      </w:r>
      <w:r w:rsidR="00FA1AB2" w:rsidRPr="00082ABB">
        <w:rPr>
          <w:rFonts w:ascii="Book Antiqua" w:hAnsi="Book Antiqua"/>
          <w:b/>
          <w:sz w:val="24"/>
          <w:szCs w:val="24"/>
        </w:rPr>
        <w:t>ighlight</w:t>
      </w:r>
    </w:p>
    <w:p w:rsidR="00BC5F12" w:rsidRPr="00082ABB" w:rsidRDefault="00FA1AB2" w:rsidP="007061C9">
      <w:pPr>
        <w:snapToGrid w:val="0"/>
        <w:spacing w:line="360" w:lineRule="auto"/>
        <w:rPr>
          <w:rFonts w:ascii="Book Antiqua" w:hAnsi="Book Antiqua"/>
          <w:b/>
          <w:sz w:val="24"/>
          <w:szCs w:val="24"/>
        </w:rPr>
      </w:pPr>
      <w:r w:rsidRPr="00082ABB">
        <w:rPr>
          <w:rFonts w:ascii="Book Antiqua" w:hAnsi="Book Antiqua"/>
          <w:b/>
          <w:sz w:val="24"/>
          <w:szCs w:val="24"/>
        </w:rPr>
        <w:t>2016 Colorectal Cancer: Global view</w:t>
      </w:r>
    </w:p>
    <w:p w:rsidR="00FA1AB2" w:rsidRPr="00082ABB" w:rsidRDefault="00FA1AB2" w:rsidP="007061C9">
      <w:pPr>
        <w:snapToGrid w:val="0"/>
        <w:spacing w:line="360" w:lineRule="auto"/>
        <w:rPr>
          <w:rFonts w:ascii="Book Antiqua" w:eastAsia="宋体" w:hAnsi="Book Antiqua"/>
          <w:b/>
          <w:sz w:val="24"/>
          <w:szCs w:val="24"/>
          <w:lang w:eastAsia="zh-CN"/>
        </w:rPr>
      </w:pPr>
    </w:p>
    <w:p w:rsidR="00BC5F12" w:rsidRPr="00082ABB" w:rsidRDefault="00BC5F12" w:rsidP="007061C9">
      <w:pPr>
        <w:snapToGrid w:val="0"/>
        <w:spacing w:line="360" w:lineRule="auto"/>
        <w:rPr>
          <w:rFonts w:ascii="Book Antiqua" w:hAnsi="Book Antiqua"/>
          <w:b/>
          <w:sz w:val="24"/>
          <w:szCs w:val="24"/>
        </w:rPr>
      </w:pPr>
      <w:bookmarkStart w:id="0" w:name="OLE_LINK4"/>
      <w:r w:rsidRPr="00082ABB">
        <w:rPr>
          <w:rFonts w:ascii="Book Antiqua" w:hAnsi="Book Antiqua"/>
          <w:b/>
          <w:sz w:val="24"/>
          <w:szCs w:val="24"/>
        </w:rPr>
        <w:t>Role of targeted therapy in metastatic colorectal cancer</w:t>
      </w:r>
    </w:p>
    <w:bookmarkEnd w:id="0"/>
    <w:p w:rsidR="00FA1AB2" w:rsidRPr="00082ABB" w:rsidRDefault="00FA1AB2" w:rsidP="007061C9">
      <w:pPr>
        <w:snapToGrid w:val="0"/>
        <w:spacing w:line="360" w:lineRule="auto"/>
        <w:rPr>
          <w:rFonts w:ascii="Book Antiqua" w:eastAsia="宋体" w:hAnsi="Book Antiqua"/>
          <w:sz w:val="24"/>
          <w:szCs w:val="24"/>
          <w:lang w:eastAsia="zh-CN"/>
        </w:rPr>
      </w:pPr>
    </w:p>
    <w:p w:rsidR="00BC5F12" w:rsidRPr="00082ABB" w:rsidRDefault="009F660A" w:rsidP="007061C9">
      <w:pPr>
        <w:snapToGrid w:val="0"/>
        <w:spacing w:line="360" w:lineRule="auto"/>
        <w:rPr>
          <w:rFonts w:ascii="Book Antiqua" w:hAnsi="Book Antiqua"/>
          <w:sz w:val="24"/>
          <w:szCs w:val="24"/>
        </w:rPr>
      </w:pPr>
      <w:r w:rsidRPr="00082ABB">
        <w:rPr>
          <w:rFonts w:ascii="Book Antiqua" w:hAnsi="Book Antiqua"/>
          <w:sz w:val="24"/>
          <w:szCs w:val="24"/>
        </w:rPr>
        <w:t>Ohhara Y</w:t>
      </w:r>
      <w:r w:rsidR="00FA1AB2" w:rsidRPr="00082ABB">
        <w:rPr>
          <w:rFonts w:ascii="Book Antiqua" w:eastAsia="宋体" w:hAnsi="Book Antiqua"/>
          <w:i/>
          <w:sz w:val="24"/>
          <w:szCs w:val="24"/>
          <w:lang w:eastAsia="zh-CN"/>
        </w:rPr>
        <w:t xml:space="preserve"> </w:t>
      </w:r>
      <w:r w:rsidR="00BC5F12" w:rsidRPr="00082ABB">
        <w:rPr>
          <w:rFonts w:ascii="Book Antiqua" w:hAnsi="Book Antiqua"/>
          <w:i/>
          <w:sz w:val="24"/>
          <w:szCs w:val="24"/>
        </w:rPr>
        <w:t>et al</w:t>
      </w:r>
      <w:r w:rsidR="00BC5F12" w:rsidRPr="00082ABB">
        <w:rPr>
          <w:rFonts w:ascii="Book Antiqua" w:hAnsi="Book Antiqua"/>
          <w:sz w:val="24"/>
          <w:szCs w:val="24"/>
        </w:rPr>
        <w:t>. Targeted therapy in mCRC</w:t>
      </w:r>
    </w:p>
    <w:p w:rsidR="00FA1AB2" w:rsidRPr="00082ABB" w:rsidRDefault="00FA1AB2" w:rsidP="007061C9">
      <w:pPr>
        <w:snapToGrid w:val="0"/>
        <w:spacing w:line="360" w:lineRule="auto"/>
        <w:rPr>
          <w:rFonts w:ascii="Book Antiqua" w:eastAsia="宋体" w:hAnsi="Book Antiqua"/>
          <w:b/>
          <w:sz w:val="24"/>
          <w:szCs w:val="24"/>
          <w:lang w:eastAsia="zh-CN"/>
        </w:rPr>
      </w:pPr>
    </w:p>
    <w:p w:rsidR="009F660A" w:rsidRPr="00082ABB" w:rsidRDefault="00E27655" w:rsidP="007061C9">
      <w:pPr>
        <w:snapToGrid w:val="0"/>
        <w:spacing w:line="360" w:lineRule="auto"/>
        <w:rPr>
          <w:rFonts w:ascii="Book Antiqua" w:hAnsi="Book Antiqua"/>
          <w:b/>
          <w:sz w:val="24"/>
          <w:szCs w:val="24"/>
        </w:rPr>
      </w:pPr>
      <w:r w:rsidRPr="00082ABB">
        <w:rPr>
          <w:rFonts w:ascii="Book Antiqua" w:hAnsi="Book Antiqua"/>
          <w:b/>
          <w:sz w:val="24"/>
          <w:szCs w:val="24"/>
        </w:rPr>
        <w:t>Y</w:t>
      </w:r>
      <w:r w:rsidR="009F660A" w:rsidRPr="00082ABB">
        <w:rPr>
          <w:rFonts w:ascii="Book Antiqua" w:hAnsi="Book Antiqua"/>
          <w:b/>
          <w:sz w:val="24"/>
          <w:szCs w:val="24"/>
        </w:rPr>
        <w:t xml:space="preserve">oshihito Ohhara, Naoki Fukuda, Satoshi Takeuchi, </w:t>
      </w:r>
      <w:r w:rsidR="00731D82" w:rsidRPr="00082ABB">
        <w:rPr>
          <w:rFonts w:ascii="Book Antiqua" w:hAnsi="Book Antiqua"/>
          <w:b/>
          <w:sz w:val="24"/>
          <w:szCs w:val="24"/>
        </w:rPr>
        <w:t xml:space="preserve">Rio Honma, Yasushi Shimizu, Ichiro Kinoshita, </w:t>
      </w:r>
      <w:r w:rsidR="009F660A" w:rsidRPr="00082ABB">
        <w:rPr>
          <w:rFonts w:ascii="Book Antiqua" w:hAnsi="Book Antiqua"/>
          <w:b/>
          <w:sz w:val="24"/>
          <w:szCs w:val="24"/>
        </w:rPr>
        <w:t>Hirotoshi Dosaka-Akita</w:t>
      </w:r>
    </w:p>
    <w:p w:rsidR="009F660A" w:rsidRPr="00082ABB" w:rsidRDefault="009F660A" w:rsidP="007061C9">
      <w:pPr>
        <w:snapToGrid w:val="0"/>
        <w:spacing w:line="360" w:lineRule="auto"/>
        <w:rPr>
          <w:rFonts w:ascii="Book Antiqua" w:hAnsi="Book Antiqua"/>
          <w:sz w:val="24"/>
          <w:szCs w:val="24"/>
        </w:rPr>
      </w:pPr>
    </w:p>
    <w:p w:rsidR="00BC5F12" w:rsidRPr="00082ABB" w:rsidRDefault="002B324E" w:rsidP="007061C9">
      <w:pPr>
        <w:snapToGrid w:val="0"/>
        <w:spacing w:line="360" w:lineRule="auto"/>
        <w:rPr>
          <w:rFonts w:ascii="Book Antiqua" w:hAnsi="Book Antiqua"/>
          <w:sz w:val="24"/>
          <w:szCs w:val="24"/>
        </w:rPr>
      </w:pPr>
      <w:r w:rsidRPr="00082ABB">
        <w:rPr>
          <w:rFonts w:ascii="Book Antiqua" w:hAnsi="Book Antiqua"/>
          <w:b/>
          <w:sz w:val="24"/>
          <w:szCs w:val="24"/>
        </w:rPr>
        <w:t>Yoshihito Ohhara, Naoki Fukuda, Satoshi Takeuchi, Rio Honma, Yasushi Shimizu, Ichiro Kinoshita, Hirotoshi Dosaka-Akita,</w:t>
      </w:r>
      <w:r w:rsidRPr="00082ABB">
        <w:rPr>
          <w:rFonts w:ascii="Book Antiqua" w:hAnsi="Book Antiqua"/>
          <w:sz w:val="24"/>
          <w:szCs w:val="24"/>
        </w:rPr>
        <w:t xml:space="preserve"> </w:t>
      </w:r>
      <w:r w:rsidR="009F660A" w:rsidRPr="00082ABB">
        <w:rPr>
          <w:rFonts w:ascii="Book Antiqua" w:hAnsi="Book Antiqua"/>
          <w:sz w:val="24"/>
          <w:szCs w:val="24"/>
        </w:rPr>
        <w:t>Department of Medical Oncology, Hokkaido University Graduate School of Medicine,</w:t>
      </w:r>
      <w:r w:rsidR="00FA1AB2" w:rsidRPr="00082ABB">
        <w:rPr>
          <w:rFonts w:ascii="Book Antiqua" w:eastAsia="宋体" w:hAnsi="Book Antiqua"/>
          <w:sz w:val="24"/>
          <w:szCs w:val="24"/>
          <w:lang w:eastAsia="zh-CN"/>
        </w:rPr>
        <w:t xml:space="preserve"> </w:t>
      </w:r>
      <w:r w:rsidR="009F660A" w:rsidRPr="00082ABB">
        <w:rPr>
          <w:rFonts w:ascii="Book Antiqua" w:hAnsi="Book Antiqua"/>
          <w:sz w:val="24"/>
          <w:szCs w:val="24"/>
        </w:rPr>
        <w:t>Sapporo, Hokkaido</w:t>
      </w:r>
      <w:r w:rsidR="00FA1AB2" w:rsidRPr="00082ABB">
        <w:rPr>
          <w:rFonts w:ascii="Book Antiqua" w:eastAsia="宋体" w:hAnsi="Book Antiqua"/>
          <w:sz w:val="24"/>
          <w:szCs w:val="24"/>
          <w:lang w:eastAsia="zh-CN"/>
        </w:rPr>
        <w:t xml:space="preserve"> </w:t>
      </w:r>
      <w:r w:rsidR="009F660A" w:rsidRPr="00082ABB">
        <w:rPr>
          <w:rFonts w:ascii="Book Antiqua" w:hAnsi="Book Antiqua"/>
          <w:sz w:val="24"/>
          <w:szCs w:val="24"/>
        </w:rPr>
        <w:t>060-8638, Japan</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eastAsia="宋体" w:hAnsi="Book Antiqua"/>
          <w:sz w:val="24"/>
          <w:szCs w:val="24"/>
          <w:lang w:eastAsia="zh-CN"/>
        </w:rPr>
      </w:pPr>
      <w:r w:rsidRPr="00082ABB">
        <w:rPr>
          <w:rFonts w:ascii="Book Antiqua" w:hAnsi="Book Antiqua"/>
          <w:b/>
          <w:sz w:val="24"/>
          <w:szCs w:val="24"/>
        </w:rPr>
        <w:t>Author contributions:</w:t>
      </w:r>
      <w:r w:rsidR="00FA1AB2" w:rsidRPr="00082ABB">
        <w:rPr>
          <w:rFonts w:ascii="Book Antiqua" w:eastAsia="宋体" w:hAnsi="Book Antiqua"/>
          <w:b/>
          <w:sz w:val="24"/>
          <w:szCs w:val="24"/>
          <w:lang w:eastAsia="zh-CN"/>
        </w:rPr>
        <w:t xml:space="preserve"> </w:t>
      </w:r>
      <w:r w:rsidR="009F660A" w:rsidRPr="00082ABB">
        <w:rPr>
          <w:rFonts w:ascii="Book Antiqua" w:hAnsi="Book Antiqua"/>
          <w:sz w:val="24"/>
          <w:szCs w:val="24"/>
        </w:rPr>
        <w:t>Ohhara Y</w:t>
      </w:r>
      <w:r w:rsidRPr="00082ABB">
        <w:rPr>
          <w:rFonts w:ascii="Book Antiqua" w:hAnsi="Book Antiqua"/>
          <w:sz w:val="24"/>
          <w:szCs w:val="24"/>
        </w:rPr>
        <w:t xml:space="preserve"> and </w:t>
      </w:r>
      <w:r w:rsidR="009F660A" w:rsidRPr="00082ABB">
        <w:rPr>
          <w:rFonts w:ascii="Book Antiqua" w:hAnsi="Book Antiqua"/>
          <w:sz w:val="24"/>
          <w:szCs w:val="24"/>
        </w:rPr>
        <w:t>Fukuda N</w:t>
      </w:r>
      <w:r w:rsidRPr="00082ABB">
        <w:rPr>
          <w:rFonts w:ascii="Book Antiqua" w:hAnsi="Book Antiqua"/>
          <w:sz w:val="24"/>
          <w:szCs w:val="24"/>
        </w:rPr>
        <w:t xml:space="preserve"> wrote the manuscript</w:t>
      </w:r>
      <w:r w:rsidR="00FA1AB2" w:rsidRPr="00082ABB">
        <w:rPr>
          <w:rFonts w:ascii="Book Antiqua" w:eastAsia="宋体" w:hAnsi="Book Antiqua"/>
          <w:sz w:val="24"/>
          <w:szCs w:val="24"/>
          <w:lang w:eastAsia="zh-CN"/>
        </w:rPr>
        <w:t>;</w:t>
      </w:r>
      <w:r w:rsidRPr="00082ABB">
        <w:rPr>
          <w:rFonts w:ascii="Book Antiqua" w:hAnsi="Book Antiqua"/>
          <w:sz w:val="24"/>
          <w:szCs w:val="24"/>
        </w:rPr>
        <w:t xml:space="preserve"> </w:t>
      </w:r>
      <w:r w:rsidR="009F660A" w:rsidRPr="00082ABB">
        <w:rPr>
          <w:rFonts w:ascii="Book Antiqua" w:hAnsi="Book Antiqua"/>
          <w:sz w:val="24"/>
          <w:szCs w:val="24"/>
        </w:rPr>
        <w:t>Takeuchi S</w:t>
      </w:r>
      <w:r w:rsidR="00731D82" w:rsidRPr="00082ABB">
        <w:rPr>
          <w:rFonts w:ascii="Book Antiqua" w:hAnsi="Book Antiqua"/>
          <w:sz w:val="24"/>
          <w:szCs w:val="24"/>
        </w:rPr>
        <w:t xml:space="preserve">, </w:t>
      </w:r>
      <w:r w:rsidR="002B324E" w:rsidRPr="00082ABB">
        <w:rPr>
          <w:rFonts w:ascii="Book Antiqua" w:hAnsi="Book Antiqua"/>
          <w:sz w:val="24"/>
          <w:szCs w:val="24"/>
        </w:rPr>
        <w:t>Honma R, Shimizu Y, Kinoshita I</w:t>
      </w:r>
      <w:r w:rsidRPr="00082ABB">
        <w:rPr>
          <w:rFonts w:ascii="Book Antiqua" w:hAnsi="Book Antiqua"/>
          <w:sz w:val="24"/>
          <w:szCs w:val="24"/>
        </w:rPr>
        <w:t xml:space="preserve"> and </w:t>
      </w:r>
      <w:r w:rsidR="009F660A" w:rsidRPr="00082ABB">
        <w:rPr>
          <w:rFonts w:ascii="Book Antiqua" w:hAnsi="Book Antiqua"/>
          <w:sz w:val="24"/>
          <w:szCs w:val="24"/>
        </w:rPr>
        <w:t>Dosaka-Akita H</w:t>
      </w:r>
      <w:r w:rsidRPr="00082ABB">
        <w:rPr>
          <w:rFonts w:ascii="Book Antiqua" w:hAnsi="Book Antiqua"/>
          <w:sz w:val="24"/>
          <w:szCs w:val="24"/>
        </w:rPr>
        <w:t xml:space="preserve"> contributed critic</w:t>
      </w:r>
      <w:r w:rsidR="00FA1AB2" w:rsidRPr="00082ABB">
        <w:rPr>
          <w:rFonts w:ascii="Book Antiqua" w:hAnsi="Book Antiqua"/>
          <w:sz w:val="24"/>
          <w:szCs w:val="24"/>
        </w:rPr>
        <w:t>al revision of the manuscript.</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b/>
          <w:sz w:val="24"/>
          <w:szCs w:val="24"/>
        </w:rPr>
        <w:t>Conflict-of-interest statement:</w:t>
      </w:r>
      <w:r w:rsidRPr="00082ABB">
        <w:rPr>
          <w:rFonts w:ascii="Book Antiqua" w:hAnsi="Book Antiqua"/>
          <w:sz w:val="24"/>
          <w:szCs w:val="24"/>
        </w:rPr>
        <w:t xml:space="preserve"> No conflict of interest.</w:t>
      </w:r>
    </w:p>
    <w:p w:rsidR="00BC5F12" w:rsidRPr="00082ABB" w:rsidRDefault="00BC5F12" w:rsidP="007061C9">
      <w:pPr>
        <w:snapToGrid w:val="0"/>
        <w:spacing w:line="360" w:lineRule="auto"/>
        <w:rPr>
          <w:rFonts w:ascii="Book Antiqua" w:eastAsia="宋体" w:hAnsi="Book Antiqua"/>
          <w:sz w:val="24"/>
          <w:szCs w:val="24"/>
          <w:lang w:eastAsia="zh-CN"/>
        </w:rPr>
      </w:pPr>
    </w:p>
    <w:p w:rsidR="00FA1AB2" w:rsidRPr="00082ABB" w:rsidRDefault="00FA1AB2" w:rsidP="007061C9">
      <w:pPr>
        <w:pStyle w:val="1"/>
        <w:snapToGrid w:val="0"/>
        <w:spacing w:line="360" w:lineRule="auto"/>
        <w:jc w:val="both"/>
        <w:rPr>
          <w:rFonts w:ascii="Book Antiqua" w:hAnsi="Book Antiqua" w:cs="Times New Roman"/>
          <w:bCs/>
          <w:color w:val="auto"/>
          <w:sz w:val="24"/>
          <w:lang w:val="en-US"/>
        </w:rPr>
      </w:pPr>
      <w:bookmarkStart w:id="1" w:name="OLE_LINK734"/>
      <w:bookmarkStart w:id="2" w:name="OLE_LINK441"/>
      <w:bookmarkStart w:id="3" w:name="OLE_LINK442"/>
      <w:bookmarkStart w:id="4" w:name="OLE_LINK1032"/>
      <w:bookmarkStart w:id="5" w:name="OLE_LINK1232"/>
      <w:bookmarkStart w:id="6" w:name="OLE_LINK559"/>
      <w:r w:rsidRPr="00082ABB">
        <w:rPr>
          <w:rFonts w:ascii="Book Antiqua" w:hAnsi="Book Antiqua" w:cs="Times New Roman"/>
          <w:b/>
          <w:bCs/>
          <w:color w:val="auto"/>
          <w:sz w:val="24"/>
          <w:lang w:val="en-US"/>
        </w:rPr>
        <w:t>Open-Access:</w:t>
      </w:r>
      <w:r w:rsidRPr="00082ABB">
        <w:rPr>
          <w:rFonts w:ascii="Book Antiqua" w:hAnsi="Book Antiqua" w:cs="Times New Roman"/>
          <w:bCs/>
          <w:color w:val="auto"/>
          <w:sz w:val="24"/>
          <w:lang w:val="en-US"/>
        </w:rPr>
        <w:t xml:space="preserve"> </w:t>
      </w:r>
      <w:bookmarkStart w:id="7" w:name="OLE_LINK479"/>
      <w:bookmarkStart w:id="8" w:name="OLE_LINK496"/>
      <w:bookmarkStart w:id="9" w:name="OLE_LINK506"/>
      <w:bookmarkStart w:id="10" w:name="OLE_LINK507"/>
      <w:r w:rsidRPr="00082ABB">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082ABB">
        <w:rPr>
          <w:rFonts w:ascii="Book Antiqua" w:hAnsi="Book Antiqua" w:cs="Times New Roman"/>
          <w:bCs/>
          <w:color w:val="auto"/>
          <w:sz w:val="24"/>
          <w:lang w:val="en-US" w:eastAsia="zh-CN"/>
        </w:rPr>
        <w:t xml:space="preserve"> </w:t>
      </w:r>
      <w:r w:rsidRPr="00082ABB">
        <w:rPr>
          <w:rFonts w:ascii="Book Antiqua" w:hAnsi="Book Antiqua" w:cs="Times New Roman"/>
          <w:bCs/>
          <w:color w:val="auto"/>
          <w:sz w:val="24"/>
          <w:lang w:val="en-US"/>
        </w:rPr>
        <w:t>in</w:t>
      </w:r>
      <w:r w:rsidRPr="00082ABB">
        <w:rPr>
          <w:rFonts w:ascii="Book Antiqua" w:hAnsi="Book Antiqua" w:cs="Times New Roman"/>
          <w:bCs/>
          <w:color w:val="auto"/>
          <w:sz w:val="24"/>
          <w:lang w:val="en-US" w:eastAsia="zh-CN"/>
        </w:rPr>
        <w:t xml:space="preserve"> </w:t>
      </w:r>
      <w:r w:rsidRPr="00082ABB">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82ABB">
          <w:rPr>
            <w:rStyle w:val="Hyperlink"/>
            <w:rFonts w:ascii="Book Antiqua" w:hAnsi="Book Antiqua"/>
            <w:bCs/>
            <w:color w:val="auto"/>
            <w:sz w:val="24"/>
            <w:lang w:val="en-US"/>
          </w:rPr>
          <w:t>http://creativecommons.org/licenses/by-nc/4.0/</w:t>
        </w:r>
      </w:hyperlink>
      <w:bookmarkEnd w:id="1"/>
      <w:bookmarkEnd w:id="7"/>
      <w:bookmarkEnd w:id="8"/>
      <w:bookmarkEnd w:id="9"/>
      <w:bookmarkEnd w:id="10"/>
    </w:p>
    <w:bookmarkEnd w:id="2"/>
    <w:bookmarkEnd w:id="3"/>
    <w:bookmarkEnd w:id="4"/>
    <w:bookmarkEnd w:id="5"/>
    <w:bookmarkEnd w:id="6"/>
    <w:p w:rsidR="00FA1AB2" w:rsidRPr="00082ABB" w:rsidRDefault="00FA1AB2" w:rsidP="007061C9">
      <w:pPr>
        <w:pStyle w:val="1"/>
        <w:snapToGrid w:val="0"/>
        <w:spacing w:line="360" w:lineRule="auto"/>
        <w:rPr>
          <w:rFonts w:ascii="Book Antiqua" w:hAnsi="Book Antiqua" w:cs="Times New Roman"/>
          <w:b/>
          <w:bCs/>
          <w:color w:val="auto"/>
          <w:sz w:val="24"/>
          <w:lang w:val="en-US" w:eastAsia="zh-CN"/>
        </w:rPr>
      </w:pPr>
    </w:p>
    <w:p w:rsidR="00FA1AB2" w:rsidRPr="00082ABB" w:rsidRDefault="00FA1AB2" w:rsidP="007061C9">
      <w:pPr>
        <w:pStyle w:val="1"/>
        <w:snapToGrid w:val="0"/>
        <w:spacing w:line="360" w:lineRule="auto"/>
        <w:rPr>
          <w:rFonts w:ascii="Book Antiqua" w:hAnsi="Book Antiqua" w:cs="Times New Roman"/>
          <w:b/>
          <w:bCs/>
          <w:color w:val="auto"/>
          <w:sz w:val="24"/>
          <w:lang w:val="en-US" w:eastAsia="zh-CN"/>
        </w:rPr>
      </w:pPr>
      <w:r w:rsidRPr="00082ABB">
        <w:rPr>
          <w:rFonts w:ascii="Book Antiqua" w:hAnsi="Book Antiqua" w:cs="Times New Roman"/>
          <w:b/>
          <w:bCs/>
          <w:color w:val="auto"/>
          <w:sz w:val="24"/>
          <w:lang w:val="en-US"/>
        </w:rPr>
        <w:t>Manuscript source:</w:t>
      </w:r>
      <w:r w:rsidRPr="00082ABB">
        <w:rPr>
          <w:rFonts w:ascii="Book Antiqua" w:hAnsi="Book Antiqua" w:cs="Times New Roman"/>
          <w:b/>
          <w:bCs/>
          <w:color w:val="auto"/>
          <w:sz w:val="24"/>
          <w:lang w:val="en-US" w:eastAsia="zh-CN"/>
        </w:rPr>
        <w:t xml:space="preserve"> </w:t>
      </w:r>
      <w:r w:rsidRPr="00082ABB">
        <w:rPr>
          <w:rFonts w:ascii="Book Antiqua" w:hAnsi="Book Antiqua" w:cs="Times New Roman"/>
          <w:bCs/>
          <w:color w:val="auto"/>
          <w:sz w:val="24"/>
          <w:lang w:val="en-US"/>
        </w:rPr>
        <w:t>Invited manuscript</w:t>
      </w:r>
    </w:p>
    <w:p w:rsidR="00FA1AB2" w:rsidRPr="00082ABB" w:rsidRDefault="00FA1AB2" w:rsidP="007061C9">
      <w:pPr>
        <w:snapToGrid w:val="0"/>
        <w:spacing w:line="360" w:lineRule="auto"/>
        <w:rPr>
          <w:rFonts w:ascii="Book Antiqua" w:eastAsia="宋体" w:hAnsi="Book Antiqua"/>
          <w:sz w:val="24"/>
          <w:szCs w:val="24"/>
          <w:lang w:eastAsia="zh-CN"/>
        </w:rPr>
      </w:pPr>
    </w:p>
    <w:p w:rsidR="009F660A" w:rsidRPr="00082ABB" w:rsidRDefault="00BC5F12" w:rsidP="007061C9">
      <w:pPr>
        <w:snapToGrid w:val="0"/>
        <w:spacing w:line="360" w:lineRule="auto"/>
        <w:rPr>
          <w:rFonts w:ascii="Book Antiqua" w:hAnsi="Book Antiqua"/>
          <w:sz w:val="24"/>
          <w:szCs w:val="24"/>
        </w:rPr>
      </w:pPr>
      <w:r w:rsidRPr="00082ABB">
        <w:rPr>
          <w:rFonts w:ascii="Book Antiqua" w:hAnsi="Book Antiqua"/>
          <w:b/>
          <w:sz w:val="24"/>
          <w:szCs w:val="24"/>
        </w:rPr>
        <w:t xml:space="preserve">Correspondence to: </w:t>
      </w:r>
      <w:r w:rsidR="009F660A" w:rsidRPr="00082ABB">
        <w:rPr>
          <w:rFonts w:ascii="Book Antiqua" w:hAnsi="Book Antiqua"/>
          <w:b/>
          <w:sz w:val="24"/>
          <w:szCs w:val="24"/>
        </w:rPr>
        <w:t>Yoshihito Ohhara, MD,</w:t>
      </w:r>
      <w:r w:rsidR="009F660A" w:rsidRPr="00082ABB">
        <w:rPr>
          <w:rFonts w:ascii="Book Antiqua" w:hAnsi="Book Antiqua"/>
          <w:sz w:val="24"/>
          <w:szCs w:val="24"/>
        </w:rPr>
        <w:t xml:space="preserve"> Department of Medical Oncology, Hokkaido University G</w:t>
      </w:r>
      <w:r w:rsidR="00731D82" w:rsidRPr="00082ABB">
        <w:rPr>
          <w:rFonts w:ascii="Book Antiqua" w:hAnsi="Book Antiqua"/>
          <w:sz w:val="24"/>
          <w:szCs w:val="24"/>
        </w:rPr>
        <w:t>raduate School of Medicine, North 15, West</w:t>
      </w:r>
      <w:r w:rsidR="009F660A" w:rsidRPr="00082ABB">
        <w:rPr>
          <w:rFonts w:ascii="Book Antiqua" w:hAnsi="Book Antiqua"/>
          <w:sz w:val="24"/>
          <w:szCs w:val="24"/>
        </w:rPr>
        <w:t xml:space="preserve"> 7, Kita-ku, Sapporo, Hokkaido</w:t>
      </w:r>
      <w:r w:rsidR="00FA1AB2" w:rsidRPr="00082ABB">
        <w:rPr>
          <w:rFonts w:ascii="Book Antiqua" w:eastAsia="宋体" w:hAnsi="Book Antiqua"/>
          <w:sz w:val="24"/>
          <w:szCs w:val="24"/>
          <w:lang w:eastAsia="zh-CN"/>
        </w:rPr>
        <w:t xml:space="preserve"> </w:t>
      </w:r>
      <w:r w:rsidR="009F660A" w:rsidRPr="00082ABB">
        <w:rPr>
          <w:rFonts w:ascii="Book Antiqua" w:hAnsi="Book Antiqua"/>
          <w:sz w:val="24"/>
          <w:szCs w:val="24"/>
        </w:rPr>
        <w:t xml:space="preserve">060-8638, Japan. </w:t>
      </w:r>
      <w:hyperlink r:id="rId9" w:history="1">
        <w:r w:rsidR="00FA1AB2" w:rsidRPr="00082ABB">
          <w:rPr>
            <w:rStyle w:val="Hyperlink"/>
            <w:rFonts w:ascii="Book Antiqua" w:hAnsi="Book Antiqua"/>
            <w:color w:val="auto"/>
            <w:sz w:val="24"/>
            <w:szCs w:val="24"/>
            <w:u w:val="none"/>
          </w:rPr>
          <w:t>yoshihito-ohhara@kkr-smc.com</w:t>
        </w:r>
      </w:hyperlink>
    </w:p>
    <w:p w:rsidR="00FA1AB2" w:rsidRPr="00082ABB" w:rsidRDefault="00FA1AB2" w:rsidP="007061C9">
      <w:pPr>
        <w:snapToGrid w:val="0"/>
        <w:spacing w:line="360" w:lineRule="auto"/>
        <w:rPr>
          <w:rFonts w:ascii="Book Antiqua" w:eastAsia="宋体" w:hAnsi="Book Antiqua"/>
          <w:sz w:val="24"/>
          <w:szCs w:val="24"/>
          <w:lang w:eastAsia="zh-CN"/>
        </w:rPr>
      </w:pPr>
      <w:r w:rsidRPr="00082ABB">
        <w:rPr>
          <w:rFonts w:ascii="Book Antiqua" w:hAnsi="Book Antiqua"/>
          <w:b/>
          <w:sz w:val="24"/>
          <w:szCs w:val="24"/>
        </w:rPr>
        <w:t>Telephone:</w:t>
      </w:r>
      <w:r w:rsidRPr="00082ABB">
        <w:rPr>
          <w:rFonts w:ascii="Book Antiqua" w:eastAsia="宋体" w:hAnsi="Book Antiqua"/>
          <w:b/>
          <w:sz w:val="24"/>
          <w:szCs w:val="24"/>
          <w:lang w:eastAsia="zh-CN"/>
        </w:rPr>
        <w:t xml:space="preserve"> </w:t>
      </w:r>
      <w:r w:rsidR="009F660A" w:rsidRPr="00082ABB">
        <w:rPr>
          <w:rFonts w:ascii="Book Antiqua" w:hAnsi="Book Antiqua"/>
          <w:sz w:val="24"/>
          <w:szCs w:val="24"/>
        </w:rPr>
        <w:t>+81-11-7065551</w:t>
      </w:r>
    </w:p>
    <w:p w:rsidR="00BC5F12" w:rsidRPr="00082ABB" w:rsidRDefault="009F660A" w:rsidP="007061C9">
      <w:pPr>
        <w:snapToGrid w:val="0"/>
        <w:spacing w:line="360" w:lineRule="auto"/>
        <w:rPr>
          <w:rFonts w:ascii="Book Antiqua" w:hAnsi="Book Antiqua"/>
          <w:sz w:val="24"/>
          <w:szCs w:val="24"/>
        </w:rPr>
      </w:pPr>
      <w:r w:rsidRPr="00082ABB">
        <w:rPr>
          <w:rFonts w:ascii="Book Antiqua" w:hAnsi="Book Antiqua"/>
          <w:b/>
          <w:sz w:val="24"/>
          <w:szCs w:val="24"/>
        </w:rPr>
        <w:t xml:space="preserve">Fax: </w:t>
      </w:r>
      <w:r w:rsidRPr="00082ABB">
        <w:rPr>
          <w:rFonts w:ascii="Book Antiqua" w:hAnsi="Book Antiqua"/>
          <w:sz w:val="24"/>
          <w:szCs w:val="24"/>
        </w:rPr>
        <w:t>+81-11-7065077</w:t>
      </w:r>
    </w:p>
    <w:p w:rsidR="00CB3657" w:rsidRPr="00082ABB" w:rsidRDefault="00CB3657" w:rsidP="007061C9">
      <w:pPr>
        <w:snapToGrid w:val="0"/>
        <w:spacing w:line="360" w:lineRule="auto"/>
        <w:rPr>
          <w:rFonts w:ascii="Book Antiqua" w:hAnsi="Book Antiqua"/>
          <w:sz w:val="24"/>
          <w:szCs w:val="24"/>
        </w:rPr>
      </w:pPr>
    </w:p>
    <w:p w:rsidR="00FA1AB2" w:rsidRPr="00082ABB" w:rsidRDefault="00FA1AB2" w:rsidP="007061C9">
      <w:pPr>
        <w:snapToGrid w:val="0"/>
        <w:spacing w:line="360" w:lineRule="auto"/>
        <w:rPr>
          <w:rFonts w:ascii="Book Antiqua" w:eastAsia="宋体" w:hAnsi="Book Antiqua"/>
          <w:b/>
          <w:sz w:val="24"/>
          <w:szCs w:val="24"/>
          <w:lang w:eastAsia="zh-CN"/>
        </w:rPr>
      </w:pPr>
      <w:r w:rsidRPr="00082ABB">
        <w:rPr>
          <w:rFonts w:ascii="Book Antiqua" w:eastAsia="宋体" w:hAnsi="Book Antiqua"/>
          <w:b/>
          <w:sz w:val="24"/>
          <w:szCs w:val="24"/>
          <w:lang w:eastAsia="zh-CN"/>
        </w:rPr>
        <w:t xml:space="preserve">Received: </w:t>
      </w:r>
      <w:r w:rsidRPr="00082ABB">
        <w:rPr>
          <w:rFonts w:ascii="Book Antiqua" w:eastAsia="宋体" w:hAnsi="Book Antiqua"/>
          <w:sz w:val="24"/>
          <w:szCs w:val="24"/>
          <w:lang w:eastAsia="zh-CN"/>
        </w:rPr>
        <w:t>March 25, 2016</w:t>
      </w:r>
    </w:p>
    <w:p w:rsidR="00FA1AB2" w:rsidRPr="00082ABB" w:rsidRDefault="00FA1AB2" w:rsidP="007061C9">
      <w:pPr>
        <w:snapToGrid w:val="0"/>
        <w:spacing w:line="360" w:lineRule="auto"/>
        <w:rPr>
          <w:rFonts w:ascii="Book Antiqua" w:eastAsia="宋体" w:hAnsi="Book Antiqua"/>
          <w:b/>
          <w:sz w:val="24"/>
          <w:szCs w:val="24"/>
          <w:lang w:eastAsia="zh-CN"/>
        </w:rPr>
      </w:pPr>
      <w:r w:rsidRPr="00082ABB">
        <w:rPr>
          <w:rFonts w:ascii="Book Antiqua" w:eastAsia="宋体" w:hAnsi="Book Antiqua"/>
          <w:b/>
          <w:sz w:val="24"/>
          <w:szCs w:val="24"/>
          <w:lang w:eastAsia="zh-CN"/>
        </w:rPr>
        <w:t xml:space="preserve">Peer-review started: </w:t>
      </w:r>
      <w:r w:rsidRPr="00082ABB">
        <w:rPr>
          <w:rFonts w:ascii="Book Antiqua" w:eastAsia="宋体" w:hAnsi="Book Antiqua"/>
          <w:sz w:val="24"/>
          <w:szCs w:val="24"/>
          <w:lang w:eastAsia="zh-CN"/>
        </w:rPr>
        <w:t>March 26, 2016</w:t>
      </w:r>
    </w:p>
    <w:p w:rsidR="00FA1AB2" w:rsidRPr="00082ABB" w:rsidRDefault="00FA1AB2" w:rsidP="007061C9">
      <w:pPr>
        <w:snapToGrid w:val="0"/>
        <w:spacing w:line="360" w:lineRule="auto"/>
        <w:rPr>
          <w:rFonts w:ascii="Book Antiqua" w:eastAsia="宋体" w:hAnsi="Book Antiqua"/>
          <w:b/>
          <w:sz w:val="24"/>
          <w:szCs w:val="24"/>
          <w:lang w:eastAsia="zh-CN"/>
        </w:rPr>
      </w:pPr>
      <w:r w:rsidRPr="00082ABB">
        <w:rPr>
          <w:rFonts w:ascii="Book Antiqua" w:eastAsia="宋体" w:hAnsi="Book Antiqua"/>
          <w:b/>
          <w:sz w:val="24"/>
          <w:szCs w:val="24"/>
          <w:lang w:eastAsia="zh-CN"/>
        </w:rPr>
        <w:t xml:space="preserve">First decision: </w:t>
      </w:r>
      <w:r w:rsidRPr="00082ABB">
        <w:rPr>
          <w:rFonts w:ascii="Book Antiqua" w:eastAsia="宋体" w:hAnsi="Book Antiqua"/>
          <w:sz w:val="24"/>
          <w:szCs w:val="24"/>
          <w:lang w:eastAsia="zh-CN"/>
        </w:rPr>
        <w:t>June 6, 2016</w:t>
      </w:r>
    </w:p>
    <w:p w:rsidR="00FA1AB2" w:rsidRPr="00082ABB" w:rsidRDefault="00FA1AB2" w:rsidP="007061C9">
      <w:pPr>
        <w:snapToGrid w:val="0"/>
        <w:spacing w:line="360" w:lineRule="auto"/>
        <w:rPr>
          <w:rFonts w:ascii="Book Antiqua" w:eastAsia="宋体" w:hAnsi="Book Antiqua"/>
          <w:b/>
          <w:sz w:val="24"/>
          <w:szCs w:val="24"/>
          <w:lang w:eastAsia="zh-CN"/>
        </w:rPr>
      </w:pPr>
      <w:r w:rsidRPr="00082ABB">
        <w:rPr>
          <w:rFonts w:ascii="Book Antiqua" w:eastAsia="宋体" w:hAnsi="Book Antiqua"/>
          <w:b/>
          <w:sz w:val="24"/>
          <w:szCs w:val="24"/>
          <w:lang w:eastAsia="zh-CN"/>
        </w:rPr>
        <w:t xml:space="preserve">Revised: </w:t>
      </w:r>
      <w:r w:rsidRPr="00082ABB">
        <w:rPr>
          <w:rFonts w:ascii="Book Antiqua" w:eastAsia="宋体" w:hAnsi="Book Antiqua"/>
          <w:sz w:val="24"/>
          <w:szCs w:val="24"/>
          <w:lang w:eastAsia="zh-CN"/>
        </w:rPr>
        <w:t>June 21, 2016</w:t>
      </w:r>
    </w:p>
    <w:p w:rsidR="00FA1AB2" w:rsidRPr="009E1458" w:rsidRDefault="00FA1AB2" w:rsidP="009E1458">
      <w:pPr>
        <w:rPr>
          <w:rFonts w:ascii="Book Antiqua" w:hAnsi="Book Antiqua"/>
          <w:iCs/>
          <w:sz w:val="24"/>
        </w:rPr>
      </w:pPr>
      <w:r w:rsidRPr="00082ABB">
        <w:rPr>
          <w:rFonts w:ascii="Book Antiqua" w:eastAsia="宋体" w:hAnsi="Book Antiqua"/>
          <w:b/>
          <w:sz w:val="24"/>
          <w:szCs w:val="24"/>
          <w:lang w:eastAsia="zh-CN"/>
        </w:rPr>
        <w:t>Accepted:</w:t>
      </w:r>
      <w:r w:rsidR="009E1458">
        <w:rPr>
          <w:rFonts w:ascii="Book Antiqua" w:eastAsia="宋体" w:hAnsi="Book Antiqua"/>
          <w:b/>
          <w:sz w:val="24"/>
          <w:szCs w:val="24"/>
          <w:lang w:eastAsia="zh-CN"/>
        </w:rPr>
        <w:t xml:space="preserve"> </w:t>
      </w:r>
      <w:r w:rsidR="009E1458">
        <w:rPr>
          <w:rStyle w:val="Emphasis"/>
        </w:rPr>
        <w:t>July 20</w:t>
      </w:r>
      <w:r w:rsidR="009E1458" w:rsidRPr="00235CD4">
        <w:rPr>
          <w:rStyle w:val="Emphasis"/>
        </w:rPr>
        <w:t>,</w:t>
      </w:r>
      <w:r w:rsidR="009E1458">
        <w:rPr>
          <w:rStyle w:val="Emphasis"/>
        </w:rPr>
        <w:t xml:space="preserve"> 2016</w:t>
      </w:r>
    </w:p>
    <w:p w:rsidR="00FA1AB2" w:rsidRPr="00082ABB" w:rsidRDefault="00FA1AB2" w:rsidP="007061C9">
      <w:pPr>
        <w:snapToGrid w:val="0"/>
        <w:spacing w:line="360" w:lineRule="auto"/>
        <w:rPr>
          <w:rFonts w:ascii="Book Antiqua" w:eastAsia="宋体" w:hAnsi="Book Antiqua"/>
          <w:b/>
          <w:sz w:val="24"/>
          <w:szCs w:val="24"/>
          <w:lang w:eastAsia="zh-CN"/>
        </w:rPr>
      </w:pPr>
      <w:r w:rsidRPr="00082ABB">
        <w:rPr>
          <w:rFonts w:ascii="Book Antiqua" w:eastAsia="宋体" w:hAnsi="Book Antiqua"/>
          <w:b/>
          <w:sz w:val="24"/>
          <w:szCs w:val="24"/>
          <w:lang w:eastAsia="zh-CN"/>
        </w:rPr>
        <w:t>Article in press:</w:t>
      </w:r>
    </w:p>
    <w:p w:rsidR="00FA1AB2" w:rsidRPr="00082ABB" w:rsidRDefault="00FA1AB2" w:rsidP="007061C9">
      <w:pPr>
        <w:widowControl/>
        <w:snapToGrid w:val="0"/>
        <w:spacing w:line="360" w:lineRule="auto"/>
        <w:jc w:val="left"/>
        <w:rPr>
          <w:rFonts w:ascii="Book Antiqua" w:eastAsia="宋体" w:hAnsi="Book Antiqua" w:cs="Arial"/>
          <w:b/>
          <w:kern w:val="0"/>
          <w:sz w:val="24"/>
          <w:szCs w:val="24"/>
          <w:lang w:val="pl-PL" w:eastAsia="zh-CN"/>
        </w:rPr>
      </w:pPr>
      <w:r w:rsidRPr="00082ABB">
        <w:rPr>
          <w:rFonts w:ascii="Book Antiqua" w:eastAsia="宋体" w:hAnsi="Book Antiqua" w:cs="Arial"/>
          <w:b/>
          <w:kern w:val="0"/>
          <w:sz w:val="24"/>
          <w:szCs w:val="24"/>
          <w:lang w:val="pl-PL" w:eastAsia="pl-PL"/>
        </w:rPr>
        <w:t>Published online:</w:t>
      </w:r>
    </w:p>
    <w:p w:rsidR="00BC5F12" w:rsidRPr="00082ABB" w:rsidRDefault="00BC5F12" w:rsidP="007061C9">
      <w:pPr>
        <w:snapToGrid w:val="0"/>
        <w:spacing w:line="360" w:lineRule="auto"/>
        <w:rPr>
          <w:rFonts w:ascii="Book Antiqua" w:hAnsi="Book Antiqua"/>
          <w:sz w:val="24"/>
          <w:szCs w:val="24"/>
        </w:rPr>
      </w:pPr>
    </w:p>
    <w:p w:rsidR="00FA1AB2" w:rsidRPr="00082ABB" w:rsidRDefault="00FA1AB2" w:rsidP="007061C9">
      <w:pPr>
        <w:widowControl/>
        <w:snapToGrid w:val="0"/>
        <w:spacing w:line="360" w:lineRule="auto"/>
        <w:jc w:val="left"/>
        <w:rPr>
          <w:rFonts w:ascii="Book Antiqua" w:hAnsi="Book Antiqua"/>
          <w:sz w:val="24"/>
          <w:szCs w:val="24"/>
        </w:rPr>
      </w:pPr>
      <w:r w:rsidRPr="00082ABB">
        <w:rPr>
          <w:rFonts w:ascii="Book Antiqua" w:hAnsi="Book Antiqua"/>
          <w:sz w:val="24"/>
          <w:szCs w:val="24"/>
        </w:rPr>
        <w:br w:type="page"/>
      </w:r>
    </w:p>
    <w:p w:rsidR="00BC5F12" w:rsidRPr="00082ABB" w:rsidRDefault="00BC5F12" w:rsidP="007061C9">
      <w:pPr>
        <w:snapToGrid w:val="0"/>
        <w:spacing w:line="360" w:lineRule="auto"/>
        <w:rPr>
          <w:rFonts w:ascii="Book Antiqua" w:hAnsi="Book Antiqua"/>
          <w:b/>
          <w:sz w:val="24"/>
          <w:szCs w:val="24"/>
        </w:rPr>
      </w:pPr>
      <w:r w:rsidRPr="00082ABB">
        <w:rPr>
          <w:rFonts w:ascii="Book Antiqua" w:hAnsi="Book Antiqua"/>
          <w:b/>
          <w:sz w:val="24"/>
          <w:szCs w:val="24"/>
        </w:rPr>
        <w:lastRenderedPageBreak/>
        <w:t>Abstract</w:t>
      </w: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 xml:space="preserve">Colorectal cancer (CRC) is a significant cause of cancer-related morbidity and mortality all over the world. </w:t>
      </w:r>
      <w:r w:rsidR="001D4814" w:rsidRPr="00082ABB">
        <w:rPr>
          <w:rFonts w:ascii="Book Antiqua" w:hAnsi="Book Antiqua"/>
          <w:sz w:val="24"/>
          <w:szCs w:val="24"/>
        </w:rPr>
        <w:t>I</w:t>
      </w:r>
      <w:r w:rsidRPr="00082ABB">
        <w:rPr>
          <w:rFonts w:ascii="Book Antiqua" w:hAnsi="Book Antiqua"/>
          <w:sz w:val="24"/>
          <w:szCs w:val="24"/>
        </w:rPr>
        <w:t>mprovement</w:t>
      </w:r>
      <w:r w:rsidR="001D4814" w:rsidRPr="00082ABB">
        <w:rPr>
          <w:rFonts w:ascii="Book Antiqua" w:hAnsi="Book Antiqua"/>
          <w:sz w:val="24"/>
          <w:szCs w:val="24"/>
        </w:rPr>
        <w:t>s</w:t>
      </w:r>
      <w:r w:rsidR="00731D82" w:rsidRPr="00082ABB">
        <w:rPr>
          <w:rFonts w:ascii="Book Antiqua" w:hAnsi="Book Antiqua"/>
          <w:sz w:val="24"/>
          <w:szCs w:val="24"/>
        </w:rPr>
        <w:t xml:space="preserve"> of cytotoxic and biologic age</w:t>
      </w:r>
      <w:r w:rsidRPr="00082ABB">
        <w:rPr>
          <w:rFonts w:ascii="Book Antiqua" w:hAnsi="Book Antiqua"/>
          <w:sz w:val="24"/>
          <w:szCs w:val="24"/>
        </w:rPr>
        <w:t xml:space="preserve">nts </w:t>
      </w:r>
      <w:r w:rsidR="004C0AAC" w:rsidRPr="00082ABB">
        <w:rPr>
          <w:rFonts w:ascii="Book Antiqua" w:hAnsi="Book Antiqua"/>
          <w:sz w:val="24"/>
          <w:szCs w:val="24"/>
        </w:rPr>
        <w:t xml:space="preserve">have </w:t>
      </w:r>
      <w:r w:rsidRPr="00082ABB">
        <w:rPr>
          <w:rFonts w:ascii="Book Antiqua" w:hAnsi="Book Antiqua"/>
          <w:sz w:val="24"/>
          <w:szCs w:val="24"/>
        </w:rPr>
        <w:t>prolonged the survival in metastatic CRC (mCRC)</w:t>
      </w:r>
      <w:r w:rsidR="004C0AAC" w:rsidRPr="00082ABB">
        <w:rPr>
          <w:rFonts w:ascii="Book Antiqua" w:hAnsi="Book Antiqua"/>
          <w:sz w:val="24"/>
          <w:szCs w:val="24"/>
        </w:rPr>
        <w:t>,</w:t>
      </w:r>
      <w:r w:rsidRPr="00082ABB">
        <w:rPr>
          <w:rFonts w:ascii="Book Antiqua" w:hAnsi="Book Antiqua"/>
          <w:sz w:val="24"/>
          <w:szCs w:val="24"/>
        </w:rPr>
        <w:t xml:space="preserve"> with a median overall survival of approximately 2 years and more in the past two decades. The biologic agents </w:t>
      </w:r>
      <w:r w:rsidR="001D4814" w:rsidRPr="00082ABB">
        <w:rPr>
          <w:rFonts w:ascii="Book Antiqua" w:hAnsi="Book Antiqua"/>
          <w:sz w:val="24"/>
          <w:szCs w:val="24"/>
        </w:rPr>
        <w:t xml:space="preserve">that </w:t>
      </w:r>
      <w:r w:rsidRPr="00082ABB">
        <w:rPr>
          <w:rFonts w:ascii="Book Antiqua" w:hAnsi="Book Antiqua"/>
          <w:sz w:val="24"/>
          <w:szCs w:val="24"/>
        </w:rPr>
        <w:t>have prove</w:t>
      </w:r>
      <w:r w:rsidR="001D4814" w:rsidRPr="00082ABB">
        <w:rPr>
          <w:rFonts w:ascii="Book Antiqua" w:hAnsi="Book Antiqua"/>
          <w:sz w:val="24"/>
          <w:szCs w:val="24"/>
        </w:rPr>
        <w:t xml:space="preserve">n </w:t>
      </w:r>
      <w:r w:rsidRPr="00082ABB">
        <w:rPr>
          <w:rFonts w:ascii="Book Antiqua" w:hAnsi="Book Antiqua"/>
          <w:sz w:val="24"/>
          <w:szCs w:val="24"/>
        </w:rPr>
        <w:t>clinical benefits in mCRC mainly target vascular endothelial growth factor (VEGF) and epidermal growth factor receptor (EGFR). In particular, bevacizumab targeting VEGF</w:t>
      </w:r>
      <w:r w:rsidR="001D4814" w:rsidRPr="00082ABB">
        <w:rPr>
          <w:rFonts w:ascii="Book Antiqua" w:hAnsi="Book Antiqua"/>
          <w:sz w:val="24"/>
          <w:szCs w:val="24"/>
        </w:rPr>
        <w:t xml:space="preserve"> and </w:t>
      </w:r>
      <w:r w:rsidRPr="00082ABB">
        <w:rPr>
          <w:rFonts w:ascii="Book Antiqua" w:hAnsi="Book Antiqua"/>
          <w:sz w:val="24"/>
          <w:szCs w:val="24"/>
        </w:rPr>
        <w:t xml:space="preserve">cetuximab and panitumumab targeting EGFR </w:t>
      </w:r>
      <w:r w:rsidR="004C0AAC" w:rsidRPr="00082ABB">
        <w:rPr>
          <w:rFonts w:ascii="Book Antiqua" w:hAnsi="Book Antiqua"/>
          <w:sz w:val="24"/>
          <w:szCs w:val="24"/>
        </w:rPr>
        <w:t xml:space="preserve">have </w:t>
      </w:r>
      <w:r w:rsidRPr="00082ABB">
        <w:rPr>
          <w:rFonts w:ascii="Book Antiqua" w:hAnsi="Book Antiqua"/>
          <w:sz w:val="24"/>
          <w:szCs w:val="24"/>
        </w:rPr>
        <w:t>demonstrated significant survival benefit</w:t>
      </w:r>
      <w:r w:rsidR="004C0AAC" w:rsidRPr="00082ABB">
        <w:rPr>
          <w:rFonts w:ascii="Book Antiqua" w:hAnsi="Book Antiqua"/>
          <w:sz w:val="24"/>
          <w:szCs w:val="24"/>
        </w:rPr>
        <w:t>s</w:t>
      </w:r>
      <w:r w:rsidRPr="00082ABB">
        <w:rPr>
          <w:rFonts w:ascii="Book Antiqua" w:hAnsi="Book Antiqua"/>
          <w:sz w:val="24"/>
          <w:szCs w:val="24"/>
        </w:rPr>
        <w:t xml:space="preserve"> in combination with cytotoxic chemotherapy </w:t>
      </w:r>
      <w:r w:rsidR="001D4814" w:rsidRPr="00082ABB">
        <w:rPr>
          <w:rFonts w:ascii="Book Antiqua" w:hAnsi="Book Antiqua"/>
          <w:sz w:val="24"/>
          <w:szCs w:val="24"/>
        </w:rPr>
        <w:t xml:space="preserve">in the </w:t>
      </w:r>
      <w:r w:rsidRPr="00082ABB">
        <w:rPr>
          <w:rFonts w:ascii="Book Antiqua" w:hAnsi="Book Antiqua"/>
          <w:sz w:val="24"/>
          <w:szCs w:val="24"/>
        </w:rPr>
        <w:t>first-line, second-line, or salvage setting. Aflibercept, ramucirumab</w:t>
      </w:r>
      <w:r w:rsidR="001D4814" w:rsidRPr="00082ABB">
        <w:rPr>
          <w:rFonts w:ascii="Book Antiqua" w:hAnsi="Book Antiqua"/>
          <w:sz w:val="24"/>
          <w:szCs w:val="24"/>
        </w:rPr>
        <w:t>,</w:t>
      </w:r>
      <w:r w:rsidRPr="00082ABB">
        <w:rPr>
          <w:rFonts w:ascii="Book Antiqua" w:hAnsi="Book Antiqua"/>
          <w:sz w:val="24"/>
          <w:szCs w:val="24"/>
        </w:rPr>
        <w:t xml:space="preserve"> and regorafenib are also used in second-line or salvage therapy. Recent retrospective analyses </w:t>
      </w:r>
      <w:r w:rsidR="004C0AAC" w:rsidRPr="00082ABB">
        <w:rPr>
          <w:rFonts w:ascii="Book Antiqua" w:hAnsi="Book Antiqua"/>
          <w:sz w:val="24"/>
          <w:szCs w:val="24"/>
        </w:rPr>
        <w:t xml:space="preserve">have </w:t>
      </w:r>
      <w:r w:rsidR="001D4814" w:rsidRPr="00082ABB">
        <w:rPr>
          <w:rFonts w:ascii="Book Antiqua" w:hAnsi="Book Antiqua"/>
          <w:sz w:val="24"/>
          <w:szCs w:val="24"/>
        </w:rPr>
        <w:t>show</w:t>
      </w:r>
      <w:r w:rsidR="004C0AAC" w:rsidRPr="00082ABB">
        <w:rPr>
          <w:rFonts w:ascii="Book Antiqua" w:hAnsi="Book Antiqua"/>
          <w:sz w:val="24"/>
          <w:szCs w:val="24"/>
        </w:rPr>
        <w:t>n</w:t>
      </w:r>
      <w:r w:rsidR="001D4814" w:rsidRPr="00082ABB">
        <w:rPr>
          <w:rFonts w:ascii="Book Antiqua" w:hAnsi="Book Antiqua"/>
          <w:sz w:val="24"/>
          <w:szCs w:val="24"/>
        </w:rPr>
        <w:t xml:space="preserve"> </w:t>
      </w:r>
      <w:r w:rsidRPr="00082ABB">
        <w:rPr>
          <w:rFonts w:ascii="Book Antiqua" w:hAnsi="Book Antiqua"/>
          <w:sz w:val="24"/>
          <w:szCs w:val="24"/>
        </w:rPr>
        <w:t xml:space="preserve">that </w:t>
      </w:r>
      <w:r w:rsidRPr="00082ABB">
        <w:rPr>
          <w:rFonts w:ascii="Book Antiqua" w:hAnsi="Book Antiqua"/>
          <w:i/>
          <w:sz w:val="24"/>
          <w:szCs w:val="24"/>
        </w:rPr>
        <w:t>KRAS</w:t>
      </w:r>
      <w:r w:rsidRPr="00082ABB">
        <w:rPr>
          <w:rFonts w:ascii="Book Antiqua" w:hAnsi="Book Antiqua"/>
          <w:sz w:val="24"/>
          <w:szCs w:val="24"/>
        </w:rPr>
        <w:t xml:space="preserve"> or </w:t>
      </w:r>
      <w:r w:rsidRPr="00082ABB">
        <w:rPr>
          <w:rFonts w:ascii="Book Antiqua" w:hAnsi="Book Antiqua"/>
          <w:i/>
          <w:sz w:val="24"/>
          <w:szCs w:val="24"/>
        </w:rPr>
        <w:t>NRAS</w:t>
      </w:r>
      <w:r w:rsidRPr="00082ABB">
        <w:rPr>
          <w:rFonts w:ascii="Book Antiqua" w:hAnsi="Book Antiqua"/>
          <w:sz w:val="24"/>
          <w:szCs w:val="24"/>
        </w:rPr>
        <w:t xml:space="preserve"> mutation</w:t>
      </w:r>
      <w:r w:rsidR="004C0AAC" w:rsidRPr="00082ABB">
        <w:rPr>
          <w:rFonts w:ascii="Book Antiqua" w:hAnsi="Book Antiqua"/>
          <w:sz w:val="24"/>
          <w:szCs w:val="24"/>
        </w:rPr>
        <w:t>s</w:t>
      </w:r>
      <w:r w:rsidRPr="00082ABB">
        <w:rPr>
          <w:rFonts w:ascii="Book Antiqua" w:hAnsi="Book Antiqua"/>
          <w:sz w:val="24"/>
          <w:szCs w:val="24"/>
        </w:rPr>
        <w:t xml:space="preserve"> were negative predictive marker</w:t>
      </w:r>
      <w:r w:rsidR="001D4814" w:rsidRPr="00082ABB">
        <w:rPr>
          <w:rFonts w:ascii="Book Antiqua" w:hAnsi="Book Antiqua"/>
          <w:sz w:val="24"/>
          <w:szCs w:val="24"/>
        </w:rPr>
        <w:t>s</w:t>
      </w:r>
      <w:r w:rsidRPr="00082ABB">
        <w:rPr>
          <w:rFonts w:ascii="Book Antiqua" w:hAnsi="Book Antiqua"/>
          <w:sz w:val="24"/>
          <w:szCs w:val="24"/>
        </w:rPr>
        <w:t xml:space="preserve"> for anti-EGFR therapy. Based on the evidence from large randomized clinical trials, personalized therapy is necessary for patients with mCRC according to their tumor biology and characteristics. </w:t>
      </w:r>
      <w:r w:rsidR="004C0AAC" w:rsidRPr="00082ABB">
        <w:rPr>
          <w:rFonts w:ascii="Book Antiqua" w:hAnsi="Book Antiqua"/>
          <w:sz w:val="24"/>
          <w:szCs w:val="24"/>
        </w:rPr>
        <w:t xml:space="preserve">The </w:t>
      </w:r>
      <w:r w:rsidRPr="00082ABB">
        <w:rPr>
          <w:rFonts w:ascii="Book Antiqua" w:hAnsi="Book Antiqua"/>
          <w:sz w:val="24"/>
          <w:szCs w:val="24"/>
        </w:rPr>
        <w:t xml:space="preserve">aim </w:t>
      </w:r>
      <w:r w:rsidR="004C0AAC" w:rsidRPr="00082ABB">
        <w:rPr>
          <w:rFonts w:ascii="Book Antiqua" w:hAnsi="Book Antiqua"/>
          <w:sz w:val="24"/>
          <w:szCs w:val="24"/>
        </w:rPr>
        <w:t xml:space="preserve">of this paper was </w:t>
      </w:r>
      <w:r w:rsidRPr="00082ABB">
        <w:rPr>
          <w:rFonts w:ascii="Book Antiqua" w:hAnsi="Book Antiqua"/>
          <w:sz w:val="24"/>
          <w:szCs w:val="24"/>
        </w:rPr>
        <w:t>to summarize the results of the major randomized clinical trials and highlight the benefit</w:t>
      </w:r>
      <w:r w:rsidR="004C0AAC" w:rsidRPr="00082ABB">
        <w:rPr>
          <w:rFonts w:ascii="Book Antiqua" w:hAnsi="Book Antiqua"/>
          <w:sz w:val="24"/>
          <w:szCs w:val="24"/>
        </w:rPr>
        <w:t>s</w:t>
      </w:r>
      <w:r w:rsidRPr="00082ABB">
        <w:rPr>
          <w:rFonts w:ascii="Book Antiqua" w:hAnsi="Book Antiqua"/>
          <w:sz w:val="24"/>
          <w:szCs w:val="24"/>
        </w:rPr>
        <w:t xml:space="preserve"> of the molecular targeted agents in patients with mCRC.</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b/>
          <w:sz w:val="24"/>
          <w:szCs w:val="24"/>
        </w:rPr>
        <w:t>Key words:</w:t>
      </w:r>
      <w:r w:rsidR="007061C9" w:rsidRPr="00082ABB">
        <w:rPr>
          <w:rFonts w:ascii="Book Antiqua" w:eastAsia="宋体" w:hAnsi="Book Antiqua"/>
          <w:b/>
          <w:sz w:val="24"/>
          <w:szCs w:val="24"/>
          <w:lang w:eastAsia="zh-CN"/>
        </w:rPr>
        <w:t xml:space="preserve"> </w:t>
      </w:r>
      <w:r w:rsidRPr="00082ABB">
        <w:rPr>
          <w:rFonts w:ascii="Book Antiqua" w:hAnsi="Book Antiqua"/>
          <w:sz w:val="24"/>
          <w:szCs w:val="24"/>
        </w:rPr>
        <w:t>Metastatic colore</w:t>
      </w:r>
      <w:r w:rsidR="002B324E" w:rsidRPr="00082ABB">
        <w:rPr>
          <w:rFonts w:ascii="Book Antiqua" w:hAnsi="Book Antiqua"/>
          <w:sz w:val="24"/>
          <w:szCs w:val="24"/>
        </w:rPr>
        <w:t>ctal cancer; Targeted therapy; Bevacizumab; Cetuximab; Panitimumab; A</w:t>
      </w:r>
      <w:r w:rsidRPr="00082ABB">
        <w:rPr>
          <w:rFonts w:ascii="Book Antiqua" w:hAnsi="Book Antiqua"/>
          <w:sz w:val="24"/>
          <w:szCs w:val="24"/>
        </w:rPr>
        <w:t xml:space="preserve">flibercept; </w:t>
      </w:r>
      <w:r w:rsidR="002B324E" w:rsidRPr="00082ABB">
        <w:rPr>
          <w:rFonts w:ascii="Book Antiqua" w:hAnsi="Book Antiqua"/>
          <w:sz w:val="24"/>
          <w:szCs w:val="24"/>
        </w:rPr>
        <w:t>Ramucirumab; R</w:t>
      </w:r>
      <w:r w:rsidRPr="00082ABB">
        <w:rPr>
          <w:rFonts w:ascii="Book Antiqua" w:hAnsi="Book Antiqua"/>
          <w:sz w:val="24"/>
          <w:szCs w:val="24"/>
        </w:rPr>
        <w:t>egorafenib</w:t>
      </w:r>
    </w:p>
    <w:p w:rsidR="00BC5F12" w:rsidRPr="00082ABB" w:rsidRDefault="00BC5F12" w:rsidP="007061C9">
      <w:pPr>
        <w:snapToGrid w:val="0"/>
        <w:spacing w:line="360" w:lineRule="auto"/>
        <w:rPr>
          <w:rFonts w:ascii="Book Antiqua" w:eastAsia="宋体" w:hAnsi="Book Antiqua"/>
          <w:sz w:val="24"/>
          <w:szCs w:val="24"/>
          <w:lang w:eastAsia="zh-CN"/>
        </w:rPr>
      </w:pPr>
    </w:p>
    <w:p w:rsidR="007061C9" w:rsidRPr="00082ABB" w:rsidRDefault="007061C9" w:rsidP="007061C9">
      <w:pPr>
        <w:adjustRightInd w:val="0"/>
        <w:snapToGrid w:val="0"/>
        <w:spacing w:line="360" w:lineRule="auto"/>
        <w:rPr>
          <w:rFonts w:ascii="Book Antiqua" w:hAnsi="Book Antiqua"/>
          <w:sz w:val="24"/>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proofErr w:type="gramStart"/>
      <w:r w:rsidRPr="00082ABB">
        <w:rPr>
          <w:rFonts w:ascii="Book Antiqua" w:hAnsi="Book Antiqua"/>
          <w:b/>
          <w:sz w:val="24"/>
        </w:rPr>
        <w:t>© The Author(s) 2016.</w:t>
      </w:r>
      <w:proofErr w:type="gramEnd"/>
      <w:r w:rsidRPr="00082ABB">
        <w:rPr>
          <w:rFonts w:ascii="Book Antiqua" w:hAnsi="Book Antiqua"/>
          <w:sz w:val="24"/>
        </w:rPr>
        <w:t xml:space="preserve"> Published by Baishideng Publishing Group Inc. All rights reserved.</w:t>
      </w:r>
    </w:p>
    <w:bookmarkEnd w:id="11"/>
    <w:bookmarkEnd w:id="12"/>
    <w:bookmarkEnd w:id="13"/>
    <w:bookmarkEnd w:id="14"/>
    <w:bookmarkEnd w:id="15"/>
    <w:bookmarkEnd w:id="16"/>
    <w:bookmarkEnd w:id="17"/>
    <w:bookmarkEnd w:id="18"/>
    <w:p w:rsidR="007061C9" w:rsidRPr="00082ABB" w:rsidRDefault="007061C9" w:rsidP="007061C9">
      <w:pPr>
        <w:snapToGrid w:val="0"/>
        <w:spacing w:line="360" w:lineRule="auto"/>
        <w:rPr>
          <w:rFonts w:ascii="Book Antiqua" w:eastAsia="宋体" w:hAnsi="Book Antiqua"/>
          <w:sz w:val="24"/>
          <w:szCs w:val="24"/>
          <w:lang w:eastAsia="zh-CN"/>
        </w:rPr>
      </w:pPr>
    </w:p>
    <w:p w:rsidR="00BC5F12" w:rsidRPr="00082ABB" w:rsidRDefault="00BC5F12" w:rsidP="007061C9">
      <w:pPr>
        <w:snapToGrid w:val="0"/>
        <w:spacing w:line="360" w:lineRule="auto"/>
        <w:rPr>
          <w:rFonts w:ascii="Book Antiqua" w:eastAsia="宋体" w:hAnsi="Book Antiqua"/>
          <w:sz w:val="24"/>
          <w:szCs w:val="24"/>
          <w:lang w:eastAsia="zh-CN"/>
        </w:rPr>
      </w:pPr>
      <w:r w:rsidRPr="00082ABB">
        <w:rPr>
          <w:rFonts w:ascii="Book Antiqua" w:hAnsi="Book Antiqua"/>
          <w:b/>
          <w:sz w:val="24"/>
          <w:szCs w:val="24"/>
        </w:rPr>
        <w:t>Core tip:</w:t>
      </w:r>
      <w:r w:rsidRPr="00082ABB">
        <w:rPr>
          <w:rFonts w:ascii="Book Antiqua" w:hAnsi="Book Antiqua"/>
          <w:sz w:val="24"/>
          <w:szCs w:val="24"/>
        </w:rPr>
        <w:t xml:space="preserve"> The development of molecular targeted agents contribute</w:t>
      </w:r>
      <w:r w:rsidR="001D4814" w:rsidRPr="00082ABB">
        <w:rPr>
          <w:rFonts w:ascii="Book Antiqua" w:hAnsi="Book Antiqua"/>
          <w:sz w:val="24"/>
          <w:szCs w:val="24"/>
        </w:rPr>
        <w:t>s</w:t>
      </w:r>
      <w:r w:rsidRPr="00082ABB">
        <w:rPr>
          <w:rFonts w:ascii="Book Antiqua" w:hAnsi="Book Antiqua"/>
          <w:sz w:val="24"/>
          <w:szCs w:val="24"/>
        </w:rPr>
        <w:t xml:space="preserve"> to prolong</w:t>
      </w:r>
      <w:r w:rsidR="001D4814" w:rsidRPr="00082ABB">
        <w:rPr>
          <w:rFonts w:ascii="Book Antiqua" w:hAnsi="Book Antiqua"/>
          <w:sz w:val="24"/>
          <w:szCs w:val="24"/>
        </w:rPr>
        <w:t>ing</w:t>
      </w:r>
      <w:r w:rsidRPr="00082ABB">
        <w:rPr>
          <w:rFonts w:ascii="Book Antiqua" w:hAnsi="Book Antiqua"/>
          <w:sz w:val="24"/>
          <w:szCs w:val="24"/>
        </w:rPr>
        <w:t xml:space="preserve"> survival </w:t>
      </w:r>
      <w:r w:rsidR="001D4814" w:rsidRPr="00082ABB">
        <w:rPr>
          <w:rFonts w:ascii="Book Antiqua" w:hAnsi="Book Antiqua"/>
          <w:sz w:val="24"/>
          <w:szCs w:val="24"/>
        </w:rPr>
        <w:t xml:space="preserve">of </w:t>
      </w:r>
      <w:r w:rsidRPr="00082ABB">
        <w:rPr>
          <w:rFonts w:ascii="Book Antiqua" w:hAnsi="Book Antiqua"/>
          <w:sz w:val="24"/>
          <w:szCs w:val="24"/>
        </w:rPr>
        <w:t xml:space="preserve">patients with metastatic colorectal cancer (mCRC). </w:t>
      </w:r>
      <w:r w:rsidR="004C0AAC" w:rsidRPr="00082ABB">
        <w:rPr>
          <w:rFonts w:ascii="Book Antiqua" w:hAnsi="Book Antiqua"/>
          <w:sz w:val="24"/>
          <w:szCs w:val="24"/>
        </w:rPr>
        <w:t>O</w:t>
      </w:r>
      <w:r w:rsidRPr="00082ABB">
        <w:rPr>
          <w:rFonts w:ascii="Book Antiqua" w:hAnsi="Book Antiqua"/>
          <w:sz w:val="24"/>
          <w:szCs w:val="24"/>
        </w:rPr>
        <w:t xml:space="preserve">ne anti-vascular endothelial growth factor agent, bevacizumab, and two anti-epidermal growth factor receptor (EGFR) agents, cetuximab and panitumumab, </w:t>
      </w:r>
      <w:r w:rsidR="001D4814" w:rsidRPr="00082ABB">
        <w:rPr>
          <w:rFonts w:ascii="Book Antiqua" w:hAnsi="Book Antiqua"/>
          <w:sz w:val="24"/>
          <w:szCs w:val="24"/>
        </w:rPr>
        <w:t xml:space="preserve">have </w:t>
      </w:r>
      <w:r w:rsidRPr="00082ABB">
        <w:rPr>
          <w:rFonts w:ascii="Book Antiqua" w:hAnsi="Book Antiqua"/>
          <w:sz w:val="24"/>
          <w:szCs w:val="24"/>
        </w:rPr>
        <w:t>demonstrated clinical benefit</w:t>
      </w:r>
      <w:r w:rsidR="004C0AAC" w:rsidRPr="00082ABB">
        <w:rPr>
          <w:rFonts w:ascii="Book Antiqua" w:hAnsi="Book Antiqua"/>
          <w:sz w:val="24"/>
          <w:szCs w:val="24"/>
        </w:rPr>
        <w:t>s</w:t>
      </w:r>
      <w:r w:rsidRPr="00082ABB">
        <w:rPr>
          <w:rFonts w:ascii="Book Antiqua" w:hAnsi="Book Antiqua"/>
          <w:sz w:val="24"/>
          <w:szCs w:val="24"/>
        </w:rPr>
        <w:t xml:space="preserve"> in first-line, second-line, or </w:t>
      </w:r>
      <w:r w:rsidRPr="00082ABB">
        <w:rPr>
          <w:rFonts w:ascii="Book Antiqua" w:hAnsi="Book Antiqua"/>
          <w:sz w:val="24"/>
          <w:szCs w:val="24"/>
        </w:rPr>
        <w:lastRenderedPageBreak/>
        <w:t xml:space="preserve">salvage therapy in combination with cytotoxic chemotherapy. Moreover, </w:t>
      </w:r>
      <w:r w:rsidRPr="00082ABB">
        <w:rPr>
          <w:rFonts w:ascii="Book Antiqua" w:hAnsi="Book Antiqua"/>
          <w:i/>
          <w:sz w:val="24"/>
          <w:szCs w:val="24"/>
        </w:rPr>
        <w:t>RAS</w:t>
      </w:r>
      <w:r w:rsidRPr="00082ABB">
        <w:rPr>
          <w:rFonts w:ascii="Book Antiqua" w:hAnsi="Book Antiqua"/>
          <w:sz w:val="24"/>
          <w:szCs w:val="24"/>
        </w:rPr>
        <w:t xml:space="preserve"> mutation </w:t>
      </w:r>
      <w:r w:rsidR="001D4814" w:rsidRPr="00082ABB">
        <w:rPr>
          <w:rFonts w:ascii="Book Antiqua" w:hAnsi="Book Antiqua"/>
          <w:sz w:val="24"/>
          <w:szCs w:val="24"/>
        </w:rPr>
        <w:t xml:space="preserve">has been </w:t>
      </w:r>
      <w:r w:rsidRPr="00082ABB">
        <w:rPr>
          <w:rFonts w:ascii="Book Antiqua" w:hAnsi="Book Antiqua"/>
          <w:sz w:val="24"/>
          <w:szCs w:val="24"/>
        </w:rPr>
        <w:t xml:space="preserve">proven </w:t>
      </w:r>
      <w:r w:rsidR="001D4814" w:rsidRPr="00082ABB">
        <w:rPr>
          <w:rFonts w:ascii="Book Antiqua" w:hAnsi="Book Antiqua"/>
          <w:sz w:val="24"/>
          <w:szCs w:val="24"/>
        </w:rPr>
        <w:t xml:space="preserve">to be </w:t>
      </w:r>
      <w:r w:rsidRPr="00082ABB">
        <w:rPr>
          <w:rFonts w:ascii="Book Antiqua" w:hAnsi="Book Antiqua"/>
          <w:sz w:val="24"/>
          <w:szCs w:val="24"/>
        </w:rPr>
        <w:t xml:space="preserve">a negative biomarker for anti-EGFR therapy </w:t>
      </w:r>
      <w:r w:rsidR="001D4814" w:rsidRPr="00082ABB">
        <w:rPr>
          <w:rFonts w:ascii="Book Antiqua" w:hAnsi="Book Antiqua"/>
          <w:sz w:val="24"/>
          <w:szCs w:val="24"/>
        </w:rPr>
        <w:t xml:space="preserve">in </w:t>
      </w:r>
      <w:r w:rsidRPr="00082ABB">
        <w:rPr>
          <w:rFonts w:ascii="Book Antiqua" w:hAnsi="Book Antiqua"/>
          <w:sz w:val="24"/>
          <w:szCs w:val="24"/>
        </w:rPr>
        <w:t>recent retrospective analyses. This article summarizes the evidence from large clinical trials and highlights the benefit of the molecular targete</w:t>
      </w:r>
      <w:r w:rsidR="007061C9" w:rsidRPr="00082ABB">
        <w:rPr>
          <w:rFonts w:ascii="Book Antiqua" w:hAnsi="Book Antiqua"/>
          <w:sz w:val="24"/>
          <w:szCs w:val="24"/>
        </w:rPr>
        <w:t>d agents in patients with mCRC.</w:t>
      </w: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 xml:space="preserve"> </w:t>
      </w:r>
    </w:p>
    <w:p w:rsidR="00BC5F12" w:rsidRPr="00082ABB" w:rsidRDefault="009F660A" w:rsidP="007061C9">
      <w:pPr>
        <w:snapToGrid w:val="0"/>
        <w:spacing w:line="360" w:lineRule="auto"/>
        <w:rPr>
          <w:rFonts w:ascii="Book Antiqua" w:eastAsia="宋体" w:hAnsi="Book Antiqua"/>
          <w:sz w:val="24"/>
          <w:szCs w:val="24"/>
          <w:lang w:eastAsia="zh-CN"/>
        </w:rPr>
      </w:pPr>
      <w:r w:rsidRPr="00082ABB">
        <w:rPr>
          <w:rFonts w:ascii="Book Antiqua" w:hAnsi="Book Antiqua"/>
          <w:sz w:val="24"/>
          <w:szCs w:val="24"/>
        </w:rPr>
        <w:t>Ohhara Y</w:t>
      </w:r>
      <w:r w:rsidR="0001202F" w:rsidRPr="00082ABB">
        <w:rPr>
          <w:rFonts w:ascii="Book Antiqua" w:hAnsi="Book Antiqua"/>
          <w:sz w:val="24"/>
          <w:szCs w:val="24"/>
        </w:rPr>
        <w:t>,</w:t>
      </w:r>
      <w:r w:rsidR="007061C9" w:rsidRPr="00082ABB">
        <w:rPr>
          <w:rFonts w:ascii="Book Antiqua" w:eastAsia="宋体" w:hAnsi="Book Antiqua"/>
          <w:sz w:val="24"/>
          <w:szCs w:val="24"/>
          <w:lang w:eastAsia="zh-CN"/>
        </w:rPr>
        <w:t xml:space="preserve"> </w:t>
      </w:r>
      <w:r w:rsidR="007B724A" w:rsidRPr="00082ABB">
        <w:rPr>
          <w:rFonts w:ascii="Book Antiqua" w:hAnsi="Book Antiqua"/>
          <w:sz w:val="24"/>
          <w:szCs w:val="24"/>
        </w:rPr>
        <w:t>Fukuda N, Takeuc</w:t>
      </w:r>
      <w:r w:rsidRPr="00082ABB">
        <w:rPr>
          <w:rFonts w:ascii="Book Antiqua" w:hAnsi="Book Antiqua"/>
          <w:sz w:val="24"/>
          <w:szCs w:val="24"/>
        </w:rPr>
        <w:t xml:space="preserve">hi S, </w:t>
      </w:r>
      <w:r w:rsidR="0001202F" w:rsidRPr="00082ABB">
        <w:rPr>
          <w:rFonts w:ascii="Book Antiqua" w:hAnsi="Book Antiqua"/>
          <w:sz w:val="24"/>
          <w:szCs w:val="24"/>
        </w:rPr>
        <w:t xml:space="preserve">Honma R, Shimizu Y, Kinoshita I, </w:t>
      </w:r>
      <w:r w:rsidRPr="00082ABB">
        <w:rPr>
          <w:rFonts w:ascii="Book Antiqua" w:hAnsi="Book Antiqua"/>
          <w:sz w:val="24"/>
          <w:szCs w:val="24"/>
        </w:rPr>
        <w:t>Dosaka-Akita H.</w:t>
      </w:r>
      <w:r w:rsidR="007061C9" w:rsidRPr="00082ABB">
        <w:rPr>
          <w:rFonts w:ascii="Book Antiqua" w:eastAsia="宋体" w:hAnsi="Book Antiqua"/>
          <w:sz w:val="24"/>
          <w:szCs w:val="24"/>
          <w:lang w:eastAsia="zh-CN"/>
        </w:rPr>
        <w:t xml:space="preserve"> </w:t>
      </w:r>
      <w:r w:rsidR="00BC5F12" w:rsidRPr="00082ABB">
        <w:rPr>
          <w:rFonts w:ascii="Book Antiqua" w:hAnsi="Book Antiqua"/>
          <w:sz w:val="24"/>
          <w:szCs w:val="24"/>
        </w:rPr>
        <w:t>Role of targeted therapy in metastatic colorectal cancer</w:t>
      </w:r>
      <w:r w:rsidR="007061C9" w:rsidRPr="00082ABB">
        <w:rPr>
          <w:rFonts w:ascii="Book Antiqua" w:eastAsia="宋体" w:hAnsi="Book Antiqua"/>
          <w:sz w:val="24"/>
          <w:szCs w:val="24"/>
          <w:lang w:eastAsia="zh-CN"/>
        </w:rPr>
        <w:t xml:space="preserve">. </w:t>
      </w:r>
      <w:r w:rsidR="007061C9" w:rsidRPr="00082ABB">
        <w:rPr>
          <w:rFonts w:ascii="Book Antiqua" w:hAnsi="Book Antiqua"/>
          <w:i/>
          <w:sz w:val="24"/>
          <w:szCs w:val="24"/>
        </w:rPr>
        <w:t>World J</w:t>
      </w:r>
      <w:r w:rsidR="007061C9" w:rsidRPr="00082ABB">
        <w:rPr>
          <w:rFonts w:ascii="Book Antiqua" w:eastAsia="宋体" w:hAnsi="Book Antiqua"/>
          <w:i/>
          <w:sz w:val="24"/>
          <w:szCs w:val="24"/>
          <w:lang w:eastAsia="zh-CN"/>
        </w:rPr>
        <w:t xml:space="preserve"> </w:t>
      </w:r>
      <w:r w:rsidR="007061C9" w:rsidRPr="00082ABB">
        <w:rPr>
          <w:rFonts w:ascii="Book Antiqua" w:hAnsi="Book Antiqua"/>
          <w:i/>
          <w:sz w:val="24"/>
          <w:szCs w:val="24"/>
        </w:rPr>
        <w:t>Gastrointest</w:t>
      </w:r>
      <w:r w:rsidR="007061C9" w:rsidRPr="00082ABB">
        <w:rPr>
          <w:rFonts w:ascii="Book Antiqua" w:eastAsia="宋体" w:hAnsi="Book Antiqua"/>
          <w:i/>
          <w:sz w:val="24"/>
          <w:szCs w:val="24"/>
          <w:lang w:eastAsia="zh-CN"/>
        </w:rPr>
        <w:t xml:space="preserve"> </w:t>
      </w:r>
      <w:r w:rsidR="007061C9" w:rsidRPr="00082ABB">
        <w:rPr>
          <w:rFonts w:ascii="Book Antiqua" w:hAnsi="Book Antiqua"/>
          <w:i/>
          <w:sz w:val="24"/>
          <w:szCs w:val="24"/>
        </w:rPr>
        <w:t>Oncol</w:t>
      </w:r>
      <w:r w:rsidR="007061C9" w:rsidRPr="00082ABB">
        <w:rPr>
          <w:rFonts w:ascii="Book Antiqua" w:eastAsia="宋体" w:hAnsi="Book Antiqua"/>
          <w:i/>
          <w:sz w:val="24"/>
          <w:szCs w:val="24"/>
          <w:lang w:eastAsia="zh-CN"/>
        </w:rPr>
        <w:t xml:space="preserve"> </w:t>
      </w:r>
      <w:r w:rsidR="007061C9" w:rsidRPr="00082ABB">
        <w:rPr>
          <w:rFonts w:ascii="Book Antiqua" w:eastAsia="宋体" w:hAnsi="Book Antiqua"/>
          <w:sz w:val="24"/>
          <w:szCs w:val="24"/>
          <w:lang w:eastAsia="zh-CN"/>
        </w:rPr>
        <w:t xml:space="preserve">2016; </w:t>
      </w:r>
      <w:proofErr w:type="gramStart"/>
      <w:r w:rsidR="007061C9" w:rsidRPr="00082ABB">
        <w:rPr>
          <w:rFonts w:ascii="Book Antiqua" w:eastAsia="宋体" w:hAnsi="Book Antiqua"/>
          <w:sz w:val="24"/>
          <w:szCs w:val="24"/>
          <w:lang w:eastAsia="zh-CN"/>
        </w:rPr>
        <w:t>In</w:t>
      </w:r>
      <w:proofErr w:type="gramEnd"/>
      <w:r w:rsidR="007061C9" w:rsidRPr="00082ABB">
        <w:rPr>
          <w:rFonts w:ascii="Book Antiqua" w:eastAsia="宋体" w:hAnsi="Book Antiqua"/>
          <w:sz w:val="24"/>
          <w:szCs w:val="24"/>
          <w:lang w:eastAsia="zh-CN"/>
        </w:rPr>
        <w:t xml:space="preserve"> press</w:t>
      </w:r>
    </w:p>
    <w:p w:rsidR="00BC5F12" w:rsidRPr="00082ABB" w:rsidRDefault="00BC5F12" w:rsidP="007061C9">
      <w:pPr>
        <w:snapToGrid w:val="0"/>
        <w:spacing w:line="360" w:lineRule="auto"/>
        <w:rPr>
          <w:rFonts w:ascii="Book Antiqua" w:hAnsi="Book Antiqua"/>
          <w:sz w:val="24"/>
          <w:szCs w:val="24"/>
        </w:rPr>
      </w:pPr>
    </w:p>
    <w:p w:rsidR="007061C9" w:rsidRPr="00082ABB" w:rsidRDefault="007061C9">
      <w:pPr>
        <w:widowControl/>
        <w:jc w:val="left"/>
        <w:rPr>
          <w:rFonts w:ascii="Book Antiqua" w:hAnsi="Book Antiqua"/>
          <w:sz w:val="24"/>
          <w:szCs w:val="24"/>
        </w:rPr>
      </w:pPr>
      <w:r w:rsidRPr="00082ABB">
        <w:rPr>
          <w:rFonts w:ascii="Book Antiqua" w:hAnsi="Book Antiqua"/>
          <w:sz w:val="24"/>
          <w:szCs w:val="24"/>
        </w:rPr>
        <w:br w:type="page"/>
      </w:r>
    </w:p>
    <w:p w:rsidR="00BC5F12" w:rsidRPr="00082ABB" w:rsidRDefault="004C0AAC" w:rsidP="007061C9">
      <w:pPr>
        <w:snapToGrid w:val="0"/>
        <w:spacing w:line="360" w:lineRule="auto"/>
        <w:rPr>
          <w:rFonts w:ascii="Book Antiqua" w:hAnsi="Book Antiqua"/>
          <w:b/>
          <w:sz w:val="24"/>
          <w:szCs w:val="24"/>
        </w:rPr>
      </w:pPr>
      <w:r w:rsidRPr="00082ABB">
        <w:rPr>
          <w:rFonts w:ascii="Book Antiqua" w:hAnsi="Book Antiqua"/>
          <w:b/>
          <w:sz w:val="24"/>
          <w:szCs w:val="24"/>
        </w:rPr>
        <w:lastRenderedPageBreak/>
        <w:t>IN</w:t>
      </w:r>
      <w:r w:rsidR="00BC5F12" w:rsidRPr="00082ABB">
        <w:rPr>
          <w:rFonts w:ascii="Book Antiqua" w:hAnsi="Book Antiqua"/>
          <w:b/>
          <w:sz w:val="24"/>
          <w:szCs w:val="24"/>
        </w:rPr>
        <w:t>TRODUCTION</w:t>
      </w:r>
    </w:p>
    <w:p w:rsidR="00BC5F12" w:rsidRPr="00082ABB" w:rsidRDefault="00BC5F12" w:rsidP="007061C9">
      <w:pPr>
        <w:snapToGrid w:val="0"/>
        <w:spacing w:line="360" w:lineRule="auto"/>
        <w:rPr>
          <w:rFonts w:ascii="Book Antiqua" w:eastAsia="宋体" w:hAnsi="Book Antiqua"/>
          <w:sz w:val="24"/>
          <w:szCs w:val="24"/>
          <w:lang w:eastAsia="zh-CN"/>
        </w:rPr>
      </w:pPr>
      <w:r w:rsidRPr="00082ABB">
        <w:rPr>
          <w:rFonts w:ascii="Book Antiqua" w:hAnsi="Book Antiqua"/>
          <w:sz w:val="24"/>
          <w:szCs w:val="24"/>
        </w:rPr>
        <w:t>Colorectal cancer (CRC) is one of the most common cau</w:t>
      </w:r>
      <w:r w:rsidR="007061C9" w:rsidRPr="00082ABB">
        <w:rPr>
          <w:rFonts w:ascii="Book Antiqua" w:hAnsi="Book Antiqua"/>
          <w:sz w:val="24"/>
          <w:szCs w:val="24"/>
        </w:rPr>
        <w:t xml:space="preserve">ses of cancer-related </w:t>
      </w:r>
      <w:proofErr w:type="gramStart"/>
      <w:r w:rsidR="007061C9" w:rsidRPr="00082ABB">
        <w:rPr>
          <w:rFonts w:ascii="Book Antiqua" w:hAnsi="Book Antiqua"/>
          <w:sz w:val="24"/>
          <w:szCs w:val="24"/>
        </w:rPr>
        <w:t>mortality</w:t>
      </w:r>
      <w:r w:rsidRPr="00082ABB">
        <w:rPr>
          <w:rFonts w:ascii="Book Antiqua" w:hAnsi="Book Antiqua"/>
          <w:sz w:val="24"/>
          <w:szCs w:val="24"/>
          <w:vertAlign w:val="superscript"/>
        </w:rPr>
        <w:t>[</w:t>
      </w:r>
      <w:proofErr w:type="gramEnd"/>
      <w:r w:rsidRPr="00082ABB">
        <w:rPr>
          <w:rFonts w:ascii="Book Antiqua" w:hAnsi="Book Antiqua"/>
          <w:sz w:val="24"/>
          <w:szCs w:val="24"/>
          <w:vertAlign w:val="superscript"/>
        </w:rPr>
        <w:t>1]</w:t>
      </w:r>
      <w:r w:rsidRPr="00082ABB">
        <w:rPr>
          <w:rFonts w:ascii="Book Antiqua" w:hAnsi="Book Antiqua"/>
          <w:sz w:val="24"/>
          <w:szCs w:val="24"/>
        </w:rPr>
        <w:t>.</w:t>
      </w:r>
      <w:r w:rsidR="007061C9" w:rsidRPr="00082ABB">
        <w:rPr>
          <w:rFonts w:ascii="Book Antiqua" w:eastAsia="宋体" w:hAnsi="Book Antiqua"/>
          <w:sz w:val="24"/>
          <w:szCs w:val="24"/>
          <w:lang w:eastAsia="zh-CN"/>
        </w:rPr>
        <w:t xml:space="preserve"> </w:t>
      </w:r>
      <w:r w:rsidR="001D4814" w:rsidRPr="00082ABB">
        <w:rPr>
          <w:rFonts w:ascii="Book Antiqua" w:hAnsi="Book Antiqua"/>
          <w:sz w:val="24"/>
          <w:szCs w:val="24"/>
        </w:rPr>
        <w:t>E</w:t>
      </w:r>
      <w:r w:rsidRPr="00082ABB">
        <w:rPr>
          <w:rFonts w:ascii="Book Antiqua" w:hAnsi="Book Antiqua"/>
          <w:sz w:val="24"/>
          <w:szCs w:val="24"/>
        </w:rPr>
        <w:t>arlier diagnosis through screening colonoscopy and improvement</w:t>
      </w:r>
      <w:r w:rsidR="001D4814" w:rsidRPr="00082ABB">
        <w:rPr>
          <w:rFonts w:ascii="Book Antiqua" w:hAnsi="Book Antiqua"/>
          <w:sz w:val="24"/>
          <w:szCs w:val="24"/>
        </w:rPr>
        <w:t>s</w:t>
      </w:r>
      <w:r w:rsidRPr="00082ABB">
        <w:rPr>
          <w:rFonts w:ascii="Book Antiqua" w:hAnsi="Book Antiqua"/>
          <w:sz w:val="24"/>
          <w:szCs w:val="24"/>
        </w:rPr>
        <w:t xml:space="preserve"> of treatment technique</w:t>
      </w:r>
      <w:r w:rsidR="001D4814" w:rsidRPr="00082ABB">
        <w:rPr>
          <w:rFonts w:ascii="Book Antiqua" w:hAnsi="Book Antiqua"/>
          <w:sz w:val="24"/>
          <w:szCs w:val="24"/>
        </w:rPr>
        <w:t>s</w:t>
      </w:r>
      <w:r w:rsidRPr="00082ABB">
        <w:rPr>
          <w:rFonts w:ascii="Book Antiqua" w:hAnsi="Book Antiqua"/>
          <w:sz w:val="24"/>
          <w:szCs w:val="24"/>
        </w:rPr>
        <w:t xml:space="preserve"> have contributed to prolonged survival in </w:t>
      </w:r>
      <w:r w:rsidR="001D4814" w:rsidRPr="00082ABB">
        <w:rPr>
          <w:rFonts w:ascii="Book Antiqua" w:hAnsi="Book Antiqua"/>
          <w:sz w:val="24"/>
          <w:szCs w:val="24"/>
        </w:rPr>
        <w:t xml:space="preserve">the </w:t>
      </w:r>
      <w:r w:rsidRPr="00082ABB">
        <w:rPr>
          <w:rFonts w:ascii="Book Antiqua" w:hAnsi="Book Antiqua"/>
          <w:sz w:val="24"/>
          <w:szCs w:val="24"/>
        </w:rPr>
        <w:t>curable sta</w:t>
      </w:r>
      <w:r w:rsidR="007061C9" w:rsidRPr="00082ABB">
        <w:rPr>
          <w:rFonts w:ascii="Book Antiqua" w:hAnsi="Book Antiqua"/>
          <w:sz w:val="24"/>
          <w:szCs w:val="24"/>
        </w:rPr>
        <w:t xml:space="preserve">ge of </w:t>
      </w:r>
      <w:proofErr w:type="gramStart"/>
      <w:r w:rsidR="007061C9" w:rsidRPr="00082ABB">
        <w:rPr>
          <w:rFonts w:ascii="Book Antiqua" w:hAnsi="Book Antiqua"/>
          <w:sz w:val="24"/>
          <w:szCs w:val="24"/>
        </w:rPr>
        <w:t>CRC</w:t>
      </w:r>
      <w:r w:rsidRPr="00082ABB">
        <w:rPr>
          <w:rFonts w:ascii="Book Antiqua" w:hAnsi="Book Antiqua"/>
          <w:sz w:val="24"/>
          <w:szCs w:val="24"/>
          <w:vertAlign w:val="superscript"/>
        </w:rPr>
        <w:t>[</w:t>
      </w:r>
      <w:proofErr w:type="gramEnd"/>
      <w:r w:rsidRPr="00082ABB">
        <w:rPr>
          <w:rFonts w:ascii="Book Antiqua" w:hAnsi="Book Antiqua"/>
          <w:sz w:val="24"/>
          <w:szCs w:val="24"/>
          <w:vertAlign w:val="superscript"/>
        </w:rPr>
        <w:t>2]</w:t>
      </w:r>
      <w:r w:rsidRPr="00082ABB">
        <w:rPr>
          <w:rFonts w:ascii="Book Antiqua" w:hAnsi="Book Antiqua"/>
          <w:sz w:val="24"/>
          <w:szCs w:val="24"/>
        </w:rPr>
        <w:t xml:space="preserve">. Nevertheless, metastases are present in about 25% of patients with CRC at the time of diagnosis, and almost 50% </w:t>
      </w:r>
      <w:r w:rsidR="001D4814" w:rsidRPr="00082ABB">
        <w:rPr>
          <w:rFonts w:ascii="Book Antiqua" w:hAnsi="Book Antiqua"/>
          <w:sz w:val="24"/>
          <w:szCs w:val="24"/>
        </w:rPr>
        <w:t xml:space="preserve">of </w:t>
      </w:r>
      <w:r w:rsidRPr="00082ABB">
        <w:rPr>
          <w:rFonts w:ascii="Book Antiqua" w:hAnsi="Book Antiqua"/>
          <w:sz w:val="24"/>
          <w:szCs w:val="24"/>
        </w:rPr>
        <w:t xml:space="preserve">patients with CRC in total will develop metastases. Unfortunately, although the prognosis is usually limited in metastatic CRC (mCRC), systemic chemotherapy can control the disease, alleviate the symptoms related </w:t>
      </w:r>
      <w:r w:rsidR="007061C9" w:rsidRPr="00082ABB">
        <w:rPr>
          <w:rFonts w:ascii="Book Antiqua" w:hAnsi="Book Antiqua"/>
          <w:sz w:val="24"/>
          <w:szCs w:val="24"/>
        </w:rPr>
        <w:t xml:space="preserve">to cancer, and prolong </w:t>
      </w:r>
      <w:proofErr w:type="gramStart"/>
      <w:r w:rsidR="007061C9" w:rsidRPr="00082ABB">
        <w:rPr>
          <w:rFonts w:ascii="Book Antiqua" w:hAnsi="Book Antiqua"/>
          <w:sz w:val="24"/>
          <w:szCs w:val="24"/>
        </w:rPr>
        <w:t>survival</w:t>
      </w:r>
      <w:r w:rsidRPr="00082ABB">
        <w:rPr>
          <w:rFonts w:ascii="Book Antiqua" w:hAnsi="Book Antiqua"/>
          <w:sz w:val="24"/>
          <w:szCs w:val="24"/>
          <w:vertAlign w:val="superscript"/>
        </w:rPr>
        <w:t>[</w:t>
      </w:r>
      <w:proofErr w:type="gramEnd"/>
      <w:r w:rsidRPr="00082ABB">
        <w:rPr>
          <w:rFonts w:ascii="Book Antiqua" w:hAnsi="Book Antiqua"/>
          <w:sz w:val="24"/>
          <w:szCs w:val="24"/>
          <w:vertAlign w:val="superscript"/>
        </w:rPr>
        <w:t>3]</w:t>
      </w:r>
      <w:r w:rsidRPr="00082ABB">
        <w:rPr>
          <w:rFonts w:ascii="Book Antiqua" w:hAnsi="Book Antiqua"/>
          <w:sz w:val="24"/>
          <w:szCs w:val="24"/>
        </w:rPr>
        <w:t xml:space="preserve">. Systemic chemotherapy for mCRC consists </w:t>
      </w:r>
      <w:r w:rsidR="001D4814" w:rsidRPr="00082ABB">
        <w:rPr>
          <w:rFonts w:ascii="Book Antiqua" w:hAnsi="Book Antiqua"/>
          <w:sz w:val="24"/>
          <w:szCs w:val="24"/>
        </w:rPr>
        <w:t xml:space="preserve">mainly </w:t>
      </w:r>
      <w:r w:rsidRPr="00082ABB">
        <w:rPr>
          <w:rFonts w:ascii="Book Antiqua" w:hAnsi="Book Antiqua"/>
          <w:sz w:val="24"/>
          <w:szCs w:val="24"/>
        </w:rPr>
        <w:t>of fluoropyrimidines (intravenous 5-fluorouracil (5-FU) and oral capecitabine), irinotecan, and oxaliplatin. The most common treatment regimens for mCRC are FOLFIRI (bolus and infusional 5-FU/leucovorin (LV) plus irinotecan), FOLFOX (bolus and infusional 5-FU/LV plus oxaliplatin), and CapeOX (oral capecitabine plus oxaliplatin). These combination therapies have contributed to improv</w:t>
      </w:r>
      <w:r w:rsidR="001D4814" w:rsidRPr="00082ABB">
        <w:rPr>
          <w:rFonts w:ascii="Book Antiqua" w:hAnsi="Book Antiqua"/>
          <w:sz w:val="24"/>
          <w:szCs w:val="24"/>
        </w:rPr>
        <w:t xml:space="preserve">ing </w:t>
      </w:r>
      <w:r w:rsidRPr="00082ABB">
        <w:rPr>
          <w:rFonts w:ascii="Book Antiqua" w:hAnsi="Book Antiqua"/>
          <w:sz w:val="24"/>
          <w:szCs w:val="24"/>
        </w:rPr>
        <w:t>the response rate (RR) and prolong</w:t>
      </w:r>
      <w:r w:rsidR="001D4814" w:rsidRPr="00082ABB">
        <w:rPr>
          <w:rFonts w:ascii="Book Antiqua" w:hAnsi="Book Antiqua"/>
          <w:sz w:val="24"/>
          <w:szCs w:val="24"/>
        </w:rPr>
        <w:t>ing</w:t>
      </w:r>
      <w:r w:rsidR="007061C9" w:rsidRPr="00082ABB">
        <w:rPr>
          <w:rFonts w:ascii="Book Antiqua" w:hAnsi="Book Antiqua"/>
          <w:sz w:val="24"/>
          <w:szCs w:val="24"/>
        </w:rPr>
        <w:t xml:space="preserve"> survival in patients with </w:t>
      </w:r>
      <w:proofErr w:type="gramStart"/>
      <w:r w:rsidR="007061C9" w:rsidRPr="00082ABB">
        <w:rPr>
          <w:rFonts w:ascii="Book Antiqua" w:hAnsi="Book Antiqua"/>
          <w:sz w:val="24"/>
          <w:szCs w:val="24"/>
        </w:rPr>
        <w:t>mCRC</w:t>
      </w:r>
      <w:r w:rsidRPr="00082ABB">
        <w:rPr>
          <w:rFonts w:ascii="Book Antiqua" w:hAnsi="Book Antiqua"/>
          <w:sz w:val="24"/>
          <w:szCs w:val="24"/>
          <w:vertAlign w:val="superscript"/>
        </w:rPr>
        <w:t>[</w:t>
      </w:r>
      <w:proofErr w:type="gramEnd"/>
      <w:r w:rsidRPr="00082ABB">
        <w:rPr>
          <w:rFonts w:ascii="Book Antiqua" w:hAnsi="Book Antiqua"/>
          <w:sz w:val="24"/>
          <w:szCs w:val="24"/>
          <w:vertAlign w:val="superscript"/>
        </w:rPr>
        <w:t>4-6]</w:t>
      </w:r>
      <w:r w:rsidR="007061C9" w:rsidRPr="00082ABB">
        <w:rPr>
          <w:rFonts w:ascii="Book Antiqua" w:hAnsi="Book Antiqua"/>
          <w:sz w:val="24"/>
          <w:szCs w:val="24"/>
        </w:rPr>
        <w:t>.</w:t>
      </w:r>
    </w:p>
    <w:p w:rsidR="00BC5F12" w:rsidRPr="00082ABB" w:rsidRDefault="009A2779" w:rsidP="007061C9">
      <w:pPr>
        <w:snapToGrid w:val="0"/>
        <w:spacing w:line="360" w:lineRule="auto"/>
        <w:ind w:firstLineChars="100" w:firstLine="240"/>
        <w:rPr>
          <w:rFonts w:ascii="Book Antiqua" w:eastAsia="宋体" w:hAnsi="Book Antiqua"/>
          <w:sz w:val="24"/>
          <w:szCs w:val="24"/>
          <w:lang w:eastAsia="zh-CN"/>
        </w:rPr>
      </w:pPr>
      <w:r w:rsidRPr="00082ABB">
        <w:rPr>
          <w:rFonts w:ascii="Book Antiqua" w:hAnsi="Book Antiqua"/>
          <w:sz w:val="24"/>
          <w:szCs w:val="24"/>
        </w:rPr>
        <w:t xml:space="preserve">Since </w:t>
      </w:r>
      <w:r w:rsidR="00BC5F12" w:rsidRPr="00082ABB">
        <w:rPr>
          <w:rFonts w:ascii="Book Antiqua" w:hAnsi="Book Antiqua"/>
          <w:sz w:val="24"/>
          <w:szCs w:val="24"/>
        </w:rPr>
        <w:t xml:space="preserve">the </w:t>
      </w:r>
      <w:r w:rsidR="00BC5F12" w:rsidRPr="00082ABB">
        <w:rPr>
          <w:rFonts w:ascii="Book Antiqua" w:hAnsi="Book Antiqua"/>
          <w:caps/>
          <w:sz w:val="24"/>
          <w:szCs w:val="24"/>
        </w:rPr>
        <w:t>m</w:t>
      </w:r>
      <w:r w:rsidR="00BC5F12" w:rsidRPr="00082ABB">
        <w:rPr>
          <w:rFonts w:ascii="Book Antiqua" w:hAnsi="Book Antiqua"/>
          <w:sz w:val="24"/>
          <w:szCs w:val="24"/>
        </w:rPr>
        <w:t>id 2000s, biologic agents have been developed and demonstrated further clinical benefit in combination with cytotoxic chemotherapy. The biologic agents used for mCRC target angiogenesis (bevacizumab, aflibercept, ramucirumab, and regorafenib) and the epidermal growth factor receptor (EG</w:t>
      </w:r>
      <w:r w:rsidR="007061C9" w:rsidRPr="00082ABB">
        <w:rPr>
          <w:rFonts w:ascii="Book Antiqua" w:hAnsi="Book Antiqua"/>
          <w:sz w:val="24"/>
          <w:szCs w:val="24"/>
        </w:rPr>
        <w:t>FR) (cetuximab and panitumumab)</w:t>
      </w:r>
      <w:r w:rsidR="00BC5F12" w:rsidRPr="00082ABB">
        <w:rPr>
          <w:rFonts w:ascii="Book Antiqua" w:hAnsi="Book Antiqua"/>
          <w:sz w:val="24"/>
          <w:szCs w:val="24"/>
          <w:vertAlign w:val="superscript"/>
        </w:rPr>
        <w:t>[7]</w:t>
      </w:r>
      <w:r w:rsidR="00BC5F12" w:rsidRPr="00082ABB">
        <w:rPr>
          <w:rFonts w:ascii="Book Antiqua" w:hAnsi="Book Antiqua"/>
          <w:sz w:val="24"/>
          <w:szCs w:val="24"/>
        </w:rPr>
        <w:t xml:space="preserve">. Bevacizumab has shown clinical benefit </w:t>
      </w:r>
      <w:r w:rsidRPr="00082ABB">
        <w:rPr>
          <w:rFonts w:ascii="Book Antiqua" w:hAnsi="Book Antiqua"/>
          <w:sz w:val="24"/>
          <w:szCs w:val="24"/>
        </w:rPr>
        <w:t>with</w:t>
      </w:r>
      <w:r w:rsidR="00BC5F12" w:rsidRPr="00082ABB">
        <w:rPr>
          <w:rFonts w:ascii="Book Antiqua" w:hAnsi="Book Antiqua"/>
          <w:sz w:val="24"/>
          <w:szCs w:val="24"/>
        </w:rPr>
        <w:t xml:space="preserve"> both irinotecan-based</w:t>
      </w:r>
      <w:r w:rsidR="007061C9" w:rsidRPr="00082ABB">
        <w:rPr>
          <w:rFonts w:ascii="Book Antiqua" w:hAnsi="Book Antiqua"/>
          <w:sz w:val="24"/>
          <w:szCs w:val="24"/>
        </w:rPr>
        <w:t xml:space="preserve"> and oxaliplatin-based </w:t>
      </w:r>
      <w:proofErr w:type="gramStart"/>
      <w:r w:rsidR="007061C9" w:rsidRPr="00082ABB">
        <w:rPr>
          <w:rFonts w:ascii="Book Antiqua" w:hAnsi="Book Antiqua"/>
          <w:sz w:val="24"/>
          <w:szCs w:val="24"/>
        </w:rPr>
        <w:t>regimens</w:t>
      </w:r>
      <w:r w:rsidR="00BC5F12" w:rsidRPr="00082ABB">
        <w:rPr>
          <w:rFonts w:ascii="Book Antiqua" w:hAnsi="Book Antiqua"/>
          <w:sz w:val="24"/>
          <w:szCs w:val="24"/>
          <w:vertAlign w:val="superscript"/>
        </w:rPr>
        <w:t>[</w:t>
      </w:r>
      <w:proofErr w:type="gramEnd"/>
      <w:r w:rsidR="00BC5F12" w:rsidRPr="00082ABB">
        <w:rPr>
          <w:rFonts w:ascii="Book Antiqua" w:hAnsi="Book Antiqua"/>
          <w:sz w:val="24"/>
          <w:szCs w:val="24"/>
          <w:vertAlign w:val="superscript"/>
        </w:rPr>
        <w:t>8-1</w:t>
      </w:r>
      <w:r w:rsidR="003409E4" w:rsidRPr="00082ABB">
        <w:rPr>
          <w:rFonts w:ascii="Book Antiqua" w:hAnsi="Book Antiqua"/>
          <w:sz w:val="24"/>
          <w:szCs w:val="24"/>
          <w:vertAlign w:val="superscript"/>
        </w:rPr>
        <w:t>1</w:t>
      </w:r>
      <w:r w:rsidR="00BC5F12" w:rsidRPr="00082ABB">
        <w:rPr>
          <w:rFonts w:ascii="Book Antiqua" w:hAnsi="Book Antiqua"/>
          <w:sz w:val="24"/>
          <w:szCs w:val="24"/>
          <w:vertAlign w:val="superscript"/>
        </w:rPr>
        <w:t>]</w:t>
      </w:r>
      <w:r w:rsidR="00BC5F12" w:rsidRPr="00082ABB">
        <w:rPr>
          <w:rFonts w:ascii="Book Antiqua" w:hAnsi="Book Antiqua"/>
          <w:sz w:val="24"/>
          <w:szCs w:val="24"/>
        </w:rPr>
        <w:t>. Moreover, the continuation of bevacizumab after failure of first-line bevacizumab</w:t>
      </w:r>
      <w:r w:rsidR="001D4814" w:rsidRPr="00082ABB">
        <w:rPr>
          <w:rFonts w:ascii="Book Antiqua" w:hAnsi="Book Antiqua"/>
          <w:sz w:val="24"/>
          <w:szCs w:val="24"/>
        </w:rPr>
        <w:t>-</w:t>
      </w:r>
      <w:r w:rsidR="00BC5F12" w:rsidRPr="00082ABB">
        <w:rPr>
          <w:rFonts w:ascii="Book Antiqua" w:hAnsi="Book Antiqua"/>
          <w:sz w:val="24"/>
          <w:szCs w:val="24"/>
        </w:rPr>
        <w:t xml:space="preserve">containing chemotherapy </w:t>
      </w:r>
      <w:r w:rsidR="001D4814" w:rsidRPr="00082ABB">
        <w:rPr>
          <w:rFonts w:ascii="Book Antiqua" w:hAnsi="Book Antiqua"/>
          <w:sz w:val="24"/>
          <w:szCs w:val="24"/>
        </w:rPr>
        <w:t xml:space="preserve">was found to </w:t>
      </w:r>
      <w:r w:rsidR="00BC5F12" w:rsidRPr="00082ABB">
        <w:rPr>
          <w:rFonts w:ascii="Book Antiqua" w:hAnsi="Book Antiqua"/>
          <w:sz w:val="24"/>
          <w:szCs w:val="24"/>
        </w:rPr>
        <w:t>contribute to prolong</w:t>
      </w:r>
      <w:r w:rsidR="001D4814" w:rsidRPr="00082ABB">
        <w:rPr>
          <w:rFonts w:ascii="Book Antiqua" w:hAnsi="Book Antiqua"/>
          <w:sz w:val="24"/>
          <w:szCs w:val="24"/>
        </w:rPr>
        <w:t>ing</w:t>
      </w:r>
      <w:r w:rsidR="00BC5F12" w:rsidRPr="00082ABB">
        <w:rPr>
          <w:rFonts w:ascii="Book Antiqua" w:hAnsi="Book Antiqua"/>
          <w:sz w:val="24"/>
          <w:szCs w:val="24"/>
        </w:rPr>
        <w:t xml:space="preserve"> the survival </w:t>
      </w:r>
      <w:r w:rsidR="001D4814" w:rsidRPr="00082ABB">
        <w:rPr>
          <w:rFonts w:ascii="Book Antiqua" w:hAnsi="Book Antiqua"/>
          <w:sz w:val="24"/>
          <w:szCs w:val="24"/>
        </w:rPr>
        <w:t xml:space="preserve">of </w:t>
      </w:r>
      <w:r w:rsidR="00BC5F12" w:rsidRPr="00082ABB">
        <w:rPr>
          <w:rFonts w:ascii="Book Antiqua" w:hAnsi="Book Antiqua"/>
          <w:sz w:val="24"/>
          <w:szCs w:val="24"/>
        </w:rPr>
        <w:t xml:space="preserve">patients with </w:t>
      </w:r>
      <w:proofErr w:type="gramStart"/>
      <w:r w:rsidR="00BC5F12" w:rsidRPr="00082ABB">
        <w:rPr>
          <w:rFonts w:ascii="Book Antiqua" w:hAnsi="Book Antiqua"/>
          <w:sz w:val="24"/>
          <w:szCs w:val="24"/>
        </w:rPr>
        <w:t>m</w:t>
      </w:r>
      <w:r w:rsidR="007061C9" w:rsidRPr="00082ABB">
        <w:rPr>
          <w:rFonts w:ascii="Book Antiqua" w:hAnsi="Book Antiqua"/>
          <w:sz w:val="24"/>
          <w:szCs w:val="24"/>
        </w:rPr>
        <w:t>CRC</w:t>
      </w:r>
      <w:r w:rsidR="003409E4" w:rsidRPr="00082ABB">
        <w:rPr>
          <w:rFonts w:ascii="Book Antiqua" w:hAnsi="Book Antiqua"/>
          <w:sz w:val="24"/>
          <w:szCs w:val="24"/>
          <w:vertAlign w:val="superscript"/>
        </w:rPr>
        <w:t>[</w:t>
      </w:r>
      <w:proofErr w:type="gramEnd"/>
      <w:r w:rsidR="003409E4" w:rsidRPr="00082ABB">
        <w:rPr>
          <w:rFonts w:ascii="Book Antiqua" w:hAnsi="Book Antiqua"/>
          <w:sz w:val="24"/>
          <w:szCs w:val="24"/>
          <w:vertAlign w:val="superscript"/>
        </w:rPr>
        <w:t>12</w:t>
      </w:r>
      <w:r w:rsidR="00BC5F12" w:rsidRPr="00082ABB">
        <w:rPr>
          <w:rFonts w:ascii="Book Antiqua" w:hAnsi="Book Antiqua"/>
          <w:sz w:val="24"/>
          <w:szCs w:val="24"/>
          <w:vertAlign w:val="superscript"/>
        </w:rPr>
        <w:t>]</w:t>
      </w:r>
      <w:r w:rsidR="00BC5F12" w:rsidRPr="00082ABB">
        <w:rPr>
          <w:rFonts w:ascii="Book Antiqua" w:hAnsi="Book Antiqua"/>
          <w:sz w:val="24"/>
          <w:szCs w:val="24"/>
        </w:rPr>
        <w:t>. Anti-EGFR antibody</w:t>
      </w:r>
      <w:r w:rsidR="001D4814" w:rsidRPr="00082ABB">
        <w:rPr>
          <w:rFonts w:ascii="Book Antiqua" w:hAnsi="Book Antiqua"/>
          <w:sz w:val="24"/>
          <w:szCs w:val="24"/>
        </w:rPr>
        <w:t xml:space="preserve"> agents</w:t>
      </w:r>
      <w:r w:rsidR="00BC5F12" w:rsidRPr="00082ABB">
        <w:rPr>
          <w:rFonts w:ascii="Book Antiqua" w:hAnsi="Book Antiqua"/>
          <w:sz w:val="24"/>
          <w:szCs w:val="24"/>
        </w:rPr>
        <w:t>, cetuximab and panitumumab, demonstrated a survival bene</w:t>
      </w:r>
      <w:r w:rsidR="007061C9" w:rsidRPr="00082ABB">
        <w:rPr>
          <w:rFonts w:ascii="Book Antiqua" w:hAnsi="Book Antiqua"/>
          <w:sz w:val="24"/>
          <w:szCs w:val="24"/>
        </w:rPr>
        <w:t xml:space="preserve">fit in mCRC </w:t>
      </w:r>
      <w:proofErr w:type="gramStart"/>
      <w:r w:rsidR="007061C9" w:rsidRPr="00082ABB">
        <w:rPr>
          <w:rFonts w:ascii="Book Antiqua" w:hAnsi="Book Antiqua"/>
          <w:sz w:val="24"/>
          <w:szCs w:val="24"/>
        </w:rPr>
        <w:t>patients</w:t>
      </w:r>
      <w:r w:rsidR="003409E4" w:rsidRPr="00082ABB">
        <w:rPr>
          <w:rFonts w:ascii="Book Antiqua" w:hAnsi="Book Antiqua"/>
          <w:sz w:val="24"/>
          <w:szCs w:val="24"/>
          <w:vertAlign w:val="superscript"/>
        </w:rPr>
        <w:t>[</w:t>
      </w:r>
      <w:proofErr w:type="gramEnd"/>
      <w:r w:rsidR="003409E4" w:rsidRPr="00082ABB">
        <w:rPr>
          <w:rFonts w:ascii="Book Antiqua" w:hAnsi="Book Antiqua"/>
          <w:sz w:val="24"/>
          <w:szCs w:val="24"/>
          <w:vertAlign w:val="superscript"/>
        </w:rPr>
        <w:t>13</w:t>
      </w:r>
      <w:r w:rsidR="007061C9" w:rsidRPr="00082ABB">
        <w:rPr>
          <w:rFonts w:ascii="Book Antiqua" w:hAnsi="Book Antiqua"/>
          <w:sz w:val="24"/>
          <w:szCs w:val="24"/>
          <w:vertAlign w:val="superscript"/>
        </w:rPr>
        <w:t>,</w:t>
      </w:r>
      <w:r w:rsidR="003409E4" w:rsidRPr="00082ABB">
        <w:rPr>
          <w:rFonts w:ascii="Book Antiqua" w:hAnsi="Book Antiqua"/>
          <w:sz w:val="24"/>
          <w:szCs w:val="24"/>
          <w:vertAlign w:val="superscript"/>
        </w:rPr>
        <w:t>14</w:t>
      </w:r>
      <w:r w:rsidR="00BC5F12" w:rsidRPr="00082ABB">
        <w:rPr>
          <w:rFonts w:ascii="Book Antiqua" w:hAnsi="Book Antiqua"/>
          <w:sz w:val="24"/>
          <w:szCs w:val="24"/>
          <w:vertAlign w:val="superscript"/>
        </w:rPr>
        <w:t>]</w:t>
      </w:r>
      <w:r w:rsidR="00BC5F12" w:rsidRPr="00082ABB">
        <w:rPr>
          <w:rFonts w:ascii="Book Antiqua" w:hAnsi="Book Antiqua"/>
          <w:sz w:val="24"/>
          <w:szCs w:val="24"/>
        </w:rPr>
        <w:t>. At first, these agents were used in all mCRC patients, and then, no benefit of anti-EGFR agent</w:t>
      </w:r>
      <w:r w:rsidR="001D4814" w:rsidRPr="00082ABB">
        <w:rPr>
          <w:rFonts w:ascii="Book Antiqua" w:hAnsi="Book Antiqua"/>
          <w:sz w:val="24"/>
          <w:szCs w:val="24"/>
        </w:rPr>
        <w:t>s</w:t>
      </w:r>
      <w:r w:rsidR="00BC5F12" w:rsidRPr="00082ABB">
        <w:rPr>
          <w:rFonts w:ascii="Book Antiqua" w:hAnsi="Book Antiqua"/>
          <w:sz w:val="24"/>
          <w:szCs w:val="24"/>
        </w:rPr>
        <w:t xml:space="preserve"> was observed in mCRC tumors with activating mutation of </w:t>
      </w:r>
      <w:r w:rsidR="00BC5F12" w:rsidRPr="00082ABB">
        <w:rPr>
          <w:rFonts w:ascii="Book Antiqua" w:hAnsi="Book Antiqua"/>
          <w:i/>
          <w:sz w:val="24"/>
          <w:szCs w:val="24"/>
        </w:rPr>
        <w:t>KRAS</w:t>
      </w:r>
      <w:r w:rsidR="007061C9" w:rsidRPr="00082ABB">
        <w:rPr>
          <w:rFonts w:ascii="Book Antiqua" w:hAnsi="Book Antiqua"/>
          <w:sz w:val="24"/>
          <w:szCs w:val="24"/>
        </w:rPr>
        <w:t xml:space="preserve"> exon 2</w:t>
      </w:r>
      <w:r w:rsidR="004F6B1E" w:rsidRPr="00082ABB">
        <w:rPr>
          <w:rFonts w:ascii="Book Antiqua" w:hAnsi="Book Antiqua"/>
          <w:sz w:val="24"/>
          <w:szCs w:val="24"/>
          <w:vertAlign w:val="superscript"/>
        </w:rPr>
        <w:t>[15-17</w:t>
      </w:r>
      <w:r w:rsidR="00BC5F12" w:rsidRPr="00082ABB">
        <w:rPr>
          <w:rFonts w:ascii="Book Antiqua" w:hAnsi="Book Antiqua"/>
          <w:sz w:val="24"/>
          <w:szCs w:val="24"/>
          <w:vertAlign w:val="superscript"/>
        </w:rPr>
        <w:t>]</w:t>
      </w:r>
      <w:r w:rsidR="00BC5F12" w:rsidRPr="00082ABB">
        <w:rPr>
          <w:rFonts w:ascii="Book Antiqua" w:hAnsi="Book Antiqua"/>
          <w:sz w:val="24"/>
          <w:szCs w:val="24"/>
        </w:rPr>
        <w:t xml:space="preserve">. In addition, several </w:t>
      </w:r>
      <w:r w:rsidR="001D4814" w:rsidRPr="00082ABB">
        <w:rPr>
          <w:rFonts w:ascii="Book Antiqua" w:hAnsi="Book Antiqua"/>
          <w:sz w:val="24"/>
          <w:szCs w:val="24"/>
        </w:rPr>
        <w:t xml:space="preserve">recent studies </w:t>
      </w:r>
      <w:r w:rsidR="00BC5F12" w:rsidRPr="00082ABB">
        <w:rPr>
          <w:rFonts w:ascii="Book Antiqua" w:hAnsi="Book Antiqua"/>
          <w:sz w:val="24"/>
          <w:szCs w:val="24"/>
        </w:rPr>
        <w:t xml:space="preserve">have </w:t>
      </w:r>
      <w:r w:rsidR="001D4814" w:rsidRPr="00082ABB">
        <w:rPr>
          <w:rFonts w:ascii="Book Antiqua" w:hAnsi="Book Antiqua"/>
          <w:sz w:val="24"/>
          <w:szCs w:val="24"/>
        </w:rPr>
        <w:t xml:space="preserve">shown </w:t>
      </w:r>
      <w:r w:rsidR="00BC5F12" w:rsidRPr="00082ABB">
        <w:rPr>
          <w:rFonts w:ascii="Book Antiqua" w:hAnsi="Book Antiqua"/>
          <w:sz w:val="24"/>
          <w:szCs w:val="24"/>
        </w:rPr>
        <w:t>that all-</w:t>
      </w:r>
      <w:r w:rsidR="00BC5F12" w:rsidRPr="00082ABB">
        <w:rPr>
          <w:rFonts w:ascii="Book Antiqua" w:hAnsi="Book Antiqua"/>
          <w:i/>
          <w:sz w:val="24"/>
          <w:szCs w:val="24"/>
        </w:rPr>
        <w:t>RAS</w:t>
      </w:r>
      <w:r w:rsidR="00BC5F12" w:rsidRPr="00082ABB">
        <w:rPr>
          <w:rFonts w:ascii="Book Antiqua" w:hAnsi="Book Antiqua"/>
          <w:sz w:val="24"/>
          <w:szCs w:val="24"/>
        </w:rPr>
        <w:t xml:space="preserve"> </w:t>
      </w:r>
      <w:r w:rsidR="00BC5F12" w:rsidRPr="00082ABB">
        <w:rPr>
          <w:rFonts w:ascii="Book Antiqua" w:hAnsi="Book Antiqua"/>
          <w:sz w:val="24"/>
          <w:szCs w:val="24"/>
        </w:rPr>
        <w:lastRenderedPageBreak/>
        <w:t xml:space="preserve">mutations in exon 2, 3, or 4 of </w:t>
      </w:r>
      <w:r w:rsidR="00BC5F12" w:rsidRPr="00082ABB">
        <w:rPr>
          <w:rFonts w:ascii="Book Antiqua" w:hAnsi="Book Antiqua"/>
          <w:i/>
          <w:sz w:val="24"/>
          <w:szCs w:val="24"/>
        </w:rPr>
        <w:t>KRAS</w:t>
      </w:r>
      <w:r w:rsidR="00BC5F12" w:rsidRPr="00082ABB">
        <w:rPr>
          <w:rFonts w:ascii="Book Antiqua" w:hAnsi="Book Antiqua"/>
          <w:sz w:val="24"/>
          <w:szCs w:val="24"/>
        </w:rPr>
        <w:t xml:space="preserve"> or </w:t>
      </w:r>
      <w:r w:rsidR="00BC5F12" w:rsidRPr="00082ABB">
        <w:rPr>
          <w:rFonts w:ascii="Book Antiqua" w:hAnsi="Book Antiqua"/>
          <w:i/>
          <w:sz w:val="24"/>
          <w:szCs w:val="24"/>
        </w:rPr>
        <w:t>NRAS</w:t>
      </w:r>
      <w:r w:rsidR="00BC5F12" w:rsidRPr="00082ABB">
        <w:rPr>
          <w:rFonts w:ascii="Book Antiqua" w:hAnsi="Book Antiqua"/>
          <w:sz w:val="24"/>
          <w:szCs w:val="24"/>
        </w:rPr>
        <w:t xml:space="preserve"> were negative predictive fac</w:t>
      </w:r>
      <w:r w:rsidR="007061C9" w:rsidRPr="00082ABB">
        <w:rPr>
          <w:rFonts w:ascii="Book Antiqua" w:hAnsi="Book Antiqua"/>
          <w:sz w:val="24"/>
          <w:szCs w:val="24"/>
        </w:rPr>
        <w:t xml:space="preserve">tors for anti-EGFR </w:t>
      </w:r>
      <w:proofErr w:type="gramStart"/>
      <w:r w:rsidR="007061C9" w:rsidRPr="00082ABB">
        <w:rPr>
          <w:rFonts w:ascii="Book Antiqua" w:hAnsi="Book Antiqua"/>
          <w:sz w:val="24"/>
          <w:szCs w:val="24"/>
        </w:rPr>
        <w:t>treatment</w:t>
      </w:r>
      <w:r w:rsidR="004F6B1E" w:rsidRPr="00082ABB">
        <w:rPr>
          <w:rFonts w:ascii="Book Antiqua" w:hAnsi="Book Antiqua"/>
          <w:sz w:val="24"/>
          <w:szCs w:val="24"/>
          <w:vertAlign w:val="superscript"/>
        </w:rPr>
        <w:t>[</w:t>
      </w:r>
      <w:proofErr w:type="gramEnd"/>
      <w:r w:rsidR="004F6B1E" w:rsidRPr="00082ABB">
        <w:rPr>
          <w:rFonts w:ascii="Book Antiqua" w:hAnsi="Book Antiqua"/>
          <w:sz w:val="24"/>
          <w:szCs w:val="24"/>
          <w:vertAlign w:val="superscript"/>
        </w:rPr>
        <w:t>18-20</w:t>
      </w:r>
      <w:r w:rsidR="00BC5F12" w:rsidRPr="00082ABB">
        <w:rPr>
          <w:rFonts w:ascii="Book Antiqua" w:hAnsi="Book Antiqua"/>
          <w:sz w:val="24"/>
          <w:szCs w:val="24"/>
          <w:vertAlign w:val="superscript"/>
        </w:rPr>
        <w:t>]</w:t>
      </w:r>
      <w:r w:rsidR="00BC5F12" w:rsidRPr="00082ABB">
        <w:rPr>
          <w:rFonts w:ascii="Book Antiqua" w:hAnsi="Book Antiqua"/>
          <w:sz w:val="24"/>
          <w:szCs w:val="24"/>
        </w:rPr>
        <w:t xml:space="preserve">. From these results, cetuximab and panitumumab have been used only in mCRC patients with </w:t>
      </w:r>
      <w:r w:rsidR="00BC5F12" w:rsidRPr="00082ABB">
        <w:rPr>
          <w:rFonts w:ascii="Book Antiqua" w:hAnsi="Book Antiqua"/>
          <w:i/>
          <w:sz w:val="24"/>
          <w:szCs w:val="24"/>
        </w:rPr>
        <w:t>RAS</w:t>
      </w:r>
      <w:r w:rsidR="007061C9" w:rsidRPr="00082ABB">
        <w:rPr>
          <w:rFonts w:ascii="Book Antiqua" w:hAnsi="Book Antiqua"/>
          <w:sz w:val="24"/>
          <w:szCs w:val="24"/>
        </w:rPr>
        <w:t xml:space="preserve"> wild type.</w:t>
      </w:r>
    </w:p>
    <w:p w:rsidR="00BC5F12" w:rsidRPr="00082ABB" w:rsidRDefault="001D4814" w:rsidP="007061C9">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The</w:t>
      </w:r>
      <w:r w:rsidR="00BC5F12" w:rsidRPr="00082ABB">
        <w:rPr>
          <w:rFonts w:ascii="Book Antiqua" w:hAnsi="Book Antiqua"/>
          <w:sz w:val="24"/>
          <w:szCs w:val="24"/>
        </w:rPr>
        <w:t xml:space="preserve"> results of the major randomized clinical trials </w:t>
      </w:r>
      <w:r w:rsidRPr="00082ABB">
        <w:rPr>
          <w:rFonts w:ascii="Book Antiqua" w:hAnsi="Book Antiqua"/>
          <w:sz w:val="24"/>
          <w:szCs w:val="24"/>
        </w:rPr>
        <w:t xml:space="preserve">are summarized, </w:t>
      </w:r>
      <w:r w:rsidR="00BC5F12" w:rsidRPr="00082ABB">
        <w:rPr>
          <w:rFonts w:ascii="Book Antiqua" w:hAnsi="Book Antiqua"/>
          <w:sz w:val="24"/>
          <w:szCs w:val="24"/>
        </w:rPr>
        <w:t>and the benefit</w:t>
      </w:r>
      <w:r w:rsidR="009A2779" w:rsidRPr="00082ABB">
        <w:rPr>
          <w:rFonts w:ascii="Book Antiqua" w:hAnsi="Book Antiqua"/>
          <w:sz w:val="24"/>
          <w:szCs w:val="24"/>
        </w:rPr>
        <w:t>s</w:t>
      </w:r>
      <w:r w:rsidR="00BC5F12" w:rsidRPr="00082ABB">
        <w:rPr>
          <w:rFonts w:ascii="Book Antiqua" w:hAnsi="Book Antiqua"/>
          <w:sz w:val="24"/>
          <w:szCs w:val="24"/>
        </w:rPr>
        <w:t xml:space="preserve"> of the molecular targeted agents in patients with mCRC</w:t>
      </w:r>
      <w:r w:rsidRPr="00082ABB">
        <w:rPr>
          <w:rFonts w:ascii="Book Antiqua" w:hAnsi="Book Antiqua"/>
          <w:sz w:val="24"/>
          <w:szCs w:val="24"/>
        </w:rPr>
        <w:t xml:space="preserve"> </w:t>
      </w:r>
      <w:r w:rsidR="009A2779" w:rsidRPr="00082ABB">
        <w:rPr>
          <w:rFonts w:ascii="Book Antiqua" w:hAnsi="Book Antiqua"/>
          <w:sz w:val="24"/>
          <w:szCs w:val="24"/>
        </w:rPr>
        <w:t>are</w:t>
      </w:r>
      <w:r w:rsidRPr="00082ABB">
        <w:rPr>
          <w:rFonts w:ascii="Book Antiqua" w:hAnsi="Book Antiqua"/>
          <w:sz w:val="24"/>
          <w:szCs w:val="24"/>
        </w:rPr>
        <w:t xml:space="preserve"> highlighted</w:t>
      </w:r>
      <w:r w:rsidR="00BC5F12" w:rsidRPr="00082ABB">
        <w:rPr>
          <w:rFonts w:ascii="Book Antiqua" w:hAnsi="Book Antiqua"/>
          <w:sz w:val="24"/>
          <w:szCs w:val="24"/>
        </w:rPr>
        <w:t>.</w:t>
      </w:r>
    </w:p>
    <w:p w:rsidR="00BC5F12" w:rsidRPr="00082ABB" w:rsidRDefault="00BC5F12" w:rsidP="007061C9">
      <w:pPr>
        <w:snapToGrid w:val="0"/>
        <w:spacing w:line="360" w:lineRule="auto"/>
        <w:rPr>
          <w:rFonts w:ascii="Book Antiqua" w:hAnsi="Book Antiqua"/>
          <w:sz w:val="24"/>
          <w:szCs w:val="24"/>
        </w:rPr>
      </w:pPr>
    </w:p>
    <w:p w:rsidR="00A16F3D" w:rsidRPr="00082ABB" w:rsidRDefault="00BC5F12" w:rsidP="007061C9">
      <w:pPr>
        <w:snapToGrid w:val="0"/>
        <w:spacing w:line="360" w:lineRule="auto"/>
        <w:rPr>
          <w:rFonts w:ascii="Book Antiqua" w:hAnsi="Book Antiqua"/>
          <w:caps/>
          <w:sz w:val="24"/>
          <w:szCs w:val="24"/>
        </w:rPr>
      </w:pPr>
      <w:r w:rsidRPr="00082ABB">
        <w:rPr>
          <w:rFonts w:ascii="Book Antiqua" w:hAnsi="Book Antiqua"/>
          <w:b/>
          <w:caps/>
          <w:sz w:val="24"/>
          <w:szCs w:val="24"/>
        </w:rPr>
        <w:t>Anti-angiogenic agents</w:t>
      </w: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Angiogenesis is a constitutional process to form a new vascular network, through budding from host vascular endothelial cells and inserting into the pre-existing blood vessels. Especially in malignant tumor</w:t>
      </w:r>
      <w:r w:rsidR="007A39F8" w:rsidRPr="00082ABB">
        <w:rPr>
          <w:rFonts w:ascii="Book Antiqua" w:hAnsi="Book Antiqua"/>
          <w:sz w:val="24"/>
          <w:szCs w:val="24"/>
        </w:rPr>
        <w:t>s</w:t>
      </w:r>
      <w:r w:rsidRPr="00082ABB">
        <w:rPr>
          <w:rFonts w:ascii="Book Antiqua" w:hAnsi="Book Antiqua"/>
          <w:sz w:val="24"/>
          <w:szCs w:val="24"/>
        </w:rPr>
        <w:t>, angiogenesis plays important roles in tumor progression, invasion</w:t>
      </w:r>
      <w:r w:rsidR="007A39F8" w:rsidRPr="00082ABB">
        <w:rPr>
          <w:rFonts w:ascii="Book Antiqua" w:hAnsi="Book Antiqua"/>
          <w:sz w:val="24"/>
          <w:szCs w:val="24"/>
        </w:rPr>
        <w:t>,</w:t>
      </w:r>
      <w:r w:rsidR="00A56C37" w:rsidRPr="00082ABB">
        <w:rPr>
          <w:rFonts w:ascii="Book Antiqua" w:hAnsi="Book Antiqua"/>
          <w:sz w:val="24"/>
          <w:szCs w:val="24"/>
        </w:rPr>
        <w:t xml:space="preserve"> and</w:t>
      </w:r>
      <w:r w:rsidRPr="00082ABB">
        <w:rPr>
          <w:rFonts w:ascii="Book Antiqua" w:hAnsi="Book Antiqua"/>
          <w:sz w:val="24"/>
          <w:szCs w:val="24"/>
        </w:rPr>
        <w:t xml:space="preserve"> </w:t>
      </w:r>
      <w:r w:rsidR="00422EEA" w:rsidRPr="00082ABB">
        <w:rPr>
          <w:rFonts w:ascii="Book Antiqua" w:hAnsi="Book Antiqua"/>
          <w:sz w:val="24"/>
          <w:szCs w:val="24"/>
        </w:rPr>
        <w:t xml:space="preserve">metastasis to distant </w:t>
      </w:r>
      <w:proofErr w:type="gramStart"/>
      <w:r w:rsidR="00422EEA" w:rsidRPr="00082ABB">
        <w:rPr>
          <w:rFonts w:ascii="Book Antiqua" w:hAnsi="Book Antiqua"/>
          <w:sz w:val="24"/>
          <w:szCs w:val="24"/>
        </w:rPr>
        <w:t>organs</w:t>
      </w:r>
      <w:r w:rsidR="00EA6E8F" w:rsidRPr="00082ABB">
        <w:rPr>
          <w:rFonts w:ascii="Book Antiqua" w:hAnsi="Book Antiqua"/>
          <w:sz w:val="24"/>
          <w:szCs w:val="24"/>
          <w:vertAlign w:val="superscript"/>
        </w:rPr>
        <w:t>[</w:t>
      </w:r>
      <w:proofErr w:type="gramEnd"/>
      <w:r w:rsidR="00EA6E8F" w:rsidRPr="00082ABB">
        <w:rPr>
          <w:rFonts w:ascii="Book Antiqua" w:hAnsi="Book Antiqua"/>
          <w:sz w:val="24"/>
          <w:szCs w:val="24"/>
          <w:vertAlign w:val="superscript"/>
        </w:rPr>
        <w:t>21</w:t>
      </w:r>
      <w:r w:rsidRPr="00082ABB">
        <w:rPr>
          <w:rFonts w:ascii="Book Antiqua" w:hAnsi="Book Antiqua"/>
          <w:sz w:val="24"/>
          <w:szCs w:val="24"/>
          <w:vertAlign w:val="superscript"/>
        </w:rPr>
        <w:t>].</w:t>
      </w:r>
      <w:r w:rsidRPr="00082ABB">
        <w:rPr>
          <w:rFonts w:ascii="Book Antiqua" w:hAnsi="Book Antiqua"/>
          <w:sz w:val="24"/>
          <w:szCs w:val="24"/>
        </w:rPr>
        <w:t xml:space="preserve"> Vascular endothelial growth factor (VEGF) is one of the important factors </w:t>
      </w:r>
      <w:r w:rsidR="007A39F8" w:rsidRPr="00082ABB">
        <w:rPr>
          <w:rFonts w:ascii="Book Antiqua" w:hAnsi="Book Antiqua"/>
          <w:sz w:val="24"/>
          <w:szCs w:val="24"/>
        </w:rPr>
        <w:t xml:space="preserve">that </w:t>
      </w:r>
      <w:r w:rsidRPr="00082ABB">
        <w:rPr>
          <w:rFonts w:ascii="Book Antiqua" w:hAnsi="Book Antiqua"/>
          <w:sz w:val="24"/>
          <w:szCs w:val="24"/>
        </w:rPr>
        <w:t>regulate tumor angiogenesis. VEGF is a family of secreted polypeptide</w:t>
      </w:r>
      <w:r w:rsidR="007A39F8" w:rsidRPr="00082ABB">
        <w:rPr>
          <w:rFonts w:ascii="Book Antiqua" w:hAnsi="Book Antiqua"/>
          <w:sz w:val="24"/>
          <w:szCs w:val="24"/>
        </w:rPr>
        <w:t xml:space="preserve">s that </w:t>
      </w:r>
      <w:r w:rsidRPr="00082ABB">
        <w:rPr>
          <w:rFonts w:ascii="Book Antiqua" w:hAnsi="Book Antiqua"/>
          <w:sz w:val="24"/>
          <w:szCs w:val="24"/>
        </w:rPr>
        <w:t xml:space="preserve">consists of five members </w:t>
      </w:r>
      <w:r w:rsidR="00422EEA" w:rsidRPr="00082ABB">
        <w:rPr>
          <w:rFonts w:ascii="Book Antiqua" w:eastAsia="宋体" w:hAnsi="Book Antiqua"/>
          <w:sz w:val="24"/>
          <w:szCs w:val="24"/>
          <w:lang w:eastAsia="zh-CN"/>
        </w:rPr>
        <w:t>[</w:t>
      </w:r>
      <w:r w:rsidRPr="00082ABB">
        <w:rPr>
          <w:rFonts w:ascii="Book Antiqua" w:hAnsi="Book Antiqua"/>
          <w:sz w:val="24"/>
          <w:szCs w:val="24"/>
        </w:rPr>
        <w:t>VEGF-A, VEGF-B, VEGF-C, VEGF-D</w:t>
      </w:r>
      <w:r w:rsidR="007A39F8" w:rsidRPr="00082ABB">
        <w:rPr>
          <w:rFonts w:ascii="Book Antiqua" w:hAnsi="Book Antiqua"/>
          <w:sz w:val="24"/>
          <w:szCs w:val="24"/>
        </w:rPr>
        <w:t>,</w:t>
      </w:r>
      <w:r w:rsidRPr="00082ABB">
        <w:rPr>
          <w:rFonts w:ascii="Book Antiqua" w:hAnsi="Book Antiqua"/>
          <w:sz w:val="24"/>
          <w:szCs w:val="24"/>
        </w:rPr>
        <w:t xml:space="preserve"> and pla</w:t>
      </w:r>
      <w:r w:rsidR="00422EEA" w:rsidRPr="00082ABB">
        <w:rPr>
          <w:rFonts w:ascii="Book Antiqua" w:hAnsi="Book Antiqua"/>
          <w:sz w:val="24"/>
          <w:szCs w:val="24"/>
        </w:rPr>
        <w:t>cental growth factor (PIGF)</w:t>
      </w:r>
      <w:r w:rsidR="00422EEA" w:rsidRPr="00082ABB">
        <w:rPr>
          <w:rFonts w:ascii="Book Antiqua" w:eastAsia="宋体" w:hAnsi="Book Antiqua"/>
          <w:sz w:val="24"/>
          <w:szCs w:val="24"/>
          <w:lang w:eastAsia="zh-CN"/>
        </w:rPr>
        <w:t>]</w:t>
      </w:r>
      <w:r w:rsidR="00422EEA" w:rsidRPr="00082ABB">
        <w:rPr>
          <w:rFonts w:ascii="Book Antiqua" w:hAnsi="Book Antiqua"/>
          <w:sz w:val="24"/>
          <w:szCs w:val="24"/>
          <w:vertAlign w:val="superscript"/>
        </w:rPr>
        <w:t>[22,</w:t>
      </w:r>
      <w:r w:rsidR="00EA6E8F" w:rsidRPr="00082ABB">
        <w:rPr>
          <w:rFonts w:ascii="Book Antiqua" w:hAnsi="Book Antiqua"/>
          <w:sz w:val="24"/>
          <w:szCs w:val="24"/>
          <w:vertAlign w:val="superscript"/>
        </w:rPr>
        <w:t>23</w:t>
      </w:r>
      <w:r w:rsidRPr="00082ABB">
        <w:rPr>
          <w:rFonts w:ascii="Book Antiqua" w:hAnsi="Book Antiqua"/>
          <w:sz w:val="24"/>
          <w:szCs w:val="24"/>
          <w:vertAlign w:val="superscript"/>
        </w:rPr>
        <w:t>]</w:t>
      </w:r>
      <w:r w:rsidRPr="00082ABB">
        <w:rPr>
          <w:rFonts w:ascii="Book Antiqua" w:hAnsi="Book Antiqua"/>
          <w:sz w:val="24"/>
          <w:szCs w:val="24"/>
        </w:rPr>
        <w:t>. The member</w:t>
      </w:r>
      <w:r w:rsidR="007A39F8" w:rsidRPr="00082ABB">
        <w:rPr>
          <w:rFonts w:ascii="Book Antiqua" w:hAnsi="Book Antiqua"/>
          <w:sz w:val="24"/>
          <w:szCs w:val="24"/>
        </w:rPr>
        <w:t>s</w:t>
      </w:r>
      <w:r w:rsidRPr="00082ABB">
        <w:rPr>
          <w:rFonts w:ascii="Book Antiqua" w:hAnsi="Book Antiqua"/>
          <w:sz w:val="24"/>
          <w:szCs w:val="24"/>
        </w:rPr>
        <w:t xml:space="preserve"> of </w:t>
      </w:r>
      <w:r w:rsidR="007A39F8" w:rsidRPr="00082ABB">
        <w:rPr>
          <w:rFonts w:ascii="Book Antiqua" w:hAnsi="Book Antiqua"/>
          <w:sz w:val="24"/>
          <w:szCs w:val="24"/>
        </w:rPr>
        <w:t xml:space="preserve">the </w:t>
      </w:r>
      <w:r w:rsidRPr="00082ABB">
        <w:rPr>
          <w:rFonts w:ascii="Book Antiqua" w:hAnsi="Book Antiqua"/>
          <w:sz w:val="24"/>
          <w:szCs w:val="24"/>
        </w:rPr>
        <w:t xml:space="preserve">VEGF </w:t>
      </w:r>
      <w:r w:rsidR="007A39F8" w:rsidRPr="00082ABB">
        <w:rPr>
          <w:rFonts w:ascii="Book Antiqua" w:hAnsi="Book Antiqua"/>
          <w:sz w:val="24"/>
          <w:szCs w:val="24"/>
        </w:rPr>
        <w:t xml:space="preserve">family </w:t>
      </w:r>
      <w:r w:rsidRPr="00082ABB">
        <w:rPr>
          <w:rFonts w:ascii="Book Antiqua" w:hAnsi="Book Antiqua"/>
          <w:sz w:val="24"/>
          <w:szCs w:val="24"/>
        </w:rPr>
        <w:t>bind to three variants of receptor</w:t>
      </w:r>
      <w:r w:rsidR="007A39F8" w:rsidRPr="00082ABB">
        <w:rPr>
          <w:rFonts w:ascii="Book Antiqua" w:hAnsi="Book Antiqua"/>
          <w:sz w:val="24"/>
          <w:szCs w:val="24"/>
        </w:rPr>
        <w:t>s</w:t>
      </w:r>
      <w:r w:rsidRPr="00082ABB">
        <w:rPr>
          <w:rFonts w:ascii="Book Antiqua" w:hAnsi="Book Antiqua"/>
          <w:sz w:val="24"/>
          <w:szCs w:val="24"/>
        </w:rPr>
        <w:t>, VEGFR-1 (FLT-1), VEGFR-2 (FLK-1/KDR)</w:t>
      </w:r>
      <w:r w:rsidR="007A39F8" w:rsidRPr="00082ABB">
        <w:rPr>
          <w:rFonts w:ascii="Book Antiqua" w:hAnsi="Book Antiqua"/>
          <w:sz w:val="24"/>
          <w:szCs w:val="24"/>
        </w:rPr>
        <w:t>,</w:t>
      </w:r>
      <w:r w:rsidR="00422EEA" w:rsidRPr="00082ABB">
        <w:rPr>
          <w:rFonts w:ascii="Book Antiqua" w:hAnsi="Book Antiqua"/>
          <w:sz w:val="24"/>
          <w:szCs w:val="24"/>
        </w:rPr>
        <w:t xml:space="preserve"> and VEGFR-3 (FLT-4)</w:t>
      </w:r>
      <w:r w:rsidR="00422EEA" w:rsidRPr="00082ABB">
        <w:rPr>
          <w:rFonts w:ascii="Book Antiqua" w:hAnsi="Book Antiqua"/>
          <w:sz w:val="24"/>
          <w:szCs w:val="24"/>
          <w:vertAlign w:val="superscript"/>
        </w:rPr>
        <w:t>[24,</w:t>
      </w:r>
      <w:r w:rsidR="00EA6E8F" w:rsidRPr="00082ABB">
        <w:rPr>
          <w:rFonts w:ascii="Book Antiqua" w:hAnsi="Book Antiqua"/>
          <w:sz w:val="24"/>
          <w:szCs w:val="24"/>
          <w:vertAlign w:val="superscript"/>
        </w:rPr>
        <w:t>25</w:t>
      </w:r>
      <w:r w:rsidRPr="00082ABB">
        <w:rPr>
          <w:rFonts w:ascii="Book Antiqua" w:hAnsi="Book Antiqua"/>
          <w:sz w:val="24"/>
          <w:szCs w:val="24"/>
          <w:vertAlign w:val="superscript"/>
        </w:rPr>
        <w:t>]</w:t>
      </w:r>
      <w:r w:rsidRPr="00082ABB">
        <w:rPr>
          <w:rFonts w:ascii="Book Antiqua" w:hAnsi="Book Antiqua"/>
          <w:sz w:val="24"/>
          <w:szCs w:val="24"/>
        </w:rPr>
        <w:t xml:space="preserve">. VEGFR-2 is mainly responsible for the angiogenic pathway, whereas VEGFR-1 can act as a soluble circulating form </w:t>
      </w:r>
      <w:r w:rsidR="007A39F8" w:rsidRPr="00082ABB">
        <w:rPr>
          <w:rFonts w:ascii="Book Antiqua" w:hAnsi="Book Antiqua"/>
          <w:sz w:val="24"/>
          <w:szCs w:val="24"/>
        </w:rPr>
        <w:t xml:space="preserve">that </w:t>
      </w:r>
      <w:r w:rsidRPr="00082ABB">
        <w:rPr>
          <w:rFonts w:ascii="Book Antiqua" w:hAnsi="Book Antiqua"/>
          <w:sz w:val="24"/>
          <w:szCs w:val="24"/>
        </w:rPr>
        <w:t>regulates VEGF bind</w:t>
      </w:r>
      <w:r w:rsidR="00EA6E8F" w:rsidRPr="00082ABB">
        <w:rPr>
          <w:rFonts w:ascii="Book Antiqua" w:hAnsi="Book Antiqua"/>
          <w:sz w:val="24"/>
          <w:szCs w:val="24"/>
        </w:rPr>
        <w:t>ing to cell s</w:t>
      </w:r>
      <w:r w:rsidR="00422EEA" w:rsidRPr="00082ABB">
        <w:rPr>
          <w:rFonts w:ascii="Book Antiqua" w:hAnsi="Book Antiqua"/>
          <w:sz w:val="24"/>
          <w:szCs w:val="24"/>
        </w:rPr>
        <w:t xml:space="preserve">urface </w:t>
      </w:r>
      <w:proofErr w:type="gramStart"/>
      <w:r w:rsidR="00422EEA" w:rsidRPr="00082ABB">
        <w:rPr>
          <w:rFonts w:ascii="Book Antiqua" w:hAnsi="Book Antiqua"/>
          <w:sz w:val="24"/>
          <w:szCs w:val="24"/>
        </w:rPr>
        <w:t>receptor</w:t>
      </w:r>
      <w:r w:rsidR="00EA6E8F" w:rsidRPr="00082ABB">
        <w:rPr>
          <w:rFonts w:ascii="Book Antiqua" w:hAnsi="Book Antiqua"/>
          <w:sz w:val="24"/>
          <w:szCs w:val="24"/>
          <w:vertAlign w:val="superscript"/>
        </w:rPr>
        <w:t>[</w:t>
      </w:r>
      <w:proofErr w:type="gramEnd"/>
      <w:r w:rsidR="00EA6E8F" w:rsidRPr="00082ABB">
        <w:rPr>
          <w:rFonts w:ascii="Book Antiqua" w:hAnsi="Book Antiqua"/>
          <w:sz w:val="24"/>
          <w:szCs w:val="24"/>
          <w:vertAlign w:val="superscript"/>
        </w:rPr>
        <w:t>26</w:t>
      </w:r>
      <w:r w:rsidRPr="00082ABB">
        <w:rPr>
          <w:rFonts w:ascii="Book Antiqua" w:hAnsi="Book Antiqua"/>
          <w:sz w:val="24"/>
          <w:szCs w:val="24"/>
          <w:vertAlign w:val="superscript"/>
        </w:rPr>
        <w:t>]</w:t>
      </w:r>
      <w:r w:rsidRPr="00082ABB">
        <w:rPr>
          <w:rFonts w:ascii="Book Antiqua" w:hAnsi="Book Antiqua"/>
          <w:sz w:val="24"/>
          <w:szCs w:val="24"/>
        </w:rPr>
        <w:t>.</w:t>
      </w:r>
    </w:p>
    <w:p w:rsidR="00BC5F12" w:rsidRPr="00082ABB" w:rsidRDefault="00BC5F12" w:rsidP="0085697D">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 xml:space="preserve">Anti-angiogenic agents exert their anti-neoplastic activities not only by inhibiting tumor angiogenesis but also by normalizing the tumor blood vessels. Vessel normalization ensures drug delivery to the tumor, which can increase the efficacy of </w:t>
      </w:r>
      <w:r w:rsidR="00422EEA" w:rsidRPr="00082ABB">
        <w:rPr>
          <w:rFonts w:ascii="Book Antiqua" w:hAnsi="Book Antiqua"/>
          <w:sz w:val="24"/>
          <w:szCs w:val="24"/>
        </w:rPr>
        <w:t xml:space="preserve">cytotoxic </w:t>
      </w:r>
      <w:proofErr w:type="gramStart"/>
      <w:r w:rsidR="00422EEA" w:rsidRPr="00082ABB">
        <w:rPr>
          <w:rFonts w:ascii="Book Antiqua" w:hAnsi="Book Antiqua"/>
          <w:sz w:val="24"/>
          <w:szCs w:val="24"/>
        </w:rPr>
        <w:t>agents</w:t>
      </w:r>
      <w:r w:rsidR="00EA6E8F" w:rsidRPr="00082ABB">
        <w:rPr>
          <w:rFonts w:ascii="Book Antiqua" w:hAnsi="Book Antiqua"/>
          <w:sz w:val="24"/>
          <w:szCs w:val="24"/>
          <w:vertAlign w:val="superscript"/>
        </w:rPr>
        <w:t>[</w:t>
      </w:r>
      <w:proofErr w:type="gramEnd"/>
      <w:r w:rsidR="00EA6E8F" w:rsidRPr="00082ABB">
        <w:rPr>
          <w:rFonts w:ascii="Book Antiqua" w:hAnsi="Book Antiqua"/>
          <w:sz w:val="24"/>
          <w:szCs w:val="24"/>
          <w:vertAlign w:val="superscript"/>
        </w:rPr>
        <w:t>27</w:t>
      </w:r>
      <w:r w:rsidRPr="00082ABB">
        <w:rPr>
          <w:rFonts w:ascii="Book Antiqua" w:hAnsi="Book Antiqua"/>
          <w:sz w:val="24"/>
          <w:szCs w:val="24"/>
          <w:vertAlign w:val="superscript"/>
        </w:rPr>
        <w:t>]</w:t>
      </w:r>
      <w:r w:rsidRPr="00082ABB">
        <w:rPr>
          <w:rFonts w:ascii="Book Antiqua" w:hAnsi="Book Antiqua"/>
          <w:sz w:val="24"/>
          <w:szCs w:val="24"/>
        </w:rPr>
        <w:t xml:space="preserve">. Thus, inhibition of angiogenesis has become a key strategy in cancer </w:t>
      </w:r>
      <w:proofErr w:type="gramStart"/>
      <w:r w:rsidRPr="00082ABB">
        <w:rPr>
          <w:rFonts w:ascii="Book Antiqua" w:hAnsi="Book Antiqua"/>
          <w:sz w:val="24"/>
          <w:szCs w:val="24"/>
        </w:rPr>
        <w:t>trea</w:t>
      </w:r>
      <w:r w:rsidR="00422EEA" w:rsidRPr="00082ABB">
        <w:rPr>
          <w:rFonts w:ascii="Book Antiqua" w:hAnsi="Book Antiqua"/>
          <w:sz w:val="24"/>
          <w:szCs w:val="24"/>
        </w:rPr>
        <w:t>tment</w:t>
      </w:r>
      <w:r w:rsidR="00422EEA" w:rsidRPr="00082ABB">
        <w:rPr>
          <w:rFonts w:ascii="Book Antiqua" w:hAnsi="Book Antiqua"/>
          <w:sz w:val="24"/>
          <w:szCs w:val="24"/>
          <w:vertAlign w:val="superscript"/>
        </w:rPr>
        <w:t>[</w:t>
      </w:r>
      <w:proofErr w:type="gramEnd"/>
      <w:r w:rsidR="00422EEA" w:rsidRPr="00082ABB">
        <w:rPr>
          <w:rFonts w:ascii="Book Antiqua" w:hAnsi="Book Antiqua"/>
          <w:sz w:val="24"/>
          <w:szCs w:val="24"/>
          <w:vertAlign w:val="superscript"/>
        </w:rPr>
        <w:t>28,</w:t>
      </w:r>
      <w:r w:rsidR="00EA6E8F" w:rsidRPr="00082ABB">
        <w:rPr>
          <w:rFonts w:ascii="Book Antiqua" w:hAnsi="Book Antiqua"/>
          <w:sz w:val="24"/>
          <w:szCs w:val="24"/>
          <w:vertAlign w:val="superscript"/>
        </w:rPr>
        <w:t>29</w:t>
      </w:r>
      <w:r w:rsidRPr="00082ABB">
        <w:rPr>
          <w:rFonts w:ascii="Book Antiqua" w:hAnsi="Book Antiqua"/>
          <w:sz w:val="24"/>
          <w:szCs w:val="24"/>
          <w:vertAlign w:val="superscript"/>
        </w:rPr>
        <w:t>]</w:t>
      </w:r>
      <w:r w:rsidRPr="00082ABB">
        <w:rPr>
          <w:rFonts w:ascii="Book Antiqua" w:hAnsi="Book Antiqua"/>
          <w:sz w:val="24"/>
          <w:szCs w:val="24"/>
        </w:rPr>
        <w:t>.</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b/>
          <w:i/>
          <w:sz w:val="24"/>
          <w:szCs w:val="24"/>
        </w:rPr>
      </w:pPr>
      <w:r w:rsidRPr="00082ABB">
        <w:rPr>
          <w:rFonts w:ascii="Book Antiqua" w:hAnsi="Book Antiqua"/>
          <w:b/>
          <w:i/>
          <w:sz w:val="24"/>
          <w:szCs w:val="24"/>
        </w:rPr>
        <w:t>Bevacizumab</w:t>
      </w: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 xml:space="preserve">Bevacizumab is a recombinant humanized monoclonal IgG antibody </w:t>
      </w:r>
      <w:r w:rsidR="007A39F8" w:rsidRPr="00082ABB">
        <w:rPr>
          <w:rFonts w:ascii="Book Antiqua" w:hAnsi="Book Antiqua"/>
          <w:sz w:val="24"/>
          <w:szCs w:val="24"/>
        </w:rPr>
        <w:t xml:space="preserve">that </w:t>
      </w:r>
      <w:r w:rsidRPr="00082ABB">
        <w:rPr>
          <w:rFonts w:ascii="Book Antiqua" w:hAnsi="Book Antiqua"/>
          <w:sz w:val="24"/>
          <w:szCs w:val="24"/>
        </w:rPr>
        <w:t xml:space="preserve">selectively binds to VEGF-A, and </w:t>
      </w:r>
      <w:r w:rsidR="007A39F8" w:rsidRPr="00082ABB">
        <w:rPr>
          <w:rFonts w:ascii="Book Antiqua" w:hAnsi="Book Antiqua"/>
          <w:sz w:val="24"/>
          <w:szCs w:val="24"/>
        </w:rPr>
        <w:t xml:space="preserve">it </w:t>
      </w:r>
      <w:r w:rsidRPr="00082ABB">
        <w:rPr>
          <w:rFonts w:ascii="Book Antiqua" w:hAnsi="Book Antiqua"/>
          <w:sz w:val="24"/>
          <w:szCs w:val="24"/>
        </w:rPr>
        <w:t>demonstrates anti-tumor</w:t>
      </w:r>
      <w:r w:rsidR="00422EEA" w:rsidRPr="00082ABB">
        <w:rPr>
          <w:rFonts w:ascii="Book Antiqua" w:hAnsi="Book Antiqua"/>
          <w:sz w:val="24"/>
          <w:szCs w:val="24"/>
        </w:rPr>
        <w:t xml:space="preserve"> activity by blocking </w:t>
      </w:r>
      <w:proofErr w:type="gramStart"/>
      <w:r w:rsidR="00422EEA" w:rsidRPr="00082ABB">
        <w:rPr>
          <w:rFonts w:ascii="Book Antiqua" w:hAnsi="Book Antiqua"/>
          <w:sz w:val="24"/>
          <w:szCs w:val="24"/>
        </w:rPr>
        <w:t>VEGFR2</w:t>
      </w:r>
      <w:r w:rsidR="00422EEA" w:rsidRPr="00082ABB">
        <w:rPr>
          <w:rFonts w:ascii="Book Antiqua" w:hAnsi="Book Antiqua"/>
          <w:sz w:val="24"/>
          <w:szCs w:val="24"/>
          <w:vertAlign w:val="superscript"/>
        </w:rPr>
        <w:t>[</w:t>
      </w:r>
      <w:proofErr w:type="gramEnd"/>
      <w:r w:rsidR="00422EEA" w:rsidRPr="00082ABB">
        <w:rPr>
          <w:rFonts w:ascii="Book Antiqua" w:hAnsi="Book Antiqua"/>
          <w:sz w:val="24"/>
          <w:szCs w:val="24"/>
          <w:vertAlign w:val="superscript"/>
        </w:rPr>
        <w:t>30,</w:t>
      </w:r>
      <w:r w:rsidR="00BA5CD1" w:rsidRPr="00082ABB">
        <w:rPr>
          <w:rFonts w:ascii="Book Antiqua" w:hAnsi="Book Antiqua"/>
          <w:sz w:val="24"/>
          <w:szCs w:val="24"/>
          <w:vertAlign w:val="superscript"/>
        </w:rPr>
        <w:t>31</w:t>
      </w:r>
      <w:r w:rsidRPr="00082ABB">
        <w:rPr>
          <w:rFonts w:ascii="Book Antiqua" w:hAnsi="Book Antiqua"/>
          <w:sz w:val="24"/>
          <w:szCs w:val="24"/>
          <w:vertAlign w:val="superscript"/>
        </w:rPr>
        <w:t>]</w:t>
      </w:r>
      <w:r w:rsidRPr="00082ABB">
        <w:rPr>
          <w:rFonts w:ascii="Book Antiqua" w:hAnsi="Book Antiqua"/>
          <w:sz w:val="24"/>
          <w:szCs w:val="24"/>
        </w:rPr>
        <w:t>. It was first approved in 2004 by</w:t>
      </w:r>
      <w:r w:rsidR="007A39F8" w:rsidRPr="00082ABB">
        <w:rPr>
          <w:rFonts w:ascii="Book Antiqua" w:hAnsi="Book Antiqua"/>
          <w:sz w:val="24"/>
          <w:szCs w:val="24"/>
        </w:rPr>
        <w:t xml:space="preserve"> the</w:t>
      </w:r>
      <w:r w:rsidRPr="00082ABB">
        <w:rPr>
          <w:rFonts w:ascii="Book Antiqua" w:hAnsi="Book Antiqua"/>
          <w:sz w:val="24"/>
          <w:szCs w:val="24"/>
        </w:rPr>
        <w:t xml:space="preserve"> </w:t>
      </w:r>
      <w:r w:rsidR="00422EEA" w:rsidRPr="00082ABB">
        <w:rPr>
          <w:rFonts w:ascii="Book Antiqua" w:hAnsi="Book Antiqua"/>
          <w:sz w:val="24"/>
          <w:szCs w:val="24"/>
        </w:rPr>
        <w:t>United States</w:t>
      </w:r>
      <w:r w:rsidRPr="00082ABB">
        <w:rPr>
          <w:rFonts w:ascii="Book Antiqua" w:hAnsi="Book Antiqua"/>
          <w:sz w:val="24"/>
          <w:szCs w:val="24"/>
        </w:rPr>
        <w:t xml:space="preserve"> Food </w:t>
      </w:r>
      <w:r w:rsidRPr="00082ABB">
        <w:rPr>
          <w:rFonts w:ascii="Book Antiqua" w:hAnsi="Book Antiqua"/>
          <w:sz w:val="24"/>
          <w:szCs w:val="24"/>
        </w:rPr>
        <w:lastRenderedPageBreak/>
        <w:t>and Drug Administration (FDA) for colorectal cancer in combination with other cytotoxic agents. Because of its functional activity, adverse events are mainly related to blood vessels. In several large trials, vascular</w:t>
      </w:r>
      <w:r w:rsidR="007A39F8" w:rsidRPr="00082ABB">
        <w:rPr>
          <w:rFonts w:ascii="Book Antiqua" w:hAnsi="Book Antiqua"/>
          <w:sz w:val="24"/>
          <w:szCs w:val="24"/>
        </w:rPr>
        <w:t>-</w:t>
      </w:r>
      <w:r w:rsidRPr="00082ABB">
        <w:rPr>
          <w:rFonts w:ascii="Book Antiqua" w:hAnsi="Book Antiqua"/>
          <w:sz w:val="24"/>
          <w:szCs w:val="24"/>
        </w:rPr>
        <w:t>related adverse events such as hypertension, arterial/venous thromboembolic events, bleeding, gastrointestinal perforation, wound healing complications, fistula/intra-abdominal abscess</w:t>
      </w:r>
      <w:r w:rsidR="007A39F8" w:rsidRPr="00082ABB">
        <w:rPr>
          <w:rFonts w:ascii="Book Antiqua" w:hAnsi="Book Antiqua"/>
          <w:sz w:val="24"/>
          <w:szCs w:val="24"/>
        </w:rPr>
        <w:t>,</w:t>
      </w:r>
      <w:r w:rsidRPr="00082ABB">
        <w:rPr>
          <w:rFonts w:ascii="Book Antiqua" w:hAnsi="Book Antiqua"/>
          <w:sz w:val="24"/>
          <w:szCs w:val="24"/>
        </w:rPr>
        <w:t xml:space="preserve"> and proteinuria were</w:t>
      </w:r>
      <w:r w:rsidR="00422EEA" w:rsidRPr="00082ABB">
        <w:rPr>
          <w:rFonts w:ascii="Book Antiqua" w:hAnsi="Book Antiqua"/>
          <w:sz w:val="24"/>
          <w:szCs w:val="24"/>
        </w:rPr>
        <w:t xml:space="preserve"> reported</w:t>
      </w:r>
      <w:r w:rsidR="00422EEA" w:rsidRPr="00082ABB">
        <w:rPr>
          <w:rFonts w:ascii="Book Antiqua" w:hAnsi="Book Antiqua"/>
          <w:sz w:val="24"/>
          <w:szCs w:val="24"/>
          <w:vertAlign w:val="superscript"/>
        </w:rPr>
        <w:t>[32,</w:t>
      </w:r>
      <w:r w:rsidR="00BA5CD1" w:rsidRPr="00082ABB">
        <w:rPr>
          <w:rFonts w:ascii="Book Antiqua" w:hAnsi="Book Antiqua"/>
          <w:sz w:val="24"/>
          <w:szCs w:val="24"/>
          <w:vertAlign w:val="superscript"/>
        </w:rPr>
        <w:t>33</w:t>
      </w:r>
      <w:r w:rsidRPr="00082ABB">
        <w:rPr>
          <w:rFonts w:ascii="Book Antiqua" w:hAnsi="Book Antiqua"/>
          <w:sz w:val="24"/>
          <w:szCs w:val="24"/>
          <w:vertAlign w:val="superscript"/>
        </w:rPr>
        <w:t>]</w:t>
      </w:r>
      <w:r w:rsidRPr="00082ABB">
        <w:rPr>
          <w:rFonts w:ascii="Book Antiqua" w:hAnsi="Book Antiqua"/>
          <w:sz w:val="24"/>
          <w:szCs w:val="24"/>
        </w:rPr>
        <w:t>. Rarely, reversible posterior leukoencephalopathy</w:t>
      </w:r>
      <w:r w:rsidR="007A39F8" w:rsidRPr="00082ABB">
        <w:rPr>
          <w:rFonts w:ascii="Book Antiqua" w:hAnsi="Book Antiqua"/>
          <w:sz w:val="24"/>
          <w:szCs w:val="24"/>
        </w:rPr>
        <w:t>,</w:t>
      </w:r>
      <w:r w:rsidRPr="00082ABB">
        <w:rPr>
          <w:rFonts w:ascii="Book Antiqua" w:hAnsi="Book Antiqua"/>
          <w:sz w:val="24"/>
          <w:szCs w:val="24"/>
        </w:rPr>
        <w:t xml:space="preserve"> which can cause various neurological symptoms</w:t>
      </w:r>
      <w:r w:rsidR="007A39F8" w:rsidRPr="00082ABB">
        <w:rPr>
          <w:rFonts w:ascii="Book Antiqua" w:hAnsi="Book Antiqua"/>
          <w:sz w:val="24"/>
          <w:szCs w:val="24"/>
        </w:rPr>
        <w:t xml:space="preserve">, has been </w:t>
      </w:r>
      <w:proofErr w:type="gramStart"/>
      <w:r w:rsidR="00422EEA" w:rsidRPr="00082ABB">
        <w:rPr>
          <w:rFonts w:ascii="Book Antiqua" w:hAnsi="Book Antiqua"/>
          <w:sz w:val="24"/>
          <w:szCs w:val="24"/>
        </w:rPr>
        <w:t>reported</w:t>
      </w:r>
      <w:r w:rsidR="00BA5CD1" w:rsidRPr="00082ABB">
        <w:rPr>
          <w:rFonts w:ascii="Book Antiqua" w:hAnsi="Book Antiqua"/>
          <w:sz w:val="24"/>
          <w:szCs w:val="24"/>
          <w:vertAlign w:val="superscript"/>
        </w:rPr>
        <w:t>[</w:t>
      </w:r>
      <w:proofErr w:type="gramEnd"/>
      <w:r w:rsidR="00BA5CD1" w:rsidRPr="00082ABB">
        <w:rPr>
          <w:rFonts w:ascii="Book Antiqua" w:hAnsi="Book Antiqua"/>
          <w:sz w:val="24"/>
          <w:szCs w:val="24"/>
          <w:vertAlign w:val="superscript"/>
        </w:rPr>
        <w:t>34</w:t>
      </w:r>
      <w:r w:rsidRPr="00082ABB">
        <w:rPr>
          <w:rFonts w:ascii="Book Antiqua" w:hAnsi="Book Antiqua"/>
          <w:sz w:val="24"/>
          <w:szCs w:val="24"/>
          <w:vertAlign w:val="superscript"/>
        </w:rPr>
        <w:t>]</w:t>
      </w:r>
      <w:r w:rsidRPr="00082ABB">
        <w:rPr>
          <w:rFonts w:ascii="Book Antiqua" w:hAnsi="Book Antiqua"/>
          <w:sz w:val="24"/>
          <w:szCs w:val="24"/>
        </w:rPr>
        <w:t>. Most of these adverse events are manageable by appropriate medication and withdrawal of bevacizumab.</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eastAsia="宋体" w:hAnsi="Book Antiqua"/>
          <w:b/>
          <w:sz w:val="24"/>
          <w:szCs w:val="24"/>
          <w:lang w:eastAsia="zh-CN"/>
        </w:rPr>
      </w:pPr>
      <w:r w:rsidRPr="00082ABB">
        <w:rPr>
          <w:rFonts w:ascii="Book Antiqua" w:hAnsi="Book Antiqua"/>
          <w:b/>
          <w:sz w:val="24"/>
          <w:szCs w:val="24"/>
        </w:rPr>
        <w:t>First-line treatment</w:t>
      </w:r>
      <w:r w:rsidR="00422EEA" w:rsidRPr="00082ABB">
        <w:rPr>
          <w:rFonts w:ascii="Book Antiqua" w:eastAsia="宋体" w:hAnsi="Book Antiqua"/>
          <w:b/>
          <w:sz w:val="24"/>
          <w:szCs w:val="24"/>
          <w:lang w:eastAsia="zh-CN"/>
        </w:rPr>
        <w:t xml:space="preserve">: </w:t>
      </w:r>
      <w:r w:rsidRPr="00082ABB">
        <w:rPr>
          <w:rFonts w:ascii="Book Antiqua" w:hAnsi="Book Antiqua"/>
          <w:sz w:val="24"/>
          <w:szCs w:val="24"/>
        </w:rPr>
        <w:t xml:space="preserve">The benefit of bevacizumab added </w:t>
      </w:r>
      <w:r w:rsidR="007A39F8" w:rsidRPr="00082ABB">
        <w:rPr>
          <w:rFonts w:ascii="Book Antiqua" w:hAnsi="Book Antiqua"/>
          <w:sz w:val="24"/>
          <w:szCs w:val="24"/>
        </w:rPr>
        <w:t>t</w:t>
      </w:r>
      <w:r w:rsidRPr="00082ABB">
        <w:rPr>
          <w:rFonts w:ascii="Book Antiqua" w:hAnsi="Book Antiqua"/>
          <w:sz w:val="24"/>
          <w:szCs w:val="24"/>
        </w:rPr>
        <w:t xml:space="preserve">o chemotherapy was first reported in </w:t>
      </w:r>
      <w:r w:rsidR="007A39F8" w:rsidRPr="00082ABB">
        <w:rPr>
          <w:rFonts w:ascii="Book Antiqua" w:hAnsi="Book Antiqua"/>
          <w:sz w:val="24"/>
          <w:szCs w:val="24"/>
        </w:rPr>
        <w:t xml:space="preserve">the </w:t>
      </w:r>
      <w:r w:rsidRPr="00082ABB">
        <w:rPr>
          <w:rFonts w:ascii="Book Antiqua" w:hAnsi="Book Antiqua"/>
          <w:sz w:val="24"/>
          <w:szCs w:val="24"/>
        </w:rPr>
        <w:t>AVF2107g trial</w:t>
      </w:r>
      <w:r w:rsidR="008F5CB7" w:rsidRPr="00082ABB">
        <w:rPr>
          <w:rFonts w:ascii="Book Antiqua" w:hAnsi="Book Antiqua"/>
          <w:sz w:val="24"/>
          <w:szCs w:val="24"/>
          <w:vertAlign w:val="superscript"/>
        </w:rPr>
        <w:t>[8]</w:t>
      </w:r>
      <w:r w:rsidRPr="00082ABB">
        <w:rPr>
          <w:rFonts w:ascii="Book Antiqua" w:hAnsi="Book Antiqua"/>
          <w:sz w:val="24"/>
          <w:szCs w:val="24"/>
        </w:rPr>
        <w:t xml:space="preserve">, in which 813 previously untreated mCRC patients were randomly assigned </w:t>
      </w:r>
      <w:r w:rsidR="007A39F8" w:rsidRPr="00082ABB">
        <w:rPr>
          <w:rFonts w:ascii="Book Antiqua" w:hAnsi="Book Antiqua"/>
          <w:sz w:val="24"/>
          <w:szCs w:val="24"/>
        </w:rPr>
        <w:t xml:space="preserve">to </w:t>
      </w:r>
      <w:r w:rsidR="008F5CB7" w:rsidRPr="00082ABB">
        <w:rPr>
          <w:rFonts w:ascii="Book Antiqua" w:hAnsi="Book Antiqua"/>
          <w:sz w:val="24"/>
          <w:szCs w:val="24"/>
        </w:rPr>
        <w:t xml:space="preserve">either </w:t>
      </w:r>
      <w:r w:rsidRPr="00082ABB">
        <w:rPr>
          <w:rFonts w:ascii="Book Antiqua" w:hAnsi="Book Antiqua"/>
          <w:sz w:val="24"/>
          <w:szCs w:val="24"/>
        </w:rPr>
        <w:t>IFL</w:t>
      </w:r>
      <w:r w:rsidR="009D311D" w:rsidRPr="00082ABB">
        <w:rPr>
          <w:rFonts w:ascii="Book Antiqua" w:hAnsi="Book Antiqua"/>
          <w:sz w:val="24"/>
          <w:szCs w:val="24"/>
        </w:rPr>
        <w:t xml:space="preserve"> (irinotecan, fluorouracil, and leucovorin)</w:t>
      </w:r>
      <w:r w:rsidRPr="00082ABB">
        <w:rPr>
          <w:rFonts w:ascii="Book Antiqua" w:hAnsi="Book Antiqua"/>
          <w:sz w:val="24"/>
          <w:szCs w:val="24"/>
        </w:rPr>
        <w:t xml:space="preserve"> plus bevacizumab or IFL plus placebo. The addition of bevacizumab showed significant improvement</w:t>
      </w:r>
      <w:r w:rsidR="007A39F8" w:rsidRPr="00082ABB">
        <w:rPr>
          <w:rFonts w:ascii="Book Antiqua" w:hAnsi="Book Antiqua"/>
          <w:sz w:val="24"/>
          <w:szCs w:val="24"/>
        </w:rPr>
        <w:t>s</w:t>
      </w:r>
      <w:r w:rsidRPr="00082ABB">
        <w:rPr>
          <w:rFonts w:ascii="Book Antiqua" w:hAnsi="Book Antiqua"/>
          <w:sz w:val="24"/>
          <w:szCs w:val="24"/>
        </w:rPr>
        <w:t xml:space="preserve"> in overall survival (OS, 20.3 </w:t>
      </w:r>
      <w:r w:rsidR="00422EEA" w:rsidRPr="00082ABB">
        <w:rPr>
          <w:rFonts w:ascii="Book Antiqua" w:hAnsi="Book Antiqua"/>
          <w:sz w:val="24"/>
          <w:szCs w:val="24"/>
        </w:rPr>
        <w:t>mo</w:t>
      </w:r>
      <w:r w:rsidR="00422EEA" w:rsidRPr="00082ABB">
        <w:rPr>
          <w:rFonts w:ascii="Book Antiqua" w:hAnsi="Book Antiqua"/>
          <w:i/>
          <w:sz w:val="24"/>
          <w:szCs w:val="24"/>
        </w:rPr>
        <w:t xml:space="preserve"> </w:t>
      </w:r>
      <w:r w:rsidRPr="00082ABB">
        <w:rPr>
          <w:rFonts w:ascii="Book Antiqua" w:hAnsi="Book Antiqua"/>
          <w:i/>
          <w:sz w:val="24"/>
          <w:szCs w:val="24"/>
        </w:rPr>
        <w:t>vs</w:t>
      </w:r>
      <w:r w:rsidRPr="00082ABB">
        <w:rPr>
          <w:rFonts w:ascii="Book Antiqua" w:hAnsi="Book Antiqua"/>
          <w:sz w:val="24"/>
          <w:szCs w:val="24"/>
        </w:rPr>
        <w:t xml:space="preserve"> 15.6 </w:t>
      </w:r>
      <w:bookmarkStart w:id="19" w:name="OLE_LINK1"/>
      <w:r w:rsidRPr="00082ABB">
        <w:rPr>
          <w:rFonts w:ascii="Book Antiqua" w:hAnsi="Book Antiqua"/>
          <w:sz w:val="24"/>
          <w:szCs w:val="24"/>
        </w:rPr>
        <w:t>mo</w:t>
      </w:r>
      <w:bookmarkEnd w:id="19"/>
      <w:r w:rsidRPr="00082ABB">
        <w:rPr>
          <w:rFonts w:ascii="Book Antiqua" w:hAnsi="Book Antiqua"/>
          <w:sz w:val="24"/>
          <w:szCs w:val="24"/>
        </w:rPr>
        <w:t>, HR</w:t>
      </w:r>
      <w:r w:rsidR="00422EEA" w:rsidRPr="00082ABB">
        <w:rPr>
          <w:rFonts w:ascii="Book Antiqua" w:eastAsia="宋体" w:hAnsi="Book Antiqua"/>
          <w:sz w:val="24"/>
          <w:szCs w:val="24"/>
          <w:lang w:eastAsia="zh-CN"/>
        </w:rPr>
        <w:t xml:space="preserve"> = </w:t>
      </w:r>
      <w:r w:rsidRPr="00082ABB">
        <w:rPr>
          <w:rFonts w:ascii="Book Antiqua" w:hAnsi="Book Antiqua"/>
          <w:sz w:val="24"/>
          <w:szCs w:val="24"/>
        </w:rPr>
        <w:t xml:space="preserve">0.66, </w:t>
      </w:r>
      <w:r w:rsidRPr="00082ABB">
        <w:rPr>
          <w:rFonts w:ascii="Book Antiqua" w:hAnsi="Book Antiqua"/>
          <w:i/>
          <w:sz w:val="24"/>
          <w:szCs w:val="24"/>
        </w:rPr>
        <w:t>P</w:t>
      </w:r>
      <w:r w:rsidR="008F5CB7" w:rsidRPr="00082ABB">
        <w:rPr>
          <w:rFonts w:ascii="Book Antiqua" w:hAnsi="Book Antiqua"/>
          <w:i/>
          <w:sz w:val="24"/>
          <w:szCs w:val="24"/>
        </w:rPr>
        <w:t xml:space="preserve"> </w:t>
      </w:r>
      <w:r w:rsidRPr="00082ABB">
        <w:rPr>
          <w:rFonts w:ascii="Book Antiqua" w:hAnsi="Book Antiqua"/>
          <w:sz w:val="24"/>
          <w:szCs w:val="24"/>
        </w:rPr>
        <w:t>&lt;</w:t>
      </w:r>
      <w:r w:rsidR="008F5CB7" w:rsidRPr="00082ABB">
        <w:rPr>
          <w:rFonts w:ascii="Book Antiqua" w:hAnsi="Book Antiqua"/>
          <w:sz w:val="24"/>
          <w:szCs w:val="24"/>
        </w:rPr>
        <w:t xml:space="preserve"> </w:t>
      </w:r>
      <w:r w:rsidRPr="00082ABB">
        <w:rPr>
          <w:rFonts w:ascii="Book Antiqua" w:hAnsi="Book Antiqua"/>
          <w:sz w:val="24"/>
          <w:szCs w:val="24"/>
        </w:rPr>
        <w:t xml:space="preserve">0.001), progression-free survival (PFS, 10.6 </w:t>
      </w:r>
      <w:r w:rsidR="00422EEA"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6.2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0.54,</w:t>
      </w:r>
      <w:r w:rsidR="00422EEA" w:rsidRPr="00082ABB">
        <w:rPr>
          <w:rFonts w:ascii="Book Antiqua" w:eastAsia="宋体" w:hAnsi="Book Antiqua"/>
          <w:sz w:val="24"/>
          <w:szCs w:val="24"/>
          <w:lang w:eastAsia="zh-CN"/>
        </w:rPr>
        <w:t xml:space="preserve"> </w:t>
      </w:r>
      <w:r w:rsidRPr="00082ABB">
        <w:rPr>
          <w:rFonts w:ascii="Book Antiqua" w:hAnsi="Book Antiqua"/>
          <w:i/>
          <w:sz w:val="24"/>
          <w:szCs w:val="24"/>
        </w:rPr>
        <w:t>P</w:t>
      </w:r>
      <w:r w:rsidR="008F5CB7" w:rsidRPr="00082ABB">
        <w:rPr>
          <w:rFonts w:ascii="Book Antiqua" w:hAnsi="Book Antiqua"/>
          <w:i/>
          <w:sz w:val="24"/>
          <w:szCs w:val="24"/>
        </w:rPr>
        <w:t xml:space="preserve"> </w:t>
      </w:r>
      <w:r w:rsidRPr="00082ABB">
        <w:rPr>
          <w:rFonts w:ascii="Book Antiqua" w:hAnsi="Book Antiqua"/>
          <w:sz w:val="24"/>
          <w:szCs w:val="24"/>
        </w:rPr>
        <w:t>&lt;</w:t>
      </w:r>
      <w:r w:rsidR="008F5CB7" w:rsidRPr="00082ABB">
        <w:rPr>
          <w:rFonts w:ascii="Book Antiqua" w:hAnsi="Book Antiqua"/>
          <w:sz w:val="24"/>
          <w:szCs w:val="24"/>
        </w:rPr>
        <w:t xml:space="preserve"> </w:t>
      </w:r>
      <w:r w:rsidRPr="00082ABB">
        <w:rPr>
          <w:rFonts w:ascii="Book Antiqua" w:hAnsi="Book Antiqua"/>
          <w:sz w:val="24"/>
          <w:szCs w:val="24"/>
        </w:rPr>
        <w:t>0.001)</w:t>
      </w:r>
      <w:r w:rsidR="007A39F8" w:rsidRPr="00082ABB">
        <w:rPr>
          <w:rFonts w:ascii="Book Antiqua" w:hAnsi="Book Antiqua"/>
          <w:sz w:val="24"/>
          <w:szCs w:val="24"/>
        </w:rPr>
        <w:t>,</w:t>
      </w:r>
      <w:r w:rsidR="008F5CB7" w:rsidRPr="00082ABB">
        <w:rPr>
          <w:rFonts w:ascii="Book Antiqua" w:hAnsi="Book Antiqua"/>
          <w:sz w:val="24"/>
          <w:szCs w:val="24"/>
        </w:rPr>
        <w:t xml:space="preserve"> and RR</w:t>
      </w:r>
      <w:r w:rsidRPr="00082ABB">
        <w:rPr>
          <w:rFonts w:ascii="Book Antiqua" w:hAnsi="Book Antiqua"/>
          <w:sz w:val="24"/>
          <w:szCs w:val="24"/>
        </w:rPr>
        <w:t xml:space="preserve"> (44.8% </w:t>
      </w:r>
      <w:r w:rsidRPr="00082ABB">
        <w:rPr>
          <w:rFonts w:ascii="Book Antiqua" w:hAnsi="Book Antiqua"/>
          <w:i/>
          <w:sz w:val="24"/>
          <w:szCs w:val="24"/>
        </w:rPr>
        <w:t>vs</w:t>
      </w:r>
      <w:r w:rsidRPr="00082ABB">
        <w:rPr>
          <w:rFonts w:ascii="Book Antiqua" w:hAnsi="Book Antiqua"/>
          <w:sz w:val="24"/>
          <w:szCs w:val="24"/>
        </w:rPr>
        <w:t xml:space="preserve"> 34.8%, </w:t>
      </w:r>
      <w:r w:rsidRPr="00082ABB">
        <w:rPr>
          <w:rFonts w:ascii="Book Antiqua" w:hAnsi="Book Antiqua"/>
          <w:i/>
          <w:sz w:val="24"/>
          <w:szCs w:val="24"/>
        </w:rPr>
        <w:t>P</w:t>
      </w:r>
      <w:r w:rsidR="008F5CB7" w:rsidRPr="00082ABB">
        <w:rPr>
          <w:rFonts w:ascii="Book Antiqua" w:hAnsi="Book Antiqua"/>
          <w:i/>
          <w:sz w:val="24"/>
          <w:szCs w:val="24"/>
        </w:rPr>
        <w:t xml:space="preserve"> </w:t>
      </w:r>
      <w:r w:rsidRPr="00082ABB">
        <w:rPr>
          <w:rFonts w:ascii="Book Antiqua" w:hAnsi="Book Antiqua"/>
          <w:sz w:val="24"/>
          <w:szCs w:val="24"/>
        </w:rPr>
        <w:t>=</w:t>
      </w:r>
      <w:r w:rsidR="008F5CB7" w:rsidRPr="00082ABB">
        <w:rPr>
          <w:rFonts w:ascii="Book Antiqua" w:hAnsi="Book Antiqua"/>
          <w:sz w:val="24"/>
          <w:szCs w:val="24"/>
        </w:rPr>
        <w:t xml:space="preserve"> </w:t>
      </w:r>
      <w:r w:rsidRPr="00082ABB">
        <w:rPr>
          <w:rFonts w:ascii="Book Antiqua" w:hAnsi="Book Antiqua"/>
          <w:sz w:val="24"/>
          <w:szCs w:val="24"/>
        </w:rPr>
        <w:t xml:space="preserve">0.004). From this result, </w:t>
      </w:r>
      <w:r w:rsidR="007A39F8" w:rsidRPr="00082ABB">
        <w:rPr>
          <w:rFonts w:ascii="Book Antiqua" w:hAnsi="Book Antiqua"/>
          <w:sz w:val="24"/>
          <w:szCs w:val="24"/>
        </w:rPr>
        <w:t xml:space="preserve">the </w:t>
      </w:r>
      <w:r w:rsidRPr="00082ABB">
        <w:rPr>
          <w:rFonts w:ascii="Book Antiqua" w:hAnsi="Book Antiqua"/>
          <w:sz w:val="24"/>
          <w:szCs w:val="24"/>
        </w:rPr>
        <w:t xml:space="preserve">FDA first approved bevacizumab </w:t>
      </w:r>
      <w:r w:rsidR="007A39F8" w:rsidRPr="00082ABB">
        <w:rPr>
          <w:rFonts w:ascii="Book Antiqua" w:hAnsi="Book Antiqua"/>
          <w:sz w:val="24"/>
          <w:szCs w:val="24"/>
        </w:rPr>
        <w:t xml:space="preserve">in </w:t>
      </w:r>
      <w:r w:rsidRPr="00082ABB">
        <w:rPr>
          <w:rFonts w:ascii="Book Antiqua" w:hAnsi="Book Antiqua"/>
          <w:sz w:val="24"/>
          <w:szCs w:val="24"/>
        </w:rPr>
        <w:t>combination with 5-FU</w:t>
      </w:r>
      <w:r w:rsidR="009A2779" w:rsidRPr="00082ABB">
        <w:rPr>
          <w:rFonts w:ascii="Book Antiqua" w:hAnsi="Book Antiqua"/>
          <w:sz w:val="24"/>
          <w:szCs w:val="24"/>
        </w:rPr>
        <w:t>-</w:t>
      </w:r>
      <w:r w:rsidRPr="00082ABB">
        <w:rPr>
          <w:rFonts w:ascii="Book Antiqua" w:hAnsi="Book Antiqua"/>
          <w:sz w:val="24"/>
          <w:szCs w:val="24"/>
        </w:rPr>
        <w:t xml:space="preserve">based first-line chemotherapy in mCRC. Later, FOLFIRI plus bevacizumab showed </w:t>
      </w:r>
      <w:r w:rsidR="007A39F8" w:rsidRPr="00082ABB">
        <w:rPr>
          <w:rFonts w:ascii="Book Antiqua" w:hAnsi="Book Antiqua"/>
          <w:sz w:val="24"/>
          <w:szCs w:val="24"/>
        </w:rPr>
        <w:t xml:space="preserve">a </w:t>
      </w:r>
      <w:r w:rsidRPr="00082ABB">
        <w:rPr>
          <w:rFonts w:ascii="Book Antiqua" w:hAnsi="Book Antiqua"/>
          <w:sz w:val="24"/>
          <w:szCs w:val="24"/>
        </w:rPr>
        <w:t xml:space="preserve">further survival benefit compared with modified IFL (mIFL) plus bevacizumab in the phase III BICC-C </w:t>
      </w:r>
      <w:proofErr w:type="gramStart"/>
      <w:r w:rsidRPr="00082ABB">
        <w:rPr>
          <w:rFonts w:ascii="Book Antiqua" w:hAnsi="Book Antiqua"/>
          <w:sz w:val="24"/>
          <w:szCs w:val="24"/>
        </w:rPr>
        <w:t>trial</w:t>
      </w:r>
      <w:r w:rsidR="00C662B4" w:rsidRPr="00082ABB">
        <w:rPr>
          <w:rFonts w:ascii="Book Antiqua" w:hAnsi="Book Antiqua"/>
          <w:sz w:val="24"/>
          <w:szCs w:val="24"/>
          <w:vertAlign w:val="superscript"/>
        </w:rPr>
        <w:t>[</w:t>
      </w:r>
      <w:proofErr w:type="gramEnd"/>
      <w:r w:rsidR="00C662B4" w:rsidRPr="00082ABB">
        <w:rPr>
          <w:rFonts w:ascii="Book Antiqua" w:hAnsi="Book Antiqua"/>
          <w:sz w:val="24"/>
          <w:szCs w:val="24"/>
          <w:vertAlign w:val="superscript"/>
        </w:rPr>
        <w:t>35</w:t>
      </w:r>
      <w:r w:rsidR="00147EE0" w:rsidRPr="00082ABB">
        <w:rPr>
          <w:rFonts w:ascii="Book Antiqua" w:hAnsi="Book Antiqua"/>
          <w:sz w:val="24"/>
          <w:szCs w:val="24"/>
          <w:vertAlign w:val="superscript"/>
        </w:rPr>
        <w:t>]</w:t>
      </w:r>
      <w:r w:rsidRPr="00082ABB">
        <w:rPr>
          <w:rFonts w:ascii="Book Antiqua" w:hAnsi="Book Antiqua"/>
          <w:sz w:val="24"/>
          <w:szCs w:val="24"/>
        </w:rPr>
        <w:t xml:space="preserve">. </w:t>
      </w:r>
      <w:r w:rsidR="007A39F8" w:rsidRPr="00082ABB">
        <w:rPr>
          <w:rFonts w:ascii="Book Antiqua" w:hAnsi="Book Antiqua"/>
          <w:sz w:val="24"/>
          <w:szCs w:val="24"/>
        </w:rPr>
        <w:t xml:space="preserve">The </w:t>
      </w:r>
      <w:r w:rsidRPr="00082ABB">
        <w:rPr>
          <w:rFonts w:ascii="Book Antiqua" w:hAnsi="Book Antiqua"/>
          <w:sz w:val="24"/>
          <w:szCs w:val="24"/>
        </w:rPr>
        <w:t xml:space="preserve">FOLFIRI arm had a trend </w:t>
      </w:r>
      <w:r w:rsidR="007A39F8" w:rsidRPr="00082ABB">
        <w:rPr>
          <w:rFonts w:ascii="Book Antiqua" w:hAnsi="Book Antiqua"/>
          <w:sz w:val="24"/>
          <w:szCs w:val="24"/>
        </w:rPr>
        <w:t>t</w:t>
      </w:r>
      <w:r w:rsidRPr="00082ABB">
        <w:rPr>
          <w:rFonts w:ascii="Book Antiqua" w:hAnsi="Book Antiqua"/>
          <w:sz w:val="24"/>
          <w:szCs w:val="24"/>
        </w:rPr>
        <w:t xml:space="preserve">o longer PFS (11.2 </w:t>
      </w:r>
      <w:r w:rsidR="00422EEA" w:rsidRPr="00082ABB">
        <w:rPr>
          <w:rFonts w:ascii="Book Antiqua" w:hAnsi="Book Antiqua"/>
          <w:sz w:val="24"/>
          <w:szCs w:val="24"/>
        </w:rPr>
        <w:t>mo</w:t>
      </w:r>
      <w:r w:rsidR="00422EEA" w:rsidRPr="00082ABB">
        <w:rPr>
          <w:rFonts w:ascii="Book Antiqua" w:hAnsi="Book Antiqua"/>
          <w:i/>
          <w:sz w:val="24"/>
          <w:szCs w:val="24"/>
        </w:rPr>
        <w:t xml:space="preserve"> </w:t>
      </w:r>
      <w:r w:rsidRPr="00082ABB">
        <w:rPr>
          <w:rFonts w:ascii="Book Antiqua" w:hAnsi="Book Antiqua"/>
          <w:i/>
          <w:sz w:val="24"/>
          <w:szCs w:val="24"/>
        </w:rPr>
        <w:t xml:space="preserve">vs </w:t>
      </w:r>
      <w:r w:rsidRPr="00082ABB">
        <w:rPr>
          <w:rFonts w:ascii="Book Antiqua" w:hAnsi="Book Antiqua"/>
          <w:sz w:val="24"/>
          <w:szCs w:val="24"/>
        </w:rPr>
        <w:t xml:space="preserve">8.3 mo, </w:t>
      </w:r>
      <w:r w:rsidRPr="00082ABB">
        <w:rPr>
          <w:rFonts w:ascii="Book Antiqua" w:hAnsi="Book Antiqua"/>
          <w:i/>
          <w:sz w:val="24"/>
          <w:szCs w:val="24"/>
        </w:rPr>
        <w:t>P</w:t>
      </w:r>
      <w:r w:rsidR="00147EE0" w:rsidRPr="00082ABB">
        <w:rPr>
          <w:rFonts w:ascii="Book Antiqua" w:hAnsi="Book Antiqua"/>
          <w:i/>
          <w:sz w:val="24"/>
          <w:szCs w:val="24"/>
        </w:rPr>
        <w:t xml:space="preserve"> </w:t>
      </w:r>
      <w:r w:rsidRPr="00082ABB">
        <w:rPr>
          <w:rFonts w:ascii="Book Antiqua" w:hAnsi="Book Antiqua"/>
          <w:sz w:val="24"/>
          <w:szCs w:val="24"/>
        </w:rPr>
        <w:t>=</w:t>
      </w:r>
      <w:r w:rsidR="00147EE0" w:rsidRPr="00082ABB">
        <w:rPr>
          <w:rFonts w:ascii="Book Antiqua" w:hAnsi="Book Antiqua"/>
          <w:sz w:val="24"/>
          <w:szCs w:val="24"/>
        </w:rPr>
        <w:t xml:space="preserve"> </w:t>
      </w:r>
      <w:r w:rsidRPr="00082ABB">
        <w:rPr>
          <w:rFonts w:ascii="Book Antiqua" w:hAnsi="Book Antiqua"/>
          <w:sz w:val="24"/>
          <w:szCs w:val="24"/>
        </w:rPr>
        <w:t xml:space="preserve">0.037) and OS (28.0 </w:t>
      </w:r>
      <w:r w:rsidR="00422EEA"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19.2 mo, </w:t>
      </w:r>
      <w:r w:rsidRPr="00082ABB">
        <w:rPr>
          <w:rFonts w:ascii="Book Antiqua" w:hAnsi="Book Antiqua"/>
          <w:i/>
          <w:sz w:val="24"/>
          <w:szCs w:val="24"/>
        </w:rPr>
        <w:t>P</w:t>
      </w:r>
      <w:r w:rsidR="00147EE0" w:rsidRPr="00082ABB">
        <w:rPr>
          <w:rFonts w:ascii="Book Antiqua" w:hAnsi="Book Antiqua"/>
          <w:i/>
          <w:sz w:val="24"/>
          <w:szCs w:val="24"/>
        </w:rPr>
        <w:t xml:space="preserve"> </w:t>
      </w:r>
      <w:r w:rsidRPr="00082ABB">
        <w:rPr>
          <w:rFonts w:ascii="Book Antiqua" w:hAnsi="Book Antiqua"/>
          <w:sz w:val="24"/>
          <w:szCs w:val="24"/>
        </w:rPr>
        <w:t>=</w:t>
      </w:r>
      <w:r w:rsidR="00147EE0" w:rsidRPr="00082ABB">
        <w:rPr>
          <w:rFonts w:ascii="Book Antiqua" w:hAnsi="Book Antiqua"/>
          <w:sz w:val="24"/>
          <w:szCs w:val="24"/>
        </w:rPr>
        <w:t xml:space="preserve"> </w:t>
      </w:r>
      <w:r w:rsidRPr="00082ABB">
        <w:rPr>
          <w:rFonts w:ascii="Book Antiqua" w:hAnsi="Book Antiqua"/>
          <w:sz w:val="24"/>
          <w:szCs w:val="24"/>
        </w:rPr>
        <w:t>0.28) compared with</w:t>
      </w:r>
      <w:r w:rsidR="007A39F8" w:rsidRPr="00082ABB">
        <w:rPr>
          <w:rFonts w:ascii="Book Antiqua" w:hAnsi="Book Antiqua"/>
          <w:sz w:val="24"/>
          <w:szCs w:val="24"/>
        </w:rPr>
        <w:t xml:space="preserve"> the</w:t>
      </w:r>
      <w:r w:rsidRPr="00082ABB">
        <w:rPr>
          <w:rFonts w:ascii="Book Antiqua" w:hAnsi="Book Antiqua"/>
          <w:sz w:val="24"/>
          <w:szCs w:val="24"/>
        </w:rPr>
        <w:t xml:space="preserve"> mIFL arm. </w:t>
      </w:r>
      <w:r w:rsidR="007A39F8" w:rsidRPr="00082ABB">
        <w:rPr>
          <w:rFonts w:ascii="Book Antiqua" w:hAnsi="Book Antiqua"/>
          <w:sz w:val="24"/>
          <w:szCs w:val="24"/>
        </w:rPr>
        <w:t xml:space="preserve">The </w:t>
      </w:r>
      <w:r w:rsidRPr="00082ABB">
        <w:rPr>
          <w:rFonts w:ascii="Book Antiqua" w:hAnsi="Book Antiqua"/>
          <w:sz w:val="24"/>
          <w:szCs w:val="24"/>
        </w:rPr>
        <w:t xml:space="preserve">RR was not significantly different between </w:t>
      </w:r>
      <w:r w:rsidR="007A39F8" w:rsidRPr="00082ABB">
        <w:rPr>
          <w:rFonts w:ascii="Book Antiqua" w:hAnsi="Book Antiqua"/>
          <w:sz w:val="24"/>
          <w:szCs w:val="24"/>
        </w:rPr>
        <w:t xml:space="preserve">the </w:t>
      </w:r>
      <w:r w:rsidRPr="00082ABB">
        <w:rPr>
          <w:rFonts w:ascii="Book Antiqua" w:hAnsi="Book Antiqua"/>
          <w:sz w:val="24"/>
          <w:szCs w:val="24"/>
        </w:rPr>
        <w:t xml:space="preserve">two arms (57.9% </w:t>
      </w:r>
      <w:r w:rsidRPr="00082ABB">
        <w:rPr>
          <w:rFonts w:ascii="Book Antiqua" w:hAnsi="Book Antiqua"/>
          <w:i/>
          <w:sz w:val="24"/>
          <w:szCs w:val="24"/>
        </w:rPr>
        <w:t>vs</w:t>
      </w:r>
      <w:r w:rsidRPr="00082ABB">
        <w:rPr>
          <w:rFonts w:ascii="Book Antiqua" w:hAnsi="Book Antiqua"/>
          <w:sz w:val="24"/>
          <w:szCs w:val="24"/>
        </w:rPr>
        <w:t xml:space="preserve"> 53.3%). Based on these results, FOLFIRI plus bevacizumab also became one of the standard regimens in the first-line treatment of mCRC.</w:t>
      </w:r>
    </w:p>
    <w:p w:rsidR="00BC5F12" w:rsidRPr="00082ABB" w:rsidRDefault="00BC5F12" w:rsidP="00422EEA">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 xml:space="preserve">Oxaliplatin-based chemotherapy combined with bevacizumab was evaluated in </w:t>
      </w:r>
      <w:r w:rsidR="007A39F8" w:rsidRPr="00082ABB">
        <w:rPr>
          <w:rFonts w:ascii="Book Antiqua" w:hAnsi="Book Antiqua"/>
          <w:sz w:val="24"/>
          <w:szCs w:val="24"/>
        </w:rPr>
        <w:t xml:space="preserve">the </w:t>
      </w:r>
      <w:r w:rsidRPr="00082ABB">
        <w:rPr>
          <w:rFonts w:ascii="Book Antiqua" w:hAnsi="Book Antiqua"/>
          <w:sz w:val="24"/>
          <w:szCs w:val="24"/>
        </w:rPr>
        <w:t xml:space="preserve">NO16966 </w:t>
      </w:r>
      <w:proofErr w:type="gramStart"/>
      <w:r w:rsidRPr="00082ABB">
        <w:rPr>
          <w:rFonts w:ascii="Book Antiqua" w:hAnsi="Book Antiqua"/>
          <w:sz w:val="24"/>
          <w:szCs w:val="24"/>
        </w:rPr>
        <w:t>trial</w:t>
      </w:r>
      <w:r w:rsidR="00256573" w:rsidRPr="00082ABB">
        <w:rPr>
          <w:rFonts w:ascii="Book Antiqua" w:hAnsi="Book Antiqua"/>
          <w:sz w:val="24"/>
          <w:szCs w:val="24"/>
          <w:vertAlign w:val="superscript"/>
        </w:rPr>
        <w:t>[</w:t>
      </w:r>
      <w:proofErr w:type="gramEnd"/>
      <w:r w:rsidR="00256573" w:rsidRPr="00082ABB">
        <w:rPr>
          <w:rFonts w:ascii="Book Antiqua" w:hAnsi="Book Antiqua"/>
          <w:sz w:val="24"/>
          <w:szCs w:val="24"/>
          <w:vertAlign w:val="superscript"/>
        </w:rPr>
        <w:t>9,</w:t>
      </w:r>
      <w:r w:rsidR="00C662B4" w:rsidRPr="00082ABB">
        <w:rPr>
          <w:rFonts w:ascii="Book Antiqua" w:hAnsi="Book Antiqua"/>
          <w:sz w:val="24"/>
          <w:szCs w:val="24"/>
          <w:vertAlign w:val="superscript"/>
        </w:rPr>
        <w:t>36</w:t>
      </w:r>
      <w:r w:rsidR="00147EE0" w:rsidRPr="00082ABB">
        <w:rPr>
          <w:rFonts w:ascii="Book Antiqua" w:hAnsi="Book Antiqua"/>
          <w:sz w:val="24"/>
          <w:szCs w:val="24"/>
          <w:vertAlign w:val="superscript"/>
        </w:rPr>
        <w:t>]</w:t>
      </w:r>
      <w:r w:rsidRPr="00082ABB">
        <w:rPr>
          <w:rFonts w:ascii="Book Antiqua" w:hAnsi="Book Antiqua"/>
          <w:sz w:val="24"/>
          <w:szCs w:val="24"/>
        </w:rPr>
        <w:t xml:space="preserve">. In this pivotal 2x2 factorial randomized phase III trial, 1400 mCRC patients were assigned to oxaliplatin-based first-line chemotherapy (FOLFOX4/CapeOX) with or without bevacizumab. Although the median OS (21.3 </w:t>
      </w:r>
      <w:r w:rsidR="00422EEA"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19.9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0.89, </w:t>
      </w:r>
      <w:r w:rsidRPr="00082ABB">
        <w:rPr>
          <w:rFonts w:ascii="Book Antiqua" w:hAnsi="Book Antiqua"/>
          <w:i/>
          <w:sz w:val="24"/>
          <w:szCs w:val="24"/>
        </w:rPr>
        <w:t>P</w:t>
      </w:r>
      <w:r w:rsidR="00147EE0" w:rsidRPr="00082ABB">
        <w:rPr>
          <w:rFonts w:ascii="Book Antiqua" w:hAnsi="Book Antiqua"/>
          <w:i/>
          <w:sz w:val="24"/>
          <w:szCs w:val="24"/>
        </w:rPr>
        <w:t xml:space="preserve"> </w:t>
      </w:r>
      <w:r w:rsidRPr="00082ABB">
        <w:rPr>
          <w:rFonts w:ascii="Book Antiqua" w:hAnsi="Book Antiqua"/>
          <w:sz w:val="24"/>
          <w:szCs w:val="24"/>
        </w:rPr>
        <w:t>=</w:t>
      </w:r>
      <w:r w:rsidR="00147EE0" w:rsidRPr="00082ABB">
        <w:rPr>
          <w:rFonts w:ascii="Book Antiqua" w:hAnsi="Book Antiqua"/>
          <w:sz w:val="24"/>
          <w:szCs w:val="24"/>
        </w:rPr>
        <w:t xml:space="preserve"> </w:t>
      </w:r>
      <w:r w:rsidRPr="00082ABB">
        <w:rPr>
          <w:rFonts w:ascii="Book Antiqua" w:hAnsi="Book Antiqua"/>
          <w:sz w:val="24"/>
          <w:szCs w:val="24"/>
        </w:rPr>
        <w:t xml:space="preserve">0.0769) and RR (38% </w:t>
      </w:r>
      <w:r w:rsidRPr="00082ABB">
        <w:rPr>
          <w:rFonts w:ascii="Book Antiqua" w:hAnsi="Book Antiqua"/>
          <w:i/>
          <w:sz w:val="24"/>
          <w:szCs w:val="24"/>
        </w:rPr>
        <w:t>vs</w:t>
      </w:r>
      <w:r w:rsidRPr="00082ABB">
        <w:rPr>
          <w:rFonts w:ascii="Book Antiqua" w:hAnsi="Book Antiqua"/>
          <w:sz w:val="24"/>
          <w:szCs w:val="24"/>
        </w:rPr>
        <w:t xml:space="preserve"> 38%, OR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1.00, </w:t>
      </w:r>
      <w:r w:rsidRPr="00082ABB">
        <w:rPr>
          <w:rFonts w:ascii="Book Antiqua" w:hAnsi="Book Antiqua"/>
          <w:i/>
          <w:sz w:val="24"/>
          <w:szCs w:val="24"/>
        </w:rPr>
        <w:t>P</w:t>
      </w:r>
      <w:r w:rsidR="00147EE0" w:rsidRPr="00082ABB">
        <w:rPr>
          <w:rFonts w:ascii="Book Antiqua" w:hAnsi="Book Antiqua"/>
          <w:i/>
          <w:sz w:val="24"/>
          <w:szCs w:val="24"/>
        </w:rPr>
        <w:t xml:space="preserve"> </w:t>
      </w:r>
      <w:r w:rsidRPr="00082ABB">
        <w:rPr>
          <w:rFonts w:ascii="Book Antiqua" w:hAnsi="Book Antiqua"/>
          <w:sz w:val="24"/>
          <w:szCs w:val="24"/>
        </w:rPr>
        <w:t>=</w:t>
      </w:r>
      <w:r w:rsidR="00147EE0" w:rsidRPr="00082ABB">
        <w:rPr>
          <w:rFonts w:ascii="Book Antiqua" w:hAnsi="Book Antiqua"/>
          <w:sz w:val="24"/>
          <w:szCs w:val="24"/>
        </w:rPr>
        <w:t xml:space="preserve"> </w:t>
      </w:r>
      <w:r w:rsidRPr="00082ABB">
        <w:rPr>
          <w:rFonts w:ascii="Book Antiqua" w:hAnsi="Book Antiqua"/>
          <w:sz w:val="24"/>
          <w:szCs w:val="24"/>
        </w:rPr>
        <w:lastRenderedPageBreak/>
        <w:t>0.99) were not s</w:t>
      </w:r>
      <w:r w:rsidR="007A39F8" w:rsidRPr="00082ABB">
        <w:rPr>
          <w:rFonts w:ascii="Book Antiqua" w:hAnsi="Book Antiqua"/>
          <w:sz w:val="24"/>
          <w:szCs w:val="24"/>
        </w:rPr>
        <w:t xml:space="preserve">ignificantly </w:t>
      </w:r>
      <w:r w:rsidRPr="00082ABB">
        <w:rPr>
          <w:rFonts w:ascii="Book Antiqua" w:hAnsi="Book Antiqua"/>
          <w:sz w:val="24"/>
          <w:szCs w:val="24"/>
        </w:rPr>
        <w:t xml:space="preserve">different between </w:t>
      </w:r>
      <w:r w:rsidR="007A39F8" w:rsidRPr="00082ABB">
        <w:rPr>
          <w:rFonts w:ascii="Book Antiqua" w:hAnsi="Book Antiqua"/>
          <w:sz w:val="24"/>
          <w:szCs w:val="24"/>
        </w:rPr>
        <w:t xml:space="preserve">the </w:t>
      </w:r>
      <w:r w:rsidRPr="00082ABB">
        <w:rPr>
          <w:rFonts w:ascii="Book Antiqua" w:hAnsi="Book Antiqua"/>
          <w:sz w:val="24"/>
          <w:szCs w:val="24"/>
        </w:rPr>
        <w:t xml:space="preserve">two arms, the median PFS was significantly improved in </w:t>
      </w:r>
      <w:r w:rsidR="007A39F8" w:rsidRPr="00082ABB">
        <w:rPr>
          <w:rFonts w:ascii="Book Antiqua" w:hAnsi="Book Antiqua"/>
          <w:sz w:val="24"/>
          <w:szCs w:val="24"/>
        </w:rPr>
        <w:t xml:space="preserve">the </w:t>
      </w:r>
      <w:r w:rsidRPr="00082ABB">
        <w:rPr>
          <w:rFonts w:ascii="Book Antiqua" w:hAnsi="Book Antiqua"/>
          <w:sz w:val="24"/>
          <w:szCs w:val="24"/>
        </w:rPr>
        <w:t>bevacizumab</w:t>
      </w:r>
      <w:r w:rsidR="007A39F8" w:rsidRPr="00082ABB">
        <w:rPr>
          <w:rFonts w:ascii="Book Antiqua" w:hAnsi="Book Antiqua"/>
          <w:sz w:val="24"/>
          <w:szCs w:val="24"/>
        </w:rPr>
        <w:t>-</w:t>
      </w:r>
      <w:r w:rsidRPr="00082ABB">
        <w:rPr>
          <w:rFonts w:ascii="Book Antiqua" w:hAnsi="Book Antiqua"/>
          <w:sz w:val="24"/>
          <w:szCs w:val="24"/>
        </w:rPr>
        <w:t xml:space="preserve">containing arm compared with </w:t>
      </w:r>
      <w:r w:rsidR="007A39F8" w:rsidRPr="00082ABB">
        <w:rPr>
          <w:rFonts w:ascii="Book Antiqua" w:hAnsi="Book Antiqua"/>
          <w:sz w:val="24"/>
          <w:szCs w:val="24"/>
        </w:rPr>
        <w:t xml:space="preserve">the </w:t>
      </w:r>
      <w:r w:rsidRPr="00082ABB">
        <w:rPr>
          <w:rFonts w:ascii="Book Antiqua" w:hAnsi="Book Antiqua"/>
          <w:sz w:val="24"/>
          <w:szCs w:val="24"/>
        </w:rPr>
        <w:t xml:space="preserve">placebo arm (9.4 </w:t>
      </w:r>
      <w:r w:rsidR="00422EEA"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8.0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0.83, </w:t>
      </w:r>
      <w:r w:rsidRPr="00082ABB">
        <w:rPr>
          <w:rFonts w:ascii="Book Antiqua" w:hAnsi="Book Antiqua"/>
          <w:i/>
          <w:sz w:val="24"/>
          <w:szCs w:val="24"/>
        </w:rPr>
        <w:t>P</w:t>
      </w:r>
      <w:r w:rsidR="00147EE0" w:rsidRPr="00082ABB">
        <w:rPr>
          <w:rFonts w:ascii="Book Antiqua" w:hAnsi="Book Antiqua"/>
          <w:i/>
          <w:sz w:val="24"/>
          <w:szCs w:val="24"/>
        </w:rPr>
        <w:t xml:space="preserve"> </w:t>
      </w:r>
      <w:r w:rsidRPr="00082ABB">
        <w:rPr>
          <w:rFonts w:ascii="Book Antiqua" w:hAnsi="Book Antiqua"/>
          <w:sz w:val="24"/>
          <w:szCs w:val="24"/>
        </w:rPr>
        <w:t>=</w:t>
      </w:r>
      <w:r w:rsidR="00147EE0" w:rsidRPr="00082ABB">
        <w:rPr>
          <w:rFonts w:ascii="Book Antiqua" w:hAnsi="Book Antiqua"/>
          <w:sz w:val="24"/>
          <w:szCs w:val="24"/>
        </w:rPr>
        <w:t xml:space="preserve"> </w:t>
      </w:r>
      <w:r w:rsidRPr="00082ABB">
        <w:rPr>
          <w:rFonts w:ascii="Book Antiqua" w:hAnsi="Book Antiqua"/>
          <w:sz w:val="24"/>
          <w:szCs w:val="24"/>
        </w:rPr>
        <w:t xml:space="preserve">0.0023). Similar results were shown in </w:t>
      </w:r>
      <w:r w:rsidR="007A39F8" w:rsidRPr="00082ABB">
        <w:rPr>
          <w:rFonts w:ascii="Book Antiqua" w:hAnsi="Book Antiqua"/>
          <w:sz w:val="24"/>
          <w:szCs w:val="24"/>
        </w:rPr>
        <w:t xml:space="preserve">the </w:t>
      </w:r>
      <w:r w:rsidRPr="00082ABB">
        <w:rPr>
          <w:rFonts w:ascii="Book Antiqua" w:hAnsi="Book Antiqua"/>
          <w:sz w:val="24"/>
          <w:szCs w:val="24"/>
        </w:rPr>
        <w:t>randomized phase II TREE-1/2 trial, which evaluate</w:t>
      </w:r>
      <w:r w:rsidR="007A39F8" w:rsidRPr="00082ABB">
        <w:rPr>
          <w:rFonts w:ascii="Book Antiqua" w:hAnsi="Book Antiqua"/>
          <w:sz w:val="24"/>
          <w:szCs w:val="24"/>
        </w:rPr>
        <w:t>d</w:t>
      </w:r>
      <w:r w:rsidRPr="00082ABB">
        <w:rPr>
          <w:rFonts w:ascii="Book Antiqua" w:hAnsi="Book Antiqua"/>
          <w:sz w:val="24"/>
          <w:szCs w:val="24"/>
        </w:rPr>
        <w:t xml:space="preserve"> the safety and efficacy of bevacizumab add</w:t>
      </w:r>
      <w:r w:rsidR="007A39F8" w:rsidRPr="00082ABB">
        <w:rPr>
          <w:rFonts w:ascii="Book Antiqua" w:hAnsi="Book Antiqua"/>
          <w:sz w:val="24"/>
          <w:szCs w:val="24"/>
        </w:rPr>
        <w:t xml:space="preserve">ed </w:t>
      </w:r>
      <w:r w:rsidRPr="00082ABB">
        <w:rPr>
          <w:rFonts w:ascii="Book Antiqua" w:hAnsi="Book Antiqua"/>
          <w:sz w:val="24"/>
          <w:szCs w:val="24"/>
        </w:rPr>
        <w:t>to chemoth</w:t>
      </w:r>
      <w:r w:rsidR="00422EEA" w:rsidRPr="00082ABB">
        <w:rPr>
          <w:rFonts w:ascii="Book Antiqua" w:hAnsi="Book Antiqua"/>
          <w:sz w:val="24"/>
          <w:szCs w:val="24"/>
        </w:rPr>
        <w:t>erapy (mFOLFOX6/bFOL/CapeOX)</w:t>
      </w:r>
      <w:r w:rsidR="00C662B4" w:rsidRPr="00082ABB">
        <w:rPr>
          <w:rFonts w:ascii="Book Antiqua" w:hAnsi="Book Antiqua"/>
          <w:sz w:val="24"/>
          <w:szCs w:val="24"/>
          <w:vertAlign w:val="superscript"/>
        </w:rPr>
        <w:t>[37</w:t>
      </w:r>
      <w:r w:rsidRPr="00082ABB">
        <w:rPr>
          <w:rFonts w:ascii="Book Antiqua" w:hAnsi="Book Antiqua"/>
          <w:sz w:val="24"/>
          <w:szCs w:val="24"/>
          <w:vertAlign w:val="superscript"/>
        </w:rPr>
        <w:t>]</w:t>
      </w:r>
      <w:r w:rsidRPr="00082ABB">
        <w:rPr>
          <w:rFonts w:ascii="Book Antiqua" w:hAnsi="Book Antiqua"/>
          <w:sz w:val="24"/>
          <w:szCs w:val="24"/>
        </w:rPr>
        <w:t xml:space="preserve">. Moreover, the benefit of cetuximab added </w:t>
      </w:r>
      <w:r w:rsidR="007A39F8" w:rsidRPr="00082ABB">
        <w:rPr>
          <w:rFonts w:ascii="Book Antiqua" w:hAnsi="Book Antiqua"/>
          <w:sz w:val="24"/>
          <w:szCs w:val="24"/>
        </w:rPr>
        <w:t>t</w:t>
      </w:r>
      <w:r w:rsidRPr="00082ABB">
        <w:rPr>
          <w:rFonts w:ascii="Book Antiqua" w:hAnsi="Book Antiqua"/>
          <w:sz w:val="24"/>
          <w:szCs w:val="24"/>
        </w:rPr>
        <w:t xml:space="preserve">o chemotherapy plus bevacizumab was evaluated in </w:t>
      </w:r>
      <w:r w:rsidR="007A39F8" w:rsidRPr="00082ABB">
        <w:rPr>
          <w:rFonts w:ascii="Book Antiqua" w:hAnsi="Book Antiqua"/>
          <w:sz w:val="24"/>
          <w:szCs w:val="24"/>
        </w:rPr>
        <w:t xml:space="preserve">the </w:t>
      </w:r>
      <w:r w:rsidRPr="00082ABB">
        <w:rPr>
          <w:rFonts w:ascii="Book Antiqua" w:hAnsi="Book Antiqua"/>
          <w:sz w:val="24"/>
          <w:szCs w:val="24"/>
        </w:rPr>
        <w:t xml:space="preserve">CAIRO2 </w:t>
      </w:r>
      <w:proofErr w:type="gramStart"/>
      <w:r w:rsidRPr="00082ABB">
        <w:rPr>
          <w:rFonts w:ascii="Book Antiqua" w:hAnsi="Book Antiqua"/>
          <w:sz w:val="24"/>
          <w:szCs w:val="24"/>
        </w:rPr>
        <w:t>trial</w:t>
      </w:r>
      <w:r w:rsidR="00C662B4" w:rsidRPr="00082ABB">
        <w:rPr>
          <w:rFonts w:ascii="Book Antiqua" w:hAnsi="Book Antiqua"/>
          <w:sz w:val="24"/>
          <w:szCs w:val="24"/>
          <w:vertAlign w:val="superscript"/>
        </w:rPr>
        <w:t>[</w:t>
      </w:r>
      <w:proofErr w:type="gramEnd"/>
      <w:r w:rsidR="00C662B4" w:rsidRPr="00082ABB">
        <w:rPr>
          <w:rFonts w:ascii="Book Antiqua" w:hAnsi="Book Antiqua"/>
          <w:sz w:val="24"/>
          <w:szCs w:val="24"/>
          <w:vertAlign w:val="superscript"/>
        </w:rPr>
        <w:t>38</w:t>
      </w:r>
      <w:r w:rsidR="00147EE0" w:rsidRPr="00082ABB">
        <w:rPr>
          <w:rFonts w:ascii="Book Antiqua" w:hAnsi="Book Antiqua"/>
          <w:sz w:val="24"/>
          <w:szCs w:val="24"/>
          <w:vertAlign w:val="superscript"/>
        </w:rPr>
        <w:t>]</w:t>
      </w:r>
      <w:r w:rsidRPr="00082ABB">
        <w:rPr>
          <w:rFonts w:ascii="Book Antiqua" w:hAnsi="Book Antiqua"/>
          <w:sz w:val="24"/>
          <w:szCs w:val="24"/>
        </w:rPr>
        <w:t xml:space="preserve">. However, in this phase III trial, the combination of CapeOX plus cetuximab and bevacizumab resulted in a significant decrease in PFS and no difference in OS and RR compared to CapeOX plus bevacizumab alone. </w:t>
      </w:r>
      <w:r w:rsidR="007A39F8" w:rsidRPr="00082ABB">
        <w:rPr>
          <w:rFonts w:ascii="Book Antiqua" w:hAnsi="Book Antiqua"/>
          <w:sz w:val="24"/>
          <w:szCs w:val="24"/>
        </w:rPr>
        <w:t>In the</w:t>
      </w:r>
      <w:r w:rsidRPr="00082ABB">
        <w:rPr>
          <w:rFonts w:ascii="Book Antiqua" w:hAnsi="Book Antiqua"/>
          <w:sz w:val="24"/>
          <w:szCs w:val="24"/>
        </w:rPr>
        <w:t xml:space="preserve"> </w:t>
      </w:r>
      <w:r w:rsidRPr="00082ABB">
        <w:rPr>
          <w:rFonts w:ascii="Book Antiqua" w:hAnsi="Book Antiqua"/>
          <w:i/>
          <w:sz w:val="24"/>
          <w:szCs w:val="24"/>
        </w:rPr>
        <w:t>KRAS</w:t>
      </w:r>
      <w:r w:rsidRPr="00082ABB">
        <w:rPr>
          <w:rFonts w:ascii="Book Antiqua" w:hAnsi="Book Antiqua"/>
          <w:sz w:val="24"/>
          <w:szCs w:val="24"/>
        </w:rPr>
        <w:t xml:space="preserve"> wild type population, there w</w:t>
      </w:r>
      <w:r w:rsidR="009A2779" w:rsidRPr="00082ABB">
        <w:rPr>
          <w:rFonts w:ascii="Book Antiqua" w:hAnsi="Book Antiqua"/>
          <w:sz w:val="24"/>
          <w:szCs w:val="24"/>
        </w:rPr>
        <w:t>ere</w:t>
      </w:r>
      <w:r w:rsidRPr="00082ABB">
        <w:rPr>
          <w:rFonts w:ascii="Book Antiqua" w:hAnsi="Book Antiqua"/>
          <w:sz w:val="24"/>
          <w:szCs w:val="24"/>
        </w:rPr>
        <w:t xml:space="preserve"> no significant difference</w:t>
      </w:r>
      <w:r w:rsidR="009A2779" w:rsidRPr="00082ABB">
        <w:rPr>
          <w:rFonts w:ascii="Book Antiqua" w:hAnsi="Book Antiqua"/>
          <w:sz w:val="24"/>
          <w:szCs w:val="24"/>
        </w:rPr>
        <w:t>s</w:t>
      </w:r>
      <w:r w:rsidRPr="00082ABB">
        <w:rPr>
          <w:rFonts w:ascii="Book Antiqua" w:hAnsi="Book Antiqua"/>
          <w:sz w:val="24"/>
          <w:szCs w:val="24"/>
        </w:rPr>
        <w:t xml:space="preserve"> in PFS (10.5 </w:t>
      </w:r>
      <w:r w:rsidR="00422EEA"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10.4 mo, </w:t>
      </w:r>
      <w:r w:rsidRPr="00082ABB">
        <w:rPr>
          <w:rFonts w:ascii="Book Antiqua" w:hAnsi="Book Antiqua"/>
          <w:i/>
          <w:sz w:val="24"/>
          <w:szCs w:val="24"/>
        </w:rPr>
        <w:t>P</w:t>
      </w:r>
      <w:r w:rsidR="00147EE0" w:rsidRPr="00082ABB">
        <w:rPr>
          <w:rFonts w:ascii="Book Antiqua" w:hAnsi="Book Antiqua"/>
          <w:i/>
          <w:sz w:val="24"/>
          <w:szCs w:val="24"/>
        </w:rPr>
        <w:t xml:space="preserve"> </w:t>
      </w:r>
      <w:r w:rsidRPr="00082ABB">
        <w:rPr>
          <w:rFonts w:ascii="Book Antiqua" w:hAnsi="Book Antiqua"/>
          <w:sz w:val="24"/>
          <w:szCs w:val="24"/>
        </w:rPr>
        <w:t>=</w:t>
      </w:r>
      <w:r w:rsidR="00147EE0" w:rsidRPr="00082ABB">
        <w:rPr>
          <w:rFonts w:ascii="Book Antiqua" w:hAnsi="Book Antiqua"/>
          <w:sz w:val="24"/>
          <w:szCs w:val="24"/>
        </w:rPr>
        <w:t xml:space="preserve"> </w:t>
      </w:r>
      <w:r w:rsidRPr="00082ABB">
        <w:rPr>
          <w:rFonts w:ascii="Book Antiqua" w:hAnsi="Book Antiqua"/>
          <w:sz w:val="24"/>
          <w:szCs w:val="24"/>
        </w:rPr>
        <w:t xml:space="preserve">0.30) and OS (21.8 </w:t>
      </w:r>
      <w:r w:rsidR="00422EEA"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22.4 mo, </w:t>
      </w:r>
      <w:r w:rsidRPr="00082ABB">
        <w:rPr>
          <w:rFonts w:ascii="Book Antiqua" w:hAnsi="Book Antiqua"/>
          <w:i/>
          <w:sz w:val="24"/>
          <w:szCs w:val="24"/>
        </w:rPr>
        <w:t>P</w:t>
      </w:r>
      <w:r w:rsidR="00147EE0" w:rsidRPr="00082ABB">
        <w:rPr>
          <w:rFonts w:ascii="Book Antiqua" w:hAnsi="Book Antiqua"/>
          <w:i/>
          <w:sz w:val="24"/>
          <w:szCs w:val="24"/>
        </w:rPr>
        <w:t xml:space="preserve"> </w:t>
      </w:r>
      <w:r w:rsidRPr="00082ABB">
        <w:rPr>
          <w:rFonts w:ascii="Book Antiqua" w:hAnsi="Book Antiqua"/>
          <w:sz w:val="24"/>
          <w:szCs w:val="24"/>
        </w:rPr>
        <w:t>=</w:t>
      </w:r>
      <w:r w:rsidR="00147EE0" w:rsidRPr="00082ABB">
        <w:rPr>
          <w:rFonts w:ascii="Book Antiqua" w:hAnsi="Book Antiqua"/>
          <w:sz w:val="24"/>
          <w:szCs w:val="24"/>
        </w:rPr>
        <w:t xml:space="preserve"> </w:t>
      </w:r>
      <w:r w:rsidRPr="00082ABB">
        <w:rPr>
          <w:rFonts w:ascii="Book Antiqua" w:hAnsi="Book Antiqua"/>
          <w:sz w:val="24"/>
          <w:szCs w:val="24"/>
        </w:rPr>
        <w:t xml:space="preserve">0.64), while RR was higher in chemotherapy with cetuximab than in chemotherapy without cetuximab. In </w:t>
      </w:r>
      <w:r w:rsidR="007A39F8" w:rsidRPr="00082ABB">
        <w:rPr>
          <w:rFonts w:ascii="Book Antiqua" w:hAnsi="Book Antiqua"/>
          <w:sz w:val="24"/>
          <w:szCs w:val="24"/>
        </w:rPr>
        <w:t xml:space="preserve">the </w:t>
      </w:r>
      <w:r w:rsidRPr="00082ABB">
        <w:rPr>
          <w:rFonts w:ascii="Book Antiqua" w:hAnsi="Book Antiqua"/>
          <w:sz w:val="24"/>
          <w:szCs w:val="24"/>
        </w:rPr>
        <w:t xml:space="preserve">CAIRO2 trial, although patients with </w:t>
      </w:r>
      <w:r w:rsidRPr="00082ABB">
        <w:rPr>
          <w:rFonts w:ascii="Book Antiqua" w:hAnsi="Book Antiqua"/>
          <w:i/>
          <w:sz w:val="24"/>
          <w:szCs w:val="24"/>
        </w:rPr>
        <w:t>KRAS</w:t>
      </w:r>
      <w:r w:rsidRPr="00082ABB">
        <w:rPr>
          <w:rFonts w:ascii="Book Antiqua" w:hAnsi="Book Antiqua"/>
          <w:sz w:val="24"/>
          <w:szCs w:val="24"/>
        </w:rPr>
        <w:t xml:space="preserve"> mutant type might </w:t>
      </w:r>
      <w:r w:rsidR="007A39F8" w:rsidRPr="00082ABB">
        <w:rPr>
          <w:rFonts w:ascii="Book Antiqua" w:hAnsi="Book Antiqua"/>
          <w:sz w:val="24"/>
          <w:szCs w:val="24"/>
        </w:rPr>
        <w:t xml:space="preserve">have had a </w:t>
      </w:r>
      <w:r w:rsidRPr="00082ABB">
        <w:rPr>
          <w:rFonts w:ascii="Book Antiqua" w:hAnsi="Book Antiqua"/>
          <w:sz w:val="24"/>
          <w:szCs w:val="24"/>
        </w:rPr>
        <w:t xml:space="preserve">worse outcome </w:t>
      </w:r>
      <w:r w:rsidR="007A39F8" w:rsidRPr="00082ABB">
        <w:rPr>
          <w:rFonts w:ascii="Book Antiqua" w:hAnsi="Book Antiqua"/>
          <w:sz w:val="24"/>
          <w:szCs w:val="24"/>
        </w:rPr>
        <w:t xml:space="preserve">for </w:t>
      </w:r>
      <w:r w:rsidRPr="00082ABB">
        <w:rPr>
          <w:rFonts w:ascii="Book Antiqua" w:hAnsi="Book Antiqua"/>
          <w:sz w:val="24"/>
          <w:szCs w:val="24"/>
        </w:rPr>
        <w:t>PFS and OS, no survival benefit of adding cetuximab on</w:t>
      </w:r>
      <w:r w:rsidR="007A39F8" w:rsidRPr="00082ABB">
        <w:rPr>
          <w:rFonts w:ascii="Book Antiqua" w:hAnsi="Book Antiqua"/>
          <w:sz w:val="24"/>
          <w:szCs w:val="24"/>
        </w:rPr>
        <w:t>to</w:t>
      </w:r>
      <w:r w:rsidRPr="00082ABB">
        <w:rPr>
          <w:rFonts w:ascii="Book Antiqua" w:hAnsi="Book Antiqua"/>
          <w:sz w:val="24"/>
          <w:szCs w:val="24"/>
        </w:rPr>
        <w:t xml:space="preserve"> bevacizumab plus chemotherapy was observed even in</w:t>
      </w:r>
      <w:r w:rsidR="007A39F8" w:rsidRPr="00082ABB">
        <w:rPr>
          <w:rFonts w:ascii="Book Antiqua" w:hAnsi="Book Antiqua"/>
          <w:sz w:val="24"/>
          <w:szCs w:val="24"/>
        </w:rPr>
        <w:t xml:space="preserve"> the</w:t>
      </w:r>
      <w:r w:rsidRPr="00082ABB">
        <w:rPr>
          <w:rFonts w:ascii="Book Antiqua" w:hAnsi="Book Antiqua"/>
          <w:sz w:val="24"/>
          <w:szCs w:val="24"/>
        </w:rPr>
        <w:t xml:space="preserve"> </w:t>
      </w:r>
      <w:r w:rsidRPr="00082ABB">
        <w:rPr>
          <w:rFonts w:ascii="Book Antiqua" w:hAnsi="Book Antiqua"/>
          <w:i/>
          <w:sz w:val="24"/>
          <w:szCs w:val="24"/>
        </w:rPr>
        <w:t>KRAS</w:t>
      </w:r>
      <w:r w:rsidRPr="00082ABB">
        <w:rPr>
          <w:rFonts w:ascii="Book Antiqua" w:hAnsi="Book Antiqua"/>
          <w:sz w:val="24"/>
          <w:szCs w:val="24"/>
        </w:rPr>
        <w:t xml:space="preserve"> wild population. Moreover, </w:t>
      </w:r>
      <w:r w:rsidR="007A39F8" w:rsidRPr="00082ABB">
        <w:rPr>
          <w:rFonts w:ascii="Book Antiqua" w:hAnsi="Book Antiqua"/>
          <w:sz w:val="24"/>
          <w:szCs w:val="24"/>
        </w:rPr>
        <w:t xml:space="preserve">a </w:t>
      </w:r>
      <w:r w:rsidRPr="00082ABB">
        <w:rPr>
          <w:rFonts w:ascii="Book Antiqua" w:hAnsi="Book Antiqua"/>
          <w:sz w:val="24"/>
          <w:szCs w:val="24"/>
        </w:rPr>
        <w:t xml:space="preserve">meta-analysis also showed the poor prognosis of </w:t>
      </w:r>
      <w:r w:rsidR="007A39F8" w:rsidRPr="00082ABB">
        <w:rPr>
          <w:rFonts w:ascii="Book Antiqua" w:hAnsi="Book Antiqua"/>
          <w:sz w:val="24"/>
          <w:szCs w:val="24"/>
        </w:rPr>
        <w:t xml:space="preserve">the </w:t>
      </w:r>
      <w:r w:rsidRPr="00082ABB">
        <w:rPr>
          <w:rFonts w:ascii="Book Antiqua" w:hAnsi="Book Antiqua"/>
          <w:sz w:val="24"/>
          <w:szCs w:val="24"/>
        </w:rPr>
        <w:t>combination of anti</w:t>
      </w:r>
      <w:r w:rsidR="00422EEA" w:rsidRPr="00082ABB">
        <w:rPr>
          <w:rFonts w:ascii="Book Antiqua" w:hAnsi="Book Antiqua"/>
          <w:sz w:val="24"/>
          <w:szCs w:val="24"/>
        </w:rPr>
        <w:t xml:space="preserve">-EGFR agents and </w:t>
      </w:r>
      <w:proofErr w:type="gramStart"/>
      <w:r w:rsidR="00422EEA" w:rsidRPr="00082ABB">
        <w:rPr>
          <w:rFonts w:ascii="Book Antiqua" w:hAnsi="Book Antiqua"/>
          <w:sz w:val="24"/>
          <w:szCs w:val="24"/>
        </w:rPr>
        <w:t>bevacizumab</w:t>
      </w:r>
      <w:r w:rsidR="00C662B4" w:rsidRPr="00082ABB">
        <w:rPr>
          <w:rFonts w:ascii="Book Antiqua" w:hAnsi="Book Antiqua"/>
          <w:sz w:val="24"/>
          <w:szCs w:val="24"/>
          <w:vertAlign w:val="superscript"/>
        </w:rPr>
        <w:t>[</w:t>
      </w:r>
      <w:proofErr w:type="gramEnd"/>
      <w:r w:rsidR="00C662B4" w:rsidRPr="00082ABB">
        <w:rPr>
          <w:rFonts w:ascii="Book Antiqua" w:hAnsi="Book Antiqua"/>
          <w:sz w:val="24"/>
          <w:szCs w:val="24"/>
          <w:vertAlign w:val="superscript"/>
        </w:rPr>
        <w:t>39</w:t>
      </w:r>
      <w:r w:rsidRPr="00082ABB">
        <w:rPr>
          <w:rFonts w:ascii="Book Antiqua" w:hAnsi="Book Antiqua"/>
          <w:sz w:val="24"/>
          <w:szCs w:val="24"/>
          <w:vertAlign w:val="superscript"/>
        </w:rPr>
        <w:t>]</w:t>
      </w:r>
      <w:r w:rsidRPr="00082ABB">
        <w:rPr>
          <w:rFonts w:ascii="Book Antiqua" w:hAnsi="Book Antiqua"/>
          <w:sz w:val="24"/>
          <w:szCs w:val="24"/>
        </w:rPr>
        <w:t>.</w:t>
      </w:r>
    </w:p>
    <w:p w:rsidR="00BC5F12" w:rsidRPr="00082ABB" w:rsidRDefault="00BC5F12" w:rsidP="00422EEA">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Tegafur/gimeracil/oteracil (S-1) plus oxaliplatin (SOX regimen) for mCRC patients showed efficacy and safety</w:t>
      </w:r>
      <w:r w:rsidR="00422EEA" w:rsidRPr="00082ABB">
        <w:rPr>
          <w:rFonts w:ascii="Book Antiqua" w:hAnsi="Book Antiqua"/>
          <w:sz w:val="24"/>
          <w:szCs w:val="24"/>
        </w:rPr>
        <w:t xml:space="preserve"> in several trials from </w:t>
      </w:r>
      <w:proofErr w:type="gramStart"/>
      <w:r w:rsidR="00422EEA" w:rsidRPr="00082ABB">
        <w:rPr>
          <w:rFonts w:ascii="Book Antiqua" w:hAnsi="Book Antiqua"/>
          <w:sz w:val="24"/>
          <w:szCs w:val="24"/>
        </w:rPr>
        <w:t>Asia</w:t>
      </w:r>
      <w:r w:rsidR="00C662B4" w:rsidRPr="00082ABB">
        <w:rPr>
          <w:rFonts w:ascii="Book Antiqua" w:hAnsi="Book Antiqua"/>
          <w:sz w:val="24"/>
          <w:szCs w:val="24"/>
          <w:vertAlign w:val="superscript"/>
        </w:rPr>
        <w:t>[</w:t>
      </w:r>
      <w:proofErr w:type="gramEnd"/>
      <w:r w:rsidR="00C662B4" w:rsidRPr="00082ABB">
        <w:rPr>
          <w:rFonts w:ascii="Book Antiqua" w:hAnsi="Book Antiqua"/>
          <w:sz w:val="24"/>
          <w:szCs w:val="24"/>
          <w:vertAlign w:val="superscript"/>
        </w:rPr>
        <w:t>40</w:t>
      </w:r>
      <w:r w:rsidRPr="00082ABB">
        <w:rPr>
          <w:rFonts w:ascii="Book Antiqua" w:hAnsi="Book Antiqua"/>
          <w:sz w:val="24"/>
          <w:szCs w:val="24"/>
          <w:vertAlign w:val="superscript"/>
        </w:rPr>
        <w:t>]</w:t>
      </w:r>
      <w:r w:rsidRPr="00082ABB">
        <w:rPr>
          <w:rFonts w:ascii="Book Antiqua" w:hAnsi="Book Antiqua"/>
          <w:sz w:val="24"/>
          <w:szCs w:val="24"/>
        </w:rPr>
        <w:t xml:space="preserve">. The phase III SOFT trial investigated the non-inferiority of SOX plus bevacizumab in comparison with mFOLFOX6 plus </w:t>
      </w:r>
      <w:proofErr w:type="gramStart"/>
      <w:r w:rsidRPr="00082ABB">
        <w:rPr>
          <w:rFonts w:ascii="Book Antiqua" w:hAnsi="Book Antiqua"/>
          <w:sz w:val="24"/>
          <w:szCs w:val="24"/>
        </w:rPr>
        <w:t>bevacizumab</w:t>
      </w:r>
      <w:r w:rsidR="00E3020E" w:rsidRPr="00082ABB">
        <w:rPr>
          <w:rFonts w:ascii="Book Antiqua" w:hAnsi="Book Antiqua"/>
          <w:sz w:val="24"/>
          <w:szCs w:val="24"/>
          <w:vertAlign w:val="superscript"/>
        </w:rPr>
        <w:t>[</w:t>
      </w:r>
      <w:proofErr w:type="gramEnd"/>
      <w:r w:rsidR="00E3020E" w:rsidRPr="00082ABB">
        <w:rPr>
          <w:rFonts w:ascii="Book Antiqua" w:hAnsi="Book Antiqua"/>
          <w:sz w:val="24"/>
          <w:szCs w:val="24"/>
          <w:vertAlign w:val="superscript"/>
        </w:rPr>
        <w:t>41]</w:t>
      </w:r>
      <w:r w:rsidRPr="00082ABB">
        <w:rPr>
          <w:rFonts w:ascii="Book Antiqua" w:hAnsi="Book Antiqua"/>
          <w:sz w:val="24"/>
          <w:szCs w:val="24"/>
        </w:rPr>
        <w:t>. The median PFS was 11.7 months in the SOX plus bevacizumab arm compared with 11.5 mo</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in the mFOLFOX6 plus bevacizumab arm </w:t>
      </w:r>
      <w:r w:rsidR="00422EEA" w:rsidRPr="00082ABB">
        <w:rPr>
          <w:rFonts w:ascii="Book Antiqua" w:eastAsia="宋体" w:hAnsi="Book Antiqua"/>
          <w:sz w:val="24"/>
          <w:szCs w:val="24"/>
          <w:lang w:eastAsia="zh-CN"/>
        </w:rPr>
        <w:t>[</w:t>
      </w:r>
      <w:r w:rsidRPr="00082ABB">
        <w:rPr>
          <w:rFonts w:ascii="Book Antiqua" w:hAnsi="Book Antiqua"/>
          <w:sz w:val="24"/>
          <w:szCs w:val="24"/>
        </w:rPr>
        <w:t xml:space="preserve">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1.04, </w:t>
      </w:r>
      <w:r w:rsidRPr="00082ABB">
        <w:rPr>
          <w:rFonts w:ascii="Book Antiqua" w:hAnsi="Book Antiqua"/>
          <w:i/>
          <w:sz w:val="24"/>
          <w:szCs w:val="24"/>
        </w:rPr>
        <w:t>P</w:t>
      </w:r>
      <w:r w:rsidR="006A332B" w:rsidRPr="00082ABB">
        <w:rPr>
          <w:rFonts w:ascii="Book Antiqua" w:hAnsi="Book Antiqua"/>
          <w:i/>
          <w:sz w:val="24"/>
          <w:szCs w:val="24"/>
        </w:rPr>
        <w:t xml:space="preserve"> </w:t>
      </w:r>
      <w:r w:rsidRPr="00082ABB">
        <w:rPr>
          <w:rFonts w:ascii="Book Antiqua" w:hAnsi="Book Antiqua"/>
          <w:sz w:val="24"/>
          <w:szCs w:val="24"/>
        </w:rPr>
        <w:t>=</w:t>
      </w:r>
      <w:r w:rsidR="006A332B" w:rsidRPr="00082ABB">
        <w:rPr>
          <w:rFonts w:ascii="Book Antiqua" w:hAnsi="Book Antiqua"/>
          <w:sz w:val="24"/>
          <w:szCs w:val="24"/>
        </w:rPr>
        <w:t xml:space="preserve"> </w:t>
      </w:r>
      <w:r w:rsidRPr="00082ABB">
        <w:rPr>
          <w:rFonts w:ascii="Book Antiqua" w:hAnsi="Book Antiqua"/>
          <w:sz w:val="24"/>
          <w:szCs w:val="24"/>
        </w:rPr>
        <w:t>0.015 (non-inferiority)</w:t>
      </w:r>
      <w:r w:rsidR="00422EEA" w:rsidRPr="00082ABB">
        <w:rPr>
          <w:rFonts w:ascii="Book Antiqua" w:eastAsia="宋体" w:hAnsi="Book Antiqua"/>
          <w:sz w:val="24"/>
          <w:szCs w:val="24"/>
          <w:lang w:eastAsia="zh-CN"/>
        </w:rPr>
        <w:t>]</w:t>
      </w:r>
      <w:r w:rsidRPr="00082ABB">
        <w:rPr>
          <w:rFonts w:ascii="Book Antiqua" w:hAnsi="Book Antiqua"/>
          <w:sz w:val="24"/>
          <w:szCs w:val="24"/>
        </w:rPr>
        <w:t xml:space="preserve">, and OS was 29.6 </w:t>
      </w:r>
      <w:r w:rsidR="00422EEA" w:rsidRPr="00082ABB">
        <w:rPr>
          <w:rFonts w:ascii="Book Antiqua" w:hAnsi="Book Antiqua"/>
          <w:sz w:val="24"/>
          <w:szCs w:val="24"/>
        </w:rPr>
        <w:t>mo</w:t>
      </w:r>
      <w:r w:rsidR="00422EEA" w:rsidRPr="00082ABB">
        <w:rPr>
          <w:rFonts w:ascii="Book Antiqua" w:hAnsi="Book Antiqua"/>
          <w:i/>
          <w:sz w:val="24"/>
          <w:szCs w:val="24"/>
        </w:rPr>
        <w:t xml:space="preserve"> </w:t>
      </w:r>
      <w:r w:rsidRPr="00082ABB">
        <w:rPr>
          <w:rFonts w:ascii="Book Antiqua" w:hAnsi="Book Antiqua"/>
          <w:i/>
          <w:sz w:val="24"/>
          <w:szCs w:val="24"/>
        </w:rPr>
        <w:t>vs</w:t>
      </w:r>
      <w:r w:rsidRPr="00082ABB">
        <w:rPr>
          <w:rFonts w:ascii="Book Antiqua" w:hAnsi="Book Antiqua"/>
          <w:sz w:val="24"/>
          <w:szCs w:val="24"/>
        </w:rPr>
        <w:t xml:space="preserve"> 29.7 mo</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1.018, </w:t>
      </w:r>
      <w:r w:rsidRPr="00082ABB">
        <w:rPr>
          <w:rFonts w:ascii="Book Antiqua" w:hAnsi="Book Antiqua"/>
          <w:i/>
          <w:sz w:val="24"/>
          <w:szCs w:val="24"/>
        </w:rPr>
        <w:t>P</w:t>
      </w:r>
      <w:r w:rsidR="006A332B" w:rsidRPr="00082ABB">
        <w:rPr>
          <w:rFonts w:ascii="Book Antiqua" w:hAnsi="Book Antiqua"/>
          <w:i/>
          <w:sz w:val="24"/>
          <w:szCs w:val="24"/>
        </w:rPr>
        <w:t xml:space="preserve"> </w:t>
      </w:r>
      <w:r w:rsidRPr="00082ABB">
        <w:rPr>
          <w:rFonts w:ascii="Book Antiqua" w:hAnsi="Book Antiqua"/>
          <w:sz w:val="24"/>
          <w:szCs w:val="24"/>
        </w:rPr>
        <w:t>=</w:t>
      </w:r>
      <w:r w:rsidR="006A332B" w:rsidRPr="00082ABB">
        <w:rPr>
          <w:rFonts w:ascii="Book Antiqua" w:hAnsi="Book Antiqua"/>
          <w:sz w:val="24"/>
          <w:szCs w:val="24"/>
        </w:rPr>
        <w:t xml:space="preserve"> </w:t>
      </w:r>
      <w:r w:rsidR="00C662B4" w:rsidRPr="00082ABB">
        <w:rPr>
          <w:rFonts w:ascii="Book Antiqua" w:hAnsi="Book Antiqua"/>
          <w:sz w:val="24"/>
          <w:szCs w:val="24"/>
        </w:rPr>
        <w:t>0.0133 (non-inferiority)</w:t>
      </w:r>
      <w:r w:rsidR="00422EEA" w:rsidRPr="00082ABB">
        <w:rPr>
          <w:rFonts w:ascii="Book Antiqua" w:eastAsia="宋体" w:hAnsi="Book Antiqua"/>
          <w:sz w:val="24"/>
          <w:szCs w:val="24"/>
          <w:lang w:eastAsia="zh-CN"/>
        </w:rPr>
        <w:t>)</w:t>
      </w:r>
      <w:r w:rsidRPr="00082ABB">
        <w:rPr>
          <w:rFonts w:ascii="Book Antiqua" w:hAnsi="Book Antiqua"/>
          <w:sz w:val="24"/>
          <w:szCs w:val="24"/>
        </w:rPr>
        <w:t>.</w:t>
      </w:r>
    </w:p>
    <w:p w:rsidR="00BC5F12" w:rsidRPr="00082ABB" w:rsidRDefault="00BC5F12" w:rsidP="00422EEA">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 xml:space="preserve">Recently, </w:t>
      </w:r>
      <w:r w:rsidR="00B57BF3" w:rsidRPr="00082ABB">
        <w:rPr>
          <w:rFonts w:ascii="Book Antiqua" w:hAnsi="Book Antiqua"/>
          <w:sz w:val="24"/>
          <w:szCs w:val="24"/>
        </w:rPr>
        <w:t xml:space="preserve">a </w:t>
      </w:r>
      <w:r w:rsidRPr="00082ABB">
        <w:rPr>
          <w:rFonts w:ascii="Book Antiqua" w:hAnsi="Book Antiqua"/>
          <w:sz w:val="24"/>
          <w:szCs w:val="24"/>
        </w:rPr>
        <w:t>combination of all cytotoxic agents (5-FU, oxaliplatin</w:t>
      </w:r>
      <w:r w:rsidR="00B57BF3" w:rsidRPr="00082ABB">
        <w:rPr>
          <w:rFonts w:ascii="Book Antiqua" w:hAnsi="Book Antiqua"/>
          <w:sz w:val="24"/>
          <w:szCs w:val="24"/>
        </w:rPr>
        <w:t>,</w:t>
      </w:r>
      <w:r w:rsidRPr="00082ABB">
        <w:rPr>
          <w:rFonts w:ascii="Book Antiqua" w:hAnsi="Book Antiqua"/>
          <w:sz w:val="24"/>
          <w:szCs w:val="24"/>
        </w:rPr>
        <w:t xml:space="preserve"> and irinotecan) was developed to maximize tumor response as </w:t>
      </w:r>
      <w:r w:rsidR="00B57BF3" w:rsidRPr="00082ABB">
        <w:rPr>
          <w:rFonts w:ascii="Book Antiqua" w:hAnsi="Book Antiqua"/>
          <w:sz w:val="24"/>
          <w:szCs w:val="24"/>
        </w:rPr>
        <w:t xml:space="preserve">the </w:t>
      </w:r>
      <w:r w:rsidRPr="00082ABB">
        <w:rPr>
          <w:rFonts w:ascii="Book Antiqua" w:hAnsi="Book Antiqua"/>
          <w:sz w:val="24"/>
          <w:szCs w:val="24"/>
        </w:rPr>
        <w:t>FOLFOXIRI regi</w:t>
      </w:r>
      <w:r w:rsidR="00422EEA" w:rsidRPr="00082ABB">
        <w:rPr>
          <w:rFonts w:ascii="Book Antiqua" w:hAnsi="Book Antiqua"/>
          <w:sz w:val="24"/>
          <w:szCs w:val="24"/>
        </w:rPr>
        <w:t xml:space="preserve">men in the treatment of </w:t>
      </w:r>
      <w:proofErr w:type="gramStart"/>
      <w:r w:rsidR="00422EEA" w:rsidRPr="00082ABB">
        <w:rPr>
          <w:rFonts w:ascii="Book Antiqua" w:hAnsi="Book Antiqua"/>
          <w:sz w:val="24"/>
          <w:szCs w:val="24"/>
        </w:rPr>
        <w:t>mCRC</w:t>
      </w:r>
      <w:r w:rsidR="00C662B4" w:rsidRPr="00082ABB">
        <w:rPr>
          <w:rFonts w:ascii="Book Antiqua" w:hAnsi="Book Antiqua"/>
          <w:sz w:val="24"/>
          <w:szCs w:val="24"/>
          <w:vertAlign w:val="superscript"/>
        </w:rPr>
        <w:t>[</w:t>
      </w:r>
      <w:proofErr w:type="gramEnd"/>
      <w:r w:rsidR="00C662B4" w:rsidRPr="00082ABB">
        <w:rPr>
          <w:rFonts w:ascii="Book Antiqua" w:hAnsi="Book Antiqua"/>
          <w:sz w:val="24"/>
          <w:szCs w:val="24"/>
          <w:vertAlign w:val="superscript"/>
        </w:rPr>
        <w:t>42</w:t>
      </w:r>
      <w:r w:rsidRPr="00082ABB">
        <w:rPr>
          <w:rFonts w:ascii="Book Antiqua" w:hAnsi="Book Antiqua"/>
          <w:sz w:val="24"/>
          <w:szCs w:val="24"/>
          <w:vertAlign w:val="superscript"/>
        </w:rPr>
        <w:t>]</w:t>
      </w:r>
      <w:r w:rsidRPr="00082ABB">
        <w:rPr>
          <w:rFonts w:ascii="Book Antiqua" w:hAnsi="Book Antiqua"/>
          <w:sz w:val="24"/>
          <w:szCs w:val="24"/>
        </w:rPr>
        <w:t xml:space="preserve">. Based on this strategy, the efficacy and safety of FOLFOXIRI plus bevacizumab were evaluated in </w:t>
      </w:r>
      <w:r w:rsidR="00B57BF3" w:rsidRPr="00082ABB">
        <w:rPr>
          <w:rFonts w:ascii="Book Antiqua" w:hAnsi="Book Antiqua"/>
          <w:sz w:val="24"/>
          <w:szCs w:val="24"/>
        </w:rPr>
        <w:t xml:space="preserve">the </w:t>
      </w:r>
      <w:r w:rsidR="00422EEA" w:rsidRPr="00082ABB">
        <w:rPr>
          <w:rFonts w:ascii="Book Antiqua" w:hAnsi="Book Antiqua"/>
          <w:sz w:val="24"/>
          <w:szCs w:val="24"/>
        </w:rPr>
        <w:t xml:space="preserve">TRIBE </w:t>
      </w:r>
      <w:proofErr w:type="gramStart"/>
      <w:r w:rsidR="00422EEA" w:rsidRPr="00082ABB">
        <w:rPr>
          <w:rFonts w:ascii="Book Antiqua" w:hAnsi="Book Antiqua"/>
          <w:sz w:val="24"/>
          <w:szCs w:val="24"/>
        </w:rPr>
        <w:t>trial</w:t>
      </w:r>
      <w:r w:rsidR="00C662B4" w:rsidRPr="00082ABB">
        <w:rPr>
          <w:rFonts w:ascii="Book Antiqua" w:hAnsi="Book Antiqua"/>
          <w:sz w:val="24"/>
          <w:szCs w:val="24"/>
          <w:vertAlign w:val="superscript"/>
        </w:rPr>
        <w:t>[</w:t>
      </w:r>
      <w:proofErr w:type="gramEnd"/>
      <w:r w:rsidR="00C662B4" w:rsidRPr="00082ABB">
        <w:rPr>
          <w:rFonts w:ascii="Book Antiqua" w:hAnsi="Book Antiqua"/>
          <w:sz w:val="24"/>
          <w:szCs w:val="24"/>
          <w:vertAlign w:val="superscript"/>
        </w:rPr>
        <w:t>43</w:t>
      </w:r>
      <w:r w:rsidRPr="00082ABB">
        <w:rPr>
          <w:rFonts w:ascii="Book Antiqua" w:hAnsi="Book Antiqua"/>
          <w:sz w:val="24"/>
          <w:szCs w:val="24"/>
          <w:vertAlign w:val="superscript"/>
        </w:rPr>
        <w:t>]</w:t>
      </w:r>
      <w:r w:rsidRPr="00082ABB">
        <w:rPr>
          <w:rFonts w:ascii="Book Antiqua" w:hAnsi="Book Antiqua"/>
          <w:sz w:val="24"/>
          <w:szCs w:val="24"/>
        </w:rPr>
        <w:t xml:space="preserve">. In this RCT, 508 mCRC patients were randomly assigned to receive FOLFOXIRI </w:t>
      </w:r>
      <w:r w:rsidRPr="00082ABB">
        <w:rPr>
          <w:rFonts w:ascii="Book Antiqua" w:hAnsi="Book Antiqua"/>
          <w:sz w:val="24"/>
          <w:szCs w:val="24"/>
        </w:rPr>
        <w:lastRenderedPageBreak/>
        <w:t xml:space="preserve">plus bevacizumab or FOLFIRI plus bevacizumab. Although FOLFOXIRI plus bevacizumab </w:t>
      </w:r>
      <w:r w:rsidR="00B57BF3" w:rsidRPr="00082ABB">
        <w:rPr>
          <w:rFonts w:ascii="Book Antiqua" w:hAnsi="Book Antiqua"/>
          <w:sz w:val="24"/>
          <w:szCs w:val="24"/>
        </w:rPr>
        <w:t xml:space="preserve">did </w:t>
      </w:r>
      <w:r w:rsidRPr="00082ABB">
        <w:rPr>
          <w:rFonts w:ascii="Book Antiqua" w:hAnsi="Book Antiqua"/>
          <w:sz w:val="24"/>
          <w:szCs w:val="24"/>
        </w:rPr>
        <w:t xml:space="preserve">not improve OS (31.0 </w:t>
      </w:r>
      <w:r w:rsidR="00422EEA" w:rsidRPr="00082ABB">
        <w:rPr>
          <w:rFonts w:ascii="Book Antiqua" w:hAnsi="Book Antiqua"/>
          <w:sz w:val="24"/>
          <w:szCs w:val="24"/>
        </w:rPr>
        <w:t xml:space="preserve">mo </w:t>
      </w:r>
      <w:r w:rsidRPr="00082ABB">
        <w:rPr>
          <w:rFonts w:ascii="Book Antiqua" w:hAnsi="Book Antiqua"/>
          <w:i/>
          <w:sz w:val="24"/>
          <w:szCs w:val="24"/>
        </w:rPr>
        <w:t xml:space="preserve">vs </w:t>
      </w:r>
      <w:r w:rsidRPr="00082ABB">
        <w:rPr>
          <w:rFonts w:ascii="Book Antiqua" w:hAnsi="Book Antiqua"/>
          <w:sz w:val="24"/>
          <w:szCs w:val="24"/>
        </w:rPr>
        <w:t xml:space="preserve">25.8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0.83, </w:t>
      </w:r>
      <w:r w:rsidRPr="00082ABB">
        <w:rPr>
          <w:rFonts w:ascii="Book Antiqua" w:hAnsi="Book Antiqua"/>
          <w:i/>
          <w:sz w:val="24"/>
          <w:szCs w:val="24"/>
        </w:rPr>
        <w:t>P</w:t>
      </w:r>
      <w:r w:rsidR="00F2256D" w:rsidRPr="00082ABB">
        <w:rPr>
          <w:rFonts w:ascii="Book Antiqua" w:hAnsi="Book Antiqua"/>
          <w:i/>
          <w:sz w:val="24"/>
          <w:szCs w:val="24"/>
        </w:rPr>
        <w:t xml:space="preserve"> </w:t>
      </w:r>
      <w:r w:rsidRPr="00082ABB">
        <w:rPr>
          <w:rFonts w:ascii="Book Antiqua" w:hAnsi="Book Antiqua"/>
          <w:sz w:val="24"/>
          <w:szCs w:val="24"/>
        </w:rPr>
        <w:t>=</w:t>
      </w:r>
      <w:r w:rsidR="00F2256D" w:rsidRPr="00082ABB">
        <w:rPr>
          <w:rFonts w:ascii="Book Antiqua" w:hAnsi="Book Antiqua"/>
          <w:sz w:val="24"/>
          <w:szCs w:val="24"/>
        </w:rPr>
        <w:t xml:space="preserve"> </w:t>
      </w:r>
      <w:r w:rsidRPr="00082ABB">
        <w:rPr>
          <w:rFonts w:ascii="Book Antiqua" w:hAnsi="Book Antiqua"/>
          <w:sz w:val="24"/>
          <w:szCs w:val="24"/>
        </w:rPr>
        <w:t xml:space="preserve">0.125), a prolonged PFS (12.1 </w:t>
      </w:r>
      <w:r w:rsidR="00422EEA"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9.7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0.77, </w:t>
      </w:r>
      <w:r w:rsidRPr="00082ABB">
        <w:rPr>
          <w:rFonts w:ascii="Book Antiqua" w:hAnsi="Book Antiqua"/>
          <w:i/>
          <w:sz w:val="24"/>
          <w:szCs w:val="24"/>
        </w:rPr>
        <w:t>P</w:t>
      </w:r>
      <w:r w:rsidR="00F2256D" w:rsidRPr="00082ABB">
        <w:rPr>
          <w:rFonts w:ascii="Book Antiqua" w:hAnsi="Book Antiqua"/>
          <w:i/>
          <w:sz w:val="24"/>
          <w:szCs w:val="24"/>
        </w:rPr>
        <w:t xml:space="preserve"> </w:t>
      </w:r>
      <w:r w:rsidRPr="00082ABB">
        <w:rPr>
          <w:rFonts w:ascii="Book Antiqua" w:hAnsi="Book Antiqua"/>
          <w:sz w:val="24"/>
          <w:szCs w:val="24"/>
        </w:rPr>
        <w:t>=</w:t>
      </w:r>
      <w:r w:rsidR="00F2256D" w:rsidRPr="00082ABB">
        <w:rPr>
          <w:rFonts w:ascii="Book Antiqua" w:hAnsi="Book Antiqua"/>
          <w:sz w:val="24"/>
          <w:szCs w:val="24"/>
        </w:rPr>
        <w:t xml:space="preserve"> </w:t>
      </w:r>
      <w:r w:rsidRPr="00082ABB">
        <w:rPr>
          <w:rFonts w:ascii="Book Antiqua" w:hAnsi="Book Antiqua"/>
          <w:sz w:val="24"/>
          <w:szCs w:val="24"/>
        </w:rPr>
        <w:t xml:space="preserve">0.006) and a higher RR (65% </w:t>
      </w:r>
      <w:r w:rsidRPr="00082ABB">
        <w:rPr>
          <w:rFonts w:ascii="Book Antiqua" w:hAnsi="Book Antiqua"/>
          <w:i/>
          <w:sz w:val="24"/>
          <w:szCs w:val="24"/>
        </w:rPr>
        <w:t>vs</w:t>
      </w:r>
      <w:r w:rsidRPr="00082ABB">
        <w:rPr>
          <w:rFonts w:ascii="Book Antiqua" w:hAnsi="Book Antiqua"/>
          <w:sz w:val="24"/>
          <w:szCs w:val="24"/>
        </w:rPr>
        <w:t xml:space="preserve"> 53%, OR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1.64, </w:t>
      </w:r>
      <w:r w:rsidRPr="00082ABB">
        <w:rPr>
          <w:rFonts w:ascii="Book Antiqua" w:hAnsi="Book Antiqua"/>
          <w:i/>
          <w:sz w:val="24"/>
          <w:szCs w:val="24"/>
        </w:rPr>
        <w:t>P</w:t>
      </w:r>
      <w:r w:rsidR="00F2256D" w:rsidRPr="00082ABB">
        <w:rPr>
          <w:rFonts w:ascii="Book Antiqua" w:hAnsi="Book Antiqua"/>
          <w:i/>
          <w:sz w:val="24"/>
          <w:szCs w:val="24"/>
        </w:rPr>
        <w:t xml:space="preserve"> </w:t>
      </w:r>
      <w:r w:rsidRPr="00082ABB">
        <w:rPr>
          <w:rFonts w:ascii="Book Antiqua" w:hAnsi="Book Antiqua"/>
          <w:sz w:val="24"/>
          <w:szCs w:val="24"/>
        </w:rPr>
        <w:t>=</w:t>
      </w:r>
      <w:r w:rsidR="00F2256D" w:rsidRPr="00082ABB">
        <w:rPr>
          <w:rFonts w:ascii="Book Antiqua" w:hAnsi="Book Antiqua"/>
          <w:sz w:val="24"/>
          <w:szCs w:val="24"/>
        </w:rPr>
        <w:t xml:space="preserve"> </w:t>
      </w:r>
      <w:r w:rsidRPr="00082ABB">
        <w:rPr>
          <w:rFonts w:ascii="Book Antiqua" w:hAnsi="Book Antiqua"/>
          <w:sz w:val="24"/>
          <w:szCs w:val="24"/>
        </w:rPr>
        <w:t xml:space="preserve">0.006) were observed in </w:t>
      </w:r>
      <w:r w:rsidR="00B57BF3" w:rsidRPr="00082ABB">
        <w:rPr>
          <w:rFonts w:ascii="Book Antiqua" w:hAnsi="Book Antiqua"/>
          <w:sz w:val="24"/>
          <w:szCs w:val="24"/>
        </w:rPr>
        <w:t xml:space="preserve">the </w:t>
      </w:r>
      <w:r w:rsidRPr="00082ABB">
        <w:rPr>
          <w:rFonts w:ascii="Book Antiqua" w:hAnsi="Book Antiqua"/>
          <w:sz w:val="24"/>
          <w:szCs w:val="24"/>
        </w:rPr>
        <w:t xml:space="preserve">FOLFOXIRI plus bevacizumab arm compared with </w:t>
      </w:r>
      <w:r w:rsidR="00B57BF3" w:rsidRPr="00082ABB">
        <w:rPr>
          <w:rFonts w:ascii="Book Antiqua" w:hAnsi="Book Antiqua"/>
          <w:sz w:val="24"/>
          <w:szCs w:val="24"/>
        </w:rPr>
        <w:t xml:space="preserve">the </w:t>
      </w:r>
      <w:r w:rsidRPr="00082ABB">
        <w:rPr>
          <w:rFonts w:ascii="Book Antiqua" w:hAnsi="Book Antiqua"/>
          <w:sz w:val="24"/>
          <w:szCs w:val="24"/>
        </w:rPr>
        <w:t xml:space="preserve">FOLFIRI plus bevacizumab arm. The incidence of Grade 3/4 adverse events, especially neutropenia, diarrhea, and stomatitis, was significantly higher in the FOLFOXIRI plus bevacizumab arm than </w:t>
      </w:r>
      <w:r w:rsidR="00B57BF3" w:rsidRPr="00082ABB">
        <w:rPr>
          <w:rFonts w:ascii="Book Antiqua" w:hAnsi="Book Antiqua"/>
          <w:sz w:val="24"/>
          <w:szCs w:val="24"/>
        </w:rPr>
        <w:t xml:space="preserve">in the </w:t>
      </w:r>
      <w:r w:rsidRPr="00082ABB">
        <w:rPr>
          <w:rFonts w:ascii="Book Antiqua" w:hAnsi="Book Antiqua"/>
          <w:sz w:val="24"/>
          <w:szCs w:val="24"/>
        </w:rPr>
        <w:t>FOLFIRI plus bevacizumab arm</w:t>
      </w:r>
      <w:r w:rsidR="000E6C55" w:rsidRPr="00082ABB">
        <w:rPr>
          <w:rFonts w:ascii="Book Antiqua" w:hAnsi="Book Antiqua"/>
          <w:sz w:val="24"/>
          <w:szCs w:val="24"/>
        </w:rPr>
        <w:t>.</w:t>
      </w:r>
    </w:p>
    <w:p w:rsidR="00BC5F12" w:rsidRPr="00082ABB" w:rsidRDefault="00BC5F12" w:rsidP="00422EEA">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 xml:space="preserve">In elderly patients, there is no clear evidence of safety </w:t>
      </w:r>
      <w:r w:rsidR="00B57BF3" w:rsidRPr="00082ABB">
        <w:rPr>
          <w:rFonts w:ascii="Book Antiqua" w:hAnsi="Book Antiqua"/>
          <w:sz w:val="24"/>
          <w:szCs w:val="24"/>
        </w:rPr>
        <w:t xml:space="preserve">with </w:t>
      </w:r>
      <w:r w:rsidRPr="00082ABB">
        <w:rPr>
          <w:rFonts w:ascii="Book Antiqua" w:hAnsi="Book Antiqua"/>
          <w:sz w:val="24"/>
          <w:szCs w:val="24"/>
        </w:rPr>
        <w:t>the combination of bevacizumab with oxaliplatin or irinotecan</w:t>
      </w:r>
      <w:r w:rsidR="00B57BF3" w:rsidRPr="00082ABB">
        <w:rPr>
          <w:rFonts w:ascii="Book Antiqua" w:hAnsi="Book Antiqua"/>
          <w:sz w:val="24"/>
          <w:szCs w:val="24"/>
        </w:rPr>
        <w:t>-</w:t>
      </w:r>
      <w:r w:rsidRPr="00082ABB">
        <w:rPr>
          <w:rFonts w:ascii="Book Antiqua" w:hAnsi="Book Antiqua"/>
          <w:sz w:val="24"/>
          <w:szCs w:val="24"/>
        </w:rPr>
        <w:t xml:space="preserve">based chemotherapy. The AVEX trial </w:t>
      </w:r>
      <w:r w:rsidR="00B57BF3" w:rsidRPr="00082ABB">
        <w:rPr>
          <w:rFonts w:ascii="Book Antiqua" w:hAnsi="Book Antiqua"/>
          <w:sz w:val="24"/>
          <w:szCs w:val="24"/>
        </w:rPr>
        <w:t xml:space="preserve">was </w:t>
      </w:r>
      <w:r w:rsidRPr="00082ABB">
        <w:rPr>
          <w:rFonts w:ascii="Book Antiqua" w:hAnsi="Book Antiqua"/>
          <w:sz w:val="24"/>
          <w:szCs w:val="24"/>
        </w:rPr>
        <w:t>designed to evaluate the efficacy and safety of bevacizumab plus capecitabine in mCRC pati</w:t>
      </w:r>
      <w:r w:rsidR="00256573" w:rsidRPr="00082ABB">
        <w:rPr>
          <w:rFonts w:ascii="Book Antiqua" w:hAnsi="Book Antiqua"/>
          <w:sz w:val="24"/>
          <w:szCs w:val="24"/>
        </w:rPr>
        <w:t xml:space="preserve">ents aged 70 years and </w:t>
      </w:r>
      <w:proofErr w:type="gramStart"/>
      <w:r w:rsidR="00256573" w:rsidRPr="00082ABB">
        <w:rPr>
          <w:rFonts w:ascii="Book Antiqua" w:hAnsi="Book Antiqua"/>
          <w:sz w:val="24"/>
          <w:szCs w:val="24"/>
        </w:rPr>
        <w:t>older</w:t>
      </w:r>
      <w:r w:rsidR="00C662B4" w:rsidRPr="00082ABB">
        <w:rPr>
          <w:rFonts w:ascii="Book Antiqua" w:hAnsi="Book Antiqua"/>
          <w:sz w:val="24"/>
          <w:szCs w:val="24"/>
          <w:vertAlign w:val="superscript"/>
        </w:rPr>
        <w:t>[</w:t>
      </w:r>
      <w:proofErr w:type="gramEnd"/>
      <w:r w:rsidR="00C662B4" w:rsidRPr="00082ABB">
        <w:rPr>
          <w:rFonts w:ascii="Book Antiqua" w:hAnsi="Book Antiqua"/>
          <w:sz w:val="24"/>
          <w:szCs w:val="24"/>
          <w:vertAlign w:val="superscript"/>
        </w:rPr>
        <w:t>44</w:t>
      </w:r>
      <w:r w:rsidRPr="00082ABB">
        <w:rPr>
          <w:rFonts w:ascii="Book Antiqua" w:hAnsi="Book Antiqua"/>
          <w:sz w:val="24"/>
          <w:szCs w:val="24"/>
          <w:vertAlign w:val="superscript"/>
        </w:rPr>
        <w:t>]</w:t>
      </w:r>
      <w:r w:rsidRPr="00082ABB">
        <w:rPr>
          <w:rFonts w:ascii="Book Antiqua" w:hAnsi="Book Antiqua"/>
          <w:sz w:val="24"/>
          <w:szCs w:val="24"/>
        </w:rPr>
        <w:t>. In this trial, 280 elderly patients with a median age of 76 years (range 70-87</w:t>
      </w:r>
      <w:r w:rsidR="00B57BF3" w:rsidRPr="00082ABB">
        <w:rPr>
          <w:rFonts w:ascii="Book Antiqua" w:hAnsi="Book Antiqua"/>
          <w:sz w:val="24"/>
          <w:szCs w:val="24"/>
        </w:rPr>
        <w:t xml:space="preserve"> years</w:t>
      </w:r>
      <w:r w:rsidRPr="00082ABB">
        <w:rPr>
          <w:rFonts w:ascii="Book Antiqua" w:hAnsi="Book Antiqua"/>
          <w:sz w:val="24"/>
          <w:szCs w:val="24"/>
        </w:rPr>
        <w:t xml:space="preserve">) were randomized to bevacizumab plus capecitabine or capecitabine alone. PFS was improved </w:t>
      </w:r>
      <w:r w:rsidR="00B57BF3" w:rsidRPr="00082ABB">
        <w:rPr>
          <w:rFonts w:ascii="Book Antiqua" w:hAnsi="Book Antiqua"/>
          <w:sz w:val="24"/>
          <w:szCs w:val="24"/>
        </w:rPr>
        <w:t xml:space="preserve">with the </w:t>
      </w:r>
      <w:r w:rsidRPr="00082ABB">
        <w:rPr>
          <w:rFonts w:ascii="Book Antiqua" w:hAnsi="Book Antiqua"/>
          <w:sz w:val="24"/>
          <w:szCs w:val="24"/>
        </w:rPr>
        <w:t xml:space="preserve">addition of bevacizumab compared </w:t>
      </w:r>
      <w:r w:rsidR="00B57BF3" w:rsidRPr="00082ABB">
        <w:rPr>
          <w:rFonts w:ascii="Book Antiqua" w:hAnsi="Book Antiqua"/>
          <w:sz w:val="24"/>
          <w:szCs w:val="24"/>
        </w:rPr>
        <w:t>to c</w:t>
      </w:r>
      <w:r w:rsidRPr="00082ABB">
        <w:rPr>
          <w:rFonts w:ascii="Book Antiqua" w:hAnsi="Book Antiqua"/>
          <w:sz w:val="24"/>
          <w:szCs w:val="24"/>
        </w:rPr>
        <w:t xml:space="preserve">apecitabine alone (9.1 </w:t>
      </w:r>
      <w:r w:rsidR="00422EEA" w:rsidRPr="00082ABB">
        <w:rPr>
          <w:rFonts w:ascii="Book Antiqua" w:hAnsi="Book Antiqua"/>
          <w:sz w:val="24"/>
          <w:szCs w:val="24"/>
        </w:rPr>
        <w:t>mo</w:t>
      </w:r>
      <w:r w:rsidR="00422EEA" w:rsidRPr="00082ABB">
        <w:rPr>
          <w:rFonts w:ascii="Book Antiqua" w:hAnsi="Book Antiqua"/>
          <w:i/>
          <w:sz w:val="24"/>
          <w:szCs w:val="24"/>
        </w:rPr>
        <w:t xml:space="preserve"> </w:t>
      </w:r>
      <w:r w:rsidRPr="00082ABB">
        <w:rPr>
          <w:rFonts w:ascii="Book Antiqua" w:hAnsi="Book Antiqua"/>
          <w:i/>
          <w:sz w:val="24"/>
          <w:szCs w:val="24"/>
        </w:rPr>
        <w:t>vs</w:t>
      </w:r>
      <w:r w:rsidRPr="00082ABB">
        <w:rPr>
          <w:rFonts w:ascii="Book Antiqua" w:hAnsi="Book Antiqua"/>
          <w:sz w:val="24"/>
          <w:szCs w:val="24"/>
        </w:rPr>
        <w:t xml:space="preserve"> 5.1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0.53, </w:t>
      </w:r>
      <w:r w:rsidRPr="00082ABB">
        <w:rPr>
          <w:rFonts w:ascii="Book Antiqua" w:hAnsi="Book Antiqua"/>
          <w:i/>
          <w:sz w:val="24"/>
          <w:szCs w:val="24"/>
        </w:rPr>
        <w:t>P</w:t>
      </w:r>
      <w:r w:rsidR="005C221E" w:rsidRPr="00082ABB">
        <w:rPr>
          <w:rFonts w:ascii="Book Antiqua" w:hAnsi="Book Antiqua"/>
          <w:i/>
          <w:sz w:val="24"/>
          <w:szCs w:val="24"/>
        </w:rPr>
        <w:t xml:space="preserve"> </w:t>
      </w:r>
      <w:r w:rsidRPr="00082ABB">
        <w:rPr>
          <w:rFonts w:ascii="Book Antiqua" w:hAnsi="Book Antiqua"/>
          <w:sz w:val="24"/>
          <w:szCs w:val="24"/>
        </w:rPr>
        <w:t>&lt;</w:t>
      </w:r>
      <w:r w:rsidR="005C221E" w:rsidRPr="00082ABB">
        <w:rPr>
          <w:rFonts w:ascii="Book Antiqua" w:hAnsi="Book Antiqua"/>
          <w:sz w:val="24"/>
          <w:szCs w:val="24"/>
        </w:rPr>
        <w:t xml:space="preserve"> </w:t>
      </w:r>
      <w:r w:rsidRPr="00082ABB">
        <w:rPr>
          <w:rFonts w:ascii="Book Antiqua" w:hAnsi="Book Antiqua"/>
          <w:sz w:val="24"/>
          <w:szCs w:val="24"/>
        </w:rPr>
        <w:t xml:space="preserve">0.0001). Improved RR was also observed </w:t>
      </w:r>
      <w:r w:rsidR="00B57BF3" w:rsidRPr="00082ABB">
        <w:rPr>
          <w:rFonts w:ascii="Book Antiqua" w:hAnsi="Book Antiqua"/>
          <w:sz w:val="24"/>
          <w:szCs w:val="24"/>
        </w:rPr>
        <w:t xml:space="preserve">with </w:t>
      </w:r>
      <w:r w:rsidRPr="00082ABB">
        <w:rPr>
          <w:rFonts w:ascii="Book Antiqua" w:hAnsi="Book Antiqua"/>
          <w:sz w:val="24"/>
          <w:szCs w:val="24"/>
        </w:rPr>
        <w:t xml:space="preserve">bevacizumab plus capecitabine (19.3% </w:t>
      </w:r>
      <w:r w:rsidRPr="00082ABB">
        <w:rPr>
          <w:rFonts w:ascii="Book Antiqua" w:hAnsi="Book Antiqua"/>
          <w:i/>
          <w:sz w:val="24"/>
          <w:szCs w:val="24"/>
        </w:rPr>
        <w:t>vs</w:t>
      </w:r>
      <w:r w:rsidRPr="00082ABB">
        <w:rPr>
          <w:rFonts w:ascii="Book Antiqua" w:hAnsi="Book Antiqua"/>
          <w:sz w:val="24"/>
          <w:szCs w:val="24"/>
        </w:rPr>
        <w:t xml:space="preserve"> 10.0%, </w:t>
      </w:r>
      <w:r w:rsidRPr="00082ABB">
        <w:rPr>
          <w:rFonts w:ascii="Book Antiqua" w:hAnsi="Book Antiqua"/>
          <w:i/>
          <w:sz w:val="24"/>
          <w:szCs w:val="24"/>
        </w:rPr>
        <w:t>P</w:t>
      </w:r>
      <w:r w:rsidR="00422EEA" w:rsidRPr="00082ABB">
        <w:rPr>
          <w:rFonts w:ascii="Book Antiqua" w:eastAsia="宋体" w:hAnsi="Book Antiqua"/>
          <w:i/>
          <w:sz w:val="24"/>
          <w:szCs w:val="24"/>
          <w:lang w:eastAsia="zh-CN"/>
        </w:rPr>
        <w:t xml:space="preserve">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0.042), though OS was not significantly different (20.7 </w:t>
      </w:r>
      <w:r w:rsidR="00422EEA"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16.8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0.79, </w:t>
      </w:r>
      <w:r w:rsidRPr="00082ABB">
        <w:rPr>
          <w:rFonts w:ascii="Book Antiqua" w:hAnsi="Book Antiqua"/>
          <w:i/>
          <w:sz w:val="24"/>
          <w:szCs w:val="24"/>
        </w:rPr>
        <w:t>P</w:t>
      </w:r>
      <w:r w:rsidR="00422EEA" w:rsidRPr="00082ABB">
        <w:rPr>
          <w:rFonts w:ascii="Book Antiqua" w:eastAsia="宋体" w:hAnsi="Book Antiqua"/>
          <w:i/>
          <w:sz w:val="24"/>
          <w:szCs w:val="24"/>
          <w:lang w:eastAsia="zh-CN"/>
        </w:rPr>
        <w:t xml:space="preserve">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0.182). Although the incidence of grade 3 or worse adverse events related to chemotherapy was slightly higher in </w:t>
      </w:r>
      <w:r w:rsidR="00B57BF3" w:rsidRPr="00082ABB">
        <w:rPr>
          <w:rFonts w:ascii="Book Antiqua" w:hAnsi="Book Antiqua"/>
          <w:sz w:val="24"/>
          <w:szCs w:val="24"/>
        </w:rPr>
        <w:t xml:space="preserve">the </w:t>
      </w:r>
      <w:r w:rsidRPr="00082ABB">
        <w:rPr>
          <w:rFonts w:ascii="Book Antiqua" w:hAnsi="Book Antiqua"/>
          <w:sz w:val="24"/>
          <w:szCs w:val="24"/>
        </w:rPr>
        <w:t xml:space="preserve">combination group (40% </w:t>
      </w:r>
      <w:r w:rsidRPr="00082ABB">
        <w:rPr>
          <w:rFonts w:ascii="Book Antiqua" w:hAnsi="Book Antiqua"/>
          <w:i/>
          <w:sz w:val="24"/>
          <w:szCs w:val="24"/>
        </w:rPr>
        <w:t>vs</w:t>
      </w:r>
      <w:r w:rsidRPr="00082ABB">
        <w:rPr>
          <w:rFonts w:ascii="Book Antiqua" w:hAnsi="Book Antiqua"/>
          <w:sz w:val="24"/>
          <w:szCs w:val="24"/>
        </w:rPr>
        <w:t xml:space="preserve"> 22%), </w:t>
      </w:r>
      <w:r w:rsidR="00B57BF3" w:rsidRPr="00082ABB">
        <w:rPr>
          <w:rFonts w:ascii="Book Antiqua" w:hAnsi="Book Antiqua"/>
          <w:sz w:val="24"/>
          <w:szCs w:val="24"/>
        </w:rPr>
        <w:t xml:space="preserve">the </w:t>
      </w:r>
      <w:r w:rsidRPr="00082ABB">
        <w:rPr>
          <w:rFonts w:ascii="Book Antiqua" w:hAnsi="Book Antiqua"/>
          <w:sz w:val="24"/>
          <w:szCs w:val="24"/>
        </w:rPr>
        <w:t>combination of bevacizumab and capecitabine was a well-tolera</w:t>
      </w:r>
      <w:r w:rsidR="00B57BF3" w:rsidRPr="00082ABB">
        <w:rPr>
          <w:rFonts w:ascii="Book Antiqua" w:hAnsi="Book Antiqua"/>
          <w:sz w:val="24"/>
          <w:szCs w:val="24"/>
        </w:rPr>
        <w:t xml:space="preserve">ted </w:t>
      </w:r>
      <w:r w:rsidRPr="00082ABB">
        <w:rPr>
          <w:rFonts w:ascii="Book Antiqua" w:hAnsi="Book Antiqua"/>
          <w:sz w:val="24"/>
          <w:szCs w:val="24"/>
        </w:rPr>
        <w:t>regimen</w:t>
      </w:r>
      <w:r w:rsidR="00A16F3D" w:rsidRPr="00082ABB">
        <w:rPr>
          <w:rFonts w:ascii="Book Antiqua" w:hAnsi="Book Antiqua" w:hint="eastAsia"/>
          <w:sz w:val="24"/>
          <w:szCs w:val="24"/>
        </w:rPr>
        <w:t xml:space="preserve"> (Table 1)</w:t>
      </w:r>
      <w:r w:rsidRPr="00082ABB">
        <w:rPr>
          <w:rFonts w:ascii="Book Antiqua" w:hAnsi="Book Antiqua"/>
          <w:sz w:val="24"/>
          <w:szCs w:val="24"/>
        </w:rPr>
        <w:t>.</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i/>
          <w:sz w:val="24"/>
          <w:szCs w:val="24"/>
        </w:rPr>
      </w:pPr>
      <w:r w:rsidRPr="00082ABB">
        <w:rPr>
          <w:rFonts w:ascii="Book Antiqua" w:hAnsi="Book Antiqua"/>
          <w:b/>
          <w:sz w:val="24"/>
          <w:szCs w:val="24"/>
        </w:rPr>
        <w:t xml:space="preserve">Second-line and </w:t>
      </w:r>
      <w:r w:rsidR="00B57BF3" w:rsidRPr="00082ABB">
        <w:rPr>
          <w:rFonts w:ascii="Book Antiqua" w:hAnsi="Book Antiqua"/>
          <w:b/>
          <w:sz w:val="24"/>
          <w:szCs w:val="24"/>
        </w:rPr>
        <w:t>s</w:t>
      </w:r>
      <w:r w:rsidRPr="00082ABB">
        <w:rPr>
          <w:rFonts w:ascii="Book Antiqua" w:hAnsi="Book Antiqua"/>
          <w:b/>
          <w:sz w:val="24"/>
          <w:szCs w:val="24"/>
        </w:rPr>
        <w:t xml:space="preserve">alvage </w:t>
      </w:r>
      <w:r w:rsidR="00422EEA" w:rsidRPr="00082ABB">
        <w:rPr>
          <w:rFonts w:ascii="Book Antiqua" w:hAnsi="Book Antiqua"/>
          <w:b/>
          <w:sz w:val="24"/>
          <w:szCs w:val="24"/>
        </w:rPr>
        <w:t>treatment or beyond progression</w:t>
      </w:r>
      <w:r w:rsidR="00422EEA" w:rsidRPr="00082ABB">
        <w:rPr>
          <w:rFonts w:ascii="Book Antiqua" w:eastAsia="宋体" w:hAnsi="Book Antiqua"/>
          <w:b/>
          <w:sz w:val="24"/>
          <w:szCs w:val="24"/>
          <w:lang w:eastAsia="zh-CN"/>
        </w:rPr>
        <w:t xml:space="preserve">: </w:t>
      </w:r>
      <w:r w:rsidRPr="00082ABB">
        <w:rPr>
          <w:rFonts w:ascii="Book Antiqua" w:hAnsi="Book Antiqua"/>
          <w:sz w:val="24"/>
          <w:szCs w:val="24"/>
        </w:rPr>
        <w:t xml:space="preserve">In </w:t>
      </w:r>
      <w:r w:rsidR="00B57BF3" w:rsidRPr="00082ABB">
        <w:rPr>
          <w:rFonts w:ascii="Book Antiqua" w:hAnsi="Book Antiqua"/>
          <w:sz w:val="24"/>
          <w:szCs w:val="24"/>
        </w:rPr>
        <w:t xml:space="preserve">the </w:t>
      </w:r>
      <w:r w:rsidRPr="00082ABB">
        <w:rPr>
          <w:rFonts w:ascii="Book Antiqua" w:hAnsi="Book Antiqua"/>
          <w:sz w:val="24"/>
          <w:szCs w:val="24"/>
        </w:rPr>
        <w:t xml:space="preserve">E3200 trial, FOLFOX plus bevacizumab as second-line therapy in patients with mCRC after first-line irinotecan-based therapy without bevacizumab demonstrated significantly longer PFS and OS compared with the control arm of FOLFOX alone (PFS 7.3 </w:t>
      </w:r>
      <w:r w:rsidR="00422EEA"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4.7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0.61, </w:t>
      </w:r>
      <w:r w:rsidRPr="00082ABB">
        <w:rPr>
          <w:rFonts w:ascii="Book Antiqua" w:hAnsi="Book Antiqua"/>
          <w:i/>
          <w:sz w:val="24"/>
          <w:szCs w:val="24"/>
        </w:rPr>
        <w:t>P</w:t>
      </w:r>
      <w:r w:rsidR="005C221E" w:rsidRPr="00082ABB">
        <w:rPr>
          <w:rFonts w:ascii="Book Antiqua" w:hAnsi="Book Antiqua"/>
          <w:i/>
          <w:sz w:val="24"/>
          <w:szCs w:val="24"/>
        </w:rPr>
        <w:t xml:space="preserve"> </w:t>
      </w:r>
      <w:r w:rsidRPr="00082ABB">
        <w:rPr>
          <w:rFonts w:ascii="Book Antiqua" w:hAnsi="Book Antiqua"/>
          <w:sz w:val="24"/>
          <w:szCs w:val="24"/>
        </w:rPr>
        <w:t>&lt;</w:t>
      </w:r>
      <w:r w:rsidR="005C221E" w:rsidRPr="00082ABB">
        <w:rPr>
          <w:rFonts w:ascii="Book Antiqua" w:hAnsi="Book Antiqua"/>
          <w:sz w:val="24"/>
          <w:szCs w:val="24"/>
        </w:rPr>
        <w:t xml:space="preserve"> </w:t>
      </w:r>
      <w:r w:rsidRPr="00082ABB">
        <w:rPr>
          <w:rFonts w:ascii="Book Antiqua" w:hAnsi="Book Antiqua"/>
          <w:sz w:val="24"/>
          <w:szCs w:val="24"/>
        </w:rPr>
        <w:t xml:space="preserve">0.0001; OS 12.9 </w:t>
      </w:r>
      <w:r w:rsidR="00422EEA" w:rsidRPr="00082ABB">
        <w:rPr>
          <w:rFonts w:ascii="Book Antiqua" w:hAnsi="Book Antiqua"/>
          <w:sz w:val="24"/>
          <w:szCs w:val="24"/>
        </w:rPr>
        <w:t>mo</w:t>
      </w:r>
      <w:r w:rsidR="00422EEA" w:rsidRPr="00082ABB">
        <w:rPr>
          <w:rFonts w:ascii="Book Antiqua" w:hAnsi="Book Antiqua"/>
          <w:i/>
          <w:sz w:val="24"/>
          <w:szCs w:val="24"/>
        </w:rPr>
        <w:t xml:space="preserve"> </w:t>
      </w:r>
      <w:r w:rsidRPr="00082ABB">
        <w:rPr>
          <w:rFonts w:ascii="Book Antiqua" w:hAnsi="Book Antiqua"/>
          <w:i/>
          <w:sz w:val="24"/>
          <w:szCs w:val="24"/>
        </w:rPr>
        <w:t>vs</w:t>
      </w:r>
      <w:r w:rsidRPr="00082ABB">
        <w:rPr>
          <w:rFonts w:ascii="Book Antiqua" w:hAnsi="Book Antiqua"/>
          <w:sz w:val="24"/>
          <w:szCs w:val="24"/>
        </w:rPr>
        <w:t xml:space="preserve"> 10.8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0.75, </w:t>
      </w:r>
      <w:r w:rsidRPr="00082ABB">
        <w:rPr>
          <w:rFonts w:ascii="Book Antiqua" w:hAnsi="Book Antiqua"/>
          <w:i/>
          <w:sz w:val="24"/>
          <w:szCs w:val="24"/>
        </w:rPr>
        <w:t>P</w:t>
      </w:r>
      <w:r w:rsidR="005C221E" w:rsidRPr="00082ABB">
        <w:rPr>
          <w:rFonts w:ascii="Book Antiqua" w:hAnsi="Book Antiqua"/>
          <w:i/>
          <w:sz w:val="24"/>
          <w:szCs w:val="24"/>
        </w:rPr>
        <w:t xml:space="preserve"> </w:t>
      </w:r>
      <w:r w:rsidRPr="00082ABB">
        <w:rPr>
          <w:rFonts w:ascii="Book Antiqua" w:hAnsi="Book Antiqua"/>
          <w:sz w:val="24"/>
          <w:szCs w:val="24"/>
        </w:rPr>
        <w:t>=</w:t>
      </w:r>
      <w:r w:rsidR="005C221E" w:rsidRPr="00082ABB">
        <w:rPr>
          <w:rFonts w:ascii="Book Antiqua" w:hAnsi="Book Antiqua"/>
          <w:sz w:val="24"/>
          <w:szCs w:val="24"/>
        </w:rPr>
        <w:t xml:space="preserve"> </w:t>
      </w:r>
      <w:r w:rsidR="00422EEA" w:rsidRPr="00082ABB">
        <w:rPr>
          <w:rFonts w:ascii="Book Antiqua" w:hAnsi="Book Antiqua"/>
          <w:sz w:val="24"/>
          <w:szCs w:val="24"/>
        </w:rPr>
        <w:t>0.0011)</w:t>
      </w:r>
      <w:r w:rsidR="00C662B4" w:rsidRPr="00082ABB">
        <w:rPr>
          <w:rFonts w:ascii="Book Antiqua" w:hAnsi="Book Antiqua"/>
          <w:sz w:val="24"/>
          <w:szCs w:val="24"/>
          <w:vertAlign w:val="superscript"/>
        </w:rPr>
        <w:t>[45</w:t>
      </w:r>
      <w:r w:rsidRPr="00082ABB">
        <w:rPr>
          <w:rFonts w:ascii="Book Antiqua" w:hAnsi="Book Antiqua"/>
          <w:sz w:val="24"/>
          <w:szCs w:val="24"/>
          <w:vertAlign w:val="superscript"/>
        </w:rPr>
        <w:t>]</w:t>
      </w:r>
      <w:r w:rsidRPr="00082ABB">
        <w:rPr>
          <w:rFonts w:ascii="Book Antiqua" w:hAnsi="Book Antiqua"/>
          <w:sz w:val="24"/>
          <w:szCs w:val="24"/>
        </w:rPr>
        <w:t>. It should be noted that bevacizumab was not administ</w:t>
      </w:r>
      <w:r w:rsidR="00B57BF3" w:rsidRPr="00082ABB">
        <w:rPr>
          <w:rFonts w:ascii="Book Antiqua" w:hAnsi="Book Antiqua"/>
          <w:sz w:val="24"/>
          <w:szCs w:val="24"/>
        </w:rPr>
        <w:t xml:space="preserve">ered </w:t>
      </w:r>
      <w:r w:rsidRPr="00082ABB">
        <w:rPr>
          <w:rFonts w:ascii="Book Antiqua" w:hAnsi="Book Antiqua"/>
          <w:sz w:val="24"/>
          <w:szCs w:val="24"/>
        </w:rPr>
        <w:t>in first-line therapy, and the dose of bevacizumab was higher</w:t>
      </w:r>
      <w:r w:rsidR="00B57BF3" w:rsidRPr="00082ABB">
        <w:rPr>
          <w:rFonts w:ascii="Book Antiqua" w:hAnsi="Book Antiqua"/>
          <w:sz w:val="24"/>
          <w:szCs w:val="24"/>
        </w:rPr>
        <w:t xml:space="preserve"> (</w:t>
      </w:r>
      <w:r w:rsidRPr="00082ABB">
        <w:rPr>
          <w:rFonts w:ascii="Book Antiqua" w:hAnsi="Book Antiqua"/>
          <w:sz w:val="24"/>
          <w:szCs w:val="24"/>
        </w:rPr>
        <w:t>10</w:t>
      </w:r>
      <w:r w:rsidR="00B57BF3" w:rsidRPr="00082ABB">
        <w:rPr>
          <w:rFonts w:ascii="Book Antiqua" w:hAnsi="Book Antiqua"/>
          <w:sz w:val="24"/>
          <w:szCs w:val="24"/>
        </w:rPr>
        <w:t xml:space="preserve"> </w:t>
      </w:r>
      <w:r w:rsidRPr="00082ABB">
        <w:rPr>
          <w:rFonts w:ascii="Book Antiqua" w:hAnsi="Book Antiqua"/>
          <w:sz w:val="24"/>
          <w:szCs w:val="24"/>
        </w:rPr>
        <w:t>mg/kg</w:t>
      </w:r>
      <w:r w:rsidR="00B57BF3" w:rsidRPr="00082ABB">
        <w:rPr>
          <w:rFonts w:ascii="Book Antiqua" w:hAnsi="Book Antiqua"/>
          <w:sz w:val="24"/>
          <w:szCs w:val="24"/>
        </w:rPr>
        <w:t>)</w:t>
      </w:r>
      <w:r w:rsidRPr="00082ABB">
        <w:rPr>
          <w:rFonts w:ascii="Book Antiqua" w:hAnsi="Book Antiqua"/>
          <w:sz w:val="24"/>
          <w:szCs w:val="24"/>
        </w:rPr>
        <w:t xml:space="preserve"> in this trial.</w:t>
      </w:r>
    </w:p>
    <w:p w:rsidR="00BC5F12" w:rsidRPr="00082ABB" w:rsidRDefault="00BC5F12" w:rsidP="00422EEA">
      <w:pPr>
        <w:snapToGrid w:val="0"/>
        <w:spacing w:line="360" w:lineRule="auto"/>
        <w:ind w:firstLineChars="100" w:firstLine="240"/>
        <w:rPr>
          <w:rFonts w:ascii="Book Antiqua" w:eastAsia="宋体" w:hAnsi="Book Antiqua"/>
          <w:sz w:val="24"/>
          <w:szCs w:val="24"/>
          <w:lang w:eastAsia="zh-CN"/>
        </w:rPr>
      </w:pPr>
      <w:r w:rsidRPr="00082ABB">
        <w:rPr>
          <w:rFonts w:ascii="Book Antiqua" w:hAnsi="Book Antiqua"/>
          <w:sz w:val="24"/>
          <w:szCs w:val="24"/>
        </w:rPr>
        <w:lastRenderedPageBreak/>
        <w:t xml:space="preserve">Furthermore, continuation of bevacizumab after disease progression in patients previously treated with bevacizumab seemed to have benefit in </w:t>
      </w:r>
      <w:r w:rsidR="00B57BF3" w:rsidRPr="00082ABB">
        <w:rPr>
          <w:rFonts w:ascii="Book Antiqua" w:hAnsi="Book Antiqua"/>
          <w:sz w:val="24"/>
          <w:szCs w:val="24"/>
        </w:rPr>
        <w:t xml:space="preserve">the </w:t>
      </w:r>
      <w:r w:rsidRPr="00082ABB">
        <w:rPr>
          <w:rFonts w:ascii="Book Antiqua" w:hAnsi="Book Antiqua"/>
          <w:sz w:val="24"/>
          <w:szCs w:val="24"/>
        </w:rPr>
        <w:t xml:space="preserve">large observational </w:t>
      </w:r>
      <w:r w:rsidR="00422EEA" w:rsidRPr="00082ABB">
        <w:rPr>
          <w:rFonts w:ascii="Book Antiqua" w:hAnsi="Book Antiqua"/>
          <w:sz w:val="24"/>
          <w:szCs w:val="24"/>
        </w:rPr>
        <w:t xml:space="preserve">BRiTE </w:t>
      </w:r>
      <w:proofErr w:type="gramStart"/>
      <w:r w:rsidR="00422EEA" w:rsidRPr="00082ABB">
        <w:rPr>
          <w:rFonts w:ascii="Book Antiqua" w:hAnsi="Book Antiqua"/>
          <w:sz w:val="24"/>
          <w:szCs w:val="24"/>
        </w:rPr>
        <w:t>study</w:t>
      </w:r>
      <w:r w:rsidR="00C662B4" w:rsidRPr="00082ABB">
        <w:rPr>
          <w:rFonts w:ascii="Book Antiqua" w:hAnsi="Book Antiqua"/>
          <w:sz w:val="24"/>
          <w:szCs w:val="24"/>
          <w:vertAlign w:val="superscript"/>
        </w:rPr>
        <w:t>[</w:t>
      </w:r>
      <w:proofErr w:type="gramEnd"/>
      <w:r w:rsidR="00C662B4" w:rsidRPr="00082ABB">
        <w:rPr>
          <w:rFonts w:ascii="Book Antiqua" w:hAnsi="Book Antiqua"/>
          <w:sz w:val="24"/>
          <w:szCs w:val="24"/>
          <w:vertAlign w:val="superscript"/>
        </w:rPr>
        <w:t>46</w:t>
      </w:r>
      <w:r w:rsidRPr="00082ABB">
        <w:rPr>
          <w:rFonts w:ascii="Book Antiqua" w:hAnsi="Book Antiqua"/>
          <w:sz w:val="24"/>
          <w:szCs w:val="24"/>
          <w:vertAlign w:val="superscript"/>
        </w:rPr>
        <w:t>]</w:t>
      </w:r>
      <w:r w:rsidRPr="00082ABB">
        <w:rPr>
          <w:rFonts w:ascii="Book Antiqua" w:hAnsi="Book Antiqua"/>
          <w:sz w:val="24"/>
          <w:szCs w:val="24"/>
        </w:rPr>
        <w:t xml:space="preserve">. Based on this result, an open-label, phase III, </w:t>
      </w:r>
      <w:r w:rsidR="00CB17F6" w:rsidRPr="00082ABB">
        <w:rPr>
          <w:rFonts w:ascii="Book Antiqua" w:hAnsi="Book Antiqua"/>
          <w:sz w:val="24"/>
          <w:szCs w:val="24"/>
        </w:rPr>
        <w:t>ML18147</w:t>
      </w:r>
      <w:r w:rsidRPr="00082ABB">
        <w:rPr>
          <w:rFonts w:ascii="Book Antiqua" w:hAnsi="Book Antiqua"/>
          <w:sz w:val="24"/>
          <w:szCs w:val="24"/>
        </w:rPr>
        <w:t xml:space="preserve"> trial was conducted to evaluate the survival benefit of continuing bevacizumab</w:t>
      </w:r>
      <w:r w:rsidR="00422EEA" w:rsidRPr="00082ABB">
        <w:rPr>
          <w:rFonts w:ascii="Book Antiqua" w:hAnsi="Book Antiqua"/>
          <w:sz w:val="24"/>
          <w:szCs w:val="24"/>
        </w:rPr>
        <w:t xml:space="preserve"> as second-line </w:t>
      </w:r>
      <w:proofErr w:type="gramStart"/>
      <w:r w:rsidR="00422EEA" w:rsidRPr="00082ABB">
        <w:rPr>
          <w:rFonts w:ascii="Book Antiqua" w:hAnsi="Book Antiqua"/>
          <w:sz w:val="24"/>
          <w:szCs w:val="24"/>
        </w:rPr>
        <w:t>chemotherapy</w:t>
      </w:r>
      <w:r w:rsidR="00C662B4" w:rsidRPr="00082ABB">
        <w:rPr>
          <w:rFonts w:ascii="Book Antiqua" w:hAnsi="Book Antiqua"/>
          <w:sz w:val="24"/>
          <w:szCs w:val="24"/>
          <w:vertAlign w:val="superscript"/>
        </w:rPr>
        <w:t>[</w:t>
      </w:r>
      <w:proofErr w:type="gramEnd"/>
      <w:r w:rsidR="00C662B4" w:rsidRPr="00082ABB">
        <w:rPr>
          <w:rFonts w:ascii="Book Antiqua" w:hAnsi="Book Antiqua"/>
          <w:sz w:val="24"/>
          <w:szCs w:val="24"/>
          <w:vertAlign w:val="superscript"/>
        </w:rPr>
        <w:t>12</w:t>
      </w:r>
      <w:r w:rsidRPr="00082ABB">
        <w:rPr>
          <w:rFonts w:ascii="Book Antiqua" w:hAnsi="Book Antiqua"/>
          <w:sz w:val="24"/>
          <w:szCs w:val="24"/>
          <w:vertAlign w:val="superscript"/>
        </w:rPr>
        <w:t>]</w:t>
      </w:r>
      <w:r w:rsidRPr="00082ABB">
        <w:rPr>
          <w:rFonts w:ascii="Book Antiqua" w:hAnsi="Book Antiqua"/>
          <w:sz w:val="24"/>
          <w:szCs w:val="24"/>
        </w:rPr>
        <w:t xml:space="preserve">. The use of bevacizumab beyond progression showed </w:t>
      </w:r>
      <w:r w:rsidR="006C2FE0" w:rsidRPr="00082ABB">
        <w:rPr>
          <w:rFonts w:ascii="Book Antiqua" w:hAnsi="Book Antiqua"/>
          <w:sz w:val="24"/>
          <w:szCs w:val="24"/>
        </w:rPr>
        <w:t>better</w:t>
      </w:r>
      <w:r w:rsidRPr="00082ABB">
        <w:rPr>
          <w:rFonts w:ascii="Book Antiqua" w:hAnsi="Book Antiqua"/>
          <w:sz w:val="24"/>
          <w:szCs w:val="24"/>
        </w:rPr>
        <w:t xml:space="preserve"> OS (11.2 </w:t>
      </w:r>
      <w:r w:rsidR="00422EEA" w:rsidRPr="00082ABB">
        <w:rPr>
          <w:rFonts w:ascii="Book Antiqua" w:hAnsi="Book Antiqua"/>
          <w:sz w:val="24"/>
          <w:szCs w:val="24"/>
        </w:rPr>
        <w:t>mo</w:t>
      </w:r>
      <w:r w:rsidR="00422EEA" w:rsidRPr="00082ABB">
        <w:rPr>
          <w:rFonts w:ascii="Book Antiqua" w:hAnsi="Book Antiqua"/>
          <w:i/>
          <w:sz w:val="24"/>
          <w:szCs w:val="24"/>
        </w:rPr>
        <w:t xml:space="preserve"> </w:t>
      </w:r>
      <w:r w:rsidRPr="00082ABB">
        <w:rPr>
          <w:rFonts w:ascii="Book Antiqua" w:hAnsi="Book Antiqua"/>
          <w:i/>
          <w:sz w:val="24"/>
          <w:szCs w:val="24"/>
        </w:rPr>
        <w:t>vs</w:t>
      </w:r>
      <w:r w:rsidRPr="00082ABB">
        <w:rPr>
          <w:rFonts w:ascii="Book Antiqua" w:hAnsi="Book Antiqua"/>
          <w:sz w:val="24"/>
          <w:szCs w:val="24"/>
        </w:rPr>
        <w:t xml:space="preserve"> 9.8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0.81, </w:t>
      </w:r>
      <w:r w:rsidRPr="00082ABB">
        <w:rPr>
          <w:rFonts w:ascii="Book Antiqua" w:hAnsi="Book Antiqua"/>
          <w:i/>
          <w:sz w:val="24"/>
          <w:szCs w:val="24"/>
        </w:rPr>
        <w:t>P</w:t>
      </w:r>
      <w:r w:rsidR="005C221E" w:rsidRPr="00082ABB">
        <w:rPr>
          <w:rFonts w:ascii="Book Antiqua" w:hAnsi="Book Antiqua"/>
          <w:i/>
          <w:sz w:val="24"/>
          <w:szCs w:val="24"/>
        </w:rPr>
        <w:t xml:space="preserve"> </w:t>
      </w:r>
      <w:r w:rsidRPr="00082ABB">
        <w:rPr>
          <w:rFonts w:ascii="Book Antiqua" w:hAnsi="Book Antiqua"/>
          <w:sz w:val="24"/>
          <w:szCs w:val="24"/>
        </w:rPr>
        <w:t>=</w:t>
      </w:r>
      <w:r w:rsidR="005C221E" w:rsidRPr="00082ABB">
        <w:rPr>
          <w:rFonts w:ascii="Book Antiqua" w:hAnsi="Book Antiqua"/>
          <w:sz w:val="24"/>
          <w:szCs w:val="24"/>
        </w:rPr>
        <w:t xml:space="preserve"> </w:t>
      </w:r>
      <w:r w:rsidRPr="00082ABB">
        <w:rPr>
          <w:rFonts w:ascii="Book Antiqua" w:hAnsi="Book Antiqua"/>
          <w:sz w:val="24"/>
          <w:szCs w:val="24"/>
        </w:rPr>
        <w:t xml:space="preserve">0.0062) and PFS (5.7 </w:t>
      </w:r>
      <w:r w:rsidR="00422EEA"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4.1 mo, HR </w:t>
      </w:r>
      <w:r w:rsidR="00422EEA"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0.68, </w:t>
      </w:r>
      <w:r w:rsidRPr="00082ABB">
        <w:rPr>
          <w:rFonts w:ascii="Book Antiqua" w:hAnsi="Book Antiqua"/>
          <w:i/>
          <w:sz w:val="24"/>
          <w:szCs w:val="24"/>
        </w:rPr>
        <w:t>P</w:t>
      </w:r>
      <w:r w:rsidR="005C221E" w:rsidRPr="00082ABB">
        <w:rPr>
          <w:rFonts w:ascii="Book Antiqua" w:hAnsi="Book Antiqua"/>
          <w:i/>
          <w:sz w:val="24"/>
          <w:szCs w:val="24"/>
        </w:rPr>
        <w:t xml:space="preserve"> </w:t>
      </w:r>
      <w:r w:rsidRPr="00082ABB">
        <w:rPr>
          <w:rFonts w:ascii="Book Antiqua" w:hAnsi="Book Antiqua"/>
          <w:sz w:val="24"/>
          <w:szCs w:val="24"/>
        </w:rPr>
        <w:t>&lt;</w:t>
      </w:r>
      <w:r w:rsidR="005C221E" w:rsidRPr="00082ABB">
        <w:rPr>
          <w:rFonts w:ascii="Book Antiqua" w:hAnsi="Book Antiqua"/>
          <w:sz w:val="24"/>
          <w:szCs w:val="24"/>
        </w:rPr>
        <w:t xml:space="preserve"> </w:t>
      </w:r>
      <w:r w:rsidRPr="00082ABB">
        <w:rPr>
          <w:rFonts w:ascii="Book Antiqua" w:hAnsi="Book Antiqua"/>
          <w:sz w:val="24"/>
          <w:szCs w:val="24"/>
        </w:rPr>
        <w:t>0.0001) co</w:t>
      </w:r>
      <w:r w:rsidR="00422EEA" w:rsidRPr="00082ABB">
        <w:rPr>
          <w:rFonts w:ascii="Book Antiqua" w:hAnsi="Book Antiqua"/>
          <w:sz w:val="24"/>
          <w:szCs w:val="24"/>
        </w:rPr>
        <w:t>mpared with chemotherapy alone.</w:t>
      </w:r>
    </w:p>
    <w:p w:rsidR="00BC5F12" w:rsidRPr="00082ABB" w:rsidRDefault="00BC5F12" w:rsidP="00422EEA">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TAS-102 is a novel oral cytotoxic agent</w:t>
      </w:r>
      <w:r w:rsidR="00B57BF3" w:rsidRPr="00082ABB">
        <w:rPr>
          <w:rFonts w:ascii="Book Antiqua" w:hAnsi="Book Antiqua"/>
          <w:sz w:val="24"/>
          <w:szCs w:val="24"/>
        </w:rPr>
        <w:t xml:space="preserve"> that </w:t>
      </w:r>
      <w:r w:rsidRPr="00082ABB">
        <w:rPr>
          <w:rFonts w:ascii="Book Antiqua" w:hAnsi="Book Antiqua"/>
          <w:sz w:val="24"/>
          <w:szCs w:val="24"/>
        </w:rPr>
        <w:t xml:space="preserve">contains </w:t>
      </w:r>
      <w:r w:rsidR="00B57BF3" w:rsidRPr="00082ABB">
        <w:rPr>
          <w:rFonts w:ascii="Book Antiqua" w:hAnsi="Book Antiqua"/>
          <w:sz w:val="24"/>
          <w:szCs w:val="24"/>
        </w:rPr>
        <w:t xml:space="preserve">the </w:t>
      </w:r>
      <w:r w:rsidRPr="00082ABB">
        <w:rPr>
          <w:rFonts w:ascii="Book Antiqua" w:hAnsi="Book Antiqua"/>
          <w:sz w:val="24"/>
          <w:szCs w:val="24"/>
        </w:rPr>
        <w:t xml:space="preserve">thymidine-based nucleic acid analogue, trifluridine, and a thymidine phosphorylase inhibitor, tipiracil hydrochloride. In salvage line treatment of mCRC, it was reported that TAS-102 could significantly improve OS compared with placebo in </w:t>
      </w:r>
      <w:r w:rsidR="00B57BF3" w:rsidRPr="00082ABB">
        <w:rPr>
          <w:rFonts w:ascii="Book Antiqua" w:hAnsi="Book Antiqua"/>
          <w:sz w:val="24"/>
          <w:szCs w:val="24"/>
        </w:rPr>
        <w:t xml:space="preserve">the </w:t>
      </w:r>
      <w:r w:rsidR="00422EEA" w:rsidRPr="00082ABB">
        <w:rPr>
          <w:rFonts w:ascii="Book Antiqua" w:hAnsi="Book Antiqua"/>
          <w:sz w:val="24"/>
          <w:szCs w:val="24"/>
        </w:rPr>
        <w:t xml:space="preserve">RECOURSE </w:t>
      </w:r>
      <w:proofErr w:type="gramStart"/>
      <w:r w:rsidR="00422EEA" w:rsidRPr="00082ABB">
        <w:rPr>
          <w:rFonts w:ascii="Book Antiqua" w:hAnsi="Book Antiqua"/>
          <w:sz w:val="24"/>
          <w:szCs w:val="24"/>
        </w:rPr>
        <w:t>trial</w:t>
      </w:r>
      <w:r w:rsidR="00C662B4" w:rsidRPr="00082ABB">
        <w:rPr>
          <w:rFonts w:ascii="Book Antiqua" w:hAnsi="Book Antiqua"/>
          <w:sz w:val="24"/>
          <w:szCs w:val="24"/>
          <w:vertAlign w:val="superscript"/>
        </w:rPr>
        <w:t>[</w:t>
      </w:r>
      <w:proofErr w:type="gramEnd"/>
      <w:r w:rsidR="00C662B4" w:rsidRPr="00082ABB">
        <w:rPr>
          <w:rFonts w:ascii="Book Antiqua" w:hAnsi="Book Antiqua"/>
          <w:sz w:val="24"/>
          <w:szCs w:val="24"/>
          <w:vertAlign w:val="superscript"/>
        </w:rPr>
        <w:t>47</w:t>
      </w:r>
      <w:r w:rsidRPr="00082ABB">
        <w:rPr>
          <w:rFonts w:ascii="Book Antiqua" w:hAnsi="Book Antiqua"/>
          <w:sz w:val="24"/>
          <w:szCs w:val="24"/>
          <w:vertAlign w:val="superscript"/>
        </w:rPr>
        <w:t>].</w:t>
      </w:r>
      <w:r w:rsidRPr="00082ABB">
        <w:rPr>
          <w:rFonts w:ascii="Book Antiqua" w:hAnsi="Book Antiqua"/>
          <w:sz w:val="24"/>
          <w:szCs w:val="24"/>
        </w:rPr>
        <w:t xml:space="preserve"> </w:t>
      </w:r>
      <w:r w:rsidR="007C03CF" w:rsidRPr="00082ABB">
        <w:rPr>
          <w:rFonts w:ascii="Book Antiqua" w:hAnsi="Book Antiqua"/>
          <w:sz w:val="24"/>
          <w:szCs w:val="24"/>
        </w:rPr>
        <w:t xml:space="preserve">Recently, the phase I/II C-TASK FORCE trial was conducted to investigate the efficacy and safety of TAS-102 plus bevacizumab in the salvage line setting. Median OS was 11.2 mo and PFS was 5.6 </w:t>
      </w:r>
      <w:proofErr w:type="gramStart"/>
      <w:r w:rsidR="007C03CF" w:rsidRPr="00082ABB">
        <w:rPr>
          <w:rFonts w:ascii="Book Antiqua" w:hAnsi="Book Antiqua"/>
          <w:sz w:val="24"/>
          <w:szCs w:val="24"/>
        </w:rPr>
        <w:t>mo</w:t>
      </w:r>
      <w:proofErr w:type="gramEnd"/>
      <w:r w:rsidR="007C03CF" w:rsidRPr="00082ABB">
        <w:rPr>
          <w:rFonts w:ascii="Book Antiqua" w:hAnsi="Book Antiqua"/>
          <w:sz w:val="24"/>
          <w:szCs w:val="24"/>
        </w:rPr>
        <w:t>. In addition, although the RR was only 4.0%, the disease control rate was 72% with tolerable toxicity. However, the sample size was quite small (</w:t>
      </w:r>
      <w:r w:rsidR="00422EEA" w:rsidRPr="00082ABB">
        <w:rPr>
          <w:rFonts w:ascii="Book Antiqua" w:hAnsi="Book Antiqua"/>
          <w:i/>
          <w:sz w:val="24"/>
          <w:szCs w:val="24"/>
        </w:rPr>
        <w:t>n</w:t>
      </w:r>
      <w:r w:rsidR="00422EEA" w:rsidRPr="00082ABB">
        <w:rPr>
          <w:rFonts w:ascii="Book Antiqua" w:eastAsia="宋体" w:hAnsi="Book Antiqua"/>
          <w:sz w:val="24"/>
          <w:szCs w:val="24"/>
          <w:lang w:eastAsia="zh-CN"/>
        </w:rPr>
        <w:t xml:space="preserve"> </w:t>
      </w:r>
      <w:r w:rsidR="007C03CF" w:rsidRPr="00082ABB">
        <w:rPr>
          <w:rFonts w:ascii="Book Antiqua" w:hAnsi="Book Antiqua"/>
          <w:sz w:val="24"/>
          <w:szCs w:val="24"/>
        </w:rPr>
        <w:t>=</w:t>
      </w:r>
      <w:r w:rsidR="00422EEA" w:rsidRPr="00082ABB">
        <w:rPr>
          <w:rFonts w:ascii="Book Antiqua" w:eastAsia="宋体" w:hAnsi="Book Antiqua"/>
          <w:sz w:val="24"/>
          <w:szCs w:val="24"/>
          <w:lang w:eastAsia="zh-CN"/>
        </w:rPr>
        <w:t xml:space="preserve"> </w:t>
      </w:r>
      <w:r w:rsidR="00422EEA" w:rsidRPr="00082ABB">
        <w:rPr>
          <w:rFonts w:ascii="Book Antiqua" w:hAnsi="Book Antiqua"/>
          <w:sz w:val="24"/>
          <w:szCs w:val="24"/>
        </w:rPr>
        <w:t>25)</w:t>
      </w:r>
      <w:r w:rsidR="00C662B4" w:rsidRPr="00082ABB">
        <w:rPr>
          <w:rFonts w:ascii="Book Antiqua" w:hAnsi="Book Antiqua"/>
          <w:sz w:val="24"/>
          <w:szCs w:val="24"/>
          <w:vertAlign w:val="superscript"/>
        </w:rPr>
        <w:t>[48</w:t>
      </w:r>
      <w:r w:rsidRPr="00082ABB">
        <w:rPr>
          <w:rFonts w:ascii="Book Antiqua" w:hAnsi="Book Antiqua"/>
          <w:sz w:val="24"/>
          <w:szCs w:val="24"/>
          <w:vertAlign w:val="superscript"/>
        </w:rPr>
        <w:t>]</w:t>
      </w:r>
      <w:r w:rsidR="00A16F3D" w:rsidRPr="00082ABB">
        <w:rPr>
          <w:rFonts w:ascii="Book Antiqua" w:hAnsi="Book Antiqua" w:hint="eastAsia"/>
          <w:sz w:val="24"/>
          <w:szCs w:val="24"/>
        </w:rPr>
        <w:t xml:space="preserve"> (Table 1)</w:t>
      </w:r>
      <w:r w:rsidRPr="00082ABB">
        <w:rPr>
          <w:rFonts w:ascii="Book Antiqua" w:hAnsi="Book Antiqua"/>
          <w:sz w:val="24"/>
          <w:szCs w:val="24"/>
        </w:rPr>
        <w:t>.</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b/>
          <w:i/>
          <w:sz w:val="24"/>
          <w:szCs w:val="24"/>
        </w:rPr>
      </w:pPr>
      <w:r w:rsidRPr="00082ABB">
        <w:rPr>
          <w:rFonts w:ascii="Book Antiqua" w:hAnsi="Book Antiqua"/>
          <w:b/>
          <w:i/>
          <w:sz w:val="24"/>
          <w:szCs w:val="24"/>
        </w:rPr>
        <w:t>Aflibercept</w:t>
      </w: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 xml:space="preserve">Aflibercept is a recombinant fusion protein </w:t>
      </w:r>
      <w:r w:rsidR="00B57BF3" w:rsidRPr="00082ABB">
        <w:rPr>
          <w:rFonts w:ascii="Book Antiqua" w:hAnsi="Book Antiqua"/>
          <w:sz w:val="24"/>
          <w:szCs w:val="24"/>
        </w:rPr>
        <w:t xml:space="preserve">that </w:t>
      </w:r>
      <w:r w:rsidRPr="00082ABB">
        <w:rPr>
          <w:rFonts w:ascii="Book Antiqua" w:hAnsi="Book Antiqua"/>
          <w:sz w:val="24"/>
          <w:szCs w:val="24"/>
        </w:rPr>
        <w:t>can bind to VEGF-A, VEGF-B, and PIGF. It can act as a soluble decoy receptor, preventing these ligands from binding to their receptors and inhibit</w:t>
      </w:r>
      <w:r w:rsidR="006C2FE0" w:rsidRPr="00082ABB">
        <w:rPr>
          <w:rFonts w:ascii="Book Antiqua" w:hAnsi="Book Antiqua"/>
          <w:sz w:val="24"/>
          <w:szCs w:val="24"/>
        </w:rPr>
        <w:t>ing</w:t>
      </w:r>
      <w:r w:rsidRPr="00082ABB">
        <w:rPr>
          <w:rFonts w:ascii="Book Antiqua" w:hAnsi="Book Antiqua"/>
          <w:sz w:val="24"/>
          <w:szCs w:val="24"/>
        </w:rPr>
        <w:t xml:space="preserve"> </w:t>
      </w:r>
      <w:r w:rsidR="00B57BF3" w:rsidRPr="00082ABB">
        <w:rPr>
          <w:rFonts w:ascii="Book Antiqua" w:hAnsi="Book Antiqua"/>
          <w:sz w:val="24"/>
          <w:szCs w:val="24"/>
        </w:rPr>
        <w:t xml:space="preserve">the </w:t>
      </w:r>
      <w:r w:rsidRPr="00082ABB">
        <w:rPr>
          <w:rFonts w:ascii="Book Antiqua" w:hAnsi="Book Antiqua"/>
          <w:sz w:val="24"/>
          <w:szCs w:val="24"/>
        </w:rPr>
        <w:t xml:space="preserve">VEGF pathway. In </w:t>
      </w:r>
      <w:r w:rsidR="00B57BF3" w:rsidRPr="00082ABB">
        <w:rPr>
          <w:rFonts w:ascii="Book Antiqua" w:hAnsi="Book Antiqua"/>
          <w:sz w:val="24"/>
          <w:szCs w:val="24"/>
        </w:rPr>
        <w:t xml:space="preserve">the </w:t>
      </w:r>
      <w:r w:rsidRPr="00082ABB">
        <w:rPr>
          <w:rFonts w:ascii="Book Antiqua" w:hAnsi="Book Antiqua"/>
          <w:sz w:val="24"/>
          <w:szCs w:val="24"/>
        </w:rPr>
        <w:t>VELOUR study, aflibercept plus FOLFIRI demonstrated significant improvement</w:t>
      </w:r>
      <w:r w:rsidR="00B57BF3" w:rsidRPr="00082ABB">
        <w:rPr>
          <w:rFonts w:ascii="Book Antiqua" w:hAnsi="Book Antiqua"/>
          <w:sz w:val="24"/>
          <w:szCs w:val="24"/>
        </w:rPr>
        <w:t>s</w:t>
      </w:r>
      <w:r w:rsidRPr="00082ABB">
        <w:rPr>
          <w:rFonts w:ascii="Book Antiqua" w:hAnsi="Book Antiqua"/>
          <w:sz w:val="24"/>
          <w:szCs w:val="24"/>
        </w:rPr>
        <w:t xml:space="preserve"> in OS (13.5 </w:t>
      </w:r>
      <w:r w:rsidR="00A40572"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12.1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0.82, </w:t>
      </w:r>
      <w:r w:rsidRPr="00082ABB">
        <w:rPr>
          <w:rFonts w:ascii="Book Antiqua" w:hAnsi="Book Antiqua"/>
          <w:i/>
          <w:sz w:val="24"/>
          <w:szCs w:val="24"/>
        </w:rPr>
        <w:t>P</w:t>
      </w:r>
      <w:r w:rsidR="00276CF7" w:rsidRPr="00082ABB">
        <w:rPr>
          <w:rFonts w:ascii="Book Antiqua" w:hAnsi="Book Antiqua"/>
          <w:i/>
          <w:sz w:val="24"/>
          <w:szCs w:val="24"/>
        </w:rPr>
        <w:t xml:space="preserve"> </w:t>
      </w:r>
      <w:r w:rsidRPr="00082ABB">
        <w:rPr>
          <w:rFonts w:ascii="Book Antiqua" w:hAnsi="Book Antiqua"/>
          <w:sz w:val="24"/>
          <w:szCs w:val="24"/>
        </w:rPr>
        <w:t>=</w:t>
      </w:r>
      <w:r w:rsidR="00276CF7" w:rsidRPr="00082ABB">
        <w:rPr>
          <w:rFonts w:ascii="Book Antiqua" w:hAnsi="Book Antiqua"/>
          <w:sz w:val="24"/>
          <w:szCs w:val="24"/>
        </w:rPr>
        <w:t xml:space="preserve"> </w:t>
      </w:r>
      <w:r w:rsidRPr="00082ABB">
        <w:rPr>
          <w:rFonts w:ascii="Book Antiqua" w:hAnsi="Book Antiqua"/>
          <w:sz w:val="24"/>
          <w:szCs w:val="24"/>
        </w:rPr>
        <w:t xml:space="preserve">0.032) and PFS (6.9 </w:t>
      </w:r>
      <w:r w:rsidR="00A40572" w:rsidRPr="00082ABB">
        <w:rPr>
          <w:rFonts w:ascii="Book Antiqua" w:hAnsi="Book Antiqua"/>
          <w:sz w:val="24"/>
          <w:szCs w:val="24"/>
        </w:rPr>
        <w:t xml:space="preserve">mo </w:t>
      </w:r>
      <w:r w:rsidRPr="00082ABB">
        <w:rPr>
          <w:rFonts w:ascii="Book Antiqua" w:hAnsi="Book Antiqua"/>
          <w:i/>
          <w:sz w:val="24"/>
          <w:szCs w:val="24"/>
        </w:rPr>
        <w:t>vs</w:t>
      </w:r>
      <w:r w:rsidRPr="00082ABB">
        <w:rPr>
          <w:rFonts w:ascii="Book Antiqua" w:hAnsi="Book Antiqua"/>
          <w:sz w:val="24"/>
          <w:szCs w:val="24"/>
        </w:rPr>
        <w:t xml:space="preserve"> 4.7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0.76, </w:t>
      </w:r>
      <w:r w:rsidRPr="00082ABB">
        <w:rPr>
          <w:rFonts w:ascii="Book Antiqua" w:hAnsi="Book Antiqua"/>
          <w:i/>
          <w:sz w:val="24"/>
          <w:szCs w:val="24"/>
        </w:rPr>
        <w:t>P</w:t>
      </w:r>
      <w:r w:rsidR="00276CF7" w:rsidRPr="00082ABB">
        <w:rPr>
          <w:rFonts w:ascii="Book Antiqua" w:hAnsi="Book Antiqua"/>
          <w:i/>
          <w:sz w:val="24"/>
          <w:szCs w:val="24"/>
        </w:rPr>
        <w:t xml:space="preserve"> </w:t>
      </w:r>
      <w:r w:rsidRPr="00082ABB">
        <w:rPr>
          <w:rFonts w:ascii="Book Antiqua" w:hAnsi="Book Antiqua"/>
          <w:sz w:val="24"/>
          <w:szCs w:val="24"/>
        </w:rPr>
        <w:t>&lt;</w:t>
      </w:r>
      <w:r w:rsidR="00276CF7" w:rsidRPr="00082ABB">
        <w:rPr>
          <w:rFonts w:ascii="Book Antiqua" w:hAnsi="Book Antiqua"/>
          <w:sz w:val="24"/>
          <w:szCs w:val="24"/>
        </w:rPr>
        <w:t xml:space="preserve"> </w:t>
      </w:r>
      <w:r w:rsidRPr="00082ABB">
        <w:rPr>
          <w:rFonts w:ascii="Book Antiqua" w:hAnsi="Book Antiqua"/>
          <w:sz w:val="24"/>
          <w:szCs w:val="24"/>
        </w:rPr>
        <w:t>0.0001) compared with placebo plus FOLFIRI in prev</w:t>
      </w:r>
      <w:r w:rsidR="006D71BD" w:rsidRPr="00082ABB">
        <w:rPr>
          <w:rFonts w:ascii="Book Antiqua" w:hAnsi="Book Antiqua"/>
          <w:sz w:val="24"/>
          <w:szCs w:val="24"/>
        </w:rPr>
        <w:t xml:space="preserve">iously treated </w:t>
      </w:r>
      <w:r w:rsidR="00256573" w:rsidRPr="00082ABB">
        <w:rPr>
          <w:rFonts w:ascii="Book Antiqua" w:hAnsi="Book Antiqua"/>
          <w:sz w:val="24"/>
          <w:szCs w:val="24"/>
        </w:rPr>
        <w:t xml:space="preserve">mCRC </w:t>
      </w:r>
      <w:proofErr w:type="gramStart"/>
      <w:r w:rsidR="00256573" w:rsidRPr="00082ABB">
        <w:rPr>
          <w:rFonts w:ascii="Book Antiqua" w:hAnsi="Book Antiqua"/>
          <w:sz w:val="24"/>
          <w:szCs w:val="24"/>
        </w:rPr>
        <w:t>patients</w:t>
      </w:r>
      <w:r w:rsidR="006D71BD" w:rsidRPr="00082ABB">
        <w:rPr>
          <w:rFonts w:ascii="Book Antiqua" w:hAnsi="Book Antiqua"/>
          <w:sz w:val="24"/>
          <w:szCs w:val="24"/>
          <w:vertAlign w:val="superscript"/>
        </w:rPr>
        <w:t>[</w:t>
      </w:r>
      <w:proofErr w:type="gramEnd"/>
      <w:r w:rsidR="006D71BD" w:rsidRPr="00082ABB">
        <w:rPr>
          <w:rFonts w:ascii="Book Antiqua" w:hAnsi="Book Antiqua"/>
          <w:sz w:val="24"/>
          <w:szCs w:val="24"/>
          <w:vertAlign w:val="superscript"/>
        </w:rPr>
        <w:t>49</w:t>
      </w:r>
      <w:r w:rsidRPr="00082ABB">
        <w:rPr>
          <w:rFonts w:ascii="Book Antiqua" w:hAnsi="Book Antiqua"/>
          <w:sz w:val="24"/>
          <w:szCs w:val="24"/>
          <w:vertAlign w:val="superscript"/>
        </w:rPr>
        <w:t>]</w:t>
      </w:r>
      <w:r w:rsidRPr="00082ABB">
        <w:rPr>
          <w:rFonts w:ascii="Book Antiqua" w:hAnsi="Book Antiqua"/>
          <w:sz w:val="24"/>
          <w:szCs w:val="24"/>
        </w:rPr>
        <w:t xml:space="preserve">. </w:t>
      </w:r>
      <w:r w:rsidR="006C2FE0" w:rsidRPr="00082ABB">
        <w:rPr>
          <w:rFonts w:ascii="Book Antiqua" w:hAnsi="Book Antiqua"/>
          <w:sz w:val="24"/>
          <w:szCs w:val="24"/>
        </w:rPr>
        <w:t xml:space="preserve">The </w:t>
      </w:r>
      <w:r w:rsidRPr="00082ABB">
        <w:rPr>
          <w:rFonts w:ascii="Book Antiqua" w:hAnsi="Book Antiqua"/>
          <w:sz w:val="24"/>
          <w:szCs w:val="24"/>
        </w:rPr>
        <w:t>RR was 19.8% in the aflibercept plus FOLFIRI arm and 11.1% in the FOLFIRI alone</w:t>
      </w:r>
      <w:r w:rsidR="00926B53" w:rsidRPr="00082ABB">
        <w:rPr>
          <w:rFonts w:ascii="Book Antiqua" w:hAnsi="Book Antiqua"/>
          <w:sz w:val="24"/>
          <w:szCs w:val="24"/>
        </w:rPr>
        <w:t xml:space="preserve"> arm</w:t>
      </w:r>
      <w:r w:rsidRPr="00082ABB">
        <w:rPr>
          <w:rFonts w:ascii="Book Antiqua" w:hAnsi="Book Antiqua"/>
          <w:sz w:val="24"/>
          <w:szCs w:val="24"/>
        </w:rPr>
        <w:t xml:space="preserve"> (</w:t>
      </w:r>
      <w:r w:rsidRPr="00082ABB">
        <w:rPr>
          <w:rFonts w:ascii="Book Antiqua" w:hAnsi="Book Antiqua"/>
          <w:i/>
          <w:sz w:val="24"/>
          <w:szCs w:val="24"/>
        </w:rPr>
        <w:t>P</w:t>
      </w:r>
      <w:r w:rsidR="00276CF7" w:rsidRPr="00082ABB">
        <w:rPr>
          <w:rFonts w:ascii="Book Antiqua" w:hAnsi="Book Antiqua"/>
          <w:i/>
          <w:sz w:val="24"/>
          <w:szCs w:val="24"/>
        </w:rPr>
        <w:t xml:space="preserve"> </w:t>
      </w:r>
      <w:r w:rsidRPr="00082ABB">
        <w:rPr>
          <w:rFonts w:ascii="Book Antiqua" w:hAnsi="Book Antiqua"/>
          <w:sz w:val="24"/>
          <w:szCs w:val="24"/>
        </w:rPr>
        <w:t>=</w:t>
      </w:r>
      <w:r w:rsidR="00276CF7" w:rsidRPr="00082ABB">
        <w:rPr>
          <w:rFonts w:ascii="Book Antiqua" w:hAnsi="Book Antiqua"/>
          <w:sz w:val="24"/>
          <w:szCs w:val="24"/>
        </w:rPr>
        <w:t xml:space="preserve"> </w:t>
      </w:r>
      <w:r w:rsidRPr="00082ABB">
        <w:rPr>
          <w:rFonts w:ascii="Book Antiqua" w:hAnsi="Book Antiqua"/>
          <w:sz w:val="24"/>
          <w:szCs w:val="24"/>
        </w:rPr>
        <w:t xml:space="preserve">0.0001). The profile of adverse events was similar to that previously reported </w:t>
      </w:r>
      <w:r w:rsidR="00926B53" w:rsidRPr="00082ABB">
        <w:rPr>
          <w:rFonts w:ascii="Book Antiqua" w:hAnsi="Book Antiqua"/>
          <w:sz w:val="24"/>
          <w:szCs w:val="24"/>
        </w:rPr>
        <w:t xml:space="preserve">with </w:t>
      </w:r>
      <w:r w:rsidRPr="00082ABB">
        <w:rPr>
          <w:rFonts w:ascii="Book Antiqua" w:hAnsi="Book Antiqua"/>
          <w:sz w:val="24"/>
          <w:szCs w:val="24"/>
        </w:rPr>
        <w:t>bevacizumab, but some adverse events associated with cytotoxic agents were reported at a higher incidence in the aflibercept arm</w:t>
      </w:r>
      <w:r w:rsidR="00A16F3D" w:rsidRPr="00082ABB">
        <w:rPr>
          <w:rFonts w:ascii="Book Antiqua" w:hAnsi="Book Antiqua" w:hint="eastAsia"/>
          <w:sz w:val="24"/>
          <w:szCs w:val="24"/>
        </w:rPr>
        <w:t xml:space="preserve"> </w:t>
      </w:r>
      <w:r w:rsidR="00A16F3D" w:rsidRPr="00082ABB">
        <w:rPr>
          <w:rFonts w:ascii="Book Antiqua" w:hAnsi="Book Antiqua" w:hint="eastAsia"/>
          <w:sz w:val="24"/>
          <w:szCs w:val="24"/>
        </w:rPr>
        <w:lastRenderedPageBreak/>
        <w:t>(Table 1)</w:t>
      </w:r>
      <w:r w:rsidRPr="00082ABB">
        <w:rPr>
          <w:rFonts w:ascii="Book Antiqua" w:hAnsi="Book Antiqua"/>
          <w:sz w:val="24"/>
          <w:szCs w:val="24"/>
        </w:rPr>
        <w:t>.</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b/>
          <w:i/>
          <w:sz w:val="24"/>
          <w:szCs w:val="24"/>
        </w:rPr>
      </w:pPr>
      <w:r w:rsidRPr="00082ABB">
        <w:rPr>
          <w:rFonts w:ascii="Book Antiqua" w:hAnsi="Book Antiqua"/>
          <w:b/>
          <w:i/>
          <w:sz w:val="24"/>
          <w:szCs w:val="24"/>
        </w:rPr>
        <w:t>Ramucirumab</w:t>
      </w: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 xml:space="preserve">Ramucirumab is a human IgG-1 monoclonal antibody targeting the extracellular domain of VEGFR-2, which is the primary mediator of </w:t>
      </w:r>
      <w:r w:rsidR="00926B53" w:rsidRPr="00082ABB">
        <w:rPr>
          <w:rFonts w:ascii="Book Antiqua" w:hAnsi="Book Antiqua"/>
          <w:sz w:val="24"/>
          <w:szCs w:val="24"/>
        </w:rPr>
        <w:t xml:space="preserve">the </w:t>
      </w:r>
      <w:r w:rsidRPr="00082ABB">
        <w:rPr>
          <w:rFonts w:ascii="Book Antiqua" w:hAnsi="Book Antiqua"/>
          <w:sz w:val="24"/>
          <w:szCs w:val="24"/>
        </w:rPr>
        <w:t xml:space="preserve">VEGF pathway. By binding to VEGFR-2, ramucirumab prevents all VEGF ligands </w:t>
      </w:r>
      <w:r w:rsidR="00926B53" w:rsidRPr="00082ABB">
        <w:rPr>
          <w:rFonts w:ascii="Book Antiqua" w:hAnsi="Book Antiqua"/>
          <w:sz w:val="24"/>
          <w:szCs w:val="24"/>
        </w:rPr>
        <w:t xml:space="preserve">from </w:t>
      </w:r>
      <w:r w:rsidRPr="00082ABB">
        <w:rPr>
          <w:rFonts w:ascii="Book Antiqua" w:hAnsi="Book Antiqua"/>
          <w:sz w:val="24"/>
          <w:szCs w:val="24"/>
        </w:rPr>
        <w:t>bind</w:t>
      </w:r>
      <w:r w:rsidR="00926B53" w:rsidRPr="00082ABB">
        <w:rPr>
          <w:rFonts w:ascii="Book Antiqua" w:hAnsi="Book Antiqua"/>
          <w:sz w:val="24"/>
          <w:szCs w:val="24"/>
        </w:rPr>
        <w:t>ing</w:t>
      </w:r>
      <w:r w:rsidRPr="00082ABB">
        <w:rPr>
          <w:rFonts w:ascii="Book Antiqua" w:hAnsi="Book Antiqua"/>
          <w:sz w:val="24"/>
          <w:szCs w:val="24"/>
        </w:rPr>
        <w:t xml:space="preserve"> to VEGFR-2 and inhibits </w:t>
      </w:r>
      <w:r w:rsidR="00926B53" w:rsidRPr="00082ABB">
        <w:rPr>
          <w:rFonts w:ascii="Book Antiqua" w:hAnsi="Book Antiqua"/>
          <w:sz w:val="24"/>
          <w:szCs w:val="24"/>
        </w:rPr>
        <w:t xml:space="preserve">the </w:t>
      </w:r>
      <w:r w:rsidRPr="00082ABB">
        <w:rPr>
          <w:rFonts w:ascii="Book Antiqua" w:hAnsi="Book Antiqua"/>
          <w:sz w:val="24"/>
          <w:szCs w:val="24"/>
        </w:rPr>
        <w:t>VEGF pathway. In the phase III RAISE study, 1072 patients with disease progression on bevacizumab, oxaliplatin, and fluoropyrimidine were randomized to ramucirumab plus FOLFIRI or FOLFIRI al</w:t>
      </w:r>
      <w:r w:rsidR="00A40572" w:rsidRPr="00082ABB">
        <w:rPr>
          <w:rFonts w:ascii="Book Antiqua" w:hAnsi="Book Antiqua"/>
          <w:sz w:val="24"/>
          <w:szCs w:val="24"/>
        </w:rPr>
        <w:t xml:space="preserve">one as second-line </w:t>
      </w:r>
      <w:proofErr w:type="gramStart"/>
      <w:r w:rsidR="00A40572" w:rsidRPr="00082ABB">
        <w:rPr>
          <w:rFonts w:ascii="Book Antiqua" w:hAnsi="Book Antiqua"/>
          <w:sz w:val="24"/>
          <w:szCs w:val="24"/>
        </w:rPr>
        <w:t>treatment</w:t>
      </w:r>
      <w:r w:rsidR="006D71BD" w:rsidRPr="00082ABB">
        <w:rPr>
          <w:rFonts w:ascii="Book Antiqua" w:hAnsi="Book Antiqua"/>
          <w:sz w:val="24"/>
          <w:szCs w:val="24"/>
          <w:vertAlign w:val="superscript"/>
        </w:rPr>
        <w:t>[</w:t>
      </w:r>
      <w:proofErr w:type="gramEnd"/>
      <w:r w:rsidR="006D71BD" w:rsidRPr="00082ABB">
        <w:rPr>
          <w:rFonts w:ascii="Book Antiqua" w:hAnsi="Book Antiqua"/>
          <w:sz w:val="24"/>
          <w:szCs w:val="24"/>
          <w:vertAlign w:val="superscript"/>
        </w:rPr>
        <w:t>50</w:t>
      </w:r>
      <w:r w:rsidRPr="00082ABB">
        <w:rPr>
          <w:rFonts w:ascii="Book Antiqua" w:hAnsi="Book Antiqua"/>
          <w:sz w:val="24"/>
          <w:szCs w:val="24"/>
          <w:vertAlign w:val="superscript"/>
        </w:rPr>
        <w:t>]</w:t>
      </w:r>
      <w:r w:rsidRPr="00082ABB">
        <w:rPr>
          <w:rFonts w:ascii="Book Antiqua" w:hAnsi="Book Antiqua"/>
          <w:sz w:val="24"/>
          <w:szCs w:val="24"/>
        </w:rPr>
        <w:t xml:space="preserve">. Ramucirumab plus FOLFIRI demonstrated better OS (13.3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11.7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0.84, </w:t>
      </w:r>
      <w:r w:rsidRPr="00082ABB">
        <w:rPr>
          <w:rFonts w:ascii="Book Antiqua" w:hAnsi="Book Antiqua"/>
          <w:i/>
          <w:sz w:val="24"/>
          <w:szCs w:val="24"/>
        </w:rPr>
        <w:t>P</w:t>
      </w:r>
      <w:r w:rsidR="00AC4ADD" w:rsidRPr="00082ABB">
        <w:rPr>
          <w:rFonts w:ascii="Book Antiqua" w:hAnsi="Book Antiqua"/>
          <w:i/>
          <w:sz w:val="24"/>
          <w:szCs w:val="24"/>
        </w:rPr>
        <w:t xml:space="preserve"> </w:t>
      </w:r>
      <w:r w:rsidRPr="00082ABB">
        <w:rPr>
          <w:rFonts w:ascii="Book Antiqua" w:hAnsi="Book Antiqua"/>
          <w:sz w:val="24"/>
          <w:szCs w:val="24"/>
        </w:rPr>
        <w:t>=</w:t>
      </w:r>
      <w:r w:rsidR="00AC4ADD" w:rsidRPr="00082ABB">
        <w:rPr>
          <w:rFonts w:ascii="Book Antiqua" w:hAnsi="Book Antiqua"/>
          <w:sz w:val="24"/>
          <w:szCs w:val="24"/>
        </w:rPr>
        <w:t xml:space="preserve"> </w:t>
      </w:r>
      <w:r w:rsidRPr="00082ABB">
        <w:rPr>
          <w:rFonts w:ascii="Book Antiqua" w:hAnsi="Book Antiqua"/>
          <w:sz w:val="24"/>
          <w:szCs w:val="24"/>
        </w:rPr>
        <w:t xml:space="preserve">0.0219) and PFS (5.7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4.5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0.79, </w:t>
      </w:r>
      <w:r w:rsidRPr="00082ABB">
        <w:rPr>
          <w:rFonts w:ascii="Book Antiqua" w:hAnsi="Book Antiqua"/>
          <w:i/>
          <w:sz w:val="24"/>
          <w:szCs w:val="24"/>
        </w:rPr>
        <w:t>P</w:t>
      </w:r>
      <w:r w:rsidR="00AC4ADD" w:rsidRPr="00082ABB">
        <w:rPr>
          <w:rFonts w:ascii="Book Antiqua" w:hAnsi="Book Antiqua"/>
          <w:i/>
          <w:sz w:val="24"/>
          <w:szCs w:val="24"/>
        </w:rPr>
        <w:t xml:space="preserve"> </w:t>
      </w:r>
      <w:r w:rsidRPr="00082ABB">
        <w:rPr>
          <w:rFonts w:ascii="Book Antiqua" w:hAnsi="Book Antiqua"/>
          <w:sz w:val="24"/>
          <w:szCs w:val="24"/>
        </w:rPr>
        <w:t>&lt;</w:t>
      </w:r>
      <w:r w:rsidR="00AC4ADD" w:rsidRPr="00082ABB">
        <w:rPr>
          <w:rFonts w:ascii="Book Antiqua" w:hAnsi="Book Antiqua"/>
          <w:sz w:val="24"/>
          <w:szCs w:val="24"/>
        </w:rPr>
        <w:t xml:space="preserve"> </w:t>
      </w:r>
      <w:r w:rsidRPr="00082ABB">
        <w:rPr>
          <w:rFonts w:ascii="Book Antiqua" w:hAnsi="Book Antiqua"/>
          <w:sz w:val="24"/>
          <w:szCs w:val="24"/>
        </w:rPr>
        <w:t xml:space="preserve">0.0005) than FOLFIRI alone. </w:t>
      </w:r>
      <w:r w:rsidR="006C2FE0" w:rsidRPr="00082ABB">
        <w:rPr>
          <w:rFonts w:ascii="Book Antiqua" w:hAnsi="Book Antiqua"/>
          <w:sz w:val="24"/>
          <w:szCs w:val="24"/>
        </w:rPr>
        <w:t>The</w:t>
      </w:r>
      <w:r w:rsidRPr="00082ABB">
        <w:rPr>
          <w:rFonts w:ascii="Book Antiqua" w:hAnsi="Book Antiqua"/>
          <w:sz w:val="24"/>
          <w:szCs w:val="24"/>
        </w:rPr>
        <w:t xml:space="preserve"> RR was similar </w:t>
      </w:r>
      <w:r w:rsidR="006C2FE0" w:rsidRPr="00082ABB">
        <w:rPr>
          <w:rFonts w:ascii="Book Antiqua" w:hAnsi="Book Antiqua"/>
          <w:sz w:val="24"/>
          <w:szCs w:val="24"/>
        </w:rPr>
        <w:t xml:space="preserve">in </w:t>
      </w:r>
      <w:r w:rsidR="00926B53" w:rsidRPr="00082ABB">
        <w:rPr>
          <w:rFonts w:ascii="Book Antiqua" w:hAnsi="Book Antiqua"/>
          <w:sz w:val="24"/>
          <w:szCs w:val="24"/>
        </w:rPr>
        <w:t xml:space="preserve">the </w:t>
      </w:r>
      <w:r w:rsidR="006C2FE0" w:rsidRPr="00082ABB">
        <w:rPr>
          <w:rFonts w:ascii="Book Antiqua" w:hAnsi="Book Antiqua"/>
          <w:sz w:val="24"/>
          <w:szCs w:val="24"/>
        </w:rPr>
        <w:t xml:space="preserve">two </w:t>
      </w:r>
      <w:r w:rsidRPr="00082ABB">
        <w:rPr>
          <w:rFonts w:ascii="Book Antiqua" w:hAnsi="Book Antiqua"/>
          <w:sz w:val="24"/>
          <w:szCs w:val="24"/>
        </w:rPr>
        <w:t>arm</w:t>
      </w:r>
      <w:r w:rsidR="00926B53" w:rsidRPr="00082ABB">
        <w:rPr>
          <w:rFonts w:ascii="Book Antiqua" w:hAnsi="Book Antiqua"/>
          <w:sz w:val="24"/>
          <w:szCs w:val="24"/>
        </w:rPr>
        <w:t>s</w:t>
      </w:r>
      <w:r w:rsidRPr="00082ABB">
        <w:rPr>
          <w:rFonts w:ascii="Book Antiqua" w:hAnsi="Book Antiqua"/>
          <w:sz w:val="24"/>
          <w:szCs w:val="24"/>
        </w:rPr>
        <w:t xml:space="preserve"> (13.4% in ramucirumab plus FOLFIRI </w:t>
      </w:r>
      <w:r w:rsidRPr="00082ABB">
        <w:rPr>
          <w:rFonts w:ascii="Book Antiqua" w:hAnsi="Book Antiqua"/>
          <w:i/>
          <w:sz w:val="24"/>
          <w:szCs w:val="24"/>
        </w:rPr>
        <w:t>vs</w:t>
      </w:r>
      <w:r w:rsidRPr="00082ABB">
        <w:rPr>
          <w:rFonts w:ascii="Book Antiqua" w:hAnsi="Book Antiqua"/>
          <w:sz w:val="24"/>
          <w:szCs w:val="24"/>
        </w:rPr>
        <w:t xml:space="preserve"> 12.5% in FOLFIRI alone)</w:t>
      </w:r>
      <w:r w:rsidR="006C2FE0" w:rsidRPr="00082ABB">
        <w:rPr>
          <w:rFonts w:ascii="Book Antiqua" w:hAnsi="Book Antiqua"/>
          <w:sz w:val="24"/>
          <w:szCs w:val="24"/>
        </w:rPr>
        <w:t xml:space="preserve">, as was the </w:t>
      </w:r>
      <w:r w:rsidRPr="00082ABB">
        <w:rPr>
          <w:rFonts w:ascii="Book Antiqua" w:hAnsi="Book Antiqua"/>
          <w:sz w:val="24"/>
          <w:szCs w:val="24"/>
        </w:rPr>
        <w:t xml:space="preserve">frequency of serious adverse events (36% in ramucirumab plus FOLFIRI </w:t>
      </w:r>
      <w:r w:rsidRPr="00082ABB">
        <w:rPr>
          <w:rFonts w:ascii="Book Antiqua" w:hAnsi="Book Antiqua"/>
          <w:i/>
          <w:sz w:val="24"/>
          <w:szCs w:val="24"/>
        </w:rPr>
        <w:t>vs</w:t>
      </w:r>
      <w:r w:rsidRPr="00082ABB">
        <w:rPr>
          <w:rFonts w:ascii="Book Antiqua" w:hAnsi="Book Antiqua"/>
          <w:sz w:val="24"/>
          <w:szCs w:val="24"/>
        </w:rPr>
        <w:t xml:space="preserve"> 31% in FOLFIRI alone). From this result of RAISE, ramucirumab was approved in 2015 by</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FDA for mCRC in combination with FOLFIRI</w:t>
      </w:r>
      <w:r w:rsidR="00A16F3D" w:rsidRPr="00082ABB">
        <w:rPr>
          <w:rFonts w:ascii="Book Antiqua" w:hAnsi="Book Antiqua" w:hint="eastAsia"/>
          <w:sz w:val="24"/>
          <w:szCs w:val="24"/>
        </w:rPr>
        <w:t xml:space="preserve"> (Table 1)</w:t>
      </w:r>
      <w:r w:rsidRPr="00082ABB">
        <w:rPr>
          <w:rFonts w:ascii="Book Antiqua" w:hAnsi="Book Antiqua"/>
          <w:sz w:val="24"/>
          <w:szCs w:val="24"/>
        </w:rPr>
        <w:t>.</w:t>
      </w:r>
    </w:p>
    <w:p w:rsidR="00BC5F12" w:rsidRPr="00082ABB" w:rsidRDefault="00BC5F12" w:rsidP="007061C9">
      <w:pPr>
        <w:snapToGrid w:val="0"/>
        <w:spacing w:line="360" w:lineRule="auto"/>
        <w:rPr>
          <w:rFonts w:ascii="Book Antiqua" w:hAnsi="Book Antiqua"/>
          <w:sz w:val="24"/>
          <w:szCs w:val="24"/>
        </w:rPr>
      </w:pPr>
    </w:p>
    <w:p w:rsidR="00F203A4" w:rsidRPr="00082ABB" w:rsidRDefault="00BC5F12" w:rsidP="007061C9">
      <w:pPr>
        <w:snapToGrid w:val="0"/>
        <w:spacing w:line="360" w:lineRule="auto"/>
        <w:rPr>
          <w:rFonts w:ascii="Book Antiqua" w:hAnsi="Book Antiqua"/>
          <w:b/>
          <w:i/>
          <w:sz w:val="24"/>
          <w:szCs w:val="24"/>
        </w:rPr>
      </w:pPr>
      <w:r w:rsidRPr="00082ABB">
        <w:rPr>
          <w:rFonts w:ascii="Book Antiqua" w:hAnsi="Book Antiqua"/>
          <w:b/>
          <w:i/>
          <w:sz w:val="24"/>
          <w:szCs w:val="24"/>
        </w:rPr>
        <w:t>Regorafenib</w:t>
      </w: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Regorafenib is an oral multi-kinase block</w:t>
      </w:r>
      <w:r w:rsidR="00926B53" w:rsidRPr="00082ABB">
        <w:rPr>
          <w:rFonts w:ascii="Book Antiqua" w:hAnsi="Book Antiqua"/>
          <w:sz w:val="24"/>
          <w:szCs w:val="24"/>
        </w:rPr>
        <w:t xml:space="preserve">er that </w:t>
      </w:r>
      <w:r w:rsidRPr="00082ABB">
        <w:rPr>
          <w:rFonts w:ascii="Book Antiqua" w:hAnsi="Book Antiqua"/>
          <w:sz w:val="24"/>
          <w:szCs w:val="24"/>
        </w:rPr>
        <w:t xml:space="preserve">inhibits the activity of several protein kinases related to </w:t>
      </w:r>
      <w:r w:rsidR="00926B53" w:rsidRPr="00082ABB">
        <w:rPr>
          <w:rFonts w:ascii="Book Antiqua" w:hAnsi="Book Antiqua"/>
          <w:sz w:val="24"/>
          <w:szCs w:val="24"/>
        </w:rPr>
        <w:t xml:space="preserve">the </w:t>
      </w:r>
      <w:r w:rsidRPr="00082ABB">
        <w:rPr>
          <w:rFonts w:ascii="Book Antiqua" w:hAnsi="Book Antiqua"/>
          <w:sz w:val="24"/>
          <w:szCs w:val="24"/>
        </w:rPr>
        <w:t xml:space="preserve">angiogenic pathway (VEGFR-1, VEGFR-2, VEGFR-3, TIE-2), </w:t>
      </w:r>
      <w:r w:rsidR="006C2FE0" w:rsidRPr="00082ABB">
        <w:rPr>
          <w:rFonts w:ascii="Book Antiqua" w:hAnsi="Book Antiqua"/>
          <w:sz w:val="24"/>
          <w:szCs w:val="24"/>
        </w:rPr>
        <w:t xml:space="preserve">the </w:t>
      </w:r>
      <w:r w:rsidRPr="00082ABB">
        <w:rPr>
          <w:rFonts w:ascii="Book Antiqua" w:hAnsi="Book Antiqua"/>
          <w:sz w:val="24"/>
          <w:szCs w:val="24"/>
        </w:rPr>
        <w:t>oncogenic pathway (KIT, RET, RAF1, BRAF), and the tumor mi</w:t>
      </w:r>
      <w:r w:rsidR="00A40572" w:rsidRPr="00082ABB">
        <w:rPr>
          <w:rFonts w:ascii="Book Antiqua" w:hAnsi="Book Antiqua"/>
          <w:sz w:val="24"/>
          <w:szCs w:val="24"/>
        </w:rPr>
        <w:t>croenvironment (PDGFR and FGFR)</w:t>
      </w:r>
      <w:r w:rsidRPr="00082ABB">
        <w:rPr>
          <w:rFonts w:ascii="Book Antiqua" w:hAnsi="Book Antiqua"/>
          <w:sz w:val="24"/>
          <w:szCs w:val="24"/>
          <w:vertAlign w:val="superscript"/>
        </w:rPr>
        <w:t>[</w:t>
      </w:r>
      <w:r w:rsidR="006D71BD" w:rsidRPr="00082ABB">
        <w:rPr>
          <w:rFonts w:ascii="Book Antiqua" w:hAnsi="Book Antiqua"/>
          <w:sz w:val="24"/>
          <w:szCs w:val="24"/>
          <w:vertAlign w:val="superscript"/>
        </w:rPr>
        <w:t>51</w:t>
      </w:r>
      <w:r w:rsidRPr="00082ABB">
        <w:rPr>
          <w:rFonts w:ascii="Book Antiqua" w:hAnsi="Book Antiqua"/>
          <w:sz w:val="24"/>
          <w:szCs w:val="24"/>
          <w:vertAlign w:val="superscript"/>
        </w:rPr>
        <w:t>]</w:t>
      </w:r>
      <w:r w:rsidRPr="00082ABB">
        <w:rPr>
          <w:rFonts w:ascii="Book Antiqua" w:hAnsi="Book Antiqua"/>
          <w:sz w:val="24"/>
          <w:szCs w:val="24"/>
        </w:rPr>
        <w:t xml:space="preserve">. The CORRECT trial was conducted to evaluate the efficacy and safety of regorafenib in patients with mCRC who had progressed after </w:t>
      </w:r>
      <w:r w:rsidR="00A40572" w:rsidRPr="00082ABB">
        <w:rPr>
          <w:rFonts w:ascii="Book Antiqua" w:hAnsi="Book Antiqua"/>
          <w:sz w:val="24"/>
          <w:szCs w:val="24"/>
        </w:rPr>
        <w:t xml:space="preserve">all approved standard </w:t>
      </w:r>
      <w:proofErr w:type="gramStart"/>
      <w:r w:rsidR="00A40572" w:rsidRPr="00082ABB">
        <w:rPr>
          <w:rFonts w:ascii="Book Antiqua" w:hAnsi="Book Antiqua"/>
          <w:sz w:val="24"/>
          <w:szCs w:val="24"/>
        </w:rPr>
        <w:t>therapies</w:t>
      </w:r>
      <w:r w:rsidRPr="00082ABB">
        <w:rPr>
          <w:rFonts w:ascii="Book Antiqua" w:hAnsi="Book Antiqua"/>
          <w:sz w:val="24"/>
          <w:szCs w:val="24"/>
          <w:vertAlign w:val="superscript"/>
        </w:rPr>
        <w:t>[</w:t>
      </w:r>
      <w:proofErr w:type="gramEnd"/>
      <w:r w:rsidR="006D71BD" w:rsidRPr="00082ABB">
        <w:rPr>
          <w:rFonts w:ascii="Book Antiqua" w:hAnsi="Book Antiqua"/>
          <w:sz w:val="24"/>
          <w:szCs w:val="24"/>
          <w:vertAlign w:val="superscript"/>
        </w:rPr>
        <w:t>52</w:t>
      </w:r>
      <w:r w:rsidRPr="00082ABB">
        <w:rPr>
          <w:rFonts w:ascii="Book Antiqua" w:hAnsi="Book Antiqua"/>
          <w:sz w:val="24"/>
          <w:szCs w:val="24"/>
          <w:vertAlign w:val="superscript"/>
        </w:rPr>
        <w:t>]</w:t>
      </w:r>
      <w:r w:rsidRPr="00082ABB">
        <w:rPr>
          <w:rFonts w:ascii="Book Antiqua" w:hAnsi="Book Antiqua"/>
          <w:sz w:val="24"/>
          <w:szCs w:val="24"/>
        </w:rPr>
        <w:t xml:space="preserve">. Patients treated with regorafenib had slightly prolonged OS (6.4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5.0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0.77, </w:t>
      </w:r>
      <w:r w:rsidRPr="00082ABB">
        <w:rPr>
          <w:rFonts w:ascii="Book Antiqua" w:hAnsi="Book Antiqua"/>
          <w:i/>
          <w:sz w:val="24"/>
          <w:szCs w:val="24"/>
        </w:rPr>
        <w:t>P</w:t>
      </w:r>
      <w:r w:rsidR="00F203A4" w:rsidRPr="00082ABB">
        <w:rPr>
          <w:rFonts w:ascii="Book Antiqua" w:hAnsi="Book Antiqua"/>
          <w:i/>
          <w:sz w:val="24"/>
          <w:szCs w:val="24"/>
        </w:rPr>
        <w:t xml:space="preserve"> </w:t>
      </w:r>
      <w:r w:rsidRPr="00082ABB">
        <w:rPr>
          <w:rFonts w:ascii="Book Antiqua" w:hAnsi="Book Antiqua"/>
          <w:sz w:val="24"/>
          <w:szCs w:val="24"/>
        </w:rPr>
        <w:t>=</w:t>
      </w:r>
      <w:r w:rsidR="00F203A4" w:rsidRPr="00082ABB">
        <w:rPr>
          <w:rFonts w:ascii="Book Antiqua" w:hAnsi="Book Antiqua"/>
          <w:sz w:val="24"/>
          <w:szCs w:val="24"/>
        </w:rPr>
        <w:t xml:space="preserve"> </w:t>
      </w:r>
      <w:r w:rsidRPr="00082ABB">
        <w:rPr>
          <w:rFonts w:ascii="Book Antiqua" w:hAnsi="Book Antiqua"/>
          <w:sz w:val="24"/>
          <w:szCs w:val="24"/>
        </w:rPr>
        <w:t xml:space="preserve">0.0052) and PFS (1.9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1.7 mo, HR</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0.49, </w:t>
      </w:r>
      <w:r w:rsidRPr="00082ABB">
        <w:rPr>
          <w:rFonts w:ascii="Book Antiqua" w:hAnsi="Book Antiqua"/>
          <w:i/>
          <w:sz w:val="24"/>
          <w:szCs w:val="24"/>
        </w:rPr>
        <w:t>P</w:t>
      </w:r>
      <w:r w:rsidR="00F203A4" w:rsidRPr="00082ABB">
        <w:rPr>
          <w:rFonts w:ascii="Book Antiqua" w:hAnsi="Book Antiqua"/>
          <w:i/>
          <w:sz w:val="24"/>
          <w:szCs w:val="24"/>
        </w:rPr>
        <w:t xml:space="preserve"> </w:t>
      </w:r>
      <w:r w:rsidRPr="00082ABB">
        <w:rPr>
          <w:rFonts w:ascii="Book Antiqua" w:hAnsi="Book Antiqua"/>
          <w:sz w:val="24"/>
          <w:szCs w:val="24"/>
        </w:rPr>
        <w:t>&lt;</w:t>
      </w:r>
      <w:r w:rsidR="00F203A4" w:rsidRPr="00082ABB">
        <w:rPr>
          <w:rFonts w:ascii="Book Antiqua" w:hAnsi="Book Antiqua"/>
          <w:sz w:val="24"/>
          <w:szCs w:val="24"/>
        </w:rPr>
        <w:t xml:space="preserve"> </w:t>
      </w:r>
      <w:r w:rsidRPr="00082ABB">
        <w:rPr>
          <w:rFonts w:ascii="Book Antiqua" w:hAnsi="Book Antiqua"/>
          <w:sz w:val="24"/>
          <w:szCs w:val="24"/>
        </w:rPr>
        <w:t>0.0001) compared with placebo. The most frequent adverse events of grade 3 or higher were hand-foot skin reaction, fatigue, diarrhea, hypertension, and rash or desquamation. Of note, fatal drug-induced liver injury was observed</w:t>
      </w:r>
      <w:r w:rsidR="00A16F3D" w:rsidRPr="00082ABB">
        <w:rPr>
          <w:rFonts w:ascii="Book Antiqua" w:hAnsi="Book Antiqua" w:hint="eastAsia"/>
          <w:sz w:val="24"/>
          <w:szCs w:val="24"/>
        </w:rPr>
        <w:t xml:space="preserve"> (Table 1)</w:t>
      </w:r>
      <w:r w:rsidRPr="00082ABB">
        <w:rPr>
          <w:rFonts w:ascii="Book Antiqua" w:hAnsi="Book Antiqua"/>
          <w:sz w:val="24"/>
          <w:szCs w:val="24"/>
        </w:rPr>
        <w:t>.</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b/>
          <w:caps/>
          <w:sz w:val="24"/>
          <w:szCs w:val="24"/>
        </w:rPr>
      </w:pPr>
      <w:r w:rsidRPr="00082ABB">
        <w:rPr>
          <w:rFonts w:ascii="Book Antiqua" w:hAnsi="Book Antiqua"/>
          <w:b/>
          <w:caps/>
          <w:sz w:val="24"/>
          <w:szCs w:val="24"/>
        </w:rPr>
        <w:t>Anti-EGFR agents</w:t>
      </w: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 xml:space="preserve">EGFR is a transmembrane glycoprotein </w:t>
      </w:r>
      <w:r w:rsidR="00926B53" w:rsidRPr="00082ABB">
        <w:rPr>
          <w:rFonts w:ascii="Book Antiqua" w:hAnsi="Book Antiqua"/>
          <w:sz w:val="24"/>
          <w:szCs w:val="24"/>
        </w:rPr>
        <w:t xml:space="preserve">that </w:t>
      </w:r>
      <w:r w:rsidRPr="00082ABB">
        <w:rPr>
          <w:rFonts w:ascii="Book Antiqua" w:hAnsi="Book Antiqua"/>
          <w:sz w:val="24"/>
          <w:szCs w:val="24"/>
        </w:rPr>
        <w:t xml:space="preserve">belongs to the human epidermal growth factor receptor (HER)-erbB family of tyrosine kinase </w:t>
      </w:r>
      <w:proofErr w:type="gramStart"/>
      <w:r w:rsidRPr="00082ABB">
        <w:rPr>
          <w:rFonts w:ascii="Book Antiqua" w:hAnsi="Book Antiqua"/>
          <w:sz w:val="24"/>
          <w:szCs w:val="24"/>
        </w:rPr>
        <w:t>receptor</w:t>
      </w:r>
      <w:r w:rsidR="00926B53" w:rsidRPr="00082ABB">
        <w:rPr>
          <w:rFonts w:ascii="Book Antiqua" w:hAnsi="Book Antiqua"/>
          <w:sz w:val="24"/>
          <w:szCs w:val="24"/>
        </w:rPr>
        <w:t>s</w:t>
      </w:r>
      <w:r w:rsidRPr="00082ABB">
        <w:rPr>
          <w:rFonts w:ascii="Book Antiqua" w:hAnsi="Book Antiqua"/>
          <w:sz w:val="24"/>
          <w:szCs w:val="24"/>
          <w:vertAlign w:val="superscript"/>
        </w:rPr>
        <w:t>[</w:t>
      </w:r>
      <w:proofErr w:type="gramEnd"/>
      <w:r w:rsidR="006D71BD" w:rsidRPr="00082ABB">
        <w:rPr>
          <w:rFonts w:ascii="Book Antiqua" w:hAnsi="Book Antiqua"/>
          <w:sz w:val="24"/>
          <w:szCs w:val="24"/>
          <w:vertAlign w:val="superscript"/>
        </w:rPr>
        <w:t>53</w:t>
      </w:r>
      <w:r w:rsidRPr="00082ABB">
        <w:rPr>
          <w:rFonts w:ascii="Book Antiqua" w:hAnsi="Book Antiqua"/>
          <w:sz w:val="24"/>
          <w:szCs w:val="24"/>
          <w:vertAlign w:val="superscript"/>
        </w:rPr>
        <w:t>]</w:t>
      </w:r>
      <w:r w:rsidRPr="00082ABB">
        <w:rPr>
          <w:rFonts w:ascii="Book Antiqua" w:hAnsi="Book Antiqua"/>
          <w:sz w:val="24"/>
          <w:szCs w:val="24"/>
        </w:rPr>
        <w:t xml:space="preserve">. </w:t>
      </w:r>
      <w:r w:rsidR="008637F9" w:rsidRPr="00082ABB">
        <w:rPr>
          <w:rFonts w:ascii="Book Antiqua" w:hAnsi="Book Antiqua"/>
          <w:sz w:val="24"/>
          <w:szCs w:val="24"/>
        </w:rPr>
        <w:t xml:space="preserve">Ligand binding to </w:t>
      </w:r>
      <w:r w:rsidRPr="00082ABB">
        <w:rPr>
          <w:rFonts w:ascii="Book Antiqua" w:hAnsi="Book Antiqua"/>
          <w:sz w:val="24"/>
          <w:szCs w:val="24"/>
        </w:rPr>
        <w:t xml:space="preserve">EGFR leads to the autophosphorylation of the intracellular domain and activates the downstream signaling pathway, including RAS/RAF/MAPK, STAT, and PI3K/AKT. The activation of </w:t>
      </w:r>
      <w:r w:rsidR="00926B53" w:rsidRPr="00082ABB">
        <w:rPr>
          <w:rFonts w:ascii="Book Antiqua" w:hAnsi="Book Antiqua"/>
          <w:sz w:val="24"/>
          <w:szCs w:val="24"/>
        </w:rPr>
        <w:t xml:space="preserve">the </w:t>
      </w:r>
      <w:r w:rsidRPr="00082ABB">
        <w:rPr>
          <w:rFonts w:ascii="Book Antiqua" w:hAnsi="Book Antiqua"/>
          <w:sz w:val="24"/>
          <w:szCs w:val="24"/>
        </w:rPr>
        <w:t>signaling pathway modulates cell proliferation, adhesion, angiogen</w:t>
      </w:r>
      <w:r w:rsidR="00A40572" w:rsidRPr="00082ABB">
        <w:rPr>
          <w:rFonts w:ascii="Book Antiqua" w:hAnsi="Book Antiqua"/>
          <w:sz w:val="24"/>
          <w:szCs w:val="24"/>
        </w:rPr>
        <w:t xml:space="preserve">esis, migration, and </w:t>
      </w:r>
      <w:proofErr w:type="gramStart"/>
      <w:r w:rsidR="00A40572" w:rsidRPr="00082ABB">
        <w:rPr>
          <w:rFonts w:ascii="Book Antiqua" w:hAnsi="Book Antiqua"/>
          <w:sz w:val="24"/>
          <w:szCs w:val="24"/>
        </w:rPr>
        <w:t>metastasis</w:t>
      </w:r>
      <w:r w:rsidRPr="00082ABB">
        <w:rPr>
          <w:rFonts w:ascii="Book Antiqua" w:hAnsi="Book Antiqua"/>
          <w:sz w:val="24"/>
          <w:szCs w:val="24"/>
          <w:vertAlign w:val="superscript"/>
        </w:rPr>
        <w:t>[</w:t>
      </w:r>
      <w:proofErr w:type="gramEnd"/>
      <w:r w:rsidR="00A40572" w:rsidRPr="00082ABB">
        <w:rPr>
          <w:rFonts w:ascii="Book Antiqua" w:hAnsi="Book Antiqua"/>
          <w:sz w:val="24"/>
          <w:szCs w:val="24"/>
          <w:vertAlign w:val="superscript"/>
        </w:rPr>
        <w:t>54,</w:t>
      </w:r>
      <w:r w:rsidR="006D71BD" w:rsidRPr="00082ABB">
        <w:rPr>
          <w:rFonts w:ascii="Book Antiqua" w:hAnsi="Book Antiqua"/>
          <w:sz w:val="24"/>
          <w:szCs w:val="24"/>
          <w:vertAlign w:val="superscript"/>
        </w:rPr>
        <w:t>55</w:t>
      </w:r>
      <w:r w:rsidRPr="00082ABB">
        <w:rPr>
          <w:rFonts w:ascii="Book Antiqua" w:hAnsi="Book Antiqua"/>
          <w:sz w:val="24"/>
          <w:szCs w:val="24"/>
          <w:vertAlign w:val="superscript"/>
        </w:rPr>
        <w:t>]</w:t>
      </w:r>
      <w:r w:rsidRPr="00082ABB">
        <w:rPr>
          <w:rFonts w:ascii="Book Antiqua" w:hAnsi="Book Antiqua"/>
          <w:sz w:val="24"/>
          <w:szCs w:val="24"/>
        </w:rPr>
        <w:t xml:space="preserve">.  </w:t>
      </w:r>
    </w:p>
    <w:p w:rsidR="00BC5F12" w:rsidRPr="00082ABB" w:rsidRDefault="00BC5F12" w:rsidP="00A40572">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Cetuximab and panitumumab are anti-EGFR monoclonal antibodies used for mCRC in daily practice. The mechanism</w:t>
      </w:r>
      <w:r w:rsidR="00926B53" w:rsidRPr="00082ABB">
        <w:rPr>
          <w:rFonts w:ascii="Book Antiqua" w:hAnsi="Book Antiqua"/>
          <w:sz w:val="24"/>
          <w:szCs w:val="24"/>
        </w:rPr>
        <w:t>s</w:t>
      </w:r>
      <w:r w:rsidRPr="00082ABB">
        <w:rPr>
          <w:rFonts w:ascii="Book Antiqua" w:hAnsi="Book Antiqua"/>
          <w:sz w:val="24"/>
          <w:szCs w:val="24"/>
        </w:rPr>
        <w:t xml:space="preserve"> of cetuximab and panitumumab are described below. At present, the use of cetuximab or panitumumab </w:t>
      </w:r>
      <w:r w:rsidR="00926B53" w:rsidRPr="00082ABB">
        <w:rPr>
          <w:rFonts w:ascii="Book Antiqua" w:hAnsi="Book Antiqua"/>
          <w:sz w:val="24"/>
          <w:szCs w:val="24"/>
        </w:rPr>
        <w:t xml:space="preserve">is </w:t>
      </w:r>
      <w:r w:rsidRPr="00082ABB">
        <w:rPr>
          <w:rFonts w:ascii="Book Antiqua" w:hAnsi="Book Antiqua"/>
          <w:sz w:val="24"/>
          <w:szCs w:val="24"/>
        </w:rPr>
        <w:t xml:space="preserve">restricted only </w:t>
      </w:r>
      <w:r w:rsidR="00926B53" w:rsidRPr="00082ABB">
        <w:rPr>
          <w:rFonts w:ascii="Book Antiqua" w:hAnsi="Book Antiqua"/>
          <w:sz w:val="24"/>
          <w:szCs w:val="24"/>
        </w:rPr>
        <w:t xml:space="preserve">to </w:t>
      </w:r>
      <w:r w:rsidRPr="00082ABB">
        <w:rPr>
          <w:rFonts w:ascii="Book Antiqua" w:hAnsi="Book Antiqua"/>
          <w:sz w:val="24"/>
          <w:szCs w:val="24"/>
        </w:rPr>
        <w:t xml:space="preserve">mCRC patients with </w:t>
      </w:r>
      <w:r w:rsidR="002C3048" w:rsidRPr="00082ABB">
        <w:rPr>
          <w:rFonts w:ascii="Book Antiqua" w:hAnsi="Book Antiqua"/>
          <w:i/>
          <w:sz w:val="24"/>
          <w:szCs w:val="24"/>
        </w:rPr>
        <w:t>K</w:t>
      </w:r>
      <w:r w:rsidRPr="00082ABB">
        <w:rPr>
          <w:rFonts w:ascii="Book Antiqua" w:hAnsi="Book Antiqua"/>
          <w:i/>
          <w:sz w:val="24"/>
          <w:szCs w:val="24"/>
        </w:rPr>
        <w:t>RAS</w:t>
      </w:r>
      <w:r w:rsidRPr="00082ABB">
        <w:rPr>
          <w:rFonts w:ascii="Book Antiqua" w:hAnsi="Book Antiqua"/>
          <w:sz w:val="24"/>
          <w:szCs w:val="24"/>
        </w:rPr>
        <w:t xml:space="preserve"> </w:t>
      </w:r>
      <w:r w:rsidR="002C3048" w:rsidRPr="00082ABB">
        <w:rPr>
          <w:rFonts w:ascii="Book Antiqua" w:hAnsi="Book Antiqua"/>
          <w:sz w:val="24"/>
          <w:szCs w:val="24"/>
        </w:rPr>
        <w:t>and</w:t>
      </w:r>
      <w:r w:rsidR="002C3048" w:rsidRPr="00082ABB">
        <w:rPr>
          <w:rFonts w:ascii="Book Antiqua" w:hAnsi="Book Antiqua"/>
          <w:i/>
          <w:sz w:val="24"/>
          <w:szCs w:val="24"/>
        </w:rPr>
        <w:t xml:space="preserve"> NRAS </w:t>
      </w:r>
      <w:r w:rsidRPr="00082ABB">
        <w:rPr>
          <w:rFonts w:ascii="Book Antiqua" w:hAnsi="Book Antiqua"/>
          <w:sz w:val="24"/>
          <w:szCs w:val="24"/>
        </w:rPr>
        <w:t xml:space="preserve">wild type because it was </w:t>
      </w:r>
      <w:r w:rsidR="00926B53" w:rsidRPr="00082ABB">
        <w:rPr>
          <w:rFonts w:ascii="Book Antiqua" w:hAnsi="Book Antiqua"/>
          <w:sz w:val="24"/>
          <w:szCs w:val="24"/>
        </w:rPr>
        <w:t xml:space="preserve">found </w:t>
      </w:r>
      <w:r w:rsidRPr="00082ABB">
        <w:rPr>
          <w:rFonts w:ascii="Book Antiqua" w:hAnsi="Book Antiqua"/>
          <w:sz w:val="24"/>
          <w:szCs w:val="24"/>
        </w:rPr>
        <w:t xml:space="preserve">that cetuximab or panitumumab had no effect </w:t>
      </w:r>
      <w:r w:rsidR="00926B53" w:rsidRPr="00082ABB">
        <w:rPr>
          <w:rFonts w:ascii="Book Antiqua" w:hAnsi="Book Antiqua"/>
          <w:sz w:val="24"/>
          <w:szCs w:val="24"/>
        </w:rPr>
        <w:t xml:space="preserve">in </w:t>
      </w:r>
      <w:r w:rsidRPr="00082ABB">
        <w:rPr>
          <w:rFonts w:ascii="Book Antiqua" w:hAnsi="Book Antiqua"/>
          <w:sz w:val="24"/>
          <w:szCs w:val="24"/>
        </w:rPr>
        <w:t xml:space="preserve">mCRC patients with </w:t>
      </w:r>
      <w:r w:rsidR="00926B53" w:rsidRPr="00082ABB">
        <w:rPr>
          <w:rFonts w:ascii="Book Antiqua" w:hAnsi="Book Antiqua"/>
          <w:sz w:val="24"/>
          <w:szCs w:val="24"/>
        </w:rPr>
        <w:t xml:space="preserve">the </w:t>
      </w:r>
      <w:r w:rsidRPr="00082ABB">
        <w:rPr>
          <w:rFonts w:ascii="Book Antiqua" w:hAnsi="Book Antiqua"/>
          <w:sz w:val="24"/>
          <w:szCs w:val="24"/>
        </w:rPr>
        <w:t xml:space="preserve">activating mutation of </w:t>
      </w:r>
      <w:r w:rsidRPr="00082ABB">
        <w:rPr>
          <w:rFonts w:ascii="Book Antiqua" w:hAnsi="Book Antiqua"/>
          <w:i/>
          <w:sz w:val="24"/>
          <w:szCs w:val="24"/>
        </w:rPr>
        <w:t>KRAS</w:t>
      </w:r>
      <w:r w:rsidRPr="00082ABB">
        <w:rPr>
          <w:rFonts w:ascii="Book Antiqua" w:hAnsi="Book Antiqua"/>
          <w:sz w:val="24"/>
          <w:szCs w:val="24"/>
        </w:rPr>
        <w:t xml:space="preserve"> </w:t>
      </w:r>
      <w:r w:rsidR="002C3048" w:rsidRPr="00082ABB">
        <w:rPr>
          <w:rFonts w:ascii="Book Antiqua" w:hAnsi="Book Antiqua"/>
          <w:sz w:val="24"/>
          <w:szCs w:val="24"/>
        </w:rPr>
        <w:t xml:space="preserve">and </w:t>
      </w:r>
      <w:r w:rsidR="002C3048" w:rsidRPr="00082ABB">
        <w:rPr>
          <w:rFonts w:ascii="Book Antiqua" w:hAnsi="Book Antiqua"/>
          <w:i/>
          <w:sz w:val="24"/>
          <w:szCs w:val="24"/>
        </w:rPr>
        <w:t>NRAS</w:t>
      </w:r>
      <w:r w:rsidR="002C3048" w:rsidRPr="00082ABB">
        <w:rPr>
          <w:rFonts w:ascii="Book Antiqua" w:hAnsi="Book Antiqua"/>
          <w:sz w:val="24"/>
          <w:szCs w:val="24"/>
        </w:rPr>
        <w:t xml:space="preserve"> </w:t>
      </w:r>
      <w:proofErr w:type="gramStart"/>
      <w:r w:rsidR="00A40572" w:rsidRPr="00082ABB">
        <w:rPr>
          <w:rFonts w:ascii="Book Antiqua" w:hAnsi="Book Antiqua"/>
          <w:sz w:val="24"/>
          <w:szCs w:val="24"/>
        </w:rPr>
        <w:t>oncogene</w:t>
      </w:r>
      <w:r w:rsidRPr="00082ABB">
        <w:rPr>
          <w:rFonts w:ascii="Book Antiqua" w:hAnsi="Book Antiqua"/>
          <w:sz w:val="24"/>
          <w:szCs w:val="24"/>
          <w:vertAlign w:val="superscript"/>
        </w:rPr>
        <w:t>[</w:t>
      </w:r>
      <w:proofErr w:type="gramEnd"/>
      <w:r w:rsidR="006D71BD" w:rsidRPr="00082ABB">
        <w:rPr>
          <w:rFonts w:ascii="Book Antiqua" w:hAnsi="Book Antiqua"/>
          <w:sz w:val="24"/>
          <w:szCs w:val="24"/>
          <w:vertAlign w:val="superscript"/>
        </w:rPr>
        <w:t>20</w:t>
      </w:r>
      <w:r w:rsidR="00A40572" w:rsidRPr="00082ABB">
        <w:rPr>
          <w:rFonts w:ascii="Book Antiqua" w:hAnsi="Book Antiqua"/>
          <w:sz w:val="24"/>
          <w:szCs w:val="24"/>
          <w:vertAlign w:val="superscript"/>
        </w:rPr>
        <w:t>,</w:t>
      </w:r>
      <w:r w:rsidR="006D71BD" w:rsidRPr="00082ABB">
        <w:rPr>
          <w:rFonts w:ascii="Book Antiqua" w:hAnsi="Book Antiqua"/>
          <w:sz w:val="24"/>
          <w:szCs w:val="24"/>
          <w:vertAlign w:val="superscript"/>
        </w:rPr>
        <w:t>56</w:t>
      </w:r>
      <w:r w:rsidRPr="00082ABB">
        <w:rPr>
          <w:rFonts w:ascii="Book Antiqua" w:hAnsi="Book Antiqua"/>
          <w:sz w:val="24"/>
          <w:szCs w:val="24"/>
          <w:vertAlign w:val="superscript"/>
        </w:rPr>
        <w:t>]</w:t>
      </w:r>
      <w:r w:rsidRPr="00082ABB">
        <w:rPr>
          <w:rFonts w:ascii="Book Antiqua" w:hAnsi="Book Antiqua"/>
          <w:sz w:val="24"/>
          <w:szCs w:val="24"/>
        </w:rPr>
        <w:t>.</w:t>
      </w:r>
    </w:p>
    <w:p w:rsidR="00BC5F12" w:rsidRPr="00082ABB" w:rsidRDefault="00751D5A" w:rsidP="007061C9">
      <w:pPr>
        <w:snapToGrid w:val="0"/>
        <w:spacing w:line="360" w:lineRule="auto"/>
        <w:rPr>
          <w:rFonts w:ascii="Book Antiqua" w:hAnsi="Book Antiqua"/>
          <w:sz w:val="24"/>
          <w:szCs w:val="24"/>
        </w:rPr>
      </w:pPr>
      <w:r w:rsidRPr="00082ABB">
        <w:rPr>
          <w:rFonts w:ascii="Book Antiqua" w:hAnsi="Book Antiqua"/>
          <w:sz w:val="24"/>
          <w:szCs w:val="24"/>
        </w:rPr>
        <w:tab/>
      </w:r>
    </w:p>
    <w:p w:rsidR="00BC5F12" w:rsidRPr="00082ABB" w:rsidRDefault="00BC5F12" w:rsidP="007061C9">
      <w:pPr>
        <w:snapToGrid w:val="0"/>
        <w:spacing w:line="360" w:lineRule="auto"/>
        <w:rPr>
          <w:rFonts w:ascii="Book Antiqua" w:hAnsi="Book Antiqua"/>
          <w:b/>
          <w:i/>
          <w:sz w:val="24"/>
          <w:szCs w:val="24"/>
        </w:rPr>
      </w:pPr>
      <w:r w:rsidRPr="00082ABB">
        <w:rPr>
          <w:rFonts w:ascii="Book Antiqua" w:hAnsi="Book Antiqua"/>
          <w:b/>
          <w:i/>
          <w:sz w:val="24"/>
          <w:szCs w:val="24"/>
        </w:rPr>
        <w:t>Cetuximab</w:t>
      </w:r>
    </w:p>
    <w:p w:rsidR="00493443"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 xml:space="preserve">Cetuximab is a chimeric, anti-EGFR monoclonal antibody of the IgG1 class targeted against the extracellular domain of the EGFR. By binding to the EGFR, cetuximab blocks intracellular EGFR signaling and modulates tumor cell growth </w:t>
      </w:r>
      <w:r w:rsidR="00926B53" w:rsidRPr="00082ABB">
        <w:rPr>
          <w:rFonts w:ascii="Book Antiqua" w:hAnsi="Book Antiqua"/>
          <w:sz w:val="24"/>
          <w:szCs w:val="24"/>
        </w:rPr>
        <w:t xml:space="preserve">by </w:t>
      </w:r>
      <w:r w:rsidRPr="00082ABB">
        <w:rPr>
          <w:rFonts w:ascii="Book Antiqua" w:hAnsi="Book Antiqua"/>
          <w:sz w:val="24"/>
          <w:szCs w:val="24"/>
        </w:rPr>
        <w:t>inhibiting proliferation, angiogenesis</w:t>
      </w:r>
      <w:r w:rsidR="00926B53" w:rsidRPr="00082ABB">
        <w:rPr>
          <w:rFonts w:ascii="Book Antiqua" w:hAnsi="Book Antiqua"/>
          <w:sz w:val="24"/>
          <w:szCs w:val="24"/>
        </w:rPr>
        <w:t>,</w:t>
      </w:r>
      <w:r w:rsidRPr="00082ABB">
        <w:rPr>
          <w:rFonts w:ascii="Book Antiqua" w:hAnsi="Book Antiqua"/>
          <w:sz w:val="24"/>
          <w:szCs w:val="24"/>
        </w:rPr>
        <w:t xml:space="preserve"> and differentiation, stimulating apopt</w:t>
      </w:r>
      <w:r w:rsidR="00A40572" w:rsidRPr="00082ABB">
        <w:rPr>
          <w:rFonts w:ascii="Book Antiqua" w:hAnsi="Book Antiqua"/>
          <w:sz w:val="24"/>
          <w:szCs w:val="24"/>
        </w:rPr>
        <w:t xml:space="preserve">osis, and preventing </w:t>
      </w:r>
      <w:proofErr w:type="gramStart"/>
      <w:r w:rsidR="00A40572" w:rsidRPr="00082ABB">
        <w:rPr>
          <w:rFonts w:ascii="Book Antiqua" w:hAnsi="Book Antiqua"/>
          <w:sz w:val="24"/>
          <w:szCs w:val="24"/>
        </w:rPr>
        <w:t>metastasis</w:t>
      </w:r>
      <w:r w:rsidRPr="00082ABB">
        <w:rPr>
          <w:rFonts w:ascii="Book Antiqua" w:hAnsi="Book Antiqua"/>
          <w:sz w:val="24"/>
          <w:szCs w:val="24"/>
          <w:vertAlign w:val="superscript"/>
        </w:rPr>
        <w:t>[</w:t>
      </w:r>
      <w:proofErr w:type="gramEnd"/>
      <w:r w:rsidR="00A40572" w:rsidRPr="00082ABB">
        <w:rPr>
          <w:rFonts w:ascii="Book Antiqua" w:hAnsi="Book Antiqua"/>
          <w:sz w:val="24"/>
          <w:szCs w:val="24"/>
          <w:vertAlign w:val="superscript"/>
        </w:rPr>
        <w:t>57,</w:t>
      </w:r>
      <w:r w:rsidR="006D71BD" w:rsidRPr="00082ABB">
        <w:rPr>
          <w:rFonts w:ascii="Book Antiqua" w:hAnsi="Book Antiqua"/>
          <w:sz w:val="24"/>
          <w:szCs w:val="24"/>
          <w:vertAlign w:val="superscript"/>
        </w:rPr>
        <w:t>58</w:t>
      </w:r>
      <w:r w:rsidRPr="00082ABB">
        <w:rPr>
          <w:rFonts w:ascii="Book Antiqua" w:hAnsi="Book Antiqua"/>
          <w:sz w:val="24"/>
          <w:szCs w:val="24"/>
          <w:vertAlign w:val="superscript"/>
        </w:rPr>
        <w:t>]</w:t>
      </w:r>
      <w:r w:rsidRPr="00082ABB">
        <w:rPr>
          <w:rFonts w:ascii="Book Antiqua" w:hAnsi="Book Antiqua"/>
          <w:sz w:val="24"/>
          <w:szCs w:val="24"/>
        </w:rPr>
        <w:t>. Cetuximab was first approved in 2004 in combination with irinotecan for mCRC patients with irinotecan</w:t>
      </w:r>
      <w:r w:rsidR="00886037" w:rsidRPr="00082ABB">
        <w:rPr>
          <w:rFonts w:ascii="Book Antiqua" w:hAnsi="Book Antiqua"/>
          <w:sz w:val="24"/>
          <w:szCs w:val="24"/>
        </w:rPr>
        <w:t>-</w:t>
      </w:r>
      <w:r w:rsidRPr="00082ABB">
        <w:rPr>
          <w:rFonts w:ascii="Book Antiqua" w:hAnsi="Book Antiqua"/>
          <w:sz w:val="24"/>
          <w:szCs w:val="24"/>
        </w:rPr>
        <w:t>refractory</w:t>
      </w:r>
      <w:r w:rsidR="00926B53" w:rsidRPr="00082ABB">
        <w:rPr>
          <w:rFonts w:ascii="Book Antiqua" w:hAnsi="Book Antiqua"/>
          <w:sz w:val="24"/>
          <w:szCs w:val="24"/>
        </w:rPr>
        <w:t xml:space="preserve"> disease</w:t>
      </w:r>
      <w:r w:rsidRPr="00082ABB">
        <w:rPr>
          <w:rFonts w:ascii="Book Antiqua" w:hAnsi="Book Antiqua"/>
          <w:sz w:val="24"/>
          <w:szCs w:val="24"/>
        </w:rPr>
        <w:t xml:space="preserve">. After that, several experimental analyses </w:t>
      </w:r>
      <w:r w:rsidR="00926B53" w:rsidRPr="00082ABB">
        <w:rPr>
          <w:rFonts w:ascii="Book Antiqua" w:hAnsi="Book Antiqua"/>
          <w:sz w:val="24"/>
          <w:szCs w:val="24"/>
        </w:rPr>
        <w:t xml:space="preserve">showed </w:t>
      </w:r>
      <w:r w:rsidRPr="00082ABB">
        <w:rPr>
          <w:rFonts w:ascii="Book Antiqua" w:hAnsi="Book Antiqua"/>
          <w:sz w:val="24"/>
          <w:szCs w:val="24"/>
        </w:rPr>
        <w:t xml:space="preserve">that the activating mutation of </w:t>
      </w:r>
      <w:r w:rsidRPr="00082ABB">
        <w:rPr>
          <w:rFonts w:ascii="Book Antiqua" w:hAnsi="Book Antiqua"/>
          <w:i/>
          <w:sz w:val="24"/>
          <w:szCs w:val="24"/>
        </w:rPr>
        <w:t>KRAS</w:t>
      </w:r>
      <w:r w:rsidRPr="00082ABB">
        <w:rPr>
          <w:rFonts w:ascii="Book Antiqua" w:hAnsi="Book Antiqua"/>
          <w:sz w:val="24"/>
          <w:szCs w:val="24"/>
        </w:rPr>
        <w:t xml:space="preserve"> exon 2 was associated with intrinsic resistance to cetuximab. </w:t>
      </w:r>
      <w:r w:rsidR="00886037" w:rsidRPr="00082ABB">
        <w:rPr>
          <w:rFonts w:ascii="Book Antiqua" w:hAnsi="Book Antiqua"/>
          <w:sz w:val="24"/>
          <w:szCs w:val="24"/>
        </w:rPr>
        <w:t xml:space="preserve">Given </w:t>
      </w:r>
      <w:r w:rsidRPr="00082ABB">
        <w:rPr>
          <w:rFonts w:ascii="Book Antiqua" w:hAnsi="Book Antiqua"/>
          <w:sz w:val="24"/>
          <w:szCs w:val="24"/>
        </w:rPr>
        <w:t xml:space="preserve">these </w:t>
      </w:r>
      <w:r w:rsidR="00886037" w:rsidRPr="00082ABB">
        <w:rPr>
          <w:rFonts w:ascii="Book Antiqua" w:hAnsi="Book Antiqua"/>
          <w:sz w:val="24"/>
          <w:szCs w:val="24"/>
        </w:rPr>
        <w:t>findings</w:t>
      </w:r>
      <w:r w:rsidRPr="00082ABB">
        <w:rPr>
          <w:rFonts w:ascii="Book Antiqua" w:hAnsi="Book Antiqua"/>
          <w:sz w:val="24"/>
          <w:szCs w:val="24"/>
        </w:rPr>
        <w:t xml:space="preserve">, cetuximab was used only in mCRC patients with </w:t>
      </w:r>
      <w:r w:rsidRPr="00082ABB">
        <w:rPr>
          <w:rFonts w:ascii="Book Antiqua" w:hAnsi="Book Antiqua"/>
          <w:i/>
          <w:sz w:val="24"/>
          <w:szCs w:val="24"/>
        </w:rPr>
        <w:t>KRAS</w:t>
      </w:r>
      <w:r w:rsidR="00A40572" w:rsidRPr="00082ABB">
        <w:rPr>
          <w:rFonts w:ascii="Book Antiqua" w:hAnsi="Book Antiqua"/>
          <w:sz w:val="24"/>
          <w:szCs w:val="24"/>
        </w:rPr>
        <w:t xml:space="preserve"> wild </w:t>
      </w:r>
      <w:proofErr w:type="gramStart"/>
      <w:r w:rsidR="00A40572" w:rsidRPr="00082ABB">
        <w:rPr>
          <w:rFonts w:ascii="Book Antiqua" w:hAnsi="Book Antiqua"/>
          <w:sz w:val="24"/>
          <w:szCs w:val="24"/>
        </w:rPr>
        <w:t>type</w:t>
      </w:r>
      <w:r w:rsidRPr="00082ABB">
        <w:rPr>
          <w:rFonts w:ascii="Book Antiqua" w:hAnsi="Book Antiqua"/>
          <w:sz w:val="24"/>
          <w:szCs w:val="24"/>
          <w:vertAlign w:val="superscript"/>
        </w:rPr>
        <w:t>[</w:t>
      </w:r>
      <w:proofErr w:type="gramEnd"/>
      <w:r w:rsidR="006D54C7" w:rsidRPr="00082ABB">
        <w:rPr>
          <w:rFonts w:ascii="Book Antiqua" w:hAnsi="Book Antiqua"/>
          <w:sz w:val="24"/>
          <w:szCs w:val="24"/>
          <w:vertAlign w:val="superscript"/>
        </w:rPr>
        <w:t>15,56</w:t>
      </w:r>
      <w:r w:rsidRPr="00082ABB">
        <w:rPr>
          <w:rFonts w:ascii="Book Antiqua" w:hAnsi="Book Antiqua"/>
          <w:sz w:val="24"/>
          <w:szCs w:val="24"/>
          <w:vertAlign w:val="superscript"/>
        </w:rPr>
        <w:t>]</w:t>
      </w:r>
      <w:r w:rsidRPr="00082ABB">
        <w:rPr>
          <w:rFonts w:ascii="Book Antiqua" w:hAnsi="Book Antiqua"/>
          <w:sz w:val="24"/>
          <w:szCs w:val="24"/>
        </w:rPr>
        <w:t xml:space="preserve">. </w:t>
      </w:r>
      <w:r w:rsidR="00493443" w:rsidRPr="00082ABB">
        <w:rPr>
          <w:rFonts w:ascii="Book Antiqua" w:hAnsi="Book Antiqua"/>
          <w:sz w:val="24"/>
          <w:szCs w:val="24"/>
        </w:rPr>
        <w:t xml:space="preserve">Moreover, recently, </w:t>
      </w:r>
      <w:r w:rsidR="00E45EA7" w:rsidRPr="00082ABB">
        <w:rPr>
          <w:rFonts w:ascii="Book Antiqua" w:hAnsi="Book Antiqua"/>
          <w:sz w:val="24"/>
          <w:szCs w:val="24"/>
        </w:rPr>
        <w:t xml:space="preserve">some </w:t>
      </w:r>
      <w:r w:rsidR="00493443" w:rsidRPr="00082ABB">
        <w:rPr>
          <w:rFonts w:ascii="Book Antiqua" w:hAnsi="Book Antiqua"/>
          <w:sz w:val="24"/>
          <w:szCs w:val="24"/>
        </w:rPr>
        <w:t>report</w:t>
      </w:r>
      <w:r w:rsidR="00E45EA7" w:rsidRPr="00082ABB">
        <w:rPr>
          <w:rFonts w:ascii="Book Antiqua" w:hAnsi="Book Antiqua"/>
          <w:sz w:val="24"/>
          <w:szCs w:val="24"/>
        </w:rPr>
        <w:t>s revealed</w:t>
      </w:r>
      <w:r w:rsidR="00493443" w:rsidRPr="00082ABB">
        <w:rPr>
          <w:rFonts w:ascii="Book Antiqua" w:hAnsi="Book Antiqua"/>
          <w:sz w:val="24"/>
          <w:szCs w:val="24"/>
        </w:rPr>
        <w:t xml:space="preserve"> that use of anti-EGFR drugs for mCRC contributed to acquisition of a </w:t>
      </w:r>
      <w:r w:rsidR="00493443" w:rsidRPr="00082ABB">
        <w:rPr>
          <w:rFonts w:ascii="Book Antiqua" w:hAnsi="Book Antiqua"/>
          <w:i/>
          <w:sz w:val="24"/>
          <w:szCs w:val="24"/>
        </w:rPr>
        <w:t>KRAS</w:t>
      </w:r>
      <w:r w:rsidR="00493443" w:rsidRPr="00082ABB">
        <w:rPr>
          <w:rFonts w:ascii="Book Antiqua" w:hAnsi="Book Antiqua"/>
          <w:sz w:val="24"/>
          <w:szCs w:val="24"/>
        </w:rPr>
        <w:t xml:space="preserve"> </w:t>
      </w:r>
      <w:proofErr w:type="gramStart"/>
      <w:r w:rsidR="00493443" w:rsidRPr="00082ABB">
        <w:rPr>
          <w:rFonts w:ascii="Book Antiqua" w:hAnsi="Book Antiqua"/>
          <w:sz w:val="24"/>
          <w:szCs w:val="24"/>
        </w:rPr>
        <w:t>mutation</w:t>
      </w:r>
      <w:r w:rsidR="006D71BD" w:rsidRPr="00082ABB">
        <w:rPr>
          <w:rFonts w:ascii="Book Antiqua" w:hAnsi="Book Antiqua"/>
          <w:sz w:val="24"/>
          <w:szCs w:val="24"/>
          <w:vertAlign w:val="superscript"/>
        </w:rPr>
        <w:t>[</w:t>
      </w:r>
      <w:proofErr w:type="gramEnd"/>
      <w:r w:rsidR="006C59C3" w:rsidRPr="00082ABB">
        <w:rPr>
          <w:rFonts w:ascii="Book Antiqua" w:hAnsi="Book Antiqua"/>
          <w:sz w:val="24"/>
          <w:szCs w:val="24"/>
          <w:vertAlign w:val="superscript"/>
        </w:rPr>
        <w:t>59,</w:t>
      </w:r>
      <w:r w:rsidR="006D71BD" w:rsidRPr="00082ABB">
        <w:rPr>
          <w:rFonts w:ascii="Book Antiqua" w:hAnsi="Book Antiqua"/>
          <w:sz w:val="24"/>
          <w:szCs w:val="24"/>
          <w:vertAlign w:val="superscript"/>
        </w:rPr>
        <w:t>60</w:t>
      </w:r>
      <w:r w:rsidR="00DF69BC" w:rsidRPr="00082ABB">
        <w:rPr>
          <w:rFonts w:ascii="Book Antiqua" w:hAnsi="Book Antiqua"/>
          <w:sz w:val="24"/>
          <w:szCs w:val="24"/>
          <w:vertAlign w:val="superscript"/>
        </w:rPr>
        <w:t>]</w:t>
      </w:r>
      <w:r w:rsidR="00493443" w:rsidRPr="00082ABB">
        <w:rPr>
          <w:rFonts w:ascii="Book Antiqua" w:hAnsi="Book Antiqua"/>
          <w:sz w:val="24"/>
          <w:szCs w:val="24"/>
        </w:rPr>
        <w:t xml:space="preserve">.  </w:t>
      </w:r>
      <w:r w:rsidR="00E45EA7" w:rsidRPr="00082ABB">
        <w:rPr>
          <w:rFonts w:ascii="Book Antiqua" w:hAnsi="Book Antiqua"/>
          <w:sz w:val="24"/>
          <w:szCs w:val="24"/>
        </w:rPr>
        <w:t>Misale et al.</w:t>
      </w:r>
      <w:r w:rsidR="00493443" w:rsidRPr="00082ABB">
        <w:rPr>
          <w:rFonts w:ascii="Book Antiqua" w:hAnsi="Book Antiqua"/>
          <w:sz w:val="24"/>
          <w:szCs w:val="24"/>
        </w:rPr>
        <w:t xml:space="preserve"> offered two possible explanations for the discordant results of </w:t>
      </w:r>
      <w:r w:rsidR="00493443" w:rsidRPr="00082ABB">
        <w:rPr>
          <w:rFonts w:ascii="Book Antiqua" w:hAnsi="Book Antiqua"/>
          <w:i/>
          <w:sz w:val="24"/>
          <w:szCs w:val="24"/>
        </w:rPr>
        <w:t>KRAS</w:t>
      </w:r>
      <w:r w:rsidR="00493443" w:rsidRPr="00082ABB">
        <w:rPr>
          <w:rFonts w:ascii="Book Antiqua" w:hAnsi="Book Antiqua"/>
          <w:sz w:val="24"/>
          <w:szCs w:val="24"/>
        </w:rPr>
        <w:t xml:space="preserve">: heterogeneity of </w:t>
      </w:r>
      <w:r w:rsidR="00493443" w:rsidRPr="00082ABB">
        <w:rPr>
          <w:rFonts w:ascii="Book Antiqua" w:hAnsi="Book Antiqua"/>
          <w:i/>
          <w:sz w:val="24"/>
          <w:szCs w:val="24"/>
        </w:rPr>
        <w:t>KRAS</w:t>
      </w:r>
      <w:r w:rsidR="00493443" w:rsidRPr="00082ABB">
        <w:rPr>
          <w:rFonts w:ascii="Book Antiqua" w:hAnsi="Book Antiqua"/>
          <w:sz w:val="24"/>
          <w:szCs w:val="24"/>
        </w:rPr>
        <w:t xml:space="preserve"> status within the primary </w:t>
      </w:r>
      <w:r w:rsidR="00493443" w:rsidRPr="00082ABB">
        <w:rPr>
          <w:rFonts w:ascii="Book Antiqua" w:hAnsi="Book Antiqua"/>
          <w:sz w:val="24"/>
          <w:szCs w:val="24"/>
        </w:rPr>
        <w:lastRenderedPageBreak/>
        <w:t xml:space="preserve">tumor; and clonal selection during the process of </w:t>
      </w:r>
      <w:proofErr w:type="gramStart"/>
      <w:r w:rsidR="00493443" w:rsidRPr="00082ABB">
        <w:rPr>
          <w:rFonts w:ascii="Book Antiqua" w:hAnsi="Book Antiqua"/>
          <w:sz w:val="24"/>
          <w:szCs w:val="24"/>
        </w:rPr>
        <w:t>metastasis</w:t>
      </w:r>
      <w:r w:rsidR="006C59C3" w:rsidRPr="00082ABB">
        <w:rPr>
          <w:rFonts w:ascii="Book Antiqua" w:hAnsi="Book Antiqua"/>
          <w:sz w:val="24"/>
          <w:szCs w:val="24"/>
          <w:vertAlign w:val="superscript"/>
        </w:rPr>
        <w:t>[</w:t>
      </w:r>
      <w:proofErr w:type="gramEnd"/>
      <w:r w:rsidR="006C59C3" w:rsidRPr="00082ABB">
        <w:rPr>
          <w:rFonts w:ascii="Book Antiqua" w:hAnsi="Book Antiqua"/>
          <w:sz w:val="24"/>
          <w:szCs w:val="24"/>
          <w:vertAlign w:val="superscript"/>
        </w:rPr>
        <w:t>59</w:t>
      </w:r>
      <w:r w:rsidR="009C385C" w:rsidRPr="00082ABB">
        <w:rPr>
          <w:rFonts w:ascii="Book Antiqua" w:hAnsi="Book Antiqua"/>
          <w:sz w:val="24"/>
          <w:szCs w:val="24"/>
          <w:vertAlign w:val="superscript"/>
        </w:rPr>
        <w:t>]</w:t>
      </w:r>
      <w:r w:rsidR="00493443" w:rsidRPr="00082ABB">
        <w:rPr>
          <w:rFonts w:ascii="Book Antiqua" w:hAnsi="Book Antiqua"/>
          <w:sz w:val="24"/>
          <w:szCs w:val="24"/>
        </w:rPr>
        <w:t xml:space="preserve">.  In this report, among 10 patients with </w:t>
      </w:r>
      <w:r w:rsidR="00DF69BC" w:rsidRPr="00082ABB">
        <w:rPr>
          <w:rFonts w:ascii="Book Antiqua" w:hAnsi="Book Antiqua"/>
          <w:i/>
          <w:sz w:val="24"/>
          <w:szCs w:val="24"/>
        </w:rPr>
        <w:t>KRAS</w:t>
      </w:r>
      <w:r w:rsidR="00DF69BC" w:rsidRPr="00082ABB">
        <w:rPr>
          <w:rFonts w:ascii="Book Antiqua" w:hAnsi="Book Antiqua"/>
          <w:sz w:val="24"/>
          <w:szCs w:val="24"/>
        </w:rPr>
        <w:t xml:space="preserve"> wild type who </w:t>
      </w:r>
      <w:r w:rsidR="00493443" w:rsidRPr="00082ABB">
        <w:rPr>
          <w:rFonts w:ascii="Book Antiqua" w:hAnsi="Book Antiqua"/>
          <w:sz w:val="24"/>
          <w:szCs w:val="24"/>
        </w:rPr>
        <w:t xml:space="preserve">acquired resistance to anti-EGFR therapy, 6 patients had the </w:t>
      </w:r>
      <w:r w:rsidR="00493443" w:rsidRPr="00082ABB">
        <w:rPr>
          <w:rFonts w:ascii="Book Antiqua" w:hAnsi="Book Antiqua"/>
          <w:i/>
          <w:sz w:val="24"/>
          <w:szCs w:val="24"/>
        </w:rPr>
        <w:t>KRAS</w:t>
      </w:r>
      <w:r w:rsidR="00493443" w:rsidRPr="00082ABB">
        <w:rPr>
          <w:rFonts w:ascii="Book Antiqua" w:hAnsi="Book Antiqua"/>
          <w:sz w:val="24"/>
          <w:szCs w:val="24"/>
        </w:rPr>
        <w:t xml:space="preserve"> mutation</w:t>
      </w:r>
      <w:r w:rsidR="00DF69BC" w:rsidRPr="00082ABB">
        <w:rPr>
          <w:rFonts w:ascii="Book Antiqua" w:hAnsi="Book Antiqua"/>
          <w:sz w:val="24"/>
          <w:szCs w:val="24"/>
        </w:rPr>
        <w:t xml:space="preserve"> after progression on anti-EGFR therapy. In the six patients for whom sufficient pre-treatment tumor samples were available for </w:t>
      </w:r>
      <w:r w:rsidR="00DF69BC" w:rsidRPr="00082ABB">
        <w:rPr>
          <w:rFonts w:ascii="Book Antiqua" w:hAnsi="Book Antiqua"/>
          <w:i/>
          <w:sz w:val="24"/>
          <w:szCs w:val="24"/>
        </w:rPr>
        <w:t>KRAS</w:t>
      </w:r>
      <w:r w:rsidR="00DF69BC" w:rsidRPr="00082ABB">
        <w:rPr>
          <w:rFonts w:ascii="Book Antiqua" w:hAnsi="Book Antiqua"/>
          <w:sz w:val="24"/>
          <w:szCs w:val="24"/>
        </w:rPr>
        <w:t xml:space="preserve"> testing, </w:t>
      </w:r>
      <w:r w:rsidR="00DF69BC" w:rsidRPr="00082ABB">
        <w:rPr>
          <w:rFonts w:ascii="Book Antiqua" w:hAnsi="Book Antiqua"/>
          <w:i/>
          <w:sz w:val="24"/>
          <w:szCs w:val="24"/>
        </w:rPr>
        <w:t>KRAS</w:t>
      </w:r>
      <w:r w:rsidR="00DF69BC" w:rsidRPr="00082ABB">
        <w:rPr>
          <w:rFonts w:ascii="Book Antiqua" w:hAnsi="Book Antiqua"/>
          <w:sz w:val="24"/>
          <w:szCs w:val="24"/>
        </w:rPr>
        <w:t xml:space="preserve"> mutations were found to be absent at pre-treatment. </w:t>
      </w:r>
      <w:r w:rsidR="00E45EA7" w:rsidRPr="00082ABB">
        <w:rPr>
          <w:rFonts w:ascii="Book Antiqua" w:hAnsi="Book Antiqua"/>
          <w:sz w:val="24"/>
          <w:szCs w:val="24"/>
        </w:rPr>
        <w:t xml:space="preserve">Similarly, Diaz et al. showed </w:t>
      </w:r>
      <w:r w:rsidR="009C385C" w:rsidRPr="00082ABB">
        <w:rPr>
          <w:rFonts w:ascii="Book Antiqua" w:hAnsi="Book Antiqua"/>
          <w:sz w:val="24"/>
          <w:szCs w:val="24"/>
        </w:rPr>
        <w:t xml:space="preserve">that emergence of mutant </w:t>
      </w:r>
      <w:r w:rsidR="009C385C" w:rsidRPr="00082ABB">
        <w:rPr>
          <w:rFonts w:ascii="Book Antiqua" w:hAnsi="Book Antiqua"/>
          <w:i/>
          <w:sz w:val="24"/>
          <w:szCs w:val="24"/>
        </w:rPr>
        <w:t>KRAS</w:t>
      </w:r>
      <w:r w:rsidR="009C385C" w:rsidRPr="00082ABB">
        <w:rPr>
          <w:rFonts w:ascii="Book Antiqua" w:hAnsi="Book Antiqua"/>
          <w:sz w:val="24"/>
          <w:szCs w:val="24"/>
        </w:rPr>
        <w:t xml:space="preserve"> from wild type </w:t>
      </w:r>
      <w:r w:rsidR="009C385C" w:rsidRPr="00082ABB">
        <w:rPr>
          <w:rFonts w:ascii="Book Antiqua" w:hAnsi="Book Antiqua"/>
          <w:i/>
          <w:sz w:val="24"/>
          <w:szCs w:val="24"/>
        </w:rPr>
        <w:t>KRAS</w:t>
      </w:r>
      <w:r w:rsidR="009C385C" w:rsidRPr="00082ABB">
        <w:rPr>
          <w:rFonts w:ascii="Book Antiqua" w:hAnsi="Book Antiqua"/>
          <w:sz w:val="24"/>
          <w:szCs w:val="24"/>
        </w:rPr>
        <w:t xml:space="preserve"> was a mediator of acquired res</w:t>
      </w:r>
      <w:r w:rsidR="00A40572" w:rsidRPr="00082ABB">
        <w:rPr>
          <w:rFonts w:ascii="Book Antiqua" w:hAnsi="Book Antiqua"/>
          <w:sz w:val="24"/>
          <w:szCs w:val="24"/>
        </w:rPr>
        <w:t xml:space="preserve">istance to anti-EGFR </w:t>
      </w:r>
      <w:proofErr w:type="gramStart"/>
      <w:r w:rsidR="00A40572" w:rsidRPr="00082ABB">
        <w:rPr>
          <w:rFonts w:ascii="Book Antiqua" w:hAnsi="Book Antiqua"/>
          <w:sz w:val="24"/>
          <w:szCs w:val="24"/>
        </w:rPr>
        <w:t>antibodies</w:t>
      </w:r>
      <w:r w:rsidR="00B127D5" w:rsidRPr="00082ABB">
        <w:rPr>
          <w:rFonts w:ascii="Book Antiqua" w:hAnsi="Book Antiqua"/>
          <w:sz w:val="24"/>
          <w:szCs w:val="24"/>
          <w:vertAlign w:val="superscript"/>
        </w:rPr>
        <w:t>[</w:t>
      </w:r>
      <w:proofErr w:type="gramEnd"/>
      <w:r w:rsidR="00B127D5" w:rsidRPr="00082ABB">
        <w:rPr>
          <w:rFonts w:ascii="Book Antiqua" w:hAnsi="Book Antiqua"/>
          <w:sz w:val="24"/>
          <w:szCs w:val="24"/>
          <w:vertAlign w:val="superscript"/>
        </w:rPr>
        <w:t>60</w:t>
      </w:r>
      <w:r w:rsidR="009C385C" w:rsidRPr="00082ABB">
        <w:rPr>
          <w:rFonts w:ascii="Book Antiqua" w:hAnsi="Book Antiqua"/>
          <w:sz w:val="24"/>
          <w:szCs w:val="24"/>
          <w:vertAlign w:val="superscript"/>
        </w:rPr>
        <w:t>]</w:t>
      </w:r>
      <w:r w:rsidR="009C385C" w:rsidRPr="00082ABB">
        <w:rPr>
          <w:rFonts w:ascii="Book Antiqua" w:hAnsi="Book Antiqua"/>
          <w:sz w:val="24"/>
          <w:szCs w:val="24"/>
        </w:rPr>
        <w:t>.</w:t>
      </w:r>
      <w:r w:rsidR="000327BC" w:rsidRPr="00082ABB">
        <w:rPr>
          <w:rFonts w:ascii="Book Antiqua" w:hAnsi="Book Antiqua"/>
          <w:sz w:val="24"/>
          <w:szCs w:val="24"/>
        </w:rPr>
        <w:t xml:space="preserve"> </w:t>
      </w:r>
      <w:r w:rsidR="00DF69BC" w:rsidRPr="00082ABB">
        <w:rPr>
          <w:rFonts w:ascii="Book Antiqua" w:hAnsi="Book Antiqua"/>
          <w:sz w:val="24"/>
          <w:szCs w:val="24"/>
        </w:rPr>
        <w:t xml:space="preserve">These results indicate that treatment with anti-EGFR antibodies is associated with the acquisition of secondary </w:t>
      </w:r>
      <w:r w:rsidR="00DF69BC" w:rsidRPr="00082ABB">
        <w:rPr>
          <w:rFonts w:ascii="Book Antiqua" w:hAnsi="Book Antiqua"/>
          <w:i/>
          <w:sz w:val="24"/>
          <w:szCs w:val="24"/>
        </w:rPr>
        <w:t xml:space="preserve">KRAS </w:t>
      </w:r>
      <w:r w:rsidR="00DF69BC" w:rsidRPr="00082ABB">
        <w:rPr>
          <w:rFonts w:ascii="Book Antiqua" w:hAnsi="Book Antiqua"/>
          <w:sz w:val="24"/>
          <w:szCs w:val="24"/>
        </w:rPr>
        <w:t>mutations.</w:t>
      </w:r>
    </w:p>
    <w:p w:rsidR="00BC5F12" w:rsidRPr="00082ABB" w:rsidRDefault="00BC5F12" w:rsidP="00A40572">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The most common toxicit</w:t>
      </w:r>
      <w:r w:rsidR="00926B53" w:rsidRPr="00082ABB">
        <w:rPr>
          <w:rFonts w:ascii="Book Antiqua" w:hAnsi="Book Antiqua"/>
          <w:sz w:val="24"/>
          <w:szCs w:val="24"/>
        </w:rPr>
        <w:t>ies</w:t>
      </w:r>
      <w:r w:rsidRPr="00082ABB">
        <w:rPr>
          <w:rFonts w:ascii="Book Antiqua" w:hAnsi="Book Antiqua"/>
          <w:sz w:val="24"/>
          <w:szCs w:val="24"/>
        </w:rPr>
        <w:t xml:space="preserve"> a</w:t>
      </w:r>
      <w:r w:rsidR="00A40572" w:rsidRPr="00082ABB">
        <w:rPr>
          <w:rFonts w:ascii="Book Antiqua" w:hAnsi="Book Antiqua"/>
          <w:sz w:val="24"/>
          <w:szCs w:val="24"/>
        </w:rPr>
        <w:t xml:space="preserve">re skin rash and </w:t>
      </w:r>
      <w:proofErr w:type="gramStart"/>
      <w:r w:rsidR="00A40572" w:rsidRPr="00082ABB">
        <w:rPr>
          <w:rFonts w:ascii="Book Antiqua" w:hAnsi="Book Antiqua"/>
          <w:sz w:val="24"/>
          <w:szCs w:val="24"/>
        </w:rPr>
        <w:t>hypomagnesemia</w:t>
      </w:r>
      <w:r w:rsidRPr="00082ABB">
        <w:rPr>
          <w:rFonts w:ascii="Book Antiqua" w:hAnsi="Book Antiqua"/>
          <w:sz w:val="24"/>
          <w:szCs w:val="24"/>
          <w:vertAlign w:val="superscript"/>
        </w:rPr>
        <w:t>[</w:t>
      </w:r>
      <w:proofErr w:type="gramEnd"/>
      <w:r w:rsidR="006C59C3" w:rsidRPr="00082ABB">
        <w:rPr>
          <w:rFonts w:ascii="Book Antiqua" w:hAnsi="Book Antiqua"/>
          <w:sz w:val="24"/>
          <w:szCs w:val="24"/>
          <w:vertAlign w:val="superscript"/>
        </w:rPr>
        <w:t>61,62</w:t>
      </w:r>
      <w:r w:rsidRPr="00082ABB">
        <w:rPr>
          <w:rFonts w:ascii="Book Antiqua" w:hAnsi="Book Antiqua"/>
          <w:sz w:val="24"/>
          <w:szCs w:val="24"/>
          <w:vertAlign w:val="superscript"/>
        </w:rPr>
        <w:t>]</w:t>
      </w:r>
      <w:r w:rsidRPr="00082ABB">
        <w:rPr>
          <w:rFonts w:ascii="Book Antiqua" w:hAnsi="Book Antiqua"/>
          <w:sz w:val="24"/>
          <w:szCs w:val="24"/>
        </w:rPr>
        <w:t>. To prevent severe skin toxicity, preventive skin treatment</w:t>
      </w:r>
      <w:r w:rsidR="00926B53" w:rsidRPr="00082ABB">
        <w:rPr>
          <w:rFonts w:ascii="Book Antiqua" w:hAnsi="Book Antiqua"/>
          <w:sz w:val="24"/>
          <w:szCs w:val="24"/>
        </w:rPr>
        <w:t>s</w:t>
      </w:r>
      <w:r w:rsidRPr="00082ABB">
        <w:rPr>
          <w:rFonts w:ascii="Book Antiqua" w:hAnsi="Book Antiqua"/>
          <w:sz w:val="24"/>
          <w:szCs w:val="24"/>
        </w:rPr>
        <w:t xml:space="preserve"> are often performed </w:t>
      </w:r>
      <w:r w:rsidR="00926B53" w:rsidRPr="00082ABB">
        <w:rPr>
          <w:rFonts w:ascii="Book Antiqua" w:hAnsi="Book Antiqua"/>
          <w:sz w:val="24"/>
          <w:szCs w:val="24"/>
        </w:rPr>
        <w:t xml:space="preserve">for </w:t>
      </w:r>
      <w:r w:rsidRPr="00082ABB">
        <w:rPr>
          <w:rFonts w:ascii="Book Antiqua" w:hAnsi="Book Antiqua"/>
          <w:sz w:val="24"/>
          <w:szCs w:val="24"/>
        </w:rPr>
        <w:t>pat</w:t>
      </w:r>
      <w:r w:rsidR="00DA55E7" w:rsidRPr="00082ABB">
        <w:rPr>
          <w:rFonts w:ascii="Book Antiqua" w:hAnsi="Book Antiqua"/>
          <w:sz w:val="24"/>
          <w:szCs w:val="24"/>
        </w:rPr>
        <w:t>ients treated with cetuximab.</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eastAsia="宋体" w:hAnsi="Book Antiqua"/>
          <w:b/>
          <w:sz w:val="24"/>
          <w:szCs w:val="24"/>
          <w:lang w:eastAsia="zh-CN"/>
        </w:rPr>
      </w:pPr>
      <w:r w:rsidRPr="00082ABB">
        <w:rPr>
          <w:rFonts w:ascii="Book Antiqua" w:hAnsi="Book Antiqua"/>
          <w:b/>
          <w:sz w:val="24"/>
          <w:szCs w:val="24"/>
        </w:rPr>
        <w:t>First</w:t>
      </w:r>
      <w:r w:rsidR="00A40572" w:rsidRPr="00082ABB">
        <w:rPr>
          <w:rFonts w:ascii="Book Antiqua" w:hAnsi="Book Antiqua"/>
          <w:b/>
          <w:sz w:val="24"/>
          <w:szCs w:val="24"/>
        </w:rPr>
        <w:t>-line treatment in KRAS-WT mCRC</w:t>
      </w:r>
      <w:r w:rsidR="00A40572" w:rsidRPr="00082ABB">
        <w:rPr>
          <w:rFonts w:ascii="Book Antiqua" w:eastAsia="宋体" w:hAnsi="Book Antiqua"/>
          <w:b/>
          <w:sz w:val="24"/>
          <w:szCs w:val="24"/>
          <w:lang w:eastAsia="zh-CN"/>
        </w:rPr>
        <w:t xml:space="preserve">: </w:t>
      </w:r>
      <w:r w:rsidRPr="00082ABB">
        <w:rPr>
          <w:rFonts w:ascii="Book Antiqua" w:hAnsi="Book Antiqua"/>
          <w:sz w:val="24"/>
          <w:szCs w:val="24"/>
        </w:rPr>
        <w:t xml:space="preserve">The efficacy of cetuximab combined with chemotherapy </w:t>
      </w:r>
      <w:r w:rsidR="00926B53" w:rsidRPr="00082ABB">
        <w:rPr>
          <w:rFonts w:ascii="Book Antiqua" w:hAnsi="Book Antiqua"/>
          <w:sz w:val="24"/>
          <w:szCs w:val="24"/>
        </w:rPr>
        <w:t xml:space="preserve">in </w:t>
      </w:r>
      <w:r w:rsidRPr="00082ABB">
        <w:rPr>
          <w:rFonts w:ascii="Book Antiqua" w:hAnsi="Book Antiqua"/>
          <w:sz w:val="24"/>
          <w:szCs w:val="24"/>
        </w:rPr>
        <w:t>the first-line setting for mCRC was evaluated in two pivotal clinical trials</w:t>
      </w:r>
      <w:r w:rsidR="00926B53" w:rsidRPr="00082ABB">
        <w:rPr>
          <w:rFonts w:ascii="Book Antiqua" w:hAnsi="Book Antiqua"/>
          <w:sz w:val="24"/>
          <w:szCs w:val="24"/>
        </w:rPr>
        <w:t>:</w:t>
      </w:r>
      <w:r w:rsidRPr="00082ABB">
        <w:rPr>
          <w:rFonts w:ascii="Book Antiqua" w:hAnsi="Book Antiqua"/>
          <w:sz w:val="24"/>
          <w:szCs w:val="24"/>
        </w:rPr>
        <w:t xml:space="preserve"> the phase III CRYSTAL st</w:t>
      </w:r>
      <w:r w:rsidR="00A40572" w:rsidRPr="00082ABB">
        <w:rPr>
          <w:rFonts w:ascii="Book Antiqua" w:hAnsi="Book Antiqua"/>
          <w:sz w:val="24"/>
          <w:szCs w:val="24"/>
        </w:rPr>
        <w:t xml:space="preserve">udy and the Phase II OPUS </w:t>
      </w:r>
      <w:proofErr w:type="gramStart"/>
      <w:r w:rsidR="00A40572" w:rsidRPr="00082ABB">
        <w:rPr>
          <w:rFonts w:ascii="Book Antiqua" w:hAnsi="Book Antiqua"/>
          <w:sz w:val="24"/>
          <w:szCs w:val="24"/>
        </w:rPr>
        <w:t>study</w:t>
      </w:r>
      <w:r w:rsidR="004C2E8D" w:rsidRPr="00082ABB">
        <w:rPr>
          <w:rFonts w:ascii="Book Antiqua" w:hAnsi="Book Antiqua"/>
          <w:sz w:val="24"/>
          <w:szCs w:val="24"/>
          <w:vertAlign w:val="superscript"/>
        </w:rPr>
        <w:t>[</w:t>
      </w:r>
      <w:proofErr w:type="gramEnd"/>
      <w:r w:rsidR="004C2E8D" w:rsidRPr="00082ABB">
        <w:rPr>
          <w:rFonts w:ascii="Book Antiqua" w:hAnsi="Book Antiqua"/>
          <w:sz w:val="24"/>
          <w:szCs w:val="24"/>
          <w:vertAlign w:val="superscript"/>
        </w:rPr>
        <w:t>63-66</w:t>
      </w:r>
      <w:r w:rsidRPr="00082ABB">
        <w:rPr>
          <w:rFonts w:ascii="Book Antiqua" w:hAnsi="Book Antiqua"/>
          <w:sz w:val="24"/>
          <w:szCs w:val="24"/>
          <w:vertAlign w:val="superscript"/>
        </w:rPr>
        <w:t>]</w:t>
      </w:r>
      <w:r w:rsidRPr="00082ABB">
        <w:rPr>
          <w:rFonts w:ascii="Book Antiqua" w:hAnsi="Book Antiqua"/>
          <w:sz w:val="24"/>
          <w:szCs w:val="24"/>
        </w:rPr>
        <w:t>.</w:t>
      </w:r>
    </w:p>
    <w:p w:rsidR="00BC5F12" w:rsidRPr="00082ABB" w:rsidRDefault="00BC5F12" w:rsidP="00A40572">
      <w:pPr>
        <w:snapToGrid w:val="0"/>
        <w:spacing w:line="360" w:lineRule="auto"/>
        <w:ind w:firstLineChars="100" w:firstLine="240"/>
        <w:rPr>
          <w:rFonts w:ascii="Book Antiqua" w:eastAsia="宋体" w:hAnsi="Book Antiqua"/>
          <w:sz w:val="24"/>
          <w:szCs w:val="24"/>
          <w:lang w:eastAsia="zh-CN"/>
        </w:rPr>
      </w:pPr>
      <w:r w:rsidRPr="00082ABB">
        <w:rPr>
          <w:rFonts w:ascii="Book Antiqua" w:hAnsi="Book Antiqua"/>
          <w:sz w:val="24"/>
          <w:szCs w:val="24"/>
        </w:rPr>
        <w:t xml:space="preserve">In </w:t>
      </w:r>
      <w:r w:rsidR="00926B53" w:rsidRPr="00082ABB">
        <w:rPr>
          <w:rFonts w:ascii="Book Antiqua" w:hAnsi="Book Antiqua"/>
          <w:sz w:val="24"/>
          <w:szCs w:val="24"/>
        </w:rPr>
        <w:t xml:space="preserve">the </w:t>
      </w:r>
      <w:r w:rsidRPr="00082ABB">
        <w:rPr>
          <w:rFonts w:ascii="Book Antiqua" w:hAnsi="Book Antiqua"/>
          <w:sz w:val="24"/>
          <w:szCs w:val="24"/>
        </w:rPr>
        <w:t>CRYSTAL study, 1198 mCRC patients were randomly assigned to two treatment groups</w:t>
      </w:r>
      <w:r w:rsidR="00926B53" w:rsidRPr="00082ABB">
        <w:rPr>
          <w:rFonts w:ascii="Book Antiqua" w:hAnsi="Book Antiqua"/>
          <w:sz w:val="24"/>
          <w:szCs w:val="24"/>
        </w:rPr>
        <w:t>:</w:t>
      </w:r>
      <w:r w:rsidRPr="00082ABB">
        <w:rPr>
          <w:rFonts w:ascii="Book Antiqua" w:hAnsi="Book Antiqua"/>
          <w:sz w:val="24"/>
          <w:szCs w:val="24"/>
        </w:rPr>
        <w:t xml:space="preserve"> FOLFIRI plus cetuximab or FOLFIRI alone. Tumor samples from 1063 patients were used for </w:t>
      </w:r>
      <w:r w:rsidRPr="00082ABB">
        <w:rPr>
          <w:rFonts w:ascii="Book Antiqua" w:hAnsi="Book Antiqua"/>
          <w:i/>
          <w:sz w:val="24"/>
          <w:szCs w:val="24"/>
        </w:rPr>
        <w:t>KRAS</w:t>
      </w:r>
      <w:r w:rsidRPr="00082ABB">
        <w:rPr>
          <w:rFonts w:ascii="Book Antiqua" w:hAnsi="Book Antiqua"/>
          <w:sz w:val="24"/>
          <w:szCs w:val="24"/>
        </w:rPr>
        <w:t xml:space="preserve"> mutation analysis</w:t>
      </w:r>
      <w:r w:rsidR="00926B53" w:rsidRPr="00082ABB">
        <w:rPr>
          <w:rFonts w:ascii="Book Antiqua" w:hAnsi="Book Antiqua"/>
          <w:sz w:val="24"/>
          <w:szCs w:val="24"/>
        </w:rPr>
        <w:t>,</w:t>
      </w:r>
      <w:r w:rsidRPr="00082ABB">
        <w:rPr>
          <w:rFonts w:ascii="Book Antiqua" w:hAnsi="Book Antiqua"/>
          <w:sz w:val="24"/>
          <w:szCs w:val="24"/>
        </w:rPr>
        <w:t xml:space="preserve"> and 397 patients (37%) had </w:t>
      </w:r>
      <w:r w:rsidRPr="00082ABB">
        <w:rPr>
          <w:rFonts w:ascii="Book Antiqua" w:hAnsi="Book Antiqua"/>
          <w:i/>
          <w:sz w:val="24"/>
          <w:szCs w:val="24"/>
        </w:rPr>
        <w:t xml:space="preserve">KRAS </w:t>
      </w:r>
      <w:r w:rsidRPr="00082ABB">
        <w:rPr>
          <w:rFonts w:ascii="Book Antiqua" w:hAnsi="Book Antiqua"/>
          <w:sz w:val="24"/>
          <w:szCs w:val="24"/>
        </w:rPr>
        <w:t xml:space="preserve">codon 12 and 13 mutations. Of 666 patients (63%) with </w:t>
      </w:r>
      <w:r w:rsidRPr="00082ABB">
        <w:rPr>
          <w:rFonts w:ascii="Book Antiqua" w:hAnsi="Book Antiqua"/>
          <w:i/>
          <w:sz w:val="24"/>
          <w:szCs w:val="24"/>
        </w:rPr>
        <w:t>KRAS</w:t>
      </w:r>
      <w:r w:rsidRPr="00082ABB">
        <w:rPr>
          <w:rFonts w:ascii="Book Antiqua" w:hAnsi="Book Antiqua"/>
          <w:sz w:val="24"/>
          <w:szCs w:val="24"/>
        </w:rPr>
        <w:t xml:space="preserve"> wild type, the benefit of addition of cetuximab to FOLFIRI was demonstrated as significantly improved RR (57.3% </w:t>
      </w:r>
      <w:r w:rsidRPr="00082ABB">
        <w:rPr>
          <w:rFonts w:ascii="Book Antiqua" w:hAnsi="Book Antiqua"/>
          <w:i/>
          <w:sz w:val="24"/>
          <w:szCs w:val="24"/>
        </w:rPr>
        <w:t>vs</w:t>
      </w:r>
      <w:r w:rsidRPr="00082ABB">
        <w:rPr>
          <w:rFonts w:ascii="Book Antiqua" w:hAnsi="Book Antiqua"/>
          <w:sz w:val="24"/>
          <w:szCs w:val="24"/>
        </w:rPr>
        <w:t xml:space="preserve"> 39.7%, OR</w:t>
      </w:r>
      <w:r w:rsidR="00A40572" w:rsidRPr="00082ABB">
        <w:rPr>
          <w:rFonts w:ascii="Book Antiqua" w:eastAsia="宋体" w:hAnsi="Book Antiqua"/>
          <w:sz w:val="24"/>
          <w:szCs w:val="24"/>
          <w:lang w:eastAsia="zh-CN"/>
        </w:rPr>
        <w:t xml:space="preserve"> = </w:t>
      </w:r>
      <w:r w:rsidRPr="00082ABB">
        <w:rPr>
          <w:rFonts w:ascii="Book Antiqua" w:hAnsi="Book Antiqua"/>
          <w:sz w:val="24"/>
          <w:szCs w:val="24"/>
        </w:rPr>
        <w:t xml:space="preserve">2.07,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&lt;</w:t>
      </w:r>
      <w:r w:rsidR="00BE31A0" w:rsidRPr="00082ABB">
        <w:rPr>
          <w:rFonts w:ascii="Book Antiqua" w:hAnsi="Book Antiqua"/>
          <w:sz w:val="24"/>
          <w:szCs w:val="24"/>
        </w:rPr>
        <w:t xml:space="preserve"> </w:t>
      </w:r>
      <w:r w:rsidRPr="00082ABB">
        <w:rPr>
          <w:rFonts w:ascii="Book Antiqua" w:hAnsi="Book Antiqua"/>
          <w:sz w:val="24"/>
          <w:szCs w:val="24"/>
        </w:rPr>
        <w:t xml:space="preserve">0.001), PFS (9.9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8.4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0.70,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w:t>
      </w:r>
      <w:r w:rsidR="00BE31A0" w:rsidRPr="00082ABB">
        <w:rPr>
          <w:rFonts w:ascii="Book Antiqua" w:hAnsi="Book Antiqua"/>
          <w:sz w:val="24"/>
          <w:szCs w:val="24"/>
        </w:rPr>
        <w:t xml:space="preserve"> </w:t>
      </w:r>
      <w:r w:rsidRPr="00082ABB">
        <w:rPr>
          <w:rFonts w:ascii="Book Antiqua" w:hAnsi="Book Antiqua"/>
          <w:sz w:val="24"/>
          <w:szCs w:val="24"/>
        </w:rPr>
        <w:t xml:space="preserve">0.0012), and OS (23.5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20.0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0.80,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w:t>
      </w:r>
      <w:r w:rsidR="00BE31A0" w:rsidRPr="00082ABB">
        <w:rPr>
          <w:rFonts w:ascii="Book Antiqua" w:hAnsi="Book Antiqua"/>
          <w:sz w:val="24"/>
          <w:szCs w:val="24"/>
        </w:rPr>
        <w:t xml:space="preserve"> </w:t>
      </w:r>
      <w:r w:rsidRPr="00082ABB">
        <w:rPr>
          <w:rFonts w:ascii="Book Antiqua" w:hAnsi="Book Antiqua"/>
          <w:sz w:val="24"/>
          <w:szCs w:val="24"/>
        </w:rPr>
        <w:t xml:space="preserve">0.0093) compared with FOLFIRI alone. In </w:t>
      </w:r>
      <w:r w:rsidR="00926B53" w:rsidRPr="00082ABB">
        <w:rPr>
          <w:rFonts w:ascii="Book Antiqua" w:hAnsi="Book Antiqua"/>
          <w:sz w:val="24"/>
          <w:szCs w:val="24"/>
        </w:rPr>
        <w:t xml:space="preserve">the </w:t>
      </w:r>
      <w:r w:rsidRPr="00082ABB">
        <w:rPr>
          <w:rFonts w:ascii="Book Antiqua" w:hAnsi="Book Antiqua"/>
          <w:sz w:val="24"/>
          <w:szCs w:val="24"/>
        </w:rPr>
        <w:t xml:space="preserve">OPUS study, 337 mCRC patients received either FOLFOX-4 alone or FOLFOX-4 plus cetuximab. </w:t>
      </w:r>
      <w:r w:rsidRPr="00082ABB">
        <w:rPr>
          <w:rFonts w:ascii="Book Antiqua" w:hAnsi="Book Antiqua"/>
          <w:i/>
          <w:sz w:val="24"/>
          <w:szCs w:val="24"/>
        </w:rPr>
        <w:t xml:space="preserve">KRAS </w:t>
      </w:r>
      <w:r w:rsidRPr="00082ABB">
        <w:rPr>
          <w:rFonts w:ascii="Book Antiqua" w:hAnsi="Book Antiqua"/>
          <w:sz w:val="24"/>
          <w:szCs w:val="24"/>
        </w:rPr>
        <w:t xml:space="preserve">analysis was performed in 315 of </w:t>
      </w:r>
      <w:r w:rsidR="00926B53" w:rsidRPr="00082ABB">
        <w:rPr>
          <w:rFonts w:ascii="Book Antiqua" w:hAnsi="Book Antiqua"/>
          <w:sz w:val="24"/>
          <w:szCs w:val="24"/>
        </w:rPr>
        <w:t xml:space="preserve">the </w:t>
      </w:r>
      <w:r w:rsidRPr="00082ABB">
        <w:rPr>
          <w:rFonts w:ascii="Book Antiqua" w:hAnsi="Book Antiqua"/>
          <w:sz w:val="24"/>
          <w:szCs w:val="24"/>
        </w:rPr>
        <w:t>337 cases. Among th</w:t>
      </w:r>
      <w:r w:rsidR="00926B53" w:rsidRPr="00082ABB">
        <w:rPr>
          <w:rFonts w:ascii="Book Antiqua" w:hAnsi="Book Antiqua"/>
          <w:sz w:val="24"/>
          <w:szCs w:val="24"/>
        </w:rPr>
        <w:t>e</w:t>
      </w:r>
      <w:r w:rsidRPr="00082ABB">
        <w:rPr>
          <w:rFonts w:ascii="Book Antiqua" w:hAnsi="Book Antiqua"/>
          <w:sz w:val="24"/>
          <w:szCs w:val="24"/>
        </w:rPr>
        <w:t xml:space="preserve">se patients, 179 (57%) were </w:t>
      </w:r>
      <w:r w:rsidRPr="00082ABB">
        <w:rPr>
          <w:rFonts w:ascii="Book Antiqua" w:hAnsi="Book Antiqua"/>
          <w:i/>
          <w:sz w:val="24"/>
          <w:szCs w:val="24"/>
        </w:rPr>
        <w:t>KRAS</w:t>
      </w:r>
      <w:r w:rsidRPr="00082ABB">
        <w:rPr>
          <w:rFonts w:ascii="Book Antiqua" w:hAnsi="Book Antiqua"/>
          <w:sz w:val="24"/>
          <w:szCs w:val="24"/>
        </w:rPr>
        <w:t xml:space="preserve"> wild type. In</w:t>
      </w:r>
      <w:r w:rsidR="00926B53" w:rsidRPr="00082ABB">
        <w:rPr>
          <w:rFonts w:ascii="Book Antiqua" w:hAnsi="Book Antiqua"/>
          <w:sz w:val="24"/>
          <w:szCs w:val="24"/>
        </w:rPr>
        <w:t xml:space="preserve"> the</w:t>
      </w:r>
      <w:r w:rsidRPr="00082ABB">
        <w:rPr>
          <w:rFonts w:ascii="Book Antiqua" w:hAnsi="Book Antiqua"/>
          <w:sz w:val="24"/>
          <w:szCs w:val="24"/>
        </w:rPr>
        <w:t xml:space="preserve"> </w:t>
      </w:r>
      <w:r w:rsidRPr="00082ABB">
        <w:rPr>
          <w:rFonts w:ascii="Book Antiqua" w:hAnsi="Book Antiqua"/>
          <w:i/>
          <w:sz w:val="24"/>
          <w:szCs w:val="24"/>
        </w:rPr>
        <w:t>KRAS</w:t>
      </w:r>
      <w:r w:rsidRPr="00082ABB">
        <w:rPr>
          <w:rFonts w:ascii="Book Antiqua" w:hAnsi="Book Antiqua"/>
          <w:sz w:val="24"/>
          <w:szCs w:val="24"/>
        </w:rPr>
        <w:t xml:space="preserve"> wild type population, patients treated with cetuximab in combination with FOLFOX-4 demonstrated a higher RR (57% </w:t>
      </w:r>
      <w:r w:rsidRPr="00082ABB">
        <w:rPr>
          <w:rFonts w:ascii="Book Antiqua" w:hAnsi="Book Antiqua"/>
          <w:i/>
          <w:sz w:val="24"/>
          <w:szCs w:val="24"/>
        </w:rPr>
        <w:t>vs</w:t>
      </w:r>
      <w:r w:rsidRPr="00082ABB">
        <w:rPr>
          <w:rFonts w:ascii="Book Antiqua" w:hAnsi="Book Antiqua"/>
          <w:sz w:val="24"/>
          <w:szCs w:val="24"/>
        </w:rPr>
        <w:t xml:space="preserve"> 34%; OR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2.551,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w:t>
      </w:r>
      <w:r w:rsidR="00BE31A0" w:rsidRPr="00082ABB">
        <w:rPr>
          <w:rFonts w:ascii="Book Antiqua" w:hAnsi="Book Antiqua"/>
          <w:sz w:val="24"/>
          <w:szCs w:val="24"/>
        </w:rPr>
        <w:t xml:space="preserve"> </w:t>
      </w:r>
      <w:r w:rsidRPr="00082ABB">
        <w:rPr>
          <w:rFonts w:ascii="Book Antiqua" w:hAnsi="Book Antiqua"/>
          <w:sz w:val="24"/>
          <w:szCs w:val="24"/>
        </w:rPr>
        <w:t xml:space="preserve">0.0027) and a better PFS (8.3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7.2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0.567,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w:t>
      </w:r>
      <w:r w:rsidR="00BE31A0" w:rsidRPr="00082ABB">
        <w:rPr>
          <w:rFonts w:ascii="Book Antiqua" w:hAnsi="Book Antiqua"/>
          <w:sz w:val="24"/>
          <w:szCs w:val="24"/>
        </w:rPr>
        <w:t xml:space="preserve"> </w:t>
      </w:r>
      <w:r w:rsidRPr="00082ABB">
        <w:rPr>
          <w:rFonts w:ascii="Book Antiqua" w:hAnsi="Book Antiqua"/>
          <w:sz w:val="24"/>
          <w:szCs w:val="24"/>
        </w:rPr>
        <w:lastRenderedPageBreak/>
        <w:t xml:space="preserve">0.0064) compared with those treated with FOLFOX-4 alone. No benefit in terms of OS was observed (22.8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18.5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0.855,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w:t>
      </w:r>
      <w:r w:rsidR="00BE31A0" w:rsidRPr="00082ABB">
        <w:rPr>
          <w:rFonts w:ascii="Book Antiqua" w:hAnsi="Book Antiqua"/>
          <w:sz w:val="24"/>
          <w:szCs w:val="24"/>
        </w:rPr>
        <w:t xml:space="preserve"> </w:t>
      </w:r>
      <w:r w:rsidR="00A40572" w:rsidRPr="00082ABB">
        <w:rPr>
          <w:rFonts w:ascii="Book Antiqua" w:hAnsi="Book Antiqua"/>
          <w:sz w:val="24"/>
          <w:szCs w:val="24"/>
        </w:rPr>
        <w:t>0.39).</w:t>
      </w:r>
    </w:p>
    <w:p w:rsidR="00BC5F12" w:rsidRPr="00082ABB" w:rsidRDefault="00BC5F12" w:rsidP="00A40572">
      <w:pPr>
        <w:snapToGrid w:val="0"/>
        <w:spacing w:line="360" w:lineRule="auto"/>
        <w:ind w:firstLineChars="100" w:firstLine="240"/>
        <w:rPr>
          <w:rFonts w:ascii="Book Antiqua" w:eastAsia="宋体" w:hAnsi="Book Antiqua"/>
          <w:sz w:val="24"/>
          <w:szCs w:val="24"/>
          <w:lang w:eastAsia="zh-CN"/>
        </w:rPr>
      </w:pPr>
      <w:r w:rsidRPr="00082ABB">
        <w:rPr>
          <w:rFonts w:ascii="Book Antiqua" w:hAnsi="Book Antiqua"/>
          <w:sz w:val="24"/>
          <w:szCs w:val="24"/>
        </w:rPr>
        <w:t xml:space="preserve">In contrast, the phase III COIN trial including 1630 patients with mCRC </w:t>
      </w:r>
      <w:r w:rsidR="00013270" w:rsidRPr="00082ABB">
        <w:rPr>
          <w:rFonts w:ascii="Book Antiqua" w:hAnsi="Book Antiqua"/>
          <w:sz w:val="24"/>
          <w:szCs w:val="24"/>
        </w:rPr>
        <w:t xml:space="preserve">who </w:t>
      </w:r>
      <w:r w:rsidRPr="00082ABB">
        <w:rPr>
          <w:rFonts w:ascii="Book Antiqua" w:hAnsi="Book Antiqua"/>
          <w:sz w:val="24"/>
          <w:szCs w:val="24"/>
        </w:rPr>
        <w:t xml:space="preserve">were randomized to </w:t>
      </w:r>
      <w:r w:rsidR="00013270" w:rsidRPr="00082ABB">
        <w:rPr>
          <w:rFonts w:ascii="Book Antiqua" w:hAnsi="Book Antiqua"/>
          <w:sz w:val="24"/>
          <w:szCs w:val="24"/>
        </w:rPr>
        <w:t xml:space="preserve">an </w:t>
      </w:r>
      <w:r w:rsidRPr="00082ABB">
        <w:rPr>
          <w:rFonts w:ascii="Book Antiqua" w:hAnsi="Book Antiqua"/>
          <w:sz w:val="24"/>
          <w:szCs w:val="24"/>
        </w:rPr>
        <w:t xml:space="preserve">oxaliplatin-based regimen (FOLFOX or CapeOX) with or without cetuximab did not show </w:t>
      </w:r>
      <w:r w:rsidR="00886037" w:rsidRPr="00082ABB">
        <w:rPr>
          <w:rFonts w:ascii="Book Antiqua" w:hAnsi="Book Antiqua"/>
          <w:sz w:val="24"/>
          <w:szCs w:val="24"/>
        </w:rPr>
        <w:t xml:space="preserve">any </w:t>
      </w:r>
      <w:r w:rsidRPr="00082ABB">
        <w:rPr>
          <w:rFonts w:ascii="Book Antiqua" w:hAnsi="Book Antiqua"/>
          <w:sz w:val="24"/>
          <w:szCs w:val="24"/>
        </w:rPr>
        <w:t xml:space="preserve">benefit </w:t>
      </w:r>
      <w:r w:rsidR="00886037" w:rsidRPr="00082ABB">
        <w:rPr>
          <w:rFonts w:ascii="Book Antiqua" w:hAnsi="Book Antiqua"/>
          <w:sz w:val="24"/>
          <w:szCs w:val="24"/>
        </w:rPr>
        <w:t xml:space="preserve">with </w:t>
      </w:r>
      <w:r w:rsidRPr="00082ABB">
        <w:rPr>
          <w:rFonts w:ascii="Book Antiqua" w:hAnsi="Book Antiqua"/>
          <w:sz w:val="24"/>
          <w:szCs w:val="24"/>
        </w:rPr>
        <w:t xml:space="preserve">the addition of cetuximab to chemotherapy in terms of PFS (8.6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8.6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0.96,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w:t>
      </w:r>
      <w:r w:rsidR="00BE31A0" w:rsidRPr="00082ABB">
        <w:rPr>
          <w:rFonts w:ascii="Book Antiqua" w:hAnsi="Book Antiqua"/>
          <w:sz w:val="24"/>
          <w:szCs w:val="24"/>
        </w:rPr>
        <w:t xml:space="preserve"> </w:t>
      </w:r>
      <w:r w:rsidRPr="00082ABB">
        <w:rPr>
          <w:rFonts w:ascii="Book Antiqua" w:hAnsi="Book Antiqua"/>
          <w:sz w:val="24"/>
          <w:szCs w:val="24"/>
        </w:rPr>
        <w:t xml:space="preserve">0.60) and OS (17.0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17.9 mon;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1.04,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w:t>
      </w:r>
      <w:r w:rsidR="00BE31A0" w:rsidRPr="00082ABB">
        <w:rPr>
          <w:rFonts w:ascii="Book Antiqua" w:hAnsi="Book Antiqua"/>
          <w:sz w:val="24"/>
          <w:szCs w:val="24"/>
        </w:rPr>
        <w:t xml:space="preserve"> </w:t>
      </w:r>
      <w:r w:rsidRPr="00082ABB">
        <w:rPr>
          <w:rFonts w:ascii="Book Antiqua" w:hAnsi="Book Antiqua"/>
          <w:sz w:val="24"/>
          <w:szCs w:val="24"/>
        </w:rPr>
        <w:t>0.67) compared with chemotherapy alone</w:t>
      </w:r>
      <w:r w:rsidR="00013270" w:rsidRPr="00082ABB">
        <w:rPr>
          <w:rFonts w:ascii="Book Antiqua" w:hAnsi="Book Antiqua"/>
          <w:sz w:val="24"/>
          <w:szCs w:val="24"/>
        </w:rPr>
        <w:t>,</w:t>
      </w:r>
      <w:r w:rsidRPr="00082ABB">
        <w:rPr>
          <w:rFonts w:ascii="Book Antiqua" w:hAnsi="Book Antiqua"/>
          <w:sz w:val="24"/>
          <w:szCs w:val="24"/>
        </w:rPr>
        <w:t xml:space="preserve"> even in the </w:t>
      </w:r>
      <w:r w:rsidRPr="00082ABB">
        <w:rPr>
          <w:rFonts w:ascii="Book Antiqua" w:hAnsi="Book Antiqua"/>
          <w:i/>
          <w:sz w:val="24"/>
          <w:szCs w:val="24"/>
        </w:rPr>
        <w:t>KRAS</w:t>
      </w:r>
      <w:r w:rsidR="00A40572" w:rsidRPr="00082ABB">
        <w:rPr>
          <w:rFonts w:ascii="Book Antiqua" w:hAnsi="Book Antiqua"/>
          <w:sz w:val="24"/>
          <w:szCs w:val="24"/>
        </w:rPr>
        <w:t xml:space="preserve"> wild type </w:t>
      </w:r>
      <w:proofErr w:type="gramStart"/>
      <w:r w:rsidR="00A40572" w:rsidRPr="00082ABB">
        <w:rPr>
          <w:rFonts w:ascii="Book Antiqua" w:hAnsi="Book Antiqua"/>
          <w:sz w:val="24"/>
          <w:szCs w:val="24"/>
        </w:rPr>
        <w:t>population</w:t>
      </w:r>
      <w:r w:rsidR="004C2E8D" w:rsidRPr="00082ABB">
        <w:rPr>
          <w:rFonts w:ascii="Book Antiqua" w:hAnsi="Book Antiqua"/>
          <w:sz w:val="24"/>
          <w:szCs w:val="24"/>
          <w:vertAlign w:val="superscript"/>
        </w:rPr>
        <w:t>[</w:t>
      </w:r>
      <w:proofErr w:type="gramEnd"/>
      <w:r w:rsidR="004C2E8D" w:rsidRPr="00082ABB">
        <w:rPr>
          <w:rFonts w:ascii="Book Antiqua" w:hAnsi="Book Antiqua"/>
          <w:sz w:val="24"/>
          <w:szCs w:val="24"/>
          <w:vertAlign w:val="superscript"/>
        </w:rPr>
        <w:t>67,68</w:t>
      </w:r>
      <w:r w:rsidRPr="00082ABB">
        <w:rPr>
          <w:rFonts w:ascii="Book Antiqua" w:hAnsi="Book Antiqua"/>
          <w:sz w:val="24"/>
          <w:szCs w:val="24"/>
          <w:vertAlign w:val="superscript"/>
        </w:rPr>
        <w:t>]</w:t>
      </w:r>
      <w:r w:rsidRPr="00082ABB">
        <w:rPr>
          <w:rFonts w:ascii="Book Antiqua" w:hAnsi="Book Antiqua"/>
          <w:sz w:val="24"/>
          <w:szCs w:val="24"/>
        </w:rPr>
        <w:t>. However, exploratory subgroup analyses demonstrated that the cohort of patients treated with FOLFOX plus cetuximab</w:t>
      </w:r>
      <w:r w:rsidR="00013270" w:rsidRPr="00082ABB">
        <w:rPr>
          <w:rFonts w:ascii="Book Antiqua" w:hAnsi="Book Antiqua"/>
          <w:sz w:val="24"/>
          <w:szCs w:val="24"/>
        </w:rPr>
        <w:t xml:space="preserve"> showed </w:t>
      </w:r>
      <w:r w:rsidRPr="00082ABB">
        <w:rPr>
          <w:rFonts w:ascii="Book Antiqua" w:hAnsi="Book Antiqua"/>
          <w:sz w:val="24"/>
          <w:szCs w:val="24"/>
        </w:rPr>
        <w:t xml:space="preserve">improved PFS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0.72,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w:t>
      </w:r>
      <w:r w:rsidR="00BE31A0" w:rsidRPr="00082ABB">
        <w:rPr>
          <w:rFonts w:ascii="Book Antiqua" w:hAnsi="Book Antiqua"/>
          <w:sz w:val="24"/>
          <w:szCs w:val="24"/>
        </w:rPr>
        <w:t xml:space="preserve"> </w:t>
      </w:r>
      <w:r w:rsidRPr="00082ABB">
        <w:rPr>
          <w:rFonts w:ascii="Book Antiqua" w:hAnsi="Book Antiqua"/>
          <w:sz w:val="24"/>
          <w:szCs w:val="24"/>
        </w:rPr>
        <w:t xml:space="preserve">0.037), while the cohort of CapeOX plus cetuximab had no significant difference in PFS compared with chemotherapy alone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1.02,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w:t>
      </w:r>
      <w:r w:rsidR="00BE31A0" w:rsidRPr="00082ABB">
        <w:rPr>
          <w:rFonts w:ascii="Book Antiqua" w:hAnsi="Book Antiqua"/>
          <w:sz w:val="24"/>
          <w:szCs w:val="24"/>
        </w:rPr>
        <w:t xml:space="preserve"> </w:t>
      </w:r>
      <w:r w:rsidRPr="00082ABB">
        <w:rPr>
          <w:rFonts w:ascii="Book Antiqua" w:hAnsi="Book Antiqua"/>
          <w:sz w:val="24"/>
          <w:szCs w:val="24"/>
        </w:rPr>
        <w:t xml:space="preserve">0.88). The RR improved from 57% to 64% </w:t>
      </w:r>
      <w:r w:rsidR="00886037" w:rsidRPr="00082ABB">
        <w:rPr>
          <w:rFonts w:ascii="Book Antiqua" w:hAnsi="Book Antiqua"/>
          <w:sz w:val="24"/>
          <w:szCs w:val="24"/>
        </w:rPr>
        <w:t xml:space="preserve">with </w:t>
      </w:r>
      <w:r w:rsidRPr="00082ABB">
        <w:rPr>
          <w:rFonts w:ascii="Book Antiqua" w:hAnsi="Book Antiqua"/>
          <w:sz w:val="24"/>
          <w:szCs w:val="24"/>
        </w:rPr>
        <w:t xml:space="preserve">the addition of cetuximab to </w:t>
      </w:r>
      <w:r w:rsidR="00013270" w:rsidRPr="00082ABB">
        <w:rPr>
          <w:rFonts w:ascii="Book Antiqua" w:hAnsi="Book Antiqua"/>
          <w:sz w:val="24"/>
          <w:szCs w:val="24"/>
        </w:rPr>
        <w:t xml:space="preserve">the </w:t>
      </w:r>
      <w:r w:rsidRPr="00082ABB">
        <w:rPr>
          <w:rFonts w:ascii="Book Antiqua" w:hAnsi="Book Antiqua"/>
          <w:sz w:val="24"/>
          <w:szCs w:val="24"/>
        </w:rPr>
        <w:t xml:space="preserve">oxaliplatin-based regimen. </w:t>
      </w:r>
      <w:r w:rsidR="002E5F90" w:rsidRPr="00082ABB">
        <w:rPr>
          <w:rFonts w:ascii="Book Antiqua" w:hAnsi="Book Antiqua"/>
          <w:sz w:val="24"/>
          <w:szCs w:val="24"/>
        </w:rPr>
        <w:t xml:space="preserve">In the COIN trial, </w:t>
      </w:r>
      <w:r w:rsidR="00714AB2" w:rsidRPr="00082ABB">
        <w:rPr>
          <w:rFonts w:ascii="Book Antiqua" w:hAnsi="Book Antiqua"/>
          <w:sz w:val="24"/>
          <w:szCs w:val="24"/>
        </w:rPr>
        <w:t>exploratory analyses we</w:t>
      </w:r>
      <w:r w:rsidR="00A12124" w:rsidRPr="00082ABB">
        <w:rPr>
          <w:rFonts w:ascii="Book Antiqua" w:hAnsi="Book Antiqua"/>
          <w:sz w:val="24"/>
          <w:szCs w:val="24"/>
        </w:rPr>
        <w:t>re conducted in order to identify</w:t>
      </w:r>
      <w:r w:rsidR="00D96694" w:rsidRPr="00082ABB">
        <w:rPr>
          <w:rFonts w:ascii="Book Antiqua" w:hAnsi="Book Antiqua"/>
          <w:sz w:val="24"/>
          <w:szCs w:val="24"/>
        </w:rPr>
        <w:t xml:space="preserve"> </w:t>
      </w:r>
      <w:r w:rsidR="00A12124" w:rsidRPr="00082ABB">
        <w:rPr>
          <w:rFonts w:ascii="Book Antiqua" w:hAnsi="Book Antiqua"/>
          <w:sz w:val="24"/>
          <w:szCs w:val="24"/>
        </w:rPr>
        <w:t>somatic molecu</w:t>
      </w:r>
      <w:r w:rsidR="00D96694" w:rsidRPr="00082ABB">
        <w:rPr>
          <w:rFonts w:ascii="Book Antiqua" w:hAnsi="Book Antiqua"/>
          <w:sz w:val="24"/>
          <w:szCs w:val="24"/>
        </w:rPr>
        <w:t xml:space="preserve">lar profile of the EGFR pathway, </w:t>
      </w:r>
      <w:r w:rsidR="00A12124" w:rsidRPr="00082ABB">
        <w:rPr>
          <w:rFonts w:ascii="Book Antiqua" w:hAnsi="Book Antiqua"/>
          <w:sz w:val="24"/>
          <w:szCs w:val="24"/>
        </w:rPr>
        <w:t xml:space="preserve">and its relationship to the site of the primary and </w:t>
      </w:r>
      <w:proofErr w:type="gramStart"/>
      <w:r w:rsidR="00A12124" w:rsidRPr="00082ABB">
        <w:rPr>
          <w:rFonts w:ascii="Book Antiqua" w:hAnsi="Book Antiqua"/>
          <w:sz w:val="24"/>
          <w:szCs w:val="24"/>
        </w:rPr>
        <w:t>metastases</w:t>
      </w:r>
      <w:r w:rsidR="00D96694" w:rsidRPr="00082ABB">
        <w:rPr>
          <w:rFonts w:ascii="Book Antiqua" w:hAnsi="Book Antiqua"/>
          <w:sz w:val="24"/>
          <w:szCs w:val="24"/>
          <w:vertAlign w:val="superscript"/>
        </w:rPr>
        <w:t>[</w:t>
      </w:r>
      <w:proofErr w:type="gramEnd"/>
      <w:r w:rsidR="004C2E8D" w:rsidRPr="00082ABB">
        <w:rPr>
          <w:rFonts w:ascii="Book Antiqua" w:hAnsi="Book Antiqua"/>
          <w:sz w:val="24"/>
          <w:szCs w:val="24"/>
          <w:vertAlign w:val="superscript"/>
        </w:rPr>
        <w:t>69</w:t>
      </w:r>
      <w:r w:rsidR="00D96694" w:rsidRPr="00082ABB">
        <w:rPr>
          <w:rFonts w:ascii="Book Antiqua" w:hAnsi="Book Antiqua"/>
          <w:sz w:val="24"/>
          <w:szCs w:val="24"/>
          <w:vertAlign w:val="superscript"/>
        </w:rPr>
        <w:t>]</w:t>
      </w:r>
      <w:r w:rsidR="00A12124" w:rsidRPr="00082ABB">
        <w:rPr>
          <w:rFonts w:ascii="Book Antiqua" w:hAnsi="Book Antiqua"/>
          <w:sz w:val="24"/>
          <w:szCs w:val="24"/>
        </w:rPr>
        <w:t xml:space="preserve">. </w:t>
      </w:r>
      <w:r w:rsidR="002E5F90" w:rsidRPr="00082ABB">
        <w:rPr>
          <w:rFonts w:ascii="Book Antiqua" w:hAnsi="Book Antiqua"/>
          <w:i/>
          <w:sz w:val="24"/>
          <w:szCs w:val="24"/>
        </w:rPr>
        <w:t>KRAS</w:t>
      </w:r>
      <w:r w:rsidR="002E5F90" w:rsidRPr="00082ABB">
        <w:rPr>
          <w:rFonts w:ascii="Book Antiqua" w:hAnsi="Book Antiqua"/>
          <w:sz w:val="24"/>
          <w:szCs w:val="24"/>
        </w:rPr>
        <w:t xml:space="preserve"> mutations were more common in the right colon as compared to those from the left colon, and </w:t>
      </w:r>
      <w:r w:rsidR="002E5F90" w:rsidRPr="00082ABB">
        <w:rPr>
          <w:rFonts w:ascii="Book Antiqua" w:hAnsi="Book Antiqua"/>
          <w:i/>
          <w:sz w:val="24"/>
          <w:szCs w:val="24"/>
        </w:rPr>
        <w:t>BRAF</w:t>
      </w:r>
      <w:r w:rsidR="002E5F90" w:rsidRPr="00082ABB">
        <w:rPr>
          <w:rFonts w:ascii="Book Antiqua" w:hAnsi="Book Antiqua"/>
          <w:sz w:val="24"/>
          <w:szCs w:val="24"/>
        </w:rPr>
        <w:t xml:space="preserve"> mutations were more common from the transverse and right colon as compared to those from the left colon. </w:t>
      </w:r>
      <w:r w:rsidR="002E5F90" w:rsidRPr="00082ABB">
        <w:rPr>
          <w:rFonts w:ascii="Book Antiqua" w:hAnsi="Book Antiqua"/>
          <w:i/>
          <w:sz w:val="24"/>
          <w:szCs w:val="24"/>
        </w:rPr>
        <w:t>KRAS</w:t>
      </w:r>
      <w:r w:rsidR="002E5F90" w:rsidRPr="00082ABB">
        <w:rPr>
          <w:rFonts w:ascii="Book Antiqua" w:hAnsi="Book Antiqua"/>
          <w:sz w:val="24"/>
          <w:szCs w:val="24"/>
        </w:rPr>
        <w:t xml:space="preserve"> mutations were associated with lung-only metastases, </w:t>
      </w:r>
      <w:r w:rsidR="002E5F90" w:rsidRPr="00082ABB">
        <w:rPr>
          <w:rFonts w:ascii="Book Antiqua" w:hAnsi="Book Antiqua"/>
          <w:i/>
          <w:sz w:val="24"/>
          <w:szCs w:val="24"/>
        </w:rPr>
        <w:t>BRAF</w:t>
      </w:r>
      <w:r w:rsidR="002E5F90" w:rsidRPr="00082ABB">
        <w:rPr>
          <w:rFonts w:ascii="Book Antiqua" w:hAnsi="Book Antiqua"/>
          <w:sz w:val="24"/>
          <w:szCs w:val="24"/>
        </w:rPr>
        <w:t xml:space="preserve"> mutations with peritoneal and nodal-only metastases, and microsatellite instability was associated with nodal-only metastases.</w:t>
      </w:r>
      <w:r w:rsidR="00A12124" w:rsidRPr="00082ABB">
        <w:rPr>
          <w:rFonts w:ascii="Book Antiqua" w:hAnsi="Book Antiqua"/>
          <w:sz w:val="24"/>
          <w:szCs w:val="24"/>
        </w:rPr>
        <w:t xml:space="preserve"> </w:t>
      </w:r>
      <w:r w:rsidR="004D3211" w:rsidRPr="00082ABB">
        <w:rPr>
          <w:rFonts w:ascii="Book Antiqua" w:hAnsi="Book Antiqua"/>
          <w:sz w:val="24"/>
          <w:szCs w:val="24"/>
        </w:rPr>
        <w:t>At the point of differences between primary cites, other study reported that hepatic and pulmonary metastases were more frequently found in left-sided carcinomas, and peritoneal metastasis in right-sided carcinomas in the analyses bas</w:t>
      </w:r>
      <w:r w:rsidR="00A40572" w:rsidRPr="00082ABB">
        <w:rPr>
          <w:rFonts w:ascii="Book Antiqua" w:hAnsi="Book Antiqua"/>
          <w:sz w:val="24"/>
          <w:szCs w:val="24"/>
        </w:rPr>
        <w:t xml:space="preserve">ed on 17641 patients with </w:t>
      </w:r>
      <w:proofErr w:type="gramStart"/>
      <w:r w:rsidR="00A40572" w:rsidRPr="00082ABB">
        <w:rPr>
          <w:rFonts w:ascii="Book Antiqua" w:hAnsi="Book Antiqua"/>
          <w:sz w:val="24"/>
          <w:szCs w:val="24"/>
        </w:rPr>
        <w:t>mCRC</w:t>
      </w:r>
      <w:r w:rsidR="004D3211" w:rsidRPr="00082ABB">
        <w:rPr>
          <w:rFonts w:ascii="Book Antiqua" w:hAnsi="Book Antiqua"/>
          <w:sz w:val="24"/>
          <w:szCs w:val="24"/>
          <w:vertAlign w:val="superscript"/>
        </w:rPr>
        <w:t>[</w:t>
      </w:r>
      <w:proofErr w:type="gramEnd"/>
      <w:r w:rsidR="004C2E8D" w:rsidRPr="00082ABB">
        <w:rPr>
          <w:rFonts w:ascii="Book Antiqua" w:hAnsi="Book Antiqua"/>
          <w:sz w:val="24"/>
          <w:szCs w:val="24"/>
          <w:vertAlign w:val="superscript"/>
        </w:rPr>
        <w:t>70</w:t>
      </w:r>
      <w:r w:rsidR="004D3211" w:rsidRPr="00082ABB">
        <w:rPr>
          <w:rFonts w:ascii="Book Antiqua" w:hAnsi="Book Antiqua"/>
          <w:sz w:val="24"/>
          <w:szCs w:val="24"/>
          <w:vertAlign w:val="superscript"/>
        </w:rPr>
        <w:t>]</w:t>
      </w:r>
      <w:r w:rsidR="004D3211" w:rsidRPr="00082ABB">
        <w:rPr>
          <w:rFonts w:ascii="Book Antiqua" w:hAnsi="Book Antiqua"/>
          <w:sz w:val="24"/>
          <w:szCs w:val="24"/>
        </w:rPr>
        <w:t xml:space="preserve">. </w:t>
      </w:r>
      <w:r w:rsidRPr="00082ABB">
        <w:rPr>
          <w:rFonts w:ascii="Book Antiqua" w:hAnsi="Book Antiqua"/>
          <w:sz w:val="24"/>
          <w:szCs w:val="24"/>
        </w:rPr>
        <w:t xml:space="preserve">Moreover, NORDIC VII was conducted </w:t>
      </w:r>
      <w:r w:rsidR="00013270" w:rsidRPr="00082ABB">
        <w:rPr>
          <w:rFonts w:ascii="Book Antiqua" w:hAnsi="Book Antiqua"/>
          <w:sz w:val="24"/>
          <w:szCs w:val="24"/>
        </w:rPr>
        <w:t>t</w:t>
      </w:r>
      <w:r w:rsidRPr="00082ABB">
        <w:rPr>
          <w:rFonts w:ascii="Book Antiqua" w:hAnsi="Book Antiqua"/>
          <w:sz w:val="24"/>
          <w:szCs w:val="24"/>
        </w:rPr>
        <w:t xml:space="preserve">o investigate the efficacy of cetuximab combined with </w:t>
      </w:r>
      <w:r w:rsidR="00013270" w:rsidRPr="00082ABB">
        <w:rPr>
          <w:rFonts w:ascii="Book Antiqua" w:hAnsi="Book Antiqua"/>
          <w:sz w:val="24"/>
          <w:szCs w:val="24"/>
        </w:rPr>
        <w:t xml:space="preserve">the </w:t>
      </w:r>
      <w:r w:rsidRPr="00082ABB">
        <w:rPr>
          <w:rFonts w:ascii="Book Antiqua" w:hAnsi="Book Antiqua"/>
          <w:sz w:val="24"/>
          <w:szCs w:val="24"/>
        </w:rPr>
        <w:t xml:space="preserve">FLOX </w:t>
      </w:r>
      <w:proofErr w:type="gramStart"/>
      <w:r w:rsidRPr="00082ABB">
        <w:rPr>
          <w:rFonts w:ascii="Book Antiqua" w:hAnsi="Book Antiqua"/>
          <w:sz w:val="24"/>
          <w:szCs w:val="24"/>
        </w:rPr>
        <w:t>regimen</w:t>
      </w:r>
      <w:r w:rsidR="000F16ED" w:rsidRPr="00082ABB">
        <w:rPr>
          <w:rFonts w:ascii="Book Antiqua" w:hAnsi="Book Antiqua"/>
          <w:sz w:val="24"/>
          <w:szCs w:val="24"/>
          <w:vertAlign w:val="superscript"/>
        </w:rPr>
        <w:t>[</w:t>
      </w:r>
      <w:proofErr w:type="gramEnd"/>
      <w:r w:rsidR="000F16ED" w:rsidRPr="00082ABB">
        <w:rPr>
          <w:rFonts w:ascii="Book Antiqua" w:hAnsi="Book Antiqua"/>
          <w:sz w:val="24"/>
          <w:szCs w:val="24"/>
          <w:vertAlign w:val="superscript"/>
        </w:rPr>
        <w:t>71</w:t>
      </w:r>
      <w:r w:rsidRPr="00082ABB">
        <w:rPr>
          <w:rFonts w:ascii="Book Antiqua" w:hAnsi="Book Antiqua"/>
          <w:sz w:val="24"/>
          <w:szCs w:val="24"/>
          <w:vertAlign w:val="superscript"/>
        </w:rPr>
        <w:t>]</w:t>
      </w:r>
      <w:r w:rsidRPr="00082ABB">
        <w:rPr>
          <w:rFonts w:ascii="Book Antiqua" w:hAnsi="Book Antiqua"/>
          <w:sz w:val="24"/>
          <w:szCs w:val="24"/>
        </w:rPr>
        <w:t xml:space="preserve">. Patients were randomized to </w:t>
      </w:r>
      <w:r w:rsidR="00013270" w:rsidRPr="00082ABB">
        <w:rPr>
          <w:rFonts w:ascii="Book Antiqua" w:hAnsi="Book Antiqua"/>
          <w:sz w:val="24"/>
          <w:szCs w:val="24"/>
        </w:rPr>
        <w:t xml:space="preserve">the </w:t>
      </w:r>
      <w:r w:rsidRPr="00082ABB">
        <w:rPr>
          <w:rFonts w:ascii="Book Antiqua" w:hAnsi="Book Antiqua"/>
          <w:sz w:val="24"/>
          <w:szCs w:val="24"/>
        </w:rPr>
        <w:t>following three arms</w:t>
      </w:r>
      <w:r w:rsidR="00013270" w:rsidRPr="00082ABB">
        <w:rPr>
          <w:rFonts w:ascii="Book Antiqua" w:hAnsi="Book Antiqua"/>
          <w:sz w:val="24"/>
          <w:szCs w:val="24"/>
        </w:rPr>
        <w:t>:</w:t>
      </w:r>
      <w:r w:rsidRPr="00082ABB">
        <w:rPr>
          <w:rFonts w:ascii="Book Antiqua" w:hAnsi="Book Antiqua"/>
          <w:sz w:val="24"/>
          <w:szCs w:val="24"/>
        </w:rPr>
        <w:t xml:space="preserve"> FLOX alone, cetuximab and FLOX, or cetuximab combined with intermittent FLOX. Even in patients with </w:t>
      </w:r>
      <w:r w:rsidRPr="00082ABB">
        <w:rPr>
          <w:rFonts w:ascii="Book Antiqua" w:hAnsi="Book Antiqua"/>
          <w:i/>
          <w:sz w:val="24"/>
          <w:szCs w:val="24"/>
        </w:rPr>
        <w:t>KRAS</w:t>
      </w:r>
      <w:r w:rsidRPr="00082ABB">
        <w:rPr>
          <w:rFonts w:ascii="Book Antiqua" w:hAnsi="Book Antiqua"/>
          <w:sz w:val="24"/>
          <w:szCs w:val="24"/>
        </w:rPr>
        <w:t xml:space="preserve"> wild</w:t>
      </w:r>
      <w:r w:rsidR="00BE31A0" w:rsidRPr="00082ABB">
        <w:rPr>
          <w:rFonts w:ascii="Book Antiqua" w:hAnsi="Book Antiqua"/>
          <w:sz w:val="24"/>
          <w:szCs w:val="24"/>
        </w:rPr>
        <w:t xml:space="preserve"> </w:t>
      </w:r>
      <w:r w:rsidRPr="00082ABB">
        <w:rPr>
          <w:rFonts w:ascii="Book Antiqua" w:hAnsi="Book Antiqua"/>
          <w:sz w:val="24"/>
          <w:szCs w:val="24"/>
        </w:rPr>
        <w:t xml:space="preserve">type, </w:t>
      </w:r>
      <w:r w:rsidR="00013270" w:rsidRPr="00082ABB">
        <w:rPr>
          <w:rFonts w:ascii="Book Antiqua" w:hAnsi="Book Antiqua"/>
          <w:sz w:val="24"/>
          <w:szCs w:val="24"/>
        </w:rPr>
        <w:t xml:space="preserve">there was </w:t>
      </w:r>
      <w:r w:rsidRPr="00082ABB">
        <w:rPr>
          <w:rFonts w:ascii="Book Antiqua" w:hAnsi="Book Antiqua"/>
          <w:sz w:val="24"/>
          <w:szCs w:val="24"/>
        </w:rPr>
        <w:t>no evidence that cetuximab adds a signiﬁcant beneﬁt to N</w:t>
      </w:r>
      <w:r w:rsidR="00013270" w:rsidRPr="00082ABB">
        <w:rPr>
          <w:rFonts w:ascii="Book Antiqua" w:hAnsi="Book Antiqua"/>
          <w:sz w:val="24"/>
          <w:szCs w:val="24"/>
        </w:rPr>
        <w:t xml:space="preserve">ORDIC </w:t>
      </w:r>
      <w:r w:rsidRPr="00082ABB">
        <w:rPr>
          <w:rFonts w:ascii="Book Antiqua" w:hAnsi="Book Antiqua"/>
          <w:sz w:val="24"/>
          <w:szCs w:val="24"/>
        </w:rPr>
        <w:t xml:space="preserve">FLOX in ﬁrst-line treatment of mCRC. From these negative </w:t>
      </w:r>
      <w:r w:rsidRPr="00082ABB">
        <w:rPr>
          <w:rFonts w:ascii="Book Antiqua" w:hAnsi="Book Antiqua"/>
          <w:sz w:val="24"/>
          <w:szCs w:val="24"/>
        </w:rPr>
        <w:lastRenderedPageBreak/>
        <w:t xml:space="preserve">results of </w:t>
      </w:r>
      <w:r w:rsidR="00013270" w:rsidRPr="00082ABB">
        <w:rPr>
          <w:rFonts w:ascii="Book Antiqua" w:hAnsi="Book Antiqua"/>
          <w:sz w:val="24"/>
          <w:szCs w:val="24"/>
        </w:rPr>
        <w:t xml:space="preserve">the </w:t>
      </w:r>
      <w:r w:rsidRPr="00082ABB">
        <w:rPr>
          <w:rFonts w:ascii="Book Antiqua" w:hAnsi="Book Antiqua"/>
          <w:sz w:val="24"/>
          <w:szCs w:val="24"/>
        </w:rPr>
        <w:t>COIN and NORDIC VII stud</w:t>
      </w:r>
      <w:r w:rsidR="00013270" w:rsidRPr="00082ABB">
        <w:rPr>
          <w:rFonts w:ascii="Book Antiqua" w:hAnsi="Book Antiqua"/>
          <w:sz w:val="24"/>
          <w:szCs w:val="24"/>
        </w:rPr>
        <w:t>ies</w:t>
      </w:r>
      <w:r w:rsidRPr="00082ABB">
        <w:rPr>
          <w:rFonts w:ascii="Book Antiqua" w:hAnsi="Book Antiqua"/>
          <w:sz w:val="24"/>
          <w:szCs w:val="24"/>
        </w:rPr>
        <w:t xml:space="preserve">, it seems that neither CapeOX nor FLOX is suitable for combination therapy with cetuximab. In adding cetuximab to cytotoxic chemotherapy, </w:t>
      </w:r>
      <w:r w:rsidR="00013270" w:rsidRPr="00082ABB">
        <w:rPr>
          <w:rFonts w:ascii="Book Antiqua" w:hAnsi="Book Antiqua"/>
          <w:sz w:val="24"/>
          <w:szCs w:val="24"/>
        </w:rPr>
        <w:t xml:space="preserve">the </w:t>
      </w:r>
      <w:r w:rsidRPr="00082ABB">
        <w:rPr>
          <w:rFonts w:ascii="Book Antiqua" w:hAnsi="Book Antiqua"/>
          <w:sz w:val="24"/>
          <w:szCs w:val="24"/>
        </w:rPr>
        <w:t xml:space="preserve">FOLFOX or FOLFIRI regimen is considered the best partner in mCRC patients with </w:t>
      </w:r>
      <w:r w:rsidRPr="00082ABB">
        <w:rPr>
          <w:rFonts w:ascii="Book Antiqua" w:hAnsi="Book Antiqua"/>
          <w:i/>
          <w:sz w:val="24"/>
          <w:szCs w:val="24"/>
        </w:rPr>
        <w:t>KRAS</w:t>
      </w:r>
      <w:r w:rsidRPr="00082ABB">
        <w:rPr>
          <w:rFonts w:ascii="Book Antiqua" w:hAnsi="Book Antiqua"/>
          <w:sz w:val="24"/>
          <w:szCs w:val="24"/>
        </w:rPr>
        <w:t xml:space="preserve"> wild type. </w:t>
      </w:r>
      <w:r w:rsidR="00013270" w:rsidRPr="00082ABB">
        <w:rPr>
          <w:rFonts w:ascii="Book Antiqua" w:hAnsi="Book Antiqua"/>
          <w:sz w:val="24"/>
          <w:szCs w:val="24"/>
        </w:rPr>
        <w:t xml:space="preserve">Thus, </w:t>
      </w:r>
      <w:r w:rsidRPr="00082ABB">
        <w:rPr>
          <w:rFonts w:ascii="Book Antiqua" w:hAnsi="Book Antiqua"/>
          <w:sz w:val="24"/>
          <w:szCs w:val="24"/>
        </w:rPr>
        <w:t>based on the positive results of the CRYSTAL and OPUS stud</w:t>
      </w:r>
      <w:r w:rsidR="00013270" w:rsidRPr="00082ABB">
        <w:rPr>
          <w:rFonts w:ascii="Book Antiqua" w:hAnsi="Book Antiqua"/>
          <w:sz w:val="24"/>
          <w:szCs w:val="24"/>
        </w:rPr>
        <w:t>ies</w:t>
      </w:r>
      <w:r w:rsidRPr="00082ABB">
        <w:rPr>
          <w:rFonts w:ascii="Book Antiqua" w:hAnsi="Book Antiqua"/>
          <w:sz w:val="24"/>
          <w:szCs w:val="24"/>
        </w:rPr>
        <w:t xml:space="preserve">, the addition of cetuximab to FOLFOX or FOLFIRI was established as a gold standard in mCRC patients with </w:t>
      </w:r>
      <w:r w:rsidRPr="00082ABB">
        <w:rPr>
          <w:rFonts w:ascii="Book Antiqua" w:hAnsi="Book Antiqua"/>
          <w:i/>
          <w:sz w:val="24"/>
          <w:szCs w:val="24"/>
        </w:rPr>
        <w:t>KRAS</w:t>
      </w:r>
      <w:r w:rsidR="00A40572" w:rsidRPr="00082ABB">
        <w:rPr>
          <w:rFonts w:ascii="Book Antiqua" w:hAnsi="Book Antiqua"/>
          <w:sz w:val="24"/>
          <w:szCs w:val="24"/>
        </w:rPr>
        <w:t xml:space="preserve"> wild type</w:t>
      </w:r>
      <w:r w:rsidR="00A16F3D" w:rsidRPr="00082ABB">
        <w:rPr>
          <w:rFonts w:ascii="Book Antiqua" w:hAnsi="Book Antiqua" w:hint="eastAsia"/>
          <w:sz w:val="24"/>
          <w:szCs w:val="24"/>
        </w:rPr>
        <w:t xml:space="preserve"> (Table 2)</w:t>
      </w:r>
      <w:r w:rsidR="00A40572" w:rsidRPr="00082ABB">
        <w:rPr>
          <w:rFonts w:ascii="Book Antiqua" w:hAnsi="Book Antiqua"/>
          <w:sz w:val="24"/>
          <w:szCs w:val="24"/>
        </w:rPr>
        <w:t>.</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eastAsia="宋体" w:hAnsi="Book Antiqua"/>
          <w:i/>
          <w:sz w:val="24"/>
          <w:szCs w:val="24"/>
          <w:lang w:eastAsia="zh-CN"/>
        </w:rPr>
      </w:pPr>
      <w:r w:rsidRPr="00082ABB">
        <w:rPr>
          <w:rFonts w:ascii="Book Antiqua" w:hAnsi="Book Antiqua"/>
          <w:b/>
          <w:sz w:val="24"/>
          <w:szCs w:val="24"/>
        </w:rPr>
        <w:t>Second-line and salvage treatment in KRAS-WT mCRC</w:t>
      </w:r>
      <w:r w:rsidR="00A40572" w:rsidRPr="00082ABB">
        <w:rPr>
          <w:rFonts w:ascii="Book Antiqua" w:eastAsia="宋体" w:hAnsi="Book Antiqua"/>
          <w:b/>
          <w:sz w:val="24"/>
          <w:szCs w:val="24"/>
          <w:lang w:eastAsia="zh-CN"/>
        </w:rPr>
        <w:t>:</w:t>
      </w:r>
      <w:r w:rsidR="00A40572" w:rsidRPr="00082ABB">
        <w:rPr>
          <w:rFonts w:ascii="Book Antiqua" w:eastAsia="宋体" w:hAnsi="Book Antiqua"/>
          <w:i/>
          <w:sz w:val="24"/>
          <w:szCs w:val="24"/>
          <w:lang w:eastAsia="zh-CN"/>
        </w:rPr>
        <w:t xml:space="preserve"> </w:t>
      </w:r>
      <w:r w:rsidRPr="00082ABB">
        <w:rPr>
          <w:rFonts w:ascii="Book Antiqua" w:hAnsi="Book Antiqua"/>
          <w:sz w:val="24"/>
          <w:szCs w:val="24"/>
        </w:rPr>
        <w:t>Cetuximab monotherapy was compared with BSC in heavily pretreated patients with mCRC after failure of fluoropyrimidines, irinotecan, and oxalip</w:t>
      </w:r>
      <w:r w:rsidR="00A40572" w:rsidRPr="00082ABB">
        <w:rPr>
          <w:rFonts w:ascii="Book Antiqua" w:hAnsi="Book Antiqua"/>
          <w:sz w:val="24"/>
          <w:szCs w:val="24"/>
        </w:rPr>
        <w:t>latin (NCIC CO.17 trial)</w:t>
      </w:r>
      <w:r w:rsidRPr="00082ABB">
        <w:rPr>
          <w:rFonts w:ascii="Book Antiqua" w:hAnsi="Book Antiqua"/>
          <w:sz w:val="24"/>
          <w:szCs w:val="24"/>
          <w:vertAlign w:val="superscript"/>
        </w:rPr>
        <w:t>[</w:t>
      </w:r>
      <w:r w:rsidR="000F16ED" w:rsidRPr="00082ABB">
        <w:rPr>
          <w:rFonts w:ascii="Book Antiqua" w:hAnsi="Book Antiqua"/>
          <w:sz w:val="24"/>
          <w:szCs w:val="24"/>
          <w:vertAlign w:val="superscript"/>
        </w:rPr>
        <w:t>72</w:t>
      </w:r>
      <w:r w:rsidRPr="00082ABB">
        <w:rPr>
          <w:rFonts w:ascii="Book Antiqua" w:hAnsi="Book Antiqua"/>
          <w:sz w:val="24"/>
          <w:szCs w:val="24"/>
          <w:vertAlign w:val="superscript"/>
        </w:rPr>
        <w:t>]</w:t>
      </w:r>
      <w:r w:rsidRPr="00082ABB">
        <w:rPr>
          <w:rFonts w:ascii="Book Antiqua" w:hAnsi="Book Antiqua"/>
          <w:sz w:val="24"/>
          <w:szCs w:val="24"/>
        </w:rPr>
        <w:t>. A total of 572 mCRC patients were randomized to cetuximab plus best supportive care (BSC) or BSC alone. Cetuximab improved OS and PFS and preserve</w:t>
      </w:r>
      <w:r w:rsidR="00013270" w:rsidRPr="00082ABB">
        <w:rPr>
          <w:rFonts w:ascii="Book Antiqua" w:hAnsi="Book Antiqua"/>
          <w:sz w:val="24"/>
          <w:szCs w:val="24"/>
        </w:rPr>
        <w:t>d</w:t>
      </w:r>
      <w:r w:rsidRPr="00082ABB">
        <w:rPr>
          <w:rFonts w:ascii="Book Antiqua" w:hAnsi="Book Antiqua"/>
          <w:sz w:val="24"/>
          <w:szCs w:val="24"/>
        </w:rPr>
        <w:t xml:space="preserve"> quality</w:t>
      </w:r>
      <w:r w:rsidR="00886037" w:rsidRPr="00082ABB">
        <w:rPr>
          <w:rFonts w:ascii="Book Antiqua" w:hAnsi="Book Antiqua"/>
          <w:sz w:val="24"/>
          <w:szCs w:val="24"/>
        </w:rPr>
        <w:t xml:space="preserve"> </w:t>
      </w:r>
      <w:r w:rsidRPr="00082ABB">
        <w:rPr>
          <w:rFonts w:ascii="Book Antiqua" w:hAnsi="Book Antiqua"/>
          <w:sz w:val="24"/>
          <w:szCs w:val="24"/>
        </w:rPr>
        <w:t>of</w:t>
      </w:r>
      <w:r w:rsidR="00886037" w:rsidRPr="00082ABB">
        <w:rPr>
          <w:rFonts w:ascii="Book Antiqua" w:hAnsi="Book Antiqua"/>
          <w:sz w:val="24"/>
          <w:szCs w:val="24"/>
        </w:rPr>
        <w:t xml:space="preserve"> </w:t>
      </w:r>
      <w:r w:rsidRPr="00082ABB">
        <w:rPr>
          <w:rFonts w:ascii="Book Antiqua" w:hAnsi="Book Antiqua"/>
          <w:sz w:val="24"/>
          <w:szCs w:val="24"/>
        </w:rPr>
        <w:t xml:space="preserve">life measures. After the CO.17 trial, a retrospective analysis was performed </w:t>
      </w:r>
      <w:r w:rsidR="00013270" w:rsidRPr="00082ABB">
        <w:rPr>
          <w:rFonts w:ascii="Book Antiqua" w:hAnsi="Book Antiqua"/>
          <w:sz w:val="24"/>
          <w:szCs w:val="24"/>
        </w:rPr>
        <w:t xml:space="preserve">to determine </w:t>
      </w:r>
      <w:r w:rsidRPr="00082ABB">
        <w:rPr>
          <w:rFonts w:ascii="Book Antiqua" w:hAnsi="Book Antiqua"/>
          <w:sz w:val="24"/>
          <w:szCs w:val="24"/>
        </w:rPr>
        <w:t xml:space="preserve">whether </w:t>
      </w:r>
      <w:r w:rsidRPr="00082ABB">
        <w:rPr>
          <w:rFonts w:ascii="Book Antiqua" w:hAnsi="Book Antiqua"/>
          <w:i/>
          <w:sz w:val="24"/>
          <w:szCs w:val="24"/>
        </w:rPr>
        <w:t>KRAS</w:t>
      </w:r>
      <w:r w:rsidRPr="00082ABB">
        <w:rPr>
          <w:rFonts w:ascii="Book Antiqua" w:hAnsi="Book Antiqua"/>
          <w:sz w:val="24"/>
          <w:szCs w:val="24"/>
        </w:rPr>
        <w:t xml:space="preserve"> mutation status was associated with survival in </w:t>
      </w:r>
      <w:r w:rsidR="00A40572" w:rsidRPr="00082ABB">
        <w:rPr>
          <w:rFonts w:ascii="Book Antiqua" w:hAnsi="Book Antiqua"/>
          <w:sz w:val="24"/>
          <w:szCs w:val="24"/>
        </w:rPr>
        <w:t xml:space="preserve">the cetuximab and BSC </w:t>
      </w:r>
      <w:proofErr w:type="gramStart"/>
      <w:r w:rsidR="00A40572" w:rsidRPr="00082ABB">
        <w:rPr>
          <w:rFonts w:ascii="Book Antiqua" w:hAnsi="Book Antiqua"/>
          <w:sz w:val="24"/>
          <w:szCs w:val="24"/>
        </w:rPr>
        <w:t>groups</w:t>
      </w:r>
      <w:r w:rsidR="00582F2C" w:rsidRPr="00082ABB">
        <w:rPr>
          <w:rFonts w:ascii="Book Antiqua" w:hAnsi="Book Antiqua"/>
          <w:sz w:val="24"/>
          <w:szCs w:val="24"/>
          <w:vertAlign w:val="superscript"/>
        </w:rPr>
        <w:t>[</w:t>
      </w:r>
      <w:proofErr w:type="gramEnd"/>
      <w:r w:rsidR="00582F2C" w:rsidRPr="00082ABB">
        <w:rPr>
          <w:rFonts w:ascii="Book Antiqua" w:hAnsi="Book Antiqua"/>
          <w:sz w:val="24"/>
          <w:szCs w:val="24"/>
          <w:vertAlign w:val="superscript"/>
        </w:rPr>
        <w:t>16</w:t>
      </w:r>
      <w:r w:rsidRPr="00082ABB">
        <w:rPr>
          <w:rFonts w:ascii="Book Antiqua" w:hAnsi="Book Antiqua"/>
          <w:sz w:val="24"/>
          <w:szCs w:val="24"/>
          <w:vertAlign w:val="superscript"/>
        </w:rPr>
        <w:t>]</w:t>
      </w:r>
      <w:r w:rsidRPr="00082ABB">
        <w:rPr>
          <w:rFonts w:ascii="Book Antiqua" w:hAnsi="Book Antiqua"/>
          <w:sz w:val="24"/>
          <w:szCs w:val="24"/>
        </w:rPr>
        <w:t xml:space="preserve">. A total of 69% (394/572) </w:t>
      </w:r>
      <w:r w:rsidR="00013270" w:rsidRPr="00082ABB">
        <w:rPr>
          <w:rFonts w:ascii="Book Antiqua" w:hAnsi="Book Antiqua"/>
          <w:sz w:val="24"/>
          <w:szCs w:val="24"/>
        </w:rPr>
        <w:t xml:space="preserve">of the </w:t>
      </w:r>
      <w:r w:rsidRPr="00082ABB">
        <w:rPr>
          <w:rFonts w:ascii="Book Antiqua" w:hAnsi="Book Antiqua"/>
          <w:sz w:val="24"/>
          <w:szCs w:val="24"/>
        </w:rPr>
        <w:t xml:space="preserve">cases were examined for </w:t>
      </w:r>
      <w:r w:rsidRPr="00082ABB">
        <w:rPr>
          <w:rFonts w:ascii="Book Antiqua" w:hAnsi="Book Antiqua"/>
          <w:i/>
          <w:sz w:val="24"/>
          <w:szCs w:val="24"/>
        </w:rPr>
        <w:t>KRAS</w:t>
      </w:r>
      <w:r w:rsidRPr="00082ABB">
        <w:rPr>
          <w:rFonts w:ascii="Book Antiqua" w:hAnsi="Book Antiqua"/>
          <w:sz w:val="24"/>
          <w:szCs w:val="24"/>
        </w:rPr>
        <w:t xml:space="preserve"> mutation status. A </w:t>
      </w:r>
      <w:r w:rsidRPr="00082ABB">
        <w:rPr>
          <w:rFonts w:ascii="Book Antiqua" w:hAnsi="Book Antiqua"/>
          <w:i/>
          <w:sz w:val="24"/>
          <w:szCs w:val="24"/>
        </w:rPr>
        <w:t>KRAS</w:t>
      </w:r>
      <w:r w:rsidRPr="00082ABB">
        <w:rPr>
          <w:rFonts w:ascii="Book Antiqua" w:hAnsi="Book Antiqua"/>
          <w:sz w:val="24"/>
          <w:szCs w:val="24"/>
        </w:rPr>
        <w:t xml:space="preserve"> mutation was detected in 40.9% </w:t>
      </w:r>
      <w:r w:rsidR="00013270" w:rsidRPr="00082ABB">
        <w:rPr>
          <w:rFonts w:ascii="Book Antiqua" w:hAnsi="Book Antiqua"/>
          <w:sz w:val="24"/>
          <w:szCs w:val="24"/>
        </w:rPr>
        <w:t xml:space="preserve">of </w:t>
      </w:r>
      <w:r w:rsidRPr="00082ABB">
        <w:rPr>
          <w:rFonts w:ascii="Book Antiqua" w:hAnsi="Book Antiqua"/>
          <w:sz w:val="24"/>
          <w:szCs w:val="24"/>
        </w:rPr>
        <w:t xml:space="preserve">the cetuximab group and in 42.3% </w:t>
      </w:r>
      <w:r w:rsidR="00013270" w:rsidRPr="00082ABB">
        <w:rPr>
          <w:rFonts w:ascii="Book Antiqua" w:hAnsi="Book Antiqua"/>
          <w:sz w:val="24"/>
          <w:szCs w:val="24"/>
        </w:rPr>
        <w:t xml:space="preserve">of </w:t>
      </w:r>
      <w:r w:rsidRPr="00082ABB">
        <w:rPr>
          <w:rFonts w:ascii="Book Antiqua" w:hAnsi="Book Antiqua"/>
          <w:sz w:val="24"/>
          <w:szCs w:val="24"/>
        </w:rPr>
        <w:t xml:space="preserve">the BSC group. For patients with </w:t>
      </w:r>
      <w:r w:rsidRPr="00082ABB">
        <w:rPr>
          <w:rFonts w:ascii="Book Antiqua" w:hAnsi="Book Antiqua"/>
          <w:i/>
          <w:sz w:val="24"/>
          <w:szCs w:val="24"/>
        </w:rPr>
        <w:t>KRAS</w:t>
      </w:r>
      <w:r w:rsidRPr="00082ABB">
        <w:rPr>
          <w:rFonts w:ascii="Book Antiqua" w:hAnsi="Book Antiqua"/>
          <w:sz w:val="24"/>
          <w:szCs w:val="24"/>
        </w:rPr>
        <w:t xml:space="preserve"> wild tumors, treatment with cetuximab compared with supportive care alone significantly improved OS (9.5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4.8 mo; HR</w:t>
      </w:r>
      <w:r w:rsidR="00A40572" w:rsidRPr="00082ABB">
        <w:rPr>
          <w:rFonts w:ascii="Book Antiqua" w:eastAsia="宋体" w:hAnsi="Book Antiqua"/>
          <w:sz w:val="24"/>
          <w:szCs w:val="24"/>
          <w:lang w:eastAsia="zh-CN"/>
        </w:rPr>
        <w:t xml:space="preserve"> = </w:t>
      </w:r>
      <w:r w:rsidRPr="00082ABB">
        <w:rPr>
          <w:rFonts w:ascii="Book Antiqua" w:hAnsi="Book Antiqua"/>
          <w:sz w:val="24"/>
          <w:szCs w:val="24"/>
        </w:rPr>
        <w:t xml:space="preserve">0.55; </w:t>
      </w:r>
      <w:r w:rsidRPr="00082ABB">
        <w:rPr>
          <w:rFonts w:ascii="Book Antiqua" w:hAnsi="Book Antiqua"/>
          <w:i/>
          <w:sz w:val="24"/>
          <w:szCs w:val="24"/>
        </w:rPr>
        <w:t>P</w:t>
      </w:r>
      <w:r w:rsidR="00BE31A0" w:rsidRPr="00082ABB">
        <w:rPr>
          <w:rFonts w:ascii="Book Antiqua" w:hAnsi="Book Antiqua"/>
          <w:i/>
          <w:sz w:val="24"/>
          <w:szCs w:val="24"/>
        </w:rPr>
        <w:t xml:space="preserve"> </w:t>
      </w:r>
      <w:r w:rsidRPr="00082ABB">
        <w:rPr>
          <w:rFonts w:ascii="Book Antiqua" w:hAnsi="Book Antiqua"/>
          <w:sz w:val="24"/>
          <w:szCs w:val="24"/>
        </w:rPr>
        <w:t>&lt;</w:t>
      </w:r>
      <w:r w:rsidR="00BE31A0" w:rsidRPr="00082ABB">
        <w:rPr>
          <w:rFonts w:ascii="Book Antiqua" w:hAnsi="Book Antiqua"/>
          <w:sz w:val="24"/>
          <w:szCs w:val="24"/>
        </w:rPr>
        <w:t xml:space="preserve"> </w:t>
      </w:r>
      <w:r w:rsidRPr="00082ABB">
        <w:rPr>
          <w:rFonts w:ascii="Book Antiqua" w:hAnsi="Book Antiqua"/>
          <w:sz w:val="24"/>
          <w:szCs w:val="24"/>
        </w:rPr>
        <w:t xml:space="preserve">0.001) and PFS (3.7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1.9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0.40; </w:t>
      </w:r>
      <w:r w:rsidRPr="00082ABB">
        <w:rPr>
          <w:rFonts w:ascii="Book Antiqua" w:hAnsi="Book Antiqua"/>
          <w:i/>
          <w:sz w:val="24"/>
          <w:szCs w:val="24"/>
        </w:rPr>
        <w:t>P</w:t>
      </w:r>
      <w:r w:rsidR="00BE31A0" w:rsidRPr="00082ABB">
        <w:rPr>
          <w:rFonts w:ascii="Book Antiqua" w:hAnsi="Book Antiqua"/>
          <w:i/>
          <w:sz w:val="24"/>
          <w:szCs w:val="24"/>
        </w:rPr>
        <w:t xml:space="preserve"> </w:t>
      </w:r>
      <w:r w:rsidR="00DA55E7" w:rsidRPr="00082ABB">
        <w:rPr>
          <w:rFonts w:ascii="Book Antiqua" w:hAnsi="Book Antiqua"/>
          <w:sz w:val="24"/>
          <w:szCs w:val="24"/>
        </w:rPr>
        <w:t>&lt;</w:t>
      </w:r>
      <w:r w:rsidR="00BE31A0" w:rsidRPr="00082ABB">
        <w:rPr>
          <w:rFonts w:ascii="Book Antiqua" w:hAnsi="Book Antiqua"/>
          <w:sz w:val="24"/>
          <w:szCs w:val="24"/>
        </w:rPr>
        <w:t xml:space="preserve"> </w:t>
      </w:r>
      <w:r w:rsidR="00DA55E7" w:rsidRPr="00082ABB">
        <w:rPr>
          <w:rFonts w:ascii="Book Antiqua" w:hAnsi="Book Antiqua"/>
          <w:sz w:val="24"/>
          <w:szCs w:val="24"/>
        </w:rPr>
        <w:t>0.001).</w:t>
      </w:r>
    </w:p>
    <w:p w:rsidR="00BC5F12" w:rsidRPr="00082ABB" w:rsidRDefault="00BC5F12" w:rsidP="00A40572">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 xml:space="preserve">The efficacy of cetuximab </w:t>
      </w:r>
      <w:r w:rsidR="00013270" w:rsidRPr="00082ABB">
        <w:rPr>
          <w:rFonts w:ascii="Book Antiqua" w:hAnsi="Book Antiqua"/>
          <w:sz w:val="24"/>
          <w:szCs w:val="24"/>
        </w:rPr>
        <w:t xml:space="preserve">in </w:t>
      </w:r>
      <w:r w:rsidRPr="00082ABB">
        <w:rPr>
          <w:rFonts w:ascii="Book Antiqua" w:hAnsi="Book Antiqua"/>
          <w:sz w:val="24"/>
          <w:szCs w:val="24"/>
        </w:rPr>
        <w:t xml:space="preserve">combination with chemotherapy </w:t>
      </w:r>
      <w:r w:rsidR="00013270" w:rsidRPr="00082ABB">
        <w:rPr>
          <w:rFonts w:ascii="Book Antiqua" w:hAnsi="Book Antiqua"/>
          <w:sz w:val="24"/>
          <w:szCs w:val="24"/>
        </w:rPr>
        <w:t xml:space="preserve">in the </w:t>
      </w:r>
      <w:r w:rsidRPr="00082ABB">
        <w:rPr>
          <w:rFonts w:ascii="Book Antiqua" w:hAnsi="Book Antiqua"/>
          <w:sz w:val="24"/>
          <w:szCs w:val="24"/>
        </w:rPr>
        <w:t>salvage setting was evaluated in two randomized clinical trial</w:t>
      </w:r>
      <w:r w:rsidR="00013270" w:rsidRPr="00082ABB">
        <w:rPr>
          <w:rFonts w:ascii="Book Antiqua" w:hAnsi="Book Antiqua"/>
          <w:sz w:val="24"/>
          <w:szCs w:val="24"/>
        </w:rPr>
        <w:t>s: the</w:t>
      </w:r>
      <w:r w:rsidRPr="00082ABB">
        <w:rPr>
          <w:rFonts w:ascii="Book Antiqua" w:hAnsi="Book Antiqua"/>
          <w:sz w:val="24"/>
          <w:szCs w:val="24"/>
        </w:rPr>
        <w:t xml:space="preserve"> BOND-1 trial and </w:t>
      </w:r>
      <w:r w:rsidR="00013270" w:rsidRPr="00082ABB">
        <w:rPr>
          <w:rFonts w:ascii="Book Antiqua" w:hAnsi="Book Antiqua"/>
          <w:sz w:val="24"/>
          <w:szCs w:val="24"/>
        </w:rPr>
        <w:t xml:space="preserve">the </w:t>
      </w:r>
      <w:r w:rsidR="00A40572" w:rsidRPr="00082ABB">
        <w:rPr>
          <w:rFonts w:ascii="Book Antiqua" w:hAnsi="Book Antiqua"/>
          <w:sz w:val="24"/>
          <w:szCs w:val="24"/>
        </w:rPr>
        <w:t xml:space="preserve">EPIC </w:t>
      </w:r>
      <w:proofErr w:type="gramStart"/>
      <w:r w:rsidR="00A40572" w:rsidRPr="00082ABB">
        <w:rPr>
          <w:rFonts w:ascii="Book Antiqua" w:hAnsi="Book Antiqua"/>
          <w:sz w:val="24"/>
          <w:szCs w:val="24"/>
        </w:rPr>
        <w:t>trial</w:t>
      </w:r>
      <w:r w:rsidR="00A40572" w:rsidRPr="00082ABB">
        <w:rPr>
          <w:rFonts w:ascii="Book Antiqua" w:hAnsi="Book Antiqua"/>
          <w:sz w:val="24"/>
          <w:szCs w:val="24"/>
          <w:vertAlign w:val="superscript"/>
        </w:rPr>
        <w:t>[</w:t>
      </w:r>
      <w:proofErr w:type="gramEnd"/>
      <w:r w:rsidR="00A40572" w:rsidRPr="00082ABB">
        <w:rPr>
          <w:rFonts w:ascii="Book Antiqua" w:hAnsi="Book Antiqua"/>
          <w:sz w:val="24"/>
          <w:szCs w:val="24"/>
          <w:vertAlign w:val="superscript"/>
        </w:rPr>
        <w:t>13,</w:t>
      </w:r>
      <w:r w:rsidR="00582F2C" w:rsidRPr="00082ABB">
        <w:rPr>
          <w:rFonts w:ascii="Book Antiqua" w:hAnsi="Book Antiqua"/>
          <w:sz w:val="24"/>
          <w:szCs w:val="24"/>
          <w:vertAlign w:val="superscript"/>
        </w:rPr>
        <w:t>14</w:t>
      </w:r>
      <w:r w:rsidRPr="00082ABB">
        <w:rPr>
          <w:rFonts w:ascii="Book Antiqua" w:hAnsi="Book Antiqua"/>
          <w:sz w:val="24"/>
          <w:szCs w:val="24"/>
          <w:vertAlign w:val="superscript"/>
        </w:rPr>
        <w:t>]</w:t>
      </w:r>
      <w:r w:rsidRPr="00082ABB">
        <w:rPr>
          <w:rFonts w:ascii="Book Antiqua" w:hAnsi="Book Antiqua"/>
          <w:sz w:val="24"/>
          <w:szCs w:val="24"/>
        </w:rPr>
        <w:t xml:space="preserve">. The BOND-1 trial was a randomized phase III study </w:t>
      </w:r>
      <w:r w:rsidR="00013270" w:rsidRPr="00082ABB">
        <w:rPr>
          <w:rFonts w:ascii="Book Antiqua" w:hAnsi="Book Antiqua"/>
          <w:sz w:val="24"/>
          <w:szCs w:val="24"/>
        </w:rPr>
        <w:t xml:space="preserve">that </w:t>
      </w:r>
      <w:r w:rsidRPr="00082ABB">
        <w:rPr>
          <w:rFonts w:ascii="Book Antiqua" w:hAnsi="Book Antiqua"/>
          <w:sz w:val="24"/>
          <w:szCs w:val="24"/>
        </w:rPr>
        <w:t>enrolled 329 patients with irinotecan</w:t>
      </w:r>
      <w:r w:rsidR="00013270" w:rsidRPr="00082ABB">
        <w:rPr>
          <w:rFonts w:ascii="Book Antiqua" w:hAnsi="Book Antiqua"/>
          <w:sz w:val="24"/>
          <w:szCs w:val="24"/>
        </w:rPr>
        <w:t>-</w:t>
      </w:r>
      <w:r w:rsidRPr="00082ABB">
        <w:rPr>
          <w:rFonts w:ascii="Book Antiqua" w:hAnsi="Book Antiqua"/>
          <w:sz w:val="24"/>
          <w:szCs w:val="24"/>
        </w:rPr>
        <w:t xml:space="preserve">resistant mCRC. The superiority of cetuximab plus irinotecan in terms of RR and PFS was demonstrated compared with cetuximab alone. In the phase III EPIC trial, 1298 mCRC patients who experienced first-line fluoropyrimidine and oxaliplatin treatment failure were randomly assigned </w:t>
      </w:r>
      <w:proofErr w:type="gramStart"/>
      <w:r w:rsidRPr="00082ABB">
        <w:rPr>
          <w:rFonts w:ascii="Book Antiqua" w:hAnsi="Book Antiqua"/>
          <w:sz w:val="24"/>
          <w:szCs w:val="24"/>
        </w:rPr>
        <w:t>to either</w:t>
      </w:r>
      <w:proofErr w:type="gramEnd"/>
      <w:r w:rsidRPr="00082ABB">
        <w:rPr>
          <w:rFonts w:ascii="Book Antiqua" w:hAnsi="Book Antiqua"/>
          <w:sz w:val="24"/>
          <w:szCs w:val="24"/>
        </w:rPr>
        <w:t xml:space="preserve"> irinotecan plus cetuximab or irinotecan alone. </w:t>
      </w:r>
      <w:r w:rsidR="00013270" w:rsidRPr="00082ABB">
        <w:rPr>
          <w:rFonts w:ascii="Book Antiqua" w:hAnsi="Book Antiqua"/>
          <w:sz w:val="24"/>
          <w:szCs w:val="24"/>
        </w:rPr>
        <w:t xml:space="preserve">The </w:t>
      </w:r>
      <w:r w:rsidRPr="00082ABB">
        <w:rPr>
          <w:rFonts w:ascii="Book Antiqua" w:hAnsi="Book Antiqua"/>
          <w:sz w:val="24"/>
          <w:szCs w:val="24"/>
        </w:rPr>
        <w:t xml:space="preserve">addition of cetuximab to irinotecan improved RR and PFS compared with </w:t>
      </w:r>
      <w:r w:rsidRPr="00082ABB">
        <w:rPr>
          <w:rFonts w:ascii="Book Antiqua" w:hAnsi="Book Antiqua"/>
          <w:sz w:val="24"/>
          <w:szCs w:val="24"/>
        </w:rPr>
        <w:lastRenderedPageBreak/>
        <w:t>irinotecan alone. However, both trial</w:t>
      </w:r>
      <w:r w:rsidR="00013270" w:rsidRPr="00082ABB">
        <w:rPr>
          <w:rFonts w:ascii="Book Antiqua" w:hAnsi="Book Antiqua"/>
          <w:sz w:val="24"/>
          <w:szCs w:val="24"/>
        </w:rPr>
        <w:t>s</w:t>
      </w:r>
      <w:r w:rsidRPr="00082ABB">
        <w:rPr>
          <w:rFonts w:ascii="Book Antiqua" w:hAnsi="Book Antiqua"/>
          <w:sz w:val="24"/>
          <w:szCs w:val="24"/>
        </w:rPr>
        <w:t xml:space="preserve"> did not </w:t>
      </w:r>
      <w:r w:rsidR="00013270" w:rsidRPr="00082ABB">
        <w:rPr>
          <w:rFonts w:ascii="Book Antiqua" w:hAnsi="Book Antiqua"/>
          <w:sz w:val="24"/>
          <w:szCs w:val="24"/>
        </w:rPr>
        <w:t xml:space="preserve">show </w:t>
      </w:r>
      <w:r w:rsidRPr="00082ABB">
        <w:rPr>
          <w:rFonts w:ascii="Book Antiqua" w:hAnsi="Book Antiqua"/>
          <w:sz w:val="24"/>
          <w:szCs w:val="24"/>
        </w:rPr>
        <w:t xml:space="preserve">the benefit of cetuximab </w:t>
      </w:r>
      <w:r w:rsidR="00013270" w:rsidRPr="00082ABB">
        <w:rPr>
          <w:rFonts w:ascii="Book Antiqua" w:hAnsi="Book Antiqua"/>
          <w:sz w:val="24"/>
          <w:szCs w:val="24"/>
        </w:rPr>
        <w:t xml:space="preserve">in </w:t>
      </w:r>
      <w:r w:rsidRPr="00082ABB">
        <w:rPr>
          <w:rFonts w:ascii="Book Antiqua" w:hAnsi="Book Antiqua"/>
          <w:sz w:val="24"/>
          <w:szCs w:val="24"/>
        </w:rPr>
        <w:t xml:space="preserve">combination </w:t>
      </w:r>
      <w:r w:rsidR="00013270" w:rsidRPr="00082ABB">
        <w:rPr>
          <w:rFonts w:ascii="Book Antiqua" w:hAnsi="Book Antiqua"/>
          <w:sz w:val="24"/>
          <w:szCs w:val="24"/>
        </w:rPr>
        <w:t xml:space="preserve">with </w:t>
      </w:r>
      <w:r w:rsidRPr="00082ABB">
        <w:rPr>
          <w:rFonts w:ascii="Book Antiqua" w:hAnsi="Book Antiqua"/>
          <w:sz w:val="24"/>
          <w:szCs w:val="24"/>
        </w:rPr>
        <w:t xml:space="preserve">chemotherapy </w:t>
      </w:r>
      <w:r w:rsidR="00013270" w:rsidRPr="00082ABB">
        <w:rPr>
          <w:rFonts w:ascii="Book Antiqua" w:hAnsi="Book Antiqua"/>
          <w:sz w:val="24"/>
          <w:szCs w:val="24"/>
        </w:rPr>
        <w:t xml:space="preserve">with respect to </w:t>
      </w:r>
      <w:r w:rsidRPr="00082ABB">
        <w:rPr>
          <w:rFonts w:ascii="Book Antiqua" w:hAnsi="Book Antiqua"/>
          <w:sz w:val="24"/>
          <w:szCs w:val="24"/>
        </w:rPr>
        <w:t>OS compared with monotherapy. So far, the detail</w:t>
      </w:r>
      <w:r w:rsidR="00013270" w:rsidRPr="00082ABB">
        <w:rPr>
          <w:rFonts w:ascii="Book Antiqua" w:hAnsi="Book Antiqua"/>
          <w:sz w:val="24"/>
          <w:szCs w:val="24"/>
        </w:rPr>
        <w:t>ed</w:t>
      </w:r>
      <w:r w:rsidRPr="00082ABB">
        <w:rPr>
          <w:rFonts w:ascii="Book Antiqua" w:hAnsi="Book Antiqua"/>
          <w:sz w:val="24"/>
          <w:szCs w:val="24"/>
        </w:rPr>
        <w:t xml:space="preserve"> results of </w:t>
      </w:r>
      <w:r w:rsidRPr="00082ABB">
        <w:rPr>
          <w:rFonts w:ascii="Book Antiqua" w:hAnsi="Book Antiqua"/>
          <w:i/>
          <w:sz w:val="24"/>
          <w:szCs w:val="24"/>
        </w:rPr>
        <w:t>KRAS</w:t>
      </w:r>
      <w:r w:rsidRPr="00082ABB">
        <w:rPr>
          <w:rFonts w:ascii="Book Antiqua" w:hAnsi="Book Antiqua"/>
          <w:sz w:val="24"/>
          <w:szCs w:val="24"/>
        </w:rPr>
        <w:t xml:space="preserve"> status in </w:t>
      </w:r>
      <w:r w:rsidR="00013270" w:rsidRPr="00082ABB">
        <w:rPr>
          <w:rFonts w:ascii="Book Antiqua" w:hAnsi="Book Antiqua"/>
          <w:sz w:val="24"/>
          <w:szCs w:val="24"/>
        </w:rPr>
        <w:t xml:space="preserve">the </w:t>
      </w:r>
      <w:r w:rsidRPr="00082ABB">
        <w:rPr>
          <w:rFonts w:ascii="Book Antiqua" w:hAnsi="Book Antiqua"/>
          <w:sz w:val="24"/>
          <w:szCs w:val="24"/>
        </w:rPr>
        <w:t>BOND and EPIC trial</w:t>
      </w:r>
      <w:r w:rsidR="00013270" w:rsidRPr="00082ABB">
        <w:rPr>
          <w:rFonts w:ascii="Book Antiqua" w:hAnsi="Book Antiqua"/>
          <w:sz w:val="24"/>
          <w:szCs w:val="24"/>
        </w:rPr>
        <w:t>s</w:t>
      </w:r>
      <w:r w:rsidRPr="00082ABB">
        <w:rPr>
          <w:rFonts w:ascii="Book Antiqua" w:hAnsi="Book Antiqua"/>
          <w:sz w:val="24"/>
          <w:szCs w:val="24"/>
        </w:rPr>
        <w:t xml:space="preserve"> have not been published</w:t>
      </w:r>
      <w:r w:rsidR="00A16F3D" w:rsidRPr="00082ABB">
        <w:rPr>
          <w:rFonts w:ascii="Book Antiqua" w:hAnsi="Book Antiqua" w:hint="eastAsia"/>
          <w:sz w:val="24"/>
          <w:szCs w:val="24"/>
        </w:rPr>
        <w:t xml:space="preserve"> (Table 2)</w:t>
      </w:r>
      <w:r w:rsidRPr="00082ABB">
        <w:rPr>
          <w:rFonts w:ascii="Book Antiqua" w:hAnsi="Book Antiqua"/>
          <w:sz w:val="24"/>
          <w:szCs w:val="24"/>
        </w:rPr>
        <w:t>.</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b/>
          <w:i/>
          <w:sz w:val="24"/>
          <w:szCs w:val="24"/>
        </w:rPr>
      </w:pPr>
      <w:r w:rsidRPr="00082ABB">
        <w:rPr>
          <w:rFonts w:ascii="Book Antiqua" w:hAnsi="Book Antiqua"/>
          <w:b/>
          <w:i/>
          <w:sz w:val="24"/>
          <w:szCs w:val="24"/>
        </w:rPr>
        <w:t>Panitumumab</w:t>
      </w: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 xml:space="preserve">Panitumumab is a fully human, monoclonal antibody targeting the EGFR with high affinity. The mechanism of inhibiting EGFR signaling pathway is similar to </w:t>
      </w:r>
      <w:r w:rsidR="002912EC" w:rsidRPr="00082ABB">
        <w:rPr>
          <w:rFonts w:ascii="Book Antiqua" w:hAnsi="Book Antiqua"/>
          <w:sz w:val="24"/>
          <w:szCs w:val="24"/>
        </w:rPr>
        <w:t xml:space="preserve">that of </w:t>
      </w:r>
      <w:r w:rsidRPr="00082ABB">
        <w:rPr>
          <w:rFonts w:ascii="Book Antiqua" w:hAnsi="Book Antiqua"/>
          <w:sz w:val="24"/>
          <w:szCs w:val="24"/>
        </w:rPr>
        <w:t>cetuximab</w:t>
      </w:r>
      <w:r w:rsidR="002912EC" w:rsidRPr="00082ABB">
        <w:rPr>
          <w:rFonts w:ascii="Book Antiqua" w:hAnsi="Book Antiqua"/>
          <w:sz w:val="24"/>
          <w:szCs w:val="24"/>
        </w:rPr>
        <w:t>,</w:t>
      </w:r>
      <w:r w:rsidR="00A40572" w:rsidRPr="00082ABB">
        <w:rPr>
          <w:rFonts w:ascii="Book Antiqua" w:hAnsi="Book Antiqua"/>
          <w:sz w:val="24"/>
          <w:szCs w:val="24"/>
        </w:rPr>
        <w:t xml:space="preserve"> as described </w:t>
      </w:r>
      <w:proofErr w:type="gramStart"/>
      <w:r w:rsidR="00A40572" w:rsidRPr="00082ABB">
        <w:rPr>
          <w:rFonts w:ascii="Book Antiqua" w:hAnsi="Book Antiqua"/>
          <w:sz w:val="24"/>
          <w:szCs w:val="24"/>
        </w:rPr>
        <w:t>above</w:t>
      </w:r>
      <w:r w:rsidRPr="00082ABB">
        <w:rPr>
          <w:rFonts w:ascii="Book Antiqua" w:hAnsi="Book Antiqua"/>
          <w:sz w:val="24"/>
          <w:szCs w:val="24"/>
          <w:vertAlign w:val="superscript"/>
        </w:rPr>
        <w:t>[</w:t>
      </w:r>
      <w:proofErr w:type="gramEnd"/>
      <w:r w:rsidR="000F16ED" w:rsidRPr="00082ABB">
        <w:rPr>
          <w:rFonts w:ascii="Book Antiqua" w:hAnsi="Book Antiqua"/>
          <w:sz w:val="24"/>
          <w:szCs w:val="24"/>
          <w:vertAlign w:val="superscript"/>
        </w:rPr>
        <w:t>73</w:t>
      </w:r>
      <w:r w:rsidRPr="00082ABB">
        <w:rPr>
          <w:rFonts w:ascii="Book Antiqua" w:hAnsi="Book Antiqua"/>
          <w:sz w:val="24"/>
          <w:szCs w:val="24"/>
          <w:vertAlign w:val="superscript"/>
        </w:rPr>
        <w:t>]</w:t>
      </w:r>
      <w:r w:rsidRPr="00082ABB">
        <w:rPr>
          <w:rFonts w:ascii="Book Antiqua" w:hAnsi="Book Antiqua"/>
          <w:sz w:val="24"/>
          <w:szCs w:val="24"/>
        </w:rPr>
        <w:t>. Panitumumab was first approved in 2006 by the U.S. FDA for the treatment of EGFR-expressing mCRC with disease progression despite prior treatment. The most common toxicities are skin rash and hypomagnesemia</w:t>
      </w:r>
      <w:r w:rsidR="002912EC" w:rsidRPr="00082ABB">
        <w:rPr>
          <w:rFonts w:ascii="Book Antiqua" w:hAnsi="Book Antiqua"/>
          <w:sz w:val="24"/>
          <w:szCs w:val="24"/>
        </w:rPr>
        <w:t xml:space="preserve">, </w:t>
      </w:r>
      <w:r w:rsidRPr="00082ABB">
        <w:rPr>
          <w:rFonts w:ascii="Book Antiqua" w:hAnsi="Book Antiqua"/>
          <w:sz w:val="24"/>
          <w:szCs w:val="24"/>
        </w:rPr>
        <w:t xml:space="preserve">like cetuximab. The utility of preventive skin treatment in panitumumab therapy </w:t>
      </w:r>
      <w:r w:rsidR="002912EC" w:rsidRPr="00082ABB">
        <w:rPr>
          <w:rFonts w:ascii="Book Antiqua" w:hAnsi="Book Antiqua"/>
          <w:sz w:val="24"/>
          <w:szCs w:val="24"/>
        </w:rPr>
        <w:t xml:space="preserve">has been </w:t>
      </w:r>
      <w:r w:rsidR="00A40572" w:rsidRPr="00082ABB">
        <w:rPr>
          <w:rFonts w:ascii="Book Antiqua" w:hAnsi="Book Antiqua"/>
          <w:sz w:val="24"/>
          <w:szCs w:val="24"/>
        </w:rPr>
        <w:t xml:space="preserve">reported in prospective </w:t>
      </w:r>
      <w:proofErr w:type="gramStart"/>
      <w:r w:rsidR="00A40572" w:rsidRPr="00082ABB">
        <w:rPr>
          <w:rFonts w:ascii="Book Antiqua" w:hAnsi="Book Antiqua"/>
          <w:sz w:val="24"/>
          <w:szCs w:val="24"/>
        </w:rPr>
        <w:t>studies</w:t>
      </w:r>
      <w:r w:rsidRPr="00082ABB">
        <w:rPr>
          <w:rFonts w:ascii="Book Antiqua" w:hAnsi="Book Antiqua"/>
          <w:sz w:val="24"/>
          <w:szCs w:val="24"/>
          <w:vertAlign w:val="superscript"/>
        </w:rPr>
        <w:t>[</w:t>
      </w:r>
      <w:proofErr w:type="gramEnd"/>
      <w:r w:rsidR="000F16ED" w:rsidRPr="00082ABB">
        <w:rPr>
          <w:rFonts w:ascii="Book Antiqua" w:hAnsi="Book Antiqua"/>
          <w:sz w:val="24"/>
          <w:szCs w:val="24"/>
          <w:vertAlign w:val="superscript"/>
        </w:rPr>
        <w:t>74,75</w:t>
      </w:r>
      <w:r w:rsidRPr="00082ABB">
        <w:rPr>
          <w:rFonts w:ascii="Book Antiqua" w:hAnsi="Book Antiqua"/>
          <w:sz w:val="24"/>
          <w:szCs w:val="24"/>
          <w:vertAlign w:val="superscript"/>
        </w:rPr>
        <w:t>]</w:t>
      </w:r>
      <w:r w:rsidRPr="00082ABB">
        <w:rPr>
          <w:rFonts w:ascii="Book Antiqua" w:hAnsi="Book Antiqua"/>
          <w:sz w:val="24"/>
          <w:szCs w:val="24"/>
        </w:rPr>
        <w:t>.</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eastAsia="宋体" w:hAnsi="Book Antiqua"/>
          <w:b/>
          <w:sz w:val="24"/>
          <w:szCs w:val="24"/>
          <w:lang w:eastAsia="zh-CN"/>
        </w:rPr>
      </w:pPr>
      <w:r w:rsidRPr="00082ABB">
        <w:rPr>
          <w:rFonts w:ascii="Book Antiqua" w:hAnsi="Book Antiqua"/>
          <w:b/>
          <w:sz w:val="24"/>
          <w:szCs w:val="24"/>
        </w:rPr>
        <w:t>First-line treatment in KRAS-WT mCRC</w:t>
      </w:r>
      <w:r w:rsidR="00A40572" w:rsidRPr="00082ABB">
        <w:rPr>
          <w:rFonts w:ascii="Book Antiqua" w:eastAsia="宋体" w:hAnsi="Book Antiqua"/>
          <w:b/>
          <w:sz w:val="24"/>
          <w:szCs w:val="24"/>
          <w:lang w:eastAsia="zh-CN"/>
        </w:rPr>
        <w:t xml:space="preserve">: </w:t>
      </w:r>
      <w:r w:rsidRPr="00082ABB">
        <w:rPr>
          <w:rFonts w:ascii="Book Antiqua" w:hAnsi="Book Antiqua"/>
          <w:sz w:val="24"/>
          <w:szCs w:val="24"/>
        </w:rPr>
        <w:t xml:space="preserve">The phase III PRIME study was conducted in chemo-naive mCRC patients to evaluate the efficacy of panitumumab in combination with </w:t>
      </w:r>
      <w:r w:rsidR="002912EC" w:rsidRPr="00082ABB">
        <w:rPr>
          <w:rFonts w:ascii="Book Antiqua" w:hAnsi="Book Antiqua"/>
          <w:sz w:val="24"/>
          <w:szCs w:val="24"/>
        </w:rPr>
        <w:t xml:space="preserve">the </w:t>
      </w:r>
      <w:r w:rsidRPr="00082ABB">
        <w:rPr>
          <w:rFonts w:ascii="Book Antiqua" w:hAnsi="Book Antiqua"/>
          <w:sz w:val="24"/>
          <w:szCs w:val="24"/>
        </w:rPr>
        <w:t xml:space="preserve">FOLFOX-4 regimen </w:t>
      </w:r>
      <w:r w:rsidR="002912EC" w:rsidRPr="00082ABB">
        <w:rPr>
          <w:rFonts w:ascii="Book Antiqua" w:hAnsi="Book Antiqua"/>
          <w:sz w:val="24"/>
          <w:szCs w:val="24"/>
        </w:rPr>
        <w:t xml:space="preserve">in </w:t>
      </w:r>
      <w:r w:rsidR="00A40572" w:rsidRPr="00082ABB">
        <w:rPr>
          <w:rFonts w:ascii="Book Antiqua" w:hAnsi="Book Antiqua"/>
          <w:sz w:val="24"/>
          <w:szCs w:val="24"/>
        </w:rPr>
        <w:t xml:space="preserve">the first-line </w:t>
      </w:r>
      <w:proofErr w:type="gramStart"/>
      <w:r w:rsidR="00A40572" w:rsidRPr="00082ABB">
        <w:rPr>
          <w:rFonts w:ascii="Book Antiqua" w:hAnsi="Book Antiqua"/>
          <w:sz w:val="24"/>
          <w:szCs w:val="24"/>
        </w:rPr>
        <w:t>setting</w:t>
      </w:r>
      <w:r w:rsidRPr="00082ABB">
        <w:rPr>
          <w:rFonts w:ascii="Book Antiqua" w:hAnsi="Book Antiqua"/>
          <w:sz w:val="24"/>
          <w:szCs w:val="24"/>
          <w:vertAlign w:val="superscript"/>
        </w:rPr>
        <w:t>[</w:t>
      </w:r>
      <w:proofErr w:type="gramEnd"/>
      <w:r w:rsidRPr="00082ABB">
        <w:rPr>
          <w:rFonts w:ascii="Book Antiqua" w:hAnsi="Book Antiqua"/>
          <w:sz w:val="24"/>
          <w:szCs w:val="24"/>
          <w:vertAlign w:val="superscript"/>
        </w:rPr>
        <w:t>7</w:t>
      </w:r>
      <w:r w:rsidR="000F16ED" w:rsidRPr="00082ABB">
        <w:rPr>
          <w:rFonts w:ascii="Book Antiqua" w:hAnsi="Book Antiqua"/>
          <w:sz w:val="24"/>
          <w:szCs w:val="24"/>
          <w:vertAlign w:val="superscript"/>
        </w:rPr>
        <w:t>6</w:t>
      </w:r>
      <w:r w:rsidRPr="00082ABB">
        <w:rPr>
          <w:rFonts w:ascii="Book Antiqua" w:hAnsi="Book Antiqua"/>
          <w:sz w:val="24"/>
          <w:szCs w:val="24"/>
          <w:vertAlign w:val="superscript"/>
        </w:rPr>
        <w:t>]</w:t>
      </w:r>
      <w:r w:rsidRPr="00082ABB">
        <w:rPr>
          <w:rFonts w:ascii="Book Antiqua" w:hAnsi="Book Antiqua"/>
          <w:sz w:val="24"/>
          <w:szCs w:val="24"/>
        </w:rPr>
        <w:t xml:space="preserve">. In </w:t>
      </w:r>
      <w:r w:rsidR="002912EC" w:rsidRPr="00082ABB">
        <w:rPr>
          <w:rFonts w:ascii="Book Antiqua" w:hAnsi="Book Antiqua"/>
          <w:sz w:val="24"/>
          <w:szCs w:val="24"/>
        </w:rPr>
        <w:t xml:space="preserve">the </w:t>
      </w:r>
      <w:r w:rsidRPr="00082ABB">
        <w:rPr>
          <w:rFonts w:ascii="Book Antiqua" w:hAnsi="Book Antiqua"/>
          <w:sz w:val="24"/>
          <w:szCs w:val="24"/>
        </w:rPr>
        <w:t xml:space="preserve">PRIME study, 1183 mCRC patients were randomly assigned to receive FOLFOX-4 with or without panitumumab. The </w:t>
      </w:r>
      <w:r w:rsidRPr="00082ABB">
        <w:rPr>
          <w:rFonts w:ascii="Book Antiqua" w:hAnsi="Book Antiqua"/>
          <w:i/>
          <w:sz w:val="24"/>
          <w:szCs w:val="24"/>
        </w:rPr>
        <w:t>KRAS</w:t>
      </w:r>
      <w:r w:rsidRPr="00082ABB">
        <w:rPr>
          <w:rFonts w:ascii="Book Antiqua" w:hAnsi="Book Antiqua"/>
          <w:sz w:val="24"/>
          <w:szCs w:val="24"/>
        </w:rPr>
        <w:t xml:space="preserve"> status of the tumor</w:t>
      </w:r>
      <w:r w:rsidR="002912EC" w:rsidRPr="00082ABB">
        <w:rPr>
          <w:rFonts w:ascii="Book Antiqua" w:hAnsi="Book Antiqua"/>
          <w:sz w:val="24"/>
          <w:szCs w:val="24"/>
        </w:rPr>
        <w:t>s</w:t>
      </w:r>
      <w:r w:rsidRPr="00082ABB">
        <w:rPr>
          <w:rFonts w:ascii="Book Antiqua" w:hAnsi="Book Antiqua"/>
          <w:sz w:val="24"/>
          <w:szCs w:val="24"/>
        </w:rPr>
        <w:t xml:space="preserve"> </w:t>
      </w:r>
      <w:r w:rsidR="00886037" w:rsidRPr="00082ABB">
        <w:rPr>
          <w:rFonts w:ascii="Book Antiqua" w:hAnsi="Book Antiqua"/>
          <w:sz w:val="24"/>
          <w:szCs w:val="24"/>
        </w:rPr>
        <w:t xml:space="preserve">was </w:t>
      </w:r>
      <w:r w:rsidRPr="00082ABB">
        <w:rPr>
          <w:rFonts w:ascii="Book Antiqua" w:hAnsi="Book Antiqua"/>
          <w:sz w:val="24"/>
          <w:szCs w:val="24"/>
        </w:rPr>
        <w:t xml:space="preserve">available in 1096 of these patients (93%), and 440 patients (40%) had a mutation of </w:t>
      </w:r>
      <w:r w:rsidRPr="00082ABB">
        <w:rPr>
          <w:rFonts w:ascii="Book Antiqua" w:hAnsi="Book Antiqua"/>
          <w:i/>
          <w:sz w:val="24"/>
          <w:szCs w:val="24"/>
        </w:rPr>
        <w:t xml:space="preserve">KRAS </w:t>
      </w:r>
      <w:r w:rsidRPr="00082ABB">
        <w:rPr>
          <w:rFonts w:ascii="Book Antiqua" w:hAnsi="Book Antiqua"/>
          <w:sz w:val="24"/>
          <w:szCs w:val="24"/>
        </w:rPr>
        <w:t>status. In</w:t>
      </w:r>
      <w:r w:rsidR="002912EC" w:rsidRPr="00082ABB">
        <w:rPr>
          <w:rFonts w:ascii="Book Antiqua" w:hAnsi="Book Antiqua"/>
          <w:sz w:val="24"/>
          <w:szCs w:val="24"/>
        </w:rPr>
        <w:t xml:space="preserve"> the</w:t>
      </w:r>
      <w:r w:rsidRPr="00082ABB">
        <w:rPr>
          <w:rFonts w:ascii="Book Antiqua" w:hAnsi="Book Antiqua"/>
          <w:sz w:val="24"/>
          <w:szCs w:val="24"/>
        </w:rPr>
        <w:t xml:space="preserve"> </w:t>
      </w:r>
      <w:r w:rsidRPr="00082ABB">
        <w:rPr>
          <w:rFonts w:ascii="Book Antiqua" w:hAnsi="Book Antiqua"/>
          <w:i/>
          <w:sz w:val="24"/>
          <w:szCs w:val="24"/>
        </w:rPr>
        <w:t>KRAS</w:t>
      </w:r>
      <w:r w:rsidRPr="00082ABB">
        <w:rPr>
          <w:rFonts w:ascii="Book Antiqua" w:hAnsi="Book Antiqua"/>
          <w:sz w:val="24"/>
          <w:szCs w:val="24"/>
        </w:rPr>
        <w:t xml:space="preserve"> wild type population, </w:t>
      </w:r>
      <w:r w:rsidR="002912EC" w:rsidRPr="00082ABB">
        <w:rPr>
          <w:rFonts w:ascii="Book Antiqua" w:hAnsi="Book Antiqua"/>
          <w:sz w:val="24"/>
          <w:szCs w:val="24"/>
        </w:rPr>
        <w:t xml:space="preserve">the </w:t>
      </w:r>
      <w:r w:rsidRPr="00082ABB">
        <w:rPr>
          <w:rFonts w:ascii="Book Antiqua" w:hAnsi="Book Antiqua"/>
          <w:sz w:val="24"/>
          <w:szCs w:val="24"/>
        </w:rPr>
        <w:t xml:space="preserve">FOLFOX-4 plus panitumumab arm </w:t>
      </w:r>
      <w:r w:rsidR="002912EC" w:rsidRPr="00082ABB">
        <w:rPr>
          <w:rFonts w:ascii="Book Antiqua" w:hAnsi="Book Antiqua"/>
          <w:sz w:val="24"/>
          <w:szCs w:val="24"/>
        </w:rPr>
        <w:t xml:space="preserve">had </w:t>
      </w:r>
      <w:r w:rsidRPr="00082ABB">
        <w:rPr>
          <w:rFonts w:ascii="Book Antiqua" w:hAnsi="Book Antiqua"/>
          <w:sz w:val="24"/>
          <w:szCs w:val="24"/>
        </w:rPr>
        <w:t xml:space="preserve">significantly improved PFS compared with </w:t>
      </w:r>
      <w:r w:rsidR="002912EC" w:rsidRPr="00082ABB">
        <w:rPr>
          <w:rFonts w:ascii="Book Antiqua" w:hAnsi="Book Antiqua"/>
          <w:sz w:val="24"/>
          <w:szCs w:val="24"/>
        </w:rPr>
        <w:t xml:space="preserve">the </w:t>
      </w:r>
      <w:r w:rsidRPr="00082ABB">
        <w:rPr>
          <w:rFonts w:ascii="Book Antiqua" w:hAnsi="Book Antiqua"/>
          <w:sz w:val="24"/>
          <w:szCs w:val="24"/>
        </w:rPr>
        <w:t xml:space="preserve">FOLFOX-4 arm (9.6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8.0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0.80, </w:t>
      </w:r>
      <w:r w:rsidRPr="00082ABB">
        <w:rPr>
          <w:rFonts w:ascii="Book Antiqua" w:hAnsi="Book Antiqua"/>
          <w:i/>
          <w:sz w:val="24"/>
          <w:szCs w:val="24"/>
        </w:rPr>
        <w:t>P</w:t>
      </w:r>
      <w:r w:rsidR="00097F1F" w:rsidRPr="00082ABB">
        <w:rPr>
          <w:rFonts w:ascii="Book Antiqua" w:hAnsi="Book Antiqua"/>
          <w:i/>
          <w:sz w:val="24"/>
          <w:szCs w:val="24"/>
        </w:rPr>
        <w:t xml:space="preserve"> </w:t>
      </w:r>
      <w:r w:rsidRPr="00082ABB">
        <w:rPr>
          <w:rFonts w:ascii="Book Antiqua" w:hAnsi="Book Antiqua"/>
          <w:sz w:val="24"/>
          <w:szCs w:val="24"/>
        </w:rPr>
        <w:t>=</w:t>
      </w:r>
      <w:r w:rsidR="00097F1F" w:rsidRPr="00082ABB">
        <w:rPr>
          <w:rFonts w:ascii="Book Antiqua" w:hAnsi="Book Antiqua"/>
          <w:sz w:val="24"/>
          <w:szCs w:val="24"/>
        </w:rPr>
        <w:t xml:space="preserve"> </w:t>
      </w:r>
      <w:r w:rsidRPr="00082ABB">
        <w:rPr>
          <w:rFonts w:ascii="Book Antiqua" w:hAnsi="Book Antiqua"/>
          <w:sz w:val="24"/>
          <w:szCs w:val="24"/>
        </w:rPr>
        <w:t xml:space="preserve">0.002). There was no significant difference between FOLFOX-4 plus panitumumab and FOLFOX-4 alone in terms of OS and RR (OS 23.9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19.7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0.83, </w:t>
      </w:r>
      <w:r w:rsidRPr="00082ABB">
        <w:rPr>
          <w:rFonts w:ascii="Book Antiqua" w:hAnsi="Book Antiqua"/>
          <w:i/>
          <w:sz w:val="24"/>
          <w:szCs w:val="24"/>
        </w:rPr>
        <w:t>P</w:t>
      </w:r>
      <w:r w:rsidR="00097F1F" w:rsidRPr="00082ABB">
        <w:rPr>
          <w:rFonts w:ascii="Book Antiqua" w:hAnsi="Book Antiqua"/>
          <w:i/>
          <w:sz w:val="24"/>
          <w:szCs w:val="24"/>
        </w:rPr>
        <w:t xml:space="preserve"> </w:t>
      </w:r>
      <w:r w:rsidRPr="00082ABB">
        <w:rPr>
          <w:rFonts w:ascii="Book Antiqua" w:hAnsi="Book Antiqua"/>
          <w:sz w:val="24"/>
          <w:szCs w:val="24"/>
        </w:rPr>
        <w:t>=</w:t>
      </w:r>
      <w:r w:rsidR="00097F1F" w:rsidRPr="00082ABB">
        <w:rPr>
          <w:rFonts w:ascii="Book Antiqua" w:hAnsi="Book Antiqua"/>
          <w:sz w:val="24"/>
          <w:szCs w:val="24"/>
        </w:rPr>
        <w:t xml:space="preserve"> </w:t>
      </w:r>
      <w:r w:rsidRPr="00082ABB">
        <w:rPr>
          <w:rFonts w:ascii="Book Antiqua" w:hAnsi="Book Antiqua"/>
          <w:sz w:val="24"/>
          <w:szCs w:val="24"/>
        </w:rPr>
        <w:t xml:space="preserve">0.072; RR 55% </w:t>
      </w:r>
      <w:r w:rsidRPr="00082ABB">
        <w:rPr>
          <w:rFonts w:ascii="Book Antiqua" w:hAnsi="Book Antiqua"/>
          <w:i/>
          <w:sz w:val="24"/>
          <w:szCs w:val="24"/>
        </w:rPr>
        <w:t>vs</w:t>
      </w:r>
      <w:r w:rsidRPr="00082ABB">
        <w:rPr>
          <w:rFonts w:ascii="Book Antiqua" w:hAnsi="Book Antiqua"/>
          <w:sz w:val="24"/>
          <w:szCs w:val="24"/>
        </w:rPr>
        <w:t xml:space="preserve"> 48%, OR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1.35, </w:t>
      </w:r>
      <w:r w:rsidRPr="00082ABB">
        <w:rPr>
          <w:rFonts w:ascii="Book Antiqua" w:hAnsi="Book Antiqua"/>
          <w:i/>
          <w:sz w:val="24"/>
          <w:szCs w:val="24"/>
        </w:rPr>
        <w:t>P</w:t>
      </w:r>
      <w:r w:rsidR="00097F1F" w:rsidRPr="00082ABB">
        <w:rPr>
          <w:rFonts w:ascii="Book Antiqua" w:hAnsi="Book Antiqua"/>
          <w:i/>
          <w:sz w:val="24"/>
          <w:szCs w:val="24"/>
        </w:rPr>
        <w:t xml:space="preserve"> </w:t>
      </w:r>
      <w:r w:rsidRPr="00082ABB">
        <w:rPr>
          <w:rFonts w:ascii="Book Antiqua" w:hAnsi="Book Antiqua"/>
          <w:sz w:val="24"/>
          <w:szCs w:val="24"/>
        </w:rPr>
        <w:t>=</w:t>
      </w:r>
      <w:r w:rsidR="00097F1F" w:rsidRPr="00082ABB">
        <w:rPr>
          <w:rFonts w:ascii="Book Antiqua" w:hAnsi="Book Antiqua"/>
          <w:sz w:val="24"/>
          <w:szCs w:val="24"/>
        </w:rPr>
        <w:t xml:space="preserve"> </w:t>
      </w:r>
      <w:r w:rsidRPr="00082ABB">
        <w:rPr>
          <w:rFonts w:ascii="Book Antiqua" w:hAnsi="Book Antiqua"/>
          <w:sz w:val="24"/>
          <w:szCs w:val="24"/>
        </w:rPr>
        <w:t xml:space="preserve">0.068). This result of </w:t>
      </w:r>
      <w:r w:rsidR="002912EC" w:rsidRPr="00082ABB">
        <w:rPr>
          <w:rFonts w:ascii="Book Antiqua" w:hAnsi="Book Antiqua"/>
          <w:sz w:val="24"/>
          <w:szCs w:val="24"/>
        </w:rPr>
        <w:t xml:space="preserve">the </w:t>
      </w:r>
      <w:r w:rsidRPr="00082ABB">
        <w:rPr>
          <w:rFonts w:ascii="Book Antiqua" w:hAnsi="Book Antiqua"/>
          <w:sz w:val="24"/>
          <w:szCs w:val="24"/>
        </w:rPr>
        <w:t>PRIME study was similar to</w:t>
      </w:r>
      <w:r w:rsidR="002912EC" w:rsidRPr="00082ABB">
        <w:rPr>
          <w:rFonts w:ascii="Book Antiqua" w:hAnsi="Book Antiqua"/>
          <w:sz w:val="24"/>
          <w:szCs w:val="24"/>
        </w:rPr>
        <w:t xml:space="preserve"> that of</w:t>
      </w:r>
      <w:r w:rsidRPr="00082ABB">
        <w:rPr>
          <w:rFonts w:ascii="Book Antiqua" w:hAnsi="Book Antiqua"/>
          <w:sz w:val="24"/>
          <w:szCs w:val="24"/>
        </w:rPr>
        <w:t xml:space="preserve"> the OPUS trial. From the results of these two studies (phase II OPUS and phase III PRIME), the efficacy of the addition of anti-EGFR agents to oxaliplatin-based chemotherapy was demonstrated</w:t>
      </w:r>
      <w:r w:rsidR="00A16F3D" w:rsidRPr="00082ABB">
        <w:rPr>
          <w:rFonts w:ascii="Book Antiqua" w:hAnsi="Book Antiqua" w:hint="eastAsia"/>
          <w:sz w:val="24"/>
          <w:szCs w:val="24"/>
        </w:rPr>
        <w:t xml:space="preserve"> (Table 2)</w:t>
      </w:r>
      <w:r w:rsidRPr="00082ABB">
        <w:rPr>
          <w:rFonts w:ascii="Book Antiqua" w:hAnsi="Book Antiqua"/>
          <w:sz w:val="24"/>
          <w:szCs w:val="24"/>
        </w:rPr>
        <w:t xml:space="preserve">.  </w:t>
      </w:r>
    </w:p>
    <w:p w:rsidR="00BC5F12" w:rsidRPr="00082ABB" w:rsidRDefault="00BC5F12" w:rsidP="007061C9">
      <w:pPr>
        <w:snapToGrid w:val="0"/>
        <w:spacing w:line="360" w:lineRule="auto"/>
        <w:rPr>
          <w:rFonts w:ascii="Book Antiqua" w:eastAsia="宋体" w:hAnsi="Book Antiqua"/>
          <w:sz w:val="24"/>
          <w:szCs w:val="24"/>
          <w:lang w:eastAsia="zh-CN"/>
        </w:rPr>
      </w:pPr>
    </w:p>
    <w:p w:rsidR="00BC5F12" w:rsidRPr="00082ABB" w:rsidRDefault="00BC5F12" w:rsidP="007061C9">
      <w:pPr>
        <w:snapToGrid w:val="0"/>
        <w:spacing w:line="360" w:lineRule="auto"/>
        <w:rPr>
          <w:rFonts w:ascii="Book Antiqua" w:eastAsia="宋体" w:hAnsi="Book Antiqua"/>
          <w:b/>
          <w:sz w:val="24"/>
          <w:szCs w:val="24"/>
          <w:lang w:eastAsia="zh-CN"/>
        </w:rPr>
      </w:pPr>
      <w:r w:rsidRPr="00082ABB">
        <w:rPr>
          <w:rFonts w:ascii="Book Antiqua" w:hAnsi="Book Antiqua"/>
          <w:b/>
          <w:sz w:val="24"/>
          <w:szCs w:val="24"/>
        </w:rPr>
        <w:lastRenderedPageBreak/>
        <w:t>Second-line and salvage treatment in KRAS-WT mCRC</w:t>
      </w:r>
      <w:r w:rsidR="00A40572" w:rsidRPr="00082ABB">
        <w:rPr>
          <w:rFonts w:ascii="Book Antiqua" w:eastAsia="宋体" w:hAnsi="Book Antiqua"/>
          <w:b/>
          <w:sz w:val="24"/>
          <w:szCs w:val="24"/>
          <w:lang w:eastAsia="zh-CN"/>
        </w:rPr>
        <w:t xml:space="preserve">: </w:t>
      </w:r>
      <w:r w:rsidRPr="00082ABB">
        <w:rPr>
          <w:rFonts w:ascii="Book Antiqua" w:hAnsi="Book Antiqua"/>
          <w:sz w:val="24"/>
          <w:szCs w:val="24"/>
        </w:rPr>
        <w:t xml:space="preserve">The role of panitumumab </w:t>
      </w:r>
      <w:r w:rsidR="002912EC" w:rsidRPr="00082ABB">
        <w:rPr>
          <w:rFonts w:ascii="Book Antiqua" w:hAnsi="Book Antiqua"/>
          <w:sz w:val="24"/>
          <w:szCs w:val="24"/>
        </w:rPr>
        <w:t xml:space="preserve">in </w:t>
      </w:r>
      <w:r w:rsidRPr="00082ABB">
        <w:rPr>
          <w:rFonts w:ascii="Book Antiqua" w:hAnsi="Book Antiqua"/>
          <w:sz w:val="24"/>
          <w:szCs w:val="24"/>
        </w:rPr>
        <w:t xml:space="preserve">combination with chemotherapy </w:t>
      </w:r>
      <w:r w:rsidR="002912EC" w:rsidRPr="00082ABB">
        <w:rPr>
          <w:rFonts w:ascii="Book Antiqua" w:hAnsi="Book Antiqua"/>
          <w:sz w:val="24"/>
          <w:szCs w:val="24"/>
        </w:rPr>
        <w:t xml:space="preserve">in the </w:t>
      </w:r>
      <w:r w:rsidRPr="00082ABB">
        <w:rPr>
          <w:rFonts w:ascii="Book Antiqua" w:hAnsi="Book Antiqua"/>
          <w:sz w:val="24"/>
          <w:szCs w:val="24"/>
        </w:rPr>
        <w:t>second-line or salvage setting for mCRC was evaluated in the following two trials. First, in the phase III 20050181 trial, 1186 patients were enrolled and randomized to two treatment arms</w:t>
      </w:r>
      <w:r w:rsidR="005344F7" w:rsidRPr="00082ABB">
        <w:rPr>
          <w:rFonts w:ascii="Book Antiqua" w:hAnsi="Book Antiqua"/>
          <w:sz w:val="24"/>
          <w:szCs w:val="24"/>
        </w:rPr>
        <w:t>:</w:t>
      </w:r>
      <w:r w:rsidRPr="00082ABB">
        <w:rPr>
          <w:rFonts w:ascii="Book Antiqua" w:hAnsi="Book Antiqua"/>
          <w:sz w:val="24"/>
          <w:szCs w:val="24"/>
        </w:rPr>
        <w:t xml:space="preserve"> FOLFIRI plu</w:t>
      </w:r>
      <w:r w:rsidR="00A40572" w:rsidRPr="00082ABB">
        <w:rPr>
          <w:rFonts w:ascii="Book Antiqua" w:hAnsi="Book Antiqua"/>
          <w:sz w:val="24"/>
          <w:szCs w:val="24"/>
        </w:rPr>
        <w:t xml:space="preserve">s panitumumab and FOLFIRI </w:t>
      </w:r>
      <w:proofErr w:type="gramStart"/>
      <w:r w:rsidR="00A40572" w:rsidRPr="00082ABB">
        <w:rPr>
          <w:rFonts w:ascii="Book Antiqua" w:hAnsi="Book Antiqua"/>
          <w:sz w:val="24"/>
          <w:szCs w:val="24"/>
        </w:rPr>
        <w:t>alone</w:t>
      </w:r>
      <w:r w:rsidR="000F16ED" w:rsidRPr="00082ABB">
        <w:rPr>
          <w:rFonts w:ascii="Book Antiqua" w:hAnsi="Book Antiqua"/>
          <w:sz w:val="24"/>
          <w:szCs w:val="24"/>
          <w:vertAlign w:val="superscript"/>
        </w:rPr>
        <w:t>[</w:t>
      </w:r>
      <w:proofErr w:type="gramEnd"/>
      <w:r w:rsidR="000F16ED" w:rsidRPr="00082ABB">
        <w:rPr>
          <w:rFonts w:ascii="Book Antiqua" w:hAnsi="Book Antiqua"/>
          <w:sz w:val="24"/>
          <w:szCs w:val="24"/>
          <w:vertAlign w:val="superscript"/>
        </w:rPr>
        <w:t>77,78</w:t>
      </w:r>
      <w:r w:rsidRPr="00082ABB">
        <w:rPr>
          <w:rFonts w:ascii="Book Antiqua" w:hAnsi="Book Antiqua"/>
          <w:sz w:val="24"/>
          <w:szCs w:val="24"/>
          <w:vertAlign w:val="superscript"/>
        </w:rPr>
        <w:t>]</w:t>
      </w:r>
      <w:r w:rsidRPr="00082ABB">
        <w:rPr>
          <w:rFonts w:ascii="Book Antiqua" w:hAnsi="Book Antiqua"/>
          <w:sz w:val="24"/>
          <w:szCs w:val="24"/>
        </w:rPr>
        <w:t>.</w:t>
      </w:r>
      <w:r w:rsidR="005344F7" w:rsidRPr="00082ABB">
        <w:rPr>
          <w:rFonts w:ascii="Book Antiqua" w:hAnsi="Book Antiqua"/>
          <w:sz w:val="24"/>
          <w:szCs w:val="24"/>
        </w:rPr>
        <w:t xml:space="preserve"> The</w:t>
      </w:r>
      <w:r w:rsidRPr="00082ABB">
        <w:rPr>
          <w:rFonts w:ascii="Book Antiqua" w:hAnsi="Book Antiqua"/>
          <w:sz w:val="24"/>
          <w:szCs w:val="24"/>
        </w:rPr>
        <w:t xml:space="preserve"> </w:t>
      </w:r>
      <w:r w:rsidRPr="00082ABB">
        <w:rPr>
          <w:rFonts w:ascii="Book Antiqua" w:hAnsi="Book Antiqua"/>
          <w:i/>
          <w:sz w:val="24"/>
          <w:szCs w:val="24"/>
        </w:rPr>
        <w:t>KRAS</w:t>
      </w:r>
      <w:r w:rsidRPr="00082ABB">
        <w:rPr>
          <w:rFonts w:ascii="Book Antiqua" w:hAnsi="Book Antiqua"/>
          <w:sz w:val="24"/>
          <w:szCs w:val="24"/>
        </w:rPr>
        <w:t xml:space="preserve"> status of the tumors was investigated in 1083 cases (91%), and </w:t>
      </w:r>
      <w:r w:rsidRPr="00082ABB">
        <w:rPr>
          <w:rFonts w:ascii="Book Antiqua" w:hAnsi="Book Antiqua"/>
          <w:i/>
          <w:sz w:val="24"/>
          <w:szCs w:val="24"/>
        </w:rPr>
        <w:t>KRAS</w:t>
      </w:r>
      <w:r w:rsidRPr="00082ABB">
        <w:rPr>
          <w:rFonts w:ascii="Book Antiqua" w:hAnsi="Book Antiqua"/>
          <w:sz w:val="24"/>
          <w:szCs w:val="24"/>
        </w:rPr>
        <w:t xml:space="preserve"> </w:t>
      </w:r>
      <w:r w:rsidR="005344F7" w:rsidRPr="00082ABB">
        <w:rPr>
          <w:rFonts w:ascii="Book Antiqua" w:hAnsi="Book Antiqua"/>
          <w:sz w:val="24"/>
          <w:szCs w:val="24"/>
        </w:rPr>
        <w:t xml:space="preserve">mutation </w:t>
      </w:r>
      <w:r w:rsidRPr="00082ABB">
        <w:rPr>
          <w:rFonts w:ascii="Book Antiqua" w:hAnsi="Book Antiqua"/>
          <w:sz w:val="24"/>
          <w:szCs w:val="24"/>
        </w:rPr>
        <w:t>was</w:t>
      </w:r>
      <w:r w:rsidR="005344F7" w:rsidRPr="00082ABB">
        <w:rPr>
          <w:rFonts w:ascii="Book Antiqua" w:hAnsi="Book Antiqua"/>
          <w:sz w:val="24"/>
          <w:szCs w:val="24"/>
        </w:rPr>
        <w:t xml:space="preserve"> found in</w:t>
      </w:r>
      <w:r w:rsidRPr="00082ABB">
        <w:rPr>
          <w:rFonts w:ascii="Book Antiqua" w:hAnsi="Book Antiqua"/>
          <w:sz w:val="24"/>
          <w:szCs w:val="24"/>
        </w:rPr>
        <w:t xml:space="preserve"> 45% (486/1083). In </w:t>
      </w:r>
      <w:r w:rsidR="005344F7" w:rsidRPr="00082ABB">
        <w:rPr>
          <w:rFonts w:ascii="Book Antiqua" w:hAnsi="Book Antiqua"/>
          <w:sz w:val="24"/>
          <w:szCs w:val="24"/>
        </w:rPr>
        <w:t xml:space="preserve">the </w:t>
      </w:r>
      <w:r w:rsidRPr="00082ABB">
        <w:rPr>
          <w:rFonts w:ascii="Book Antiqua" w:hAnsi="Book Antiqua"/>
          <w:sz w:val="24"/>
          <w:szCs w:val="24"/>
        </w:rPr>
        <w:t xml:space="preserve">wild type </w:t>
      </w:r>
      <w:r w:rsidRPr="00082ABB">
        <w:rPr>
          <w:rFonts w:ascii="Book Antiqua" w:hAnsi="Book Antiqua"/>
          <w:i/>
          <w:sz w:val="24"/>
          <w:szCs w:val="24"/>
        </w:rPr>
        <w:t>KRAS</w:t>
      </w:r>
      <w:r w:rsidRPr="00082ABB">
        <w:rPr>
          <w:rFonts w:ascii="Book Antiqua" w:hAnsi="Book Antiqua"/>
          <w:sz w:val="24"/>
          <w:szCs w:val="24"/>
        </w:rPr>
        <w:t xml:space="preserve"> population, addition of panitumumab to </w:t>
      </w:r>
      <w:r w:rsidR="005344F7" w:rsidRPr="00082ABB">
        <w:rPr>
          <w:rFonts w:ascii="Book Antiqua" w:hAnsi="Book Antiqua"/>
          <w:sz w:val="24"/>
          <w:szCs w:val="24"/>
        </w:rPr>
        <w:t xml:space="preserve">the </w:t>
      </w:r>
      <w:r w:rsidRPr="00082ABB">
        <w:rPr>
          <w:rFonts w:ascii="Book Antiqua" w:hAnsi="Book Antiqua"/>
          <w:sz w:val="24"/>
          <w:szCs w:val="24"/>
        </w:rPr>
        <w:t xml:space="preserve">FOLFIRI regimen led to a significant improvement in PFS compared with FOLFIRI alone (6.7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4.9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0.82, </w:t>
      </w:r>
      <w:r w:rsidRPr="00082ABB">
        <w:rPr>
          <w:rFonts w:ascii="Book Antiqua" w:hAnsi="Book Antiqua"/>
          <w:i/>
          <w:sz w:val="24"/>
          <w:szCs w:val="24"/>
        </w:rPr>
        <w:t>P</w:t>
      </w:r>
      <w:r w:rsidR="00097F1F" w:rsidRPr="00082ABB">
        <w:rPr>
          <w:rFonts w:ascii="Book Antiqua" w:hAnsi="Book Antiqua"/>
          <w:i/>
          <w:sz w:val="24"/>
          <w:szCs w:val="24"/>
        </w:rPr>
        <w:t xml:space="preserve"> </w:t>
      </w:r>
      <w:r w:rsidRPr="00082ABB">
        <w:rPr>
          <w:rFonts w:ascii="Book Antiqua" w:hAnsi="Book Antiqua"/>
          <w:sz w:val="24"/>
          <w:szCs w:val="24"/>
        </w:rPr>
        <w:t>=</w:t>
      </w:r>
      <w:r w:rsidR="00097F1F" w:rsidRPr="00082ABB">
        <w:rPr>
          <w:rFonts w:ascii="Book Antiqua" w:hAnsi="Book Antiqua"/>
          <w:sz w:val="24"/>
          <w:szCs w:val="24"/>
        </w:rPr>
        <w:t xml:space="preserve"> </w:t>
      </w:r>
      <w:r w:rsidRPr="00082ABB">
        <w:rPr>
          <w:rFonts w:ascii="Book Antiqua" w:hAnsi="Book Antiqua"/>
          <w:sz w:val="24"/>
          <w:szCs w:val="24"/>
        </w:rPr>
        <w:t xml:space="preserve">0.023). </w:t>
      </w:r>
      <w:r w:rsidR="005344F7" w:rsidRPr="00082ABB">
        <w:rPr>
          <w:rFonts w:ascii="Book Antiqua" w:hAnsi="Book Antiqua"/>
          <w:sz w:val="24"/>
          <w:szCs w:val="24"/>
        </w:rPr>
        <w:t xml:space="preserve">However, </w:t>
      </w:r>
      <w:r w:rsidRPr="00082ABB">
        <w:rPr>
          <w:rFonts w:ascii="Book Antiqua" w:hAnsi="Book Antiqua"/>
          <w:sz w:val="24"/>
          <w:szCs w:val="24"/>
        </w:rPr>
        <w:t>addition of panitumumab to chemotherapy did not show a significant difference in OS</w:t>
      </w:r>
      <w:r w:rsidR="005344F7" w:rsidRPr="00082ABB">
        <w:rPr>
          <w:rFonts w:ascii="Book Antiqua" w:hAnsi="Book Antiqua"/>
          <w:sz w:val="24"/>
          <w:szCs w:val="24"/>
        </w:rPr>
        <w:t xml:space="preserve">; the </w:t>
      </w:r>
      <w:r w:rsidRPr="00082ABB">
        <w:rPr>
          <w:rFonts w:ascii="Book Antiqua" w:hAnsi="Book Antiqua"/>
          <w:sz w:val="24"/>
          <w:szCs w:val="24"/>
        </w:rPr>
        <w:t xml:space="preserve">FOLFIRI plus panitumumab arm had a trend </w:t>
      </w:r>
      <w:r w:rsidR="005344F7" w:rsidRPr="00082ABB">
        <w:rPr>
          <w:rFonts w:ascii="Book Antiqua" w:hAnsi="Book Antiqua"/>
          <w:sz w:val="24"/>
          <w:szCs w:val="24"/>
        </w:rPr>
        <w:t>t</w:t>
      </w:r>
      <w:r w:rsidRPr="00082ABB">
        <w:rPr>
          <w:rFonts w:ascii="Book Antiqua" w:hAnsi="Book Antiqua"/>
          <w:sz w:val="24"/>
          <w:szCs w:val="24"/>
        </w:rPr>
        <w:t>o</w:t>
      </w:r>
      <w:r w:rsidR="005344F7" w:rsidRPr="00082ABB">
        <w:rPr>
          <w:rFonts w:ascii="Book Antiqua" w:hAnsi="Book Antiqua"/>
          <w:sz w:val="24"/>
          <w:szCs w:val="24"/>
        </w:rPr>
        <w:t xml:space="preserve"> </w:t>
      </w:r>
      <w:r w:rsidRPr="00082ABB">
        <w:rPr>
          <w:rFonts w:ascii="Book Antiqua" w:hAnsi="Book Antiqua"/>
          <w:sz w:val="24"/>
          <w:szCs w:val="24"/>
        </w:rPr>
        <w:t xml:space="preserve">better OS than </w:t>
      </w:r>
      <w:r w:rsidR="005344F7" w:rsidRPr="00082ABB">
        <w:rPr>
          <w:rFonts w:ascii="Book Antiqua" w:hAnsi="Book Antiqua"/>
          <w:sz w:val="24"/>
          <w:szCs w:val="24"/>
        </w:rPr>
        <w:t xml:space="preserve">the </w:t>
      </w:r>
      <w:r w:rsidRPr="00082ABB">
        <w:rPr>
          <w:rFonts w:ascii="Book Antiqua" w:hAnsi="Book Antiqua"/>
          <w:sz w:val="24"/>
          <w:szCs w:val="24"/>
        </w:rPr>
        <w:t xml:space="preserve">FOLFIRI arm (14.5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12.5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0.92, </w:t>
      </w:r>
      <w:r w:rsidRPr="00082ABB">
        <w:rPr>
          <w:rFonts w:ascii="Book Antiqua" w:hAnsi="Book Antiqua"/>
          <w:i/>
          <w:sz w:val="24"/>
          <w:szCs w:val="24"/>
        </w:rPr>
        <w:t>P</w:t>
      </w:r>
      <w:r w:rsidR="00097F1F" w:rsidRPr="00082ABB">
        <w:rPr>
          <w:rFonts w:ascii="Book Antiqua" w:hAnsi="Book Antiqua"/>
          <w:i/>
          <w:sz w:val="24"/>
          <w:szCs w:val="24"/>
        </w:rPr>
        <w:t xml:space="preserve"> </w:t>
      </w:r>
      <w:r w:rsidRPr="00082ABB">
        <w:rPr>
          <w:rFonts w:ascii="Book Antiqua" w:hAnsi="Book Antiqua"/>
          <w:sz w:val="24"/>
          <w:szCs w:val="24"/>
        </w:rPr>
        <w:t>=</w:t>
      </w:r>
      <w:r w:rsidR="00097F1F" w:rsidRPr="00082ABB">
        <w:rPr>
          <w:rFonts w:ascii="Book Antiqua" w:hAnsi="Book Antiqua"/>
          <w:sz w:val="24"/>
          <w:szCs w:val="24"/>
        </w:rPr>
        <w:t xml:space="preserve"> </w:t>
      </w:r>
      <w:r w:rsidRPr="00082ABB">
        <w:rPr>
          <w:rFonts w:ascii="Book Antiqua" w:hAnsi="Book Antiqua"/>
          <w:sz w:val="24"/>
          <w:szCs w:val="24"/>
        </w:rPr>
        <w:t xml:space="preserve">0.37). </w:t>
      </w:r>
      <w:r w:rsidR="00CC7AA2" w:rsidRPr="00082ABB">
        <w:rPr>
          <w:rFonts w:ascii="Book Antiqua" w:hAnsi="Book Antiqua"/>
          <w:sz w:val="24"/>
          <w:szCs w:val="24"/>
        </w:rPr>
        <w:t xml:space="preserve">The </w:t>
      </w:r>
      <w:r w:rsidRPr="00082ABB">
        <w:rPr>
          <w:rFonts w:ascii="Book Antiqua" w:hAnsi="Book Antiqua"/>
          <w:sz w:val="24"/>
          <w:szCs w:val="24"/>
        </w:rPr>
        <w:t xml:space="preserve">RR was significantly higher in </w:t>
      </w:r>
      <w:r w:rsidR="005344F7" w:rsidRPr="00082ABB">
        <w:rPr>
          <w:rFonts w:ascii="Book Antiqua" w:hAnsi="Book Antiqua"/>
          <w:sz w:val="24"/>
          <w:szCs w:val="24"/>
        </w:rPr>
        <w:t>the panitumumab-</w:t>
      </w:r>
      <w:r w:rsidRPr="00082ABB">
        <w:rPr>
          <w:rFonts w:ascii="Book Antiqua" w:hAnsi="Book Antiqua"/>
          <w:sz w:val="24"/>
          <w:szCs w:val="24"/>
        </w:rPr>
        <w:t xml:space="preserve">containing regimen (36% </w:t>
      </w:r>
      <w:r w:rsidRPr="00082ABB">
        <w:rPr>
          <w:rFonts w:ascii="Book Antiqua" w:hAnsi="Book Antiqua"/>
          <w:i/>
          <w:sz w:val="24"/>
          <w:szCs w:val="24"/>
        </w:rPr>
        <w:t>vs</w:t>
      </w:r>
      <w:r w:rsidRPr="00082ABB">
        <w:rPr>
          <w:rFonts w:ascii="Book Antiqua" w:hAnsi="Book Antiqua"/>
          <w:sz w:val="24"/>
          <w:szCs w:val="24"/>
        </w:rPr>
        <w:t xml:space="preserve"> 10%; OR </w:t>
      </w:r>
      <w:r w:rsidR="00A40572" w:rsidRPr="00082ABB">
        <w:rPr>
          <w:rFonts w:ascii="Book Antiqua" w:eastAsia="宋体" w:hAnsi="Book Antiqua"/>
          <w:sz w:val="24"/>
          <w:szCs w:val="24"/>
          <w:lang w:eastAsia="zh-CN"/>
        </w:rPr>
        <w:t>=</w:t>
      </w:r>
      <w:r w:rsidRPr="00082ABB">
        <w:rPr>
          <w:rFonts w:ascii="Book Antiqua" w:hAnsi="Book Antiqua"/>
          <w:sz w:val="24"/>
          <w:szCs w:val="24"/>
        </w:rPr>
        <w:t xml:space="preserve">5.50, </w:t>
      </w:r>
      <w:r w:rsidRPr="00082ABB">
        <w:rPr>
          <w:rFonts w:ascii="Book Antiqua" w:hAnsi="Book Antiqua"/>
          <w:i/>
          <w:sz w:val="24"/>
          <w:szCs w:val="24"/>
        </w:rPr>
        <w:t>P</w:t>
      </w:r>
      <w:r w:rsidR="00097F1F" w:rsidRPr="00082ABB">
        <w:rPr>
          <w:rFonts w:ascii="Book Antiqua" w:hAnsi="Book Antiqua"/>
          <w:i/>
          <w:sz w:val="24"/>
          <w:szCs w:val="24"/>
        </w:rPr>
        <w:t xml:space="preserve"> </w:t>
      </w:r>
      <w:r w:rsidRPr="00082ABB">
        <w:rPr>
          <w:rFonts w:ascii="Book Antiqua" w:hAnsi="Book Antiqua"/>
          <w:sz w:val="24"/>
          <w:szCs w:val="24"/>
        </w:rPr>
        <w:t>&lt;</w:t>
      </w:r>
      <w:r w:rsidR="00097F1F" w:rsidRPr="00082ABB">
        <w:rPr>
          <w:rFonts w:ascii="Book Antiqua" w:hAnsi="Book Antiqua"/>
          <w:sz w:val="24"/>
          <w:szCs w:val="24"/>
        </w:rPr>
        <w:t xml:space="preserve"> </w:t>
      </w:r>
      <w:r w:rsidRPr="00082ABB">
        <w:rPr>
          <w:rFonts w:ascii="Book Antiqua" w:hAnsi="Book Antiqua"/>
          <w:sz w:val="24"/>
          <w:szCs w:val="24"/>
        </w:rPr>
        <w:t xml:space="preserve">0.0001). Second, in </w:t>
      </w:r>
      <w:r w:rsidR="005344F7" w:rsidRPr="00082ABB">
        <w:rPr>
          <w:rFonts w:ascii="Book Antiqua" w:hAnsi="Book Antiqua"/>
          <w:sz w:val="24"/>
          <w:szCs w:val="24"/>
        </w:rPr>
        <w:t xml:space="preserve">the </w:t>
      </w:r>
      <w:r w:rsidRPr="00082ABB">
        <w:rPr>
          <w:rFonts w:ascii="Book Antiqua" w:hAnsi="Book Antiqua"/>
          <w:sz w:val="24"/>
          <w:szCs w:val="24"/>
        </w:rPr>
        <w:t>PICCOLO trial, irinotecan plus panitumumab was compared with irinotecan alone as a salvage treatment in patients w</w:t>
      </w:r>
      <w:r w:rsidR="00A40572" w:rsidRPr="00082ABB">
        <w:rPr>
          <w:rFonts w:ascii="Book Antiqua" w:hAnsi="Book Antiqua"/>
          <w:sz w:val="24"/>
          <w:szCs w:val="24"/>
        </w:rPr>
        <w:t xml:space="preserve">ith fluorouracil-resistant </w:t>
      </w:r>
      <w:proofErr w:type="gramStart"/>
      <w:r w:rsidR="00A40572" w:rsidRPr="00082ABB">
        <w:rPr>
          <w:rFonts w:ascii="Book Antiqua" w:hAnsi="Book Antiqua"/>
          <w:sz w:val="24"/>
          <w:szCs w:val="24"/>
        </w:rPr>
        <w:t>mCRC</w:t>
      </w:r>
      <w:r w:rsidR="000F16ED" w:rsidRPr="00082ABB">
        <w:rPr>
          <w:rFonts w:ascii="Book Antiqua" w:hAnsi="Book Antiqua"/>
          <w:sz w:val="24"/>
          <w:szCs w:val="24"/>
          <w:vertAlign w:val="superscript"/>
        </w:rPr>
        <w:t>[</w:t>
      </w:r>
      <w:proofErr w:type="gramEnd"/>
      <w:r w:rsidR="000F16ED" w:rsidRPr="00082ABB">
        <w:rPr>
          <w:rFonts w:ascii="Book Antiqua" w:hAnsi="Book Antiqua"/>
          <w:sz w:val="24"/>
          <w:szCs w:val="24"/>
          <w:vertAlign w:val="superscript"/>
        </w:rPr>
        <w:t>79</w:t>
      </w:r>
      <w:r w:rsidRPr="00082ABB">
        <w:rPr>
          <w:rFonts w:ascii="Book Antiqua" w:hAnsi="Book Antiqua"/>
          <w:sz w:val="24"/>
          <w:szCs w:val="24"/>
          <w:vertAlign w:val="superscript"/>
        </w:rPr>
        <w:t>]</w:t>
      </w:r>
      <w:r w:rsidRPr="00082ABB">
        <w:rPr>
          <w:rFonts w:ascii="Book Antiqua" w:hAnsi="Book Antiqua"/>
          <w:sz w:val="24"/>
          <w:szCs w:val="24"/>
        </w:rPr>
        <w:t xml:space="preserve">. Whereas </w:t>
      </w:r>
      <w:r w:rsidR="005344F7" w:rsidRPr="00082ABB">
        <w:rPr>
          <w:rFonts w:ascii="Book Antiqua" w:hAnsi="Book Antiqua"/>
          <w:sz w:val="24"/>
          <w:szCs w:val="24"/>
        </w:rPr>
        <w:t>n</w:t>
      </w:r>
      <w:r w:rsidRPr="00082ABB">
        <w:rPr>
          <w:rFonts w:ascii="Book Antiqua" w:hAnsi="Book Antiqua"/>
          <w:sz w:val="24"/>
          <w:szCs w:val="24"/>
        </w:rPr>
        <w:t xml:space="preserve">o significant difference was observed in OS between </w:t>
      </w:r>
      <w:r w:rsidR="005344F7" w:rsidRPr="00082ABB">
        <w:rPr>
          <w:rFonts w:ascii="Book Antiqua" w:hAnsi="Book Antiqua"/>
          <w:sz w:val="24"/>
          <w:szCs w:val="24"/>
        </w:rPr>
        <w:t xml:space="preserve">the </w:t>
      </w:r>
      <w:r w:rsidRPr="00082ABB">
        <w:rPr>
          <w:rFonts w:ascii="Book Antiqua" w:hAnsi="Book Antiqua"/>
          <w:sz w:val="24"/>
          <w:szCs w:val="24"/>
        </w:rPr>
        <w:t>groups (10.4</w:t>
      </w:r>
      <w:r w:rsidR="00A40572" w:rsidRPr="00082ABB">
        <w:rPr>
          <w:rFonts w:ascii="Book Antiqua" w:hAnsi="Book Antiqua"/>
          <w:sz w:val="24"/>
          <w:szCs w:val="24"/>
        </w:rPr>
        <w:t xml:space="preserve"> mo </w:t>
      </w:r>
      <w:r w:rsidR="00A40572" w:rsidRPr="00082ABB">
        <w:rPr>
          <w:rFonts w:ascii="Book Antiqua" w:hAnsi="Book Antiqua"/>
          <w:i/>
          <w:sz w:val="24"/>
          <w:szCs w:val="24"/>
        </w:rPr>
        <w:t>vs</w:t>
      </w:r>
      <w:r w:rsidRPr="00082ABB">
        <w:rPr>
          <w:rFonts w:ascii="Book Antiqua" w:hAnsi="Book Antiqua"/>
          <w:sz w:val="24"/>
          <w:szCs w:val="24"/>
        </w:rPr>
        <w:t xml:space="preserve"> 10.9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1.01, </w:t>
      </w:r>
      <w:r w:rsidRPr="00082ABB">
        <w:rPr>
          <w:rFonts w:ascii="Book Antiqua" w:hAnsi="Book Antiqua"/>
          <w:i/>
          <w:sz w:val="24"/>
          <w:szCs w:val="24"/>
        </w:rPr>
        <w:t>P</w:t>
      </w:r>
      <w:r w:rsidR="00097F1F" w:rsidRPr="00082ABB">
        <w:rPr>
          <w:rFonts w:ascii="Book Antiqua" w:hAnsi="Book Antiqua"/>
          <w:i/>
          <w:sz w:val="24"/>
          <w:szCs w:val="24"/>
        </w:rPr>
        <w:t xml:space="preserve"> </w:t>
      </w:r>
      <w:r w:rsidRPr="00082ABB">
        <w:rPr>
          <w:rFonts w:ascii="Book Antiqua" w:hAnsi="Book Antiqua"/>
          <w:sz w:val="24"/>
          <w:szCs w:val="24"/>
        </w:rPr>
        <w:t>=</w:t>
      </w:r>
      <w:r w:rsidR="00097F1F" w:rsidRPr="00082ABB">
        <w:rPr>
          <w:rFonts w:ascii="Book Antiqua" w:hAnsi="Book Antiqua"/>
          <w:sz w:val="24"/>
          <w:szCs w:val="24"/>
        </w:rPr>
        <w:t xml:space="preserve"> </w:t>
      </w:r>
      <w:r w:rsidRPr="00082ABB">
        <w:rPr>
          <w:rFonts w:ascii="Book Antiqua" w:hAnsi="Book Antiqua"/>
          <w:sz w:val="24"/>
          <w:szCs w:val="24"/>
        </w:rPr>
        <w:t xml:space="preserve">0.91), </w:t>
      </w:r>
      <w:r w:rsidR="005344F7" w:rsidRPr="00082ABB">
        <w:rPr>
          <w:rFonts w:ascii="Book Antiqua" w:hAnsi="Book Antiqua"/>
          <w:sz w:val="24"/>
          <w:szCs w:val="24"/>
        </w:rPr>
        <w:t xml:space="preserve">the </w:t>
      </w:r>
      <w:r w:rsidRPr="00082ABB">
        <w:rPr>
          <w:rFonts w:ascii="Book Antiqua" w:hAnsi="Book Antiqua"/>
          <w:sz w:val="24"/>
          <w:szCs w:val="24"/>
        </w:rPr>
        <w:t xml:space="preserve">irinotecan plus panitumumab group had a longer PFS (5.5 </w:t>
      </w:r>
      <w:r w:rsidR="00A40572" w:rsidRPr="00082ABB">
        <w:rPr>
          <w:rFonts w:ascii="Book Antiqua" w:hAnsi="Book Antiqua"/>
          <w:sz w:val="24"/>
          <w:szCs w:val="24"/>
        </w:rPr>
        <w:t xml:space="preserve">mo </w:t>
      </w:r>
      <w:r w:rsidR="00A40572" w:rsidRPr="00082ABB">
        <w:rPr>
          <w:rFonts w:ascii="Book Antiqua" w:hAnsi="Book Antiqua"/>
          <w:i/>
          <w:sz w:val="24"/>
          <w:szCs w:val="24"/>
        </w:rPr>
        <w:t>vs</w:t>
      </w:r>
      <w:r w:rsidRPr="00082ABB">
        <w:rPr>
          <w:rFonts w:ascii="Book Antiqua" w:hAnsi="Book Antiqua"/>
          <w:sz w:val="24"/>
          <w:szCs w:val="24"/>
        </w:rPr>
        <w:t xml:space="preserve"> 4.7 mo; HR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0.78, </w:t>
      </w:r>
      <w:r w:rsidRPr="00082ABB">
        <w:rPr>
          <w:rFonts w:ascii="Book Antiqua" w:hAnsi="Book Antiqua"/>
          <w:i/>
          <w:sz w:val="24"/>
          <w:szCs w:val="24"/>
        </w:rPr>
        <w:t>P</w:t>
      </w:r>
      <w:r w:rsidR="00097F1F" w:rsidRPr="00082ABB">
        <w:rPr>
          <w:rFonts w:ascii="Book Antiqua" w:hAnsi="Book Antiqua"/>
          <w:i/>
          <w:sz w:val="24"/>
          <w:szCs w:val="24"/>
        </w:rPr>
        <w:t xml:space="preserve"> </w:t>
      </w:r>
      <w:r w:rsidRPr="00082ABB">
        <w:rPr>
          <w:rFonts w:ascii="Book Antiqua" w:hAnsi="Book Antiqua"/>
          <w:sz w:val="24"/>
          <w:szCs w:val="24"/>
        </w:rPr>
        <w:t>=</w:t>
      </w:r>
      <w:r w:rsidR="00097F1F" w:rsidRPr="00082ABB">
        <w:rPr>
          <w:rFonts w:ascii="Book Antiqua" w:hAnsi="Book Antiqua"/>
          <w:sz w:val="24"/>
          <w:szCs w:val="24"/>
        </w:rPr>
        <w:t xml:space="preserve"> </w:t>
      </w:r>
      <w:r w:rsidRPr="00082ABB">
        <w:rPr>
          <w:rFonts w:ascii="Book Antiqua" w:hAnsi="Book Antiqua"/>
          <w:sz w:val="24"/>
          <w:szCs w:val="24"/>
        </w:rPr>
        <w:t xml:space="preserve">0.015) and a higher RR (34% </w:t>
      </w:r>
      <w:r w:rsidRPr="00082ABB">
        <w:rPr>
          <w:rFonts w:ascii="Book Antiqua" w:hAnsi="Book Antiqua"/>
          <w:i/>
          <w:sz w:val="24"/>
          <w:szCs w:val="24"/>
        </w:rPr>
        <w:t>vs</w:t>
      </w:r>
      <w:r w:rsidRPr="00082ABB">
        <w:rPr>
          <w:rFonts w:ascii="Book Antiqua" w:hAnsi="Book Antiqua"/>
          <w:sz w:val="24"/>
          <w:szCs w:val="24"/>
        </w:rPr>
        <w:t xml:space="preserve"> 12%; OR </w:t>
      </w:r>
      <w:r w:rsidR="00A40572" w:rsidRPr="00082ABB">
        <w:rPr>
          <w:rFonts w:ascii="Book Antiqua" w:eastAsia="宋体" w:hAnsi="Book Antiqua"/>
          <w:sz w:val="24"/>
          <w:szCs w:val="24"/>
          <w:lang w:eastAsia="zh-CN"/>
        </w:rPr>
        <w:t xml:space="preserve">= </w:t>
      </w:r>
      <w:r w:rsidRPr="00082ABB">
        <w:rPr>
          <w:rFonts w:ascii="Book Antiqua" w:hAnsi="Book Antiqua"/>
          <w:sz w:val="24"/>
          <w:szCs w:val="24"/>
        </w:rPr>
        <w:t xml:space="preserve">4.12, </w:t>
      </w:r>
      <w:r w:rsidRPr="00082ABB">
        <w:rPr>
          <w:rFonts w:ascii="Book Antiqua" w:hAnsi="Book Antiqua"/>
          <w:i/>
          <w:sz w:val="24"/>
          <w:szCs w:val="24"/>
        </w:rPr>
        <w:t>P</w:t>
      </w:r>
      <w:r w:rsidR="00097F1F" w:rsidRPr="00082ABB">
        <w:rPr>
          <w:rFonts w:ascii="Book Antiqua" w:hAnsi="Book Antiqua"/>
          <w:i/>
          <w:sz w:val="24"/>
          <w:szCs w:val="24"/>
        </w:rPr>
        <w:t xml:space="preserve"> </w:t>
      </w:r>
      <w:r w:rsidRPr="00082ABB">
        <w:rPr>
          <w:rFonts w:ascii="Book Antiqua" w:hAnsi="Book Antiqua"/>
          <w:sz w:val="24"/>
          <w:szCs w:val="24"/>
        </w:rPr>
        <w:t>&lt;</w:t>
      </w:r>
      <w:r w:rsidR="00097F1F" w:rsidRPr="00082ABB">
        <w:rPr>
          <w:rFonts w:ascii="Book Antiqua" w:hAnsi="Book Antiqua"/>
          <w:sz w:val="24"/>
          <w:szCs w:val="24"/>
        </w:rPr>
        <w:t xml:space="preserve"> </w:t>
      </w:r>
      <w:r w:rsidRPr="00082ABB">
        <w:rPr>
          <w:rFonts w:ascii="Book Antiqua" w:hAnsi="Book Antiqua"/>
          <w:sz w:val="24"/>
          <w:szCs w:val="24"/>
        </w:rPr>
        <w:t xml:space="preserve">0.0001) than </w:t>
      </w:r>
      <w:r w:rsidR="005344F7" w:rsidRPr="00082ABB">
        <w:rPr>
          <w:rFonts w:ascii="Book Antiqua" w:hAnsi="Book Antiqua"/>
          <w:sz w:val="24"/>
          <w:szCs w:val="24"/>
        </w:rPr>
        <w:t xml:space="preserve">the </w:t>
      </w:r>
      <w:r w:rsidR="00934636" w:rsidRPr="00082ABB">
        <w:rPr>
          <w:rFonts w:ascii="Book Antiqua" w:hAnsi="Book Antiqua"/>
          <w:sz w:val="24"/>
          <w:szCs w:val="24"/>
        </w:rPr>
        <w:t>irinotecan monotherapy group.</w:t>
      </w:r>
    </w:p>
    <w:p w:rsidR="00BC5F12" w:rsidRPr="00082ABB" w:rsidRDefault="00BC5F12" w:rsidP="00A40572">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 xml:space="preserve">The efficacy of panitumumab monotherapy for </w:t>
      </w:r>
      <w:r w:rsidRPr="00082ABB">
        <w:rPr>
          <w:rFonts w:ascii="Book Antiqua" w:hAnsi="Book Antiqua"/>
          <w:i/>
          <w:sz w:val="24"/>
          <w:szCs w:val="24"/>
        </w:rPr>
        <w:t>KRAS</w:t>
      </w:r>
      <w:r w:rsidRPr="00082ABB">
        <w:rPr>
          <w:rFonts w:ascii="Book Antiqua" w:hAnsi="Book Antiqua"/>
          <w:sz w:val="24"/>
          <w:szCs w:val="24"/>
        </w:rPr>
        <w:t xml:space="preserve"> wild type mCRC was evaluated in the phase III 20020408 </w:t>
      </w:r>
      <w:proofErr w:type="gramStart"/>
      <w:r w:rsidRPr="00082ABB">
        <w:rPr>
          <w:rFonts w:ascii="Book Antiqua" w:hAnsi="Book Antiqua"/>
          <w:sz w:val="24"/>
          <w:szCs w:val="24"/>
        </w:rPr>
        <w:t>study</w:t>
      </w:r>
      <w:r w:rsidR="00A40572" w:rsidRPr="00082ABB">
        <w:rPr>
          <w:rFonts w:ascii="Book Antiqua" w:hAnsi="Book Antiqua"/>
          <w:sz w:val="24"/>
          <w:szCs w:val="24"/>
          <w:vertAlign w:val="superscript"/>
        </w:rPr>
        <w:t>[</w:t>
      </w:r>
      <w:proofErr w:type="gramEnd"/>
      <w:r w:rsidR="00A40572" w:rsidRPr="00082ABB">
        <w:rPr>
          <w:rFonts w:ascii="Book Antiqua" w:hAnsi="Book Antiqua"/>
          <w:sz w:val="24"/>
          <w:szCs w:val="24"/>
          <w:vertAlign w:val="superscript"/>
        </w:rPr>
        <w:t>17,</w:t>
      </w:r>
      <w:r w:rsidR="000F16ED" w:rsidRPr="00082ABB">
        <w:rPr>
          <w:rFonts w:ascii="Book Antiqua" w:hAnsi="Book Antiqua"/>
          <w:sz w:val="24"/>
          <w:szCs w:val="24"/>
          <w:vertAlign w:val="superscript"/>
        </w:rPr>
        <w:t>80</w:t>
      </w:r>
      <w:r w:rsidRPr="00082ABB">
        <w:rPr>
          <w:rFonts w:ascii="Book Antiqua" w:hAnsi="Book Antiqua"/>
          <w:sz w:val="24"/>
          <w:szCs w:val="24"/>
          <w:vertAlign w:val="superscript"/>
        </w:rPr>
        <w:t>]</w:t>
      </w:r>
      <w:r w:rsidRPr="00082ABB">
        <w:rPr>
          <w:rFonts w:ascii="Book Antiqua" w:hAnsi="Book Antiqua"/>
          <w:sz w:val="24"/>
          <w:szCs w:val="24"/>
        </w:rPr>
        <w:t xml:space="preserve">. Patients with mCRC were randomly assigned to either panitumumab monotherapy or BSC alone. Patients treated with panitumumab had </w:t>
      </w:r>
      <w:r w:rsidR="00CC7AA2" w:rsidRPr="00082ABB">
        <w:rPr>
          <w:rFonts w:ascii="Book Antiqua" w:hAnsi="Book Antiqua"/>
          <w:sz w:val="24"/>
          <w:szCs w:val="24"/>
        </w:rPr>
        <w:t>better</w:t>
      </w:r>
      <w:r w:rsidRPr="00082ABB">
        <w:rPr>
          <w:rFonts w:ascii="Book Antiqua" w:hAnsi="Book Antiqua"/>
          <w:sz w:val="24"/>
          <w:szCs w:val="24"/>
        </w:rPr>
        <w:t xml:space="preserve"> RR and PFS compared with those with BSC (RR 17% </w:t>
      </w:r>
      <w:r w:rsidRPr="00082ABB">
        <w:rPr>
          <w:rFonts w:ascii="Book Antiqua" w:hAnsi="Book Antiqua"/>
          <w:i/>
          <w:sz w:val="24"/>
          <w:szCs w:val="24"/>
        </w:rPr>
        <w:t>vs</w:t>
      </w:r>
      <w:r w:rsidRPr="00082ABB">
        <w:rPr>
          <w:rFonts w:ascii="Book Antiqua" w:hAnsi="Book Antiqua"/>
          <w:sz w:val="24"/>
          <w:szCs w:val="24"/>
        </w:rPr>
        <w:t xml:space="preserve"> 0%; PFS 12.3 </w:t>
      </w:r>
      <w:r w:rsidR="000D525E" w:rsidRPr="00082ABB">
        <w:rPr>
          <w:rFonts w:ascii="Book Antiqua" w:eastAsia="宋体" w:hAnsi="Book Antiqua"/>
          <w:sz w:val="24"/>
          <w:szCs w:val="24"/>
          <w:lang w:eastAsia="zh-CN"/>
        </w:rPr>
        <w:t xml:space="preserve">wk </w:t>
      </w:r>
      <w:r w:rsidRPr="00082ABB">
        <w:rPr>
          <w:rFonts w:ascii="Book Antiqua" w:hAnsi="Book Antiqua"/>
          <w:i/>
          <w:sz w:val="24"/>
          <w:szCs w:val="24"/>
        </w:rPr>
        <w:t>vs</w:t>
      </w:r>
      <w:r w:rsidR="000D525E" w:rsidRPr="00082ABB">
        <w:rPr>
          <w:rFonts w:ascii="Book Antiqua" w:hAnsi="Book Antiqua"/>
          <w:sz w:val="24"/>
          <w:szCs w:val="24"/>
        </w:rPr>
        <w:t xml:space="preserve"> 7.3 wk</w:t>
      </w:r>
      <w:r w:rsidRPr="00082ABB">
        <w:rPr>
          <w:rFonts w:ascii="Book Antiqua" w:hAnsi="Book Antiqua"/>
          <w:sz w:val="24"/>
          <w:szCs w:val="24"/>
        </w:rPr>
        <w:t xml:space="preserve">,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0.45, </w:t>
      </w:r>
      <w:r w:rsidRPr="00082ABB">
        <w:rPr>
          <w:rFonts w:ascii="Book Antiqua" w:hAnsi="Book Antiqua"/>
          <w:i/>
          <w:sz w:val="24"/>
          <w:szCs w:val="24"/>
        </w:rPr>
        <w:t>P</w:t>
      </w:r>
      <w:r w:rsidR="00C95A55" w:rsidRPr="00082ABB">
        <w:rPr>
          <w:rFonts w:ascii="Book Antiqua" w:hAnsi="Book Antiqua"/>
          <w:i/>
          <w:sz w:val="24"/>
          <w:szCs w:val="24"/>
        </w:rPr>
        <w:t xml:space="preserve"> </w:t>
      </w:r>
      <w:r w:rsidRPr="00082ABB">
        <w:rPr>
          <w:rFonts w:ascii="Book Antiqua" w:hAnsi="Book Antiqua"/>
          <w:sz w:val="24"/>
          <w:szCs w:val="24"/>
        </w:rPr>
        <w:t>&lt;</w:t>
      </w:r>
      <w:r w:rsidR="00C95A55" w:rsidRPr="00082ABB">
        <w:rPr>
          <w:rFonts w:ascii="Book Antiqua" w:hAnsi="Book Antiqua"/>
          <w:sz w:val="24"/>
          <w:szCs w:val="24"/>
        </w:rPr>
        <w:t xml:space="preserve"> </w:t>
      </w:r>
      <w:r w:rsidRPr="00082ABB">
        <w:rPr>
          <w:rFonts w:ascii="Book Antiqua" w:hAnsi="Book Antiqua"/>
          <w:sz w:val="24"/>
          <w:szCs w:val="24"/>
        </w:rPr>
        <w:t>0.0001). Although no significant difference in OS was observed between</w:t>
      </w:r>
      <w:r w:rsidR="005344F7" w:rsidRPr="00082ABB">
        <w:rPr>
          <w:rFonts w:ascii="Book Antiqua" w:hAnsi="Book Antiqua"/>
          <w:sz w:val="24"/>
          <w:szCs w:val="24"/>
        </w:rPr>
        <w:t xml:space="preserve"> the</w:t>
      </w:r>
      <w:r w:rsidRPr="00082ABB">
        <w:rPr>
          <w:rFonts w:ascii="Book Antiqua" w:hAnsi="Book Antiqua"/>
          <w:sz w:val="24"/>
          <w:szCs w:val="24"/>
        </w:rPr>
        <w:t xml:space="preserve"> panitumumab arm and </w:t>
      </w:r>
      <w:r w:rsidR="005344F7" w:rsidRPr="00082ABB">
        <w:rPr>
          <w:rFonts w:ascii="Book Antiqua" w:hAnsi="Book Antiqua"/>
          <w:sz w:val="24"/>
          <w:szCs w:val="24"/>
        </w:rPr>
        <w:t xml:space="preserve">the </w:t>
      </w:r>
      <w:r w:rsidRPr="00082ABB">
        <w:rPr>
          <w:rFonts w:ascii="Book Antiqua" w:hAnsi="Book Antiqua"/>
          <w:sz w:val="24"/>
          <w:szCs w:val="24"/>
        </w:rPr>
        <w:t xml:space="preserve">BSC arm (8.1 </w:t>
      </w:r>
      <w:r w:rsidR="000D525E" w:rsidRPr="00082ABB">
        <w:rPr>
          <w:rFonts w:ascii="Book Antiqua" w:hAnsi="Book Antiqua"/>
          <w:sz w:val="24"/>
          <w:szCs w:val="24"/>
        </w:rPr>
        <w:t xml:space="preserve">mo </w:t>
      </w:r>
      <w:r w:rsidR="000D525E" w:rsidRPr="00082ABB">
        <w:rPr>
          <w:rFonts w:ascii="Book Antiqua" w:hAnsi="Book Antiqua"/>
          <w:i/>
          <w:sz w:val="24"/>
          <w:szCs w:val="24"/>
        </w:rPr>
        <w:t>vs</w:t>
      </w:r>
      <w:r w:rsidRPr="00082ABB">
        <w:rPr>
          <w:rFonts w:ascii="Book Antiqua" w:hAnsi="Book Antiqua"/>
          <w:sz w:val="24"/>
          <w:szCs w:val="24"/>
        </w:rPr>
        <w:t xml:space="preserve"> 7.6 mo;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0.99), </w:t>
      </w:r>
      <w:r w:rsidR="005344F7" w:rsidRPr="00082ABB">
        <w:rPr>
          <w:rFonts w:ascii="Book Antiqua" w:hAnsi="Book Antiqua"/>
          <w:sz w:val="24"/>
          <w:szCs w:val="24"/>
        </w:rPr>
        <w:t xml:space="preserve">this </w:t>
      </w:r>
      <w:r w:rsidRPr="00082ABB">
        <w:rPr>
          <w:rFonts w:ascii="Book Antiqua" w:hAnsi="Book Antiqua"/>
          <w:sz w:val="24"/>
          <w:szCs w:val="24"/>
        </w:rPr>
        <w:t xml:space="preserve">was because 76% (90/119) of patients with BSC received panitumumab treatment after progression under </w:t>
      </w:r>
      <w:r w:rsidR="005344F7" w:rsidRPr="00082ABB">
        <w:rPr>
          <w:rFonts w:ascii="Book Antiqua" w:hAnsi="Book Antiqua"/>
          <w:sz w:val="24"/>
          <w:szCs w:val="24"/>
        </w:rPr>
        <w:t xml:space="preserve">the </w:t>
      </w:r>
      <w:r w:rsidR="00934636" w:rsidRPr="00082ABB">
        <w:rPr>
          <w:rFonts w:ascii="Book Antiqua" w:hAnsi="Book Antiqua"/>
          <w:sz w:val="24"/>
          <w:szCs w:val="24"/>
        </w:rPr>
        <w:t>cross-over protocol</w:t>
      </w:r>
      <w:r w:rsidR="00A16F3D" w:rsidRPr="00082ABB">
        <w:rPr>
          <w:rFonts w:ascii="Book Antiqua" w:hAnsi="Book Antiqua" w:hint="eastAsia"/>
          <w:sz w:val="24"/>
          <w:szCs w:val="24"/>
        </w:rPr>
        <w:t xml:space="preserve"> (Table 2)</w:t>
      </w:r>
      <w:r w:rsidR="00934636" w:rsidRPr="00082ABB">
        <w:rPr>
          <w:rFonts w:ascii="Book Antiqua" w:hAnsi="Book Antiqua"/>
          <w:sz w:val="24"/>
          <w:szCs w:val="24"/>
        </w:rPr>
        <w:t>.</w:t>
      </w:r>
    </w:p>
    <w:p w:rsidR="00BC5F12" w:rsidRPr="00082ABB" w:rsidRDefault="00BC5F12" w:rsidP="000D525E">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 xml:space="preserve">The benefit of panitumumab treatment for mCRC patients with </w:t>
      </w:r>
      <w:r w:rsidRPr="00082ABB">
        <w:rPr>
          <w:rFonts w:ascii="Book Antiqua" w:hAnsi="Book Antiqua"/>
          <w:sz w:val="24"/>
          <w:szCs w:val="24"/>
        </w:rPr>
        <w:lastRenderedPageBreak/>
        <w:t xml:space="preserve">cetuximab-refractory </w:t>
      </w:r>
      <w:r w:rsidR="005344F7" w:rsidRPr="00082ABB">
        <w:rPr>
          <w:rFonts w:ascii="Book Antiqua" w:hAnsi="Book Antiqua"/>
          <w:sz w:val="24"/>
          <w:szCs w:val="24"/>
        </w:rPr>
        <w:t xml:space="preserve">disease </w:t>
      </w:r>
      <w:r w:rsidRPr="00082ABB">
        <w:rPr>
          <w:rFonts w:ascii="Book Antiqua" w:hAnsi="Book Antiqua"/>
          <w:sz w:val="24"/>
          <w:szCs w:val="24"/>
        </w:rPr>
        <w:t xml:space="preserve">was evaluated in several clinical trials. In the PANERB trial, 106 mCRC patients with </w:t>
      </w:r>
      <w:r w:rsidRPr="00082ABB">
        <w:rPr>
          <w:rFonts w:ascii="Book Antiqua" w:hAnsi="Book Antiqua"/>
          <w:i/>
          <w:sz w:val="24"/>
          <w:szCs w:val="24"/>
        </w:rPr>
        <w:t>KRAS</w:t>
      </w:r>
      <w:r w:rsidRPr="00082ABB">
        <w:rPr>
          <w:rFonts w:ascii="Book Antiqua" w:hAnsi="Book Antiqua"/>
          <w:sz w:val="24"/>
          <w:szCs w:val="24"/>
        </w:rPr>
        <w:t xml:space="preserve"> wild type who experienced progression on cetuximab-b</w:t>
      </w:r>
      <w:r w:rsidR="000D525E" w:rsidRPr="00082ABB">
        <w:rPr>
          <w:rFonts w:ascii="Book Antiqua" w:hAnsi="Book Antiqua"/>
          <w:sz w:val="24"/>
          <w:szCs w:val="24"/>
        </w:rPr>
        <w:t xml:space="preserve">ased chemotherapy were </w:t>
      </w:r>
      <w:proofErr w:type="gramStart"/>
      <w:r w:rsidR="000D525E" w:rsidRPr="00082ABB">
        <w:rPr>
          <w:rFonts w:ascii="Book Antiqua" w:hAnsi="Book Antiqua"/>
          <w:sz w:val="24"/>
          <w:szCs w:val="24"/>
        </w:rPr>
        <w:t>enrolled</w:t>
      </w:r>
      <w:r w:rsidR="000F16ED" w:rsidRPr="00082ABB">
        <w:rPr>
          <w:rFonts w:ascii="Book Antiqua" w:hAnsi="Book Antiqua"/>
          <w:sz w:val="24"/>
          <w:szCs w:val="24"/>
          <w:vertAlign w:val="superscript"/>
        </w:rPr>
        <w:t>[</w:t>
      </w:r>
      <w:proofErr w:type="gramEnd"/>
      <w:r w:rsidR="000F16ED" w:rsidRPr="00082ABB">
        <w:rPr>
          <w:rFonts w:ascii="Book Antiqua" w:hAnsi="Book Antiqua"/>
          <w:sz w:val="24"/>
          <w:szCs w:val="24"/>
          <w:vertAlign w:val="superscript"/>
        </w:rPr>
        <w:t>81</w:t>
      </w:r>
      <w:r w:rsidRPr="00082ABB">
        <w:rPr>
          <w:rFonts w:ascii="Book Antiqua" w:hAnsi="Book Antiqua"/>
          <w:sz w:val="24"/>
          <w:szCs w:val="24"/>
          <w:vertAlign w:val="superscript"/>
        </w:rPr>
        <w:t>]</w:t>
      </w:r>
      <w:r w:rsidRPr="00082ABB">
        <w:rPr>
          <w:rFonts w:ascii="Book Antiqua" w:hAnsi="Book Antiqua"/>
          <w:sz w:val="24"/>
          <w:szCs w:val="24"/>
        </w:rPr>
        <w:t>. Of the 106 patients, 48 (45%) had an objective response with the cetuximab</w:t>
      </w:r>
      <w:r w:rsidR="005344F7" w:rsidRPr="00082ABB">
        <w:rPr>
          <w:rFonts w:ascii="Book Antiqua" w:hAnsi="Book Antiqua"/>
          <w:sz w:val="24"/>
          <w:szCs w:val="24"/>
        </w:rPr>
        <w:t>-</w:t>
      </w:r>
      <w:r w:rsidRPr="00082ABB">
        <w:rPr>
          <w:rFonts w:ascii="Book Antiqua" w:hAnsi="Book Antiqua"/>
          <w:sz w:val="24"/>
          <w:szCs w:val="24"/>
        </w:rPr>
        <w:t>containing treatment. Among th</w:t>
      </w:r>
      <w:r w:rsidR="005344F7" w:rsidRPr="00082ABB">
        <w:rPr>
          <w:rFonts w:ascii="Book Antiqua" w:hAnsi="Book Antiqua"/>
          <w:sz w:val="24"/>
          <w:szCs w:val="24"/>
        </w:rPr>
        <w:t>e</w:t>
      </w:r>
      <w:r w:rsidRPr="00082ABB">
        <w:rPr>
          <w:rFonts w:ascii="Book Antiqua" w:hAnsi="Book Antiqua"/>
          <w:sz w:val="24"/>
          <w:szCs w:val="24"/>
        </w:rPr>
        <w:t>se 48 patients, 15 (31%) had an objective response</w:t>
      </w:r>
      <w:r w:rsidR="005344F7" w:rsidRPr="00082ABB">
        <w:rPr>
          <w:rFonts w:ascii="Book Antiqua" w:hAnsi="Book Antiqua"/>
          <w:sz w:val="24"/>
          <w:szCs w:val="24"/>
        </w:rPr>
        <w:t>,</w:t>
      </w:r>
      <w:r w:rsidRPr="00082ABB">
        <w:rPr>
          <w:rFonts w:ascii="Book Antiqua" w:hAnsi="Book Antiqua"/>
          <w:sz w:val="24"/>
          <w:szCs w:val="24"/>
        </w:rPr>
        <w:t xml:space="preserve"> and 23 (47%) in total had a clinical benefit </w:t>
      </w:r>
      <w:r w:rsidR="005344F7" w:rsidRPr="00082ABB">
        <w:rPr>
          <w:rFonts w:ascii="Book Antiqua" w:hAnsi="Book Antiqua"/>
          <w:sz w:val="24"/>
          <w:szCs w:val="24"/>
        </w:rPr>
        <w:t xml:space="preserve">with </w:t>
      </w:r>
      <w:r w:rsidRPr="00082ABB">
        <w:rPr>
          <w:rFonts w:ascii="Book Antiqua" w:hAnsi="Book Antiqua"/>
          <w:sz w:val="24"/>
          <w:szCs w:val="24"/>
        </w:rPr>
        <w:t xml:space="preserve">panitumumab therapy. On the other hand, 28 of 106 patients had disease progression on cetuximab-based treatment. </w:t>
      </w:r>
      <w:r w:rsidR="005344F7" w:rsidRPr="00082ABB">
        <w:rPr>
          <w:rFonts w:ascii="Book Antiqua" w:hAnsi="Book Antiqua"/>
          <w:sz w:val="24"/>
          <w:szCs w:val="24"/>
        </w:rPr>
        <w:t xml:space="preserve">Of these </w:t>
      </w:r>
      <w:r w:rsidRPr="00082ABB">
        <w:rPr>
          <w:rFonts w:ascii="Book Antiqua" w:hAnsi="Book Antiqua"/>
          <w:sz w:val="24"/>
          <w:szCs w:val="24"/>
        </w:rPr>
        <w:t xml:space="preserve">28 patients, only 4 patients (14%) had clinical benefit </w:t>
      </w:r>
      <w:r w:rsidR="005344F7" w:rsidRPr="00082ABB">
        <w:rPr>
          <w:rFonts w:ascii="Book Antiqua" w:hAnsi="Book Antiqua"/>
          <w:sz w:val="24"/>
          <w:szCs w:val="24"/>
        </w:rPr>
        <w:t xml:space="preserve">with </w:t>
      </w:r>
      <w:r w:rsidRPr="00082ABB">
        <w:rPr>
          <w:rFonts w:ascii="Book Antiqua" w:hAnsi="Book Antiqua"/>
          <w:sz w:val="24"/>
          <w:szCs w:val="24"/>
        </w:rPr>
        <w:t>panitumumab therapy. Moreover, some clinical trials</w:t>
      </w:r>
      <w:r w:rsidR="005344F7" w:rsidRPr="00082ABB">
        <w:rPr>
          <w:rFonts w:ascii="Book Antiqua" w:hAnsi="Book Antiqua"/>
          <w:sz w:val="24"/>
          <w:szCs w:val="24"/>
        </w:rPr>
        <w:t xml:space="preserve"> showed </w:t>
      </w:r>
      <w:r w:rsidRPr="00082ABB">
        <w:rPr>
          <w:rFonts w:ascii="Book Antiqua" w:hAnsi="Book Antiqua"/>
          <w:sz w:val="24"/>
          <w:szCs w:val="24"/>
        </w:rPr>
        <w:t xml:space="preserve">that panitumumab was not active (RR, 0%) as a salvage therapy in patients with cetuximab-resistant </w:t>
      </w:r>
      <w:r w:rsidRPr="00082ABB">
        <w:rPr>
          <w:rFonts w:ascii="Book Antiqua" w:hAnsi="Book Antiqua"/>
          <w:i/>
          <w:sz w:val="24"/>
          <w:szCs w:val="24"/>
        </w:rPr>
        <w:t>KRAS</w:t>
      </w:r>
      <w:r w:rsidR="000D525E" w:rsidRPr="00082ABB">
        <w:rPr>
          <w:rFonts w:ascii="Book Antiqua" w:hAnsi="Book Antiqua"/>
          <w:sz w:val="24"/>
          <w:szCs w:val="24"/>
        </w:rPr>
        <w:t xml:space="preserve"> wild type </w:t>
      </w:r>
      <w:proofErr w:type="gramStart"/>
      <w:r w:rsidR="000D525E" w:rsidRPr="00082ABB">
        <w:rPr>
          <w:rFonts w:ascii="Book Antiqua" w:hAnsi="Book Antiqua"/>
          <w:sz w:val="24"/>
          <w:szCs w:val="24"/>
        </w:rPr>
        <w:t>mCRC</w:t>
      </w:r>
      <w:r w:rsidRPr="00082ABB">
        <w:rPr>
          <w:rFonts w:ascii="Book Antiqua" w:hAnsi="Book Antiqua"/>
          <w:sz w:val="24"/>
          <w:szCs w:val="24"/>
          <w:vertAlign w:val="superscript"/>
        </w:rPr>
        <w:t>[</w:t>
      </w:r>
      <w:proofErr w:type="gramEnd"/>
      <w:r w:rsidR="000F16ED" w:rsidRPr="00082ABB">
        <w:rPr>
          <w:rFonts w:ascii="Book Antiqua" w:hAnsi="Book Antiqua"/>
          <w:sz w:val="24"/>
          <w:szCs w:val="24"/>
          <w:vertAlign w:val="superscript"/>
        </w:rPr>
        <w:t>82,83</w:t>
      </w:r>
      <w:r w:rsidRPr="00082ABB">
        <w:rPr>
          <w:rFonts w:ascii="Book Antiqua" w:hAnsi="Book Antiqua"/>
          <w:sz w:val="24"/>
          <w:szCs w:val="24"/>
          <w:vertAlign w:val="superscript"/>
        </w:rPr>
        <w:t>]</w:t>
      </w:r>
      <w:r w:rsidRPr="00082ABB">
        <w:rPr>
          <w:rFonts w:ascii="Book Antiqua" w:hAnsi="Book Antiqua"/>
          <w:sz w:val="24"/>
          <w:szCs w:val="24"/>
        </w:rPr>
        <w:t>.</w:t>
      </w:r>
    </w:p>
    <w:p w:rsidR="00751D5A" w:rsidRPr="00082ABB" w:rsidRDefault="00751D5A"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b/>
          <w:sz w:val="24"/>
          <w:szCs w:val="24"/>
        </w:rPr>
      </w:pPr>
      <w:r w:rsidRPr="00082ABB">
        <w:rPr>
          <w:rFonts w:ascii="Book Antiqua" w:hAnsi="Book Antiqua"/>
          <w:b/>
          <w:caps/>
          <w:sz w:val="24"/>
          <w:szCs w:val="24"/>
        </w:rPr>
        <w:t>Treatment st</w:t>
      </w:r>
      <w:r w:rsidR="005967C6" w:rsidRPr="00082ABB">
        <w:rPr>
          <w:rFonts w:ascii="Book Antiqua" w:hAnsi="Book Antiqua"/>
          <w:b/>
          <w:caps/>
          <w:sz w:val="24"/>
          <w:szCs w:val="24"/>
        </w:rPr>
        <w:t xml:space="preserve">rategy according to KRAS or all RAS wild </w:t>
      </w:r>
      <w:r w:rsidRPr="00082ABB">
        <w:rPr>
          <w:rFonts w:ascii="Book Antiqua" w:hAnsi="Book Antiqua"/>
          <w:b/>
          <w:caps/>
          <w:sz w:val="24"/>
          <w:szCs w:val="24"/>
        </w:rPr>
        <w:t>type</w:t>
      </w:r>
      <w:r w:rsidRPr="00082ABB">
        <w:rPr>
          <w:rFonts w:ascii="Book Antiqua" w:hAnsi="Book Antiqua"/>
          <w:b/>
          <w:sz w:val="24"/>
          <w:szCs w:val="24"/>
        </w:rPr>
        <w:t xml:space="preserve"> mCRC</w:t>
      </w:r>
    </w:p>
    <w:p w:rsidR="00BC5F12" w:rsidRPr="00082ABB" w:rsidRDefault="00BC5F12" w:rsidP="007061C9">
      <w:pPr>
        <w:snapToGrid w:val="0"/>
        <w:spacing w:line="360" w:lineRule="auto"/>
        <w:rPr>
          <w:rFonts w:ascii="Book Antiqua" w:hAnsi="Book Antiqua"/>
          <w:b/>
          <w:i/>
          <w:sz w:val="24"/>
          <w:szCs w:val="24"/>
        </w:rPr>
      </w:pPr>
      <w:r w:rsidRPr="00082ABB">
        <w:rPr>
          <w:rFonts w:ascii="Book Antiqua" w:hAnsi="Book Antiqua"/>
          <w:b/>
          <w:i/>
          <w:sz w:val="24"/>
          <w:szCs w:val="24"/>
        </w:rPr>
        <w:t>Anti-VEGFR and anti-EGFR treatme</w:t>
      </w:r>
      <w:r w:rsidR="005967C6" w:rsidRPr="00082ABB">
        <w:rPr>
          <w:rFonts w:ascii="Book Antiqua" w:hAnsi="Book Antiqua"/>
          <w:b/>
          <w:i/>
          <w:sz w:val="24"/>
          <w:szCs w:val="24"/>
        </w:rPr>
        <w:t xml:space="preserve">nts for patients with KRAS wild </w:t>
      </w:r>
      <w:r w:rsidRPr="00082ABB">
        <w:rPr>
          <w:rFonts w:ascii="Book Antiqua" w:hAnsi="Book Antiqua"/>
          <w:b/>
          <w:i/>
          <w:sz w:val="24"/>
          <w:szCs w:val="24"/>
        </w:rPr>
        <w:t>type mCRC</w:t>
      </w:r>
    </w:p>
    <w:p w:rsidR="00BC5F12" w:rsidRPr="00082ABB" w:rsidRDefault="00BC5F12" w:rsidP="007061C9">
      <w:pPr>
        <w:snapToGrid w:val="0"/>
        <w:spacing w:line="360" w:lineRule="auto"/>
        <w:rPr>
          <w:rFonts w:ascii="Book Antiqua" w:eastAsia="宋体" w:hAnsi="Book Antiqua"/>
          <w:sz w:val="24"/>
          <w:szCs w:val="24"/>
          <w:lang w:eastAsia="zh-CN"/>
        </w:rPr>
      </w:pPr>
      <w:r w:rsidRPr="00082ABB">
        <w:rPr>
          <w:rFonts w:ascii="Book Antiqua" w:hAnsi="Book Antiqua"/>
          <w:sz w:val="24"/>
          <w:szCs w:val="24"/>
        </w:rPr>
        <w:t>Recently, three large randomized clinical trial</w:t>
      </w:r>
      <w:r w:rsidR="005344F7" w:rsidRPr="00082ABB">
        <w:rPr>
          <w:rFonts w:ascii="Book Antiqua" w:hAnsi="Book Antiqua"/>
          <w:sz w:val="24"/>
          <w:szCs w:val="24"/>
        </w:rPr>
        <w:t>s</w:t>
      </w:r>
      <w:r w:rsidRPr="00082ABB">
        <w:rPr>
          <w:rFonts w:ascii="Book Antiqua" w:hAnsi="Book Antiqua"/>
          <w:sz w:val="24"/>
          <w:szCs w:val="24"/>
        </w:rPr>
        <w:t xml:space="preserve"> (PEAK, FIRE-3, and CALGB/SWOG 80405) were conducted to compare anti-EGFR agent</w:t>
      </w:r>
      <w:r w:rsidR="005344F7" w:rsidRPr="00082ABB">
        <w:rPr>
          <w:rFonts w:ascii="Book Antiqua" w:hAnsi="Book Antiqua"/>
          <w:sz w:val="24"/>
          <w:szCs w:val="24"/>
        </w:rPr>
        <w:t>-</w:t>
      </w:r>
      <w:r w:rsidRPr="00082ABB">
        <w:rPr>
          <w:rFonts w:ascii="Book Antiqua" w:hAnsi="Book Antiqua"/>
          <w:sz w:val="24"/>
          <w:szCs w:val="24"/>
        </w:rPr>
        <w:t>containing chemotherapy with bevacizumab</w:t>
      </w:r>
      <w:r w:rsidR="005344F7" w:rsidRPr="00082ABB">
        <w:rPr>
          <w:rFonts w:ascii="Book Antiqua" w:hAnsi="Book Antiqua"/>
          <w:sz w:val="24"/>
          <w:szCs w:val="24"/>
        </w:rPr>
        <w:t>-</w:t>
      </w:r>
      <w:r w:rsidRPr="00082ABB">
        <w:rPr>
          <w:rFonts w:ascii="Book Antiqua" w:hAnsi="Book Antiqua"/>
          <w:sz w:val="24"/>
          <w:szCs w:val="24"/>
        </w:rPr>
        <w:t xml:space="preserve">containing chemotherapy in </w:t>
      </w:r>
      <w:r w:rsidRPr="00082ABB">
        <w:rPr>
          <w:rFonts w:ascii="Book Antiqua" w:hAnsi="Book Antiqua"/>
          <w:i/>
          <w:sz w:val="24"/>
          <w:szCs w:val="24"/>
        </w:rPr>
        <w:t>KRAS</w:t>
      </w:r>
      <w:r w:rsidRPr="00082ABB">
        <w:rPr>
          <w:rFonts w:ascii="Book Antiqua" w:hAnsi="Book Antiqua"/>
          <w:sz w:val="24"/>
          <w:szCs w:val="24"/>
        </w:rPr>
        <w:t xml:space="preserve"> wild type mCRC patients </w:t>
      </w:r>
      <w:r w:rsidR="005344F7" w:rsidRPr="00082ABB">
        <w:rPr>
          <w:rFonts w:ascii="Book Antiqua" w:hAnsi="Book Antiqua"/>
          <w:sz w:val="24"/>
          <w:szCs w:val="24"/>
        </w:rPr>
        <w:t xml:space="preserve">in the </w:t>
      </w:r>
      <w:r w:rsidR="000D525E" w:rsidRPr="00082ABB">
        <w:rPr>
          <w:rFonts w:ascii="Book Antiqua" w:hAnsi="Book Antiqua"/>
          <w:sz w:val="24"/>
          <w:szCs w:val="24"/>
        </w:rPr>
        <w:t>first-line setting</w:t>
      </w:r>
      <w:r w:rsidR="00A16F3D" w:rsidRPr="00082ABB">
        <w:rPr>
          <w:rFonts w:ascii="Book Antiqua" w:hAnsi="Book Antiqua" w:hint="eastAsia"/>
          <w:sz w:val="24"/>
          <w:szCs w:val="24"/>
        </w:rPr>
        <w:t xml:space="preserve"> (Table 3)</w:t>
      </w:r>
      <w:r w:rsidR="000D525E" w:rsidRPr="00082ABB">
        <w:rPr>
          <w:rFonts w:ascii="Book Antiqua" w:hAnsi="Book Antiqua"/>
          <w:sz w:val="24"/>
          <w:szCs w:val="24"/>
        </w:rPr>
        <w:t>.</w:t>
      </w:r>
    </w:p>
    <w:p w:rsidR="00BC5F12" w:rsidRPr="00082ABB" w:rsidRDefault="00BC5F12" w:rsidP="000D525E">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 xml:space="preserve">First, the phase II PEAK study was conducted in 285 mCRC patients with wild-type </w:t>
      </w:r>
      <w:r w:rsidRPr="00082ABB">
        <w:rPr>
          <w:rFonts w:ascii="Book Antiqua" w:hAnsi="Book Antiqua"/>
          <w:i/>
          <w:sz w:val="24"/>
          <w:szCs w:val="24"/>
        </w:rPr>
        <w:t xml:space="preserve">KRAS </w:t>
      </w:r>
      <w:r w:rsidRPr="00082ABB">
        <w:rPr>
          <w:rFonts w:ascii="Book Antiqua" w:hAnsi="Book Antiqua"/>
          <w:sz w:val="24"/>
          <w:szCs w:val="24"/>
        </w:rPr>
        <w:t>to compare FOLFOX plus panitumumab with FOLFOX plus bevaciz</w:t>
      </w:r>
      <w:r w:rsidR="00256573" w:rsidRPr="00082ABB">
        <w:rPr>
          <w:rFonts w:ascii="Book Antiqua" w:hAnsi="Book Antiqua"/>
          <w:sz w:val="24"/>
          <w:szCs w:val="24"/>
        </w:rPr>
        <w:t xml:space="preserve">umab as first-line </w:t>
      </w:r>
      <w:proofErr w:type="gramStart"/>
      <w:r w:rsidR="00256573" w:rsidRPr="00082ABB">
        <w:rPr>
          <w:rFonts w:ascii="Book Antiqua" w:hAnsi="Book Antiqua"/>
          <w:sz w:val="24"/>
          <w:szCs w:val="24"/>
        </w:rPr>
        <w:t>treatment</w:t>
      </w:r>
      <w:r w:rsidR="00582F2C" w:rsidRPr="00082ABB">
        <w:rPr>
          <w:rFonts w:ascii="Book Antiqua" w:hAnsi="Book Antiqua"/>
          <w:sz w:val="24"/>
          <w:szCs w:val="24"/>
          <w:vertAlign w:val="superscript"/>
        </w:rPr>
        <w:t>[</w:t>
      </w:r>
      <w:proofErr w:type="gramEnd"/>
      <w:r w:rsidR="00582F2C" w:rsidRPr="00082ABB">
        <w:rPr>
          <w:rFonts w:ascii="Book Antiqua" w:hAnsi="Book Antiqua"/>
          <w:sz w:val="24"/>
          <w:szCs w:val="24"/>
          <w:vertAlign w:val="superscript"/>
        </w:rPr>
        <w:t>18</w:t>
      </w:r>
      <w:r w:rsidRPr="00082ABB">
        <w:rPr>
          <w:rFonts w:ascii="Book Antiqua" w:hAnsi="Book Antiqua"/>
          <w:sz w:val="24"/>
          <w:szCs w:val="24"/>
          <w:vertAlign w:val="superscript"/>
        </w:rPr>
        <w:t>]</w:t>
      </w:r>
      <w:r w:rsidRPr="00082ABB">
        <w:rPr>
          <w:rFonts w:ascii="Book Antiqua" w:hAnsi="Book Antiqua"/>
          <w:sz w:val="24"/>
          <w:szCs w:val="24"/>
        </w:rPr>
        <w:t xml:space="preserve">. Although median PFS was similar between </w:t>
      </w:r>
      <w:r w:rsidR="005344F7" w:rsidRPr="00082ABB">
        <w:rPr>
          <w:rFonts w:ascii="Book Antiqua" w:hAnsi="Book Antiqua"/>
          <w:sz w:val="24"/>
          <w:szCs w:val="24"/>
        </w:rPr>
        <w:t xml:space="preserve">the </w:t>
      </w:r>
      <w:r w:rsidRPr="00082ABB">
        <w:rPr>
          <w:rFonts w:ascii="Book Antiqua" w:hAnsi="Book Antiqua"/>
          <w:sz w:val="24"/>
          <w:szCs w:val="24"/>
        </w:rPr>
        <w:t xml:space="preserve">panitumumab arm and </w:t>
      </w:r>
      <w:r w:rsidR="005344F7" w:rsidRPr="00082ABB">
        <w:rPr>
          <w:rFonts w:ascii="Book Antiqua" w:hAnsi="Book Antiqua"/>
          <w:sz w:val="24"/>
          <w:szCs w:val="24"/>
        </w:rPr>
        <w:t xml:space="preserve">the </w:t>
      </w:r>
      <w:r w:rsidRPr="00082ABB">
        <w:rPr>
          <w:rFonts w:ascii="Book Antiqua" w:hAnsi="Book Antiqua"/>
          <w:sz w:val="24"/>
          <w:szCs w:val="24"/>
        </w:rPr>
        <w:t xml:space="preserve">bevacizumab arm (10.9 </w:t>
      </w:r>
      <w:r w:rsidR="000D525E" w:rsidRPr="00082ABB">
        <w:rPr>
          <w:rFonts w:ascii="Book Antiqua" w:hAnsi="Book Antiqua"/>
          <w:sz w:val="24"/>
          <w:szCs w:val="24"/>
        </w:rPr>
        <w:t xml:space="preserve">mo </w:t>
      </w:r>
      <w:r w:rsidR="000D525E" w:rsidRPr="00082ABB">
        <w:rPr>
          <w:rFonts w:ascii="Book Antiqua" w:hAnsi="Book Antiqua"/>
          <w:i/>
          <w:sz w:val="24"/>
          <w:szCs w:val="24"/>
        </w:rPr>
        <w:t>vs</w:t>
      </w:r>
      <w:r w:rsidRPr="00082ABB">
        <w:rPr>
          <w:rFonts w:ascii="Book Antiqua" w:hAnsi="Book Antiqua"/>
          <w:sz w:val="24"/>
          <w:szCs w:val="24"/>
        </w:rPr>
        <w:t xml:space="preserve"> 10.1 mo;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0.87, </w:t>
      </w:r>
      <w:r w:rsidRPr="00082ABB">
        <w:rPr>
          <w:rFonts w:ascii="Book Antiqua" w:hAnsi="Book Antiqua"/>
          <w:i/>
          <w:sz w:val="24"/>
          <w:szCs w:val="24"/>
        </w:rPr>
        <w:t>P</w:t>
      </w:r>
      <w:r w:rsidR="005967C6" w:rsidRPr="00082ABB">
        <w:rPr>
          <w:rFonts w:ascii="Book Antiqua" w:hAnsi="Book Antiqua"/>
          <w:i/>
          <w:sz w:val="24"/>
          <w:szCs w:val="24"/>
        </w:rPr>
        <w:t xml:space="preserve"> </w:t>
      </w:r>
      <w:r w:rsidRPr="00082ABB">
        <w:rPr>
          <w:rFonts w:ascii="Book Antiqua" w:hAnsi="Book Antiqua"/>
          <w:sz w:val="24"/>
          <w:szCs w:val="24"/>
        </w:rPr>
        <w:t>=</w:t>
      </w:r>
      <w:r w:rsidR="005967C6" w:rsidRPr="00082ABB">
        <w:rPr>
          <w:rFonts w:ascii="Book Antiqua" w:hAnsi="Book Antiqua"/>
          <w:sz w:val="24"/>
          <w:szCs w:val="24"/>
        </w:rPr>
        <w:t xml:space="preserve"> </w:t>
      </w:r>
      <w:r w:rsidRPr="00082ABB">
        <w:rPr>
          <w:rFonts w:ascii="Book Antiqua" w:hAnsi="Book Antiqua"/>
          <w:sz w:val="24"/>
          <w:szCs w:val="24"/>
        </w:rPr>
        <w:t xml:space="preserve">0.353), median OS was significantly prolonged in </w:t>
      </w:r>
      <w:r w:rsidR="005344F7" w:rsidRPr="00082ABB">
        <w:rPr>
          <w:rFonts w:ascii="Book Antiqua" w:hAnsi="Book Antiqua"/>
          <w:sz w:val="24"/>
          <w:szCs w:val="24"/>
        </w:rPr>
        <w:t xml:space="preserve">the </w:t>
      </w:r>
      <w:r w:rsidRPr="00082ABB">
        <w:rPr>
          <w:rFonts w:ascii="Book Antiqua" w:hAnsi="Book Antiqua"/>
          <w:sz w:val="24"/>
          <w:szCs w:val="24"/>
        </w:rPr>
        <w:t xml:space="preserve">panitumumab arm compared with </w:t>
      </w:r>
      <w:r w:rsidR="005344F7" w:rsidRPr="00082ABB">
        <w:rPr>
          <w:rFonts w:ascii="Book Antiqua" w:hAnsi="Book Antiqua"/>
          <w:sz w:val="24"/>
          <w:szCs w:val="24"/>
        </w:rPr>
        <w:t xml:space="preserve">the </w:t>
      </w:r>
      <w:r w:rsidRPr="00082ABB">
        <w:rPr>
          <w:rFonts w:ascii="Book Antiqua" w:hAnsi="Book Antiqua"/>
          <w:sz w:val="24"/>
          <w:szCs w:val="24"/>
        </w:rPr>
        <w:t xml:space="preserve">bevacizumab arm (34.2 </w:t>
      </w:r>
      <w:r w:rsidR="000D525E" w:rsidRPr="00082ABB">
        <w:rPr>
          <w:rFonts w:ascii="Book Antiqua" w:hAnsi="Book Antiqua"/>
          <w:sz w:val="24"/>
          <w:szCs w:val="24"/>
        </w:rPr>
        <w:t xml:space="preserve">mo </w:t>
      </w:r>
      <w:r w:rsidR="000D525E" w:rsidRPr="00082ABB">
        <w:rPr>
          <w:rFonts w:ascii="Book Antiqua" w:hAnsi="Book Antiqua"/>
          <w:i/>
          <w:sz w:val="24"/>
          <w:szCs w:val="24"/>
        </w:rPr>
        <w:t>vs</w:t>
      </w:r>
      <w:r w:rsidRPr="00082ABB">
        <w:rPr>
          <w:rFonts w:ascii="Book Antiqua" w:hAnsi="Book Antiqua"/>
          <w:sz w:val="24"/>
          <w:szCs w:val="24"/>
        </w:rPr>
        <w:t xml:space="preserve"> 24.3 mo;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0.62, </w:t>
      </w:r>
      <w:r w:rsidRPr="00082ABB">
        <w:rPr>
          <w:rFonts w:ascii="Book Antiqua" w:hAnsi="Book Antiqua"/>
          <w:i/>
          <w:sz w:val="24"/>
          <w:szCs w:val="24"/>
        </w:rPr>
        <w:t>P</w:t>
      </w:r>
      <w:r w:rsidR="005967C6" w:rsidRPr="00082ABB">
        <w:rPr>
          <w:rFonts w:ascii="Book Antiqua" w:hAnsi="Book Antiqua"/>
          <w:i/>
          <w:sz w:val="24"/>
          <w:szCs w:val="24"/>
        </w:rPr>
        <w:t xml:space="preserve"> </w:t>
      </w:r>
      <w:r w:rsidRPr="00082ABB">
        <w:rPr>
          <w:rFonts w:ascii="Book Antiqua" w:hAnsi="Book Antiqua"/>
          <w:sz w:val="24"/>
          <w:szCs w:val="24"/>
        </w:rPr>
        <w:t>=</w:t>
      </w:r>
      <w:r w:rsidR="005967C6" w:rsidRPr="00082ABB">
        <w:rPr>
          <w:rFonts w:ascii="Book Antiqua" w:hAnsi="Book Antiqua"/>
          <w:sz w:val="24"/>
          <w:szCs w:val="24"/>
        </w:rPr>
        <w:t xml:space="preserve"> </w:t>
      </w:r>
      <w:r w:rsidRPr="00082ABB">
        <w:rPr>
          <w:rFonts w:ascii="Book Antiqua" w:hAnsi="Book Antiqua"/>
          <w:sz w:val="24"/>
          <w:szCs w:val="24"/>
        </w:rPr>
        <w:t xml:space="preserve">0.009). The RR was 57.8% in </w:t>
      </w:r>
      <w:r w:rsidR="005344F7" w:rsidRPr="00082ABB">
        <w:rPr>
          <w:rFonts w:ascii="Book Antiqua" w:hAnsi="Book Antiqua"/>
          <w:sz w:val="24"/>
          <w:szCs w:val="24"/>
        </w:rPr>
        <w:t xml:space="preserve">the </w:t>
      </w:r>
      <w:r w:rsidRPr="00082ABB">
        <w:rPr>
          <w:rFonts w:ascii="Book Antiqua" w:hAnsi="Book Antiqua"/>
          <w:sz w:val="24"/>
          <w:szCs w:val="24"/>
        </w:rPr>
        <w:t xml:space="preserve">panitumumab arm and 53.5% in </w:t>
      </w:r>
      <w:r w:rsidR="005344F7" w:rsidRPr="00082ABB">
        <w:rPr>
          <w:rFonts w:ascii="Book Antiqua" w:hAnsi="Book Antiqua"/>
          <w:sz w:val="24"/>
          <w:szCs w:val="24"/>
        </w:rPr>
        <w:t xml:space="preserve">the </w:t>
      </w:r>
      <w:r w:rsidRPr="00082ABB">
        <w:rPr>
          <w:rFonts w:ascii="Book Antiqua" w:hAnsi="Book Antiqua"/>
          <w:sz w:val="24"/>
          <w:szCs w:val="24"/>
        </w:rPr>
        <w:t xml:space="preserve">bevacizumab arm. Second, </w:t>
      </w:r>
      <w:r w:rsidR="005344F7" w:rsidRPr="00082ABB">
        <w:rPr>
          <w:rFonts w:ascii="Book Antiqua" w:hAnsi="Book Antiqua"/>
          <w:sz w:val="24"/>
          <w:szCs w:val="24"/>
        </w:rPr>
        <w:t xml:space="preserve">the </w:t>
      </w:r>
      <w:r w:rsidRPr="00082ABB">
        <w:rPr>
          <w:rFonts w:ascii="Book Antiqua" w:hAnsi="Book Antiqua"/>
          <w:sz w:val="24"/>
          <w:szCs w:val="24"/>
        </w:rPr>
        <w:t xml:space="preserve">phase III FIRE-3 study was conducted to evaluate the superiority of FOLFIRI plus cetuximab to FOLFIRI plus bevacizumab in mCRC patients with </w:t>
      </w:r>
      <w:r w:rsidRPr="00082ABB">
        <w:rPr>
          <w:rFonts w:ascii="Book Antiqua" w:hAnsi="Book Antiqua"/>
          <w:i/>
          <w:sz w:val="24"/>
          <w:szCs w:val="24"/>
        </w:rPr>
        <w:t>KRAS</w:t>
      </w:r>
      <w:r w:rsidRPr="00082ABB">
        <w:rPr>
          <w:rFonts w:ascii="Book Antiqua" w:hAnsi="Book Antiqua"/>
          <w:sz w:val="24"/>
          <w:szCs w:val="24"/>
        </w:rPr>
        <w:t xml:space="preserve"> wild type as first</w:t>
      </w:r>
      <w:r w:rsidR="005344F7" w:rsidRPr="00082ABB">
        <w:rPr>
          <w:rFonts w:ascii="Book Antiqua" w:hAnsi="Book Antiqua"/>
          <w:sz w:val="24"/>
          <w:szCs w:val="24"/>
        </w:rPr>
        <w:t>-</w:t>
      </w:r>
      <w:r w:rsidRPr="00082ABB">
        <w:rPr>
          <w:rFonts w:ascii="Book Antiqua" w:hAnsi="Book Antiqua"/>
          <w:sz w:val="24"/>
          <w:szCs w:val="24"/>
        </w:rPr>
        <w:t xml:space="preserve">line </w:t>
      </w:r>
      <w:proofErr w:type="gramStart"/>
      <w:r w:rsidRPr="00082ABB">
        <w:rPr>
          <w:rFonts w:ascii="Book Antiqua" w:hAnsi="Book Antiqua"/>
          <w:sz w:val="24"/>
          <w:szCs w:val="24"/>
        </w:rPr>
        <w:t>trea</w:t>
      </w:r>
      <w:r w:rsidR="000D525E" w:rsidRPr="00082ABB">
        <w:rPr>
          <w:rFonts w:ascii="Book Antiqua" w:hAnsi="Book Antiqua"/>
          <w:sz w:val="24"/>
          <w:szCs w:val="24"/>
        </w:rPr>
        <w:t>tment</w:t>
      </w:r>
      <w:r w:rsidR="00582F2C" w:rsidRPr="00082ABB">
        <w:rPr>
          <w:rFonts w:ascii="Book Antiqua" w:hAnsi="Book Antiqua"/>
          <w:sz w:val="24"/>
          <w:szCs w:val="24"/>
          <w:vertAlign w:val="superscript"/>
        </w:rPr>
        <w:t>[</w:t>
      </w:r>
      <w:proofErr w:type="gramEnd"/>
      <w:r w:rsidR="00582F2C" w:rsidRPr="00082ABB">
        <w:rPr>
          <w:rFonts w:ascii="Book Antiqua" w:hAnsi="Book Antiqua"/>
          <w:sz w:val="24"/>
          <w:szCs w:val="24"/>
          <w:vertAlign w:val="superscript"/>
        </w:rPr>
        <w:t>19</w:t>
      </w:r>
      <w:r w:rsidRPr="00082ABB">
        <w:rPr>
          <w:rFonts w:ascii="Book Antiqua" w:hAnsi="Book Antiqua"/>
          <w:sz w:val="24"/>
          <w:szCs w:val="24"/>
          <w:vertAlign w:val="superscript"/>
        </w:rPr>
        <w:t>]</w:t>
      </w:r>
      <w:r w:rsidRPr="00082ABB">
        <w:rPr>
          <w:rFonts w:ascii="Book Antiqua" w:hAnsi="Book Antiqua"/>
          <w:sz w:val="24"/>
          <w:szCs w:val="24"/>
        </w:rPr>
        <w:t xml:space="preserve">. </w:t>
      </w:r>
      <w:r w:rsidR="005344F7" w:rsidRPr="00082ABB">
        <w:rPr>
          <w:rFonts w:ascii="Book Antiqua" w:hAnsi="Book Antiqua"/>
          <w:sz w:val="24"/>
          <w:szCs w:val="24"/>
        </w:rPr>
        <w:lastRenderedPageBreak/>
        <w:t xml:space="preserve">A total of 592 </w:t>
      </w:r>
      <w:r w:rsidRPr="00082ABB">
        <w:rPr>
          <w:rFonts w:ascii="Book Antiqua" w:hAnsi="Book Antiqua"/>
          <w:sz w:val="24"/>
          <w:szCs w:val="24"/>
        </w:rPr>
        <w:t xml:space="preserve">patients with </w:t>
      </w:r>
      <w:r w:rsidRPr="00082ABB">
        <w:rPr>
          <w:rFonts w:ascii="Book Antiqua" w:hAnsi="Book Antiqua"/>
          <w:i/>
          <w:sz w:val="24"/>
          <w:szCs w:val="24"/>
        </w:rPr>
        <w:t>KRAS</w:t>
      </w:r>
      <w:r w:rsidRPr="00082ABB">
        <w:rPr>
          <w:rFonts w:ascii="Book Antiqua" w:hAnsi="Book Antiqua"/>
          <w:sz w:val="24"/>
          <w:szCs w:val="24"/>
        </w:rPr>
        <w:t xml:space="preserve"> wild </w:t>
      </w:r>
      <w:r w:rsidR="005344F7" w:rsidRPr="00082ABB">
        <w:rPr>
          <w:rFonts w:ascii="Book Antiqua" w:hAnsi="Book Antiqua"/>
          <w:sz w:val="24"/>
          <w:szCs w:val="24"/>
        </w:rPr>
        <w:t xml:space="preserve">type </w:t>
      </w:r>
      <w:r w:rsidRPr="00082ABB">
        <w:rPr>
          <w:rFonts w:ascii="Book Antiqua" w:hAnsi="Book Antiqua"/>
          <w:sz w:val="24"/>
          <w:szCs w:val="24"/>
        </w:rPr>
        <w:t>tumors were randomly assigned and received treatment</w:t>
      </w:r>
      <w:r w:rsidR="005344F7" w:rsidRPr="00082ABB">
        <w:rPr>
          <w:rFonts w:ascii="Book Antiqua" w:hAnsi="Book Antiqua"/>
          <w:sz w:val="24"/>
          <w:szCs w:val="24"/>
        </w:rPr>
        <w:t xml:space="preserve">, with </w:t>
      </w:r>
      <w:r w:rsidRPr="00082ABB">
        <w:rPr>
          <w:rFonts w:ascii="Book Antiqua" w:hAnsi="Book Antiqua"/>
          <w:sz w:val="24"/>
          <w:szCs w:val="24"/>
        </w:rPr>
        <w:t xml:space="preserve">297 in the FOLFIRI plus cetuximab group and 295 in the FOLFIRI plus bevacizumab group. </w:t>
      </w:r>
      <w:r w:rsidR="005344F7" w:rsidRPr="00082ABB">
        <w:rPr>
          <w:rFonts w:ascii="Book Antiqua" w:hAnsi="Book Antiqua"/>
          <w:sz w:val="24"/>
          <w:szCs w:val="24"/>
        </w:rPr>
        <w:t>The</w:t>
      </w:r>
      <w:r w:rsidRPr="00082ABB">
        <w:rPr>
          <w:rFonts w:ascii="Book Antiqua" w:hAnsi="Book Antiqua"/>
          <w:sz w:val="24"/>
          <w:szCs w:val="24"/>
        </w:rPr>
        <w:t xml:space="preserve"> FIRE-3 study did not show difference</w:t>
      </w:r>
      <w:r w:rsidR="005344F7" w:rsidRPr="00082ABB">
        <w:rPr>
          <w:rFonts w:ascii="Book Antiqua" w:hAnsi="Book Antiqua"/>
          <w:sz w:val="24"/>
          <w:szCs w:val="24"/>
        </w:rPr>
        <w:t>s</w:t>
      </w:r>
      <w:r w:rsidRPr="00082ABB">
        <w:rPr>
          <w:rFonts w:ascii="Book Antiqua" w:hAnsi="Book Antiqua"/>
          <w:sz w:val="24"/>
          <w:szCs w:val="24"/>
        </w:rPr>
        <w:t xml:space="preserve"> in terms of RR (62% in the cetuximab group </w:t>
      </w:r>
      <w:r w:rsidRPr="00082ABB">
        <w:rPr>
          <w:rFonts w:ascii="Book Antiqua" w:hAnsi="Book Antiqua"/>
          <w:i/>
          <w:sz w:val="24"/>
          <w:szCs w:val="24"/>
        </w:rPr>
        <w:t>vs</w:t>
      </w:r>
      <w:r w:rsidRPr="00082ABB">
        <w:rPr>
          <w:rFonts w:ascii="Book Antiqua" w:hAnsi="Book Antiqua"/>
          <w:sz w:val="24"/>
          <w:szCs w:val="24"/>
        </w:rPr>
        <w:t xml:space="preserve"> 58% in the bevacizumab group; OR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1.18, </w:t>
      </w:r>
      <w:r w:rsidRPr="00082ABB">
        <w:rPr>
          <w:rFonts w:ascii="Book Antiqua" w:hAnsi="Book Antiqua"/>
          <w:i/>
          <w:sz w:val="24"/>
          <w:szCs w:val="24"/>
        </w:rPr>
        <w:t>P</w:t>
      </w:r>
      <w:r w:rsidR="007A48FA" w:rsidRPr="00082ABB">
        <w:rPr>
          <w:rFonts w:ascii="Book Antiqua" w:hAnsi="Book Antiqua"/>
          <w:i/>
          <w:sz w:val="24"/>
          <w:szCs w:val="24"/>
        </w:rPr>
        <w:t xml:space="preserve"> </w:t>
      </w:r>
      <w:r w:rsidRPr="00082ABB">
        <w:rPr>
          <w:rFonts w:ascii="Book Antiqua" w:hAnsi="Book Antiqua"/>
          <w:sz w:val="24"/>
          <w:szCs w:val="24"/>
        </w:rPr>
        <w:t>=</w:t>
      </w:r>
      <w:r w:rsidR="007A48FA" w:rsidRPr="00082ABB">
        <w:rPr>
          <w:rFonts w:ascii="Book Antiqua" w:hAnsi="Book Antiqua"/>
          <w:sz w:val="24"/>
          <w:szCs w:val="24"/>
        </w:rPr>
        <w:t xml:space="preserve"> </w:t>
      </w:r>
      <w:r w:rsidRPr="00082ABB">
        <w:rPr>
          <w:rFonts w:ascii="Book Antiqua" w:hAnsi="Book Antiqua"/>
          <w:sz w:val="24"/>
          <w:szCs w:val="24"/>
        </w:rPr>
        <w:t xml:space="preserve">0.18) and PFS (10.0 mo in the cetuximab group </w:t>
      </w:r>
      <w:r w:rsidRPr="00082ABB">
        <w:rPr>
          <w:rFonts w:ascii="Book Antiqua" w:hAnsi="Book Antiqua"/>
          <w:i/>
          <w:sz w:val="24"/>
          <w:szCs w:val="24"/>
        </w:rPr>
        <w:t xml:space="preserve">vs </w:t>
      </w:r>
      <w:r w:rsidRPr="00082ABB">
        <w:rPr>
          <w:rFonts w:ascii="Book Antiqua" w:hAnsi="Book Antiqua"/>
          <w:sz w:val="24"/>
          <w:szCs w:val="24"/>
        </w:rPr>
        <w:t xml:space="preserve">10.3 mo in the </w:t>
      </w:r>
      <w:r w:rsidR="00676409" w:rsidRPr="00082ABB">
        <w:rPr>
          <w:rFonts w:ascii="Book Antiqua" w:hAnsi="Book Antiqua"/>
          <w:sz w:val="24"/>
          <w:szCs w:val="24"/>
        </w:rPr>
        <w:t>bevacizumab</w:t>
      </w:r>
      <w:r w:rsidRPr="00082ABB">
        <w:rPr>
          <w:rFonts w:ascii="Book Antiqua" w:hAnsi="Book Antiqua"/>
          <w:sz w:val="24"/>
          <w:szCs w:val="24"/>
        </w:rPr>
        <w:t xml:space="preserve"> group;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1.06, </w:t>
      </w:r>
      <w:r w:rsidRPr="00082ABB">
        <w:rPr>
          <w:rFonts w:ascii="Book Antiqua" w:hAnsi="Book Antiqua"/>
          <w:i/>
          <w:sz w:val="24"/>
          <w:szCs w:val="24"/>
        </w:rPr>
        <w:t>P</w:t>
      </w:r>
      <w:r w:rsidR="007A48FA" w:rsidRPr="00082ABB">
        <w:rPr>
          <w:rFonts w:ascii="Book Antiqua" w:hAnsi="Book Antiqua"/>
          <w:i/>
          <w:sz w:val="24"/>
          <w:szCs w:val="24"/>
        </w:rPr>
        <w:t xml:space="preserve"> </w:t>
      </w:r>
      <w:r w:rsidRPr="00082ABB">
        <w:rPr>
          <w:rFonts w:ascii="Book Antiqua" w:hAnsi="Book Antiqua"/>
          <w:sz w:val="24"/>
          <w:szCs w:val="24"/>
        </w:rPr>
        <w:t>=</w:t>
      </w:r>
      <w:r w:rsidR="007A48FA" w:rsidRPr="00082ABB">
        <w:rPr>
          <w:rFonts w:ascii="Book Antiqua" w:hAnsi="Book Antiqua"/>
          <w:sz w:val="24"/>
          <w:szCs w:val="24"/>
        </w:rPr>
        <w:t xml:space="preserve"> </w:t>
      </w:r>
      <w:r w:rsidRPr="00082ABB">
        <w:rPr>
          <w:rFonts w:ascii="Book Antiqua" w:hAnsi="Book Antiqua"/>
          <w:sz w:val="24"/>
          <w:szCs w:val="24"/>
        </w:rPr>
        <w:t xml:space="preserve">0.55), while OS was prolonged in </w:t>
      </w:r>
      <w:r w:rsidR="005344F7" w:rsidRPr="00082ABB">
        <w:rPr>
          <w:rFonts w:ascii="Book Antiqua" w:hAnsi="Book Antiqua"/>
          <w:sz w:val="24"/>
          <w:szCs w:val="24"/>
        </w:rPr>
        <w:t xml:space="preserve">the </w:t>
      </w:r>
      <w:r w:rsidRPr="00082ABB">
        <w:rPr>
          <w:rFonts w:ascii="Book Antiqua" w:hAnsi="Book Antiqua"/>
          <w:sz w:val="24"/>
          <w:szCs w:val="24"/>
        </w:rPr>
        <w:t>cetuximab</w:t>
      </w:r>
      <w:r w:rsidR="005344F7" w:rsidRPr="00082ABB">
        <w:rPr>
          <w:rFonts w:ascii="Book Antiqua" w:hAnsi="Book Antiqua"/>
          <w:sz w:val="24"/>
          <w:szCs w:val="24"/>
        </w:rPr>
        <w:t>-</w:t>
      </w:r>
      <w:r w:rsidRPr="00082ABB">
        <w:rPr>
          <w:rFonts w:ascii="Book Antiqua" w:hAnsi="Book Antiqua"/>
          <w:sz w:val="24"/>
          <w:szCs w:val="24"/>
        </w:rPr>
        <w:t>containing regimen (28.7 mo in the cetuximab group</w:t>
      </w:r>
      <w:r w:rsidRPr="00082ABB">
        <w:rPr>
          <w:rFonts w:ascii="Book Antiqua" w:hAnsi="Book Antiqua"/>
          <w:i/>
          <w:sz w:val="24"/>
          <w:szCs w:val="24"/>
        </w:rPr>
        <w:t xml:space="preserve"> vs</w:t>
      </w:r>
      <w:r w:rsidRPr="00082ABB">
        <w:rPr>
          <w:rFonts w:ascii="Book Antiqua" w:hAnsi="Book Antiqua"/>
          <w:sz w:val="24"/>
          <w:szCs w:val="24"/>
        </w:rPr>
        <w:t xml:space="preserve"> 25.0 mo in the </w:t>
      </w:r>
      <w:r w:rsidR="00676409" w:rsidRPr="00082ABB">
        <w:rPr>
          <w:rFonts w:ascii="Book Antiqua" w:hAnsi="Book Antiqua"/>
          <w:sz w:val="24"/>
          <w:szCs w:val="24"/>
        </w:rPr>
        <w:t>bevacizumab</w:t>
      </w:r>
      <w:r w:rsidRPr="00082ABB">
        <w:rPr>
          <w:rFonts w:ascii="Book Antiqua" w:hAnsi="Book Antiqua"/>
          <w:sz w:val="24"/>
          <w:szCs w:val="24"/>
        </w:rPr>
        <w:t xml:space="preserve"> group;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0.77, </w:t>
      </w:r>
      <w:r w:rsidRPr="00082ABB">
        <w:rPr>
          <w:rFonts w:ascii="Book Antiqua" w:hAnsi="Book Antiqua"/>
          <w:i/>
          <w:sz w:val="24"/>
          <w:szCs w:val="24"/>
        </w:rPr>
        <w:t>P</w:t>
      </w:r>
      <w:r w:rsidR="007A48FA" w:rsidRPr="00082ABB">
        <w:rPr>
          <w:rFonts w:ascii="Book Antiqua" w:hAnsi="Book Antiqua"/>
          <w:i/>
          <w:sz w:val="24"/>
          <w:szCs w:val="24"/>
        </w:rPr>
        <w:t xml:space="preserve"> </w:t>
      </w:r>
      <w:r w:rsidRPr="00082ABB">
        <w:rPr>
          <w:rFonts w:ascii="Book Antiqua" w:hAnsi="Book Antiqua"/>
          <w:sz w:val="24"/>
          <w:szCs w:val="24"/>
        </w:rPr>
        <w:t>=</w:t>
      </w:r>
      <w:r w:rsidR="007A48FA" w:rsidRPr="00082ABB">
        <w:rPr>
          <w:rFonts w:ascii="Book Antiqua" w:hAnsi="Book Antiqua"/>
          <w:sz w:val="24"/>
          <w:szCs w:val="24"/>
        </w:rPr>
        <w:t xml:space="preserve"> </w:t>
      </w:r>
      <w:r w:rsidRPr="00082ABB">
        <w:rPr>
          <w:rFonts w:ascii="Book Antiqua" w:hAnsi="Book Antiqua"/>
          <w:sz w:val="24"/>
          <w:szCs w:val="24"/>
        </w:rPr>
        <w:t xml:space="preserve">0.017). Finally, in </w:t>
      </w:r>
      <w:r w:rsidR="005344F7" w:rsidRPr="00082ABB">
        <w:rPr>
          <w:rFonts w:ascii="Book Antiqua" w:hAnsi="Book Antiqua"/>
          <w:sz w:val="24"/>
          <w:szCs w:val="24"/>
        </w:rPr>
        <w:t xml:space="preserve">the </w:t>
      </w:r>
      <w:r w:rsidRPr="00082ABB">
        <w:rPr>
          <w:rFonts w:ascii="Book Antiqua" w:hAnsi="Book Antiqua"/>
          <w:sz w:val="24"/>
          <w:szCs w:val="24"/>
        </w:rPr>
        <w:t xml:space="preserve">CALGB/SWOG 80405 study, 1137 patients with </w:t>
      </w:r>
      <w:r w:rsidRPr="00082ABB">
        <w:rPr>
          <w:rFonts w:ascii="Book Antiqua" w:hAnsi="Book Antiqua"/>
          <w:i/>
          <w:sz w:val="24"/>
          <w:szCs w:val="24"/>
        </w:rPr>
        <w:t>KRAS</w:t>
      </w:r>
      <w:r w:rsidRPr="00082ABB">
        <w:rPr>
          <w:rFonts w:ascii="Book Antiqua" w:hAnsi="Book Antiqua"/>
          <w:sz w:val="24"/>
          <w:szCs w:val="24"/>
        </w:rPr>
        <w:t xml:space="preserve"> wild type were randomized to two arms</w:t>
      </w:r>
      <w:r w:rsidR="005344F7" w:rsidRPr="00082ABB">
        <w:rPr>
          <w:rFonts w:ascii="Book Antiqua" w:hAnsi="Book Antiqua"/>
          <w:sz w:val="24"/>
          <w:szCs w:val="24"/>
        </w:rPr>
        <w:t>:</w:t>
      </w:r>
      <w:r w:rsidRPr="00082ABB">
        <w:rPr>
          <w:rFonts w:ascii="Book Antiqua" w:hAnsi="Book Antiqua"/>
          <w:sz w:val="24"/>
          <w:szCs w:val="24"/>
        </w:rPr>
        <w:t xml:space="preserve"> cytotoxic chemotherapy (FOLFOX or FOLFIRI) plus cetuximab or </w:t>
      </w:r>
      <w:proofErr w:type="gramStart"/>
      <w:r w:rsidRPr="00082ABB">
        <w:rPr>
          <w:rFonts w:ascii="Book Antiqua" w:hAnsi="Book Antiqua"/>
          <w:sz w:val="24"/>
          <w:szCs w:val="24"/>
        </w:rPr>
        <w:t>bevacizu</w:t>
      </w:r>
      <w:r w:rsidR="000D525E" w:rsidRPr="00082ABB">
        <w:rPr>
          <w:rFonts w:ascii="Book Antiqua" w:hAnsi="Book Antiqua"/>
          <w:sz w:val="24"/>
          <w:szCs w:val="24"/>
        </w:rPr>
        <w:t>mab</w:t>
      </w:r>
      <w:r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84</w:t>
      </w:r>
      <w:r w:rsidRPr="00082ABB">
        <w:rPr>
          <w:rFonts w:ascii="Book Antiqua" w:hAnsi="Book Antiqua"/>
          <w:sz w:val="24"/>
          <w:szCs w:val="24"/>
          <w:vertAlign w:val="superscript"/>
        </w:rPr>
        <w:t>]</w:t>
      </w:r>
      <w:r w:rsidRPr="00082ABB">
        <w:rPr>
          <w:rFonts w:ascii="Book Antiqua" w:hAnsi="Book Antiqua"/>
          <w:sz w:val="24"/>
          <w:szCs w:val="24"/>
        </w:rPr>
        <w:t xml:space="preserve">. No benefit of </w:t>
      </w:r>
      <w:r w:rsidR="005344F7" w:rsidRPr="00082ABB">
        <w:rPr>
          <w:rFonts w:ascii="Book Antiqua" w:hAnsi="Book Antiqua"/>
          <w:sz w:val="24"/>
          <w:szCs w:val="24"/>
        </w:rPr>
        <w:t xml:space="preserve">the </w:t>
      </w:r>
      <w:r w:rsidRPr="00082ABB">
        <w:rPr>
          <w:rFonts w:ascii="Book Antiqua" w:hAnsi="Book Antiqua"/>
          <w:sz w:val="24"/>
          <w:szCs w:val="24"/>
        </w:rPr>
        <w:t>cetuximab</w:t>
      </w:r>
      <w:r w:rsidR="005344F7" w:rsidRPr="00082ABB">
        <w:rPr>
          <w:rFonts w:ascii="Book Antiqua" w:hAnsi="Book Antiqua"/>
          <w:sz w:val="24"/>
          <w:szCs w:val="24"/>
        </w:rPr>
        <w:t>-</w:t>
      </w:r>
      <w:r w:rsidRPr="00082ABB">
        <w:rPr>
          <w:rFonts w:ascii="Book Antiqua" w:hAnsi="Book Antiqua"/>
          <w:sz w:val="24"/>
          <w:szCs w:val="24"/>
        </w:rPr>
        <w:t xml:space="preserve">containing regimen was observed </w:t>
      </w:r>
      <w:r w:rsidR="005344F7" w:rsidRPr="00082ABB">
        <w:rPr>
          <w:rFonts w:ascii="Book Antiqua" w:hAnsi="Book Antiqua"/>
          <w:sz w:val="24"/>
          <w:szCs w:val="24"/>
        </w:rPr>
        <w:t xml:space="preserve">for </w:t>
      </w:r>
      <w:r w:rsidRPr="00082ABB">
        <w:rPr>
          <w:rFonts w:ascii="Book Antiqua" w:hAnsi="Book Antiqua"/>
          <w:sz w:val="24"/>
          <w:szCs w:val="24"/>
        </w:rPr>
        <w:t xml:space="preserve">PFS (10.4 </w:t>
      </w:r>
      <w:r w:rsidR="000D525E" w:rsidRPr="00082ABB">
        <w:rPr>
          <w:rFonts w:ascii="Book Antiqua" w:hAnsi="Book Antiqua"/>
          <w:sz w:val="24"/>
          <w:szCs w:val="24"/>
        </w:rPr>
        <w:t xml:space="preserve">mo </w:t>
      </w:r>
      <w:r w:rsidR="000D525E" w:rsidRPr="00082ABB">
        <w:rPr>
          <w:rFonts w:ascii="Book Antiqua" w:hAnsi="Book Antiqua"/>
          <w:i/>
          <w:sz w:val="24"/>
          <w:szCs w:val="24"/>
        </w:rPr>
        <w:t>vs</w:t>
      </w:r>
      <w:r w:rsidRPr="00082ABB">
        <w:rPr>
          <w:rFonts w:ascii="Book Antiqua" w:hAnsi="Book Antiqua"/>
          <w:sz w:val="24"/>
          <w:szCs w:val="24"/>
        </w:rPr>
        <w:t xml:space="preserve"> 10.8 mo;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1.04, </w:t>
      </w:r>
      <w:r w:rsidRPr="00082ABB">
        <w:rPr>
          <w:rFonts w:ascii="Book Antiqua" w:hAnsi="Book Antiqua"/>
          <w:i/>
          <w:sz w:val="24"/>
          <w:szCs w:val="24"/>
        </w:rPr>
        <w:t>P</w:t>
      </w:r>
      <w:r w:rsidR="007A48FA" w:rsidRPr="00082ABB">
        <w:rPr>
          <w:rFonts w:ascii="Book Antiqua" w:hAnsi="Book Antiqua"/>
          <w:i/>
          <w:sz w:val="24"/>
          <w:szCs w:val="24"/>
        </w:rPr>
        <w:t xml:space="preserve"> </w:t>
      </w:r>
      <w:r w:rsidRPr="00082ABB">
        <w:rPr>
          <w:rFonts w:ascii="Book Antiqua" w:hAnsi="Book Antiqua"/>
          <w:sz w:val="24"/>
          <w:szCs w:val="24"/>
        </w:rPr>
        <w:t>=</w:t>
      </w:r>
      <w:r w:rsidR="007A48FA" w:rsidRPr="00082ABB">
        <w:rPr>
          <w:rFonts w:ascii="Book Antiqua" w:hAnsi="Book Antiqua"/>
          <w:sz w:val="24"/>
          <w:szCs w:val="24"/>
        </w:rPr>
        <w:t xml:space="preserve"> </w:t>
      </w:r>
      <w:r w:rsidRPr="00082ABB">
        <w:rPr>
          <w:rFonts w:ascii="Book Antiqua" w:hAnsi="Book Antiqua"/>
          <w:sz w:val="24"/>
          <w:szCs w:val="24"/>
        </w:rPr>
        <w:t xml:space="preserve">0.55) or OS (29.9 </w:t>
      </w:r>
      <w:r w:rsidR="000D525E" w:rsidRPr="00082ABB">
        <w:rPr>
          <w:rFonts w:ascii="Book Antiqua" w:hAnsi="Book Antiqua"/>
          <w:sz w:val="24"/>
          <w:szCs w:val="24"/>
        </w:rPr>
        <w:t xml:space="preserve">mo </w:t>
      </w:r>
      <w:r w:rsidR="000D525E" w:rsidRPr="00082ABB">
        <w:rPr>
          <w:rFonts w:ascii="Book Antiqua" w:hAnsi="Book Antiqua"/>
          <w:i/>
          <w:sz w:val="24"/>
          <w:szCs w:val="24"/>
        </w:rPr>
        <w:t>vs</w:t>
      </w:r>
      <w:r w:rsidRPr="00082ABB">
        <w:rPr>
          <w:rFonts w:ascii="Book Antiqua" w:hAnsi="Book Antiqua"/>
          <w:sz w:val="24"/>
          <w:szCs w:val="24"/>
        </w:rPr>
        <w:t xml:space="preserve"> 29.0 mo;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0.925, </w:t>
      </w:r>
      <w:r w:rsidRPr="00082ABB">
        <w:rPr>
          <w:rFonts w:ascii="Book Antiqua" w:hAnsi="Book Antiqua"/>
          <w:i/>
          <w:sz w:val="24"/>
          <w:szCs w:val="24"/>
        </w:rPr>
        <w:t>P</w:t>
      </w:r>
      <w:r w:rsidR="007A48FA" w:rsidRPr="00082ABB">
        <w:rPr>
          <w:rFonts w:ascii="Book Antiqua" w:hAnsi="Book Antiqua"/>
          <w:i/>
          <w:sz w:val="24"/>
          <w:szCs w:val="24"/>
        </w:rPr>
        <w:t xml:space="preserve"> </w:t>
      </w:r>
      <w:r w:rsidRPr="00082ABB">
        <w:rPr>
          <w:rFonts w:ascii="Book Antiqua" w:hAnsi="Book Antiqua"/>
          <w:sz w:val="24"/>
          <w:szCs w:val="24"/>
        </w:rPr>
        <w:t>=</w:t>
      </w:r>
      <w:r w:rsidR="007A48FA" w:rsidRPr="00082ABB">
        <w:rPr>
          <w:rFonts w:ascii="Book Antiqua" w:hAnsi="Book Antiqua"/>
          <w:sz w:val="24"/>
          <w:szCs w:val="24"/>
        </w:rPr>
        <w:t xml:space="preserve"> </w:t>
      </w:r>
      <w:r w:rsidRPr="00082ABB">
        <w:rPr>
          <w:rFonts w:ascii="Book Antiqua" w:hAnsi="Book Antiqua"/>
          <w:sz w:val="24"/>
          <w:szCs w:val="24"/>
        </w:rPr>
        <w:t xml:space="preserve">0.34) compared with </w:t>
      </w:r>
      <w:r w:rsidR="005344F7" w:rsidRPr="00082ABB">
        <w:rPr>
          <w:rFonts w:ascii="Book Antiqua" w:hAnsi="Book Antiqua"/>
          <w:sz w:val="24"/>
          <w:szCs w:val="24"/>
        </w:rPr>
        <w:t xml:space="preserve">the </w:t>
      </w:r>
      <w:r w:rsidRPr="00082ABB">
        <w:rPr>
          <w:rFonts w:ascii="Book Antiqua" w:hAnsi="Book Antiqua"/>
          <w:sz w:val="24"/>
          <w:szCs w:val="24"/>
        </w:rPr>
        <w:t>bevacizumab</w:t>
      </w:r>
      <w:r w:rsidR="005344F7" w:rsidRPr="00082ABB">
        <w:rPr>
          <w:rFonts w:ascii="Book Antiqua" w:hAnsi="Book Antiqua"/>
          <w:sz w:val="24"/>
          <w:szCs w:val="24"/>
        </w:rPr>
        <w:t>-</w:t>
      </w:r>
      <w:r w:rsidRPr="00082ABB">
        <w:rPr>
          <w:rFonts w:ascii="Book Antiqua" w:hAnsi="Book Antiqua"/>
          <w:sz w:val="24"/>
          <w:szCs w:val="24"/>
        </w:rPr>
        <w:t xml:space="preserve">containing regimen. The RR was </w:t>
      </w:r>
      <w:r w:rsidR="005344F7" w:rsidRPr="00082ABB">
        <w:rPr>
          <w:rFonts w:ascii="Book Antiqua" w:hAnsi="Book Antiqua"/>
          <w:sz w:val="24"/>
          <w:szCs w:val="24"/>
        </w:rPr>
        <w:t xml:space="preserve">significantly </w:t>
      </w:r>
      <w:r w:rsidRPr="00082ABB">
        <w:rPr>
          <w:rFonts w:ascii="Book Antiqua" w:hAnsi="Book Antiqua"/>
          <w:sz w:val="24"/>
          <w:szCs w:val="24"/>
        </w:rPr>
        <w:t xml:space="preserve">higher in </w:t>
      </w:r>
      <w:r w:rsidR="005344F7" w:rsidRPr="00082ABB">
        <w:rPr>
          <w:rFonts w:ascii="Book Antiqua" w:hAnsi="Book Antiqua"/>
          <w:sz w:val="24"/>
          <w:szCs w:val="24"/>
        </w:rPr>
        <w:t xml:space="preserve">the </w:t>
      </w:r>
      <w:r w:rsidRPr="00082ABB">
        <w:rPr>
          <w:rFonts w:ascii="Book Antiqua" w:hAnsi="Book Antiqua"/>
          <w:sz w:val="24"/>
          <w:szCs w:val="24"/>
        </w:rPr>
        <w:t xml:space="preserve">cetuximab arm than in </w:t>
      </w:r>
      <w:r w:rsidR="005344F7" w:rsidRPr="00082ABB">
        <w:rPr>
          <w:rFonts w:ascii="Book Antiqua" w:hAnsi="Book Antiqua"/>
          <w:sz w:val="24"/>
          <w:szCs w:val="24"/>
        </w:rPr>
        <w:t xml:space="preserve">the </w:t>
      </w:r>
      <w:r w:rsidRPr="00082ABB">
        <w:rPr>
          <w:rFonts w:ascii="Book Antiqua" w:hAnsi="Book Antiqua"/>
          <w:sz w:val="24"/>
          <w:szCs w:val="24"/>
        </w:rPr>
        <w:t xml:space="preserve">bevacizumab arm (65.6% </w:t>
      </w:r>
      <w:r w:rsidRPr="00082ABB">
        <w:rPr>
          <w:rFonts w:ascii="Book Antiqua" w:hAnsi="Book Antiqua"/>
          <w:i/>
          <w:sz w:val="24"/>
          <w:szCs w:val="24"/>
        </w:rPr>
        <w:t>vs</w:t>
      </w:r>
      <w:r w:rsidRPr="00082ABB">
        <w:rPr>
          <w:rFonts w:ascii="Book Antiqua" w:hAnsi="Book Antiqua"/>
          <w:sz w:val="24"/>
          <w:szCs w:val="24"/>
        </w:rPr>
        <w:t xml:space="preserve"> 57.2%, </w:t>
      </w:r>
      <w:r w:rsidRPr="00082ABB">
        <w:rPr>
          <w:rFonts w:ascii="Book Antiqua" w:hAnsi="Book Antiqua"/>
          <w:i/>
          <w:sz w:val="24"/>
          <w:szCs w:val="24"/>
        </w:rPr>
        <w:t>P</w:t>
      </w:r>
      <w:r w:rsidR="007A48FA" w:rsidRPr="00082ABB">
        <w:rPr>
          <w:rFonts w:ascii="Book Antiqua" w:hAnsi="Book Antiqua"/>
          <w:i/>
          <w:sz w:val="24"/>
          <w:szCs w:val="24"/>
        </w:rPr>
        <w:t xml:space="preserve"> </w:t>
      </w:r>
      <w:r w:rsidRPr="00082ABB">
        <w:rPr>
          <w:rFonts w:ascii="Book Antiqua" w:hAnsi="Book Antiqua"/>
          <w:sz w:val="24"/>
          <w:szCs w:val="24"/>
        </w:rPr>
        <w:t>=</w:t>
      </w:r>
      <w:r w:rsidR="007A48FA" w:rsidRPr="00082ABB">
        <w:rPr>
          <w:rFonts w:ascii="Book Antiqua" w:hAnsi="Book Antiqua"/>
          <w:sz w:val="24"/>
          <w:szCs w:val="24"/>
        </w:rPr>
        <w:t xml:space="preserve"> </w:t>
      </w:r>
      <w:r w:rsidRPr="00082ABB">
        <w:rPr>
          <w:rFonts w:ascii="Book Antiqua" w:hAnsi="Book Antiqua"/>
          <w:sz w:val="24"/>
          <w:szCs w:val="24"/>
        </w:rPr>
        <w:t xml:space="preserve">0.02).  </w:t>
      </w:r>
    </w:p>
    <w:p w:rsidR="00BC5F12" w:rsidRPr="00082ABB" w:rsidRDefault="00BC5F12" w:rsidP="000D525E">
      <w:pPr>
        <w:snapToGrid w:val="0"/>
        <w:spacing w:line="360" w:lineRule="auto"/>
        <w:ind w:firstLineChars="100" w:firstLine="240"/>
        <w:rPr>
          <w:rFonts w:ascii="Book Antiqua" w:eastAsia="宋体" w:hAnsi="Book Antiqua"/>
          <w:sz w:val="24"/>
          <w:szCs w:val="24"/>
          <w:lang w:eastAsia="zh-CN"/>
        </w:rPr>
      </w:pPr>
      <w:r w:rsidRPr="00082ABB">
        <w:rPr>
          <w:rFonts w:ascii="Book Antiqua" w:hAnsi="Book Antiqua"/>
          <w:sz w:val="24"/>
          <w:szCs w:val="24"/>
        </w:rPr>
        <w:t xml:space="preserve">The efficacy of panitumumab combined with FOLFIRI </w:t>
      </w:r>
      <w:r w:rsidR="005344F7" w:rsidRPr="00082ABB">
        <w:rPr>
          <w:rFonts w:ascii="Book Antiqua" w:hAnsi="Book Antiqua"/>
          <w:sz w:val="24"/>
          <w:szCs w:val="24"/>
        </w:rPr>
        <w:t xml:space="preserve">in the </w:t>
      </w:r>
      <w:r w:rsidRPr="00082ABB">
        <w:rPr>
          <w:rFonts w:ascii="Book Antiqua" w:hAnsi="Book Antiqua"/>
          <w:sz w:val="24"/>
          <w:szCs w:val="24"/>
        </w:rPr>
        <w:t>second-line setting was evaluate</w:t>
      </w:r>
      <w:r w:rsidR="000D525E" w:rsidRPr="00082ABB">
        <w:rPr>
          <w:rFonts w:ascii="Book Antiqua" w:hAnsi="Book Antiqua"/>
          <w:sz w:val="24"/>
          <w:szCs w:val="24"/>
        </w:rPr>
        <w:t xml:space="preserve">d in the phase II SPIRITT </w:t>
      </w:r>
      <w:proofErr w:type="gramStart"/>
      <w:r w:rsidR="000D525E" w:rsidRPr="00082ABB">
        <w:rPr>
          <w:rFonts w:ascii="Book Antiqua" w:hAnsi="Book Antiqua"/>
          <w:sz w:val="24"/>
          <w:szCs w:val="24"/>
        </w:rPr>
        <w:t>study</w:t>
      </w:r>
      <w:r w:rsidR="0085610D"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85</w:t>
      </w:r>
      <w:r w:rsidRPr="00082ABB">
        <w:rPr>
          <w:rFonts w:ascii="Book Antiqua" w:hAnsi="Book Antiqua"/>
          <w:sz w:val="24"/>
          <w:szCs w:val="24"/>
          <w:vertAlign w:val="superscript"/>
        </w:rPr>
        <w:t>]</w:t>
      </w:r>
      <w:r w:rsidRPr="00082ABB">
        <w:rPr>
          <w:rFonts w:ascii="Book Antiqua" w:hAnsi="Book Antiqua"/>
          <w:sz w:val="24"/>
          <w:szCs w:val="24"/>
        </w:rPr>
        <w:t xml:space="preserve">. The SPIRITT study compared FOLFIRI in combination with panitumumab or bevacizumab for </w:t>
      </w:r>
      <w:r w:rsidRPr="00082ABB">
        <w:rPr>
          <w:rFonts w:ascii="Book Antiqua" w:hAnsi="Book Antiqua"/>
          <w:i/>
          <w:sz w:val="24"/>
          <w:szCs w:val="24"/>
        </w:rPr>
        <w:t>KRAS</w:t>
      </w:r>
      <w:r w:rsidRPr="00082ABB">
        <w:rPr>
          <w:rFonts w:ascii="Book Antiqua" w:hAnsi="Book Antiqua"/>
          <w:sz w:val="24"/>
          <w:szCs w:val="24"/>
        </w:rPr>
        <w:t xml:space="preserve"> wild type mCRC patients with progression on </w:t>
      </w:r>
      <w:r w:rsidR="005344F7" w:rsidRPr="00082ABB">
        <w:rPr>
          <w:rFonts w:ascii="Book Antiqua" w:hAnsi="Book Antiqua"/>
          <w:sz w:val="24"/>
          <w:szCs w:val="24"/>
        </w:rPr>
        <w:t xml:space="preserve">a </w:t>
      </w:r>
      <w:r w:rsidRPr="00082ABB">
        <w:rPr>
          <w:rFonts w:ascii="Book Antiqua" w:hAnsi="Book Antiqua"/>
          <w:sz w:val="24"/>
          <w:szCs w:val="24"/>
        </w:rPr>
        <w:t>bevacizumab</w:t>
      </w:r>
      <w:r w:rsidR="005344F7" w:rsidRPr="00082ABB">
        <w:rPr>
          <w:rFonts w:ascii="Book Antiqua" w:hAnsi="Book Antiqua"/>
          <w:sz w:val="24"/>
          <w:szCs w:val="24"/>
        </w:rPr>
        <w:t>-</w:t>
      </w:r>
      <w:r w:rsidRPr="00082ABB">
        <w:rPr>
          <w:rFonts w:ascii="Book Antiqua" w:hAnsi="Book Antiqua"/>
          <w:sz w:val="24"/>
          <w:szCs w:val="24"/>
        </w:rPr>
        <w:t xml:space="preserve">containing oxaliplatin-based regimen. A total of 182 patients were randomly assigned to FOLFIRI combined with panitumumab or bevacizumab. Median PFS and OS were similar between the FOLFIRI with panitumumab arm and the FOLFIRI with bevacizumab arm (PFS 7.7 </w:t>
      </w:r>
      <w:r w:rsidR="000D525E" w:rsidRPr="00082ABB">
        <w:rPr>
          <w:rFonts w:ascii="Book Antiqua" w:hAnsi="Book Antiqua"/>
          <w:sz w:val="24"/>
          <w:szCs w:val="24"/>
        </w:rPr>
        <w:t xml:space="preserve">mo </w:t>
      </w:r>
      <w:r w:rsidR="000D525E" w:rsidRPr="00082ABB">
        <w:rPr>
          <w:rFonts w:ascii="Book Antiqua" w:hAnsi="Book Antiqua"/>
          <w:i/>
          <w:sz w:val="24"/>
          <w:szCs w:val="24"/>
        </w:rPr>
        <w:t>vs</w:t>
      </w:r>
      <w:r w:rsidRPr="00082ABB">
        <w:rPr>
          <w:rFonts w:ascii="Book Antiqua" w:hAnsi="Book Antiqua"/>
          <w:sz w:val="24"/>
          <w:szCs w:val="24"/>
        </w:rPr>
        <w:t xml:space="preserve"> 9.4 mo,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1.01, </w:t>
      </w:r>
      <w:r w:rsidRPr="00082ABB">
        <w:rPr>
          <w:rFonts w:ascii="Book Antiqua" w:hAnsi="Book Antiqua"/>
          <w:i/>
          <w:sz w:val="24"/>
          <w:szCs w:val="24"/>
        </w:rPr>
        <w:t>P</w:t>
      </w:r>
      <w:r w:rsidR="007A48FA" w:rsidRPr="00082ABB">
        <w:rPr>
          <w:rFonts w:ascii="Book Antiqua" w:hAnsi="Book Antiqua"/>
          <w:i/>
          <w:sz w:val="24"/>
          <w:szCs w:val="24"/>
        </w:rPr>
        <w:t xml:space="preserve"> </w:t>
      </w:r>
      <w:r w:rsidRPr="00082ABB">
        <w:rPr>
          <w:rFonts w:ascii="Book Antiqua" w:hAnsi="Book Antiqua"/>
          <w:sz w:val="24"/>
          <w:szCs w:val="24"/>
        </w:rPr>
        <w:t>=</w:t>
      </w:r>
      <w:r w:rsidR="007A48FA" w:rsidRPr="00082ABB">
        <w:rPr>
          <w:rFonts w:ascii="Book Antiqua" w:hAnsi="Book Antiqua"/>
          <w:sz w:val="24"/>
          <w:szCs w:val="24"/>
        </w:rPr>
        <w:t xml:space="preserve"> </w:t>
      </w:r>
      <w:r w:rsidRPr="00082ABB">
        <w:rPr>
          <w:rFonts w:ascii="Book Antiqua" w:hAnsi="Book Antiqua"/>
          <w:sz w:val="24"/>
          <w:szCs w:val="24"/>
        </w:rPr>
        <w:t xml:space="preserve">0.97; OS 18.0 </w:t>
      </w:r>
      <w:r w:rsidR="000D525E" w:rsidRPr="00082ABB">
        <w:rPr>
          <w:rFonts w:ascii="Book Antiqua" w:hAnsi="Book Antiqua"/>
          <w:sz w:val="24"/>
          <w:szCs w:val="24"/>
        </w:rPr>
        <w:t xml:space="preserve">mo </w:t>
      </w:r>
      <w:r w:rsidR="000D525E" w:rsidRPr="00082ABB">
        <w:rPr>
          <w:rFonts w:ascii="Book Antiqua" w:hAnsi="Book Antiqua"/>
          <w:i/>
          <w:sz w:val="24"/>
          <w:szCs w:val="24"/>
        </w:rPr>
        <w:t>vs</w:t>
      </w:r>
      <w:r w:rsidRPr="00082ABB">
        <w:rPr>
          <w:rFonts w:ascii="Book Antiqua" w:hAnsi="Book Antiqua"/>
          <w:sz w:val="24"/>
          <w:szCs w:val="24"/>
        </w:rPr>
        <w:t xml:space="preserve"> 21.4 mo; HR 1.06, </w:t>
      </w:r>
      <w:r w:rsidRPr="00082ABB">
        <w:rPr>
          <w:rFonts w:ascii="Book Antiqua" w:hAnsi="Book Antiqua"/>
          <w:i/>
          <w:sz w:val="24"/>
          <w:szCs w:val="24"/>
        </w:rPr>
        <w:t>P</w:t>
      </w:r>
      <w:r w:rsidR="007A48FA" w:rsidRPr="00082ABB">
        <w:rPr>
          <w:rFonts w:ascii="Book Antiqua" w:hAnsi="Book Antiqua"/>
          <w:i/>
          <w:sz w:val="24"/>
          <w:szCs w:val="24"/>
        </w:rPr>
        <w:t xml:space="preserve"> </w:t>
      </w:r>
      <w:r w:rsidRPr="00082ABB">
        <w:rPr>
          <w:rFonts w:ascii="Book Antiqua" w:hAnsi="Book Antiqua"/>
          <w:sz w:val="24"/>
          <w:szCs w:val="24"/>
        </w:rPr>
        <w:t>=</w:t>
      </w:r>
      <w:r w:rsidR="007A48FA" w:rsidRPr="00082ABB">
        <w:rPr>
          <w:rFonts w:ascii="Book Antiqua" w:hAnsi="Book Antiqua"/>
          <w:sz w:val="24"/>
          <w:szCs w:val="24"/>
        </w:rPr>
        <w:t xml:space="preserve"> </w:t>
      </w:r>
      <w:r w:rsidRPr="00082ABB">
        <w:rPr>
          <w:rFonts w:ascii="Book Antiqua" w:hAnsi="Book Antiqua"/>
          <w:sz w:val="24"/>
          <w:szCs w:val="24"/>
        </w:rPr>
        <w:t xml:space="preserve">0.75). The RR was 32% in </w:t>
      </w:r>
      <w:r w:rsidR="004D2A1A" w:rsidRPr="00082ABB">
        <w:rPr>
          <w:rFonts w:ascii="Book Antiqua" w:hAnsi="Book Antiqua"/>
          <w:sz w:val="24"/>
          <w:szCs w:val="24"/>
        </w:rPr>
        <w:t xml:space="preserve">the </w:t>
      </w:r>
      <w:r w:rsidRPr="00082ABB">
        <w:rPr>
          <w:rFonts w:ascii="Book Antiqua" w:hAnsi="Book Antiqua"/>
          <w:sz w:val="24"/>
          <w:szCs w:val="24"/>
        </w:rPr>
        <w:t xml:space="preserve">panitumumab arm and 19% in </w:t>
      </w:r>
      <w:r w:rsidR="004D2A1A" w:rsidRPr="00082ABB">
        <w:rPr>
          <w:rFonts w:ascii="Book Antiqua" w:hAnsi="Book Antiqua"/>
          <w:sz w:val="24"/>
          <w:szCs w:val="24"/>
        </w:rPr>
        <w:t xml:space="preserve">the </w:t>
      </w:r>
      <w:r w:rsidRPr="00082ABB">
        <w:rPr>
          <w:rFonts w:ascii="Book Antiqua" w:hAnsi="Book Antiqua"/>
          <w:sz w:val="24"/>
          <w:szCs w:val="24"/>
        </w:rPr>
        <w:t xml:space="preserve">bevacizumab </w:t>
      </w:r>
      <w:r w:rsidR="000D525E" w:rsidRPr="00082ABB">
        <w:rPr>
          <w:rFonts w:ascii="Book Antiqua" w:hAnsi="Book Antiqua"/>
          <w:sz w:val="24"/>
          <w:szCs w:val="24"/>
        </w:rPr>
        <w:t>arm.</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b/>
          <w:i/>
          <w:sz w:val="24"/>
          <w:szCs w:val="24"/>
        </w:rPr>
        <w:t>Treatment outcome of anti-EGFR the</w:t>
      </w:r>
      <w:r w:rsidR="007A48FA" w:rsidRPr="00082ABB">
        <w:rPr>
          <w:rFonts w:ascii="Book Antiqua" w:hAnsi="Book Antiqua"/>
          <w:b/>
          <w:i/>
          <w:sz w:val="24"/>
          <w:szCs w:val="24"/>
        </w:rPr>
        <w:t xml:space="preserve">rapy for patients with RAS wild </w:t>
      </w:r>
      <w:r w:rsidRPr="00082ABB">
        <w:rPr>
          <w:rFonts w:ascii="Book Antiqua" w:hAnsi="Book Antiqua"/>
          <w:b/>
          <w:i/>
          <w:sz w:val="24"/>
          <w:szCs w:val="24"/>
        </w:rPr>
        <w:t>type mCRC</w:t>
      </w:r>
    </w:p>
    <w:p w:rsidR="00BC5F12" w:rsidRPr="00082ABB" w:rsidRDefault="00BC5F12" w:rsidP="007061C9">
      <w:pPr>
        <w:snapToGrid w:val="0"/>
        <w:spacing w:line="360" w:lineRule="auto"/>
        <w:rPr>
          <w:rFonts w:ascii="Book Antiqua" w:eastAsia="宋体" w:hAnsi="Book Antiqua"/>
          <w:sz w:val="24"/>
          <w:szCs w:val="24"/>
          <w:lang w:eastAsia="zh-CN"/>
        </w:rPr>
      </w:pPr>
      <w:r w:rsidRPr="00082ABB">
        <w:rPr>
          <w:rFonts w:ascii="Book Antiqua" w:hAnsi="Book Antiqua"/>
          <w:sz w:val="24"/>
          <w:szCs w:val="24"/>
        </w:rPr>
        <w:t xml:space="preserve">An activating mutation of </w:t>
      </w:r>
      <w:r w:rsidRPr="00082ABB">
        <w:rPr>
          <w:rFonts w:ascii="Book Antiqua" w:hAnsi="Book Antiqua"/>
          <w:i/>
          <w:sz w:val="24"/>
          <w:szCs w:val="24"/>
        </w:rPr>
        <w:t>KRAS</w:t>
      </w:r>
      <w:r w:rsidRPr="00082ABB">
        <w:rPr>
          <w:rFonts w:ascii="Book Antiqua" w:hAnsi="Book Antiqua"/>
          <w:sz w:val="24"/>
          <w:szCs w:val="24"/>
        </w:rPr>
        <w:t xml:space="preserve"> exon 2 has been </w:t>
      </w:r>
      <w:r w:rsidR="004D2A1A" w:rsidRPr="00082ABB">
        <w:rPr>
          <w:rFonts w:ascii="Book Antiqua" w:hAnsi="Book Antiqua"/>
          <w:sz w:val="24"/>
          <w:szCs w:val="24"/>
        </w:rPr>
        <w:t xml:space="preserve">found to be </w:t>
      </w:r>
      <w:r w:rsidRPr="00082ABB">
        <w:rPr>
          <w:rFonts w:ascii="Book Antiqua" w:hAnsi="Book Antiqua"/>
          <w:sz w:val="24"/>
          <w:szCs w:val="24"/>
        </w:rPr>
        <w:t>a negative predictive marker in mCRC</w:t>
      </w:r>
      <w:r w:rsidR="004D2A1A" w:rsidRPr="00082ABB">
        <w:rPr>
          <w:rFonts w:ascii="Book Antiqua" w:hAnsi="Book Antiqua"/>
          <w:sz w:val="24"/>
          <w:szCs w:val="24"/>
        </w:rPr>
        <w:t>,</w:t>
      </w:r>
      <w:r w:rsidRPr="00082ABB">
        <w:rPr>
          <w:rFonts w:ascii="Book Antiqua" w:hAnsi="Book Antiqua"/>
          <w:sz w:val="24"/>
          <w:szCs w:val="24"/>
        </w:rPr>
        <w:t xml:space="preserve"> as described above. </w:t>
      </w:r>
      <w:r w:rsidRPr="00082ABB">
        <w:rPr>
          <w:rFonts w:ascii="Book Antiqua" w:hAnsi="Book Antiqua"/>
          <w:i/>
          <w:sz w:val="24"/>
          <w:szCs w:val="24"/>
        </w:rPr>
        <w:t>KRAS</w:t>
      </w:r>
      <w:r w:rsidRPr="00082ABB">
        <w:rPr>
          <w:rFonts w:ascii="Book Antiqua" w:hAnsi="Book Antiqua"/>
          <w:sz w:val="24"/>
          <w:szCs w:val="24"/>
        </w:rPr>
        <w:t xml:space="preserve"> status was used for </w:t>
      </w:r>
      <w:r w:rsidRPr="00082ABB">
        <w:rPr>
          <w:rFonts w:ascii="Book Antiqua" w:hAnsi="Book Antiqua"/>
          <w:sz w:val="24"/>
          <w:szCs w:val="24"/>
        </w:rPr>
        <w:lastRenderedPageBreak/>
        <w:t xml:space="preserve">patient selection </w:t>
      </w:r>
      <w:r w:rsidR="004D2A1A" w:rsidRPr="00082ABB">
        <w:rPr>
          <w:rFonts w:ascii="Book Antiqua" w:hAnsi="Book Antiqua"/>
          <w:sz w:val="24"/>
          <w:szCs w:val="24"/>
        </w:rPr>
        <w:t>for</w:t>
      </w:r>
      <w:r w:rsidRPr="00082ABB">
        <w:rPr>
          <w:rFonts w:ascii="Book Antiqua" w:hAnsi="Book Antiqua"/>
          <w:sz w:val="24"/>
          <w:szCs w:val="24"/>
        </w:rPr>
        <w:t xml:space="preserve"> anti-EGFR treatment. </w:t>
      </w:r>
      <w:r w:rsidRPr="00082ABB">
        <w:rPr>
          <w:rFonts w:ascii="Book Antiqua" w:hAnsi="Book Antiqua"/>
          <w:i/>
          <w:sz w:val="24"/>
          <w:szCs w:val="24"/>
        </w:rPr>
        <w:t>NRAS</w:t>
      </w:r>
      <w:r w:rsidRPr="00082ABB">
        <w:rPr>
          <w:rFonts w:ascii="Book Antiqua" w:hAnsi="Book Antiqua"/>
          <w:sz w:val="24"/>
          <w:szCs w:val="24"/>
        </w:rPr>
        <w:t xml:space="preserve"> is one of the </w:t>
      </w:r>
      <w:r w:rsidRPr="00082ABB">
        <w:rPr>
          <w:rFonts w:ascii="Book Antiqua" w:hAnsi="Book Antiqua"/>
          <w:i/>
          <w:sz w:val="24"/>
          <w:szCs w:val="24"/>
        </w:rPr>
        <w:t>RAS</w:t>
      </w:r>
      <w:r w:rsidRPr="00082ABB">
        <w:rPr>
          <w:rFonts w:ascii="Book Antiqua" w:hAnsi="Book Antiqua"/>
          <w:sz w:val="24"/>
          <w:szCs w:val="24"/>
        </w:rPr>
        <w:t xml:space="preserve"> oncogene family members</w:t>
      </w:r>
      <w:r w:rsidR="004D2A1A" w:rsidRPr="00082ABB">
        <w:rPr>
          <w:rFonts w:ascii="Book Antiqua" w:hAnsi="Book Antiqua"/>
          <w:sz w:val="24"/>
          <w:szCs w:val="24"/>
        </w:rPr>
        <w:t>,</w:t>
      </w:r>
      <w:r w:rsidRPr="00082ABB">
        <w:rPr>
          <w:rFonts w:ascii="Book Antiqua" w:hAnsi="Book Antiqua"/>
          <w:sz w:val="24"/>
          <w:szCs w:val="24"/>
        </w:rPr>
        <w:t xml:space="preserve"> and somatic mutations like </w:t>
      </w:r>
      <w:r w:rsidRPr="00082ABB">
        <w:rPr>
          <w:rFonts w:ascii="Book Antiqua" w:hAnsi="Book Antiqua"/>
          <w:i/>
          <w:sz w:val="24"/>
          <w:szCs w:val="24"/>
        </w:rPr>
        <w:t>KRAS</w:t>
      </w:r>
      <w:r w:rsidRPr="00082ABB">
        <w:rPr>
          <w:rFonts w:ascii="Book Antiqua" w:hAnsi="Book Antiqua"/>
          <w:sz w:val="24"/>
          <w:szCs w:val="24"/>
        </w:rPr>
        <w:t xml:space="preserve"> gene have been detected within the </w:t>
      </w:r>
      <w:r w:rsidRPr="00082ABB">
        <w:rPr>
          <w:rFonts w:ascii="Book Antiqua" w:hAnsi="Book Antiqua"/>
          <w:i/>
          <w:sz w:val="24"/>
          <w:szCs w:val="24"/>
        </w:rPr>
        <w:t>NRAS</w:t>
      </w:r>
      <w:r w:rsidRPr="00082ABB">
        <w:rPr>
          <w:rFonts w:ascii="Book Antiqua" w:hAnsi="Book Antiqua"/>
          <w:sz w:val="24"/>
          <w:szCs w:val="24"/>
        </w:rPr>
        <w:t xml:space="preserve"> gene. A retrospective analysis of the PRIME study showed that 17% of patients with </w:t>
      </w:r>
      <w:r w:rsidRPr="00082ABB">
        <w:rPr>
          <w:rFonts w:ascii="Book Antiqua" w:hAnsi="Book Antiqua"/>
          <w:i/>
          <w:sz w:val="24"/>
          <w:szCs w:val="24"/>
        </w:rPr>
        <w:t>KRAS</w:t>
      </w:r>
      <w:r w:rsidRPr="00082ABB">
        <w:rPr>
          <w:rFonts w:ascii="Book Antiqua" w:hAnsi="Book Antiqua"/>
          <w:sz w:val="24"/>
          <w:szCs w:val="24"/>
        </w:rPr>
        <w:t xml:space="preserve"> exon </w:t>
      </w:r>
      <w:proofErr w:type="gramStart"/>
      <w:r w:rsidRPr="00082ABB">
        <w:rPr>
          <w:rFonts w:ascii="Book Antiqua" w:hAnsi="Book Antiqua"/>
          <w:sz w:val="24"/>
          <w:szCs w:val="24"/>
        </w:rPr>
        <w:t>2</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wild type</w:t>
      </w:r>
      <w:proofErr w:type="gramEnd"/>
      <w:r w:rsidRPr="00082ABB">
        <w:rPr>
          <w:rFonts w:ascii="Book Antiqua" w:hAnsi="Book Antiqua"/>
          <w:sz w:val="24"/>
          <w:szCs w:val="24"/>
        </w:rPr>
        <w:t xml:space="preserve"> had mutations in </w:t>
      </w:r>
      <w:r w:rsidRPr="00082ABB">
        <w:rPr>
          <w:rFonts w:ascii="Book Antiqua" w:hAnsi="Book Antiqua"/>
          <w:i/>
          <w:sz w:val="24"/>
          <w:szCs w:val="24"/>
        </w:rPr>
        <w:t>RAS</w:t>
      </w:r>
      <w:r w:rsidRPr="00082ABB">
        <w:rPr>
          <w:rFonts w:ascii="Book Antiqua" w:hAnsi="Book Antiqua"/>
          <w:sz w:val="24"/>
          <w:szCs w:val="24"/>
        </w:rPr>
        <w:t xml:space="preserve"> exons (</w:t>
      </w:r>
      <w:r w:rsidRPr="00082ABB">
        <w:rPr>
          <w:rFonts w:ascii="Book Antiqua" w:hAnsi="Book Antiqua"/>
          <w:i/>
          <w:sz w:val="24"/>
          <w:szCs w:val="24"/>
        </w:rPr>
        <w:t>KRAS</w:t>
      </w:r>
      <w:r w:rsidRPr="00082ABB">
        <w:rPr>
          <w:rFonts w:ascii="Book Antiqua" w:hAnsi="Book Antiqua"/>
          <w:sz w:val="24"/>
          <w:szCs w:val="24"/>
        </w:rPr>
        <w:t xml:space="preserve"> exon 3, 4 and </w:t>
      </w:r>
      <w:r w:rsidRPr="00082ABB">
        <w:rPr>
          <w:rFonts w:ascii="Book Antiqua" w:hAnsi="Book Antiqua"/>
          <w:i/>
          <w:sz w:val="24"/>
          <w:szCs w:val="24"/>
        </w:rPr>
        <w:t>NRAS</w:t>
      </w:r>
      <w:r w:rsidRPr="00082ABB">
        <w:rPr>
          <w:rFonts w:ascii="Book Antiqua" w:hAnsi="Book Antiqua"/>
          <w:sz w:val="24"/>
          <w:szCs w:val="24"/>
        </w:rPr>
        <w:t xml:space="preserve"> exon 2, 3). An activating mutation of </w:t>
      </w:r>
      <w:r w:rsidRPr="00082ABB">
        <w:rPr>
          <w:rFonts w:ascii="Book Antiqua" w:hAnsi="Book Antiqua"/>
          <w:i/>
          <w:sz w:val="24"/>
          <w:szCs w:val="24"/>
        </w:rPr>
        <w:t>NRAS</w:t>
      </w:r>
      <w:r w:rsidRPr="00082ABB">
        <w:rPr>
          <w:rFonts w:ascii="Book Antiqua" w:hAnsi="Book Antiqua"/>
          <w:sz w:val="24"/>
          <w:szCs w:val="24"/>
        </w:rPr>
        <w:t xml:space="preserve"> exon</w:t>
      </w:r>
      <w:r w:rsidR="00CC7AA2" w:rsidRPr="00082ABB">
        <w:rPr>
          <w:rFonts w:ascii="Book Antiqua" w:hAnsi="Book Antiqua"/>
          <w:sz w:val="24"/>
          <w:szCs w:val="24"/>
        </w:rPr>
        <w:t xml:space="preserve"> </w:t>
      </w:r>
      <w:r w:rsidRPr="00082ABB">
        <w:rPr>
          <w:rFonts w:ascii="Book Antiqua" w:hAnsi="Book Antiqua"/>
          <w:sz w:val="24"/>
          <w:szCs w:val="24"/>
        </w:rPr>
        <w:t>4 wa</w:t>
      </w:r>
      <w:r w:rsidR="000D525E" w:rsidRPr="00082ABB">
        <w:rPr>
          <w:rFonts w:ascii="Book Antiqua" w:hAnsi="Book Antiqua"/>
          <w:sz w:val="24"/>
          <w:szCs w:val="24"/>
        </w:rPr>
        <w:t xml:space="preserve">s not detected in this </w:t>
      </w:r>
      <w:proofErr w:type="gramStart"/>
      <w:r w:rsidR="000D525E" w:rsidRPr="00082ABB">
        <w:rPr>
          <w:rFonts w:ascii="Book Antiqua" w:hAnsi="Book Antiqua"/>
          <w:sz w:val="24"/>
          <w:szCs w:val="24"/>
        </w:rPr>
        <w:t>analysis</w:t>
      </w:r>
      <w:r w:rsidRPr="00082ABB">
        <w:rPr>
          <w:rFonts w:ascii="Book Antiqua" w:hAnsi="Book Antiqua"/>
          <w:sz w:val="24"/>
          <w:szCs w:val="24"/>
          <w:vertAlign w:val="superscript"/>
        </w:rPr>
        <w:t>[</w:t>
      </w:r>
      <w:proofErr w:type="gramEnd"/>
      <w:r w:rsidRPr="00082ABB">
        <w:rPr>
          <w:rFonts w:ascii="Book Antiqua" w:hAnsi="Book Antiqua"/>
          <w:sz w:val="24"/>
          <w:szCs w:val="24"/>
          <w:vertAlign w:val="superscript"/>
        </w:rPr>
        <w:t>19]</w:t>
      </w:r>
      <w:r w:rsidRPr="00082ABB">
        <w:rPr>
          <w:rFonts w:ascii="Book Antiqua" w:hAnsi="Book Antiqua"/>
          <w:sz w:val="24"/>
          <w:szCs w:val="24"/>
        </w:rPr>
        <w:t>. Patients with all-</w:t>
      </w:r>
      <w:r w:rsidRPr="00082ABB">
        <w:rPr>
          <w:rFonts w:ascii="Book Antiqua" w:hAnsi="Book Antiqua"/>
          <w:i/>
          <w:sz w:val="24"/>
          <w:szCs w:val="24"/>
        </w:rPr>
        <w:t>RAS</w:t>
      </w:r>
      <w:r w:rsidRPr="00082ABB">
        <w:rPr>
          <w:rFonts w:ascii="Book Antiqua" w:hAnsi="Book Antiqua"/>
          <w:sz w:val="24"/>
          <w:szCs w:val="24"/>
        </w:rPr>
        <w:t xml:space="preserve"> wild </w:t>
      </w:r>
      <w:r w:rsidR="004D2A1A" w:rsidRPr="00082ABB">
        <w:rPr>
          <w:rFonts w:ascii="Book Antiqua" w:hAnsi="Book Antiqua"/>
          <w:sz w:val="24"/>
          <w:szCs w:val="24"/>
        </w:rPr>
        <w:t xml:space="preserve">type </w:t>
      </w:r>
      <w:r w:rsidRPr="00082ABB">
        <w:rPr>
          <w:rFonts w:ascii="Book Antiqua" w:hAnsi="Book Antiqua"/>
          <w:sz w:val="24"/>
          <w:szCs w:val="24"/>
        </w:rPr>
        <w:t xml:space="preserve">who received panitumumab plus FOLFOX had a prolonged OS compared with those with </w:t>
      </w:r>
      <w:r w:rsidRPr="00082ABB">
        <w:rPr>
          <w:rFonts w:ascii="Book Antiqua" w:hAnsi="Book Antiqua"/>
          <w:i/>
          <w:sz w:val="24"/>
          <w:szCs w:val="24"/>
        </w:rPr>
        <w:t>KRAS</w:t>
      </w:r>
      <w:r w:rsidRPr="00082ABB">
        <w:rPr>
          <w:rFonts w:ascii="Book Antiqua" w:hAnsi="Book Antiqua"/>
          <w:sz w:val="24"/>
          <w:szCs w:val="24"/>
        </w:rPr>
        <w:t xml:space="preserve"> exon </w:t>
      </w:r>
      <w:proofErr w:type="gramStart"/>
      <w:r w:rsidRPr="00082ABB">
        <w:rPr>
          <w:rFonts w:ascii="Book Antiqua" w:hAnsi="Book Antiqua"/>
          <w:sz w:val="24"/>
          <w:szCs w:val="24"/>
        </w:rPr>
        <w:t>2 wild type</w:t>
      </w:r>
      <w:proofErr w:type="gramEnd"/>
      <w:r w:rsidRPr="00082ABB">
        <w:rPr>
          <w:rFonts w:ascii="Book Antiqua" w:hAnsi="Book Antiqua"/>
          <w:sz w:val="24"/>
          <w:szCs w:val="24"/>
        </w:rPr>
        <w:t xml:space="preserve"> (25.8 moin </w:t>
      </w:r>
      <w:r w:rsidRPr="00082ABB">
        <w:rPr>
          <w:rFonts w:ascii="Book Antiqua" w:hAnsi="Book Antiqua"/>
          <w:i/>
          <w:sz w:val="24"/>
          <w:szCs w:val="24"/>
        </w:rPr>
        <w:t>RAS</w:t>
      </w:r>
      <w:r w:rsidRPr="00082ABB">
        <w:rPr>
          <w:rFonts w:ascii="Book Antiqua" w:hAnsi="Book Antiqua"/>
          <w:sz w:val="24"/>
          <w:szCs w:val="24"/>
        </w:rPr>
        <w:t xml:space="preserve"> wild type and 23.9 mo in </w:t>
      </w:r>
      <w:r w:rsidRPr="00082ABB">
        <w:rPr>
          <w:rFonts w:ascii="Book Antiqua" w:hAnsi="Book Antiqua"/>
          <w:i/>
          <w:sz w:val="24"/>
          <w:szCs w:val="24"/>
        </w:rPr>
        <w:t>KRAS</w:t>
      </w:r>
      <w:r w:rsidRPr="00082ABB">
        <w:rPr>
          <w:rFonts w:ascii="Book Antiqua" w:hAnsi="Book Antiqua"/>
          <w:sz w:val="24"/>
          <w:szCs w:val="24"/>
        </w:rPr>
        <w:t xml:space="preserve"> wild type). </w:t>
      </w:r>
      <w:r w:rsidR="004D2A1A" w:rsidRPr="00082ABB">
        <w:rPr>
          <w:rFonts w:ascii="Book Antiqua" w:hAnsi="Book Antiqua"/>
          <w:sz w:val="24"/>
          <w:szCs w:val="24"/>
        </w:rPr>
        <w:t>A s</w:t>
      </w:r>
      <w:r w:rsidRPr="00082ABB">
        <w:rPr>
          <w:rFonts w:ascii="Book Antiqua" w:hAnsi="Book Antiqua"/>
          <w:sz w:val="24"/>
          <w:szCs w:val="24"/>
        </w:rPr>
        <w:t>imilar outcome was de</w:t>
      </w:r>
      <w:r w:rsidR="000D525E" w:rsidRPr="00082ABB">
        <w:rPr>
          <w:rFonts w:ascii="Book Antiqua" w:hAnsi="Book Antiqua"/>
          <w:sz w:val="24"/>
          <w:szCs w:val="24"/>
        </w:rPr>
        <w:t xml:space="preserve">monstrated in the CRYSTAL </w:t>
      </w:r>
      <w:proofErr w:type="gramStart"/>
      <w:r w:rsidR="000D525E" w:rsidRPr="00082ABB">
        <w:rPr>
          <w:rFonts w:ascii="Book Antiqua" w:hAnsi="Book Antiqua"/>
          <w:sz w:val="24"/>
          <w:szCs w:val="24"/>
        </w:rPr>
        <w:t>study</w:t>
      </w:r>
      <w:r w:rsidR="00E976A9"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86</w:t>
      </w:r>
      <w:r w:rsidRPr="00082ABB">
        <w:rPr>
          <w:rFonts w:ascii="Book Antiqua" w:hAnsi="Book Antiqua"/>
          <w:sz w:val="24"/>
          <w:szCs w:val="24"/>
          <w:vertAlign w:val="superscript"/>
        </w:rPr>
        <w:t>]</w:t>
      </w:r>
      <w:r w:rsidRPr="00082ABB">
        <w:rPr>
          <w:rFonts w:ascii="Book Antiqua" w:hAnsi="Book Antiqua"/>
          <w:sz w:val="24"/>
          <w:szCs w:val="24"/>
        </w:rPr>
        <w:t xml:space="preserve">. From these results, the negative predictive factors were any mutations in either </w:t>
      </w:r>
      <w:r w:rsidRPr="00082ABB">
        <w:rPr>
          <w:rFonts w:ascii="Book Antiqua" w:hAnsi="Book Antiqua"/>
          <w:i/>
          <w:sz w:val="24"/>
          <w:szCs w:val="24"/>
        </w:rPr>
        <w:t>KRAS</w:t>
      </w:r>
      <w:r w:rsidRPr="00082ABB">
        <w:rPr>
          <w:rFonts w:ascii="Book Antiqua" w:hAnsi="Book Antiqua"/>
          <w:sz w:val="24"/>
          <w:szCs w:val="24"/>
        </w:rPr>
        <w:t xml:space="preserve"> or </w:t>
      </w:r>
      <w:r w:rsidRPr="00082ABB">
        <w:rPr>
          <w:rFonts w:ascii="Book Antiqua" w:hAnsi="Book Antiqua"/>
          <w:i/>
          <w:sz w:val="24"/>
          <w:szCs w:val="24"/>
        </w:rPr>
        <w:t>NRAS</w:t>
      </w:r>
      <w:r w:rsidRPr="00082ABB">
        <w:rPr>
          <w:rFonts w:ascii="Book Antiqua" w:hAnsi="Book Antiqua"/>
          <w:sz w:val="24"/>
          <w:szCs w:val="24"/>
        </w:rPr>
        <w:t xml:space="preserve"> codon</w:t>
      </w:r>
      <w:r w:rsidR="00CC7AA2" w:rsidRPr="00082ABB">
        <w:rPr>
          <w:rFonts w:ascii="Book Antiqua" w:hAnsi="Book Antiqua"/>
          <w:sz w:val="24"/>
          <w:szCs w:val="24"/>
        </w:rPr>
        <w:t xml:space="preserve">s </w:t>
      </w:r>
      <w:r w:rsidRPr="00082ABB">
        <w:rPr>
          <w:rFonts w:ascii="Book Antiqua" w:hAnsi="Book Antiqua"/>
          <w:sz w:val="24"/>
          <w:szCs w:val="24"/>
        </w:rPr>
        <w:t>12, 13, 59, 61, 117, and 146 hotspots. Now, all-</w:t>
      </w:r>
      <w:r w:rsidRPr="00082ABB">
        <w:rPr>
          <w:rFonts w:ascii="Book Antiqua" w:hAnsi="Book Antiqua"/>
          <w:i/>
          <w:sz w:val="24"/>
          <w:szCs w:val="24"/>
        </w:rPr>
        <w:t>RAS</w:t>
      </w:r>
      <w:r w:rsidRPr="00082ABB">
        <w:rPr>
          <w:rFonts w:ascii="Book Antiqua" w:hAnsi="Book Antiqua"/>
          <w:sz w:val="24"/>
          <w:szCs w:val="24"/>
        </w:rPr>
        <w:t xml:space="preserve"> wild type patients can be defined as those without </w:t>
      </w:r>
      <w:r w:rsidR="004D2A1A" w:rsidRPr="00082ABB">
        <w:rPr>
          <w:rFonts w:ascii="Book Antiqua" w:hAnsi="Book Antiqua"/>
          <w:sz w:val="24"/>
          <w:szCs w:val="24"/>
        </w:rPr>
        <w:t xml:space="preserve">the </w:t>
      </w:r>
      <w:r w:rsidR="000D525E" w:rsidRPr="00082ABB">
        <w:rPr>
          <w:rFonts w:ascii="Book Antiqua" w:hAnsi="Book Antiqua"/>
          <w:sz w:val="24"/>
          <w:szCs w:val="24"/>
        </w:rPr>
        <w:t>above mutations.</w:t>
      </w:r>
    </w:p>
    <w:p w:rsidR="00BC5F12" w:rsidRPr="00082ABB" w:rsidRDefault="00BC5F12" w:rsidP="000D525E">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All-</w:t>
      </w:r>
      <w:r w:rsidRPr="00082ABB">
        <w:rPr>
          <w:rFonts w:ascii="Book Antiqua" w:hAnsi="Book Antiqua"/>
          <w:i/>
          <w:sz w:val="24"/>
          <w:szCs w:val="24"/>
        </w:rPr>
        <w:t>RAS</w:t>
      </w:r>
      <w:r w:rsidRPr="00082ABB">
        <w:rPr>
          <w:rFonts w:ascii="Book Antiqua" w:hAnsi="Book Antiqua"/>
          <w:sz w:val="24"/>
          <w:szCs w:val="24"/>
        </w:rPr>
        <w:t xml:space="preserve"> subset analyses were performed in three randomized clinical trials </w:t>
      </w:r>
      <w:r w:rsidR="004D2A1A" w:rsidRPr="00082ABB">
        <w:rPr>
          <w:rFonts w:ascii="Book Antiqua" w:hAnsi="Book Antiqua"/>
          <w:sz w:val="24"/>
          <w:szCs w:val="24"/>
        </w:rPr>
        <w:t xml:space="preserve">that </w:t>
      </w:r>
      <w:r w:rsidRPr="00082ABB">
        <w:rPr>
          <w:rFonts w:ascii="Book Antiqua" w:hAnsi="Book Antiqua"/>
          <w:sz w:val="24"/>
          <w:szCs w:val="24"/>
        </w:rPr>
        <w:t>compared anti-EGFR agent</w:t>
      </w:r>
      <w:r w:rsidR="004D2A1A" w:rsidRPr="00082ABB">
        <w:rPr>
          <w:rFonts w:ascii="Book Antiqua" w:hAnsi="Book Antiqua"/>
          <w:sz w:val="24"/>
          <w:szCs w:val="24"/>
        </w:rPr>
        <w:t>-</w:t>
      </w:r>
      <w:r w:rsidRPr="00082ABB">
        <w:rPr>
          <w:rFonts w:ascii="Book Antiqua" w:hAnsi="Book Antiqua"/>
          <w:sz w:val="24"/>
          <w:szCs w:val="24"/>
        </w:rPr>
        <w:t>containing chemotherapy with bevacizumab</w:t>
      </w:r>
      <w:r w:rsidR="004D2A1A" w:rsidRPr="00082ABB">
        <w:rPr>
          <w:rFonts w:ascii="Book Antiqua" w:hAnsi="Book Antiqua"/>
          <w:sz w:val="24"/>
          <w:szCs w:val="24"/>
        </w:rPr>
        <w:t>-</w:t>
      </w:r>
      <w:r w:rsidRPr="00082ABB">
        <w:rPr>
          <w:rFonts w:ascii="Book Antiqua" w:hAnsi="Book Antiqua"/>
          <w:sz w:val="24"/>
          <w:szCs w:val="24"/>
        </w:rPr>
        <w:t>containing chemotherapy</w:t>
      </w:r>
      <w:r w:rsidR="004D2A1A" w:rsidRPr="00082ABB">
        <w:rPr>
          <w:rFonts w:ascii="Book Antiqua" w:hAnsi="Book Antiqua"/>
          <w:sz w:val="24"/>
          <w:szCs w:val="24"/>
        </w:rPr>
        <w:t>:</w:t>
      </w:r>
      <w:r w:rsidRPr="00082ABB">
        <w:rPr>
          <w:rFonts w:ascii="Book Antiqua" w:hAnsi="Book Antiqua"/>
          <w:sz w:val="24"/>
          <w:szCs w:val="24"/>
        </w:rPr>
        <w:t xml:space="preserve"> PEAK, FIRE-3, and CALGB/SWOG 80405. In PEAK and FIRE-3, </w:t>
      </w:r>
      <w:r w:rsidR="004D2A1A" w:rsidRPr="00082ABB">
        <w:rPr>
          <w:rFonts w:ascii="Book Antiqua" w:hAnsi="Book Antiqua"/>
          <w:sz w:val="24"/>
          <w:szCs w:val="24"/>
        </w:rPr>
        <w:t xml:space="preserve">a </w:t>
      </w:r>
      <w:r w:rsidRPr="00082ABB">
        <w:rPr>
          <w:rFonts w:ascii="Book Antiqua" w:hAnsi="Book Antiqua"/>
          <w:sz w:val="24"/>
          <w:szCs w:val="24"/>
        </w:rPr>
        <w:t xml:space="preserve">further survival benefit was observed in </w:t>
      </w:r>
      <w:r w:rsidR="004D2A1A" w:rsidRPr="00082ABB">
        <w:rPr>
          <w:rFonts w:ascii="Book Antiqua" w:hAnsi="Book Antiqua"/>
          <w:sz w:val="24"/>
          <w:szCs w:val="24"/>
        </w:rPr>
        <w:t xml:space="preserve">the </w:t>
      </w:r>
      <w:r w:rsidRPr="00082ABB">
        <w:rPr>
          <w:rFonts w:ascii="Book Antiqua" w:hAnsi="Book Antiqua"/>
          <w:sz w:val="24"/>
          <w:szCs w:val="24"/>
        </w:rPr>
        <w:t xml:space="preserve">anti-EGFR arm compared with </w:t>
      </w:r>
      <w:r w:rsidR="004D2A1A" w:rsidRPr="00082ABB">
        <w:rPr>
          <w:rFonts w:ascii="Book Antiqua" w:hAnsi="Book Antiqua"/>
          <w:sz w:val="24"/>
          <w:szCs w:val="24"/>
        </w:rPr>
        <w:t xml:space="preserve">the </w:t>
      </w:r>
      <w:r w:rsidRPr="00082ABB">
        <w:rPr>
          <w:rFonts w:ascii="Book Antiqua" w:hAnsi="Book Antiqua"/>
          <w:sz w:val="24"/>
          <w:szCs w:val="24"/>
        </w:rPr>
        <w:t xml:space="preserve">bevacizumab arm in mCRC patients with </w:t>
      </w:r>
      <w:r w:rsidRPr="00082ABB">
        <w:rPr>
          <w:rFonts w:ascii="Book Antiqua" w:hAnsi="Book Antiqua"/>
          <w:i/>
          <w:sz w:val="24"/>
          <w:szCs w:val="24"/>
        </w:rPr>
        <w:t>RAS</w:t>
      </w:r>
      <w:r w:rsidRPr="00082ABB">
        <w:rPr>
          <w:rFonts w:ascii="Book Antiqua" w:hAnsi="Book Antiqua"/>
          <w:sz w:val="24"/>
          <w:szCs w:val="24"/>
        </w:rPr>
        <w:t xml:space="preserve"> wild type (OS in PEAK</w:t>
      </w:r>
      <w:r w:rsidR="0009160A" w:rsidRPr="00082ABB">
        <w:rPr>
          <w:rFonts w:ascii="Book Antiqua" w:hAnsi="Book Antiqua"/>
          <w:sz w:val="24"/>
          <w:szCs w:val="24"/>
        </w:rPr>
        <w:t>,</w:t>
      </w:r>
      <w:r w:rsidRPr="00082ABB">
        <w:rPr>
          <w:rFonts w:ascii="Book Antiqua" w:hAnsi="Book Antiqua"/>
          <w:sz w:val="24"/>
          <w:szCs w:val="24"/>
        </w:rPr>
        <w:t xml:space="preserve"> 41.3 </w:t>
      </w:r>
      <w:r w:rsidR="000D525E" w:rsidRPr="00082ABB">
        <w:rPr>
          <w:rFonts w:ascii="Book Antiqua" w:hAnsi="Book Antiqua"/>
          <w:sz w:val="24"/>
          <w:szCs w:val="24"/>
        </w:rPr>
        <w:t xml:space="preserve">mo </w:t>
      </w:r>
      <w:r w:rsidR="000D525E" w:rsidRPr="00082ABB">
        <w:rPr>
          <w:rFonts w:ascii="Book Antiqua" w:hAnsi="Book Antiqua"/>
          <w:i/>
          <w:sz w:val="24"/>
          <w:szCs w:val="24"/>
        </w:rPr>
        <w:t>vs</w:t>
      </w:r>
      <w:r w:rsidRPr="00082ABB">
        <w:rPr>
          <w:rFonts w:ascii="Book Antiqua" w:hAnsi="Book Antiqua"/>
          <w:sz w:val="24"/>
          <w:szCs w:val="24"/>
        </w:rPr>
        <w:t xml:space="preserve"> 28.9 mo,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0.63, </w:t>
      </w:r>
      <w:r w:rsidRPr="00082ABB">
        <w:rPr>
          <w:rFonts w:ascii="Book Antiqua" w:hAnsi="Book Antiqua"/>
          <w:i/>
          <w:sz w:val="24"/>
          <w:szCs w:val="24"/>
        </w:rPr>
        <w:t>P</w:t>
      </w:r>
      <w:r w:rsidR="0009160A" w:rsidRPr="00082ABB">
        <w:rPr>
          <w:rFonts w:ascii="Book Antiqua" w:hAnsi="Book Antiqua"/>
          <w:i/>
          <w:sz w:val="24"/>
          <w:szCs w:val="24"/>
        </w:rPr>
        <w:t xml:space="preserve"> </w:t>
      </w:r>
      <w:r w:rsidRPr="00082ABB">
        <w:rPr>
          <w:rFonts w:ascii="Book Antiqua" w:hAnsi="Book Antiqua"/>
          <w:sz w:val="24"/>
          <w:szCs w:val="24"/>
        </w:rPr>
        <w:t>=</w:t>
      </w:r>
      <w:r w:rsidR="0009160A" w:rsidRPr="00082ABB">
        <w:rPr>
          <w:rFonts w:ascii="Book Antiqua" w:hAnsi="Book Antiqua"/>
          <w:sz w:val="24"/>
          <w:szCs w:val="24"/>
        </w:rPr>
        <w:t xml:space="preserve"> </w:t>
      </w:r>
      <w:r w:rsidRPr="00082ABB">
        <w:rPr>
          <w:rFonts w:ascii="Book Antiqua" w:hAnsi="Book Antiqua"/>
          <w:sz w:val="24"/>
          <w:szCs w:val="24"/>
        </w:rPr>
        <w:t>0.058; OS in FIRE-3</w:t>
      </w:r>
      <w:r w:rsidR="0009160A" w:rsidRPr="00082ABB">
        <w:rPr>
          <w:rFonts w:ascii="Book Antiqua" w:hAnsi="Book Antiqua"/>
          <w:sz w:val="24"/>
          <w:szCs w:val="24"/>
        </w:rPr>
        <w:t>,</w:t>
      </w:r>
      <w:r w:rsidRPr="00082ABB">
        <w:rPr>
          <w:rFonts w:ascii="Book Antiqua" w:hAnsi="Book Antiqua"/>
          <w:sz w:val="24"/>
          <w:szCs w:val="24"/>
        </w:rPr>
        <w:t xml:space="preserve"> 33.1 </w:t>
      </w:r>
      <w:r w:rsidR="000D525E" w:rsidRPr="00082ABB">
        <w:rPr>
          <w:rFonts w:ascii="Book Antiqua" w:hAnsi="Book Antiqua"/>
          <w:sz w:val="24"/>
          <w:szCs w:val="24"/>
        </w:rPr>
        <w:t xml:space="preserve">mo </w:t>
      </w:r>
      <w:r w:rsidR="000D525E" w:rsidRPr="00082ABB">
        <w:rPr>
          <w:rFonts w:ascii="Book Antiqua" w:hAnsi="Book Antiqua"/>
          <w:i/>
          <w:sz w:val="24"/>
          <w:szCs w:val="24"/>
        </w:rPr>
        <w:t>vs</w:t>
      </w:r>
      <w:r w:rsidRPr="00082ABB">
        <w:rPr>
          <w:rFonts w:ascii="Book Antiqua" w:hAnsi="Book Antiqua"/>
          <w:sz w:val="24"/>
          <w:szCs w:val="24"/>
        </w:rPr>
        <w:t xml:space="preserve"> 25.6 mo,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0.70, </w:t>
      </w:r>
      <w:r w:rsidRPr="00082ABB">
        <w:rPr>
          <w:rFonts w:ascii="Book Antiqua" w:hAnsi="Book Antiqua"/>
          <w:i/>
          <w:sz w:val="24"/>
          <w:szCs w:val="24"/>
        </w:rPr>
        <w:t>P</w:t>
      </w:r>
      <w:r w:rsidR="0009160A" w:rsidRPr="00082ABB">
        <w:rPr>
          <w:rFonts w:ascii="Book Antiqua" w:hAnsi="Book Antiqua"/>
          <w:i/>
          <w:sz w:val="24"/>
          <w:szCs w:val="24"/>
        </w:rPr>
        <w:t xml:space="preserve"> </w:t>
      </w:r>
      <w:r w:rsidRPr="00082ABB">
        <w:rPr>
          <w:rFonts w:ascii="Book Antiqua" w:hAnsi="Book Antiqua"/>
          <w:sz w:val="24"/>
          <w:szCs w:val="24"/>
        </w:rPr>
        <w:t>=</w:t>
      </w:r>
      <w:r w:rsidR="0009160A" w:rsidRPr="00082ABB">
        <w:rPr>
          <w:rFonts w:ascii="Book Antiqua" w:hAnsi="Book Antiqua"/>
          <w:sz w:val="24"/>
          <w:szCs w:val="24"/>
        </w:rPr>
        <w:t xml:space="preserve"> </w:t>
      </w:r>
      <w:r w:rsidR="000D525E" w:rsidRPr="00082ABB">
        <w:rPr>
          <w:rFonts w:ascii="Book Antiqua" w:hAnsi="Book Antiqua"/>
          <w:sz w:val="24"/>
          <w:szCs w:val="24"/>
        </w:rPr>
        <w:t>0.011)</w:t>
      </w:r>
      <w:r w:rsidR="000D525E" w:rsidRPr="00082ABB">
        <w:rPr>
          <w:rFonts w:ascii="Book Antiqua" w:hAnsi="Book Antiqua"/>
          <w:sz w:val="24"/>
          <w:szCs w:val="24"/>
          <w:vertAlign w:val="superscript"/>
        </w:rPr>
        <w:t>[18,</w:t>
      </w:r>
      <w:r w:rsidR="00582F2C" w:rsidRPr="00082ABB">
        <w:rPr>
          <w:rFonts w:ascii="Book Antiqua" w:hAnsi="Book Antiqua"/>
          <w:sz w:val="24"/>
          <w:szCs w:val="24"/>
          <w:vertAlign w:val="superscript"/>
        </w:rPr>
        <w:t>19</w:t>
      </w:r>
      <w:r w:rsidRPr="00082ABB">
        <w:rPr>
          <w:rFonts w:ascii="Book Antiqua" w:hAnsi="Book Antiqua"/>
          <w:sz w:val="24"/>
          <w:szCs w:val="24"/>
          <w:vertAlign w:val="superscript"/>
        </w:rPr>
        <w:t>]</w:t>
      </w:r>
      <w:r w:rsidRPr="00082ABB">
        <w:rPr>
          <w:rFonts w:ascii="Book Antiqua" w:hAnsi="Book Antiqua"/>
          <w:sz w:val="24"/>
          <w:szCs w:val="24"/>
        </w:rPr>
        <w:t>. In contrast, CALGB/SWOG 80405 demonstrated no significant difference in OS between cetuximab plus chemotherapy and bevacizumab plus chemotherapy even in</w:t>
      </w:r>
      <w:r w:rsidR="004D2A1A" w:rsidRPr="00082ABB">
        <w:rPr>
          <w:rFonts w:ascii="Book Antiqua" w:hAnsi="Book Antiqua"/>
          <w:sz w:val="24"/>
          <w:szCs w:val="24"/>
        </w:rPr>
        <w:t xml:space="preserve"> the</w:t>
      </w:r>
      <w:r w:rsidRPr="00082ABB">
        <w:rPr>
          <w:rFonts w:ascii="Book Antiqua" w:hAnsi="Book Antiqua"/>
          <w:sz w:val="24"/>
          <w:szCs w:val="24"/>
        </w:rPr>
        <w:t xml:space="preserve"> </w:t>
      </w:r>
      <w:r w:rsidRPr="00082ABB">
        <w:rPr>
          <w:rFonts w:ascii="Book Antiqua" w:hAnsi="Book Antiqua"/>
          <w:i/>
          <w:sz w:val="24"/>
          <w:szCs w:val="24"/>
        </w:rPr>
        <w:t>RAS</w:t>
      </w:r>
      <w:r w:rsidRPr="00082ABB">
        <w:rPr>
          <w:rFonts w:ascii="Book Antiqua" w:hAnsi="Book Antiqua"/>
          <w:sz w:val="24"/>
          <w:szCs w:val="24"/>
        </w:rPr>
        <w:t xml:space="preserve"> wild type population (32.0 </w:t>
      </w:r>
      <w:r w:rsidR="000D525E" w:rsidRPr="00082ABB">
        <w:rPr>
          <w:rFonts w:ascii="Book Antiqua" w:hAnsi="Book Antiqua"/>
          <w:sz w:val="24"/>
          <w:szCs w:val="24"/>
        </w:rPr>
        <w:t xml:space="preserve">mo </w:t>
      </w:r>
      <w:r w:rsidR="000D525E" w:rsidRPr="00082ABB">
        <w:rPr>
          <w:rFonts w:ascii="Book Antiqua" w:hAnsi="Book Antiqua"/>
          <w:i/>
          <w:sz w:val="24"/>
          <w:szCs w:val="24"/>
        </w:rPr>
        <w:t>vs</w:t>
      </w:r>
      <w:r w:rsidR="000D525E" w:rsidRPr="00082ABB">
        <w:rPr>
          <w:rFonts w:ascii="Book Antiqua" w:hAnsi="Book Antiqua"/>
          <w:sz w:val="24"/>
          <w:szCs w:val="24"/>
        </w:rPr>
        <w:t xml:space="preserve"> </w:t>
      </w:r>
      <w:r w:rsidRPr="00082ABB">
        <w:rPr>
          <w:rFonts w:ascii="Book Antiqua" w:hAnsi="Book Antiqua"/>
          <w:sz w:val="24"/>
          <w:szCs w:val="24"/>
        </w:rPr>
        <w:t xml:space="preserve">31.2 mo,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0.90, </w:t>
      </w:r>
      <w:r w:rsidRPr="00082ABB">
        <w:rPr>
          <w:rFonts w:ascii="Book Antiqua" w:hAnsi="Book Antiqua"/>
          <w:i/>
          <w:sz w:val="24"/>
          <w:szCs w:val="24"/>
        </w:rPr>
        <w:t>P</w:t>
      </w:r>
      <w:r w:rsidR="00804BAE" w:rsidRPr="00082ABB">
        <w:rPr>
          <w:rFonts w:ascii="Book Antiqua" w:hAnsi="Book Antiqua"/>
          <w:i/>
          <w:sz w:val="24"/>
          <w:szCs w:val="24"/>
        </w:rPr>
        <w:t xml:space="preserve"> </w:t>
      </w:r>
      <w:r w:rsidRPr="00082ABB">
        <w:rPr>
          <w:rFonts w:ascii="Book Antiqua" w:hAnsi="Book Antiqua"/>
          <w:sz w:val="24"/>
          <w:szCs w:val="24"/>
        </w:rPr>
        <w:t>=</w:t>
      </w:r>
      <w:r w:rsidR="00804BAE" w:rsidRPr="00082ABB">
        <w:rPr>
          <w:rFonts w:ascii="Book Antiqua" w:hAnsi="Book Antiqua"/>
          <w:sz w:val="24"/>
          <w:szCs w:val="24"/>
        </w:rPr>
        <w:t xml:space="preserve"> </w:t>
      </w:r>
      <w:r w:rsidRPr="00082ABB">
        <w:rPr>
          <w:rFonts w:ascii="Book Antiqua" w:hAnsi="Book Antiqua"/>
          <w:sz w:val="24"/>
          <w:szCs w:val="24"/>
        </w:rPr>
        <w:t>0.40</w:t>
      </w:r>
      <w:r w:rsidR="000D525E" w:rsidRPr="00082ABB">
        <w:rPr>
          <w:rFonts w:ascii="Book Antiqua" w:hAnsi="Book Antiqua"/>
          <w:sz w:val="24"/>
          <w:szCs w:val="24"/>
        </w:rPr>
        <w:t>)</w:t>
      </w:r>
      <w:r w:rsidR="0085610D" w:rsidRPr="00082ABB">
        <w:rPr>
          <w:rFonts w:ascii="Book Antiqua" w:hAnsi="Book Antiqua"/>
          <w:sz w:val="24"/>
          <w:szCs w:val="24"/>
          <w:vertAlign w:val="superscript"/>
        </w:rPr>
        <w:t>[84</w:t>
      </w:r>
      <w:r w:rsidRPr="00082ABB">
        <w:rPr>
          <w:rFonts w:ascii="Book Antiqua" w:hAnsi="Book Antiqua"/>
          <w:sz w:val="24"/>
          <w:szCs w:val="24"/>
          <w:vertAlign w:val="superscript"/>
        </w:rPr>
        <w:t>]</w:t>
      </w:r>
      <w:r w:rsidRPr="00082ABB">
        <w:rPr>
          <w:rFonts w:ascii="Book Antiqua" w:hAnsi="Book Antiqua"/>
          <w:sz w:val="24"/>
          <w:szCs w:val="24"/>
        </w:rPr>
        <w:t>. The outcomes of these trials w</w:t>
      </w:r>
      <w:r w:rsidR="000D525E" w:rsidRPr="00082ABB">
        <w:rPr>
          <w:rFonts w:ascii="Book Antiqua" w:hAnsi="Book Antiqua"/>
          <w:sz w:val="24"/>
          <w:szCs w:val="24"/>
        </w:rPr>
        <w:t xml:space="preserve">ere discussed in several </w:t>
      </w:r>
      <w:proofErr w:type="gramStart"/>
      <w:r w:rsidR="000D525E" w:rsidRPr="00082ABB">
        <w:rPr>
          <w:rFonts w:ascii="Book Antiqua" w:hAnsi="Book Antiqua"/>
          <w:sz w:val="24"/>
          <w:szCs w:val="24"/>
        </w:rPr>
        <w:t>groups</w:t>
      </w:r>
      <w:r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87</w:t>
      </w:r>
      <w:r w:rsidR="00E976A9" w:rsidRPr="00082ABB">
        <w:rPr>
          <w:rFonts w:ascii="Book Antiqua" w:hAnsi="Book Antiqua"/>
          <w:sz w:val="24"/>
          <w:szCs w:val="24"/>
          <w:vertAlign w:val="superscript"/>
        </w:rPr>
        <w:t>-</w:t>
      </w:r>
      <w:r w:rsidR="00582F2C" w:rsidRPr="00082ABB">
        <w:rPr>
          <w:rFonts w:ascii="Book Antiqua" w:hAnsi="Book Antiqua"/>
          <w:sz w:val="24"/>
          <w:szCs w:val="24"/>
          <w:vertAlign w:val="superscript"/>
        </w:rPr>
        <w:t>9</w:t>
      </w:r>
      <w:r w:rsidR="0085610D" w:rsidRPr="00082ABB">
        <w:rPr>
          <w:rFonts w:ascii="Book Antiqua" w:hAnsi="Book Antiqua"/>
          <w:sz w:val="24"/>
          <w:szCs w:val="24"/>
          <w:vertAlign w:val="superscript"/>
        </w:rPr>
        <w:t>0</w:t>
      </w:r>
      <w:r w:rsidRPr="00082ABB">
        <w:rPr>
          <w:rFonts w:ascii="Book Antiqua" w:hAnsi="Book Antiqua"/>
          <w:sz w:val="24"/>
          <w:szCs w:val="24"/>
          <w:vertAlign w:val="superscript"/>
        </w:rPr>
        <w:t>]</w:t>
      </w:r>
      <w:r w:rsidRPr="00082ABB">
        <w:rPr>
          <w:rFonts w:ascii="Book Antiqua" w:hAnsi="Book Antiqua"/>
          <w:sz w:val="24"/>
          <w:szCs w:val="24"/>
        </w:rPr>
        <w:t xml:space="preserve">. Meta-analyses </w:t>
      </w:r>
      <w:r w:rsidR="004D2A1A" w:rsidRPr="00082ABB">
        <w:rPr>
          <w:rFonts w:ascii="Book Antiqua" w:hAnsi="Book Antiqua"/>
          <w:sz w:val="24"/>
          <w:szCs w:val="24"/>
        </w:rPr>
        <w:t xml:space="preserve">of </w:t>
      </w:r>
      <w:r w:rsidRPr="00082ABB">
        <w:rPr>
          <w:rFonts w:ascii="Book Antiqua" w:hAnsi="Book Antiqua"/>
          <w:sz w:val="24"/>
          <w:szCs w:val="24"/>
        </w:rPr>
        <w:t xml:space="preserve">the three studies were performed </w:t>
      </w:r>
      <w:r w:rsidR="004D2A1A" w:rsidRPr="00082ABB">
        <w:rPr>
          <w:rFonts w:ascii="Book Antiqua" w:hAnsi="Book Antiqua"/>
          <w:sz w:val="24"/>
          <w:szCs w:val="24"/>
        </w:rPr>
        <w:t xml:space="preserve">for the </w:t>
      </w:r>
      <w:r w:rsidRPr="00082ABB">
        <w:rPr>
          <w:rFonts w:ascii="Book Antiqua" w:hAnsi="Book Antiqua"/>
          <w:i/>
          <w:sz w:val="24"/>
          <w:szCs w:val="24"/>
        </w:rPr>
        <w:t>RAS</w:t>
      </w:r>
      <w:r w:rsidRPr="00082ABB">
        <w:rPr>
          <w:rFonts w:ascii="Book Antiqua" w:hAnsi="Book Antiqua"/>
          <w:sz w:val="24"/>
          <w:szCs w:val="24"/>
        </w:rPr>
        <w:t xml:space="preserve"> wild type subset in order to compare anti-EGFR therapy with</w:t>
      </w:r>
      <w:r w:rsidR="000D525E" w:rsidRPr="00082ABB">
        <w:rPr>
          <w:rFonts w:ascii="Book Antiqua" w:hAnsi="Book Antiqua"/>
          <w:sz w:val="24"/>
          <w:szCs w:val="24"/>
        </w:rPr>
        <w:t xml:space="preserve"> anti-VEGF </w:t>
      </w:r>
      <w:proofErr w:type="gramStart"/>
      <w:r w:rsidR="000D525E" w:rsidRPr="00082ABB">
        <w:rPr>
          <w:rFonts w:ascii="Book Antiqua" w:hAnsi="Book Antiqua"/>
          <w:sz w:val="24"/>
          <w:szCs w:val="24"/>
        </w:rPr>
        <w:t>therapy</w:t>
      </w:r>
      <w:r w:rsidR="0085610D"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87</w:t>
      </w:r>
      <w:r w:rsidRPr="00082ABB">
        <w:rPr>
          <w:rFonts w:ascii="Book Antiqua" w:hAnsi="Book Antiqua"/>
          <w:sz w:val="24"/>
          <w:szCs w:val="24"/>
          <w:vertAlign w:val="superscript"/>
        </w:rPr>
        <w:t>]</w:t>
      </w:r>
      <w:r w:rsidRPr="00082ABB">
        <w:rPr>
          <w:rFonts w:ascii="Book Antiqua" w:hAnsi="Book Antiqua"/>
          <w:sz w:val="24"/>
          <w:szCs w:val="24"/>
        </w:rPr>
        <w:t xml:space="preserve">. Although no significant difference in PFS was observed between anti-EGFR and anti-VEGF agents combined with chemotherapy (HR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0.92, 95%CI</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0.71-1.18, </w:t>
      </w:r>
      <w:r w:rsidRPr="00082ABB">
        <w:rPr>
          <w:rFonts w:ascii="Book Antiqua" w:hAnsi="Book Antiqua"/>
          <w:i/>
          <w:sz w:val="24"/>
          <w:szCs w:val="24"/>
        </w:rPr>
        <w:t>P</w:t>
      </w:r>
      <w:r w:rsidR="00804BAE" w:rsidRPr="00082ABB">
        <w:rPr>
          <w:rFonts w:ascii="Book Antiqua" w:hAnsi="Book Antiqua"/>
          <w:i/>
          <w:sz w:val="24"/>
          <w:szCs w:val="24"/>
        </w:rPr>
        <w:t xml:space="preserve"> </w:t>
      </w:r>
      <w:r w:rsidRPr="00082ABB">
        <w:rPr>
          <w:rFonts w:ascii="Book Antiqua" w:hAnsi="Book Antiqua"/>
          <w:sz w:val="24"/>
          <w:szCs w:val="24"/>
        </w:rPr>
        <w:t>=</w:t>
      </w:r>
      <w:r w:rsidR="00804BAE" w:rsidRPr="00082ABB">
        <w:rPr>
          <w:rFonts w:ascii="Book Antiqua" w:hAnsi="Book Antiqua"/>
          <w:sz w:val="24"/>
          <w:szCs w:val="24"/>
        </w:rPr>
        <w:t xml:space="preserve"> </w:t>
      </w:r>
      <w:r w:rsidRPr="00082ABB">
        <w:rPr>
          <w:rFonts w:ascii="Book Antiqua" w:hAnsi="Book Antiqua"/>
          <w:sz w:val="24"/>
          <w:szCs w:val="24"/>
        </w:rPr>
        <w:t xml:space="preserve">0.50), </w:t>
      </w:r>
      <w:r w:rsidR="004D2A1A" w:rsidRPr="00082ABB">
        <w:rPr>
          <w:rFonts w:ascii="Book Antiqua" w:hAnsi="Book Antiqua"/>
          <w:sz w:val="24"/>
          <w:szCs w:val="24"/>
        </w:rPr>
        <w:t xml:space="preserve">the </w:t>
      </w:r>
      <w:r w:rsidRPr="00082ABB">
        <w:rPr>
          <w:rFonts w:ascii="Book Antiqua" w:hAnsi="Book Antiqua"/>
          <w:sz w:val="24"/>
          <w:szCs w:val="24"/>
        </w:rPr>
        <w:t xml:space="preserve">anti-EGFR arm had </w:t>
      </w:r>
      <w:r w:rsidR="00676409" w:rsidRPr="00082ABB">
        <w:rPr>
          <w:rFonts w:ascii="Book Antiqua" w:hAnsi="Book Antiqua"/>
          <w:sz w:val="24"/>
          <w:szCs w:val="24"/>
        </w:rPr>
        <w:t xml:space="preserve">better </w:t>
      </w:r>
      <w:r w:rsidRPr="00082ABB">
        <w:rPr>
          <w:rFonts w:ascii="Book Antiqua" w:hAnsi="Book Antiqua"/>
          <w:sz w:val="24"/>
          <w:szCs w:val="24"/>
        </w:rPr>
        <w:t xml:space="preserve">OS (HR </w:t>
      </w:r>
      <w:r w:rsidR="000D525E" w:rsidRPr="00082ABB">
        <w:rPr>
          <w:rFonts w:ascii="Book Antiqua" w:eastAsia="宋体" w:hAnsi="Book Antiqua"/>
          <w:sz w:val="24"/>
          <w:szCs w:val="24"/>
          <w:lang w:eastAsia="zh-CN"/>
        </w:rPr>
        <w:t xml:space="preserve">= </w:t>
      </w:r>
      <w:r w:rsidR="000D525E" w:rsidRPr="00082ABB">
        <w:rPr>
          <w:rFonts w:ascii="Book Antiqua" w:hAnsi="Book Antiqua"/>
          <w:sz w:val="24"/>
          <w:szCs w:val="24"/>
        </w:rPr>
        <w:t>0.77, 95%</w:t>
      </w:r>
      <w:r w:rsidRPr="00082ABB">
        <w:rPr>
          <w:rFonts w:ascii="Book Antiqua" w:hAnsi="Book Antiqua"/>
          <w:sz w:val="24"/>
          <w:szCs w:val="24"/>
        </w:rPr>
        <w:t>CI</w:t>
      </w:r>
      <w:r w:rsidR="000D525E" w:rsidRPr="00082ABB">
        <w:rPr>
          <w:rFonts w:ascii="Book Antiqua" w:eastAsia="宋体" w:hAnsi="Book Antiqua"/>
          <w:sz w:val="24"/>
          <w:szCs w:val="24"/>
          <w:lang w:eastAsia="zh-CN"/>
        </w:rPr>
        <w:t>:</w:t>
      </w:r>
      <w:r w:rsidRPr="00082ABB">
        <w:rPr>
          <w:rFonts w:ascii="Book Antiqua" w:hAnsi="Book Antiqua"/>
          <w:sz w:val="24"/>
          <w:szCs w:val="24"/>
        </w:rPr>
        <w:t xml:space="preserve"> 0.63-0.95, </w:t>
      </w:r>
      <w:r w:rsidRPr="00082ABB">
        <w:rPr>
          <w:rFonts w:ascii="Book Antiqua" w:hAnsi="Book Antiqua"/>
          <w:i/>
          <w:sz w:val="24"/>
          <w:szCs w:val="24"/>
        </w:rPr>
        <w:t>P</w:t>
      </w:r>
      <w:r w:rsidR="00804BAE" w:rsidRPr="00082ABB">
        <w:rPr>
          <w:rFonts w:ascii="Book Antiqua" w:hAnsi="Book Antiqua"/>
          <w:i/>
          <w:sz w:val="24"/>
          <w:szCs w:val="24"/>
        </w:rPr>
        <w:t xml:space="preserve"> </w:t>
      </w:r>
      <w:r w:rsidRPr="00082ABB">
        <w:rPr>
          <w:rFonts w:ascii="Book Antiqua" w:hAnsi="Book Antiqua"/>
          <w:sz w:val="24"/>
          <w:szCs w:val="24"/>
        </w:rPr>
        <w:t>=</w:t>
      </w:r>
      <w:r w:rsidR="00804BAE" w:rsidRPr="00082ABB">
        <w:rPr>
          <w:rFonts w:ascii="Book Antiqua" w:hAnsi="Book Antiqua"/>
          <w:sz w:val="24"/>
          <w:szCs w:val="24"/>
        </w:rPr>
        <w:t xml:space="preserve"> </w:t>
      </w:r>
      <w:r w:rsidRPr="00082ABB">
        <w:rPr>
          <w:rFonts w:ascii="Book Antiqua" w:hAnsi="Book Antiqua"/>
          <w:sz w:val="24"/>
          <w:szCs w:val="24"/>
        </w:rPr>
        <w:t xml:space="preserve">0.016) and RR (OR </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1.46, </w:t>
      </w:r>
      <w:r w:rsidR="000D525E" w:rsidRPr="00082ABB">
        <w:rPr>
          <w:rFonts w:ascii="Book Antiqua" w:hAnsi="Book Antiqua"/>
          <w:sz w:val="24"/>
          <w:szCs w:val="24"/>
        </w:rPr>
        <w:t>95%CI</w:t>
      </w:r>
      <w:r w:rsidR="000D525E" w:rsidRPr="00082ABB">
        <w:rPr>
          <w:rFonts w:ascii="Book Antiqua" w:eastAsia="宋体" w:hAnsi="Book Antiqua"/>
          <w:sz w:val="24"/>
          <w:szCs w:val="24"/>
          <w:lang w:eastAsia="zh-CN"/>
        </w:rPr>
        <w:t xml:space="preserve">: </w:t>
      </w:r>
      <w:r w:rsidRPr="00082ABB">
        <w:rPr>
          <w:rFonts w:ascii="Book Antiqua" w:hAnsi="Book Antiqua"/>
          <w:sz w:val="24"/>
          <w:szCs w:val="24"/>
        </w:rPr>
        <w:t xml:space="preserve">1.13-1.90, </w:t>
      </w:r>
      <w:r w:rsidRPr="00082ABB">
        <w:rPr>
          <w:rFonts w:ascii="Book Antiqua" w:hAnsi="Book Antiqua"/>
          <w:i/>
          <w:sz w:val="24"/>
          <w:szCs w:val="24"/>
        </w:rPr>
        <w:t>P</w:t>
      </w:r>
      <w:r w:rsidR="00804BAE" w:rsidRPr="00082ABB">
        <w:rPr>
          <w:rFonts w:ascii="Book Antiqua" w:hAnsi="Book Antiqua"/>
          <w:i/>
          <w:sz w:val="24"/>
          <w:szCs w:val="24"/>
        </w:rPr>
        <w:t xml:space="preserve"> </w:t>
      </w:r>
      <w:r w:rsidRPr="00082ABB">
        <w:rPr>
          <w:rFonts w:ascii="Book Antiqua" w:hAnsi="Book Antiqua"/>
          <w:sz w:val="24"/>
          <w:szCs w:val="24"/>
        </w:rPr>
        <w:t>=</w:t>
      </w:r>
      <w:r w:rsidR="00804BAE" w:rsidRPr="00082ABB">
        <w:rPr>
          <w:rFonts w:ascii="Book Antiqua" w:hAnsi="Book Antiqua"/>
          <w:sz w:val="24"/>
          <w:szCs w:val="24"/>
        </w:rPr>
        <w:t xml:space="preserve"> </w:t>
      </w:r>
      <w:r w:rsidRPr="00082ABB">
        <w:rPr>
          <w:rFonts w:ascii="Book Antiqua" w:hAnsi="Book Antiqua"/>
          <w:sz w:val="24"/>
          <w:szCs w:val="24"/>
        </w:rPr>
        <w:t xml:space="preserve">0.004) compared with </w:t>
      </w:r>
      <w:r w:rsidR="004D2A1A" w:rsidRPr="00082ABB">
        <w:rPr>
          <w:rFonts w:ascii="Book Antiqua" w:hAnsi="Book Antiqua"/>
          <w:sz w:val="24"/>
          <w:szCs w:val="24"/>
        </w:rPr>
        <w:t xml:space="preserve">the </w:t>
      </w:r>
      <w:r w:rsidRPr="00082ABB">
        <w:rPr>
          <w:rFonts w:ascii="Book Antiqua" w:hAnsi="Book Antiqua"/>
          <w:sz w:val="24"/>
          <w:szCs w:val="24"/>
        </w:rPr>
        <w:t xml:space="preserve">anti-VEGF arm. On the other hand, these three clinical trials aimed to reveal the superiority of </w:t>
      </w:r>
      <w:r w:rsidRPr="00082ABB">
        <w:rPr>
          <w:rFonts w:ascii="Book Antiqua" w:hAnsi="Book Antiqua"/>
          <w:sz w:val="24"/>
          <w:szCs w:val="24"/>
        </w:rPr>
        <w:lastRenderedPageBreak/>
        <w:t>anti-EGFR therapy compar</w:t>
      </w:r>
      <w:r w:rsidR="004D2A1A" w:rsidRPr="00082ABB">
        <w:rPr>
          <w:rFonts w:ascii="Book Antiqua" w:hAnsi="Book Antiqua"/>
          <w:sz w:val="24"/>
          <w:szCs w:val="24"/>
        </w:rPr>
        <w:t xml:space="preserve">ed </w:t>
      </w:r>
      <w:r w:rsidRPr="00082ABB">
        <w:rPr>
          <w:rFonts w:ascii="Book Antiqua" w:hAnsi="Book Antiqua"/>
          <w:sz w:val="24"/>
          <w:szCs w:val="24"/>
        </w:rPr>
        <w:t xml:space="preserve">with anti-VEGF therapy in </w:t>
      </w:r>
      <w:r w:rsidRPr="00082ABB">
        <w:rPr>
          <w:rFonts w:ascii="Book Antiqua" w:hAnsi="Book Antiqua"/>
          <w:i/>
          <w:sz w:val="24"/>
          <w:szCs w:val="24"/>
        </w:rPr>
        <w:t>KRAS</w:t>
      </w:r>
      <w:r w:rsidRPr="00082ABB">
        <w:rPr>
          <w:rFonts w:ascii="Book Antiqua" w:hAnsi="Book Antiqua"/>
          <w:sz w:val="24"/>
          <w:szCs w:val="24"/>
        </w:rPr>
        <w:t xml:space="preserve"> wild type mCRC, but </w:t>
      </w:r>
      <w:r w:rsidR="004D2A1A" w:rsidRPr="00082ABB">
        <w:rPr>
          <w:rFonts w:ascii="Book Antiqua" w:hAnsi="Book Antiqua"/>
          <w:sz w:val="24"/>
          <w:szCs w:val="24"/>
        </w:rPr>
        <w:t xml:space="preserve">they </w:t>
      </w:r>
      <w:r w:rsidRPr="00082ABB">
        <w:rPr>
          <w:rFonts w:ascii="Book Antiqua" w:hAnsi="Book Antiqua"/>
          <w:sz w:val="24"/>
          <w:szCs w:val="24"/>
        </w:rPr>
        <w:t>did not m</w:t>
      </w:r>
      <w:r w:rsidR="004D2A1A" w:rsidRPr="00082ABB">
        <w:rPr>
          <w:rFonts w:ascii="Book Antiqua" w:hAnsi="Book Antiqua"/>
          <w:sz w:val="24"/>
          <w:szCs w:val="24"/>
        </w:rPr>
        <w:t>e</w:t>
      </w:r>
      <w:r w:rsidRPr="00082ABB">
        <w:rPr>
          <w:rFonts w:ascii="Book Antiqua" w:hAnsi="Book Antiqua"/>
          <w:sz w:val="24"/>
          <w:szCs w:val="24"/>
        </w:rPr>
        <w:t>et the primary endpoint</w:t>
      </w:r>
      <w:r w:rsidR="004D2A1A" w:rsidRPr="00082ABB">
        <w:rPr>
          <w:rFonts w:ascii="Book Antiqua" w:hAnsi="Book Antiqua"/>
          <w:sz w:val="24"/>
          <w:szCs w:val="24"/>
        </w:rPr>
        <w:t>s</w:t>
      </w:r>
      <w:r w:rsidRPr="00082ABB">
        <w:rPr>
          <w:rFonts w:ascii="Book Antiqua" w:hAnsi="Book Antiqua"/>
          <w:sz w:val="24"/>
          <w:szCs w:val="24"/>
        </w:rPr>
        <w:t xml:space="preserve"> of their studies</w:t>
      </w:r>
      <w:r w:rsidR="004D2A1A" w:rsidRPr="00082ABB">
        <w:rPr>
          <w:rFonts w:ascii="Book Antiqua" w:hAnsi="Book Antiqua"/>
          <w:sz w:val="24"/>
          <w:szCs w:val="24"/>
        </w:rPr>
        <w:t>;</w:t>
      </w:r>
      <w:r w:rsidRPr="00082ABB">
        <w:rPr>
          <w:rFonts w:ascii="Book Antiqua" w:hAnsi="Book Antiqua"/>
          <w:sz w:val="24"/>
          <w:szCs w:val="24"/>
        </w:rPr>
        <w:t xml:space="preserve"> the primary endpoint was PFS in PEAK, RR in FIRE-3, and OS in CALGB/SWOG 80405. Although anti-EGFR therapy </w:t>
      </w:r>
      <w:r w:rsidR="004D2A1A" w:rsidRPr="00082ABB">
        <w:rPr>
          <w:rFonts w:ascii="Book Antiqua" w:hAnsi="Book Antiqua"/>
          <w:sz w:val="24"/>
          <w:szCs w:val="24"/>
        </w:rPr>
        <w:t xml:space="preserve">in the </w:t>
      </w:r>
      <w:r w:rsidRPr="00082ABB">
        <w:rPr>
          <w:rFonts w:ascii="Book Antiqua" w:hAnsi="Book Antiqua"/>
          <w:sz w:val="24"/>
          <w:szCs w:val="24"/>
        </w:rPr>
        <w:t>first-line setting has a favor</w:t>
      </w:r>
      <w:r w:rsidR="004D2A1A" w:rsidRPr="00082ABB">
        <w:rPr>
          <w:rFonts w:ascii="Book Antiqua" w:hAnsi="Book Antiqua"/>
          <w:sz w:val="24"/>
          <w:szCs w:val="24"/>
        </w:rPr>
        <w:t>able</w:t>
      </w:r>
      <w:r w:rsidRPr="00082ABB">
        <w:rPr>
          <w:rFonts w:ascii="Book Antiqua" w:hAnsi="Book Antiqua"/>
          <w:sz w:val="24"/>
          <w:szCs w:val="24"/>
        </w:rPr>
        <w:t xml:space="preserve"> trend compared with anti-VEGF therapy, </w:t>
      </w:r>
      <w:r w:rsidR="004D2A1A" w:rsidRPr="00082ABB">
        <w:rPr>
          <w:rFonts w:ascii="Book Antiqua" w:hAnsi="Book Antiqua"/>
          <w:sz w:val="24"/>
          <w:szCs w:val="24"/>
        </w:rPr>
        <w:t xml:space="preserve">the </w:t>
      </w:r>
      <w:r w:rsidRPr="00082ABB">
        <w:rPr>
          <w:rFonts w:ascii="Book Antiqua" w:hAnsi="Book Antiqua"/>
          <w:sz w:val="24"/>
          <w:szCs w:val="24"/>
        </w:rPr>
        <w:t xml:space="preserve">treatment strategy in </w:t>
      </w:r>
      <w:r w:rsidRPr="00082ABB">
        <w:rPr>
          <w:rFonts w:ascii="Book Antiqua" w:hAnsi="Book Antiqua"/>
          <w:i/>
          <w:sz w:val="24"/>
          <w:szCs w:val="24"/>
        </w:rPr>
        <w:t>RAS</w:t>
      </w:r>
      <w:r w:rsidRPr="00082ABB">
        <w:rPr>
          <w:rFonts w:ascii="Book Antiqua" w:hAnsi="Book Antiqua"/>
          <w:sz w:val="24"/>
          <w:szCs w:val="24"/>
        </w:rPr>
        <w:t xml:space="preserve"> wild type mCRC has been controversial. In </w:t>
      </w:r>
      <w:r w:rsidR="004D2A1A" w:rsidRPr="00082ABB">
        <w:rPr>
          <w:rFonts w:ascii="Book Antiqua" w:hAnsi="Book Antiqua"/>
          <w:sz w:val="24"/>
          <w:szCs w:val="24"/>
        </w:rPr>
        <w:t xml:space="preserve">the </w:t>
      </w:r>
      <w:r w:rsidRPr="00082ABB">
        <w:rPr>
          <w:rFonts w:ascii="Book Antiqua" w:hAnsi="Book Antiqua"/>
          <w:sz w:val="24"/>
          <w:szCs w:val="24"/>
        </w:rPr>
        <w:t>future, one ongoing clinical trial may resol</w:t>
      </w:r>
      <w:r w:rsidR="004D2A1A" w:rsidRPr="00082ABB">
        <w:rPr>
          <w:rFonts w:ascii="Book Antiqua" w:hAnsi="Book Antiqua"/>
          <w:sz w:val="24"/>
          <w:szCs w:val="24"/>
        </w:rPr>
        <w:t xml:space="preserve">ve </w:t>
      </w:r>
      <w:r w:rsidRPr="00082ABB">
        <w:rPr>
          <w:rFonts w:ascii="Book Antiqua" w:hAnsi="Book Antiqua"/>
          <w:sz w:val="24"/>
          <w:szCs w:val="24"/>
        </w:rPr>
        <w:t xml:space="preserve">this problem. The phase III STRATEGIC-1 by GERCORE is now ongoing to investigate the </w:t>
      </w:r>
      <w:r w:rsidR="004D2A1A" w:rsidRPr="00082ABB">
        <w:rPr>
          <w:rFonts w:ascii="Book Antiqua" w:hAnsi="Book Antiqua"/>
          <w:sz w:val="24"/>
          <w:szCs w:val="24"/>
        </w:rPr>
        <w:t xml:space="preserve">appropriate </w:t>
      </w:r>
      <w:r w:rsidRPr="00082ABB">
        <w:rPr>
          <w:rFonts w:ascii="Book Antiqua" w:hAnsi="Book Antiqua"/>
          <w:sz w:val="24"/>
          <w:szCs w:val="24"/>
        </w:rPr>
        <w:t xml:space="preserve">sequential strategy for </w:t>
      </w:r>
      <w:r w:rsidRPr="00082ABB">
        <w:rPr>
          <w:rFonts w:ascii="Book Antiqua" w:hAnsi="Book Antiqua"/>
          <w:i/>
          <w:sz w:val="24"/>
          <w:szCs w:val="24"/>
        </w:rPr>
        <w:t>RAS</w:t>
      </w:r>
      <w:r w:rsidRPr="00082ABB">
        <w:rPr>
          <w:rFonts w:ascii="Book Antiqua" w:hAnsi="Book Antiqua"/>
          <w:sz w:val="24"/>
          <w:szCs w:val="24"/>
        </w:rPr>
        <w:t xml:space="preserve"> wild type </w:t>
      </w:r>
      <w:proofErr w:type="gramStart"/>
      <w:r w:rsidRPr="00082ABB">
        <w:rPr>
          <w:rFonts w:ascii="Book Antiqua" w:hAnsi="Book Antiqua"/>
          <w:sz w:val="24"/>
          <w:szCs w:val="24"/>
        </w:rPr>
        <w:t>mCRC</w:t>
      </w:r>
      <w:r w:rsidR="0085610D"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91</w:t>
      </w:r>
      <w:r w:rsidRPr="00082ABB">
        <w:rPr>
          <w:rFonts w:ascii="Book Antiqua" w:hAnsi="Book Antiqua"/>
          <w:sz w:val="24"/>
          <w:szCs w:val="24"/>
          <w:vertAlign w:val="superscript"/>
        </w:rPr>
        <w:t>]</w:t>
      </w:r>
      <w:r w:rsidRPr="00082ABB">
        <w:rPr>
          <w:rFonts w:ascii="Book Antiqua" w:hAnsi="Book Antiqua"/>
          <w:sz w:val="24"/>
          <w:szCs w:val="24"/>
        </w:rPr>
        <w:t xml:space="preserve">. In </w:t>
      </w:r>
      <w:r w:rsidR="004D2A1A" w:rsidRPr="00082ABB">
        <w:rPr>
          <w:rFonts w:ascii="Book Antiqua" w:hAnsi="Book Antiqua"/>
          <w:sz w:val="24"/>
          <w:szCs w:val="24"/>
        </w:rPr>
        <w:t xml:space="preserve">the </w:t>
      </w:r>
      <w:r w:rsidRPr="00082ABB">
        <w:rPr>
          <w:rFonts w:ascii="Book Antiqua" w:hAnsi="Book Antiqua"/>
          <w:sz w:val="24"/>
          <w:szCs w:val="24"/>
        </w:rPr>
        <w:t xml:space="preserve">STRATEGIC-1 trial, patients are randomized to receive either FOLFIRI plus cetuximab as first-line followed by oxaliplatin-based regimen combined with bevacizumab as second-line, or </w:t>
      </w:r>
      <w:r w:rsidR="004D2A1A" w:rsidRPr="00082ABB">
        <w:rPr>
          <w:rFonts w:ascii="Book Antiqua" w:hAnsi="Book Antiqua"/>
          <w:sz w:val="24"/>
          <w:szCs w:val="24"/>
        </w:rPr>
        <w:t>an o</w:t>
      </w:r>
      <w:r w:rsidRPr="00082ABB">
        <w:rPr>
          <w:rFonts w:ascii="Book Antiqua" w:hAnsi="Book Antiqua"/>
          <w:sz w:val="24"/>
          <w:szCs w:val="24"/>
        </w:rPr>
        <w:t xml:space="preserve">xaliplatin-based regimen by OPTIMOX plus bevacizumab as first-line followed by </w:t>
      </w:r>
      <w:r w:rsidR="004D2A1A" w:rsidRPr="00082ABB">
        <w:rPr>
          <w:rFonts w:ascii="Book Antiqua" w:hAnsi="Book Antiqua"/>
          <w:sz w:val="24"/>
          <w:szCs w:val="24"/>
        </w:rPr>
        <w:t xml:space="preserve">an </w:t>
      </w:r>
      <w:r w:rsidRPr="00082ABB">
        <w:rPr>
          <w:rFonts w:ascii="Book Antiqua" w:hAnsi="Book Antiqua"/>
          <w:sz w:val="24"/>
          <w:szCs w:val="24"/>
        </w:rPr>
        <w:t xml:space="preserve">irinotecan-based regimen combined with bevacizumab as second-line and by anti-EGFR therapy with or without irinotecan as third-line. We </w:t>
      </w:r>
      <w:r w:rsidR="004D2A1A" w:rsidRPr="00082ABB">
        <w:rPr>
          <w:rFonts w:ascii="Book Antiqua" w:hAnsi="Book Antiqua"/>
          <w:sz w:val="24"/>
          <w:szCs w:val="24"/>
        </w:rPr>
        <w:t>eagerly a</w:t>
      </w:r>
      <w:r w:rsidRPr="00082ABB">
        <w:rPr>
          <w:rFonts w:ascii="Book Antiqua" w:hAnsi="Book Antiqua"/>
          <w:sz w:val="24"/>
          <w:szCs w:val="24"/>
        </w:rPr>
        <w:t>wa</w:t>
      </w:r>
      <w:r w:rsidR="00A16F3D" w:rsidRPr="00082ABB">
        <w:rPr>
          <w:rFonts w:ascii="Book Antiqua" w:hAnsi="Book Antiqua"/>
          <w:sz w:val="24"/>
          <w:szCs w:val="24"/>
        </w:rPr>
        <w:t>it the results of this trial</w:t>
      </w:r>
      <w:r w:rsidR="00A16F3D" w:rsidRPr="00082ABB">
        <w:rPr>
          <w:rFonts w:ascii="Book Antiqua" w:hAnsi="Book Antiqua" w:hint="eastAsia"/>
          <w:sz w:val="24"/>
          <w:szCs w:val="24"/>
        </w:rPr>
        <w:t xml:space="preserve"> (Table 4)</w:t>
      </w:r>
      <w:r w:rsidR="00A16F3D" w:rsidRPr="00082ABB">
        <w:rPr>
          <w:rFonts w:ascii="Book Antiqua" w:hAnsi="Book Antiqua"/>
          <w:sz w:val="24"/>
          <w:szCs w:val="24"/>
        </w:rPr>
        <w:t>.</w:t>
      </w:r>
    </w:p>
    <w:p w:rsidR="00106D85" w:rsidRPr="00082ABB" w:rsidRDefault="00106D85" w:rsidP="007061C9">
      <w:pPr>
        <w:snapToGrid w:val="0"/>
        <w:spacing w:line="360" w:lineRule="auto"/>
        <w:rPr>
          <w:rFonts w:ascii="Book Antiqua" w:hAnsi="Book Antiqua"/>
          <w:sz w:val="24"/>
          <w:szCs w:val="24"/>
        </w:rPr>
      </w:pPr>
    </w:p>
    <w:p w:rsidR="00106D85" w:rsidRPr="00082ABB" w:rsidRDefault="00106D85" w:rsidP="007061C9">
      <w:pPr>
        <w:snapToGrid w:val="0"/>
        <w:spacing w:line="360" w:lineRule="auto"/>
        <w:rPr>
          <w:rFonts w:ascii="Book Antiqua" w:hAnsi="Book Antiqua"/>
          <w:b/>
          <w:caps/>
          <w:sz w:val="24"/>
          <w:szCs w:val="24"/>
        </w:rPr>
      </w:pPr>
      <w:r w:rsidRPr="00082ABB">
        <w:rPr>
          <w:rFonts w:ascii="Book Antiqua" w:hAnsi="Book Antiqua"/>
          <w:b/>
          <w:caps/>
          <w:sz w:val="24"/>
          <w:szCs w:val="24"/>
        </w:rPr>
        <w:t>Other targeted agents</w:t>
      </w:r>
    </w:p>
    <w:p w:rsidR="007B256D" w:rsidRPr="00082ABB" w:rsidRDefault="00A522C9" w:rsidP="007061C9">
      <w:pPr>
        <w:snapToGrid w:val="0"/>
        <w:spacing w:line="360" w:lineRule="auto"/>
        <w:rPr>
          <w:rFonts w:ascii="Book Antiqua" w:eastAsia="宋体" w:hAnsi="Book Antiqua"/>
          <w:sz w:val="24"/>
          <w:szCs w:val="24"/>
          <w:lang w:eastAsia="zh-CN"/>
        </w:rPr>
      </w:pPr>
      <w:r w:rsidRPr="00082ABB">
        <w:rPr>
          <w:rFonts w:ascii="Book Antiqua" w:hAnsi="Book Antiqua"/>
          <w:sz w:val="24"/>
          <w:szCs w:val="24"/>
        </w:rPr>
        <w:t>The efficacy of chemotherapy combined with tyrosine kinase inhibitor of the EGFR (gefitinib or erlotinib) was evaluat</w:t>
      </w:r>
      <w:r w:rsidR="002A5720" w:rsidRPr="00082ABB">
        <w:rPr>
          <w:rFonts w:ascii="Book Antiqua" w:hAnsi="Book Antiqua"/>
          <w:sz w:val="24"/>
          <w:szCs w:val="24"/>
        </w:rPr>
        <w:t>ed in several phase II studies.</w:t>
      </w:r>
      <w:r w:rsidRPr="00082ABB">
        <w:rPr>
          <w:rFonts w:ascii="Book Antiqua" w:hAnsi="Book Antiqua"/>
          <w:sz w:val="24"/>
          <w:szCs w:val="24"/>
        </w:rPr>
        <w:t xml:space="preserve"> </w:t>
      </w:r>
      <w:r w:rsidR="002A5720" w:rsidRPr="00082ABB">
        <w:rPr>
          <w:rFonts w:ascii="Book Antiqua" w:hAnsi="Book Antiqua"/>
          <w:sz w:val="24"/>
          <w:szCs w:val="24"/>
        </w:rPr>
        <w:t xml:space="preserve">First, a total of 27 patients with pretreated mCRC received FOLFOX plus gefitinib in </w:t>
      </w:r>
      <w:r w:rsidR="00A77F92" w:rsidRPr="00082ABB">
        <w:rPr>
          <w:rFonts w:ascii="Book Antiqua" w:hAnsi="Book Antiqua"/>
          <w:sz w:val="24"/>
          <w:szCs w:val="24"/>
        </w:rPr>
        <w:t xml:space="preserve">the </w:t>
      </w:r>
      <w:r w:rsidR="000D525E" w:rsidRPr="00082ABB">
        <w:rPr>
          <w:rFonts w:ascii="Book Antiqua" w:hAnsi="Book Antiqua"/>
          <w:sz w:val="24"/>
          <w:szCs w:val="24"/>
        </w:rPr>
        <w:t xml:space="preserve">single-arm phase II </w:t>
      </w:r>
      <w:proofErr w:type="gramStart"/>
      <w:r w:rsidR="000D525E" w:rsidRPr="00082ABB">
        <w:rPr>
          <w:rFonts w:ascii="Book Antiqua" w:hAnsi="Book Antiqua"/>
          <w:sz w:val="24"/>
          <w:szCs w:val="24"/>
        </w:rPr>
        <w:t>study</w:t>
      </w:r>
      <w:r w:rsidR="002A5720"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92</w:t>
      </w:r>
      <w:r w:rsidR="002A5720" w:rsidRPr="00082ABB">
        <w:rPr>
          <w:rFonts w:ascii="Book Antiqua" w:hAnsi="Book Antiqua"/>
          <w:sz w:val="24"/>
          <w:szCs w:val="24"/>
          <w:vertAlign w:val="superscript"/>
        </w:rPr>
        <w:t>]</w:t>
      </w:r>
      <w:r w:rsidR="002A5720" w:rsidRPr="00082ABB">
        <w:rPr>
          <w:rFonts w:ascii="Book Antiqua" w:hAnsi="Book Antiqua"/>
          <w:sz w:val="24"/>
          <w:szCs w:val="24"/>
        </w:rPr>
        <w:t xml:space="preserve">.  The ORR was 33% and median PFS was 5.4 months.  Most common </w:t>
      </w:r>
      <w:r w:rsidR="00A77F92" w:rsidRPr="00082ABB">
        <w:rPr>
          <w:rFonts w:ascii="Book Antiqua" w:hAnsi="Book Antiqua"/>
          <w:sz w:val="24"/>
          <w:szCs w:val="24"/>
        </w:rPr>
        <w:t>G</w:t>
      </w:r>
      <w:r w:rsidR="002A5720" w:rsidRPr="00082ABB">
        <w:rPr>
          <w:rFonts w:ascii="Book Antiqua" w:hAnsi="Book Antiqua"/>
          <w:sz w:val="24"/>
          <w:szCs w:val="24"/>
        </w:rPr>
        <w:t>rade</w:t>
      </w:r>
      <w:r w:rsidR="000C2949" w:rsidRPr="00082ABB">
        <w:rPr>
          <w:rFonts w:ascii="Book Antiqua" w:hAnsi="Book Antiqua"/>
          <w:sz w:val="24"/>
          <w:szCs w:val="24"/>
        </w:rPr>
        <w:t xml:space="preserve"> 3/</w:t>
      </w:r>
      <w:r w:rsidR="002A5720" w:rsidRPr="00082ABB">
        <w:rPr>
          <w:rFonts w:ascii="Book Antiqua" w:hAnsi="Book Antiqua"/>
          <w:sz w:val="24"/>
          <w:szCs w:val="24"/>
        </w:rPr>
        <w:t xml:space="preserve">4 toxicities were neutropenia (48%) and diarrhea (48%). </w:t>
      </w:r>
      <w:r w:rsidR="00A77F92" w:rsidRPr="00082ABB">
        <w:rPr>
          <w:rFonts w:ascii="Book Antiqua" w:hAnsi="Book Antiqua"/>
          <w:sz w:val="24"/>
          <w:szCs w:val="24"/>
        </w:rPr>
        <w:t xml:space="preserve">Second, the phase II study was conducted in 100 mCRC patients to compare FOLFIRI plus gefitinib with FOLFIRI alone as first-line </w:t>
      </w:r>
      <w:proofErr w:type="gramStart"/>
      <w:r w:rsidR="00A77F92" w:rsidRPr="00082ABB">
        <w:rPr>
          <w:rFonts w:ascii="Book Antiqua" w:hAnsi="Book Antiqua"/>
          <w:sz w:val="24"/>
          <w:szCs w:val="24"/>
        </w:rPr>
        <w:t>setting</w:t>
      </w:r>
      <w:r w:rsidR="0085610D"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93</w:t>
      </w:r>
      <w:r w:rsidR="005B590E" w:rsidRPr="00082ABB">
        <w:rPr>
          <w:rFonts w:ascii="Book Antiqua" w:hAnsi="Book Antiqua"/>
          <w:sz w:val="24"/>
          <w:szCs w:val="24"/>
          <w:vertAlign w:val="superscript"/>
        </w:rPr>
        <w:t>]</w:t>
      </w:r>
      <w:r w:rsidR="00A77F92" w:rsidRPr="00082ABB">
        <w:rPr>
          <w:rFonts w:ascii="Book Antiqua" w:hAnsi="Book Antiqua"/>
          <w:sz w:val="24"/>
          <w:szCs w:val="24"/>
        </w:rPr>
        <w:t xml:space="preserve">. The adding gefitinib to FOLFIRI demonstrate no improvement of ORR (47.9% </w:t>
      </w:r>
      <w:r w:rsidR="00A77F92" w:rsidRPr="00082ABB">
        <w:rPr>
          <w:rFonts w:ascii="Book Antiqua" w:hAnsi="Book Antiqua"/>
          <w:i/>
          <w:sz w:val="24"/>
          <w:szCs w:val="24"/>
        </w:rPr>
        <w:t xml:space="preserve">vs </w:t>
      </w:r>
      <w:r w:rsidR="00A77F92" w:rsidRPr="00082ABB">
        <w:rPr>
          <w:rFonts w:ascii="Book Antiqua" w:hAnsi="Book Antiqua"/>
          <w:sz w:val="24"/>
          <w:szCs w:val="24"/>
        </w:rPr>
        <w:t xml:space="preserve">45.1%) or PFS (8.3 </w:t>
      </w:r>
      <w:bookmarkStart w:id="20" w:name="OLE_LINK2"/>
      <w:bookmarkStart w:id="21" w:name="OLE_LINK3"/>
      <w:r w:rsidR="000D525E" w:rsidRPr="00082ABB">
        <w:rPr>
          <w:rFonts w:ascii="Book Antiqua" w:eastAsia="宋体" w:hAnsi="Book Antiqua"/>
          <w:sz w:val="24"/>
          <w:szCs w:val="24"/>
          <w:lang w:eastAsia="zh-CN"/>
        </w:rPr>
        <w:t xml:space="preserve">mo </w:t>
      </w:r>
      <w:r w:rsidR="00A77F92" w:rsidRPr="00082ABB">
        <w:rPr>
          <w:rFonts w:ascii="Book Antiqua" w:hAnsi="Book Antiqua"/>
          <w:i/>
          <w:sz w:val="24"/>
          <w:szCs w:val="24"/>
        </w:rPr>
        <w:t>vs</w:t>
      </w:r>
      <w:bookmarkEnd w:id="20"/>
      <w:bookmarkEnd w:id="21"/>
      <w:r w:rsidR="00A77F92" w:rsidRPr="00082ABB">
        <w:rPr>
          <w:rFonts w:ascii="Book Antiqua" w:hAnsi="Book Antiqua"/>
          <w:sz w:val="24"/>
          <w:szCs w:val="24"/>
        </w:rPr>
        <w:t xml:space="preserve"> 8.3 mo) compared with FOLFIRI alone, but had more toxicities with Grade 3/4 (67.3% </w:t>
      </w:r>
      <w:r w:rsidR="00A77F92" w:rsidRPr="00082ABB">
        <w:rPr>
          <w:rFonts w:ascii="Book Antiqua" w:hAnsi="Book Antiqua"/>
          <w:i/>
          <w:sz w:val="24"/>
          <w:szCs w:val="24"/>
        </w:rPr>
        <w:t>vs</w:t>
      </w:r>
      <w:r w:rsidR="00A77F92" w:rsidRPr="00082ABB">
        <w:rPr>
          <w:rFonts w:ascii="Book Antiqua" w:hAnsi="Book Antiqua"/>
          <w:sz w:val="24"/>
          <w:szCs w:val="24"/>
        </w:rPr>
        <w:t xml:space="preserve"> 52.1%). </w:t>
      </w:r>
      <w:r w:rsidR="005B590E" w:rsidRPr="00082ABB">
        <w:rPr>
          <w:rFonts w:ascii="Book Antiqua" w:hAnsi="Book Antiqua"/>
          <w:sz w:val="24"/>
          <w:szCs w:val="24"/>
        </w:rPr>
        <w:t>Finally</w:t>
      </w:r>
      <w:r w:rsidR="00A77F92" w:rsidRPr="00082ABB">
        <w:rPr>
          <w:rFonts w:ascii="Book Antiqua" w:hAnsi="Book Antiqua"/>
          <w:sz w:val="24"/>
          <w:szCs w:val="24"/>
        </w:rPr>
        <w:t xml:space="preserve">, </w:t>
      </w:r>
      <w:r w:rsidR="00A1296B" w:rsidRPr="00082ABB">
        <w:rPr>
          <w:rFonts w:ascii="Book Antiqua" w:hAnsi="Book Antiqua"/>
          <w:sz w:val="24"/>
          <w:szCs w:val="24"/>
        </w:rPr>
        <w:t>the efficacy of capecitabine plus erlotin</w:t>
      </w:r>
      <w:r w:rsidR="00173542" w:rsidRPr="00082ABB">
        <w:rPr>
          <w:rFonts w:ascii="Book Antiqua" w:hAnsi="Book Antiqua"/>
          <w:sz w:val="24"/>
          <w:szCs w:val="24"/>
        </w:rPr>
        <w:t>i</w:t>
      </w:r>
      <w:r w:rsidR="00A1296B" w:rsidRPr="00082ABB">
        <w:rPr>
          <w:rFonts w:ascii="Book Antiqua" w:hAnsi="Book Antiqua"/>
          <w:sz w:val="24"/>
          <w:szCs w:val="24"/>
        </w:rPr>
        <w:t>b in chemo-naïve mCRC patiens</w:t>
      </w:r>
      <w:r w:rsidR="00A77F92" w:rsidRPr="00082ABB">
        <w:rPr>
          <w:rFonts w:ascii="Book Antiqua" w:hAnsi="Book Antiqua"/>
          <w:sz w:val="24"/>
          <w:szCs w:val="24"/>
        </w:rPr>
        <w:t xml:space="preserve"> </w:t>
      </w:r>
      <w:r w:rsidR="00A1296B" w:rsidRPr="00082ABB">
        <w:rPr>
          <w:rFonts w:ascii="Book Antiqua" w:hAnsi="Book Antiqua"/>
          <w:sz w:val="24"/>
          <w:szCs w:val="24"/>
        </w:rPr>
        <w:t xml:space="preserve">was evaluated in a small sample size </w:t>
      </w:r>
      <w:r w:rsidR="005B590E" w:rsidRPr="00082ABB">
        <w:rPr>
          <w:rFonts w:ascii="Book Antiqua" w:hAnsi="Book Antiqua"/>
          <w:sz w:val="24"/>
          <w:szCs w:val="24"/>
        </w:rPr>
        <w:t xml:space="preserve">phase II </w:t>
      </w:r>
      <w:proofErr w:type="gramStart"/>
      <w:r w:rsidR="005B590E" w:rsidRPr="00082ABB">
        <w:rPr>
          <w:rFonts w:ascii="Book Antiqua" w:hAnsi="Book Antiqua"/>
          <w:sz w:val="24"/>
          <w:szCs w:val="24"/>
        </w:rPr>
        <w:t>study</w:t>
      </w:r>
      <w:r w:rsidR="0085610D"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94</w:t>
      </w:r>
      <w:r w:rsidR="00173542" w:rsidRPr="00082ABB">
        <w:rPr>
          <w:rFonts w:ascii="Book Antiqua" w:hAnsi="Book Antiqua"/>
          <w:sz w:val="24"/>
          <w:szCs w:val="24"/>
          <w:vertAlign w:val="superscript"/>
        </w:rPr>
        <w:t>]</w:t>
      </w:r>
      <w:r w:rsidR="005B590E" w:rsidRPr="00082ABB">
        <w:rPr>
          <w:rFonts w:ascii="Book Antiqua" w:hAnsi="Book Antiqua"/>
          <w:sz w:val="24"/>
          <w:szCs w:val="24"/>
        </w:rPr>
        <w:t xml:space="preserve">. A total of thirteen patients with mCRC were enrolled in this phase II study. The ORR was 20% (2/10), but 4 of 13 patients </w:t>
      </w:r>
      <w:r w:rsidR="005B590E" w:rsidRPr="00082ABB">
        <w:rPr>
          <w:rFonts w:ascii="Book Antiqua" w:hAnsi="Book Antiqua"/>
          <w:sz w:val="24"/>
          <w:szCs w:val="24"/>
        </w:rPr>
        <w:lastRenderedPageBreak/>
        <w:t>discontinued therapy because of adverse events</w:t>
      </w:r>
      <w:r w:rsidR="00173542" w:rsidRPr="00082ABB">
        <w:rPr>
          <w:rFonts w:ascii="Book Antiqua" w:hAnsi="Book Antiqua"/>
          <w:sz w:val="24"/>
          <w:szCs w:val="24"/>
        </w:rPr>
        <w:t>. From these results, the adding the EGFR tyrosine kinase inhibitor with chemotherapy showed high toxici</w:t>
      </w:r>
      <w:r w:rsidR="000D525E" w:rsidRPr="00082ABB">
        <w:rPr>
          <w:rFonts w:ascii="Book Antiqua" w:hAnsi="Book Antiqua"/>
          <w:sz w:val="24"/>
          <w:szCs w:val="24"/>
        </w:rPr>
        <w:t>ties and no improvement of ORR.</w:t>
      </w:r>
    </w:p>
    <w:p w:rsidR="00106D85" w:rsidRPr="00082ABB" w:rsidRDefault="007B256D" w:rsidP="000D525E">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 xml:space="preserve">Two </w:t>
      </w:r>
      <w:r w:rsidR="00087F57" w:rsidRPr="00082ABB">
        <w:rPr>
          <w:rFonts w:ascii="Book Antiqua" w:hAnsi="Book Antiqua"/>
          <w:sz w:val="24"/>
          <w:szCs w:val="24"/>
        </w:rPr>
        <w:t xml:space="preserve">targeted agents, ganitumab and conatumumab, were evaluated in the </w:t>
      </w:r>
      <w:r w:rsidR="00F22A85" w:rsidRPr="00082ABB">
        <w:rPr>
          <w:rFonts w:ascii="Book Antiqua" w:hAnsi="Book Antiqua"/>
          <w:sz w:val="24"/>
          <w:szCs w:val="24"/>
        </w:rPr>
        <w:t xml:space="preserve">randomized </w:t>
      </w:r>
      <w:r w:rsidR="00087F57" w:rsidRPr="00082ABB">
        <w:rPr>
          <w:rFonts w:ascii="Book Antiqua" w:hAnsi="Book Antiqua"/>
          <w:sz w:val="24"/>
          <w:szCs w:val="24"/>
        </w:rPr>
        <w:t xml:space="preserve">phase II study in mCRC patients with mutant </w:t>
      </w:r>
      <w:r w:rsidR="00087F57" w:rsidRPr="00082ABB">
        <w:rPr>
          <w:rFonts w:ascii="Book Antiqua" w:hAnsi="Book Antiqua"/>
          <w:i/>
          <w:sz w:val="24"/>
          <w:szCs w:val="24"/>
        </w:rPr>
        <w:t>KRAS</w:t>
      </w:r>
      <w:r w:rsidR="000D525E" w:rsidRPr="00082ABB">
        <w:rPr>
          <w:rFonts w:ascii="Book Antiqua" w:hAnsi="Book Antiqua"/>
          <w:sz w:val="24"/>
          <w:szCs w:val="24"/>
        </w:rPr>
        <w:t xml:space="preserve"> as second-line </w:t>
      </w:r>
      <w:proofErr w:type="gramStart"/>
      <w:r w:rsidR="000D525E" w:rsidRPr="00082ABB">
        <w:rPr>
          <w:rFonts w:ascii="Book Antiqua" w:hAnsi="Book Antiqua"/>
          <w:sz w:val="24"/>
          <w:szCs w:val="24"/>
        </w:rPr>
        <w:t>setting</w:t>
      </w:r>
      <w:r w:rsidR="0085610D"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95</w:t>
      </w:r>
      <w:r w:rsidR="00087F57" w:rsidRPr="00082ABB">
        <w:rPr>
          <w:rFonts w:ascii="Book Antiqua" w:hAnsi="Book Antiqua"/>
          <w:sz w:val="24"/>
          <w:szCs w:val="24"/>
          <w:vertAlign w:val="superscript"/>
        </w:rPr>
        <w:t>]</w:t>
      </w:r>
      <w:r w:rsidR="00087F57" w:rsidRPr="00082ABB">
        <w:rPr>
          <w:rFonts w:ascii="Book Antiqua" w:hAnsi="Book Antiqua"/>
          <w:sz w:val="24"/>
          <w:szCs w:val="24"/>
        </w:rPr>
        <w:t xml:space="preserve">. Ganitumab is a human IgG monoclonal antibody targeting the type I insulin-like growth factor receptor and conatumumab is a </w:t>
      </w:r>
      <w:r w:rsidR="00CC1702" w:rsidRPr="00082ABB">
        <w:rPr>
          <w:rFonts w:ascii="Book Antiqua" w:hAnsi="Book Antiqua"/>
          <w:sz w:val="24"/>
          <w:szCs w:val="24"/>
        </w:rPr>
        <w:t>fully human monoclonal IgG1 antibody targeting the proapoptoic death receptors 5.</w:t>
      </w:r>
      <w:r w:rsidR="00173542" w:rsidRPr="00082ABB">
        <w:rPr>
          <w:rFonts w:ascii="Book Antiqua" w:hAnsi="Book Antiqua"/>
          <w:sz w:val="24"/>
          <w:szCs w:val="24"/>
        </w:rPr>
        <w:t xml:space="preserve"> </w:t>
      </w:r>
      <w:r w:rsidR="00F22A85" w:rsidRPr="00082ABB">
        <w:rPr>
          <w:rFonts w:ascii="Book Antiqua" w:hAnsi="Book Antiqua"/>
          <w:sz w:val="24"/>
          <w:szCs w:val="24"/>
        </w:rPr>
        <w:t xml:space="preserve">A total of 155 patients were randomized 1:1:1 to receive FOLFIRI plus conatumumab, ganitumab, or placebo. </w:t>
      </w:r>
      <w:r w:rsidR="006A4599" w:rsidRPr="00082ABB">
        <w:rPr>
          <w:rFonts w:ascii="Book Antiqua" w:hAnsi="Book Antiqua"/>
          <w:sz w:val="24"/>
          <w:szCs w:val="24"/>
        </w:rPr>
        <w:t>The median PFS was 6.5 months (HR</w:t>
      </w:r>
      <w:r w:rsidR="000D525E" w:rsidRPr="00082ABB">
        <w:rPr>
          <w:rFonts w:ascii="Book Antiqua" w:eastAsia="宋体" w:hAnsi="Book Antiqua"/>
          <w:sz w:val="24"/>
          <w:szCs w:val="24"/>
          <w:lang w:eastAsia="zh-CN"/>
        </w:rPr>
        <w:t xml:space="preserve"> = </w:t>
      </w:r>
      <w:r w:rsidR="006A4599" w:rsidRPr="00082ABB">
        <w:rPr>
          <w:rFonts w:ascii="Book Antiqua" w:hAnsi="Book Antiqua"/>
          <w:sz w:val="24"/>
          <w:szCs w:val="24"/>
        </w:rPr>
        <w:t xml:space="preserve">0.69; </w:t>
      </w:r>
      <w:r w:rsidR="006A4599" w:rsidRPr="00082ABB">
        <w:rPr>
          <w:rFonts w:ascii="Book Antiqua" w:hAnsi="Book Antiqua"/>
          <w:i/>
          <w:sz w:val="24"/>
          <w:szCs w:val="24"/>
        </w:rPr>
        <w:t>P</w:t>
      </w:r>
      <w:r w:rsidR="006A4599" w:rsidRPr="00082ABB">
        <w:rPr>
          <w:rFonts w:ascii="Book Antiqua" w:hAnsi="Book Antiqua"/>
          <w:sz w:val="24"/>
          <w:szCs w:val="24"/>
        </w:rPr>
        <w:t xml:space="preserve"> = 0.147), 4.5 months (HR</w:t>
      </w:r>
      <w:r w:rsidR="000D525E" w:rsidRPr="00082ABB">
        <w:rPr>
          <w:rFonts w:ascii="Book Antiqua" w:eastAsia="宋体" w:hAnsi="Book Antiqua"/>
          <w:sz w:val="24"/>
          <w:szCs w:val="24"/>
          <w:lang w:eastAsia="zh-CN"/>
        </w:rPr>
        <w:t xml:space="preserve"> = </w:t>
      </w:r>
      <w:r w:rsidR="006A4599" w:rsidRPr="00082ABB">
        <w:rPr>
          <w:rFonts w:ascii="Book Antiqua" w:hAnsi="Book Antiqua"/>
          <w:sz w:val="24"/>
          <w:szCs w:val="24"/>
        </w:rPr>
        <w:t xml:space="preserve">1.01; </w:t>
      </w:r>
      <w:r w:rsidR="006A4599" w:rsidRPr="00082ABB">
        <w:rPr>
          <w:rFonts w:ascii="Book Antiqua" w:hAnsi="Book Antiqua"/>
          <w:i/>
          <w:sz w:val="24"/>
          <w:szCs w:val="24"/>
        </w:rPr>
        <w:t>P</w:t>
      </w:r>
      <w:r w:rsidR="006A4599" w:rsidRPr="00082ABB">
        <w:rPr>
          <w:rFonts w:ascii="Book Antiqua" w:hAnsi="Book Antiqua"/>
          <w:sz w:val="24"/>
          <w:szCs w:val="24"/>
        </w:rPr>
        <w:t xml:space="preserve"> = 0.998), and 4.6 months. The median OS was similar between three arms (12.3 </w:t>
      </w:r>
      <w:r w:rsidR="000D525E" w:rsidRPr="00082ABB">
        <w:rPr>
          <w:rFonts w:ascii="Book Antiqua" w:eastAsia="宋体" w:hAnsi="Book Antiqua"/>
          <w:sz w:val="24"/>
          <w:szCs w:val="24"/>
          <w:lang w:eastAsia="zh-CN"/>
        </w:rPr>
        <w:t xml:space="preserve">mo </w:t>
      </w:r>
      <w:r w:rsidR="000D525E" w:rsidRPr="00082ABB">
        <w:rPr>
          <w:rFonts w:ascii="Book Antiqua" w:hAnsi="Book Antiqua"/>
          <w:i/>
          <w:sz w:val="24"/>
          <w:szCs w:val="24"/>
        </w:rPr>
        <w:t>vs</w:t>
      </w:r>
      <w:r w:rsidR="006A4599" w:rsidRPr="00082ABB">
        <w:rPr>
          <w:rFonts w:ascii="Book Antiqua" w:hAnsi="Book Antiqua"/>
          <w:sz w:val="24"/>
          <w:szCs w:val="24"/>
        </w:rPr>
        <w:t xml:space="preserve"> 12.4 </w:t>
      </w:r>
      <w:r w:rsidR="000D525E" w:rsidRPr="00082ABB">
        <w:rPr>
          <w:rFonts w:ascii="Book Antiqua" w:eastAsia="宋体" w:hAnsi="Book Antiqua"/>
          <w:sz w:val="24"/>
          <w:szCs w:val="24"/>
          <w:lang w:eastAsia="zh-CN"/>
        </w:rPr>
        <w:t xml:space="preserve">mo </w:t>
      </w:r>
      <w:r w:rsidR="000D525E" w:rsidRPr="00082ABB">
        <w:rPr>
          <w:rFonts w:ascii="Book Antiqua" w:hAnsi="Book Antiqua"/>
          <w:i/>
          <w:sz w:val="24"/>
          <w:szCs w:val="24"/>
        </w:rPr>
        <w:t>vs</w:t>
      </w:r>
      <w:r w:rsidR="006A4599" w:rsidRPr="00082ABB">
        <w:rPr>
          <w:rFonts w:ascii="Book Antiqua" w:hAnsi="Book Antiqua"/>
          <w:sz w:val="24"/>
          <w:szCs w:val="24"/>
        </w:rPr>
        <w:t xml:space="preserve"> 12.0 mo). </w:t>
      </w:r>
    </w:p>
    <w:p w:rsidR="00106D85" w:rsidRPr="00082ABB" w:rsidRDefault="006A4599" w:rsidP="000D525E">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 xml:space="preserve">Recently, </w:t>
      </w:r>
      <w:r w:rsidR="00C67265" w:rsidRPr="00082ABB">
        <w:rPr>
          <w:rFonts w:ascii="Book Antiqua" w:hAnsi="Book Antiqua"/>
          <w:sz w:val="24"/>
          <w:szCs w:val="24"/>
        </w:rPr>
        <w:t>the clinical benefit of dual-targeted therapy with trastuzumab and lapatinib in patients with KRAS wild type, HER2-positive mCRC in</w:t>
      </w:r>
      <w:r w:rsidR="000D525E" w:rsidRPr="00082ABB">
        <w:rPr>
          <w:rFonts w:ascii="Book Antiqua" w:hAnsi="Book Antiqua"/>
          <w:sz w:val="24"/>
          <w:szCs w:val="24"/>
        </w:rPr>
        <w:t xml:space="preserve"> the phase II HERACLES </w:t>
      </w:r>
      <w:proofErr w:type="gramStart"/>
      <w:r w:rsidR="000D525E" w:rsidRPr="00082ABB">
        <w:rPr>
          <w:rFonts w:ascii="Book Antiqua" w:hAnsi="Book Antiqua"/>
          <w:sz w:val="24"/>
          <w:szCs w:val="24"/>
        </w:rPr>
        <w:t>study</w:t>
      </w:r>
      <w:r w:rsidR="0085610D" w:rsidRPr="00082ABB">
        <w:rPr>
          <w:rFonts w:ascii="Book Antiqua" w:hAnsi="Book Antiqua"/>
          <w:sz w:val="24"/>
          <w:szCs w:val="24"/>
          <w:vertAlign w:val="superscript"/>
        </w:rPr>
        <w:t>[</w:t>
      </w:r>
      <w:proofErr w:type="gramEnd"/>
      <w:r w:rsidR="0085610D" w:rsidRPr="00082ABB">
        <w:rPr>
          <w:rFonts w:ascii="Book Antiqua" w:hAnsi="Book Antiqua"/>
          <w:sz w:val="24"/>
          <w:szCs w:val="24"/>
          <w:vertAlign w:val="superscript"/>
        </w:rPr>
        <w:t>96</w:t>
      </w:r>
      <w:r w:rsidR="00890E14" w:rsidRPr="00082ABB">
        <w:rPr>
          <w:rFonts w:ascii="Book Antiqua" w:hAnsi="Book Antiqua"/>
          <w:sz w:val="24"/>
          <w:szCs w:val="24"/>
          <w:vertAlign w:val="superscript"/>
        </w:rPr>
        <w:t>]</w:t>
      </w:r>
      <w:r w:rsidR="00C67265" w:rsidRPr="00082ABB">
        <w:rPr>
          <w:rFonts w:ascii="Book Antiqua" w:hAnsi="Book Antiqua"/>
          <w:sz w:val="24"/>
          <w:szCs w:val="24"/>
        </w:rPr>
        <w:t xml:space="preserve">. </w:t>
      </w:r>
      <w:r w:rsidR="007475F3" w:rsidRPr="00082ABB">
        <w:rPr>
          <w:rFonts w:ascii="Book Antiqua" w:hAnsi="Book Antiqua"/>
          <w:sz w:val="24"/>
          <w:szCs w:val="24"/>
        </w:rPr>
        <w:t xml:space="preserve">In the HERACLES study, 914 patients with </w:t>
      </w:r>
      <w:r w:rsidR="007475F3" w:rsidRPr="00082ABB">
        <w:rPr>
          <w:rFonts w:ascii="Book Antiqua" w:hAnsi="Book Antiqua"/>
          <w:i/>
          <w:sz w:val="24"/>
          <w:szCs w:val="24"/>
        </w:rPr>
        <w:t>KRAS</w:t>
      </w:r>
      <w:r w:rsidR="007475F3" w:rsidRPr="00082ABB">
        <w:rPr>
          <w:rFonts w:ascii="Book Antiqua" w:hAnsi="Book Antiqua"/>
          <w:sz w:val="24"/>
          <w:szCs w:val="24"/>
        </w:rPr>
        <w:t xml:space="preserve"> exon </w:t>
      </w:r>
      <w:proofErr w:type="gramStart"/>
      <w:r w:rsidR="007475F3" w:rsidRPr="00082ABB">
        <w:rPr>
          <w:rFonts w:ascii="Book Antiqua" w:hAnsi="Book Antiqua"/>
          <w:sz w:val="24"/>
          <w:szCs w:val="24"/>
        </w:rPr>
        <w:t>2 wild type</w:t>
      </w:r>
      <w:proofErr w:type="gramEnd"/>
      <w:r w:rsidR="007475F3" w:rsidRPr="00082ABB">
        <w:rPr>
          <w:rFonts w:ascii="Book Antiqua" w:hAnsi="Book Antiqua"/>
          <w:sz w:val="24"/>
          <w:szCs w:val="24"/>
        </w:rPr>
        <w:t xml:space="preserve"> were screened, and 48 (5%) patients were identified as HER2-positive status.</w:t>
      </w:r>
      <w:r w:rsidR="000D525E" w:rsidRPr="00082ABB">
        <w:rPr>
          <w:rFonts w:ascii="Book Antiqua" w:eastAsia="宋体" w:hAnsi="Book Antiqua"/>
          <w:sz w:val="24"/>
          <w:szCs w:val="24"/>
          <w:lang w:eastAsia="zh-CN"/>
        </w:rPr>
        <w:t xml:space="preserve"> </w:t>
      </w:r>
      <w:r w:rsidR="007475F3" w:rsidRPr="00082ABB">
        <w:rPr>
          <w:rFonts w:ascii="Book Antiqua" w:hAnsi="Book Antiqua"/>
          <w:sz w:val="24"/>
          <w:szCs w:val="24"/>
        </w:rPr>
        <w:t>A total of 27 patients with HER2-positive received trastuzumab plus lapati</w:t>
      </w:r>
      <w:r w:rsidR="00C05521" w:rsidRPr="00082ABB">
        <w:rPr>
          <w:rFonts w:ascii="Book Antiqua" w:hAnsi="Book Antiqua"/>
          <w:sz w:val="24"/>
          <w:szCs w:val="24"/>
        </w:rPr>
        <w:t>n</w:t>
      </w:r>
      <w:r w:rsidR="007475F3" w:rsidRPr="00082ABB">
        <w:rPr>
          <w:rFonts w:ascii="Book Antiqua" w:hAnsi="Book Antiqua"/>
          <w:sz w:val="24"/>
          <w:szCs w:val="24"/>
        </w:rPr>
        <w:t xml:space="preserve">ib treatment as salvage setting. The ORR was 30% and the toxicity was tolerable. </w:t>
      </w:r>
      <w:r w:rsidR="00C05521" w:rsidRPr="00082ABB">
        <w:rPr>
          <w:rFonts w:ascii="Book Antiqua" w:hAnsi="Book Antiqua"/>
          <w:sz w:val="24"/>
          <w:szCs w:val="24"/>
        </w:rPr>
        <w:t>The combination of trastuzumab plus lapatinib might be a novel therapeutic option for patients with HER2-positive mCRC.</w:t>
      </w:r>
    </w:p>
    <w:p w:rsidR="00BC5F12" w:rsidRPr="00082ABB" w:rsidRDefault="00BC5F12" w:rsidP="007061C9">
      <w:pPr>
        <w:snapToGrid w:val="0"/>
        <w:spacing w:line="360" w:lineRule="auto"/>
        <w:rPr>
          <w:rFonts w:ascii="Book Antiqua" w:hAnsi="Book Antiqua"/>
          <w:sz w:val="24"/>
          <w:szCs w:val="24"/>
        </w:rPr>
      </w:pPr>
    </w:p>
    <w:p w:rsidR="00BC5F12" w:rsidRPr="00082ABB" w:rsidRDefault="00BC5F12" w:rsidP="007061C9">
      <w:pPr>
        <w:snapToGrid w:val="0"/>
        <w:spacing w:line="360" w:lineRule="auto"/>
        <w:rPr>
          <w:rFonts w:ascii="Book Antiqua" w:hAnsi="Book Antiqua"/>
          <w:b/>
          <w:sz w:val="24"/>
          <w:szCs w:val="24"/>
        </w:rPr>
      </w:pPr>
      <w:r w:rsidRPr="00082ABB">
        <w:rPr>
          <w:rFonts w:ascii="Book Antiqua" w:hAnsi="Book Antiqua"/>
          <w:b/>
          <w:sz w:val="24"/>
          <w:szCs w:val="24"/>
        </w:rPr>
        <w:t>CONCLUSION</w:t>
      </w:r>
    </w:p>
    <w:p w:rsidR="00BC5F12" w:rsidRPr="00082ABB" w:rsidRDefault="00BC5F12" w:rsidP="007061C9">
      <w:pPr>
        <w:snapToGrid w:val="0"/>
        <w:spacing w:line="360" w:lineRule="auto"/>
        <w:rPr>
          <w:rFonts w:ascii="Book Antiqua" w:hAnsi="Book Antiqua"/>
          <w:sz w:val="24"/>
          <w:szCs w:val="24"/>
        </w:rPr>
      </w:pPr>
      <w:r w:rsidRPr="00082ABB">
        <w:rPr>
          <w:rFonts w:ascii="Book Antiqua" w:hAnsi="Book Antiqua"/>
          <w:sz w:val="24"/>
          <w:szCs w:val="24"/>
        </w:rPr>
        <w:t xml:space="preserve">The development of biological and cytotoxic agents has contributed </w:t>
      </w:r>
      <w:r w:rsidR="004D2A1A" w:rsidRPr="00082ABB">
        <w:rPr>
          <w:rFonts w:ascii="Book Antiqua" w:hAnsi="Book Antiqua"/>
          <w:sz w:val="24"/>
          <w:szCs w:val="24"/>
        </w:rPr>
        <w:t xml:space="preserve">to </w:t>
      </w:r>
      <w:r w:rsidRPr="00082ABB">
        <w:rPr>
          <w:rFonts w:ascii="Book Antiqua" w:hAnsi="Book Antiqua"/>
          <w:sz w:val="24"/>
          <w:szCs w:val="24"/>
        </w:rPr>
        <w:t>prolonged survival in mCRC patients, with a median OS of approxima</w:t>
      </w:r>
      <w:r w:rsidR="00B9251C" w:rsidRPr="00082ABB">
        <w:rPr>
          <w:rFonts w:ascii="Book Antiqua" w:hAnsi="Book Antiqua"/>
          <w:sz w:val="24"/>
          <w:szCs w:val="24"/>
        </w:rPr>
        <w:t>tely two</w:t>
      </w:r>
      <w:r w:rsidR="004D2A1A" w:rsidRPr="00082ABB">
        <w:rPr>
          <w:rFonts w:ascii="Book Antiqua" w:hAnsi="Book Antiqua"/>
          <w:sz w:val="24"/>
          <w:szCs w:val="24"/>
        </w:rPr>
        <w:t xml:space="preserve"> </w:t>
      </w:r>
      <w:r w:rsidRPr="00082ABB">
        <w:rPr>
          <w:rFonts w:ascii="Book Antiqua" w:hAnsi="Book Antiqua"/>
          <w:sz w:val="24"/>
          <w:szCs w:val="24"/>
        </w:rPr>
        <w:t>years and more. In the past two decade</w:t>
      </w:r>
      <w:r w:rsidR="004D2A1A" w:rsidRPr="00082ABB">
        <w:rPr>
          <w:rFonts w:ascii="Book Antiqua" w:hAnsi="Book Antiqua"/>
          <w:sz w:val="24"/>
          <w:szCs w:val="24"/>
        </w:rPr>
        <w:t>s</w:t>
      </w:r>
      <w:r w:rsidRPr="00082ABB">
        <w:rPr>
          <w:rFonts w:ascii="Book Antiqua" w:hAnsi="Book Antiqua"/>
          <w:sz w:val="24"/>
          <w:szCs w:val="24"/>
        </w:rPr>
        <w:t xml:space="preserve">, many beneficial therapeutic options and regimens have appeared in daily practice </w:t>
      </w:r>
      <w:r w:rsidR="004D2A1A" w:rsidRPr="00082ABB">
        <w:rPr>
          <w:rFonts w:ascii="Book Antiqua" w:hAnsi="Book Antiqua"/>
          <w:sz w:val="24"/>
          <w:szCs w:val="24"/>
        </w:rPr>
        <w:t xml:space="preserve">for </w:t>
      </w:r>
      <w:r w:rsidRPr="00082ABB">
        <w:rPr>
          <w:rFonts w:ascii="Book Antiqua" w:hAnsi="Book Antiqua"/>
          <w:sz w:val="24"/>
          <w:szCs w:val="24"/>
        </w:rPr>
        <w:t>mCRC, based on the results from randomized clinical trials. Personalized therapy should be performed for mCRC patients according to their clinical and biologic</w:t>
      </w:r>
      <w:r w:rsidR="004D2A1A" w:rsidRPr="00082ABB">
        <w:rPr>
          <w:rFonts w:ascii="Book Antiqua" w:hAnsi="Book Antiqua"/>
          <w:sz w:val="24"/>
          <w:szCs w:val="24"/>
        </w:rPr>
        <w:t>al</w:t>
      </w:r>
      <w:r w:rsidRPr="00082ABB">
        <w:rPr>
          <w:rFonts w:ascii="Book Antiqua" w:hAnsi="Book Antiqua"/>
          <w:sz w:val="24"/>
          <w:szCs w:val="24"/>
        </w:rPr>
        <w:t xml:space="preserve"> factors, such as performance status, organ function, metastasis sites, and tumor biology including </w:t>
      </w:r>
      <w:r w:rsidRPr="00082ABB">
        <w:rPr>
          <w:rFonts w:ascii="Book Antiqua" w:hAnsi="Book Antiqua"/>
          <w:i/>
          <w:sz w:val="24"/>
          <w:szCs w:val="24"/>
        </w:rPr>
        <w:t>RAS</w:t>
      </w:r>
      <w:r w:rsidRPr="00082ABB">
        <w:rPr>
          <w:rFonts w:ascii="Book Antiqua" w:hAnsi="Book Antiqua"/>
          <w:sz w:val="24"/>
          <w:szCs w:val="24"/>
        </w:rPr>
        <w:t xml:space="preserve"> status. Especially in </w:t>
      </w:r>
      <w:r w:rsidRPr="00082ABB">
        <w:rPr>
          <w:rFonts w:ascii="Book Antiqua" w:hAnsi="Book Antiqua"/>
          <w:i/>
          <w:sz w:val="24"/>
          <w:szCs w:val="24"/>
        </w:rPr>
        <w:t>RAS</w:t>
      </w:r>
      <w:r w:rsidRPr="00082ABB">
        <w:rPr>
          <w:rFonts w:ascii="Book Antiqua" w:hAnsi="Book Antiqua"/>
          <w:sz w:val="24"/>
          <w:szCs w:val="24"/>
        </w:rPr>
        <w:t xml:space="preserve"> wild type mCRC, anti-EGFR agents, </w:t>
      </w:r>
      <w:r w:rsidRPr="00082ABB">
        <w:rPr>
          <w:rFonts w:ascii="Book Antiqua" w:hAnsi="Book Antiqua"/>
          <w:sz w:val="24"/>
          <w:szCs w:val="24"/>
        </w:rPr>
        <w:lastRenderedPageBreak/>
        <w:t xml:space="preserve">such as cetuximab and panitumumab, have </w:t>
      </w:r>
      <w:r w:rsidR="004D2A1A" w:rsidRPr="00082ABB">
        <w:rPr>
          <w:rFonts w:ascii="Book Antiqua" w:hAnsi="Book Antiqua"/>
          <w:sz w:val="24"/>
          <w:szCs w:val="24"/>
        </w:rPr>
        <w:t xml:space="preserve">been </w:t>
      </w:r>
      <w:r w:rsidRPr="00082ABB">
        <w:rPr>
          <w:rFonts w:ascii="Book Antiqua" w:hAnsi="Book Antiqua"/>
          <w:sz w:val="24"/>
          <w:szCs w:val="24"/>
        </w:rPr>
        <w:t xml:space="preserve">shown </w:t>
      </w:r>
      <w:r w:rsidR="004D2A1A" w:rsidRPr="00082ABB">
        <w:rPr>
          <w:rFonts w:ascii="Book Antiqua" w:hAnsi="Book Antiqua"/>
          <w:sz w:val="24"/>
          <w:szCs w:val="24"/>
        </w:rPr>
        <w:t xml:space="preserve">to </w:t>
      </w:r>
      <w:r w:rsidRPr="00082ABB">
        <w:rPr>
          <w:rFonts w:ascii="Book Antiqua" w:hAnsi="Book Antiqua"/>
          <w:sz w:val="24"/>
          <w:szCs w:val="24"/>
        </w:rPr>
        <w:t xml:space="preserve">improve objective response and survival in several clinical trials. Anti-EGFR agents are absolutely key drugs for </w:t>
      </w:r>
      <w:r w:rsidR="00F24C9D" w:rsidRPr="00082ABB">
        <w:rPr>
          <w:rFonts w:ascii="Book Antiqua" w:hAnsi="Book Antiqua"/>
          <w:sz w:val="24"/>
          <w:szCs w:val="24"/>
        </w:rPr>
        <w:t xml:space="preserve">the </w:t>
      </w:r>
      <w:r w:rsidRPr="00082ABB">
        <w:rPr>
          <w:rFonts w:ascii="Book Antiqua" w:hAnsi="Book Antiqua"/>
          <w:i/>
          <w:sz w:val="24"/>
          <w:szCs w:val="24"/>
        </w:rPr>
        <w:t>RAS</w:t>
      </w:r>
      <w:r w:rsidRPr="00082ABB">
        <w:rPr>
          <w:rFonts w:ascii="Book Antiqua" w:hAnsi="Book Antiqua"/>
          <w:sz w:val="24"/>
          <w:szCs w:val="24"/>
        </w:rPr>
        <w:t xml:space="preserve"> wild type population. Based on the evidence </w:t>
      </w:r>
      <w:r w:rsidR="00F24C9D" w:rsidRPr="00082ABB">
        <w:rPr>
          <w:rFonts w:ascii="Book Antiqua" w:hAnsi="Book Antiqua"/>
          <w:sz w:val="24"/>
          <w:szCs w:val="24"/>
        </w:rPr>
        <w:t xml:space="preserve">for </w:t>
      </w:r>
      <w:r w:rsidRPr="00082ABB">
        <w:rPr>
          <w:rFonts w:ascii="Book Antiqua" w:hAnsi="Book Antiqua"/>
          <w:sz w:val="24"/>
          <w:szCs w:val="24"/>
        </w:rPr>
        <w:t>anti-EGFR therapy as first-line, second-line, and salvage therapy, we should plan personalized treatment strateg</w:t>
      </w:r>
      <w:r w:rsidR="00F24C9D" w:rsidRPr="00082ABB">
        <w:rPr>
          <w:rFonts w:ascii="Book Antiqua" w:hAnsi="Book Antiqua"/>
          <w:sz w:val="24"/>
          <w:szCs w:val="24"/>
        </w:rPr>
        <w:t>ies</w:t>
      </w:r>
      <w:r w:rsidRPr="00082ABB">
        <w:rPr>
          <w:rFonts w:ascii="Book Antiqua" w:hAnsi="Book Antiqua"/>
          <w:sz w:val="24"/>
          <w:szCs w:val="24"/>
        </w:rPr>
        <w:t xml:space="preserve"> for patients with </w:t>
      </w:r>
      <w:r w:rsidRPr="00082ABB">
        <w:rPr>
          <w:rFonts w:ascii="Book Antiqua" w:hAnsi="Book Antiqua"/>
          <w:i/>
          <w:sz w:val="24"/>
          <w:szCs w:val="24"/>
        </w:rPr>
        <w:t>RAS</w:t>
      </w:r>
      <w:r w:rsidRPr="00082ABB">
        <w:rPr>
          <w:rFonts w:ascii="Book Antiqua" w:hAnsi="Book Antiqua"/>
          <w:sz w:val="24"/>
          <w:szCs w:val="24"/>
        </w:rPr>
        <w:t xml:space="preserve"> wild type mCRC. On the other hand, bevacizumab </w:t>
      </w:r>
      <w:r w:rsidR="00F24C9D" w:rsidRPr="00082ABB">
        <w:rPr>
          <w:rFonts w:ascii="Book Antiqua" w:hAnsi="Book Antiqua"/>
          <w:sz w:val="24"/>
          <w:szCs w:val="24"/>
        </w:rPr>
        <w:t xml:space="preserve">in </w:t>
      </w:r>
      <w:r w:rsidRPr="00082ABB">
        <w:rPr>
          <w:rFonts w:ascii="Book Antiqua" w:hAnsi="Book Antiqua"/>
          <w:sz w:val="24"/>
          <w:szCs w:val="24"/>
        </w:rPr>
        <w:t>combination with chemotherapy ha</w:t>
      </w:r>
      <w:r w:rsidR="00F24C9D" w:rsidRPr="00082ABB">
        <w:rPr>
          <w:rFonts w:ascii="Book Antiqua" w:hAnsi="Book Antiqua"/>
          <w:sz w:val="24"/>
          <w:szCs w:val="24"/>
        </w:rPr>
        <w:t>s</w:t>
      </w:r>
      <w:r w:rsidRPr="00082ABB">
        <w:rPr>
          <w:rFonts w:ascii="Book Antiqua" w:hAnsi="Book Antiqua"/>
          <w:sz w:val="24"/>
          <w:szCs w:val="24"/>
        </w:rPr>
        <w:t xml:space="preserve"> demonstrated clinical benefits in any treatment line. Bevacizumab </w:t>
      </w:r>
      <w:r w:rsidR="00F24C9D" w:rsidRPr="00082ABB">
        <w:rPr>
          <w:rFonts w:ascii="Book Antiqua" w:hAnsi="Book Antiqua"/>
          <w:sz w:val="24"/>
          <w:szCs w:val="24"/>
        </w:rPr>
        <w:t>has been shown t</w:t>
      </w:r>
      <w:r w:rsidRPr="00082ABB">
        <w:rPr>
          <w:rFonts w:ascii="Book Antiqua" w:hAnsi="Book Antiqua"/>
          <w:sz w:val="24"/>
          <w:szCs w:val="24"/>
        </w:rPr>
        <w:t>o fit any cytotoxic regimens, such as FOLFOX, CapeOX, FOLFIRI, FOLFOXIRI, SOX, or TAS-102. Moreover, continuing bevacizumab beyond progression prolonged survival in mCRC patients who experienced clinical benefit in prior bevacizumab</w:t>
      </w:r>
      <w:r w:rsidR="00F24C9D" w:rsidRPr="00082ABB">
        <w:rPr>
          <w:rFonts w:ascii="Book Antiqua" w:hAnsi="Book Antiqua"/>
          <w:sz w:val="24"/>
          <w:szCs w:val="24"/>
        </w:rPr>
        <w:t>-</w:t>
      </w:r>
      <w:r w:rsidRPr="00082ABB">
        <w:rPr>
          <w:rFonts w:ascii="Book Antiqua" w:hAnsi="Book Antiqua"/>
          <w:sz w:val="24"/>
          <w:szCs w:val="24"/>
        </w:rPr>
        <w:t xml:space="preserve">containing chemotherapy. In addition, we have many biological agents </w:t>
      </w:r>
      <w:r w:rsidR="00F24C9D" w:rsidRPr="00082ABB">
        <w:rPr>
          <w:rFonts w:ascii="Book Antiqua" w:hAnsi="Book Antiqua"/>
          <w:sz w:val="24"/>
          <w:szCs w:val="24"/>
        </w:rPr>
        <w:t xml:space="preserve">for </w:t>
      </w:r>
      <w:r w:rsidR="00B9251C" w:rsidRPr="00082ABB">
        <w:rPr>
          <w:rFonts w:ascii="Book Antiqua" w:hAnsi="Book Antiqua"/>
          <w:sz w:val="24"/>
          <w:szCs w:val="24"/>
        </w:rPr>
        <w:t xml:space="preserve">the </w:t>
      </w:r>
      <w:r w:rsidRPr="00082ABB">
        <w:rPr>
          <w:rFonts w:ascii="Book Antiqua" w:hAnsi="Book Antiqua"/>
          <w:sz w:val="24"/>
          <w:szCs w:val="24"/>
        </w:rPr>
        <w:t>second-line or salvage therapy, such as aflibercept, ramucirumab, and regorafenib. Based on the evidence and patients</w:t>
      </w:r>
      <w:r w:rsidR="00F24C9D" w:rsidRPr="00082ABB">
        <w:rPr>
          <w:rFonts w:ascii="Book Antiqua" w:hAnsi="Book Antiqua"/>
          <w:sz w:val="24"/>
          <w:szCs w:val="24"/>
        </w:rPr>
        <w:t>’</w:t>
      </w:r>
      <w:r w:rsidRPr="00082ABB">
        <w:rPr>
          <w:rFonts w:ascii="Book Antiqua" w:hAnsi="Book Antiqua"/>
          <w:sz w:val="24"/>
          <w:szCs w:val="24"/>
        </w:rPr>
        <w:t xml:space="preserve"> characteristics, it will be necessary </w:t>
      </w:r>
      <w:r w:rsidR="00F24C9D" w:rsidRPr="00082ABB">
        <w:rPr>
          <w:rFonts w:ascii="Book Antiqua" w:hAnsi="Book Antiqua"/>
          <w:sz w:val="24"/>
          <w:szCs w:val="24"/>
        </w:rPr>
        <w:t xml:space="preserve">to </w:t>
      </w:r>
      <w:r w:rsidRPr="00082ABB">
        <w:rPr>
          <w:rFonts w:ascii="Book Antiqua" w:hAnsi="Book Antiqua"/>
          <w:sz w:val="24"/>
          <w:szCs w:val="24"/>
        </w:rPr>
        <w:t>construct personali</w:t>
      </w:r>
      <w:r w:rsidR="00934636" w:rsidRPr="00082ABB">
        <w:rPr>
          <w:rFonts w:ascii="Book Antiqua" w:hAnsi="Book Antiqua"/>
          <w:sz w:val="24"/>
          <w:szCs w:val="24"/>
        </w:rPr>
        <w:t>zed therapy for mCRC patients.</w:t>
      </w:r>
    </w:p>
    <w:p w:rsidR="000D525E" w:rsidRPr="00082ABB" w:rsidRDefault="000D525E">
      <w:pPr>
        <w:widowControl/>
        <w:jc w:val="left"/>
        <w:rPr>
          <w:rFonts w:ascii="Book Antiqua" w:hAnsi="Book Antiqua"/>
          <w:sz w:val="24"/>
          <w:szCs w:val="24"/>
        </w:rPr>
      </w:pPr>
      <w:r w:rsidRPr="00082ABB">
        <w:rPr>
          <w:rFonts w:ascii="Book Antiqua" w:hAnsi="Book Antiqua"/>
          <w:sz w:val="24"/>
          <w:szCs w:val="24"/>
        </w:rPr>
        <w:br w:type="page"/>
      </w:r>
    </w:p>
    <w:p w:rsidR="002C3B1B" w:rsidRPr="00082ABB" w:rsidRDefault="002C3B1B" w:rsidP="007061C9">
      <w:pPr>
        <w:snapToGrid w:val="0"/>
        <w:spacing w:line="360" w:lineRule="auto"/>
        <w:rPr>
          <w:rFonts w:ascii="Book Antiqua" w:hAnsi="Book Antiqua"/>
          <w:b/>
          <w:caps/>
          <w:sz w:val="24"/>
          <w:szCs w:val="24"/>
        </w:rPr>
      </w:pPr>
      <w:r w:rsidRPr="00082ABB">
        <w:rPr>
          <w:rFonts w:ascii="Book Antiqua" w:hAnsi="Book Antiqua"/>
          <w:b/>
          <w:caps/>
          <w:sz w:val="24"/>
          <w:szCs w:val="24"/>
        </w:rPr>
        <w:lastRenderedPageBreak/>
        <w:t>References</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1 </w:t>
      </w:r>
      <w:r w:rsidRPr="00082ABB">
        <w:rPr>
          <w:rFonts w:ascii="Book Antiqua" w:eastAsia="宋体" w:hAnsi="Book Antiqua" w:cs="宋体"/>
          <w:b/>
          <w:bCs/>
          <w:kern w:val="0"/>
          <w:sz w:val="24"/>
          <w:szCs w:val="24"/>
        </w:rPr>
        <w:t>Siegel RL</w:t>
      </w:r>
      <w:r w:rsidRPr="00082ABB">
        <w:rPr>
          <w:rFonts w:ascii="Book Antiqua" w:eastAsia="宋体" w:hAnsi="Book Antiqua" w:cs="宋体"/>
          <w:kern w:val="0"/>
          <w:sz w:val="24"/>
          <w:szCs w:val="24"/>
        </w:rPr>
        <w:t>, Miller KD, Jemal A. Cancer statistics, 2016. </w:t>
      </w:r>
      <w:r w:rsidRPr="00082ABB">
        <w:rPr>
          <w:rFonts w:ascii="Book Antiqua" w:eastAsia="宋体" w:hAnsi="Book Antiqua" w:cs="宋体"/>
          <w:i/>
          <w:iCs/>
          <w:kern w:val="0"/>
          <w:sz w:val="24"/>
          <w:szCs w:val="24"/>
        </w:rPr>
        <w:t>CA Cancer J Clin</w:t>
      </w:r>
      <w:r w:rsidRPr="00082ABB">
        <w:rPr>
          <w:rFonts w:ascii="Book Antiqua" w:eastAsia="宋体" w:hAnsi="Book Antiqua" w:cs="宋体"/>
          <w:kern w:val="0"/>
          <w:sz w:val="24"/>
          <w:szCs w:val="24"/>
        </w:rPr>
        <w:t> 2016; </w:t>
      </w:r>
      <w:r w:rsidRPr="00082ABB">
        <w:rPr>
          <w:rFonts w:ascii="Book Antiqua" w:eastAsia="宋体" w:hAnsi="Book Antiqua" w:cs="宋体"/>
          <w:b/>
          <w:bCs/>
          <w:kern w:val="0"/>
          <w:sz w:val="24"/>
          <w:szCs w:val="24"/>
        </w:rPr>
        <w:t>66</w:t>
      </w:r>
      <w:r w:rsidRPr="00082ABB">
        <w:rPr>
          <w:rFonts w:ascii="Book Antiqua" w:eastAsia="宋体" w:hAnsi="Book Antiqua" w:cs="宋体"/>
          <w:kern w:val="0"/>
          <w:sz w:val="24"/>
          <w:szCs w:val="24"/>
        </w:rPr>
        <w:t>: 7-30 [PMID: 26742998 DOI: 10.3322/caac.21332]</w:t>
      </w:r>
    </w:p>
    <w:p w:rsidR="00F47B06" w:rsidRPr="00082ABB" w:rsidRDefault="00F47B06" w:rsidP="00F47B06">
      <w:pPr>
        <w:widowControl/>
        <w:spacing w:line="360" w:lineRule="auto"/>
        <w:rPr>
          <w:rFonts w:ascii="Book Antiqua" w:eastAsia="宋体" w:hAnsi="Book Antiqua" w:cs="宋体"/>
          <w:kern w:val="0"/>
          <w:sz w:val="24"/>
          <w:szCs w:val="24"/>
        </w:rPr>
      </w:pPr>
      <w:proofErr w:type="gramStart"/>
      <w:r w:rsidRPr="00082ABB">
        <w:rPr>
          <w:rFonts w:ascii="Book Antiqua" w:eastAsia="宋体" w:hAnsi="Book Antiqua" w:cs="宋体"/>
          <w:kern w:val="0"/>
          <w:sz w:val="24"/>
          <w:szCs w:val="24"/>
        </w:rPr>
        <w:t>2 </w:t>
      </w:r>
      <w:r w:rsidRPr="00082ABB">
        <w:rPr>
          <w:rFonts w:ascii="Book Antiqua" w:eastAsia="宋体" w:hAnsi="Book Antiqua" w:cs="宋体"/>
          <w:b/>
          <w:bCs/>
          <w:kern w:val="0"/>
          <w:sz w:val="24"/>
          <w:szCs w:val="24"/>
        </w:rPr>
        <w:t>Cheng L</w:t>
      </w:r>
      <w:r w:rsidRPr="00082ABB">
        <w:rPr>
          <w:rFonts w:ascii="Book Antiqua" w:eastAsia="宋体" w:hAnsi="Book Antiqua" w:cs="宋体"/>
          <w:kern w:val="0"/>
          <w:sz w:val="24"/>
          <w:szCs w:val="24"/>
        </w:rPr>
        <w:t>, Eng C, Nieman LZ, Kapadia AS, Du XL.</w:t>
      </w:r>
      <w:proofErr w:type="gramEnd"/>
      <w:r w:rsidRPr="00082ABB">
        <w:rPr>
          <w:rFonts w:ascii="Book Antiqua" w:eastAsia="宋体" w:hAnsi="Book Antiqua" w:cs="宋体"/>
          <w:kern w:val="0"/>
          <w:sz w:val="24"/>
          <w:szCs w:val="24"/>
        </w:rPr>
        <w:t xml:space="preserve"> Trends in colorectal cancer incidence by anatomic site and disease stage in the United States from 1976 to 2005. </w:t>
      </w:r>
      <w:r w:rsidRPr="00082ABB">
        <w:rPr>
          <w:rFonts w:ascii="Book Antiqua" w:eastAsia="宋体" w:hAnsi="Book Antiqua" w:cs="宋体"/>
          <w:i/>
          <w:iCs/>
          <w:kern w:val="0"/>
          <w:sz w:val="24"/>
          <w:szCs w:val="24"/>
        </w:rPr>
        <w:t>Am J Clin Oncol</w:t>
      </w:r>
      <w:r w:rsidRPr="00082ABB">
        <w:rPr>
          <w:rFonts w:ascii="Book Antiqua" w:eastAsia="宋体" w:hAnsi="Book Antiqua" w:cs="宋体"/>
          <w:kern w:val="0"/>
          <w:sz w:val="24"/>
          <w:szCs w:val="24"/>
        </w:rPr>
        <w:t> 2011; </w:t>
      </w:r>
      <w:r w:rsidRPr="00082ABB">
        <w:rPr>
          <w:rFonts w:ascii="Book Antiqua" w:eastAsia="宋体" w:hAnsi="Book Antiqua" w:cs="宋体"/>
          <w:b/>
          <w:bCs/>
          <w:kern w:val="0"/>
          <w:sz w:val="24"/>
          <w:szCs w:val="24"/>
        </w:rPr>
        <w:t>34</w:t>
      </w:r>
      <w:r w:rsidRPr="00082ABB">
        <w:rPr>
          <w:rFonts w:ascii="Book Antiqua" w:eastAsia="宋体" w:hAnsi="Book Antiqua" w:cs="宋体"/>
          <w:kern w:val="0"/>
          <w:sz w:val="24"/>
          <w:szCs w:val="24"/>
        </w:rPr>
        <w:t>: 573-580 [PMID: 21217399 DOI: 10.1097/COC.0b013e3181fe41ed]</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3 </w:t>
      </w:r>
      <w:r w:rsidRPr="00082ABB">
        <w:rPr>
          <w:rFonts w:ascii="Book Antiqua" w:eastAsia="宋体" w:hAnsi="Book Antiqua" w:cs="宋体"/>
          <w:b/>
          <w:bCs/>
          <w:kern w:val="0"/>
          <w:sz w:val="24"/>
          <w:szCs w:val="24"/>
        </w:rPr>
        <w:t>Schmoll HJ</w:t>
      </w:r>
      <w:r w:rsidRPr="00082ABB">
        <w:rPr>
          <w:rFonts w:ascii="Book Antiqua" w:eastAsia="宋体" w:hAnsi="Book Antiqua" w:cs="宋体"/>
          <w:kern w:val="0"/>
          <w:sz w:val="24"/>
          <w:szCs w:val="24"/>
        </w:rPr>
        <w:t>, Büchele T, Grothey A, Dempke W. Where do we stand with 5-fluorouracil? </w:t>
      </w:r>
      <w:r w:rsidRPr="00082ABB">
        <w:rPr>
          <w:rFonts w:ascii="Book Antiqua" w:eastAsia="宋体" w:hAnsi="Book Antiqua" w:cs="宋体"/>
          <w:i/>
          <w:iCs/>
          <w:kern w:val="0"/>
          <w:sz w:val="24"/>
          <w:szCs w:val="24"/>
        </w:rPr>
        <w:t>Semin Oncol</w:t>
      </w:r>
      <w:r w:rsidRPr="00082ABB">
        <w:rPr>
          <w:rFonts w:ascii="Book Antiqua" w:eastAsia="宋体" w:hAnsi="Book Antiqua" w:cs="宋体"/>
          <w:kern w:val="0"/>
          <w:sz w:val="24"/>
          <w:szCs w:val="24"/>
        </w:rPr>
        <w:t> 1999; </w:t>
      </w:r>
      <w:r w:rsidRPr="00082ABB">
        <w:rPr>
          <w:rFonts w:ascii="Book Antiqua" w:eastAsia="宋体" w:hAnsi="Book Antiqua" w:cs="宋体"/>
          <w:b/>
          <w:bCs/>
          <w:kern w:val="0"/>
          <w:sz w:val="24"/>
          <w:szCs w:val="24"/>
        </w:rPr>
        <w:t>26</w:t>
      </w:r>
      <w:r w:rsidRPr="00082ABB">
        <w:rPr>
          <w:rFonts w:ascii="Book Antiqua" w:eastAsia="宋体" w:hAnsi="Book Antiqua" w:cs="宋体"/>
          <w:kern w:val="0"/>
          <w:sz w:val="24"/>
          <w:szCs w:val="24"/>
        </w:rPr>
        <w:t>: 589-605 [PMID: 10606252]</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4 </w:t>
      </w:r>
      <w:r w:rsidRPr="00082ABB">
        <w:rPr>
          <w:rFonts w:ascii="Book Antiqua" w:eastAsia="宋体" w:hAnsi="Book Antiqua" w:cs="宋体"/>
          <w:b/>
          <w:bCs/>
          <w:kern w:val="0"/>
          <w:sz w:val="24"/>
          <w:szCs w:val="24"/>
        </w:rPr>
        <w:t>Tournigand C</w:t>
      </w:r>
      <w:r w:rsidRPr="00082ABB">
        <w:rPr>
          <w:rFonts w:ascii="Book Antiqua" w:eastAsia="宋体" w:hAnsi="Book Antiqua" w:cs="宋体"/>
          <w:kern w:val="0"/>
          <w:sz w:val="24"/>
          <w:szCs w:val="24"/>
        </w:rPr>
        <w:t>, André T, Achille E, Lledo G, Flesh M, Mery-Mignard D, Quinaux E, Couteau C, Buyse M, Ganem G, Landi B, Colin P, Louvet C, de Gramont A. FOLFIRI followed by FOLFOX6 or the reverse sequence in advanced colorectal cancer: a randomized GERCOR study.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2004; </w:t>
      </w:r>
      <w:r w:rsidRPr="00082ABB">
        <w:rPr>
          <w:rFonts w:ascii="Book Antiqua" w:eastAsia="宋体" w:hAnsi="Book Antiqua" w:cs="宋体"/>
          <w:b/>
          <w:bCs/>
          <w:kern w:val="0"/>
          <w:sz w:val="24"/>
          <w:szCs w:val="24"/>
        </w:rPr>
        <w:t>22</w:t>
      </w:r>
      <w:r w:rsidRPr="00082ABB">
        <w:rPr>
          <w:rFonts w:ascii="Book Antiqua" w:eastAsia="宋体" w:hAnsi="Book Antiqua" w:cs="宋体"/>
          <w:kern w:val="0"/>
          <w:sz w:val="24"/>
          <w:szCs w:val="24"/>
        </w:rPr>
        <w:t>: 229-237 [PMID: 14657227]</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5 </w:t>
      </w:r>
      <w:r w:rsidRPr="00082ABB">
        <w:rPr>
          <w:rFonts w:ascii="Book Antiqua" w:eastAsia="宋体" w:hAnsi="Book Antiqua" w:cs="宋体"/>
          <w:b/>
          <w:bCs/>
          <w:kern w:val="0"/>
          <w:sz w:val="24"/>
          <w:szCs w:val="24"/>
        </w:rPr>
        <w:t>Colucci G</w:t>
      </w:r>
      <w:r w:rsidRPr="00082ABB">
        <w:rPr>
          <w:rFonts w:ascii="Book Antiqua" w:eastAsia="宋体" w:hAnsi="Book Antiqua" w:cs="宋体"/>
          <w:kern w:val="0"/>
          <w:sz w:val="24"/>
          <w:szCs w:val="24"/>
        </w:rPr>
        <w:t>, Gebbia V, Paoletti G, Giuliani F, Caruso M, Gebbia N, Cartenì G, Agostara B, Pezzella G, Manzione L, Borsellino N, Misino A, Romito S, Durini E, Cordio S, Di Seri M, Lopez M, Maiello E, Montemurro S, Cramarossa A, Lorusso V, Di Bisceglie M, Chiarenza M, Valerio MR, Guida T, Leonardi V, Pisconti S, Rosati G, Carrozza F, Nettis G, Valdesi M, Filippelli G, Fortunato S, Mancarella S, Brunetti C. Phase III randomized trial of FOLFIRI versus FOLFOX4 in the treatment of advanced colorectal cancer: a multicenter study of the Gruppo Oncologico Dell'Italia Meridionale.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2005; </w:t>
      </w:r>
      <w:r w:rsidRPr="00082ABB">
        <w:rPr>
          <w:rFonts w:ascii="Book Antiqua" w:eastAsia="宋体" w:hAnsi="Book Antiqua" w:cs="宋体"/>
          <w:b/>
          <w:bCs/>
          <w:kern w:val="0"/>
          <w:sz w:val="24"/>
          <w:szCs w:val="24"/>
        </w:rPr>
        <w:t>23</w:t>
      </w:r>
      <w:r w:rsidRPr="00082ABB">
        <w:rPr>
          <w:rFonts w:ascii="Book Antiqua" w:eastAsia="宋体" w:hAnsi="Book Antiqua" w:cs="宋体"/>
          <w:kern w:val="0"/>
          <w:sz w:val="24"/>
          <w:szCs w:val="24"/>
        </w:rPr>
        <w:t>: 4866-4875 [PMID: 15939922]</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lastRenderedPageBreak/>
        <w:t>6 </w:t>
      </w:r>
      <w:r w:rsidRPr="00082ABB">
        <w:rPr>
          <w:rFonts w:ascii="Book Antiqua" w:eastAsia="宋体" w:hAnsi="Book Antiqua" w:cs="宋体"/>
          <w:b/>
          <w:bCs/>
          <w:kern w:val="0"/>
          <w:sz w:val="24"/>
          <w:szCs w:val="24"/>
        </w:rPr>
        <w:t>Cassidy J</w:t>
      </w:r>
      <w:r w:rsidRPr="00082ABB">
        <w:rPr>
          <w:rFonts w:ascii="Book Antiqua" w:eastAsia="宋体" w:hAnsi="Book Antiqua" w:cs="宋体"/>
          <w:kern w:val="0"/>
          <w:sz w:val="24"/>
          <w:szCs w:val="24"/>
        </w:rPr>
        <w:t>, Clarke S, Díaz-Rubio E, Scheithauer W, Figer A, Wong R, Koski S, Lichinitser M, Yang TS, Rivera F, Couture F, Sirzén F, Saltz L. Randomized phase III study of capecitabine plus oxaliplatin compared with fluorouracil/folinic acid plus oxaliplatin as first-line therapy for metastatic colorectal cancer.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2008; </w:t>
      </w:r>
      <w:r w:rsidRPr="00082ABB">
        <w:rPr>
          <w:rFonts w:ascii="Book Antiqua" w:eastAsia="宋体" w:hAnsi="Book Antiqua" w:cs="宋体"/>
          <w:b/>
          <w:bCs/>
          <w:kern w:val="0"/>
          <w:sz w:val="24"/>
          <w:szCs w:val="24"/>
        </w:rPr>
        <w:t>26</w:t>
      </w:r>
      <w:r w:rsidRPr="00082ABB">
        <w:rPr>
          <w:rFonts w:ascii="Book Antiqua" w:eastAsia="宋体" w:hAnsi="Book Antiqua" w:cs="宋体"/>
          <w:kern w:val="0"/>
          <w:sz w:val="24"/>
          <w:szCs w:val="24"/>
        </w:rPr>
        <w:t>: 2006-2012 [PMID: 18421053 DOI: 10.1200/JCO.2007.14.9898]</w:t>
      </w:r>
    </w:p>
    <w:p w:rsidR="00F47B06" w:rsidRPr="00082ABB" w:rsidRDefault="00F47B06" w:rsidP="00F47B06">
      <w:pPr>
        <w:widowControl/>
        <w:spacing w:line="360" w:lineRule="auto"/>
        <w:rPr>
          <w:rFonts w:ascii="Book Antiqua" w:eastAsia="宋体" w:hAnsi="Book Antiqua" w:cs="宋体"/>
          <w:kern w:val="0"/>
          <w:sz w:val="24"/>
          <w:szCs w:val="24"/>
        </w:rPr>
      </w:pPr>
      <w:proofErr w:type="gramStart"/>
      <w:r w:rsidRPr="00082ABB">
        <w:rPr>
          <w:rFonts w:ascii="Book Antiqua" w:eastAsia="宋体" w:hAnsi="Book Antiqua" w:cs="宋体"/>
          <w:kern w:val="0"/>
          <w:sz w:val="24"/>
          <w:szCs w:val="24"/>
        </w:rPr>
        <w:t>7 </w:t>
      </w:r>
      <w:r w:rsidRPr="00082ABB">
        <w:rPr>
          <w:rFonts w:ascii="Book Antiqua" w:eastAsia="宋体" w:hAnsi="Book Antiqua" w:cs="宋体"/>
          <w:b/>
          <w:bCs/>
          <w:kern w:val="0"/>
          <w:sz w:val="24"/>
          <w:szCs w:val="24"/>
        </w:rPr>
        <w:t>Peeters M</w:t>
      </w:r>
      <w:r w:rsidRPr="00082ABB">
        <w:rPr>
          <w:rFonts w:ascii="Book Antiqua" w:eastAsia="宋体" w:hAnsi="Book Antiqua" w:cs="宋体"/>
          <w:kern w:val="0"/>
          <w:sz w:val="24"/>
          <w:szCs w:val="24"/>
        </w:rPr>
        <w:t>, Price T. Biologic therapies in the metastatic colorectal cancer treatment continuum--applying current evidence to clinical practice.</w:t>
      </w:r>
      <w:proofErr w:type="gramEnd"/>
      <w:r w:rsidRPr="00082ABB">
        <w:rPr>
          <w:rFonts w:ascii="Book Antiqua" w:eastAsia="宋体" w:hAnsi="Book Antiqua" w:cs="宋体"/>
          <w:kern w:val="0"/>
          <w:sz w:val="24"/>
          <w:szCs w:val="24"/>
        </w:rPr>
        <w:t> </w:t>
      </w:r>
      <w:r w:rsidRPr="00082ABB">
        <w:rPr>
          <w:rFonts w:ascii="Book Antiqua" w:eastAsia="宋体" w:hAnsi="Book Antiqua" w:cs="宋体"/>
          <w:i/>
          <w:iCs/>
          <w:kern w:val="0"/>
          <w:sz w:val="24"/>
          <w:szCs w:val="24"/>
        </w:rPr>
        <w:t>Cancer Treat Rev</w:t>
      </w:r>
      <w:r w:rsidRPr="00082ABB">
        <w:rPr>
          <w:rFonts w:ascii="Book Antiqua" w:eastAsia="宋体" w:hAnsi="Book Antiqua" w:cs="宋体"/>
          <w:kern w:val="0"/>
          <w:sz w:val="24"/>
          <w:szCs w:val="24"/>
        </w:rPr>
        <w:t> 2012; </w:t>
      </w:r>
      <w:r w:rsidRPr="00082ABB">
        <w:rPr>
          <w:rFonts w:ascii="Book Antiqua" w:eastAsia="宋体" w:hAnsi="Book Antiqua" w:cs="宋体"/>
          <w:b/>
          <w:bCs/>
          <w:kern w:val="0"/>
          <w:sz w:val="24"/>
          <w:szCs w:val="24"/>
        </w:rPr>
        <w:t>38</w:t>
      </w:r>
      <w:r w:rsidRPr="00082ABB">
        <w:rPr>
          <w:rFonts w:ascii="Book Antiqua" w:eastAsia="宋体" w:hAnsi="Book Antiqua" w:cs="宋体"/>
          <w:kern w:val="0"/>
          <w:sz w:val="24"/>
          <w:szCs w:val="24"/>
        </w:rPr>
        <w:t>: 397-406 [PMID: 21899955 DOI: 10.1016/j.ctrv.2011.08.002]</w:t>
      </w:r>
    </w:p>
    <w:p w:rsidR="00F47B06" w:rsidRPr="00082ABB" w:rsidRDefault="00F47B06" w:rsidP="00F47B06">
      <w:pPr>
        <w:widowControl/>
        <w:spacing w:line="360" w:lineRule="auto"/>
        <w:rPr>
          <w:rFonts w:ascii="Book Antiqua" w:eastAsiaTheme="minorEastAsia" w:hAnsi="Book Antiqua" w:cs="宋体"/>
          <w:kern w:val="0"/>
          <w:sz w:val="24"/>
          <w:szCs w:val="24"/>
        </w:rPr>
      </w:pPr>
      <w:r w:rsidRPr="00082ABB">
        <w:rPr>
          <w:rFonts w:ascii="Book Antiqua" w:eastAsia="宋体" w:hAnsi="Book Antiqua" w:cs="宋体"/>
          <w:kern w:val="0"/>
          <w:sz w:val="24"/>
          <w:szCs w:val="24"/>
        </w:rPr>
        <w:t>8 </w:t>
      </w:r>
      <w:r w:rsidRPr="00082ABB">
        <w:rPr>
          <w:rFonts w:ascii="Book Antiqua" w:eastAsia="宋体" w:hAnsi="Book Antiqua" w:cs="宋体"/>
          <w:b/>
          <w:bCs/>
          <w:kern w:val="0"/>
          <w:sz w:val="24"/>
          <w:szCs w:val="24"/>
        </w:rPr>
        <w:t>Hurwitz H</w:t>
      </w:r>
      <w:r w:rsidRPr="00082ABB">
        <w:rPr>
          <w:rFonts w:ascii="Book Antiqua" w:eastAsia="宋体" w:hAnsi="Book Antiqua" w:cs="宋体"/>
          <w:kern w:val="0"/>
          <w:sz w:val="24"/>
          <w:szCs w:val="24"/>
        </w:rPr>
        <w:t>, Fehrenbacher L, Novotny W, Cartwright T, Hainsworth J, Heim W, Berlin J, Baron A, Griffing S, Holmgren E, Ferrara N, Fyfe G, Rogers B, Ross R, Kabbinavar F. Bevacizumab plus irinotecan, fluorouracil, and leucovorin for metastatic colorectal cancer. </w:t>
      </w:r>
      <w:r w:rsidRPr="00082ABB">
        <w:rPr>
          <w:rFonts w:ascii="Book Antiqua" w:eastAsia="宋体" w:hAnsi="Book Antiqua" w:cs="宋体"/>
          <w:i/>
          <w:iCs/>
          <w:kern w:val="0"/>
          <w:sz w:val="24"/>
          <w:szCs w:val="24"/>
        </w:rPr>
        <w:t>N Engl J Med</w:t>
      </w:r>
      <w:r w:rsidRPr="00082ABB">
        <w:rPr>
          <w:rFonts w:ascii="Book Antiqua" w:eastAsia="宋体" w:hAnsi="Book Antiqua" w:cs="宋体"/>
          <w:kern w:val="0"/>
          <w:sz w:val="24"/>
          <w:szCs w:val="24"/>
        </w:rPr>
        <w:t> 2004; </w:t>
      </w:r>
      <w:r w:rsidRPr="00082ABB">
        <w:rPr>
          <w:rFonts w:ascii="Book Antiqua" w:eastAsia="宋体" w:hAnsi="Book Antiqua" w:cs="宋体"/>
          <w:b/>
          <w:bCs/>
          <w:kern w:val="0"/>
          <w:sz w:val="24"/>
          <w:szCs w:val="24"/>
        </w:rPr>
        <w:t>350</w:t>
      </w:r>
      <w:r w:rsidRPr="00082ABB">
        <w:rPr>
          <w:rFonts w:ascii="Book Antiqua" w:eastAsia="宋体" w:hAnsi="Book Antiqua" w:cs="宋体"/>
          <w:kern w:val="0"/>
          <w:sz w:val="24"/>
          <w:szCs w:val="24"/>
        </w:rPr>
        <w:t>: 2335-2342 [PMID: 15175435 DOI: 10.1056/NEJMoa032691]</w:t>
      </w:r>
    </w:p>
    <w:p w:rsidR="00210C7E" w:rsidRPr="00082ABB" w:rsidRDefault="00210C7E" w:rsidP="00F47B06">
      <w:pPr>
        <w:widowControl/>
        <w:spacing w:line="360" w:lineRule="auto"/>
        <w:rPr>
          <w:rFonts w:ascii="Book Antiqua" w:eastAsiaTheme="minorEastAsia" w:hAnsi="Book Antiqua" w:cs="宋体"/>
          <w:kern w:val="0"/>
          <w:sz w:val="24"/>
          <w:szCs w:val="24"/>
        </w:rPr>
      </w:pPr>
      <w:r w:rsidRPr="00082ABB">
        <w:rPr>
          <w:rFonts w:ascii="Book Antiqua" w:eastAsiaTheme="minorEastAsia" w:hAnsi="Book Antiqua" w:cs="宋体"/>
          <w:kern w:val="0"/>
          <w:sz w:val="24"/>
          <w:szCs w:val="24"/>
        </w:rPr>
        <w:t>9</w:t>
      </w:r>
      <w:r w:rsidRPr="00082ABB">
        <w:rPr>
          <w:rFonts w:ascii="Book Antiqua" w:eastAsia="宋体" w:hAnsi="Book Antiqua" w:cs="宋体"/>
          <w:b/>
          <w:kern w:val="0"/>
          <w:sz w:val="24"/>
          <w:szCs w:val="24"/>
        </w:rPr>
        <w:t> Saltz LB</w:t>
      </w:r>
      <w:r w:rsidRPr="00082ABB">
        <w:rPr>
          <w:rFonts w:ascii="Book Antiqua" w:eastAsia="宋体" w:hAnsi="Book Antiqua" w:cs="宋体"/>
          <w:kern w:val="0"/>
          <w:sz w:val="24"/>
          <w:szCs w:val="24"/>
        </w:rPr>
        <w:t>, Clarke S, Díaz-Rubio E, Scheithauer W, Figer A, Wong R, Koski S, Lichinitser M, Yang TS, Rivera F, Couture F, Sirzén F, Cassidy J.</w:t>
      </w:r>
      <w:r w:rsidRPr="00082ABB">
        <w:rPr>
          <w:rFonts w:ascii="Book Antiqua" w:eastAsiaTheme="minorEastAsia" w:hAnsi="Book Antiqua" w:cs="宋体"/>
          <w:kern w:val="0"/>
          <w:sz w:val="24"/>
          <w:szCs w:val="24"/>
        </w:rPr>
        <w:t xml:space="preserve"> Bevacizumab in combination with oxaliplatin-based chemotherapy as first-line therapy in metastatic colorectal cancer: a randomized phase III study. </w:t>
      </w:r>
      <w:r w:rsidRPr="00082ABB">
        <w:rPr>
          <w:rFonts w:ascii="Book Antiqua" w:eastAsiaTheme="minorEastAsia" w:hAnsi="Book Antiqua" w:cs="宋体"/>
          <w:i/>
          <w:kern w:val="0"/>
          <w:sz w:val="24"/>
          <w:szCs w:val="24"/>
        </w:rPr>
        <w:t>J Clin Oncol</w:t>
      </w:r>
      <w:r w:rsidRPr="00082ABB">
        <w:rPr>
          <w:rFonts w:ascii="Book Antiqua" w:eastAsiaTheme="minorEastAsia" w:hAnsi="Book Antiqua" w:cs="宋体"/>
          <w:kern w:val="0"/>
          <w:sz w:val="24"/>
          <w:szCs w:val="24"/>
        </w:rPr>
        <w:t xml:space="preserve"> 2008; </w:t>
      </w:r>
      <w:r w:rsidRPr="00082ABB">
        <w:rPr>
          <w:rFonts w:ascii="Book Antiqua" w:eastAsiaTheme="minorEastAsia" w:hAnsi="Book Antiqua" w:cs="宋体"/>
          <w:b/>
          <w:kern w:val="0"/>
          <w:sz w:val="24"/>
          <w:szCs w:val="24"/>
        </w:rPr>
        <w:t>26</w:t>
      </w:r>
      <w:r w:rsidRPr="00082ABB">
        <w:rPr>
          <w:rFonts w:ascii="Book Antiqua" w:eastAsiaTheme="minorEastAsia" w:hAnsi="Book Antiqua" w:cs="宋体"/>
          <w:kern w:val="0"/>
          <w:sz w:val="24"/>
          <w:szCs w:val="24"/>
        </w:rPr>
        <w:t>: 2013-2019 [PMID: 18421054 DOI: 10.1200/JCO.2007.14.9930]</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10 </w:t>
      </w:r>
      <w:r w:rsidRPr="00082ABB">
        <w:rPr>
          <w:rFonts w:ascii="Book Antiqua" w:eastAsia="宋体" w:hAnsi="Book Antiqua" w:cs="宋体"/>
          <w:b/>
          <w:bCs/>
          <w:kern w:val="0"/>
          <w:sz w:val="24"/>
          <w:szCs w:val="24"/>
        </w:rPr>
        <w:t>Ohhara Y</w:t>
      </w:r>
      <w:r w:rsidRPr="00082ABB">
        <w:rPr>
          <w:rFonts w:ascii="Book Antiqua" w:eastAsia="宋体" w:hAnsi="Book Antiqua" w:cs="宋体"/>
          <w:kern w:val="0"/>
          <w:sz w:val="24"/>
          <w:szCs w:val="24"/>
        </w:rPr>
        <w:t>, Suenaga M, Matsusaka S, Shinozaki E, Mizunuma N, Yamaguchi T. Comparison between three oxaliplatin-based regimens with bevacizumab in patients with metastatic colorectal cancer. </w:t>
      </w:r>
      <w:r w:rsidRPr="00082ABB">
        <w:rPr>
          <w:rFonts w:ascii="Book Antiqua" w:eastAsia="宋体" w:hAnsi="Book Antiqua" w:cs="宋体"/>
          <w:i/>
          <w:iCs/>
          <w:kern w:val="0"/>
          <w:sz w:val="24"/>
          <w:szCs w:val="24"/>
        </w:rPr>
        <w:t>Onco Targets Ther</w:t>
      </w:r>
      <w:r w:rsidRPr="00082ABB">
        <w:rPr>
          <w:rFonts w:ascii="Book Antiqua" w:eastAsia="宋体" w:hAnsi="Book Antiqua" w:cs="宋体"/>
          <w:kern w:val="0"/>
          <w:sz w:val="24"/>
          <w:szCs w:val="24"/>
        </w:rPr>
        <w:t> 2015; </w:t>
      </w:r>
      <w:r w:rsidRPr="00082ABB">
        <w:rPr>
          <w:rFonts w:ascii="Book Antiqua" w:eastAsia="宋体" w:hAnsi="Book Antiqua" w:cs="宋体"/>
          <w:b/>
          <w:bCs/>
          <w:kern w:val="0"/>
          <w:sz w:val="24"/>
          <w:szCs w:val="24"/>
        </w:rPr>
        <w:t>8</w:t>
      </w:r>
      <w:r w:rsidRPr="00082ABB">
        <w:rPr>
          <w:rFonts w:ascii="Book Antiqua" w:eastAsia="宋体" w:hAnsi="Book Antiqua" w:cs="宋体"/>
          <w:kern w:val="0"/>
          <w:sz w:val="24"/>
          <w:szCs w:val="24"/>
        </w:rPr>
        <w:t>: 529-537 [PMID: 25767397 DOI: 10.2147/OTT.S77190]</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lastRenderedPageBreak/>
        <w:t>11 </w:t>
      </w:r>
      <w:r w:rsidRPr="00082ABB">
        <w:rPr>
          <w:rFonts w:ascii="Book Antiqua" w:eastAsia="宋体" w:hAnsi="Book Antiqua" w:cs="宋体"/>
          <w:b/>
          <w:bCs/>
          <w:kern w:val="0"/>
          <w:sz w:val="24"/>
          <w:szCs w:val="24"/>
        </w:rPr>
        <w:t>Hong YS</w:t>
      </w:r>
      <w:r w:rsidRPr="00082ABB">
        <w:rPr>
          <w:rFonts w:ascii="Book Antiqua" w:eastAsia="宋体" w:hAnsi="Book Antiqua" w:cs="宋体"/>
          <w:kern w:val="0"/>
          <w:sz w:val="24"/>
          <w:szCs w:val="24"/>
        </w:rPr>
        <w:t>, Lee SS, Kim KP, Lee JL, Kang YK, Shin SJ, Ahn JB, Jung KH, Im SA, Kim TY, Kim JH, Park YS, Kim TW. A phase II study of bevacizumab, oxaliplatin, and capecitabine in patients with previously untreated metastatic colorectal cancer: a prospective, multicenter trial of the Korean Cancer Study Group. </w:t>
      </w:r>
      <w:r w:rsidRPr="00082ABB">
        <w:rPr>
          <w:rFonts w:ascii="Book Antiqua" w:eastAsia="宋体" w:hAnsi="Book Antiqua" w:cs="宋体"/>
          <w:i/>
          <w:iCs/>
          <w:kern w:val="0"/>
          <w:sz w:val="24"/>
          <w:szCs w:val="24"/>
        </w:rPr>
        <w:t>Am J Clin Oncol</w:t>
      </w:r>
      <w:r w:rsidRPr="00082ABB">
        <w:rPr>
          <w:rFonts w:ascii="Book Antiqua" w:eastAsia="宋体" w:hAnsi="Book Antiqua" w:cs="宋体"/>
          <w:kern w:val="0"/>
          <w:sz w:val="24"/>
          <w:szCs w:val="24"/>
        </w:rPr>
        <w:t> 2014; </w:t>
      </w:r>
      <w:r w:rsidRPr="00082ABB">
        <w:rPr>
          <w:rFonts w:ascii="Book Antiqua" w:eastAsia="宋体" w:hAnsi="Book Antiqua" w:cs="宋体"/>
          <w:b/>
          <w:bCs/>
          <w:kern w:val="0"/>
          <w:sz w:val="24"/>
          <w:szCs w:val="24"/>
        </w:rPr>
        <w:t>37</w:t>
      </w:r>
      <w:r w:rsidRPr="00082ABB">
        <w:rPr>
          <w:rFonts w:ascii="Book Antiqua" w:eastAsia="宋体" w:hAnsi="Book Antiqua" w:cs="宋体"/>
          <w:kern w:val="0"/>
          <w:sz w:val="24"/>
          <w:szCs w:val="24"/>
        </w:rPr>
        <w:t>: 19-23 [PMID: 23111359 DOI: 10.1097/COC.0b013e31826b9c94]</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12 </w:t>
      </w:r>
      <w:r w:rsidRPr="00082ABB">
        <w:rPr>
          <w:rFonts w:ascii="Book Antiqua" w:eastAsia="宋体" w:hAnsi="Book Antiqua" w:cs="宋体"/>
          <w:b/>
          <w:bCs/>
          <w:kern w:val="0"/>
          <w:sz w:val="24"/>
          <w:szCs w:val="24"/>
        </w:rPr>
        <w:t>Bennouna J</w:t>
      </w:r>
      <w:r w:rsidRPr="00082ABB">
        <w:rPr>
          <w:rFonts w:ascii="Book Antiqua" w:eastAsia="宋体" w:hAnsi="Book Antiqua" w:cs="宋体"/>
          <w:kern w:val="0"/>
          <w:sz w:val="24"/>
          <w:szCs w:val="24"/>
        </w:rPr>
        <w:t>, Sastre J, Arnold D, Österlund P, Greil R, Van Cutsem E, von Moos R, Viéitez JM, Bouché O, Borg C, Steffens CC, Alonso-Orduña V, Schlichting C, Reyes-Rivera I, Bendahmane B, André T, Kubicka S. Continuation of bevacizumab after first progression in metastatic colorectal cancer (ML18147): a randomised phase 3 trial. </w:t>
      </w:r>
      <w:r w:rsidRPr="00082ABB">
        <w:rPr>
          <w:rFonts w:ascii="Book Antiqua" w:eastAsia="宋体" w:hAnsi="Book Antiqua" w:cs="宋体"/>
          <w:i/>
          <w:iCs/>
          <w:kern w:val="0"/>
          <w:sz w:val="24"/>
          <w:szCs w:val="24"/>
        </w:rPr>
        <w:t>Lancet Oncol</w:t>
      </w:r>
      <w:r w:rsidRPr="00082ABB">
        <w:rPr>
          <w:rFonts w:ascii="Book Antiqua" w:eastAsia="宋体" w:hAnsi="Book Antiqua" w:cs="宋体"/>
          <w:kern w:val="0"/>
          <w:sz w:val="24"/>
          <w:szCs w:val="24"/>
        </w:rPr>
        <w:t> 2013; </w:t>
      </w:r>
      <w:r w:rsidRPr="00082ABB">
        <w:rPr>
          <w:rFonts w:ascii="Book Antiqua" w:eastAsia="宋体" w:hAnsi="Book Antiqua" w:cs="宋体"/>
          <w:b/>
          <w:bCs/>
          <w:kern w:val="0"/>
          <w:sz w:val="24"/>
          <w:szCs w:val="24"/>
        </w:rPr>
        <w:t>14</w:t>
      </w:r>
      <w:r w:rsidRPr="00082ABB">
        <w:rPr>
          <w:rFonts w:ascii="Book Antiqua" w:eastAsia="宋体" w:hAnsi="Book Antiqua" w:cs="宋体"/>
          <w:kern w:val="0"/>
          <w:sz w:val="24"/>
          <w:szCs w:val="24"/>
        </w:rPr>
        <w:t>: 29-37 [PMID: 23168366 DOI: 10.1016/S1470-2045(12)70477-1]</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13 </w:t>
      </w:r>
      <w:r w:rsidRPr="00082ABB">
        <w:rPr>
          <w:rFonts w:ascii="Book Antiqua" w:eastAsia="宋体" w:hAnsi="Book Antiqua" w:cs="宋体"/>
          <w:b/>
          <w:bCs/>
          <w:kern w:val="0"/>
          <w:sz w:val="24"/>
          <w:szCs w:val="24"/>
        </w:rPr>
        <w:t>Cunningham D</w:t>
      </w:r>
      <w:r w:rsidRPr="00082ABB">
        <w:rPr>
          <w:rFonts w:ascii="Book Antiqua" w:eastAsia="宋体" w:hAnsi="Book Antiqua" w:cs="宋体"/>
          <w:kern w:val="0"/>
          <w:sz w:val="24"/>
          <w:szCs w:val="24"/>
        </w:rPr>
        <w:t>, Humblet Y, Siena S, Khayat D, Bleiberg H, Santoro A, Bets D, Mueser M, Harstrick A, Verslype C, Chau I, Van Cutsem E. Cetuximab monotherapy and cetuximab plus irinotecan in irinotecan-refractory metastatic colorectal cancer. </w:t>
      </w:r>
      <w:r w:rsidRPr="00082ABB">
        <w:rPr>
          <w:rFonts w:ascii="Book Antiqua" w:eastAsia="宋体" w:hAnsi="Book Antiqua" w:cs="宋体"/>
          <w:i/>
          <w:iCs/>
          <w:kern w:val="0"/>
          <w:sz w:val="24"/>
          <w:szCs w:val="24"/>
        </w:rPr>
        <w:t>N Engl J Med</w:t>
      </w:r>
      <w:r w:rsidRPr="00082ABB">
        <w:rPr>
          <w:rFonts w:ascii="Book Antiqua" w:eastAsia="宋体" w:hAnsi="Book Antiqua" w:cs="宋体"/>
          <w:kern w:val="0"/>
          <w:sz w:val="24"/>
          <w:szCs w:val="24"/>
        </w:rPr>
        <w:t> 2004; </w:t>
      </w:r>
      <w:r w:rsidRPr="00082ABB">
        <w:rPr>
          <w:rFonts w:ascii="Book Antiqua" w:eastAsia="宋体" w:hAnsi="Book Antiqua" w:cs="宋体"/>
          <w:b/>
          <w:bCs/>
          <w:kern w:val="0"/>
          <w:sz w:val="24"/>
          <w:szCs w:val="24"/>
        </w:rPr>
        <w:t>351</w:t>
      </w:r>
      <w:r w:rsidRPr="00082ABB">
        <w:rPr>
          <w:rFonts w:ascii="Book Antiqua" w:eastAsia="宋体" w:hAnsi="Book Antiqua" w:cs="宋体"/>
          <w:kern w:val="0"/>
          <w:sz w:val="24"/>
          <w:szCs w:val="24"/>
        </w:rPr>
        <w:t>: 337-345 [PMID: 15269313]</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14 </w:t>
      </w:r>
      <w:r w:rsidRPr="00082ABB">
        <w:rPr>
          <w:rFonts w:ascii="Book Antiqua" w:eastAsia="宋体" w:hAnsi="Book Antiqua" w:cs="宋体"/>
          <w:b/>
          <w:bCs/>
          <w:kern w:val="0"/>
          <w:sz w:val="24"/>
          <w:szCs w:val="24"/>
        </w:rPr>
        <w:t>Sobrero AF</w:t>
      </w:r>
      <w:r w:rsidRPr="00082ABB">
        <w:rPr>
          <w:rFonts w:ascii="Book Antiqua" w:eastAsia="宋体" w:hAnsi="Book Antiqua" w:cs="宋体"/>
          <w:kern w:val="0"/>
          <w:sz w:val="24"/>
          <w:szCs w:val="24"/>
        </w:rPr>
        <w:t>, Maurel J, Fehrenbacher L, Scheithauer W, Abubakr YA, Lutz MP, Vega-Villegas ME, Eng C, Steinhauer EU, Prausova J, Lenz HJ, Borg C, Middleton G, Kröning H, Luppi G, Kisker O, Zubel A, Langer C, Kopit J, Burris HA. EPIC: phase III trial of cetuximab plus irinotecan after fluoropyrimidine and oxaliplatin failure in patients with metastatic colorectal cancer.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2008; </w:t>
      </w:r>
      <w:r w:rsidRPr="00082ABB">
        <w:rPr>
          <w:rFonts w:ascii="Book Antiqua" w:eastAsia="宋体" w:hAnsi="Book Antiqua" w:cs="宋体"/>
          <w:b/>
          <w:bCs/>
          <w:kern w:val="0"/>
          <w:sz w:val="24"/>
          <w:szCs w:val="24"/>
        </w:rPr>
        <w:t>26</w:t>
      </w:r>
      <w:r w:rsidRPr="00082ABB">
        <w:rPr>
          <w:rFonts w:ascii="Book Antiqua" w:eastAsia="宋体" w:hAnsi="Book Antiqua" w:cs="宋体"/>
          <w:kern w:val="0"/>
          <w:sz w:val="24"/>
          <w:szCs w:val="24"/>
        </w:rPr>
        <w:t>: 2311-2319 [PMID: 18390971 DOI: 10.1200/JCO.2007.13.1193]</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15 </w:t>
      </w:r>
      <w:r w:rsidRPr="00082ABB">
        <w:rPr>
          <w:rFonts w:ascii="Book Antiqua" w:eastAsia="宋体" w:hAnsi="Book Antiqua" w:cs="宋体"/>
          <w:b/>
          <w:bCs/>
          <w:kern w:val="0"/>
          <w:sz w:val="24"/>
          <w:szCs w:val="24"/>
        </w:rPr>
        <w:t>Lièvre A</w:t>
      </w:r>
      <w:r w:rsidRPr="00082ABB">
        <w:rPr>
          <w:rFonts w:ascii="Book Antiqua" w:eastAsia="宋体" w:hAnsi="Book Antiqua" w:cs="宋体"/>
          <w:kern w:val="0"/>
          <w:sz w:val="24"/>
          <w:szCs w:val="24"/>
        </w:rPr>
        <w:t xml:space="preserve">, Bachet JB, Le Corre D, Boige V, Landi B, Emile JF, Côté JF, Tomasic G, Penna C, Ducreux M, Rougier P, Penault-Llorca F, Laurent-Puig P. KRAS </w:t>
      </w:r>
      <w:r w:rsidRPr="00082ABB">
        <w:rPr>
          <w:rFonts w:ascii="Book Antiqua" w:eastAsia="宋体" w:hAnsi="Book Antiqua" w:cs="宋体"/>
          <w:kern w:val="0"/>
          <w:sz w:val="24"/>
          <w:szCs w:val="24"/>
        </w:rPr>
        <w:lastRenderedPageBreak/>
        <w:t>mutation status is predictive of response to cetuximab therapy in colorectal cancer. </w:t>
      </w:r>
      <w:r w:rsidRPr="00082ABB">
        <w:rPr>
          <w:rFonts w:ascii="Book Antiqua" w:eastAsia="宋体" w:hAnsi="Book Antiqua" w:cs="宋体"/>
          <w:i/>
          <w:iCs/>
          <w:kern w:val="0"/>
          <w:sz w:val="24"/>
          <w:szCs w:val="24"/>
        </w:rPr>
        <w:t>Cancer Res</w:t>
      </w:r>
      <w:r w:rsidRPr="00082ABB">
        <w:rPr>
          <w:rFonts w:ascii="Book Antiqua" w:eastAsia="宋体" w:hAnsi="Book Antiqua" w:cs="宋体"/>
          <w:kern w:val="0"/>
          <w:sz w:val="24"/>
          <w:szCs w:val="24"/>
        </w:rPr>
        <w:t> 2006; </w:t>
      </w:r>
      <w:r w:rsidRPr="00082ABB">
        <w:rPr>
          <w:rFonts w:ascii="Book Antiqua" w:eastAsia="宋体" w:hAnsi="Book Antiqua" w:cs="宋体"/>
          <w:b/>
          <w:bCs/>
          <w:kern w:val="0"/>
          <w:sz w:val="24"/>
          <w:szCs w:val="24"/>
        </w:rPr>
        <w:t>66</w:t>
      </w:r>
      <w:r w:rsidRPr="00082ABB">
        <w:rPr>
          <w:rFonts w:ascii="Book Antiqua" w:eastAsia="宋体" w:hAnsi="Book Antiqua" w:cs="宋体"/>
          <w:kern w:val="0"/>
          <w:sz w:val="24"/>
          <w:szCs w:val="24"/>
        </w:rPr>
        <w:t>: 3992-3995 [PMID: 16618717]</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16 </w:t>
      </w:r>
      <w:r w:rsidRPr="00082ABB">
        <w:rPr>
          <w:rFonts w:ascii="Book Antiqua" w:eastAsia="宋体" w:hAnsi="Book Antiqua" w:cs="宋体"/>
          <w:b/>
          <w:bCs/>
          <w:kern w:val="0"/>
          <w:sz w:val="24"/>
          <w:szCs w:val="24"/>
        </w:rPr>
        <w:t>Karapetis CS</w:t>
      </w:r>
      <w:r w:rsidRPr="00082ABB">
        <w:rPr>
          <w:rFonts w:ascii="Book Antiqua" w:eastAsia="宋体" w:hAnsi="Book Antiqua" w:cs="宋体"/>
          <w:kern w:val="0"/>
          <w:sz w:val="24"/>
          <w:szCs w:val="24"/>
        </w:rPr>
        <w:t>, Khambata-Ford S, Jonker DJ, O'Callaghan CJ, Tu D, Tebbutt NC, Simes RJ, Chalchal H, Shapiro JD, Robitaille S, Price TJ, Shepherd L, Au HJ, Langer C, Moore MJ, Zalcberg JR. K-ras mutations and benefit from cetuximab in advanced colorectal cancer. </w:t>
      </w:r>
      <w:r w:rsidRPr="00082ABB">
        <w:rPr>
          <w:rFonts w:ascii="Book Antiqua" w:eastAsia="宋体" w:hAnsi="Book Antiqua" w:cs="宋体"/>
          <w:i/>
          <w:iCs/>
          <w:kern w:val="0"/>
          <w:sz w:val="24"/>
          <w:szCs w:val="24"/>
        </w:rPr>
        <w:t>N Engl J Med</w:t>
      </w:r>
      <w:r w:rsidRPr="00082ABB">
        <w:rPr>
          <w:rFonts w:ascii="Book Antiqua" w:eastAsia="宋体" w:hAnsi="Book Antiqua" w:cs="宋体"/>
          <w:kern w:val="0"/>
          <w:sz w:val="24"/>
          <w:szCs w:val="24"/>
        </w:rPr>
        <w:t> 2008; </w:t>
      </w:r>
      <w:r w:rsidRPr="00082ABB">
        <w:rPr>
          <w:rFonts w:ascii="Book Antiqua" w:eastAsia="宋体" w:hAnsi="Book Antiqua" w:cs="宋体"/>
          <w:b/>
          <w:bCs/>
          <w:kern w:val="0"/>
          <w:sz w:val="24"/>
          <w:szCs w:val="24"/>
        </w:rPr>
        <w:t>359</w:t>
      </w:r>
      <w:r w:rsidRPr="00082ABB">
        <w:rPr>
          <w:rFonts w:ascii="Book Antiqua" w:eastAsia="宋体" w:hAnsi="Book Antiqua" w:cs="宋体"/>
          <w:kern w:val="0"/>
          <w:sz w:val="24"/>
          <w:szCs w:val="24"/>
        </w:rPr>
        <w:t>: 1757-1765 [PMID: 18946061 DOI: 10.1056/NEJMoa0804385]</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17 </w:t>
      </w:r>
      <w:r w:rsidRPr="00082ABB">
        <w:rPr>
          <w:rFonts w:ascii="Book Antiqua" w:eastAsia="宋体" w:hAnsi="Book Antiqua" w:cs="宋体"/>
          <w:b/>
          <w:bCs/>
          <w:kern w:val="0"/>
          <w:sz w:val="24"/>
          <w:szCs w:val="24"/>
        </w:rPr>
        <w:t>Amado RG</w:t>
      </w:r>
      <w:r w:rsidRPr="00082ABB">
        <w:rPr>
          <w:rFonts w:ascii="Book Antiqua" w:eastAsia="宋体" w:hAnsi="Book Antiqua" w:cs="宋体"/>
          <w:kern w:val="0"/>
          <w:sz w:val="24"/>
          <w:szCs w:val="24"/>
        </w:rPr>
        <w:t>, Wolf M, Peeters M, Van Cutsem E, Siena S, Freeman DJ, Juan T, Sikorski R, Suggs S, Radinsky R, Patterson SD, Chang DD. Wild-type KRAS is required for panitumumab efficacy in patients with metastatic colorectal cancer.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2008; </w:t>
      </w:r>
      <w:r w:rsidRPr="00082ABB">
        <w:rPr>
          <w:rFonts w:ascii="Book Antiqua" w:eastAsia="宋体" w:hAnsi="Book Antiqua" w:cs="宋体"/>
          <w:b/>
          <w:bCs/>
          <w:kern w:val="0"/>
          <w:sz w:val="24"/>
          <w:szCs w:val="24"/>
        </w:rPr>
        <w:t>26</w:t>
      </w:r>
      <w:r w:rsidRPr="00082ABB">
        <w:rPr>
          <w:rFonts w:ascii="Book Antiqua" w:eastAsia="宋体" w:hAnsi="Book Antiqua" w:cs="宋体"/>
          <w:kern w:val="0"/>
          <w:sz w:val="24"/>
          <w:szCs w:val="24"/>
        </w:rPr>
        <w:t>: 1626-1634 [PMID: 18316791 DOI: 10.1200/JCO.2007.14.7116]</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18 </w:t>
      </w:r>
      <w:r w:rsidRPr="00082ABB">
        <w:rPr>
          <w:rFonts w:ascii="Book Antiqua" w:eastAsia="宋体" w:hAnsi="Book Antiqua" w:cs="宋体"/>
          <w:b/>
          <w:bCs/>
          <w:kern w:val="0"/>
          <w:sz w:val="24"/>
          <w:szCs w:val="24"/>
        </w:rPr>
        <w:t>Schwartzberg LS</w:t>
      </w:r>
      <w:r w:rsidRPr="00082ABB">
        <w:rPr>
          <w:rFonts w:ascii="Book Antiqua" w:eastAsia="宋体" w:hAnsi="Book Antiqua" w:cs="宋体"/>
          <w:kern w:val="0"/>
          <w:sz w:val="24"/>
          <w:szCs w:val="24"/>
        </w:rPr>
        <w:t>, Rivera F, Karthaus M, Fasola G, Canon JL, Hecht JR, Yu H, Oliner KS, Go WY. PEAK: a randomized, multicenter phase II study of panitumumab plus modified fluorouracil, leucovorin, and oxaliplatin (mFOLFOX6) or bevacizumab plus mFOLFOX6 in patients with previously untreated, unresectable, wild-type KRAS exon 2 metastatic colorectal cancer.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xml:space="preserve"> 2014; </w:t>
      </w:r>
      <w:r w:rsidRPr="00082ABB">
        <w:rPr>
          <w:rFonts w:ascii="Book Antiqua" w:eastAsia="宋体" w:hAnsi="Book Antiqua" w:cs="宋体"/>
          <w:b/>
          <w:bCs/>
          <w:kern w:val="0"/>
          <w:sz w:val="24"/>
          <w:szCs w:val="24"/>
        </w:rPr>
        <w:t>32</w:t>
      </w:r>
      <w:r w:rsidRPr="00082ABB">
        <w:rPr>
          <w:rFonts w:ascii="Book Antiqua" w:eastAsia="宋体" w:hAnsi="Book Antiqua" w:cs="宋体"/>
          <w:kern w:val="0"/>
          <w:sz w:val="24"/>
          <w:szCs w:val="24"/>
        </w:rPr>
        <w:t>: 2240-2247 [PMID: 24687833 DOI: 10.1200/JCO.2013.53.2473]</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19 </w:t>
      </w:r>
      <w:r w:rsidRPr="00082ABB">
        <w:rPr>
          <w:rFonts w:ascii="Book Antiqua" w:eastAsia="宋体" w:hAnsi="Book Antiqua" w:cs="宋体"/>
          <w:b/>
          <w:bCs/>
          <w:kern w:val="0"/>
          <w:sz w:val="24"/>
          <w:szCs w:val="24"/>
        </w:rPr>
        <w:t>Heinemann V</w:t>
      </w:r>
      <w:r w:rsidRPr="00082ABB">
        <w:rPr>
          <w:rFonts w:ascii="Book Antiqua" w:eastAsia="宋体" w:hAnsi="Book Antiqua" w:cs="宋体"/>
          <w:kern w:val="0"/>
          <w:sz w:val="24"/>
          <w:szCs w:val="24"/>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patients with metastatic colorectal cancer (FIRE-3): a </w:t>
      </w:r>
      <w:r w:rsidRPr="00082ABB">
        <w:rPr>
          <w:rFonts w:ascii="Book Antiqua" w:eastAsia="宋体" w:hAnsi="Book Antiqua" w:cs="宋体"/>
          <w:kern w:val="0"/>
          <w:sz w:val="24"/>
          <w:szCs w:val="24"/>
        </w:rPr>
        <w:lastRenderedPageBreak/>
        <w:t>randomised, open-label, phase 3 trial. </w:t>
      </w:r>
      <w:r w:rsidRPr="00082ABB">
        <w:rPr>
          <w:rFonts w:ascii="Book Antiqua" w:eastAsia="宋体" w:hAnsi="Book Antiqua" w:cs="宋体"/>
          <w:i/>
          <w:iCs/>
          <w:kern w:val="0"/>
          <w:sz w:val="24"/>
          <w:szCs w:val="24"/>
        </w:rPr>
        <w:t>Lancet Oncol</w:t>
      </w:r>
      <w:r w:rsidRPr="00082ABB">
        <w:rPr>
          <w:rFonts w:ascii="Book Antiqua" w:eastAsia="宋体" w:hAnsi="Book Antiqua" w:cs="宋体"/>
          <w:kern w:val="0"/>
          <w:sz w:val="24"/>
          <w:szCs w:val="24"/>
        </w:rPr>
        <w:t> 2014; </w:t>
      </w:r>
      <w:r w:rsidRPr="00082ABB">
        <w:rPr>
          <w:rFonts w:ascii="Book Antiqua" w:eastAsia="宋体" w:hAnsi="Book Antiqua" w:cs="宋体"/>
          <w:b/>
          <w:bCs/>
          <w:kern w:val="0"/>
          <w:sz w:val="24"/>
          <w:szCs w:val="24"/>
        </w:rPr>
        <w:t>15</w:t>
      </w:r>
      <w:r w:rsidRPr="00082ABB">
        <w:rPr>
          <w:rFonts w:ascii="Book Antiqua" w:eastAsia="宋体" w:hAnsi="Book Antiqua" w:cs="宋体"/>
          <w:kern w:val="0"/>
          <w:sz w:val="24"/>
          <w:szCs w:val="24"/>
        </w:rPr>
        <w:t>: 1065-1075 [PMID: 25088940 DOI: 10.1016/S1470-2045(14)70330-4]</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20 </w:t>
      </w:r>
      <w:r w:rsidRPr="00082ABB">
        <w:rPr>
          <w:rFonts w:ascii="Book Antiqua" w:eastAsia="宋体" w:hAnsi="Book Antiqua" w:cs="宋体"/>
          <w:b/>
          <w:bCs/>
          <w:kern w:val="0"/>
          <w:sz w:val="24"/>
          <w:szCs w:val="24"/>
        </w:rPr>
        <w:t>Douillard JY</w:t>
      </w:r>
      <w:r w:rsidRPr="00082ABB">
        <w:rPr>
          <w:rFonts w:ascii="Book Antiqua" w:eastAsia="宋体" w:hAnsi="Book Antiqua" w:cs="宋体"/>
          <w:kern w:val="0"/>
          <w:sz w:val="24"/>
          <w:szCs w:val="24"/>
        </w:rPr>
        <w:t>, Oliner KS, Siena S, Tabernero J, Burkes R, Barugel M, Humblet Y, Bodoky G, Cunningham D, Jassem J, Rivera F, Kocákova I, Ruff P, Błasińska-Morawiec M, Šmakal M, Canon JL, Rother M, Williams R, Rong A, Wiezorek J, Sidhu R, Patterson SD. Panitumumab-FOLFOX4 treatment and RAS mutations in colorectal cancer. </w:t>
      </w:r>
      <w:r w:rsidRPr="00082ABB">
        <w:rPr>
          <w:rFonts w:ascii="Book Antiqua" w:eastAsia="宋体" w:hAnsi="Book Antiqua" w:cs="宋体"/>
          <w:i/>
          <w:iCs/>
          <w:kern w:val="0"/>
          <w:sz w:val="24"/>
          <w:szCs w:val="24"/>
        </w:rPr>
        <w:t>N Engl J Med</w:t>
      </w:r>
      <w:r w:rsidRPr="00082ABB">
        <w:rPr>
          <w:rFonts w:ascii="Book Antiqua" w:eastAsia="宋体" w:hAnsi="Book Antiqua" w:cs="宋体"/>
          <w:kern w:val="0"/>
          <w:sz w:val="24"/>
          <w:szCs w:val="24"/>
        </w:rPr>
        <w:t> 2013; </w:t>
      </w:r>
      <w:r w:rsidRPr="00082ABB">
        <w:rPr>
          <w:rFonts w:ascii="Book Antiqua" w:eastAsia="宋体" w:hAnsi="Book Antiqua" w:cs="宋体"/>
          <w:b/>
          <w:bCs/>
          <w:kern w:val="0"/>
          <w:sz w:val="24"/>
          <w:szCs w:val="24"/>
        </w:rPr>
        <w:t>369</w:t>
      </w:r>
      <w:r w:rsidRPr="00082ABB">
        <w:rPr>
          <w:rFonts w:ascii="Book Antiqua" w:eastAsia="宋体" w:hAnsi="Book Antiqua" w:cs="宋体"/>
          <w:kern w:val="0"/>
          <w:sz w:val="24"/>
          <w:szCs w:val="24"/>
        </w:rPr>
        <w:t>: 1023-1034 [PMID: 24024839 DOI: 10.1056/NEJMoa1305275]</w:t>
      </w:r>
    </w:p>
    <w:p w:rsidR="00F47B06" w:rsidRPr="00082ABB" w:rsidRDefault="00F47B06" w:rsidP="00F47B06">
      <w:pPr>
        <w:widowControl/>
        <w:spacing w:line="360" w:lineRule="auto"/>
        <w:rPr>
          <w:rFonts w:ascii="Book Antiqua" w:eastAsia="宋体" w:hAnsi="Book Antiqua" w:cs="宋体"/>
          <w:kern w:val="0"/>
          <w:sz w:val="24"/>
          <w:szCs w:val="24"/>
        </w:rPr>
      </w:pPr>
      <w:proofErr w:type="gramStart"/>
      <w:r w:rsidRPr="00082ABB">
        <w:rPr>
          <w:rFonts w:ascii="Book Antiqua" w:eastAsia="宋体" w:hAnsi="Book Antiqua" w:cs="宋体"/>
          <w:kern w:val="0"/>
          <w:sz w:val="24"/>
          <w:szCs w:val="24"/>
        </w:rPr>
        <w:t>21 </w:t>
      </w:r>
      <w:r w:rsidRPr="00082ABB">
        <w:rPr>
          <w:rFonts w:ascii="Book Antiqua" w:eastAsia="宋体" w:hAnsi="Book Antiqua" w:cs="宋体"/>
          <w:b/>
          <w:bCs/>
          <w:kern w:val="0"/>
          <w:sz w:val="24"/>
          <w:szCs w:val="24"/>
        </w:rPr>
        <w:t>Folkman J</w:t>
      </w:r>
      <w:r w:rsidRPr="00082ABB">
        <w:rPr>
          <w:rFonts w:ascii="Book Antiqua" w:eastAsia="宋体" w:hAnsi="Book Antiqua" w:cs="宋体"/>
          <w:kern w:val="0"/>
          <w:sz w:val="24"/>
          <w:szCs w:val="24"/>
        </w:rPr>
        <w:t>.</w:t>
      </w:r>
      <w:proofErr w:type="gramEnd"/>
      <w:r w:rsidRPr="00082ABB">
        <w:rPr>
          <w:rFonts w:ascii="Book Antiqua" w:eastAsia="宋体" w:hAnsi="Book Antiqua" w:cs="宋体"/>
          <w:kern w:val="0"/>
          <w:sz w:val="24"/>
          <w:szCs w:val="24"/>
        </w:rPr>
        <w:t xml:space="preserve"> What is the evidence that tumors are angiogenesis dependent? </w:t>
      </w:r>
      <w:r w:rsidRPr="00082ABB">
        <w:rPr>
          <w:rFonts w:ascii="Book Antiqua" w:eastAsia="宋体" w:hAnsi="Book Antiqua" w:cs="宋体"/>
          <w:i/>
          <w:iCs/>
          <w:kern w:val="0"/>
          <w:sz w:val="24"/>
          <w:szCs w:val="24"/>
        </w:rPr>
        <w:t>J Natl Cancer Inst</w:t>
      </w:r>
      <w:r w:rsidRPr="00082ABB">
        <w:rPr>
          <w:rFonts w:ascii="Book Antiqua" w:eastAsia="宋体" w:hAnsi="Book Antiqua" w:cs="宋体"/>
          <w:kern w:val="0"/>
          <w:sz w:val="24"/>
          <w:szCs w:val="24"/>
        </w:rPr>
        <w:t> 1990; </w:t>
      </w:r>
      <w:r w:rsidRPr="00082ABB">
        <w:rPr>
          <w:rFonts w:ascii="Book Antiqua" w:eastAsia="宋体" w:hAnsi="Book Antiqua" w:cs="宋体"/>
          <w:b/>
          <w:bCs/>
          <w:kern w:val="0"/>
          <w:sz w:val="24"/>
          <w:szCs w:val="24"/>
        </w:rPr>
        <w:t>82</w:t>
      </w:r>
      <w:r w:rsidRPr="00082ABB">
        <w:rPr>
          <w:rFonts w:ascii="Book Antiqua" w:eastAsia="宋体" w:hAnsi="Book Antiqua" w:cs="宋体"/>
          <w:kern w:val="0"/>
          <w:sz w:val="24"/>
          <w:szCs w:val="24"/>
        </w:rPr>
        <w:t>: 4-6 [PMID: 1688381 DOI: 10.1093/jnci/82.1.4]</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22 </w:t>
      </w:r>
      <w:r w:rsidRPr="00082ABB">
        <w:rPr>
          <w:rFonts w:ascii="Book Antiqua" w:eastAsia="宋体" w:hAnsi="Book Antiqua" w:cs="宋体"/>
          <w:b/>
          <w:bCs/>
          <w:kern w:val="0"/>
          <w:sz w:val="24"/>
          <w:szCs w:val="24"/>
        </w:rPr>
        <w:t>Gospodarowicz D</w:t>
      </w:r>
      <w:r w:rsidRPr="00082ABB">
        <w:rPr>
          <w:rFonts w:ascii="Book Antiqua" w:eastAsia="宋体" w:hAnsi="Book Antiqua" w:cs="宋体"/>
          <w:kern w:val="0"/>
          <w:sz w:val="24"/>
          <w:szCs w:val="24"/>
        </w:rPr>
        <w:t>, Abraham JA, Schilling J. Isolation and characterization of a vascular endothelial cell mitogen produced by pituitary-derived folliculo stellate cells. </w:t>
      </w:r>
      <w:r w:rsidRPr="00082ABB">
        <w:rPr>
          <w:rFonts w:ascii="Book Antiqua" w:eastAsia="宋体" w:hAnsi="Book Antiqua" w:cs="宋体"/>
          <w:i/>
          <w:iCs/>
          <w:kern w:val="0"/>
          <w:sz w:val="24"/>
          <w:szCs w:val="24"/>
        </w:rPr>
        <w:t>Proc Natl Acad Sci USA</w:t>
      </w:r>
      <w:r w:rsidRPr="00082ABB">
        <w:rPr>
          <w:rFonts w:ascii="Book Antiqua" w:eastAsia="宋体" w:hAnsi="Book Antiqua" w:cs="宋体"/>
          <w:kern w:val="0"/>
          <w:sz w:val="24"/>
          <w:szCs w:val="24"/>
        </w:rPr>
        <w:t> 1989; </w:t>
      </w:r>
      <w:r w:rsidRPr="00082ABB">
        <w:rPr>
          <w:rFonts w:ascii="Book Antiqua" w:eastAsia="宋体" w:hAnsi="Book Antiqua" w:cs="宋体"/>
          <w:b/>
          <w:bCs/>
          <w:kern w:val="0"/>
          <w:sz w:val="24"/>
          <w:szCs w:val="24"/>
        </w:rPr>
        <w:t>86</w:t>
      </w:r>
      <w:r w:rsidRPr="00082ABB">
        <w:rPr>
          <w:rFonts w:ascii="Book Antiqua" w:eastAsia="宋体" w:hAnsi="Book Antiqua" w:cs="宋体"/>
          <w:kern w:val="0"/>
          <w:sz w:val="24"/>
          <w:szCs w:val="24"/>
        </w:rPr>
        <w:t>: 7311-7315 [PMID: 2798412 DOI: 10.1073/pnas.86.19.7311]</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23 </w:t>
      </w:r>
      <w:r w:rsidRPr="00082ABB">
        <w:rPr>
          <w:rFonts w:ascii="Book Antiqua" w:eastAsia="宋体" w:hAnsi="Book Antiqua" w:cs="宋体"/>
          <w:b/>
          <w:bCs/>
          <w:kern w:val="0"/>
          <w:sz w:val="24"/>
          <w:szCs w:val="24"/>
        </w:rPr>
        <w:t>Ferrara N</w:t>
      </w:r>
      <w:r w:rsidRPr="00082ABB">
        <w:rPr>
          <w:rFonts w:ascii="Book Antiqua" w:eastAsia="宋体" w:hAnsi="Book Antiqua" w:cs="宋体"/>
          <w:kern w:val="0"/>
          <w:sz w:val="24"/>
          <w:szCs w:val="24"/>
        </w:rPr>
        <w:t>, Henzel WJ. Pituitary follicular cells secrete a novel heparin-binding growth factor specific for vascular endothelial cells. </w:t>
      </w:r>
      <w:r w:rsidRPr="00082ABB">
        <w:rPr>
          <w:rFonts w:ascii="Book Antiqua" w:eastAsia="宋体" w:hAnsi="Book Antiqua" w:cs="宋体"/>
          <w:i/>
          <w:iCs/>
          <w:kern w:val="0"/>
          <w:sz w:val="24"/>
          <w:szCs w:val="24"/>
        </w:rPr>
        <w:t>Biochem Biophys Res Commun</w:t>
      </w:r>
      <w:r w:rsidRPr="00082ABB">
        <w:rPr>
          <w:rFonts w:ascii="Book Antiqua" w:eastAsia="宋体" w:hAnsi="Book Antiqua" w:cs="宋体"/>
          <w:kern w:val="0"/>
          <w:sz w:val="24"/>
          <w:szCs w:val="24"/>
        </w:rPr>
        <w:t> 1989; </w:t>
      </w:r>
      <w:r w:rsidRPr="00082ABB">
        <w:rPr>
          <w:rFonts w:ascii="Book Antiqua" w:eastAsia="宋体" w:hAnsi="Book Antiqua" w:cs="宋体"/>
          <w:b/>
          <w:bCs/>
          <w:kern w:val="0"/>
          <w:sz w:val="24"/>
          <w:szCs w:val="24"/>
        </w:rPr>
        <w:t>161</w:t>
      </w:r>
      <w:r w:rsidRPr="00082ABB">
        <w:rPr>
          <w:rFonts w:ascii="Book Antiqua" w:eastAsia="宋体" w:hAnsi="Book Antiqua" w:cs="宋体"/>
          <w:kern w:val="0"/>
          <w:sz w:val="24"/>
          <w:szCs w:val="24"/>
        </w:rPr>
        <w:t>: 851-858 [PMID: 2735925 DOI: 10.1016/0006-291X(</w:t>
      </w:r>
      <w:proofErr w:type="gramStart"/>
      <w:r w:rsidRPr="00082ABB">
        <w:rPr>
          <w:rFonts w:ascii="Book Antiqua" w:eastAsia="宋体" w:hAnsi="Book Antiqua" w:cs="宋体"/>
          <w:kern w:val="0"/>
          <w:sz w:val="24"/>
          <w:szCs w:val="24"/>
        </w:rPr>
        <w:t>89)92678</w:t>
      </w:r>
      <w:proofErr w:type="gramEnd"/>
      <w:r w:rsidRPr="00082ABB">
        <w:rPr>
          <w:rFonts w:ascii="Book Antiqua" w:eastAsia="宋体" w:hAnsi="Book Antiqua" w:cs="宋体"/>
          <w:kern w:val="0"/>
          <w:sz w:val="24"/>
          <w:szCs w:val="24"/>
        </w:rPr>
        <w:t>-8]</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24 </w:t>
      </w:r>
      <w:r w:rsidRPr="00082ABB">
        <w:rPr>
          <w:rFonts w:ascii="Book Antiqua" w:eastAsia="宋体" w:hAnsi="Book Antiqua" w:cs="宋体"/>
          <w:b/>
          <w:bCs/>
          <w:kern w:val="0"/>
          <w:sz w:val="24"/>
          <w:szCs w:val="24"/>
        </w:rPr>
        <w:t>de Vries C</w:t>
      </w:r>
      <w:r w:rsidRPr="00082ABB">
        <w:rPr>
          <w:rFonts w:ascii="Book Antiqua" w:eastAsia="宋体" w:hAnsi="Book Antiqua" w:cs="宋体"/>
          <w:kern w:val="0"/>
          <w:sz w:val="24"/>
          <w:szCs w:val="24"/>
        </w:rPr>
        <w:t xml:space="preserve">, Escobedo JA, Ueno H, Houck K, Ferrara N, Williams LT. </w:t>
      </w:r>
      <w:proofErr w:type="gramStart"/>
      <w:r w:rsidRPr="00082ABB">
        <w:rPr>
          <w:rFonts w:ascii="Book Antiqua" w:eastAsia="宋体" w:hAnsi="Book Antiqua" w:cs="宋体"/>
          <w:kern w:val="0"/>
          <w:sz w:val="24"/>
          <w:szCs w:val="24"/>
        </w:rPr>
        <w:t>The fms-like tyrosine kinase, a receptor for vascular endothelial growth factor.</w:t>
      </w:r>
      <w:proofErr w:type="gramEnd"/>
      <w:r w:rsidRPr="00082ABB">
        <w:rPr>
          <w:rFonts w:ascii="Book Antiqua" w:eastAsia="宋体" w:hAnsi="Book Antiqua" w:cs="宋体"/>
          <w:kern w:val="0"/>
          <w:sz w:val="24"/>
          <w:szCs w:val="24"/>
        </w:rPr>
        <w:t> </w:t>
      </w:r>
      <w:r w:rsidRPr="00082ABB">
        <w:rPr>
          <w:rFonts w:ascii="Book Antiqua" w:eastAsia="宋体" w:hAnsi="Book Antiqua" w:cs="宋体"/>
          <w:i/>
          <w:iCs/>
          <w:kern w:val="0"/>
          <w:sz w:val="24"/>
          <w:szCs w:val="24"/>
        </w:rPr>
        <w:t>Science</w:t>
      </w:r>
      <w:r w:rsidRPr="00082ABB">
        <w:rPr>
          <w:rFonts w:ascii="Book Antiqua" w:eastAsia="宋体" w:hAnsi="Book Antiqua" w:cs="宋体"/>
          <w:kern w:val="0"/>
          <w:sz w:val="24"/>
          <w:szCs w:val="24"/>
        </w:rPr>
        <w:t> 1992; </w:t>
      </w:r>
      <w:r w:rsidRPr="00082ABB">
        <w:rPr>
          <w:rFonts w:ascii="Book Antiqua" w:eastAsia="宋体" w:hAnsi="Book Antiqua" w:cs="宋体"/>
          <w:b/>
          <w:bCs/>
          <w:kern w:val="0"/>
          <w:sz w:val="24"/>
          <w:szCs w:val="24"/>
        </w:rPr>
        <w:t>255</w:t>
      </w:r>
      <w:r w:rsidRPr="00082ABB">
        <w:rPr>
          <w:rFonts w:ascii="Book Antiqua" w:eastAsia="宋体" w:hAnsi="Book Antiqua" w:cs="宋体"/>
          <w:kern w:val="0"/>
          <w:sz w:val="24"/>
          <w:szCs w:val="24"/>
        </w:rPr>
        <w:t>: 989-991 [PMID: 1312256 DOI: 10.1126/science.1312256]</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25 </w:t>
      </w:r>
      <w:r w:rsidRPr="00082ABB">
        <w:rPr>
          <w:rFonts w:ascii="Book Antiqua" w:eastAsia="宋体" w:hAnsi="Book Antiqua" w:cs="宋体"/>
          <w:b/>
          <w:bCs/>
          <w:kern w:val="0"/>
          <w:sz w:val="24"/>
          <w:szCs w:val="24"/>
        </w:rPr>
        <w:t>Terman BI</w:t>
      </w:r>
      <w:r w:rsidRPr="00082ABB">
        <w:rPr>
          <w:rFonts w:ascii="Book Antiqua" w:eastAsia="宋体" w:hAnsi="Book Antiqua" w:cs="宋体"/>
          <w:kern w:val="0"/>
          <w:sz w:val="24"/>
          <w:szCs w:val="24"/>
        </w:rPr>
        <w:t>, Dougher-Vermazen M, Carrion ME, Dimitrov D, Armellino DC, Gospodarowicz D, Böhlen P. Identification of the KDR tyrosine kinase as a receptor for vascular endothelial cell growth factor. </w:t>
      </w:r>
      <w:r w:rsidRPr="00082ABB">
        <w:rPr>
          <w:rFonts w:ascii="Book Antiqua" w:eastAsia="宋体" w:hAnsi="Book Antiqua" w:cs="宋体"/>
          <w:i/>
          <w:iCs/>
          <w:kern w:val="0"/>
          <w:sz w:val="24"/>
          <w:szCs w:val="24"/>
        </w:rPr>
        <w:t xml:space="preserve">Biochem Biophys Res </w:t>
      </w:r>
      <w:r w:rsidRPr="00082ABB">
        <w:rPr>
          <w:rFonts w:ascii="Book Antiqua" w:eastAsia="宋体" w:hAnsi="Book Antiqua" w:cs="宋体"/>
          <w:i/>
          <w:iCs/>
          <w:kern w:val="0"/>
          <w:sz w:val="24"/>
          <w:szCs w:val="24"/>
        </w:rPr>
        <w:lastRenderedPageBreak/>
        <w:t>Commun</w:t>
      </w:r>
      <w:r w:rsidRPr="00082ABB">
        <w:rPr>
          <w:rFonts w:ascii="Book Antiqua" w:eastAsia="宋体" w:hAnsi="Book Antiqua" w:cs="宋体"/>
          <w:kern w:val="0"/>
          <w:sz w:val="24"/>
          <w:szCs w:val="24"/>
        </w:rPr>
        <w:t xml:space="preserve"> 1992; </w:t>
      </w:r>
      <w:r w:rsidRPr="00082ABB">
        <w:rPr>
          <w:rFonts w:ascii="Book Antiqua" w:eastAsia="宋体" w:hAnsi="Book Antiqua" w:cs="宋体"/>
          <w:b/>
          <w:bCs/>
          <w:kern w:val="0"/>
          <w:sz w:val="24"/>
          <w:szCs w:val="24"/>
        </w:rPr>
        <w:t>187</w:t>
      </w:r>
      <w:r w:rsidRPr="00082ABB">
        <w:rPr>
          <w:rFonts w:ascii="Book Antiqua" w:eastAsia="宋体" w:hAnsi="Book Antiqua" w:cs="宋体"/>
          <w:kern w:val="0"/>
          <w:sz w:val="24"/>
          <w:szCs w:val="24"/>
        </w:rPr>
        <w:t>: 1579-1586 [PMID: 1417831 DOI: 10.1016/0006-291X(</w:t>
      </w:r>
      <w:proofErr w:type="gramStart"/>
      <w:r w:rsidRPr="00082ABB">
        <w:rPr>
          <w:rFonts w:ascii="Book Antiqua" w:eastAsia="宋体" w:hAnsi="Book Antiqua" w:cs="宋体"/>
          <w:kern w:val="0"/>
          <w:sz w:val="24"/>
          <w:szCs w:val="24"/>
        </w:rPr>
        <w:t>92)90483</w:t>
      </w:r>
      <w:proofErr w:type="gramEnd"/>
      <w:r w:rsidRPr="00082ABB">
        <w:rPr>
          <w:rFonts w:ascii="Book Antiqua" w:eastAsia="宋体" w:hAnsi="Book Antiqua" w:cs="宋体"/>
          <w:kern w:val="0"/>
          <w:sz w:val="24"/>
          <w:szCs w:val="24"/>
        </w:rPr>
        <w:t>-2]</w:t>
      </w:r>
    </w:p>
    <w:p w:rsidR="00F47B06" w:rsidRPr="00082ABB" w:rsidRDefault="00F47B06" w:rsidP="00F47B06">
      <w:pPr>
        <w:widowControl/>
        <w:spacing w:line="360" w:lineRule="auto"/>
        <w:rPr>
          <w:rFonts w:ascii="Book Antiqua" w:eastAsia="宋体" w:hAnsi="Book Antiqua" w:cs="宋体"/>
          <w:kern w:val="0"/>
          <w:sz w:val="24"/>
          <w:szCs w:val="24"/>
        </w:rPr>
      </w:pPr>
      <w:proofErr w:type="gramStart"/>
      <w:r w:rsidRPr="00082ABB">
        <w:rPr>
          <w:rFonts w:ascii="Book Antiqua" w:eastAsia="宋体" w:hAnsi="Book Antiqua" w:cs="宋体"/>
          <w:kern w:val="0"/>
          <w:sz w:val="24"/>
          <w:szCs w:val="24"/>
        </w:rPr>
        <w:t>26 </w:t>
      </w:r>
      <w:r w:rsidRPr="00082ABB">
        <w:rPr>
          <w:rFonts w:ascii="Book Antiqua" w:eastAsia="宋体" w:hAnsi="Book Antiqua" w:cs="宋体"/>
          <w:b/>
          <w:bCs/>
          <w:kern w:val="0"/>
          <w:sz w:val="24"/>
          <w:szCs w:val="24"/>
        </w:rPr>
        <w:t>Shibuya M</w:t>
      </w:r>
      <w:r w:rsidRPr="00082ABB">
        <w:rPr>
          <w:rFonts w:ascii="Book Antiqua" w:eastAsia="宋体" w:hAnsi="Book Antiqua" w:cs="宋体"/>
          <w:kern w:val="0"/>
          <w:sz w:val="24"/>
          <w:szCs w:val="24"/>
        </w:rPr>
        <w:t>. Structure and dual function of vascular endothelial growth factor receptor-1 (Flt-1).</w:t>
      </w:r>
      <w:proofErr w:type="gramEnd"/>
      <w:r w:rsidRPr="00082ABB">
        <w:rPr>
          <w:rFonts w:ascii="Book Antiqua" w:eastAsia="宋体" w:hAnsi="Book Antiqua" w:cs="宋体"/>
          <w:kern w:val="0"/>
          <w:sz w:val="24"/>
          <w:szCs w:val="24"/>
        </w:rPr>
        <w:t> </w:t>
      </w:r>
      <w:r w:rsidRPr="00082ABB">
        <w:rPr>
          <w:rFonts w:ascii="Book Antiqua" w:eastAsia="宋体" w:hAnsi="Book Antiqua" w:cs="宋体"/>
          <w:i/>
          <w:iCs/>
          <w:kern w:val="0"/>
          <w:sz w:val="24"/>
          <w:szCs w:val="24"/>
        </w:rPr>
        <w:t>Int J Biochem Cell Biol</w:t>
      </w:r>
      <w:r w:rsidRPr="00082ABB">
        <w:rPr>
          <w:rFonts w:ascii="Book Antiqua" w:eastAsia="宋体" w:hAnsi="Book Antiqua" w:cs="宋体"/>
          <w:kern w:val="0"/>
          <w:sz w:val="24"/>
          <w:szCs w:val="24"/>
        </w:rPr>
        <w:t> 2001; </w:t>
      </w:r>
      <w:r w:rsidRPr="00082ABB">
        <w:rPr>
          <w:rFonts w:ascii="Book Antiqua" w:eastAsia="宋体" w:hAnsi="Book Antiqua" w:cs="宋体"/>
          <w:b/>
          <w:bCs/>
          <w:kern w:val="0"/>
          <w:sz w:val="24"/>
          <w:szCs w:val="24"/>
        </w:rPr>
        <w:t>33</w:t>
      </w:r>
      <w:r w:rsidRPr="00082ABB">
        <w:rPr>
          <w:rFonts w:ascii="Book Antiqua" w:eastAsia="宋体" w:hAnsi="Book Antiqua" w:cs="宋体"/>
          <w:kern w:val="0"/>
          <w:sz w:val="24"/>
          <w:szCs w:val="24"/>
        </w:rPr>
        <w:t>: 409-420 [PMID: 11312109 DOI: 10.1016/S1357-2725(01)00026-7]</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27 </w:t>
      </w:r>
      <w:r w:rsidRPr="00082ABB">
        <w:rPr>
          <w:rFonts w:ascii="Book Antiqua" w:eastAsia="宋体" w:hAnsi="Book Antiqua" w:cs="宋体"/>
          <w:b/>
          <w:bCs/>
          <w:kern w:val="0"/>
          <w:sz w:val="24"/>
          <w:szCs w:val="24"/>
        </w:rPr>
        <w:t>Eichhorn ME</w:t>
      </w:r>
      <w:r w:rsidRPr="00082ABB">
        <w:rPr>
          <w:rFonts w:ascii="Book Antiqua" w:eastAsia="宋体" w:hAnsi="Book Antiqua" w:cs="宋体"/>
          <w:kern w:val="0"/>
          <w:sz w:val="24"/>
          <w:szCs w:val="24"/>
        </w:rPr>
        <w:t>, Strieth S, Luedemann S, Kleespies A, Nöth U, Passon A, Brix G, Jauch KW, Bruns CJ, Dellian M. Contrast enhanced MRI and intravital fluorescence microscopy indicate improved tumor microcirculation in highly vascularized melanomas upon short-term anti-VEGFR treatment. </w:t>
      </w:r>
      <w:r w:rsidRPr="00082ABB">
        <w:rPr>
          <w:rFonts w:ascii="Book Antiqua" w:eastAsia="宋体" w:hAnsi="Book Antiqua" w:cs="宋体"/>
          <w:i/>
          <w:iCs/>
          <w:kern w:val="0"/>
          <w:sz w:val="24"/>
          <w:szCs w:val="24"/>
        </w:rPr>
        <w:t>Cancer Biol Ther</w:t>
      </w:r>
      <w:r w:rsidRPr="00082ABB">
        <w:rPr>
          <w:rFonts w:ascii="Book Antiqua" w:eastAsia="宋体" w:hAnsi="Book Antiqua" w:cs="宋体"/>
          <w:kern w:val="0"/>
          <w:sz w:val="24"/>
          <w:szCs w:val="24"/>
        </w:rPr>
        <w:t> 2008; </w:t>
      </w:r>
      <w:r w:rsidRPr="00082ABB">
        <w:rPr>
          <w:rFonts w:ascii="Book Antiqua" w:eastAsia="宋体" w:hAnsi="Book Antiqua" w:cs="宋体"/>
          <w:b/>
          <w:bCs/>
          <w:kern w:val="0"/>
          <w:sz w:val="24"/>
          <w:szCs w:val="24"/>
        </w:rPr>
        <w:t>7</w:t>
      </w:r>
      <w:r w:rsidRPr="00082ABB">
        <w:rPr>
          <w:rFonts w:ascii="Book Antiqua" w:eastAsia="宋体" w:hAnsi="Book Antiqua" w:cs="宋体"/>
          <w:kern w:val="0"/>
          <w:sz w:val="24"/>
          <w:szCs w:val="24"/>
        </w:rPr>
        <w:t>: 1006-1013 [PMID: 18398295 DOI: 10.4161/cbt.7.7.5997]</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28 </w:t>
      </w:r>
      <w:r w:rsidRPr="00082ABB">
        <w:rPr>
          <w:rFonts w:ascii="Book Antiqua" w:eastAsia="宋体" w:hAnsi="Book Antiqua" w:cs="宋体"/>
          <w:b/>
          <w:bCs/>
          <w:kern w:val="0"/>
          <w:sz w:val="24"/>
          <w:szCs w:val="24"/>
        </w:rPr>
        <w:t>Kim KJ</w:t>
      </w:r>
      <w:r w:rsidRPr="00082ABB">
        <w:rPr>
          <w:rFonts w:ascii="Book Antiqua" w:eastAsia="宋体" w:hAnsi="Book Antiqua" w:cs="宋体"/>
          <w:kern w:val="0"/>
          <w:sz w:val="24"/>
          <w:szCs w:val="24"/>
        </w:rPr>
        <w:t>, Li B, Winer J, Armanini M, Gillett N, Phillips HS, Ferrara N. Inhibition of vascular endothelial growth factor-induced angiogenesis suppresses tumour growth in vivo. </w:t>
      </w:r>
      <w:r w:rsidRPr="00082ABB">
        <w:rPr>
          <w:rFonts w:ascii="Book Antiqua" w:eastAsia="宋体" w:hAnsi="Book Antiqua" w:cs="宋体"/>
          <w:i/>
          <w:iCs/>
          <w:kern w:val="0"/>
          <w:sz w:val="24"/>
          <w:szCs w:val="24"/>
        </w:rPr>
        <w:t>Nature</w:t>
      </w:r>
      <w:r w:rsidRPr="00082ABB">
        <w:rPr>
          <w:rFonts w:ascii="Book Antiqua" w:eastAsia="宋体" w:hAnsi="Book Antiqua" w:cs="宋体"/>
          <w:kern w:val="0"/>
          <w:sz w:val="24"/>
          <w:szCs w:val="24"/>
        </w:rPr>
        <w:t> 1993; </w:t>
      </w:r>
      <w:r w:rsidRPr="00082ABB">
        <w:rPr>
          <w:rFonts w:ascii="Book Antiqua" w:eastAsia="宋体" w:hAnsi="Book Antiqua" w:cs="宋体"/>
          <w:b/>
          <w:bCs/>
          <w:kern w:val="0"/>
          <w:sz w:val="24"/>
          <w:szCs w:val="24"/>
        </w:rPr>
        <w:t>362</w:t>
      </w:r>
      <w:r w:rsidRPr="00082ABB">
        <w:rPr>
          <w:rFonts w:ascii="Book Antiqua" w:eastAsia="宋体" w:hAnsi="Book Antiqua" w:cs="宋体"/>
          <w:kern w:val="0"/>
          <w:sz w:val="24"/>
          <w:szCs w:val="24"/>
        </w:rPr>
        <w:t>: 841-844 [PMID: 7683111 DOI: 10.1038/362841a0]</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29 </w:t>
      </w:r>
      <w:r w:rsidRPr="00082ABB">
        <w:rPr>
          <w:rFonts w:ascii="Book Antiqua" w:eastAsia="宋体" w:hAnsi="Book Antiqua" w:cs="宋体"/>
          <w:b/>
          <w:bCs/>
          <w:kern w:val="0"/>
          <w:sz w:val="24"/>
          <w:szCs w:val="24"/>
        </w:rPr>
        <w:t>Millauer B</w:t>
      </w:r>
      <w:r w:rsidRPr="00082ABB">
        <w:rPr>
          <w:rFonts w:ascii="Book Antiqua" w:eastAsia="宋体" w:hAnsi="Book Antiqua" w:cs="宋体"/>
          <w:kern w:val="0"/>
          <w:sz w:val="24"/>
          <w:szCs w:val="24"/>
        </w:rPr>
        <w:t xml:space="preserve">, Shawver LK, Plate KH, Risau W, Ullrich A. Glioblastoma growth inhibited in vivo by a dominant-negative Flk-1 mutant. </w:t>
      </w:r>
      <w:r w:rsidRPr="00082ABB">
        <w:rPr>
          <w:rFonts w:ascii="Book Antiqua" w:eastAsia="宋体" w:hAnsi="Book Antiqua" w:cs="宋体"/>
          <w:i/>
          <w:iCs/>
          <w:kern w:val="0"/>
          <w:sz w:val="24"/>
          <w:szCs w:val="24"/>
        </w:rPr>
        <w:t>Nature</w:t>
      </w:r>
      <w:r w:rsidRPr="00082ABB">
        <w:rPr>
          <w:rFonts w:ascii="Book Antiqua" w:eastAsia="宋体" w:hAnsi="Book Antiqua" w:cs="宋体"/>
          <w:kern w:val="0"/>
          <w:sz w:val="24"/>
          <w:szCs w:val="24"/>
        </w:rPr>
        <w:t xml:space="preserve"> 1994; </w:t>
      </w:r>
      <w:r w:rsidRPr="00082ABB">
        <w:rPr>
          <w:rFonts w:ascii="Book Antiqua" w:eastAsia="宋体" w:hAnsi="Book Antiqua" w:cs="宋体"/>
          <w:b/>
          <w:bCs/>
          <w:kern w:val="0"/>
          <w:sz w:val="24"/>
          <w:szCs w:val="24"/>
        </w:rPr>
        <w:t>367</w:t>
      </w:r>
      <w:r w:rsidRPr="00082ABB">
        <w:rPr>
          <w:rFonts w:ascii="Book Antiqua" w:eastAsia="宋体" w:hAnsi="Book Antiqua" w:cs="宋体"/>
          <w:kern w:val="0"/>
          <w:sz w:val="24"/>
          <w:szCs w:val="24"/>
        </w:rPr>
        <w:t>: 576-579 [PMID: 8107827 DOI: 10.1038/367576a0]</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30 </w:t>
      </w:r>
      <w:r w:rsidRPr="00082ABB">
        <w:rPr>
          <w:rFonts w:ascii="Book Antiqua" w:eastAsia="宋体" w:hAnsi="Book Antiqua" w:cs="宋体"/>
          <w:b/>
          <w:bCs/>
          <w:kern w:val="0"/>
          <w:sz w:val="24"/>
          <w:szCs w:val="24"/>
        </w:rPr>
        <w:t>Presta LG</w:t>
      </w:r>
      <w:r w:rsidRPr="00082ABB">
        <w:rPr>
          <w:rFonts w:ascii="Book Antiqua" w:eastAsia="宋体" w:hAnsi="Book Antiqua" w:cs="宋体"/>
          <w:kern w:val="0"/>
          <w:sz w:val="24"/>
          <w:szCs w:val="24"/>
        </w:rPr>
        <w:t>, Chen H, O'Connor SJ, Chisholm V, Meng YG, Krummen L, Winkler M, Ferrara N. Humanization of an anti-vascular endothelial growth factor monoclonal antibody for the therapy of solid tumors and other disorders. </w:t>
      </w:r>
      <w:r w:rsidRPr="00082ABB">
        <w:rPr>
          <w:rFonts w:ascii="Book Antiqua" w:eastAsia="宋体" w:hAnsi="Book Antiqua" w:cs="宋体"/>
          <w:i/>
          <w:iCs/>
          <w:kern w:val="0"/>
          <w:sz w:val="24"/>
          <w:szCs w:val="24"/>
        </w:rPr>
        <w:t>Cancer Res</w:t>
      </w:r>
      <w:r w:rsidRPr="00082ABB">
        <w:rPr>
          <w:rFonts w:ascii="Book Antiqua" w:eastAsia="宋体" w:hAnsi="Book Antiqua" w:cs="宋体"/>
          <w:kern w:val="0"/>
          <w:sz w:val="24"/>
          <w:szCs w:val="24"/>
        </w:rPr>
        <w:t> 1997; </w:t>
      </w:r>
      <w:r w:rsidRPr="00082ABB">
        <w:rPr>
          <w:rFonts w:ascii="Book Antiqua" w:eastAsia="宋体" w:hAnsi="Book Antiqua" w:cs="宋体"/>
          <w:b/>
          <w:bCs/>
          <w:kern w:val="0"/>
          <w:sz w:val="24"/>
          <w:szCs w:val="24"/>
        </w:rPr>
        <w:t>57</w:t>
      </w:r>
      <w:r w:rsidRPr="00082ABB">
        <w:rPr>
          <w:rFonts w:ascii="Book Antiqua" w:eastAsia="宋体" w:hAnsi="Book Antiqua" w:cs="宋体"/>
          <w:kern w:val="0"/>
          <w:sz w:val="24"/>
          <w:szCs w:val="24"/>
        </w:rPr>
        <w:t>: 4593-4599 [PMID: 9377574]</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31 </w:t>
      </w:r>
      <w:r w:rsidRPr="00082ABB">
        <w:rPr>
          <w:rFonts w:ascii="Book Antiqua" w:eastAsia="宋体" w:hAnsi="Book Antiqua" w:cs="宋体"/>
          <w:b/>
          <w:bCs/>
          <w:kern w:val="0"/>
          <w:sz w:val="24"/>
          <w:szCs w:val="24"/>
        </w:rPr>
        <w:t>Wood JM</w:t>
      </w:r>
      <w:r w:rsidRPr="00082ABB">
        <w:rPr>
          <w:rFonts w:ascii="Book Antiqua" w:eastAsia="宋体" w:hAnsi="Book Antiqua" w:cs="宋体"/>
          <w:kern w:val="0"/>
          <w:sz w:val="24"/>
          <w:szCs w:val="24"/>
        </w:rPr>
        <w:t xml:space="preserve">, Bold G, Buchdunger E, Cozens R, Ferrari S, Frei J, Hofmann F, Mestan J, Mett H, O'Reilly T, Persohn E, Rösel J, Schnell C, Stover D, Theuer A, Towbin H, Wenger F, Woods-Cook K, Menrad A, Siemeister G, Schirner M, </w:t>
      </w:r>
      <w:r w:rsidRPr="00082ABB">
        <w:rPr>
          <w:rFonts w:ascii="Book Antiqua" w:eastAsia="宋体" w:hAnsi="Book Antiqua" w:cs="宋体"/>
          <w:kern w:val="0"/>
          <w:sz w:val="24"/>
          <w:szCs w:val="24"/>
        </w:rPr>
        <w:lastRenderedPageBreak/>
        <w:t>Thierauch KH, Schneider MR, Drevs J, Martiny-Baron G, Totzke F. PTK787/ZK 222584, a novel and potent inhibitor of vascular endothelial growth factor receptor tyrosine kinases, impairs vascular endothelial growth factor-induced responses and tumor growth after oral administration. </w:t>
      </w:r>
      <w:r w:rsidRPr="00082ABB">
        <w:rPr>
          <w:rFonts w:ascii="Book Antiqua" w:eastAsia="宋体" w:hAnsi="Book Antiqua" w:cs="宋体"/>
          <w:i/>
          <w:iCs/>
          <w:kern w:val="0"/>
          <w:sz w:val="24"/>
          <w:szCs w:val="24"/>
        </w:rPr>
        <w:t>Cancer Res</w:t>
      </w:r>
      <w:r w:rsidRPr="00082ABB">
        <w:rPr>
          <w:rFonts w:ascii="Book Antiqua" w:eastAsia="宋体" w:hAnsi="Book Antiqua" w:cs="宋体"/>
          <w:kern w:val="0"/>
          <w:sz w:val="24"/>
          <w:szCs w:val="24"/>
        </w:rPr>
        <w:t> 2000; </w:t>
      </w:r>
      <w:r w:rsidRPr="00082ABB">
        <w:rPr>
          <w:rFonts w:ascii="Book Antiqua" w:eastAsia="宋体" w:hAnsi="Book Antiqua" w:cs="宋体"/>
          <w:b/>
          <w:bCs/>
          <w:kern w:val="0"/>
          <w:sz w:val="24"/>
          <w:szCs w:val="24"/>
        </w:rPr>
        <w:t>60</w:t>
      </w:r>
      <w:r w:rsidRPr="00082ABB">
        <w:rPr>
          <w:rFonts w:ascii="Book Antiqua" w:eastAsia="宋体" w:hAnsi="Book Antiqua" w:cs="宋体"/>
          <w:kern w:val="0"/>
          <w:sz w:val="24"/>
          <w:szCs w:val="24"/>
        </w:rPr>
        <w:t>: 2178-2189 [PMID: 10786682]</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32 </w:t>
      </w:r>
      <w:r w:rsidRPr="00082ABB">
        <w:rPr>
          <w:rFonts w:ascii="Book Antiqua" w:eastAsia="宋体" w:hAnsi="Book Antiqua" w:cs="宋体"/>
          <w:b/>
          <w:bCs/>
          <w:kern w:val="0"/>
          <w:sz w:val="24"/>
          <w:szCs w:val="24"/>
        </w:rPr>
        <w:t>Pavlidis ET</w:t>
      </w:r>
      <w:r w:rsidRPr="00082ABB">
        <w:rPr>
          <w:rFonts w:ascii="Book Antiqua" w:eastAsia="宋体" w:hAnsi="Book Antiqua" w:cs="宋体"/>
          <w:kern w:val="0"/>
          <w:sz w:val="24"/>
          <w:szCs w:val="24"/>
        </w:rPr>
        <w:t>, Pavlidis TE. Role of bevacizumab in colorectal cancer growth and its adverse effects: a review. </w:t>
      </w:r>
      <w:r w:rsidRPr="00082ABB">
        <w:rPr>
          <w:rFonts w:ascii="Book Antiqua" w:eastAsia="宋体" w:hAnsi="Book Antiqua" w:cs="宋体"/>
          <w:i/>
          <w:iCs/>
          <w:kern w:val="0"/>
          <w:sz w:val="24"/>
          <w:szCs w:val="24"/>
        </w:rPr>
        <w:t>World J Gastroenterol</w:t>
      </w:r>
      <w:r w:rsidRPr="00082ABB">
        <w:rPr>
          <w:rFonts w:ascii="Book Antiqua" w:eastAsia="宋体" w:hAnsi="Book Antiqua" w:cs="宋体"/>
          <w:kern w:val="0"/>
          <w:sz w:val="24"/>
          <w:szCs w:val="24"/>
        </w:rPr>
        <w:t> 2013; </w:t>
      </w:r>
      <w:r w:rsidRPr="00082ABB">
        <w:rPr>
          <w:rFonts w:ascii="Book Antiqua" w:eastAsia="宋体" w:hAnsi="Book Antiqua" w:cs="宋体"/>
          <w:b/>
          <w:bCs/>
          <w:kern w:val="0"/>
          <w:sz w:val="24"/>
          <w:szCs w:val="24"/>
        </w:rPr>
        <w:t>19</w:t>
      </w:r>
      <w:r w:rsidRPr="00082ABB">
        <w:rPr>
          <w:rFonts w:ascii="Book Antiqua" w:eastAsia="宋体" w:hAnsi="Book Antiqua" w:cs="宋体"/>
          <w:kern w:val="0"/>
          <w:sz w:val="24"/>
          <w:szCs w:val="24"/>
        </w:rPr>
        <w:t>: 5051-5060 [PMID: 23964138 DOI: 10.3748/wjg.v19.i31.5051]</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33 </w:t>
      </w:r>
      <w:r w:rsidRPr="00082ABB">
        <w:rPr>
          <w:rFonts w:ascii="Book Antiqua" w:eastAsia="宋体" w:hAnsi="Book Antiqua" w:cs="宋体"/>
          <w:b/>
          <w:bCs/>
          <w:kern w:val="0"/>
          <w:sz w:val="24"/>
          <w:szCs w:val="24"/>
        </w:rPr>
        <w:t>Qu CY</w:t>
      </w:r>
      <w:r w:rsidRPr="00082ABB">
        <w:rPr>
          <w:rFonts w:ascii="Book Antiqua" w:eastAsia="宋体" w:hAnsi="Book Antiqua" w:cs="宋体"/>
          <w:kern w:val="0"/>
          <w:sz w:val="24"/>
          <w:szCs w:val="24"/>
        </w:rPr>
        <w:t>, Zheng Y, Zhou M, Zhang Y, Shen F, Cao J, Xu LM. Value of bevacizumab in treatment of colorectal cancer: A meta-analysis. </w:t>
      </w:r>
      <w:r w:rsidRPr="00082ABB">
        <w:rPr>
          <w:rFonts w:ascii="Book Antiqua" w:eastAsia="宋体" w:hAnsi="Book Antiqua" w:cs="宋体"/>
          <w:i/>
          <w:iCs/>
          <w:kern w:val="0"/>
          <w:sz w:val="24"/>
          <w:szCs w:val="24"/>
        </w:rPr>
        <w:t>World J Gastroenterol</w:t>
      </w:r>
      <w:r w:rsidRPr="00082ABB">
        <w:rPr>
          <w:rFonts w:ascii="Book Antiqua" w:eastAsia="宋体" w:hAnsi="Book Antiqua" w:cs="宋体"/>
          <w:kern w:val="0"/>
          <w:sz w:val="24"/>
          <w:szCs w:val="24"/>
        </w:rPr>
        <w:t xml:space="preserve"> 2015; </w:t>
      </w:r>
      <w:r w:rsidRPr="00082ABB">
        <w:rPr>
          <w:rFonts w:ascii="Book Antiqua" w:eastAsia="宋体" w:hAnsi="Book Antiqua" w:cs="宋体"/>
          <w:b/>
          <w:bCs/>
          <w:kern w:val="0"/>
          <w:sz w:val="24"/>
          <w:szCs w:val="24"/>
        </w:rPr>
        <w:t>21</w:t>
      </w:r>
      <w:r w:rsidRPr="00082ABB">
        <w:rPr>
          <w:rFonts w:ascii="Book Antiqua" w:eastAsia="宋体" w:hAnsi="Book Antiqua" w:cs="宋体"/>
          <w:kern w:val="0"/>
          <w:sz w:val="24"/>
          <w:szCs w:val="24"/>
        </w:rPr>
        <w:t>: 5072-5080 [PMID: 25945023 DOI: 10.3748/wjg.v21.i16.5072]</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34 </w:t>
      </w:r>
      <w:r w:rsidRPr="00082ABB">
        <w:rPr>
          <w:rFonts w:ascii="Book Antiqua" w:eastAsia="宋体" w:hAnsi="Book Antiqua" w:cs="宋体"/>
          <w:b/>
          <w:bCs/>
          <w:kern w:val="0"/>
          <w:sz w:val="24"/>
          <w:szCs w:val="24"/>
        </w:rPr>
        <w:t>Wang W</w:t>
      </w:r>
      <w:r w:rsidRPr="00082ABB">
        <w:rPr>
          <w:rFonts w:ascii="Book Antiqua" w:eastAsia="宋体" w:hAnsi="Book Antiqua" w:cs="宋体"/>
          <w:kern w:val="0"/>
          <w:sz w:val="24"/>
          <w:szCs w:val="24"/>
        </w:rPr>
        <w:t>, Zhao LR, Lin XQ, Feng F. Reversible posterior leukoencephalopathy syndrome induced by bevacizumab plus chemotherapy in colorectal cancer. </w:t>
      </w:r>
      <w:r w:rsidRPr="00082ABB">
        <w:rPr>
          <w:rFonts w:ascii="Book Antiqua" w:eastAsia="宋体" w:hAnsi="Book Antiqua" w:cs="宋体"/>
          <w:i/>
          <w:iCs/>
          <w:kern w:val="0"/>
          <w:sz w:val="24"/>
          <w:szCs w:val="24"/>
        </w:rPr>
        <w:t>World J Gastroenterol</w:t>
      </w:r>
      <w:r w:rsidRPr="00082ABB">
        <w:rPr>
          <w:rFonts w:ascii="Book Antiqua" w:eastAsia="宋体" w:hAnsi="Book Antiqua" w:cs="宋体"/>
          <w:kern w:val="0"/>
          <w:sz w:val="24"/>
          <w:szCs w:val="24"/>
        </w:rPr>
        <w:t> 2014; </w:t>
      </w:r>
      <w:r w:rsidRPr="00082ABB">
        <w:rPr>
          <w:rFonts w:ascii="Book Antiqua" w:eastAsia="宋体" w:hAnsi="Book Antiqua" w:cs="宋体"/>
          <w:b/>
          <w:bCs/>
          <w:kern w:val="0"/>
          <w:sz w:val="24"/>
          <w:szCs w:val="24"/>
        </w:rPr>
        <w:t>20</w:t>
      </w:r>
      <w:r w:rsidRPr="00082ABB">
        <w:rPr>
          <w:rFonts w:ascii="Book Antiqua" w:eastAsia="宋体" w:hAnsi="Book Antiqua" w:cs="宋体"/>
          <w:kern w:val="0"/>
          <w:sz w:val="24"/>
          <w:szCs w:val="24"/>
        </w:rPr>
        <w:t>: 6691-6697 [PMID: 24914397 DOI: 10.3748/wjg.v20.i21.6691]</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35 </w:t>
      </w:r>
      <w:r w:rsidRPr="00082ABB">
        <w:rPr>
          <w:rFonts w:ascii="Book Antiqua" w:eastAsia="宋体" w:hAnsi="Book Antiqua" w:cs="宋体"/>
          <w:b/>
          <w:bCs/>
          <w:kern w:val="0"/>
          <w:sz w:val="24"/>
          <w:szCs w:val="24"/>
        </w:rPr>
        <w:t>Fuchs CS</w:t>
      </w:r>
      <w:r w:rsidRPr="00082ABB">
        <w:rPr>
          <w:rFonts w:ascii="Book Antiqua" w:eastAsia="宋体" w:hAnsi="Book Antiqua" w:cs="宋体"/>
          <w:kern w:val="0"/>
          <w:sz w:val="24"/>
          <w:szCs w:val="24"/>
        </w:rPr>
        <w:t>, Marshall J, Mitchell E, Wierzbicki R, Ganju V, Jeffery M, Schulz J, Richards D, Soufi-Mahjoubi R, Wang B, Barrueco J. Randomized, controlled trial of irinotecan plus infusional, bolus, or oral fluoropyrimidines in first-line treatment of metastatic colorectal cancer: results from the BICC-C Study.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xml:space="preserve"> 2007; </w:t>
      </w:r>
      <w:r w:rsidRPr="00082ABB">
        <w:rPr>
          <w:rFonts w:ascii="Book Antiqua" w:eastAsia="宋体" w:hAnsi="Book Antiqua" w:cs="宋体"/>
          <w:b/>
          <w:bCs/>
          <w:kern w:val="0"/>
          <w:sz w:val="24"/>
          <w:szCs w:val="24"/>
        </w:rPr>
        <w:t>25</w:t>
      </w:r>
      <w:r w:rsidRPr="00082ABB">
        <w:rPr>
          <w:rFonts w:ascii="Book Antiqua" w:eastAsia="宋体" w:hAnsi="Book Antiqua" w:cs="宋体"/>
          <w:kern w:val="0"/>
          <w:sz w:val="24"/>
          <w:szCs w:val="24"/>
        </w:rPr>
        <w:t>: 4779-4786 [PMID: 17947725 DOI: 10.1200/JCO.2007.11.3357]</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36 </w:t>
      </w:r>
      <w:r w:rsidRPr="00082ABB">
        <w:rPr>
          <w:rFonts w:ascii="Book Antiqua" w:eastAsia="宋体" w:hAnsi="Book Antiqua" w:cs="宋体"/>
          <w:b/>
          <w:bCs/>
          <w:kern w:val="0"/>
          <w:sz w:val="24"/>
          <w:szCs w:val="24"/>
        </w:rPr>
        <w:t>Cassidy J</w:t>
      </w:r>
      <w:r w:rsidRPr="00082ABB">
        <w:rPr>
          <w:rFonts w:ascii="Book Antiqua" w:eastAsia="宋体" w:hAnsi="Book Antiqua" w:cs="宋体"/>
          <w:kern w:val="0"/>
          <w:sz w:val="24"/>
          <w:szCs w:val="24"/>
        </w:rPr>
        <w:t xml:space="preserve">, Clarke S, Díaz-Rubio E, Scheithauer W, Figer A, Wong R, Koski S, Rittweger K, Gilberg F, Saltz L. XELOX vs FOLFOX-4 as first-line therapy for </w:t>
      </w:r>
      <w:r w:rsidRPr="00082ABB">
        <w:rPr>
          <w:rFonts w:ascii="Book Antiqua" w:eastAsia="宋体" w:hAnsi="Book Antiqua" w:cs="宋体"/>
          <w:kern w:val="0"/>
          <w:sz w:val="24"/>
          <w:szCs w:val="24"/>
        </w:rPr>
        <w:lastRenderedPageBreak/>
        <w:t>metastatic colorectal cancer: NO16966 updated results. </w:t>
      </w:r>
      <w:r w:rsidRPr="00082ABB">
        <w:rPr>
          <w:rFonts w:ascii="Book Antiqua" w:eastAsia="宋体" w:hAnsi="Book Antiqua" w:cs="宋体"/>
          <w:i/>
          <w:iCs/>
          <w:kern w:val="0"/>
          <w:sz w:val="24"/>
          <w:szCs w:val="24"/>
        </w:rPr>
        <w:t>Br J Cancer</w:t>
      </w:r>
      <w:r w:rsidRPr="00082ABB">
        <w:rPr>
          <w:rFonts w:ascii="Book Antiqua" w:eastAsia="宋体" w:hAnsi="Book Antiqua" w:cs="宋体"/>
          <w:kern w:val="0"/>
          <w:sz w:val="24"/>
          <w:szCs w:val="24"/>
        </w:rPr>
        <w:t> 2011; </w:t>
      </w:r>
      <w:r w:rsidRPr="00082ABB">
        <w:rPr>
          <w:rFonts w:ascii="Book Antiqua" w:eastAsia="宋体" w:hAnsi="Book Antiqua" w:cs="宋体"/>
          <w:b/>
          <w:bCs/>
          <w:kern w:val="0"/>
          <w:sz w:val="24"/>
          <w:szCs w:val="24"/>
        </w:rPr>
        <w:t>105</w:t>
      </w:r>
      <w:r w:rsidRPr="00082ABB">
        <w:rPr>
          <w:rFonts w:ascii="Book Antiqua" w:eastAsia="宋体" w:hAnsi="Book Antiqua" w:cs="宋体"/>
          <w:kern w:val="0"/>
          <w:sz w:val="24"/>
          <w:szCs w:val="24"/>
        </w:rPr>
        <w:t>: 58-64 [PMID: 21673685 DOI: 10.1038/bjc.2011.201]</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37 </w:t>
      </w:r>
      <w:r w:rsidRPr="00082ABB">
        <w:rPr>
          <w:rFonts w:ascii="Book Antiqua" w:eastAsia="宋体" w:hAnsi="Book Antiqua" w:cs="宋体"/>
          <w:b/>
          <w:bCs/>
          <w:kern w:val="0"/>
          <w:sz w:val="24"/>
          <w:szCs w:val="24"/>
        </w:rPr>
        <w:t>Hochster HS</w:t>
      </w:r>
      <w:r w:rsidRPr="00082ABB">
        <w:rPr>
          <w:rFonts w:ascii="Book Antiqua" w:eastAsia="宋体" w:hAnsi="Book Antiqua" w:cs="宋体"/>
          <w:kern w:val="0"/>
          <w:sz w:val="24"/>
          <w:szCs w:val="24"/>
        </w:rPr>
        <w:t>, Hart LL, Ramanathan RK, Childs BH, Hainsworth JD, Cohn AL, Wong L, Fehrenbacher L, Abubakr Y, Saif MW, Schwartzberg L, Hedrick E. Safety and efficacy of oxaliplatin and fluoropyrimidine regimens with or without bevacizumab as first-line treatment of metastatic colorectal cancer: results of the TREE Study.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2008; </w:t>
      </w:r>
      <w:r w:rsidRPr="00082ABB">
        <w:rPr>
          <w:rFonts w:ascii="Book Antiqua" w:eastAsia="宋体" w:hAnsi="Book Antiqua" w:cs="宋体"/>
          <w:b/>
          <w:bCs/>
          <w:kern w:val="0"/>
          <w:sz w:val="24"/>
          <w:szCs w:val="24"/>
        </w:rPr>
        <w:t>26</w:t>
      </w:r>
      <w:r w:rsidRPr="00082ABB">
        <w:rPr>
          <w:rFonts w:ascii="Book Antiqua" w:eastAsia="宋体" w:hAnsi="Book Antiqua" w:cs="宋体"/>
          <w:kern w:val="0"/>
          <w:sz w:val="24"/>
          <w:szCs w:val="24"/>
        </w:rPr>
        <w:t>: 3523-3529 [PMID: 18640933 DOI: 10.1200/JCO.2007.15.4138]</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 xml:space="preserve">38 </w:t>
      </w:r>
      <w:r w:rsidRPr="00082ABB">
        <w:rPr>
          <w:rFonts w:ascii="Book Antiqua" w:eastAsia="宋体" w:hAnsi="Book Antiqua" w:cs="宋体"/>
          <w:b/>
          <w:kern w:val="0"/>
          <w:sz w:val="24"/>
          <w:szCs w:val="24"/>
        </w:rPr>
        <w:t>Punt CJ</w:t>
      </w:r>
      <w:r w:rsidRPr="00082ABB">
        <w:rPr>
          <w:rFonts w:ascii="Book Antiqua" w:eastAsia="宋体" w:hAnsi="Book Antiqua" w:cs="宋体"/>
          <w:kern w:val="0"/>
          <w:sz w:val="24"/>
          <w:szCs w:val="24"/>
        </w:rPr>
        <w:t>, Tol J, Rodenburg CJ, Cats A, Creemers G, Schrama JG, Erdkamp FL, Vos A, Mol L, Antonini NF. Randomized phase III study of capecitabine, oxaliplatin, and bevacizumab with or without cetuximab in advanced colorectal cancer (ACC), the CAIRO2 study of the Dutch Colorectal Cancer Group (DCCG).</w:t>
      </w:r>
      <w:r w:rsidRPr="00082ABB">
        <w:rPr>
          <w:rFonts w:ascii="Book Antiqua" w:eastAsia="宋体" w:hAnsi="Book Antiqua" w:cs="宋体"/>
          <w:i/>
          <w:kern w:val="0"/>
          <w:sz w:val="24"/>
          <w:szCs w:val="24"/>
        </w:rPr>
        <w:t xml:space="preserve"> J Clin Oncol</w:t>
      </w:r>
      <w:r w:rsidRPr="00082ABB">
        <w:rPr>
          <w:rFonts w:ascii="Book Antiqua" w:eastAsia="宋体" w:hAnsi="Book Antiqua" w:cs="宋体"/>
          <w:kern w:val="0"/>
          <w:sz w:val="24"/>
          <w:szCs w:val="24"/>
        </w:rPr>
        <w:t xml:space="preserve"> 2008; </w:t>
      </w:r>
      <w:r w:rsidRPr="00082ABB">
        <w:rPr>
          <w:rFonts w:ascii="Book Antiqua" w:eastAsia="宋体" w:hAnsi="Book Antiqua" w:cs="宋体"/>
          <w:b/>
          <w:kern w:val="0"/>
          <w:sz w:val="24"/>
          <w:szCs w:val="24"/>
        </w:rPr>
        <w:t>26</w:t>
      </w:r>
      <w:r w:rsidRPr="00082ABB">
        <w:rPr>
          <w:rFonts w:ascii="Book Antiqua" w:eastAsia="宋体" w:hAnsi="Book Antiqua" w:cs="宋体"/>
          <w:kern w:val="0"/>
          <w:sz w:val="24"/>
          <w:szCs w:val="24"/>
        </w:rPr>
        <w:t>: LBA4011</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39 </w:t>
      </w:r>
      <w:r w:rsidRPr="00082ABB">
        <w:rPr>
          <w:rFonts w:ascii="Book Antiqua" w:eastAsia="宋体" w:hAnsi="Book Antiqua" w:cs="宋体"/>
          <w:b/>
          <w:bCs/>
          <w:kern w:val="0"/>
          <w:sz w:val="24"/>
          <w:szCs w:val="24"/>
        </w:rPr>
        <w:t>Carmeliet P</w:t>
      </w:r>
      <w:r w:rsidRPr="00082ABB">
        <w:rPr>
          <w:rFonts w:ascii="Book Antiqua" w:eastAsia="宋体" w:hAnsi="Book Antiqua" w:cs="宋体"/>
          <w:kern w:val="0"/>
          <w:sz w:val="24"/>
          <w:szCs w:val="24"/>
        </w:rPr>
        <w:t>, Moons L, Luttun A, Vincenti V, Compernolle V, De Mol M, Wu Y, Bono F, Devy L, Beck H, Scholz D, Acker T, DiPalma T, Dewerchin M, Noel A, Stalmans I, Barra A, Blacher S, VandenDriessche T, Ponten A, Eriksson U, Plate KH, Foidart JM, Schaper W, Charnock-Jones DS, Hicklin DJ, Herbert JM, Collen D, Persico MG. Synergism between vascular endothelial growth factor and placental growth factor contributes to angiogenesis and plasma extravasation in pathological conditions. </w:t>
      </w:r>
      <w:r w:rsidRPr="00082ABB">
        <w:rPr>
          <w:rFonts w:ascii="Book Antiqua" w:eastAsia="宋体" w:hAnsi="Book Antiqua" w:cs="宋体"/>
          <w:i/>
          <w:iCs/>
          <w:kern w:val="0"/>
          <w:sz w:val="24"/>
          <w:szCs w:val="24"/>
        </w:rPr>
        <w:t>Nat Med</w:t>
      </w:r>
      <w:r w:rsidRPr="00082ABB">
        <w:rPr>
          <w:rFonts w:ascii="Book Antiqua" w:eastAsia="宋体" w:hAnsi="Book Antiqua" w:cs="宋体"/>
          <w:kern w:val="0"/>
          <w:sz w:val="24"/>
          <w:szCs w:val="24"/>
        </w:rPr>
        <w:t> 2001; </w:t>
      </w:r>
      <w:r w:rsidRPr="00082ABB">
        <w:rPr>
          <w:rFonts w:ascii="Book Antiqua" w:eastAsia="宋体" w:hAnsi="Book Antiqua" w:cs="宋体"/>
          <w:b/>
          <w:bCs/>
          <w:kern w:val="0"/>
          <w:sz w:val="24"/>
          <w:szCs w:val="24"/>
        </w:rPr>
        <w:t>7</w:t>
      </w:r>
      <w:r w:rsidRPr="00082ABB">
        <w:rPr>
          <w:rFonts w:ascii="Book Antiqua" w:eastAsia="宋体" w:hAnsi="Book Antiqua" w:cs="宋体"/>
          <w:kern w:val="0"/>
          <w:sz w:val="24"/>
          <w:szCs w:val="24"/>
        </w:rPr>
        <w:t>: 575-583 [PMID: 11329059 DOI: 10.1038/87904]</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40 </w:t>
      </w:r>
      <w:r w:rsidRPr="00082ABB">
        <w:rPr>
          <w:rFonts w:ascii="Book Antiqua" w:eastAsia="宋体" w:hAnsi="Book Antiqua" w:cs="宋体"/>
          <w:b/>
          <w:bCs/>
          <w:kern w:val="0"/>
          <w:sz w:val="24"/>
          <w:szCs w:val="24"/>
        </w:rPr>
        <w:t>Yamada Y</w:t>
      </w:r>
      <w:r w:rsidRPr="00082ABB">
        <w:rPr>
          <w:rFonts w:ascii="Book Antiqua" w:eastAsia="宋体" w:hAnsi="Book Antiqua" w:cs="宋体"/>
          <w:kern w:val="0"/>
          <w:sz w:val="24"/>
          <w:szCs w:val="24"/>
        </w:rPr>
        <w:t xml:space="preserve">, Tahara M, Miya T, Satoh T, Shirao K, Shimada Y, Ohtsu A, Sasaki Y, Tanigawara Y. Phase I/II study of oxaliplatin with oral S-1 as first-line </w:t>
      </w:r>
      <w:r w:rsidRPr="00082ABB">
        <w:rPr>
          <w:rFonts w:ascii="Book Antiqua" w:eastAsia="宋体" w:hAnsi="Book Antiqua" w:cs="宋体"/>
          <w:kern w:val="0"/>
          <w:sz w:val="24"/>
          <w:szCs w:val="24"/>
        </w:rPr>
        <w:lastRenderedPageBreak/>
        <w:t>therapy for patients with metastatic colorectal cancer. </w:t>
      </w:r>
      <w:r w:rsidRPr="00082ABB">
        <w:rPr>
          <w:rFonts w:ascii="Book Antiqua" w:eastAsia="宋体" w:hAnsi="Book Antiqua" w:cs="宋体"/>
          <w:i/>
          <w:iCs/>
          <w:kern w:val="0"/>
          <w:sz w:val="24"/>
          <w:szCs w:val="24"/>
        </w:rPr>
        <w:t>Br J Cancer</w:t>
      </w:r>
      <w:r w:rsidRPr="00082ABB">
        <w:rPr>
          <w:rFonts w:ascii="Book Antiqua" w:eastAsia="宋体" w:hAnsi="Book Antiqua" w:cs="宋体"/>
          <w:kern w:val="0"/>
          <w:sz w:val="24"/>
          <w:szCs w:val="24"/>
        </w:rPr>
        <w:t> 2008; </w:t>
      </w:r>
      <w:r w:rsidRPr="00082ABB">
        <w:rPr>
          <w:rFonts w:ascii="Book Antiqua" w:eastAsia="宋体" w:hAnsi="Book Antiqua" w:cs="宋体"/>
          <w:b/>
          <w:bCs/>
          <w:kern w:val="0"/>
          <w:sz w:val="24"/>
          <w:szCs w:val="24"/>
        </w:rPr>
        <w:t>98</w:t>
      </w:r>
      <w:r w:rsidRPr="00082ABB">
        <w:rPr>
          <w:rFonts w:ascii="Book Antiqua" w:eastAsia="宋体" w:hAnsi="Book Antiqua" w:cs="宋体"/>
          <w:kern w:val="0"/>
          <w:sz w:val="24"/>
          <w:szCs w:val="24"/>
        </w:rPr>
        <w:t>: 1034-1038 [PMID: 18319719 DOI: 10.1038/sj.bjc.6604271]</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41 </w:t>
      </w:r>
      <w:r w:rsidRPr="00082ABB">
        <w:rPr>
          <w:rFonts w:ascii="Book Antiqua" w:eastAsia="宋体" w:hAnsi="Book Antiqua" w:cs="宋体"/>
          <w:b/>
          <w:bCs/>
          <w:kern w:val="0"/>
          <w:sz w:val="24"/>
          <w:szCs w:val="24"/>
        </w:rPr>
        <w:t>Yamada Y</w:t>
      </w:r>
      <w:r w:rsidRPr="00082ABB">
        <w:rPr>
          <w:rFonts w:ascii="Book Antiqua" w:eastAsia="宋体" w:hAnsi="Book Antiqua" w:cs="宋体"/>
          <w:kern w:val="0"/>
          <w:sz w:val="24"/>
          <w:szCs w:val="24"/>
        </w:rPr>
        <w:t>, Takahari D, Matsumoto H, Baba H, Nakamura M, Yoshida K, Yoshida M, Iwamoto S, Shimada K, Komatsu Y, Sasaki Y, Satoh T, Takahashi K, Mishima H, Muro K, Watanabe M, Sakata Y, Morita S, Shimada Y, Sugihara K. Leucovorin, fluorouracil, and oxaliplatin plus bevacizumab versus S-1 and oxaliplatin plus bevacizumab in patients with metastatic colorectal cancer (SOFT): an open-label, non-inferiority, randomised phase 3 trial. </w:t>
      </w:r>
      <w:r w:rsidRPr="00082ABB">
        <w:rPr>
          <w:rFonts w:ascii="Book Antiqua" w:eastAsia="宋体" w:hAnsi="Book Antiqua" w:cs="宋体"/>
          <w:i/>
          <w:iCs/>
          <w:kern w:val="0"/>
          <w:sz w:val="24"/>
          <w:szCs w:val="24"/>
        </w:rPr>
        <w:t>Lancet Oncol</w:t>
      </w:r>
      <w:r w:rsidRPr="00082ABB">
        <w:rPr>
          <w:rFonts w:ascii="Book Antiqua" w:eastAsia="宋体" w:hAnsi="Book Antiqua" w:cs="宋体"/>
          <w:kern w:val="0"/>
          <w:sz w:val="24"/>
          <w:szCs w:val="24"/>
        </w:rPr>
        <w:t> 2013; </w:t>
      </w:r>
      <w:r w:rsidRPr="00082ABB">
        <w:rPr>
          <w:rFonts w:ascii="Book Antiqua" w:eastAsia="宋体" w:hAnsi="Book Antiqua" w:cs="宋体"/>
          <w:b/>
          <w:bCs/>
          <w:kern w:val="0"/>
          <w:sz w:val="24"/>
          <w:szCs w:val="24"/>
        </w:rPr>
        <w:t>14</w:t>
      </w:r>
      <w:r w:rsidRPr="00082ABB">
        <w:rPr>
          <w:rFonts w:ascii="Book Antiqua" w:eastAsia="宋体" w:hAnsi="Book Antiqua" w:cs="宋体"/>
          <w:kern w:val="0"/>
          <w:sz w:val="24"/>
          <w:szCs w:val="24"/>
        </w:rPr>
        <w:t>: 1278-1286 [PMID: 24225157 DOI: 10.1016/S1470-2045(13)70490-X]</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42 </w:t>
      </w:r>
      <w:r w:rsidRPr="00082ABB">
        <w:rPr>
          <w:rFonts w:ascii="Book Antiqua" w:eastAsia="宋体" w:hAnsi="Book Antiqua" w:cs="宋体"/>
          <w:b/>
          <w:bCs/>
          <w:kern w:val="0"/>
          <w:sz w:val="24"/>
          <w:szCs w:val="24"/>
        </w:rPr>
        <w:t>Falcone A</w:t>
      </w:r>
      <w:r w:rsidRPr="00082ABB">
        <w:rPr>
          <w:rFonts w:ascii="Book Antiqua" w:eastAsia="宋体" w:hAnsi="Book Antiqua" w:cs="宋体"/>
          <w:kern w:val="0"/>
          <w:sz w:val="24"/>
          <w:szCs w:val="24"/>
        </w:rPr>
        <w:t>, Ricci S, Brunetti I, Pfanner E, Allegrini G, Barbara C, Crinò L, Benedetti G, Evangelista W, Fanchini L, Cortesi E, Picone V, Vitello S, Chiara S, Granetto C, Porcile G, Fioretto L, Orlandini C, Andreuccetti M, Masi G. Phase III trial of infusional fluorouracil, leucovorin, oxaliplatin, and irinotecan (FOLFOXIRI) compared with infusional fluorouracil, leucovorin, and irinotecan (FOLFIRI) as first-line treatment for metastatic colorectal cancer: the Gruppo Oncologico Nord Ovest.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2007; </w:t>
      </w:r>
      <w:r w:rsidRPr="00082ABB">
        <w:rPr>
          <w:rFonts w:ascii="Book Antiqua" w:eastAsia="宋体" w:hAnsi="Book Antiqua" w:cs="宋体"/>
          <w:b/>
          <w:bCs/>
          <w:kern w:val="0"/>
          <w:sz w:val="24"/>
          <w:szCs w:val="24"/>
        </w:rPr>
        <w:t>25</w:t>
      </w:r>
      <w:r w:rsidRPr="00082ABB">
        <w:rPr>
          <w:rFonts w:ascii="Book Antiqua" w:eastAsia="宋体" w:hAnsi="Book Antiqua" w:cs="宋体"/>
          <w:kern w:val="0"/>
          <w:sz w:val="24"/>
          <w:szCs w:val="24"/>
        </w:rPr>
        <w:t>: 1670-1676 [PMID: 17470860 DOI: 10.1200/JCO.2006.09.0928]</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43 </w:t>
      </w:r>
      <w:r w:rsidRPr="00082ABB">
        <w:rPr>
          <w:rFonts w:ascii="Book Antiqua" w:eastAsia="宋体" w:hAnsi="Book Antiqua" w:cs="宋体"/>
          <w:b/>
          <w:bCs/>
          <w:kern w:val="0"/>
          <w:sz w:val="24"/>
          <w:szCs w:val="24"/>
        </w:rPr>
        <w:t>Cremolini C</w:t>
      </w:r>
      <w:r w:rsidRPr="00082ABB">
        <w:rPr>
          <w:rFonts w:ascii="Book Antiqua" w:eastAsia="宋体" w:hAnsi="Book Antiqua" w:cs="宋体"/>
          <w:kern w:val="0"/>
          <w:sz w:val="24"/>
          <w:szCs w:val="24"/>
        </w:rPr>
        <w:t xml:space="preserve">, Loupakis F, Antoniotti C, Lupi C, Sensi E, Lonardi S, Mezi S, Tomasello G, Ronzoni M, Zaniboni A, Tonini G, Carlomagno C, Allegrini G, Chiara S, D'Amico M, Granetto C, Cazzaniga M, Boni L, Fontanini G, Falcone A. FOLFOXIRI plus bevacizumab versus FOLFIRI plus bevacizumab as first-line treatment of patients with metastatic colorectal cancer: updated overall survival and molecular subgroup analyses of the open-label, phase 3 TRIBE </w:t>
      </w:r>
      <w:r w:rsidRPr="00082ABB">
        <w:rPr>
          <w:rFonts w:ascii="Book Antiqua" w:eastAsia="宋体" w:hAnsi="Book Antiqua" w:cs="宋体"/>
          <w:kern w:val="0"/>
          <w:sz w:val="24"/>
          <w:szCs w:val="24"/>
        </w:rPr>
        <w:lastRenderedPageBreak/>
        <w:t>study. </w:t>
      </w:r>
      <w:r w:rsidRPr="00082ABB">
        <w:rPr>
          <w:rFonts w:ascii="Book Antiqua" w:eastAsia="宋体" w:hAnsi="Book Antiqua" w:cs="宋体"/>
          <w:i/>
          <w:iCs/>
          <w:kern w:val="0"/>
          <w:sz w:val="24"/>
          <w:szCs w:val="24"/>
        </w:rPr>
        <w:t>Lancet Oncol</w:t>
      </w:r>
      <w:r w:rsidRPr="00082ABB">
        <w:rPr>
          <w:rFonts w:ascii="Book Antiqua" w:eastAsia="宋体" w:hAnsi="Book Antiqua" w:cs="宋体"/>
          <w:kern w:val="0"/>
          <w:sz w:val="24"/>
          <w:szCs w:val="24"/>
        </w:rPr>
        <w:t> 2015; </w:t>
      </w:r>
      <w:r w:rsidRPr="00082ABB">
        <w:rPr>
          <w:rFonts w:ascii="Book Antiqua" w:eastAsia="宋体" w:hAnsi="Book Antiqua" w:cs="宋体"/>
          <w:b/>
          <w:bCs/>
          <w:kern w:val="0"/>
          <w:sz w:val="24"/>
          <w:szCs w:val="24"/>
        </w:rPr>
        <w:t>16</w:t>
      </w:r>
      <w:r w:rsidRPr="00082ABB">
        <w:rPr>
          <w:rFonts w:ascii="Book Antiqua" w:eastAsia="宋体" w:hAnsi="Book Antiqua" w:cs="宋体"/>
          <w:kern w:val="0"/>
          <w:sz w:val="24"/>
          <w:szCs w:val="24"/>
        </w:rPr>
        <w:t>: 1306-1315 [PMID: 26338525 DOI: 10.1016/S1470-2045(15)00122-9]</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44 </w:t>
      </w:r>
      <w:r w:rsidRPr="00082ABB">
        <w:rPr>
          <w:rFonts w:ascii="Book Antiqua" w:eastAsia="宋体" w:hAnsi="Book Antiqua" w:cs="宋体"/>
          <w:b/>
          <w:bCs/>
          <w:kern w:val="0"/>
          <w:sz w:val="24"/>
          <w:szCs w:val="24"/>
        </w:rPr>
        <w:t>Cunningham D</w:t>
      </w:r>
      <w:r w:rsidRPr="00082ABB">
        <w:rPr>
          <w:rFonts w:ascii="Book Antiqua" w:eastAsia="宋体" w:hAnsi="Book Antiqua" w:cs="宋体"/>
          <w:kern w:val="0"/>
          <w:sz w:val="24"/>
          <w:szCs w:val="24"/>
        </w:rPr>
        <w:t>, Lang I, Marcuello E, Lorusso V, Ocvirk J, Shin DB, Jonker D, Osborne S, Andre N, Waterkamp D, Saunders MP; AVEX study investigators. Bevacizumab plus capecitabine versus capecitabine alone in elderly patients with previously untreated metastatic colorectal cancer (AVEX): an open-label, randomised phase 3 trial. </w:t>
      </w:r>
      <w:r w:rsidRPr="00082ABB">
        <w:rPr>
          <w:rFonts w:ascii="Book Antiqua" w:eastAsia="宋体" w:hAnsi="Book Antiqua" w:cs="宋体"/>
          <w:i/>
          <w:iCs/>
          <w:kern w:val="0"/>
          <w:sz w:val="24"/>
          <w:szCs w:val="24"/>
        </w:rPr>
        <w:t>Lancet Oncol</w:t>
      </w:r>
      <w:r w:rsidRPr="00082ABB">
        <w:rPr>
          <w:rFonts w:ascii="Book Antiqua" w:eastAsia="宋体" w:hAnsi="Book Antiqua" w:cs="宋体"/>
          <w:kern w:val="0"/>
          <w:sz w:val="24"/>
          <w:szCs w:val="24"/>
        </w:rPr>
        <w:t> 2013; </w:t>
      </w:r>
      <w:r w:rsidRPr="00082ABB">
        <w:rPr>
          <w:rFonts w:ascii="Book Antiqua" w:eastAsia="宋体" w:hAnsi="Book Antiqua" w:cs="宋体"/>
          <w:b/>
          <w:bCs/>
          <w:kern w:val="0"/>
          <w:sz w:val="24"/>
          <w:szCs w:val="24"/>
        </w:rPr>
        <w:t>14</w:t>
      </w:r>
      <w:r w:rsidRPr="00082ABB">
        <w:rPr>
          <w:rFonts w:ascii="Book Antiqua" w:eastAsia="宋体" w:hAnsi="Book Antiqua" w:cs="宋体"/>
          <w:kern w:val="0"/>
          <w:sz w:val="24"/>
          <w:szCs w:val="24"/>
        </w:rPr>
        <w:t>: 1077-1085 [PMID: 24028813 DOI: 10.1016/S1470-2045(13)70154-2]</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45 </w:t>
      </w:r>
      <w:r w:rsidRPr="00082ABB">
        <w:rPr>
          <w:rFonts w:ascii="Book Antiqua" w:eastAsia="宋体" w:hAnsi="Book Antiqua" w:cs="宋体"/>
          <w:b/>
          <w:bCs/>
          <w:kern w:val="0"/>
          <w:sz w:val="24"/>
          <w:szCs w:val="24"/>
        </w:rPr>
        <w:t>Giantonio BJ</w:t>
      </w:r>
      <w:r w:rsidRPr="00082ABB">
        <w:rPr>
          <w:rFonts w:ascii="Book Antiqua" w:eastAsia="宋体" w:hAnsi="Book Antiqua" w:cs="宋体"/>
          <w:kern w:val="0"/>
          <w:sz w:val="24"/>
          <w:szCs w:val="24"/>
        </w:rPr>
        <w:t>, Catalano PJ, Meropol NJ, O'Dwyer PJ, Mitchell EP, Alberts 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2007; </w:t>
      </w:r>
      <w:r w:rsidRPr="00082ABB">
        <w:rPr>
          <w:rFonts w:ascii="Book Antiqua" w:eastAsia="宋体" w:hAnsi="Book Antiqua" w:cs="宋体"/>
          <w:b/>
          <w:bCs/>
          <w:kern w:val="0"/>
          <w:sz w:val="24"/>
          <w:szCs w:val="24"/>
        </w:rPr>
        <w:t>25</w:t>
      </w:r>
      <w:r w:rsidRPr="00082ABB">
        <w:rPr>
          <w:rFonts w:ascii="Book Antiqua" w:eastAsia="宋体" w:hAnsi="Book Antiqua" w:cs="宋体"/>
          <w:kern w:val="0"/>
          <w:sz w:val="24"/>
          <w:szCs w:val="24"/>
        </w:rPr>
        <w:t>: 1539-1544 [PMID: 17442997 DOI: 10.1200/JCO.2006.09.6305]</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46 </w:t>
      </w:r>
      <w:r w:rsidRPr="00082ABB">
        <w:rPr>
          <w:rFonts w:ascii="Book Antiqua" w:eastAsia="宋体" w:hAnsi="Book Antiqua" w:cs="宋体"/>
          <w:b/>
          <w:bCs/>
          <w:kern w:val="0"/>
          <w:sz w:val="24"/>
          <w:szCs w:val="24"/>
        </w:rPr>
        <w:t>Grothey A</w:t>
      </w:r>
      <w:r w:rsidRPr="00082ABB">
        <w:rPr>
          <w:rFonts w:ascii="Book Antiqua" w:eastAsia="宋体" w:hAnsi="Book Antiqua" w:cs="宋体"/>
          <w:kern w:val="0"/>
          <w:sz w:val="24"/>
          <w:szCs w:val="24"/>
        </w:rPr>
        <w:t>, Sugrue MM, Purdie DM, Dong W, Sargent D, Hedrick E, Kozloff M. Bevacizumab beyond first progression is associated with prolonged overall survival in metastatic colorectal cancer: results from a large observational cohort study (BRiTE).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2008; </w:t>
      </w:r>
      <w:r w:rsidRPr="00082ABB">
        <w:rPr>
          <w:rFonts w:ascii="Book Antiqua" w:eastAsia="宋体" w:hAnsi="Book Antiqua" w:cs="宋体"/>
          <w:b/>
          <w:bCs/>
          <w:kern w:val="0"/>
          <w:sz w:val="24"/>
          <w:szCs w:val="24"/>
        </w:rPr>
        <w:t>26</w:t>
      </w:r>
      <w:r w:rsidRPr="00082ABB">
        <w:rPr>
          <w:rFonts w:ascii="Book Antiqua" w:eastAsia="宋体" w:hAnsi="Book Antiqua" w:cs="宋体"/>
          <w:kern w:val="0"/>
          <w:sz w:val="24"/>
          <w:szCs w:val="24"/>
        </w:rPr>
        <w:t>: 5326-5334 [PMID: 18854571 DOI: 10.1200/JCO.2008.16.3212]</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47 </w:t>
      </w:r>
      <w:r w:rsidRPr="00082ABB">
        <w:rPr>
          <w:rFonts w:ascii="Book Antiqua" w:eastAsia="宋体" w:hAnsi="Book Antiqua" w:cs="宋体"/>
          <w:b/>
          <w:bCs/>
          <w:kern w:val="0"/>
          <w:sz w:val="24"/>
          <w:szCs w:val="24"/>
        </w:rPr>
        <w:t>Mayer RJ</w:t>
      </w:r>
      <w:r w:rsidRPr="00082ABB">
        <w:rPr>
          <w:rFonts w:ascii="Book Antiqua" w:eastAsia="宋体" w:hAnsi="Book Antiqua" w:cs="宋体"/>
          <w:kern w:val="0"/>
          <w:sz w:val="24"/>
          <w:szCs w:val="24"/>
        </w:rPr>
        <w:t xml:space="preserve">, Van Cutsem E, Falcone A, Yoshino T, Garcia-Carbonero R, Mizunuma N, Yamazaki K, Shimada Y, Tabernero J, Komatsu Y, Sobrero A, Boucher E, Peeters M, Tran B, Lenz HJ, Zaniboni A, Hochster H, Cleary JM, Prenen H, Benedetti F, Mizuguchi H, Makris L, Ito M, Ohtsu A. Randomized </w:t>
      </w:r>
      <w:r w:rsidRPr="00082ABB">
        <w:rPr>
          <w:rFonts w:ascii="Book Antiqua" w:eastAsia="宋体" w:hAnsi="Book Antiqua" w:cs="宋体"/>
          <w:kern w:val="0"/>
          <w:sz w:val="24"/>
          <w:szCs w:val="24"/>
        </w:rPr>
        <w:lastRenderedPageBreak/>
        <w:t>trial of TAS-102 for refractory metastatic colorectal cancer. </w:t>
      </w:r>
      <w:r w:rsidRPr="00082ABB">
        <w:rPr>
          <w:rFonts w:ascii="Book Antiqua" w:eastAsia="宋体" w:hAnsi="Book Antiqua" w:cs="宋体"/>
          <w:i/>
          <w:iCs/>
          <w:kern w:val="0"/>
          <w:sz w:val="24"/>
          <w:szCs w:val="24"/>
        </w:rPr>
        <w:t>N Engl J Med</w:t>
      </w:r>
      <w:r w:rsidRPr="00082ABB">
        <w:rPr>
          <w:rFonts w:ascii="Book Antiqua" w:eastAsia="宋体" w:hAnsi="Book Antiqua" w:cs="宋体"/>
          <w:kern w:val="0"/>
          <w:sz w:val="24"/>
          <w:szCs w:val="24"/>
        </w:rPr>
        <w:t> 2015; </w:t>
      </w:r>
      <w:r w:rsidRPr="00082ABB">
        <w:rPr>
          <w:rFonts w:ascii="Book Antiqua" w:eastAsia="宋体" w:hAnsi="Book Antiqua" w:cs="宋体"/>
          <w:b/>
          <w:bCs/>
          <w:kern w:val="0"/>
          <w:sz w:val="24"/>
          <w:szCs w:val="24"/>
        </w:rPr>
        <w:t>372</w:t>
      </w:r>
      <w:r w:rsidRPr="00082ABB">
        <w:rPr>
          <w:rFonts w:ascii="Book Antiqua" w:eastAsia="宋体" w:hAnsi="Book Antiqua" w:cs="宋体"/>
          <w:kern w:val="0"/>
          <w:sz w:val="24"/>
          <w:szCs w:val="24"/>
        </w:rPr>
        <w:t>: 1909-1919 [PMID: 25970050 DOI: 10.1056/NEJMoa1414325]</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 xml:space="preserve">48 </w:t>
      </w:r>
      <w:r w:rsidRPr="00082ABB">
        <w:rPr>
          <w:rFonts w:ascii="Book Antiqua" w:eastAsia="宋体" w:hAnsi="Book Antiqua" w:cs="宋体"/>
          <w:b/>
          <w:kern w:val="0"/>
          <w:sz w:val="24"/>
          <w:szCs w:val="24"/>
        </w:rPr>
        <w:t>Kuboki Y</w:t>
      </w:r>
      <w:r w:rsidRPr="00082ABB">
        <w:rPr>
          <w:rFonts w:ascii="Book Antiqua" w:eastAsia="宋体" w:hAnsi="Book Antiqua" w:cs="宋体"/>
          <w:kern w:val="0"/>
          <w:sz w:val="24"/>
          <w:szCs w:val="24"/>
        </w:rPr>
        <w:t xml:space="preserve">, Nishina T, Shinozaki E, Yamazaki K, Shitara K, Okamoto W, Kajiwara T, Matsumoto T, Tsushima T, Mochizuki N, Fukutani M, Nakamoto M, Hasegawa H, Sugama A, Nomura S, Sato A, Ohtsu A, Yoshino T. An investigator initiated multicenter phase I/II study of TAS-102 with bevacizumab for metastatic colorectal cancer refractory to standard therapies (C-TASK FORCE). </w:t>
      </w:r>
      <w:r w:rsidRPr="00082ABB">
        <w:rPr>
          <w:rFonts w:ascii="Book Antiqua" w:eastAsia="宋体" w:hAnsi="Book Antiqua" w:cs="宋体"/>
          <w:i/>
          <w:kern w:val="0"/>
          <w:sz w:val="24"/>
          <w:szCs w:val="24"/>
        </w:rPr>
        <w:t>J Clin Oncol</w:t>
      </w:r>
      <w:r w:rsidRPr="00082ABB">
        <w:rPr>
          <w:rFonts w:ascii="Book Antiqua" w:eastAsia="宋体" w:hAnsi="Book Antiqua" w:cs="宋体"/>
          <w:kern w:val="0"/>
          <w:sz w:val="24"/>
          <w:szCs w:val="24"/>
        </w:rPr>
        <w:t xml:space="preserve"> 2015; </w:t>
      </w:r>
      <w:r w:rsidRPr="00082ABB">
        <w:rPr>
          <w:rFonts w:ascii="Book Antiqua" w:eastAsia="宋体" w:hAnsi="Book Antiqua" w:cs="宋体"/>
          <w:b/>
          <w:kern w:val="0"/>
          <w:sz w:val="24"/>
          <w:szCs w:val="24"/>
        </w:rPr>
        <w:t>33</w:t>
      </w:r>
      <w:r w:rsidRPr="00082ABB">
        <w:rPr>
          <w:rFonts w:ascii="Book Antiqua" w:eastAsia="宋体" w:hAnsi="Book Antiqua" w:cs="宋体"/>
          <w:kern w:val="0"/>
          <w:sz w:val="24"/>
          <w:szCs w:val="24"/>
        </w:rPr>
        <w:t>: 3544</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49 </w:t>
      </w:r>
      <w:r w:rsidRPr="00082ABB">
        <w:rPr>
          <w:rFonts w:ascii="Book Antiqua" w:eastAsia="宋体" w:hAnsi="Book Antiqua" w:cs="宋体"/>
          <w:b/>
          <w:bCs/>
          <w:kern w:val="0"/>
          <w:sz w:val="24"/>
          <w:szCs w:val="24"/>
        </w:rPr>
        <w:t>Van Cutsem E</w:t>
      </w:r>
      <w:r w:rsidRPr="00082ABB">
        <w:rPr>
          <w:rFonts w:ascii="Book Antiqua" w:eastAsia="宋体" w:hAnsi="Book Antiqua" w:cs="宋体"/>
          <w:kern w:val="0"/>
          <w:sz w:val="24"/>
          <w:szCs w:val="24"/>
        </w:rPr>
        <w:t>, Tabernero J, Lakomy R, Prenen H, Prausová J, Macarulla T, Ruff P, van Hazel GA, Moiseyenko V, Ferry D, McKendrick J, Polikoff J, Tellier A, Castan R, Allegra C. Addition of aflibercept to fluorouracil, leucovorin, and irinotecan improves survival in a phase III randomized trial in patients with metastatic colorectal cancer previously treated with an oxaliplatin-based regimen. </w:t>
      </w:r>
      <w:r w:rsidRPr="00082ABB">
        <w:rPr>
          <w:rFonts w:ascii="Book Antiqua" w:eastAsia="宋体" w:hAnsi="Book Antiqua" w:cs="宋体"/>
          <w:i/>
          <w:iCs/>
          <w:kern w:val="0"/>
          <w:sz w:val="24"/>
          <w:szCs w:val="24"/>
        </w:rPr>
        <w:t>J Clin Oncol</w:t>
      </w:r>
      <w:r w:rsidRPr="00082ABB">
        <w:rPr>
          <w:rFonts w:ascii="Book Antiqua" w:eastAsia="宋体" w:hAnsi="Book Antiqua" w:cs="宋体"/>
          <w:kern w:val="0"/>
          <w:sz w:val="24"/>
          <w:szCs w:val="24"/>
        </w:rPr>
        <w:t> 2012; </w:t>
      </w:r>
      <w:r w:rsidRPr="00082ABB">
        <w:rPr>
          <w:rFonts w:ascii="Book Antiqua" w:eastAsia="宋体" w:hAnsi="Book Antiqua" w:cs="宋体"/>
          <w:b/>
          <w:bCs/>
          <w:kern w:val="0"/>
          <w:sz w:val="24"/>
          <w:szCs w:val="24"/>
        </w:rPr>
        <w:t>30</w:t>
      </w:r>
      <w:r w:rsidRPr="00082ABB">
        <w:rPr>
          <w:rFonts w:ascii="Book Antiqua" w:eastAsia="宋体" w:hAnsi="Book Antiqua" w:cs="宋体"/>
          <w:kern w:val="0"/>
          <w:sz w:val="24"/>
          <w:szCs w:val="24"/>
        </w:rPr>
        <w:t>: 3499-3506 [PMID: 22949147 DOI: 10.1200/JCO.2012.42.8201]</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50 </w:t>
      </w:r>
      <w:r w:rsidRPr="00082ABB">
        <w:rPr>
          <w:rFonts w:ascii="Book Antiqua" w:eastAsia="宋体" w:hAnsi="Book Antiqua" w:cs="宋体"/>
          <w:b/>
          <w:bCs/>
          <w:kern w:val="0"/>
          <w:sz w:val="24"/>
          <w:szCs w:val="24"/>
        </w:rPr>
        <w:t>Tabernero J</w:t>
      </w:r>
      <w:r w:rsidRPr="00082ABB">
        <w:rPr>
          <w:rFonts w:ascii="Book Antiqua" w:eastAsia="宋体" w:hAnsi="Book Antiqua" w:cs="宋体"/>
          <w:kern w:val="0"/>
          <w:sz w:val="24"/>
          <w:szCs w:val="24"/>
        </w:rPr>
        <w:t>, Yoshino T, Cohn AL, Obermannova R, Bodoky G, Garcia-Carbonero R, Ciuleanu TE, Portnoy DC, Van Cutsem E, Grothey A, Prausová J, Garcia-Alfonso P, Yamazaki K, Clingan PR, Lonardi S, Kim TW, Simms L, Chang SC, Nasroulah F. Ramucirumab versus placebo in combination with second-line FOLFIRI in patients with metastatic colorectal carcinoma that progressed during or after first-line therapy with bevacizumab, oxaliplatin, and a fluoropyrimidine (RAISE): a randomised, double-blind, multicentre, phase 3 study. </w:t>
      </w:r>
      <w:r w:rsidRPr="00082ABB">
        <w:rPr>
          <w:rFonts w:ascii="Book Antiqua" w:eastAsia="宋体" w:hAnsi="Book Antiqua" w:cs="宋体"/>
          <w:i/>
          <w:iCs/>
          <w:kern w:val="0"/>
          <w:sz w:val="24"/>
          <w:szCs w:val="24"/>
        </w:rPr>
        <w:t>Lancet Oncol</w:t>
      </w:r>
      <w:r w:rsidRPr="00082ABB">
        <w:rPr>
          <w:rFonts w:ascii="Book Antiqua" w:eastAsia="宋体" w:hAnsi="Book Antiqua" w:cs="宋体"/>
          <w:kern w:val="0"/>
          <w:sz w:val="24"/>
          <w:szCs w:val="24"/>
        </w:rPr>
        <w:t> 2015; </w:t>
      </w:r>
      <w:r w:rsidRPr="00082ABB">
        <w:rPr>
          <w:rFonts w:ascii="Book Antiqua" w:eastAsia="宋体" w:hAnsi="Book Antiqua" w:cs="宋体"/>
          <w:b/>
          <w:bCs/>
          <w:kern w:val="0"/>
          <w:sz w:val="24"/>
          <w:szCs w:val="24"/>
        </w:rPr>
        <w:t>16</w:t>
      </w:r>
      <w:r w:rsidRPr="00082ABB">
        <w:rPr>
          <w:rFonts w:ascii="Book Antiqua" w:eastAsia="宋体" w:hAnsi="Book Antiqua" w:cs="宋体"/>
          <w:kern w:val="0"/>
          <w:sz w:val="24"/>
          <w:szCs w:val="24"/>
        </w:rPr>
        <w:t>: 499-508 [PMID: 25877855 DOI: 10.1016/S1470-2045(15)70127-0]</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lastRenderedPageBreak/>
        <w:t>51 </w:t>
      </w:r>
      <w:r w:rsidRPr="00082ABB">
        <w:rPr>
          <w:rFonts w:ascii="Book Antiqua" w:eastAsia="宋体" w:hAnsi="Book Antiqua" w:cs="宋体"/>
          <w:b/>
          <w:bCs/>
          <w:kern w:val="0"/>
          <w:sz w:val="24"/>
          <w:szCs w:val="24"/>
        </w:rPr>
        <w:t>Wilhelm SM</w:t>
      </w:r>
      <w:r w:rsidRPr="00082ABB">
        <w:rPr>
          <w:rFonts w:ascii="Book Antiqua" w:eastAsia="宋体" w:hAnsi="Book Antiqua" w:cs="宋体"/>
          <w:kern w:val="0"/>
          <w:sz w:val="24"/>
          <w:szCs w:val="24"/>
        </w:rPr>
        <w:t>, Dumas J, Adnane L, Lynch M, Carter CA, Schütz G, Thierauch KH, Zopf D. Regorafenib (BAY 73-4506): a new oral multikinase inhibitor of angiogenic, stromal and oncogenic receptor tyrosine kinases with potent preclinical antitumor activity. </w:t>
      </w:r>
      <w:r w:rsidRPr="00082ABB">
        <w:rPr>
          <w:rFonts w:ascii="Book Antiqua" w:eastAsia="宋体" w:hAnsi="Book Antiqua" w:cs="宋体"/>
          <w:i/>
          <w:iCs/>
          <w:kern w:val="0"/>
          <w:sz w:val="24"/>
          <w:szCs w:val="24"/>
        </w:rPr>
        <w:t>Int J Cancer</w:t>
      </w:r>
      <w:r w:rsidRPr="00082ABB">
        <w:rPr>
          <w:rFonts w:ascii="Book Antiqua" w:eastAsia="宋体" w:hAnsi="Book Antiqua" w:cs="宋体"/>
          <w:kern w:val="0"/>
          <w:sz w:val="24"/>
          <w:szCs w:val="24"/>
        </w:rPr>
        <w:t> 2011; </w:t>
      </w:r>
      <w:r w:rsidRPr="00082ABB">
        <w:rPr>
          <w:rFonts w:ascii="Book Antiqua" w:eastAsia="宋体" w:hAnsi="Book Antiqua" w:cs="宋体"/>
          <w:b/>
          <w:bCs/>
          <w:kern w:val="0"/>
          <w:sz w:val="24"/>
          <w:szCs w:val="24"/>
        </w:rPr>
        <w:t>129</w:t>
      </w:r>
      <w:r w:rsidRPr="00082ABB">
        <w:rPr>
          <w:rFonts w:ascii="Book Antiqua" w:eastAsia="宋体" w:hAnsi="Book Antiqua" w:cs="宋体"/>
          <w:kern w:val="0"/>
          <w:sz w:val="24"/>
          <w:szCs w:val="24"/>
        </w:rPr>
        <w:t>: 245-255 [PMID: 21170960 DOI: 10.1002/ijc.25864]</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52 </w:t>
      </w:r>
      <w:r w:rsidRPr="00082ABB">
        <w:rPr>
          <w:rFonts w:ascii="Book Antiqua" w:eastAsia="宋体" w:hAnsi="Book Antiqua" w:cs="宋体"/>
          <w:b/>
          <w:bCs/>
          <w:kern w:val="0"/>
          <w:sz w:val="24"/>
          <w:szCs w:val="24"/>
        </w:rPr>
        <w:t>Grothey A</w:t>
      </w:r>
      <w:r w:rsidRPr="00082ABB">
        <w:rPr>
          <w:rFonts w:ascii="Book Antiqua" w:eastAsia="宋体" w:hAnsi="Book Antiqua" w:cs="宋体"/>
          <w:kern w:val="0"/>
          <w:sz w:val="24"/>
          <w:szCs w:val="24"/>
        </w:rPr>
        <w:t>, Van Cutsem E, Sobrero A, Siena S, Falcone A, Ychou M, Humblet Y, Bouché O, Mineur L, Barone C, Adenis A, Tabernero J, Yoshino T, Lenz HJ, Goldberg RM, Sargent DJ, Cihon F, Cupit L, Wagner A, Laurent D. Regorafenib monotherapy for previously treated metastatic colorectal cancer (CORRECT): an international, multicentre, randomised, placebo-controlled, phase 3 trial. </w:t>
      </w:r>
      <w:r w:rsidRPr="00082ABB">
        <w:rPr>
          <w:rFonts w:ascii="Book Antiqua" w:eastAsia="宋体" w:hAnsi="Book Antiqua" w:cs="宋体"/>
          <w:i/>
          <w:iCs/>
          <w:kern w:val="0"/>
          <w:sz w:val="24"/>
          <w:szCs w:val="24"/>
        </w:rPr>
        <w:t>Lancet</w:t>
      </w:r>
      <w:r w:rsidRPr="00082ABB">
        <w:rPr>
          <w:rFonts w:ascii="Book Antiqua" w:eastAsia="宋体" w:hAnsi="Book Antiqua" w:cs="宋体"/>
          <w:kern w:val="0"/>
          <w:sz w:val="24"/>
          <w:szCs w:val="24"/>
        </w:rPr>
        <w:t> 2013; </w:t>
      </w:r>
      <w:r w:rsidRPr="00082ABB">
        <w:rPr>
          <w:rFonts w:ascii="Book Antiqua" w:eastAsia="宋体" w:hAnsi="Book Antiqua" w:cs="宋体"/>
          <w:b/>
          <w:bCs/>
          <w:kern w:val="0"/>
          <w:sz w:val="24"/>
          <w:szCs w:val="24"/>
        </w:rPr>
        <w:t>381</w:t>
      </w:r>
      <w:r w:rsidRPr="00082ABB">
        <w:rPr>
          <w:rFonts w:ascii="Book Antiqua" w:eastAsia="宋体" w:hAnsi="Book Antiqua" w:cs="宋体"/>
          <w:kern w:val="0"/>
          <w:sz w:val="24"/>
          <w:szCs w:val="24"/>
        </w:rPr>
        <w:t>: 303-312 [PMID: 23177514 DOI: 10.1016/S0140-6736(12)61900-X]</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53 </w:t>
      </w:r>
      <w:r w:rsidRPr="00082ABB">
        <w:rPr>
          <w:rFonts w:ascii="Book Antiqua" w:eastAsia="宋体" w:hAnsi="Book Antiqua" w:cs="宋体"/>
          <w:b/>
          <w:bCs/>
          <w:kern w:val="0"/>
          <w:sz w:val="24"/>
          <w:szCs w:val="24"/>
        </w:rPr>
        <w:t>Yarden Y</w:t>
      </w:r>
      <w:r w:rsidRPr="00082ABB">
        <w:rPr>
          <w:rFonts w:ascii="Book Antiqua" w:eastAsia="宋体" w:hAnsi="Book Antiqua" w:cs="宋体"/>
          <w:kern w:val="0"/>
          <w:sz w:val="24"/>
          <w:szCs w:val="24"/>
        </w:rPr>
        <w:t>, Sliwkowski MX. Untangling the ErbB signalling network. </w:t>
      </w:r>
      <w:r w:rsidRPr="00082ABB">
        <w:rPr>
          <w:rFonts w:ascii="Book Antiqua" w:eastAsia="宋体" w:hAnsi="Book Antiqua" w:cs="宋体"/>
          <w:i/>
          <w:iCs/>
          <w:kern w:val="0"/>
          <w:sz w:val="24"/>
          <w:szCs w:val="24"/>
        </w:rPr>
        <w:t>Nat Rev Mol Cell Biol</w:t>
      </w:r>
      <w:r w:rsidRPr="00082ABB">
        <w:rPr>
          <w:rFonts w:ascii="Book Antiqua" w:eastAsia="宋体" w:hAnsi="Book Antiqua" w:cs="宋体"/>
          <w:kern w:val="0"/>
          <w:sz w:val="24"/>
          <w:szCs w:val="24"/>
        </w:rPr>
        <w:t> 2001; </w:t>
      </w:r>
      <w:r w:rsidRPr="00082ABB">
        <w:rPr>
          <w:rFonts w:ascii="Book Antiqua" w:eastAsia="宋体" w:hAnsi="Book Antiqua" w:cs="宋体"/>
          <w:b/>
          <w:bCs/>
          <w:kern w:val="0"/>
          <w:sz w:val="24"/>
          <w:szCs w:val="24"/>
        </w:rPr>
        <w:t>2</w:t>
      </w:r>
      <w:r w:rsidRPr="00082ABB">
        <w:rPr>
          <w:rFonts w:ascii="Book Antiqua" w:eastAsia="宋体" w:hAnsi="Book Antiqua" w:cs="宋体"/>
          <w:kern w:val="0"/>
          <w:sz w:val="24"/>
          <w:szCs w:val="24"/>
        </w:rPr>
        <w:t>: 127-137 [PMID: 11252954]</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54 </w:t>
      </w:r>
      <w:r w:rsidRPr="00082ABB">
        <w:rPr>
          <w:rFonts w:ascii="Book Antiqua" w:eastAsia="宋体" w:hAnsi="Book Antiqua" w:cs="宋体"/>
          <w:b/>
          <w:bCs/>
          <w:kern w:val="0"/>
          <w:sz w:val="24"/>
          <w:szCs w:val="24"/>
        </w:rPr>
        <w:t>Mendelsohn J</w:t>
      </w:r>
      <w:r w:rsidRPr="00082ABB">
        <w:rPr>
          <w:rFonts w:ascii="Book Antiqua" w:eastAsia="宋体" w:hAnsi="Book Antiqua" w:cs="宋体"/>
          <w:kern w:val="0"/>
          <w:sz w:val="24"/>
          <w:szCs w:val="24"/>
        </w:rPr>
        <w:t>, Baselga J. Epidermal growth factor receptor targeting in cancer. </w:t>
      </w:r>
      <w:r w:rsidRPr="00082ABB">
        <w:rPr>
          <w:rFonts w:ascii="Book Antiqua" w:eastAsia="宋体" w:hAnsi="Book Antiqua" w:cs="宋体"/>
          <w:i/>
          <w:iCs/>
          <w:kern w:val="0"/>
          <w:sz w:val="24"/>
          <w:szCs w:val="24"/>
        </w:rPr>
        <w:t>Semin Oncol</w:t>
      </w:r>
      <w:r w:rsidRPr="00082ABB">
        <w:rPr>
          <w:rFonts w:ascii="Book Antiqua" w:eastAsia="宋体" w:hAnsi="Book Antiqua" w:cs="宋体"/>
          <w:kern w:val="0"/>
          <w:sz w:val="24"/>
          <w:szCs w:val="24"/>
        </w:rPr>
        <w:t> 2006; </w:t>
      </w:r>
      <w:r w:rsidRPr="00082ABB">
        <w:rPr>
          <w:rFonts w:ascii="Book Antiqua" w:eastAsia="宋体" w:hAnsi="Book Antiqua" w:cs="宋体"/>
          <w:b/>
          <w:bCs/>
          <w:kern w:val="0"/>
          <w:sz w:val="24"/>
          <w:szCs w:val="24"/>
        </w:rPr>
        <w:t>33</w:t>
      </w:r>
      <w:r w:rsidRPr="00082ABB">
        <w:rPr>
          <w:rFonts w:ascii="Book Antiqua" w:eastAsia="宋体" w:hAnsi="Book Antiqua" w:cs="宋体"/>
          <w:kern w:val="0"/>
          <w:sz w:val="24"/>
          <w:szCs w:val="24"/>
        </w:rPr>
        <w:t>: 369-385 [PMID: 16890793]</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55 </w:t>
      </w:r>
      <w:r w:rsidRPr="00082ABB">
        <w:rPr>
          <w:rFonts w:ascii="Book Antiqua" w:eastAsia="宋体" w:hAnsi="Book Antiqua" w:cs="宋体"/>
          <w:b/>
          <w:bCs/>
          <w:kern w:val="0"/>
          <w:sz w:val="24"/>
          <w:szCs w:val="24"/>
        </w:rPr>
        <w:t>Hynes NE</w:t>
      </w:r>
      <w:r w:rsidRPr="00082ABB">
        <w:rPr>
          <w:rFonts w:ascii="Book Antiqua" w:eastAsia="宋体" w:hAnsi="Book Antiqua" w:cs="宋体"/>
          <w:kern w:val="0"/>
          <w:sz w:val="24"/>
          <w:szCs w:val="24"/>
        </w:rPr>
        <w:t>, Lane HA. ERBB receptors and cancer: the complexity of targeted inhibitors. </w:t>
      </w:r>
      <w:r w:rsidRPr="00082ABB">
        <w:rPr>
          <w:rFonts w:ascii="Book Antiqua" w:eastAsia="宋体" w:hAnsi="Book Antiqua" w:cs="宋体"/>
          <w:i/>
          <w:iCs/>
          <w:kern w:val="0"/>
          <w:sz w:val="24"/>
          <w:szCs w:val="24"/>
        </w:rPr>
        <w:t>Nat Rev Cancer</w:t>
      </w:r>
      <w:r w:rsidRPr="00082ABB">
        <w:rPr>
          <w:rFonts w:ascii="Book Antiqua" w:eastAsia="宋体" w:hAnsi="Book Antiqua" w:cs="宋体"/>
          <w:kern w:val="0"/>
          <w:sz w:val="24"/>
          <w:szCs w:val="24"/>
        </w:rPr>
        <w:t> 2005; </w:t>
      </w:r>
      <w:r w:rsidRPr="00082ABB">
        <w:rPr>
          <w:rFonts w:ascii="Book Antiqua" w:eastAsia="宋体" w:hAnsi="Book Antiqua" w:cs="宋体"/>
          <w:b/>
          <w:bCs/>
          <w:kern w:val="0"/>
          <w:sz w:val="24"/>
          <w:szCs w:val="24"/>
        </w:rPr>
        <w:t>5</w:t>
      </w:r>
      <w:r w:rsidRPr="00082ABB">
        <w:rPr>
          <w:rFonts w:ascii="Book Antiqua" w:eastAsia="宋体" w:hAnsi="Book Antiqua" w:cs="宋体"/>
          <w:kern w:val="0"/>
          <w:sz w:val="24"/>
          <w:szCs w:val="24"/>
        </w:rPr>
        <w:t>: 341-354 [PMID: 15864276]</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56 </w:t>
      </w:r>
      <w:r w:rsidRPr="00082ABB">
        <w:rPr>
          <w:rFonts w:ascii="Book Antiqua" w:eastAsia="宋体" w:hAnsi="Book Antiqua" w:cs="宋体"/>
          <w:b/>
          <w:bCs/>
          <w:kern w:val="0"/>
          <w:sz w:val="24"/>
          <w:szCs w:val="24"/>
        </w:rPr>
        <w:t>De Roock W</w:t>
      </w:r>
      <w:r w:rsidRPr="00082ABB">
        <w:rPr>
          <w:rFonts w:ascii="Book Antiqua" w:eastAsia="宋体" w:hAnsi="Book Antiqua" w:cs="宋体"/>
          <w:kern w:val="0"/>
          <w:sz w:val="24"/>
          <w:szCs w:val="24"/>
        </w:rPr>
        <w:t xml:space="preserve">, Claes B, Bernasconi D, De Schutter J, Biesmans B, Fountzilas G, Kalogeras KT, Kotoula V, Papamichael D, Laurent-Puig P, Penault-Llorca F, Rougier P, Vincenzi B, Santini D, Tonini G, Cappuzzo F, Frattini M, Molinari F, Saletti P, De Dosso S, Martini M, Bardelli A, Siena S, Sartore-Bianchi A, Tabernero J, Macarulla T, Di Fiore F, Gangloff AO, Ciardiello F, Pfeiffer P, Qvortrup C, Hansen TP, Van Cutsem E, Piessevaux H, Lambrechts D, Delorenzi </w:t>
      </w:r>
      <w:r w:rsidRPr="00082ABB">
        <w:rPr>
          <w:rFonts w:ascii="Book Antiqua" w:eastAsia="宋体" w:hAnsi="Book Antiqua" w:cs="宋体"/>
          <w:kern w:val="0"/>
          <w:sz w:val="24"/>
          <w:szCs w:val="24"/>
        </w:rPr>
        <w:lastRenderedPageBreak/>
        <w:t>M, Tejpar S. Effects of KRAS, BRAF, NRAS, and PIK3CA mutations on the efficacy of cetuximab plus chemotherapy in chemotherapy-refractory metastatic colorectal cancer: a retrospective consortium analysis. </w:t>
      </w:r>
      <w:r w:rsidRPr="00082ABB">
        <w:rPr>
          <w:rFonts w:ascii="Book Antiqua" w:eastAsia="宋体" w:hAnsi="Book Antiqua" w:cs="宋体"/>
          <w:i/>
          <w:iCs/>
          <w:kern w:val="0"/>
          <w:sz w:val="24"/>
          <w:szCs w:val="24"/>
        </w:rPr>
        <w:t>Lancet Oncol</w:t>
      </w:r>
      <w:r w:rsidRPr="00082ABB">
        <w:rPr>
          <w:rFonts w:ascii="Book Antiqua" w:eastAsia="宋体" w:hAnsi="Book Antiqua" w:cs="宋体"/>
          <w:kern w:val="0"/>
          <w:sz w:val="24"/>
          <w:szCs w:val="24"/>
        </w:rPr>
        <w:t> 2010; </w:t>
      </w:r>
      <w:r w:rsidRPr="00082ABB">
        <w:rPr>
          <w:rFonts w:ascii="Book Antiqua" w:eastAsia="宋体" w:hAnsi="Book Antiqua" w:cs="宋体"/>
          <w:b/>
          <w:bCs/>
          <w:kern w:val="0"/>
          <w:sz w:val="24"/>
          <w:szCs w:val="24"/>
        </w:rPr>
        <w:t>11</w:t>
      </w:r>
      <w:r w:rsidRPr="00082ABB">
        <w:rPr>
          <w:rFonts w:ascii="Book Antiqua" w:eastAsia="宋体" w:hAnsi="Book Antiqua" w:cs="宋体"/>
          <w:kern w:val="0"/>
          <w:sz w:val="24"/>
          <w:szCs w:val="24"/>
        </w:rPr>
        <w:t>: 753-762 [PMID: 20619739 DOI: 10.1016/S1470-2045(10)70130-3]</w:t>
      </w:r>
    </w:p>
    <w:p w:rsidR="00F47B06" w:rsidRPr="00082ABB" w:rsidRDefault="00F47B06" w:rsidP="00F47B06">
      <w:pPr>
        <w:widowControl/>
        <w:spacing w:line="360" w:lineRule="auto"/>
        <w:rPr>
          <w:rFonts w:ascii="Book Antiqua" w:eastAsia="宋体" w:hAnsi="Book Antiqua" w:cs="宋体"/>
          <w:kern w:val="0"/>
          <w:sz w:val="24"/>
          <w:szCs w:val="24"/>
        </w:rPr>
      </w:pPr>
      <w:proofErr w:type="gramStart"/>
      <w:r w:rsidRPr="00082ABB">
        <w:rPr>
          <w:rFonts w:ascii="Book Antiqua" w:eastAsia="宋体" w:hAnsi="Book Antiqua" w:cs="宋体"/>
          <w:kern w:val="0"/>
          <w:sz w:val="24"/>
          <w:szCs w:val="24"/>
        </w:rPr>
        <w:t>57 </w:t>
      </w:r>
      <w:r w:rsidRPr="00082ABB">
        <w:rPr>
          <w:rFonts w:ascii="Book Antiqua" w:eastAsia="宋体" w:hAnsi="Book Antiqua" w:cs="宋体"/>
          <w:b/>
          <w:bCs/>
          <w:kern w:val="0"/>
          <w:sz w:val="24"/>
          <w:szCs w:val="24"/>
        </w:rPr>
        <w:t>Kim ES</w:t>
      </w:r>
      <w:r w:rsidRPr="00082ABB">
        <w:rPr>
          <w:rFonts w:ascii="Book Antiqua" w:eastAsia="宋体" w:hAnsi="Book Antiqua" w:cs="宋体"/>
          <w:kern w:val="0"/>
          <w:sz w:val="24"/>
          <w:szCs w:val="24"/>
        </w:rPr>
        <w:t>, Khuri FR, Herbst RS.</w:t>
      </w:r>
      <w:proofErr w:type="gramEnd"/>
      <w:r w:rsidRPr="00082ABB">
        <w:rPr>
          <w:rFonts w:ascii="Book Antiqua" w:eastAsia="宋体" w:hAnsi="Book Antiqua" w:cs="宋体"/>
          <w:kern w:val="0"/>
          <w:sz w:val="24"/>
          <w:szCs w:val="24"/>
        </w:rPr>
        <w:t xml:space="preserve"> </w:t>
      </w:r>
      <w:proofErr w:type="gramStart"/>
      <w:r w:rsidRPr="00082ABB">
        <w:rPr>
          <w:rFonts w:ascii="Book Antiqua" w:eastAsia="宋体" w:hAnsi="Book Antiqua" w:cs="宋体"/>
          <w:kern w:val="0"/>
          <w:sz w:val="24"/>
          <w:szCs w:val="24"/>
        </w:rPr>
        <w:t>Epidermal growth factor receptor biology (IMC-C225).</w:t>
      </w:r>
      <w:proofErr w:type="gramEnd"/>
      <w:r w:rsidRPr="00082ABB">
        <w:rPr>
          <w:rFonts w:ascii="Book Antiqua" w:eastAsia="宋体" w:hAnsi="Book Antiqua" w:cs="宋体"/>
          <w:kern w:val="0"/>
          <w:sz w:val="24"/>
          <w:szCs w:val="24"/>
        </w:rPr>
        <w:t> </w:t>
      </w:r>
      <w:r w:rsidRPr="00082ABB">
        <w:rPr>
          <w:rFonts w:ascii="Book Antiqua" w:eastAsia="宋体" w:hAnsi="Book Antiqua" w:cs="宋体"/>
          <w:i/>
          <w:iCs/>
          <w:kern w:val="0"/>
          <w:sz w:val="24"/>
          <w:szCs w:val="24"/>
        </w:rPr>
        <w:t>Curr Opin Oncol</w:t>
      </w:r>
      <w:r w:rsidRPr="00082ABB">
        <w:rPr>
          <w:rFonts w:ascii="Book Antiqua" w:eastAsia="宋体" w:hAnsi="Book Antiqua" w:cs="宋体"/>
          <w:kern w:val="0"/>
          <w:sz w:val="24"/>
          <w:szCs w:val="24"/>
        </w:rPr>
        <w:t> 2001; </w:t>
      </w:r>
      <w:r w:rsidRPr="00082ABB">
        <w:rPr>
          <w:rFonts w:ascii="Book Antiqua" w:eastAsia="宋体" w:hAnsi="Book Antiqua" w:cs="宋体"/>
          <w:b/>
          <w:bCs/>
          <w:kern w:val="0"/>
          <w:sz w:val="24"/>
          <w:szCs w:val="24"/>
        </w:rPr>
        <w:t>13</w:t>
      </w:r>
      <w:r w:rsidRPr="00082ABB">
        <w:rPr>
          <w:rFonts w:ascii="Book Antiqua" w:eastAsia="宋体" w:hAnsi="Book Antiqua" w:cs="宋体"/>
          <w:kern w:val="0"/>
          <w:sz w:val="24"/>
          <w:szCs w:val="24"/>
        </w:rPr>
        <w:t>: 506-513 [PMID: 11673692]</w:t>
      </w:r>
    </w:p>
    <w:p w:rsidR="00F47B06" w:rsidRPr="00082ABB" w:rsidRDefault="00F47B06"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58 </w:t>
      </w:r>
      <w:r w:rsidRPr="00082ABB">
        <w:rPr>
          <w:rFonts w:ascii="Book Antiqua" w:eastAsia="宋体" w:hAnsi="Book Antiqua" w:cs="宋体"/>
          <w:b/>
          <w:bCs/>
          <w:kern w:val="0"/>
          <w:sz w:val="24"/>
          <w:szCs w:val="24"/>
        </w:rPr>
        <w:t>Ciardiello F</w:t>
      </w:r>
      <w:r w:rsidRPr="00082ABB">
        <w:rPr>
          <w:rFonts w:ascii="Book Antiqua" w:eastAsia="宋体" w:hAnsi="Book Antiqua" w:cs="宋体"/>
          <w:kern w:val="0"/>
          <w:sz w:val="24"/>
          <w:szCs w:val="24"/>
        </w:rPr>
        <w:t>, Bianco R, Damiano V, Fontanini G, Caputo R, Pomatico G, De Placido S, Bianco AR, Mendelsohn J, Tortora G. Antiangiogenic and antitumor activity of anti-epidermal growth factor receptor C225 monoclonal antibody in combination with vascular endothelial growth factor antisense oligonucleotide in human GEO colon cancer cells. </w:t>
      </w:r>
      <w:r w:rsidRPr="00082ABB">
        <w:rPr>
          <w:rFonts w:ascii="Book Antiqua" w:eastAsia="宋体" w:hAnsi="Book Antiqua" w:cs="宋体"/>
          <w:i/>
          <w:iCs/>
          <w:kern w:val="0"/>
          <w:sz w:val="24"/>
          <w:szCs w:val="24"/>
        </w:rPr>
        <w:t>Clin Cancer Res</w:t>
      </w:r>
      <w:r w:rsidRPr="00082ABB">
        <w:rPr>
          <w:rFonts w:ascii="Book Antiqua" w:eastAsia="宋体" w:hAnsi="Book Antiqua" w:cs="宋体"/>
          <w:kern w:val="0"/>
          <w:sz w:val="24"/>
          <w:szCs w:val="24"/>
        </w:rPr>
        <w:t> 2000; </w:t>
      </w:r>
      <w:r w:rsidRPr="00082ABB">
        <w:rPr>
          <w:rFonts w:ascii="Book Antiqua" w:eastAsia="宋体" w:hAnsi="Book Antiqua" w:cs="宋体"/>
          <w:b/>
          <w:bCs/>
          <w:kern w:val="0"/>
          <w:sz w:val="24"/>
          <w:szCs w:val="24"/>
        </w:rPr>
        <w:t>6</w:t>
      </w:r>
      <w:r w:rsidRPr="00082ABB">
        <w:rPr>
          <w:rFonts w:ascii="Book Antiqua" w:eastAsia="宋体" w:hAnsi="Book Antiqua" w:cs="宋体"/>
          <w:kern w:val="0"/>
          <w:sz w:val="24"/>
          <w:szCs w:val="24"/>
        </w:rPr>
        <w:t>: 3739-3747 [PMID: 10999768]</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Theme="minorEastAsia" w:hAnsi="Book Antiqua" w:cs="宋体"/>
          <w:kern w:val="0"/>
          <w:sz w:val="24"/>
          <w:szCs w:val="24"/>
        </w:rPr>
        <w:t>59</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Misale S</w:t>
      </w:r>
      <w:r w:rsidR="00F47B06" w:rsidRPr="00082ABB">
        <w:rPr>
          <w:rFonts w:ascii="Book Antiqua" w:eastAsia="宋体" w:hAnsi="Book Antiqua" w:cs="宋体"/>
          <w:kern w:val="0"/>
          <w:sz w:val="24"/>
          <w:szCs w:val="24"/>
        </w:rPr>
        <w:t>, Yaeger R, Hobor S, Scala E, Janakiraman M, Liska D, Valtorta E, Schiavo R, Buscarino M, Siravegna G, Bencardino K, Cercek A, Chen CT, Veronese S, Zanon C, Sartore-Bianchi A, Gambacorta M, Gallicchio M, Vakiani E, Boscaro V, Medico E, Weiser M, Siena S, Di Nicolantonio F, Solit D, Bardelli A. Emergence of KRAS mutations and acquired resistance to anti-EGFR therapy in colorectal cancer. </w:t>
      </w:r>
      <w:r w:rsidR="00F47B06" w:rsidRPr="00082ABB">
        <w:rPr>
          <w:rFonts w:ascii="Book Antiqua" w:eastAsia="宋体" w:hAnsi="Book Antiqua" w:cs="宋体"/>
          <w:i/>
          <w:iCs/>
          <w:kern w:val="0"/>
          <w:sz w:val="24"/>
          <w:szCs w:val="24"/>
        </w:rPr>
        <w:t>Nature</w:t>
      </w:r>
      <w:r w:rsidR="00F47B06" w:rsidRPr="00082ABB">
        <w:rPr>
          <w:rFonts w:ascii="Book Antiqua" w:eastAsia="宋体" w:hAnsi="Book Antiqua" w:cs="宋体"/>
          <w:kern w:val="0"/>
          <w:sz w:val="24"/>
          <w:szCs w:val="24"/>
        </w:rPr>
        <w:t> 2012; </w:t>
      </w:r>
      <w:r w:rsidR="00F47B06" w:rsidRPr="00082ABB">
        <w:rPr>
          <w:rFonts w:ascii="Book Antiqua" w:eastAsia="宋体" w:hAnsi="Book Antiqua" w:cs="宋体"/>
          <w:b/>
          <w:bCs/>
          <w:kern w:val="0"/>
          <w:sz w:val="24"/>
          <w:szCs w:val="24"/>
        </w:rPr>
        <w:t>486</w:t>
      </w:r>
      <w:r w:rsidR="00F47B06" w:rsidRPr="00082ABB">
        <w:rPr>
          <w:rFonts w:ascii="Book Antiqua" w:eastAsia="宋体" w:hAnsi="Book Antiqua" w:cs="宋体"/>
          <w:kern w:val="0"/>
          <w:sz w:val="24"/>
          <w:szCs w:val="24"/>
        </w:rPr>
        <w:t>: 532-536 [PMID: 22722830 DOI: 10.1038/nature11156]</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6</w:t>
      </w:r>
      <w:r w:rsidRPr="00082ABB">
        <w:rPr>
          <w:rFonts w:ascii="Book Antiqua" w:eastAsiaTheme="minorEastAsia" w:hAnsi="Book Antiqua" w:cs="宋体"/>
          <w:kern w:val="0"/>
          <w:sz w:val="24"/>
          <w:szCs w:val="24"/>
        </w:rPr>
        <w:t>0</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Diaz LA Jr</w:t>
      </w:r>
      <w:r w:rsidR="00F47B06" w:rsidRPr="00082ABB">
        <w:rPr>
          <w:rFonts w:ascii="Book Antiqua" w:eastAsia="宋体" w:hAnsi="Book Antiqua" w:cs="宋体"/>
          <w:kern w:val="0"/>
          <w:sz w:val="24"/>
          <w:szCs w:val="24"/>
        </w:rPr>
        <w:t xml:space="preserve">, Williams RT, Wu J, Kinde I, Hecht JR, Berlin J, Allen B, Bozic I, Reiter JG, Nowak MA, Kinzler KW, Oliner KS, Vogelstein B. The molecular evolution of acquired resistance to targeted EGFR blockade in colorectal cancers. </w:t>
      </w:r>
      <w:r w:rsidR="00F47B06" w:rsidRPr="00082ABB">
        <w:rPr>
          <w:rFonts w:ascii="Book Antiqua" w:eastAsia="宋体" w:hAnsi="Book Antiqua" w:cs="宋体"/>
          <w:i/>
          <w:iCs/>
          <w:kern w:val="0"/>
          <w:sz w:val="24"/>
          <w:szCs w:val="24"/>
        </w:rPr>
        <w:t>Nature</w:t>
      </w:r>
      <w:r w:rsidR="00F47B06" w:rsidRPr="00082ABB">
        <w:rPr>
          <w:rFonts w:ascii="Book Antiqua" w:eastAsia="宋体" w:hAnsi="Book Antiqua" w:cs="宋体"/>
          <w:kern w:val="0"/>
          <w:sz w:val="24"/>
          <w:szCs w:val="24"/>
        </w:rPr>
        <w:t> 2012; </w:t>
      </w:r>
      <w:r w:rsidR="00F47B06" w:rsidRPr="00082ABB">
        <w:rPr>
          <w:rFonts w:ascii="Book Antiqua" w:eastAsia="宋体" w:hAnsi="Book Antiqua" w:cs="宋体"/>
          <w:b/>
          <w:bCs/>
          <w:kern w:val="0"/>
          <w:sz w:val="24"/>
          <w:szCs w:val="24"/>
        </w:rPr>
        <w:t>486</w:t>
      </w:r>
      <w:r w:rsidR="00F47B06" w:rsidRPr="00082ABB">
        <w:rPr>
          <w:rFonts w:ascii="Book Antiqua" w:eastAsia="宋体" w:hAnsi="Book Antiqua" w:cs="宋体"/>
          <w:kern w:val="0"/>
          <w:sz w:val="24"/>
          <w:szCs w:val="24"/>
        </w:rPr>
        <w:t>: 537-540 [PMID: 22722843 DOI: 10.1038/nature11219]</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lastRenderedPageBreak/>
        <w:t>6</w:t>
      </w:r>
      <w:r w:rsidRPr="00082ABB">
        <w:rPr>
          <w:rFonts w:ascii="Book Antiqua" w:eastAsiaTheme="minorEastAsia" w:hAnsi="Book Antiqua" w:cs="宋体"/>
          <w:kern w:val="0"/>
          <w:sz w:val="24"/>
          <w:szCs w:val="24"/>
        </w:rPr>
        <w:t>1</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Van Cutsem E</w:t>
      </w:r>
      <w:r w:rsidR="00F47B06" w:rsidRPr="00082ABB">
        <w:rPr>
          <w:rFonts w:ascii="Book Antiqua" w:eastAsia="宋体" w:hAnsi="Book Antiqua" w:cs="宋体"/>
          <w:kern w:val="0"/>
          <w:sz w:val="24"/>
          <w:szCs w:val="24"/>
        </w:rPr>
        <w:t>, Tejpar S, Vanbeckevoort D, Peeters M, Humblet Y, Gelderblom H, Vermorken JB, Viret F, Glimelius B, Gallerani E, Hendlisz A, Cats A, Moehler M, Sagaert X, Vlassak S, Schlichting M, Ciardiello F. Intrapatient cetuximab dose escalation in metastatic colorectal cancer according to the grade of early skin reactions: the randomized EVEREST study. </w:t>
      </w:r>
      <w:r w:rsidR="00F47B06" w:rsidRPr="00082ABB">
        <w:rPr>
          <w:rFonts w:ascii="Book Antiqua" w:eastAsia="宋体" w:hAnsi="Book Antiqua" w:cs="宋体"/>
          <w:i/>
          <w:iCs/>
          <w:kern w:val="0"/>
          <w:sz w:val="24"/>
          <w:szCs w:val="24"/>
        </w:rPr>
        <w:t>J Clin Oncol</w:t>
      </w:r>
      <w:r w:rsidR="00F47B06" w:rsidRPr="00082ABB">
        <w:rPr>
          <w:rFonts w:ascii="Book Antiqua" w:eastAsia="宋体" w:hAnsi="Book Antiqua" w:cs="宋体"/>
          <w:kern w:val="0"/>
          <w:sz w:val="24"/>
          <w:szCs w:val="24"/>
        </w:rPr>
        <w:t> 2012; </w:t>
      </w:r>
      <w:r w:rsidR="00F47B06" w:rsidRPr="00082ABB">
        <w:rPr>
          <w:rFonts w:ascii="Book Antiqua" w:eastAsia="宋体" w:hAnsi="Book Antiqua" w:cs="宋体"/>
          <w:b/>
          <w:bCs/>
          <w:kern w:val="0"/>
          <w:sz w:val="24"/>
          <w:szCs w:val="24"/>
        </w:rPr>
        <w:t>30</w:t>
      </w:r>
      <w:r w:rsidR="00F47B06" w:rsidRPr="00082ABB">
        <w:rPr>
          <w:rFonts w:ascii="Book Antiqua" w:eastAsia="宋体" w:hAnsi="Book Antiqua" w:cs="宋体"/>
          <w:kern w:val="0"/>
          <w:sz w:val="24"/>
          <w:szCs w:val="24"/>
        </w:rPr>
        <w:t>: 2861-2868 [PMID: 22753904 DOI: 10.1200/JCO.2011.40.9243]</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6</w:t>
      </w:r>
      <w:r w:rsidRPr="00082ABB">
        <w:rPr>
          <w:rFonts w:ascii="Book Antiqua" w:eastAsiaTheme="minorEastAsia" w:hAnsi="Book Antiqua" w:cs="宋体"/>
          <w:kern w:val="0"/>
          <w:sz w:val="24"/>
          <w:szCs w:val="24"/>
        </w:rPr>
        <w:t>2</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Tejpar S</w:t>
      </w:r>
      <w:r w:rsidR="00F47B06" w:rsidRPr="00082ABB">
        <w:rPr>
          <w:rFonts w:ascii="Book Antiqua" w:eastAsia="宋体" w:hAnsi="Book Antiqua" w:cs="宋体"/>
          <w:kern w:val="0"/>
          <w:sz w:val="24"/>
          <w:szCs w:val="24"/>
        </w:rPr>
        <w:t>, Piessevaux H, Claes K, Piront P, Hoenderop JG, Verslype C, Van Cutsem E. Magnesium wasting associated with epidermal-growth-factor receptor-targeting antibodies in colorectal cancer: a prospective study. </w:t>
      </w:r>
      <w:r w:rsidR="00F47B06" w:rsidRPr="00082ABB">
        <w:rPr>
          <w:rFonts w:ascii="Book Antiqua" w:eastAsia="宋体" w:hAnsi="Book Antiqua" w:cs="宋体"/>
          <w:i/>
          <w:iCs/>
          <w:kern w:val="0"/>
          <w:sz w:val="24"/>
          <w:szCs w:val="24"/>
        </w:rPr>
        <w:t>Lancet Oncol</w:t>
      </w:r>
      <w:r w:rsidR="00F47B06" w:rsidRPr="00082ABB">
        <w:rPr>
          <w:rFonts w:ascii="Book Antiqua" w:eastAsia="宋体" w:hAnsi="Book Antiqua" w:cs="宋体"/>
          <w:kern w:val="0"/>
          <w:sz w:val="24"/>
          <w:szCs w:val="24"/>
        </w:rPr>
        <w:t> 2007; </w:t>
      </w:r>
      <w:r w:rsidR="00F47B06" w:rsidRPr="00082ABB">
        <w:rPr>
          <w:rFonts w:ascii="Book Antiqua" w:eastAsia="宋体" w:hAnsi="Book Antiqua" w:cs="宋体"/>
          <w:b/>
          <w:bCs/>
          <w:kern w:val="0"/>
          <w:sz w:val="24"/>
          <w:szCs w:val="24"/>
        </w:rPr>
        <w:t>8</w:t>
      </w:r>
      <w:r w:rsidR="00F47B06" w:rsidRPr="00082ABB">
        <w:rPr>
          <w:rFonts w:ascii="Book Antiqua" w:eastAsia="宋体" w:hAnsi="Book Antiqua" w:cs="宋体"/>
          <w:kern w:val="0"/>
          <w:sz w:val="24"/>
          <w:szCs w:val="24"/>
        </w:rPr>
        <w:t>: 387-394 [PMID: 17466895]</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6</w:t>
      </w:r>
      <w:r w:rsidRPr="00082ABB">
        <w:rPr>
          <w:rFonts w:ascii="Book Antiqua" w:eastAsiaTheme="minorEastAsia" w:hAnsi="Book Antiqua" w:cs="宋体"/>
          <w:kern w:val="0"/>
          <w:sz w:val="24"/>
          <w:szCs w:val="24"/>
        </w:rPr>
        <w:t>3</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Van Cutsem E</w:t>
      </w:r>
      <w:r w:rsidR="00F47B06" w:rsidRPr="00082ABB">
        <w:rPr>
          <w:rFonts w:ascii="Book Antiqua" w:eastAsia="宋体" w:hAnsi="Book Antiqua" w:cs="宋体"/>
          <w:kern w:val="0"/>
          <w:sz w:val="24"/>
          <w:szCs w:val="24"/>
        </w:rPr>
        <w:t>, Köhne CH, Hitre E, Zaluski J, Chang Chien CR, Makhson A, D'Haens G, Pintér T, Lim R, Bodoky G, Roh JK, Folprecht G, Ruff P, Stroh C, Tejpar S, Schlichting M, Nippgen J, Rougier P. Cetuximab and chemotherapy as initial treatment for metastatic colorectal cancer. </w:t>
      </w:r>
      <w:r w:rsidR="00F47B06" w:rsidRPr="00082ABB">
        <w:rPr>
          <w:rFonts w:ascii="Book Antiqua" w:eastAsia="宋体" w:hAnsi="Book Antiqua" w:cs="宋体"/>
          <w:i/>
          <w:iCs/>
          <w:kern w:val="0"/>
          <w:sz w:val="24"/>
          <w:szCs w:val="24"/>
        </w:rPr>
        <w:t>N Engl J Med</w:t>
      </w:r>
      <w:r w:rsidR="00F47B06" w:rsidRPr="00082ABB">
        <w:rPr>
          <w:rFonts w:ascii="Book Antiqua" w:eastAsia="宋体" w:hAnsi="Book Antiqua" w:cs="宋体"/>
          <w:kern w:val="0"/>
          <w:sz w:val="24"/>
          <w:szCs w:val="24"/>
        </w:rPr>
        <w:t> 2009; </w:t>
      </w:r>
      <w:r w:rsidR="00F47B06" w:rsidRPr="00082ABB">
        <w:rPr>
          <w:rFonts w:ascii="Book Antiqua" w:eastAsia="宋体" w:hAnsi="Book Antiqua" w:cs="宋体"/>
          <w:b/>
          <w:bCs/>
          <w:kern w:val="0"/>
          <w:sz w:val="24"/>
          <w:szCs w:val="24"/>
        </w:rPr>
        <w:t>360</w:t>
      </w:r>
      <w:r w:rsidR="00F47B06" w:rsidRPr="00082ABB">
        <w:rPr>
          <w:rFonts w:ascii="Book Antiqua" w:eastAsia="宋体" w:hAnsi="Book Antiqua" w:cs="宋体"/>
          <w:kern w:val="0"/>
          <w:sz w:val="24"/>
          <w:szCs w:val="24"/>
        </w:rPr>
        <w:t>: 1408-1417 [PMID: 19339720 DOI: 10.1056/NEJMoa0805019]</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6</w:t>
      </w:r>
      <w:r w:rsidRPr="00082ABB">
        <w:rPr>
          <w:rFonts w:ascii="Book Antiqua" w:eastAsiaTheme="minorEastAsia" w:hAnsi="Book Antiqua" w:cs="宋体"/>
          <w:kern w:val="0"/>
          <w:sz w:val="24"/>
          <w:szCs w:val="24"/>
        </w:rPr>
        <w:t>4</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Van Cutsem E</w:t>
      </w:r>
      <w:r w:rsidR="00F47B06" w:rsidRPr="00082ABB">
        <w:rPr>
          <w:rFonts w:ascii="Book Antiqua" w:eastAsia="宋体" w:hAnsi="Book Antiqua" w:cs="宋体"/>
          <w:kern w:val="0"/>
          <w:sz w:val="24"/>
          <w:szCs w:val="24"/>
        </w:rPr>
        <w:t>,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00F47B06" w:rsidRPr="00082ABB">
        <w:rPr>
          <w:rFonts w:ascii="Book Antiqua" w:eastAsia="宋体" w:hAnsi="Book Antiqua" w:cs="宋体"/>
          <w:i/>
          <w:iCs/>
          <w:kern w:val="0"/>
          <w:sz w:val="24"/>
          <w:szCs w:val="24"/>
        </w:rPr>
        <w:t>J Clin Oncol</w:t>
      </w:r>
      <w:r w:rsidR="00F47B06" w:rsidRPr="00082ABB">
        <w:rPr>
          <w:rFonts w:ascii="Book Antiqua" w:eastAsia="宋体" w:hAnsi="Book Antiqua" w:cs="宋体"/>
          <w:kern w:val="0"/>
          <w:sz w:val="24"/>
          <w:szCs w:val="24"/>
        </w:rPr>
        <w:t> 2011; </w:t>
      </w:r>
      <w:r w:rsidR="00F47B06" w:rsidRPr="00082ABB">
        <w:rPr>
          <w:rFonts w:ascii="Book Antiqua" w:eastAsia="宋体" w:hAnsi="Book Antiqua" w:cs="宋体"/>
          <w:b/>
          <w:bCs/>
          <w:kern w:val="0"/>
          <w:sz w:val="24"/>
          <w:szCs w:val="24"/>
        </w:rPr>
        <w:t>29</w:t>
      </w:r>
      <w:r w:rsidR="00F47B06" w:rsidRPr="00082ABB">
        <w:rPr>
          <w:rFonts w:ascii="Book Antiqua" w:eastAsia="宋体" w:hAnsi="Book Antiqua" w:cs="宋体"/>
          <w:kern w:val="0"/>
          <w:sz w:val="24"/>
          <w:szCs w:val="24"/>
        </w:rPr>
        <w:t>: 2011-2019 [PMID: 21502544 DOI: 10.1200/JCO.2010.33.5091]</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6</w:t>
      </w:r>
      <w:r w:rsidRPr="00082ABB">
        <w:rPr>
          <w:rFonts w:ascii="Book Antiqua" w:eastAsiaTheme="minorEastAsia" w:hAnsi="Book Antiqua" w:cs="宋体"/>
          <w:kern w:val="0"/>
          <w:sz w:val="24"/>
          <w:szCs w:val="24"/>
        </w:rPr>
        <w:t>5</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Bokemeyer C</w:t>
      </w:r>
      <w:r w:rsidR="00F47B06" w:rsidRPr="00082ABB">
        <w:rPr>
          <w:rFonts w:ascii="Book Antiqua" w:eastAsia="宋体" w:hAnsi="Book Antiqua" w:cs="宋体"/>
          <w:kern w:val="0"/>
          <w:sz w:val="24"/>
          <w:szCs w:val="24"/>
        </w:rPr>
        <w:t xml:space="preserve">, Bondarenko I, Makhson A, Hartmann JT, Aparicio J, de Braud F, Donea S, Ludwig H, Schuch G, Stroh C, Loos AH, Zubel A, Koralewski P. </w:t>
      </w:r>
      <w:r w:rsidR="00F47B06" w:rsidRPr="00082ABB">
        <w:rPr>
          <w:rFonts w:ascii="Book Antiqua" w:eastAsia="宋体" w:hAnsi="Book Antiqua" w:cs="宋体"/>
          <w:kern w:val="0"/>
          <w:sz w:val="24"/>
          <w:szCs w:val="24"/>
        </w:rPr>
        <w:lastRenderedPageBreak/>
        <w:t>Fluorouracil, leucovorin, and oxaliplatin with and without cetuximab in the first-line treatment of metastatic colorectal cancer. </w:t>
      </w:r>
      <w:r w:rsidR="00F47B06" w:rsidRPr="00082ABB">
        <w:rPr>
          <w:rFonts w:ascii="Book Antiqua" w:eastAsia="宋体" w:hAnsi="Book Antiqua" w:cs="宋体"/>
          <w:i/>
          <w:iCs/>
          <w:kern w:val="0"/>
          <w:sz w:val="24"/>
          <w:szCs w:val="24"/>
        </w:rPr>
        <w:t>J Clin Oncol</w:t>
      </w:r>
      <w:r w:rsidR="00F47B06" w:rsidRPr="00082ABB">
        <w:rPr>
          <w:rFonts w:ascii="Book Antiqua" w:eastAsia="宋体" w:hAnsi="Book Antiqua" w:cs="宋体"/>
          <w:kern w:val="0"/>
          <w:sz w:val="24"/>
          <w:szCs w:val="24"/>
        </w:rPr>
        <w:t> 2009; </w:t>
      </w:r>
      <w:r w:rsidR="00F47B06" w:rsidRPr="00082ABB">
        <w:rPr>
          <w:rFonts w:ascii="Book Antiqua" w:eastAsia="宋体" w:hAnsi="Book Antiqua" w:cs="宋体"/>
          <w:b/>
          <w:bCs/>
          <w:kern w:val="0"/>
          <w:sz w:val="24"/>
          <w:szCs w:val="24"/>
        </w:rPr>
        <w:t>27</w:t>
      </w:r>
      <w:r w:rsidR="00F47B06" w:rsidRPr="00082ABB">
        <w:rPr>
          <w:rFonts w:ascii="Book Antiqua" w:eastAsia="宋体" w:hAnsi="Book Antiqua" w:cs="宋体"/>
          <w:kern w:val="0"/>
          <w:sz w:val="24"/>
          <w:szCs w:val="24"/>
        </w:rPr>
        <w:t>: 663-671 [PMID: 19114683 DOI: 10.1200/JCO.2008.20.8397]</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6</w:t>
      </w:r>
      <w:r w:rsidRPr="00082ABB">
        <w:rPr>
          <w:rFonts w:ascii="Book Antiqua" w:eastAsiaTheme="minorEastAsia" w:hAnsi="Book Antiqua" w:cs="宋体"/>
          <w:kern w:val="0"/>
          <w:sz w:val="24"/>
          <w:szCs w:val="24"/>
        </w:rPr>
        <w:t>6</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Bokemeyer C</w:t>
      </w:r>
      <w:r w:rsidR="00F47B06" w:rsidRPr="00082ABB">
        <w:rPr>
          <w:rFonts w:ascii="Book Antiqua" w:eastAsia="宋体" w:hAnsi="Book Antiqua" w:cs="宋体"/>
          <w:kern w:val="0"/>
          <w:sz w:val="24"/>
          <w:szCs w:val="24"/>
        </w:rPr>
        <w:t>, Bondarenko I, Hartmann JT, de Braud F, Schuch G, Zubel A, Celik I, Schlichting M, Koralewski P. Efficacy according to biomarker status of cetuximab plus FOLFOX-4 as first-line treatment for metastatic colorectal cancer: the OPUS study. </w:t>
      </w:r>
      <w:r w:rsidR="00F47B06" w:rsidRPr="00082ABB">
        <w:rPr>
          <w:rFonts w:ascii="Book Antiqua" w:eastAsia="宋体" w:hAnsi="Book Antiqua" w:cs="宋体"/>
          <w:i/>
          <w:iCs/>
          <w:kern w:val="0"/>
          <w:sz w:val="24"/>
          <w:szCs w:val="24"/>
        </w:rPr>
        <w:t>Ann Oncol</w:t>
      </w:r>
      <w:r w:rsidR="00F47B06" w:rsidRPr="00082ABB">
        <w:rPr>
          <w:rFonts w:ascii="Book Antiqua" w:eastAsia="宋体" w:hAnsi="Book Antiqua" w:cs="宋体"/>
          <w:kern w:val="0"/>
          <w:sz w:val="24"/>
          <w:szCs w:val="24"/>
        </w:rPr>
        <w:t> 2011; </w:t>
      </w:r>
      <w:r w:rsidR="00F47B06" w:rsidRPr="00082ABB">
        <w:rPr>
          <w:rFonts w:ascii="Book Antiqua" w:eastAsia="宋体" w:hAnsi="Book Antiqua" w:cs="宋体"/>
          <w:b/>
          <w:bCs/>
          <w:kern w:val="0"/>
          <w:sz w:val="24"/>
          <w:szCs w:val="24"/>
        </w:rPr>
        <w:t>22</w:t>
      </w:r>
      <w:r w:rsidR="00F47B06" w:rsidRPr="00082ABB">
        <w:rPr>
          <w:rFonts w:ascii="Book Antiqua" w:eastAsia="宋体" w:hAnsi="Book Antiqua" w:cs="宋体"/>
          <w:kern w:val="0"/>
          <w:sz w:val="24"/>
          <w:szCs w:val="24"/>
        </w:rPr>
        <w:t>: 1535-1546 [PMID: 21228335 DOI: 10.1093/annonc/mdq632]</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6</w:t>
      </w:r>
      <w:r w:rsidRPr="00082ABB">
        <w:rPr>
          <w:rFonts w:ascii="Book Antiqua" w:eastAsiaTheme="minorEastAsia" w:hAnsi="Book Antiqua" w:cs="宋体"/>
          <w:kern w:val="0"/>
          <w:sz w:val="24"/>
          <w:szCs w:val="24"/>
        </w:rPr>
        <w:t>7</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Maughan TS</w:t>
      </w:r>
      <w:r w:rsidR="00F47B06" w:rsidRPr="00082ABB">
        <w:rPr>
          <w:rFonts w:ascii="Book Antiqua" w:eastAsia="宋体" w:hAnsi="Book Antiqua" w:cs="宋体"/>
          <w:kern w:val="0"/>
          <w:sz w:val="24"/>
          <w:szCs w:val="24"/>
        </w:rPr>
        <w:t>, Adams RA, Smith CG, Meade AM, Seymour MT, Wilson RH, Idziaszczyk S, Harris R, Fisher D, Kenny SL, Kay E, Mitchell JK, Madi A, Jasani B, James MD, Bridgewater J, Kennedy MJ, Claes B, Lambrechts D, Kaplan R, Cheadle JP. Addition of cetuximab to oxaliplatin-based first-line combination chemotherapy for treatment of advanced colorectal cancer: results of the randomised phase 3 MRC COIN trial. </w:t>
      </w:r>
      <w:r w:rsidR="00F47B06" w:rsidRPr="00082ABB">
        <w:rPr>
          <w:rFonts w:ascii="Book Antiqua" w:eastAsia="宋体" w:hAnsi="Book Antiqua" w:cs="宋体"/>
          <w:i/>
          <w:iCs/>
          <w:kern w:val="0"/>
          <w:sz w:val="24"/>
          <w:szCs w:val="24"/>
        </w:rPr>
        <w:t>Lancet</w:t>
      </w:r>
      <w:r w:rsidR="00F47B06" w:rsidRPr="00082ABB">
        <w:rPr>
          <w:rFonts w:ascii="Book Antiqua" w:eastAsia="宋体" w:hAnsi="Book Antiqua" w:cs="宋体"/>
          <w:kern w:val="0"/>
          <w:sz w:val="24"/>
          <w:szCs w:val="24"/>
        </w:rPr>
        <w:t> 2011; </w:t>
      </w:r>
      <w:r w:rsidR="00F47B06" w:rsidRPr="00082ABB">
        <w:rPr>
          <w:rFonts w:ascii="Book Antiqua" w:eastAsia="宋体" w:hAnsi="Book Antiqua" w:cs="宋体"/>
          <w:b/>
          <w:bCs/>
          <w:kern w:val="0"/>
          <w:sz w:val="24"/>
          <w:szCs w:val="24"/>
        </w:rPr>
        <w:t>377</w:t>
      </w:r>
      <w:r w:rsidR="00F47B06" w:rsidRPr="00082ABB">
        <w:rPr>
          <w:rFonts w:ascii="Book Antiqua" w:eastAsia="宋体" w:hAnsi="Book Antiqua" w:cs="宋体"/>
          <w:kern w:val="0"/>
          <w:sz w:val="24"/>
          <w:szCs w:val="24"/>
        </w:rPr>
        <w:t>: 2103-2114 [PMID: 21641636 DOI: 10.1016/S0140-6736(11)60613-2]</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6</w:t>
      </w:r>
      <w:r w:rsidRPr="00082ABB">
        <w:rPr>
          <w:rFonts w:ascii="Book Antiqua" w:eastAsiaTheme="minorEastAsia" w:hAnsi="Book Antiqua" w:cs="宋体"/>
          <w:kern w:val="0"/>
          <w:sz w:val="24"/>
          <w:szCs w:val="24"/>
        </w:rPr>
        <w:t>8</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Adams RA</w:t>
      </w:r>
      <w:r w:rsidR="00F47B06" w:rsidRPr="00082ABB">
        <w:rPr>
          <w:rFonts w:ascii="Book Antiqua" w:eastAsia="宋体" w:hAnsi="Book Antiqua" w:cs="宋体"/>
          <w:kern w:val="0"/>
          <w:sz w:val="24"/>
          <w:szCs w:val="24"/>
        </w:rPr>
        <w:t>, Meade AM, Seymour MT, Wilson RH, Madi A, Fisher D, Kenny SL, Kay E, Hodgkinson E, Pope M, Rogers P, Wasan H, Falk S, Gollins S, Hickish T, Bessell EM, Propper D, Kennedy MJ, Kaplan R, Maughan TS. Intermittent versus continuous oxaliplatin and fluoropyrimidine combination chemotherapy for first-line treatment of advanced colorectal cancer: results of the randomised phase 3 MRC COIN trial. </w:t>
      </w:r>
      <w:r w:rsidR="00F47B06" w:rsidRPr="00082ABB">
        <w:rPr>
          <w:rFonts w:ascii="Book Antiqua" w:eastAsia="宋体" w:hAnsi="Book Antiqua" w:cs="宋体"/>
          <w:i/>
          <w:iCs/>
          <w:kern w:val="0"/>
          <w:sz w:val="24"/>
          <w:szCs w:val="24"/>
        </w:rPr>
        <w:t>Lancet Oncol</w:t>
      </w:r>
      <w:r w:rsidR="00F47B06" w:rsidRPr="00082ABB">
        <w:rPr>
          <w:rFonts w:ascii="Book Antiqua" w:eastAsia="宋体" w:hAnsi="Book Antiqua" w:cs="宋体"/>
          <w:kern w:val="0"/>
          <w:sz w:val="24"/>
          <w:szCs w:val="24"/>
        </w:rPr>
        <w:t> 2011; </w:t>
      </w:r>
      <w:r w:rsidR="00F47B06" w:rsidRPr="00082ABB">
        <w:rPr>
          <w:rFonts w:ascii="Book Antiqua" w:eastAsia="宋体" w:hAnsi="Book Antiqua" w:cs="宋体"/>
          <w:b/>
          <w:bCs/>
          <w:kern w:val="0"/>
          <w:sz w:val="24"/>
          <w:szCs w:val="24"/>
        </w:rPr>
        <w:t>12</w:t>
      </w:r>
      <w:r w:rsidR="00F47B06" w:rsidRPr="00082ABB">
        <w:rPr>
          <w:rFonts w:ascii="Book Antiqua" w:eastAsia="宋体" w:hAnsi="Book Antiqua" w:cs="宋体"/>
          <w:kern w:val="0"/>
          <w:sz w:val="24"/>
          <w:szCs w:val="24"/>
        </w:rPr>
        <w:t>: 642-653 [PMID: 21641867 DOI: 10.1016/S1470-2045(11)70102-4]</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Theme="minorEastAsia" w:hAnsi="Book Antiqua" w:cs="宋体"/>
          <w:kern w:val="0"/>
          <w:sz w:val="24"/>
          <w:szCs w:val="24"/>
        </w:rPr>
        <w:t>69</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Smith CG</w:t>
      </w:r>
      <w:r w:rsidR="00F47B06" w:rsidRPr="00082ABB">
        <w:rPr>
          <w:rFonts w:ascii="Book Antiqua" w:eastAsia="宋体" w:hAnsi="Book Antiqua" w:cs="宋体"/>
          <w:kern w:val="0"/>
          <w:sz w:val="24"/>
          <w:szCs w:val="24"/>
        </w:rPr>
        <w:t xml:space="preserve">, Fisher D, Claes B, Maughan TS, Idziaszczyk S, Peuteman G, Harris R, James MD, Meade A, Jasani B, Adams RA, Kenny S, Kaplan R, </w:t>
      </w:r>
      <w:r w:rsidR="00F47B06" w:rsidRPr="00082ABB">
        <w:rPr>
          <w:rFonts w:ascii="Book Antiqua" w:eastAsia="宋体" w:hAnsi="Book Antiqua" w:cs="宋体"/>
          <w:kern w:val="0"/>
          <w:sz w:val="24"/>
          <w:szCs w:val="24"/>
        </w:rPr>
        <w:lastRenderedPageBreak/>
        <w:t>Lambrechts D, Cheadle JP. Somatic profiling of the epidermal growth factor receptor pathway in tumors from patients with advanced colorectal cancer treated with chemotherapy ± cetuximab. </w:t>
      </w:r>
      <w:r w:rsidR="00F47B06" w:rsidRPr="00082ABB">
        <w:rPr>
          <w:rFonts w:ascii="Book Antiqua" w:eastAsia="宋体" w:hAnsi="Book Antiqua" w:cs="宋体"/>
          <w:i/>
          <w:iCs/>
          <w:kern w:val="0"/>
          <w:sz w:val="24"/>
          <w:szCs w:val="24"/>
        </w:rPr>
        <w:t>Clin Cancer Res</w:t>
      </w:r>
      <w:r w:rsidR="00F47B06" w:rsidRPr="00082ABB">
        <w:rPr>
          <w:rFonts w:ascii="Book Antiqua" w:eastAsia="宋体" w:hAnsi="Book Antiqua" w:cs="宋体"/>
          <w:kern w:val="0"/>
          <w:sz w:val="24"/>
          <w:szCs w:val="24"/>
        </w:rPr>
        <w:t> 2013; </w:t>
      </w:r>
      <w:r w:rsidR="00F47B06" w:rsidRPr="00082ABB">
        <w:rPr>
          <w:rFonts w:ascii="Book Antiqua" w:eastAsia="宋体" w:hAnsi="Book Antiqua" w:cs="宋体"/>
          <w:b/>
          <w:bCs/>
          <w:kern w:val="0"/>
          <w:sz w:val="24"/>
          <w:szCs w:val="24"/>
        </w:rPr>
        <w:t>19</w:t>
      </w:r>
      <w:r w:rsidR="00F47B06" w:rsidRPr="00082ABB">
        <w:rPr>
          <w:rFonts w:ascii="Book Antiqua" w:eastAsia="宋体" w:hAnsi="Book Antiqua" w:cs="宋体"/>
          <w:kern w:val="0"/>
          <w:sz w:val="24"/>
          <w:szCs w:val="24"/>
        </w:rPr>
        <w:t>: 4104-4113 [PMID: 23741067 DOI: 10.1158/1078-0432.CCR-12-2581]</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7</w:t>
      </w:r>
      <w:r w:rsidRPr="00082ABB">
        <w:rPr>
          <w:rFonts w:ascii="Book Antiqua" w:eastAsiaTheme="minorEastAsia" w:hAnsi="Book Antiqua" w:cs="宋体"/>
          <w:kern w:val="0"/>
          <w:sz w:val="24"/>
          <w:szCs w:val="24"/>
        </w:rPr>
        <w:t>0</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Benedix F</w:t>
      </w:r>
      <w:r w:rsidR="00F47B06" w:rsidRPr="00082ABB">
        <w:rPr>
          <w:rFonts w:ascii="Book Antiqua" w:eastAsia="宋体" w:hAnsi="Book Antiqua" w:cs="宋体"/>
          <w:kern w:val="0"/>
          <w:sz w:val="24"/>
          <w:szCs w:val="24"/>
        </w:rPr>
        <w:t>, Kube R, Meyer F, Schmidt U, Gastinger I, Lippert H</w:t>
      </w:r>
      <w:r w:rsidR="00F47B06" w:rsidRPr="00082ABB">
        <w:rPr>
          <w:rFonts w:ascii="Book Antiqua" w:hAnsi="Book Antiqua"/>
          <w:sz w:val="24"/>
          <w:szCs w:val="24"/>
        </w:rPr>
        <w:t xml:space="preserve">; Colon/Rectum Carcinomas (Primary Tumor) Study Group. </w:t>
      </w:r>
      <w:r w:rsidR="00F47B06" w:rsidRPr="00082ABB">
        <w:rPr>
          <w:rFonts w:ascii="Book Antiqua" w:eastAsia="宋体" w:hAnsi="Book Antiqua" w:cs="宋体"/>
          <w:kern w:val="0"/>
          <w:sz w:val="24"/>
          <w:szCs w:val="24"/>
        </w:rPr>
        <w:t>Comparison of 17,641 patients with right- and left-sided colon cancer: differences in epidemiology, perioperative course, histology, and survival. </w:t>
      </w:r>
      <w:r w:rsidR="00F47B06" w:rsidRPr="00082ABB">
        <w:rPr>
          <w:rFonts w:ascii="Book Antiqua" w:eastAsia="宋体" w:hAnsi="Book Antiqua" w:cs="宋体"/>
          <w:i/>
          <w:iCs/>
          <w:kern w:val="0"/>
          <w:sz w:val="24"/>
          <w:szCs w:val="24"/>
        </w:rPr>
        <w:t>Dis Colon Rectum</w:t>
      </w:r>
      <w:r w:rsidR="00F47B06" w:rsidRPr="00082ABB">
        <w:rPr>
          <w:rFonts w:ascii="Book Antiqua" w:eastAsia="宋体" w:hAnsi="Book Antiqua" w:cs="宋体"/>
          <w:kern w:val="0"/>
          <w:sz w:val="24"/>
          <w:szCs w:val="24"/>
        </w:rPr>
        <w:t xml:space="preserve"> 2010; </w:t>
      </w:r>
      <w:r w:rsidR="00F47B06" w:rsidRPr="00082ABB">
        <w:rPr>
          <w:rFonts w:ascii="Book Antiqua" w:eastAsia="宋体" w:hAnsi="Book Antiqua" w:cs="宋体"/>
          <w:b/>
          <w:bCs/>
          <w:kern w:val="0"/>
          <w:sz w:val="24"/>
          <w:szCs w:val="24"/>
        </w:rPr>
        <w:t>53</w:t>
      </w:r>
      <w:r w:rsidR="00F47B06" w:rsidRPr="00082ABB">
        <w:rPr>
          <w:rFonts w:ascii="Book Antiqua" w:eastAsia="宋体" w:hAnsi="Book Antiqua" w:cs="宋体"/>
          <w:kern w:val="0"/>
          <w:sz w:val="24"/>
          <w:szCs w:val="24"/>
        </w:rPr>
        <w:t>: 57-64 [PMID: 20010352 DOI: 10.1007/DCR.0b013e3181c703a4]</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7</w:t>
      </w:r>
      <w:r w:rsidRPr="00082ABB">
        <w:rPr>
          <w:rFonts w:ascii="Book Antiqua" w:eastAsiaTheme="minorEastAsia" w:hAnsi="Book Antiqua" w:cs="宋体"/>
          <w:kern w:val="0"/>
          <w:sz w:val="24"/>
          <w:szCs w:val="24"/>
        </w:rPr>
        <w:t>1</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Tveit KM</w:t>
      </w:r>
      <w:r w:rsidR="00F47B06" w:rsidRPr="00082ABB">
        <w:rPr>
          <w:rFonts w:ascii="Book Antiqua" w:eastAsia="宋体" w:hAnsi="Book Antiqua" w:cs="宋体"/>
          <w:kern w:val="0"/>
          <w:sz w:val="24"/>
          <w:szCs w:val="24"/>
        </w:rPr>
        <w:t>, Guren T, Glimelius B, Pfeiffer P, Sorbye H, Pyrhonen S, Sigurdsson F, Kure E, Ikdahl T, Skovlund E, Fokstuen T, Hansen F, Hofsli E, Birkemeyer E, Johnsson A, Starkhammar H, Yilmaz MK, Keldsen N, Erdal AB, Dajani O, Dahl O, Christoffersen T. Phase III trial of cetuximab with continuous or intermittent fluorouracil, leucovorin, and oxaliplatin (Nordic FLOX) versus FLOX alone in first-line treatment of metastatic colorectal cancer: the NORDIC-VII study. </w:t>
      </w:r>
      <w:r w:rsidR="00F47B06" w:rsidRPr="00082ABB">
        <w:rPr>
          <w:rFonts w:ascii="Book Antiqua" w:eastAsia="宋体" w:hAnsi="Book Antiqua" w:cs="宋体"/>
          <w:i/>
          <w:iCs/>
          <w:kern w:val="0"/>
          <w:sz w:val="24"/>
          <w:szCs w:val="24"/>
        </w:rPr>
        <w:t>J Clin Oncol</w:t>
      </w:r>
      <w:r w:rsidR="00F47B06" w:rsidRPr="00082ABB">
        <w:rPr>
          <w:rFonts w:ascii="Book Antiqua" w:eastAsia="宋体" w:hAnsi="Book Antiqua" w:cs="宋体"/>
          <w:kern w:val="0"/>
          <w:sz w:val="24"/>
          <w:szCs w:val="24"/>
        </w:rPr>
        <w:t> 2012; </w:t>
      </w:r>
      <w:r w:rsidR="00F47B06" w:rsidRPr="00082ABB">
        <w:rPr>
          <w:rFonts w:ascii="Book Antiqua" w:eastAsia="宋体" w:hAnsi="Book Antiqua" w:cs="宋体"/>
          <w:b/>
          <w:bCs/>
          <w:kern w:val="0"/>
          <w:sz w:val="24"/>
          <w:szCs w:val="24"/>
        </w:rPr>
        <w:t>30</w:t>
      </w:r>
      <w:r w:rsidR="00F47B06" w:rsidRPr="00082ABB">
        <w:rPr>
          <w:rFonts w:ascii="Book Antiqua" w:eastAsia="宋体" w:hAnsi="Book Antiqua" w:cs="宋体"/>
          <w:kern w:val="0"/>
          <w:sz w:val="24"/>
          <w:szCs w:val="24"/>
        </w:rPr>
        <w:t>: 1755-1762 [PMID: 22473155 DOI: 10.1200/JCO.2011.38.0915]</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7</w:t>
      </w:r>
      <w:r w:rsidRPr="00082ABB">
        <w:rPr>
          <w:rFonts w:ascii="Book Antiqua" w:eastAsiaTheme="minorEastAsia" w:hAnsi="Book Antiqua" w:cs="宋体"/>
          <w:kern w:val="0"/>
          <w:sz w:val="24"/>
          <w:szCs w:val="24"/>
        </w:rPr>
        <w:t>2</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Jonker DJ</w:t>
      </w:r>
      <w:r w:rsidR="00F47B06" w:rsidRPr="00082ABB">
        <w:rPr>
          <w:rFonts w:ascii="Book Antiqua" w:eastAsia="宋体" w:hAnsi="Book Antiqua" w:cs="宋体"/>
          <w:kern w:val="0"/>
          <w:sz w:val="24"/>
          <w:szCs w:val="24"/>
        </w:rPr>
        <w:t xml:space="preserve">, O'Callaghan CJ, Karapetis CS, Zalcberg JR, Tu D, Au HJ, Berry SR, Krahn M, Price T, Simes RJ, Tebbutt NC, van Hazel G, Wierzbicki R, Langer C, Moore MJ. </w:t>
      </w:r>
      <w:proofErr w:type="gramStart"/>
      <w:r w:rsidR="00F47B06" w:rsidRPr="00082ABB">
        <w:rPr>
          <w:rFonts w:ascii="Book Antiqua" w:eastAsia="宋体" w:hAnsi="Book Antiqua" w:cs="宋体"/>
          <w:kern w:val="0"/>
          <w:sz w:val="24"/>
          <w:szCs w:val="24"/>
        </w:rPr>
        <w:t>Cetuximab for the treatment of colorectal cancer.</w:t>
      </w:r>
      <w:proofErr w:type="gramEnd"/>
      <w:r w:rsidR="00F47B06" w:rsidRPr="00082ABB">
        <w:rPr>
          <w:rFonts w:ascii="Book Antiqua" w:eastAsia="宋体" w:hAnsi="Book Antiqua" w:cs="宋体"/>
          <w:kern w:val="0"/>
          <w:sz w:val="24"/>
          <w:szCs w:val="24"/>
        </w:rPr>
        <w:t> </w:t>
      </w:r>
      <w:r w:rsidR="00F47B06" w:rsidRPr="00082ABB">
        <w:rPr>
          <w:rFonts w:ascii="Book Antiqua" w:eastAsia="宋体" w:hAnsi="Book Antiqua" w:cs="宋体"/>
          <w:i/>
          <w:iCs/>
          <w:kern w:val="0"/>
          <w:sz w:val="24"/>
          <w:szCs w:val="24"/>
        </w:rPr>
        <w:t>N Engl J Med</w:t>
      </w:r>
      <w:r w:rsidR="00F47B06" w:rsidRPr="00082ABB">
        <w:rPr>
          <w:rFonts w:ascii="Book Antiqua" w:eastAsia="宋体" w:hAnsi="Book Antiqua" w:cs="宋体"/>
          <w:kern w:val="0"/>
          <w:sz w:val="24"/>
          <w:szCs w:val="24"/>
        </w:rPr>
        <w:t> 2007; </w:t>
      </w:r>
      <w:r w:rsidR="00F47B06" w:rsidRPr="00082ABB">
        <w:rPr>
          <w:rFonts w:ascii="Book Antiqua" w:eastAsia="宋体" w:hAnsi="Book Antiqua" w:cs="宋体"/>
          <w:b/>
          <w:bCs/>
          <w:kern w:val="0"/>
          <w:sz w:val="24"/>
          <w:szCs w:val="24"/>
        </w:rPr>
        <w:t>357</w:t>
      </w:r>
      <w:r w:rsidR="00F47B06" w:rsidRPr="00082ABB">
        <w:rPr>
          <w:rFonts w:ascii="Book Antiqua" w:eastAsia="宋体" w:hAnsi="Book Antiqua" w:cs="宋体"/>
          <w:kern w:val="0"/>
          <w:sz w:val="24"/>
          <w:szCs w:val="24"/>
        </w:rPr>
        <w:t>: 2040-2048 [PMID: 18003960]</w:t>
      </w:r>
    </w:p>
    <w:p w:rsidR="00F47B06" w:rsidRPr="00082ABB" w:rsidRDefault="00924222" w:rsidP="00F47B06">
      <w:pPr>
        <w:widowControl/>
        <w:spacing w:line="360" w:lineRule="auto"/>
        <w:rPr>
          <w:rFonts w:ascii="Book Antiqua" w:eastAsia="宋体" w:hAnsi="Book Antiqua" w:cs="宋体"/>
          <w:kern w:val="0"/>
          <w:sz w:val="24"/>
          <w:szCs w:val="24"/>
        </w:rPr>
      </w:pPr>
      <w:proofErr w:type="gramStart"/>
      <w:r w:rsidRPr="00082ABB">
        <w:rPr>
          <w:rFonts w:ascii="Book Antiqua" w:eastAsia="宋体" w:hAnsi="Book Antiqua" w:cs="宋体"/>
          <w:kern w:val="0"/>
          <w:sz w:val="24"/>
          <w:szCs w:val="24"/>
        </w:rPr>
        <w:t>7</w:t>
      </w:r>
      <w:r w:rsidRPr="00082ABB">
        <w:rPr>
          <w:rFonts w:ascii="Book Antiqua" w:eastAsiaTheme="minorEastAsia" w:hAnsi="Book Antiqua" w:cs="宋体"/>
          <w:kern w:val="0"/>
          <w:sz w:val="24"/>
          <w:szCs w:val="24"/>
        </w:rPr>
        <w:t>3</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Yang XD</w:t>
      </w:r>
      <w:r w:rsidR="00F47B06" w:rsidRPr="00082ABB">
        <w:rPr>
          <w:rFonts w:ascii="Book Antiqua" w:eastAsia="宋体" w:hAnsi="Book Antiqua" w:cs="宋体"/>
          <w:kern w:val="0"/>
          <w:sz w:val="24"/>
          <w:szCs w:val="24"/>
        </w:rPr>
        <w:t>, Jia XC, Corvalan JR, Wang P, Davis CG.</w:t>
      </w:r>
      <w:proofErr w:type="gramEnd"/>
      <w:r w:rsidR="00F47B06" w:rsidRPr="00082ABB">
        <w:rPr>
          <w:rFonts w:ascii="Book Antiqua" w:eastAsia="宋体" w:hAnsi="Book Antiqua" w:cs="宋体"/>
          <w:kern w:val="0"/>
          <w:sz w:val="24"/>
          <w:szCs w:val="24"/>
        </w:rPr>
        <w:t xml:space="preserve"> </w:t>
      </w:r>
      <w:proofErr w:type="gramStart"/>
      <w:r w:rsidR="00F47B06" w:rsidRPr="00082ABB">
        <w:rPr>
          <w:rFonts w:ascii="Book Antiqua" w:eastAsia="宋体" w:hAnsi="Book Antiqua" w:cs="宋体"/>
          <w:kern w:val="0"/>
          <w:sz w:val="24"/>
          <w:szCs w:val="24"/>
        </w:rPr>
        <w:t>Development of ABX-EGF, a fully human anti-EGF receptor monoclonal antibody, for cancer therapy.</w:t>
      </w:r>
      <w:proofErr w:type="gramEnd"/>
      <w:r w:rsidR="00F47B06" w:rsidRPr="00082ABB">
        <w:rPr>
          <w:rFonts w:ascii="Book Antiqua" w:eastAsia="宋体" w:hAnsi="Book Antiqua" w:cs="宋体"/>
          <w:kern w:val="0"/>
          <w:sz w:val="24"/>
          <w:szCs w:val="24"/>
        </w:rPr>
        <w:t> </w:t>
      </w:r>
      <w:r w:rsidR="00F47B06" w:rsidRPr="00082ABB">
        <w:rPr>
          <w:rFonts w:ascii="Book Antiqua" w:eastAsia="宋体" w:hAnsi="Book Antiqua" w:cs="宋体"/>
          <w:i/>
          <w:iCs/>
          <w:kern w:val="0"/>
          <w:sz w:val="24"/>
          <w:szCs w:val="24"/>
        </w:rPr>
        <w:t>Crit Rev Oncol Hematol</w:t>
      </w:r>
      <w:r w:rsidR="00F47B06" w:rsidRPr="00082ABB">
        <w:rPr>
          <w:rFonts w:ascii="Book Antiqua" w:eastAsia="宋体" w:hAnsi="Book Antiqua" w:cs="宋体"/>
          <w:kern w:val="0"/>
          <w:sz w:val="24"/>
          <w:szCs w:val="24"/>
        </w:rPr>
        <w:t> 2001; </w:t>
      </w:r>
      <w:r w:rsidR="00F47B06" w:rsidRPr="00082ABB">
        <w:rPr>
          <w:rFonts w:ascii="Book Antiqua" w:eastAsia="宋体" w:hAnsi="Book Antiqua" w:cs="宋体"/>
          <w:b/>
          <w:bCs/>
          <w:kern w:val="0"/>
          <w:sz w:val="24"/>
          <w:szCs w:val="24"/>
        </w:rPr>
        <w:t>38</w:t>
      </w:r>
      <w:r w:rsidR="00F47B06" w:rsidRPr="00082ABB">
        <w:rPr>
          <w:rFonts w:ascii="Book Antiqua" w:eastAsia="宋体" w:hAnsi="Book Antiqua" w:cs="宋体"/>
          <w:kern w:val="0"/>
          <w:sz w:val="24"/>
          <w:szCs w:val="24"/>
        </w:rPr>
        <w:t>: 17-23 [PMID: 11255078]</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lastRenderedPageBreak/>
        <w:t>7</w:t>
      </w:r>
      <w:r w:rsidRPr="00082ABB">
        <w:rPr>
          <w:rFonts w:ascii="Book Antiqua" w:eastAsiaTheme="minorEastAsia" w:hAnsi="Book Antiqua" w:cs="宋体"/>
          <w:kern w:val="0"/>
          <w:sz w:val="24"/>
          <w:szCs w:val="24"/>
        </w:rPr>
        <w:t>4</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Lacouture ME</w:t>
      </w:r>
      <w:r w:rsidR="00F47B06" w:rsidRPr="00082ABB">
        <w:rPr>
          <w:rFonts w:ascii="Book Antiqua" w:eastAsia="宋体" w:hAnsi="Book Antiqua" w:cs="宋体"/>
          <w:kern w:val="0"/>
          <w:sz w:val="24"/>
          <w:szCs w:val="24"/>
        </w:rPr>
        <w:t>, Mitchell EP, Piperdi B, Pillai MV, Shearer H, Iannotti N, Xu F, Yassine M. Skin toxicity evaluation protocol with panitumumab (STEPP), a phase II, open-label, randomized trial evaluating the impact of a pre-Emptive Skin treatment regimen on skin toxicities and quality of life in patients with metastatic colorectal cancer. </w:t>
      </w:r>
      <w:r w:rsidR="00F47B06" w:rsidRPr="00082ABB">
        <w:rPr>
          <w:rFonts w:ascii="Book Antiqua" w:eastAsia="宋体" w:hAnsi="Book Antiqua" w:cs="宋体"/>
          <w:i/>
          <w:iCs/>
          <w:kern w:val="0"/>
          <w:sz w:val="24"/>
          <w:szCs w:val="24"/>
        </w:rPr>
        <w:t>J Clin Oncol</w:t>
      </w:r>
      <w:r w:rsidR="00F47B06" w:rsidRPr="00082ABB">
        <w:rPr>
          <w:rFonts w:ascii="Book Antiqua" w:eastAsia="宋体" w:hAnsi="Book Antiqua" w:cs="宋体"/>
          <w:kern w:val="0"/>
          <w:sz w:val="24"/>
          <w:szCs w:val="24"/>
        </w:rPr>
        <w:t> 2010; </w:t>
      </w:r>
      <w:r w:rsidR="00F47B06" w:rsidRPr="00082ABB">
        <w:rPr>
          <w:rFonts w:ascii="Book Antiqua" w:eastAsia="宋体" w:hAnsi="Book Antiqua" w:cs="宋体"/>
          <w:b/>
          <w:bCs/>
          <w:kern w:val="0"/>
          <w:sz w:val="24"/>
          <w:szCs w:val="24"/>
        </w:rPr>
        <w:t>28</w:t>
      </w:r>
      <w:r w:rsidR="00F47B06" w:rsidRPr="00082ABB">
        <w:rPr>
          <w:rFonts w:ascii="Book Antiqua" w:eastAsia="宋体" w:hAnsi="Book Antiqua" w:cs="宋体"/>
          <w:kern w:val="0"/>
          <w:sz w:val="24"/>
          <w:szCs w:val="24"/>
        </w:rPr>
        <w:t>: 1351-1357 [PMID: 20142600 DOI: 10.1200/JCO.2008.21.7828]</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7</w:t>
      </w:r>
      <w:r w:rsidRPr="00082ABB">
        <w:rPr>
          <w:rFonts w:ascii="Book Antiqua" w:eastAsiaTheme="minorEastAsia" w:hAnsi="Book Antiqua" w:cs="宋体"/>
          <w:kern w:val="0"/>
          <w:sz w:val="24"/>
          <w:szCs w:val="24"/>
        </w:rPr>
        <w:t>5</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Kobayashi Y</w:t>
      </w:r>
      <w:r w:rsidR="00F47B06" w:rsidRPr="00082ABB">
        <w:rPr>
          <w:rFonts w:ascii="Book Antiqua" w:eastAsia="宋体" w:hAnsi="Book Antiqua" w:cs="宋体"/>
          <w:kern w:val="0"/>
          <w:sz w:val="24"/>
          <w:szCs w:val="24"/>
        </w:rPr>
        <w:t>, Komatsu Y, Yuki S, Fukushima H, Sasaki T, Iwanaga I, Uebayashi M, Okuda H, Kusumi T, Miyagishima T, Sogabe S, Tateyama M, Hatanaka K, Tsuji Y, Nakamura M, Konno J, Yamamoto F, Onodera M, Iwai K, Sakata Y, Abe R, Oba K, Sakamoto N. Randomized controlled trial on the skin toxicity of panitumumab in Japanese patients with metastatic colorectal cancer: HGCSG1001 study; J-STEPP. </w:t>
      </w:r>
      <w:r w:rsidR="00F47B06" w:rsidRPr="00082ABB">
        <w:rPr>
          <w:rFonts w:ascii="Book Antiqua" w:eastAsia="宋体" w:hAnsi="Book Antiqua" w:cs="宋体"/>
          <w:i/>
          <w:iCs/>
          <w:kern w:val="0"/>
          <w:sz w:val="24"/>
          <w:szCs w:val="24"/>
        </w:rPr>
        <w:t>Future Oncol</w:t>
      </w:r>
      <w:r w:rsidR="00F47B06" w:rsidRPr="00082ABB">
        <w:rPr>
          <w:rFonts w:ascii="Book Antiqua" w:eastAsia="宋体" w:hAnsi="Book Antiqua" w:cs="宋体"/>
          <w:kern w:val="0"/>
          <w:sz w:val="24"/>
          <w:szCs w:val="24"/>
        </w:rPr>
        <w:t> 2015; </w:t>
      </w:r>
      <w:r w:rsidR="00F47B06" w:rsidRPr="00082ABB">
        <w:rPr>
          <w:rFonts w:ascii="Book Antiqua" w:eastAsia="宋体" w:hAnsi="Book Antiqua" w:cs="宋体"/>
          <w:b/>
          <w:bCs/>
          <w:kern w:val="0"/>
          <w:sz w:val="24"/>
          <w:szCs w:val="24"/>
        </w:rPr>
        <w:t>11</w:t>
      </w:r>
      <w:r w:rsidR="00F47B06" w:rsidRPr="00082ABB">
        <w:rPr>
          <w:rFonts w:ascii="Book Antiqua" w:eastAsia="宋体" w:hAnsi="Book Antiqua" w:cs="宋体"/>
          <w:kern w:val="0"/>
          <w:sz w:val="24"/>
          <w:szCs w:val="24"/>
        </w:rPr>
        <w:t>: 617-627 [PMID: 25686117 DOI: 10.2217/fon.14.251]</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7</w:t>
      </w:r>
      <w:r w:rsidRPr="00082ABB">
        <w:rPr>
          <w:rFonts w:ascii="Book Antiqua" w:eastAsiaTheme="minorEastAsia" w:hAnsi="Book Antiqua" w:cs="宋体"/>
          <w:kern w:val="0"/>
          <w:sz w:val="24"/>
          <w:szCs w:val="24"/>
        </w:rPr>
        <w:t>6</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Douillard JY</w:t>
      </w:r>
      <w:r w:rsidR="00F47B06" w:rsidRPr="00082ABB">
        <w:rPr>
          <w:rFonts w:ascii="Book Antiqua" w:eastAsia="宋体" w:hAnsi="Book Antiqua" w:cs="宋体"/>
          <w:kern w:val="0"/>
          <w:sz w:val="24"/>
          <w:szCs w:val="24"/>
        </w:rPr>
        <w:t>, Siena S, Cassidy J, Tabernero J, Burkes R, Barugel M, Humblet Y, Bodoky G, Cunningham D, Jassem J, Rivera F, Kocákova I, Ruff P, Błasińska-Morawiec M, Šmakal M, Canon JL, Rother M, Oliner KS, Wolf M, Gansert J. Randomized, phase III trial of panitumumab with infusional fluorouracil, leucovorin, and oxaliplatin (FOLFOX4) versus FOLFOX4 alone as first-line treatment in patients with previously untreated metastatic colorectal cancer: the PRIME study. </w:t>
      </w:r>
      <w:r w:rsidR="00F47B06" w:rsidRPr="00082ABB">
        <w:rPr>
          <w:rFonts w:ascii="Book Antiqua" w:eastAsia="宋体" w:hAnsi="Book Antiqua" w:cs="宋体"/>
          <w:i/>
          <w:iCs/>
          <w:kern w:val="0"/>
          <w:sz w:val="24"/>
          <w:szCs w:val="24"/>
        </w:rPr>
        <w:t>J Clin Oncol</w:t>
      </w:r>
      <w:r w:rsidR="00F47B06" w:rsidRPr="00082ABB">
        <w:rPr>
          <w:rFonts w:ascii="Book Antiqua" w:eastAsia="宋体" w:hAnsi="Book Antiqua" w:cs="宋体"/>
          <w:kern w:val="0"/>
          <w:sz w:val="24"/>
          <w:szCs w:val="24"/>
        </w:rPr>
        <w:t> 2010; </w:t>
      </w:r>
      <w:r w:rsidR="00F47B06" w:rsidRPr="00082ABB">
        <w:rPr>
          <w:rFonts w:ascii="Book Antiqua" w:eastAsia="宋体" w:hAnsi="Book Antiqua" w:cs="宋体"/>
          <w:b/>
          <w:bCs/>
          <w:kern w:val="0"/>
          <w:sz w:val="24"/>
          <w:szCs w:val="24"/>
        </w:rPr>
        <w:t>28</w:t>
      </w:r>
      <w:r w:rsidR="00F47B06" w:rsidRPr="00082ABB">
        <w:rPr>
          <w:rFonts w:ascii="Book Antiqua" w:eastAsia="宋体" w:hAnsi="Book Antiqua" w:cs="宋体"/>
          <w:kern w:val="0"/>
          <w:sz w:val="24"/>
          <w:szCs w:val="24"/>
        </w:rPr>
        <w:t>: 4697-4705 [PMID: 20921465 DOI: 10.1200/JCO.2009.27.4860]</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7</w:t>
      </w:r>
      <w:r w:rsidRPr="00082ABB">
        <w:rPr>
          <w:rFonts w:ascii="Book Antiqua" w:eastAsiaTheme="minorEastAsia" w:hAnsi="Book Antiqua" w:cs="宋体"/>
          <w:kern w:val="0"/>
          <w:sz w:val="24"/>
          <w:szCs w:val="24"/>
        </w:rPr>
        <w:t>7</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Peeters M</w:t>
      </w:r>
      <w:r w:rsidR="00F47B06" w:rsidRPr="00082ABB">
        <w:rPr>
          <w:rFonts w:ascii="Book Antiqua" w:eastAsia="宋体" w:hAnsi="Book Antiqua" w:cs="宋体"/>
          <w:kern w:val="0"/>
          <w:sz w:val="24"/>
          <w:szCs w:val="24"/>
        </w:rPr>
        <w:t xml:space="preserve">, Price TJ, Cervantes A, Sobrero AF, Ducreux M, Hotko Y, André T, Chan E, Lordick F, Punt CJ, Strickland AH, Wilson G, Ciuleanu TE, Roman L, Van Cutsem E, Tzekova V, Collins S, Oliner KS, Rong A, Gansert J. Randomized </w:t>
      </w:r>
      <w:r w:rsidR="00F47B06" w:rsidRPr="00082ABB">
        <w:rPr>
          <w:rFonts w:ascii="Book Antiqua" w:eastAsia="宋体" w:hAnsi="Book Antiqua" w:cs="宋体"/>
          <w:kern w:val="0"/>
          <w:sz w:val="24"/>
          <w:szCs w:val="24"/>
        </w:rPr>
        <w:lastRenderedPageBreak/>
        <w:t>phase III study of panitumumab with fluorouracil, leucovorin, and irinotecan (FOLFIRI) compared with FOLFIRI alone as second-line treatment in patients with metastatic colorectal cancer. </w:t>
      </w:r>
      <w:r w:rsidR="00F47B06" w:rsidRPr="00082ABB">
        <w:rPr>
          <w:rFonts w:ascii="Book Antiqua" w:eastAsia="宋体" w:hAnsi="Book Antiqua" w:cs="宋体"/>
          <w:i/>
          <w:iCs/>
          <w:kern w:val="0"/>
          <w:sz w:val="24"/>
          <w:szCs w:val="24"/>
        </w:rPr>
        <w:t>J Clin Oncol</w:t>
      </w:r>
      <w:r w:rsidR="00F47B06" w:rsidRPr="00082ABB">
        <w:rPr>
          <w:rFonts w:ascii="Book Antiqua" w:eastAsia="宋体" w:hAnsi="Book Antiqua" w:cs="宋体"/>
          <w:kern w:val="0"/>
          <w:sz w:val="24"/>
          <w:szCs w:val="24"/>
        </w:rPr>
        <w:t> 2010; </w:t>
      </w:r>
      <w:r w:rsidR="00F47B06" w:rsidRPr="00082ABB">
        <w:rPr>
          <w:rFonts w:ascii="Book Antiqua" w:eastAsia="宋体" w:hAnsi="Book Antiqua" w:cs="宋体"/>
          <w:b/>
          <w:bCs/>
          <w:kern w:val="0"/>
          <w:sz w:val="24"/>
          <w:szCs w:val="24"/>
        </w:rPr>
        <w:t>28</w:t>
      </w:r>
      <w:r w:rsidR="00F47B06" w:rsidRPr="00082ABB">
        <w:rPr>
          <w:rFonts w:ascii="Book Antiqua" w:eastAsia="宋体" w:hAnsi="Book Antiqua" w:cs="宋体"/>
          <w:kern w:val="0"/>
          <w:sz w:val="24"/>
          <w:szCs w:val="24"/>
        </w:rPr>
        <w:t>: 4706-4713 [PMID: 20921462 DOI: 10.1200/JCO.2009.27.6055]</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7</w:t>
      </w:r>
      <w:r w:rsidRPr="00082ABB">
        <w:rPr>
          <w:rFonts w:ascii="Book Antiqua" w:eastAsiaTheme="minorEastAsia" w:hAnsi="Book Antiqua" w:cs="宋体"/>
          <w:kern w:val="0"/>
          <w:sz w:val="24"/>
          <w:szCs w:val="24"/>
        </w:rPr>
        <w:t>8</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Peeters M</w:t>
      </w:r>
      <w:r w:rsidR="00F47B06" w:rsidRPr="00082ABB">
        <w:rPr>
          <w:rFonts w:ascii="Book Antiqua" w:eastAsia="宋体" w:hAnsi="Book Antiqua" w:cs="宋体"/>
          <w:kern w:val="0"/>
          <w:sz w:val="24"/>
          <w:szCs w:val="24"/>
        </w:rPr>
        <w:t>, Price TJ, Cervantes A, Sobrero AF, Ducreux M, Hotko Y, André T, Chan E, Lordick F, Punt CJ, Strickland AH, Wilson G, Ciuleanu TE, Roman L, Van Cutsem E, Tian Y, Sidhu R. Final results from a randomized phase 3 study of FOLFIRI {+/-} panitumumab for second-line treatment of metastatic colorectal cancer. </w:t>
      </w:r>
      <w:r w:rsidR="00F47B06" w:rsidRPr="00082ABB">
        <w:rPr>
          <w:rFonts w:ascii="Book Antiqua" w:eastAsia="宋体" w:hAnsi="Book Antiqua" w:cs="宋体"/>
          <w:i/>
          <w:iCs/>
          <w:kern w:val="0"/>
          <w:sz w:val="24"/>
          <w:szCs w:val="24"/>
        </w:rPr>
        <w:t>Ann Oncol</w:t>
      </w:r>
      <w:r w:rsidR="00F47B06" w:rsidRPr="00082ABB">
        <w:rPr>
          <w:rFonts w:ascii="Book Antiqua" w:eastAsia="宋体" w:hAnsi="Book Antiqua" w:cs="宋体"/>
          <w:kern w:val="0"/>
          <w:sz w:val="24"/>
          <w:szCs w:val="24"/>
        </w:rPr>
        <w:t> 2014; </w:t>
      </w:r>
      <w:r w:rsidR="00F47B06" w:rsidRPr="00082ABB">
        <w:rPr>
          <w:rFonts w:ascii="Book Antiqua" w:eastAsia="宋体" w:hAnsi="Book Antiqua" w:cs="宋体"/>
          <w:b/>
          <w:bCs/>
          <w:kern w:val="0"/>
          <w:sz w:val="24"/>
          <w:szCs w:val="24"/>
        </w:rPr>
        <w:t>25</w:t>
      </w:r>
      <w:r w:rsidR="00F47B06" w:rsidRPr="00082ABB">
        <w:rPr>
          <w:rFonts w:ascii="Book Antiqua" w:eastAsia="宋体" w:hAnsi="Book Antiqua" w:cs="宋体"/>
          <w:kern w:val="0"/>
          <w:sz w:val="24"/>
          <w:szCs w:val="24"/>
        </w:rPr>
        <w:t>: 107-116 [PMID: 24356622 DOI: 10.1093/annonc/mdt523]</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Theme="minorEastAsia" w:hAnsi="Book Antiqua" w:cs="宋体"/>
          <w:kern w:val="0"/>
          <w:sz w:val="24"/>
          <w:szCs w:val="24"/>
        </w:rPr>
        <w:t>79</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Seymour MT</w:t>
      </w:r>
      <w:r w:rsidR="00F47B06" w:rsidRPr="00082ABB">
        <w:rPr>
          <w:rFonts w:ascii="Book Antiqua" w:eastAsia="宋体" w:hAnsi="Book Antiqua" w:cs="宋体"/>
          <w:kern w:val="0"/>
          <w:sz w:val="24"/>
          <w:szCs w:val="24"/>
        </w:rPr>
        <w:t>, Brown SR, Middleton G, Maughan T, Richman S, Gwyther S, Lowe C, Seligmann JF, Wadsley J, Maisey N, Chau I, Hill M, Dawson L, Falk S, O'Callaghan A, Benstead K, Chambers P, Oliver A, Marshall H, Napp V, Quirke P. Panitumumab and irinotecan versus irinotecan alone for patients with KRAS wild-type, fluorouracil-resistant advanced colorectal cancer (PICCOLO): a prospectively stratified randomised trial. </w:t>
      </w:r>
      <w:r w:rsidR="00F47B06" w:rsidRPr="00082ABB">
        <w:rPr>
          <w:rFonts w:ascii="Book Antiqua" w:eastAsia="宋体" w:hAnsi="Book Antiqua" w:cs="宋体"/>
          <w:i/>
          <w:iCs/>
          <w:kern w:val="0"/>
          <w:sz w:val="24"/>
          <w:szCs w:val="24"/>
        </w:rPr>
        <w:t>Lancet Oncol</w:t>
      </w:r>
      <w:r w:rsidR="00F47B06" w:rsidRPr="00082ABB">
        <w:rPr>
          <w:rFonts w:ascii="Book Antiqua" w:eastAsia="宋体" w:hAnsi="Book Antiqua" w:cs="宋体"/>
          <w:kern w:val="0"/>
          <w:sz w:val="24"/>
          <w:szCs w:val="24"/>
        </w:rPr>
        <w:t> 2013; </w:t>
      </w:r>
      <w:r w:rsidR="00F47B06" w:rsidRPr="00082ABB">
        <w:rPr>
          <w:rFonts w:ascii="Book Antiqua" w:eastAsia="宋体" w:hAnsi="Book Antiqua" w:cs="宋体"/>
          <w:b/>
          <w:bCs/>
          <w:kern w:val="0"/>
          <w:sz w:val="24"/>
          <w:szCs w:val="24"/>
        </w:rPr>
        <w:t>14</w:t>
      </w:r>
      <w:r w:rsidR="00F47B06" w:rsidRPr="00082ABB">
        <w:rPr>
          <w:rFonts w:ascii="Book Antiqua" w:eastAsia="宋体" w:hAnsi="Book Antiqua" w:cs="宋体"/>
          <w:kern w:val="0"/>
          <w:sz w:val="24"/>
          <w:szCs w:val="24"/>
        </w:rPr>
        <w:t>: 749-759 [PMID: 23725851 DOI: 10.1016/S1470-2045(13)70163-3]</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8</w:t>
      </w:r>
      <w:r w:rsidRPr="00082ABB">
        <w:rPr>
          <w:rFonts w:ascii="Book Antiqua" w:eastAsiaTheme="minorEastAsia" w:hAnsi="Book Antiqua" w:cs="宋体"/>
          <w:kern w:val="0"/>
          <w:sz w:val="24"/>
          <w:szCs w:val="24"/>
        </w:rPr>
        <w:t>0</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Van Cutsem E</w:t>
      </w:r>
      <w:r w:rsidR="00F47B06" w:rsidRPr="00082ABB">
        <w:rPr>
          <w:rFonts w:ascii="Book Antiqua" w:eastAsia="宋体" w:hAnsi="Book Antiqua" w:cs="宋体"/>
          <w:kern w:val="0"/>
          <w:sz w:val="24"/>
          <w:szCs w:val="24"/>
        </w:rPr>
        <w:t>, Peeters M, Siena S, Humblet Y, Hendlisz A, Neyns B, Canon JL, Van Laethem JL, Maurel J, Richardson G, Wolf M, Amado RG. Open-label phase III trial of panitumumab plus best supportive care compared with best supportive care alone in patients with chemotherapy-refractory metastatic colorectal cancer. </w:t>
      </w:r>
      <w:r w:rsidR="00F47B06" w:rsidRPr="00082ABB">
        <w:rPr>
          <w:rFonts w:ascii="Book Antiqua" w:eastAsia="宋体" w:hAnsi="Book Antiqua" w:cs="宋体"/>
          <w:i/>
          <w:iCs/>
          <w:kern w:val="0"/>
          <w:sz w:val="24"/>
          <w:szCs w:val="24"/>
        </w:rPr>
        <w:t>J Clin Oncol</w:t>
      </w:r>
      <w:r w:rsidR="00F47B06" w:rsidRPr="00082ABB">
        <w:rPr>
          <w:rFonts w:ascii="Book Antiqua" w:eastAsia="宋体" w:hAnsi="Book Antiqua" w:cs="宋体"/>
          <w:kern w:val="0"/>
          <w:sz w:val="24"/>
          <w:szCs w:val="24"/>
        </w:rPr>
        <w:t> 2007; </w:t>
      </w:r>
      <w:r w:rsidR="00F47B06" w:rsidRPr="00082ABB">
        <w:rPr>
          <w:rFonts w:ascii="Book Antiqua" w:eastAsia="宋体" w:hAnsi="Book Antiqua" w:cs="宋体"/>
          <w:b/>
          <w:bCs/>
          <w:kern w:val="0"/>
          <w:sz w:val="24"/>
          <w:szCs w:val="24"/>
        </w:rPr>
        <w:t>25</w:t>
      </w:r>
      <w:r w:rsidR="00F47B06" w:rsidRPr="00082ABB">
        <w:rPr>
          <w:rFonts w:ascii="Book Antiqua" w:eastAsia="宋体" w:hAnsi="Book Antiqua" w:cs="宋体"/>
          <w:kern w:val="0"/>
          <w:sz w:val="24"/>
          <w:szCs w:val="24"/>
        </w:rPr>
        <w:t>: 1658-1664 [PMID: 17470858]</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lastRenderedPageBreak/>
        <w:t>8</w:t>
      </w:r>
      <w:r w:rsidRPr="00082ABB">
        <w:rPr>
          <w:rFonts w:ascii="Book Antiqua" w:eastAsiaTheme="minorEastAsia" w:hAnsi="Book Antiqua" w:cs="宋体"/>
          <w:kern w:val="0"/>
          <w:sz w:val="24"/>
          <w:szCs w:val="24"/>
        </w:rPr>
        <w:t>1</w:t>
      </w:r>
      <w:r w:rsidR="00F47B06" w:rsidRPr="00082ABB">
        <w:rPr>
          <w:rFonts w:ascii="Book Antiqua" w:eastAsia="宋体" w:hAnsi="Book Antiqua" w:cs="宋体"/>
          <w:kern w:val="0"/>
          <w:sz w:val="24"/>
          <w:szCs w:val="24"/>
        </w:rPr>
        <w:t xml:space="preserve"> </w:t>
      </w:r>
      <w:r w:rsidR="00F47B06" w:rsidRPr="00082ABB">
        <w:rPr>
          <w:rFonts w:ascii="Book Antiqua" w:eastAsia="宋体" w:hAnsi="Book Antiqua" w:cs="宋体"/>
          <w:b/>
          <w:kern w:val="0"/>
          <w:sz w:val="24"/>
          <w:szCs w:val="24"/>
        </w:rPr>
        <w:t>Metges J</w:t>
      </w:r>
      <w:r w:rsidR="00F47B06" w:rsidRPr="00082ABB">
        <w:rPr>
          <w:rFonts w:ascii="Book Antiqua" w:eastAsia="宋体" w:hAnsi="Book Antiqua" w:cs="宋体"/>
          <w:kern w:val="0"/>
          <w:sz w:val="24"/>
          <w:szCs w:val="24"/>
        </w:rPr>
        <w:t xml:space="preserve">, Raoul J, Achour N, Capitain O, Gourlaouen A, Ramée J, Egreteau J, Douillard J, Traoré S, Grudé F.  PANERB study: Panitumumab after cetuximab-based regimen failure. </w:t>
      </w:r>
      <w:r w:rsidR="00F47B06" w:rsidRPr="00082ABB">
        <w:rPr>
          <w:rFonts w:ascii="Book Antiqua" w:eastAsia="宋体" w:hAnsi="Book Antiqua" w:cs="宋体"/>
          <w:i/>
          <w:kern w:val="0"/>
          <w:sz w:val="24"/>
          <w:szCs w:val="24"/>
        </w:rPr>
        <w:t>J Clin Oncol</w:t>
      </w:r>
      <w:r w:rsidR="00F47B06" w:rsidRPr="00082ABB">
        <w:rPr>
          <w:rFonts w:ascii="Book Antiqua" w:eastAsia="宋体" w:hAnsi="Book Antiqua" w:cs="宋体"/>
          <w:kern w:val="0"/>
          <w:sz w:val="24"/>
          <w:szCs w:val="24"/>
        </w:rPr>
        <w:t xml:space="preserve"> 2011; </w:t>
      </w:r>
      <w:r w:rsidR="00F47B06" w:rsidRPr="00082ABB">
        <w:rPr>
          <w:rFonts w:ascii="Book Antiqua" w:eastAsia="宋体" w:hAnsi="Book Antiqua" w:cs="宋体"/>
          <w:b/>
          <w:kern w:val="0"/>
          <w:sz w:val="24"/>
          <w:szCs w:val="24"/>
        </w:rPr>
        <w:t>28</w:t>
      </w:r>
      <w:r w:rsidR="00F47B06" w:rsidRPr="00082ABB">
        <w:rPr>
          <w:rFonts w:ascii="Book Antiqua" w:eastAsia="宋体" w:hAnsi="Book Antiqua" w:cs="宋体"/>
          <w:kern w:val="0"/>
          <w:sz w:val="24"/>
          <w:szCs w:val="24"/>
        </w:rPr>
        <w:t>: 14000</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8</w:t>
      </w:r>
      <w:r w:rsidRPr="00082ABB">
        <w:rPr>
          <w:rFonts w:ascii="Book Antiqua" w:eastAsiaTheme="minorEastAsia" w:hAnsi="Book Antiqua" w:cs="宋体"/>
          <w:kern w:val="0"/>
          <w:sz w:val="24"/>
          <w:szCs w:val="24"/>
        </w:rPr>
        <w:t>2</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Wadlow RC</w:t>
      </w:r>
      <w:r w:rsidR="00F47B06" w:rsidRPr="00082ABB">
        <w:rPr>
          <w:rFonts w:ascii="Book Antiqua" w:eastAsia="宋体" w:hAnsi="Book Antiqua" w:cs="宋体"/>
          <w:kern w:val="0"/>
          <w:sz w:val="24"/>
          <w:szCs w:val="24"/>
        </w:rPr>
        <w:t xml:space="preserve">, Hezel AF, Abrams TA, Blaszkowsky LS, Fuchs CS, Kulke MH, Kwak EL, Meyerhardt JA, Ryan DP, Szymonifka J, Wolpin BM, Zhu AX, Clark JW. </w:t>
      </w:r>
      <w:proofErr w:type="gramStart"/>
      <w:r w:rsidR="00F47B06" w:rsidRPr="00082ABB">
        <w:rPr>
          <w:rFonts w:ascii="Book Antiqua" w:eastAsia="宋体" w:hAnsi="Book Antiqua" w:cs="宋体"/>
          <w:kern w:val="0"/>
          <w:sz w:val="24"/>
          <w:szCs w:val="24"/>
        </w:rPr>
        <w:t>Panitumumab in patients with KRAS wild-type colorectal cancer after progression on cetuximab.</w:t>
      </w:r>
      <w:proofErr w:type="gramEnd"/>
      <w:r w:rsidR="00F47B06" w:rsidRPr="00082ABB">
        <w:rPr>
          <w:rFonts w:ascii="Book Antiqua" w:eastAsia="宋体" w:hAnsi="Book Antiqua" w:cs="宋体"/>
          <w:kern w:val="0"/>
          <w:sz w:val="24"/>
          <w:szCs w:val="24"/>
        </w:rPr>
        <w:t> </w:t>
      </w:r>
      <w:r w:rsidR="00F47B06" w:rsidRPr="00082ABB">
        <w:rPr>
          <w:rFonts w:ascii="Book Antiqua" w:eastAsia="宋体" w:hAnsi="Book Antiqua" w:cs="宋体"/>
          <w:i/>
          <w:iCs/>
          <w:kern w:val="0"/>
          <w:sz w:val="24"/>
          <w:szCs w:val="24"/>
        </w:rPr>
        <w:t>Oncologist</w:t>
      </w:r>
      <w:r w:rsidR="00F47B06" w:rsidRPr="00082ABB">
        <w:rPr>
          <w:rFonts w:ascii="Book Antiqua" w:eastAsia="宋体" w:hAnsi="Book Antiqua" w:cs="宋体"/>
          <w:kern w:val="0"/>
          <w:sz w:val="24"/>
          <w:szCs w:val="24"/>
        </w:rPr>
        <w:t> 2012; </w:t>
      </w:r>
      <w:r w:rsidR="00F47B06" w:rsidRPr="00082ABB">
        <w:rPr>
          <w:rFonts w:ascii="Book Antiqua" w:eastAsia="宋体" w:hAnsi="Book Antiqua" w:cs="宋体"/>
          <w:b/>
          <w:bCs/>
          <w:kern w:val="0"/>
          <w:sz w:val="24"/>
          <w:szCs w:val="24"/>
        </w:rPr>
        <w:t>17</w:t>
      </w:r>
      <w:r w:rsidR="00F47B06" w:rsidRPr="00082ABB">
        <w:rPr>
          <w:rFonts w:ascii="Book Antiqua" w:eastAsia="宋体" w:hAnsi="Book Antiqua" w:cs="宋体"/>
          <w:kern w:val="0"/>
          <w:sz w:val="24"/>
          <w:szCs w:val="24"/>
        </w:rPr>
        <w:t>: 14 [PMID: 22210091 DOI: 10.1634/theoncologist.2011-0452]</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8</w:t>
      </w:r>
      <w:r w:rsidRPr="00082ABB">
        <w:rPr>
          <w:rFonts w:ascii="Book Antiqua" w:eastAsiaTheme="minorEastAsia" w:hAnsi="Book Antiqua" w:cs="宋体"/>
          <w:kern w:val="0"/>
          <w:sz w:val="24"/>
          <w:szCs w:val="24"/>
        </w:rPr>
        <w:t>3</w:t>
      </w:r>
      <w:r w:rsidR="00F47B06" w:rsidRPr="00082ABB">
        <w:rPr>
          <w:rFonts w:ascii="Book Antiqua" w:eastAsia="宋体" w:hAnsi="Book Antiqua" w:cs="宋体"/>
          <w:kern w:val="0"/>
          <w:sz w:val="24"/>
          <w:szCs w:val="24"/>
        </w:rPr>
        <w:t xml:space="preserve"> </w:t>
      </w:r>
      <w:r w:rsidR="00F47B06" w:rsidRPr="00082ABB">
        <w:rPr>
          <w:rFonts w:ascii="Book Antiqua" w:eastAsia="宋体" w:hAnsi="Book Antiqua" w:cs="宋体"/>
          <w:b/>
          <w:kern w:val="0"/>
          <w:sz w:val="24"/>
          <w:szCs w:val="24"/>
        </w:rPr>
        <w:t>Ohhara Y</w:t>
      </w:r>
      <w:r w:rsidR="00F47B06" w:rsidRPr="00082ABB">
        <w:rPr>
          <w:rFonts w:ascii="Book Antiqua" w:eastAsia="宋体" w:hAnsi="Book Antiqua" w:cs="宋体"/>
          <w:kern w:val="0"/>
          <w:sz w:val="24"/>
          <w:szCs w:val="24"/>
        </w:rPr>
        <w:t xml:space="preserve">, Matsusaka S, Watanabe T, Shinozaki E, Suenaga M, Mizunuma N, Hatake K. Circulating Tumor Cells as Prognostic Marker in Japanese patients with Kras Wild-type Metastatic Colorectal Cancer Receiving Panitumumab after Progression on Cetuximab. </w:t>
      </w:r>
      <w:r w:rsidR="00F47B06" w:rsidRPr="00082ABB">
        <w:rPr>
          <w:rFonts w:ascii="Book Antiqua" w:eastAsia="宋体" w:hAnsi="Book Antiqua" w:cs="宋体"/>
          <w:i/>
          <w:kern w:val="0"/>
          <w:sz w:val="24"/>
          <w:szCs w:val="24"/>
        </w:rPr>
        <w:t>J Cytol Histol</w:t>
      </w:r>
      <w:r w:rsidR="00F47B06" w:rsidRPr="00082ABB">
        <w:rPr>
          <w:rFonts w:ascii="Book Antiqua" w:eastAsia="宋体" w:hAnsi="Book Antiqua" w:cs="宋体"/>
          <w:kern w:val="0"/>
          <w:sz w:val="24"/>
          <w:szCs w:val="24"/>
        </w:rPr>
        <w:t xml:space="preserve"> 2014, </w:t>
      </w:r>
      <w:r w:rsidR="00F47B06" w:rsidRPr="00082ABB">
        <w:rPr>
          <w:rFonts w:ascii="Book Antiqua" w:eastAsia="宋体" w:hAnsi="Book Antiqua" w:cs="宋体"/>
          <w:b/>
          <w:kern w:val="0"/>
          <w:sz w:val="24"/>
          <w:szCs w:val="24"/>
        </w:rPr>
        <w:t>5</w:t>
      </w:r>
      <w:r w:rsidR="00F47B06" w:rsidRPr="00082ABB">
        <w:rPr>
          <w:rFonts w:ascii="Book Antiqua" w:eastAsia="宋体" w:hAnsi="Book Antiqua" w:cs="宋体"/>
          <w:kern w:val="0"/>
          <w:sz w:val="24"/>
          <w:szCs w:val="24"/>
        </w:rPr>
        <w:t>: 204 [</w:t>
      </w:r>
      <w:r w:rsidR="00F47B06" w:rsidRPr="00082ABB">
        <w:rPr>
          <w:rFonts w:ascii="Book Antiqua" w:eastAsia="宋体" w:hAnsi="Book Antiqua" w:cs="宋体"/>
          <w:caps/>
          <w:kern w:val="0"/>
          <w:sz w:val="24"/>
          <w:szCs w:val="24"/>
        </w:rPr>
        <w:t xml:space="preserve">doi: </w:t>
      </w:r>
      <w:r w:rsidR="00F47B06" w:rsidRPr="00082ABB">
        <w:rPr>
          <w:rFonts w:ascii="Book Antiqua" w:eastAsia="宋体" w:hAnsi="Book Antiqua" w:cs="宋体"/>
          <w:kern w:val="0"/>
          <w:sz w:val="24"/>
          <w:szCs w:val="24"/>
        </w:rPr>
        <w:t>10.4172/2157-7099.1000204]</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8</w:t>
      </w:r>
      <w:r w:rsidRPr="00082ABB">
        <w:rPr>
          <w:rFonts w:ascii="Book Antiqua" w:eastAsiaTheme="minorEastAsia" w:hAnsi="Book Antiqua" w:cs="宋体"/>
          <w:kern w:val="0"/>
          <w:sz w:val="24"/>
          <w:szCs w:val="24"/>
        </w:rPr>
        <w:t>4</w:t>
      </w:r>
      <w:r w:rsidR="00F47B06" w:rsidRPr="00082ABB">
        <w:rPr>
          <w:rFonts w:ascii="Book Antiqua" w:eastAsia="宋体" w:hAnsi="Book Antiqua" w:cs="宋体"/>
          <w:kern w:val="0"/>
          <w:sz w:val="24"/>
          <w:szCs w:val="24"/>
        </w:rPr>
        <w:t xml:space="preserve"> </w:t>
      </w:r>
      <w:r w:rsidR="00F47B06" w:rsidRPr="00082ABB">
        <w:rPr>
          <w:rFonts w:ascii="Book Antiqua" w:eastAsia="宋体" w:hAnsi="Book Antiqua" w:cs="宋体"/>
          <w:b/>
          <w:kern w:val="0"/>
          <w:sz w:val="24"/>
          <w:szCs w:val="24"/>
        </w:rPr>
        <w:t>Venook AP</w:t>
      </w:r>
      <w:r w:rsidR="00F47B06" w:rsidRPr="00082ABB">
        <w:rPr>
          <w:rFonts w:ascii="Book Antiqua" w:eastAsia="宋体" w:hAnsi="Book Antiqua" w:cs="宋体"/>
          <w:kern w:val="0"/>
          <w:sz w:val="24"/>
          <w:szCs w:val="24"/>
        </w:rPr>
        <w:t xml:space="preserve">, Niedzwiecki D, Lenz HJ, Innocenti F, Mahoney MR, O'Neil BH, Shaw JE, Polite BN, Hochster HS, Atkins JN, Goldberg RM, Mayer RJ, Schilsky RL, Bertagnolli MM, Blanke CD, Cancer and Leukemia Group B (Alliance), SWOG, and ECOG. CALGB/SWOG 80405: Phase III trial of irinotecan/5-FU/leucovorin (FOLFIRI) or oxaliplatin/5-FU/leucovorin (mFOLFOX6) with bevacizumab (BV) or cetuximab (CET) for patients (pts) with KRAS wild-type (wt) untreated metastatic adenocarcinoma of the colon or rectum (MCRC). </w:t>
      </w:r>
      <w:r w:rsidR="00F47B06" w:rsidRPr="00082ABB">
        <w:rPr>
          <w:rFonts w:ascii="Book Antiqua" w:eastAsia="宋体" w:hAnsi="Book Antiqua" w:cs="宋体"/>
          <w:i/>
          <w:kern w:val="0"/>
          <w:sz w:val="24"/>
          <w:szCs w:val="24"/>
        </w:rPr>
        <w:t>J Clin Oncol</w:t>
      </w:r>
      <w:r w:rsidR="00F47B06" w:rsidRPr="00082ABB">
        <w:rPr>
          <w:rFonts w:ascii="Book Antiqua" w:eastAsia="宋体" w:hAnsi="Book Antiqua" w:cs="宋体"/>
          <w:kern w:val="0"/>
          <w:sz w:val="24"/>
          <w:szCs w:val="24"/>
        </w:rPr>
        <w:t xml:space="preserve"> 2014; </w:t>
      </w:r>
      <w:r w:rsidR="00F47B06" w:rsidRPr="00082ABB">
        <w:rPr>
          <w:rFonts w:ascii="Book Antiqua" w:eastAsia="宋体" w:hAnsi="Book Antiqua" w:cs="宋体"/>
          <w:b/>
          <w:kern w:val="0"/>
          <w:sz w:val="24"/>
          <w:szCs w:val="24"/>
        </w:rPr>
        <w:t>32</w:t>
      </w:r>
      <w:r w:rsidR="00F47B06" w:rsidRPr="00082ABB">
        <w:rPr>
          <w:rFonts w:ascii="Book Antiqua" w:eastAsia="宋体" w:hAnsi="Book Antiqua" w:cs="宋体"/>
          <w:kern w:val="0"/>
          <w:sz w:val="24"/>
          <w:szCs w:val="24"/>
        </w:rPr>
        <w:t>: LBA3</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8</w:t>
      </w:r>
      <w:r w:rsidRPr="00082ABB">
        <w:rPr>
          <w:rFonts w:ascii="Book Antiqua" w:eastAsiaTheme="minorEastAsia" w:hAnsi="Book Antiqua" w:cs="宋体"/>
          <w:kern w:val="0"/>
          <w:sz w:val="24"/>
          <w:szCs w:val="24"/>
        </w:rPr>
        <w:t>5</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Hecht JR</w:t>
      </w:r>
      <w:r w:rsidR="00F47B06" w:rsidRPr="00082ABB">
        <w:rPr>
          <w:rFonts w:ascii="Book Antiqua" w:eastAsia="宋体" w:hAnsi="Book Antiqua" w:cs="宋体"/>
          <w:kern w:val="0"/>
          <w:sz w:val="24"/>
          <w:szCs w:val="24"/>
        </w:rPr>
        <w:t xml:space="preserve">, Cohn A, Dakhil S, Saleh M, Piperdi B, Cline-Burkhardt M, Tian Y, Go WY. SPIRITT: A Randomized, Multicenter, Phase II Study of Panitumumab with FOLFIRI and Bevacizumab with FOLFIRI as Second-Line Treatment in </w:t>
      </w:r>
      <w:r w:rsidR="00F47B06" w:rsidRPr="00082ABB">
        <w:rPr>
          <w:rFonts w:ascii="Book Antiqua" w:eastAsia="宋体" w:hAnsi="Book Antiqua" w:cs="宋体"/>
          <w:kern w:val="0"/>
          <w:sz w:val="24"/>
          <w:szCs w:val="24"/>
        </w:rPr>
        <w:lastRenderedPageBreak/>
        <w:t>Patients with Unresectable Wild Type KRAS Metastatic Colorectal Cancer. </w:t>
      </w:r>
      <w:r w:rsidR="00F47B06" w:rsidRPr="00082ABB">
        <w:rPr>
          <w:rFonts w:ascii="Book Antiqua" w:eastAsia="宋体" w:hAnsi="Book Antiqua" w:cs="宋体"/>
          <w:i/>
          <w:iCs/>
          <w:kern w:val="0"/>
          <w:sz w:val="24"/>
          <w:szCs w:val="24"/>
        </w:rPr>
        <w:t>Clin Colorectal Cancer</w:t>
      </w:r>
      <w:r w:rsidR="00F47B06" w:rsidRPr="00082ABB">
        <w:rPr>
          <w:rFonts w:ascii="Book Antiqua" w:eastAsia="宋体" w:hAnsi="Book Antiqua" w:cs="宋体"/>
          <w:kern w:val="0"/>
          <w:sz w:val="24"/>
          <w:szCs w:val="24"/>
        </w:rPr>
        <w:t> 2015; </w:t>
      </w:r>
      <w:r w:rsidR="00F47B06" w:rsidRPr="00082ABB">
        <w:rPr>
          <w:rFonts w:ascii="Book Antiqua" w:eastAsia="宋体" w:hAnsi="Book Antiqua" w:cs="宋体"/>
          <w:b/>
          <w:bCs/>
          <w:kern w:val="0"/>
          <w:sz w:val="24"/>
          <w:szCs w:val="24"/>
        </w:rPr>
        <w:t>14</w:t>
      </w:r>
      <w:r w:rsidR="00F47B06" w:rsidRPr="00082ABB">
        <w:rPr>
          <w:rFonts w:ascii="Book Antiqua" w:eastAsia="宋体" w:hAnsi="Book Antiqua" w:cs="宋体"/>
          <w:kern w:val="0"/>
          <w:sz w:val="24"/>
          <w:szCs w:val="24"/>
        </w:rPr>
        <w:t>: 72-80 [PMID: 25982297 DOI: 10.1016/j.clcc.2014.12.009]</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8</w:t>
      </w:r>
      <w:r w:rsidRPr="00082ABB">
        <w:rPr>
          <w:rFonts w:ascii="Book Antiqua" w:eastAsiaTheme="minorEastAsia" w:hAnsi="Book Antiqua" w:cs="宋体"/>
          <w:kern w:val="0"/>
          <w:sz w:val="24"/>
          <w:szCs w:val="24"/>
        </w:rPr>
        <w:t>6</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Van Cutsem E</w:t>
      </w:r>
      <w:r w:rsidR="00F47B06" w:rsidRPr="00082ABB">
        <w:rPr>
          <w:rFonts w:ascii="Book Antiqua" w:eastAsia="宋体" w:hAnsi="Book Antiqua" w:cs="宋体"/>
          <w:kern w:val="0"/>
          <w:sz w:val="24"/>
          <w:szCs w:val="24"/>
        </w:rPr>
        <w:t>, Lenz HJ, Köhne CH, Heinemann V, Tejpar S, Melezínek I, Beier F, Stroh C, Rougier P, van Krieken JH, Ciardiello F. Fluorouracil, leucovorin, and irinotecan plus cetuximab treatment and RAS mutations in colorectal cancer. </w:t>
      </w:r>
      <w:r w:rsidR="00F47B06" w:rsidRPr="00082ABB">
        <w:rPr>
          <w:rFonts w:ascii="Book Antiqua" w:eastAsia="宋体" w:hAnsi="Book Antiqua" w:cs="宋体"/>
          <w:i/>
          <w:iCs/>
          <w:kern w:val="0"/>
          <w:sz w:val="24"/>
          <w:szCs w:val="24"/>
        </w:rPr>
        <w:t>J Clin Oncol</w:t>
      </w:r>
      <w:r w:rsidR="00F47B06" w:rsidRPr="00082ABB">
        <w:rPr>
          <w:rFonts w:ascii="Book Antiqua" w:eastAsia="宋体" w:hAnsi="Book Antiqua" w:cs="宋体"/>
          <w:kern w:val="0"/>
          <w:sz w:val="24"/>
          <w:szCs w:val="24"/>
        </w:rPr>
        <w:t> 2015; </w:t>
      </w:r>
      <w:r w:rsidR="00F47B06" w:rsidRPr="00082ABB">
        <w:rPr>
          <w:rFonts w:ascii="Book Antiqua" w:eastAsia="宋体" w:hAnsi="Book Antiqua" w:cs="宋体"/>
          <w:b/>
          <w:bCs/>
          <w:kern w:val="0"/>
          <w:sz w:val="24"/>
          <w:szCs w:val="24"/>
        </w:rPr>
        <w:t>33</w:t>
      </w:r>
      <w:r w:rsidR="00F47B06" w:rsidRPr="00082ABB">
        <w:rPr>
          <w:rFonts w:ascii="Book Antiqua" w:eastAsia="宋体" w:hAnsi="Book Antiqua" w:cs="宋体"/>
          <w:kern w:val="0"/>
          <w:sz w:val="24"/>
          <w:szCs w:val="24"/>
        </w:rPr>
        <w:t>: 692-700 [PMID: 25605843 DOI: 10.1200/JCO.2014.59.4812]</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8</w:t>
      </w:r>
      <w:r w:rsidRPr="00082ABB">
        <w:rPr>
          <w:rFonts w:ascii="Book Antiqua" w:eastAsiaTheme="minorEastAsia" w:hAnsi="Book Antiqua" w:cs="宋体"/>
          <w:kern w:val="0"/>
          <w:sz w:val="24"/>
          <w:szCs w:val="24"/>
        </w:rPr>
        <w:t>7</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Khattak MA</w:t>
      </w:r>
      <w:r w:rsidR="00F47B06" w:rsidRPr="00082ABB">
        <w:rPr>
          <w:rFonts w:ascii="Book Antiqua" w:eastAsia="宋体" w:hAnsi="Book Antiqua" w:cs="宋体"/>
          <w:kern w:val="0"/>
          <w:sz w:val="24"/>
          <w:szCs w:val="24"/>
        </w:rPr>
        <w:t>, Martin H, Davidson A, Phillips M. Role of first-line anti-epidermal growth factor receptor therapy compared with anti-vascular endothelial growth factor therapy in advanced colorectal cancer: a meta-analysis of randomized clinical trials. </w:t>
      </w:r>
      <w:r w:rsidR="00F47B06" w:rsidRPr="00082ABB">
        <w:rPr>
          <w:rFonts w:ascii="Book Antiqua" w:eastAsia="宋体" w:hAnsi="Book Antiqua" w:cs="宋体"/>
          <w:i/>
          <w:iCs/>
          <w:kern w:val="0"/>
          <w:sz w:val="24"/>
          <w:szCs w:val="24"/>
        </w:rPr>
        <w:t>Clin Colorectal Cancer</w:t>
      </w:r>
      <w:r w:rsidR="00F47B06" w:rsidRPr="00082ABB">
        <w:rPr>
          <w:rFonts w:ascii="Book Antiqua" w:eastAsia="宋体" w:hAnsi="Book Antiqua" w:cs="宋体"/>
          <w:kern w:val="0"/>
          <w:sz w:val="24"/>
          <w:szCs w:val="24"/>
        </w:rPr>
        <w:t> 2015; </w:t>
      </w:r>
      <w:r w:rsidR="00F47B06" w:rsidRPr="00082ABB">
        <w:rPr>
          <w:rFonts w:ascii="Book Antiqua" w:eastAsia="宋体" w:hAnsi="Book Antiqua" w:cs="宋体"/>
          <w:b/>
          <w:bCs/>
          <w:kern w:val="0"/>
          <w:sz w:val="24"/>
          <w:szCs w:val="24"/>
        </w:rPr>
        <w:t>14</w:t>
      </w:r>
      <w:r w:rsidR="00F47B06" w:rsidRPr="00082ABB">
        <w:rPr>
          <w:rFonts w:ascii="Book Antiqua" w:eastAsia="宋体" w:hAnsi="Book Antiqua" w:cs="宋体"/>
          <w:kern w:val="0"/>
          <w:sz w:val="24"/>
          <w:szCs w:val="24"/>
        </w:rPr>
        <w:t>: 81-90 [PMID: 25666296 DOI: 10.1016/j.clcc.2014.12.011]</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8</w:t>
      </w:r>
      <w:r w:rsidRPr="00082ABB">
        <w:rPr>
          <w:rFonts w:ascii="Book Antiqua" w:eastAsiaTheme="minorEastAsia" w:hAnsi="Book Antiqua" w:cs="宋体"/>
          <w:kern w:val="0"/>
          <w:sz w:val="24"/>
          <w:szCs w:val="24"/>
        </w:rPr>
        <w:t>8</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Elez E</w:t>
      </w:r>
      <w:r w:rsidR="00F47B06" w:rsidRPr="00082ABB">
        <w:rPr>
          <w:rFonts w:ascii="Book Antiqua" w:eastAsia="宋体" w:hAnsi="Book Antiqua" w:cs="宋体"/>
          <w:kern w:val="0"/>
          <w:sz w:val="24"/>
          <w:szCs w:val="24"/>
        </w:rPr>
        <w:t>, Argilés G, Tabernero J. First-Line Treatment of Metastatic Colorectal Cancer: Interpreting FIRE-3, PEAK, and CALGB/SWOG 80405. </w:t>
      </w:r>
      <w:r w:rsidR="00F47B06" w:rsidRPr="00082ABB">
        <w:rPr>
          <w:rFonts w:ascii="Book Antiqua" w:eastAsia="宋体" w:hAnsi="Book Antiqua" w:cs="宋体"/>
          <w:i/>
          <w:iCs/>
          <w:kern w:val="0"/>
          <w:sz w:val="24"/>
          <w:szCs w:val="24"/>
        </w:rPr>
        <w:t>Curr Treat Options Oncol</w:t>
      </w:r>
      <w:r w:rsidR="00F47B06" w:rsidRPr="00082ABB">
        <w:rPr>
          <w:rFonts w:ascii="Book Antiqua" w:eastAsia="宋体" w:hAnsi="Book Antiqua" w:cs="宋体"/>
          <w:kern w:val="0"/>
          <w:sz w:val="24"/>
          <w:szCs w:val="24"/>
        </w:rPr>
        <w:t> 2015; </w:t>
      </w:r>
      <w:r w:rsidR="00F47B06" w:rsidRPr="00082ABB">
        <w:rPr>
          <w:rFonts w:ascii="Book Antiqua" w:eastAsia="宋体" w:hAnsi="Book Antiqua" w:cs="宋体"/>
          <w:b/>
          <w:bCs/>
          <w:kern w:val="0"/>
          <w:sz w:val="24"/>
          <w:szCs w:val="24"/>
        </w:rPr>
        <w:t>16</w:t>
      </w:r>
      <w:r w:rsidR="00F47B06" w:rsidRPr="00082ABB">
        <w:rPr>
          <w:rFonts w:ascii="Book Antiqua" w:eastAsia="宋体" w:hAnsi="Book Antiqua" w:cs="宋体"/>
          <w:kern w:val="0"/>
          <w:sz w:val="24"/>
          <w:szCs w:val="24"/>
        </w:rPr>
        <w:t>: 52 [PMID: 26374340 DOI: 10.1007/s11864-015-0369-x]</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Theme="minorEastAsia" w:hAnsi="Book Antiqua" w:cs="宋体"/>
          <w:kern w:val="0"/>
          <w:sz w:val="24"/>
          <w:szCs w:val="24"/>
        </w:rPr>
        <w:t>89</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Pietrantonio F</w:t>
      </w:r>
      <w:r w:rsidR="00F47B06" w:rsidRPr="00082ABB">
        <w:rPr>
          <w:rFonts w:ascii="Book Antiqua" w:eastAsia="宋体" w:hAnsi="Book Antiqua" w:cs="宋体"/>
          <w:kern w:val="0"/>
          <w:sz w:val="24"/>
          <w:szCs w:val="24"/>
        </w:rPr>
        <w:t>, Cremolini C, Petrelli F, Di Bartolomeo M, Loupakis F, Maggi C, Antoniotti C, de Braud F, Falcone A, Iacovelli R. First-line anti-EGFR monoclonal antibodies in panRAS wild-type metastatic colorectal cancer: A systematic review and meta-analysis. </w:t>
      </w:r>
      <w:r w:rsidR="00F47B06" w:rsidRPr="00082ABB">
        <w:rPr>
          <w:rFonts w:ascii="Book Antiqua" w:eastAsia="宋体" w:hAnsi="Book Antiqua" w:cs="宋体"/>
          <w:i/>
          <w:iCs/>
          <w:kern w:val="0"/>
          <w:sz w:val="24"/>
          <w:szCs w:val="24"/>
        </w:rPr>
        <w:t>Crit Rev Oncol Hematol</w:t>
      </w:r>
      <w:r w:rsidR="00F47B06" w:rsidRPr="00082ABB">
        <w:rPr>
          <w:rFonts w:ascii="Book Antiqua" w:eastAsia="宋体" w:hAnsi="Book Antiqua" w:cs="宋体"/>
          <w:kern w:val="0"/>
          <w:sz w:val="24"/>
          <w:szCs w:val="24"/>
        </w:rPr>
        <w:t xml:space="preserve"> 2015; </w:t>
      </w:r>
      <w:r w:rsidR="00F47B06" w:rsidRPr="00082ABB">
        <w:rPr>
          <w:rFonts w:ascii="Book Antiqua" w:eastAsia="宋体" w:hAnsi="Book Antiqua" w:cs="宋体"/>
          <w:b/>
          <w:bCs/>
          <w:kern w:val="0"/>
          <w:sz w:val="24"/>
          <w:szCs w:val="24"/>
        </w:rPr>
        <w:t>96</w:t>
      </w:r>
      <w:r w:rsidR="00F47B06" w:rsidRPr="00082ABB">
        <w:rPr>
          <w:rFonts w:ascii="Book Antiqua" w:eastAsia="宋体" w:hAnsi="Book Antiqua" w:cs="宋体"/>
          <w:kern w:val="0"/>
          <w:sz w:val="24"/>
          <w:szCs w:val="24"/>
        </w:rPr>
        <w:t>: 156-166 [PMID: 26088456 DOI: 10.1016/j.critrevonc.2015.05.016]</w:t>
      </w:r>
    </w:p>
    <w:p w:rsidR="00F47B06" w:rsidRPr="00082ABB" w:rsidRDefault="00924222" w:rsidP="00F47B06">
      <w:pPr>
        <w:widowControl/>
        <w:spacing w:line="360" w:lineRule="auto"/>
        <w:rPr>
          <w:rFonts w:ascii="Book Antiqua" w:eastAsia="宋体" w:hAnsi="Book Antiqua" w:cs="宋体"/>
          <w:kern w:val="0"/>
          <w:sz w:val="24"/>
          <w:szCs w:val="24"/>
        </w:rPr>
      </w:pPr>
      <w:proofErr w:type="gramStart"/>
      <w:r w:rsidRPr="00082ABB">
        <w:rPr>
          <w:rFonts w:ascii="Book Antiqua" w:eastAsia="宋体" w:hAnsi="Book Antiqua" w:cs="宋体"/>
          <w:kern w:val="0"/>
          <w:sz w:val="24"/>
          <w:szCs w:val="24"/>
        </w:rPr>
        <w:t>9</w:t>
      </w:r>
      <w:r w:rsidRPr="00082ABB">
        <w:rPr>
          <w:rFonts w:ascii="Book Antiqua" w:eastAsiaTheme="minorEastAsia" w:hAnsi="Book Antiqua" w:cs="宋体"/>
          <w:kern w:val="0"/>
          <w:sz w:val="24"/>
          <w:szCs w:val="24"/>
        </w:rPr>
        <w:t>0</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Formica V</w:t>
      </w:r>
      <w:r w:rsidR="00F47B06" w:rsidRPr="00082ABB">
        <w:rPr>
          <w:rFonts w:ascii="Book Antiqua" w:eastAsia="宋体" w:hAnsi="Book Antiqua" w:cs="宋体"/>
          <w:kern w:val="0"/>
          <w:sz w:val="24"/>
          <w:szCs w:val="24"/>
        </w:rPr>
        <w:t>, Roselli M. Targeted therapy in first line treatment of RAS wild type colorectal cancer.</w:t>
      </w:r>
      <w:proofErr w:type="gramEnd"/>
      <w:r w:rsidR="00F47B06" w:rsidRPr="00082ABB">
        <w:rPr>
          <w:rFonts w:ascii="Book Antiqua" w:eastAsia="宋体" w:hAnsi="Book Antiqua" w:cs="宋体"/>
          <w:kern w:val="0"/>
          <w:sz w:val="24"/>
          <w:szCs w:val="24"/>
        </w:rPr>
        <w:t> </w:t>
      </w:r>
      <w:r w:rsidR="00F47B06" w:rsidRPr="00082ABB">
        <w:rPr>
          <w:rFonts w:ascii="Book Antiqua" w:eastAsia="宋体" w:hAnsi="Book Antiqua" w:cs="宋体"/>
          <w:i/>
          <w:iCs/>
          <w:kern w:val="0"/>
          <w:sz w:val="24"/>
          <w:szCs w:val="24"/>
        </w:rPr>
        <w:t>World J Gastroenterol</w:t>
      </w:r>
      <w:r w:rsidR="00F47B06" w:rsidRPr="00082ABB">
        <w:rPr>
          <w:rFonts w:ascii="Book Antiqua" w:eastAsia="宋体" w:hAnsi="Book Antiqua" w:cs="宋体"/>
          <w:kern w:val="0"/>
          <w:sz w:val="24"/>
          <w:szCs w:val="24"/>
        </w:rPr>
        <w:t> 2015; </w:t>
      </w:r>
      <w:r w:rsidR="00F47B06" w:rsidRPr="00082ABB">
        <w:rPr>
          <w:rFonts w:ascii="Book Antiqua" w:eastAsia="宋体" w:hAnsi="Book Antiqua" w:cs="宋体"/>
          <w:b/>
          <w:bCs/>
          <w:kern w:val="0"/>
          <w:sz w:val="24"/>
          <w:szCs w:val="24"/>
        </w:rPr>
        <w:t>21</w:t>
      </w:r>
      <w:r w:rsidR="00F47B06" w:rsidRPr="00082ABB">
        <w:rPr>
          <w:rFonts w:ascii="Book Antiqua" w:eastAsia="宋体" w:hAnsi="Book Antiqua" w:cs="宋体"/>
          <w:kern w:val="0"/>
          <w:sz w:val="24"/>
          <w:szCs w:val="24"/>
        </w:rPr>
        <w:t>: 2871-2874 [PMID: 25780283 DOI: 10.3748/wjg.v21.i10.2871]</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lastRenderedPageBreak/>
        <w:t>9</w:t>
      </w:r>
      <w:r w:rsidRPr="00082ABB">
        <w:rPr>
          <w:rFonts w:ascii="Book Antiqua" w:eastAsiaTheme="minorEastAsia" w:hAnsi="Book Antiqua" w:cs="宋体"/>
          <w:kern w:val="0"/>
          <w:sz w:val="24"/>
          <w:szCs w:val="24"/>
        </w:rPr>
        <w:t>1</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Chibaudel B</w:t>
      </w:r>
      <w:r w:rsidR="00F47B06" w:rsidRPr="00082ABB">
        <w:rPr>
          <w:rFonts w:ascii="Book Antiqua" w:eastAsia="宋体" w:hAnsi="Book Antiqua" w:cs="宋体"/>
          <w:kern w:val="0"/>
          <w:sz w:val="24"/>
          <w:szCs w:val="24"/>
        </w:rPr>
        <w:t>, Bonnetain F, Tournigand C, de Larauze MH, de Gramont A, Laurent-Puig P, Paget J, Hadengue A, Notelet D, Benetkiewicz M, André T, de Gramont A. STRATEGIC-1: A multiple-lines, randomized, open-label GERCOR phase III study in patients with unresectable wild-type RAS metastatic colorectal cancer. </w:t>
      </w:r>
      <w:r w:rsidR="00F47B06" w:rsidRPr="00082ABB">
        <w:rPr>
          <w:rFonts w:ascii="Book Antiqua" w:eastAsia="宋体" w:hAnsi="Book Antiqua" w:cs="宋体"/>
          <w:i/>
          <w:iCs/>
          <w:kern w:val="0"/>
          <w:sz w:val="24"/>
          <w:szCs w:val="24"/>
        </w:rPr>
        <w:t>BMC Cancer</w:t>
      </w:r>
      <w:r w:rsidR="00F47B06" w:rsidRPr="00082ABB">
        <w:rPr>
          <w:rFonts w:ascii="Book Antiqua" w:eastAsia="宋体" w:hAnsi="Book Antiqua" w:cs="宋体"/>
          <w:kern w:val="0"/>
          <w:sz w:val="24"/>
          <w:szCs w:val="24"/>
        </w:rPr>
        <w:t> 2015; </w:t>
      </w:r>
      <w:r w:rsidR="00F47B06" w:rsidRPr="00082ABB">
        <w:rPr>
          <w:rFonts w:ascii="Book Antiqua" w:eastAsia="宋体" w:hAnsi="Book Antiqua" w:cs="宋体"/>
          <w:b/>
          <w:bCs/>
          <w:kern w:val="0"/>
          <w:sz w:val="24"/>
          <w:szCs w:val="24"/>
        </w:rPr>
        <w:t>15</w:t>
      </w:r>
      <w:r w:rsidR="00F47B06" w:rsidRPr="00082ABB">
        <w:rPr>
          <w:rFonts w:ascii="Book Antiqua" w:eastAsia="宋体" w:hAnsi="Book Antiqua" w:cs="宋体"/>
          <w:kern w:val="0"/>
          <w:sz w:val="24"/>
          <w:szCs w:val="24"/>
        </w:rPr>
        <w:t>: 496 [PMID: 26141683 DOI: 10.1186/s12885-015-1503-7]</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9</w:t>
      </w:r>
      <w:r w:rsidRPr="00082ABB">
        <w:rPr>
          <w:rFonts w:ascii="Book Antiqua" w:eastAsiaTheme="minorEastAsia" w:hAnsi="Book Antiqua" w:cs="宋体"/>
          <w:kern w:val="0"/>
          <w:sz w:val="24"/>
          <w:szCs w:val="24"/>
        </w:rPr>
        <w:t>2</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Kuo T</w:t>
      </w:r>
      <w:r w:rsidR="00F47B06" w:rsidRPr="00082ABB">
        <w:rPr>
          <w:rFonts w:ascii="Book Antiqua" w:eastAsia="宋体" w:hAnsi="Book Antiqua" w:cs="宋体"/>
          <w:kern w:val="0"/>
          <w:sz w:val="24"/>
          <w:szCs w:val="24"/>
        </w:rPr>
        <w:t>, Cho CD, Halsey J, Wakelee HA, Advani RH, Ford JM, Fisher GA, Sikic BI. Phase II study of gefitinib, fluorouracil, leucovorin, and oxaliplatin therapy in previously treated patients with metastatic colorectal cancer. </w:t>
      </w:r>
      <w:r w:rsidR="00F47B06" w:rsidRPr="00082ABB">
        <w:rPr>
          <w:rFonts w:ascii="Book Antiqua" w:eastAsia="宋体" w:hAnsi="Book Antiqua" w:cs="宋体"/>
          <w:i/>
          <w:iCs/>
          <w:kern w:val="0"/>
          <w:sz w:val="24"/>
          <w:szCs w:val="24"/>
        </w:rPr>
        <w:t>J Clin Oncol</w:t>
      </w:r>
      <w:r w:rsidR="00F47B06" w:rsidRPr="00082ABB">
        <w:rPr>
          <w:rFonts w:ascii="Book Antiqua" w:eastAsia="宋体" w:hAnsi="Book Antiqua" w:cs="宋体"/>
          <w:kern w:val="0"/>
          <w:sz w:val="24"/>
          <w:szCs w:val="24"/>
        </w:rPr>
        <w:t> 2005; </w:t>
      </w:r>
      <w:r w:rsidR="00F47B06" w:rsidRPr="00082ABB">
        <w:rPr>
          <w:rFonts w:ascii="Book Antiqua" w:eastAsia="宋体" w:hAnsi="Book Antiqua" w:cs="宋体"/>
          <w:b/>
          <w:bCs/>
          <w:kern w:val="0"/>
          <w:sz w:val="24"/>
          <w:szCs w:val="24"/>
        </w:rPr>
        <w:t>23</w:t>
      </w:r>
      <w:r w:rsidR="00F47B06" w:rsidRPr="00082ABB">
        <w:rPr>
          <w:rFonts w:ascii="Book Antiqua" w:eastAsia="宋体" w:hAnsi="Book Antiqua" w:cs="宋体"/>
          <w:kern w:val="0"/>
          <w:sz w:val="24"/>
          <w:szCs w:val="24"/>
        </w:rPr>
        <w:t>: 5613-5619 [PMID: 16110021]</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9</w:t>
      </w:r>
      <w:r w:rsidRPr="00082ABB">
        <w:rPr>
          <w:rFonts w:ascii="Book Antiqua" w:eastAsiaTheme="minorEastAsia" w:hAnsi="Book Antiqua" w:cs="宋体"/>
          <w:kern w:val="0"/>
          <w:sz w:val="24"/>
          <w:szCs w:val="24"/>
        </w:rPr>
        <w:t>3</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Santoro A</w:t>
      </w:r>
      <w:r w:rsidR="00F47B06" w:rsidRPr="00082ABB">
        <w:rPr>
          <w:rFonts w:ascii="Book Antiqua" w:eastAsia="宋体" w:hAnsi="Book Antiqua" w:cs="宋体"/>
          <w:kern w:val="0"/>
          <w:sz w:val="24"/>
          <w:szCs w:val="24"/>
        </w:rPr>
        <w:t>, Comandone A, Rimassa L, Granetti C, Lorusso V, Oliva C, Ronzoni M, Siena S, Zuradelli M, Mari E, Pressiani T, Carnaghi C. A phase II randomized multicenter trial of gefitinib plus FOLFIRI and FOLFIRI alone in patients with metastatic colorectal cancer. </w:t>
      </w:r>
      <w:r w:rsidR="00F47B06" w:rsidRPr="00082ABB">
        <w:rPr>
          <w:rFonts w:ascii="Book Antiqua" w:eastAsia="宋体" w:hAnsi="Book Antiqua" w:cs="宋体"/>
          <w:i/>
          <w:iCs/>
          <w:kern w:val="0"/>
          <w:sz w:val="24"/>
          <w:szCs w:val="24"/>
        </w:rPr>
        <w:t>Ann Oncol</w:t>
      </w:r>
      <w:r w:rsidR="00F47B06" w:rsidRPr="00082ABB">
        <w:rPr>
          <w:rFonts w:ascii="Book Antiqua" w:eastAsia="宋体" w:hAnsi="Book Antiqua" w:cs="宋体"/>
          <w:kern w:val="0"/>
          <w:sz w:val="24"/>
          <w:szCs w:val="24"/>
        </w:rPr>
        <w:t> 2008; </w:t>
      </w:r>
      <w:r w:rsidR="00F47B06" w:rsidRPr="00082ABB">
        <w:rPr>
          <w:rFonts w:ascii="Book Antiqua" w:eastAsia="宋体" w:hAnsi="Book Antiqua" w:cs="宋体"/>
          <w:b/>
          <w:bCs/>
          <w:kern w:val="0"/>
          <w:sz w:val="24"/>
          <w:szCs w:val="24"/>
        </w:rPr>
        <w:t>19</w:t>
      </w:r>
      <w:r w:rsidR="00F47B06" w:rsidRPr="00082ABB">
        <w:rPr>
          <w:rFonts w:ascii="Book Antiqua" w:eastAsia="宋体" w:hAnsi="Book Antiqua" w:cs="宋体"/>
          <w:kern w:val="0"/>
          <w:sz w:val="24"/>
          <w:szCs w:val="24"/>
        </w:rPr>
        <w:t>: 1888-1893 [PMID: 18667394 DOI: 10.1093/annonc/mdn401]</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9</w:t>
      </w:r>
      <w:r w:rsidRPr="00082ABB">
        <w:rPr>
          <w:rFonts w:ascii="Book Antiqua" w:eastAsiaTheme="minorEastAsia" w:hAnsi="Book Antiqua" w:cs="宋体"/>
          <w:kern w:val="0"/>
          <w:sz w:val="24"/>
          <w:szCs w:val="24"/>
        </w:rPr>
        <w:t>4</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Kozuch P</w:t>
      </w:r>
      <w:r w:rsidR="00F47B06" w:rsidRPr="00082ABB">
        <w:rPr>
          <w:rFonts w:ascii="Book Antiqua" w:eastAsia="宋体" w:hAnsi="Book Antiqua" w:cs="宋体"/>
          <w:kern w:val="0"/>
          <w:sz w:val="24"/>
          <w:szCs w:val="24"/>
        </w:rPr>
        <w:t>, Malamud S, Wasserman C, Homel P, Mirzoyev T, Grossbard M. Phase II trial of erlotinib and capecitabine for patients with previously untreated metastatic colorectal cancer. </w:t>
      </w:r>
      <w:r w:rsidR="00F47B06" w:rsidRPr="00082ABB">
        <w:rPr>
          <w:rFonts w:ascii="Book Antiqua" w:eastAsia="宋体" w:hAnsi="Book Antiqua" w:cs="宋体"/>
          <w:i/>
          <w:iCs/>
          <w:kern w:val="0"/>
          <w:sz w:val="24"/>
          <w:szCs w:val="24"/>
        </w:rPr>
        <w:t>Clin Colorectal Cancer</w:t>
      </w:r>
      <w:r w:rsidR="00F47B06" w:rsidRPr="00082ABB">
        <w:rPr>
          <w:rFonts w:ascii="Book Antiqua" w:eastAsia="宋体" w:hAnsi="Book Antiqua" w:cs="宋体"/>
          <w:kern w:val="0"/>
          <w:sz w:val="24"/>
          <w:szCs w:val="24"/>
        </w:rPr>
        <w:t> 2009; </w:t>
      </w:r>
      <w:r w:rsidR="00F47B06" w:rsidRPr="00082ABB">
        <w:rPr>
          <w:rFonts w:ascii="Book Antiqua" w:eastAsia="宋体" w:hAnsi="Book Antiqua" w:cs="宋体"/>
          <w:b/>
          <w:bCs/>
          <w:kern w:val="0"/>
          <w:sz w:val="24"/>
          <w:szCs w:val="24"/>
        </w:rPr>
        <w:t>8</w:t>
      </w:r>
      <w:r w:rsidR="00F47B06" w:rsidRPr="00082ABB">
        <w:rPr>
          <w:rFonts w:ascii="Book Antiqua" w:eastAsia="宋体" w:hAnsi="Book Antiqua" w:cs="宋体"/>
          <w:kern w:val="0"/>
          <w:sz w:val="24"/>
          <w:szCs w:val="24"/>
        </w:rPr>
        <w:t>: 38-42 [PMID: 19203895 DOI: 10.3816/CCC.2009.n.006]</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9</w:t>
      </w:r>
      <w:r w:rsidRPr="00082ABB">
        <w:rPr>
          <w:rFonts w:ascii="Book Antiqua" w:eastAsiaTheme="minorEastAsia" w:hAnsi="Book Antiqua" w:cs="宋体"/>
          <w:kern w:val="0"/>
          <w:sz w:val="24"/>
          <w:szCs w:val="24"/>
        </w:rPr>
        <w:t>5</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Cohn AL</w:t>
      </w:r>
      <w:r w:rsidR="00F47B06" w:rsidRPr="00082ABB">
        <w:rPr>
          <w:rFonts w:ascii="Book Antiqua" w:eastAsia="宋体" w:hAnsi="Book Antiqua" w:cs="宋体"/>
          <w:kern w:val="0"/>
          <w:sz w:val="24"/>
          <w:szCs w:val="24"/>
        </w:rPr>
        <w:t xml:space="preserve">, Tabernero J, Maurel J, Nowara E, Sastre J, Chuah BY, Kopp MV, Sakaeva DD, Mitchell EP, Dubey S, Suzuki S, Hei YJ, Galimi F, McCaffery I, Pan Y, Loberg R, Cottrell S, Choo SP. A randomized, placebo-controlled phase 2 study of ganitumab or conatumumab in combination with FOLFIRI for </w:t>
      </w:r>
      <w:r w:rsidR="00F47B06" w:rsidRPr="00082ABB">
        <w:rPr>
          <w:rFonts w:ascii="Book Antiqua" w:eastAsia="宋体" w:hAnsi="Book Antiqua" w:cs="宋体"/>
          <w:kern w:val="0"/>
          <w:sz w:val="24"/>
          <w:szCs w:val="24"/>
        </w:rPr>
        <w:lastRenderedPageBreak/>
        <w:t>second-line treatment of mutant KRAS metastatic colorectal cancer. </w:t>
      </w:r>
      <w:r w:rsidR="00F47B06" w:rsidRPr="00082ABB">
        <w:rPr>
          <w:rFonts w:ascii="Book Antiqua" w:eastAsia="宋体" w:hAnsi="Book Antiqua" w:cs="宋体"/>
          <w:i/>
          <w:iCs/>
          <w:kern w:val="0"/>
          <w:sz w:val="24"/>
          <w:szCs w:val="24"/>
        </w:rPr>
        <w:t>Ann Oncol</w:t>
      </w:r>
      <w:r w:rsidR="00F47B06" w:rsidRPr="00082ABB">
        <w:rPr>
          <w:rFonts w:ascii="Book Antiqua" w:eastAsia="宋体" w:hAnsi="Book Antiqua" w:cs="宋体"/>
          <w:kern w:val="0"/>
          <w:sz w:val="24"/>
          <w:szCs w:val="24"/>
        </w:rPr>
        <w:t xml:space="preserve"> 2013; </w:t>
      </w:r>
      <w:r w:rsidR="00F47B06" w:rsidRPr="00082ABB">
        <w:rPr>
          <w:rFonts w:ascii="Book Antiqua" w:eastAsia="宋体" w:hAnsi="Book Antiqua" w:cs="宋体"/>
          <w:b/>
          <w:bCs/>
          <w:kern w:val="0"/>
          <w:sz w:val="24"/>
          <w:szCs w:val="24"/>
        </w:rPr>
        <w:t>24</w:t>
      </w:r>
      <w:r w:rsidR="00F47B06" w:rsidRPr="00082ABB">
        <w:rPr>
          <w:rFonts w:ascii="Book Antiqua" w:eastAsia="宋体" w:hAnsi="Book Antiqua" w:cs="宋体"/>
          <w:kern w:val="0"/>
          <w:sz w:val="24"/>
          <w:szCs w:val="24"/>
        </w:rPr>
        <w:t>: 1777-1785 [PMID: 23510984 DOI: 10.1093/annonc/mdt057]</w:t>
      </w:r>
    </w:p>
    <w:p w:rsidR="00F47B06" w:rsidRPr="00082ABB" w:rsidRDefault="00924222" w:rsidP="00F47B06">
      <w:pPr>
        <w:widowControl/>
        <w:spacing w:line="360" w:lineRule="auto"/>
        <w:rPr>
          <w:rFonts w:ascii="Book Antiqua" w:eastAsia="宋体" w:hAnsi="Book Antiqua" w:cs="宋体"/>
          <w:kern w:val="0"/>
          <w:sz w:val="24"/>
          <w:szCs w:val="24"/>
        </w:rPr>
      </w:pPr>
      <w:r w:rsidRPr="00082ABB">
        <w:rPr>
          <w:rFonts w:ascii="Book Antiqua" w:eastAsia="宋体" w:hAnsi="Book Antiqua" w:cs="宋体"/>
          <w:kern w:val="0"/>
          <w:sz w:val="24"/>
          <w:szCs w:val="24"/>
        </w:rPr>
        <w:t>9</w:t>
      </w:r>
      <w:r w:rsidRPr="00082ABB">
        <w:rPr>
          <w:rFonts w:ascii="Book Antiqua" w:eastAsiaTheme="minorEastAsia" w:hAnsi="Book Antiqua" w:cs="宋体"/>
          <w:kern w:val="0"/>
          <w:sz w:val="24"/>
          <w:szCs w:val="24"/>
        </w:rPr>
        <w:t>6</w:t>
      </w:r>
      <w:r w:rsidR="00F47B06" w:rsidRPr="00082ABB">
        <w:rPr>
          <w:rFonts w:ascii="Book Antiqua" w:eastAsia="宋体" w:hAnsi="Book Antiqua" w:cs="宋体"/>
          <w:kern w:val="0"/>
          <w:sz w:val="24"/>
          <w:szCs w:val="24"/>
        </w:rPr>
        <w:t> </w:t>
      </w:r>
      <w:r w:rsidR="00F47B06" w:rsidRPr="00082ABB">
        <w:rPr>
          <w:rFonts w:ascii="Book Antiqua" w:eastAsia="宋体" w:hAnsi="Book Antiqua" w:cs="宋体"/>
          <w:b/>
          <w:bCs/>
          <w:kern w:val="0"/>
          <w:sz w:val="24"/>
          <w:szCs w:val="24"/>
        </w:rPr>
        <w:t>Sartore-Bianchi A</w:t>
      </w:r>
      <w:r w:rsidR="00F47B06" w:rsidRPr="00082ABB">
        <w:rPr>
          <w:rFonts w:ascii="Book Antiqua" w:eastAsia="宋体" w:hAnsi="Book Antiqua" w:cs="宋体"/>
          <w:kern w:val="0"/>
          <w:sz w:val="24"/>
          <w:szCs w:val="24"/>
        </w:rPr>
        <w:t>,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(HERACLES): a proof-of-concept, multicentre, open-label, phase 2 trial. </w:t>
      </w:r>
      <w:r w:rsidR="00F47B06" w:rsidRPr="00082ABB">
        <w:rPr>
          <w:rFonts w:ascii="Book Antiqua" w:eastAsia="宋体" w:hAnsi="Book Antiqua" w:cs="宋体"/>
          <w:i/>
          <w:iCs/>
          <w:kern w:val="0"/>
          <w:sz w:val="24"/>
          <w:szCs w:val="24"/>
        </w:rPr>
        <w:t>Lancet Oncol</w:t>
      </w:r>
      <w:r w:rsidR="00F47B06" w:rsidRPr="00082ABB">
        <w:rPr>
          <w:rFonts w:ascii="Book Antiqua" w:eastAsia="宋体" w:hAnsi="Book Antiqua" w:cs="宋体"/>
          <w:kern w:val="0"/>
          <w:sz w:val="24"/>
          <w:szCs w:val="24"/>
        </w:rPr>
        <w:t> 2016; </w:t>
      </w:r>
      <w:r w:rsidR="00F47B06" w:rsidRPr="00082ABB">
        <w:rPr>
          <w:rFonts w:ascii="Book Antiqua" w:eastAsia="宋体" w:hAnsi="Book Antiqua" w:cs="宋体"/>
          <w:b/>
          <w:bCs/>
          <w:kern w:val="0"/>
          <w:sz w:val="24"/>
          <w:szCs w:val="24"/>
        </w:rPr>
        <w:t>17</w:t>
      </w:r>
      <w:r w:rsidR="00F47B06" w:rsidRPr="00082ABB">
        <w:rPr>
          <w:rFonts w:ascii="Book Antiqua" w:eastAsia="宋体" w:hAnsi="Book Antiqua" w:cs="宋体"/>
          <w:kern w:val="0"/>
          <w:sz w:val="24"/>
          <w:szCs w:val="24"/>
        </w:rPr>
        <w:t>: 738-746 [PMID: 27108243 DOI: 10.1016/S1470-2045(16)00150-9]</w:t>
      </w:r>
    </w:p>
    <w:p w:rsidR="00F47B06" w:rsidRPr="00082ABB" w:rsidRDefault="00F47B06" w:rsidP="00F47B06">
      <w:pPr>
        <w:wordWrap w:val="0"/>
        <w:spacing w:line="360" w:lineRule="auto"/>
        <w:jc w:val="right"/>
        <w:rPr>
          <w:rFonts w:ascii="Book Antiqua" w:hAnsi="Book Antiqua"/>
          <w:b/>
          <w:bCs/>
          <w:sz w:val="24"/>
          <w:szCs w:val="24"/>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r w:rsidRPr="00082ABB">
        <w:rPr>
          <w:rFonts w:ascii="Book Antiqua" w:hAnsi="Book Antiqua"/>
          <w:b/>
          <w:bCs/>
          <w:sz w:val="24"/>
          <w:szCs w:val="24"/>
        </w:rPr>
        <w:t xml:space="preserve">P-Reviewer: </w:t>
      </w:r>
      <w:r w:rsidRPr="00082ABB">
        <w:rPr>
          <w:rFonts w:ascii="Book Antiqua" w:hAnsi="Book Antiqua"/>
          <w:bCs/>
          <w:sz w:val="24"/>
          <w:szCs w:val="24"/>
        </w:rPr>
        <w:t>de Bree E, De Nardi P, Kumai T, Lakatos PL</w:t>
      </w:r>
    </w:p>
    <w:p w:rsidR="00F47B06" w:rsidRPr="00082ABB" w:rsidRDefault="00F47B06" w:rsidP="00F47B06">
      <w:pPr>
        <w:spacing w:line="360" w:lineRule="auto"/>
        <w:jc w:val="right"/>
        <w:rPr>
          <w:rFonts w:ascii="Book Antiqua" w:hAnsi="Book Antiqua"/>
          <w:sz w:val="24"/>
          <w:szCs w:val="24"/>
        </w:rPr>
      </w:pPr>
      <w:r w:rsidRPr="00082ABB">
        <w:rPr>
          <w:rFonts w:ascii="Book Antiqua" w:hAnsi="Book Antiqua"/>
          <w:b/>
          <w:bCs/>
          <w:sz w:val="24"/>
          <w:szCs w:val="24"/>
        </w:rPr>
        <w:t>S-Editor:</w:t>
      </w:r>
      <w:r w:rsidRPr="00082ABB">
        <w:rPr>
          <w:rFonts w:ascii="Book Antiqua" w:hAnsi="Book Antiqua"/>
          <w:sz w:val="24"/>
          <w:szCs w:val="24"/>
        </w:rPr>
        <w:t xml:space="preserve"> Gong ZM </w:t>
      </w:r>
      <w:r w:rsidRPr="00082ABB">
        <w:rPr>
          <w:rFonts w:ascii="Book Antiqua" w:hAnsi="Book Antiqua"/>
          <w:b/>
          <w:bCs/>
          <w:sz w:val="24"/>
          <w:szCs w:val="24"/>
        </w:rPr>
        <w:t>L-Editor:</w:t>
      </w:r>
      <w:r w:rsidRPr="00082ABB">
        <w:rPr>
          <w:rFonts w:ascii="Book Antiqua" w:hAnsi="Book Antiqua"/>
          <w:sz w:val="24"/>
          <w:szCs w:val="24"/>
        </w:rPr>
        <w:t xml:space="preserve"> </w:t>
      </w:r>
      <w:r w:rsidRPr="00082ABB">
        <w:rPr>
          <w:rFonts w:ascii="Book Antiqua" w:hAnsi="Book Antiqua"/>
          <w:b/>
          <w:bCs/>
          <w:sz w:val="24"/>
          <w:szCs w:val="24"/>
        </w:rPr>
        <w:t>E-Editor:</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F47B06" w:rsidRPr="00082ABB" w:rsidRDefault="00F47B06">
      <w:pPr>
        <w:widowControl/>
        <w:jc w:val="left"/>
        <w:rPr>
          <w:rFonts w:ascii="Book Antiqua" w:hAnsi="Book Antiqua"/>
          <w:sz w:val="24"/>
          <w:szCs w:val="24"/>
        </w:rPr>
      </w:pPr>
      <w:r w:rsidRPr="00082ABB">
        <w:rPr>
          <w:rFonts w:ascii="Book Antiqua" w:hAnsi="Book Antiqua"/>
          <w:sz w:val="24"/>
          <w:szCs w:val="24"/>
        </w:rPr>
        <w:br w:type="page"/>
      </w:r>
    </w:p>
    <w:p w:rsidR="002C3B1B" w:rsidRPr="00082ABB" w:rsidRDefault="00890E14" w:rsidP="007061C9">
      <w:pPr>
        <w:snapToGrid w:val="0"/>
        <w:spacing w:line="360" w:lineRule="auto"/>
        <w:rPr>
          <w:rFonts w:ascii="Book Antiqua" w:hAnsi="Book Antiqua"/>
          <w:b/>
          <w:sz w:val="24"/>
          <w:szCs w:val="24"/>
        </w:rPr>
      </w:pPr>
      <w:r w:rsidRPr="00082ABB">
        <w:rPr>
          <w:rFonts w:ascii="Book Antiqua" w:hAnsi="Book Antiqua"/>
          <w:b/>
          <w:sz w:val="24"/>
          <w:szCs w:val="24"/>
        </w:rPr>
        <w:lastRenderedPageBreak/>
        <w:t>T</w:t>
      </w:r>
      <w:r w:rsidR="002C3B1B" w:rsidRPr="00082ABB">
        <w:rPr>
          <w:rFonts w:ascii="Book Antiqua" w:hAnsi="Book Antiqua"/>
          <w:b/>
          <w:sz w:val="24"/>
          <w:szCs w:val="24"/>
        </w:rPr>
        <w:t>able 1</w:t>
      </w:r>
      <w:r w:rsidR="00F47B06" w:rsidRPr="00082ABB">
        <w:rPr>
          <w:rFonts w:ascii="Book Antiqua" w:eastAsia="宋体" w:hAnsi="Book Antiqua"/>
          <w:b/>
          <w:sz w:val="24"/>
          <w:szCs w:val="24"/>
          <w:lang w:eastAsia="zh-CN"/>
        </w:rPr>
        <w:t xml:space="preserve"> </w:t>
      </w:r>
      <w:r w:rsidR="00184A60" w:rsidRPr="00082ABB">
        <w:rPr>
          <w:rFonts w:ascii="Book Antiqua" w:hAnsi="Book Antiqua"/>
          <w:b/>
          <w:sz w:val="24"/>
          <w:szCs w:val="24"/>
        </w:rPr>
        <w:t xml:space="preserve">Clinical </w:t>
      </w:r>
      <w:proofErr w:type="gramStart"/>
      <w:r w:rsidR="00184A60" w:rsidRPr="00082ABB">
        <w:rPr>
          <w:rFonts w:ascii="Book Antiqua" w:hAnsi="Book Antiqua"/>
          <w:b/>
          <w:sz w:val="24"/>
          <w:szCs w:val="24"/>
        </w:rPr>
        <w:t>trials</w:t>
      </w:r>
      <w:proofErr w:type="gramEnd"/>
      <w:r w:rsidR="002C3B1B" w:rsidRPr="00082ABB">
        <w:rPr>
          <w:rFonts w:ascii="Book Antiqua" w:hAnsi="Book Antiqua"/>
          <w:b/>
          <w:sz w:val="24"/>
          <w:szCs w:val="24"/>
        </w:rPr>
        <w:t xml:space="preserve"> of anti-angiogenic therapies in </w:t>
      </w:r>
      <w:r w:rsidR="00F47B06" w:rsidRPr="00082ABB">
        <w:rPr>
          <w:rFonts w:ascii="Book Antiqua" w:hAnsi="Book Antiqua"/>
          <w:b/>
          <w:sz w:val="24"/>
          <w:szCs w:val="24"/>
        </w:rPr>
        <w:t>metastatic colorectal cancer</w:t>
      </w:r>
    </w:p>
    <w:tbl>
      <w:tblPr>
        <w:tblW w:w="10349" w:type="dxa"/>
        <w:tblInd w:w="-998" w:type="dxa"/>
        <w:tblLayout w:type="fixed"/>
        <w:tblLook w:val="00A0" w:firstRow="1" w:lastRow="0" w:firstColumn="1" w:lastColumn="0" w:noHBand="0" w:noVBand="0"/>
      </w:tblPr>
      <w:tblGrid>
        <w:gridCol w:w="1956"/>
        <w:gridCol w:w="3828"/>
        <w:gridCol w:w="992"/>
        <w:gridCol w:w="992"/>
        <w:gridCol w:w="1134"/>
        <w:gridCol w:w="1135"/>
        <w:gridCol w:w="28"/>
        <w:gridCol w:w="284"/>
      </w:tblGrid>
      <w:tr w:rsidR="00082ABB" w:rsidRPr="00082ABB" w:rsidTr="00661BB7">
        <w:trPr>
          <w:gridAfter w:val="1"/>
          <w:wAfter w:w="284" w:type="dxa"/>
        </w:trPr>
        <w:tc>
          <w:tcPr>
            <w:tcW w:w="1956" w:type="dxa"/>
            <w:tcBorders>
              <w:top w:val="single" w:sz="4" w:space="0" w:color="auto"/>
              <w:bottom w:val="single" w:sz="4" w:space="0" w:color="auto"/>
            </w:tcBorders>
          </w:tcPr>
          <w:p w:rsidR="0085610D" w:rsidRPr="00082ABB" w:rsidRDefault="0085610D" w:rsidP="007061C9">
            <w:pPr>
              <w:snapToGrid w:val="0"/>
              <w:spacing w:line="360" w:lineRule="auto"/>
              <w:rPr>
                <w:rFonts w:ascii="Book Antiqua" w:hAnsi="Book Antiqua"/>
                <w:b/>
                <w:sz w:val="24"/>
                <w:szCs w:val="24"/>
              </w:rPr>
            </w:pPr>
            <w:r w:rsidRPr="00082ABB">
              <w:rPr>
                <w:rFonts w:ascii="Book Antiqua" w:hAnsi="Book Antiqua"/>
                <w:b/>
                <w:sz w:val="24"/>
                <w:szCs w:val="24"/>
              </w:rPr>
              <w:t>Trial name</w:t>
            </w:r>
          </w:p>
        </w:tc>
        <w:tc>
          <w:tcPr>
            <w:tcW w:w="3828" w:type="dxa"/>
            <w:tcBorders>
              <w:top w:val="single" w:sz="4" w:space="0" w:color="auto"/>
              <w:bottom w:val="single" w:sz="4" w:space="0" w:color="auto"/>
            </w:tcBorders>
          </w:tcPr>
          <w:p w:rsidR="0085610D" w:rsidRPr="00082ABB" w:rsidRDefault="0085610D" w:rsidP="00F47B06">
            <w:pPr>
              <w:snapToGrid w:val="0"/>
              <w:spacing w:line="360" w:lineRule="auto"/>
              <w:jc w:val="center"/>
              <w:rPr>
                <w:rFonts w:ascii="Book Antiqua" w:hAnsi="Book Antiqua"/>
                <w:b/>
                <w:sz w:val="24"/>
                <w:szCs w:val="24"/>
              </w:rPr>
            </w:pPr>
            <w:r w:rsidRPr="00082ABB">
              <w:rPr>
                <w:rFonts w:ascii="Book Antiqua" w:hAnsi="Book Antiqua"/>
                <w:b/>
                <w:caps/>
                <w:sz w:val="24"/>
                <w:szCs w:val="24"/>
              </w:rPr>
              <w:t>r</w:t>
            </w:r>
            <w:r w:rsidRPr="00082ABB">
              <w:rPr>
                <w:rFonts w:ascii="Book Antiqua" w:hAnsi="Book Antiqua"/>
                <w:b/>
                <w:sz w:val="24"/>
                <w:szCs w:val="24"/>
              </w:rPr>
              <w:t>egimens</w:t>
            </w:r>
          </w:p>
        </w:tc>
        <w:tc>
          <w:tcPr>
            <w:tcW w:w="992" w:type="dxa"/>
            <w:tcBorders>
              <w:top w:val="single" w:sz="4" w:space="0" w:color="auto"/>
              <w:bottom w:val="single" w:sz="4" w:space="0" w:color="auto"/>
            </w:tcBorders>
          </w:tcPr>
          <w:p w:rsidR="0085610D" w:rsidRPr="00082ABB" w:rsidRDefault="0085610D" w:rsidP="00F47B06">
            <w:pPr>
              <w:snapToGrid w:val="0"/>
              <w:spacing w:line="360" w:lineRule="auto"/>
              <w:jc w:val="center"/>
              <w:rPr>
                <w:rFonts w:ascii="Book Antiqua" w:hAnsi="Book Antiqua"/>
                <w:b/>
                <w:i/>
                <w:sz w:val="24"/>
                <w:szCs w:val="24"/>
              </w:rPr>
            </w:pPr>
            <w:r w:rsidRPr="00082ABB">
              <w:rPr>
                <w:rFonts w:ascii="Book Antiqua" w:hAnsi="Book Antiqua"/>
                <w:b/>
                <w:i/>
                <w:sz w:val="24"/>
                <w:szCs w:val="24"/>
              </w:rPr>
              <w:t>n</w:t>
            </w:r>
          </w:p>
          <w:p w:rsidR="0085610D" w:rsidRPr="00082ABB" w:rsidRDefault="0085610D" w:rsidP="00F47B06">
            <w:pPr>
              <w:snapToGrid w:val="0"/>
              <w:spacing w:line="360" w:lineRule="auto"/>
              <w:jc w:val="center"/>
              <w:rPr>
                <w:rFonts w:ascii="Book Antiqua" w:hAnsi="Book Antiqua"/>
                <w:b/>
                <w:sz w:val="24"/>
                <w:szCs w:val="24"/>
              </w:rPr>
            </w:pPr>
          </w:p>
        </w:tc>
        <w:tc>
          <w:tcPr>
            <w:tcW w:w="992" w:type="dxa"/>
            <w:tcBorders>
              <w:top w:val="single" w:sz="4" w:space="0" w:color="auto"/>
              <w:bottom w:val="single" w:sz="4" w:space="0" w:color="auto"/>
            </w:tcBorders>
          </w:tcPr>
          <w:p w:rsidR="0085610D" w:rsidRPr="00082ABB" w:rsidRDefault="0085610D" w:rsidP="00F47B06">
            <w:pPr>
              <w:snapToGrid w:val="0"/>
              <w:spacing w:line="360" w:lineRule="auto"/>
              <w:jc w:val="center"/>
              <w:rPr>
                <w:rFonts w:ascii="Book Antiqua" w:hAnsi="Book Antiqua"/>
                <w:b/>
                <w:sz w:val="24"/>
                <w:szCs w:val="24"/>
              </w:rPr>
            </w:pPr>
            <w:r w:rsidRPr="00082ABB">
              <w:rPr>
                <w:rFonts w:ascii="Book Antiqua" w:hAnsi="Book Antiqua"/>
                <w:b/>
                <w:sz w:val="24"/>
                <w:szCs w:val="24"/>
              </w:rPr>
              <w:t>ORR</w:t>
            </w:r>
          </w:p>
        </w:tc>
        <w:tc>
          <w:tcPr>
            <w:tcW w:w="1134" w:type="dxa"/>
            <w:tcBorders>
              <w:top w:val="single" w:sz="4" w:space="0" w:color="auto"/>
              <w:bottom w:val="single" w:sz="4" w:space="0" w:color="auto"/>
            </w:tcBorders>
          </w:tcPr>
          <w:p w:rsidR="0085610D" w:rsidRPr="00082ABB" w:rsidRDefault="0085610D" w:rsidP="00F47B06">
            <w:pPr>
              <w:snapToGrid w:val="0"/>
              <w:spacing w:line="360" w:lineRule="auto"/>
              <w:jc w:val="center"/>
              <w:rPr>
                <w:rFonts w:ascii="Book Antiqua" w:hAnsi="Book Antiqua"/>
                <w:b/>
                <w:sz w:val="24"/>
                <w:szCs w:val="24"/>
              </w:rPr>
            </w:pPr>
            <w:r w:rsidRPr="00082ABB">
              <w:rPr>
                <w:rFonts w:ascii="Book Antiqua" w:hAnsi="Book Antiqua"/>
                <w:b/>
                <w:sz w:val="24"/>
                <w:szCs w:val="24"/>
              </w:rPr>
              <w:t>PFS</w:t>
            </w:r>
            <w:r w:rsidRPr="00082ABB">
              <w:rPr>
                <w:rFonts w:ascii="Book Antiqua" w:eastAsia="宋体" w:hAnsi="Book Antiqua"/>
                <w:b/>
                <w:sz w:val="24"/>
                <w:szCs w:val="24"/>
                <w:lang w:eastAsia="zh-CN"/>
              </w:rPr>
              <w:t xml:space="preserve"> </w:t>
            </w:r>
            <w:r w:rsidRPr="00082ABB">
              <w:rPr>
                <w:rFonts w:ascii="Book Antiqua" w:hAnsi="Book Antiqua"/>
                <w:b/>
                <w:sz w:val="24"/>
                <w:szCs w:val="24"/>
              </w:rPr>
              <w:t>(mo)</w:t>
            </w:r>
          </w:p>
        </w:tc>
        <w:tc>
          <w:tcPr>
            <w:tcW w:w="1163" w:type="dxa"/>
            <w:gridSpan w:val="2"/>
            <w:tcBorders>
              <w:top w:val="single" w:sz="4" w:space="0" w:color="auto"/>
              <w:bottom w:val="single" w:sz="4" w:space="0" w:color="auto"/>
            </w:tcBorders>
          </w:tcPr>
          <w:p w:rsidR="0085610D" w:rsidRPr="00082ABB" w:rsidRDefault="0085610D" w:rsidP="00F47B06">
            <w:pPr>
              <w:snapToGrid w:val="0"/>
              <w:spacing w:line="360" w:lineRule="auto"/>
              <w:jc w:val="center"/>
              <w:rPr>
                <w:rFonts w:ascii="Book Antiqua" w:hAnsi="Book Antiqua"/>
                <w:b/>
                <w:sz w:val="24"/>
                <w:szCs w:val="24"/>
              </w:rPr>
            </w:pPr>
            <w:r w:rsidRPr="00082ABB">
              <w:rPr>
                <w:rFonts w:ascii="Book Antiqua" w:hAnsi="Book Antiqua"/>
                <w:b/>
                <w:sz w:val="24"/>
                <w:szCs w:val="24"/>
              </w:rPr>
              <w:t>OS</w:t>
            </w:r>
            <w:r w:rsidRPr="00082ABB">
              <w:rPr>
                <w:rFonts w:ascii="Book Antiqua" w:eastAsia="宋体" w:hAnsi="Book Antiqua"/>
                <w:b/>
                <w:sz w:val="24"/>
                <w:szCs w:val="24"/>
                <w:lang w:eastAsia="zh-CN"/>
              </w:rPr>
              <w:t xml:space="preserve"> </w:t>
            </w:r>
            <w:r w:rsidRPr="00082ABB">
              <w:rPr>
                <w:rFonts w:ascii="Book Antiqua" w:hAnsi="Book Antiqua"/>
                <w:b/>
                <w:sz w:val="24"/>
                <w:szCs w:val="24"/>
              </w:rPr>
              <w:t>(mo)</w:t>
            </w:r>
          </w:p>
        </w:tc>
      </w:tr>
      <w:tr w:rsidR="00082ABB" w:rsidRPr="00082ABB" w:rsidTr="0085610D">
        <w:trPr>
          <w:gridAfter w:val="2"/>
          <w:wAfter w:w="312" w:type="dxa"/>
        </w:trPr>
        <w:tc>
          <w:tcPr>
            <w:tcW w:w="10037" w:type="dxa"/>
            <w:gridSpan w:val="6"/>
            <w:tcBorders>
              <w:top w:val="single" w:sz="4" w:space="0" w:color="auto"/>
            </w:tcBorders>
          </w:tcPr>
          <w:p w:rsidR="002C3B1B" w:rsidRPr="00082ABB" w:rsidRDefault="002C3B1B" w:rsidP="007061C9">
            <w:pPr>
              <w:snapToGrid w:val="0"/>
              <w:spacing w:line="360" w:lineRule="auto"/>
              <w:rPr>
                <w:rFonts w:ascii="Book Antiqua" w:hAnsi="Book Antiqua"/>
                <w:b/>
                <w:sz w:val="24"/>
                <w:szCs w:val="24"/>
              </w:rPr>
            </w:pPr>
            <w:r w:rsidRPr="00082ABB">
              <w:rPr>
                <w:rFonts w:ascii="Book Antiqua" w:hAnsi="Book Antiqua"/>
                <w:b/>
                <w:sz w:val="24"/>
                <w:szCs w:val="24"/>
              </w:rPr>
              <w:t xml:space="preserve">First-line </w:t>
            </w:r>
            <w:r w:rsidR="00F47B06" w:rsidRPr="00082ABB">
              <w:rPr>
                <w:rFonts w:ascii="Book Antiqua" w:hAnsi="Book Antiqua"/>
                <w:b/>
                <w:sz w:val="24"/>
                <w:szCs w:val="24"/>
              </w:rPr>
              <w:t>c</w:t>
            </w:r>
            <w:r w:rsidRPr="00082ABB">
              <w:rPr>
                <w:rFonts w:ascii="Book Antiqua" w:hAnsi="Book Antiqua"/>
                <w:b/>
                <w:sz w:val="24"/>
                <w:szCs w:val="24"/>
              </w:rPr>
              <w:t>hemotherapy</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AVF2017g</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IFL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402</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44.8%</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10.6</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20.3</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BICC-C</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FOLFIRI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57</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57.9%</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11.2</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28.0</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NO16966</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FOLFOX/CapeOX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699</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38%</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9.4</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21.3</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TREE-1/2</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FOLFOX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71</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52%</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9.9</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26.1</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CAIRO2</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CapeOX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378</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50%</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10.7</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20.3</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SOFT</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SOX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256</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61.5%</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11.7</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29.6</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TRIBE</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FOLFOXIRI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252</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65.1%</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12.1</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31.0</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eastAsia="宋体" w:hAnsi="Book Antiqua"/>
                <w:sz w:val="24"/>
                <w:szCs w:val="24"/>
                <w:lang w:eastAsia="zh-CN"/>
              </w:rPr>
            </w:pPr>
            <w:r w:rsidRPr="00082ABB">
              <w:rPr>
                <w:rFonts w:ascii="Book Antiqua" w:hAnsi="Book Antiqua"/>
                <w:sz w:val="24"/>
                <w:szCs w:val="24"/>
              </w:rPr>
              <w:t>AVEX</w:t>
            </w:r>
            <w:r w:rsidRPr="00082ABB">
              <w:rPr>
                <w:rFonts w:ascii="Book Antiqua" w:eastAsia="宋体" w:hAnsi="Book Antiqua"/>
                <w:sz w:val="24"/>
                <w:szCs w:val="24"/>
                <w:vertAlign w:val="superscript"/>
                <w:lang w:eastAsia="zh-CN"/>
              </w:rPr>
              <w:t>1</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Capecitabine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140</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19.3%</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9.1</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20.7</w:t>
            </w:r>
          </w:p>
        </w:tc>
      </w:tr>
      <w:tr w:rsidR="00082ABB" w:rsidRPr="00082ABB" w:rsidTr="0085610D">
        <w:trPr>
          <w:gridAfter w:val="2"/>
          <w:wAfter w:w="312" w:type="dxa"/>
        </w:trPr>
        <w:tc>
          <w:tcPr>
            <w:tcW w:w="10037" w:type="dxa"/>
            <w:gridSpan w:val="6"/>
          </w:tcPr>
          <w:p w:rsidR="002C3B1B" w:rsidRPr="00082ABB" w:rsidRDefault="002C3B1B" w:rsidP="007061C9">
            <w:pPr>
              <w:snapToGrid w:val="0"/>
              <w:spacing w:line="360" w:lineRule="auto"/>
              <w:rPr>
                <w:rFonts w:ascii="Book Antiqua" w:hAnsi="Book Antiqua"/>
                <w:sz w:val="24"/>
                <w:szCs w:val="24"/>
              </w:rPr>
            </w:pPr>
            <w:r w:rsidRPr="00082ABB">
              <w:rPr>
                <w:rFonts w:ascii="Book Antiqua" w:hAnsi="Book Antiqua"/>
                <w:sz w:val="24"/>
                <w:szCs w:val="24"/>
              </w:rPr>
              <w:t xml:space="preserve">Second-line, </w:t>
            </w:r>
            <w:r w:rsidR="00F47B06" w:rsidRPr="00082ABB">
              <w:rPr>
                <w:rFonts w:ascii="Book Antiqua" w:hAnsi="Book Antiqua"/>
                <w:sz w:val="24"/>
                <w:szCs w:val="24"/>
              </w:rPr>
              <w:t>s</w:t>
            </w:r>
            <w:r w:rsidRPr="00082ABB">
              <w:rPr>
                <w:rFonts w:ascii="Book Antiqua" w:hAnsi="Book Antiqua"/>
                <w:sz w:val="24"/>
                <w:szCs w:val="24"/>
              </w:rPr>
              <w:t xml:space="preserve">alvage-line </w:t>
            </w:r>
            <w:r w:rsidR="00F47B06" w:rsidRPr="00082ABB">
              <w:rPr>
                <w:rFonts w:ascii="Book Antiqua" w:hAnsi="Book Antiqua"/>
                <w:sz w:val="24"/>
                <w:szCs w:val="24"/>
              </w:rPr>
              <w:t>c</w:t>
            </w:r>
            <w:r w:rsidRPr="00082ABB">
              <w:rPr>
                <w:rFonts w:ascii="Book Antiqua" w:hAnsi="Book Antiqua"/>
                <w:sz w:val="24"/>
                <w:szCs w:val="24"/>
              </w:rPr>
              <w:t>hemotherapy, or beyond progression</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E3200</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FOLFOX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286</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22.7%</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7.3</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12.9</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ML18147</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Chemotherapy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410</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5.4%</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5.7</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11.2</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leftChars="114" w:left="239"/>
              <w:rPr>
                <w:rFonts w:ascii="Book Antiqua" w:hAnsi="Book Antiqua"/>
                <w:sz w:val="24"/>
                <w:szCs w:val="24"/>
              </w:rPr>
            </w:pPr>
            <w:r w:rsidRPr="00082ABB">
              <w:rPr>
                <w:rFonts w:ascii="Book Antiqua" w:hAnsi="Book Antiqua"/>
                <w:sz w:val="24"/>
                <w:szCs w:val="24"/>
              </w:rPr>
              <w:t>C-TASK FORCE</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TAS-102 + Bevacizumab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25</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4.0%</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5.6</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11.2</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VELOUR</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FOLFIRI + Aflibercept</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612</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19.8%</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6.9</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13.5</w:t>
            </w:r>
          </w:p>
        </w:tc>
      </w:tr>
      <w:tr w:rsidR="00082ABB" w:rsidRPr="00082ABB" w:rsidTr="00661BB7">
        <w:trPr>
          <w:gridAfter w:val="1"/>
          <w:wAfter w:w="284" w:type="dxa"/>
        </w:trPr>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RAISE</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FOLFIRI + Ramucirumab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536</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13.4%</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5.7</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13.3</w:t>
            </w:r>
          </w:p>
        </w:tc>
      </w:tr>
      <w:tr w:rsidR="00082ABB" w:rsidRPr="00082ABB" w:rsidTr="00661BB7">
        <w:trPr>
          <w:gridAfter w:val="1"/>
          <w:wAfter w:w="284" w:type="dxa"/>
        </w:trPr>
        <w:tc>
          <w:tcPr>
            <w:tcW w:w="1956" w:type="dxa"/>
            <w:tcBorders>
              <w:bottom w:val="single" w:sz="4" w:space="0" w:color="auto"/>
            </w:tcBorders>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CORRECT</w:t>
            </w:r>
          </w:p>
        </w:tc>
        <w:tc>
          <w:tcPr>
            <w:tcW w:w="3828" w:type="dxa"/>
            <w:tcBorders>
              <w:bottom w:val="single" w:sz="4" w:space="0" w:color="auto"/>
            </w:tcBorders>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Regorafenib</w:t>
            </w:r>
          </w:p>
        </w:tc>
        <w:tc>
          <w:tcPr>
            <w:tcW w:w="992" w:type="dxa"/>
            <w:tcBorders>
              <w:bottom w:val="single" w:sz="4" w:space="0" w:color="auto"/>
            </w:tcBorders>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505</w:t>
            </w:r>
          </w:p>
        </w:tc>
        <w:tc>
          <w:tcPr>
            <w:tcW w:w="992" w:type="dxa"/>
            <w:tcBorders>
              <w:bottom w:val="single" w:sz="4" w:space="0" w:color="auto"/>
            </w:tcBorders>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1.0%</w:t>
            </w:r>
          </w:p>
        </w:tc>
        <w:tc>
          <w:tcPr>
            <w:tcW w:w="1134" w:type="dxa"/>
            <w:tcBorders>
              <w:bottom w:val="single" w:sz="4" w:space="0" w:color="auto"/>
            </w:tcBorders>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1.9</w:t>
            </w:r>
          </w:p>
        </w:tc>
        <w:tc>
          <w:tcPr>
            <w:tcW w:w="1163" w:type="dxa"/>
            <w:gridSpan w:val="2"/>
            <w:tcBorders>
              <w:bottom w:val="single" w:sz="4" w:space="0" w:color="auto"/>
            </w:tcBorders>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6.4</w:t>
            </w:r>
          </w:p>
        </w:tc>
      </w:tr>
      <w:tr w:rsidR="00082ABB" w:rsidRPr="00082ABB" w:rsidTr="00661BB7">
        <w:tc>
          <w:tcPr>
            <w:tcW w:w="10349" w:type="dxa"/>
            <w:gridSpan w:val="8"/>
          </w:tcPr>
          <w:p w:rsidR="002C3B1B" w:rsidRPr="00082ABB" w:rsidRDefault="00F47B06" w:rsidP="009E1458">
            <w:pPr>
              <w:snapToGrid w:val="0"/>
              <w:spacing w:line="360" w:lineRule="auto"/>
              <w:rPr>
                <w:rFonts w:ascii="Book Antiqua" w:hAnsi="Book Antiqua"/>
                <w:sz w:val="24"/>
                <w:szCs w:val="24"/>
              </w:rPr>
            </w:pPr>
            <w:r w:rsidRPr="00082ABB">
              <w:rPr>
                <w:rFonts w:ascii="Book Antiqua" w:eastAsia="宋体" w:hAnsi="Book Antiqua"/>
                <w:sz w:val="24"/>
                <w:szCs w:val="24"/>
                <w:vertAlign w:val="superscript"/>
                <w:lang w:eastAsia="zh-CN"/>
              </w:rPr>
              <w:t>1</w:t>
            </w:r>
            <w:r w:rsidR="002C3B1B" w:rsidRPr="00082ABB">
              <w:rPr>
                <w:rFonts w:ascii="Book Antiqua" w:hAnsi="Book Antiqua"/>
                <w:sz w:val="24"/>
                <w:szCs w:val="24"/>
              </w:rPr>
              <w:t>AVEX trial enrolled mCRC pa</w:t>
            </w:r>
            <w:r w:rsidRPr="00082ABB">
              <w:rPr>
                <w:rFonts w:ascii="Book Antiqua" w:hAnsi="Book Antiqua"/>
                <w:sz w:val="24"/>
                <w:szCs w:val="24"/>
              </w:rPr>
              <w:t>tients aged 70 years and older.</w:t>
            </w:r>
            <w:r w:rsidRPr="00082ABB">
              <w:rPr>
                <w:rFonts w:ascii="Book Antiqua" w:eastAsia="宋体" w:hAnsi="Book Antiqua"/>
                <w:sz w:val="24"/>
                <w:szCs w:val="24"/>
                <w:lang w:eastAsia="zh-CN"/>
              </w:rPr>
              <w:t xml:space="preserve"> </w:t>
            </w:r>
            <w:r w:rsidR="002C3B1B" w:rsidRPr="00082ABB">
              <w:rPr>
                <w:rFonts w:ascii="Book Antiqua" w:hAnsi="Book Antiqua"/>
                <w:sz w:val="24"/>
                <w:szCs w:val="24"/>
              </w:rPr>
              <w:t xml:space="preserve">ORR: </w:t>
            </w:r>
            <w:r w:rsidR="002C3B1B" w:rsidRPr="00082ABB">
              <w:rPr>
                <w:rFonts w:ascii="Book Antiqua" w:hAnsi="Book Antiqua"/>
                <w:caps/>
                <w:sz w:val="24"/>
                <w:szCs w:val="24"/>
              </w:rPr>
              <w:t>o</w:t>
            </w:r>
            <w:r w:rsidR="009E1458">
              <w:rPr>
                <w:rFonts w:ascii="Book Antiqua" w:hAnsi="Book Antiqua"/>
                <w:sz w:val="24"/>
                <w:szCs w:val="24"/>
              </w:rPr>
              <w:t>bjective response rate; PFS: P</w:t>
            </w:r>
            <w:r w:rsidR="002C3B1B" w:rsidRPr="00082ABB">
              <w:rPr>
                <w:rFonts w:ascii="Book Antiqua" w:hAnsi="Book Antiqua"/>
                <w:sz w:val="24"/>
                <w:szCs w:val="24"/>
              </w:rPr>
              <w:t>rogression-free survival;</w:t>
            </w:r>
            <w:r w:rsidRPr="00082ABB">
              <w:rPr>
                <w:rFonts w:ascii="Book Antiqua" w:eastAsia="宋体" w:hAnsi="Book Antiqua"/>
                <w:sz w:val="24"/>
                <w:szCs w:val="24"/>
                <w:lang w:eastAsia="zh-CN"/>
              </w:rPr>
              <w:t xml:space="preserve"> </w:t>
            </w:r>
            <w:r w:rsidR="009E1458">
              <w:rPr>
                <w:rFonts w:ascii="Book Antiqua" w:hAnsi="Book Antiqua"/>
                <w:sz w:val="24"/>
                <w:szCs w:val="24"/>
              </w:rPr>
              <w:t>IFL: B</w:t>
            </w:r>
            <w:r w:rsidRPr="00082ABB">
              <w:rPr>
                <w:rFonts w:ascii="Book Antiqua" w:hAnsi="Book Antiqua"/>
                <w:sz w:val="24"/>
                <w:szCs w:val="24"/>
              </w:rPr>
              <w:t>olus 5-</w:t>
            </w:r>
            <w:r w:rsidR="002C3B1B" w:rsidRPr="00082ABB">
              <w:rPr>
                <w:rFonts w:ascii="Book Antiqua" w:hAnsi="Book Antiqua"/>
                <w:sz w:val="24"/>
                <w:szCs w:val="24"/>
              </w:rPr>
              <w:t>fluorouracil/leucovorin/irinotecan;</w:t>
            </w:r>
            <w:r w:rsidRPr="00082ABB">
              <w:rPr>
                <w:rFonts w:ascii="Book Antiqua" w:eastAsia="宋体" w:hAnsi="Book Antiqua"/>
                <w:sz w:val="24"/>
                <w:szCs w:val="24"/>
                <w:lang w:eastAsia="zh-CN"/>
              </w:rPr>
              <w:t xml:space="preserve"> </w:t>
            </w:r>
            <w:r w:rsidR="002C3B1B" w:rsidRPr="00082ABB">
              <w:rPr>
                <w:rFonts w:ascii="Book Antiqua" w:hAnsi="Book Antiqua"/>
                <w:sz w:val="24"/>
                <w:szCs w:val="24"/>
              </w:rPr>
              <w:t xml:space="preserve">FOLFIRI: </w:t>
            </w:r>
            <w:r w:rsidR="002C3B1B" w:rsidRPr="00082ABB">
              <w:rPr>
                <w:rFonts w:ascii="Book Antiqua" w:hAnsi="Book Antiqua"/>
                <w:caps/>
                <w:sz w:val="24"/>
                <w:szCs w:val="24"/>
              </w:rPr>
              <w:t>b</w:t>
            </w:r>
            <w:r w:rsidR="002C3B1B" w:rsidRPr="00082ABB">
              <w:rPr>
                <w:rFonts w:ascii="Book Antiqua" w:hAnsi="Book Antiqua"/>
                <w:sz w:val="24"/>
                <w:szCs w:val="24"/>
              </w:rPr>
              <w:t>olus and infusional 5-fluorouracil/leucovorin/irinotecan;</w:t>
            </w:r>
            <w:r w:rsidRPr="00082ABB">
              <w:rPr>
                <w:rFonts w:ascii="Book Antiqua" w:eastAsia="宋体" w:hAnsi="Book Antiqua"/>
                <w:sz w:val="24"/>
                <w:szCs w:val="24"/>
                <w:lang w:eastAsia="zh-CN"/>
              </w:rPr>
              <w:t xml:space="preserve"> </w:t>
            </w:r>
            <w:r w:rsidR="002C3B1B" w:rsidRPr="00082ABB">
              <w:rPr>
                <w:rFonts w:ascii="Book Antiqua" w:hAnsi="Book Antiqua"/>
                <w:sz w:val="24"/>
                <w:szCs w:val="24"/>
              </w:rPr>
              <w:t xml:space="preserve">FOLFOX: </w:t>
            </w:r>
            <w:r w:rsidR="002C3B1B" w:rsidRPr="00082ABB">
              <w:rPr>
                <w:rFonts w:ascii="Book Antiqua" w:hAnsi="Book Antiqua"/>
                <w:caps/>
                <w:sz w:val="24"/>
                <w:szCs w:val="24"/>
              </w:rPr>
              <w:t>b</w:t>
            </w:r>
            <w:r w:rsidR="002C3B1B" w:rsidRPr="00082ABB">
              <w:rPr>
                <w:rFonts w:ascii="Book Antiqua" w:hAnsi="Book Antiqua"/>
                <w:sz w:val="24"/>
                <w:szCs w:val="24"/>
              </w:rPr>
              <w:t>olus and infusional 5-fluorouracil/leucovorin/oxaliplatin;</w:t>
            </w:r>
            <w:r w:rsidRPr="00082ABB">
              <w:rPr>
                <w:rFonts w:ascii="Book Antiqua" w:eastAsia="宋体" w:hAnsi="Book Antiqua"/>
                <w:sz w:val="24"/>
                <w:szCs w:val="24"/>
                <w:lang w:eastAsia="zh-CN"/>
              </w:rPr>
              <w:t xml:space="preserve"> </w:t>
            </w:r>
            <w:r w:rsidR="002C3B1B" w:rsidRPr="00082ABB">
              <w:rPr>
                <w:rFonts w:ascii="Book Antiqua" w:hAnsi="Book Antiqua"/>
                <w:sz w:val="24"/>
                <w:szCs w:val="24"/>
              </w:rPr>
              <w:t xml:space="preserve">CapeOX: </w:t>
            </w:r>
            <w:r w:rsidR="002C3B1B" w:rsidRPr="00082ABB">
              <w:rPr>
                <w:rFonts w:ascii="Book Antiqua" w:hAnsi="Book Antiqua"/>
                <w:caps/>
                <w:sz w:val="24"/>
                <w:szCs w:val="24"/>
              </w:rPr>
              <w:t>c</w:t>
            </w:r>
            <w:r w:rsidR="002C3B1B" w:rsidRPr="00082ABB">
              <w:rPr>
                <w:rFonts w:ascii="Book Antiqua" w:hAnsi="Book Antiqua"/>
                <w:sz w:val="24"/>
                <w:szCs w:val="24"/>
              </w:rPr>
              <w:t>apecitabine/oxaliplatin; SOX: S-1</w:t>
            </w:r>
            <w:r w:rsidR="0038538A">
              <w:rPr>
                <w:rFonts w:ascii="Book Antiqua" w:hAnsi="Book Antiqua"/>
                <w:sz w:val="24"/>
                <w:szCs w:val="24"/>
              </w:rPr>
              <w:t xml:space="preserve"> </w:t>
            </w:r>
            <w:r w:rsidR="002C3B1B" w:rsidRPr="00082ABB">
              <w:rPr>
                <w:rFonts w:ascii="Book Antiqua" w:hAnsi="Book Antiqua"/>
                <w:sz w:val="24"/>
                <w:szCs w:val="24"/>
              </w:rPr>
              <w:t xml:space="preserve">(tegafur/gimeracil/oteracil)/oxaliplatin; FOLFOXIRI: </w:t>
            </w:r>
            <w:r w:rsidR="002C3B1B" w:rsidRPr="00082ABB">
              <w:rPr>
                <w:rFonts w:ascii="Book Antiqua" w:hAnsi="Book Antiqua"/>
                <w:caps/>
                <w:sz w:val="24"/>
                <w:szCs w:val="24"/>
              </w:rPr>
              <w:t>b</w:t>
            </w:r>
            <w:r w:rsidR="002C3B1B" w:rsidRPr="00082ABB">
              <w:rPr>
                <w:rFonts w:ascii="Book Antiqua" w:hAnsi="Book Antiqua"/>
                <w:sz w:val="24"/>
                <w:szCs w:val="24"/>
              </w:rPr>
              <w:t>olus and infusional 5-fluorouracil/leucovorin/irinotecan/oxaliplatin</w:t>
            </w:r>
            <w:r w:rsidR="009E1458">
              <w:rPr>
                <w:rFonts w:ascii="Book Antiqua" w:eastAsia="宋体" w:hAnsi="Book Antiqua"/>
                <w:sz w:val="24"/>
                <w:szCs w:val="24"/>
                <w:lang w:eastAsia="zh-CN"/>
              </w:rPr>
              <w:t>;</w:t>
            </w:r>
            <w:r w:rsidRPr="00082ABB">
              <w:rPr>
                <w:rFonts w:ascii="Book Antiqua" w:eastAsia="宋体" w:hAnsi="Book Antiqua"/>
                <w:sz w:val="24"/>
                <w:szCs w:val="24"/>
                <w:lang w:eastAsia="zh-CN"/>
              </w:rPr>
              <w:t xml:space="preserve"> </w:t>
            </w:r>
            <w:r w:rsidRPr="00082ABB">
              <w:rPr>
                <w:rFonts w:ascii="Book Antiqua" w:hAnsi="Book Antiqua"/>
                <w:sz w:val="24"/>
                <w:szCs w:val="24"/>
              </w:rPr>
              <w:t xml:space="preserve">OS: </w:t>
            </w:r>
            <w:r w:rsidRPr="00082ABB">
              <w:rPr>
                <w:rFonts w:ascii="Book Antiqua" w:hAnsi="Book Antiqua"/>
                <w:caps/>
                <w:sz w:val="24"/>
                <w:szCs w:val="24"/>
              </w:rPr>
              <w:t>o</w:t>
            </w:r>
            <w:r w:rsidR="00A75629">
              <w:rPr>
                <w:rFonts w:ascii="Book Antiqua" w:hAnsi="Book Antiqua"/>
                <w:sz w:val="24"/>
                <w:szCs w:val="24"/>
              </w:rPr>
              <w:t>verall survival.</w:t>
            </w:r>
          </w:p>
        </w:tc>
      </w:tr>
    </w:tbl>
    <w:p w:rsidR="00F47B06" w:rsidRPr="00082ABB" w:rsidRDefault="00F47B06" w:rsidP="007061C9">
      <w:pPr>
        <w:snapToGrid w:val="0"/>
        <w:spacing w:line="360" w:lineRule="auto"/>
        <w:rPr>
          <w:rFonts w:ascii="Book Antiqua" w:hAnsi="Book Antiqua"/>
          <w:sz w:val="24"/>
          <w:szCs w:val="24"/>
        </w:rPr>
      </w:pPr>
    </w:p>
    <w:p w:rsidR="002C3B1B" w:rsidRPr="00082ABB" w:rsidRDefault="002C3B1B" w:rsidP="007061C9">
      <w:pPr>
        <w:snapToGrid w:val="0"/>
        <w:spacing w:line="360" w:lineRule="auto"/>
        <w:rPr>
          <w:rFonts w:ascii="Book Antiqua" w:hAnsi="Book Antiqua"/>
          <w:b/>
          <w:sz w:val="24"/>
          <w:szCs w:val="24"/>
        </w:rPr>
      </w:pPr>
      <w:r w:rsidRPr="00082ABB">
        <w:rPr>
          <w:rFonts w:ascii="Book Antiqua" w:hAnsi="Book Antiqua"/>
          <w:b/>
          <w:sz w:val="24"/>
          <w:szCs w:val="24"/>
        </w:rPr>
        <w:t>Table 2</w:t>
      </w:r>
      <w:r w:rsidR="00F47B06" w:rsidRPr="00082ABB">
        <w:rPr>
          <w:rFonts w:ascii="Book Antiqua" w:eastAsia="宋体" w:hAnsi="Book Antiqua"/>
          <w:b/>
          <w:sz w:val="24"/>
          <w:szCs w:val="24"/>
          <w:lang w:eastAsia="zh-CN"/>
        </w:rPr>
        <w:t xml:space="preserve"> </w:t>
      </w:r>
      <w:r w:rsidRPr="00082ABB">
        <w:rPr>
          <w:rFonts w:ascii="Book Antiqua" w:hAnsi="Book Antiqua"/>
          <w:b/>
          <w:sz w:val="24"/>
          <w:szCs w:val="24"/>
        </w:rPr>
        <w:t>Clinical trials of anti-</w:t>
      </w:r>
      <w:r w:rsidR="00F47B06" w:rsidRPr="00082ABB">
        <w:rPr>
          <w:rFonts w:ascii="Book Antiqua" w:hAnsi="Book Antiqua"/>
          <w:b/>
          <w:sz w:val="24"/>
          <w:szCs w:val="24"/>
        </w:rPr>
        <w:t>epidermal growth factor receptor</w:t>
      </w:r>
      <w:r w:rsidRPr="00082ABB">
        <w:rPr>
          <w:rFonts w:ascii="Book Antiqua" w:hAnsi="Book Antiqua"/>
          <w:b/>
          <w:sz w:val="24"/>
          <w:szCs w:val="24"/>
        </w:rPr>
        <w:t xml:space="preserve"> therapies in </w:t>
      </w:r>
      <w:r w:rsidR="00F47B06" w:rsidRPr="00082ABB">
        <w:rPr>
          <w:rFonts w:ascii="Book Antiqua" w:hAnsi="Book Antiqua"/>
          <w:b/>
          <w:sz w:val="24"/>
          <w:szCs w:val="24"/>
        </w:rPr>
        <w:lastRenderedPageBreak/>
        <w:t>metastatic colorectal cancer</w:t>
      </w:r>
      <w:r w:rsidRPr="00082ABB">
        <w:rPr>
          <w:rFonts w:ascii="Book Antiqua" w:hAnsi="Book Antiqua"/>
          <w:b/>
          <w:sz w:val="24"/>
          <w:szCs w:val="24"/>
        </w:rPr>
        <w:t xml:space="preserve"> with </w:t>
      </w:r>
      <w:r w:rsidRPr="00082ABB">
        <w:rPr>
          <w:rFonts w:ascii="Book Antiqua" w:hAnsi="Book Antiqua"/>
          <w:b/>
          <w:i/>
          <w:sz w:val="24"/>
          <w:szCs w:val="24"/>
        </w:rPr>
        <w:t>KRAS</w:t>
      </w:r>
      <w:r w:rsidRPr="00082ABB">
        <w:rPr>
          <w:rFonts w:ascii="Book Antiqua" w:hAnsi="Book Antiqua"/>
          <w:b/>
          <w:sz w:val="24"/>
          <w:szCs w:val="24"/>
        </w:rPr>
        <w:t xml:space="preserve"> wild type</w:t>
      </w:r>
    </w:p>
    <w:tbl>
      <w:tblPr>
        <w:tblW w:w="10065" w:type="dxa"/>
        <w:tblInd w:w="-998" w:type="dxa"/>
        <w:tblLayout w:type="fixed"/>
        <w:tblLook w:val="00A0" w:firstRow="1" w:lastRow="0" w:firstColumn="1" w:lastColumn="0" w:noHBand="0" w:noVBand="0"/>
      </w:tblPr>
      <w:tblGrid>
        <w:gridCol w:w="1956"/>
        <w:gridCol w:w="3828"/>
        <w:gridCol w:w="992"/>
        <w:gridCol w:w="992"/>
        <w:gridCol w:w="1134"/>
        <w:gridCol w:w="1135"/>
        <w:gridCol w:w="28"/>
      </w:tblGrid>
      <w:tr w:rsidR="00082ABB" w:rsidRPr="00082ABB" w:rsidTr="0085610D">
        <w:tc>
          <w:tcPr>
            <w:tcW w:w="1956" w:type="dxa"/>
            <w:tcBorders>
              <w:top w:val="single" w:sz="4" w:space="0" w:color="auto"/>
              <w:bottom w:val="single" w:sz="4" w:space="0" w:color="auto"/>
            </w:tcBorders>
          </w:tcPr>
          <w:p w:rsidR="0085610D" w:rsidRPr="00082ABB" w:rsidRDefault="0085610D" w:rsidP="007061C9">
            <w:pPr>
              <w:snapToGrid w:val="0"/>
              <w:spacing w:line="360" w:lineRule="auto"/>
              <w:rPr>
                <w:rFonts w:ascii="Book Antiqua" w:hAnsi="Book Antiqua"/>
                <w:b/>
                <w:sz w:val="24"/>
                <w:szCs w:val="24"/>
              </w:rPr>
            </w:pPr>
            <w:r w:rsidRPr="00082ABB">
              <w:rPr>
                <w:rFonts w:ascii="Book Antiqua" w:hAnsi="Book Antiqua"/>
                <w:b/>
                <w:sz w:val="24"/>
                <w:szCs w:val="24"/>
              </w:rPr>
              <w:t>Trial name</w:t>
            </w:r>
          </w:p>
        </w:tc>
        <w:tc>
          <w:tcPr>
            <w:tcW w:w="3828" w:type="dxa"/>
            <w:tcBorders>
              <w:top w:val="single" w:sz="4" w:space="0" w:color="auto"/>
              <w:bottom w:val="single" w:sz="4" w:space="0" w:color="auto"/>
            </w:tcBorders>
          </w:tcPr>
          <w:p w:rsidR="0085610D" w:rsidRPr="00082ABB" w:rsidRDefault="0085610D" w:rsidP="003119FD">
            <w:pPr>
              <w:snapToGrid w:val="0"/>
              <w:spacing w:line="360" w:lineRule="auto"/>
              <w:jc w:val="center"/>
              <w:rPr>
                <w:rFonts w:ascii="Book Antiqua" w:hAnsi="Book Antiqua"/>
                <w:b/>
                <w:sz w:val="24"/>
                <w:szCs w:val="24"/>
              </w:rPr>
            </w:pPr>
            <w:r w:rsidRPr="00082ABB">
              <w:rPr>
                <w:rFonts w:ascii="Book Antiqua" w:hAnsi="Book Antiqua"/>
                <w:b/>
                <w:caps/>
                <w:sz w:val="24"/>
                <w:szCs w:val="24"/>
              </w:rPr>
              <w:t>r</w:t>
            </w:r>
            <w:r w:rsidRPr="00082ABB">
              <w:rPr>
                <w:rFonts w:ascii="Book Antiqua" w:hAnsi="Book Antiqua"/>
                <w:b/>
                <w:sz w:val="24"/>
                <w:szCs w:val="24"/>
              </w:rPr>
              <w:t>egimens</w:t>
            </w:r>
          </w:p>
        </w:tc>
        <w:tc>
          <w:tcPr>
            <w:tcW w:w="992" w:type="dxa"/>
            <w:tcBorders>
              <w:top w:val="single" w:sz="4" w:space="0" w:color="auto"/>
              <w:bottom w:val="single" w:sz="4" w:space="0" w:color="auto"/>
            </w:tcBorders>
          </w:tcPr>
          <w:p w:rsidR="0085610D" w:rsidRPr="00082ABB" w:rsidRDefault="0085610D" w:rsidP="007061C9">
            <w:pPr>
              <w:snapToGrid w:val="0"/>
              <w:spacing w:line="360" w:lineRule="auto"/>
              <w:rPr>
                <w:rFonts w:ascii="Book Antiqua" w:hAnsi="Book Antiqua"/>
                <w:b/>
                <w:sz w:val="24"/>
                <w:szCs w:val="24"/>
              </w:rPr>
            </w:pPr>
            <w:r w:rsidRPr="00082ABB">
              <w:rPr>
                <w:rFonts w:ascii="Book Antiqua" w:hAnsi="Book Antiqua"/>
                <w:b/>
                <w:sz w:val="24"/>
                <w:szCs w:val="24"/>
              </w:rPr>
              <w:t>N</w:t>
            </w:r>
          </w:p>
          <w:p w:rsidR="0085610D" w:rsidRPr="00082ABB" w:rsidRDefault="0085610D" w:rsidP="007061C9">
            <w:pPr>
              <w:snapToGrid w:val="0"/>
              <w:spacing w:line="360" w:lineRule="auto"/>
              <w:rPr>
                <w:rFonts w:ascii="Book Antiqua" w:hAnsi="Book Antiqua"/>
                <w:b/>
                <w:sz w:val="24"/>
                <w:szCs w:val="24"/>
              </w:rPr>
            </w:pPr>
          </w:p>
        </w:tc>
        <w:tc>
          <w:tcPr>
            <w:tcW w:w="992" w:type="dxa"/>
            <w:tcBorders>
              <w:top w:val="single" w:sz="4" w:space="0" w:color="auto"/>
              <w:bottom w:val="single" w:sz="4" w:space="0" w:color="auto"/>
            </w:tcBorders>
          </w:tcPr>
          <w:p w:rsidR="0085610D" w:rsidRPr="00082ABB" w:rsidRDefault="0085610D" w:rsidP="007061C9">
            <w:pPr>
              <w:snapToGrid w:val="0"/>
              <w:spacing w:line="360" w:lineRule="auto"/>
              <w:rPr>
                <w:rFonts w:ascii="Book Antiqua" w:hAnsi="Book Antiqua"/>
                <w:b/>
                <w:sz w:val="24"/>
                <w:szCs w:val="24"/>
              </w:rPr>
            </w:pPr>
            <w:r w:rsidRPr="00082ABB">
              <w:rPr>
                <w:rFonts w:ascii="Book Antiqua" w:hAnsi="Book Antiqua"/>
                <w:b/>
                <w:sz w:val="24"/>
                <w:szCs w:val="24"/>
              </w:rPr>
              <w:t>ORR</w:t>
            </w:r>
          </w:p>
        </w:tc>
        <w:tc>
          <w:tcPr>
            <w:tcW w:w="1134" w:type="dxa"/>
            <w:tcBorders>
              <w:top w:val="single" w:sz="4" w:space="0" w:color="auto"/>
              <w:bottom w:val="single" w:sz="4" w:space="0" w:color="auto"/>
            </w:tcBorders>
          </w:tcPr>
          <w:p w:rsidR="0085610D" w:rsidRPr="00082ABB" w:rsidRDefault="0085610D" w:rsidP="00F47B06">
            <w:pPr>
              <w:snapToGrid w:val="0"/>
              <w:spacing w:line="360" w:lineRule="auto"/>
              <w:rPr>
                <w:rFonts w:ascii="Book Antiqua" w:hAnsi="Book Antiqua"/>
                <w:b/>
                <w:sz w:val="24"/>
                <w:szCs w:val="24"/>
              </w:rPr>
            </w:pPr>
            <w:r w:rsidRPr="00082ABB">
              <w:rPr>
                <w:rFonts w:ascii="Book Antiqua" w:hAnsi="Book Antiqua"/>
                <w:b/>
                <w:sz w:val="24"/>
                <w:szCs w:val="24"/>
              </w:rPr>
              <w:t>PFS</w:t>
            </w:r>
            <w:r w:rsidRPr="00082ABB">
              <w:rPr>
                <w:rFonts w:ascii="Book Antiqua" w:eastAsia="宋体" w:hAnsi="Book Antiqua"/>
                <w:b/>
                <w:sz w:val="24"/>
                <w:szCs w:val="24"/>
                <w:lang w:eastAsia="zh-CN"/>
              </w:rPr>
              <w:t xml:space="preserve"> </w:t>
            </w:r>
            <w:r w:rsidRPr="00082ABB">
              <w:rPr>
                <w:rFonts w:ascii="Book Antiqua" w:hAnsi="Book Antiqua"/>
                <w:b/>
                <w:sz w:val="24"/>
                <w:szCs w:val="24"/>
              </w:rPr>
              <w:t>(mo)</w:t>
            </w:r>
          </w:p>
        </w:tc>
        <w:tc>
          <w:tcPr>
            <w:tcW w:w="1163" w:type="dxa"/>
            <w:gridSpan w:val="2"/>
            <w:tcBorders>
              <w:top w:val="single" w:sz="4" w:space="0" w:color="auto"/>
              <w:bottom w:val="single" w:sz="4" w:space="0" w:color="auto"/>
            </w:tcBorders>
          </w:tcPr>
          <w:p w:rsidR="0085610D" w:rsidRPr="00082ABB" w:rsidRDefault="0085610D" w:rsidP="00F47B06">
            <w:pPr>
              <w:snapToGrid w:val="0"/>
              <w:spacing w:line="360" w:lineRule="auto"/>
              <w:rPr>
                <w:rFonts w:ascii="Book Antiqua" w:hAnsi="Book Antiqua"/>
                <w:b/>
                <w:sz w:val="24"/>
                <w:szCs w:val="24"/>
              </w:rPr>
            </w:pPr>
            <w:r w:rsidRPr="00082ABB">
              <w:rPr>
                <w:rFonts w:ascii="Book Antiqua" w:hAnsi="Book Antiqua"/>
                <w:b/>
                <w:sz w:val="24"/>
                <w:szCs w:val="24"/>
              </w:rPr>
              <w:t>OS</w:t>
            </w:r>
            <w:r w:rsidRPr="00082ABB">
              <w:rPr>
                <w:rFonts w:ascii="Book Antiqua" w:eastAsia="宋体" w:hAnsi="Book Antiqua"/>
                <w:b/>
                <w:sz w:val="24"/>
                <w:szCs w:val="24"/>
                <w:lang w:eastAsia="zh-CN"/>
              </w:rPr>
              <w:t xml:space="preserve"> </w:t>
            </w:r>
            <w:r w:rsidRPr="00082ABB">
              <w:rPr>
                <w:rFonts w:ascii="Book Antiqua" w:hAnsi="Book Antiqua"/>
                <w:b/>
                <w:sz w:val="24"/>
                <w:szCs w:val="24"/>
              </w:rPr>
              <w:t>(mo)</w:t>
            </w:r>
          </w:p>
        </w:tc>
      </w:tr>
      <w:tr w:rsidR="00082ABB" w:rsidRPr="00082ABB" w:rsidTr="0085610D">
        <w:trPr>
          <w:gridAfter w:val="1"/>
          <w:wAfter w:w="28" w:type="dxa"/>
        </w:trPr>
        <w:tc>
          <w:tcPr>
            <w:tcW w:w="10037" w:type="dxa"/>
            <w:gridSpan w:val="6"/>
            <w:tcBorders>
              <w:top w:val="single" w:sz="4" w:space="0" w:color="auto"/>
            </w:tcBorders>
          </w:tcPr>
          <w:p w:rsidR="002C3B1B" w:rsidRPr="00082ABB" w:rsidRDefault="002C3B1B" w:rsidP="007061C9">
            <w:pPr>
              <w:snapToGrid w:val="0"/>
              <w:spacing w:line="360" w:lineRule="auto"/>
              <w:rPr>
                <w:rFonts w:ascii="Book Antiqua" w:hAnsi="Book Antiqua"/>
                <w:sz w:val="24"/>
                <w:szCs w:val="24"/>
              </w:rPr>
            </w:pPr>
            <w:r w:rsidRPr="00082ABB">
              <w:rPr>
                <w:rFonts w:ascii="Book Antiqua" w:hAnsi="Book Antiqua"/>
                <w:sz w:val="24"/>
                <w:szCs w:val="24"/>
              </w:rPr>
              <w:t xml:space="preserve">First-line </w:t>
            </w:r>
            <w:r w:rsidR="00F47B06" w:rsidRPr="00082ABB">
              <w:rPr>
                <w:rFonts w:ascii="Book Antiqua" w:hAnsi="Book Antiqua"/>
                <w:sz w:val="24"/>
                <w:szCs w:val="24"/>
              </w:rPr>
              <w:t>c</w:t>
            </w:r>
            <w:r w:rsidRPr="00082ABB">
              <w:rPr>
                <w:rFonts w:ascii="Book Antiqua" w:hAnsi="Book Antiqua"/>
                <w:sz w:val="24"/>
                <w:szCs w:val="24"/>
              </w:rPr>
              <w:t>hemotherapy</w:t>
            </w:r>
          </w:p>
        </w:tc>
      </w:tr>
      <w:tr w:rsidR="00082ABB" w:rsidRPr="00082ABB" w:rsidTr="0085610D">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CRYSTAL</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FOLFIRI + Cetuximab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316</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57.3%</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9.9</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23.5</w:t>
            </w:r>
          </w:p>
        </w:tc>
      </w:tr>
      <w:tr w:rsidR="00082ABB" w:rsidRPr="00082ABB" w:rsidTr="0085610D">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OPUS</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FOLFOX + Cetuximab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159</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57%</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8.3</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22.8</w:t>
            </w:r>
          </w:p>
        </w:tc>
      </w:tr>
      <w:tr w:rsidR="00082ABB" w:rsidRPr="00082ABB" w:rsidTr="0085610D">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COIN</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FOLFOX/CapeOX + Cetuximab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362</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64%</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8.6</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17.0</w:t>
            </w:r>
          </w:p>
        </w:tc>
      </w:tr>
      <w:tr w:rsidR="00082ABB" w:rsidRPr="00082ABB" w:rsidTr="0085610D">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NORDIC-VII</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FLOX + Cetuximab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97</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46%</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7.9</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20.1</w:t>
            </w:r>
          </w:p>
        </w:tc>
      </w:tr>
      <w:tr w:rsidR="00082ABB" w:rsidRPr="00082ABB" w:rsidTr="0085610D">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PRIME</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FOLFOX + Panitumumab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325</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55%</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9.6</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23.9</w:t>
            </w:r>
          </w:p>
        </w:tc>
      </w:tr>
      <w:tr w:rsidR="00082ABB" w:rsidRPr="00082ABB" w:rsidTr="0085610D">
        <w:trPr>
          <w:gridAfter w:val="1"/>
          <w:wAfter w:w="28" w:type="dxa"/>
        </w:trPr>
        <w:tc>
          <w:tcPr>
            <w:tcW w:w="10037" w:type="dxa"/>
            <w:gridSpan w:val="6"/>
          </w:tcPr>
          <w:p w:rsidR="002C3B1B" w:rsidRPr="00082ABB" w:rsidRDefault="002C3B1B" w:rsidP="007061C9">
            <w:pPr>
              <w:snapToGrid w:val="0"/>
              <w:spacing w:line="360" w:lineRule="auto"/>
              <w:rPr>
                <w:rFonts w:ascii="Book Antiqua" w:hAnsi="Book Antiqua"/>
                <w:sz w:val="24"/>
                <w:szCs w:val="24"/>
              </w:rPr>
            </w:pPr>
            <w:r w:rsidRPr="00082ABB">
              <w:rPr>
                <w:rFonts w:ascii="Book Antiqua" w:hAnsi="Book Antiqua"/>
                <w:sz w:val="24"/>
                <w:szCs w:val="24"/>
              </w:rPr>
              <w:t xml:space="preserve">Second-line, </w:t>
            </w:r>
            <w:r w:rsidR="00F47B06" w:rsidRPr="00082ABB">
              <w:rPr>
                <w:rFonts w:ascii="Book Antiqua" w:hAnsi="Book Antiqua"/>
                <w:sz w:val="24"/>
                <w:szCs w:val="24"/>
              </w:rPr>
              <w:t>s</w:t>
            </w:r>
            <w:r w:rsidRPr="00082ABB">
              <w:rPr>
                <w:rFonts w:ascii="Book Antiqua" w:hAnsi="Book Antiqua"/>
                <w:sz w:val="24"/>
                <w:szCs w:val="24"/>
              </w:rPr>
              <w:t xml:space="preserve">alvage-line </w:t>
            </w:r>
            <w:r w:rsidR="00F47B06" w:rsidRPr="00082ABB">
              <w:rPr>
                <w:rFonts w:ascii="Book Antiqua" w:hAnsi="Book Antiqua"/>
                <w:sz w:val="24"/>
                <w:szCs w:val="24"/>
              </w:rPr>
              <w:t>c</w:t>
            </w:r>
            <w:r w:rsidRPr="00082ABB">
              <w:rPr>
                <w:rFonts w:ascii="Book Antiqua" w:hAnsi="Book Antiqua"/>
                <w:sz w:val="24"/>
                <w:szCs w:val="24"/>
              </w:rPr>
              <w:t>hemotherapy, or beyond progression</w:t>
            </w:r>
          </w:p>
        </w:tc>
      </w:tr>
      <w:tr w:rsidR="00082ABB" w:rsidRPr="00082ABB" w:rsidTr="0085610D">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20050181 trial</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FOLFIRI + Panitumumab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303</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36%</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6.7</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14.5</w:t>
            </w:r>
          </w:p>
        </w:tc>
      </w:tr>
      <w:tr w:rsidR="00082ABB" w:rsidRPr="00082ABB" w:rsidTr="0085610D">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PICCOLO</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Irinotecan + Panitumumab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230</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34%</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5.5</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10.4</w:t>
            </w:r>
          </w:p>
        </w:tc>
      </w:tr>
      <w:tr w:rsidR="00082ABB" w:rsidRPr="00082ABB" w:rsidTr="0085610D">
        <w:tc>
          <w:tcPr>
            <w:tcW w:w="1956" w:type="dxa"/>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CO.17</w:t>
            </w:r>
          </w:p>
        </w:tc>
        <w:tc>
          <w:tcPr>
            <w:tcW w:w="3828"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Cetuximab</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117</w:t>
            </w:r>
          </w:p>
        </w:tc>
        <w:tc>
          <w:tcPr>
            <w:tcW w:w="992"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13%</w:t>
            </w:r>
          </w:p>
        </w:tc>
        <w:tc>
          <w:tcPr>
            <w:tcW w:w="1134" w:type="dxa"/>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3.7</w:t>
            </w:r>
          </w:p>
        </w:tc>
        <w:tc>
          <w:tcPr>
            <w:tcW w:w="1163" w:type="dxa"/>
            <w:gridSpan w:val="2"/>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9.5</w:t>
            </w:r>
          </w:p>
        </w:tc>
      </w:tr>
      <w:tr w:rsidR="00082ABB" w:rsidRPr="00082ABB" w:rsidTr="0085610D">
        <w:tc>
          <w:tcPr>
            <w:tcW w:w="1956" w:type="dxa"/>
            <w:tcBorders>
              <w:bottom w:val="single" w:sz="4" w:space="0" w:color="auto"/>
            </w:tcBorders>
          </w:tcPr>
          <w:p w:rsidR="00F47B06" w:rsidRPr="00082ABB" w:rsidRDefault="00F47B06" w:rsidP="00F47B06">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20020408 trial</w:t>
            </w:r>
          </w:p>
        </w:tc>
        <w:tc>
          <w:tcPr>
            <w:tcW w:w="3828" w:type="dxa"/>
            <w:tcBorders>
              <w:bottom w:val="single" w:sz="4" w:space="0" w:color="auto"/>
            </w:tcBorders>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Panitumumab</w:t>
            </w:r>
          </w:p>
        </w:tc>
        <w:tc>
          <w:tcPr>
            <w:tcW w:w="992" w:type="dxa"/>
            <w:tcBorders>
              <w:bottom w:val="single" w:sz="4" w:space="0" w:color="auto"/>
            </w:tcBorders>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124</w:t>
            </w:r>
          </w:p>
        </w:tc>
        <w:tc>
          <w:tcPr>
            <w:tcW w:w="992" w:type="dxa"/>
            <w:tcBorders>
              <w:bottom w:val="single" w:sz="4" w:space="0" w:color="auto"/>
            </w:tcBorders>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17%</w:t>
            </w:r>
          </w:p>
        </w:tc>
        <w:tc>
          <w:tcPr>
            <w:tcW w:w="1134" w:type="dxa"/>
            <w:tcBorders>
              <w:bottom w:val="single" w:sz="4" w:space="0" w:color="auto"/>
            </w:tcBorders>
          </w:tcPr>
          <w:p w:rsidR="00F47B06" w:rsidRPr="00082ABB" w:rsidRDefault="00F47B06" w:rsidP="00F47B06">
            <w:pPr>
              <w:snapToGrid w:val="0"/>
              <w:spacing w:line="360" w:lineRule="auto"/>
              <w:jc w:val="center"/>
              <w:rPr>
                <w:rFonts w:ascii="Book Antiqua" w:eastAsia="宋体" w:hAnsi="Book Antiqua"/>
                <w:sz w:val="24"/>
                <w:szCs w:val="24"/>
                <w:lang w:eastAsia="zh-CN"/>
              </w:rPr>
            </w:pPr>
            <w:r w:rsidRPr="00082ABB">
              <w:rPr>
                <w:rFonts w:ascii="Book Antiqua" w:hAnsi="Book Antiqua"/>
                <w:sz w:val="24"/>
                <w:szCs w:val="24"/>
              </w:rPr>
              <w:t>12.3 wk</w:t>
            </w:r>
          </w:p>
        </w:tc>
        <w:tc>
          <w:tcPr>
            <w:tcW w:w="1163" w:type="dxa"/>
            <w:gridSpan w:val="2"/>
            <w:tcBorders>
              <w:bottom w:val="single" w:sz="4" w:space="0" w:color="auto"/>
            </w:tcBorders>
          </w:tcPr>
          <w:p w:rsidR="00F47B06" w:rsidRPr="00082ABB" w:rsidRDefault="00F47B06" w:rsidP="00F47B06">
            <w:pPr>
              <w:snapToGrid w:val="0"/>
              <w:spacing w:line="360" w:lineRule="auto"/>
              <w:jc w:val="center"/>
              <w:rPr>
                <w:rFonts w:ascii="Book Antiqua" w:hAnsi="Book Antiqua"/>
                <w:sz w:val="24"/>
                <w:szCs w:val="24"/>
              </w:rPr>
            </w:pPr>
            <w:r w:rsidRPr="00082ABB">
              <w:rPr>
                <w:rFonts w:ascii="Book Antiqua" w:hAnsi="Book Antiqua"/>
                <w:sz w:val="24"/>
                <w:szCs w:val="24"/>
              </w:rPr>
              <w:t>8.1</w:t>
            </w:r>
          </w:p>
        </w:tc>
      </w:tr>
    </w:tbl>
    <w:p w:rsidR="002C3B1B" w:rsidRPr="00082ABB" w:rsidRDefault="003119FD" w:rsidP="007061C9">
      <w:pPr>
        <w:snapToGrid w:val="0"/>
        <w:spacing w:line="360" w:lineRule="auto"/>
        <w:rPr>
          <w:rFonts w:ascii="Book Antiqua" w:hAnsi="Book Antiqua"/>
          <w:sz w:val="24"/>
          <w:szCs w:val="24"/>
        </w:rPr>
      </w:pPr>
      <w:r w:rsidRPr="00082ABB">
        <w:rPr>
          <w:rFonts w:ascii="Book Antiqua" w:hAnsi="Book Antiqua"/>
          <w:sz w:val="24"/>
          <w:szCs w:val="24"/>
        </w:rPr>
        <w:t>ORR:</w:t>
      </w:r>
      <w:r w:rsidRPr="00082ABB">
        <w:rPr>
          <w:rFonts w:ascii="Book Antiqua" w:hAnsi="Book Antiqua"/>
          <w:caps/>
          <w:sz w:val="24"/>
          <w:szCs w:val="24"/>
        </w:rPr>
        <w:t xml:space="preserve"> o</w:t>
      </w:r>
      <w:r w:rsidRPr="00082ABB">
        <w:rPr>
          <w:rFonts w:ascii="Book Antiqua" w:hAnsi="Book Antiqua"/>
          <w:sz w:val="24"/>
          <w:szCs w:val="24"/>
        </w:rPr>
        <w:t xml:space="preserve">bjective response rate; PFS: </w:t>
      </w:r>
      <w:r w:rsidRPr="00082ABB">
        <w:rPr>
          <w:rFonts w:ascii="Book Antiqua" w:hAnsi="Book Antiqua"/>
          <w:caps/>
          <w:sz w:val="24"/>
          <w:szCs w:val="24"/>
        </w:rPr>
        <w:t>p</w:t>
      </w:r>
      <w:r w:rsidRPr="00082ABB">
        <w:rPr>
          <w:rFonts w:ascii="Book Antiqua" w:hAnsi="Book Antiqua"/>
          <w:sz w:val="24"/>
          <w:szCs w:val="24"/>
        </w:rPr>
        <w:t xml:space="preserve">rogression-free survival; OS: </w:t>
      </w:r>
      <w:r w:rsidRPr="00082ABB">
        <w:rPr>
          <w:rFonts w:ascii="Book Antiqua" w:hAnsi="Book Antiqua"/>
          <w:caps/>
          <w:sz w:val="24"/>
          <w:szCs w:val="24"/>
        </w:rPr>
        <w:t>o</w:t>
      </w:r>
      <w:r w:rsidRPr="00082ABB">
        <w:rPr>
          <w:rFonts w:ascii="Book Antiqua" w:hAnsi="Book Antiqua"/>
          <w:sz w:val="24"/>
          <w:szCs w:val="24"/>
        </w:rPr>
        <w:t xml:space="preserve">verall survival; FOLFIRI: </w:t>
      </w:r>
      <w:r w:rsidRPr="00082ABB">
        <w:rPr>
          <w:rFonts w:ascii="Book Antiqua" w:hAnsi="Book Antiqua"/>
          <w:caps/>
          <w:sz w:val="24"/>
          <w:szCs w:val="24"/>
        </w:rPr>
        <w:t>b</w:t>
      </w:r>
      <w:r w:rsidRPr="00082ABB">
        <w:rPr>
          <w:rFonts w:ascii="Book Antiqua" w:hAnsi="Book Antiqua"/>
          <w:sz w:val="24"/>
          <w:szCs w:val="24"/>
        </w:rPr>
        <w:t xml:space="preserve">olus and infusional 5-fluorouracil/leucovorin/irinotecan; FOLFOX: </w:t>
      </w:r>
      <w:r w:rsidRPr="00082ABB">
        <w:rPr>
          <w:rFonts w:ascii="Book Antiqua" w:hAnsi="Book Antiqua"/>
          <w:caps/>
          <w:sz w:val="24"/>
          <w:szCs w:val="24"/>
        </w:rPr>
        <w:t>b</w:t>
      </w:r>
      <w:r w:rsidRPr="00082ABB">
        <w:rPr>
          <w:rFonts w:ascii="Book Antiqua" w:hAnsi="Book Antiqua"/>
          <w:sz w:val="24"/>
          <w:szCs w:val="24"/>
        </w:rPr>
        <w:t>olus and infusional 5-fluorouracil/leucovorin/oxaliplatin;</w:t>
      </w:r>
      <w:r w:rsidRPr="00082ABB">
        <w:rPr>
          <w:rFonts w:ascii="Book Antiqua" w:eastAsia="宋体" w:hAnsi="Book Antiqua"/>
          <w:sz w:val="24"/>
          <w:szCs w:val="24"/>
          <w:lang w:eastAsia="zh-CN"/>
        </w:rPr>
        <w:t xml:space="preserve"> </w:t>
      </w:r>
      <w:r w:rsidRPr="00082ABB">
        <w:rPr>
          <w:rFonts w:ascii="Book Antiqua" w:hAnsi="Book Antiqua"/>
          <w:sz w:val="24"/>
          <w:szCs w:val="24"/>
        </w:rPr>
        <w:t xml:space="preserve">CapeOX: </w:t>
      </w:r>
      <w:r w:rsidRPr="00082ABB">
        <w:rPr>
          <w:rFonts w:ascii="Book Antiqua" w:hAnsi="Book Antiqua"/>
          <w:caps/>
          <w:sz w:val="24"/>
          <w:szCs w:val="24"/>
        </w:rPr>
        <w:t>c</w:t>
      </w:r>
      <w:r w:rsidRPr="00082ABB">
        <w:rPr>
          <w:rFonts w:ascii="Book Antiqua" w:hAnsi="Book Antiqua"/>
          <w:sz w:val="24"/>
          <w:szCs w:val="24"/>
        </w:rPr>
        <w:t xml:space="preserve">apecitabine/oxaliplatin; FLOX: </w:t>
      </w:r>
      <w:r w:rsidRPr="00082ABB">
        <w:rPr>
          <w:rFonts w:ascii="Book Antiqua" w:hAnsi="Book Antiqua"/>
          <w:caps/>
          <w:sz w:val="24"/>
          <w:szCs w:val="24"/>
        </w:rPr>
        <w:t>b</w:t>
      </w:r>
      <w:r w:rsidRPr="00082ABB">
        <w:rPr>
          <w:rFonts w:ascii="Book Antiqua" w:hAnsi="Book Antiqua"/>
          <w:sz w:val="24"/>
          <w:szCs w:val="24"/>
        </w:rPr>
        <w:t>olus 5-fluorouracil/leucovorin/oxaliplatin</w:t>
      </w:r>
      <w:r w:rsidRPr="00082ABB">
        <w:rPr>
          <w:rFonts w:ascii="Book Antiqua" w:eastAsia="宋体" w:hAnsi="Book Antiqua"/>
          <w:sz w:val="24"/>
          <w:szCs w:val="24"/>
          <w:lang w:eastAsia="zh-CN"/>
        </w:rPr>
        <w:t>.</w:t>
      </w:r>
    </w:p>
    <w:p w:rsidR="00F47B06" w:rsidRPr="00082ABB" w:rsidRDefault="00F47B06">
      <w:pPr>
        <w:widowControl/>
        <w:jc w:val="left"/>
        <w:rPr>
          <w:rFonts w:ascii="Book Antiqua" w:hAnsi="Book Antiqua"/>
          <w:sz w:val="24"/>
          <w:szCs w:val="24"/>
        </w:rPr>
      </w:pPr>
      <w:r w:rsidRPr="00082ABB">
        <w:rPr>
          <w:rFonts w:ascii="Book Antiqua" w:hAnsi="Book Antiqua"/>
          <w:sz w:val="24"/>
          <w:szCs w:val="24"/>
        </w:rPr>
        <w:br w:type="page"/>
      </w:r>
    </w:p>
    <w:p w:rsidR="002C3B1B" w:rsidRPr="00082ABB" w:rsidRDefault="002C3B1B" w:rsidP="007061C9">
      <w:pPr>
        <w:snapToGrid w:val="0"/>
        <w:spacing w:line="360" w:lineRule="auto"/>
        <w:rPr>
          <w:rFonts w:ascii="Book Antiqua" w:hAnsi="Book Antiqua"/>
          <w:b/>
          <w:sz w:val="24"/>
          <w:szCs w:val="24"/>
        </w:rPr>
      </w:pPr>
      <w:r w:rsidRPr="00082ABB">
        <w:rPr>
          <w:rFonts w:ascii="Book Antiqua" w:hAnsi="Book Antiqua"/>
          <w:b/>
          <w:sz w:val="24"/>
          <w:szCs w:val="24"/>
        </w:rPr>
        <w:lastRenderedPageBreak/>
        <w:t>Table 3</w:t>
      </w:r>
      <w:r w:rsidR="004E1F90" w:rsidRPr="00082ABB">
        <w:rPr>
          <w:rFonts w:ascii="Book Antiqua" w:eastAsia="宋体" w:hAnsi="Book Antiqua"/>
          <w:b/>
          <w:sz w:val="24"/>
          <w:szCs w:val="24"/>
          <w:lang w:eastAsia="zh-CN"/>
        </w:rPr>
        <w:t xml:space="preserve"> </w:t>
      </w:r>
      <w:r w:rsidRPr="00082ABB">
        <w:rPr>
          <w:rFonts w:ascii="Book Antiqua" w:hAnsi="Book Antiqua"/>
          <w:b/>
          <w:sz w:val="24"/>
          <w:szCs w:val="24"/>
        </w:rPr>
        <w:t>Clinical trials comparing</w:t>
      </w:r>
      <w:r w:rsidR="003119FD" w:rsidRPr="00082ABB">
        <w:rPr>
          <w:rFonts w:ascii="Book Antiqua" w:eastAsia="宋体" w:hAnsi="Book Antiqua"/>
          <w:b/>
          <w:sz w:val="24"/>
          <w:szCs w:val="24"/>
          <w:lang w:eastAsia="zh-CN"/>
        </w:rPr>
        <w:t xml:space="preserve"> </w:t>
      </w:r>
      <w:r w:rsidR="003119FD" w:rsidRPr="00082ABB">
        <w:rPr>
          <w:rFonts w:ascii="Book Antiqua" w:hAnsi="Book Antiqua"/>
          <w:b/>
          <w:sz w:val="24"/>
          <w:szCs w:val="24"/>
        </w:rPr>
        <w:t>anti-epidermal growth factor receptor</w:t>
      </w:r>
      <w:r w:rsidRPr="00082ABB">
        <w:rPr>
          <w:rFonts w:ascii="Book Antiqua" w:hAnsi="Book Antiqua"/>
          <w:b/>
          <w:sz w:val="24"/>
          <w:szCs w:val="24"/>
        </w:rPr>
        <w:t xml:space="preserve"> therapy </w:t>
      </w:r>
      <w:r w:rsidRPr="00082ABB">
        <w:rPr>
          <w:rFonts w:ascii="Book Antiqua" w:hAnsi="Book Antiqua"/>
          <w:b/>
          <w:i/>
          <w:sz w:val="24"/>
          <w:szCs w:val="24"/>
        </w:rPr>
        <w:t>vs</w:t>
      </w:r>
      <w:r w:rsidRPr="00082ABB">
        <w:rPr>
          <w:rFonts w:ascii="Book Antiqua" w:hAnsi="Book Antiqua"/>
          <w:b/>
          <w:sz w:val="24"/>
          <w:szCs w:val="24"/>
        </w:rPr>
        <w:t xml:space="preserve"> anti-</w:t>
      </w:r>
      <w:r w:rsidR="003119FD" w:rsidRPr="00082ABB">
        <w:rPr>
          <w:rFonts w:ascii="Book Antiqua" w:hAnsi="Book Antiqua"/>
          <w:b/>
          <w:sz w:val="24"/>
          <w:szCs w:val="24"/>
        </w:rPr>
        <w:t>vascular endothelial growth factor</w:t>
      </w:r>
      <w:r w:rsidRPr="00082ABB">
        <w:rPr>
          <w:rFonts w:ascii="Book Antiqua" w:hAnsi="Book Antiqua"/>
          <w:b/>
          <w:sz w:val="24"/>
          <w:szCs w:val="24"/>
        </w:rPr>
        <w:t xml:space="preserve"> therapy in </w:t>
      </w:r>
      <w:r w:rsidR="003119FD" w:rsidRPr="00082ABB">
        <w:rPr>
          <w:rFonts w:ascii="Book Antiqua" w:hAnsi="Book Antiqua"/>
          <w:b/>
          <w:sz w:val="24"/>
          <w:szCs w:val="24"/>
        </w:rPr>
        <w:t>metastatic colorectal cancer</w:t>
      </w:r>
      <w:r w:rsidRPr="00082ABB">
        <w:rPr>
          <w:rFonts w:ascii="Book Antiqua" w:hAnsi="Book Antiqua"/>
          <w:b/>
          <w:sz w:val="24"/>
          <w:szCs w:val="24"/>
        </w:rPr>
        <w:t xml:space="preserve"> with </w:t>
      </w:r>
      <w:r w:rsidRPr="00082ABB">
        <w:rPr>
          <w:rFonts w:ascii="Book Antiqua" w:hAnsi="Book Antiqua"/>
          <w:b/>
          <w:i/>
          <w:sz w:val="24"/>
          <w:szCs w:val="24"/>
        </w:rPr>
        <w:t>KRAS</w:t>
      </w:r>
      <w:r w:rsidRPr="00082ABB">
        <w:rPr>
          <w:rFonts w:ascii="Book Antiqua" w:hAnsi="Book Antiqua"/>
          <w:b/>
          <w:sz w:val="24"/>
          <w:szCs w:val="24"/>
        </w:rPr>
        <w:t xml:space="preserve"> wild type</w:t>
      </w:r>
    </w:p>
    <w:tbl>
      <w:tblPr>
        <w:tblW w:w="10604" w:type="dxa"/>
        <w:tblInd w:w="-998" w:type="dxa"/>
        <w:tblLook w:val="00A0" w:firstRow="1" w:lastRow="0" w:firstColumn="1" w:lastColumn="0" w:noHBand="0" w:noVBand="0"/>
      </w:tblPr>
      <w:tblGrid>
        <w:gridCol w:w="2542"/>
        <w:gridCol w:w="3362"/>
        <w:gridCol w:w="705"/>
        <w:gridCol w:w="1129"/>
        <w:gridCol w:w="172"/>
        <w:gridCol w:w="1031"/>
        <w:gridCol w:w="245"/>
        <w:gridCol w:w="1418"/>
      </w:tblGrid>
      <w:tr w:rsidR="00082ABB" w:rsidRPr="00082ABB" w:rsidTr="00402708">
        <w:tc>
          <w:tcPr>
            <w:tcW w:w="2542" w:type="dxa"/>
            <w:tcBorders>
              <w:top w:val="single" w:sz="4" w:space="0" w:color="auto"/>
              <w:bottom w:val="single" w:sz="4" w:space="0" w:color="auto"/>
            </w:tcBorders>
          </w:tcPr>
          <w:p w:rsidR="003119FD" w:rsidRPr="00082ABB" w:rsidRDefault="003119FD" w:rsidP="007061C9">
            <w:pPr>
              <w:snapToGrid w:val="0"/>
              <w:spacing w:line="360" w:lineRule="auto"/>
              <w:rPr>
                <w:rFonts w:ascii="Book Antiqua" w:hAnsi="Book Antiqua"/>
                <w:b/>
                <w:sz w:val="24"/>
                <w:szCs w:val="24"/>
              </w:rPr>
            </w:pPr>
            <w:r w:rsidRPr="00082ABB">
              <w:rPr>
                <w:rFonts w:ascii="Book Antiqua" w:hAnsi="Book Antiqua"/>
                <w:b/>
                <w:sz w:val="24"/>
                <w:szCs w:val="24"/>
              </w:rPr>
              <w:t>Trial name</w:t>
            </w:r>
          </w:p>
        </w:tc>
        <w:tc>
          <w:tcPr>
            <w:tcW w:w="3362" w:type="dxa"/>
            <w:tcBorders>
              <w:top w:val="single" w:sz="4" w:space="0" w:color="auto"/>
              <w:bottom w:val="single" w:sz="4" w:space="0" w:color="auto"/>
            </w:tcBorders>
          </w:tcPr>
          <w:p w:rsidR="003119FD" w:rsidRPr="00082ABB" w:rsidRDefault="003119FD" w:rsidP="003119FD">
            <w:pPr>
              <w:snapToGrid w:val="0"/>
              <w:spacing w:line="360" w:lineRule="auto"/>
              <w:jc w:val="center"/>
              <w:rPr>
                <w:rFonts w:ascii="Book Antiqua" w:hAnsi="Book Antiqua"/>
                <w:b/>
                <w:sz w:val="24"/>
                <w:szCs w:val="24"/>
              </w:rPr>
            </w:pPr>
            <w:r w:rsidRPr="00082ABB">
              <w:rPr>
                <w:rFonts w:ascii="Book Antiqua" w:hAnsi="Book Antiqua"/>
                <w:b/>
                <w:caps/>
                <w:sz w:val="24"/>
                <w:szCs w:val="24"/>
              </w:rPr>
              <w:t>r</w:t>
            </w:r>
            <w:r w:rsidRPr="00082ABB">
              <w:rPr>
                <w:rFonts w:ascii="Book Antiqua" w:hAnsi="Book Antiqua"/>
                <w:b/>
                <w:sz w:val="24"/>
                <w:szCs w:val="24"/>
              </w:rPr>
              <w:t>egimens</w:t>
            </w:r>
          </w:p>
        </w:tc>
        <w:tc>
          <w:tcPr>
            <w:tcW w:w="705" w:type="dxa"/>
            <w:tcBorders>
              <w:top w:val="single" w:sz="4" w:space="0" w:color="auto"/>
              <w:bottom w:val="single" w:sz="4" w:space="0" w:color="auto"/>
            </w:tcBorders>
          </w:tcPr>
          <w:p w:rsidR="003119FD" w:rsidRPr="00082ABB" w:rsidRDefault="003119FD" w:rsidP="003119FD">
            <w:pPr>
              <w:snapToGrid w:val="0"/>
              <w:spacing w:line="360" w:lineRule="auto"/>
              <w:jc w:val="center"/>
              <w:rPr>
                <w:rFonts w:ascii="Book Antiqua" w:hAnsi="Book Antiqua"/>
                <w:b/>
                <w:i/>
                <w:sz w:val="24"/>
                <w:szCs w:val="24"/>
              </w:rPr>
            </w:pPr>
            <w:r w:rsidRPr="00082ABB">
              <w:rPr>
                <w:rFonts w:ascii="Book Antiqua" w:hAnsi="Book Antiqua"/>
                <w:b/>
                <w:i/>
                <w:sz w:val="24"/>
                <w:szCs w:val="24"/>
              </w:rPr>
              <w:t>n</w:t>
            </w:r>
          </w:p>
          <w:p w:rsidR="003119FD" w:rsidRPr="00082ABB" w:rsidRDefault="003119FD" w:rsidP="003119FD">
            <w:pPr>
              <w:snapToGrid w:val="0"/>
              <w:spacing w:line="360" w:lineRule="auto"/>
              <w:jc w:val="center"/>
              <w:rPr>
                <w:rFonts w:ascii="Book Antiqua" w:hAnsi="Book Antiqua"/>
                <w:b/>
                <w:sz w:val="24"/>
                <w:szCs w:val="24"/>
              </w:rPr>
            </w:pPr>
          </w:p>
        </w:tc>
        <w:tc>
          <w:tcPr>
            <w:tcW w:w="1129" w:type="dxa"/>
            <w:tcBorders>
              <w:top w:val="single" w:sz="4" w:space="0" w:color="auto"/>
              <w:bottom w:val="single" w:sz="4" w:space="0" w:color="auto"/>
            </w:tcBorders>
          </w:tcPr>
          <w:p w:rsidR="003119FD" w:rsidRPr="00082ABB" w:rsidRDefault="003119FD" w:rsidP="003119FD">
            <w:pPr>
              <w:snapToGrid w:val="0"/>
              <w:spacing w:line="360" w:lineRule="auto"/>
              <w:jc w:val="center"/>
              <w:rPr>
                <w:rFonts w:ascii="Book Antiqua" w:hAnsi="Book Antiqua"/>
                <w:b/>
                <w:sz w:val="24"/>
                <w:szCs w:val="24"/>
              </w:rPr>
            </w:pPr>
            <w:r w:rsidRPr="00082ABB">
              <w:rPr>
                <w:rFonts w:ascii="Book Antiqua" w:hAnsi="Book Antiqua"/>
                <w:b/>
                <w:sz w:val="24"/>
                <w:szCs w:val="24"/>
              </w:rPr>
              <w:t>ORR</w:t>
            </w:r>
          </w:p>
        </w:tc>
        <w:tc>
          <w:tcPr>
            <w:tcW w:w="1203" w:type="dxa"/>
            <w:gridSpan w:val="2"/>
            <w:tcBorders>
              <w:top w:val="single" w:sz="4" w:space="0" w:color="auto"/>
              <w:bottom w:val="single" w:sz="4" w:space="0" w:color="auto"/>
            </w:tcBorders>
          </w:tcPr>
          <w:p w:rsidR="003119FD" w:rsidRPr="00082ABB" w:rsidRDefault="003119FD" w:rsidP="003119FD">
            <w:pPr>
              <w:snapToGrid w:val="0"/>
              <w:spacing w:line="360" w:lineRule="auto"/>
              <w:jc w:val="center"/>
              <w:rPr>
                <w:rFonts w:ascii="Book Antiqua" w:hAnsi="Book Antiqua"/>
                <w:b/>
                <w:sz w:val="24"/>
                <w:szCs w:val="24"/>
              </w:rPr>
            </w:pPr>
            <w:r w:rsidRPr="00082ABB">
              <w:rPr>
                <w:rFonts w:ascii="Book Antiqua" w:hAnsi="Book Antiqua"/>
                <w:b/>
                <w:sz w:val="24"/>
                <w:szCs w:val="24"/>
              </w:rPr>
              <w:t>PFS</w:t>
            </w:r>
            <w:r w:rsidRPr="00082ABB">
              <w:rPr>
                <w:rFonts w:ascii="Book Antiqua" w:eastAsia="宋体" w:hAnsi="Book Antiqua"/>
                <w:b/>
                <w:sz w:val="24"/>
                <w:szCs w:val="24"/>
                <w:lang w:eastAsia="zh-CN"/>
              </w:rPr>
              <w:t xml:space="preserve"> </w:t>
            </w:r>
            <w:r w:rsidRPr="00082ABB">
              <w:rPr>
                <w:rFonts w:ascii="Book Antiqua" w:hAnsi="Book Antiqua"/>
                <w:b/>
                <w:sz w:val="24"/>
                <w:szCs w:val="24"/>
              </w:rPr>
              <w:t>(mo)</w:t>
            </w:r>
          </w:p>
        </w:tc>
        <w:tc>
          <w:tcPr>
            <w:tcW w:w="1663" w:type="dxa"/>
            <w:gridSpan w:val="2"/>
            <w:tcBorders>
              <w:top w:val="single" w:sz="4" w:space="0" w:color="auto"/>
              <w:bottom w:val="single" w:sz="4" w:space="0" w:color="auto"/>
            </w:tcBorders>
          </w:tcPr>
          <w:p w:rsidR="003119FD" w:rsidRPr="00082ABB" w:rsidRDefault="003119FD" w:rsidP="003119FD">
            <w:pPr>
              <w:snapToGrid w:val="0"/>
              <w:spacing w:line="360" w:lineRule="auto"/>
              <w:jc w:val="center"/>
              <w:rPr>
                <w:rFonts w:ascii="Book Antiqua" w:hAnsi="Book Antiqua"/>
                <w:b/>
                <w:sz w:val="24"/>
                <w:szCs w:val="24"/>
              </w:rPr>
            </w:pPr>
            <w:r w:rsidRPr="00082ABB">
              <w:rPr>
                <w:rFonts w:ascii="Book Antiqua" w:hAnsi="Book Antiqua"/>
                <w:b/>
                <w:sz w:val="24"/>
                <w:szCs w:val="24"/>
              </w:rPr>
              <w:t>OS</w:t>
            </w:r>
            <w:r w:rsidRPr="00082ABB">
              <w:rPr>
                <w:rFonts w:ascii="Book Antiqua" w:eastAsia="宋体" w:hAnsi="Book Antiqua"/>
                <w:b/>
                <w:sz w:val="24"/>
                <w:szCs w:val="24"/>
                <w:lang w:eastAsia="zh-CN"/>
              </w:rPr>
              <w:t xml:space="preserve"> </w:t>
            </w:r>
            <w:r w:rsidRPr="00082ABB">
              <w:rPr>
                <w:rFonts w:ascii="Book Antiqua" w:hAnsi="Book Antiqua"/>
                <w:b/>
                <w:sz w:val="24"/>
                <w:szCs w:val="24"/>
              </w:rPr>
              <w:t>(mo)</w:t>
            </w:r>
          </w:p>
        </w:tc>
      </w:tr>
      <w:tr w:rsidR="00082ABB" w:rsidRPr="00082ABB" w:rsidTr="00402708">
        <w:tc>
          <w:tcPr>
            <w:tcW w:w="10604" w:type="dxa"/>
            <w:gridSpan w:val="8"/>
            <w:tcBorders>
              <w:top w:val="single" w:sz="4" w:space="0" w:color="auto"/>
            </w:tcBorders>
          </w:tcPr>
          <w:p w:rsidR="002C3B1B" w:rsidRPr="00082ABB" w:rsidRDefault="002C3B1B" w:rsidP="007061C9">
            <w:pPr>
              <w:snapToGrid w:val="0"/>
              <w:spacing w:line="360" w:lineRule="auto"/>
              <w:rPr>
                <w:rFonts w:ascii="Book Antiqua" w:hAnsi="Book Antiqua"/>
                <w:sz w:val="24"/>
                <w:szCs w:val="24"/>
              </w:rPr>
            </w:pPr>
            <w:r w:rsidRPr="00082ABB">
              <w:rPr>
                <w:rFonts w:ascii="Book Antiqua" w:hAnsi="Book Antiqua"/>
                <w:sz w:val="24"/>
                <w:szCs w:val="24"/>
              </w:rPr>
              <w:t xml:space="preserve">First-line </w:t>
            </w:r>
            <w:r w:rsidR="003119FD" w:rsidRPr="00082ABB">
              <w:rPr>
                <w:rFonts w:ascii="Book Antiqua" w:hAnsi="Book Antiqua"/>
                <w:sz w:val="24"/>
                <w:szCs w:val="24"/>
              </w:rPr>
              <w:t>c</w:t>
            </w:r>
            <w:r w:rsidRPr="00082ABB">
              <w:rPr>
                <w:rFonts w:ascii="Book Antiqua" w:hAnsi="Book Antiqua"/>
                <w:sz w:val="24"/>
                <w:szCs w:val="24"/>
              </w:rPr>
              <w:t>hemotherapy</w:t>
            </w:r>
          </w:p>
        </w:tc>
      </w:tr>
      <w:tr w:rsidR="00082ABB" w:rsidRPr="00082ABB" w:rsidTr="00402708">
        <w:tc>
          <w:tcPr>
            <w:tcW w:w="2542" w:type="dxa"/>
          </w:tcPr>
          <w:p w:rsidR="004E1F90" w:rsidRPr="00082ABB" w:rsidRDefault="004E1F90" w:rsidP="004E1F90">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PEAK</w:t>
            </w:r>
          </w:p>
        </w:tc>
        <w:tc>
          <w:tcPr>
            <w:tcW w:w="3362" w:type="dxa"/>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FOLFOX + Panitumumab</w:t>
            </w:r>
          </w:p>
        </w:tc>
        <w:tc>
          <w:tcPr>
            <w:tcW w:w="705" w:type="dxa"/>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142</w:t>
            </w:r>
          </w:p>
        </w:tc>
        <w:tc>
          <w:tcPr>
            <w:tcW w:w="1301" w:type="dxa"/>
            <w:gridSpan w:val="2"/>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57.8%</w:t>
            </w:r>
          </w:p>
        </w:tc>
        <w:tc>
          <w:tcPr>
            <w:tcW w:w="1276" w:type="dxa"/>
            <w:gridSpan w:val="2"/>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10.9</w:t>
            </w:r>
          </w:p>
        </w:tc>
        <w:tc>
          <w:tcPr>
            <w:tcW w:w="1418" w:type="dxa"/>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34.2</w:t>
            </w:r>
          </w:p>
        </w:tc>
      </w:tr>
      <w:tr w:rsidR="00082ABB" w:rsidRPr="00082ABB" w:rsidTr="00402708">
        <w:tc>
          <w:tcPr>
            <w:tcW w:w="2542" w:type="dxa"/>
          </w:tcPr>
          <w:p w:rsidR="004E1F90" w:rsidRPr="00082ABB" w:rsidRDefault="004E1F90" w:rsidP="007061C9">
            <w:pPr>
              <w:snapToGrid w:val="0"/>
              <w:spacing w:line="360" w:lineRule="auto"/>
              <w:rPr>
                <w:rFonts w:ascii="Book Antiqua" w:hAnsi="Book Antiqua"/>
                <w:sz w:val="24"/>
                <w:szCs w:val="24"/>
              </w:rPr>
            </w:pPr>
          </w:p>
        </w:tc>
        <w:tc>
          <w:tcPr>
            <w:tcW w:w="3362" w:type="dxa"/>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FOLFOX + Bevacizumab</w:t>
            </w:r>
          </w:p>
        </w:tc>
        <w:tc>
          <w:tcPr>
            <w:tcW w:w="705" w:type="dxa"/>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143</w:t>
            </w:r>
          </w:p>
        </w:tc>
        <w:tc>
          <w:tcPr>
            <w:tcW w:w="1301" w:type="dxa"/>
            <w:gridSpan w:val="2"/>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53.5%</w:t>
            </w:r>
          </w:p>
        </w:tc>
        <w:tc>
          <w:tcPr>
            <w:tcW w:w="1276" w:type="dxa"/>
            <w:gridSpan w:val="2"/>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10.1</w:t>
            </w:r>
          </w:p>
        </w:tc>
        <w:tc>
          <w:tcPr>
            <w:tcW w:w="1418" w:type="dxa"/>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24.3</w:t>
            </w:r>
          </w:p>
        </w:tc>
      </w:tr>
      <w:tr w:rsidR="00082ABB" w:rsidRPr="00082ABB" w:rsidTr="00402708">
        <w:tc>
          <w:tcPr>
            <w:tcW w:w="2542" w:type="dxa"/>
          </w:tcPr>
          <w:p w:rsidR="004E1F90" w:rsidRPr="00082ABB" w:rsidRDefault="004E1F90" w:rsidP="007061C9">
            <w:pPr>
              <w:snapToGrid w:val="0"/>
              <w:spacing w:line="360" w:lineRule="auto"/>
              <w:rPr>
                <w:rFonts w:ascii="Book Antiqua" w:hAnsi="Book Antiqua"/>
                <w:sz w:val="24"/>
                <w:szCs w:val="24"/>
              </w:rPr>
            </w:pPr>
          </w:p>
        </w:tc>
        <w:tc>
          <w:tcPr>
            <w:tcW w:w="3362" w:type="dxa"/>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 xml:space="preserve">(Hazard ratio, </w:t>
            </w:r>
            <w:r w:rsidRPr="00082ABB">
              <w:rPr>
                <w:rFonts w:ascii="Book Antiqua" w:hAnsi="Book Antiqua"/>
                <w:i/>
                <w:sz w:val="24"/>
                <w:szCs w:val="24"/>
              </w:rPr>
              <w:t>P</w:t>
            </w:r>
            <w:r w:rsidRPr="00082ABB">
              <w:rPr>
                <w:rFonts w:ascii="Book Antiqua" w:hAnsi="Book Antiqua"/>
                <w:sz w:val="24"/>
                <w:szCs w:val="24"/>
              </w:rPr>
              <w:t>-value)</w:t>
            </w:r>
          </w:p>
        </w:tc>
        <w:tc>
          <w:tcPr>
            <w:tcW w:w="705" w:type="dxa"/>
          </w:tcPr>
          <w:p w:rsidR="004E1F90" w:rsidRPr="00082ABB" w:rsidRDefault="004E1F90" w:rsidP="003119FD">
            <w:pPr>
              <w:snapToGrid w:val="0"/>
              <w:spacing w:line="360" w:lineRule="auto"/>
              <w:jc w:val="center"/>
              <w:rPr>
                <w:rFonts w:ascii="Book Antiqua" w:hAnsi="Book Antiqua"/>
                <w:sz w:val="24"/>
                <w:szCs w:val="24"/>
              </w:rPr>
            </w:pPr>
          </w:p>
        </w:tc>
        <w:tc>
          <w:tcPr>
            <w:tcW w:w="1301" w:type="dxa"/>
            <w:gridSpan w:val="2"/>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w:t>
            </w:r>
          </w:p>
        </w:tc>
        <w:tc>
          <w:tcPr>
            <w:tcW w:w="1276" w:type="dxa"/>
            <w:gridSpan w:val="2"/>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0.87</w:t>
            </w:r>
          </w:p>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0.353</w:t>
            </w:r>
          </w:p>
        </w:tc>
        <w:tc>
          <w:tcPr>
            <w:tcW w:w="1418" w:type="dxa"/>
          </w:tcPr>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0.62</w:t>
            </w:r>
          </w:p>
          <w:p w:rsidR="004E1F90" w:rsidRPr="00082ABB" w:rsidRDefault="004E1F90" w:rsidP="003119FD">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0.009</w:t>
            </w:r>
          </w:p>
        </w:tc>
      </w:tr>
      <w:tr w:rsidR="00082ABB" w:rsidRPr="00082ABB" w:rsidTr="00402708">
        <w:tc>
          <w:tcPr>
            <w:tcW w:w="2542" w:type="dxa"/>
          </w:tcPr>
          <w:p w:rsidR="004E1F90" w:rsidRPr="00082ABB" w:rsidRDefault="004E1F90" w:rsidP="004E1F90">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FIRE-3</w:t>
            </w:r>
          </w:p>
        </w:tc>
        <w:tc>
          <w:tcPr>
            <w:tcW w:w="3362"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FOLFIRI + Cetuximab</w:t>
            </w:r>
          </w:p>
        </w:tc>
        <w:tc>
          <w:tcPr>
            <w:tcW w:w="705"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297</w:t>
            </w:r>
          </w:p>
        </w:tc>
        <w:tc>
          <w:tcPr>
            <w:tcW w:w="1301"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62%</w:t>
            </w:r>
          </w:p>
        </w:tc>
        <w:tc>
          <w:tcPr>
            <w:tcW w:w="1276"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10.0</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28.7</w:t>
            </w:r>
          </w:p>
        </w:tc>
      </w:tr>
      <w:tr w:rsidR="00082ABB" w:rsidRPr="00082ABB" w:rsidTr="00402708">
        <w:tc>
          <w:tcPr>
            <w:tcW w:w="2542" w:type="dxa"/>
          </w:tcPr>
          <w:p w:rsidR="004E1F90" w:rsidRPr="00082ABB" w:rsidRDefault="004E1F90" w:rsidP="007061C9">
            <w:pPr>
              <w:snapToGrid w:val="0"/>
              <w:spacing w:line="360" w:lineRule="auto"/>
              <w:rPr>
                <w:rFonts w:ascii="Book Antiqua" w:hAnsi="Book Antiqua"/>
                <w:sz w:val="24"/>
                <w:szCs w:val="24"/>
              </w:rPr>
            </w:pPr>
          </w:p>
        </w:tc>
        <w:tc>
          <w:tcPr>
            <w:tcW w:w="3362"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FOLFIRI + Bevacizumab</w:t>
            </w:r>
          </w:p>
        </w:tc>
        <w:tc>
          <w:tcPr>
            <w:tcW w:w="705"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295</w:t>
            </w:r>
          </w:p>
        </w:tc>
        <w:tc>
          <w:tcPr>
            <w:tcW w:w="1301"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58%</w:t>
            </w:r>
          </w:p>
        </w:tc>
        <w:tc>
          <w:tcPr>
            <w:tcW w:w="1276"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10.3</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25.0</w:t>
            </w:r>
          </w:p>
        </w:tc>
      </w:tr>
      <w:tr w:rsidR="00082ABB" w:rsidRPr="00082ABB" w:rsidTr="00402708">
        <w:tc>
          <w:tcPr>
            <w:tcW w:w="2542" w:type="dxa"/>
          </w:tcPr>
          <w:p w:rsidR="004E1F90" w:rsidRPr="00082ABB" w:rsidRDefault="004E1F90" w:rsidP="007061C9">
            <w:pPr>
              <w:snapToGrid w:val="0"/>
              <w:spacing w:line="360" w:lineRule="auto"/>
              <w:rPr>
                <w:rFonts w:ascii="Book Antiqua" w:hAnsi="Book Antiqua"/>
                <w:sz w:val="24"/>
                <w:szCs w:val="24"/>
              </w:rPr>
            </w:pPr>
          </w:p>
        </w:tc>
        <w:tc>
          <w:tcPr>
            <w:tcW w:w="3362"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 xml:space="preserve">(Hazard ratio, </w:t>
            </w:r>
            <w:r w:rsidRPr="00082ABB">
              <w:rPr>
                <w:rFonts w:ascii="Book Antiqua" w:hAnsi="Book Antiqua"/>
                <w:i/>
                <w:sz w:val="24"/>
                <w:szCs w:val="24"/>
              </w:rPr>
              <w:t>P</w:t>
            </w:r>
            <w:r w:rsidRPr="00082ABB">
              <w:rPr>
                <w:rFonts w:ascii="Book Antiqua" w:hAnsi="Book Antiqua"/>
                <w:sz w:val="24"/>
                <w:szCs w:val="24"/>
              </w:rPr>
              <w:t>-value)</w:t>
            </w:r>
          </w:p>
        </w:tc>
        <w:tc>
          <w:tcPr>
            <w:tcW w:w="705" w:type="dxa"/>
          </w:tcPr>
          <w:p w:rsidR="004E1F90" w:rsidRPr="00082ABB" w:rsidRDefault="004E1F90" w:rsidP="004E1F90">
            <w:pPr>
              <w:snapToGrid w:val="0"/>
              <w:spacing w:line="360" w:lineRule="auto"/>
              <w:jc w:val="center"/>
              <w:rPr>
                <w:rFonts w:ascii="Book Antiqua" w:hAnsi="Book Antiqua"/>
                <w:sz w:val="24"/>
                <w:szCs w:val="24"/>
              </w:rPr>
            </w:pPr>
          </w:p>
        </w:tc>
        <w:tc>
          <w:tcPr>
            <w:tcW w:w="1301"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OR</w:t>
            </w:r>
            <w:r w:rsidRPr="00082ABB">
              <w:rPr>
                <w:rFonts w:ascii="Book Antiqua" w:eastAsia="宋体" w:hAnsi="Book Antiqua"/>
                <w:sz w:val="24"/>
                <w:szCs w:val="24"/>
                <w:lang w:eastAsia="zh-CN"/>
              </w:rPr>
              <w:t xml:space="preserve"> = </w:t>
            </w:r>
            <w:r w:rsidRPr="00082ABB">
              <w:rPr>
                <w:rFonts w:ascii="Book Antiqua" w:hAnsi="Book Antiqua"/>
                <w:sz w:val="24"/>
                <w:szCs w:val="24"/>
              </w:rPr>
              <w:t>1.18</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0.18</w:t>
            </w:r>
          </w:p>
        </w:tc>
        <w:tc>
          <w:tcPr>
            <w:tcW w:w="1276"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1.06</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0.55</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0.77</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0.017</w:t>
            </w:r>
          </w:p>
        </w:tc>
      </w:tr>
      <w:tr w:rsidR="00082ABB" w:rsidRPr="00082ABB" w:rsidTr="00402708">
        <w:tc>
          <w:tcPr>
            <w:tcW w:w="2542" w:type="dxa"/>
          </w:tcPr>
          <w:p w:rsidR="004E1F90" w:rsidRPr="00082ABB" w:rsidRDefault="004E1F90" w:rsidP="004E1F90">
            <w:pPr>
              <w:snapToGrid w:val="0"/>
              <w:spacing w:line="360" w:lineRule="auto"/>
              <w:ind w:leftChars="114" w:left="239"/>
              <w:rPr>
                <w:rFonts w:ascii="Book Antiqua" w:hAnsi="Book Antiqua"/>
                <w:sz w:val="24"/>
                <w:szCs w:val="24"/>
              </w:rPr>
            </w:pPr>
            <w:r w:rsidRPr="00082ABB">
              <w:rPr>
                <w:rFonts w:ascii="Book Antiqua" w:hAnsi="Book Antiqua"/>
                <w:sz w:val="24"/>
                <w:szCs w:val="24"/>
              </w:rPr>
              <w:t>CALGB/SWOG 80405</w:t>
            </w:r>
          </w:p>
        </w:tc>
        <w:tc>
          <w:tcPr>
            <w:tcW w:w="3362"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Chemotherapy</w:t>
            </w:r>
            <w:r w:rsidRPr="00082ABB">
              <w:rPr>
                <w:rFonts w:ascii="Book Antiqua" w:eastAsia="宋体" w:hAnsi="Book Antiqua"/>
                <w:sz w:val="24"/>
                <w:szCs w:val="24"/>
                <w:vertAlign w:val="superscript"/>
                <w:lang w:eastAsia="zh-CN"/>
              </w:rPr>
              <w:t>1</w:t>
            </w:r>
            <w:r w:rsidRPr="00082ABB">
              <w:rPr>
                <w:rFonts w:ascii="Book Antiqua" w:hAnsi="Book Antiqua"/>
                <w:sz w:val="24"/>
                <w:szCs w:val="24"/>
              </w:rPr>
              <w:t xml:space="preserve"> + Cetuximab</w:t>
            </w:r>
          </w:p>
        </w:tc>
        <w:tc>
          <w:tcPr>
            <w:tcW w:w="705"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578</w:t>
            </w:r>
          </w:p>
        </w:tc>
        <w:tc>
          <w:tcPr>
            <w:tcW w:w="1301"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65.6%</w:t>
            </w:r>
          </w:p>
        </w:tc>
        <w:tc>
          <w:tcPr>
            <w:tcW w:w="1276"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10.4</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29.9</w:t>
            </w:r>
          </w:p>
        </w:tc>
      </w:tr>
      <w:tr w:rsidR="00082ABB" w:rsidRPr="00082ABB" w:rsidTr="00402708">
        <w:tc>
          <w:tcPr>
            <w:tcW w:w="2542" w:type="dxa"/>
          </w:tcPr>
          <w:p w:rsidR="004E1F90" w:rsidRPr="00082ABB" w:rsidRDefault="004E1F90" w:rsidP="007061C9">
            <w:pPr>
              <w:snapToGrid w:val="0"/>
              <w:spacing w:line="360" w:lineRule="auto"/>
              <w:rPr>
                <w:rFonts w:ascii="Book Antiqua" w:hAnsi="Book Antiqua"/>
                <w:sz w:val="24"/>
                <w:szCs w:val="24"/>
              </w:rPr>
            </w:pPr>
          </w:p>
        </w:tc>
        <w:tc>
          <w:tcPr>
            <w:tcW w:w="3362"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Chemotherapy</w:t>
            </w:r>
            <w:r w:rsidRPr="00082ABB">
              <w:rPr>
                <w:rFonts w:ascii="Book Antiqua" w:eastAsia="宋体" w:hAnsi="Book Antiqua"/>
                <w:sz w:val="24"/>
                <w:szCs w:val="24"/>
                <w:vertAlign w:val="superscript"/>
                <w:lang w:eastAsia="zh-CN"/>
              </w:rPr>
              <w:t xml:space="preserve">1 </w:t>
            </w:r>
            <w:r w:rsidRPr="00082ABB">
              <w:rPr>
                <w:rFonts w:ascii="Book Antiqua" w:hAnsi="Book Antiqua"/>
                <w:sz w:val="24"/>
                <w:szCs w:val="24"/>
              </w:rPr>
              <w:t>+ Bevacizumab</w:t>
            </w:r>
          </w:p>
        </w:tc>
        <w:tc>
          <w:tcPr>
            <w:tcW w:w="705"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559</w:t>
            </w:r>
          </w:p>
        </w:tc>
        <w:tc>
          <w:tcPr>
            <w:tcW w:w="1301"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57.2%</w:t>
            </w:r>
          </w:p>
        </w:tc>
        <w:tc>
          <w:tcPr>
            <w:tcW w:w="1276"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10.8</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29.0</w:t>
            </w:r>
          </w:p>
        </w:tc>
      </w:tr>
      <w:tr w:rsidR="00082ABB" w:rsidRPr="00082ABB" w:rsidTr="00402708">
        <w:tc>
          <w:tcPr>
            <w:tcW w:w="2542" w:type="dxa"/>
          </w:tcPr>
          <w:p w:rsidR="004E1F90" w:rsidRPr="00082ABB" w:rsidRDefault="004E1F90" w:rsidP="007061C9">
            <w:pPr>
              <w:snapToGrid w:val="0"/>
              <w:spacing w:line="360" w:lineRule="auto"/>
              <w:rPr>
                <w:rFonts w:ascii="Book Antiqua" w:hAnsi="Book Antiqua"/>
                <w:sz w:val="24"/>
                <w:szCs w:val="24"/>
              </w:rPr>
            </w:pPr>
          </w:p>
        </w:tc>
        <w:tc>
          <w:tcPr>
            <w:tcW w:w="3362"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 xml:space="preserve">(Hazard ratio, </w:t>
            </w:r>
            <w:r w:rsidRPr="00082ABB">
              <w:rPr>
                <w:rFonts w:ascii="Book Antiqua" w:hAnsi="Book Antiqua"/>
                <w:i/>
                <w:sz w:val="24"/>
                <w:szCs w:val="24"/>
              </w:rPr>
              <w:t>P</w:t>
            </w:r>
            <w:r w:rsidRPr="00082ABB">
              <w:rPr>
                <w:rFonts w:ascii="Book Antiqua" w:hAnsi="Book Antiqua"/>
                <w:sz w:val="24"/>
                <w:szCs w:val="24"/>
              </w:rPr>
              <w:t>-value)</w:t>
            </w:r>
          </w:p>
        </w:tc>
        <w:tc>
          <w:tcPr>
            <w:tcW w:w="705" w:type="dxa"/>
          </w:tcPr>
          <w:p w:rsidR="004E1F90" w:rsidRPr="00082ABB" w:rsidRDefault="004E1F90" w:rsidP="004E1F90">
            <w:pPr>
              <w:snapToGrid w:val="0"/>
              <w:spacing w:line="360" w:lineRule="auto"/>
              <w:jc w:val="center"/>
              <w:rPr>
                <w:rFonts w:ascii="Book Antiqua" w:hAnsi="Book Antiqua"/>
                <w:sz w:val="24"/>
                <w:szCs w:val="24"/>
              </w:rPr>
            </w:pPr>
          </w:p>
        </w:tc>
        <w:tc>
          <w:tcPr>
            <w:tcW w:w="1301"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0.02</w:t>
            </w:r>
          </w:p>
        </w:tc>
        <w:tc>
          <w:tcPr>
            <w:tcW w:w="1276"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w:t>
            </w:r>
            <w:r w:rsidRPr="00082ABB">
              <w:rPr>
                <w:rFonts w:ascii="Book Antiqua" w:hAnsi="Book Antiqua"/>
                <w:sz w:val="24"/>
                <w:szCs w:val="24"/>
              </w:rPr>
              <w:t xml:space="preserve"> 1.04</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0.55</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0.925</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0.34</w:t>
            </w:r>
          </w:p>
        </w:tc>
      </w:tr>
      <w:tr w:rsidR="00082ABB" w:rsidRPr="00082ABB" w:rsidTr="00402708">
        <w:tc>
          <w:tcPr>
            <w:tcW w:w="10604" w:type="dxa"/>
            <w:gridSpan w:val="8"/>
          </w:tcPr>
          <w:p w:rsidR="002C3B1B" w:rsidRPr="00082ABB" w:rsidRDefault="002C3B1B" w:rsidP="007061C9">
            <w:pPr>
              <w:snapToGrid w:val="0"/>
              <w:spacing w:line="360" w:lineRule="auto"/>
              <w:rPr>
                <w:rFonts w:ascii="Book Antiqua" w:hAnsi="Book Antiqua"/>
                <w:sz w:val="24"/>
                <w:szCs w:val="24"/>
              </w:rPr>
            </w:pPr>
            <w:r w:rsidRPr="00082ABB">
              <w:rPr>
                <w:rFonts w:ascii="Book Antiqua" w:hAnsi="Book Antiqua"/>
                <w:sz w:val="24"/>
                <w:szCs w:val="24"/>
              </w:rPr>
              <w:t xml:space="preserve">Second-line </w:t>
            </w:r>
            <w:r w:rsidR="004E1F90" w:rsidRPr="00082ABB">
              <w:rPr>
                <w:rFonts w:ascii="Book Antiqua" w:hAnsi="Book Antiqua"/>
                <w:sz w:val="24"/>
                <w:szCs w:val="24"/>
              </w:rPr>
              <w:t>c</w:t>
            </w:r>
            <w:r w:rsidRPr="00082ABB">
              <w:rPr>
                <w:rFonts w:ascii="Book Antiqua" w:hAnsi="Book Antiqua"/>
                <w:sz w:val="24"/>
                <w:szCs w:val="24"/>
              </w:rPr>
              <w:t>hemotherapy</w:t>
            </w:r>
          </w:p>
        </w:tc>
      </w:tr>
      <w:tr w:rsidR="00082ABB" w:rsidRPr="00082ABB" w:rsidTr="00402708">
        <w:tc>
          <w:tcPr>
            <w:tcW w:w="2542" w:type="dxa"/>
          </w:tcPr>
          <w:p w:rsidR="004E1F90" w:rsidRPr="00082ABB" w:rsidRDefault="004E1F90" w:rsidP="004E1F90">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SPIRITT</w:t>
            </w:r>
          </w:p>
        </w:tc>
        <w:tc>
          <w:tcPr>
            <w:tcW w:w="3362"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FOLFIRI + Panitumumab</w:t>
            </w:r>
          </w:p>
        </w:tc>
        <w:tc>
          <w:tcPr>
            <w:tcW w:w="705"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91</w:t>
            </w:r>
          </w:p>
        </w:tc>
        <w:tc>
          <w:tcPr>
            <w:tcW w:w="1301"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32%</w:t>
            </w:r>
          </w:p>
        </w:tc>
        <w:tc>
          <w:tcPr>
            <w:tcW w:w="1276"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7.7</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18.0</w:t>
            </w:r>
          </w:p>
        </w:tc>
      </w:tr>
      <w:tr w:rsidR="00082ABB" w:rsidRPr="00082ABB" w:rsidTr="00402708">
        <w:tc>
          <w:tcPr>
            <w:tcW w:w="2542" w:type="dxa"/>
          </w:tcPr>
          <w:p w:rsidR="004E1F90" w:rsidRPr="00082ABB" w:rsidRDefault="004E1F90" w:rsidP="007061C9">
            <w:pPr>
              <w:snapToGrid w:val="0"/>
              <w:spacing w:line="360" w:lineRule="auto"/>
              <w:rPr>
                <w:rFonts w:ascii="Book Antiqua" w:hAnsi="Book Antiqua"/>
                <w:sz w:val="24"/>
                <w:szCs w:val="24"/>
              </w:rPr>
            </w:pPr>
          </w:p>
        </w:tc>
        <w:tc>
          <w:tcPr>
            <w:tcW w:w="3362"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FOLFIRI + Bevacizumab</w:t>
            </w:r>
          </w:p>
        </w:tc>
        <w:tc>
          <w:tcPr>
            <w:tcW w:w="705"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91</w:t>
            </w:r>
          </w:p>
        </w:tc>
        <w:tc>
          <w:tcPr>
            <w:tcW w:w="1301"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19%</w:t>
            </w:r>
          </w:p>
        </w:tc>
        <w:tc>
          <w:tcPr>
            <w:tcW w:w="1276" w:type="dxa"/>
            <w:gridSpan w:val="2"/>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9.2</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21.4</w:t>
            </w:r>
          </w:p>
        </w:tc>
      </w:tr>
      <w:tr w:rsidR="00082ABB" w:rsidRPr="00082ABB" w:rsidTr="00402708">
        <w:tc>
          <w:tcPr>
            <w:tcW w:w="2542" w:type="dxa"/>
            <w:tcBorders>
              <w:bottom w:val="single" w:sz="4" w:space="0" w:color="auto"/>
            </w:tcBorders>
          </w:tcPr>
          <w:p w:rsidR="004E1F90" w:rsidRPr="00082ABB" w:rsidRDefault="004E1F90" w:rsidP="007061C9">
            <w:pPr>
              <w:snapToGrid w:val="0"/>
              <w:spacing w:line="360" w:lineRule="auto"/>
              <w:rPr>
                <w:rFonts w:ascii="Book Antiqua" w:hAnsi="Book Antiqua"/>
                <w:sz w:val="24"/>
                <w:szCs w:val="24"/>
              </w:rPr>
            </w:pPr>
          </w:p>
        </w:tc>
        <w:tc>
          <w:tcPr>
            <w:tcW w:w="3362" w:type="dxa"/>
            <w:tcBorders>
              <w:bottom w:val="single" w:sz="4" w:space="0" w:color="auto"/>
            </w:tcBorders>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 xml:space="preserve">(Hazard ratio, </w:t>
            </w:r>
            <w:r w:rsidRPr="00082ABB">
              <w:rPr>
                <w:rFonts w:ascii="Book Antiqua" w:hAnsi="Book Antiqua"/>
                <w:i/>
                <w:sz w:val="24"/>
                <w:szCs w:val="24"/>
              </w:rPr>
              <w:t>P</w:t>
            </w:r>
            <w:r w:rsidRPr="00082ABB">
              <w:rPr>
                <w:rFonts w:ascii="Book Antiqua" w:hAnsi="Book Antiqua"/>
                <w:sz w:val="24"/>
                <w:szCs w:val="24"/>
              </w:rPr>
              <w:t>-value)</w:t>
            </w:r>
          </w:p>
        </w:tc>
        <w:tc>
          <w:tcPr>
            <w:tcW w:w="705" w:type="dxa"/>
            <w:tcBorders>
              <w:bottom w:val="single" w:sz="4" w:space="0" w:color="auto"/>
            </w:tcBorders>
          </w:tcPr>
          <w:p w:rsidR="004E1F90" w:rsidRPr="00082ABB" w:rsidRDefault="004E1F90" w:rsidP="004E1F90">
            <w:pPr>
              <w:snapToGrid w:val="0"/>
              <w:spacing w:line="360" w:lineRule="auto"/>
              <w:jc w:val="center"/>
              <w:rPr>
                <w:rFonts w:ascii="Book Antiqua" w:hAnsi="Book Antiqua"/>
                <w:sz w:val="24"/>
                <w:szCs w:val="24"/>
              </w:rPr>
            </w:pPr>
          </w:p>
        </w:tc>
        <w:tc>
          <w:tcPr>
            <w:tcW w:w="1301" w:type="dxa"/>
            <w:gridSpan w:val="2"/>
            <w:tcBorders>
              <w:bottom w:val="single" w:sz="4" w:space="0" w:color="auto"/>
            </w:tcBorders>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w:t>
            </w:r>
          </w:p>
        </w:tc>
        <w:tc>
          <w:tcPr>
            <w:tcW w:w="1276" w:type="dxa"/>
            <w:gridSpan w:val="2"/>
            <w:tcBorders>
              <w:bottom w:val="single" w:sz="4" w:space="0" w:color="auto"/>
            </w:tcBorders>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1.01</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0.97</w:t>
            </w:r>
          </w:p>
        </w:tc>
        <w:tc>
          <w:tcPr>
            <w:tcW w:w="1418" w:type="dxa"/>
            <w:tcBorders>
              <w:bottom w:val="single" w:sz="4" w:space="0" w:color="auto"/>
            </w:tcBorders>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1.06</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0.75</w:t>
            </w:r>
          </w:p>
        </w:tc>
      </w:tr>
    </w:tbl>
    <w:p w:rsidR="00F47B06" w:rsidRPr="00082ABB" w:rsidRDefault="004E1F90" w:rsidP="007061C9">
      <w:pPr>
        <w:snapToGrid w:val="0"/>
        <w:spacing w:line="360" w:lineRule="auto"/>
        <w:rPr>
          <w:rFonts w:ascii="Book Antiqua" w:hAnsi="Book Antiqua"/>
          <w:sz w:val="24"/>
          <w:szCs w:val="24"/>
        </w:rPr>
      </w:pPr>
      <w:r w:rsidRPr="00082ABB">
        <w:rPr>
          <w:rFonts w:ascii="Book Antiqua" w:eastAsia="宋体" w:hAnsi="Book Antiqua"/>
          <w:sz w:val="24"/>
          <w:szCs w:val="24"/>
          <w:vertAlign w:val="superscript"/>
          <w:lang w:eastAsia="zh-CN"/>
        </w:rPr>
        <w:t>1</w:t>
      </w:r>
      <w:r w:rsidRPr="00082ABB">
        <w:rPr>
          <w:rFonts w:ascii="Book Antiqua" w:hAnsi="Book Antiqua"/>
          <w:caps/>
          <w:sz w:val="24"/>
          <w:szCs w:val="24"/>
        </w:rPr>
        <w:t>c</w:t>
      </w:r>
      <w:r w:rsidRPr="00082ABB">
        <w:rPr>
          <w:rFonts w:ascii="Book Antiqua" w:hAnsi="Book Antiqua"/>
          <w:sz w:val="24"/>
          <w:szCs w:val="24"/>
        </w:rPr>
        <w:t>hemotherapy regimens were FOLFOX or FOLFIRI</w:t>
      </w:r>
      <w:r w:rsidRPr="00082ABB">
        <w:rPr>
          <w:rFonts w:ascii="Book Antiqua" w:eastAsia="宋体" w:hAnsi="Book Antiqua"/>
          <w:sz w:val="24"/>
          <w:szCs w:val="24"/>
          <w:lang w:eastAsia="zh-CN"/>
        </w:rPr>
        <w:t xml:space="preserve">. </w:t>
      </w:r>
      <w:r w:rsidRPr="00082ABB">
        <w:rPr>
          <w:rFonts w:ascii="Book Antiqua" w:hAnsi="Book Antiqua"/>
          <w:sz w:val="24"/>
          <w:szCs w:val="24"/>
        </w:rPr>
        <w:t xml:space="preserve">ORR: </w:t>
      </w:r>
      <w:r w:rsidRPr="00082ABB">
        <w:rPr>
          <w:rFonts w:ascii="Book Antiqua" w:hAnsi="Book Antiqua"/>
          <w:caps/>
          <w:sz w:val="24"/>
          <w:szCs w:val="24"/>
        </w:rPr>
        <w:t>o</w:t>
      </w:r>
      <w:r w:rsidRPr="00082ABB">
        <w:rPr>
          <w:rFonts w:ascii="Book Antiqua" w:hAnsi="Book Antiqua"/>
          <w:sz w:val="24"/>
          <w:szCs w:val="24"/>
        </w:rPr>
        <w:t xml:space="preserve">bjective response rate; PFS: </w:t>
      </w:r>
      <w:r w:rsidRPr="00082ABB">
        <w:rPr>
          <w:rFonts w:ascii="Book Antiqua" w:hAnsi="Book Antiqua"/>
          <w:caps/>
          <w:sz w:val="24"/>
          <w:szCs w:val="24"/>
        </w:rPr>
        <w:t>p</w:t>
      </w:r>
      <w:r w:rsidRPr="00082ABB">
        <w:rPr>
          <w:rFonts w:ascii="Book Antiqua" w:hAnsi="Book Antiqua"/>
          <w:sz w:val="24"/>
          <w:szCs w:val="24"/>
        </w:rPr>
        <w:t xml:space="preserve">rogression-free survival; OS: overall survival; HR: </w:t>
      </w:r>
      <w:r w:rsidRPr="00082ABB">
        <w:rPr>
          <w:rFonts w:ascii="Book Antiqua" w:hAnsi="Book Antiqua"/>
          <w:caps/>
          <w:sz w:val="24"/>
          <w:szCs w:val="24"/>
        </w:rPr>
        <w:t>h</w:t>
      </w:r>
      <w:r w:rsidRPr="00082ABB">
        <w:rPr>
          <w:rFonts w:ascii="Book Antiqua" w:hAnsi="Book Antiqua"/>
          <w:sz w:val="24"/>
          <w:szCs w:val="24"/>
        </w:rPr>
        <w:t xml:space="preserve">azard ratio; OR: </w:t>
      </w:r>
      <w:r w:rsidRPr="00082ABB">
        <w:rPr>
          <w:rFonts w:ascii="Book Antiqua" w:hAnsi="Book Antiqua"/>
          <w:caps/>
          <w:sz w:val="24"/>
          <w:szCs w:val="24"/>
        </w:rPr>
        <w:t>o</w:t>
      </w:r>
      <w:r w:rsidRPr="00082ABB">
        <w:rPr>
          <w:rFonts w:ascii="Book Antiqua" w:hAnsi="Book Antiqua"/>
          <w:sz w:val="24"/>
          <w:szCs w:val="24"/>
        </w:rPr>
        <w:t xml:space="preserve">dds ratio; FOLFIRI: </w:t>
      </w:r>
      <w:r w:rsidRPr="00082ABB">
        <w:rPr>
          <w:rFonts w:ascii="Book Antiqua" w:hAnsi="Book Antiqua"/>
          <w:caps/>
          <w:sz w:val="24"/>
          <w:szCs w:val="24"/>
        </w:rPr>
        <w:t>b</w:t>
      </w:r>
      <w:r w:rsidRPr="00082ABB">
        <w:rPr>
          <w:rFonts w:ascii="Book Antiqua" w:hAnsi="Book Antiqua"/>
          <w:sz w:val="24"/>
          <w:szCs w:val="24"/>
        </w:rPr>
        <w:t xml:space="preserve">olus and infusional 5-fluorouracil/leucovorin/irinotecan; FOLFOX: </w:t>
      </w:r>
      <w:r w:rsidRPr="00082ABB">
        <w:rPr>
          <w:rFonts w:ascii="Book Antiqua" w:hAnsi="Book Antiqua"/>
          <w:caps/>
          <w:sz w:val="24"/>
          <w:szCs w:val="24"/>
        </w:rPr>
        <w:t>b</w:t>
      </w:r>
      <w:r w:rsidRPr="00082ABB">
        <w:rPr>
          <w:rFonts w:ascii="Book Antiqua" w:hAnsi="Book Antiqua"/>
          <w:sz w:val="24"/>
          <w:szCs w:val="24"/>
        </w:rPr>
        <w:t>olus and infusional 5-fluorouracil/leucovorin/oxaliplatin</w:t>
      </w:r>
      <w:r w:rsidRPr="00082ABB">
        <w:rPr>
          <w:rFonts w:ascii="Book Antiqua" w:eastAsia="宋体" w:hAnsi="Book Antiqua"/>
          <w:sz w:val="24"/>
          <w:szCs w:val="24"/>
          <w:lang w:eastAsia="zh-CN"/>
        </w:rPr>
        <w:t>.</w:t>
      </w:r>
    </w:p>
    <w:p w:rsidR="00F47B06" w:rsidRPr="00082ABB" w:rsidRDefault="00F47B06">
      <w:pPr>
        <w:widowControl/>
        <w:jc w:val="left"/>
        <w:rPr>
          <w:rFonts w:ascii="Book Antiqua" w:hAnsi="Book Antiqua"/>
          <w:sz w:val="24"/>
          <w:szCs w:val="24"/>
        </w:rPr>
      </w:pPr>
      <w:r w:rsidRPr="00082ABB">
        <w:rPr>
          <w:rFonts w:ascii="Book Antiqua" w:hAnsi="Book Antiqua"/>
          <w:sz w:val="24"/>
          <w:szCs w:val="24"/>
        </w:rPr>
        <w:lastRenderedPageBreak/>
        <w:br w:type="page"/>
      </w:r>
    </w:p>
    <w:p w:rsidR="002C3B1B" w:rsidRPr="00082ABB" w:rsidRDefault="002C3B1B" w:rsidP="007061C9">
      <w:pPr>
        <w:snapToGrid w:val="0"/>
        <w:spacing w:line="360" w:lineRule="auto"/>
        <w:rPr>
          <w:rFonts w:ascii="Book Antiqua" w:hAnsi="Book Antiqua"/>
          <w:b/>
          <w:sz w:val="24"/>
          <w:szCs w:val="24"/>
        </w:rPr>
      </w:pPr>
      <w:r w:rsidRPr="00082ABB">
        <w:rPr>
          <w:rFonts w:ascii="Book Antiqua" w:hAnsi="Book Antiqua"/>
          <w:b/>
          <w:sz w:val="24"/>
          <w:szCs w:val="24"/>
        </w:rPr>
        <w:lastRenderedPageBreak/>
        <w:t>Table 4</w:t>
      </w:r>
      <w:r w:rsidR="000D525E" w:rsidRPr="00082ABB">
        <w:rPr>
          <w:rFonts w:ascii="Book Antiqua" w:eastAsia="宋体" w:hAnsi="Book Antiqua"/>
          <w:b/>
          <w:sz w:val="24"/>
          <w:szCs w:val="24"/>
          <w:lang w:eastAsia="zh-CN"/>
        </w:rPr>
        <w:t xml:space="preserve"> </w:t>
      </w:r>
      <w:r w:rsidRPr="00082ABB">
        <w:rPr>
          <w:rFonts w:ascii="Book Antiqua" w:hAnsi="Book Antiqua"/>
          <w:b/>
          <w:sz w:val="24"/>
          <w:szCs w:val="24"/>
        </w:rPr>
        <w:t xml:space="preserve">Treatment outcome by </w:t>
      </w:r>
      <w:r w:rsidR="004E1F90" w:rsidRPr="00082ABB">
        <w:rPr>
          <w:rFonts w:ascii="Book Antiqua" w:hAnsi="Book Antiqua"/>
          <w:b/>
          <w:sz w:val="24"/>
          <w:szCs w:val="24"/>
        </w:rPr>
        <w:t>anti-epidermal growth factor receptor therapy</w:t>
      </w:r>
      <w:bookmarkStart w:id="127" w:name="_GoBack"/>
      <w:bookmarkEnd w:id="127"/>
      <w:r w:rsidRPr="00082ABB">
        <w:rPr>
          <w:rFonts w:ascii="Book Antiqua" w:hAnsi="Book Antiqua"/>
          <w:b/>
          <w:sz w:val="24"/>
          <w:szCs w:val="24"/>
        </w:rPr>
        <w:t xml:space="preserve"> as first-line treatment in </w:t>
      </w:r>
      <w:r w:rsidR="004E1F90" w:rsidRPr="00082ABB">
        <w:rPr>
          <w:rFonts w:ascii="Book Antiqua" w:hAnsi="Book Antiqua"/>
          <w:b/>
          <w:sz w:val="24"/>
          <w:szCs w:val="24"/>
        </w:rPr>
        <w:t>metastatic colorectal cancer</w:t>
      </w:r>
      <w:r w:rsidR="004E1F90" w:rsidRPr="00082ABB">
        <w:rPr>
          <w:rFonts w:ascii="Book Antiqua" w:eastAsia="宋体" w:hAnsi="Book Antiqua"/>
          <w:b/>
          <w:sz w:val="24"/>
          <w:szCs w:val="24"/>
          <w:lang w:eastAsia="zh-CN"/>
        </w:rPr>
        <w:t xml:space="preserve"> </w:t>
      </w:r>
      <w:r w:rsidRPr="00082ABB">
        <w:rPr>
          <w:rFonts w:ascii="Book Antiqua" w:hAnsi="Book Antiqua"/>
          <w:b/>
          <w:sz w:val="24"/>
          <w:szCs w:val="24"/>
        </w:rPr>
        <w:t xml:space="preserve">with </w:t>
      </w:r>
      <w:r w:rsidRPr="00082ABB">
        <w:rPr>
          <w:rFonts w:ascii="Book Antiqua" w:hAnsi="Book Antiqua"/>
          <w:b/>
          <w:i/>
          <w:sz w:val="24"/>
          <w:szCs w:val="24"/>
        </w:rPr>
        <w:t>RAS</w:t>
      </w:r>
      <w:r w:rsidRPr="00082ABB">
        <w:rPr>
          <w:rFonts w:ascii="Book Antiqua" w:hAnsi="Book Antiqua"/>
          <w:b/>
          <w:sz w:val="24"/>
          <w:szCs w:val="24"/>
        </w:rPr>
        <w:t xml:space="preserve"> wild type</w:t>
      </w:r>
    </w:p>
    <w:tbl>
      <w:tblPr>
        <w:tblW w:w="10604" w:type="dxa"/>
        <w:tblInd w:w="-998" w:type="dxa"/>
        <w:tblLook w:val="00A0" w:firstRow="1" w:lastRow="0" w:firstColumn="1" w:lastColumn="0" w:noHBand="0" w:noVBand="0"/>
      </w:tblPr>
      <w:tblGrid>
        <w:gridCol w:w="2548"/>
        <w:gridCol w:w="3236"/>
        <w:gridCol w:w="709"/>
        <w:gridCol w:w="1276"/>
        <w:gridCol w:w="1417"/>
        <w:gridCol w:w="1418"/>
      </w:tblGrid>
      <w:tr w:rsidR="00082ABB" w:rsidRPr="00082ABB" w:rsidTr="00402708">
        <w:tc>
          <w:tcPr>
            <w:tcW w:w="2548" w:type="dxa"/>
            <w:tcBorders>
              <w:top w:val="single" w:sz="4" w:space="0" w:color="auto"/>
              <w:bottom w:val="single" w:sz="4" w:space="0" w:color="auto"/>
            </w:tcBorders>
          </w:tcPr>
          <w:p w:rsidR="004E1F90" w:rsidRPr="00082ABB" w:rsidRDefault="004E1F90" w:rsidP="007061C9">
            <w:pPr>
              <w:snapToGrid w:val="0"/>
              <w:spacing w:line="360" w:lineRule="auto"/>
              <w:rPr>
                <w:rFonts w:ascii="Book Antiqua" w:hAnsi="Book Antiqua"/>
                <w:b/>
                <w:sz w:val="24"/>
                <w:szCs w:val="24"/>
              </w:rPr>
            </w:pPr>
            <w:r w:rsidRPr="00082ABB">
              <w:rPr>
                <w:rFonts w:ascii="Book Antiqua" w:hAnsi="Book Antiqua"/>
                <w:b/>
                <w:sz w:val="24"/>
                <w:szCs w:val="24"/>
              </w:rPr>
              <w:t>Trial name</w:t>
            </w:r>
          </w:p>
        </w:tc>
        <w:tc>
          <w:tcPr>
            <w:tcW w:w="3236" w:type="dxa"/>
            <w:tcBorders>
              <w:top w:val="single" w:sz="4" w:space="0" w:color="auto"/>
              <w:bottom w:val="single" w:sz="4" w:space="0" w:color="auto"/>
            </w:tcBorders>
          </w:tcPr>
          <w:p w:rsidR="004E1F90" w:rsidRPr="00082ABB" w:rsidRDefault="004E1F90" w:rsidP="000D525E">
            <w:pPr>
              <w:snapToGrid w:val="0"/>
              <w:spacing w:line="360" w:lineRule="auto"/>
              <w:jc w:val="center"/>
              <w:rPr>
                <w:rFonts w:ascii="Book Antiqua" w:hAnsi="Book Antiqua"/>
                <w:b/>
                <w:sz w:val="24"/>
                <w:szCs w:val="24"/>
              </w:rPr>
            </w:pPr>
            <w:r w:rsidRPr="00082ABB">
              <w:rPr>
                <w:rFonts w:ascii="Book Antiqua" w:hAnsi="Book Antiqua"/>
                <w:b/>
                <w:caps/>
                <w:sz w:val="24"/>
                <w:szCs w:val="24"/>
              </w:rPr>
              <w:t>r</w:t>
            </w:r>
            <w:r w:rsidRPr="00082ABB">
              <w:rPr>
                <w:rFonts w:ascii="Book Antiqua" w:hAnsi="Book Antiqua"/>
                <w:b/>
                <w:sz w:val="24"/>
                <w:szCs w:val="24"/>
              </w:rPr>
              <w:t>egimens</w:t>
            </w:r>
          </w:p>
        </w:tc>
        <w:tc>
          <w:tcPr>
            <w:tcW w:w="709" w:type="dxa"/>
            <w:tcBorders>
              <w:top w:val="single" w:sz="4" w:space="0" w:color="auto"/>
              <w:bottom w:val="single" w:sz="4" w:space="0" w:color="auto"/>
            </w:tcBorders>
          </w:tcPr>
          <w:p w:rsidR="004E1F90" w:rsidRPr="00082ABB" w:rsidRDefault="004E1F90" w:rsidP="000D525E">
            <w:pPr>
              <w:snapToGrid w:val="0"/>
              <w:spacing w:line="360" w:lineRule="auto"/>
              <w:jc w:val="center"/>
              <w:rPr>
                <w:rFonts w:ascii="Book Antiqua" w:hAnsi="Book Antiqua"/>
                <w:b/>
                <w:i/>
                <w:sz w:val="24"/>
                <w:szCs w:val="24"/>
              </w:rPr>
            </w:pPr>
            <w:r w:rsidRPr="00082ABB">
              <w:rPr>
                <w:rFonts w:ascii="Book Antiqua" w:hAnsi="Book Antiqua"/>
                <w:b/>
                <w:i/>
                <w:sz w:val="24"/>
                <w:szCs w:val="24"/>
              </w:rPr>
              <w:t>n</w:t>
            </w:r>
          </w:p>
          <w:p w:rsidR="004E1F90" w:rsidRPr="00082ABB" w:rsidRDefault="004E1F90" w:rsidP="000D525E">
            <w:pPr>
              <w:snapToGrid w:val="0"/>
              <w:spacing w:line="360" w:lineRule="auto"/>
              <w:jc w:val="center"/>
              <w:rPr>
                <w:rFonts w:ascii="Book Antiqua" w:hAnsi="Book Antiqua"/>
                <w:b/>
                <w:sz w:val="24"/>
                <w:szCs w:val="24"/>
              </w:rPr>
            </w:pPr>
          </w:p>
        </w:tc>
        <w:tc>
          <w:tcPr>
            <w:tcW w:w="1276" w:type="dxa"/>
            <w:tcBorders>
              <w:top w:val="single" w:sz="4" w:space="0" w:color="auto"/>
              <w:bottom w:val="single" w:sz="4" w:space="0" w:color="auto"/>
            </w:tcBorders>
          </w:tcPr>
          <w:p w:rsidR="004E1F90" w:rsidRPr="00082ABB" w:rsidRDefault="004E1F90" w:rsidP="000D525E">
            <w:pPr>
              <w:snapToGrid w:val="0"/>
              <w:spacing w:line="360" w:lineRule="auto"/>
              <w:jc w:val="center"/>
              <w:rPr>
                <w:rFonts w:ascii="Book Antiqua" w:hAnsi="Book Antiqua"/>
                <w:b/>
                <w:sz w:val="24"/>
                <w:szCs w:val="24"/>
              </w:rPr>
            </w:pPr>
            <w:r w:rsidRPr="00082ABB">
              <w:rPr>
                <w:rFonts w:ascii="Book Antiqua" w:hAnsi="Book Antiqua"/>
                <w:b/>
                <w:sz w:val="24"/>
                <w:szCs w:val="24"/>
              </w:rPr>
              <w:t>ORR</w:t>
            </w:r>
          </w:p>
        </w:tc>
        <w:tc>
          <w:tcPr>
            <w:tcW w:w="1417" w:type="dxa"/>
            <w:tcBorders>
              <w:top w:val="single" w:sz="4" w:space="0" w:color="auto"/>
              <w:bottom w:val="single" w:sz="4" w:space="0" w:color="auto"/>
            </w:tcBorders>
          </w:tcPr>
          <w:p w:rsidR="004E1F90" w:rsidRPr="00082ABB" w:rsidRDefault="004E1F90" w:rsidP="004E1F90">
            <w:pPr>
              <w:snapToGrid w:val="0"/>
              <w:spacing w:line="360" w:lineRule="auto"/>
              <w:jc w:val="center"/>
              <w:rPr>
                <w:rFonts w:ascii="Book Antiqua" w:hAnsi="Book Antiqua"/>
                <w:b/>
                <w:sz w:val="24"/>
                <w:szCs w:val="24"/>
              </w:rPr>
            </w:pPr>
            <w:r w:rsidRPr="00082ABB">
              <w:rPr>
                <w:rFonts w:ascii="Book Antiqua" w:hAnsi="Book Antiqua"/>
                <w:b/>
                <w:sz w:val="24"/>
                <w:szCs w:val="24"/>
              </w:rPr>
              <w:t>PFS</w:t>
            </w:r>
            <w:r w:rsidRPr="00082ABB">
              <w:rPr>
                <w:rFonts w:ascii="Book Antiqua" w:eastAsia="宋体" w:hAnsi="Book Antiqua"/>
                <w:b/>
                <w:sz w:val="24"/>
                <w:szCs w:val="24"/>
                <w:lang w:eastAsia="zh-CN"/>
              </w:rPr>
              <w:t xml:space="preserve"> </w:t>
            </w:r>
            <w:r w:rsidRPr="00082ABB">
              <w:rPr>
                <w:rFonts w:ascii="Book Antiqua" w:hAnsi="Book Antiqua"/>
                <w:b/>
                <w:sz w:val="24"/>
                <w:szCs w:val="24"/>
              </w:rPr>
              <w:t>(mo)</w:t>
            </w:r>
          </w:p>
        </w:tc>
        <w:tc>
          <w:tcPr>
            <w:tcW w:w="1418" w:type="dxa"/>
            <w:tcBorders>
              <w:top w:val="single" w:sz="4" w:space="0" w:color="auto"/>
              <w:bottom w:val="single" w:sz="4" w:space="0" w:color="auto"/>
            </w:tcBorders>
          </w:tcPr>
          <w:p w:rsidR="004E1F90" w:rsidRPr="00082ABB" w:rsidRDefault="004E1F90" w:rsidP="004E1F90">
            <w:pPr>
              <w:snapToGrid w:val="0"/>
              <w:spacing w:line="360" w:lineRule="auto"/>
              <w:jc w:val="center"/>
              <w:rPr>
                <w:rFonts w:ascii="Book Antiqua" w:hAnsi="Book Antiqua"/>
                <w:b/>
                <w:sz w:val="24"/>
                <w:szCs w:val="24"/>
              </w:rPr>
            </w:pPr>
            <w:r w:rsidRPr="00082ABB">
              <w:rPr>
                <w:rFonts w:ascii="Book Antiqua" w:hAnsi="Book Antiqua"/>
                <w:b/>
                <w:sz w:val="24"/>
                <w:szCs w:val="24"/>
              </w:rPr>
              <w:t>OS</w:t>
            </w:r>
            <w:r w:rsidRPr="00082ABB">
              <w:rPr>
                <w:rFonts w:ascii="Book Antiqua" w:eastAsia="宋体" w:hAnsi="Book Antiqua"/>
                <w:b/>
                <w:sz w:val="24"/>
                <w:szCs w:val="24"/>
                <w:lang w:eastAsia="zh-CN"/>
              </w:rPr>
              <w:t xml:space="preserve"> </w:t>
            </w:r>
            <w:r w:rsidRPr="00082ABB">
              <w:rPr>
                <w:rFonts w:ascii="Book Antiqua" w:hAnsi="Book Antiqua"/>
                <w:b/>
                <w:sz w:val="24"/>
                <w:szCs w:val="24"/>
              </w:rPr>
              <w:t>(mo)</w:t>
            </w:r>
          </w:p>
        </w:tc>
      </w:tr>
      <w:tr w:rsidR="00082ABB" w:rsidRPr="00082ABB" w:rsidTr="00402708">
        <w:tc>
          <w:tcPr>
            <w:tcW w:w="2548" w:type="dxa"/>
          </w:tcPr>
          <w:p w:rsidR="004E1F90" w:rsidRPr="00082ABB" w:rsidRDefault="004E1F90" w:rsidP="004E1F90">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CRYSTAL</w:t>
            </w: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FOLFIRI + Cetuximab</w:t>
            </w:r>
          </w:p>
        </w:tc>
        <w:tc>
          <w:tcPr>
            <w:tcW w:w="709"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178</w:t>
            </w: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66.3%</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11.4</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28.4</w:t>
            </w:r>
          </w:p>
        </w:tc>
      </w:tr>
      <w:tr w:rsidR="00082ABB" w:rsidRPr="00082ABB" w:rsidTr="00402708">
        <w:tc>
          <w:tcPr>
            <w:tcW w:w="2548" w:type="dxa"/>
          </w:tcPr>
          <w:p w:rsidR="004E1F90" w:rsidRPr="00082ABB" w:rsidRDefault="004E1F90" w:rsidP="007061C9">
            <w:pPr>
              <w:snapToGrid w:val="0"/>
              <w:spacing w:line="360" w:lineRule="auto"/>
              <w:rPr>
                <w:rFonts w:ascii="Book Antiqua" w:hAnsi="Book Antiqua"/>
                <w:sz w:val="24"/>
                <w:szCs w:val="24"/>
              </w:rPr>
            </w:pP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FOLFIRI</w:t>
            </w:r>
          </w:p>
        </w:tc>
        <w:tc>
          <w:tcPr>
            <w:tcW w:w="709"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189</w:t>
            </w: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38.6%</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8.4</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20.2</w:t>
            </w:r>
          </w:p>
        </w:tc>
      </w:tr>
      <w:tr w:rsidR="00082ABB" w:rsidRPr="00082ABB" w:rsidTr="00402708">
        <w:tc>
          <w:tcPr>
            <w:tcW w:w="2548" w:type="dxa"/>
          </w:tcPr>
          <w:p w:rsidR="004E1F90" w:rsidRPr="00082ABB" w:rsidRDefault="004E1F90" w:rsidP="007061C9">
            <w:pPr>
              <w:snapToGrid w:val="0"/>
              <w:spacing w:line="360" w:lineRule="auto"/>
              <w:rPr>
                <w:rFonts w:ascii="Book Antiqua" w:hAnsi="Book Antiqua"/>
                <w:sz w:val="24"/>
                <w:szCs w:val="24"/>
              </w:rPr>
            </w:pP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 xml:space="preserve">(Hazard ratio, </w:t>
            </w:r>
            <w:r w:rsidRPr="00082ABB">
              <w:rPr>
                <w:rFonts w:ascii="Book Antiqua" w:hAnsi="Book Antiqua"/>
                <w:i/>
                <w:sz w:val="24"/>
                <w:szCs w:val="24"/>
              </w:rPr>
              <w:t>P</w:t>
            </w:r>
            <w:r w:rsidRPr="00082ABB">
              <w:rPr>
                <w:rFonts w:ascii="Book Antiqua" w:hAnsi="Book Antiqua"/>
                <w:sz w:val="24"/>
                <w:szCs w:val="24"/>
              </w:rPr>
              <w:t>-value)</w:t>
            </w:r>
          </w:p>
        </w:tc>
        <w:tc>
          <w:tcPr>
            <w:tcW w:w="709" w:type="dxa"/>
          </w:tcPr>
          <w:p w:rsidR="004E1F90" w:rsidRPr="00082ABB" w:rsidRDefault="004E1F90" w:rsidP="004E1F90">
            <w:pPr>
              <w:snapToGrid w:val="0"/>
              <w:spacing w:line="360" w:lineRule="auto"/>
              <w:jc w:val="center"/>
              <w:rPr>
                <w:rFonts w:ascii="Book Antiqua" w:hAnsi="Book Antiqua"/>
                <w:sz w:val="24"/>
                <w:szCs w:val="24"/>
              </w:rPr>
            </w:pP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OR</w:t>
            </w:r>
            <w:r w:rsidRPr="00082ABB">
              <w:rPr>
                <w:rFonts w:ascii="Book Antiqua" w:eastAsia="宋体" w:hAnsi="Book Antiqua"/>
                <w:sz w:val="24"/>
                <w:szCs w:val="24"/>
                <w:lang w:eastAsia="zh-CN"/>
              </w:rPr>
              <w:t xml:space="preserve"> = </w:t>
            </w:r>
            <w:r w:rsidRPr="00082ABB">
              <w:rPr>
                <w:rFonts w:ascii="Book Antiqua" w:hAnsi="Book Antiqua"/>
                <w:sz w:val="24"/>
                <w:szCs w:val="24"/>
              </w:rPr>
              <w:t>3.31</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&lt;</w:t>
            </w:r>
            <w:r w:rsidRPr="00082ABB">
              <w:rPr>
                <w:rFonts w:ascii="Book Antiqua" w:eastAsia="宋体" w:hAnsi="Book Antiqua"/>
                <w:sz w:val="24"/>
                <w:szCs w:val="24"/>
                <w:lang w:eastAsia="zh-CN"/>
              </w:rPr>
              <w:t xml:space="preserve"> </w:t>
            </w:r>
            <w:r w:rsidRPr="00082ABB">
              <w:rPr>
                <w:rFonts w:ascii="Book Antiqua" w:hAnsi="Book Antiqua"/>
                <w:sz w:val="24"/>
                <w:szCs w:val="24"/>
              </w:rPr>
              <w:t>0.001</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w:t>
            </w:r>
            <w:r w:rsidRPr="00082ABB">
              <w:rPr>
                <w:rFonts w:ascii="Book Antiqua" w:hAnsi="Book Antiqua"/>
                <w:sz w:val="24"/>
                <w:szCs w:val="24"/>
              </w:rPr>
              <w:t xml:space="preserve"> 0.56</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0.0002</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0.69</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0.0024</w:t>
            </w:r>
          </w:p>
        </w:tc>
      </w:tr>
      <w:tr w:rsidR="00082ABB" w:rsidRPr="00082ABB" w:rsidTr="00402708">
        <w:tc>
          <w:tcPr>
            <w:tcW w:w="2548" w:type="dxa"/>
          </w:tcPr>
          <w:p w:rsidR="004E1F90" w:rsidRPr="00082ABB" w:rsidRDefault="004E1F90" w:rsidP="004E1F90">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PRIME</w:t>
            </w: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FOLFOX + Panitumumab</w:t>
            </w:r>
          </w:p>
        </w:tc>
        <w:tc>
          <w:tcPr>
            <w:tcW w:w="709"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259</w:t>
            </w: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10.1</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25.8</w:t>
            </w:r>
          </w:p>
        </w:tc>
      </w:tr>
      <w:tr w:rsidR="00082ABB" w:rsidRPr="00082ABB" w:rsidTr="00402708">
        <w:tc>
          <w:tcPr>
            <w:tcW w:w="2548" w:type="dxa"/>
          </w:tcPr>
          <w:p w:rsidR="004E1F90" w:rsidRPr="00082ABB" w:rsidRDefault="004E1F90" w:rsidP="007061C9">
            <w:pPr>
              <w:snapToGrid w:val="0"/>
              <w:spacing w:line="360" w:lineRule="auto"/>
              <w:rPr>
                <w:rFonts w:ascii="Book Antiqua" w:hAnsi="Book Antiqua"/>
                <w:sz w:val="24"/>
                <w:szCs w:val="24"/>
              </w:rPr>
            </w:pP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FOLFOX</w:t>
            </w:r>
          </w:p>
        </w:tc>
        <w:tc>
          <w:tcPr>
            <w:tcW w:w="709"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253</w:t>
            </w: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7.9</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20.2</w:t>
            </w:r>
          </w:p>
        </w:tc>
      </w:tr>
      <w:tr w:rsidR="00082ABB" w:rsidRPr="00082ABB" w:rsidTr="00402708">
        <w:tc>
          <w:tcPr>
            <w:tcW w:w="2548" w:type="dxa"/>
          </w:tcPr>
          <w:p w:rsidR="004E1F90" w:rsidRPr="00082ABB" w:rsidRDefault="004E1F90" w:rsidP="007061C9">
            <w:pPr>
              <w:snapToGrid w:val="0"/>
              <w:spacing w:line="360" w:lineRule="auto"/>
              <w:rPr>
                <w:rFonts w:ascii="Book Antiqua" w:hAnsi="Book Antiqua"/>
                <w:sz w:val="24"/>
                <w:szCs w:val="24"/>
              </w:rPr>
            </w:pP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 xml:space="preserve">(Hazard ratio, </w:t>
            </w:r>
            <w:r w:rsidRPr="00082ABB">
              <w:rPr>
                <w:rFonts w:ascii="Book Antiqua" w:hAnsi="Book Antiqua"/>
                <w:i/>
                <w:sz w:val="24"/>
                <w:szCs w:val="24"/>
              </w:rPr>
              <w:t>P</w:t>
            </w:r>
            <w:r w:rsidRPr="00082ABB">
              <w:rPr>
                <w:rFonts w:ascii="Book Antiqua" w:hAnsi="Book Antiqua"/>
                <w:sz w:val="24"/>
                <w:szCs w:val="24"/>
              </w:rPr>
              <w:t>-value)</w:t>
            </w:r>
          </w:p>
        </w:tc>
        <w:tc>
          <w:tcPr>
            <w:tcW w:w="709" w:type="dxa"/>
          </w:tcPr>
          <w:p w:rsidR="004E1F90" w:rsidRPr="00082ABB" w:rsidRDefault="004E1F90" w:rsidP="004E1F90">
            <w:pPr>
              <w:snapToGrid w:val="0"/>
              <w:spacing w:line="360" w:lineRule="auto"/>
              <w:jc w:val="center"/>
              <w:rPr>
                <w:rFonts w:ascii="Book Antiqua" w:hAnsi="Book Antiqua"/>
                <w:sz w:val="24"/>
                <w:szCs w:val="24"/>
              </w:rPr>
            </w:pP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0.72</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0.004</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0.77</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0.009</w:t>
            </w:r>
          </w:p>
        </w:tc>
      </w:tr>
      <w:tr w:rsidR="00082ABB" w:rsidRPr="00082ABB" w:rsidTr="00402708">
        <w:tc>
          <w:tcPr>
            <w:tcW w:w="2548" w:type="dxa"/>
          </w:tcPr>
          <w:p w:rsidR="004E1F90" w:rsidRPr="00082ABB" w:rsidRDefault="004E1F90" w:rsidP="004E1F90">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PEAK</w:t>
            </w: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FOLFOX + Panitumumab</w:t>
            </w:r>
          </w:p>
        </w:tc>
        <w:tc>
          <w:tcPr>
            <w:tcW w:w="709"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88</w:t>
            </w: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63.6%</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13.0</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41.3</w:t>
            </w:r>
          </w:p>
        </w:tc>
      </w:tr>
      <w:tr w:rsidR="00082ABB" w:rsidRPr="00082ABB" w:rsidTr="00402708">
        <w:tc>
          <w:tcPr>
            <w:tcW w:w="2548" w:type="dxa"/>
          </w:tcPr>
          <w:p w:rsidR="004E1F90" w:rsidRPr="00082ABB" w:rsidRDefault="004E1F90" w:rsidP="007061C9">
            <w:pPr>
              <w:snapToGrid w:val="0"/>
              <w:spacing w:line="360" w:lineRule="auto"/>
              <w:rPr>
                <w:rFonts w:ascii="Book Antiqua" w:hAnsi="Book Antiqua"/>
                <w:sz w:val="24"/>
                <w:szCs w:val="24"/>
              </w:rPr>
            </w:pP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FOLFOX + Bevacizumab</w:t>
            </w:r>
          </w:p>
        </w:tc>
        <w:tc>
          <w:tcPr>
            <w:tcW w:w="709"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82</w:t>
            </w: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60.5%</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9.5</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28.9</w:t>
            </w:r>
          </w:p>
        </w:tc>
      </w:tr>
      <w:tr w:rsidR="00082ABB" w:rsidRPr="00082ABB" w:rsidTr="00402708">
        <w:tc>
          <w:tcPr>
            <w:tcW w:w="2548" w:type="dxa"/>
          </w:tcPr>
          <w:p w:rsidR="004E1F90" w:rsidRPr="00082ABB" w:rsidRDefault="004E1F90" w:rsidP="007061C9">
            <w:pPr>
              <w:snapToGrid w:val="0"/>
              <w:spacing w:line="360" w:lineRule="auto"/>
              <w:rPr>
                <w:rFonts w:ascii="Book Antiqua" w:hAnsi="Book Antiqua"/>
                <w:sz w:val="24"/>
                <w:szCs w:val="24"/>
              </w:rPr>
            </w:pP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 xml:space="preserve">(Hazard ratio, </w:t>
            </w:r>
            <w:r w:rsidRPr="00082ABB">
              <w:rPr>
                <w:rFonts w:ascii="Book Antiqua" w:hAnsi="Book Antiqua"/>
                <w:i/>
                <w:sz w:val="24"/>
                <w:szCs w:val="24"/>
              </w:rPr>
              <w:t>P</w:t>
            </w:r>
            <w:r w:rsidRPr="00082ABB">
              <w:rPr>
                <w:rFonts w:ascii="Book Antiqua" w:hAnsi="Book Antiqua"/>
                <w:sz w:val="24"/>
                <w:szCs w:val="24"/>
              </w:rPr>
              <w:t>-value)</w:t>
            </w:r>
          </w:p>
        </w:tc>
        <w:tc>
          <w:tcPr>
            <w:tcW w:w="709" w:type="dxa"/>
          </w:tcPr>
          <w:p w:rsidR="004E1F90" w:rsidRPr="00082ABB" w:rsidRDefault="004E1F90" w:rsidP="004E1F90">
            <w:pPr>
              <w:snapToGrid w:val="0"/>
              <w:spacing w:line="360" w:lineRule="auto"/>
              <w:jc w:val="center"/>
              <w:rPr>
                <w:rFonts w:ascii="Book Antiqua" w:hAnsi="Book Antiqua"/>
                <w:sz w:val="24"/>
                <w:szCs w:val="24"/>
              </w:rPr>
            </w:pP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0.65</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0.029</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0.63</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hAnsi="Book Antiqua"/>
                <w:sz w:val="24"/>
                <w:szCs w:val="24"/>
              </w:rPr>
              <w:t>=0.058</w:t>
            </w:r>
          </w:p>
        </w:tc>
      </w:tr>
      <w:tr w:rsidR="00082ABB" w:rsidRPr="00082ABB" w:rsidTr="00402708">
        <w:tc>
          <w:tcPr>
            <w:tcW w:w="2548" w:type="dxa"/>
          </w:tcPr>
          <w:p w:rsidR="004E1F90" w:rsidRPr="00082ABB" w:rsidRDefault="004E1F90" w:rsidP="004E1F90">
            <w:pPr>
              <w:snapToGrid w:val="0"/>
              <w:spacing w:line="360" w:lineRule="auto"/>
              <w:ind w:firstLineChars="100" w:firstLine="240"/>
              <w:rPr>
                <w:rFonts w:ascii="Book Antiqua" w:hAnsi="Book Antiqua"/>
                <w:sz w:val="24"/>
                <w:szCs w:val="24"/>
              </w:rPr>
            </w:pPr>
            <w:r w:rsidRPr="00082ABB">
              <w:rPr>
                <w:rFonts w:ascii="Book Antiqua" w:hAnsi="Book Antiqua"/>
                <w:sz w:val="24"/>
                <w:szCs w:val="24"/>
              </w:rPr>
              <w:t>FIRE-3</w:t>
            </w: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FOLFIRI + Cetuximab</w:t>
            </w:r>
          </w:p>
        </w:tc>
        <w:tc>
          <w:tcPr>
            <w:tcW w:w="709"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171</w:t>
            </w: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65%</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10.4</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33.1</w:t>
            </w:r>
          </w:p>
        </w:tc>
      </w:tr>
      <w:tr w:rsidR="00082ABB" w:rsidRPr="00082ABB" w:rsidTr="00402708">
        <w:tc>
          <w:tcPr>
            <w:tcW w:w="2548" w:type="dxa"/>
          </w:tcPr>
          <w:p w:rsidR="004E1F90" w:rsidRPr="00082ABB" w:rsidRDefault="004E1F90" w:rsidP="007061C9">
            <w:pPr>
              <w:snapToGrid w:val="0"/>
              <w:spacing w:line="360" w:lineRule="auto"/>
              <w:rPr>
                <w:rFonts w:ascii="Book Antiqua" w:hAnsi="Book Antiqua"/>
                <w:sz w:val="24"/>
                <w:szCs w:val="24"/>
              </w:rPr>
            </w:pP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FOLFIRI + Bevacizumab</w:t>
            </w:r>
          </w:p>
        </w:tc>
        <w:tc>
          <w:tcPr>
            <w:tcW w:w="709"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171</w:t>
            </w: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60%</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10.2</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25.6</w:t>
            </w:r>
          </w:p>
        </w:tc>
      </w:tr>
      <w:tr w:rsidR="00082ABB" w:rsidRPr="00082ABB" w:rsidTr="00402708">
        <w:tc>
          <w:tcPr>
            <w:tcW w:w="2548" w:type="dxa"/>
          </w:tcPr>
          <w:p w:rsidR="004E1F90" w:rsidRPr="00082ABB" w:rsidRDefault="004E1F90" w:rsidP="007061C9">
            <w:pPr>
              <w:snapToGrid w:val="0"/>
              <w:spacing w:line="360" w:lineRule="auto"/>
              <w:rPr>
                <w:rFonts w:ascii="Book Antiqua" w:hAnsi="Book Antiqua"/>
                <w:sz w:val="24"/>
                <w:szCs w:val="24"/>
              </w:rPr>
            </w:pPr>
          </w:p>
        </w:tc>
        <w:tc>
          <w:tcPr>
            <w:tcW w:w="323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 xml:space="preserve">(Hazard ratio, </w:t>
            </w:r>
            <w:r w:rsidRPr="00082ABB">
              <w:rPr>
                <w:rFonts w:ascii="Book Antiqua" w:hAnsi="Book Antiqua"/>
                <w:i/>
                <w:sz w:val="24"/>
                <w:szCs w:val="24"/>
              </w:rPr>
              <w:t>P</w:t>
            </w:r>
            <w:r w:rsidRPr="00082ABB">
              <w:rPr>
                <w:rFonts w:ascii="Book Antiqua" w:hAnsi="Book Antiqua"/>
                <w:sz w:val="24"/>
                <w:szCs w:val="24"/>
              </w:rPr>
              <w:t>-value)</w:t>
            </w:r>
          </w:p>
        </w:tc>
        <w:tc>
          <w:tcPr>
            <w:tcW w:w="709" w:type="dxa"/>
          </w:tcPr>
          <w:p w:rsidR="004E1F90" w:rsidRPr="00082ABB" w:rsidRDefault="004E1F90" w:rsidP="004E1F90">
            <w:pPr>
              <w:snapToGrid w:val="0"/>
              <w:spacing w:line="360" w:lineRule="auto"/>
              <w:jc w:val="center"/>
              <w:rPr>
                <w:rFonts w:ascii="Book Antiqua" w:hAnsi="Book Antiqua"/>
                <w:sz w:val="24"/>
                <w:szCs w:val="24"/>
              </w:rPr>
            </w:pP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OR</w:t>
            </w:r>
            <w:r w:rsidRPr="00082ABB">
              <w:rPr>
                <w:rFonts w:ascii="Book Antiqua" w:eastAsia="宋体" w:hAnsi="Book Antiqua"/>
                <w:sz w:val="24"/>
                <w:szCs w:val="24"/>
                <w:lang w:eastAsia="zh-CN"/>
              </w:rPr>
              <w:t xml:space="preserve"> = </w:t>
            </w:r>
            <w:r w:rsidRPr="00082ABB">
              <w:rPr>
                <w:rFonts w:ascii="Book Antiqua" w:hAnsi="Book Antiqua"/>
                <w:sz w:val="24"/>
                <w:szCs w:val="24"/>
              </w:rPr>
              <w:t>1.28</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0.32</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0.93</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0.54</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0.70</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0.011</w:t>
            </w:r>
          </w:p>
        </w:tc>
      </w:tr>
      <w:tr w:rsidR="00082ABB" w:rsidRPr="00082ABB" w:rsidTr="00402708">
        <w:tc>
          <w:tcPr>
            <w:tcW w:w="2548" w:type="dxa"/>
          </w:tcPr>
          <w:p w:rsidR="004E1F90" w:rsidRPr="00082ABB" w:rsidRDefault="004E1F90" w:rsidP="004E1F90">
            <w:pPr>
              <w:snapToGrid w:val="0"/>
              <w:spacing w:line="360" w:lineRule="auto"/>
              <w:ind w:leftChars="114" w:left="239"/>
              <w:rPr>
                <w:rFonts w:ascii="Book Antiqua" w:hAnsi="Book Antiqua"/>
                <w:sz w:val="24"/>
                <w:szCs w:val="24"/>
              </w:rPr>
            </w:pPr>
            <w:r w:rsidRPr="00082ABB">
              <w:rPr>
                <w:rFonts w:ascii="Book Antiqua" w:hAnsi="Book Antiqua"/>
                <w:sz w:val="24"/>
                <w:szCs w:val="24"/>
              </w:rPr>
              <w:t>CALGB/SWOG 80405</w:t>
            </w:r>
          </w:p>
        </w:tc>
        <w:tc>
          <w:tcPr>
            <w:tcW w:w="3236" w:type="dxa"/>
          </w:tcPr>
          <w:p w:rsidR="004E1F90" w:rsidRPr="00082ABB" w:rsidRDefault="004E1F90" w:rsidP="00713D72">
            <w:pPr>
              <w:snapToGrid w:val="0"/>
              <w:spacing w:line="360" w:lineRule="auto"/>
              <w:jc w:val="center"/>
              <w:rPr>
                <w:rFonts w:ascii="Book Antiqua" w:hAnsi="Book Antiqua"/>
                <w:sz w:val="24"/>
                <w:szCs w:val="24"/>
              </w:rPr>
            </w:pPr>
            <w:r w:rsidRPr="00082ABB">
              <w:rPr>
                <w:rFonts w:ascii="Book Antiqua" w:hAnsi="Book Antiqua"/>
                <w:sz w:val="24"/>
                <w:szCs w:val="24"/>
              </w:rPr>
              <w:t>Chemotherapy</w:t>
            </w:r>
            <w:r w:rsidR="00713D72" w:rsidRPr="00082ABB">
              <w:rPr>
                <w:rFonts w:ascii="Book Antiqua" w:eastAsia="宋体" w:hAnsi="Book Antiqua"/>
                <w:sz w:val="24"/>
                <w:szCs w:val="24"/>
                <w:vertAlign w:val="superscript"/>
                <w:lang w:eastAsia="zh-CN"/>
              </w:rPr>
              <w:t>1</w:t>
            </w:r>
            <w:r w:rsidRPr="00082ABB">
              <w:rPr>
                <w:rFonts w:ascii="Book Antiqua" w:hAnsi="Book Antiqua"/>
                <w:sz w:val="24"/>
                <w:szCs w:val="24"/>
                <w:vertAlign w:val="superscript"/>
              </w:rPr>
              <w:t xml:space="preserve"> </w:t>
            </w:r>
            <w:r w:rsidRPr="00082ABB">
              <w:rPr>
                <w:rFonts w:ascii="Book Antiqua" w:hAnsi="Book Antiqua"/>
                <w:sz w:val="24"/>
                <w:szCs w:val="24"/>
              </w:rPr>
              <w:t>+ Cetuximab</w:t>
            </w:r>
          </w:p>
        </w:tc>
        <w:tc>
          <w:tcPr>
            <w:tcW w:w="709"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270</w:t>
            </w: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68.6%</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11.4</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32.0</w:t>
            </w:r>
          </w:p>
        </w:tc>
      </w:tr>
      <w:tr w:rsidR="00082ABB" w:rsidRPr="00082ABB" w:rsidTr="00402708">
        <w:tc>
          <w:tcPr>
            <w:tcW w:w="2548" w:type="dxa"/>
          </w:tcPr>
          <w:p w:rsidR="004E1F90" w:rsidRPr="00082ABB" w:rsidRDefault="004E1F90" w:rsidP="007061C9">
            <w:pPr>
              <w:snapToGrid w:val="0"/>
              <w:spacing w:line="360" w:lineRule="auto"/>
              <w:rPr>
                <w:rFonts w:ascii="Book Antiqua" w:hAnsi="Book Antiqua"/>
                <w:sz w:val="24"/>
                <w:szCs w:val="24"/>
              </w:rPr>
            </w:pPr>
          </w:p>
        </w:tc>
        <w:tc>
          <w:tcPr>
            <w:tcW w:w="3236" w:type="dxa"/>
          </w:tcPr>
          <w:p w:rsidR="004E1F90" w:rsidRPr="00082ABB" w:rsidRDefault="004E1F90" w:rsidP="00713D72">
            <w:pPr>
              <w:snapToGrid w:val="0"/>
              <w:spacing w:line="360" w:lineRule="auto"/>
              <w:jc w:val="center"/>
              <w:rPr>
                <w:rFonts w:ascii="Book Antiqua" w:hAnsi="Book Antiqua"/>
                <w:sz w:val="24"/>
                <w:szCs w:val="24"/>
              </w:rPr>
            </w:pPr>
            <w:r w:rsidRPr="00082ABB">
              <w:rPr>
                <w:rFonts w:ascii="Book Antiqua" w:hAnsi="Book Antiqua"/>
                <w:sz w:val="24"/>
                <w:szCs w:val="24"/>
              </w:rPr>
              <w:t>Chemotherapy</w:t>
            </w:r>
            <w:r w:rsidR="00713D72" w:rsidRPr="00082ABB">
              <w:rPr>
                <w:rFonts w:ascii="Book Antiqua" w:eastAsia="宋体" w:hAnsi="Book Antiqua"/>
                <w:sz w:val="24"/>
                <w:szCs w:val="24"/>
                <w:vertAlign w:val="superscript"/>
                <w:lang w:eastAsia="zh-CN"/>
              </w:rPr>
              <w:t xml:space="preserve">1 </w:t>
            </w:r>
            <w:r w:rsidRPr="00082ABB">
              <w:rPr>
                <w:rFonts w:ascii="Book Antiqua" w:hAnsi="Book Antiqua"/>
                <w:sz w:val="24"/>
                <w:szCs w:val="24"/>
              </w:rPr>
              <w:t>+ Bevacizumab</w:t>
            </w:r>
          </w:p>
        </w:tc>
        <w:tc>
          <w:tcPr>
            <w:tcW w:w="709"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256</w:t>
            </w:r>
          </w:p>
        </w:tc>
        <w:tc>
          <w:tcPr>
            <w:tcW w:w="1276"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53.8%</w:t>
            </w:r>
          </w:p>
        </w:tc>
        <w:tc>
          <w:tcPr>
            <w:tcW w:w="1417"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11.3</w:t>
            </w:r>
          </w:p>
        </w:tc>
        <w:tc>
          <w:tcPr>
            <w:tcW w:w="1418" w:type="dxa"/>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31.2</w:t>
            </w:r>
          </w:p>
        </w:tc>
      </w:tr>
      <w:tr w:rsidR="00082ABB" w:rsidRPr="00082ABB" w:rsidTr="00402708">
        <w:tc>
          <w:tcPr>
            <w:tcW w:w="2548" w:type="dxa"/>
            <w:tcBorders>
              <w:bottom w:val="single" w:sz="4" w:space="0" w:color="auto"/>
            </w:tcBorders>
          </w:tcPr>
          <w:p w:rsidR="004E1F90" w:rsidRPr="00082ABB" w:rsidRDefault="004E1F90" w:rsidP="007061C9">
            <w:pPr>
              <w:snapToGrid w:val="0"/>
              <w:spacing w:line="360" w:lineRule="auto"/>
              <w:rPr>
                <w:rFonts w:ascii="Book Antiqua" w:hAnsi="Book Antiqua"/>
                <w:sz w:val="24"/>
                <w:szCs w:val="24"/>
              </w:rPr>
            </w:pPr>
          </w:p>
        </w:tc>
        <w:tc>
          <w:tcPr>
            <w:tcW w:w="3236" w:type="dxa"/>
            <w:tcBorders>
              <w:bottom w:val="single" w:sz="4" w:space="0" w:color="auto"/>
            </w:tcBorders>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 xml:space="preserve">(Hazard ratio, </w:t>
            </w:r>
            <w:r w:rsidRPr="00082ABB">
              <w:rPr>
                <w:rFonts w:ascii="Book Antiqua" w:hAnsi="Book Antiqua"/>
                <w:i/>
                <w:sz w:val="24"/>
                <w:szCs w:val="24"/>
              </w:rPr>
              <w:t>P</w:t>
            </w:r>
            <w:r w:rsidRPr="00082ABB">
              <w:rPr>
                <w:rFonts w:ascii="Book Antiqua" w:hAnsi="Book Antiqua"/>
                <w:sz w:val="24"/>
                <w:szCs w:val="24"/>
              </w:rPr>
              <w:t>-value)</w:t>
            </w:r>
          </w:p>
        </w:tc>
        <w:tc>
          <w:tcPr>
            <w:tcW w:w="709" w:type="dxa"/>
            <w:tcBorders>
              <w:bottom w:val="single" w:sz="4" w:space="0" w:color="auto"/>
            </w:tcBorders>
          </w:tcPr>
          <w:p w:rsidR="004E1F90" w:rsidRPr="00082ABB" w:rsidRDefault="004E1F90" w:rsidP="004E1F90">
            <w:pPr>
              <w:snapToGrid w:val="0"/>
              <w:spacing w:line="360" w:lineRule="auto"/>
              <w:jc w:val="center"/>
              <w:rPr>
                <w:rFonts w:ascii="Book Antiqua" w:hAnsi="Book Antiqua"/>
                <w:sz w:val="24"/>
                <w:szCs w:val="24"/>
              </w:rPr>
            </w:pPr>
          </w:p>
        </w:tc>
        <w:tc>
          <w:tcPr>
            <w:tcW w:w="1276" w:type="dxa"/>
            <w:tcBorders>
              <w:bottom w:val="single" w:sz="4" w:space="0" w:color="auto"/>
            </w:tcBorders>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&lt;</w:t>
            </w:r>
            <w:r w:rsidRPr="00082ABB">
              <w:rPr>
                <w:rFonts w:ascii="Book Antiqua" w:eastAsia="宋体" w:hAnsi="Book Antiqua"/>
                <w:sz w:val="24"/>
                <w:szCs w:val="24"/>
                <w:lang w:eastAsia="zh-CN"/>
              </w:rPr>
              <w:t xml:space="preserve"> </w:t>
            </w:r>
            <w:r w:rsidRPr="00082ABB">
              <w:rPr>
                <w:rFonts w:ascii="Book Antiqua" w:hAnsi="Book Antiqua"/>
                <w:sz w:val="24"/>
                <w:szCs w:val="24"/>
              </w:rPr>
              <w:t>0.01</w:t>
            </w:r>
          </w:p>
        </w:tc>
        <w:tc>
          <w:tcPr>
            <w:tcW w:w="1417" w:type="dxa"/>
            <w:tcBorders>
              <w:bottom w:val="single" w:sz="4" w:space="0" w:color="auto"/>
            </w:tcBorders>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1.1</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0.31</w:t>
            </w:r>
          </w:p>
        </w:tc>
        <w:tc>
          <w:tcPr>
            <w:tcW w:w="1418" w:type="dxa"/>
            <w:tcBorders>
              <w:bottom w:val="single" w:sz="4" w:space="0" w:color="auto"/>
            </w:tcBorders>
          </w:tcPr>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sz w:val="24"/>
                <w:szCs w:val="24"/>
              </w:rPr>
              <w:t>HR</w:t>
            </w:r>
            <w:r w:rsidRPr="00082ABB">
              <w:rPr>
                <w:rFonts w:ascii="Book Antiqua" w:eastAsia="宋体" w:hAnsi="Book Antiqua"/>
                <w:sz w:val="24"/>
                <w:szCs w:val="24"/>
                <w:lang w:eastAsia="zh-CN"/>
              </w:rPr>
              <w:t xml:space="preserve"> = </w:t>
            </w:r>
            <w:r w:rsidRPr="00082ABB">
              <w:rPr>
                <w:rFonts w:ascii="Book Antiqua" w:hAnsi="Book Antiqua"/>
                <w:sz w:val="24"/>
                <w:szCs w:val="24"/>
              </w:rPr>
              <w:t>0.9</w:t>
            </w:r>
          </w:p>
          <w:p w:rsidR="004E1F90" w:rsidRPr="00082ABB" w:rsidRDefault="004E1F90" w:rsidP="004E1F90">
            <w:pPr>
              <w:snapToGrid w:val="0"/>
              <w:spacing w:line="360" w:lineRule="auto"/>
              <w:jc w:val="center"/>
              <w:rPr>
                <w:rFonts w:ascii="Book Antiqua" w:hAnsi="Book Antiqua"/>
                <w:sz w:val="24"/>
                <w:szCs w:val="24"/>
              </w:rPr>
            </w:pPr>
            <w:r w:rsidRPr="00082ABB">
              <w:rPr>
                <w:rFonts w:ascii="Book Antiqua" w:hAnsi="Book Antiqua"/>
                <w:i/>
                <w:sz w:val="24"/>
                <w:szCs w:val="24"/>
              </w:rPr>
              <w:t>P</w:t>
            </w:r>
            <w:r w:rsidRPr="00082ABB">
              <w:rPr>
                <w:rFonts w:ascii="Book Antiqua" w:eastAsia="宋体" w:hAnsi="Book Antiqua"/>
                <w:i/>
                <w:sz w:val="24"/>
                <w:szCs w:val="24"/>
                <w:lang w:eastAsia="zh-CN"/>
              </w:rPr>
              <w:t xml:space="preserve"> </w:t>
            </w:r>
            <w:r w:rsidRPr="00082ABB">
              <w:rPr>
                <w:rFonts w:ascii="Book Antiqua" w:hAnsi="Book Antiqua"/>
                <w:sz w:val="24"/>
                <w:szCs w:val="24"/>
              </w:rPr>
              <w:t>=</w:t>
            </w:r>
            <w:r w:rsidRPr="00082ABB">
              <w:rPr>
                <w:rFonts w:ascii="Book Antiqua" w:eastAsia="宋体" w:hAnsi="Book Antiqua"/>
                <w:sz w:val="24"/>
                <w:szCs w:val="24"/>
                <w:lang w:eastAsia="zh-CN"/>
              </w:rPr>
              <w:t xml:space="preserve"> </w:t>
            </w:r>
            <w:r w:rsidRPr="00082ABB">
              <w:rPr>
                <w:rFonts w:ascii="Book Antiqua" w:hAnsi="Book Antiqua"/>
                <w:sz w:val="24"/>
                <w:szCs w:val="24"/>
              </w:rPr>
              <w:t>0.4</w:t>
            </w:r>
          </w:p>
        </w:tc>
      </w:tr>
    </w:tbl>
    <w:p w:rsidR="002C3B1B" w:rsidRPr="00082ABB" w:rsidRDefault="00713D72" w:rsidP="007061C9">
      <w:pPr>
        <w:snapToGrid w:val="0"/>
        <w:spacing w:line="360" w:lineRule="auto"/>
        <w:rPr>
          <w:rFonts w:ascii="Book Antiqua" w:hAnsi="Book Antiqua"/>
          <w:sz w:val="24"/>
          <w:szCs w:val="24"/>
        </w:rPr>
      </w:pPr>
      <w:r w:rsidRPr="00082ABB">
        <w:rPr>
          <w:rFonts w:ascii="Book Antiqua" w:eastAsia="宋体" w:hAnsi="Book Antiqua"/>
          <w:sz w:val="24"/>
          <w:szCs w:val="24"/>
          <w:vertAlign w:val="superscript"/>
          <w:lang w:eastAsia="zh-CN"/>
        </w:rPr>
        <w:t>1</w:t>
      </w:r>
      <w:r w:rsidRPr="00082ABB">
        <w:rPr>
          <w:rFonts w:ascii="Book Antiqua" w:hAnsi="Book Antiqua"/>
          <w:caps/>
          <w:sz w:val="24"/>
          <w:szCs w:val="24"/>
        </w:rPr>
        <w:t>c</w:t>
      </w:r>
      <w:r w:rsidRPr="00082ABB">
        <w:rPr>
          <w:rFonts w:ascii="Book Antiqua" w:hAnsi="Book Antiqua"/>
          <w:sz w:val="24"/>
          <w:szCs w:val="24"/>
        </w:rPr>
        <w:t>hemotherapy regimens were FOLFOX or FOLFIRI</w:t>
      </w:r>
      <w:r w:rsidRPr="00082ABB">
        <w:rPr>
          <w:rFonts w:ascii="Book Antiqua" w:eastAsia="宋体" w:hAnsi="Book Antiqua"/>
          <w:sz w:val="24"/>
          <w:szCs w:val="24"/>
          <w:lang w:eastAsia="zh-CN"/>
        </w:rPr>
        <w:t xml:space="preserve">. </w:t>
      </w:r>
      <w:r w:rsidRPr="00082ABB">
        <w:rPr>
          <w:rFonts w:ascii="Book Antiqua" w:hAnsi="Book Antiqua"/>
          <w:sz w:val="24"/>
          <w:szCs w:val="24"/>
        </w:rPr>
        <w:t xml:space="preserve">ORR: </w:t>
      </w:r>
      <w:r w:rsidRPr="00082ABB">
        <w:rPr>
          <w:rFonts w:ascii="Book Antiqua" w:hAnsi="Book Antiqua"/>
          <w:caps/>
          <w:sz w:val="24"/>
          <w:szCs w:val="24"/>
        </w:rPr>
        <w:t>o</w:t>
      </w:r>
      <w:r w:rsidRPr="00082ABB">
        <w:rPr>
          <w:rFonts w:ascii="Book Antiqua" w:hAnsi="Book Antiqua"/>
          <w:sz w:val="24"/>
          <w:szCs w:val="24"/>
        </w:rPr>
        <w:t xml:space="preserve">bjective response rate; PFS: </w:t>
      </w:r>
      <w:r w:rsidRPr="00082ABB">
        <w:rPr>
          <w:rFonts w:ascii="Book Antiqua" w:hAnsi="Book Antiqua"/>
          <w:caps/>
          <w:sz w:val="24"/>
          <w:szCs w:val="24"/>
        </w:rPr>
        <w:t>p</w:t>
      </w:r>
      <w:r w:rsidRPr="00082ABB">
        <w:rPr>
          <w:rFonts w:ascii="Book Antiqua" w:hAnsi="Book Antiqua"/>
          <w:sz w:val="24"/>
          <w:szCs w:val="24"/>
        </w:rPr>
        <w:t xml:space="preserve">rogression-free survival; OS: </w:t>
      </w:r>
      <w:r w:rsidRPr="00082ABB">
        <w:rPr>
          <w:rFonts w:ascii="Book Antiqua" w:hAnsi="Book Antiqua"/>
          <w:caps/>
          <w:sz w:val="24"/>
          <w:szCs w:val="24"/>
        </w:rPr>
        <w:t>o</w:t>
      </w:r>
      <w:r w:rsidRPr="00082ABB">
        <w:rPr>
          <w:rFonts w:ascii="Book Antiqua" w:hAnsi="Book Antiqua"/>
          <w:sz w:val="24"/>
          <w:szCs w:val="24"/>
        </w:rPr>
        <w:t xml:space="preserve">verall survival; HR: </w:t>
      </w:r>
      <w:r w:rsidRPr="00082ABB">
        <w:rPr>
          <w:rFonts w:ascii="Book Antiqua" w:hAnsi="Book Antiqua"/>
          <w:caps/>
          <w:sz w:val="24"/>
          <w:szCs w:val="24"/>
        </w:rPr>
        <w:t>h</w:t>
      </w:r>
      <w:r w:rsidRPr="00082ABB">
        <w:rPr>
          <w:rFonts w:ascii="Book Antiqua" w:hAnsi="Book Antiqua"/>
          <w:sz w:val="24"/>
          <w:szCs w:val="24"/>
        </w:rPr>
        <w:t xml:space="preserve">azard ratio; OR: </w:t>
      </w:r>
      <w:r w:rsidRPr="00082ABB">
        <w:rPr>
          <w:rFonts w:ascii="Book Antiqua" w:hAnsi="Book Antiqua"/>
          <w:caps/>
          <w:sz w:val="24"/>
          <w:szCs w:val="24"/>
        </w:rPr>
        <w:t>o</w:t>
      </w:r>
      <w:r w:rsidRPr="00082ABB">
        <w:rPr>
          <w:rFonts w:ascii="Book Antiqua" w:hAnsi="Book Antiqua"/>
          <w:sz w:val="24"/>
          <w:szCs w:val="24"/>
        </w:rPr>
        <w:t xml:space="preserve">dds ratio; FOLFIRI: </w:t>
      </w:r>
      <w:r w:rsidRPr="00082ABB">
        <w:rPr>
          <w:rFonts w:ascii="Book Antiqua" w:hAnsi="Book Antiqua"/>
          <w:caps/>
          <w:sz w:val="24"/>
          <w:szCs w:val="24"/>
        </w:rPr>
        <w:t>b</w:t>
      </w:r>
      <w:r w:rsidRPr="00082ABB">
        <w:rPr>
          <w:rFonts w:ascii="Book Antiqua" w:hAnsi="Book Antiqua"/>
          <w:sz w:val="24"/>
          <w:szCs w:val="24"/>
        </w:rPr>
        <w:t xml:space="preserve">olus and infusional 5-fluorouracil/leucovorin/irinotecan; FOLFOX: </w:t>
      </w:r>
      <w:r w:rsidRPr="00082ABB">
        <w:rPr>
          <w:rFonts w:ascii="Book Antiqua" w:hAnsi="Book Antiqua"/>
          <w:caps/>
          <w:sz w:val="24"/>
          <w:szCs w:val="24"/>
        </w:rPr>
        <w:t>b</w:t>
      </w:r>
      <w:r w:rsidRPr="00082ABB">
        <w:rPr>
          <w:rFonts w:ascii="Book Antiqua" w:hAnsi="Book Antiqua"/>
          <w:sz w:val="24"/>
          <w:szCs w:val="24"/>
        </w:rPr>
        <w:t xml:space="preserve">olus and infusional </w:t>
      </w:r>
      <w:r w:rsidRPr="00082ABB">
        <w:rPr>
          <w:rFonts w:ascii="Book Antiqua" w:hAnsi="Book Antiqua"/>
          <w:sz w:val="24"/>
          <w:szCs w:val="24"/>
        </w:rPr>
        <w:lastRenderedPageBreak/>
        <w:t>5-fluorouracil/leucovorin/oxaliplatin</w:t>
      </w:r>
      <w:r w:rsidRPr="00082ABB">
        <w:rPr>
          <w:rFonts w:ascii="Book Antiqua" w:eastAsia="宋体" w:hAnsi="Book Antiqua"/>
          <w:sz w:val="24"/>
          <w:szCs w:val="24"/>
          <w:lang w:eastAsia="zh-CN"/>
        </w:rPr>
        <w:t>.</w:t>
      </w:r>
    </w:p>
    <w:sectPr w:rsidR="002C3B1B" w:rsidRPr="00082ABB" w:rsidSect="002E1278">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21" w:rsidRDefault="008C5721" w:rsidP="005768C4">
      <w:r>
        <w:separator/>
      </w:r>
    </w:p>
  </w:endnote>
  <w:endnote w:type="continuationSeparator" w:id="0">
    <w:p w:rsidR="008C5721" w:rsidRDefault="008C5721" w:rsidP="0057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22" w:rsidRDefault="00924222">
    <w:pPr>
      <w:pStyle w:val="Footer"/>
      <w:jc w:val="center"/>
    </w:pPr>
    <w:r>
      <w:fldChar w:fldCharType="begin"/>
    </w:r>
    <w:r>
      <w:instrText>PAGE   \* MERGEFORMAT</w:instrText>
    </w:r>
    <w:r>
      <w:fldChar w:fldCharType="separate"/>
    </w:r>
    <w:r w:rsidR="009E1458" w:rsidRPr="009E1458">
      <w:rPr>
        <w:noProof/>
        <w:lang w:val="ja-JP"/>
      </w:rPr>
      <w:t>51</w:t>
    </w:r>
    <w:r>
      <w:fldChar w:fldCharType="end"/>
    </w:r>
  </w:p>
  <w:p w:rsidR="00924222" w:rsidRDefault="009242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21" w:rsidRDefault="008C5721" w:rsidP="005768C4">
      <w:r>
        <w:separator/>
      </w:r>
    </w:p>
  </w:footnote>
  <w:footnote w:type="continuationSeparator" w:id="0">
    <w:p w:rsidR="008C5721" w:rsidRDefault="008C5721" w:rsidP="005768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5801"/>
    <w:multiLevelType w:val="hybridMultilevel"/>
    <w:tmpl w:val="28F6C3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C4"/>
    <w:rsid w:val="000056E2"/>
    <w:rsid w:val="0001202F"/>
    <w:rsid w:val="00012A39"/>
    <w:rsid w:val="00013270"/>
    <w:rsid w:val="00020532"/>
    <w:rsid w:val="00025127"/>
    <w:rsid w:val="00025CDA"/>
    <w:rsid w:val="000327BC"/>
    <w:rsid w:val="000328BB"/>
    <w:rsid w:val="000412DE"/>
    <w:rsid w:val="000451BB"/>
    <w:rsid w:val="000538FF"/>
    <w:rsid w:val="00060AAC"/>
    <w:rsid w:val="00066258"/>
    <w:rsid w:val="00067641"/>
    <w:rsid w:val="00071A63"/>
    <w:rsid w:val="0008222C"/>
    <w:rsid w:val="00082ABB"/>
    <w:rsid w:val="00087F57"/>
    <w:rsid w:val="0009160A"/>
    <w:rsid w:val="000929EA"/>
    <w:rsid w:val="0009735F"/>
    <w:rsid w:val="00097F1F"/>
    <w:rsid w:val="000A3478"/>
    <w:rsid w:val="000A3561"/>
    <w:rsid w:val="000A51EC"/>
    <w:rsid w:val="000A6C4E"/>
    <w:rsid w:val="000B06F0"/>
    <w:rsid w:val="000B0B8B"/>
    <w:rsid w:val="000B2A5C"/>
    <w:rsid w:val="000B32E7"/>
    <w:rsid w:val="000C02F4"/>
    <w:rsid w:val="000C2070"/>
    <w:rsid w:val="000C2949"/>
    <w:rsid w:val="000C6773"/>
    <w:rsid w:val="000D03D7"/>
    <w:rsid w:val="000D3E65"/>
    <w:rsid w:val="000D525E"/>
    <w:rsid w:val="000E51AB"/>
    <w:rsid w:val="000E6C55"/>
    <w:rsid w:val="000E7BD9"/>
    <w:rsid w:val="000F1209"/>
    <w:rsid w:val="000F16ED"/>
    <w:rsid w:val="000F1E43"/>
    <w:rsid w:val="000F5940"/>
    <w:rsid w:val="001029E6"/>
    <w:rsid w:val="00106D85"/>
    <w:rsid w:val="00122D5C"/>
    <w:rsid w:val="00123028"/>
    <w:rsid w:val="00126DD9"/>
    <w:rsid w:val="00130F1E"/>
    <w:rsid w:val="001378BF"/>
    <w:rsid w:val="00137A05"/>
    <w:rsid w:val="0014331F"/>
    <w:rsid w:val="001456D7"/>
    <w:rsid w:val="00147082"/>
    <w:rsid w:val="001477E9"/>
    <w:rsid w:val="00147EE0"/>
    <w:rsid w:val="00155ECE"/>
    <w:rsid w:val="00161317"/>
    <w:rsid w:val="0016386D"/>
    <w:rsid w:val="00164337"/>
    <w:rsid w:val="001702C7"/>
    <w:rsid w:val="00172F27"/>
    <w:rsid w:val="00173542"/>
    <w:rsid w:val="00176D1F"/>
    <w:rsid w:val="00177A33"/>
    <w:rsid w:val="00184A60"/>
    <w:rsid w:val="001931A5"/>
    <w:rsid w:val="0019485A"/>
    <w:rsid w:val="001A062B"/>
    <w:rsid w:val="001A0CF4"/>
    <w:rsid w:val="001A542A"/>
    <w:rsid w:val="001B14D0"/>
    <w:rsid w:val="001D4814"/>
    <w:rsid w:val="001F7A46"/>
    <w:rsid w:val="00200EB4"/>
    <w:rsid w:val="00210C7E"/>
    <w:rsid w:val="002205D8"/>
    <w:rsid w:val="00226ECB"/>
    <w:rsid w:val="00227A93"/>
    <w:rsid w:val="00227EEA"/>
    <w:rsid w:val="002341B3"/>
    <w:rsid w:val="00241418"/>
    <w:rsid w:val="00242419"/>
    <w:rsid w:val="00245712"/>
    <w:rsid w:val="002503F8"/>
    <w:rsid w:val="00256573"/>
    <w:rsid w:val="00262849"/>
    <w:rsid w:val="002737D8"/>
    <w:rsid w:val="00276CF7"/>
    <w:rsid w:val="00277A51"/>
    <w:rsid w:val="0028243D"/>
    <w:rsid w:val="00283C58"/>
    <w:rsid w:val="002850AF"/>
    <w:rsid w:val="0029115B"/>
    <w:rsid w:val="002912EC"/>
    <w:rsid w:val="0029610C"/>
    <w:rsid w:val="002A3F19"/>
    <w:rsid w:val="002A5720"/>
    <w:rsid w:val="002B324E"/>
    <w:rsid w:val="002B5305"/>
    <w:rsid w:val="002B6FD6"/>
    <w:rsid w:val="002C3048"/>
    <w:rsid w:val="002C3B1B"/>
    <w:rsid w:val="002C406E"/>
    <w:rsid w:val="002C4698"/>
    <w:rsid w:val="002C5D7D"/>
    <w:rsid w:val="002D01A5"/>
    <w:rsid w:val="002D56CD"/>
    <w:rsid w:val="002E1278"/>
    <w:rsid w:val="002E5F90"/>
    <w:rsid w:val="002E7719"/>
    <w:rsid w:val="002F268D"/>
    <w:rsid w:val="002F4963"/>
    <w:rsid w:val="00304C7A"/>
    <w:rsid w:val="003119FD"/>
    <w:rsid w:val="003145E1"/>
    <w:rsid w:val="00325DD0"/>
    <w:rsid w:val="0032691D"/>
    <w:rsid w:val="003279A2"/>
    <w:rsid w:val="00332487"/>
    <w:rsid w:val="003409E4"/>
    <w:rsid w:val="003433DD"/>
    <w:rsid w:val="00351E9F"/>
    <w:rsid w:val="0036016E"/>
    <w:rsid w:val="00364397"/>
    <w:rsid w:val="00364DCE"/>
    <w:rsid w:val="00364F90"/>
    <w:rsid w:val="00365808"/>
    <w:rsid w:val="00370220"/>
    <w:rsid w:val="00371C16"/>
    <w:rsid w:val="00371F9E"/>
    <w:rsid w:val="0038538A"/>
    <w:rsid w:val="0039526B"/>
    <w:rsid w:val="00395903"/>
    <w:rsid w:val="00397248"/>
    <w:rsid w:val="003A4451"/>
    <w:rsid w:val="003A6B18"/>
    <w:rsid w:val="003B1DC7"/>
    <w:rsid w:val="003B2F6A"/>
    <w:rsid w:val="003B6696"/>
    <w:rsid w:val="003C0AC2"/>
    <w:rsid w:val="003C1854"/>
    <w:rsid w:val="003C3838"/>
    <w:rsid w:val="003C4761"/>
    <w:rsid w:val="003C7DE2"/>
    <w:rsid w:val="003D3035"/>
    <w:rsid w:val="003E4311"/>
    <w:rsid w:val="003F1ADB"/>
    <w:rsid w:val="003F25AC"/>
    <w:rsid w:val="00402708"/>
    <w:rsid w:val="00405059"/>
    <w:rsid w:val="00416A5A"/>
    <w:rsid w:val="00422EEA"/>
    <w:rsid w:val="00423707"/>
    <w:rsid w:val="00433A88"/>
    <w:rsid w:val="00434D69"/>
    <w:rsid w:val="004351B9"/>
    <w:rsid w:val="0043555C"/>
    <w:rsid w:val="00442719"/>
    <w:rsid w:val="00442D68"/>
    <w:rsid w:val="00444324"/>
    <w:rsid w:val="0044706F"/>
    <w:rsid w:val="00460CC0"/>
    <w:rsid w:val="004631F9"/>
    <w:rsid w:val="00471782"/>
    <w:rsid w:val="00471A03"/>
    <w:rsid w:val="0047381B"/>
    <w:rsid w:val="0047615D"/>
    <w:rsid w:val="00493443"/>
    <w:rsid w:val="004A0D13"/>
    <w:rsid w:val="004A1B0E"/>
    <w:rsid w:val="004B0E56"/>
    <w:rsid w:val="004B35B5"/>
    <w:rsid w:val="004B7889"/>
    <w:rsid w:val="004C0AAC"/>
    <w:rsid w:val="004C2E8D"/>
    <w:rsid w:val="004D2A1A"/>
    <w:rsid w:val="004D3211"/>
    <w:rsid w:val="004E116A"/>
    <w:rsid w:val="004E1F90"/>
    <w:rsid w:val="004F4B9B"/>
    <w:rsid w:val="004F6B1E"/>
    <w:rsid w:val="0050189D"/>
    <w:rsid w:val="005031C0"/>
    <w:rsid w:val="00503D5F"/>
    <w:rsid w:val="005103AF"/>
    <w:rsid w:val="00520ECD"/>
    <w:rsid w:val="00521091"/>
    <w:rsid w:val="00530670"/>
    <w:rsid w:val="005344F7"/>
    <w:rsid w:val="00550A6C"/>
    <w:rsid w:val="00554FC5"/>
    <w:rsid w:val="005768C4"/>
    <w:rsid w:val="00582F2C"/>
    <w:rsid w:val="00593321"/>
    <w:rsid w:val="00594F68"/>
    <w:rsid w:val="005967C6"/>
    <w:rsid w:val="005973F3"/>
    <w:rsid w:val="005B066E"/>
    <w:rsid w:val="005B2411"/>
    <w:rsid w:val="005B30FA"/>
    <w:rsid w:val="005B590E"/>
    <w:rsid w:val="005C221E"/>
    <w:rsid w:val="005D5D6D"/>
    <w:rsid w:val="005D69C3"/>
    <w:rsid w:val="005E5708"/>
    <w:rsid w:val="006120E0"/>
    <w:rsid w:val="0061214E"/>
    <w:rsid w:val="006137D4"/>
    <w:rsid w:val="00613928"/>
    <w:rsid w:val="00657A6C"/>
    <w:rsid w:val="00661BB7"/>
    <w:rsid w:val="0066263B"/>
    <w:rsid w:val="00676409"/>
    <w:rsid w:val="00681075"/>
    <w:rsid w:val="00690C30"/>
    <w:rsid w:val="006A332B"/>
    <w:rsid w:val="006A4599"/>
    <w:rsid w:val="006B09F6"/>
    <w:rsid w:val="006B487A"/>
    <w:rsid w:val="006C2FE0"/>
    <w:rsid w:val="006C441E"/>
    <w:rsid w:val="006C59C3"/>
    <w:rsid w:val="006C6165"/>
    <w:rsid w:val="006C659B"/>
    <w:rsid w:val="006C7770"/>
    <w:rsid w:val="006D487F"/>
    <w:rsid w:val="006D54C7"/>
    <w:rsid w:val="006D6208"/>
    <w:rsid w:val="006D6B3F"/>
    <w:rsid w:val="006D71BD"/>
    <w:rsid w:val="006E1539"/>
    <w:rsid w:val="006E2CC5"/>
    <w:rsid w:val="006E38F3"/>
    <w:rsid w:val="006F7D1B"/>
    <w:rsid w:val="00704E1C"/>
    <w:rsid w:val="00705570"/>
    <w:rsid w:val="007061C9"/>
    <w:rsid w:val="007065A7"/>
    <w:rsid w:val="00713D72"/>
    <w:rsid w:val="00714AB2"/>
    <w:rsid w:val="007151F3"/>
    <w:rsid w:val="00717838"/>
    <w:rsid w:val="007315BC"/>
    <w:rsid w:val="00731D82"/>
    <w:rsid w:val="00731D91"/>
    <w:rsid w:val="00732415"/>
    <w:rsid w:val="007329FD"/>
    <w:rsid w:val="00741506"/>
    <w:rsid w:val="00744DC8"/>
    <w:rsid w:val="007475F3"/>
    <w:rsid w:val="007502FA"/>
    <w:rsid w:val="00751D5A"/>
    <w:rsid w:val="0076269F"/>
    <w:rsid w:val="00766A84"/>
    <w:rsid w:val="0077564F"/>
    <w:rsid w:val="00777A0F"/>
    <w:rsid w:val="00787E68"/>
    <w:rsid w:val="00793D8A"/>
    <w:rsid w:val="00793F08"/>
    <w:rsid w:val="00794FA3"/>
    <w:rsid w:val="00797763"/>
    <w:rsid w:val="007A132B"/>
    <w:rsid w:val="007A39F8"/>
    <w:rsid w:val="007A41CC"/>
    <w:rsid w:val="007A48FA"/>
    <w:rsid w:val="007A6D94"/>
    <w:rsid w:val="007B1FBE"/>
    <w:rsid w:val="007B256D"/>
    <w:rsid w:val="007B3AC1"/>
    <w:rsid w:val="007B724A"/>
    <w:rsid w:val="007C03CF"/>
    <w:rsid w:val="007C0892"/>
    <w:rsid w:val="007D2246"/>
    <w:rsid w:val="007E1A47"/>
    <w:rsid w:val="007E7440"/>
    <w:rsid w:val="007F134E"/>
    <w:rsid w:val="00800E24"/>
    <w:rsid w:val="00803754"/>
    <w:rsid w:val="00804BAE"/>
    <w:rsid w:val="00810F94"/>
    <w:rsid w:val="00811929"/>
    <w:rsid w:val="008315A5"/>
    <w:rsid w:val="008347EA"/>
    <w:rsid w:val="008372E0"/>
    <w:rsid w:val="00843D3F"/>
    <w:rsid w:val="0084421D"/>
    <w:rsid w:val="0085215B"/>
    <w:rsid w:val="0085610D"/>
    <w:rsid w:val="0085697D"/>
    <w:rsid w:val="00857F7A"/>
    <w:rsid w:val="008637F9"/>
    <w:rsid w:val="00865E3A"/>
    <w:rsid w:val="00867CDA"/>
    <w:rsid w:val="0087322C"/>
    <w:rsid w:val="008818C0"/>
    <w:rsid w:val="00885556"/>
    <w:rsid w:val="00886037"/>
    <w:rsid w:val="00890E14"/>
    <w:rsid w:val="0089170B"/>
    <w:rsid w:val="0089369D"/>
    <w:rsid w:val="008A2698"/>
    <w:rsid w:val="008B2018"/>
    <w:rsid w:val="008B2DE0"/>
    <w:rsid w:val="008B6E6F"/>
    <w:rsid w:val="008C5721"/>
    <w:rsid w:val="008C63A9"/>
    <w:rsid w:val="008D0E9B"/>
    <w:rsid w:val="008D3486"/>
    <w:rsid w:val="008E3930"/>
    <w:rsid w:val="008F5CB7"/>
    <w:rsid w:val="008F6082"/>
    <w:rsid w:val="008F6BB1"/>
    <w:rsid w:val="009056E3"/>
    <w:rsid w:val="00915C77"/>
    <w:rsid w:val="00917350"/>
    <w:rsid w:val="00923C40"/>
    <w:rsid w:val="00924222"/>
    <w:rsid w:val="00926A14"/>
    <w:rsid w:val="00926B53"/>
    <w:rsid w:val="0093431C"/>
    <w:rsid w:val="00934636"/>
    <w:rsid w:val="00934B34"/>
    <w:rsid w:val="009352B5"/>
    <w:rsid w:val="0094156A"/>
    <w:rsid w:val="00947B46"/>
    <w:rsid w:val="009503A3"/>
    <w:rsid w:val="00952412"/>
    <w:rsid w:val="00956F33"/>
    <w:rsid w:val="009667BA"/>
    <w:rsid w:val="00970F85"/>
    <w:rsid w:val="0097110C"/>
    <w:rsid w:val="0097148E"/>
    <w:rsid w:val="009718E7"/>
    <w:rsid w:val="009743CE"/>
    <w:rsid w:val="0097476C"/>
    <w:rsid w:val="00974F2D"/>
    <w:rsid w:val="00984988"/>
    <w:rsid w:val="009A2779"/>
    <w:rsid w:val="009B3AD4"/>
    <w:rsid w:val="009B5F97"/>
    <w:rsid w:val="009C06B0"/>
    <w:rsid w:val="009C385C"/>
    <w:rsid w:val="009D311D"/>
    <w:rsid w:val="009D6043"/>
    <w:rsid w:val="009E1458"/>
    <w:rsid w:val="009F2924"/>
    <w:rsid w:val="009F660A"/>
    <w:rsid w:val="009F7979"/>
    <w:rsid w:val="00A03902"/>
    <w:rsid w:val="00A04A82"/>
    <w:rsid w:val="00A0531D"/>
    <w:rsid w:val="00A12124"/>
    <w:rsid w:val="00A1296B"/>
    <w:rsid w:val="00A1680A"/>
    <w:rsid w:val="00A16F3D"/>
    <w:rsid w:val="00A25D78"/>
    <w:rsid w:val="00A27EAC"/>
    <w:rsid w:val="00A30064"/>
    <w:rsid w:val="00A354DD"/>
    <w:rsid w:val="00A40572"/>
    <w:rsid w:val="00A43EEE"/>
    <w:rsid w:val="00A46CAF"/>
    <w:rsid w:val="00A477AF"/>
    <w:rsid w:val="00A522C9"/>
    <w:rsid w:val="00A524BB"/>
    <w:rsid w:val="00A548D2"/>
    <w:rsid w:val="00A56C37"/>
    <w:rsid w:val="00A659C0"/>
    <w:rsid w:val="00A6732D"/>
    <w:rsid w:val="00A67708"/>
    <w:rsid w:val="00A75629"/>
    <w:rsid w:val="00A763FE"/>
    <w:rsid w:val="00A76D10"/>
    <w:rsid w:val="00A76E2D"/>
    <w:rsid w:val="00A77157"/>
    <w:rsid w:val="00A77F92"/>
    <w:rsid w:val="00A8532A"/>
    <w:rsid w:val="00A94526"/>
    <w:rsid w:val="00AA1FA7"/>
    <w:rsid w:val="00AA40E9"/>
    <w:rsid w:val="00AA76BD"/>
    <w:rsid w:val="00AB7EBB"/>
    <w:rsid w:val="00AC3D31"/>
    <w:rsid w:val="00AC4ADD"/>
    <w:rsid w:val="00AC742C"/>
    <w:rsid w:val="00AD04DF"/>
    <w:rsid w:val="00AD2BF1"/>
    <w:rsid w:val="00AD3EB8"/>
    <w:rsid w:val="00AD4BA3"/>
    <w:rsid w:val="00AD57BA"/>
    <w:rsid w:val="00AE465D"/>
    <w:rsid w:val="00AE50AB"/>
    <w:rsid w:val="00AE619E"/>
    <w:rsid w:val="00AF7F26"/>
    <w:rsid w:val="00B02F1C"/>
    <w:rsid w:val="00B05688"/>
    <w:rsid w:val="00B05773"/>
    <w:rsid w:val="00B127D5"/>
    <w:rsid w:val="00B16419"/>
    <w:rsid w:val="00B41E16"/>
    <w:rsid w:val="00B44DD7"/>
    <w:rsid w:val="00B516BC"/>
    <w:rsid w:val="00B55D5F"/>
    <w:rsid w:val="00B57BF3"/>
    <w:rsid w:val="00B629FE"/>
    <w:rsid w:val="00B63F0E"/>
    <w:rsid w:val="00B7111F"/>
    <w:rsid w:val="00B9251C"/>
    <w:rsid w:val="00B97967"/>
    <w:rsid w:val="00BA18EB"/>
    <w:rsid w:val="00BA5CD1"/>
    <w:rsid w:val="00BA697F"/>
    <w:rsid w:val="00BB1140"/>
    <w:rsid w:val="00BC5654"/>
    <w:rsid w:val="00BC5A9C"/>
    <w:rsid w:val="00BC5E98"/>
    <w:rsid w:val="00BC5F12"/>
    <w:rsid w:val="00BE31A0"/>
    <w:rsid w:val="00BE6CDA"/>
    <w:rsid w:val="00BF7841"/>
    <w:rsid w:val="00C05521"/>
    <w:rsid w:val="00C10327"/>
    <w:rsid w:val="00C34163"/>
    <w:rsid w:val="00C3437F"/>
    <w:rsid w:val="00C344A6"/>
    <w:rsid w:val="00C50661"/>
    <w:rsid w:val="00C53034"/>
    <w:rsid w:val="00C56826"/>
    <w:rsid w:val="00C6191B"/>
    <w:rsid w:val="00C621B8"/>
    <w:rsid w:val="00C662B4"/>
    <w:rsid w:val="00C67265"/>
    <w:rsid w:val="00C71794"/>
    <w:rsid w:val="00C8361D"/>
    <w:rsid w:val="00C84A9C"/>
    <w:rsid w:val="00C93461"/>
    <w:rsid w:val="00C94D4F"/>
    <w:rsid w:val="00C95A55"/>
    <w:rsid w:val="00C974CB"/>
    <w:rsid w:val="00CA079B"/>
    <w:rsid w:val="00CA623B"/>
    <w:rsid w:val="00CA7455"/>
    <w:rsid w:val="00CB17F6"/>
    <w:rsid w:val="00CB3657"/>
    <w:rsid w:val="00CB6334"/>
    <w:rsid w:val="00CC1702"/>
    <w:rsid w:val="00CC4264"/>
    <w:rsid w:val="00CC52E4"/>
    <w:rsid w:val="00CC7AA2"/>
    <w:rsid w:val="00CD4F2A"/>
    <w:rsid w:val="00CD6312"/>
    <w:rsid w:val="00CF0FFB"/>
    <w:rsid w:val="00D03C27"/>
    <w:rsid w:val="00D21108"/>
    <w:rsid w:val="00D2404E"/>
    <w:rsid w:val="00D26C97"/>
    <w:rsid w:val="00D276BA"/>
    <w:rsid w:val="00D27DC0"/>
    <w:rsid w:val="00D36C25"/>
    <w:rsid w:val="00D43B21"/>
    <w:rsid w:val="00D44F80"/>
    <w:rsid w:val="00D51CC4"/>
    <w:rsid w:val="00D5765A"/>
    <w:rsid w:val="00D65B9C"/>
    <w:rsid w:val="00D661D6"/>
    <w:rsid w:val="00D67000"/>
    <w:rsid w:val="00D711A9"/>
    <w:rsid w:val="00D752CD"/>
    <w:rsid w:val="00D84637"/>
    <w:rsid w:val="00D8743B"/>
    <w:rsid w:val="00D96694"/>
    <w:rsid w:val="00D97575"/>
    <w:rsid w:val="00DA454D"/>
    <w:rsid w:val="00DA55E7"/>
    <w:rsid w:val="00DB0BC9"/>
    <w:rsid w:val="00DB3290"/>
    <w:rsid w:val="00DB4AE0"/>
    <w:rsid w:val="00DB790E"/>
    <w:rsid w:val="00DC1589"/>
    <w:rsid w:val="00DC688C"/>
    <w:rsid w:val="00DE1170"/>
    <w:rsid w:val="00DE3F3D"/>
    <w:rsid w:val="00DF4D04"/>
    <w:rsid w:val="00DF63FC"/>
    <w:rsid w:val="00DF69BC"/>
    <w:rsid w:val="00E012BA"/>
    <w:rsid w:val="00E04A04"/>
    <w:rsid w:val="00E143E0"/>
    <w:rsid w:val="00E14609"/>
    <w:rsid w:val="00E222F6"/>
    <w:rsid w:val="00E22AD1"/>
    <w:rsid w:val="00E2570A"/>
    <w:rsid w:val="00E27655"/>
    <w:rsid w:val="00E3020E"/>
    <w:rsid w:val="00E31A0D"/>
    <w:rsid w:val="00E32257"/>
    <w:rsid w:val="00E3699F"/>
    <w:rsid w:val="00E42A06"/>
    <w:rsid w:val="00E45EA7"/>
    <w:rsid w:val="00E46500"/>
    <w:rsid w:val="00E469E9"/>
    <w:rsid w:val="00E74E0E"/>
    <w:rsid w:val="00E83B18"/>
    <w:rsid w:val="00E9063B"/>
    <w:rsid w:val="00E96379"/>
    <w:rsid w:val="00E976A9"/>
    <w:rsid w:val="00EA545C"/>
    <w:rsid w:val="00EA6305"/>
    <w:rsid w:val="00EA6E8F"/>
    <w:rsid w:val="00EB6478"/>
    <w:rsid w:val="00EB7012"/>
    <w:rsid w:val="00EC11CE"/>
    <w:rsid w:val="00EC4344"/>
    <w:rsid w:val="00EC6E1D"/>
    <w:rsid w:val="00EE1782"/>
    <w:rsid w:val="00EE2E7B"/>
    <w:rsid w:val="00EE654C"/>
    <w:rsid w:val="00EE75B4"/>
    <w:rsid w:val="00EF3082"/>
    <w:rsid w:val="00EF54B4"/>
    <w:rsid w:val="00EF7297"/>
    <w:rsid w:val="00F00E7D"/>
    <w:rsid w:val="00F126F6"/>
    <w:rsid w:val="00F12F02"/>
    <w:rsid w:val="00F16215"/>
    <w:rsid w:val="00F203A4"/>
    <w:rsid w:val="00F2256D"/>
    <w:rsid w:val="00F22A85"/>
    <w:rsid w:val="00F24C9D"/>
    <w:rsid w:val="00F327CB"/>
    <w:rsid w:val="00F35834"/>
    <w:rsid w:val="00F35D6F"/>
    <w:rsid w:val="00F47B06"/>
    <w:rsid w:val="00F50CC4"/>
    <w:rsid w:val="00F5284E"/>
    <w:rsid w:val="00F6193C"/>
    <w:rsid w:val="00F65DB6"/>
    <w:rsid w:val="00F66BF5"/>
    <w:rsid w:val="00F72482"/>
    <w:rsid w:val="00F910DF"/>
    <w:rsid w:val="00F96750"/>
    <w:rsid w:val="00FA03FB"/>
    <w:rsid w:val="00FA1AB2"/>
    <w:rsid w:val="00FA7A0E"/>
    <w:rsid w:val="00FB27BA"/>
    <w:rsid w:val="00FB27F4"/>
    <w:rsid w:val="00FB2D80"/>
    <w:rsid w:val="00FB759A"/>
    <w:rsid w:val="00FB7809"/>
    <w:rsid w:val="00FD036E"/>
    <w:rsid w:val="00FD57D5"/>
    <w:rsid w:val="00FD628E"/>
    <w:rsid w:val="00FF4225"/>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68C4"/>
    <w:pPr>
      <w:tabs>
        <w:tab w:val="center" w:pos="4252"/>
        <w:tab w:val="right" w:pos="8504"/>
      </w:tabs>
      <w:snapToGrid w:val="0"/>
    </w:pPr>
  </w:style>
  <w:style w:type="character" w:customStyle="1" w:styleId="HeaderChar">
    <w:name w:val="Header Char"/>
    <w:basedOn w:val="DefaultParagraphFont"/>
    <w:link w:val="Header"/>
    <w:uiPriority w:val="99"/>
    <w:locked/>
    <w:rsid w:val="005768C4"/>
    <w:rPr>
      <w:rFonts w:cs="Times New Roman"/>
    </w:rPr>
  </w:style>
  <w:style w:type="paragraph" w:styleId="Footer">
    <w:name w:val="footer"/>
    <w:basedOn w:val="Normal"/>
    <w:link w:val="FooterChar"/>
    <w:uiPriority w:val="99"/>
    <w:rsid w:val="005768C4"/>
    <w:pPr>
      <w:tabs>
        <w:tab w:val="center" w:pos="4252"/>
        <w:tab w:val="right" w:pos="8504"/>
      </w:tabs>
      <w:snapToGrid w:val="0"/>
    </w:pPr>
  </w:style>
  <w:style w:type="character" w:customStyle="1" w:styleId="FooterChar">
    <w:name w:val="Footer Char"/>
    <w:basedOn w:val="DefaultParagraphFont"/>
    <w:link w:val="Footer"/>
    <w:uiPriority w:val="99"/>
    <w:locked/>
    <w:rsid w:val="005768C4"/>
    <w:rPr>
      <w:rFonts w:cs="Times New Roman"/>
    </w:rPr>
  </w:style>
  <w:style w:type="character" w:styleId="Hyperlink">
    <w:name w:val="Hyperlink"/>
    <w:basedOn w:val="DefaultParagraphFont"/>
    <w:uiPriority w:val="99"/>
    <w:rsid w:val="00BC5A9C"/>
    <w:rPr>
      <w:rFonts w:cs="Times New Roman"/>
      <w:color w:val="0563C1"/>
      <w:u w:val="single"/>
    </w:rPr>
  </w:style>
  <w:style w:type="paragraph" w:styleId="BalloonText">
    <w:name w:val="Balloon Text"/>
    <w:basedOn w:val="Normal"/>
    <w:link w:val="BalloonTextChar"/>
    <w:uiPriority w:val="99"/>
    <w:semiHidden/>
    <w:unhideWhenUsed/>
    <w:rsid w:val="004C0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AAC"/>
    <w:rPr>
      <w:rFonts w:ascii="Segoe UI" w:hAnsi="Segoe UI" w:cs="Segoe UI"/>
      <w:sz w:val="18"/>
      <w:szCs w:val="18"/>
    </w:rPr>
  </w:style>
  <w:style w:type="paragraph" w:customStyle="1" w:styleId="1">
    <w:name w:val="正文1"/>
    <w:uiPriority w:val="99"/>
    <w:rsid w:val="00FA1AB2"/>
    <w:pPr>
      <w:spacing w:line="276" w:lineRule="auto"/>
    </w:pPr>
    <w:rPr>
      <w:rFonts w:ascii="Arial" w:eastAsia="宋体" w:hAnsi="Arial" w:cs="Arial"/>
      <w:color w:val="000000"/>
      <w:kern w:val="0"/>
      <w:sz w:val="22"/>
      <w:szCs w:val="20"/>
      <w:lang w:val="pl-PL" w:eastAsia="pl-PL"/>
    </w:rPr>
  </w:style>
  <w:style w:type="character" w:styleId="Emphasis">
    <w:name w:val="Emphasis"/>
    <w:qFormat/>
    <w:locked/>
    <w:rsid w:val="009E145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68C4"/>
    <w:pPr>
      <w:tabs>
        <w:tab w:val="center" w:pos="4252"/>
        <w:tab w:val="right" w:pos="8504"/>
      </w:tabs>
      <w:snapToGrid w:val="0"/>
    </w:pPr>
  </w:style>
  <w:style w:type="character" w:customStyle="1" w:styleId="HeaderChar">
    <w:name w:val="Header Char"/>
    <w:basedOn w:val="DefaultParagraphFont"/>
    <w:link w:val="Header"/>
    <w:uiPriority w:val="99"/>
    <w:locked/>
    <w:rsid w:val="005768C4"/>
    <w:rPr>
      <w:rFonts w:cs="Times New Roman"/>
    </w:rPr>
  </w:style>
  <w:style w:type="paragraph" w:styleId="Footer">
    <w:name w:val="footer"/>
    <w:basedOn w:val="Normal"/>
    <w:link w:val="FooterChar"/>
    <w:uiPriority w:val="99"/>
    <w:rsid w:val="005768C4"/>
    <w:pPr>
      <w:tabs>
        <w:tab w:val="center" w:pos="4252"/>
        <w:tab w:val="right" w:pos="8504"/>
      </w:tabs>
      <w:snapToGrid w:val="0"/>
    </w:pPr>
  </w:style>
  <w:style w:type="character" w:customStyle="1" w:styleId="FooterChar">
    <w:name w:val="Footer Char"/>
    <w:basedOn w:val="DefaultParagraphFont"/>
    <w:link w:val="Footer"/>
    <w:uiPriority w:val="99"/>
    <w:locked/>
    <w:rsid w:val="005768C4"/>
    <w:rPr>
      <w:rFonts w:cs="Times New Roman"/>
    </w:rPr>
  </w:style>
  <w:style w:type="character" w:styleId="Hyperlink">
    <w:name w:val="Hyperlink"/>
    <w:basedOn w:val="DefaultParagraphFont"/>
    <w:uiPriority w:val="99"/>
    <w:rsid w:val="00BC5A9C"/>
    <w:rPr>
      <w:rFonts w:cs="Times New Roman"/>
      <w:color w:val="0563C1"/>
      <w:u w:val="single"/>
    </w:rPr>
  </w:style>
  <w:style w:type="paragraph" w:styleId="BalloonText">
    <w:name w:val="Balloon Text"/>
    <w:basedOn w:val="Normal"/>
    <w:link w:val="BalloonTextChar"/>
    <w:uiPriority w:val="99"/>
    <w:semiHidden/>
    <w:unhideWhenUsed/>
    <w:rsid w:val="004C0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AAC"/>
    <w:rPr>
      <w:rFonts w:ascii="Segoe UI" w:hAnsi="Segoe UI" w:cs="Segoe UI"/>
      <w:sz w:val="18"/>
      <w:szCs w:val="18"/>
    </w:rPr>
  </w:style>
  <w:style w:type="paragraph" w:customStyle="1" w:styleId="1">
    <w:name w:val="正文1"/>
    <w:uiPriority w:val="99"/>
    <w:rsid w:val="00FA1AB2"/>
    <w:pPr>
      <w:spacing w:line="276" w:lineRule="auto"/>
    </w:pPr>
    <w:rPr>
      <w:rFonts w:ascii="Arial" w:eastAsia="宋体" w:hAnsi="Arial" w:cs="Arial"/>
      <w:color w:val="000000"/>
      <w:kern w:val="0"/>
      <w:sz w:val="22"/>
      <w:szCs w:val="20"/>
      <w:lang w:val="pl-PL" w:eastAsia="pl-PL"/>
    </w:rPr>
  </w:style>
  <w:style w:type="character" w:styleId="Emphasis">
    <w:name w:val="Emphasis"/>
    <w:qFormat/>
    <w:locked/>
    <w:rsid w:val="009E145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15925">
      <w:bodyDiv w:val="1"/>
      <w:marLeft w:val="0"/>
      <w:marRight w:val="0"/>
      <w:marTop w:val="0"/>
      <w:marBottom w:val="0"/>
      <w:divBdr>
        <w:top w:val="none" w:sz="0" w:space="0" w:color="auto"/>
        <w:left w:val="none" w:sz="0" w:space="0" w:color="auto"/>
        <w:bottom w:val="none" w:sz="0" w:space="0" w:color="auto"/>
        <w:right w:val="none" w:sz="0" w:space="0" w:color="auto"/>
      </w:divBdr>
    </w:div>
    <w:div w:id="1593933663">
      <w:marLeft w:val="0"/>
      <w:marRight w:val="0"/>
      <w:marTop w:val="0"/>
      <w:marBottom w:val="0"/>
      <w:divBdr>
        <w:top w:val="none" w:sz="0" w:space="0" w:color="auto"/>
        <w:left w:val="none" w:sz="0" w:space="0" w:color="auto"/>
        <w:bottom w:val="none" w:sz="0" w:space="0" w:color="auto"/>
        <w:right w:val="none" w:sz="0" w:space="0" w:color="auto"/>
      </w:divBdr>
      <w:divsChild>
        <w:div w:id="1593933668">
          <w:marLeft w:val="0"/>
          <w:marRight w:val="1"/>
          <w:marTop w:val="0"/>
          <w:marBottom w:val="0"/>
          <w:divBdr>
            <w:top w:val="none" w:sz="0" w:space="0" w:color="auto"/>
            <w:left w:val="none" w:sz="0" w:space="0" w:color="auto"/>
            <w:bottom w:val="none" w:sz="0" w:space="0" w:color="auto"/>
            <w:right w:val="none" w:sz="0" w:space="0" w:color="auto"/>
          </w:divBdr>
          <w:divsChild>
            <w:div w:id="1593933667">
              <w:marLeft w:val="0"/>
              <w:marRight w:val="0"/>
              <w:marTop w:val="0"/>
              <w:marBottom w:val="0"/>
              <w:divBdr>
                <w:top w:val="none" w:sz="0" w:space="0" w:color="auto"/>
                <w:left w:val="none" w:sz="0" w:space="0" w:color="auto"/>
                <w:bottom w:val="none" w:sz="0" w:space="0" w:color="auto"/>
                <w:right w:val="none" w:sz="0" w:space="0" w:color="auto"/>
              </w:divBdr>
              <w:divsChild>
                <w:div w:id="1593933662">
                  <w:marLeft w:val="0"/>
                  <w:marRight w:val="1"/>
                  <w:marTop w:val="0"/>
                  <w:marBottom w:val="0"/>
                  <w:divBdr>
                    <w:top w:val="none" w:sz="0" w:space="0" w:color="auto"/>
                    <w:left w:val="none" w:sz="0" w:space="0" w:color="auto"/>
                    <w:bottom w:val="none" w:sz="0" w:space="0" w:color="auto"/>
                    <w:right w:val="none" w:sz="0" w:space="0" w:color="auto"/>
                  </w:divBdr>
                  <w:divsChild>
                    <w:div w:id="1593933664">
                      <w:marLeft w:val="0"/>
                      <w:marRight w:val="0"/>
                      <w:marTop w:val="0"/>
                      <w:marBottom w:val="0"/>
                      <w:divBdr>
                        <w:top w:val="none" w:sz="0" w:space="0" w:color="auto"/>
                        <w:left w:val="none" w:sz="0" w:space="0" w:color="auto"/>
                        <w:bottom w:val="none" w:sz="0" w:space="0" w:color="auto"/>
                        <w:right w:val="none" w:sz="0" w:space="0" w:color="auto"/>
                      </w:divBdr>
                      <w:divsChild>
                        <w:div w:id="1593933669">
                          <w:marLeft w:val="0"/>
                          <w:marRight w:val="0"/>
                          <w:marTop w:val="0"/>
                          <w:marBottom w:val="0"/>
                          <w:divBdr>
                            <w:top w:val="none" w:sz="0" w:space="0" w:color="auto"/>
                            <w:left w:val="none" w:sz="0" w:space="0" w:color="auto"/>
                            <w:bottom w:val="none" w:sz="0" w:space="0" w:color="auto"/>
                            <w:right w:val="none" w:sz="0" w:space="0" w:color="auto"/>
                          </w:divBdr>
                          <w:divsChild>
                            <w:div w:id="1593933666">
                              <w:marLeft w:val="0"/>
                              <w:marRight w:val="0"/>
                              <w:marTop w:val="120"/>
                              <w:marBottom w:val="360"/>
                              <w:divBdr>
                                <w:top w:val="none" w:sz="0" w:space="0" w:color="auto"/>
                                <w:left w:val="none" w:sz="0" w:space="0" w:color="auto"/>
                                <w:bottom w:val="none" w:sz="0" w:space="0" w:color="auto"/>
                                <w:right w:val="none" w:sz="0" w:space="0" w:color="auto"/>
                              </w:divBdr>
                              <w:divsChild>
                                <w:div w:id="1593933661">
                                  <w:marLeft w:val="0"/>
                                  <w:marRight w:val="0"/>
                                  <w:marTop w:val="0"/>
                                  <w:marBottom w:val="0"/>
                                  <w:divBdr>
                                    <w:top w:val="none" w:sz="0" w:space="0" w:color="auto"/>
                                    <w:left w:val="none" w:sz="0" w:space="0" w:color="auto"/>
                                    <w:bottom w:val="none" w:sz="0" w:space="0" w:color="auto"/>
                                    <w:right w:val="none" w:sz="0" w:space="0" w:color="auto"/>
                                  </w:divBdr>
                                  <w:divsChild>
                                    <w:div w:id="15939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yoshihito-ohhara@kkr-smc.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12185</Words>
  <Characters>69457</Characters>
  <Application>Microsoft Macintosh Word</Application>
  <DocSecurity>0</DocSecurity>
  <PresentationFormat/>
  <Lines>578</Lines>
  <Paragraphs>162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大原克仁</dc:creator>
  <cp:lastModifiedBy>Na Ma</cp:lastModifiedBy>
  <cp:revision>2</cp:revision>
  <cp:lastPrinted>2016-07-03T07:36:00Z</cp:lastPrinted>
  <dcterms:created xsi:type="dcterms:W3CDTF">2016-07-21T17:17:00Z</dcterms:created>
  <dcterms:modified xsi:type="dcterms:W3CDTF">2016-07-21T17:17:00Z</dcterms:modified>
  <dc:language/>
  <cp:version/>
</cp:coreProperties>
</file>