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76C" w:rsidRDefault="005739BD" w:rsidP="00924331">
      <w:pPr>
        <w:adjustRightInd w:val="0"/>
        <w:snapToGrid w:val="0"/>
        <w:spacing w:after="0" w:line="360" w:lineRule="auto"/>
        <w:jc w:val="both"/>
        <w:rPr>
          <w:rFonts w:ascii="Book Antiqua" w:eastAsia="Times New Roman" w:hAnsi="Book Antiqua" w:cs="宋体"/>
          <w:b/>
          <w:i/>
          <w:color w:val="000000"/>
          <w:sz w:val="24"/>
          <w:szCs w:val="24"/>
          <w:lang w:val="en-US"/>
        </w:rPr>
      </w:pPr>
      <w:bookmarkStart w:id="0" w:name="OLE_LINK545"/>
      <w:bookmarkStart w:id="1" w:name="OLE_LINK546"/>
      <w:bookmarkStart w:id="2" w:name="OLE_LINK592"/>
      <w:r>
        <w:rPr>
          <w:rFonts w:ascii="Book Antiqua" w:eastAsia="Times New Roman" w:hAnsi="Book Antiqua" w:cs="宋体"/>
          <w:b/>
          <w:color w:val="000000"/>
          <w:sz w:val="24"/>
          <w:szCs w:val="24"/>
          <w:lang w:val="en-US"/>
        </w:rPr>
        <w:t xml:space="preserve">Name of </w:t>
      </w:r>
      <w:r w:rsidR="00291648">
        <w:rPr>
          <w:rFonts w:ascii="Book Antiqua" w:eastAsiaTheme="minorEastAsia" w:hAnsi="Book Antiqua" w:cs="宋体" w:hint="eastAsia"/>
          <w:b/>
          <w:color w:val="000000"/>
          <w:sz w:val="24"/>
          <w:szCs w:val="24"/>
          <w:lang w:val="en-US" w:eastAsia="zh-CN"/>
        </w:rPr>
        <w:t>J</w:t>
      </w:r>
      <w:r>
        <w:rPr>
          <w:rFonts w:ascii="Book Antiqua" w:eastAsia="Times New Roman" w:hAnsi="Book Antiqua" w:cs="宋体"/>
          <w:b/>
          <w:color w:val="000000"/>
          <w:sz w:val="24"/>
          <w:szCs w:val="24"/>
          <w:lang w:val="en-US"/>
        </w:rPr>
        <w:t xml:space="preserve">ournal: </w:t>
      </w:r>
      <w:r>
        <w:rPr>
          <w:rFonts w:ascii="Book Antiqua" w:eastAsia="Times New Roman" w:hAnsi="Book Antiqua" w:cs="宋体"/>
          <w:b/>
          <w:i/>
          <w:color w:val="000000"/>
          <w:sz w:val="24"/>
          <w:szCs w:val="24"/>
          <w:lang w:val="en-US"/>
        </w:rPr>
        <w:t>World Journal of Radiology</w:t>
      </w:r>
    </w:p>
    <w:p w:rsidR="0003376C" w:rsidRDefault="005739BD" w:rsidP="00924331">
      <w:pPr>
        <w:adjustRightInd w:val="0"/>
        <w:snapToGrid w:val="0"/>
        <w:spacing w:after="0" w:line="360" w:lineRule="auto"/>
        <w:jc w:val="both"/>
        <w:rPr>
          <w:rFonts w:ascii="Book Antiqua" w:eastAsiaTheme="minorEastAsia" w:hAnsi="Book Antiqua" w:cs="Arial"/>
          <w:color w:val="000000"/>
          <w:sz w:val="24"/>
          <w:szCs w:val="24"/>
          <w:lang w:val="en" w:eastAsia="zh-CN"/>
        </w:rPr>
      </w:pPr>
      <w:r>
        <w:rPr>
          <w:rFonts w:ascii="Book Antiqua" w:hAnsi="Book Antiqua" w:cs="Arial"/>
          <w:b/>
          <w:color w:val="000000"/>
          <w:sz w:val="24"/>
          <w:szCs w:val="24"/>
          <w:lang w:val="en"/>
        </w:rPr>
        <w:t xml:space="preserve">ESPS Manuscript NO: </w:t>
      </w:r>
      <w:r>
        <w:rPr>
          <w:rFonts w:ascii="Book Antiqua" w:eastAsiaTheme="minorEastAsia" w:hAnsi="Book Antiqua" w:cs="Arial" w:hint="eastAsia"/>
          <w:b/>
          <w:color w:val="000000"/>
          <w:sz w:val="24"/>
          <w:szCs w:val="24"/>
          <w:lang w:val="en" w:eastAsia="zh-CN"/>
        </w:rPr>
        <w:t>25920</w:t>
      </w:r>
    </w:p>
    <w:p w:rsidR="0003376C" w:rsidRPr="00291648" w:rsidRDefault="005739BD" w:rsidP="00924331">
      <w:pPr>
        <w:spacing w:after="0" w:line="360" w:lineRule="auto"/>
        <w:jc w:val="both"/>
        <w:rPr>
          <w:rFonts w:ascii="Book Antiqua" w:eastAsiaTheme="minorEastAsia" w:hAnsi="Book Antiqua"/>
          <w:b/>
          <w:sz w:val="24"/>
          <w:szCs w:val="24"/>
          <w:lang w:val="en-US" w:eastAsia="zh-CN"/>
        </w:rPr>
      </w:pPr>
      <w:r>
        <w:rPr>
          <w:rFonts w:ascii="Book Antiqua" w:hAnsi="Book Antiqua"/>
          <w:b/>
          <w:sz w:val="24"/>
          <w:szCs w:val="24"/>
          <w:lang w:val="en-US"/>
        </w:rPr>
        <w:t xml:space="preserve">Manuscript Type: </w:t>
      </w:r>
      <w:r w:rsidR="00291648" w:rsidRPr="00291648">
        <w:rPr>
          <w:rFonts w:ascii="Book Antiqua" w:hAnsi="Book Antiqua"/>
          <w:b/>
          <w:sz w:val="24"/>
          <w:szCs w:val="24"/>
          <w:lang w:val="en-US"/>
        </w:rPr>
        <w:t>Systematic Review</w:t>
      </w:r>
      <w:r w:rsidR="00291648">
        <w:rPr>
          <w:rFonts w:ascii="Book Antiqua" w:eastAsiaTheme="minorEastAsia" w:hAnsi="Book Antiqua" w:hint="eastAsia"/>
          <w:b/>
          <w:sz w:val="24"/>
          <w:szCs w:val="24"/>
          <w:lang w:val="en-US" w:eastAsia="zh-CN"/>
        </w:rPr>
        <w:t>s</w:t>
      </w:r>
    </w:p>
    <w:p w:rsidR="008D60D3" w:rsidRPr="008D60D3" w:rsidRDefault="008D60D3" w:rsidP="00924331">
      <w:pPr>
        <w:spacing w:after="0" w:line="360" w:lineRule="auto"/>
        <w:jc w:val="both"/>
        <w:rPr>
          <w:rFonts w:ascii="Book Antiqua" w:eastAsiaTheme="minorEastAsia" w:hAnsi="Book Antiqua"/>
          <w:b/>
          <w:sz w:val="24"/>
          <w:szCs w:val="24"/>
          <w:lang w:val="en-GB" w:eastAsia="zh-CN"/>
        </w:rPr>
      </w:pPr>
    </w:p>
    <w:bookmarkEnd w:id="0"/>
    <w:bookmarkEnd w:id="1"/>
    <w:bookmarkEnd w:id="2"/>
    <w:p w:rsidR="0003376C" w:rsidRDefault="005739BD" w:rsidP="00924331">
      <w:pPr>
        <w:spacing w:after="0" w:line="360" w:lineRule="auto"/>
        <w:jc w:val="both"/>
        <w:rPr>
          <w:rFonts w:ascii="Book Antiqua" w:eastAsiaTheme="minorEastAsia" w:hAnsi="Book Antiqua" w:cs="Arial"/>
          <w:b/>
          <w:sz w:val="24"/>
          <w:szCs w:val="24"/>
          <w:lang w:val="en-GB" w:eastAsia="zh-CN"/>
        </w:rPr>
      </w:pPr>
      <w:r>
        <w:rPr>
          <w:rFonts w:ascii="Book Antiqua" w:hAnsi="Book Antiqua" w:cs="Arial"/>
          <w:b/>
          <w:sz w:val="24"/>
          <w:szCs w:val="24"/>
          <w:lang w:val="en-GB"/>
        </w:rPr>
        <w:t xml:space="preserve">Role of molecular </w:t>
      </w:r>
      <w:r>
        <w:rPr>
          <w:rFonts w:asciiTheme="minorEastAsia" w:eastAsiaTheme="minorEastAsia" w:hAnsiTheme="minorEastAsia" w:cs="Arial"/>
          <w:b/>
          <w:sz w:val="24"/>
          <w:szCs w:val="24"/>
          <w:lang w:val="en-GB" w:eastAsia="zh-CN"/>
        </w:rPr>
        <w:t>i</w:t>
      </w:r>
      <w:r>
        <w:rPr>
          <w:rFonts w:ascii="Book Antiqua" w:hAnsi="Book Antiqua" w:cs="Arial"/>
          <w:b/>
          <w:sz w:val="24"/>
          <w:szCs w:val="24"/>
          <w:lang w:val="en-GB"/>
        </w:rPr>
        <w:t xml:space="preserve">maging in the </w:t>
      </w:r>
      <w:r>
        <w:rPr>
          <w:rFonts w:ascii="Book Antiqua" w:eastAsiaTheme="minorEastAsia" w:hAnsi="Book Antiqua" w:cs="Arial" w:hint="eastAsia"/>
          <w:b/>
          <w:sz w:val="24"/>
          <w:szCs w:val="24"/>
          <w:lang w:val="en-GB" w:eastAsia="zh-CN"/>
        </w:rPr>
        <w:t>m</w:t>
      </w:r>
      <w:r>
        <w:rPr>
          <w:rFonts w:ascii="Book Antiqua" w:eastAsiaTheme="minorEastAsia" w:hAnsi="Book Antiqua" w:cs="Arial"/>
          <w:b/>
          <w:sz w:val="24"/>
          <w:szCs w:val="24"/>
          <w:lang w:val="en-GB" w:eastAsia="zh-CN"/>
        </w:rPr>
        <w:t>a</w:t>
      </w:r>
      <w:r>
        <w:rPr>
          <w:rFonts w:ascii="Book Antiqua" w:hAnsi="Book Antiqua" w:cs="Arial"/>
          <w:b/>
          <w:sz w:val="24"/>
          <w:szCs w:val="24"/>
          <w:lang w:val="en-GB"/>
        </w:rPr>
        <w:t xml:space="preserve">nagement of </w:t>
      </w:r>
      <w:r>
        <w:rPr>
          <w:rFonts w:ascii="Book Antiqua" w:eastAsiaTheme="minorEastAsia" w:hAnsi="Book Antiqua" w:cs="Arial" w:hint="eastAsia"/>
          <w:b/>
          <w:sz w:val="24"/>
          <w:szCs w:val="24"/>
          <w:lang w:val="en-GB" w:eastAsia="zh-CN"/>
        </w:rPr>
        <w:t>p</w:t>
      </w:r>
      <w:r>
        <w:rPr>
          <w:rFonts w:ascii="Book Antiqua" w:hAnsi="Book Antiqua" w:cs="Arial"/>
          <w:b/>
          <w:sz w:val="24"/>
          <w:szCs w:val="24"/>
          <w:lang w:val="en-GB"/>
        </w:rPr>
        <w:t xml:space="preserve">atients affected by inflammatory bowel disease: </w:t>
      </w:r>
      <w:r>
        <w:rPr>
          <w:rFonts w:ascii="Book Antiqua" w:eastAsiaTheme="minorEastAsia" w:hAnsi="Book Antiqua" w:cs="Arial" w:hint="eastAsia"/>
          <w:b/>
          <w:sz w:val="24"/>
          <w:szCs w:val="24"/>
          <w:lang w:val="en-GB" w:eastAsia="zh-CN"/>
        </w:rPr>
        <w:t>S</w:t>
      </w:r>
      <w:r>
        <w:rPr>
          <w:rFonts w:ascii="Book Antiqua" w:hAnsi="Book Antiqua" w:cs="Arial"/>
          <w:b/>
          <w:sz w:val="24"/>
          <w:szCs w:val="24"/>
          <w:lang w:val="en-GB"/>
        </w:rPr>
        <w:t>tate-of-the-art</w:t>
      </w:r>
    </w:p>
    <w:p w:rsidR="0003376C" w:rsidRDefault="0003376C" w:rsidP="00924331">
      <w:pPr>
        <w:spacing w:after="0" w:line="360" w:lineRule="auto"/>
        <w:jc w:val="both"/>
        <w:rPr>
          <w:rFonts w:ascii="Book Antiqua" w:eastAsiaTheme="minorEastAsia" w:hAnsi="Book Antiqua"/>
          <w:b/>
          <w:sz w:val="24"/>
          <w:szCs w:val="24"/>
          <w:lang w:val="en-US" w:eastAsia="zh-CN"/>
        </w:rPr>
      </w:pPr>
    </w:p>
    <w:p w:rsidR="0003376C" w:rsidRDefault="005739BD" w:rsidP="00924331">
      <w:pPr>
        <w:widowControl w:val="0"/>
        <w:spacing w:after="0" w:line="360" w:lineRule="auto"/>
        <w:jc w:val="both"/>
        <w:rPr>
          <w:rFonts w:ascii="Book Antiqua" w:eastAsiaTheme="minorEastAsia" w:hAnsi="Book Antiqua" w:cs="Arial"/>
          <w:b/>
          <w:bCs/>
          <w:sz w:val="24"/>
          <w:szCs w:val="24"/>
          <w:lang w:val="en-GB" w:eastAsia="zh-CN"/>
        </w:rPr>
      </w:pPr>
      <w:proofErr w:type="spellStart"/>
      <w:r>
        <w:rPr>
          <w:rFonts w:ascii="Book Antiqua" w:hAnsi="Book Antiqua" w:cs="Arial"/>
          <w:bCs/>
          <w:sz w:val="24"/>
          <w:szCs w:val="24"/>
          <w:lang w:val="en-US"/>
        </w:rPr>
        <w:t>Caobelli</w:t>
      </w:r>
      <w:proofErr w:type="spellEnd"/>
      <w:r>
        <w:rPr>
          <w:rFonts w:ascii="Book Antiqua" w:hAnsi="Book Antiqua" w:cs="Arial"/>
          <w:bCs/>
          <w:sz w:val="24"/>
          <w:szCs w:val="24"/>
          <w:lang w:val="en-GB"/>
        </w:rPr>
        <w:t xml:space="preserve"> </w:t>
      </w:r>
      <w:r>
        <w:rPr>
          <w:rFonts w:ascii="Book Antiqua" w:eastAsiaTheme="minorEastAsia" w:hAnsi="Book Antiqua" w:cs="Arial" w:hint="eastAsia"/>
          <w:bCs/>
          <w:sz w:val="24"/>
          <w:szCs w:val="24"/>
          <w:lang w:val="en-GB" w:eastAsia="zh-CN"/>
        </w:rPr>
        <w:t>F</w:t>
      </w:r>
      <w:r>
        <w:rPr>
          <w:rFonts w:ascii="Book Antiqua" w:eastAsiaTheme="minorEastAsia" w:hAnsi="Book Antiqua" w:cs="Arial" w:hint="eastAsia"/>
          <w:bCs/>
          <w:i/>
          <w:sz w:val="24"/>
          <w:szCs w:val="24"/>
          <w:lang w:val="en-GB" w:eastAsia="zh-CN"/>
        </w:rPr>
        <w:t xml:space="preserve"> et al. </w:t>
      </w:r>
      <w:r>
        <w:rPr>
          <w:rFonts w:ascii="Book Antiqua" w:eastAsiaTheme="minorEastAsia" w:hAnsi="Book Antiqua" w:cs="Arial" w:hint="eastAsia"/>
          <w:bCs/>
          <w:sz w:val="24"/>
          <w:szCs w:val="24"/>
          <w:lang w:val="en-GB" w:eastAsia="zh-CN"/>
        </w:rPr>
        <w:t>R</w:t>
      </w:r>
      <w:r>
        <w:rPr>
          <w:rFonts w:ascii="Book Antiqua" w:hAnsi="Book Antiqua" w:cs="Arial"/>
          <w:bCs/>
          <w:sz w:val="24"/>
          <w:szCs w:val="24"/>
          <w:lang w:val="en-GB"/>
        </w:rPr>
        <w:t xml:space="preserve">ole of molecular imaging in </w:t>
      </w:r>
      <w:r>
        <w:rPr>
          <w:rFonts w:ascii="Book Antiqua" w:eastAsiaTheme="minorEastAsia" w:hAnsi="Book Antiqua" w:cs="Arial" w:hint="eastAsia"/>
          <w:bCs/>
          <w:sz w:val="24"/>
          <w:szCs w:val="24"/>
          <w:lang w:val="en-GB" w:eastAsia="zh-CN"/>
        </w:rPr>
        <w:t>IBD</w:t>
      </w:r>
    </w:p>
    <w:p w:rsidR="0003376C" w:rsidRDefault="0003376C" w:rsidP="00924331">
      <w:pPr>
        <w:spacing w:after="0" w:line="360" w:lineRule="auto"/>
        <w:jc w:val="both"/>
        <w:rPr>
          <w:rFonts w:ascii="Book Antiqua" w:eastAsiaTheme="minorEastAsia" w:hAnsi="Book Antiqua" w:cs="Arial"/>
          <w:b/>
          <w:sz w:val="24"/>
          <w:szCs w:val="24"/>
          <w:lang w:val="en-GB" w:eastAsia="zh-CN"/>
        </w:rPr>
      </w:pPr>
    </w:p>
    <w:p w:rsidR="0003376C" w:rsidRDefault="005739BD" w:rsidP="00924331">
      <w:pPr>
        <w:spacing w:after="0" w:line="360" w:lineRule="auto"/>
        <w:jc w:val="both"/>
        <w:rPr>
          <w:rFonts w:ascii="Book Antiqua" w:eastAsiaTheme="minorEastAsia" w:hAnsi="Book Antiqua" w:cs="Arial"/>
          <w:b/>
          <w:bCs/>
          <w:sz w:val="24"/>
          <w:szCs w:val="24"/>
          <w:lang w:val="it-CH" w:eastAsia="zh-CN"/>
        </w:rPr>
      </w:pPr>
      <w:r>
        <w:rPr>
          <w:rFonts w:ascii="Book Antiqua" w:hAnsi="Book Antiqua" w:cs="Arial"/>
          <w:b/>
          <w:bCs/>
          <w:sz w:val="24"/>
          <w:szCs w:val="24"/>
          <w:lang w:val="it-CH"/>
        </w:rPr>
        <w:t xml:space="preserve">Federico Caobelli, Laura Evangelista, Natale Quartuccio, Demetrio Familiari, Corinna </w:t>
      </w:r>
      <w:r>
        <w:rPr>
          <w:rFonts w:ascii="Book Antiqua" w:hAnsi="Book Antiqua" w:cs="Arial"/>
          <w:b/>
          <w:bCs/>
          <w:sz w:val="24"/>
          <w:szCs w:val="24"/>
          <w:lang w:val="it-IT"/>
        </w:rPr>
        <w:t xml:space="preserve">Altini, </w:t>
      </w:r>
      <w:r>
        <w:rPr>
          <w:rFonts w:ascii="Book Antiqua" w:hAnsi="Book Antiqua" w:cs="Arial"/>
          <w:b/>
          <w:bCs/>
          <w:sz w:val="24"/>
          <w:szCs w:val="24"/>
          <w:lang w:val="it-CH"/>
        </w:rPr>
        <w:t>Angelo Castello, Mariapaola Cucinotta,</w:t>
      </w:r>
      <w:r>
        <w:rPr>
          <w:rFonts w:ascii="Book Antiqua" w:hAnsi="Book Antiqua" w:cs="Arial"/>
          <w:b/>
          <w:bCs/>
          <w:sz w:val="24"/>
          <w:szCs w:val="24"/>
          <w:lang w:val="it-IT"/>
        </w:rPr>
        <w:t xml:space="preserve"> </w:t>
      </w:r>
      <w:r>
        <w:rPr>
          <w:rFonts w:ascii="Book Antiqua" w:hAnsi="Book Antiqua" w:cs="Arial"/>
          <w:b/>
          <w:bCs/>
          <w:sz w:val="24"/>
          <w:szCs w:val="24"/>
          <w:lang w:val="it-CH"/>
        </w:rPr>
        <w:t xml:space="preserve">Rossella Di Dato, </w:t>
      </w:r>
      <w:r>
        <w:rPr>
          <w:rFonts w:ascii="Book Antiqua" w:hAnsi="Book Antiqua" w:cs="Arial"/>
          <w:b/>
          <w:bCs/>
          <w:sz w:val="24"/>
          <w:szCs w:val="24"/>
          <w:lang w:val="it-IT"/>
        </w:rPr>
        <w:t xml:space="preserve">Cristina Ferrari, </w:t>
      </w:r>
      <w:r>
        <w:rPr>
          <w:rFonts w:ascii="Book Antiqua" w:hAnsi="Book Antiqua" w:cs="Arial"/>
          <w:b/>
          <w:bCs/>
          <w:sz w:val="24"/>
          <w:szCs w:val="24"/>
          <w:lang w:val="it-CH"/>
        </w:rPr>
        <w:t xml:space="preserve">Aurora Kokomani, Iashar Laghai, Riccardo Laudicella, </w:t>
      </w:r>
      <w:r>
        <w:rPr>
          <w:rFonts w:ascii="Book Antiqua" w:hAnsi="Book Antiqua" w:cs="Arial"/>
          <w:b/>
          <w:bCs/>
          <w:sz w:val="24"/>
          <w:szCs w:val="24"/>
          <w:lang w:val="it-IT"/>
        </w:rPr>
        <w:t xml:space="preserve">Silvia Migliari, Federica Orsini, </w:t>
      </w:r>
      <w:r>
        <w:rPr>
          <w:rFonts w:ascii="Book Antiqua" w:hAnsi="Book Antiqua" w:cs="Arial"/>
          <w:b/>
          <w:bCs/>
          <w:sz w:val="24"/>
          <w:szCs w:val="24"/>
          <w:lang w:val="it-CH"/>
        </w:rPr>
        <w:t>Salvatore Antonio Pignata</w:t>
      </w:r>
      <w:r>
        <w:rPr>
          <w:rFonts w:ascii="Book Antiqua" w:eastAsiaTheme="minorEastAsia" w:hAnsi="Book Antiqua" w:cs="Arial" w:hint="eastAsia"/>
          <w:b/>
          <w:bCs/>
          <w:sz w:val="24"/>
          <w:szCs w:val="24"/>
          <w:lang w:val="it-CH" w:eastAsia="zh-CN"/>
        </w:rPr>
        <w:t xml:space="preserve">, </w:t>
      </w:r>
      <w:r>
        <w:rPr>
          <w:rFonts w:ascii="Book Antiqua" w:hAnsi="Book Antiqua" w:cs="Arial"/>
          <w:b/>
          <w:bCs/>
          <w:sz w:val="24"/>
          <w:szCs w:val="24"/>
          <w:lang w:val="it-CH"/>
        </w:rPr>
        <w:t xml:space="preserve">Cristina Popescu, </w:t>
      </w:r>
      <w:r>
        <w:rPr>
          <w:rFonts w:ascii="Book Antiqua" w:hAnsi="Book Antiqua" w:cs="Arial"/>
          <w:b/>
          <w:bCs/>
          <w:sz w:val="24"/>
          <w:szCs w:val="24"/>
          <w:lang w:val="it-IT"/>
        </w:rPr>
        <w:t xml:space="preserve">Erinda Puta, Martina Ricci, Silvia Seghezzi, Alessandro Sindoni, </w:t>
      </w:r>
      <w:r>
        <w:rPr>
          <w:rFonts w:ascii="Book Antiqua" w:hAnsi="Book Antiqua" w:cs="Arial"/>
          <w:b/>
          <w:bCs/>
          <w:sz w:val="24"/>
          <w:szCs w:val="24"/>
          <w:lang w:val="it-CH"/>
        </w:rPr>
        <w:t>Martina Sollini, Letterio  Sturiale, Anna Svirydenka, Vittoria Vergura, Pierpaolo Alongi</w:t>
      </w:r>
    </w:p>
    <w:p w:rsidR="0003376C" w:rsidRDefault="0003376C" w:rsidP="00924331">
      <w:pPr>
        <w:spacing w:after="0" w:line="360" w:lineRule="auto"/>
        <w:jc w:val="both"/>
        <w:rPr>
          <w:rFonts w:ascii="Book Antiqua" w:eastAsiaTheme="minorEastAsia" w:hAnsi="Book Antiqua" w:cs="Arial"/>
          <w:bCs/>
          <w:sz w:val="24"/>
          <w:szCs w:val="24"/>
          <w:lang w:val="it-IT" w:eastAsia="zh-CN"/>
        </w:rPr>
      </w:pPr>
    </w:p>
    <w:p w:rsidR="0003376C" w:rsidRDefault="005739BD" w:rsidP="00924331">
      <w:pPr>
        <w:spacing w:after="0" w:line="360" w:lineRule="auto"/>
        <w:jc w:val="both"/>
        <w:rPr>
          <w:rFonts w:ascii="Book Antiqua" w:eastAsiaTheme="minorEastAsia" w:hAnsi="Book Antiqua" w:cs="Arial"/>
          <w:sz w:val="24"/>
          <w:szCs w:val="24"/>
          <w:lang w:val="it-IT" w:eastAsia="zh-CN"/>
        </w:rPr>
      </w:pPr>
      <w:r>
        <w:rPr>
          <w:rFonts w:ascii="Book Antiqua" w:hAnsi="Book Antiqua" w:cs="Arial"/>
          <w:b/>
          <w:bCs/>
          <w:sz w:val="24"/>
          <w:szCs w:val="24"/>
          <w:lang w:val="it-CH"/>
        </w:rPr>
        <w:t>Federico Caobelli,</w:t>
      </w:r>
      <w:r>
        <w:rPr>
          <w:rFonts w:ascii="Book Antiqua" w:eastAsiaTheme="minorEastAsia" w:hAnsi="Book Antiqua" w:cs="Arial" w:hint="eastAsia"/>
          <w:bCs/>
          <w:sz w:val="24"/>
          <w:szCs w:val="24"/>
          <w:lang w:val="it-CH" w:eastAsia="zh-CN"/>
        </w:rPr>
        <w:t xml:space="preserve"> </w:t>
      </w:r>
      <w:r>
        <w:rPr>
          <w:rFonts w:ascii="Book Antiqua" w:hAnsi="Book Antiqua" w:cs="Arial"/>
          <w:sz w:val="24"/>
          <w:szCs w:val="24"/>
          <w:lang w:val="it-IT"/>
        </w:rPr>
        <w:t>Department of Nuclear Medicine, Universitätsspital Basel, CH-4032 Basel</w:t>
      </w:r>
      <w:r>
        <w:rPr>
          <w:rFonts w:ascii="Book Antiqua" w:eastAsiaTheme="minorEastAsia" w:hAnsi="Book Antiqua" w:cs="Arial" w:hint="eastAsia"/>
          <w:sz w:val="24"/>
          <w:szCs w:val="24"/>
          <w:lang w:val="it-IT" w:eastAsia="zh-CN"/>
        </w:rPr>
        <w:t xml:space="preserve">, </w:t>
      </w:r>
      <w:r>
        <w:rPr>
          <w:rFonts w:ascii="Book Antiqua" w:hAnsi="Book Antiqua" w:cs="Arial"/>
          <w:sz w:val="24"/>
          <w:szCs w:val="24"/>
          <w:lang w:val="it-IT"/>
        </w:rPr>
        <w:t>Switzerland</w:t>
      </w:r>
    </w:p>
    <w:p w:rsidR="0003376C" w:rsidRDefault="0003376C" w:rsidP="00924331">
      <w:pPr>
        <w:spacing w:after="0" w:line="360" w:lineRule="auto"/>
        <w:jc w:val="both"/>
        <w:rPr>
          <w:rFonts w:ascii="Book Antiqua" w:eastAsiaTheme="minorEastAsia" w:hAnsi="Book Antiqua" w:cs="Arial"/>
          <w:sz w:val="24"/>
          <w:szCs w:val="24"/>
          <w:lang w:val="it-IT" w:eastAsia="zh-CN"/>
        </w:rPr>
      </w:pPr>
    </w:p>
    <w:p w:rsidR="0003376C" w:rsidRDefault="005739BD" w:rsidP="00924331">
      <w:pPr>
        <w:spacing w:after="0" w:line="360" w:lineRule="auto"/>
        <w:jc w:val="both"/>
        <w:rPr>
          <w:rFonts w:ascii="Book Antiqua" w:eastAsiaTheme="minorEastAsia" w:hAnsi="Book Antiqua" w:cs="Arial"/>
          <w:sz w:val="24"/>
          <w:szCs w:val="24"/>
          <w:lang w:val="it-IT" w:eastAsia="zh-CN"/>
        </w:rPr>
      </w:pPr>
      <w:r>
        <w:rPr>
          <w:rFonts w:ascii="Book Antiqua" w:hAnsi="Book Antiqua" w:cs="Arial"/>
          <w:b/>
          <w:bCs/>
          <w:sz w:val="24"/>
          <w:szCs w:val="24"/>
          <w:lang w:val="it-CH"/>
        </w:rPr>
        <w:t>Laura Evangelista,</w:t>
      </w:r>
      <w:r>
        <w:rPr>
          <w:rFonts w:ascii="Book Antiqua" w:hAnsi="Book Antiqua" w:cs="Arial"/>
          <w:bCs/>
          <w:sz w:val="24"/>
          <w:szCs w:val="24"/>
          <w:lang w:val="it-CH"/>
        </w:rPr>
        <w:t xml:space="preserve"> </w:t>
      </w:r>
      <w:r>
        <w:rPr>
          <w:rFonts w:ascii="Book Antiqua" w:hAnsi="Book Antiqua" w:cs="Arial"/>
          <w:sz w:val="24"/>
          <w:szCs w:val="24"/>
          <w:lang w:val="it-IT"/>
        </w:rPr>
        <w:t>Department of Nuclear Medicine, Istituto Oncologico Veneto</w:t>
      </w:r>
      <w:r>
        <w:rPr>
          <w:rFonts w:ascii="Book Antiqua" w:eastAsiaTheme="minorEastAsia" w:hAnsi="Book Antiqua" w:cs="Arial" w:hint="eastAsia"/>
          <w:sz w:val="24"/>
          <w:szCs w:val="24"/>
          <w:lang w:val="it-IT" w:eastAsia="zh-CN"/>
        </w:rPr>
        <w:t>,</w:t>
      </w:r>
      <w:r>
        <w:rPr>
          <w:rFonts w:ascii="Book Antiqua" w:hAnsi="Book Antiqua" w:cs="Arial"/>
          <w:sz w:val="24"/>
          <w:szCs w:val="24"/>
          <w:lang w:val="it-IT"/>
        </w:rPr>
        <w:t xml:space="preserve"> 35121 Padua, Italy</w:t>
      </w:r>
    </w:p>
    <w:p w:rsidR="0003376C" w:rsidRDefault="0003376C" w:rsidP="00924331">
      <w:pPr>
        <w:spacing w:after="0" w:line="360" w:lineRule="auto"/>
        <w:jc w:val="both"/>
        <w:rPr>
          <w:rFonts w:ascii="Book Antiqua" w:eastAsiaTheme="minorEastAsia" w:hAnsi="Book Antiqua" w:cs="Arial"/>
          <w:sz w:val="24"/>
          <w:szCs w:val="24"/>
          <w:lang w:val="it-IT" w:eastAsia="zh-CN"/>
        </w:rPr>
      </w:pPr>
    </w:p>
    <w:p w:rsidR="0003376C" w:rsidRDefault="005739BD" w:rsidP="00924331">
      <w:pPr>
        <w:spacing w:after="0" w:line="360" w:lineRule="auto"/>
        <w:jc w:val="both"/>
        <w:rPr>
          <w:rFonts w:ascii="Book Antiqua" w:eastAsiaTheme="minorEastAsia" w:hAnsi="Book Antiqua" w:cs="Arial"/>
          <w:sz w:val="24"/>
          <w:szCs w:val="24"/>
          <w:lang w:val="en-GB" w:eastAsia="zh-CN"/>
        </w:rPr>
      </w:pPr>
      <w:proofErr w:type="spellStart"/>
      <w:r>
        <w:rPr>
          <w:rFonts w:ascii="Book Antiqua" w:hAnsi="Book Antiqua" w:cs="Arial"/>
          <w:b/>
          <w:bCs/>
          <w:sz w:val="24"/>
          <w:szCs w:val="24"/>
          <w:lang w:val="en-US"/>
        </w:rPr>
        <w:t>Natale</w:t>
      </w:r>
      <w:proofErr w:type="spellEnd"/>
      <w:r>
        <w:rPr>
          <w:rFonts w:ascii="Book Antiqua" w:hAnsi="Book Antiqua" w:cs="Arial"/>
          <w:b/>
          <w:bCs/>
          <w:sz w:val="24"/>
          <w:szCs w:val="24"/>
          <w:lang w:val="en-US"/>
        </w:rPr>
        <w:t xml:space="preserve"> </w:t>
      </w:r>
      <w:proofErr w:type="spellStart"/>
      <w:r>
        <w:rPr>
          <w:rFonts w:ascii="Book Antiqua" w:hAnsi="Book Antiqua" w:cs="Arial"/>
          <w:b/>
          <w:bCs/>
          <w:sz w:val="24"/>
          <w:szCs w:val="24"/>
          <w:lang w:val="en-US"/>
        </w:rPr>
        <w:t>Quartuccio</w:t>
      </w:r>
      <w:proofErr w:type="spellEnd"/>
      <w:r>
        <w:rPr>
          <w:rFonts w:ascii="Book Antiqua" w:hAnsi="Book Antiqua" w:cs="Arial"/>
          <w:b/>
          <w:bCs/>
          <w:sz w:val="24"/>
          <w:szCs w:val="24"/>
          <w:lang w:val="en-US"/>
        </w:rPr>
        <w:t xml:space="preserve">, </w:t>
      </w:r>
      <w:r>
        <w:rPr>
          <w:rFonts w:ascii="Book Antiqua" w:hAnsi="Book Antiqua" w:cs="Arial"/>
          <w:sz w:val="24"/>
          <w:szCs w:val="24"/>
          <w:lang w:val="en-GB"/>
        </w:rPr>
        <w:t xml:space="preserve">Wolfson Molecular Imaging Centre, University of Manchester, </w:t>
      </w:r>
      <w:r>
        <w:rPr>
          <w:rFonts w:ascii="Book Antiqua" w:hAnsi="Book Antiqua" w:cs="Arial"/>
          <w:sz w:val="24"/>
          <w:szCs w:val="24"/>
          <w:lang w:val="en-US"/>
        </w:rPr>
        <w:t>M20 3JJ</w:t>
      </w:r>
      <w:r>
        <w:rPr>
          <w:rFonts w:ascii="Book Antiqua" w:hAnsi="Book Antiqua" w:cs="Arial"/>
          <w:sz w:val="24"/>
          <w:szCs w:val="24"/>
          <w:lang w:val="en-GB"/>
        </w:rPr>
        <w:t xml:space="preserve"> Manchester, United Kingdom</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eastAsiaTheme="minorEastAsia" w:hAnsi="Book Antiqua" w:cs="Arial"/>
          <w:sz w:val="24"/>
          <w:szCs w:val="24"/>
          <w:lang w:val="it-CH" w:eastAsia="zh-CN"/>
        </w:rPr>
      </w:pPr>
      <w:r>
        <w:rPr>
          <w:rFonts w:ascii="Book Antiqua" w:hAnsi="Book Antiqua" w:cs="Arial"/>
          <w:b/>
          <w:bCs/>
          <w:sz w:val="24"/>
          <w:szCs w:val="24"/>
          <w:lang w:val="it-CH"/>
        </w:rPr>
        <w:t>Demetrio Familiari,</w:t>
      </w:r>
      <w:r>
        <w:rPr>
          <w:rFonts w:ascii="Book Antiqua" w:hAnsi="Book Antiqua" w:cs="Arial"/>
          <w:bCs/>
          <w:sz w:val="24"/>
          <w:szCs w:val="24"/>
          <w:lang w:val="it-CH"/>
        </w:rPr>
        <w:t xml:space="preserve"> </w:t>
      </w:r>
      <w:r>
        <w:rPr>
          <w:rFonts w:ascii="Book Antiqua" w:hAnsi="Book Antiqua" w:cs="Arial"/>
          <w:sz w:val="24"/>
          <w:szCs w:val="24"/>
          <w:lang w:val="it-CH"/>
        </w:rPr>
        <w:t>Department of Nuclear Medicine, A.R.N.A.S. Garibaldi</w:t>
      </w:r>
      <w:r>
        <w:rPr>
          <w:rFonts w:ascii="Book Antiqua" w:eastAsiaTheme="minorEastAsia" w:hAnsi="Book Antiqua" w:cs="Arial" w:hint="eastAsia"/>
          <w:sz w:val="24"/>
          <w:szCs w:val="24"/>
          <w:lang w:val="it-CH" w:eastAsia="zh-CN"/>
        </w:rPr>
        <w:t>,</w:t>
      </w:r>
      <w:r>
        <w:rPr>
          <w:rFonts w:ascii="Book Antiqua" w:hAnsi="Book Antiqua" w:cs="Arial"/>
          <w:sz w:val="24"/>
          <w:szCs w:val="24"/>
          <w:lang w:val="it-CH"/>
        </w:rPr>
        <w:t xml:space="preserve"> </w:t>
      </w:r>
      <w:r>
        <w:rPr>
          <w:rFonts w:ascii="Book Antiqua" w:hAnsi="Book Antiqua" w:cs="Arial"/>
          <w:bCs/>
          <w:iCs/>
          <w:sz w:val="24"/>
          <w:szCs w:val="24"/>
          <w:lang w:val="it-CH"/>
        </w:rPr>
        <w:t>95121</w:t>
      </w:r>
      <w:r>
        <w:rPr>
          <w:rFonts w:ascii="Book Antiqua" w:hAnsi="Book Antiqua" w:cs="Arial"/>
          <w:sz w:val="24"/>
          <w:szCs w:val="24"/>
          <w:lang w:val="it-CH"/>
        </w:rPr>
        <w:t xml:space="preserve"> Catania, Italy</w:t>
      </w:r>
    </w:p>
    <w:p w:rsidR="0003376C" w:rsidRDefault="0003376C" w:rsidP="00924331">
      <w:pPr>
        <w:spacing w:after="0" w:line="360" w:lineRule="auto"/>
        <w:jc w:val="both"/>
        <w:rPr>
          <w:rFonts w:ascii="Book Antiqua" w:eastAsiaTheme="minorEastAsia" w:hAnsi="Book Antiqua" w:cs="Arial"/>
          <w:sz w:val="24"/>
          <w:szCs w:val="24"/>
          <w:lang w:val="it-CH" w:eastAsia="zh-CN"/>
        </w:rPr>
      </w:pPr>
    </w:p>
    <w:p w:rsidR="0003376C" w:rsidRDefault="005739BD" w:rsidP="00924331">
      <w:pPr>
        <w:spacing w:after="0" w:line="360" w:lineRule="auto"/>
        <w:jc w:val="both"/>
        <w:rPr>
          <w:rFonts w:ascii="Book Antiqua" w:eastAsiaTheme="minorEastAsia" w:hAnsi="Book Antiqua" w:cs="Arial"/>
          <w:sz w:val="24"/>
          <w:szCs w:val="24"/>
          <w:lang w:val="it-CH" w:eastAsia="zh-CN"/>
        </w:rPr>
      </w:pPr>
      <w:r>
        <w:rPr>
          <w:rFonts w:ascii="Book Antiqua" w:hAnsi="Book Antiqua" w:cs="Arial"/>
          <w:b/>
          <w:bCs/>
          <w:sz w:val="24"/>
          <w:szCs w:val="24"/>
          <w:lang w:val="it-CH"/>
        </w:rPr>
        <w:t xml:space="preserve">Corinna </w:t>
      </w:r>
      <w:r>
        <w:rPr>
          <w:rFonts w:ascii="Book Antiqua" w:hAnsi="Book Antiqua" w:cs="Arial"/>
          <w:b/>
          <w:bCs/>
          <w:sz w:val="24"/>
          <w:szCs w:val="24"/>
          <w:lang w:val="it-IT"/>
        </w:rPr>
        <w:t xml:space="preserve">Altini, Cristina Ferrari, </w:t>
      </w:r>
      <w:r>
        <w:rPr>
          <w:rFonts w:ascii="Book Antiqua" w:hAnsi="Book Antiqua" w:cs="Arial"/>
          <w:sz w:val="24"/>
          <w:szCs w:val="24"/>
          <w:lang w:val="it-CH"/>
        </w:rPr>
        <w:t>Nuclear Medicine Unit, University “Aldo Moro” of Bari, 70121 Bari, Italy</w:t>
      </w:r>
    </w:p>
    <w:p w:rsidR="0003376C" w:rsidRDefault="0003376C" w:rsidP="00924331">
      <w:pPr>
        <w:spacing w:after="0" w:line="360" w:lineRule="auto"/>
        <w:jc w:val="both"/>
        <w:rPr>
          <w:rFonts w:ascii="Book Antiqua" w:eastAsiaTheme="minorEastAsia" w:hAnsi="Book Antiqua" w:cs="Arial"/>
          <w:sz w:val="24"/>
          <w:szCs w:val="24"/>
          <w:lang w:val="it-CH" w:eastAsia="zh-CN"/>
        </w:rPr>
      </w:pPr>
    </w:p>
    <w:p w:rsidR="0003376C" w:rsidRDefault="005739BD" w:rsidP="00924331">
      <w:pPr>
        <w:spacing w:after="0" w:line="360" w:lineRule="auto"/>
        <w:jc w:val="both"/>
        <w:rPr>
          <w:rFonts w:ascii="Book Antiqua" w:eastAsiaTheme="minorEastAsia" w:hAnsi="Book Antiqua" w:cs="Arial"/>
          <w:sz w:val="24"/>
          <w:szCs w:val="24"/>
          <w:lang w:val="it-CH" w:eastAsia="zh-CN"/>
        </w:rPr>
      </w:pPr>
      <w:r>
        <w:rPr>
          <w:rFonts w:ascii="Book Antiqua" w:hAnsi="Book Antiqua" w:cs="Arial"/>
          <w:b/>
          <w:bCs/>
          <w:sz w:val="24"/>
          <w:szCs w:val="24"/>
          <w:lang w:val="it-CH"/>
        </w:rPr>
        <w:t>Angelo Castello, Rossella Di Dato, Aurora Kokomani, Iashar Laghai, Vittoria Vergura,</w:t>
      </w:r>
      <w:r>
        <w:rPr>
          <w:rFonts w:ascii="Book Antiqua" w:hAnsi="Book Antiqua" w:cs="Arial"/>
          <w:bCs/>
          <w:sz w:val="24"/>
          <w:szCs w:val="24"/>
          <w:lang w:val="it-CH"/>
        </w:rPr>
        <w:t xml:space="preserve"> </w:t>
      </w:r>
      <w:r>
        <w:rPr>
          <w:rFonts w:ascii="Book Antiqua" w:hAnsi="Book Antiqua" w:cs="Arial"/>
          <w:sz w:val="24"/>
          <w:szCs w:val="24"/>
          <w:lang w:val="it-CH"/>
        </w:rPr>
        <w:t>Nuclear Medicine Department, University of Florence, 50121 Florence, Italy</w:t>
      </w:r>
    </w:p>
    <w:p w:rsidR="0003376C" w:rsidRDefault="0003376C" w:rsidP="00924331">
      <w:pPr>
        <w:spacing w:after="0" w:line="360" w:lineRule="auto"/>
        <w:jc w:val="both"/>
        <w:rPr>
          <w:rFonts w:ascii="Book Antiqua" w:eastAsiaTheme="minorEastAsia" w:hAnsi="Book Antiqua" w:cs="Arial"/>
          <w:sz w:val="24"/>
          <w:szCs w:val="24"/>
          <w:lang w:val="it-CH" w:eastAsia="zh-CN"/>
        </w:rPr>
      </w:pPr>
    </w:p>
    <w:p w:rsidR="0003376C" w:rsidRDefault="005739BD" w:rsidP="00924331">
      <w:pPr>
        <w:spacing w:after="0" w:line="360" w:lineRule="auto"/>
        <w:jc w:val="both"/>
        <w:rPr>
          <w:rFonts w:ascii="Book Antiqua" w:eastAsiaTheme="minorEastAsia" w:hAnsi="Book Antiqua" w:cs="Arial"/>
          <w:sz w:val="24"/>
          <w:szCs w:val="24"/>
          <w:lang w:val="it-CH" w:eastAsia="zh-CN"/>
        </w:rPr>
      </w:pPr>
      <w:r>
        <w:rPr>
          <w:rFonts w:ascii="Book Antiqua" w:hAnsi="Book Antiqua" w:cs="Arial"/>
          <w:b/>
          <w:bCs/>
          <w:sz w:val="24"/>
          <w:szCs w:val="24"/>
          <w:lang w:val="it-CH"/>
        </w:rPr>
        <w:t>Mariapaola Cucinotta,</w:t>
      </w:r>
      <w:r>
        <w:rPr>
          <w:rFonts w:ascii="Book Antiqua" w:hAnsi="Book Antiqua" w:cs="Arial"/>
          <w:bCs/>
          <w:sz w:val="24"/>
          <w:szCs w:val="24"/>
          <w:lang w:val="it-CH"/>
        </w:rPr>
        <w:t xml:space="preserve"> </w:t>
      </w:r>
      <w:r>
        <w:rPr>
          <w:rFonts w:ascii="Book Antiqua" w:hAnsi="Book Antiqua" w:cs="Arial"/>
          <w:sz w:val="24"/>
          <w:szCs w:val="24"/>
          <w:lang w:val="it-CH"/>
        </w:rPr>
        <w:t>Department of medical-surgical science and translational medicine, “La Sapienza” University, 00118 Rome,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CH"/>
        </w:rPr>
        <w:t>Riccardo Laudicella, Salvatore Antonio Pignata</w:t>
      </w:r>
      <w:r>
        <w:rPr>
          <w:rFonts w:ascii="Book Antiqua" w:eastAsiaTheme="minorEastAsia" w:hAnsi="Book Antiqua" w:cs="Arial" w:hint="eastAsia"/>
          <w:b/>
          <w:bCs/>
          <w:sz w:val="24"/>
          <w:szCs w:val="24"/>
          <w:lang w:val="it-CH" w:eastAsia="zh-CN"/>
        </w:rPr>
        <w:t>,</w:t>
      </w:r>
      <w:r>
        <w:rPr>
          <w:rFonts w:ascii="Book Antiqua" w:hAnsi="Book Antiqua" w:cs="Arial"/>
          <w:b/>
          <w:bCs/>
          <w:sz w:val="24"/>
          <w:szCs w:val="24"/>
          <w:lang w:val="it-CH"/>
        </w:rPr>
        <w:t xml:space="preserve"> </w:t>
      </w:r>
      <w:r>
        <w:rPr>
          <w:rFonts w:ascii="Book Antiqua" w:hAnsi="Book Antiqua" w:cs="Arial"/>
          <w:b/>
          <w:bCs/>
          <w:sz w:val="24"/>
          <w:szCs w:val="24"/>
          <w:lang w:val="it-IT"/>
        </w:rPr>
        <w:t>Alessandro Sindoni,</w:t>
      </w:r>
      <w:r>
        <w:rPr>
          <w:rFonts w:ascii="Book Antiqua" w:eastAsiaTheme="minorEastAsia" w:hAnsi="Book Antiqua" w:cs="Arial" w:hint="eastAsia"/>
          <w:b/>
          <w:bCs/>
          <w:sz w:val="24"/>
          <w:szCs w:val="24"/>
          <w:lang w:val="it-IT" w:eastAsia="zh-CN"/>
        </w:rPr>
        <w:t xml:space="preserve"> </w:t>
      </w:r>
      <w:r>
        <w:rPr>
          <w:rFonts w:ascii="Book Antiqua" w:hAnsi="Book Antiqua" w:cs="Arial"/>
          <w:b/>
          <w:bCs/>
          <w:sz w:val="24"/>
          <w:szCs w:val="24"/>
          <w:lang w:val="it-CH"/>
        </w:rPr>
        <w:t>Letterio  Sturiale,</w:t>
      </w:r>
      <w:r>
        <w:rPr>
          <w:rFonts w:ascii="Book Antiqua" w:eastAsiaTheme="minorEastAsia" w:hAnsi="Book Antiqua" w:cs="Arial" w:hint="eastAsia"/>
          <w:bCs/>
          <w:sz w:val="24"/>
          <w:szCs w:val="24"/>
          <w:lang w:val="it-CH" w:eastAsia="zh-CN"/>
        </w:rPr>
        <w:t xml:space="preserve"> </w:t>
      </w:r>
      <w:r>
        <w:rPr>
          <w:rFonts w:ascii="Book Antiqua" w:hAnsi="Book Antiqua" w:cs="Arial"/>
          <w:bCs/>
          <w:iCs/>
          <w:sz w:val="24"/>
          <w:szCs w:val="24"/>
          <w:lang w:val="it-CH"/>
        </w:rPr>
        <w:t>Nuclear Medicine Unit, Department of Biomedical Sciences and Morphological and Functional Images, University of Messina, 98121 Messina,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IT"/>
        </w:rPr>
        <w:t>Silvia Migliari, Martina Ricci,</w:t>
      </w:r>
      <w:r>
        <w:rPr>
          <w:rFonts w:ascii="Book Antiqua" w:hAnsi="Book Antiqua" w:cs="Arial"/>
          <w:bCs/>
          <w:sz w:val="24"/>
          <w:szCs w:val="24"/>
          <w:lang w:val="it-IT"/>
        </w:rPr>
        <w:t xml:space="preserve"> </w:t>
      </w:r>
      <w:r>
        <w:rPr>
          <w:rFonts w:ascii="Book Antiqua" w:hAnsi="Book Antiqua" w:cs="Arial"/>
          <w:bCs/>
          <w:iCs/>
          <w:sz w:val="24"/>
          <w:szCs w:val="24"/>
          <w:lang w:val="it-CH"/>
        </w:rPr>
        <w:t>Nuclear Medicine Department, University of Parma, 43121 Parma,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IT"/>
        </w:rPr>
        <w:t>Federica Orsini, Erinda Puta,</w:t>
      </w:r>
      <w:r>
        <w:rPr>
          <w:rFonts w:ascii="Book Antiqua" w:hAnsi="Book Antiqua" w:cs="Arial"/>
          <w:bCs/>
          <w:sz w:val="24"/>
          <w:szCs w:val="24"/>
          <w:lang w:val="it-IT"/>
        </w:rPr>
        <w:t xml:space="preserve"> </w:t>
      </w:r>
      <w:r>
        <w:rPr>
          <w:rFonts w:ascii="Book Antiqua" w:hAnsi="Book Antiqua" w:cs="Arial"/>
          <w:bCs/>
          <w:iCs/>
          <w:sz w:val="24"/>
          <w:szCs w:val="24"/>
          <w:lang w:val="it-CH"/>
        </w:rPr>
        <w:t>Nuclear Medicine Department, University Hospital “Maggiore della Carità di Novara”, 28100 Novara,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CH"/>
        </w:rPr>
        <w:t xml:space="preserve">Cristina Popescu, </w:t>
      </w:r>
      <w:r>
        <w:rPr>
          <w:rFonts w:ascii="Book Antiqua" w:hAnsi="Book Antiqua" w:cs="Arial"/>
          <w:bCs/>
          <w:iCs/>
          <w:sz w:val="24"/>
          <w:szCs w:val="24"/>
          <w:lang w:val="it-CH"/>
        </w:rPr>
        <w:t>Medicine Department, Niguarda Ca’ Granda Hospital, 20100 Milan,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IT"/>
        </w:rPr>
        <w:t>Silvia Seghezzi,</w:t>
      </w:r>
      <w:r>
        <w:rPr>
          <w:rFonts w:ascii="Book Antiqua" w:hAnsi="Book Antiqua" w:cs="Arial"/>
          <w:bCs/>
          <w:sz w:val="24"/>
          <w:szCs w:val="24"/>
          <w:lang w:val="it-IT"/>
        </w:rPr>
        <w:t xml:space="preserve"> </w:t>
      </w:r>
      <w:r>
        <w:rPr>
          <w:rFonts w:ascii="Book Antiqua" w:hAnsi="Book Antiqua" w:cs="Arial"/>
          <w:bCs/>
          <w:iCs/>
          <w:sz w:val="24"/>
          <w:szCs w:val="24"/>
          <w:lang w:val="it-CH"/>
        </w:rPr>
        <w:t>Nuclear Medicine Department, Hospital of Treviglio, 24047 Treviglio,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it-CH" w:eastAsia="zh-CN"/>
        </w:rPr>
      </w:pPr>
      <w:r>
        <w:rPr>
          <w:rFonts w:ascii="Book Antiqua" w:hAnsi="Book Antiqua" w:cs="Arial"/>
          <w:b/>
          <w:bCs/>
          <w:sz w:val="24"/>
          <w:szCs w:val="24"/>
          <w:lang w:val="it-CH"/>
        </w:rPr>
        <w:t xml:space="preserve">Martina Sollini, </w:t>
      </w:r>
      <w:r>
        <w:rPr>
          <w:rFonts w:ascii="Book Antiqua" w:hAnsi="Book Antiqua" w:cs="Arial"/>
          <w:bCs/>
          <w:iCs/>
          <w:sz w:val="24"/>
          <w:szCs w:val="24"/>
          <w:lang w:val="it-CH"/>
        </w:rPr>
        <w:t>Nuclear Medicine Unit, IRCCS MultiMedica, Sesto San Giovanni, 20100 Milano, Italy</w:t>
      </w:r>
    </w:p>
    <w:p w:rsidR="0003376C" w:rsidRDefault="0003376C" w:rsidP="00924331">
      <w:pPr>
        <w:spacing w:after="0" w:line="360" w:lineRule="auto"/>
        <w:jc w:val="both"/>
        <w:rPr>
          <w:rFonts w:ascii="Book Antiqua" w:eastAsiaTheme="minorEastAsia" w:hAnsi="Book Antiqua" w:cs="Arial"/>
          <w:bCs/>
          <w:iCs/>
          <w:sz w:val="24"/>
          <w:szCs w:val="24"/>
          <w:lang w:val="it-CH" w:eastAsia="zh-CN"/>
        </w:rPr>
      </w:pPr>
    </w:p>
    <w:p w:rsidR="0003376C" w:rsidRDefault="005739BD" w:rsidP="00924331">
      <w:pPr>
        <w:spacing w:after="0" w:line="360" w:lineRule="auto"/>
        <w:jc w:val="both"/>
        <w:rPr>
          <w:rFonts w:ascii="Book Antiqua" w:eastAsiaTheme="minorEastAsia" w:hAnsi="Book Antiqua" w:cs="Arial"/>
          <w:bCs/>
          <w:iCs/>
          <w:sz w:val="24"/>
          <w:szCs w:val="24"/>
          <w:lang w:val="en-GB" w:eastAsia="zh-CN"/>
        </w:rPr>
      </w:pPr>
      <w:r>
        <w:rPr>
          <w:rFonts w:ascii="Book Antiqua" w:hAnsi="Book Antiqua" w:cs="Arial"/>
          <w:b/>
          <w:bCs/>
          <w:sz w:val="24"/>
          <w:szCs w:val="24"/>
          <w:lang w:val="en-US"/>
        </w:rPr>
        <w:t xml:space="preserve">Anna </w:t>
      </w:r>
      <w:proofErr w:type="spellStart"/>
      <w:r>
        <w:rPr>
          <w:rFonts w:ascii="Book Antiqua" w:hAnsi="Book Antiqua" w:cs="Arial"/>
          <w:b/>
          <w:bCs/>
          <w:sz w:val="24"/>
          <w:szCs w:val="24"/>
          <w:lang w:val="en-US"/>
        </w:rPr>
        <w:t>Svirydenka</w:t>
      </w:r>
      <w:proofErr w:type="spellEnd"/>
      <w:r>
        <w:rPr>
          <w:rFonts w:ascii="Book Antiqua" w:hAnsi="Book Antiqua" w:cs="Arial"/>
          <w:b/>
          <w:bCs/>
          <w:sz w:val="24"/>
          <w:szCs w:val="24"/>
          <w:lang w:val="en-US"/>
        </w:rPr>
        <w:t>,</w:t>
      </w:r>
      <w:r>
        <w:rPr>
          <w:rFonts w:ascii="Book Antiqua" w:hAnsi="Book Antiqua" w:cs="Arial"/>
          <w:bCs/>
          <w:sz w:val="24"/>
          <w:szCs w:val="24"/>
          <w:lang w:val="en-US"/>
        </w:rPr>
        <w:t xml:space="preserve"> </w:t>
      </w:r>
      <w:r>
        <w:rPr>
          <w:rFonts w:ascii="Book Antiqua" w:hAnsi="Book Antiqua" w:cs="Arial"/>
          <w:bCs/>
          <w:iCs/>
          <w:sz w:val="24"/>
          <w:szCs w:val="24"/>
          <w:lang w:val="en-GB"/>
        </w:rPr>
        <w:t>Department of Nuclear Medicine, University of Bologna, 40100 Bologna, Italy</w:t>
      </w:r>
    </w:p>
    <w:p w:rsidR="0003376C" w:rsidRDefault="0003376C" w:rsidP="00924331">
      <w:pPr>
        <w:spacing w:after="0" w:line="360" w:lineRule="auto"/>
        <w:jc w:val="both"/>
        <w:rPr>
          <w:rFonts w:ascii="Book Antiqua" w:eastAsiaTheme="minorEastAsia" w:hAnsi="Book Antiqua" w:cs="Arial"/>
          <w:bCs/>
          <w:iCs/>
          <w:sz w:val="24"/>
          <w:szCs w:val="24"/>
          <w:lang w:val="en-GB" w:eastAsia="zh-CN"/>
        </w:rPr>
      </w:pPr>
    </w:p>
    <w:p w:rsidR="0003376C" w:rsidRDefault="005739BD" w:rsidP="00924331">
      <w:pPr>
        <w:spacing w:after="0" w:line="360" w:lineRule="auto"/>
        <w:jc w:val="both"/>
        <w:rPr>
          <w:rFonts w:ascii="Book Antiqua" w:eastAsiaTheme="minorEastAsia" w:hAnsi="Book Antiqua" w:cs="Arial"/>
          <w:bCs/>
          <w:iCs/>
          <w:sz w:val="24"/>
          <w:szCs w:val="24"/>
          <w:lang w:val="en-GB" w:eastAsia="zh-CN"/>
        </w:rPr>
      </w:pPr>
      <w:proofErr w:type="spellStart"/>
      <w:r>
        <w:rPr>
          <w:rFonts w:ascii="Book Antiqua" w:hAnsi="Book Antiqua" w:cs="Arial"/>
          <w:b/>
          <w:bCs/>
          <w:sz w:val="24"/>
          <w:szCs w:val="24"/>
          <w:lang w:val="en-US"/>
        </w:rPr>
        <w:t>Pierpaolo</w:t>
      </w:r>
      <w:proofErr w:type="spellEnd"/>
      <w:r>
        <w:rPr>
          <w:rFonts w:ascii="Book Antiqua" w:hAnsi="Book Antiqua" w:cs="Arial"/>
          <w:b/>
          <w:bCs/>
          <w:sz w:val="24"/>
          <w:szCs w:val="24"/>
          <w:lang w:val="en-US"/>
        </w:rPr>
        <w:t xml:space="preserve"> </w:t>
      </w:r>
      <w:proofErr w:type="spellStart"/>
      <w:r>
        <w:rPr>
          <w:rFonts w:ascii="Book Antiqua" w:hAnsi="Book Antiqua" w:cs="Arial"/>
          <w:b/>
          <w:bCs/>
          <w:sz w:val="24"/>
          <w:szCs w:val="24"/>
          <w:lang w:val="en-US"/>
        </w:rPr>
        <w:t>Alongi</w:t>
      </w:r>
      <w:proofErr w:type="spellEnd"/>
      <w:r>
        <w:rPr>
          <w:rFonts w:ascii="Book Antiqua" w:hAnsi="Book Antiqua" w:cs="Arial"/>
          <w:b/>
          <w:bCs/>
          <w:sz w:val="24"/>
          <w:szCs w:val="24"/>
          <w:lang w:val="en-US"/>
        </w:rPr>
        <w:t xml:space="preserve">, </w:t>
      </w:r>
      <w:r>
        <w:rPr>
          <w:rFonts w:ascii="Book Antiqua" w:hAnsi="Book Antiqua" w:cs="Arial"/>
          <w:bCs/>
          <w:iCs/>
          <w:sz w:val="24"/>
          <w:szCs w:val="24"/>
          <w:lang w:val="en-GB"/>
        </w:rPr>
        <w:t xml:space="preserve">Nuclear Medicine Unit, Department of Radiological Sciences, G. </w:t>
      </w:r>
      <w:proofErr w:type="spellStart"/>
      <w:r>
        <w:rPr>
          <w:rFonts w:ascii="Book Antiqua" w:hAnsi="Book Antiqua" w:cs="Arial"/>
          <w:bCs/>
          <w:iCs/>
          <w:sz w:val="24"/>
          <w:szCs w:val="24"/>
          <w:lang w:val="en-GB"/>
        </w:rPr>
        <w:t>Giglio</w:t>
      </w:r>
      <w:proofErr w:type="spellEnd"/>
      <w:r>
        <w:rPr>
          <w:rFonts w:ascii="Book Antiqua" w:hAnsi="Book Antiqua" w:cs="Arial"/>
          <w:bCs/>
          <w:iCs/>
          <w:sz w:val="24"/>
          <w:szCs w:val="24"/>
          <w:lang w:val="en-GB"/>
        </w:rPr>
        <w:t xml:space="preserve"> Institute, 90015 </w:t>
      </w:r>
      <w:proofErr w:type="spellStart"/>
      <w:r>
        <w:rPr>
          <w:rFonts w:ascii="Book Antiqua" w:hAnsi="Book Antiqua" w:cs="Arial"/>
          <w:bCs/>
          <w:iCs/>
          <w:sz w:val="24"/>
          <w:szCs w:val="24"/>
          <w:lang w:val="en-GB"/>
        </w:rPr>
        <w:t>Cefalu</w:t>
      </w:r>
      <w:proofErr w:type="spellEnd"/>
      <w:r>
        <w:rPr>
          <w:rFonts w:ascii="Book Antiqua" w:hAnsi="Book Antiqua" w:cs="Arial"/>
          <w:bCs/>
          <w:iCs/>
          <w:sz w:val="24"/>
          <w:szCs w:val="24"/>
          <w:lang w:val="en-GB"/>
        </w:rPr>
        <w:t>, Italy</w:t>
      </w:r>
    </w:p>
    <w:p w:rsidR="0003376C" w:rsidRDefault="0003376C" w:rsidP="00924331">
      <w:pPr>
        <w:spacing w:after="0" w:line="360" w:lineRule="auto"/>
        <w:jc w:val="both"/>
        <w:rPr>
          <w:rFonts w:ascii="Book Antiqua" w:eastAsiaTheme="minorEastAsia" w:hAnsi="Book Antiqua" w:cs="Arial"/>
          <w:bCs/>
          <w:iCs/>
          <w:sz w:val="24"/>
          <w:szCs w:val="24"/>
          <w:lang w:val="en-GB" w:eastAsia="zh-CN"/>
        </w:rPr>
      </w:pPr>
    </w:p>
    <w:p w:rsidR="0003376C" w:rsidRDefault="005739BD" w:rsidP="00924331">
      <w:pPr>
        <w:spacing w:after="0" w:line="360" w:lineRule="auto"/>
        <w:jc w:val="both"/>
        <w:rPr>
          <w:rFonts w:ascii="Book Antiqua" w:eastAsia="宋体" w:hAnsi="Book Antiqua"/>
          <w:sz w:val="24"/>
          <w:szCs w:val="24"/>
          <w:lang w:val="en-US" w:eastAsia="zh-CN"/>
        </w:rPr>
      </w:pPr>
      <w:bookmarkStart w:id="3" w:name="OLE_LINK28"/>
      <w:bookmarkStart w:id="4" w:name="OLE_LINK29"/>
      <w:bookmarkStart w:id="5" w:name="OLE_LINK81"/>
      <w:bookmarkStart w:id="6" w:name="OLE_LINK125"/>
      <w:bookmarkStart w:id="7" w:name="OLE_LINK152"/>
      <w:bookmarkStart w:id="8" w:name="OLE_LINK173"/>
      <w:bookmarkStart w:id="9" w:name="OLE_LINK190"/>
      <w:bookmarkStart w:id="10" w:name="OLE_LINK228"/>
      <w:bookmarkStart w:id="11" w:name="OLE_LINK296"/>
      <w:bookmarkStart w:id="12" w:name="OLE_LINK581"/>
      <w:r>
        <w:rPr>
          <w:rFonts w:ascii="Book Antiqua" w:eastAsia="MS Mincho" w:hAnsi="Book Antiqua"/>
          <w:b/>
          <w:sz w:val="24"/>
          <w:lang w:val="en-US" w:eastAsia="ja-JP"/>
        </w:rPr>
        <w:t>Author contributions:</w:t>
      </w:r>
      <w:bookmarkEnd w:id="3"/>
      <w:bookmarkEnd w:id="4"/>
      <w:bookmarkEnd w:id="5"/>
      <w:bookmarkEnd w:id="6"/>
      <w:bookmarkEnd w:id="7"/>
      <w:bookmarkEnd w:id="8"/>
      <w:bookmarkEnd w:id="9"/>
      <w:bookmarkEnd w:id="10"/>
      <w:bookmarkEnd w:id="11"/>
      <w:bookmarkEnd w:id="12"/>
      <w:r>
        <w:rPr>
          <w:rFonts w:ascii="Book Antiqua" w:eastAsiaTheme="minorEastAsia" w:hAnsi="Book Antiqua" w:hint="eastAsia"/>
          <w:b/>
          <w:sz w:val="24"/>
          <w:lang w:val="en-US" w:eastAsia="zh-CN"/>
        </w:rPr>
        <w:t xml:space="preserve"> </w:t>
      </w:r>
      <w:r>
        <w:rPr>
          <w:rFonts w:ascii="Book Antiqua" w:eastAsia="宋体" w:hAnsi="Book Antiqua"/>
          <w:sz w:val="24"/>
          <w:szCs w:val="24"/>
          <w:lang w:val="en-US" w:eastAsia="zh-CN"/>
        </w:rPr>
        <w:t>All authors contributed to the manuscript.</w:t>
      </w:r>
    </w:p>
    <w:p w:rsidR="0003376C" w:rsidRPr="00924331" w:rsidRDefault="0003376C" w:rsidP="00924331">
      <w:pPr>
        <w:spacing w:after="0" w:line="360" w:lineRule="auto"/>
        <w:jc w:val="both"/>
        <w:rPr>
          <w:rFonts w:ascii="Book Antiqua" w:hAnsi="Book Antiqua"/>
          <w:b/>
          <w:sz w:val="24"/>
        </w:rPr>
      </w:pPr>
    </w:p>
    <w:p w:rsidR="0003376C" w:rsidRDefault="005739BD" w:rsidP="00924331">
      <w:pPr>
        <w:spacing w:after="0" w:line="360" w:lineRule="auto"/>
        <w:jc w:val="both"/>
        <w:rPr>
          <w:rFonts w:ascii="Book Antiqua" w:eastAsiaTheme="minorEastAsia" w:hAnsi="Book Antiqua" w:cs="Arial"/>
          <w:bCs/>
          <w:sz w:val="24"/>
          <w:szCs w:val="24"/>
          <w:lang w:val="en-GB" w:eastAsia="zh-CN"/>
        </w:rPr>
      </w:pPr>
      <w:bookmarkStart w:id="13" w:name="OLE_LINK155"/>
      <w:bookmarkStart w:id="14" w:name="OLE_LINK183"/>
      <w:bookmarkStart w:id="15" w:name="OLE_LINK441"/>
      <w:r>
        <w:rPr>
          <w:rFonts w:ascii="Book Antiqua" w:eastAsiaTheme="minorEastAsia" w:hAnsi="Book Antiqua" w:cs="Arial"/>
          <w:b/>
          <w:bCs/>
          <w:sz w:val="24"/>
          <w:szCs w:val="24"/>
          <w:lang w:val="en-GB" w:eastAsia="zh-CN"/>
        </w:rPr>
        <w:t>Conflict</w:t>
      </w:r>
      <w:r>
        <w:rPr>
          <w:rFonts w:ascii="Book Antiqua" w:eastAsiaTheme="minorEastAsia" w:hAnsi="Book Antiqua" w:cs="Arial" w:hint="eastAsia"/>
          <w:b/>
          <w:bCs/>
          <w:sz w:val="24"/>
          <w:szCs w:val="24"/>
          <w:lang w:val="en-GB" w:eastAsia="zh-CN"/>
        </w:rPr>
        <w:t>-</w:t>
      </w:r>
      <w:r>
        <w:rPr>
          <w:rFonts w:ascii="Book Antiqua" w:eastAsiaTheme="minorEastAsia" w:hAnsi="Book Antiqua" w:cs="Arial"/>
          <w:b/>
          <w:bCs/>
          <w:sz w:val="24"/>
          <w:szCs w:val="24"/>
          <w:lang w:val="en-GB" w:eastAsia="zh-CN"/>
        </w:rPr>
        <w:t>of</w:t>
      </w:r>
      <w:r>
        <w:rPr>
          <w:rFonts w:ascii="Book Antiqua" w:eastAsiaTheme="minorEastAsia" w:hAnsi="Book Antiqua" w:cs="Arial" w:hint="eastAsia"/>
          <w:b/>
          <w:bCs/>
          <w:sz w:val="24"/>
          <w:szCs w:val="24"/>
          <w:lang w:val="en-GB" w:eastAsia="zh-CN"/>
        </w:rPr>
        <w:t>-</w:t>
      </w:r>
      <w:r>
        <w:rPr>
          <w:rFonts w:ascii="Book Antiqua" w:eastAsiaTheme="minorEastAsia" w:hAnsi="Book Antiqua" w:cs="Arial"/>
          <w:b/>
          <w:bCs/>
          <w:sz w:val="24"/>
          <w:szCs w:val="24"/>
          <w:lang w:val="en-GB" w:eastAsia="zh-CN"/>
        </w:rPr>
        <w:t>interest statement</w:t>
      </w:r>
      <w:r>
        <w:rPr>
          <w:rFonts w:ascii="Book Antiqua" w:eastAsiaTheme="minorEastAsia" w:hAnsi="Book Antiqua" w:cs="Arial" w:hint="eastAsia"/>
          <w:b/>
          <w:bCs/>
          <w:sz w:val="24"/>
          <w:szCs w:val="24"/>
          <w:lang w:val="en-GB" w:eastAsia="zh-CN"/>
        </w:rPr>
        <w:t xml:space="preserve">: </w:t>
      </w:r>
      <w:r>
        <w:rPr>
          <w:rFonts w:ascii="Book Antiqua" w:eastAsiaTheme="minorEastAsia" w:hAnsi="Book Antiqua" w:cs="Arial"/>
          <w:bCs/>
          <w:sz w:val="24"/>
          <w:szCs w:val="24"/>
          <w:lang w:val="en-GB" w:eastAsia="zh-CN"/>
        </w:rPr>
        <w:t xml:space="preserve">The authors hereby declare that no one of the </w:t>
      </w:r>
      <w:proofErr w:type="spellStart"/>
      <w:r>
        <w:rPr>
          <w:rFonts w:ascii="Book Antiqua" w:eastAsiaTheme="minorEastAsia" w:hAnsi="Book Antiqua" w:cs="Arial"/>
          <w:bCs/>
          <w:sz w:val="24"/>
          <w:szCs w:val="24"/>
          <w:lang w:val="en-GB" w:eastAsia="zh-CN"/>
        </w:rPr>
        <w:t>coworkers</w:t>
      </w:r>
      <w:proofErr w:type="spellEnd"/>
      <w:r>
        <w:rPr>
          <w:rFonts w:ascii="Book Antiqua" w:eastAsiaTheme="minorEastAsia" w:hAnsi="Book Antiqua" w:cs="Arial"/>
          <w:bCs/>
          <w:sz w:val="24"/>
          <w:szCs w:val="24"/>
          <w:lang w:val="en-GB" w:eastAsia="zh-CN"/>
        </w:rPr>
        <w:t xml:space="preserve"> has received fees for serving as a speaker, no one holds a position as </w:t>
      </w:r>
      <w:r>
        <w:rPr>
          <w:rFonts w:ascii="Book Antiqua" w:eastAsiaTheme="minorEastAsia" w:hAnsi="Book Antiqua" w:cs="Arial"/>
          <w:bCs/>
          <w:sz w:val="24"/>
          <w:szCs w:val="24"/>
          <w:lang w:val="en-GB" w:eastAsia="zh-CN"/>
        </w:rPr>
        <w:lastRenderedPageBreak/>
        <w:t>advisory board member, none has received research funding, no one owns stocks and/or shares in any Companies, no one owns patents</w:t>
      </w:r>
      <w:r>
        <w:rPr>
          <w:rFonts w:ascii="Book Antiqua" w:eastAsiaTheme="minorEastAsia" w:hAnsi="Book Antiqua" w:cs="Arial" w:hint="eastAsia"/>
          <w:bCs/>
          <w:sz w:val="24"/>
          <w:szCs w:val="24"/>
          <w:lang w:val="en-GB" w:eastAsia="zh-CN"/>
        </w:rPr>
        <w:t>.</w:t>
      </w:r>
    </w:p>
    <w:p w:rsidR="0003376C" w:rsidRDefault="0003376C" w:rsidP="00924331">
      <w:pPr>
        <w:spacing w:after="0" w:line="360" w:lineRule="auto"/>
        <w:jc w:val="both"/>
        <w:rPr>
          <w:rFonts w:ascii="Book Antiqua" w:hAnsi="Book Antiqua" w:cs="Arial"/>
          <w:sz w:val="24"/>
          <w:szCs w:val="24"/>
          <w:lang w:val="en-US"/>
        </w:rPr>
      </w:pPr>
    </w:p>
    <w:p w:rsidR="0003376C" w:rsidRDefault="005739BD" w:rsidP="00924331">
      <w:pPr>
        <w:spacing w:after="0" w:line="360" w:lineRule="auto"/>
        <w:jc w:val="both"/>
        <w:rPr>
          <w:rFonts w:ascii="Book Antiqua" w:eastAsiaTheme="minorEastAsia" w:hAnsi="Book Antiqua" w:cs="Arial"/>
          <w:sz w:val="24"/>
          <w:szCs w:val="24"/>
          <w:lang w:val="en-US" w:eastAsia="zh-CN"/>
        </w:rPr>
      </w:pPr>
      <w:r>
        <w:rPr>
          <w:rFonts w:ascii="Book Antiqua" w:hAnsi="Book Antiqua" w:cs="Arial"/>
          <w:b/>
          <w:sz w:val="24"/>
          <w:szCs w:val="24"/>
          <w:lang w:val="en-US"/>
        </w:rPr>
        <w:t>Data sharing statement</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No additional data are available. A formal consent was not obtained due to the nature of the present paper (Review of already published papers). </w:t>
      </w:r>
    </w:p>
    <w:p w:rsidR="0003376C" w:rsidRDefault="0003376C" w:rsidP="00924331">
      <w:pPr>
        <w:spacing w:after="0" w:line="360" w:lineRule="auto"/>
        <w:jc w:val="both"/>
        <w:rPr>
          <w:rFonts w:ascii="Book Antiqua" w:eastAsiaTheme="minorEastAsia" w:hAnsi="Book Antiqua" w:cs="Arial"/>
          <w:b/>
          <w:bCs/>
          <w:sz w:val="24"/>
          <w:szCs w:val="24"/>
          <w:lang w:val="en-US" w:eastAsia="zh-CN"/>
        </w:rPr>
      </w:pPr>
    </w:p>
    <w:p w:rsidR="0003376C" w:rsidRDefault="005739BD" w:rsidP="00924331">
      <w:pPr>
        <w:spacing w:after="0" w:line="360" w:lineRule="auto"/>
        <w:jc w:val="both"/>
        <w:rPr>
          <w:rFonts w:ascii="Book Antiqua" w:eastAsiaTheme="minorEastAsia" w:hAnsi="Book Antiqua" w:cs="Arial"/>
          <w:b/>
          <w:bCs/>
          <w:sz w:val="24"/>
          <w:szCs w:val="24"/>
          <w:lang w:val="en-GB" w:eastAsia="zh-CN"/>
        </w:rPr>
      </w:pPr>
      <w:r>
        <w:rPr>
          <w:rFonts w:ascii="Book Antiqua" w:hAnsi="Book Antiqua"/>
          <w:b/>
          <w:color w:val="000000"/>
          <w:sz w:val="24"/>
          <w:lang w:val="en-US"/>
        </w:rPr>
        <w:t xml:space="preserve">Open-Access: </w:t>
      </w:r>
      <w:r>
        <w:rPr>
          <w:rFonts w:ascii="Book Antiqua" w:hAnsi="Book Antiqua"/>
          <w:color w:val="000000"/>
          <w:sz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03376C" w:rsidRDefault="0003376C" w:rsidP="00924331">
      <w:pPr>
        <w:spacing w:after="0" w:line="360" w:lineRule="auto"/>
        <w:jc w:val="both"/>
        <w:rPr>
          <w:rFonts w:ascii="Book Antiqua" w:eastAsiaTheme="minorEastAsia" w:hAnsi="Book Antiqua" w:cs="Arial Unicode MS"/>
          <w:color w:val="000000"/>
          <w:sz w:val="24"/>
          <w:lang w:val="en-US" w:eastAsia="zh-CN"/>
        </w:rPr>
      </w:pPr>
    </w:p>
    <w:p w:rsidR="0003376C" w:rsidRDefault="005739BD" w:rsidP="00924331">
      <w:pPr>
        <w:spacing w:after="0" w:line="360" w:lineRule="auto"/>
        <w:jc w:val="both"/>
        <w:rPr>
          <w:rFonts w:ascii="Book Antiqua" w:hAnsi="Book Antiqua" w:cs="Arial Unicode MS"/>
          <w:color w:val="000000"/>
          <w:sz w:val="24"/>
          <w:lang w:val="en-US"/>
        </w:rPr>
      </w:pPr>
      <w:r>
        <w:rPr>
          <w:rFonts w:ascii="Book Antiqua" w:hAnsi="Book Antiqua" w:cs="Arial Unicode MS"/>
          <w:b/>
          <w:color w:val="000000"/>
          <w:sz w:val="24"/>
          <w:lang w:val="en-US"/>
        </w:rPr>
        <w:t>Manuscript source:</w:t>
      </w:r>
      <w:r>
        <w:rPr>
          <w:rFonts w:ascii="Book Antiqua" w:hAnsi="Book Antiqua" w:cs="Arial Unicode MS"/>
          <w:color w:val="000000"/>
          <w:sz w:val="24"/>
          <w:lang w:val="en-US"/>
        </w:rPr>
        <w:t xml:space="preserve"> Invited manuscript</w:t>
      </w:r>
    </w:p>
    <w:p w:rsidR="0003376C" w:rsidRDefault="0003376C" w:rsidP="00924331">
      <w:pPr>
        <w:widowControl w:val="0"/>
        <w:spacing w:after="0" w:line="360" w:lineRule="auto"/>
        <w:jc w:val="both"/>
        <w:rPr>
          <w:rFonts w:ascii="Book Antiqua" w:hAnsi="Book Antiqua" w:cs="Arial"/>
          <w:b/>
          <w:bCs/>
          <w:sz w:val="24"/>
          <w:szCs w:val="24"/>
          <w:lang w:val="en-US"/>
        </w:rPr>
      </w:pPr>
    </w:p>
    <w:p w:rsidR="0003376C" w:rsidRDefault="005739BD" w:rsidP="00924331">
      <w:pPr>
        <w:spacing w:after="0" w:line="360" w:lineRule="auto"/>
        <w:jc w:val="both"/>
        <w:rPr>
          <w:rFonts w:ascii="Book Antiqua" w:eastAsiaTheme="minorEastAsia" w:hAnsi="Book Antiqua"/>
          <w:b/>
          <w:color w:val="000000"/>
          <w:sz w:val="24"/>
          <w:lang w:val="en-US" w:eastAsia="zh-CN"/>
        </w:rPr>
      </w:pPr>
      <w:bookmarkStart w:id="16" w:name="OLE_LINK535"/>
      <w:bookmarkStart w:id="17" w:name="OLE_LINK536"/>
      <w:r>
        <w:rPr>
          <w:rFonts w:ascii="Book Antiqua" w:hAnsi="Book Antiqua"/>
          <w:b/>
          <w:color w:val="000000"/>
          <w:sz w:val="24"/>
          <w:lang w:val="en-US"/>
        </w:rPr>
        <w:t>Correspondence to:</w:t>
      </w:r>
      <w:bookmarkEnd w:id="16"/>
      <w:bookmarkEnd w:id="17"/>
      <w:r>
        <w:rPr>
          <w:rFonts w:ascii="Book Antiqua" w:eastAsiaTheme="minorEastAsia" w:hAnsi="Book Antiqua" w:hint="eastAsia"/>
          <w:b/>
          <w:color w:val="000000"/>
          <w:sz w:val="24"/>
          <w:lang w:val="en-US" w:eastAsia="zh-CN"/>
        </w:rPr>
        <w:t xml:space="preserve"> </w:t>
      </w:r>
      <w:r>
        <w:rPr>
          <w:rFonts w:ascii="Book Antiqua" w:hAnsi="Book Antiqua" w:cs="Arial"/>
          <w:b/>
          <w:sz w:val="24"/>
          <w:szCs w:val="24"/>
          <w:lang w:val="en-US"/>
        </w:rPr>
        <w:t xml:space="preserve">Dr. Federico </w:t>
      </w:r>
      <w:proofErr w:type="spellStart"/>
      <w:r>
        <w:rPr>
          <w:rFonts w:ascii="Book Antiqua" w:hAnsi="Book Antiqua" w:cs="Arial"/>
          <w:b/>
          <w:sz w:val="24"/>
          <w:szCs w:val="24"/>
          <w:lang w:val="en-US"/>
        </w:rPr>
        <w:t>Caobelli</w:t>
      </w:r>
      <w:proofErr w:type="spellEnd"/>
      <w:r>
        <w:rPr>
          <w:rFonts w:ascii="Book Antiqua" w:hAnsi="Book Antiqua" w:cs="Arial"/>
          <w:b/>
          <w:sz w:val="24"/>
          <w:szCs w:val="24"/>
          <w:lang w:val="en-US"/>
        </w:rPr>
        <w:t>, MD, FEBNM</w:t>
      </w:r>
      <w:r>
        <w:rPr>
          <w:rFonts w:ascii="Book Antiqua" w:eastAsiaTheme="minorEastAsia" w:hAnsi="Book Antiqua" w:cs="Arial" w:hint="eastAsia"/>
          <w:b/>
          <w:sz w:val="24"/>
          <w:szCs w:val="24"/>
          <w:lang w:val="en-US" w:eastAsia="zh-CN"/>
        </w:rPr>
        <w:t xml:space="preserve">, </w:t>
      </w:r>
      <w:r>
        <w:rPr>
          <w:rFonts w:ascii="Book Antiqua" w:hAnsi="Book Antiqua" w:cs="Arial"/>
          <w:sz w:val="24"/>
          <w:szCs w:val="24"/>
          <w:lang w:val="en-GB"/>
        </w:rPr>
        <w:t>Department of Nuclear Medicine</w:t>
      </w:r>
      <w:r>
        <w:rPr>
          <w:rFonts w:ascii="Book Antiqua" w:eastAsiaTheme="minorEastAsia" w:hAnsi="Book Antiqua" w:hint="eastAsia"/>
          <w:b/>
          <w:color w:val="000000"/>
          <w:sz w:val="24"/>
          <w:lang w:val="en-US" w:eastAsia="zh-CN"/>
        </w:rPr>
        <w:t xml:space="preserve">, </w:t>
      </w:r>
      <w:proofErr w:type="spellStart"/>
      <w:r>
        <w:rPr>
          <w:rFonts w:ascii="Book Antiqua" w:hAnsi="Book Antiqua" w:cs="Arial"/>
          <w:sz w:val="24"/>
          <w:szCs w:val="24"/>
          <w:lang w:val="en-US"/>
        </w:rPr>
        <w:t>Universitätsspital</w:t>
      </w:r>
      <w:proofErr w:type="spellEnd"/>
      <w:r>
        <w:rPr>
          <w:rFonts w:ascii="Book Antiqua" w:hAnsi="Book Antiqua" w:cs="Arial"/>
          <w:sz w:val="24"/>
          <w:szCs w:val="24"/>
          <w:lang w:val="en-US"/>
        </w:rPr>
        <w:t xml:space="preserve"> Basel</w:t>
      </w:r>
      <w:r w:rsidRPr="009C415B">
        <w:rPr>
          <w:rFonts w:ascii="Book Antiqua" w:eastAsiaTheme="minorEastAsia" w:hAnsi="Book Antiqua" w:hint="eastAsia"/>
          <w:color w:val="000000"/>
          <w:sz w:val="24"/>
          <w:lang w:val="en-US" w:eastAsia="zh-CN"/>
        </w:rPr>
        <w:t>,</w:t>
      </w:r>
      <w:r>
        <w:rPr>
          <w:rFonts w:ascii="Book Antiqua" w:eastAsiaTheme="minorEastAsia" w:hAnsi="Book Antiqua" w:hint="eastAsia"/>
          <w:b/>
          <w:color w:val="000000"/>
          <w:sz w:val="24"/>
          <w:lang w:val="en-US" w:eastAsia="zh-CN"/>
        </w:rPr>
        <w:t xml:space="preserve"> </w:t>
      </w:r>
      <w:proofErr w:type="spellStart"/>
      <w:r>
        <w:rPr>
          <w:rFonts w:ascii="Book Antiqua" w:hAnsi="Book Antiqua" w:cs="Arial"/>
          <w:sz w:val="24"/>
          <w:szCs w:val="24"/>
          <w:lang w:val="en-US"/>
        </w:rPr>
        <w:t>Petersgraben</w:t>
      </w:r>
      <w:proofErr w:type="spellEnd"/>
      <w:r>
        <w:rPr>
          <w:rFonts w:ascii="Book Antiqua" w:hAnsi="Book Antiqua" w:cs="Arial"/>
          <w:sz w:val="24"/>
          <w:szCs w:val="24"/>
          <w:lang w:val="en-US"/>
        </w:rPr>
        <w:t xml:space="preserve"> 4, CH-4032 Basel</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Switzerland</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federico.caobelli@usb.ch</w:t>
      </w:r>
    </w:p>
    <w:p w:rsidR="0003376C" w:rsidRDefault="005739BD" w:rsidP="00924331">
      <w:pPr>
        <w:widowControl w:val="0"/>
        <w:spacing w:after="0" w:line="360" w:lineRule="auto"/>
        <w:jc w:val="both"/>
        <w:rPr>
          <w:rFonts w:ascii="Book Antiqua" w:hAnsi="Book Antiqua" w:cs="Arial"/>
          <w:sz w:val="24"/>
          <w:szCs w:val="24"/>
          <w:lang w:val="en-US"/>
        </w:rPr>
      </w:pPr>
      <w:r>
        <w:rPr>
          <w:rFonts w:ascii="Book Antiqua" w:hAnsi="Book Antiqua" w:cs="Arial"/>
          <w:b/>
          <w:sz w:val="24"/>
          <w:szCs w:val="24"/>
          <w:lang w:val="en-US"/>
        </w:rPr>
        <w:t>Telephone</w:t>
      </w:r>
      <w:r>
        <w:rPr>
          <w:rFonts w:ascii="Book Antiqua" w:hAnsi="Book Antiqua" w:cs="Arial"/>
          <w:sz w:val="24"/>
          <w:szCs w:val="24"/>
          <w:lang w:val="en-US"/>
        </w:rPr>
        <w:t>: +41</w:t>
      </w:r>
      <w:r>
        <w:rPr>
          <w:rFonts w:ascii="Book Antiqua" w:eastAsiaTheme="minorEastAsia" w:hAnsi="Book Antiqua" w:cs="Arial" w:hint="eastAsia"/>
          <w:sz w:val="24"/>
          <w:szCs w:val="24"/>
          <w:lang w:val="en-US" w:eastAsia="zh-CN"/>
        </w:rPr>
        <w:t>-</w:t>
      </w:r>
      <w:r>
        <w:rPr>
          <w:rFonts w:ascii="Book Antiqua" w:hAnsi="Book Antiqua" w:cs="Arial"/>
          <w:sz w:val="24"/>
          <w:szCs w:val="24"/>
          <w:lang w:val="en-US"/>
        </w:rPr>
        <w:t>61</w:t>
      </w:r>
      <w:r>
        <w:rPr>
          <w:rFonts w:ascii="Book Antiqua" w:eastAsiaTheme="minorEastAsia" w:hAnsi="Book Antiqua" w:cs="Arial" w:hint="eastAsia"/>
          <w:sz w:val="24"/>
          <w:szCs w:val="24"/>
          <w:lang w:val="en-US" w:eastAsia="zh-CN"/>
        </w:rPr>
        <w:t>-</w:t>
      </w:r>
      <w:r>
        <w:rPr>
          <w:rFonts w:ascii="Book Antiqua" w:hAnsi="Book Antiqua" w:cs="Arial"/>
          <w:sz w:val="24"/>
          <w:szCs w:val="24"/>
          <w:lang w:val="en-US"/>
        </w:rPr>
        <w:t>3286329</w:t>
      </w:r>
    </w:p>
    <w:p w:rsidR="0003376C" w:rsidRDefault="0003376C" w:rsidP="00924331">
      <w:pPr>
        <w:spacing w:after="0" w:line="360" w:lineRule="auto"/>
        <w:jc w:val="both"/>
        <w:rPr>
          <w:rFonts w:ascii="Book Antiqua" w:eastAsiaTheme="minorEastAsia" w:hAnsi="Book Antiqua" w:cs="Arial"/>
          <w:bCs/>
          <w:i/>
          <w:iCs/>
          <w:sz w:val="24"/>
          <w:szCs w:val="24"/>
          <w:lang w:val="en-US" w:eastAsia="zh-CN"/>
        </w:rPr>
      </w:pPr>
    </w:p>
    <w:p w:rsidR="0003376C" w:rsidRDefault="005739BD" w:rsidP="00924331">
      <w:pPr>
        <w:spacing w:after="0" w:line="360" w:lineRule="auto"/>
        <w:jc w:val="both"/>
        <w:rPr>
          <w:rFonts w:ascii="Book Antiqua" w:eastAsiaTheme="minorEastAsia" w:hAnsi="Book Antiqua"/>
          <w:b/>
          <w:sz w:val="24"/>
          <w:lang w:val="en-US" w:eastAsia="zh-CN"/>
        </w:rPr>
      </w:pPr>
      <w:bookmarkStart w:id="18" w:name="OLE_LINK476"/>
      <w:bookmarkStart w:id="19" w:name="OLE_LINK477"/>
      <w:bookmarkStart w:id="20" w:name="OLE_LINK117"/>
      <w:bookmarkStart w:id="21" w:name="OLE_LINK528"/>
      <w:bookmarkStart w:id="22" w:name="OLE_LINK557"/>
      <w:r>
        <w:rPr>
          <w:rFonts w:ascii="Book Antiqua" w:hAnsi="Book Antiqua"/>
          <w:b/>
          <w:sz w:val="24"/>
          <w:lang w:val="en-US"/>
        </w:rPr>
        <w:t>Received:</w:t>
      </w:r>
      <w:r>
        <w:rPr>
          <w:rFonts w:ascii="Book Antiqua" w:eastAsiaTheme="minorEastAsia" w:hAnsi="Book Antiqua" w:hint="eastAsia"/>
          <w:b/>
          <w:sz w:val="24"/>
          <w:lang w:val="en-US" w:eastAsia="zh-CN"/>
        </w:rPr>
        <w:t xml:space="preserve"> </w:t>
      </w:r>
      <w:r>
        <w:rPr>
          <w:rFonts w:ascii="Book Antiqua" w:eastAsiaTheme="minorEastAsia" w:hAnsi="Book Antiqua" w:hint="eastAsia"/>
          <w:sz w:val="24"/>
          <w:lang w:val="en-US" w:eastAsia="zh-CN"/>
        </w:rPr>
        <w:t>March 25, 2016</w:t>
      </w:r>
    </w:p>
    <w:p w:rsidR="0003376C" w:rsidRDefault="005739BD" w:rsidP="00924331">
      <w:pPr>
        <w:spacing w:after="0" w:line="360" w:lineRule="auto"/>
        <w:jc w:val="both"/>
        <w:rPr>
          <w:rFonts w:ascii="Book Antiqua" w:eastAsiaTheme="minorEastAsia" w:hAnsi="Book Antiqua"/>
          <w:b/>
          <w:sz w:val="24"/>
          <w:lang w:val="en-US" w:eastAsia="zh-CN"/>
        </w:rPr>
      </w:pPr>
      <w:r>
        <w:rPr>
          <w:rFonts w:ascii="Book Antiqua" w:hAnsi="Book Antiqua" w:hint="eastAsia"/>
          <w:b/>
          <w:sz w:val="24"/>
          <w:lang w:val="en-US"/>
        </w:rPr>
        <w:t>Peer-review started</w:t>
      </w:r>
      <w:r>
        <w:rPr>
          <w:rFonts w:ascii="Book Antiqua" w:hAnsi="Book Antiqua"/>
          <w:b/>
          <w:sz w:val="24"/>
          <w:lang w:val="en-US"/>
        </w:rPr>
        <w:t>:</w:t>
      </w:r>
      <w:r>
        <w:rPr>
          <w:rFonts w:ascii="Book Antiqua" w:eastAsiaTheme="minorEastAsia" w:hAnsi="Book Antiqua" w:hint="eastAsia"/>
          <w:b/>
          <w:sz w:val="24"/>
          <w:lang w:val="en-US" w:eastAsia="zh-CN"/>
        </w:rPr>
        <w:t xml:space="preserve"> </w:t>
      </w:r>
      <w:r>
        <w:rPr>
          <w:rFonts w:ascii="Book Antiqua" w:eastAsiaTheme="minorEastAsia" w:hAnsi="Book Antiqua" w:hint="eastAsia"/>
          <w:sz w:val="24"/>
          <w:lang w:val="en-US" w:eastAsia="zh-CN"/>
        </w:rPr>
        <w:t>March 26, 2016</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b/>
          <w:sz w:val="24"/>
          <w:lang w:val="en-US"/>
        </w:rPr>
        <w:t>First decision:</w:t>
      </w:r>
      <w:r>
        <w:rPr>
          <w:rFonts w:ascii="Book Antiqua" w:eastAsiaTheme="minorEastAsia" w:hAnsi="Book Antiqua" w:hint="eastAsia"/>
          <w:b/>
          <w:sz w:val="24"/>
          <w:lang w:val="en-US" w:eastAsia="zh-CN"/>
        </w:rPr>
        <w:t xml:space="preserve"> </w:t>
      </w:r>
      <w:r>
        <w:rPr>
          <w:rFonts w:ascii="Book Antiqua" w:eastAsiaTheme="minorEastAsia" w:hAnsi="Book Antiqua" w:hint="eastAsia"/>
          <w:sz w:val="24"/>
          <w:lang w:val="en-US" w:eastAsia="zh-CN"/>
        </w:rPr>
        <w:t>May 17, 2016</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b/>
          <w:sz w:val="24"/>
          <w:lang w:val="en-US"/>
        </w:rPr>
        <w:t>Revised:</w:t>
      </w:r>
      <w:r>
        <w:rPr>
          <w:rFonts w:ascii="Book Antiqua" w:eastAsiaTheme="minorEastAsia" w:hAnsi="Book Antiqua" w:hint="eastAsia"/>
          <w:b/>
          <w:sz w:val="24"/>
          <w:lang w:val="en-US" w:eastAsia="zh-CN"/>
        </w:rPr>
        <w:t xml:space="preserve"> </w:t>
      </w:r>
      <w:r>
        <w:rPr>
          <w:rFonts w:ascii="Book Antiqua" w:eastAsiaTheme="minorEastAsia" w:hAnsi="Book Antiqua" w:hint="eastAsia"/>
          <w:sz w:val="24"/>
          <w:lang w:val="en-US" w:eastAsia="zh-CN"/>
        </w:rPr>
        <w:t>June 30, 2016</w:t>
      </w:r>
    </w:p>
    <w:p w:rsidR="0003376C" w:rsidRPr="00C4587B" w:rsidRDefault="005739BD" w:rsidP="00C4587B">
      <w:pPr>
        <w:rPr>
          <w:rFonts w:ascii="Book Antiqua" w:hAnsi="Book Antiqua"/>
          <w:iCs/>
          <w:sz w:val="24"/>
        </w:rPr>
      </w:pPr>
      <w:r>
        <w:rPr>
          <w:rFonts w:ascii="Book Antiqua" w:hAnsi="Book Antiqua"/>
          <w:b/>
          <w:sz w:val="24"/>
          <w:lang w:val="en-US"/>
        </w:rPr>
        <w:t>Accepted:</w:t>
      </w:r>
      <w:r>
        <w:rPr>
          <w:rFonts w:ascii="Book Antiqua" w:hAnsi="Book Antiqua" w:hint="eastAsia"/>
          <w:b/>
          <w:sz w:val="24"/>
          <w:lang w:val="en-US"/>
        </w:rPr>
        <w:t xml:space="preserve"> </w:t>
      </w:r>
      <w:r w:rsidR="00C4587B">
        <w:rPr>
          <w:rStyle w:val="Emphasis"/>
        </w:rPr>
        <w:t>August 27</w:t>
      </w:r>
      <w:r w:rsidR="00C4587B" w:rsidRPr="00235CD4">
        <w:rPr>
          <w:rStyle w:val="Emphasis"/>
        </w:rPr>
        <w:t>,</w:t>
      </w:r>
      <w:r w:rsidR="00C4587B">
        <w:rPr>
          <w:rStyle w:val="Emphasis"/>
        </w:rPr>
        <w:t xml:space="preserve"> 2016</w:t>
      </w:r>
    </w:p>
    <w:p w:rsidR="0003376C" w:rsidRDefault="005739BD" w:rsidP="00924331">
      <w:pPr>
        <w:spacing w:after="0" w:line="360" w:lineRule="auto"/>
        <w:jc w:val="both"/>
        <w:rPr>
          <w:rFonts w:ascii="Book Antiqua" w:hAnsi="Book Antiqua"/>
          <w:b/>
          <w:sz w:val="24"/>
          <w:lang w:val="en-US"/>
        </w:rPr>
      </w:pPr>
      <w:r>
        <w:rPr>
          <w:rFonts w:ascii="Book Antiqua" w:hAnsi="Book Antiqua"/>
          <w:b/>
          <w:sz w:val="24"/>
          <w:lang w:val="en-US"/>
        </w:rPr>
        <w:t>Article in press:</w:t>
      </w:r>
    </w:p>
    <w:p w:rsidR="0003376C" w:rsidRDefault="005739BD" w:rsidP="00924331">
      <w:pPr>
        <w:spacing w:after="0" w:line="360" w:lineRule="auto"/>
        <w:jc w:val="both"/>
        <w:rPr>
          <w:rFonts w:ascii="Book Antiqua" w:eastAsiaTheme="minorEastAsia" w:hAnsi="Book Antiqua"/>
          <w:b/>
          <w:sz w:val="24"/>
          <w:lang w:val="en-US" w:eastAsia="zh-CN"/>
        </w:rPr>
      </w:pPr>
      <w:r>
        <w:rPr>
          <w:rFonts w:ascii="Book Antiqua" w:hAnsi="Book Antiqua"/>
          <w:b/>
          <w:sz w:val="24"/>
          <w:lang w:val="en-US"/>
        </w:rPr>
        <w:t>Published online:</w:t>
      </w:r>
      <w:bookmarkEnd w:id="18"/>
      <w:bookmarkEnd w:id="19"/>
      <w:bookmarkEnd w:id="20"/>
      <w:bookmarkEnd w:id="21"/>
      <w:bookmarkEnd w:id="22"/>
      <w:r>
        <w:rPr>
          <w:rFonts w:ascii="Book Antiqua" w:hAnsi="Book Antiqua"/>
          <w:sz w:val="24"/>
          <w:szCs w:val="24"/>
          <w:lang w:val="en-GB"/>
        </w:rPr>
        <w:br w:type="page"/>
      </w:r>
    </w:p>
    <w:p w:rsidR="0003376C" w:rsidRDefault="005739BD" w:rsidP="00924331">
      <w:pPr>
        <w:spacing w:after="0" w:line="360" w:lineRule="auto"/>
        <w:jc w:val="both"/>
        <w:rPr>
          <w:rFonts w:ascii="Book Antiqua" w:hAnsi="Book Antiqua"/>
          <w:b/>
          <w:color w:val="000000"/>
          <w:sz w:val="24"/>
          <w:lang w:val="en-US"/>
        </w:rPr>
      </w:pPr>
      <w:r>
        <w:rPr>
          <w:rFonts w:ascii="Book Antiqua" w:hAnsi="Book Antiqua"/>
          <w:b/>
          <w:color w:val="000000"/>
          <w:sz w:val="24"/>
          <w:lang w:val="en-US"/>
        </w:rPr>
        <w:lastRenderedPageBreak/>
        <w:t>Abstract</w:t>
      </w:r>
    </w:p>
    <w:p w:rsidR="00291648" w:rsidRPr="00291648" w:rsidRDefault="005739BD" w:rsidP="00924331">
      <w:pPr>
        <w:spacing w:after="0" w:line="360" w:lineRule="auto"/>
        <w:jc w:val="both"/>
        <w:rPr>
          <w:rFonts w:ascii="Book Antiqua" w:eastAsiaTheme="minorEastAsia" w:hAnsi="Book Antiqua" w:cs="Arial"/>
          <w:i/>
          <w:sz w:val="24"/>
          <w:szCs w:val="24"/>
          <w:lang w:val="en-GB" w:eastAsia="zh-CN"/>
        </w:rPr>
      </w:pPr>
      <w:r w:rsidRPr="00291648">
        <w:rPr>
          <w:rFonts w:ascii="Book Antiqua" w:hAnsi="Book Antiqua" w:cs="Arial"/>
          <w:b/>
          <w:i/>
          <w:sz w:val="24"/>
          <w:szCs w:val="24"/>
          <w:lang w:val="en-GB"/>
        </w:rPr>
        <w:t>AIM</w:t>
      </w:r>
    </w:p>
    <w:p w:rsidR="0003376C" w:rsidRDefault="00291648" w:rsidP="00924331">
      <w:pPr>
        <w:spacing w:after="0" w:line="360" w:lineRule="auto"/>
        <w:jc w:val="both"/>
        <w:rPr>
          <w:rFonts w:ascii="Book Antiqua" w:eastAsiaTheme="minorEastAsia" w:hAnsi="Book Antiqua" w:cs="Arial"/>
          <w:sz w:val="24"/>
          <w:szCs w:val="24"/>
          <w:lang w:val="en-GB" w:eastAsia="zh-CN"/>
        </w:rPr>
      </w:pPr>
      <w:r>
        <w:rPr>
          <w:rFonts w:ascii="Book Antiqua" w:eastAsiaTheme="minorEastAsia" w:hAnsi="Book Antiqua" w:cs="Arial" w:hint="eastAsia"/>
          <w:sz w:val="24"/>
          <w:szCs w:val="24"/>
          <w:lang w:val="en-US" w:eastAsia="zh-CN"/>
        </w:rPr>
        <w:t>To</w:t>
      </w:r>
      <w:r w:rsidR="005739BD">
        <w:rPr>
          <w:rFonts w:ascii="Book Antiqua" w:hAnsi="Book Antiqua" w:cs="Arial"/>
          <w:sz w:val="24"/>
          <w:szCs w:val="24"/>
          <w:lang w:val="en-US"/>
        </w:rPr>
        <w:t xml:space="preserve"> present the current state-of-the art of molecular imaging in the management of patients affected by </w:t>
      </w:r>
      <w:r w:rsidR="005739BD">
        <w:rPr>
          <w:rFonts w:ascii="Book Antiqua" w:hAnsi="Book Antiqua" w:cs="Arial"/>
          <w:sz w:val="24"/>
          <w:szCs w:val="24"/>
          <w:lang w:val="en-GB"/>
        </w:rPr>
        <w:t>inflammatory bowel disease (IBD).</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291648" w:rsidRPr="00291648" w:rsidRDefault="005739BD" w:rsidP="00924331">
      <w:pPr>
        <w:spacing w:after="0" w:line="360" w:lineRule="auto"/>
        <w:jc w:val="both"/>
        <w:rPr>
          <w:rFonts w:ascii="Book Antiqua" w:eastAsiaTheme="minorEastAsia" w:hAnsi="Book Antiqua" w:cs="Arial"/>
          <w:i/>
          <w:sz w:val="24"/>
          <w:szCs w:val="24"/>
          <w:lang w:val="en-GB" w:eastAsia="zh-CN"/>
        </w:rPr>
      </w:pPr>
      <w:r w:rsidRPr="00291648">
        <w:rPr>
          <w:rFonts w:ascii="Book Antiqua" w:hAnsi="Book Antiqua" w:cs="Arial"/>
          <w:b/>
          <w:i/>
          <w:sz w:val="24"/>
          <w:szCs w:val="24"/>
          <w:lang w:val="en-GB"/>
        </w:rPr>
        <w:t>METHODS</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sz w:val="24"/>
          <w:szCs w:val="24"/>
          <w:lang w:val="en-GB"/>
        </w:rPr>
        <w:t>A systematic review of the literature was performed in order to find important original articles on the role of molecular imaging in the management of patients affected by IBD.  The search was updated until February 2016 and limited to articles in English.</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291648" w:rsidRPr="00291648" w:rsidRDefault="00291648" w:rsidP="00924331">
      <w:pPr>
        <w:spacing w:after="0" w:line="360" w:lineRule="auto"/>
        <w:jc w:val="both"/>
        <w:rPr>
          <w:rFonts w:ascii="Book Antiqua" w:eastAsiaTheme="minorEastAsia" w:hAnsi="Book Antiqua" w:cs="Arial"/>
          <w:i/>
          <w:sz w:val="24"/>
          <w:szCs w:val="24"/>
          <w:lang w:val="en-GB" w:eastAsia="zh-CN"/>
        </w:rPr>
      </w:pPr>
      <w:r w:rsidRPr="00291648">
        <w:rPr>
          <w:rFonts w:ascii="Book Antiqua" w:hAnsi="Book Antiqua" w:cs="Arial"/>
          <w:b/>
          <w:i/>
          <w:sz w:val="24"/>
          <w:szCs w:val="24"/>
          <w:lang w:val="en-GB"/>
        </w:rPr>
        <w:t>RESULTS</w:t>
      </w:r>
    </w:p>
    <w:p w:rsidR="0003376C" w:rsidRDefault="00291648" w:rsidP="00924331">
      <w:pPr>
        <w:spacing w:after="0" w:line="360" w:lineRule="auto"/>
        <w:jc w:val="both"/>
        <w:rPr>
          <w:rFonts w:ascii="Book Antiqua" w:eastAsiaTheme="minorEastAsia" w:hAnsi="Book Antiqua" w:cs="Arial"/>
          <w:sz w:val="24"/>
          <w:szCs w:val="24"/>
          <w:lang w:val="en-GB" w:eastAsia="zh-CN"/>
        </w:rPr>
      </w:pPr>
      <w:r>
        <w:rPr>
          <w:rFonts w:ascii="Book Antiqua" w:eastAsiaTheme="minorEastAsia" w:hAnsi="Book Antiqua" w:cs="Arial" w:hint="eastAsia"/>
          <w:sz w:val="24"/>
          <w:szCs w:val="24"/>
          <w:lang w:val="en-GB" w:eastAsia="zh-CN"/>
        </w:rPr>
        <w:t>Fifty-five</w:t>
      </w:r>
      <w:r w:rsidR="005739BD">
        <w:rPr>
          <w:rFonts w:ascii="Book Antiqua" w:hAnsi="Book Antiqua" w:cs="Arial"/>
          <w:sz w:val="24"/>
          <w:szCs w:val="24"/>
          <w:lang w:val="en-GB"/>
        </w:rPr>
        <w:t xml:space="preserve"> original articles were included in this review, highlighting the role of single photon emission tomography and positron emission tomography (PET). </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291648" w:rsidRPr="00291648" w:rsidRDefault="00291648" w:rsidP="00924331">
      <w:pPr>
        <w:spacing w:after="0" w:line="360" w:lineRule="auto"/>
        <w:jc w:val="both"/>
        <w:rPr>
          <w:rFonts w:ascii="Book Antiqua" w:eastAsiaTheme="minorEastAsia" w:hAnsi="Book Antiqua" w:cs="Arial"/>
          <w:i/>
          <w:sz w:val="24"/>
          <w:szCs w:val="24"/>
          <w:lang w:val="en-GB" w:eastAsia="zh-CN"/>
        </w:rPr>
      </w:pPr>
      <w:r>
        <w:rPr>
          <w:rFonts w:ascii="Book Antiqua" w:hAnsi="Book Antiqua" w:cs="Arial"/>
          <w:b/>
          <w:i/>
          <w:sz w:val="24"/>
          <w:szCs w:val="24"/>
          <w:lang w:val="en-GB"/>
        </w:rPr>
        <w:t>CONCLUSION</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 xml:space="preserve">To date, molecular imaging </w:t>
      </w:r>
      <w:r>
        <w:rPr>
          <w:rFonts w:ascii="Book Antiqua" w:hAnsi="Book Antiqua" w:cs="Arial"/>
          <w:sz w:val="24"/>
          <w:szCs w:val="24"/>
          <w:lang w:val="en-US"/>
        </w:rPr>
        <w:t>represents a useful tool to detect active disease in IBD. However, the available data need to be validated in prospective multicenter studies on larger patient samples.</w:t>
      </w:r>
      <w:r>
        <w:rPr>
          <w:rFonts w:ascii="Book Antiqua" w:hAnsi="Book Antiqua" w:cs="Arial"/>
          <w:sz w:val="24"/>
          <w:szCs w:val="24"/>
          <w:lang w:val="en-GB"/>
        </w:rPr>
        <w:t xml:space="preserv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sz w:val="24"/>
          <w:szCs w:val="24"/>
          <w:lang w:val="en-GB"/>
        </w:rPr>
        <w:t>Key</w:t>
      </w:r>
      <w:r>
        <w:rPr>
          <w:rFonts w:ascii="Book Antiqua" w:eastAsiaTheme="minorEastAsia" w:hAnsi="Book Antiqua" w:cs="Arial" w:hint="eastAsia"/>
          <w:b/>
          <w:bCs/>
          <w:sz w:val="24"/>
          <w:szCs w:val="24"/>
          <w:lang w:val="en-GB" w:eastAsia="zh-CN"/>
        </w:rPr>
        <w:t xml:space="preserve"> </w:t>
      </w:r>
      <w:r>
        <w:rPr>
          <w:rFonts w:ascii="Book Antiqua" w:hAnsi="Book Antiqua" w:cs="Arial"/>
          <w:b/>
          <w:bCs/>
          <w:sz w:val="24"/>
          <w:szCs w:val="24"/>
          <w:lang w:val="en-GB"/>
        </w:rPr>
        <w:t xml:space="preserve">words: </w:t>
      </w:r>
      <w:r>
        <w:rPr>
          <w:rFonts w:ascii="Book Antiqua" w:eastAsiaTheme="minorEastAsia" w:hAnsi="Book Antiqua" w:cs="Arial" w:hint="eastAsia"/>
          <w:bCs/>
          <w:sz w:val="24"/>
          <w:szCs w:val="24"/>
          <w:lang w:val="en-GB" w:eastAsia="zh-CN"/>
        </w:rPr>
        <w:t>I</w:t>
      </w:r>
      <w:r>
        <w:rPr>
          <w:rFonts w:ascii="Book Antiqua" w:hAnsi="Book Antiqua" w:cs="Arial"/>
          <w:bCs/>
          <w:sz w:val="24"/>
          <w:szCs w:val="24"/>
          <w:lang w:val="en-GB"/>
        </w:rPr>
        <w:t>nflammatory bowel disease</w:t>
      </w:r>
      <w:r>
        <w:rPr>
          <w:rFonts w:ascii="Book Antiqua" w:eastAsiaTheme="minorEastAsia" w:hAnsi="Book Antiqua" w:cs="Arial" w:hint="eastAsia"/>
          <w:bCs/>
          <w:sz w:val="24"/>
          <w:szCs w:val="24"/>
          <w:lang w:val="en-GB" w:eastAsia="zh-CN"/>
        </w:rPr>
        <w:t>;</w:t>
      </w:r>
      <w:r>
        <w:rPr>
          <w:rFonts w:ascii="Book Antiqua" w:hAnsi="Book Antiqua" w:cs="Arial"/>
          <w:bCs/>
          <w:sz w:val="24"/>
          <w:szCs w:val="24"/>
          <w:lang w:val="en-GB"/>
        </w:rPr>
        <w:t xml:space="preserve">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PET/CT; </w:t>
      </w:r>
      <w:r>
        <w:rPr>
          <w:rFonts w:ascii="Book Antiqua" w:eastAsiaTheme="minorEastAsia" w:hAnsi="Book Antiqua" w:cs="Arial" w:hint="eastAsia"/>
          <w:sz w:val="24"/>
          <w:szCs w:val="24"/>
          <w:lang w:val="en-GB" w:eastAsia="zh-CN"/>
        </w:rPr>
        <w:t>W</w:t>
      </w:r>
      <w:r>
        <w:rPr>
          <w:rFonts w:ascii="Book Antiqua" w:hAnsi="Book Antiqua" w:cs="Arial"/>
          <w:sz w:val="24"/>
          <w:szCs w:val="24"/>
          <w:lang w:val="en-GB"/>
        </w:rPr>
        <w:t xml:space="preserve">hite blood cell scintigraphy; </w:t>
      </w:r>
      <w:r>
        <w:rPr>
          <w:rFonts w:ascii="Book Antiqua" w:eastAsiaTheme="minorEastAsia" w:hAnsi="Book Antiqua" w:cs="Arial" w:hint="eastAsia"/>
          <w:sz w:val="24"/>
          <w:szCs w:val="24"/>
          <w:lang w:val="en-GB" w:eastAsia="zh-CN"/>
        </w:rPr>
        <w:t>M</w:t>
      </w:r>
      <w:r>
        <w:rPr>
          <w:rFonts w:ascii="Book Antiqua" w:hAnsi="Book Antiqua" w:cs="Arial"/>
          <w:sz w:val="24"/>
          <w:szCs w:val="24"/>
          <w:lang w:val="en-GB"/>
        </w:rPr>
        <w:t xml:space="preserve">olecular imaging; </w:t>
      </w:r>
      <w:r>
        <w:rPr>
          <w:rFonts w:ascii="Book Antiqua" w:eastAsiaTheme="minorEastAsia" w:hAnsi="Book Antiqua" w:cs="Arial" w:hint="eastAsia"/>
          <w:sz w:val="24"/>
          <w:szCs w:val="24"/>
          <w:lang w:val="en-GB" w:eastAsia="zh-CN"/>
        </w:rPr>
        <w:t>I</w:t>
      </w:r>
      <w:r>
        <w:rPr>
          <w:rFonts w:ascii="Book Antiqua" w:hAnsi="Book Antiqua" w:cs="Arial"/>
          <w:sz w:val="24"/>
          <w:szCs w:val="24"/>
          <w:lang w:val="en-GB"/>
        </w:rPr>
        <w:t>nflammation</w:t>
      </w:r>
    </w:p>
    <w:p w:rsidR="0003376C" w:rsidRDefault="0003376C" w:rsidP="00924331">
      <w:pPr>
        <w:widowControl w:val="0"/>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eastAsiaTheme="minorEastAsia" w:hAnsi="Book Antiqua" w:cs="Arial"/>
          <w:sz w:val="24"/>
          <w:lang w:val="en-US" w:eastAsia="zh-CN"/>
        </w:rPr>
      </w:pPr>
      <w:bookmarkStart w:id="23" w:name="OLE_LINK55"/>
      <w:bookmarkStart w:id="24" w:name="OLE_LINK56"/>
      <w:bookmarkStart w:id="25" w:name="OLE_LINK105"/>
      <w:bookmarkStart w:id="26" w:name="OLE_LINK116"/>
      <w:bookmarkStart w:id="27" w:name="OLE_LINK89"/>
      <w:r>
        <w:rPr>
          <w:rFonts w:ascii="Book Antiqua" w:hAnsi="Book Antiqua"/>
          <w:b/>
          <w:sz w:val="24"/>
          <w:lang w:val="en-US"/>
        </w:rPr>
        <w:t>©</w:t>
      </w:r>
      <w:bookmarkEnd w:id="23"/>
      <w:bookmarkEnd w:id="24"/>
      <w:r>
        <w:rPr>
          <w:rFonts w:ascii="Book Antiqua" w:hAnsi="Book Antiqua" w:hint="eastAsia"/>
          <w:b/>
          <w:sz w:val="24"/>
          <w:lang w:val="en-US"/>
        </w:rPr>
        <w:t xml:space="preserve"> </w:t>
      </w:r>
      <w:r>
        <w:rPr>
          <w:rFonts w:ascii="Book Antiqua" w:hAnsi="Book Antiqua" w:cs="Arial"/>
          <w:b/>
          <w:sz w:val="24"/>
          <w:lang w:val="en-US"/>
        </w:rPr>
        <w:t>The Author(s) 201</w:t>
      </w:r>
      <w:r>
        <w:rPr>
          <w:rFonts w:ascii="Book Antiqua" w:hAnsi="Book Antiqua" w:cs="Arial" w:hint="eastAsia"/>
          <w:b/>
          <w:sz w:val="24"/>
          <w:lang w:val="en-US"/>
        </w:rPr>
        <w:t>6</w:t>
      </w:r>
      <w:r>
        <w:rPr>
          <w:rFonts w:ascii="Book Antiqua" w:hAnsi="Book Antiqua" w:cs="Arial"/>
          <w:b/>
          <w:sz w:val="24"/>
          <w:lang w:val="en-US"/>
        </w:rPr>
        <w:t xml:space="preserve">. </w:t>
      </w:r>
      <w:r>
        <w:rPr>
          <w:rFonts w:ascii="Book Antiqua" w:hAnsi="Book Antiqua" w:cs="Arial"/>
          <w:sz w:val="24"/>
          <w:lang w:val="en-US"/>
        </w:rPr>
        <w:t xml:space="preserve">Published by </w:t>
      </w:r>
      <w:proofErr w:type="spellStart"/>
      <w:r>
        <w:rPr>
          <w:rFonts w:ascii="Book Antiqua" w:hAnsi="Book Antiqua" w:cs="Arial"/>
          <w:sz w:val="24"/>
          <w:lang w:val="en-US"/>
        </w:rPr>
        <w:t>Baishideng</w:t>
      </w:r>
      <w:proofErr w:type="spellEnd"/>
      <w:r>
        <w:rPr>
          <w:rFonts w:ascii="Book Antiqua" w:hAnsi="Book Antiqua" w:cs="Arial"/>
          <w:sz w:val="24"/>
          <w:lang w:val="en-US"/>
        </w:rPr>
        <w:t xml:space="preserve"> Publishing Group Inc. All rights reserved.</w:t>
      </w:r>
    </w:p>
    <w:p w:rsidR="0003376C" w:rsidRDefault="0003376C" w:rsidP="00924331">
      <w:pPr>
        <w:spacing w:after="0" w:line="360" w:lineRule="auto"/>
        <w:jc w:val="both"/>
        <w:rPr>
          <w:rFonts w:ascii="Book Antiqua" w:eastAsiaTheme="minorEastAsia" w:hAnsi="Book Antiqua" w:cs="Arial"/>
          <w:sz w:val="24"/>
          <w:lang w:val="en-US" w:eastAsia="zh-CN"/>
        </w:rPr>
      </w:pPr>
    </w:p>
    <w:bookmarkEnd w:id="25"/>
    <w:bookmarkEnd w:id="26"/>
    <w:bookmarkEnd w:id="27"/>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eastAsiaTheme="minorEastAsia" w:hAnsi="Book Antiqua" w:cs="Arial" w:hint="eastAsia"/>
          <w:b/>
          <w:sz w:val="24"/>
          <w:szCs w:val="24"/>
          <w:lang w:val="en-GB" w:eastAsia="zh-CN"/>
        </w:rPr>
        <w:t xml:space="preserve">Core tip: </w:t>
      </w:r>
      <w:r>
        <w:rPr>
          <w:rFonts w:ascii="Book Antiqua" w:hAnsi="Book Antiqua" w:cs="Arial"/>
          <w:sz w:val="24"/>
          <w:szCs w:val="24"/>
          <w:lang w:val="en-GB"/>
        </w:rPr>
        <w:t xml:space="preserve">Inflammatory bowel disease (IBD) is a chronic granulomatous inflammatory condition, in which the integrity of the gut epithelium represents a major pathophysiological step. Although endoscopy and barium radiological examinations are the diagnostic “gold standard” for IBD, both techniques require a specific patient preparation, not always feasible or easily tolerated. Molecular imaging with single photon emission tomography and positron emission tomography seems to be a reliable, non-invasive, accurate and easily reproducible </w:t>
      </w:r>
      <w:r>
        <w:rPr>
          <w:rFonts w:ascii="Book Antiqua" w:hAnsi="Book Antiqua" w:cs="Arial"/>
          <w:sz w:val="24"/>
          <w:szCs w:val="24"/>
          <w:lang w:val="en-GB"/>
        </w:rPr>
        <w:lastRenderedPageBreak/>
        <w:t>diagnostic tool, able to assess location, extent and activity grade of IBD. We here present the current state-of-the art of molecular imaging in the management of patients affected by IBD.</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eastAsiaTheme="minorEastAsia" w:hAnsi="Book Antiqua" w:cs="Arial"/>
          <w:bCs/>
          <w:sz w:val="24"/>
          <w:szCs w:val="24"/>
          <w:lang w:val="it-CH" w:eastAsia="zh-CN"/>
        </w:rPr>
      </w:pPr>
      <w:r>
        <w:rPr>
          <w:rFonts w:ascii="Book Antiqua" w:hAnsi="Book Antiqua" w:cs="Arial"/>
          <w:bCs/>
          <w:sz w:val="24"/>
          <w:szCs w:val="24"/>
          <w:lang w:val="it-CH"/>
        </w:rPr>
        <w:t>Caobelli</w:t>
      </w:r>
      <w:r>
        <w:rPr>
          <w:rFonts w:ascii="Book Antiqua" w:eastAsiaTheme="minorEastAsia" w:hAnsi="Book Antiqua" w:cs="Arial" w:hint="eastAsia"/>
          <w:bCs/>
          <w:sz w:val="24"/>
          <w:szCs w:val="24"/>
          <w:lang w:val="it-CH" w:eastAsia="zh-CN"/>
        </w:rPr>
        <w:t xml:space="preserve"> F, </w:t>
      </w:r>
      <w:r>
        <w:rPr>
          <w:rFonts w:ascii="Book Antiqua" w:hAnsi="Book Antiqua" w:cs="Arial"/>
          <w:bCs/>
          <w:sz w:val="24"/>
          <w:szCs w:val="24"/>
          <w:lang w:val="it-CH"/>
        </w:rPr>
        <w:t>Evangelista</w:t>
      </w:r>
      <w:r>
        <w:rPr>
          <w:rFonts w:ascii="Book Antiqua" w:eastAsiaTheme="minorEastAsia" w:hAnsi="Book Antiqua" w:cs="Arial" w:hint="eastAsia"/>
          <w:bCs/>
          <w:sz w:val="24"/>
          <w:szCs w:val="24"/>
          <w:lang w:val="it-CH" w:eastAsia="zh-CN"/>
        </w:rPr>
        <w:t xml:space="preserve"> L, </w:t>
      </w:r>
      <w:r>
        <w:rPr>
          <w:rFonts w:ascii="Book Antiqua" w:hAnsi="Book Antiqua" w:cs="Arial"/>
          <w:bCs/>
          <w:sz w:val="24"/>
          <w:szCs w:val="24"/>
          <w:lang w:val="it-CH"/>
        </w:rPr>
        <w:t>Quartuccio</w:t>
      </w:r>
      <w:r>
        <w:rPr>
          <w:rFonts w:ascii="Book Antiqua" w:eastAsiaTheme="minorEastAsia" w:hAnsi="Book Antiqua" w:cs="Arial" w:hint="eastAsia"/>
          <w:bCs/>
          <w:sz w:val="24"/>
          <w:szCs w:val="24"/>
          <w:lang w:val="it-CH" w:eastAsia="zh-CN"/>
        </w:rPr>
        <w:t xml:space="preserve"> N, </w:t>
      </w:r>
      <w:r>
        <w:rPr>
          <w:rFonts w:ascii="Book Antiqua" w:hAnsi="Book Antiqua" w:cs="Arial"/>
          <w:bCs/>
          <w:sz w:val="24"/>
          <w:szCs w:val="24"/>
          <w:lang w:val="it-CH"/>
        </w:rPr>
        <w:t>Familiari</w:t>
      </w:r>
      <w:r>
        <w:rPr>
          <w:rFonts w:ascii="Book Antiqua" w:eastAsiaTheme="minorEastAsia" w:hAnsi="Book Antiqua" w:cs="Arial" w:hint="eastAsia"/>
          <w:bCs/>
          <w:sz w:val="24"/>
          <w:szCs w:val="24"/>
          <w:lang w:val="it-CH" w:eastAsia="zh-CN"/>
        </w:rPr>
        <w:t xml:space="preserve"> D, </w:t>
      </w:r>
      <w:r>
        <w:rPr>
          <w:rFonts w:ascii="Book Antiqua" w:hAnsi="Book Antiqua" w:cs="Arial"/>
          <w:bCs/>
          <w:sz w:val="24"/>
          <w:szCs w:val="24"/>
          <w:lang w:val="it-IT"/>
        </w:rPr>
        <w:t>Altini</w:t>
      </w:r>
      <w:r>
        <w:rPr>
          <w:rFonts w:ascii="Book Antiqua" w:eastAsiaTheme="minorEastAsia" w:hAnsi="Book Antiqua" w:cs="Arial" w:hint="eastAsia"/>
          <w:bCs/>
          <w:sz w:val="24"/>
          <w:szCs w:val="24"/>
          <w:lang w:val="it-IT" w:eastAsia="zh-CN"/>
        </w:rPr>
        <w:t xml:space="preserve"> C, </w:t>
      </w:r>
      <w:r>
        <w:rPr>
          <w:rFonts w:ascii="Book Antiqua" w:hAnsi="Book Antiqua" w:cs="Arial"/>
          <w:bCs/>
          <w:sz w:val="24"/>
          <w:szCs w:val="24"/>
          <w:lang w:val="it-CH"/>
        </w:rPr>
        <w:t>Castello</w:t>
      </w:r>
      <w:r>
        <w:rPr>
          <w:rFonts w:ascii="Book Antiqua" w:eastAsiaTheme="minorEastAsia" w:hAnsi="Book Antiqua" w:cs="Arial" w:hint="eastAsia"/>
          <w:bCs/>
          <w:sz w:val="24"/>
          <w:szCs w:val="24"/>
          <w:lang w:val="it-CH" w:eastAsia="zh-CN"/>
        </w:rPr>
        <w:t xml:space="preserve"> A, </w:t>
      </w:r>
      <w:r>
        <w:rPr>
          <w:rFonts w:ascii="Book Antiqua" w:hAnsi="Book Antiqua" w:cs="Arial"/>
          <w:bCs/>
          <w:sz w:val="24"/>
          <w:szCs w:val="24"/>
          <w:lang w:val="it-CH"/>
        </w:rPr>
        <w:t>Cucinotta</w:t>
      </w:r>
      <w:r>
        <w:rPr>
          <w:rFonts w:ascii="Book Antiqua" w:eastAsiaTheme="minorEastAsia" w:hAnsi="Book Antiqua" w:cs="Arial" w:hint="eastAsia"/>
          <w:bCs/>
          <w:sz w:val="24"/>
          <w:szCs w:val="24"/>
          <w:lang w:val="it-CH" w:eastAsia="zh-CN"/>
        </w:rPr>
        <w:t xml:space="preserve"> M, </w:t>
      </w:r>
      <w:r>
        <w:rPr>
          <w:rFonts w:ascii="Book Antiqua" w:hAnsi="Book Antiqua" w:cs="Arial"/>
          <w:bCs/>
          <w:sz w:val="24"/>
          <w:szCs w:val="24"/>
          <w:lang w:val="it-CH"/>
        </w:rPr>
        <w:t>Di Dato</w:t>
      </w:r>
      <w:r>
        <w:rPr>
          <w:rFonts w:ascii="Book Antiqua" w:eastAsiaTheme="minorEastAsia" w:hAnsi="Book Antiqua" w:cs="Arial" w:hint="eastAsia"/>
          <w:bCs/>
          <w:sz w:val="24"/>
          <w:szCs w:val="24"/>
          <w:lang w:val="it-CH" w:eastAsia="zh-CN"/>
        </w:rPr>
        <w:t xml:space="preserve"> R, </w:t>
      </w:r>
      <w:r>
        <w:rPr>
          <w:rFonts w:ascii="Book Antiqua" w:hAnsi="Book Antiqua" w:cs="Arial"/>
          <w:bCs/>
          <w:sz w:val="24"/>
          <w:szCs w:val="24"/>
          <w:lang w:val="it-IT"/>
        </w:rPr>
        <w:t>Ferrari</w:t>
      </w:r>
      <w:r>
        <w:rPr>
          <w:rFonts w:ascii="Book Antiqua" w:eastAsiaTheme="minorEastAsia" w:hAnsi="Book Antiqua" w:cs="Arial" w:hint="eastAsia"/>
          <w:bCs/>
          <w:sz w:val="24"/>
          <w:szCs w:val="24"/>
          <w:lang w:val="it-IT" w:eastAsia="zh-CN"/>
        </w:rPr>
        <w:t xml:space="preserve"> C, </w:t>
      </w:r>
      <w:r>
        <w:rPr>
          <w:rFonts w:ascii="Book Antiqua" w:hAnsi="Book Antiqua" w:cs="Arial"/>
          <w:bCs/>
          <w:sz w:val="24"/>
          <w:szCs w:val="24"/>
          <w:lang w:val="it-CH"/>
        </w:rPr>
        <w:t>Kokomani</w:t>
      </w:r>
      <w:r>
        <w:rPr>
          <w:rFonts w:ascii="Book Antiqua" w:eastAsiaTheme="minorEastAsia" w:hAnsi="Book Antiqua" w:cs="Arial" w:hint="eastAsia"/>
          <w:bCs/>
          <w:sz w:val="24"/>
          <w:szCs w:val="24"/>
          <w:lang w:val="it-CH" w:eastAsia="zh-CN"/>
        </w:rPr>
        <w:t xml:space="preserve"> A, </w:t>
      </w:r>
      <w:r>
        <w:rPr>
          <w:rFonts w:ascii="Book Antiqua" w:hAnsi="Book Antiqua" w:cs="Arial"/>
          <w:bCs/>
          <w:sz w:val="24"/>
          <w:szCs w:val="24"/>
          <w:lang w:val="it-CH"/>
        </w:rPr>
        <w:t>Laghai</w:t>
      </w:r>
      <w:r>
        <w:rPr>
          <w:rFonts w:ascii="Book Antiqua" w:eastAsiaTheme="minorEastAsia" w:hAnsi="Book Antiqua" w:cs="Arial" w:hint="eastAsia"/>
          <w:bCs/>
          <w:sz w:val="24"/>
          <w:szCs w:val="24"/>
          <w:lang w:val="it-CH" w:eastAsia="zh-CN"/>
        </w:rPr>
        <w:t xml:space="preserve"> I, </w:t>
      </w:r>
      <w:r>
        <w:rPr>
          <w:rFonts w:ascii="Book Antiqua" w:hAnsi="Book Antiqua" w:cs="Arial"/>
          <w:bCs/>
          <w:sz w:val="24"/>
          <w:szCs w:val="24"/>
          <w:lang w:val="it-CH"/>
        </w:rPr>
        <w:t>Laudicella</w:t>
      </w:r>
      <w:r>
        <w:rPr>
          <w:rFonts w:ascii="Book Antiqua" w:eastAsiaTheme="minorEastAsia" w:hAnsi="Book Antiqua" w:cs="Arial" w:hint="eastAsia"/>
          <w:bCs/>
          <w:sz w:val="24"/>
          <w:szCs w:val="24"/>
          <w:lang w:val="it-CH" w:eastAsia="zh-CN"/>
        </w:rPr>
        <w:t xml:space="preserve"> R, </w:t>
      </w:r>
      <w:r>
        <w:rPr>
          <w:rFonts w:ascii="Book Antiqua" w:hAnsi="Book Antiqua" w:cs="Arial"/>
          <w:bCs/>
          <w:sz w:val="24"/>
          <w:szCs w:val="24"/>
          <w:lang w:val="it-IT"/>
        </w:rPr>
        <w:t>Migliari</w:t>
      </w:r>
      <w:r>
        <w:rPr>
          <w:rFonts w:ascii="Book Antiqua" w:eastAsiaTheme="minorEastAsia" w:hAnsi="Book Antiqua" w:cs="Arial" w:hint="eastAsia"/>
          <w:bCs/>
          <w:sz w:val="24"/>
          <w:szCs w:val="24"/>
          <w:lang w:val="it-IT" w:eastAsia="zh-CN"/>
        </w:rPr>
        <w:t xml:space="preserve"> S, </w:t>
      </w:r>
      <w:r>
        <w:rPr>
          <w:rFonts w:ascii="Book Antiqua" w:hAnsi="Book Antiqua" w:cs="Arial"/>
          <w:bCs/>
          <w:sz w:val="24"/>
          <w:szCs w:val="24"/>
          <w:lang w:val="it-IT"/>
        </w:rPr>
        <w:t>Orsini</w:t>
      </w:r>
      <w:r>
        <w:rPr>
          <w:rFonts w:ascii="Book Antiqua" w:eastAsiaTheme="minorEastAsia" w:hAnsi="Book Antiqua" w:cs="Arial" w:hint="eastAsia"/>
          <w:bCs/>
          <w:sz w:val="24"/>
          <w:szCs w:val="24"/>
          <w:lang w:val="it-IT" w:eastAsia="zh-CN"/>
        </w:rPr>
        <w:t xml:space="preserve"> F, </w:t>
      </w:r>
      <w:r>
        <w:rPr>
          <w:rFonts w:ascii="Book Antiqua" w:hAnsi="Book Antiqua" w:cs="Arial"/>
          <w:bCs/>
          <w:sz w:val="24"/>
          <w:szCs w:val="24"/>
          <w:lang w:val="it-CH"/>
        </w:rPr>
        <w:t>Pignata</w:t>
      </w:r>
      <w:r>
        <w:rPr>
          <w:rFonts w:ascii="Book Antiqua" w:eastAsiaTheme="minorEastAsia" w:hAnsi="Book Antiqua" w:cs="Arial" w:hint="eastAsia"/>
          <w:bCs/>
          <w:sz w:val="24"/>
          <w:szCs w:val="24"/>
          <w:lang w:val="it-CH" w:eastAsia="zh-CN"/>
        </w:rPr>
        <w:t xml:space="preserve"> SA, </w:t>
      </w:r>
      <w:r>
        <w:rPr>
          <w:rFonts w:ascii="Book Antiqua" w:hAnsi="Book Antiqua" w:cs="Arial"/>
          <w:bCs/>
          <w:sz w:val="24"/>
          <w:szCs w:val="24"/>
          <w:lang w:val="it-CH"/>
        </w:rPr>
        <w:t>Popescu</w:t>
      </w:r>
      <w:r>
        <w:rPr>
          <w:rFonts w:ascii="Book Antiqua" w:eastAsiaTheme="minorEastAsia" w:hAnsi="Book Antiqua" w:cs="Arial" w:hint="eastAsia"/>
          <w:bCs/>
          <w:sz w:val="24"/>
          <w:szCs w:val="24"/>
          <w:lang w:val="it-CH" w:eastAsia="zh-CN"/>
        </w:rPr>
        <w:t xml:space="preserve"> C, </w:t>
      </w:r>
      <w:r>
        <w:rPr>
          <w:rFonts w:ascii="Book Antiqua" w:hAnsi="Book Antiqua" w:cs="Arial"/>
          <w:bCs/>
          <w:sz w:val="24"/>
          <w:szCs w:val="24"/>
          <w:lang w:val="it-IT"/>
        </w:rPr>
        <w:t>Puta</w:t>
      </w:r>
      <w:r>
        <w:rPr>
          <w:rFonts w:ascii="Book Antiqua" w:eastAsiaTheme="minorEastAsia" w:hAnsi="Book Antiqua" w:cs="Arial" w:hint="eastAsia"/>
          <w:bCs/>
          <w:sz w:val="24"/>
          <w:szCs w:val="24"/>
          <w:lang w:val="it-IT" w:eastAsia="zh-CN"/>
        </w:rPr>
        <w:t xml:space="preserve"> E, </w:t>
      </w:r>
      <w:r>
        <w:rPr>
          <w:rFonts w:ascii="Book Antiqua" w:hAnsi="Book Antiqua" w:cs="Arial"/>
          <w:bCs/>
          <w:sz w:val="24"/>
          <w:szCs w:val="24"/>
          <w:lang w:val="it-IT"/>
        </w:rPr>
        <w:t>Ricci</w:t>
      </w:r>
      <w:r>
        <w:rPr>
          <w:rFonts w:ascii="Book Antiqua" w:eastAsiaTheme="minorEastAsia" w:hAnsi="Book Antiqua" w:cs="Arial" w:hint="eastAsia"/>
          <w:bCs/>
          <w:sz w:val="24"/>
          <w:szCs w:val="24"/>
          <w:lang w:val="it-IT" w:eastAsia="zh-CN"/>
        </w:rPr>
        <w:t xml:space="preserve"> M, </w:t>
      </w:r>
      <w:r>
        <w:rPr>
          <w:rFonts w:ascii="Book Antiqua" w:hAnsi="Book Antiqua" w:cs="Arial"/>
          <w:bCs/>
          <w:sz w:val="24"/>
          <w:szCs w:val="24"/>
          <w:lang w:val="it-IT"/>
        </w:rPr>
        <w:t>Seghezzi</w:t>
      </w:r>
      <w:r>
        <w:rPr>
          <w:rFonts w:ascii="Book Antiqua" w:eastAsiaTheme="minorEastAsia" w:hAnsi="Book Antiqua" w:cs="Arial" w:hint="eastAsia"/>
          <w:bCs/>
          <w:sz w:val="24"/>
          <w:szCs w:val="24"/>
          <w:lang w:val="it-IT" w:eastAsia="zh-CN"/>
        </w:rPr>
        <w:t xml:space="preserve"> S, </w:t>
      </w:r>
      <w:r>
        <w:rPr>
          <w:rFonts w:ascii="Book Antiqua" w:hAnsi="Book Antiqua" w:cs="Arial"/>
          <w:bCs/>
          <w:sz w:val="24"/>
          <w:szCs w:val="24"/>
          <w:lang w:val="it-IT"/>
        </w:rPr>
        <w:t>Sindoni</w:t>
      </w:r>
      <w:r>
        <w:rPr>
          <w:rFonts w:ascii="Book Antiqua" w:eastAsiaTheme="minorEastAsia" w:hAnsi="Book Antiqua" w:cs="Arial" w:hint="eastAsia"/>
          <w:bCs/>
          <w:sz w:val="24"/>
          <w:szCs w:val="24"/>
          <w:lang w:val="it-IT" w:eastAsia="zh-CN"/>
        </w:rPr>
        <w:t xml:space="preserve"> A, </w:t>
      </w:r>
      <w:r>
        <w:rPr>
          <w:rFonts w:ascii="Book Antiqua" w:hAnsi="Book Antiqua" w:cs="Arial"/>
          <w:bCs/>
          <w:sz w:val="24"/>
          <w:szCs w:val="24"/>
          <w:lang w:val="it-CH"/>
        </w:rPr>
        <w:t>Sollini</w:t>
      </w:r>
      <w:r>
        <w:rPr>
          <w:rFonts w:ascii="Book Antiqua" w:eastAsiaTheme="minorEastAsia" w:hAnsi="Book Antiqua" w:cs="Arial" w:hint="eastAsia"/>
          <w:bCs/>
          <w:sz w:val="24"/>
          <w:szCs w:val="24"/>
          <w:lang w:val="it-CH" w:eastAsia="zh-CN"/>
        </w:rPr>
        <w:t xml:space="preserve"> M, </w:t>
      </w:r>
      <w:r>
        <w:rPr>
          <w:rFonts w:ascii="Book Antiqua" w:hAnsi="Book Antiqua" w:cs="Arial"/>
          <w:bCs/>
          <w:sz w:val="24"/>
          <w:szCs w:val="24"/>
          <w:lang w:val="it-CH"/>
        </w:rPr>
        <w:t>Sturiale</w:t>
      </w:r>
      <w:r>
        <w:rPr>
          <w:rFonts w:ascii="Book Antiqua" w:eastAsiaTheme="minorEastAsia" w:hAnsi="Book Antiqua" w:cs="Arial" w:hint="eastAsia"/>
          <w:bCs/>
          <w:sz w:val="24"/>
          <w:szCs w:val="24"/>
          <w:lang w:val="it-CH" w:eastAsia="zh-CN"/>
        </w:rPr>
        <w:t xml:space="preserve"> L, </w:t>
      </w:r>
      <w:r>
        <w:rPr>
          <w:rFonts w:ascii="Book Antiqua" w:hAnsi="Book Antiqua" w:cs="Arial"/>
          <w:bCs/>
          <w:sz w:val="24"/>
          <w:szCs w:val="24"/>
          <w:lang w:val="it-CH"/>
        </w:rPr>
        <w:t>Svirydenka</w:t>
      </w:r>
      <w:r>
        <w:rPr>
          <w:rFonts w:ascii="Book Antiqua" w:eastAsiaTheme="minorEastAsia" w:hAnsi="Book Antiqua" w:cs="Arial" w:hint="eastAsia"/>
          <w:bCs/>
          <w:sz w:val="24"/>
          <w:szCs w:val="24"/>
          <w:lang w:val="it-CH" w:eastAsia="zh-CN"/>
        </w:rPr>
        <w:t xml:space="preserve"> A, </w:t>
      </w:r>
      <w:r>
        <w:rPr>
          <w:rFonts w:ascii="Book Antiqua" w:hAnsi="Book Antiqua" w:cs="Arial"/>
          <w:bCs/>
          <w:sz w:val="24"/>
          <w:szCs w:val="24"/>
          <w:lang w:val="it-CH"/>
        </w:rPr>
        <w:t>Vergura</w:t>
      </w:r>
      <w:r>
        <w:rPr>
          <w:rFonts w:ascii="Book Antiqua" w:eastAsiaTheme="minorEastAsia" w:hAnsi="Book Antiqua" w:cs="Arial" w:hint="eastAsia"/>
          <w:bCs/>
          <w:sz w:val="24"/>
          <w:szCs w:val="24"/>
          <w:lang w:val="it-CH" w:eastAsia="zh-CN"/>
        </w:rPr>
        <w:t xml:space="preserve"> V, </w:t>
      </w:r>
      <w:r>
        <w:rPr>
          <w:rFonts w:ascii="Book Antiqua" w:hAnsi="Book Antiqua" w:cs="Arial"/>
          <w:bCs/>
          <w:sz w:val="24"/>
          <w:szCs w:val="24"/>
          <w:lang w:val="it-CH"/>
        </w:rPr>
        <w:t>Alongi</w:t>
      </w:r>
      <w:r>
        <w:rPr>
          <w:rFonts w:ascii="Book Antiqua" w:eastAsiaTheme="minorEastAsia" w:hAnsi="Book Antiqua" w:cs="Arial" w:hint="eastAsia"/>
          <w:bCs/>
          <w:sz w:val="24"/>
          <w:szCs w:val="24"/>
          <w:lang w:val="it-CH" w:eastAsia="zh-CN"/>
        </w:rPr>
        <w:t xml:space="preserve"> P.</w:t>
      </w:r>
      <w:r w:rsidR="00A0062A" w:rsidRPr="00A0062A">
        <w:t xml:space="preserve"> </w:t>
      </w:r>
      <w:r w:rsidR="00A0062A" w:rsidRPr="00A0062A">
        <w:rPr>
          <w:rFonts w:ascii="Book Antiqua" w:eastAsiaTheme="minorEastAsia" w:hAnsi="Book Antiqua" w:cs="Arial"/>
          <w:bCs/>
          <w:sz w:val="24"/>
          <w:szCs w:val="24"/>
          <w:lang w:val="it-CH" w:eastAsia="zh-CN"/>
        </w:rPr>
        <w:t>Role of molecular imaging in the management of patients affected by inflammatory bowel disease: State-of-the-art</w:t>
      </w:r>
      <w:r w:rsidR="00A0062A">
        <w:rPr>
          <w:rFonts w:ascii="Book Antiqua" w:eastAsiaTheme="minorEastAsia" w:hAnsi="Book Antiqua" w:cs="Arial" w:hint="eastAsia"/>
          <w:bCs/>
          <w:sz w:val="24"/>
          <w:szCs w:val="24"/>
          <w:lang w:val="it-CH" w:eastAsia="zh-CN"/>
        </w:rPr>
        <w:t>.</w:t>
      </w:r>
      <w:r>
        <w:rPr>
          <w:rFonts w:ascii="Book Antiqua" w:eastAsiaTheme="minorEastAsia" w:hAnsi="Book Antiqua" w:cs="Arial" w:hint="eastAsia"/>
          <w:bCs/>
          <w:sz w:val="24"/>
          <w:szCs w:val="24"/>
          <w:lang w:val="it-CH" w:eastAsia="zh-CN"/>
        </w:rPr>
        <w:t xml:space="preserve"> </w:t>
      </w:r>
      <w:r>
        <w:rPr>
          <w:rFonts w:ascii="Book Antiqua" w:eastAsiaTheme="minorEastAsia" w:hAnsi="Book Antiqua" w:cs="Arial"/>
          <w:bCs/>
          <w:i/>
          <w:sz w:val="24"/>
          <w:szCs w:val="24"/>
          <w:lang w:val="it-CH" w:eastAsia="zh-CN"/>
        </w:rPr>
        <w:t>World J Radiol</w:t>
      </w:r>
      <w:r>
        <w:rPr>
          <w:rFonts w:ascii="Book Antiqua" w:eastAsiaTheme="minorEastAsia" w:hAnsi="Book Antiqua" w:cs="Arial" w:hint="eastAsia"/>
          <w:bCs/>
          <w:i/>
          <w:sz w:val="24"/>
          <w:szCs w:val="24"/>
          <w:lang w:val="it-CH" w:eastAsia="zh-CN"/>
        </w:rPr>
        <w:t xml:space="preserve"> </w:t>
      </w:r>
      <w:r>
        <w:rPr>
          <w:rFonts w:ascii="Book Antiqua" w:eastAsiaTheme="minorEastAsia" w:hAnsi="Book Antiqua" w:cs="Arial" w:hint="eastAsia"/>
          <w:bCs/>
          <w:sz w:val="24"/>
          <w:szCs w:val="24"/>
          <w:lang w:val="it-CH" w:eastAsia="zh-CN"/>
        </w:rPr>
        <w:t>2016; In press</w:t>
      </w:r>
    </w:p>
    <w:p w:rsidR="0003376C" w:rsidRDefault="005739BD" w:rsidP="00924331">
      <w:pPr>
        <w:spacing w:after="0" w:line="360" w:lineRule="auto"/>
        <w:jc w:val="both"/>
        <w:rPr>
          <w:rFonts w:ascii="Book Antiqua" w:hAnsi="Book Antiqua" w:cs="Arial"/>
          <w:b/>
          <w:sz w:val="24"/>
          <w:szCs w:val="24"/>
          <w:lang w:val="it-CH"/>
        </w:rPr>
      </w:pPr>
      <w:r>
        <w:rPr>
          <w:rFonts w:ascii="Book Antiqua" w:hAnsi="Book Antiqua" w:cs="Arial"/>
          <w:b/>
          <w:sz w:val="24"/>
          <w:szCs w:val="24"/>
          <w:lang w:val="it-CH"/>
        </w:rPr>
        <w:br w:type="page"/>
      </w:r>
    </w:p>
    <w:p w:rsidR="0003376C" w:rsidRDefault="005739BD" w:rsidP="00924331">
      <w:pPr>
        <w:spacing w:after="0" w:line="360" w:lineRule="auto"/>
        <w:jc w:val="both"/>
        <w:rPr>
          <w:rFonts w:ascii="Book Antiqua" w:hAnsi="Book Antiqua" w:cs="Arial"/>
          <w:b/>
          <w:caps/>
          <w:sz w:val="24"/>
          <w:szCs w:val="24"/>
          <w:lang w:val="en-GB"/>
        </w:rPr>
      </w:pPr>
      <w:r>
        <w:rPr>
          <w:rFonts w:ascii="Book Antiqua" w:hAnsi="Book Antiqua" w:cs="Arial"/>
          <w:b/>
          <w:caps/>
          <w:sz w:val="24"/>
          <w:szCs w:val="24"/>
          <w:lang w:val="en-GB"/>
        </w:rPr>
        <w:lastRenderedPageBreak/>
        <w:t>Introduction</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Inflammatory bowel disease (IBD) is a chronic inflammatory condition, in which the integrity of the gut epithelium represents a major pathophysiological step. Both ulcerative colitis (UC) and Crohn’s disease (CD) follow a relapsing and remitting course. As such, tools able to diagnose and manage patients affected by these conditions are highly relevant in clinical practice.</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Endoscopy and barium radiological examinations are the diagnostic “gold standard” for IBD</w:t>
      </w:r>
      <w:r>
        <w:rPr>
          <w:rFonts w:ascii="Book Antiqua" w:hAnsi="Book Antiqua" w:cs="Arial"/>
          <w:sz w:val="24"/>
          <w:szCs w:val="24"/>
          <w:vertAlign w:val="superscript"/>
          <w:lang w:val="en-US"/>
        </w:rPr>
        <w:t>[1</w:t>
      </w:r>
      <w:r>
        <w:rPr>
          <w:rFonts w:ascii="Book Antiqua" w:eastAsiaTheme="minorEastAsia" w:hAnsi="Book Antiqua" w:cs="Arial" w:hint="eastAsia"/>
          <w:sz w:val="24"/>
          <w:szCs w:val="24"/>
          <w:vertAlign w:val="superscript"/>
          <w:lang w:val="en-US" w:eastAsia="zh-CN"/>
        </w:rPr>
        <w:t>-</w:t>
      </w:r>
      <w:r>
        <w:rPr>
          <w:rFonts w:ascii="Book Antiqua" w:hAnsi="Book Antiqua" w:cs="Arial"/>
          <w:sz w:val="24"/>
          <w:szCs w:val="24"/>
          <w:vertAlign w:val="superscript"/>
          <w:lang w:val="en-US"/>
        </w:rPr>
        <w:t>3]</w:t>
      </w:r>
      <w:r>
        <w:rPr>
          <w:rFonts w:ascii="Book Antiqua" w:hAnsi="Book Antiqua" w:cs="Arial"/>
          <w:sz w:val="24"/>
          <w:szCs w:val="24"/>
          <w:lang w:val="en-US"/>
        </w:rPr>
        <w:t>. Unfortunately, both techniques require a specific patient preparation, which is not always feasible and not easily tolerated. Specifically, endoscopy is an invasive procedure associated with increased risk of bowel perforation, if performed during the acute phase of disease</w:t>
      </w:r>
      <w:r>
        <w:rPr>
          <w:rFonts w:ascii="Book Antiqua" w:hAnsi="Book Antiqua" w:cs="Arial"/>
          <w:sz w:val="24"/>
          <w:szCs w:val="24"/>
          <w:vertAlign w:val="superscript"/>
          <w:lang w:val="en-US"/>
        </w:rPr>
        <w:t>[1,3,4]</w:t>
      </w:r>
      <w:r>
        <w:rPr>
          <w:rFonts w:ascii="Book Antiqua" w:hAnsi="Book Antiqua" w:cs="Arial"/>
          <w:sz w:val="24"/>
          <w:szCs w:val="24"/>
          <w:lang w:val="en-US"/>
        </w:rPr>
        <w:t>. Moreover, it cannot study the deepest layers of intestinal wall and discover possible extra-intestinal alterations</w:t>
      </w:r>
      <w:r>
        <w:rPr>
          <w:rFonts w:ascii="Book Antiqua" w:hAnsi="Book Antiqua" w:cs="Arial"/>
          <w:sz w:val="24"/>
          <w:szCs w:val="24"/>
          <w:vertAlign w:val="superscript"/>
          <w:lang w:val="en-US"/>
        </w:rPr>
        <w:t>[5]</w:t>
      </w:r>
      <w:r>
        <w:rPr>
          <w:rFonts w:ascii="Book Antiqua" w:hAnsi="Book Antiqua" w:cs="Arial"/>
          <w:sz w:val="24"/>
          <w:szCs w:val="24"/>
          <w:lang w:val="en-US"/>
        </w:rPr>
        <w:t>. Finally, in case of CD complicated by strictures, endoscopic exploration often remains incomplete, due to difficulties in going beyond narrowed bowel segments and in exploring the distal side of the strictures</w:t>
      </w:r>
      <w:r>
        <w:rPr>
          <w:rFonts w:ascii="Book Antiqua" w:hAnsi="Book Antiqua" w:cs="Arial"/>
          <w:sz w:val="24"/>
          <w:szCs w:val="24"/>
          <w:vertAlign w:val="superscript"/>
          <w:lang w:val="en-US"/>
        </w:rPr>
        <w:t>[4]</w:t>
      </w:r>
      <w:r>
        <w:rPr>
          <w:rFonts w:ascii="Book Antiqua" w:hAnsi="Book Antiqua" w:cs="Arial"/>
          <w:sz w:val="24"/>
          <w:szCs w:val="24"/>
          <w:lang w:val="en-US"/>
        </w:rPr>
        <w:t>.</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In this context, the need for a novel non-invasive, accurate and easily reproducible diagnostic tool, able to assess location, extent and activity grade of IBD, is crucial</w:t>
      </w:r>
      <w:r>
        <w:rPr>
          <w:rFonts w:ascii="Book Antiqua" w:hAnsi="Book Antiqua" w:cs="Arial"/>
          <w:sz w:val="24"/>
          <w:szCs w:val="24"/>
          <w:vertAlign w:val="superscript"/>
          <w:lang w:val="en-US"/>
        </w:rPr>
        <w:t>[1,6,7]</w:t>
      </w:r>
      <w:r>
        <w:rPr>
          <w:rFonts w:ascii="Book Antiqua" w:hAnsi="Book Antiqua" w:cs="Arial"/>
          <w:sz w:val="24"/>
          <w:szCs w:val="24"/>
          <w:lang w:val="en-US"/>
        </w:rPr>
        <w:t xml:space="preserve">. Molecular imaging with single photon emission tomography (SPECT) and positron emission tomography (PET) seems to be promising, allowing for tracking molecular changes occurring before clinical manifestations. </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We therefore aimed at presenting the current state-of-the art of molecular imaging in the management of patients affected by IBD.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hAnsi="Book Antiqua"/>
          <w:b/>
          <w:sz w:val="24"/>
          <w:lang w:val="en-US"/>
        </w:rPr>
      </w:pPr>
      <w:bookmarkStart w:id="28" w:name="OLE_LINK337"/>
      <w:bookmarkStart w:id="29" w:name="OLE_LINK338"/>
      <w:bookmarkStart w:id="30" w:name="OLE_LINK378"/>
      <w:bookmarkStart w:id="31" w:name="OLE_LINK388"/>
      <w:bookmarkStart w:id="32" w:name="OLE_LINK394"/>
      <w:r>
        <w:rPr>
          <w:rFonts w:ascii="Book Antiqua" w:hAnsi="Book Antiqua"/>
          <w:b/>
          <w:sz w:val="24"/>
          <w:lang w:val="en-US"/>
        </w:rPr>
        <w:t>MATERIALS AND METHODS</w:t>
      </w:r>
    </w:p>
    <w:bookmarkEnd w:id="28"/>
    <w:bookmarkEnd w:id="29"/>
    <w:bookmarkEnd w:id="30"/>
    <w:bookmarkEnd w:id="31"/>
    <w:bookmarkEnd w:id="32"/>
    <w:p w:rsidR="0003376C" w:rsidRDefault="005739BD" w:rsidP="00924331">
      <w:pPr>
        <w:spacing w:after="0" w:line="360" w:lineRule="auto"/>
        <w:jc w:val="both"/>
        <w:rPr>
          <w:rFonts w:ascii="Book Antiqua" w:hAnsi="Book Antiqua" w:cs="Arial"/>
          <w:b/>
          <w:i/>
          <w:sz w:val="24"/>
          <w:szCs w:val="24"/>
          <w:lang w:val="en-GB"/>
        </w:rPr>
      </w:pPr>
      <w:r>
        <w:rPr>
          <w:rFonts w:ascii="Book Antiqua" w:hAnsi="Book Antiqua" w:cs="Arial"/>
          <w:b/>
          <w:i/>
          <w:sz w:val="24"/>
          <w:szCs w:val="24"/>
          <w:lang w:val="en-GB"/>
        </w:rPr>
        <w:t>Search strategy</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sz w:val="24"/>
          <w:szCs w:val="24"/>
          <w:lang w:val="en-GB"/>
        </w:rPr>
        <w:t xml:space="preserve">A comprehensive computer literature search of the PubMed/MEDLINE and Web of Knowledge database was performed in order to find important original articles on the role of molecular imaging in the management of patients affected by IBD. Papers on future perspectives in the field and experimental data were also searched. The adopted algorithm was based on a combination of the terms: [a] IBD and [b1] “positron emission tomography” or “PET” or [b2] “single photon emission tomography” or “SPET” and [c1] diagnosis or [c2] prognosis or [c3] follow-up. The search was updated until February 2016 and limited to articles in English. The </w:t>
      </w:r>
      <w:r>
        <w:rPr>
          <w:rFonts w:ascii="Book Antiqua" w:hAnsi="Book Antiqua" w:cs="Arial"/>
          <w:sz w:val="24"/>
          <w:szCs w:val="24"/>
          <w:lang w:val="en-GB"/>
        </w:rPr>
        <w:lastRenderedPageBreak/>
        <w:t xml:space="preserve">references of the retrieved articles were also checked for additional studies as not to exclude possible interesting data. </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hAnsi="Book Antiqua" w:cs="Arial"/>
          <w:b/>
          <w:i/>
          <w:sz w:val="24"/>
          <w:szCs w:val="24"/>
          <w:lang w:val="en-GB"/>
        </w:rPr>
      </w:pPr>
      <w:r>
        <w:rPr>
          <w:rFonts w:ascii="Book Antiqua" w:hAnsi="Book Antiqua" w:cs="Arial"/>
          <w:b/>
          <w:i/>
          <w:sz w:val="24"/>
          <w:szCs w:val="24"/>
          <w:lang w:val="en-GB"/>
        </w:rPr>
        <w:t>Article selection</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Studies investigating the role of SPECT and PET in patients with IBD were eligible for inclusion. Studies with at least 6 patients were selected. Review articles, articles not in the field of interest, single/double case reports and commentaries were excluded. Meta-analyses were retrieved to provide convincing data for the discussion. Also, abstracts or oral/poster meeting presentations were not included.</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b/>
          <w:caps/>
          <w:sz w:val="24"/>
          <w:szCs w:val="24"/>
          <w:lang w:val="en-GB" w:eastAsia="zh-CN"/>
        </w:rPr>
      </w:pPr>
      <w:r>
        <w:rPr>
          <w:rFonts w:ascii="Book Antiqua" w:hAnsi="Book Antiqua" w:cs="Arial"/>
          <w:b/>
          <w:caps/>
          <w:sz w:val="24"/>
          <w:szCs w:val="24"/>
          <w:lang w:val="en-GB"/>
        </w:rPr>
        <w:t>Results</w:t>
      </w:r>
    </w:p>
    <w:p w:rsidR="0003376C" w:rsidRDefault="00924331" w:rsidP="00924331">
      <w:pPr>
        <w:spacing w:after="0" w:line="360" w:lineRule="auto"/>
        <w:jc w:val="both"/>
        <w:rPr>
          <w:rFonts w:ascii="Book Antiqua" w:hAnsi="Book Antiqua" w:cs="Arial"/>
          <w:sz w:val="24"/>
          <w:szCs w:val="24"/>
          <w:lang w:val="en-GB"/>
        </w:rPr>
      </w:pPr>
      <w:r w:rsidRPr="00924331">
        <w:rPr>
          <w:rFonts w:ascii="Book Antiqua" w:hAnsi="Book Antiqua" w:cs="Arial"/>
          <w:sz w:val="24"/>
          <w:szCs w:val="24"/>
          <w:lang w:val="en-GB"/>
        </w:rPr>
        <w:t>Fifty-five</w:t>
      </w:r>
      <w:r w:rsidR="005739BD">
        <w:rPr>
          <w:rFonts w:ascii="Book Antiqua" w:hAnsi="Book Antiqua" w:cs="Arial"/>
          <w:sz w:val="24"/>
          <w:szCs w:val="24"/>
          <w:lang w:val="en-GB"/>
        </w:rPr>
        <w:t xml:space="preserve"> original articles were included in this review. Specifically, 10 studies were available on the role of SPECT and 19 on PET. Furthermore, 13 articles were retrieved on the role of molecular imaging in paediatric patients, and 13 articles provided interesting insight on experimental data in the field.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hAnsi="Book Antiqua" w:cs="Arial"/>
          <w:b/>
          <w:i/>
          <w:sz w:val="24"/>
          <w:szCs w:val="24"/>
          <w:lang w:val="en-GB"/>
        </w:rPr>
      </w:pPr>
      <w:r>
        <w:rPr>
          <w:rFonts w:ascii="Book Antiqua" w:hAnsi="Book Antiqua" w:cs="Arial"/>
          <w:b/>
          <w:i/>
          <w:sz w:val="24"/>
          <w:szCs w:val="24"/>
          <w:lang w:val="en-GB"/>
        </w:rPr>
        <w:t>SPECT</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 xml:space="preserve">Table 1 shows the selected studies on the role of SPECT in adult patients affected by IBD. The majority of the studies were based on the ability of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to diagnose the presence of IBD. </w:t>
      </w:r>
      <w:proofErr w:type="spellStart"/>
      <w:r>
        <w:rPr>
          <w:rFonts w:ascii="Book Antiqua" w:hAnsi="Book Antiqua" w:cs="Arial"/>
          <w:sz w:val="24"/>
          <w:szCs w:val="24"/>
          <w:lang w:val="en-GB"/>
        </w:rPr>
        <w:t>Lachter</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[8]</w:t>
      </w:r>
      <w:r>
        <w:rPr>
          <w:rFonts w:ascii="Book Antiqua" w:hAnsi="Book Antiqua" w:cs="Arial"/>
          <w:sz w:val="24"/>
          <w:szCs w:val="24"/>
          <w:lang w:val="en-GB"/>
        </w:rPr>
        <w:t xml:space="preserve"> showed that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scintigraphy can be useful for patients with CD, while it is not sophisticated for the diagnosis of UC. Some years later, </w:t>
      </w:r>
      <w:proofErr w:type="spellStart"/>
      <w:r>
        <w:rPr>
          <w:rFonts w:ascii="Book Antiqua" w:hAnsi="Book Antiqua" w:cs="Arial"/>
          <w:sz w:val="24"/>
          <w:szCs w:val="24"/>
          <w:lang w:val="en-GB"/>
        </w:rPr>
        <w:t>Parendes</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[9]</w:t>
      </w:r>
      <w:r>
        <w:rPr>
          <w:rFonts w:ascii="Book Antiqua" w:hAnsi="Book Antiqua" w:cs="Arial"/>
          <w:sz w:val="24"/>
          <w:szCs w:val="24"/>
          <w:lang w:val="en-GB"/>
        </w:rPr>
        <w:t xml:space="preserve">, reported that patients with suspected recurrent IBD after surgery can be evaluated with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scintigraphy as an alternative to </w:t>
      </w:r>
      <w:proofErr w:type="spellStart"/>
      <w:r>
        <w:rPr>
          <w:rFonts w:ascii="Book Antiqua" w:hAnsi="Book Antiqua" w:cs="Arial"/>
          <w:sz w:val="24"/>
          <w:szCs w:val="24"/>
          <w:lang w:val="en-GB"/>
        </w:rPr>
        <w:t>ileoendoscopy</w:t>
      </w:r>
      <w:proofErr w:type="spellEnd"/>
      <w:r>
        <w:rPr>
          <w:rFonts w:ascii="Book Antiqua" w:hAnsi="Book Antiqua" w:cs="Arial"/>
          <w:sz w:val="24"/>
          <w:szCs w:val="24"/>
          <w:lang w:val="en-GB"/>
        </w:rPr>
        <w:t xml:space="preserve">. The single-injection technique used for the administration of </w:t>
      </w:r>
      <w:proofErr w:type="spellStart"/>
      <w:r>
        <w:rPr>
          <w:rFonts w:ascii="Book Antiqua" w:hAnsi="Book Antiqua" w:cs="Arial"/>
          <w:sz w:val="24"/>
          <w:szCs w:val="24"/>
          <w:lang w:val="en-GB"/>
        </w:rPr>
        <w:t>LeukoScan</w:t>
      </w:r>
      <w:proofErr w:type="spellEnd"/>
      <w:r>
        <w:rPr>
          <w:rFonts w:ascii="Book Antiqua" w:hAnsi="Book Antiqua" w:cs="Arial"/>
          <w:sz w:val="24"/>
          <w:szCs w:val="24"/>
          <w:lang w:val="en-GB"/>
        </w:rPr>
        <w:t xml:space="preserve"> simplifies the labelling techniques required for white cell imaging. Kerry </w:t>
      </w:r>
      <w:r>
        <w:rPr>
          <w:rFonts w:ascii="Book Antiqua" w:hAnsi="Book Antiqua" w:cs="Arial"/>
          <w:i/>
          <w:sz w:val="24"/>
          <w:szCs w:val="24"/>
          <w:lang w:val="en-GB"/>
        </w:rPr>
        <w:t>et al</w:t>
      </w:r>
      <w:r>
        <w:rPr>
          <w:rFonts w:ascii="Book Antiqua" w:hAnsi="Book Antiqua" w:cs="Arial"/>
          <w:sz w:val="24"/>
          <w:szCs w:val="24"/>
          <w:vertAlign w:val="superscript"/>
          <w:lang w:val="en-GB"/>
        </w:rPr>
        <w:t>[10]</w:t>
      </w:r>
      <w:r>
        <w:rPr>
          <w:rFonts w:ascii="Book Antiqua" w:hAnsi="Book Antiqua" w:cs="Arial"/>
          <w:sz w:val="24"/>
          <w:szCs w:val="24"/>
          <w:lang w:val="en-GB"/>
        </w:rPr>
        <w:t xml:space="preserve">, investigated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Tc-leukoscan and 99mTc-white cell scan in suspected IBD in 22 patients. Planar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Tc-white blood cell (WBC) images were acquired at 45 min and 2 h post-injection, while planar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Tc-leukoscan images were acquired at 1, 2 and 4 h post-injection and with a SPECT after 4 </w:t>
      </w:r>
      <w:r>
        <w:rPr>
          <w:rFonts w:ascii="Book Antiqua" w:eastAsiaTheme="minorEastAsia" w:hAnsi="Book Antiqua" w:cs="Arial" w:hint="eastAsia"/>
          <w:sz w:val="24"/>
          <w:szCs w:val="24"/>
          <w:lang w:val="en-GB" w:eastAsia="zh-CN"/>
        </w:rPr>
        <w:t>h</w:t>
      </w:r>
      <w:r>
        <w:rPr>
          <w:rFonts w:ascii="Book Antiqua" w:hAnsi="Book Antiqua" w:cs="Arial"/>
          <w:sz w:val="24"/>
          <w:szCs w:val="24"/>
          <w:lang w:val="en-GB"/>
        </w:rPr>
        <w:t xml:space="preserve">. From a head-to-head comparison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Tc-WBC scan showed a better diagnostic accuracy in IBD patients than </w:t>
      </w:r>
      <w:r>
        <w:rPr>
          <w:rFonts w:ascii="Book Antiqua" w:hAnsi="Book Antiqua" w:cs="Arial"/>
          <w:sz w:val="24"/>
          <w:szCs w:val="24"/>
          <w:vertAlign w:val="superscript"/>
          <w:lang w:val="en-GB"/>
        </w:rPr>
        <w:t>99m</w:t>
      </w:r>
      <w:r>
        <w:rPr>
          <w:rFonts w:ascii="Book Antiqua" w:hAnsi="Book Antiqua" w:cs="Arial"/>
          <w:sz w:val="24"/>
          <w:szCs w:val="24"/>
          <w:lang w:val="en-GB"/>
        </w:rPr>
        <w:t>Tc-leukoscan.</w:t>
      </w:r>
    </w:p>
    <w:p w:rsidR="0003376C" w:rsidRDefault="005739BD" w:rsidP="009F2248">
      <w:pPr>
        <w:spacing w:after="0" w:line="360" w:lineRule="auto"/>
        <w:ind w:firstLineChars="100" w:firstLine="240"/>
        <w:jc w:val="both"/>
        <w:rPr>
          <w:rFonts w:ascii="Book Antiqua" w:hAnsi="Book Antiqua" w:cs="Arial"/>
          <w:sz w:val="24"/>
          <w:szCs w:val="24"/>
          <w:lang w:val="en-GB"/>
        </w:rPr>
      </w:pPr>
      <w:r>
        <w:rPr>
          <w:rFonts w:ascii="Book Antiqua" w:hAnsi="Book Antiqua" w:cs="Arial"/>
          <w:sz w:val="24"/>
          <w:szCs w:val="24"/>
          <w:lang w:val="en-GB"/>
        </w:rPr>
        <w:t xml:space="preserve">A direct comparison between the diagnostic performance of </w:t>
      </w:r>
      <w:r>
        <w:rPr>
          <w:rFonts w:ascii="Book Antiqua" w:hAnsi="Book Antiqua" w:cs="Arial"/>
          <w:sz w:val="24"/>
          <w:szCs w:val="24"/>
          <w:vertAlign w:val="superscript"/>
          <w:lang w:val="en-GB"/>
        </w:rPr>
        <w:t>99m</w:t>
      </w:r>
      <w:r>
        <w:rPr>
          <w:rFonts w:ascii="Book Antiqua" w:hAnsi="Book Antiqua" w:cs="Arial"/>
          <w:sz w:val="24"/>
          <w:szCs w:val="24"/>
          <w:lang w:val="en-GB"/>
        </w:rPr>
        <w:t>Tc-HMPAO-WBC SPECT and planar images was performed in 2005 and 2011</w:t>
      </w:r>
      <w:r>
        <w:rPr>
          <w:rFonts w:ascii="Book Antiqua" w:hAnsi="Book Antiqua" w:cs="Arial"/>
          <w:sz w:val="24"/>
          <w:szCs w:val="24"/>
          <w:vertAlign w:val="superscript"/>
          <w:lang w:val="en-GB"/>
        </w:rPr>
        <w:t>[11,12]</w:t>
      </w:r>
      <w:r>
        <w:rPr>
          <w:rFonts w:ascii="Book Antiqua" w:hAnsi="Book Antiqua" w:cs="Arial"/>
          <w:sz w:val="24"/>
          <w:szCs w:val="24"/>
          <w:lang w:val="en-GB"/>
        </w:rPr>
        <w:t xml:space="preserve">. These two studies </w:t>
      </w:r>
      <w:r>
        <w:rPr>
          <w:rFonts w:ascii="Book Antiqua" w:hAnsi="Book Antiqua" w:cs="Arial"/>
          <w:sz w:val="24"/>
          <w:szCs w:val="24"/>
          <w:lang w:val="en-GB"/>
        </w:rPr>
        <w:lastRenderedPageBreak/>
        <w:t>comprised 22 and 99 patients, respectively and reported comparable results between planar and SPECT images regarding diagnostic accuracy</w:t>
      </w:r>
      <w:r>
        <w:rPr>
          <w:rFonts w:ascii="Book Antiqua" w:hAnsi="Book Antiqua" w:cs="Arial"/>
          <w:sz w:val="24"/>
          <w:szCs w:val="24"/>
          <w:vertAlign w:val="superscript"/>
          <w:lang w:val="en-GB"/>
        </w:rPr>
        <w:t>[11,12]</w:t>
      </w:r>
      <w:r>
        <w:rPr>
          <w:rFonts w:ascii="Book Antiqua" w:hAnsi="Book Antiqua" w:cs="Arial"/>
          <w:sz w:val="24"/>
          <w:szCs w:val="24"/>
          <w:lang w:val="en-GB"/>
        </w:rPr>
        <w:t xml:space="preserve">. However, SPECT images provided a more detailed visualization of those IBD lesions which were located in critical sites, like terminal ileum (due to the relatively intense overlying background bone marrow activity in the </w:t>
      </w:r>
      <w:proofErr w:type="spellStart"/>
      <w:r>
        <w:rPr>
          <w:rFonts w:ascii="Book Antiqua" w:hAnsi="Book Antiqua" w:cs="Arial"/>
          <w:sz w:val="24"/>
          <w:szCs w:val="24"/>
          <w:lang w:val="en-GB"/>
        </w:rPr>
        <w:t>sacro</w:t>
      </w:r>
      <w:proofErr w:type="spellEnd"/>
      <w:r>
        <w:rPr>
          <w:rFonts w:ascii="Book Antiqua" w:hAnsi="Book Antiqua" w:cs="Arial"/>
          <w:sz w:val="24"/>
          <w:szCs w:val="24"/>
          <w:lang w:val="en-GB"/>
        </w:rPr>
        <w:t>-iliac region), pelvic floor and rectum (because the rectal disease is covered by the intense overlying background activity which is often present in the bladder).</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Some authors aimed to quantify the severity of IBD by means of different parameters, like in-house validated </w:t>
      </w:r>
      <w:proofErr w:type="spellStart"/>
      <w:r>
        <w:rPr>
          <w:rFonts w:ascii="Book Antiqua" w:hAnsi="Book Antiqua" w:cs="Arial"/>
          <w:sz w:val="24"/>
          <w:szCs w:val="24"/>
          <w:lang w:val="en-GB"/>
        </w:rPr>
        <w:t>scintigraphic</w:t>
      </w:r>
      <w:proofErr w:type="spellEnd"/>
      <w:r>
        <w:rPr>
          <w:rFonts w:ascii="Book Antiqua" w:hAnsi="Book Antiqua" w:cs="Arial"/>
          <w:sz w:val="24"/>
          <w:szCs w:val="24"/>
          <w:lang w:val="en-GB"/>
        </w:rPr>
        <w:t xml:space="preserve"> indices (SI) at </w:t>
      </w:r>
      <w:r>
        <w:rPr>
          <w:rFonts w:ascii="Book Antiqua" w:hAnsi="Book Antiqua" w:cs="Arial"/>
          <w:sz w:val="24"/>
          <w:szCs w:val="24"/>
          <w:vertAlign w:val="superscript"/>
          <w:lang w:val="en-GB"/>
        </w:rPr>
        <w:t>99m</w:t>
      </w:r>
      <w:r>
        <w:rPr>
          <w:rFonts w:ascii="Book Antiqua" w:hAnsi="Book Antiqua" w:cs="Arial"/>
          <w:sz w:val="24"/>
          <w:szCs w:val="24"/>
          <w:lang w:val="en-GB"/>
        </w:rPr>
        <w:t>Tc-HMPAO-WBC scan</w:t>
      </w:r>
      <w:r>
        <w:rPr>
          <w:rFonts w:ascii="Book Antiqua" w:hAnsi="Book Antiqua" w:cs="Arial"/>
          <w:sz w:val="24"/>
          <w:szCs w:val="24"/>
          <w:vertAlign w:val="superscript"/>
          <w:lang w:val="en-GB"/>
        </w:rPr>
        <w:t xml:space="preserve">[13] </w:t>
      </w:r>
      <w:r>
        <w:rPr>
          <w:rFonts w:ascii="Book Antiqua" w:hAnsi="Book Antiqua" w:cs="Arial"/>
          <w:sz w:val="24"/>
          <w:szCs w:val="24"/>
          <w:lang w:val="en-GB"/>
        </w:rPr>
        <w:t xml:space="preserve">or the stool radioactivity (defined as the disappearance of </w:t>
      </w:r>
      <w:r>
        <w:rPr>
          <w:rFonts w:ascii="Book Antiqua" w:hAnsi="Book Antiqua" w:cs="Arial"/>
          <w:sz w:val="24"/>
          <w:szCs w:val="24"/>
          <w:vertAlign w:val="superscript"/>
          <w:lang w:val="en-GB"/>
        </w:rPr>
        <w:t>111</w:t>
      </w:r>
      <w:r>
        <w:rPr>
          <w:rFonts w:ascii="Book Antiqua" w:hAnsi="Book Antiqua" w:cs="Arial"/>
          <w:sz w:val="24"/>
          <w:szCs w:val="24"/>
          <w:lang w:val="en-GB"/>
        </w:rPr>
        <w:t>In-radiolabelled leukocytes from the spleen</w:t>
      </w:r>
      <w:r>
        <w:rPr>
          <w:rFonts w:ascii="Book Antiqua" w:hAnsi="Book Antiqua" w:cs="Arial"/>
          <w:sz w:val="24"/>
          <w:szCs w:val="24"/>
          <w:vertAlign w:val="superscript"/>
          <w:lang w:val="en-GB"/>
        </w:rPr>
        <w:t>[14]</w:t>
      </w:r>
      <w:r>
        <w:rPr>
          <w:rFonts w:ascii="Book Antiqua" w:hAnsi="Book Antiqua" w:cs="Arial"/>
          <w:sz w:val="24"/>
          <w:szCs w:val="24"/>
          <w:lang w:val="en-GB"/>
        </w:rPr>
        <w:t xml:space="preserve"> or  from the whole body retention</w:t>
      </w:r>
      <w:r>
        <w:rPr>
          <w:rFonts w:ascii="Book Antiqua" w:hAnsi="Book Antiqua" w:cs="Arial"/>
          <w:sz w:val="24"/>
          <w:szCs w:val="24"/>
          <w:vertAlign w:val="superscript"/>
          <w:lang w:val="en-GB"/>
        </w:rPr>
        <w:t>[14,15]</w:t>
      </w:r>
      <w:r>
        <w:rPr>
          <w:rFonts w:ascii="Book Antiqua" w:hAnsi="Book Antiqua" w:cs="Arial"/>
          <w:sz w:val="24"/>
          <w:szCs w:val="24"/>
          <w:lang w:val="en-GB"/>
        </w:rPr>
        <w:t xml:space="preserve">, as they migrates toward regions of inflammation). As a matter of fact, such semi-quantitative methods for the assessment of the severity of disease could be important for an objective evaluation of treatment response, although a more extensive demonstration of their usefulness lacks in the literature. </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Van den Brande </w:t>
      </w:r>
      <w:r>
        <w:rPr>
          <w:rFonts w:ascii="Book Antiqua" w:hAnsi="Book Antiqua" w:cs="Arial"/>
          <w:i/>
          <w:sz w:val="24"/>
          <w:szCs w:val="24"/>
          <w:lang w:val="en-GB"/>
        </w:rPr>
        <w:t>et al</w:t>
      </w:r>
      <w:r>
        <w:rPr>
          <w:rFonts w:ascii="Book Antiqua" w:hAnsi="Book Antiqua" w:cs="Arial"/>
          <w:sz w:val="24"/>
          <w:szCs w:val="24"/>
          <w:vertAlign w:val="superscript"/>
          <w:lang w:val="en-GB"/>
        </w:rPr>
        <w:t xml:space="preserve">[16] </w:t>
      </w:r>
      <w:r>
        <w:rPr>
          <w:rFonts w:ascii="Book Antiqua" w:hAnsi="Book Antiqua" w:cs="Arial"/>
          <w:sz w:val="24"/>
          <w:szCs w:val="24"/>
          <w:lang w:val="en-GB"/>
        </w:rPr>
        <w:t>investigated whether apoptosis in the intestine underlies the clinical benefit of anti-TNF treatment in CD, performing real-time imaging</w:t>
      </w:r>
      <w:r>
        <w:rPr>
          <w:rFonts w:ascii="Book Antiqua" w:hAnsi="Book Antiqua" w:cs="Arial"/>
          <w:sz w:val="24"/>
          <w:szCs w:val="24"/>
          <w:vertAlign w:val="superscript"/>
          <w:lang w:val="en-GB"/>
        </w:rPr>
        <w:t>[17,18]</w:t>
      </w:r>
      <w:r>
        <w:rPr>
          <w:rFonts w:ascii="Book Antiqua" w:hAnsi="Book Antiqua" w:cs="Arial"/>
          <w:sz w:val="24"/>
          <w:szCs w:val="24"/>
          <w:lang w:val="en-GB"/>
        </w:rPr>
        <w:t xml:space="preserve"> of in vivo apoptosis by using </w:t>
      </w:r>
      <w:r>
        <w:rPr>
          <w:rFonts w:ascii="Book Antiqua" w:hAnsi="Book Antiqua" w:cs="Arial"/>
          <w:sz w:val="24"/>
          <w:szCs w:val="24"/>
          <w:vertAlign w:val="superscript"/>
          <w:lang w:val="en-GB"/>
        </w:rPr>
        <w:t>99m</w:t>
      </w:r>
      <w:r>
        <w:rPr>
          <w:rFonts w:ascii="Book Antiqua" w:hAnsi="Book Antiqua" w:cs="Arial"/>
          <w:sz w:val="24"/>
          <w:szCs w:val="24"/>
          <w:lang w:val="en-GB"/>
        </w:rPr>
        <w:t>Tc–</w:t>
      </w:r>
      <w:proofErr w:type="spellStart"/>
      <w:r>
        <w:rPr>
          <w:rFonts w:ascii="Book Antiqua" w:hAnsi="Book Antiqua" w:cs="Arial"/>
          <w:sz w:val="24"/>
          <w:szCs w:val="24"/>
          <w:lang w:val="en-GB"/>
        </w:rPr>
        <w:t>annexin</w:t>
      </w:r>
      <w:proofErr w:type="spellEnd"/>
      <w:r>
        <w:rPr>
          <w:rFonts w:ascii="Book Antiqua" w:hAnsi="Book Antiqua" w:cs="Arial"/>
          <w:sz w:val="24"/>
          <w:szCs w:val="24"/>
          <w:lang w:val="en-GB"/>
        </w:rPr>
        <w:t xml:space="preserve"> V SPECT at baseline and 24 h after Infliximab treatment both in 2 models of murine experimental colitis and in 14 patients with active CD.  The authors found a mean increase of 98.7% in colonic uptake of </w:t>
      </w:r>
      <w:r>
        <w:rPr>
          <w:rFonts w:ascii="Book Antiqua" w:hAnsi="Book Antiqua" w:cs="Arial"/>
          <w:sz w:val="24"/>
          <w:szCs w:val="24"/>
          <w:vertAlign w:val="superscript"/>
          <w:lang w:val="en-GB"/>
        </w:rPr>
        <w:t>99m</w:t>
      </w:r>
      <w:r>
        <w:rPr>
          <w:rFonts w:ascii="Book Antiqua" w:hAnsi="Book Antiqua" w:cs="Arial"/>
          <w:sz w:val="24"/>
          <w:szCs w:val="24"/>
          <w:lang w:val="en-GB"/>
        </w:rPr>
        <w:t>Tc–</w:t>
      </w:r>
      <w:proofErr w:type="spellStart"/>
      <w:r>
        <w:rPr>
          <w:rFonts w:ascii="Book Antiqua" w:hAnsi="Book Antiqua" w:cs="Arial"/>
          <w:sz w:val="24"/>
          <w:szCs w:val="24"/>
          <w:lang w:val="en-GB"/>
        </w:rPr>
        <w:t>annexin</w:t>
      </w:r>
      <w:proofErr w:type="spellEnd"/>
      <w:r>
        <w:rPr>
          <w:rFonts w:ascii="Book Antiqua" w:hAnsi="Book Antiqua" w:cs="Arial"/>
          <w:sz w:val="24"/>
          <w:szCs w:val="24"/>
          <w:lang w:val="en-GB"/>
        </w:rPr>
        <w:t xml:space="preserve"> V in 10 of the 14 responding patients compared with 15.2% in non-responding patients (</w:t>
      </w:r>
      <w:r>
        <w:rPr>
          <w:rFonts w:ascii="Book Antiqua" w:eastAsiaTheme="minorEastAsia" w:hAnsi="Book Antiqua" w:cs="Arial" w:hint="eastAsia"/>
          <w:i/>
          <w:sz w:val="24"/>
          <w:szCs w:val="24"/>
          <w:lang w:val="en-GB" w:eastAsia="zh-CN"/>
        </w:rPr>
        <w:t>P</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 xml:space="preserve">= 0.03). Thus, the use of </w:t>
      </w:r>
      <w:r>
        <w:rPr>
          <w:rFonts w:ascii="Book Antiqua" w:hAnsi="Book Antiqua" w:cs="Arial"/>
          <w:sz w:val="24"/>
          <w:szCs w:val="24"/>
          <w:vertAlign w:val="superscript"/>
          <w:lang w:val="en-GB"/>
        </w:rPr>
        <w:t>99m</w:t>
      </w:r>
      <w:r>
        <w:rPr>
          <w:rFonts w:ascii="Book Antiqua" w:hAnsi="Book Antiqua" w:cs="Arial"/>
          <w:sz w:val="24"/>
          <w:szCs w:val="24"/>
          <w:lang w:val="en-GB"/>
        </w:rPr>
        <w:t>Tc–</w:t>
      </w:r>
      <w:proofErr w:type="spellStart"/>
      <w:r>
        <w:rPr>
          <w:rFonts w:ascii="Book Antiqua" w:hAnsi="Book Antiqua" w:cs="Arial"/>
          <w:sz w:val="24"/>
          <w:szCs w:val="24"/>
          <w:lang w:val="en-GB"/>
        </w:rPr>
        <w:t>annexin</w:t>
      </w:r>
      <w:proofErr w:type="spellEnd"/>
      <w:r>
        <w:rPr>
          <w:rFonts w:ascii="Book Antiqua" w:hAnsi="Book Antiqua" w:cs="Arial"/>
          <w:sz w:val="24"/>
          <w:szCs w:val="24"/>
          <w:lang w:val="en-GB"/>
        </w:rPr>
        <w:t xml:space="preserve"> V  SPECT may be envisioned in order to predict the response to Infliximab, given the correlation between the colonic uptake of </w:t>
      </w:r>
      <w:r>
        <w:rPr>
          <w:rFonts w:ascii="Book Antiqua" w:hAnsi="Book Antiqua" w:cs="Arial"/>
          <w:sz w:val="24"/>
          <w:szCs w:val="24"/>
          <w:vertAlign w:val="superscript"/>
          <w:lang w:val="en-GB"/>
        </w:rPr>
        <w:t>99m</w:t>
      </w:r>
      <w:r>
        <w:rPr>
          <w:rFonts w:ascii="Book Antiqua" w:hAnsi="Book Antiqua" w:cs="Arial"/>
          <w:sz w:val="24"/>
          <w:szCs w:val="24"/>
          <w:lang w:val="en-GB"/>
        </w:rPr>
        <w:t>Tc–</w:t>
      </w:r>
      <w:proofErr w:type="spellStart"/>
      <w:r>
        <w:rPr>
          <w:rFonts w:ascii="Book Antiqua" w:hAnsi="Book Antiqua" w:cs="Arial"/>
          <w:sz w:val="24"/>
          <w:szCs w:val="24"/>
          <w:lang w:val="en-GB"/>
        </w:rPr>
        <w:t>annexin</w:t>
      </w:r>
      <w:proofErr w:type="spellEnd"/>
      <w:r>
        <w:rPr>
          <w:rFonts w:ascii="Book Antiqua" w:hAnsi="Book Antiqua" w:cs="Arial"/>
          <w:sz w:val="24"/>
          <w:szCs w:val="24"/>
          <w:lang w:val="en-GB"/>
        </w:rPr>
        <w:t xml:space="preserve"> V and clinical benefit of anti-TNF treatment. This bears important implications in the choice of the best therapeutic options, also by increasing the cost-effectiveness of Infliximab.</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A new emerging radiopharmaceutical agent was investigated to image the presence of Interleukin 8-receptors (IL8-R), which are overexpressed by activated neutrophils into the intestinal wall of patients with IBD. Recently, </w:t>
      </w:r>
      <w:proofErr w:type="spellStart"/>
      <w:r>
        <w:rPr>
          <w:rFonts w:ascii="Book Antiqua" w:hAnsi="Book Antiqua" w:cs="Arial"/>
          <w:sz w:val="24"/>
          <w:szCs w:val="24"/>
          <w:lang w:val="en-GB"/>
        </w:rPr>
        <w:t>Aarntzen</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 xml:space="preserve">[19] </w:t>
      </w:r>
      <w:r>
        <w:rPr>
          <w:rFonts w:ascii="Book Antiqua" w:hAnsi="Book Antiqua" w:cs="Arial"/>
          <w:sz w:val="24"/>
          <w:szCs w:val="24"/>
          <w:lang w:val="en-GB"/>
        </w:rPr>
        <w:t xml:space="preserve">evaluated the accuracy of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SPECT in a prospective series of patients affected by IBD (15 with CD and 15 affected by UC). Sensitivity and specificity on a per-patient basis for the detection of active disease were 95% and 44% for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scan and 71% and 70% for endoscopy, respectively. On a per-segment basis, </w:t>
      </w:r>
      <w:r>
        <w:rPr>
          <w:rFonts w:ascii="Book Antiqua" w:hAnsi="Book Antiqua" w:cs="Arial"/>
          <w:sz w:val="24"/>
          <w:szCs w:val="24"/>
          <w:lang w:val="en-GB"/>
        </w:rPr>
        <w:lastRenderedPageBreak/>
        <w:t xml:space="preserve">sensitivity and specificity were 82% and 72% for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scan, and 74% and 85% for endoscopy, respectively. The degree of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uptake correlated with that of neutrophilic involvement in affected mucosa. As such, the authors showed that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SPECT provides a novel imaging technique able to target neutrophil recruitment in the intestinal wall, especially in IBD exacerbations of moderate-to-severe degree. These encouraging results suggest to take advantage from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Tc-IL8-R imaging in future studies, as a biomarker to personalize treatment with </w:t>
      </w:r>
      <w:proofErr w:type="spellStart"/>
      <w:r>
        <w:rPr>
          <w:rFonts w:ascii="Book Antiqua" w:hAnsi="Book Antiqua" w:cs="Arial"/>
          <w:sz w:val="24"/>
          <w:szCs w:val="24"/>
          <w:lang w:val="en-GB"/>
        </w:rPr>
        <w:t>immunomodulating</w:t>
      </w:r>
      <w:proofErr w:type="spellEnd"/>
      <w:r>
        <w:rPr>
          <w:rFonts w:ascii="Book Antiqua" w:hAnsi="Book Antiqua" w:cs="Arial"/>
          <w:sz w:val="24"/>
          <w:szCs w:val="24"/>
          <w:lang w:val="en-GB"/>
        </w:rPr>
        <w:t xml:space="preserve"> drugs.</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An overview of diagnostic performance of SPECT in the most relevant studies is reported in Table 2.</w:t>
      </w:r>
    </w:p>
    <w:p w:rsidR="0003376C" w:rsidRDefault="0003376C" w:rsidP="00924331">
      <w:pPr>
        <w:spacing w:after="0" w:line="360" w:lineRule="auto"/>
        <w:jc w:val="both"/>
        <w:rPr>
          <w:rFonts w:ascii="Book Antiqua" w:hAnsi="Book Antiqua" w:cs="Arial"/>
          <w:b/>
          <w:sz w:val="24"/>
          <w:szCs w:val="24"/>
          <w:lang w:val="en-GB"/>
        </w:rPr>
      </w:pPr>
    </w:p>
    <w:p w:rsidR="0003376C" w:rsidRDefault="005739BD" w:rsidP="00924331">
      <w:pPr>
        <w:spacing w:after="0" w:line="360" w:lineRule="auto"/>
        <w:jc w:val="both"/>
        <w:rPr>
          <w:rFonts w:ascii="Book Antiqua" w:hAnsi="Book Antiqua" w:cs="Arial"/>
          <w:b/>
          <w:i/>
          <w:sz w:val="24"/>
          <w:szCs w:val="24"/>
          <w:lang w:val="en-GB"/>
        </w:rPr>
      </w:pPr>
      <w:r>
        <w:rPr>
          <w:rFonts w:ascii="Book Antiqua" w:hAnsi="Book Antiqua" w:cs="Arial"/>
          <w:b/>
          <w:i/>
          <w:sz w:val="24"/>
          <w:szCs w:val="24"/>
          <w:lang w:val="en-GB"/>
        </w:rPr>
        <w:t>PET</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sz w:val="24"/>
          <w:szCs w:val="24"/>
          <w:lang w:val="en-GB"/>
        </w:rPr>
        <w:t xml:space="preserve">PET/CT performance in the </w:t>
      </w:r>
      <w:r>
        <w:rPr>
          <w:rFonts w:ascii="Book Antiqua" w:eastAsiaTheme="minorEastAsia" w:hAnsi="Book Antiqua" w:cs="Arial" w:hint="eastAsia"/>
          <w:b/>
          <w:sz w:val="24"/>
          <w:szCs w:val="24"/>
          <w:lang w:val="en-GB" w:eastAsia="zh-CN"/>
        </w:rPr>
        <w:t>d</w:t>
      </w:r>
      <w:r>
        <w:rPr>
          <w:rFonts w:ascii="Book Antiqua" w:hAnsi="Book Antiqua" w:cs="Arial"/>
          <w:b/>
          <w:sz w:val="24"/>
          <w:szCs w:val="24"/>
          <w:lang w:val="en-GB"/>
        </w:rPr>
        <w:t>iagnosis of IBD</w:t>
      </w:r>
      <w:r>
        <w:rPr>
          <w:rFonts w:ascii="Book Antiqua" w:eastAsiaTheme="minorEastAsia" w:hAnsi="Book Antiqua" w:cs="Arial" w:hint="eastAsia"/>
          <w:b/>
          <w:sz w:val="24"/>
          <w:szCs w:val="24"/>
          <w:lang w:val="en-GB" w:eastAsia="zh-CN"/>
        </w:rPr>
        <w:t xml:space="preserve">: </w:t>
      </w:r>
      <w:r>
        <w:rPr>
          <w:rFonts w:ascii="Book Antiqua" w:hAnsi="Book Antiqua" w:cs="Arial"/>
          <w:sz w:val="24"/>
          <w:szCs w:val="24"/>
          <w:lang w:val="en-US"/>
        </w:rPr>
        <w:t xml:space="preserve">Positron Emission Tomography with </w:t>
      </w:r>
      <w:r>
        <w:rPr>
          <w:rFonts w:ascii="Book Antiqua" w:hAnsi="Book Antiqua" w:cs="Arial"/>
          <w:sz w:val="24"/>
          <w:szCs w:val="24"/>
          <w:vertAlign w:val="superscript"/>
          <w:lang w:val="en-US"/>
        </w:rPr>
        <w:t>18</w:t>
      </w:r>
      <w:r>
        <w:rPr>
          <w:rFonts w:ascii="Book Antiqua" w:hAnsi="Book Antiqua" w:cs="Arial"/>
          <w:sz w:val="24"/>
          <w:szCs w:val="24"/>
          <w:lang w:val="en-US"/>
        </w:rPr>
        <w:t>F-Fluorodehoxiglucose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F-FDG-PET) fulfills, at least partially, the required criteria for a non-invasive, accurate and easily reproducible diagnostic tool, able to assess location, extent and activity degree of IBD. Inflamed tissues, especially during the active phase of disease, are often characterized by a high uptake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on PET images, due to overexpression of glucose transporters on the surface of neutrophils and macrophage. The relatively recent addition of computed tomography (CT) to </w:t>
      </w:r>
      <w:r>
        <w:rPr>
          <w:rFonts w:ascii="Book Antiqua" w:hAnsi="Book Antiqua" w:cs="Arial"/>
          <w:sz w:val="24"/>
          <w:szCs w:val="24"/>
          <w:vertAlign w:val="superscript"/>
          <w:lang w:val="en-US"/>
        </w:rPr>
        <w:t>18</w:t>
      </w:r>
      <w:r>
        <w:rPr>
          <w:rFonts w:ascii="Book Antiqua" w:hAnsi="Book Antiqua" w:cs="Arial"/>
          <w:sz w:val="24"/>
          <w:szCs w:val="24"/>
          <w:lang w:val="en-US"/>
        </w:rPr>
        <w:t>F-FDG PET scan allows to simultaneously analyze functional and morphologic aspects of disease, thus permitting discriminating between active and quiescent inflammation (Figure 1). Moreover, other complications such as abscesses, fistulas, inflamed lymph nodes can be effectively detected</w:t>
      </w:r>
      <w:r>
        <w:rPr>
          <w:rFonts w:ascii="Book Antiqua" w:hAnsi="Book Antiqua" w:cs="Arial"/>
          <w:sz w:val="24"/>
          <w:szCs w:val="24"/>
          <w:vertAlign w:val="superscript"/>
          <w:lang w:val="en-US"/>
        </w:rPr>
        <w:t>[1</w:t>
      </w:r>
      <w:r>
        <w:rPr>
          <w:rFonts w:ascii="Book Antiqua" w:eastAsiaTheme="minorEastAsia" w:hAnsi="Book Antiqua" w:cs="Arial" w:hint="eastAsia"/>
          <w:sz w:val="24"/>
          <w:szCs w:val="24"/>
          <w:vertAlign w:val="superscript"/>
          <w:lang w:val="en-US" w:eastAsia="zh-CN"/>
        </w:rPr>
        <w:t>-</w:t>
      </w:r>
      <w:r>
        <w:rPr>
          <w:rFonts w:ascii="Book Antiqua" w:hAnsi="Book Antiqua" w:cs="Arial"/>
          <w:sz w:val="24"/>
          <w:szCs w:val="24"/>
          <w:vertAlign w:val="superscript"/>
          <w:lang w:val="en-US"/>
        </w:rPr>
        <w:t>4,6,7,20,21]</w:t>
      </w:r>
      <w:r>
        <w:rPr>
          <w:rFonts w:ascii="Book Antiqua" w:hAnsi="Book Antiqua" w:cs="Arial"/>
          <w:sz w:val="24"/>
          <w:szCs w:val="24"/>
          <w:lang w:val="en-US"/>
        </w:rPr>
        <w:t>.</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In the latest 10 years, a handful of studies explored the role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eventually fused with CT, in the evaluation of disease activity in patients with known IBD. In 2007 </w:t>
      </w:r>
      <w:proofErr w:type="spellStart"/>
      <w:r>
        <w:rPr>
          <w:rFonts w:ascii="Book Antiqua" w:hAnsi="Book Antiqua" w:cs="Arial"/>
          <w:sz w:val="24"/>
          <w:szCs w:val="24"/>
          <w:lang w:val="en-US"/>
        </w:rPr>
        <w:t>Meisner</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 xml:space="preserve">[6] </w:t>
      </w:r>
      <w:r>
        <w:rPr>
          <w:rFonts w:ascii="Book Antiqua" w:hAnsi="Book Antiqua" w:cs="Arial"/>
          <w:sz w:val="24"/>
          <w:szCs w:val="24"/>
          <w:lang w:val="en-US"/>
        </w:rPr>
        <w:t xml:space="preserve">published the first prospective study on 12 patients with known and at least moderate IBD (7 UC and 5 CD) undergoing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In this pilot-study, the correlation between active regions on PET scan and those found to be active based on clinical criteria (including colonoscopy and radiologic examinations results) was equal to 95.8% in UC and 81.3% in CD patients. Interestingly, the co-registration with CT was helpful for anatomical identification of different bowel segments in CD, especially in case of small bowel involvement and </w:t>
      </w:r>
      <w:r>
        <w:rPr>
          <w:rFonts w:ascii="Book Antiqua" w:hAnsi="Book Antiqua" w:cs="Arial"/>
          <w:sz w:val="24"/>
          <w:szCs w:val="24"/>
          <w:lang w:val="en-US"/>
        </w:rPr>
        <w:lastRenderedPageBreak/>
        <w:t>surgically treated patients, whereas PET alone considered adequate to accurately define anatomic regions in those patients diagnosed with UC.</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One of the main limits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is represented by false positive cases due to physiologic uptake of the radiopharmaceutical in normal bowel, caused by the typically high turnover of intestinal mucosa, the presence of material in the lumen, bacterial flora, lymphoid tissue inside the mucosa, but mostly by the peristaltic activity of muscular layer and the physiologic collapse of bowel loops. However, these two latter factors can be effectively overcome by a proper distention of bowel segments through the administration of great amount of fluids, as in the case of PET/CT </w:t>
      </w:r>
      <w:proofErr w:type="spellStart"/>
      <w:r>
        <w:rPr>
          <w:rFonts w:ascii="Book Antiqua" w:hAnsi="Book Antiqua" w:cs="Arial"/>
          <w:sz w:val="24"/>
          <w:szCs w:val="24"/>
          <w:lang w:val="en-US"/>
        </w:rPr>
        <w:t>enterography</w:t>
      </w:r>
      <w:proofErr w:type="spellEnd"/>
      <w:r>
        <w:rPr>
          <w:rFonts w:ascii="Book Antiqua" w:hAnsi="Book Antiqua" w:cs="Arial"/>
          <w:sz w:val="24"/>
          <w:szCs w:val="24"/>
          <w:vertAlign w:val="superscript"/>
          <w:lang w:val="en-US"/>
        </w:rPr>
        <w:t>[1,3,7,20,21]</w:t>
      </w:r>
      <w:r>
        <w:rPr>
          <w:rFonts w:ascii="Book Antiqua" w:hAnsi="Book Antiqua" w:cs="Arial"/>
          <w:sz w:val="24"/>
          <w:szCs w:val="24"/>
          <w:lang w:val="en-US"/>
        </w:rPr>
        <w:t xml:space="preserve">. To reduce the number of false positive findings in the intestinal tract during a PET scan, </w:t>
      </w:r>
      <w:proofErr w:type="spellStart"/>
      <w:r>
        <w:rPr>
          <w:rFonts w:ascii="Book Antiqua" w:hAnsi="Book Antiqua" w:cs="Arial"/>
          <w:sz w:val="24"/>
          <w:szCs w:val="24"/>
          <w:lang w:val="en-US"/>
        </w:rPr>
        <w:t>Franquet</w:t>
      </w:r>
      <w:proofErr w:type="spellEnd"/>
      <w:r>
        <w:rPr>
          <w:rFonts w:ascii="Book Antiqua" w:hAnsi="Book Antiqua" w:cs="Arial"/>
          <w:i/>
          <w:sz w:val="24"/>
          <w:szCs w:val="24"/>
          <w:lang w:val="en-US"/>
        </w:rPr>
        <w:t xml:space="preserve"> et al</w:t>
      </w:r>
      <w:r>
        <w:rPr>
          <w:rFonts w:ascii="Book Antiqua" w:hAnsi="Book Antiqua" w:cs="Arial"/>
          <w:sz w:val="24"/>
          <w:szCs w:val="24"/>
          <w:vertAlign w:val="superscript"/>
          <w:lang w:val="en-US"/>
        </w:rPr>
        <w:t xml:space="preserve">[22] </w:t>
      </w:r>
      <w:r>
        <w:rPr>
          <w:rFonts w:ascii="Book Antiqua" w:hAnsi="Book Antiqua" w:cs="Arial"/>
          <w:sz w:val="24"/>
          <w:szCs w:val="24"/>
          <w:lang w:val="en-US"/>
        </w:rPr>
        <w:t xml:space="preserve">proposed to undertake a therapy with </w:t>
      </w:r>
      <w:proofErr w:type="spellStart"/>
      <w:r>
        <w:rPr>
          <w:rFonts w:ascii="Book Antiqua" w:hAnsi="Book Antiqua" w:cs="Arial"/>
          <w:sz w:val="24"/>
          <w:szCs w:val="24"/>
          <w:lang w:val="en-US"/>
        </w:rPr>
        <w:t>Rifaximine</w:t>
      </w:r>
      <w:proofErr w:type="spellEnd"/>
      <w:r>
        <w:rPr>
          <w:rFonts w:ascii="Book Antiqua" w:hAnsi="Book Antiqua" w:cs="Arial"/>
          <w:sz w:val="24"/>
          <w:szCs w:val="24"/>
          <w:lang w:val="en-US"/>
        </w:rPr>
        <w:t xml:space="preserve"> 2 </w:t>
      </w:r>
      <w:r>
        <w:rPr>
          <w:rFonts w:ascii="Book Antiqua" w:eastAsiaTheme="minorEastAsia" w:hAnsi="Book Antiqua" w:cs="Arial" w:hint="eastAsia"/>
          <w:sz w:val="24"/>
          <w:szCs w:val="24"/>
          <w:lang w:val="en-US" w:eastAsia="zh-CN"/>
        </w:rPr>
        <w:t>d</w:t>
      </w:r>
      <w:r>
        <w:rPr>
          <w:rFonts w:ascii="Book Antiqua" w:hAnsi="Book Antiqua" w:cs="Arial"/>
          <w:sz w:val="24"/>
          <w:szCs w:val="24"/>
          <w:lang w:val="en-US"/>
        </w:rPr>
        <w:t xml:space="preserve"> before the PET scan. In their paper, this patient preparation allowed to reduce the unspecific FDG uptake.</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For the evaluation of patients with CD, Ahmadi</w:t>
      </w:r>
      <w:r>
        <w:rPr>
          <w:rFonts w:ascii="Book Antiqua" w:eastAsiaTheme="minorEastAsia" w:hAnsi="Book Antiqua" w:cs="Arial" w:hint="eastAsia"/>
          <w:sz w:val="24"/>
          <w:szCs w:val="24"/>
          <w:lang w:val="en-US" w:eastAsia="zh-CN"/>
        </w:rPr>
        <w:t xml:space="preserve"> </w:t>
      </w:r>
      <w:r>
        <w:rPr>
          <w:rFonts w:ascii="Book Antiqua" w:eastAsiaTheme="minorEastAsia" w:hAnsi="Book Antiqua" w:cs="Arial" w:hint="eastAsia"/>
          <w:i/>
          <w:sz w:val="24"/>
          <w:szCs w:val="24"/>
          <w:lang w:val="en-US" w:eastAsia="zh-CN"/>
        </w:rPr>
        <w:t>et al</w:t>
      </w:r>
      <w:r>
        <w:rPr>
          <w:rFonts w:ascii="Book Antiqua" w:hAnsi="Book Antiqua" w:cs="Arial"/>
          <w:sz w:val="24"/>
          <w:szCs w:val="24"/>
          <w:vertAlign w:val="superscript"/>
          <w:lang w:val="en-US"/>
        </w:rPr>
        <w:t xml:space="preserve">[7] </w:t>
      </w:r>
      <w:r>
        <w:rPr>
          <w:rFonts w:ascii="Book Antiqua" w:hAnsi="Book Antiqua" w:cs="Arial"/>
          <w:sz w:val="24"/>
          <w:szCs w:val="24"/>
          <w:lang w:val="en-US"/>
        </w:rPr>
        <w:t xml:space="preserve">retrospectively studied 41 patients with known or suspected active disease of the small bowel, who underwent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Thirty patients presented a total of 48 pathological bowel segments on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of which 38 (79%) also showed an abnormal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uptake. All pathological areas identified by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corresponded to abnormal areas visualized on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score of activity and semi-quantitative PET parameters showed also a significant correlation (</w:t>
      </w:r>
      <w:r>
        <w:rPr>
          <w:rFonts w:ascii="Book Antiqua" w:eastAsiaTheme="minorEastAsia" w:hAnsi="Book Antiqua" w:cs="Arial" w:hint="eastAsia"/>
          <w:i/>
          <w:sz w:val="24"/>
          <w:szCs w:val="24"/>
          <w:lang w:val="en-US" w:eastAsia="zh-CN"/>
        </w:rPr>
        <w:t>P</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 0.03). In a prospective study </w:t>
      </w:r>
      <w:proofErr w:type="spellStart"/>
      <w:r>
        <w:rPr>
          <w:rFonts w:ascii="Book Antiqua" w:hAnsi="Book Antiqua" w:cs="Arial"/>
          <w:sz w:val="24"/>
          <w:szCs w:val="24"/>
          <w:lang w:val="en-US"/>
        </w:rPr>
        <w:t>Groshar</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[20]</w:t>
      </w:r>
      <w:r>
        <w:rPr>
          <w:rFonts w:ascii="Book Antiqua" w:hAnsi="Book Antiqua" w:cs="Arial"/>
          <w:sz w:val="24"/>
          <w:szCs w:val="24"/>
          <w:lang w:val="en-US"/>
        </w:rPr>
        <w:t xml:space="preserve"> also explored the ability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to detect IBD and to assess its degree of activity. The authors compared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to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in 28 patients with known or suspected active CD. Eighty-five abnormal segments were found in 22 patients, while the remaining 6 subjects had unremarkable finding both on PET and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The authors found a significant difference in abnormal and normal segments in mean wall thickness, mean mural enhancement and maximum standardized uptake value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vertAlign w:val="subscript"/>
          <w:lang w:val="en-US"/>
        </w:rPr>
        <w:t xml:space="preserve">, </w:t>
      </w:r>
      <w:r>
        <w:rPr>
          <w:rFonts w:ascii="Book Antiqua" w:eastAsiaTheme="minorEastAsia" w:hAnsi="Book Antiqua" w:cs="Arial" w:hint="eastAsia"/>
          <w:i/>
          <w:sz w:val="24"/>
          <w:szCs w:val="24"/>
          <w:lang w:val="en-US" w:eastAsia="zh-CN"/>
        </w:rPr>
        <w:t>P</w:t>
      </w:r>
      <w:r>
        <w:rPr>
          <w:rFonts w:ascii="Book Antiqua" w:hAnsi="Book Antiqua" w:cs="Arial"/>
          <w:i/>
          <w:sz w:val="24"/>
          <w:szCs w:val="24"/>
          <w:lang w:val="en-US"/>
        </w:rPr>
        <w:t xml:space="preserve"> </w:t>
      </w:r>
      <w:r>
        <w:rPr>
          <w:rFonts w:ascii="Book Antiqua" w:hAnsi="Book Antiqua" w:cs="Arial"/>
          <w:sz w:val="24"/>
          <w:szCs w:val="24"/>
          <w:lang w:val="en-US"/>
        </w:rPr>
        <w:t xml:space="preserve">&lt; 0.0001). A good correlation was also found between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and wall thickness or mural enhancement measurements, both in the colon and ileum (</w:t>
      </w:r>
      <w:r>
        <w:rPr>
          <w:rFonts w:ascii="Book Antiqua" w:eastAsiaTheme="minorEastAsia" w:hAnsi="Book Antiqua" w:cs="Arial" w:hint="eastAsia"/>
          <w:i/>
          <w:sz w:val="24"/>
          <w:szCs w:val="24"/>
          <w:lang w:val="en-US" w:eastAsia="zh-CN"/>
        </w:rPr>
        <w:t>P</w:t>
      </w:r>
      <w:r>
        <w:rPr>
          <w:rFonts w:ascii="Book Antiqua" w:hAnsi="Book Antiqua" w:cs="Arial"/>
          <w:i/>
          <w:sz w:val="24"/>
          <w:szCs w:val="24"/>
          <w:lang w:val="en-US"/>
        </w:rPr>
        <w:t xml:space="preserve"> </w:t>
      </w:r>
      <w:r>
        <w:rPr>
          <w:rFonts w:ascii="Book Antiqua" w:hAnsi="Book Antiqua" w:cs="Arial"/>
          <w:sz w:val="24"/>
          <w:szCs w:val="24"/>
          <w:lang w:val="en-US"/>
        </w:rPr>
        <w:t>&lt;</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0.00001).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correlated well also with the grade of other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parameters used to detect active inflammation, such as parietal attenuation, </w:t>
      </w:r>
      <w:proofErr w:type="spellStart"/>
      <w:r>
        <w:rPr>
          <w:rFonts w:ascii="Book Antiqua" w:hAnsi="Book Antiqua" w:cs="Arial"/>
          <w:sz w:val="24"/>
          <w:szCs w:val="24"/>
          <w:lang w:val="en-US"/>
        </w:rPr>
        <w:t>perienteric</w:t>
      </w:r>
      <w:proofErr w:type="spellEnd"/>
      <w:r>
        <w:rPr>
          <w:rFonts w:ascii="Book Antiqua" w:hAnsi="Book Antiqua" w:cs="Arial"/>
          <w:sz w:val="24"/>
          <w:szCs w:val="24"/>
          <w:lang w:val="en-US"/>
        </w:rPr>
        <w:t xml:space="preserve"> fat attenuation and </w:t>
      </w:r>
      <w:proofErr w:type="spellStart"/>
      <w:r>
        <w:rPr>
          <w:rFonts w:ascii="Book Antiqua" w:hAnsi="Book Antiqua" w:cs="Arial"/>
          <w:sz w:val="24"/>
          <w:szCs w:val="24"/>
          <w:lang w:val="en-US"/>
        </w:rPr>
        <w:t>perienteric</w:t>
      </w:r>
      <w:proofErr w:type="spellEnd"/>
      <w:r>
        <w:rPr>
          <w:rFonts w:ascii="Book Antiqua" w:hAnsi="Book Antiqua" w:cs="Arial"/>
          <w:sz w:val="24"/>
          <w:szCs w:val="24"/>
          <w:lang w:val="en-US"/>
        </w:rPr>
        <w:t>/</w:t>
      </w:r>
      <w:proofErr w:type="spellStart"/>
      <w:r>
        <w:rPr>
          <w:rFonts w:ascii="Book Antiqua" w:hAnsi="Book Antiqua" w:cs="Arial"/>
          <w:sz w:val="24"/>
          <w:szCs w:val="24"/>
          <w:lang w:val="en-US"/>
        </w:rPr>
        <w:t>pericolic</w:t>
      </w:r>
      <w:proofErr w:type="spellEnd"/>
      <w:r>
        <w:rPr>
          <w:rFonts w:ascii="Book Antiqua" w:hAnsi="Book Antiqua" w:cs="Arial"/>
          <w:sz w:val="24"/>
          <w:szCs w:val="24"/>
          <w:lang w:val="en-US"/>
        </w:rPr>
        <w:t xml:space="preserve"> </w:t>
      </w:r>
      <w:proofErr w:type="spellStart"/>
      <w:r>
        <w:rPr>
          <w:rFonts w:ascii="Book Antiqua" w:hAnsi="Book Antiqua" w:cs="Arial"/>
          <w:sz w:val="24"/>
          <w:szCs w:val="24"/>
          <w:lang w:val="en-US"/>
        </w:rPr>
        <w:t>hypervascularization</w:t>
      </w:r>
      <w:proofErr w:type="spellEnd"/>
      <w:r>
        <w:rPr>
          <w:rFonts w:ascii="Book Antiqua" w:hAnsi="Book Antiqua" w:cs="Arial"/>
          <w:sz w:val="24"/>
          <w:szCs w:val="24"/>
          <w:lang w:val="en-US"/>
        </w:rPr>
        <w:t xml:space="preserve"> (</w:t>
      </w:r>
      <w:r>
        <w:rPr>
          <w:rFonts w:ascii="Book Antiqua" w:eastAsiaTheme="minorEastAsia" w:hAnsi="Book Antiqua" w:cs="Arial" w:hint="eastAsia"/>
          <w:i/>
          <w:sz w:val="24"/>
          <w:szCs w:val="24"/>
          <w:lang w:val="en-US" w:eastAsia="zh-CN"/>
        </w:rPr>
        <w:t>P</w:t>
      </w:r>
      <w:r>
        <w:rPr>
          <w:rFonts w:ascii="Book Antiqua" w:hAnsi="Book Antiqua" w:cs="Arial"/>
          <w:i/>
          <w:sz w:val="24"/>
          <w:szCs w:val="24"/>
          <w:lang w:val="en-US"/>
        </w:rPr>
        <w:t xml:space="preserve"> </w:t>
      </w:r>
      <w:r>
        <w:rPr>
          <w:rFonts w:ascii="Book Antiqua" w:hAnsi="Book Antiqua" w:cs="Arial"/>
          <w:sz w:val="24"/>
          <w:szCs w:val="24"/>
          <w:lang w:val="en-US"/>
        </w:rPr>
        <w:t>&lt; 0.001).</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lastRenderedPageBreak/>
        <w:t xml:space="preserve">A pilot study also analyzed the diagnostic advantage of adding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to CT </w:t>
      </w:r>
      <w:proofErr w:type="spellStart"/>
      <w:r>
        <w:rPr>
          <w:rFonts w:ascii="Book Antiqua" w:hAnsi="Book Antiqua" w:cs="Arial"/>
          <w:sz w:val="24"/>
          <w:szCs w:val="24"/>
          <w:lang w:val="en-US"/>
        </w:rPr>
        <w:t>enterography</w:t>
      </w:r>
      <w:proofErr w:type="spellEnd"/>
      <w:r>
        <w:rPr>
          <w:rFonts w:ascii="Book Antiqua" w:hAnsi="Book Antiqua" w:cs="Arial"/>
          <w:sz w:val="24"/>
          <w:szCs w:val="24"/>
          <w:vertAlign w:val="superscript"/>
          <w:lang w:val="en-US"/>
        </w:rPr>
        <w:t>[21]</w:t>
      </w:r>
      <w:r>
        <w:rPr>
          <w:rFonts w:ascii="Book Antiqua" w:hAnsi="Book Antiqua" w:cs="Arial"/>
          <w:sz w:val="24"/>
          <w:szCs w:val="24"/>
          <w:lang w:val="en-US"/>
        </w:rPr>
        <w:t xml:space="preserve">. The authors compared PET and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alone in 13 CD patients with clinically suspected active disease, using histology after surgery or biopsy performed during endoscopy as gold standard (in 6 and 7 patients, respectively). In 3 (23%) patients,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allowed to identify signs of active disease otherwise missed by CT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alone, including an </w:t>
      </w:r>
      <w:proofErr w:type="spellStart"/>
      <w:r>
        <w:rPr>
          <w:rFonts w:ascii="Book Antiqua" w:hAnsi="Book Antiqua" w:cs="Arial"/>
          <w:sz w:val="24"/>
          <w:szCs w:val="24"/>
          <w:lang w:val="en-US"/>
        </w:rPr>
        <w:t>entero</w:t>
      </w:r>
      <w:proofErr w:type="spellEnd"/>
      <w:r>
        <w:rPr>
          <w:rFonts w:ascii="Book Antiqua" w:hAnsi="Book Antiqua" w:cs="Arial"/>
          <w:sz w:val="24"/>
          <w:szCs w:val="24"/>
          <w:lang w:val="en-US"/>
        </w:rPr>
        <w:t>-colic fistula in one patient. Both techniques were able to identify all bowel segments with at least a moderate activity. There was a significant correlation between both techniques and histology in the evaluation of disease activity.</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In a prospective study, Das </w:t>
      </w:r>
      <w:r>
        <w:rPr>
          <w:rFonts w:ascii="Book Antiqua" w:hAnsi="Book Antiqua" w:cs="Arial"/>
          <w:i/>
          <w:sz w:val="24"/>
          <w:szCs w:val="24"/>
          <w:lang w:val="en-US"/>
        </w:rPr>
        <w:t>et al</w:t>
      </w:r>
      <w:r>
        <w:rPr>
          <w:rFonts w:ascii="Book Antiqua" w:hAnsi="Book Antiqua" w:cs="Arial"/>
          <w:sz w:val="24"/>
          <w:szCs w:val="24"/>
          <w:vertAlign w:val="superscript"/>
          <w:lang w:val="en-US"/>
        </w:rPr>
        <w:t>[1]</w:t>
      </w:r>
      <w:r>
        <w:rPr>
          <w:rFonts w:ascii="Book Antiqua" w:hAnsi="Book Antiqua" w:cs="Arial"/>
          <w:sz w:val="24"/>
          <w:szCs w:val="24"/>
          <w:lang w:val="en-US"/>
        </w:rPr>
        <w:t xml:space="preserve"> compared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and colonoscopy in 15 patients, affected by mild to moderate UC.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detected 66 involved bowel segments, whereas colonoscopy found 67 pathological regions, so that the detection rate of </w:t>
      </w:r>
      <w:r>
        <w:rPr>
          <w:rFonts w:ascii="Book Antiqua" w:hAnsi="Book Antiqua" w:cs="Arial"/>
          <w:sz w:val="24"/>
          <w:szCs w:val="24"/>
          <w:vertAlign w:val="superscript"/>
          <w:lang w:val="en-US"/>
        </w:rPr>
        <w:t>18</w:t>
      </w:r>
      <w:r>
        <w:rPr>
          <w:rFonts w:ascii="Book Antiqua" w:hAnsi="Book Antiqua" w:cs="Arial"/>
          <w:sz w:val="24"/>
          <w:szCs w:val="24"/>
          <w:lang w:val="en-US"/>
        </w:rPr>
        <w:t>F-FDG PET/CT was 98.5% compared to colonoscopy. A significant correlation between the two techniques was also found in the definition of disease extent (</w:t>
      </w:r>
      <w:r>
        <w:rPr>
          <w:rFonts w:ascii="Book Antiqua" w:hAnsi="Book Antiqua" w:cs="Arial"/>
          <w:i/>
          <w:sz w:val="24"/>
          <w:szCs w:val="24"/>
          <w:lang w:val="en-US"/>
        </w:rPr>
        <w:t>κ</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55.3%, </w:t>
      </w:r>
      <w:r>
        <w:rPr>
          <w:rFonts w:ascii="Book Antiqua" w:eastAsiaTheme="minorEastAsia" w:hAnsi="Book Antiqua" w:cs="Arial" w:hint="eastAsia"/>
          <w:i/>
          <w:sz w:val="24"/>
          <w:szCs w:val="24"/>
          <w:lang w:val="en-US" w:eastAsia="zh-CN"/>
        </w:rPr>
        <w:t>P</w:t>
      </w:r>
      <w:r>
        <w:rPr>
          <w:rFonts w:ascii="Book Antiqua" w:hAnsi="Book Antiqua" w:cs="Arial"/>
          <w:sz w:val="24"/>
          <w:szCs w:val="24"/>
          <w:lang w:val="en-US"/>
        </w:rPr>
        <w:t xml:space="preserve"> = 0.02). </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was also compared to other imaging techniques, showing in many cases even better diagnostic performance. In 2012 </w:t>
      </w:r>
      <w:proofErr w:type="spellStart"/>
      <w:r>
        <w:rPr>
          <w:rFonts w:ascii="Book Antiqua" w:hAnsi="Book Antiqua" w:cs="Arial"/>
          <w:sz w:val="24"/>
          <w:szCs w:val="24"/>
          <w:lang w:val="en-US"/>
        </w:rPr>
        <w:t>Holtmann</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[2]</w:t>
      </w:r>
      <w:r>
        <w:rPr>
          <w:rFonts w:ascii="Book Antiqua" w:hAnsi="Book Antiqua" w:cs="Arial"/>
          <w:sz w:val="24"/>
          <w:szCs w:val="24"/>
          <w:lang w:val="en-US"/>
        </w:rPr>
        <w:t xml:space="preserve"> evaluated 43 patients with active CD, undergoing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w:t>
      </w:r>
      <w:proofErr w:type="spellStart"/>
      <w:r>
        <w:rPr>
          <w:rFonts w:ascii="Book Antiqua" w:hAnsi="Book Antiqua" w:cs="Arial"/>
          <w:sz w:val="24"/>
          <w:szCs w:val="24"/>
          <w:lang w:val="en-US"/>
        </w:rPr>
        <w:t>ileo</w:t>
      </w:r>
      <w:proofErr w:type="spellEnd"/>
      <w:r>
        <w:rPr>
          <w:rFonts w:ascii="Book Antiqua" w:hAnsi="Book Antiqua" w:cs="Arial"/>
          <w:sz w:val="24"/>
          <w:szCs w:val="24"/>
          <w:lang w:val="en-US"/>
        </w:rPr>
        <w:t xml:space="preserve">-colonoscopy and hydro-MRI. A total of 241 bowel segments in the terminal ileum and colon were examined. Endoscopy detected inflammation in 80 of 241, while </w:t>
      </w:r>
      <w:r>
        <w:rPr>
          <w:rFonts w:ascii="Book Antiqua" w:hAnsi="Book Antiqua" w:cs="Arial"/>
          <w:sz w:val="24"/>
          <w:szCs w:val="24"/>
          <w:vertAlign w:val="superscript"/>
          <w:lang w:val="en-US"/>
        </w:rPr>
        <w:t>18</w:t>
      </w:r>
      <w:r>
        <w:rPr>
          <w:rFonts w:ascii="Book Antiqua" w:hAnsi="Book Antiqua" w:cs="Arial"/>
          <w:sz w:val="24"/>
          <w:szCs w:val="24"/>
          <w:lang w:val="en-US"/>
        </w:rPr>
        <w:t>F-FDG PET in 72 (sensitivity and a specificity of 90% and 92.6%, respectively). Conversely, hydro-MRI identified 53/80 inflamed segments with a sensitivity of only 66.3% and a specificity of 99.4%. Specifically,  hydro-MRI displayed the lowest sensitivity but a 100% specificity for all colon segments, while in the terminal ileum sensitivity and specificity were 100% and 93.3%, respectively (</w:t>
      </w:r>
      <w:r>
        <w:rPr>
          <w:rFonts w:ascii="Book Antiqua" w:hAnsi="Book Antiqua" w:cs="Arial"/>
          <w:i/>
          <w:sz w:val="24"/>
          <w:szCs w:val="24"/>
          <w:lang w:val="en-US"/>
        </w:rPr>
        <w:t>vs</w:t>
      </w:r>
      <w:r>
        <w:rPr>
          <w:rFonts w:ascii="Book Antiqua" w:hAnsi="Book Antiqua" w:cs="Arial"/>
          <w:sz w:val="24"/>
          <w:szCs w:val="24"/>
          <w:lang w:val="en-US"/>
        </w:rPr>
        <w:t xml:space="preserve"> 86.4% and 93.3%, respectively,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In the proximal ileum, </w:t>
      </w:r>
      <w:r>
        <w:rPr>
          <w:rFonts w:ascii="Book Antiqua" w:hAnsi="Book Antiqua" w:cs="Arial"/>
          <w:sz w:val="24"/>
          <w:szCs w:val="24"/>
          <w:vertAlign w:val="superscript"/>
          <w:lang w:val="en-US"/>
        </w:rPr>
        <w:t>18</w:t>
      </w:r>
      <w:r>
        <w:rPr>
          <w:rFonts w:ascii="Book Antiqua" w:hAnsi="Book Antiqua" w:cs="Arial"/>
          <w:sz w:val="24"/>
          <w:szCs w:val="24"/>
          <w:lang w:val="en-US"/>
        </w:rPr>
        <w:t>F-FDG PET and hydro-MRI had the same results in all cases, reaching identical sensitivity and specificity.</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One of the main issues in CD patients is to distinguish the nature of strictures (predominantly inflammatory or fibrotic, or mixed), as they represent a common complication of CD and show a very high rate of recurrence after surgical resection. As such, it is crucial to discriminate those lesions likely to benefit from surgical treatment (the predominantly fibrotic ones) from those still medically treatable (the inflammatory ones). With this regard, some authors suggested a possible role for </w:t>
      </w:r>
      <w:r>
        <w:rPr>
          <w:rFonts w:ascii="Book Antiqua" w:hAnsi="Book Antiqua" w:cs="Arial"/>
          <w:sz w:val="24"/>
          <w:szCs w:val="24"/>
          <w:vertAlign w:val="superscript"/>
          <w:lang w:val="en-US"/>
        </w:rPr>
        <w:t>18</w:t>
      </w:r>
      <w:r>
        <w:rPr>
          <w:rFonts w:ascii="Book Antiqua" w:hAnsi="Book Antiqua" w:cs="Arial"/>
          <w:sz w:val="24"/>
          <w:szCs w:val="24"/>
          <w:lang w:val="en-US"/>
        </w:rPr>
        <w:t>F-</w:t>
      </w:r>
      <w:r>
        <w:rPr>
          <w:rFonts w:ascii="Book Antiqua" w:hAnsi="Book Antiqua" w:cs="Arial"/>
          <w:sz w:val="24"/>
          <w:szCs w:val="24"/>
          <w:lang w:val="en-US"/>
        </w:rPr>
        <w:lastRenderedPageBreak/>
        <w:t>FDG PET, although data are still limited and controversial</w:t>
      </w:r>
      <w:r>
        <w:rPr>
          <w:rFonts w:ascii="Book Antiqua" w:hAnsi="Book Antiqua" w:cs="Arial"/>
          <w:sz w:val="24"/>
          <w:szCs w:val="24"/>
          <w:vertAlign w:val="superscript"/>
          <w:lang w:val="en-US"/>
        </w:rPr>
        <w:t>[2,4,5]</w:t>
      </w:r>
      <w:r>
        <w:rPr>
          <w:rFonts w:ascii="Book Antiqua" w:hAnsi="Book Antiqua" w:cs="Arial"/>
          <w:sz w:val="24"/>
          <w:szCs w:val="24"/>
          <w:lang w:val="en-US"/>
        </w:rPr>
        <w:t xml:space="preserve">. While </w:t>
      </w:r>
      <w:proofErr w:type="spellStart"/>
      <w:r>
        <w:rPr>
          <w:rFonts w:ascii="Book Antiqua" w:hAnsi="Book Antiqua" w:cs="Arial"/>
          <w:sz w:val="24"/>
          <w:szCs w:val="24"/>
          <w:lang w:val="en-US"/>
        </w:rPr>
        <w:t>Shyn</w:t>
      </w:r>
      <w:proofErr w:type="spellEnd"/>
      <w:r>
        <w:rPr>
          <w:rFonts w:ascii="Book Antiqua" w:hAnsi="Book Antiqua" w:cs="Arial"/>
          <w:sz w:val="24"/>
          <w:szCs w:val="24"/>
          <w:lang w:val="en-US"/>
        </w:rPr>
        <w:t xml:space="preserve"> and colleagues reported no significant difference in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between the strictures deserving or not a surgical resection, although in a small patient sample</w:t>
      </w:r>
      <w:r>
        <w:rPr>
          <w:rFonts w:ascii="Book Antiqua" w:hAnsi="Book Antiqua" w:cs="Arial"/>
          <w:sz w:val="24"/>
          <w:szCs w:val="24"/>
          <w:vertAlign w:val="superscript"/>
          <w:lang w:val="en-US"/>
        </w:rPr>
        <w:t>[21]</w:t>
      </w:r>
      <w:r>
        <w:rPr>
          <w:rFonts w:ascii="Book Antiqua" w:hAnsi="Book Antiqua" w:cs="Arial"/>
          <w:sz w:val="24"/>
          <w:szCs w:val="24"/>
          <w:lang w:val="en-US"/>
        </w:rPr>
        <w:t xml:space="preserve">, </w:t>
      </w:r>
      <w:proofErr w:type="spellStart"/>
      <w:r>
        <w:rPr>
          <w:rFonts w:ascii="Book Antiqua" w:hAnsi="Book Antiqua" w:cs="Arial"/>
          <w:sz w:val="24"/>
          <w:szCs w:val="24"/>
          <w:lang w:val="en-US"/>
        </w:rPr>
        <w:t>Holtmann</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[2]</w:t>
      </w:r>
      <w:r>
        <w:rPr>
          <w:rFonts w:ascii="Book Antiqua" w:hAnsi="Book Antiqua" w:cs="Arial"/>
          <w:sz w:val="24"/>
          <w:szCs w:val="24"/>
          <w:lang w:val="en-US"/>
        </w:rPr>
        <w:t xml:space="preserve"> showed that both hydro-MRI and </w:t>
      </w:r>
      <w:r>
        <w:rPr>
          <w:rFonts w:ascii="Book Antiqua" w:hAnsi="Book Antiqua" w:cs="Arial"/>
          <w:sz w:val="24"/>
          <w:szCs w:val="24"/>
          <w:vertAlign w:val="superscript"/>
          <w:lang w:val="en-US"/>
        </w:rPr>
        <w:t>18</w:t>
      </w:r>
      <w:r>
        <w:rPr>
          <w:rFonts w:ascii="Book Antiqua" w:hAnsi="Book Antiqua" w:cs="Arial"/>
          <w:sz w:val="24"/>
          <w:szCs w:val="24"/>
          <w:lang w:val="en-US"/>
        </w:rPr>
        <w:t>F-FDG PET have very high accuracy in detecting and characterizing strictures.</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Louis</w:t>
      </w:r>
      <w:r>
        <w:rPr>
          <w:rFonts w:ascii="Book Antiqua" w:hAnsi="Book Antiqua" w:cs="Arial"/>
          <w:i/>
          <w:sz w:val="24"/>
          <w:szCs w:val="24"/>
          <w:lang w:val="en-US"/>
        </w:rPr>
        <w:t xml:space="preserve"> et al</w:t>
      </w:r>
      <w:r>
        <w:rPr>
          <w:rFonts w:ascii="Book Antiqua" w:hAnsi="Book Antiqua" w:cs="Arial"/>
          <w:sz w:val="24"/>
          <w:szCs w:val="24"/>
          <w:vertAlign w:val="superscript"/>
          <w:lang w:val="en-US"/>
        </w:rPr>
        <w:t>[23]</w:t>
      </w:r>
      <w:r>
        <w:rPr>
          <w:rFonts w:ascii="Book Antiqua" w:hAnsi="Book Antiqua" w:cs="Arial"/>
          <w:sz w:val="24"/>
          <w:szCs w:val="24"/>
          <w:lang w:val="en-US"/>
        </w:rPr>
        <w:t xml:space="preserve"> prospectively studied 22 patients with CD. Ninety-five </w:t>
      </w:r>
      <w:proofErr w:type="spellStart"/>
      <w:r>
        <w:rPr>
          <w:rFonts w:ascii="Book Antiqua" w:hAnsi="Book Antiqua" w:cs="Arial"/>
          <w:sz w:val="24"/>
          <w:szCs w:val="24"/>
          <w:lang w:val="en-US"/>
        </w:rPr>
        <w:t>ileal</w:t>
      </w:r>
      <w:proofErr w:type="spellEnd"/>
      <w:r>
        <w:rPr>
          <w:rFonts w:ascii="Book Antiqua" w:hAnsi="Book Antiqua" w:cs="Arial"/>
          <w:sz w:val="24"/>
          <w:szCs w:val="24"/>
          <w:lang w:val="en-US"/>
        </w:rPr>
        <w:t xml:space="preserve"> segments were comparatively analyzed by endoscopy and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showing a significant correlation between CDEIs (CD endoscopic index) and </w:t>
      </w:r>
      <w:proofErr w:type="spellStart"/>
      <w:r>
        <w:rPr>
          <w:rFonts w:ascii="Book Antiqua" w:hAnsi="Book Antiqua" w:cs="Arial"/>
          <w:sz w:val="24"/>
          <w:szCs w:val="24"/>
          <w:lang w:val="en-US"/>
        </w:rPr>
        <w:t>RSUV</w:t>
      </w:r>
      <w:r>
        <w:rPr>
          <w:rFonts w:ascii="Book Antiqua" w:hAnsi="Book Antiqua" w:cs="Arial"/>
          <w:sz w:val="24"/>
          <w:szCs w:val="24"/>
          <w:vertAlign w:val="subscript"/>
          <w:lang w:val="en-US"/>
        </w:rPr>
        <w:t>max</w:t>
      </w:r>
      <w:proofErr w:type="spellEnd"/>
      <w:r>
        <w:rPr>
          <w:rFonts w:ascii="Book Antiqua" w:hAnsi="Book Antiqua" w:cs="Arial"/>
          <w:sz w:val="24"/>
          <w:szCs w:val="24"/>
          <w:vertAlign w:val="subscript"/>
          <w:lang w:val="en-US"/>
        </w:rPr>
        <w:t xml:space="preserve"> </w:t>
      </w:r>
      <w:r>
        <w:rPr>
          <w:rFonts w:ascii="Book Antiqua" w:hAnsi="Book Antiqua" w:cs="Arial"/>
          <w:sz w:val="24"/>
          <w:szCs w:val="24"/>
          <w:lang w:val="en-US"/>
        </w:rPr>
        <w:t xml:space="preserve">(the ratios of each positive-segment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over the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vertAlign w:val="subscript"/>
          <w:lang w:val="en-US"/>
        </w:rPr>
        <w:t xml:space="preserve"> </w:t>
      </w:r>
      <w:r>
        <w:rPr>
          <w:rFonts w:ascii="Book Antiqua" w:hAnsi="Book Antiqua" w:cs="Arial"/>
          <w:sz w:val="24"/>
          <w:szCs w:val="24"/>
          <w:lang w:val="en-US"/>
        </w:rPr>
        <w:t xml:space="preserve">of the liver). In their paper, </w:t>
      </w:r>
      <w:r>
        <w:rPr>
          <w:rFonts w:ascii="Book Antiqua" w:hAnsi="Book Antiqua" w:cs="Arial"/>
          <w:sz w:val="24"/>
          <w:szCs w:val="24"/>
          <w:vertAlign w:val="superscript"/>
          <w:lang w:val="en-US"/>
        </w:rPr>
        <w:t>18</w:t>
      </w:r>
      <w:r>
        <w:rPr>
          <w:rFonts w:ascii="Book Antiqua" w:hAnsi="Book Antiqua" w:cs="Arial"/>
          <w:sz w:val="24"/>
          <w:szCs w:val="24"/>
          <w:lang w:val="en-US"/>
        </w:rPr>
        <w:t>F-FDG PET/CT detected and localized the vast majority of gastrointestinal segments with moderate to severe lesions (sensitivity for super</w:t>
      </w:r>
      <w:r>
        <w:rPr>
          <w:rFonts w:ascii="Book Antiqua" w:hAnsi="Book Antiqua" w:cs="Arial"/>
          <w:sz w:val="24"/>
          <w:szCs w:val="24"/>
          <w:lang w:val="it-IT"/>
        </w:rPr>
        <w:t>ﬁ</w:t>
      </w:r>
      <w:proofErr w:type="spellStart"/>
      <w:r>
        <w:rPr>
          <w:rFonts w:ascii="Book Antiqua" w:hAnsi="Book Antiqua" w:cs="Arial"/>
          <w:sz w:val="24"/>
          <w:szCs w:val="24"/>
          <w:lang w:val="en-US"/>
        </w:rPr>
        <w:t>cial</w:t>
      </w:r>
      <w:proofErr w:type="spellEnd"/>
      <w:r>
        <w:rPr>
          <w:rFonts w:ascii="Book Antiqua" w:hAnsi="Book Antiqua" w:cs="Arial"/>
          <w:sz w:val="24"/>
          <w:szCs w:val="24"/>
          <w:lang w:val="en-US"/>
        </w:rPr>
        <w:t xml:space="preserve"> ulcers, deep ulcers, and strictures was 84.4%), allowing a non-invasive evaluation of the ongoing pathologic process in the gastrointestinal tract. Overall,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detected 35 of 48 endoscopically affected segments (sensitivity for the detection of endoscopic lesions 72.9%). This study demonstrated an important role of PET/CT in detecting active intestinal disease beyond the mucosa. This ability is important because complications of CD such as strictures may develop despite the lack of mucosal lesions visible at endoscopy, and because the presence of </w:t>
      </w:r>
      <w:proofErr w:type="spellStart"/>
      <w:r>
        <w:rPr>
          <w:rFonts w:ascii="Book Antiqua" w:hAnsi="Book Antiqua" w:cs="Arial"/>
          <w:sz w:val="24"/>
          <w:szCs w:val="24"/>
          <w:lang w:val="en-US"/>
        </w:rPr>
        <w:t>extraenteric</w:t>
      </w:r>
      <w:proofErr w:type="spellEnd"/>
      <w:r>
        <w:rPr>
          <w:rFonts w:ascii="Book Antiqua" w:hAnsi="Book Antiqua" w:cs="Arial"/>
          <w:sz w:val="24"/>
          <w:szCs w:val="24"/>
          <w:lang w:val="en-US"/>
        </w:rPr>
        <w:t xml:space="preserve">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xml:space="preserve"> is widely recognized as an important prognostic factor in CD. </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US"/>
        </w:rPr>
        <w:t xml:space="preserve">PET/CT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has been suggested in several studies as a new promising approach. This technique essentially consists in a simple extension of CT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and provides information both on morphological details and on the metabolic activity of the lesion(s). In a study by </w:t>
      </w:r>
      <w:proofErr w:type="spellStart"/>
      <w:r>
        <w:rPr>
          <w:rFonts w:ascii="Book Antiqua" w:hAnsi="Book Antiqua" w:cs="Arial"/>
          <w:sz w:val="24"/>
          <w:szCs w:val="24"/>
          <w:lang w:val="en-US"/>
        </w:rPr>
        <w:t>Chandan</w:t>
      </w:r>
      <w:proofErr w:type="spellEnd"/>
      <w:r>
        <w:rPr>
          <w:rFonts w:ascii="Book Antiqua" w:hAnsi="Book Antiqua" w:cs="Arial"/>
          <w:i/>
          <w:sz w:val="24"/>
          <w:szCs w:val="24"/>
          <w:lang w:val="en-US"/>
        </w:rPr>
        <w:t xml:space="preserve"> et al</w:t>
      </w:r>
      <w:r>
        <w:rPr>
          <w:rFonts w:ascii="Book Antiqua" w:hAnsi="Book Antiqua" w:cs="Arial"/>
          <w:sz w:val="24"/>
          <w:szCs w:val="24"/>
          <w:vertAlign w:val="superscript"/>
          <w:lang w:val="en-US"/>
        </w:rPr>
        <w:t>[24]</w:t>
      </w:r>
      <w:r>
        <w:rPr>
          <w:rFonts w:ascii="Book Antiqua" w:hAnsi="Book Antiqua" w:cs="Arial"/>
          <w:sz w:val="24"/>
          <w:szCs w:val="24"/>
          <w:lang w:val="en-US"/>
        </w:rPr>
        <w:t xml:space="preserve">, PET/CT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as a single test, detected involvement of a significantly higher number of intestinal segments (total = 50, 23 in the small intestine and 27 in the large intestine, (</w:t>
      </w:r>
      <w:r>
        <w:rPr>
          <w:rFonts w:ascii="Book Antiqua" w:eastAsiaTheme="minorEastAsia" w:hAnsi="Book Antiqua" w:cs="Arial" w:hint="eastAsia"/>
          <w:i/>
          <w:sz w:val="24"/>
          <w:szCs w:val="24"/>
          <w:lang w:val="en-US" w:eastAsia="zh-CN"/>
        </w:rPr>
        <w:t>P</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&lt;</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0.01) compared to conventional barium studies (16 segments of small intestine) and colonoscopy (17 segments of large intestine). Similarly, a prospective study by </w:t>
      </w:r>
      <w:proofErr w:type="spellStart"/>
      <w:r>
        <w:rPr>
          <w:rFonts w:ascii="Book Antiqua" w:hAnsi="Book Antiqua" w:cs="Arial"/>
          <w:sz w:val="24"/>
          <w:szCs w:val="24"/>
          <w:lang w:val="en-US"/>
        </w:rPr>
        <w:t>Lenze</w:t>
      </w:r>
      <w:proofErr w:type="spellEnd"/>
      <w:r>
        <w:rPr>
          <w:rFonts w:ascii="Book Antiqua" w:hAnsi="Book Antiqua" w:cs="Arial"/>
          <w:i/>
          <w:sz w:val="24"/>
          <w:szCs w:val="24"/>
          <w:lang w:val="en-US"/>
        </w:rPr>
        <w:t xml:space="preserve"> et al</w:t>
      </w:r>
      <w:r>
        <w:rPr>
          <w:rFonts w:ascii="Book Antiqua" w:hAnsi="Book Antiqua" w:cs="Arial"/>
          <w:sz w:val="24"/>
          <w:szCs w:val="24"/>
          <w:vertAlign w:val="superscript"/>
          <w:lang w:val="en-US"/>
        </w:rPr>
        <w:t>[4]</w:t>
      </w:r>
      <w:r>
        <w:rPr>
          <w:rFonts w:ascii="Book Antiqua" w:hAnsi="Book Antiqua" w:cs="Arial"/>
          <w:sz w:val="24"/>
          <w:szCs w:val="24"/>
          <w:lang w:val="en-US"/>
        </w:rPr>
        <w:t xml:space="preserve"> compared the performance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MR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and trans-abdominal ultrasound in the detection of CD strictures and in the differentiation of fibrotic </w:t>
      </w:r>
      <w:r>
        <w:rPr>
          <w:rFonts w:ascii="Book Antiqua" w:hAnsi="Book Antiqua" w:cs="Arial"/>
          <w:i/>
          <w:sz w:val="24"/>
          <w:szCs w:val="24"/>
          <w:lang w:val="en-US"/>
        </w:rPr>
        <w:t>vs</w:t>
      </w:r>
      <w:r>
        <w:rPr>
          <w:rFonts w:ascii="Book Antiqua" w:hAnsi="Book Antiqua" w:cs="Arial"/>
          <w:sz w:val="24"/>
          <w:szCs w:val="24"/>
          <w:lang w:val="en-US"/>
        </w:rPr>
        <w:t xml:space="preserve"> inflammatory ones, using invasive endoscopy and histology as reference. In 30 symptomatic patients endoscopy detected 37 strictures, both PET/CT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and MR </w:t>
      </w:r>
      <w:proofErr w:type="spellStart"/>
      <w:r>
        <w:rPr>
          <w:rFonts w:ascii="Book Antiqua" w:hAnsi="Book Antiqua" w:cs="Arial"/>
          <w:sz w:val="24"/>
          <w:szCs w:val="24"/>
          <w:lang w:val="en-US"/>
        </w:rPr>
        <w:t>enteroclysis</w:t>
      </w:r>
      <w:proofErr w:type="spellEnd"/>
      <w:r>
        <w:rPr>
          <w:rFonts w:ascii="Book Antiqua" w:hAnsi="Book Antiqua" w:cs="Arial"/>
          <w:sz w:val="24"/>
          <w:szCs w:val="24"/>
          <w:lang w:val="en-US"/>
        </w:rPr>
        <w:t xml:space="preserve"> 30/37 (81%) and ultrasound 25/37 (68%). By combining two methods, the sensitivity increased: specifically, it was </w:t>
      </w:r>
      <w:r>
        <w:rPr>
          <w:rFonts w:ascii="Book Antiqua" w:hAnsi="Book Antiqua" w:cs="Arial"/>
          <w:sz w:val="24"/>
          <w:szCs w:val="24"/>
          <w:lang w:val="en-US"/>
        </w:rPr>
        <w:lastRenderedPageBreak/>
        <w:t xml:space="preserve">reported to be 92% when combining PET/CT and ultrasound and 89% when combining MR and ultrasound or MR and PET/CT. However, the differentiation rates of the strictures nature was low and equal to 57% for MR, 53% for PET/CT and 40% for ultrasound. Considering only inflammatory strictures, MR and PET/CT correctly classified 94% and 83% of them, respectively, </w:t>
      </w:r>
      <w:r>
        <w:rPr>
          <w:rFonts w:ascii="Book Antiqua" w:hAnsi="Book Antiqua" w:cs="Arial"/>
          <w:i/>
          <w:sz w:val="24"/>
          <w:szCs w:val="24"/>
          <w:lang w:val="en-US"/>
        </w:rPr>
        <w:t>vs</w:t>
      </w:r>
      <w:r>
        <w:rPr>
          <w:rFonts w:ascii="Book Antiqua" w:hAnsi="Book Antiqua" w:cs="Arial"/>
          <w:sz w:val="24"/>
          <w:szCs w:val="24"/>
          <w:lang w:val="en-US"/>
        </w:rPr>
        <w:t xml:space="preserve"> 66% depicted by ultrasound. By combining two methods (MR and ultrasound or PET/CT with ultrasound), all the strictures deserving surgical resection could be identified.</w:t>
      </w:r>
    </w:p>
    <w:p w:rsidR="0003376C" w:rsidRDefault="005739BD" w:rsidP="009F2248">
      <w:pPr>
        <w:spacing w:after="0" w:line="360" w:lineRule="auto"/>
        <w:ind w:firstLineChars="100" w:firstLine="240"/>
        <w:jc w:val="both"/>
        <w:rPr>
          <w:rFonts w:ascii="Book Antiqua" w:hAnsi="Book Antiqua" w:cs="Arial"/>
          <w:sz w:val="24"/>
          <w:szCs w:val="24"/>
          <w:lang w:val="en-US"/>
        </w:rPr>
      </w:pPr>
      <w:r>
        <w:rPr>
          <w:rFonts w:ascii="Book Antiqua" w:hAnsi="Book Antiqua" w:cs="Arial"/>
          <w:sz w:val="24"/>
          <w:szCs w:val="24"/>
          <w:lang w:val="en-US"/>
        </w:rPr>
        <w:t xml:space="preserve">More recently, a retrospective study of Catalano </w:t>
      </w:r>
      <w:r>
        <w:rPr>
          <w:rFonts w:ascii="Book Antiqua" w:hAnsi="Book Antiqua" w:cs="Arial"/>
          <w:i/>
          <w:sz w:val="24"/>
          <w:szCs w:val="24"/>
          <w:lang w:val="en-US"/>
        </w:rPr>
        <w:t xml:space="preserve">et </w:t>
      </w:r>
      <w:proofErr w:type="gramStart"/>
      <w:r>
        <w:rPr>
          <w:rFonts w:ascii="Book Antiqua" w:hAnsi="Book Antiqua" w:cs="Arial"/>
          <w:i/>
          <w:sz w:val="24"/>
          <w:szCs w:val="24"/>
          <w:lang w:val="en-US"/>
        </w:rPr>
        <w:t>al</w:t>
      </w:r>
      <w:r>
        <w:rPr>
          <w:rFonts w:ascii="Book Antiqua" w:hAnsi="Book Antiqua" w:cs="Arial"/>
          <w:sz w:val="24"/>
          <w:szCs w:val="24"/>
          <w:vertAlign w:val="superscript"/>
          <w:lang w:val="en-US"/>
        </w:rPr>
        <w:t>[</w:t>
      </w:r>
      <w:proofErr w:type="gramEnd"/>
      <w:r>
        <w:rPr>
          <w:rFonts w:ascii="Book Antiqua" w:hAnsi="Book Antiqua" w:cs="Arial"/>
          <w:sz w:val="24"/>
          <w:szCs w:val="24"/>
          <w:vertAlign w:val="superscript"/>
          <w:lang w:val="en-US"/>
        </w:rPr>
        <w:t>5]</w:t>
      </w:r>
      <w:r>
        <w:rPr>
          <w:rFonts w:ascii="Book Antiqua" w:hAnsi="Book Antiqua" w:cs="Arial"/>
          <w:sz w:val="24"/>
          <w:szCs w:val="24"/>
          <w:lang w:val="en-US"/>
        </w:rPr>
        <w:t xml:space="preserve"> investigated the role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PET/MR </w:t>
      </w:r>
      <w:proofErr w:type="spellStart"/>
      <w:r>
        <w:rPr>
          <w:rFonts w:ascii="Book Antiqua" w:hAnsi="Book Antiqua" w:cs="Arial"/>
          <w:sz w:val="24"/>
          <w:szCs w:val="24"/>
          <w:lang w:val="en-US"/>
        </w:rPr>
        <w:t>enterography</w:t>
      </w:r>
      <w:proofErr w:type="spellEnd"/>
      <w:r>
        <w:rPr>
          <w:rFonts w:ascii="Book Antiqua" w:hAnsi="Book Antiqua" w:cs="Arial"/>
          <w:sz w:val="24"/>
          <w:szCs w:val="24"/>
          <w:lang w:val="en-US"/>
        </w:rPr>
        <w:t xml:space="preserve"> in discriminating between inflammatory and fibrotic strictures associated with CD, by using “quantitative” methods. Nineteen patients surgically treated within one month from imaging were evaluated and the following parameters were recorded for each resected bowel segment: the “Signal Intensity (SI)” on T2 weighted sequences, the “Apparent Diffusion Coefficient (ADC)”, the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and the values obtained by multiplying the first two parameters by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(SI x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and ADC x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respectively). In the 19 patients evaluated, 33 </w:t>
      </w:r>
      <w:proofErr w:type="spellStart"/>
      <w:r>
        <w:rPr>
          <w:rFonts w:ascii="Book Antiqua" w:hAnsi="Book Antiqua" w:cs="Arial"/>
          <w:sz w:val="24"/>
          <w:szCs w:val="24"/>
          <w:lang w:val="en-US"/>
        </w:rPr>
        <w:t>strictured</w:t>
      </w:r>
      <w:proofErr w:type="spellEnd"/>
      <w:r>
        <w:rPr>
          <w:rFonts w:ascii="Book Antiqua" w:hAnsi="Book Antiqua" w:cs="Arial"/>
          <w:sz w:val="24"/>
          <w:szCs w:val="24"/>
          <w:lang w:val="en-US"/>
        </w:rPr>
        <w:t xml:space="preserve"> bowel segments were resected. Of these, 7 presented with predominant inflammation, 11 with predominant fibrosis and 15 with a mixed pattern. A significant difference among these three types of stricture was reported in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w:t>
      </w:r>
      <w:r>
        <w:rPr>
          <w:rFonts w:ascii="Book Antiqua" w:eastAsiaTheme="minorEastAsia" w:hAnsi="Book Antiqua" w:cs="Arial" w:hint="eastAsia"/>
          <w:i/>
          <w:sz w:val="24"/>
          <w:szCs w:val="24"/>
          <w:lang w:val="en-US" w:eastAsia="zh-CN"/>
        </w:rPr>
        <w:t>P</w:t>
      </w:r>
      <w:r>
        <w:rPr>
          <w:rFonts w:ascii="Book Antiqua" w:hAnsi="Book Antiqua" w:cs="Arial"/>
          <w:sz w:val="24"/>
          <w:szCs w:val="24"/>
          <w:lang w:val="en-US"/>
        </w:rPr>
        <w:t xml:space="preserve"> &lt; 0.03), SI x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w:t>
      </w:r>
      <w:r>
        <w:rPr>
          <w:rFonts w:ascii="Book Antiqua" w:eastAsiaTheme="minorEastAsia" w:hAnsi="Book Antiqua" w:cs="Arial" w:hint="eastAsia"/>
          <w:i/>
          <w:sz w:val="24"/>
          <w:szCs w:val="24"/>
          <w:lang w:val="en-US" w:eastAsia="zh-CN"/>
        </w:rPr>
        <w:t>P</w:t>
      </w:r>
      <w:r>
        <w:rPr>
          <w:rFonts w:ascii="Book Antiqua" w:hAnsi="Book Antiqua" w:cs="Arial"/>
          <w:sz w:val="24"/>
          <w:szCs w:val="24"/>
          <w:lang w:val="en-US"/>
        </w:rPr>
        <w:t xml:space="preserve"> =</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0.046) and ADC x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w:t>
      </w:r>
      <w:r>
        <w:rPr>
          <w:rFonts w:ascii="Book Antiqua" w:eastAsiaTheme="minorEastAsia" w:hAnsi="Book Antiqua" w:cs="Arial" w:hint="eastAsia"/>
          <w:i/>
          <w:sz w:val="24"/>
          <w:szCs w:val="24"/>
          <w:lang w:val="en-US" w:eastAsia="zh-CN"/>
        </w:rPr>
        <w:t>P</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0.044), but not in SI and ADC. The most accurate biomarker in discriminating fibrotic from inflammatory strictures was ADC x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with a cut-off &lt; 3000 (mean accuracy = 0.71), followed by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&lt; 2.5 (mean accuracy = 0.67). The other quantitative biomarkers tested (SI </w:t>
      </w:r>
      <w:r>
        <w:rPr>
          <w:rFonts w:ascii="Book Antiqua" w:hAnsi="Book Antiqua" w:cs="Arial"/>
          <w:sz w:val="24"/>
          <w:szCs w:val="24"/>
          <w:lang w:val="en-US"/>
        </w:rPr>
        <w:sym w:font="Symbol" w:char="F0B4"/>
      </w:r>
      <w:r>
        <w:rPr>
          <w:rFonts w:ascii="Book Antiqua" w:hAnsi="Book Antiqua" w:cs="Arial"/>
          <w:sz w:val="24"/>
          <w:szCs w:val="24"/>
          <w:lang w:val="en-US"/>
        </w:rPr>
        <w:t xml:space="preserve"> </w:t>
      </w:r>
      <w:proofErr w:type="spellStart"/>
      <w:r>
        <w:rPr>
          <w:rFonts w:ascii="Book Antiqua" w:hAnsi="Book Antiqua" w:cs="Arial"/>
          <w:sz w:val="24"/>
          <w:szCs w:val="24"/>
          <w:lang w:val="en-US"/>
        </w:rPr>
        <w:t>SUV</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&lt; 2000, SI &lt; 750, ADC &lt; 1200</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sym w:font="Symbol" w:char="F0B4"/>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10</w:t>
      </w:r>
      <w:r>
        <w:rPr>
          <w:rFonts w:ascii="Book Antiqua" w:hAnsi="Book Antiqua" w:cs="Arial"/>
          <w:sz w:val="24"/>
          <w:szCs w:val="24"/>
          <w:vertAlign w:val="superscript"/>
          <w:lang w:val="en-US"/>
        </w:rPr>
        <w:t>-3</w:t>
      </w:r>
      <w:r>
        <w:rPr>
          <w:rFonts w:ascii="Book Antiqua" w:hAnsi="Book Antiqua" w:cs="Arial"/>
          <w:sz w:val="24"/>
          <w:szCs w:val="24"/>
          <w:lang w:val="en-US"/>
        </w:rPr>
        <w:t xml:space="preserve"> mm</w:t>
      </w:r>
      <w:r>
        <w:rPr>
          <w:rFonts w:ascii="Book Antiqua" w:hAnsi="Book Antiqua" w:cs="Arial"/>
          <w:sz w:val="24"/>
          <w:szCs w:val="24"/>
          <w:vertAlign w:val="superscript"/>
          <w:lang w:val="en-US"/>
        </w:rPr>
        <w:t>2</w:t>
      </w:r>
      <w:r>
        <w:rPr>
          <w:rFonts w:ascii="Book Antiqua" w:hAnsi="Book Antiqua" w:cs="Arial"/>
          <w:sz w:val="24"/>
          <w:szCs w:val="24"/>
          <w:lang w:val="en-US"/>
        </w:rPr>
        <w:t>/</w:t>
      </w:r>
      <w:r>
        <w:rPr>
          <w:rFonts w:ascii="Book Antiqua" w:eastAsiaTheme="minorEastAsia" w:hAnsi="Book Antiqua" w:cs="Arial" w:hint="eastAsia"/>
          <w:sz w:val="24"/>
          <w:szCs w:val="24"/>
          <w:lang w:val="en-US" w:eastAsia="zh-CN"/>
        </w:rPr>
        <w:t>s</w:t>
      </w:r>
      <w:r>
        <w:rPr>
          <w:rFonts w:ascii="Book Antiqua" w:hAnsi="Book Antiqua" w:cs="Arial"/>
          <w:sz w:val="24"/>
          <w:szCs w:val="24"/>
          <w:lang w:val="en-US"/>
        </w:rPr>
        <w:t>) showed suboptimal performance (accuracy = 0.63, 0.48 and 0.54, respectively). The selected studies and the most relevant findings are displayed in Tables 3 and 4.</w:t>
      </w:r>
    </w:p>
    <w:p w:rsidR="0003376C" w:rsidRDefault="0003376C" w:rsidP="00924331">
      <w:pPr>
        <w:spacing w:after="0" w:line="360" w:lineRule="auto"/>
        <w:jc w:val="both"/>
        <w:rPr>
          <w:rFonts w:ascii="Book Antiqua" w:hAnsi="Book Antiqua" w:cs="Arial"/>
          <w:sz w:val="24"/>
          <w:szCs w:val="24"/>
          <w:lang w:val="en-US"/>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sz w:val="24"/>
          <w:szCs w:val="24"/>
          <w:lang w:val="en-GB"/>
        </w:rPr>
        <w:t>Therapy Response and disease monitoring</w:t>
      </w:r>
      <w:r>
        <w:rPr>
          <w:rFonts w:ascii="Book Antiqua" w:eastAsiaTheme="minorEastAsia" w:hAnsi="Book Antiqua" w:cs="Arial" w:hint="eastAsia"/>
          <w:b/>
          <w:sz w:val="24"/>
          <w:szCs w:val="24"/>
          <w:lang w:val="en-GB" w:eastAsia="zh-CN"/>
        </w:rPr>
        <w:t xml:space="preserve">: </w:t>
      </w:r>
      <w:proofErr w:type="spellStart"/>
      <w:r>
        <w:rPr>
          <w:rFonts w:ascii="Book Antiqua" w:hAnsi="Book Antiqua" w:cs="Arial"/>
          <w:sz w:val="24"/>
          <w:szCs w:val="24"/>
          <w:lang w:val="en-GB"/>
        </w:rPr>
        <w:t>Spier</w:t>
      </w:r>
      <w:proofErr w:type="spellEnd"/>
      <w:r>
        <w:rPr>
          <w:rFonts w:ascii="Book Antiqua" w:hAnsi="Book Antiqua" w:cs="Arial"/>
          <w:i/>
          <w:sz w:val="24"/>
          <w:szCs w:val="24"/>
          <w:lang w:val="en-GB"/>
        </w:rPr>
        <w:t xml:space="preserve"> et al</w:t>
      </w:r>
      <w:r>
        <w:rPr>
          <w:rFonts w:ascii="Book Antiqua" w:hAnsi="Book Antiqua" w:cs="Arial"/>
          <w:sz w:val="24"/>
          <w:szCs w:val="24"/>
          <w:vertAlign w:val="superscript"/>
          <w:lang w:val="en-GB"/>
        </w:rPr>
        <w:t xml:space="preserve">[25] </w:t>
      </w:r>
      <w:r>
        <w:rPr>
          <w:rFonts w:ascii="Book Antiqua" w:hAnsi="Book Antiqua" w:cs="Arial"/>
          <w:sz w:val="24"/>
          <w:szCs w:val="24"/>
          <w:lang w:val="en-GB"/>
        </w:rPr>
        <w:t>reported higher FDG uptake in patients with clinically active disease (CD-activity index &gt;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150 or UC-activity index &gt;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 xml:space="preserve">6) than in those with inactive disease. This study suggests that FDG PET may be useful in identifying active inflammation in IBD as well as in the long-term monitoring. </w:t>
      </w:r>
      <w:proofErr w:type="spellStart"/>
      <w:r>
        <w:rPr>
          <w:rFonts w:ascii="Book Antiqua" w:hAnsi="Book Antiqua" w:cs="Arial"/>
          <w:sz w:val="24"/>
          <w:szCs w:val="24"/>
          <w:lang w:val="en-GB"/>
        </w:rPr>
        <w:t>Glaudemans</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 xml:space="preserve">[26] </w:t>
      </w:r>
      <w:r>
        <w:rPr>
          <w:rFonts w:ascii="Book Antiqua" w:hAnsi="Book Antiqua" w:cs="Arial"/>
          <w:sz w:val="24"/>
          <w:szCs w:val="24"/>
          <w:lang w:val="en-GB"/>
        </w:rPr>
        <w:t>reported a good correlation between clinical symptoms and PET/CT findings in a small cohort of subjects with moderately active IBD (</w:t>
      </w:r>
      <w:r>
        <w:rPr>
          <w:rFonts w:ascii="Book Antiqua" w:hAnsi="Book Antiqua" w:cs="Arial"/>
          <w:i/>
          <w:sz w:val="24"/>
          <w:szCs w:val="24"/>
          <w:lang w:val="en-GB"/>
        </w:rPr>
        <w:t>n</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5) undergoing FDG PET/CT before and after successful medical therapy.</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lastRenderedPageBreak/>
        <w:t xml:space="preserve">Rubin </w:t>
      </w:r>
      <w:r>
        <w:rPr>
          <w:rFonts w:ascii="Book Antiqua" w:hAnsi="Book Antiqua" w:cs="Arial"/>
          <w:i/>
          <w:sz w:val="24"/>
          <w:szCs w:val="24"/>
          <w:lang w:val="en-GB"/>
        </w:rPr>
        <w:t>et al</w:t>
      </w:r>
      <w:r>
        <w:rPr>
          <w:rFonts w:ascii="Book Antiqua" w:hAnsi="Book Antiqua" w:cs="Arial"/>
          <w:sz w:val="24"/>
          <w:szCs w:val="24"/>
          <w:vertAlign w:val="superscript"/>
          <w:lang w:val="en-GB"/>
        </w:rPr>
        <w:t>[27]</w:t>
      </w:r>
      <w:r>
        <w:rPr>
          <w:rFonts w:ascii="Book Antiqua" w:hAnsi="Book Antiqua" w:cs="Arial"/>
          <w:sz w:val="24"/>
          <w:szCs w:val="24"/>
          <w:lang w:val="en-GB"/>
        </w:rPr>
        <w:t xml:space="preserve"> evaluated a cohort of ten patients with UC in a strictly defined remission state (at least six month). A total body PET/CT was performed. The bowel was divided in several areas of interest and the uptake of FDG was scored on 3 point scale compared to the liver uptake. PET/CT showed 90% specificity in assessing disease activity in UC quiescent patients, and allowed the choice of the most adequate therapy options. Interestingly, PET could identify residual inflammatory activity in the colon despite negative endoscopic, histologic, and clinical findings.</w:t>
      </w:r>
    </w:p>
    <w:p w:rsidR="0003376C" w:rsidRDefault="005739BD" w:rsidP="00924331">
      <w:pPr>
        <w:spacing w:after="0" w:line="360" w:lineRule="auto"/>
        <w:ind w:firstLineChars="300" w:firstLine="720"/>
        <w:jc w:val="both"/>
        <w:rPr>
          <w:rFonts w:ascii="Book Antiqua" w:hAnsi="Book Antiqua" w:cs="Arial"/>
          <w:sz w:val="24"/>
          <w:szCs w:val="24"/>
          <w:lang w:val="en-US"/>
        </w:rPr>
      </w:pPr>
      <w:r>
        <w:rPr>
          <w:rFonts w:ascii="Book Antiqua" w:hAnsi="Book Antiqua" w:cs="Arial"/>
          <w:sz w:val="24"/>
          <w:szCs w:val="24"/>
          <w:lang w:val="en-GB"/>
        </w:rPr>
        <w:t>Lapp</w:t>
      </w:r>
      <w:r>
        <w:rPr>
          <w:rFonts w:ascii="Book Antiqua" w:hAnsi="Book Antiqua" w:cs="Arial"/>
          <w:i/>
          <w:sz w:val="24"/>
          <w:szCs w:val="24"/>
          <w:lang w:val="en-GB"/>
        </w:rPr>
        <w:t xml:space="preserve"> et a</w:t>
      </w:r>
      <w:r>
        <w:rPr>
          <w:rFonts w:ascii="Book Antiqua" w:eastAsiaTheme="minorEastAsia" w:hAnsi="Book Antiqua" w:cs="Arial" w:hint="eastAsia"/>
          <w:i/>
          <w:sz w:val="24"/>
          <w:szCs w:val="24"/>
          <w:lang w:val="en-GB" w:eastAsia="zh-CN"/>
        </w:rPr>
        <w:t>l</w:t>
      </w:r>
      <w:r>
        <w:rPr>
          <w:rFonts w:ascii="Book Antiqua" w:hAnsi="Book Antiqua" w:cs="Arial"/>
          <w:sz w:val="24"/>
          <w:szCs w:val="24"/>
          <w:vertAlign w:val="superscript"/>
          <w:lang w:val="en-GB"/>
        </w:rPr>
        <w:t xml:space="preserve">[28] </w:t>
      </w:r>
      <w:r>
        <w:rPr>
          <w:rFonts w:ascii="Book Antiqua" w:hAnsi="Book Antiqua" w:cs="Arial"/>
          <w:sz w:val="24"/>
          <w:szCs w:val="24"/>
          <w:lang w:val="en-GB"/>
        </w:rPr>
        <w:t>demonstrated that PET/CT significantly aids in the clinical decision-making in selected patients with known or suspected IBD. In their paper, although used in a heterogeneous group of patients (four with CD, two with pouches, and one without IBD), PET/CT could effectively lead to the choice of an appropriate therapy in each patient and proved superior to currently available modalities (</w:t>
      </w:r>
      <w:r>
        <w:rPr>
          <w:rFonts w:ascii="Book Antiqua" w:hAnsi="Book Antiqua" w:cs="Arial"/>
          <w:i/>
          <w:sz w:val="24"/>
          <w:szCs w:val="24"/>
          <w:lang w:val="en-GB"/>
        </w:rPr>
        <w:t>e.g.</w:t>
      </w:r>
      <w:r>
        <w:rPr>
          <w:rFonts w:ascii="Book Antiqua" w:eastAsiaTheme="minorEastAsia" w:hAnsi="Book Antiqua" w:cs="Arial" w:hint="eastAsia"/>
          <w:i/>
          <w:sz w:val="24"/>
          <w:szCs w:val="24"/>
          <w:lang w:val="en-GB" w:eastAsia="zh-CN"/>
        </w:rPr>
        <w:t>,</w:t>
      </w:r>
      <w:r>
        <w:rPr>
          <w:rFonts w:ascii="Book Antiqua" w:hAnsi="Book Antiqua" w:cs="Arial"/>
          <w:i/>
          <w:sz w:val="24"/>
          <w:szCs w:val="24"/>
          <w:lang w:val="en-GB"/>
        </w:rPr>
        <w:t xml:space="preserve"> </w:t>
      </w:r>
      <w:r>
        <w:rPr>
          <w:rFonts w:ascii="Book Antiqua" w:hAnsi="Book Antiqua" w:cs="Arial"/>
          <w:sz w:val="24"/>
          <w:szCs w:val="24"/>
          <w:lang w:val="en-GB"/>
        </w:rPr>
        <w:t xml:space="preserve">Laboratory, CT, Endoscopy). </w:t>
      </w:r>
      <w:proofErr w:type="spellStart"/>
      <w:r>
        <w:rPr>
          <w:rFonts w:ascii="Book Antiqua" w:hAnsi="Book Antiqua" w:cs="Arial"/>
          <w:sz w:val="24"/>
          <w:szCs w:val="24"/>
          <w:lang w:val="en-US"/>
        </w:rPr>
        <w:t>Jacene</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[29]</w:t>
      </w:r>
      <w:r>
        <w:rPr>
          <w:rFonts w:ascii="Book Antiqua" w:hAnsi="Book Antiqua" w:cs="Arial"/>
          <w:sz w:val="24"/>
          <w:szCs w:val="24"/>
          <w:lang w:val="en-US"/>
        </w:rPr>
        <w:t xml:space="preserve"> determined single-pixel maximum standardized uptake value corrected for lean body mass (</w:t>
      </w:r>
      <w:proofErr w:type="spellStart"/>
      <w:r>
        <w:rPr>
          <w:rFonts w:ascii="Book Antiqua" w:hAnsi="Book Antiqua" w:cs="Arial"/>
          <w:sz w:val="24"/>
          <w:szCs w:val="24"/>
          <w:lang w:val="en-US"/>
        </w:rPr>
        <w:t>SUL</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on PET/CT for lesions potentially representing active bowel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Patients with severe chronic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xml:space="preserve"> had </w:t>
      </w:r>
      <w:proofErr w:type="spellStart"/>
      <w:r>
        <w:rPr>
          <w:rFonts w:ascii="Book Antiqua" w:hAnsi="Book Antiqua" w:cs="Arial"/>
          <w:sz w:val="24"/>
          <w:szCs w:val="24"/>
          <w:lang w:val="en-US"/>
        </w:rPr>
        <w:t>signi</w:t>
      </w:r>
      <w:proofErr w:type="spellEnd"/>
      <w:r>
        <w:rPr>
          <w:rFonts w:ascii="Book Antiqua" w:hAnsi="Book Antiqua" w:cs="Arial"/>
          <w:sz w:val="24"/>
          <w:szCs w:val="24"/>
          <w:lang w:val="it-IT"/>
        </w:rPr>
        <w:t>ﬁ</w:t>
      </w:r>
      <w:proofErr w:type="spellStart"/>
      <w:r>
        <w:rPr>
          <w:rFonts w:ascii="Book Antiqua" w:hAnsi="Book Antiqua" w:cs="Arial"/>
          <w:sz w:val="24"/>
          <w:szCs w:val="24"/>
          <w:lang w:val="en-US"/>
        </w:rPr>
        <w:t>cantly</w:t>
      </w:r>
      <w:proofErr w:type="spellEnd"/>
      <w:r>
        <w:rPr>
          <w:rFonts w:ascii="Book Antiqua" w:hAnsi="Book Antiqua" w:cs="Arial"/>
          <w:sz w:val="24"/>
          <w:szCs w:val="24"/>
          <w:lang w:val="en-US"/>
        </w:rPr>
        <w:t xml:space="preserve"> higher </w:t>
      </w:r>
      <w:proofErr w:type="spellStart"/>
      <w:r>
        <w:rPr>
          <w:rFonts w:ascii="Book Antiqua" w:hAnsi="Book Antiqua" w:cs="Arial"/>
          <w:sz w:val="24"/>
          <w:szCs w:val="24"/>
          <w:lang w:val="en-US"/>
        </w:rPr>
        <w:t>SUL</w:t>
      </w:r>
      <w:r>
        <w:rPr>
          <w:rFonts w:ascii="Book Antiqua" w:hAnsi="Book Antiqua" w:cs="Arial"/>
          <w:sz w:val="24"/>
          <w:szCs w:val="24"/>
          <w:vertAlign w:val="subscript"/>
          <w:lang w:val="en-US"/>
        </w:rPr>
        <w:t>max</w:t>
      </w:r>
      <w:proofErr w:type="spellEnd"/>
      <w:r>
        <w:rPr>
          <w:rFonts w:ascii="Book Antiqua" w:hAnsi="Book Antiqua" w:cs="Arial"/>
          <w:sz w:val="24"/>
          <w:szCs w:val="24"/>
          <w:lang w:val="en-US"/>
        </w:rPr>
        <w:t xml:space="preserve"> than those with mild or moderate chronic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xml:space="preserve">. </w:t>
      </w:r>
      <w:proofErr w:type="spellStart"/>
      <w:r>
        <w:rPr>
          <w:rFonts w:ascii="Book Antiqua" w:hAnsi="Book Antiqua" w:cs="Arial"/>
          <w:sz w:val="24"/>
          <w:szCs w:val="24"/>
          <w:lang w:val="en-US"/>
        </w:rPr>
        <w:t>Semiquantitative</w:t>
      </w:r>
      <w:proofErr w:type="spellEnd"/>
      <w:r>
        <w:rPr>
          <w:rFonts w:ascii="Book Antiqua" w:hAnsi="Book Antiqua" w:cs="Arial"/>
          <w:sz w:val="24"/>
          <w:szCs w:val="24"/>
          <w:lang w:val="en-US"/>
        </w:rPr>
        <w:t xml:space="preserve"> analyses of </w:t>
      </w:r>
      <w:r>
        <w:rPr>
          <w:rFonts w:ascii="Book Antiqua" w:hAnsi="Book Antiqua" w:cs="Arial"/>
          <w:sz w:val="24"/>
          <w:szCs w:val="24"/>
          <w:vertAlign w:val="superscript"/>
          <w:lang w:val="en-US"/>
        </w:rPr>
        <w:t>18</w:t>
      </w:r>
      <w:r>
        <w:rPr>
          <w:rFonts w:ascii="Book Antiqua" w:hAnsi="Book Antiqua" w:cs="Arial"/>
          <w:sz w:val="24"/>
          <w:szCs w:val="24"/>
          <w:lang w:val="en-US"/>
        </w:rPr>
        <w:t>F-FDG uptake helped in distinguishing predominantly active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xml:space="preserve"> from </w:t>
      </w:r>
      <w:r>
        <w:rPr>
          <w:rFonts w:ascii="Book Antiqua" w:hAnsi="Book Antiqua" w:cs="Arial"/>
          <w:sz w:val="24"/>
          <w:szCs w:val="24"/>
          <w:lang w:val="it-IT"/>
        </w:rPr>
        <w:t>ﬁ</w:t>
      </w:r>
      <w:proofErr w:type="spellStart"/>
      <w:r>
        <w:rPr>
          <w:rFonts w:ascii="Book Antiqua" w:hAnsi="Book Antiqua" w:cs="Arial"/>
          <w:sz w:val="24"/>
          <w:szCs w:val="24"/>
          <w:lang w:val="en-US"/>
        </w:rPr>
        <w:t>brotic</w:t>
      </w:r>
      <w:proofErr w:type="spellEnd"/>
      <w:r>
        <w:rPr>
          <w:rFonts w:ascii="Book Antiqua" w:hAnsi="Book Antiqua" w:cs="Arial"/>
          <w:sz w:val="24"/>
          <w:szCs w:val="24"/>
          <w:lang w:val="en-US"/>
        </w:rPr>
        <w:t xml:space="preserve"> strictures and muscle hypertrophy. Specifically, a </w:t>
      </w:r>
      <w:proofErr w:type="spellStart"/>
      <w:r>
        <w:rPr>
          <w:rFonts w:ascii="Book Antiqua" w:hAnsi="Book Antiqua" w:cs="Arial"/>
          <w:sz w:val="24"/>
          <w:szCs w:val="24"/>
          <w:lang w:val="en-US"/>
        </w:rPr>
        <w:t>SULmax</w:t>
      </w:r>
      <w:proofErr w:type="spellEnd"/>
      <w:r>
        <w:rPr>
          <w:rFonts w:ascii="Book Antiqua" w:hAnsi="Book Antiqua" w:cs="Arial"/>
          <w:sz w:val="24"/>
          <w:szCs w:val="24"/>
          <w:lang w:val="en-US"/>
        </w:rPr>
        <w:t xml:space="preserve"> cutoff of 8 seemed to represent the most accurate threshold. Interestingly, patients with predominantly active in</w:t>
      </w:r>
      <w:r>
        <w:rPr>
          <w:rFonts w:ascii="Book Antiqua" w:hAnsi="Book Antiqua" w:cs="Arial"/>
          <w:sz w:val="24"/>
          <w:szCs w:val="24"/>
          <w:lang w:val="it-IT"/>
        </w:rPr>
        <w:t>ﬂ</w:t>
      </w:r>
      <w:proofErr w:type="spellStart"/>
      <w:r>
        <w:rPr>
          <w:rFonts w:ascii="Book Antiqua" w:hAnsi="Book Antiqua" w:cs="Arial"/>
          <w:sz w:val="24"/>
          <w:szCs w:val="24"/>
          <w:lang w:val="en-US"/>
        </w:rPr>
        <w:t>ammation</w:t>
      </w:r>
      <w:proofErr w:type="spellEnd"/>
      <w:r>
        <w:rPr>
          <w:rFonts w:ascii="Book Antiqua" w:hAnsi="Book Antiqua" w:cs="Arial"/>
          <w:sz w:val="24"/>
          <w:szCs w:val="24"/>
          <w:lang w:val="en-US"/>
        </w:rPr>
        <w:t>, underwent surgery closer to the time of PET/CT compared with those with predominantly fibrosis or muscle hypertrophy. This information may be helpful for referring gastroenterologists considering surgery versus medical therapy for patients with CD who present with obstructive symptoms.</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In several papers, PET/CT was reported to be superior to other standard radiologic or endoscopic pouch evaluations in the assessment of the response to treatment. </w:t>
      </w:r>
      <w:proofErr w:type="spellStart"/>
      <w:r>
        <w:rPr>
          <w:rFonts w:ascii="Book Antiqua" w:hAnsi="Book Antiqua" w:cs="Arial"/>
          <w:sz w:val="24"/>
          <w:szCs w:val="24"/>
          <w:lang w:val="en-GB"/>
        </w:rPr>
        <w:t>Kuwaky</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[30]</w:t>
      </w:r>
      <w:r>
        <w:rPr>
          <w:rFonts w:ascii="Book Antiqua" w:hAnsi="Book Antiqua" w:cs="Arial"/>
          <w:sz w:val="24"/>
          <w:szCs w:val="24"/>
          <w:lang w:val="en-GB"/>
        </w:rPr>
        <w:t xml:space="preserve"> investigated 12 patients with CD undergoing granulocyte/monocyte apheresis [GMA].  The response to treatment was monitored by measuring standard laboratory tests, CD Activity Index (CDAI) score, International Organization for the Study of Inflammatory Bowel Diseases (IOIBD) score and regional and global bowel uptake on FDG-PET (baseline, at the 5th and at the 10th session of GMA). In 6 of 12 patients, a significant correlation was found between clinical and CDAI improvement and FDG uptake reduction vs baseline </w:t>
      </w:r>
      <w:r>
        <w:rPr>
          <w:rFonts w:ascii="Book Antiqua" w:hAnsi="Book Antiqua" w:cs="Arial"/>
          <w:sz w:val="24"/>
          <w:szCs w:val="24"/>
          <w:lang w:val="en-GB"/>
        </w:rPr>
        <w:lastRenderedPageBreak/>
        <w:t>scan. As such, longitudinal changes in FDG-PET uptake in the involved bowel areas is of potential clinical value for assessing both regional and global bowel disease activity in CD patients during GMA therapy.</w:t>
      </w:r>
    </w:p>
    <w:p w:rsidR="0003376C" w:rsidRDefault="005739BD" w:rsidP="00924331">
      <w:pPr>
        <w:spacing w:after="0" w:line="360" w:lineRule="auto"/>
        <w:ind w:firstLineChars="200" w:firstLine="480"/>
        <w:jc w:val="both"/>
        <w:rPr>
          <w:rFonts w:ascii="Book Antiqua" w:hAnsi="Book Antiqua" w:cs="Arial"/>
          <w:sz w:val="24"/>
          <w:szCs w:val="24"/>
          <w:lang w:val="en-GB"/>
        </w:rPr>
      </w:pPr>
      <w:r>
        <w:rPr>
          <w:rFonts w:ascii="Book Antiqua" w:hAnsi="Book Antiqua" w:cs="Arial"/>
          <w:sz w:val="24"/>
          <w:szCs w:val="24"/>
          <w:lang w:val="en-GB"/>
        </w:rPr>
        <w:t xml:space="preserve">Other </w:t>
      </w:r>
      <w:proofErr w:type="spellStart"/>
      <w:r>
        <w:rPr>
          <w:rFonts w:ascii="Book Antiqua" w:hAnsi="Book Antiqua" w:cs="Arial"/>
          <w:sz w:val="24"/>
          <w:szCs w:val="24"/>
          <w:lang w:val="en-GB"/>
        </w:rPr>
        <w:t>semiquantitative</w:t>
      </w:r>
      <w:proofErr w:type="spellEnd"/>
      <w:r>
        <w:rPr>
          <w:rFonts w:ascii="Book Antiqua" w:hAnsi="Book Antiqua" w:cs="Arial"/>
          <w:sz w:val="24"/>
          <w:szCs w:val="24"/>
          <w:lang w:val="en-GB"/>
        </w:rPr>
        <w:t xml:space="preserve"> parameters of FDG PET/CT were investigated by </w:t>
      </w:r>
      <w:proofErr w:type="spellStart"/>
      <w:r>
        <w:rPr>
          <w:rFonts w:ascii="Book Antiqua" w:hAnsi="Book Antiqua" w:cs="Arial"/>
          <w:sz w:val="24"/>
          <w:szCs w:val="24"/>
          <w:lang w:val="en-GB"/>
        </w:rPr>
        <w:t>Saboury</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[31]</w:t>
      </w:r>
      <w:r>
        <w:rPr>
          <w:rFonts w:ascii="Book Antiqua" w:hAnsi="Book Antiqua" w:cs="Arial"/>
          <w:sz w:val="24"/>
          <w:szCs w:val="24"/>
          <w:lang w:val="en-GB"/>
        </w:rPr>
        <w:t xml:space="preserve"> in order to determine the feasibility and potential clinical utility of this technique in the assessment of therapy response in CD. In a cohort of 22 subjects with CD in treatment undergoing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followed by </w:t>
      </w:r>
      <w:proofErr w:type="spellStart"/>
      <w:r>
        <w:rPr>
          <w:rFonts w:ascii="Book Antiqua" w:hAnsi="Book Antiqua" w:cs="Arial"/>
          <w:sz w:val="24"/>
          <w:szCs w:val="24"/>
          <w:lang w:val="en-GB"/>
        </w:rPr>
        <w:t>ileocolonscopy</w:t>
      </w:r>
      <w:proofErr w:type="spellEnd"/>
      <w:r>
        <w:rPr>
          <w:rFonts w:ascii="Book Antiqua" w:hAnsi="Book Antiqua" w:cs="Arial"/>
          <w:sz w:val="24"/>
          <w:szCs w:val="24"/>
          <w:lang w:val="en-GB"/>
        </w:rPr>
        <w:t xml:space="preserve"> and laboratory assay of </w:t>
      </w:r>
      <w:proofErr w:type="spellStart"/>
      <w:r>
        <w:rPr>
          <w:rFonts w:ascii="Book Antiqua" w:hAnsi="Book Antiqua" w:cs="Arial"/>
          <w:sz w:val="24"/>
          <w:szCs w:val="24"/>
          <w:lang w:val="en-GB"/>
        </w:rPr>
        <w:t>Fecal</w:t>
      </w:r>
      <w:proofErr w:type="spellEnd"/>
      <w:r>
        <w:rPr>
          <w:rFonts w:ascii="Book Antiqua" w:hAnsi="Book Antiqua" w:cs="Arial"/>
          <w:sz w:val="24"/>
          <w:szCs w:val="24"/>
          <w:lang w:val="en-GB"/>
        </w:rPr>
        <w:t xml:space="preserve"> </w:t>
      </w:r>
      <w:proofErr w:type="spellStart"/>
      <w:r>
        <w:rPr>
          <w:rFonts w:ascii="Book Antiqua" w:hAnsi="Book Antiqua" w:cs="Arial"/>
          <w:sz w:val="24"/>
          <w:szCs w:val="24"/>
          <w:lang w:val="en-GB"/>
        </w:rPr>
        <w:t>Calprotectine</w:t>
      </w:r>
      <w:proofErr w:type="spellEnd"/>
      <w:r>
        <w:rPr>
          <w:rFonts w:ascii="Book Antiqua" w:hAnsi="Book Antiqua" w:cs="Arial"/>
          <w:sz w:val="24"/>
          <w:szCs w:val="24"/>
          <w:lang w:val="en-GB"/>
        </w:rPr>
        <w:t xml:space="preserve"> and CRP, the authors searched for correlation between the global PET quantification measure (GCDAS, global SUVs) with CDAI, </w:t>
      </w:r>
      <w:proofErr w:type="spellStart"/>
      <w:r>
        <w:rPr>
          <w:rFonts w:ascii="Book Antiqua" w:hAnsi="Book Antiqua" w:cs="Arial"/>
          <w:sz w:val="24"/>
          <w:szCs w:val="24"/>
          <w:lang w:val="en-GB"/>
        </w:rPr>
        <w:t>fecal</w:t>
      </w:r>
      <w:proofErr w:type="spellEnd"/>
      <w:r>
        <w:rPr>
          <w:rFonts w:ascii="Book Antiqua" w:hAnsi="Book Antiqua" w:cs="Arial"/>
          <w:sz w:val="24"/>
          <w:szCs w:val="24"/>
          <w:lang w:val="en-GB"/>
        </w:rPr>
        <w:t xml:space="preserve"> calprotectin, CDEIS, and CRP level. A significant correlation was demonstrated between </w:t>
      </w:r>
      <w:proofErr w:type="spellStart"/>
      <w:r>
        <w:rPr>
          <w:rFonts w:ascii="Book Antiqua" w:hAnsi="Book Antiqua" w:cs="Arial"/>
          <w:sz w:val="24"/>
          <w:szCs w:val="24"/>
          <w:lang w:val="en-GB"/>
        </w:rPr>
        <w:t>SUVmax</w:t>
      </w:r>
      <w:proofErr w:type="spellEnd"/>
      <w:r>
        <w:rPr>
          <w:rFonts w:ascii="Book Antiqua" w:hAnsi="Book Antiqua" w:cs="Arial"/>
          <w:sz w:val="24"/>
          <w:szCs w:val="24"/>
          <w:lang w:val="en-GB"/>
        </w:rPr>
        <w:t>, PVC-</w:t>
      </w:r>
      <w:proofErr w:type="spellStart"/>
      <w:r>
        <w:rPr>
          <w:rFonts w:ascii="Book Antiqua" w:hAnsi="Book Antiqua" w:cs="Arial"/>
          <w:sz w:val="24"/>
          <w:szCs w:val="24"/>
          <w:lang w:val="en-GB"/>
        </w:rPr>
        <w:t>SUVmean</w:t>
      </w:r>
      <w:proofErr w:type="spellEnd"/>
      <w:r>
        <w:rPr>
          <w:rFonts w:ascii="Book Antiqua" w:hAnsi="Book Antiqua" w:cs="Arial"/>
          <w:sz w:val="24"/>
          <w:szCs w:val="24"/>
          <w:lang w:val="en-GB"/>
        </w:rPr>
        <w:t xml:space="preserve">, and PVC-TLG and CDEIS.  Similarly, GCDAS was significantly correlated with CDAI and </w:t>
      </w:r>
      <w:proofErr w:type="spellStart"/>
      <w:r>
        <w:rPr>
          <w:rFonts w:ascii="Book Antiqua" w:hAnsi="Book Antiqua" w:cs="Arial"/>
          <w:sz w:val="24"/>
          <w:szCs w:val="24"/>
          <w:lang w:val="en-GB"/>
        </w:rPr>
        <w:t>fecal</w:t>
      </w:r>
      <w:proofErr w:type="spellEnd"/>
      <w:r>
        <w:rPr>
          <w:rFonts w:ascii="Book Antiqua" w:hAnsi="Book Antiqua" w:cs="Arial"/>
          <w:sz w:val="24"/>
          <w:szCs w:val="24"/>
          <w:lang w:val="en-GB"/>
        </w:rPr>
        <w:t xml:space="preserve"> calprotectin. As such, disease activity was effectively monitored through these </w:t>
      </w:r>
      <w:proofErr w:type="spellStart"/>
      <w:r>
        <w:rPr>
          <w:rFonts w:ascii="Book Antiqua" w:hAnsi="Book Antiqua" w:cs="Arial"/>
          <w:sz w:val="24"/>
          <w:szCs w:val="24"/>
          <w:lang w:val="en-GB"/>
        </w:rPr>
        <w:t>semiquantitative</w:t>
      </w:r>
      <w:proofErr w:type="spellEnd"/>
      <w:r>
        <w:rPr>
          <w:rFonts w:ascii="Book Antiqua" w:hAnsi="Book Antiqua" w:cs="Arial"/>
          <w:sz w:val="24"/>
          <w:szCs w:val="24"/>
          <w:lang w:val="en-GB"/>
        </w:rPr>
        <w:t xml:space="preserve"> parameters, allowing for a tailored treatment.</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hAnsi="Book Antiqua" w:cs="Arial"/>
          <w:b/>
          <w:i/>
          <w:sz w:val="24"/>
          <w:szCs w:val="24"/>
          <w:lang w:val="en-GB"/>
        </w:rPr>
      </w:pPr>
      <w:r>
        <w:rPr>
          <w:rFonts w:ascii="Book Antiqua" w:hAnsi="Book Antiqua" w:cs="Arial"/>
          <w:b/>
          <w:i/>
          <w:sz w:val="24"/>
          <w:szCs w:val="24"/>
          <w:lang w:val="en-GB"/>
        </w:rPr>
        <w:t xml:space="preserve">Molecular </w:t>
      </w:r>
      <w:r>
        <w:rPr>
          <w:rFonts w:ascii="Book Antiqua" w:eastAsiaTheme="minorEastAsia" w:hAnsi="Book Antiqua" w:cs="Arial" w:hint="eastAsia"/>
          <w:b/>
          <w:i/>
          <w:sz w:val="24"/>
          <w:szCs w:val="24"/>
          <w:lang w:val="en-GB" w:eastAsia="zh-CN"/>
        </w:rPr>
        <w:t>i</w:t>
      </w:r>
      <w:r>
        <w:rPr>
          <w:rFonts w:ascii="Book Antiqua" w:hAnsi="Book Antiqua" w:cs="Arial"/>
          <w:b/>
          <w:i/>
          <w:sz w:val="24"/>
          <w:szCs w:val="24"/>
          <w:lang w:val="en-GB"/>
        </w:rPr>
        <w:t>maging in paediatrics</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sz w:val="24"/>
          <w:szCs w:val="24"/>
          <w:lang w:val="en-GB"/>
        </w:rPr>
        <w:t>An overview of the selected studies on molecular imaging in paediatric patients is shown in Table 5.</w:t>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eastAsiaTheme="minorEastAsia" w:hAnsi="Book Antiqua" w:cs="Arial"/>
          <w:b/>
          <w:sz w:val="24"/>
          <w:szCs w:val="24"/>
          <w:lang w:val="en-GB" w:eastAsia="zh-CN"/>
        </w:rPr>
      </w:pPr>
      <w:r>
        <w:rPr>
          <w:rFonts w:ascii="Book Antiqua" w:hAnsi="Book Antiqua" w:cs="Arial"/>
          <w:b/>
          <w:sz w:val="24"/>
          <w:szCs w:val="24"/>
          <w:lang w:val="en-GB"/>
        </w:rPr>
        <w:t xml:space="preserve">Diagnosis: planar scintigraphy and SPECT </w:t>
      </w:r>
      <w:r>
        <w:rPr>
          <w:rFonts w:ascii="Book Antiqua" w:eastAsiaTheme="minorEastAsia" w:hAnsi="Book Antiqua" w:cs="Arial" w:hint="eastAsia"/>
          <w:b/>
          <w:sz w:val="24"/>
          <w:szCs w:val="24"/>
          <w:lang w:val="en-GB" w:eastAsia="zh-CN"/>
        </w:rPr>
        <w:t xml:space="preserve">: </w:t>
      </w:r>
      <w:r>
        <w:rPr>
          <w:rFonts w:ascii="Book Antiqua" w:hAnsi="Book Antiqua" w:cs="Arial"/>
          <w:sz w:val="24"/>
          <w:szCs w:val="24"/>
          <w:lang w:val="en-GB"/>
        </w:rPr>
        <w:t>As for adult patients, leukocyte-labelled scintigraphy is a useful tool in the diagnosis and therapeutic strategy of IBD, providing information on the presence, the activity and the extent of the disease, particularly in the terminal ileum</w:t>
      </w:r>
      <w:r>
        <w:rPr>
          <w:rFonts w:ascii="Book Antiqua" w:hAnsi="Book Antiqua" w:cs="Arial"/>
          <w:sz w:val="24"/>
          <w:szCs w:val="24"/>
          <w:vertAlign w:val="superscript"/>
          <w:lang w:val="it-IT"/>
        </w:rPr>
        <w:fldChar w:fldCharType="begin"/>
      </w:r>
      <w:r>
        <w:rPr>
          <w:rFonts w:ascii="Book Antiqua" w:hAnsi="Book Antiqua" w:cs="Arial"/>
          <w:sz w:val="24"/>
          <w:szCs w:val="24"/>
          <w:vertAlign w:val="superscript"/>
          <w:lang w:val="en-GB"/>
        </w:rPr>
        <w:instrText xml:space="preserve"> ADDIN EN.CITE &lt;EndNote&gt;&lt;Cite&gt;&lt;Author&gt;Alberini&lt;/Author&gt;&lt;Year&gt;2001 &lt;/Year&gt;&lt;RecNum&gt;1074&lt;/RecNum&gt;&lt;DisplayText&gt;[1]&lt;/DisplayText&gt;&lt;record&gt;&lt;rec-number&gt;1074&lt;/rec-number&gt;&lt;foreign-keys&gt;&lt;key app="EN" db-id="avzfewesvzszfkerasu52zst9rw5ffdv52pf" timestamp="1457177472"&gt;1074&lt;/key&gt;&lt;key app="ENWeb" db-id=""&gt;0&lt;/key&gt;&lt;/foreign-keys&gt;&lt;ref-type name="Journal Article"&gt;17&lt;/ref-type&gt;&lt;contributors&gt;&lt;authors&gt;&lt;author&gt;Alberini, J. L.&lt;/author&gt;&lt;author&gt;Badran, A&lt;/author&gt;&lt;author&gt;Freneaux, E&lt;/author&gt;&lt;author&gt;Hadji, S&lt;/author&gt;&lt;author&gt;Kalifa, G&lt;/author&gt;&lt;author&gt;Devaux, J. Y.&lt;/author&gt;&lt;author&gt;Dupont, T.&lt;/author&gt;&lt;/authors&gt;&lt;/contributors&gt;&lt;titles&gt;&lt;title&gt;Technetium-99m HMPAO-labeled leukocyte imaging compared with endoscopy, ultrasonography, and contrast radiology in children with inflammatory bowel disease&lt;/title&gt;&lt;secondary-title&gt;J Pediatr Gastroenterol Nutr.&lt;/secondary-title&gt;&lt;/titles&gt;&lt;periodical&gt;&lt;full-title&gt;J Pediatr Gastroenterol Nutr.&lt;/full-title&gt;&lt;/periodical&gt;&lt;pages&gt;278-86&lt;/pages&gt;&lt;volume&gt;32&lt;/volume&gt;&lt;number&gt;3&lt;/number&gt;&lt;dates&gt;&lt;year&gt;2001 &lt;/year&gt;&lt;/dates&gt;&lt;urls&gt;&lt;/urls&gt;&lt;/record&gt;&lt;/Cite&gt;&lt;/EndNote&gt;</w:instrText>
      </w:r>
      <w:r>
        <w:rPr>
          <w:rFonts w:ascii="Book Antiqua" w:hAnsi="Book Antiqua" w:cs="Arial"/>
          <w:sz w:val="24"/>
          <w:szCs w:val="24"/>
          <w:vertAlign w:val="superscript"/>
          <w:lang w:val="it-IT"/>
        </w:rPr>
        <w:fldChar w:fldCharType="separate"/>
      </w:r>
      <w:r>
        <w:rPr>
          <w:rFonts w:ascii="Book Antiqua" w:hAnsi="Book Antiqua" w:cs="Arial"/>
          <w:sz w:val="24"/>
          <w:szCs w:val="24"/>
          <w:vertAlign w:val="superscript"/>
          <w:lang w:val="en-GB"/>
        </w:rPr>
        <w:t>[32]</w:t>
      </w:r>
      <w:r>
        <w:rPr>
          <w:rFonts w:ascii="Book Antiqua" w:hAnsi="Book Antiqua" w:cs="Arial"/>
          <w:sz w:val="24"/>
          <w:szCs w:val="24"/>
          <w:vertAlign w:val="superscript"/>
          <w:lang w:val="en-GB"/>
        </w:rPr>
        <w:fldChar w:fldCharType="end"/>
      </w:r>
      <w:r>
        <w:rPr>
          <w:rFonts w:ascii="Book Antiqua" w:hAnsi="Book Antiqua" w:cs="Arial"/>
          <w:sz w:val="24"/>
          <w:szCs w:val="24"/>
          <w:lang w:val="en-GB"/>
        </w:rPr>
        <w:t xml:space="preserve">. </w:t>
      </w:r>
      <w:proofErr w:type="spellStart"/>
      <w:r>
        <w:rPr>
          <w:rFonts w:ascii="Book Antiqua" w:hAnsi="Book Antiqua" w:cs="Arial"/>
          <w:sz w:val="24"/>
          <w:szCs w:val="24"/>
          <w:lang w:val="en-GB"/>
        </w:rPr>
        <w:t>Charron</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[33]</w:t>
      </w:r>
      <w:r>
        <w:rPr>
          <w:rFonts w:ascii="Book Antiqua" w:hAnsi="Book Antiqua" w:cs="Arial"/>
          <w:sz w:val="24"/>
          <w:szCs w:val="24"/>
          <w:lang w:val="en-GB"/>
        </w:rPr>
        <w:t xml:space="preserve"> reported a large series of paediatric IBD patients evaluated by </w:t>
      </w:r>
      <w:r>
        <w:rPr>
          <w:rFonts w:ascii="Book Antiqua" w:hAnsi="Book Antiqua" w:cs="Arial"/>
          <w:sz w:val="24"/>
          <w:szCs w:val="24"/>
          <w:vertAlign w:val="superscript"/>
          <w:lang w:val="en-GB"/>
        </w:rPr>
        <w:t>99m</w:t>
      </w:r>
      <w:r>
        <w:rPr>
          <w:rFonts w:ascii="Book Antiqua" w:hAnsi="Book Antiqua" w:cs="Arial"/>
          <w:sz w:val="24"/>
          <w:szCs w:val="24"/>
          <w:lang w:val="en-GB"/>
        </w:rPr>
        <w:t>Tc-HMPAO WBC scintigraphy. One hundred and thirty-two</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 xml:space="preserve">patients with IBD were included, along with 52 patients with nonspecific gastrointestinal symptoms and a low probability of IBD and 31 healthy controls. Images were analysed considering bowel activity in 8 segments and scored using a 6-point scale based on liver, spleen and bone marrow uptake.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 WBC scintigraphy was proven useful in assessing the extent and distribution of inflammation (sensitivity 90%, specificity 97%, PPV 97%, NPV 93%, overall accuracy 93%). </w:t>
      </w:r>
      <w:proofErr w:type="spellStart"/>
      <w:r>
        <w:rPr>
          <w:rFonts w:ascii="Book Antiqua" w:hAnsi="Book Antiqua" w:cs="Arial"/>
          <w:sz w:val="24"/>
          <w:szCs w:val="24"/>
          <w:lang w:val="en-GB"/>
        </w:rPr>
        <w:t>Caobelli</w:t>
      </w:r>
      <w:proofErr w:type="spellEnd"/>
      <w:r>
        <w:rPr>
          <w:rFonts w:ascii="Book Antiqua" w:hAnsi="Book Antiqua" w:cs="Arial"/>
          <w:i/>
          <w:sz w:val="24"/>
          <w:szCs w:val="24"/>
          <w:lang w:val="en-GB"/>
        </w:rPr>
        <w:t xml:space="preserve"> et al</w:t>
      </w:r>
      <w:r>
        <w:rPr>
          <w:rFonts w:ascii="Book Antiqua" w:hAnsi="Book Antiqua" w:cs="Arial"/>
          <w:sz w:val="24"/>
          <w:szCs w:val="24"/>
          <w:vertAlign w:val="superscript"/>
          <w:lang w:val="en-GB"/>
        </w:rPr>
        <w:t xml:space="preserve">[34] </w:t>
      </w:r>
      <w:r>
        <w:rPr>
          <w:rFonts w:ascii="Book Antiqua" w:hAnsi="Book Antiqua" w:cs="Arial"/>
          <w:sz w:val="24"/>
          <w:szCs w:val="24"/>
          <w:lang w:val="en-GB"/>
        </w:rPr>
        <w:t xml:space="preserve">found a correspondence between severity of inflammation as assessed by means of Mayo Score and uptake intensity (Scan Activity Index) in 87% of patients and a full correspondence of location and severity of lesions in 15/16 </w:t>
      </w:r>
      <w:r>
        <w:rPr>
          <w:rFonts w:ascii="Book Antiqua" w:hAnsi="Book Antiqua" w:cs="Arial"/>
          <w:sz w:val="24"/>
          <w:szCs w:val="24"/>
          <w:lang w:val="en-GB"/>
        </w:rPr>
        <w:lastRenderedPageBreak/>
        <w:t xml:space="preserve">patients. Overall, reported sensitivity and specificity for </w:t>
      </w:r>
      <w:r>
        <w:rPr>
          <w:rFonts w:ascii="Book Antiqua" w:hAnsi="Book Antiqua" w:cs="Arial"/>
          <w:sz w:val="24"/>
          <w:szCs w:val="24"/>
          <w:vertAlign w:val="superscript"/>
          <w:lang w:val="en-GB"/>
        </w:rPr>
        <w:t>99m</w:t>
      </w:r>
      <w:r>
        <w:rPr>
          <w:rFonts w:ascii="Book Antiqua" w:hAnsi="Book Antiqua" w:cs="Arial"/>
          <w:sz w:val="24"/>
          <w:szCs w:val="24"/>
          <w:lang w:val="en-GB"/>
        </w:rPr>
        <w:t>Tc-HMPAO WBC scintigraphy were 94% and 86%, respectively. On the other hand, other authors found a good correlation between scintigraphy and endoscopy for the intensity of inflammation (</w:t>
      </w:r>
      <w:r>
        <w:rPr>
          <w:rFonts w:ascii="Book Antiqua" w:hAnsi="Book Antiqua" w:cs="Arial"/>
          <w:i/>
          <w:iCs/>
          <w:sz w:val="24"/>
          <w:szCs w:val="24"/>
          <w:lang w:val="en-GB"/>
        </w:rPr>
        <w:t xml:space="preserve">r </w:t>
      </w:r>
      <w:r>
        <w:rPr>
          <w:rFonts w:ascii="Book Antiqua" w:hAnsi="Book Antiqua" w:cs="Arial"/>
          <w:sz w:val="24"/>
          <w:szCs w:val="24"/>
          <w:lang w:val="en-GB"/>
        </w:rPr>
        <w:t>= 0.70) but a poor correlation regarding the number of involved segments (</w:t>
      </w:r>
      <w:r>
        <w:rPr>
          <w:rFonts w:ascii="Book Antiqua" w:hAnsi="Book Antiqua" w:cs="Arial"/>
          <w:i/>
          <w:iCs/>
          <w:sz w:val="24"/>
          <w:szCs w:val="24"/>
          <w:lang w:val="en-GB"/>
        </w:rPr>
        <w:t xml:space="preserve">r </w:t>
      </w:r>
      <w:r>
        <w:rPr>
          <w:rFonts w:ascii="Book Antiqua" w:hAnsi="Book Antiqua" w:cs="Arial"/>
          <w:sz w:val="24"/>
          <w:szCs w:val="24"/>
          <w:lang w:val="en-GB"/>
        </w:rPr>
        <w:t>= 0.30), due to a significantly higher sensitivity of endoscopy as compared with scintigraphy</w:t>
      </w:r>
      <w:r>
        <w:rPr>
          <w:rFonts w:ascii="Book Antiqua" w:hAnsi="Book Antiqua" w:cs="Arial"/>
          <w:sz w:val="24"/>
          <w:szCs w:val="24"/>
          <w:vertAlign w:val="superscript"/>
          <w:lang w:val="it-IT"/>
        </w:rPr>
        <w:fldChar w:fldCharType="begin"/>
      </w:r>
      <w:r>
        <w:rPr>
          <w:rFonts w:ascii="Book Antiqua" w:hAnsi="Book Antiqua" w:cs="Arial"/>
          <w:sz w:val="24"/>
          <w:szCs w:val="24"/>
          <w:vertAlign w:val="superscript"/>
          <w:lang w:val="en-GB"/>
        </w:rPr>
        <w:instrText xml:space="preserve"> ADDIN EN.CITE &lt;EndNote&gt;&lt;Cite&gt;&lt;Author&gt;Cucchiara&lt;/Author&gt;&lt;Year&gt;1999&lt;/Year&gt;&lt;RecNum&gt;1095&lt;/RecNum&gt;&lt;DisplayText&gt;[4]&lt;/DisplayText&gt;&lt;record&gt;&lt;rec-number&gt;1095&lt;/rec-number&gt;&lt;foreign-keys&gt;&lt;key app="EN" db-id="avzfewesvzszfkerasu52zst9rw5ffdv52pf" timestamp="1457179343"&gt;1095&lt;/key&gt;&lt;/foreign-keys&gt;&lt;ref-type name="Journal Article"&gt;17&lt;/ref-type&gt;&lt;contributors&gt;&lt;authors&gt;&lt;author&gt;Cucchiara, S.&lt;/author&gt;&lt;author&gt;Celentano, L.&lt;/author&gt;&lt;author&gt;de Magistris, T. M.&lt;/author&gt;&lt;author&gt;Montisci, A.&lt;/author&gt;&lt;author&gt;Iula, V. D.&lt;/author&gt;&lt;author&gt;Fecarotta, S.&lt;/author&gt;&lt;/authors&gt;&lt;/contributors&gt;&lt;auth-address&gt;Departments of Pediatrics (Gastroenterology Unit) and Radiology, University of Naples &amp;quot;Federico II,&amp;quot; Naples, Italy.&lt;/auth-address&gt;&lt;titles&gt;&lt;title&gt;Colonoscopy and technetium-99m white cell scan in children with suspected inflammatory bowel disease&lt;/title&gt;&lt;secondary-title&gt;J Pediatr&lt;/secondary-title&gt;&lt;alt-title&gt;The Journal of pediatrics&lt;/alt-title&gt;&lt;/titles&gt;&lt;alt-periodical&gt;&lt;full-title&gt;The Journal of Pediatrics&lt;/full-title&gt;&lt;/alt-periodical&gt;&lt;pages&gt;727-32&lt;/pages&gt;&lt;volume&gt;135&lt;/volume&gt;&lt;number&gt;6&lt;/number&gt;&lt;edition&gt;1999/12/10&lt;/edition&gt;&lt;keywords&gt;&lt;keyword&gt;Adolescent&lt;/keyword&gt;&lt;keyword&gt;Child&lt;/keyword&gt;&lt;keyword&gt;Child, Preschool&lt;/keyword&gt;&lt;keyword&gt;*Colonoscopy&lt;/keyword&gt;&lt;keyword&gt;Crohn Disease/radionuclide imaging&lt;/keyword&gt;&lt;keyword&gt;Female&lt;/keyword&gt;&lt;keyword&gt;Humans&lt;/keyword&gt;&lt;keyword&gt;Inflammatory Bowel Diseases/*radionuclide imaging&lt;/keyword&gt;&lt;keyword&gt;Male&lt;/keyword&gt;&lt;keyword&gt;Predictive Value of Tests&lt;/keyword&gt;&lt;keyword&gt;*Technetium Compounds&lt;/keyword&gt;&lt;/keywords&gt;&lt;dates&gt;&lt;year&gt;1999&lt;/year&gt;&lt;pub-dates&gt;&lt;date&gt;Dec&lt;/date&gt;&lt;/pub-dates&gt;&lt;/dates&gt;&lt;isbn&gt;0022-3476 (Print)&amp;#xD;0022-3476&lt;/isbn&gt;&lt;accession-num&gt;10586176&lt;/accession-num&gt;&lt;urls&gt;&lt;/urls&gt;&lt;remote-database-provider&gt;NLM&lt;/remote-database-provider&gt;&lt;language&gt;eng&lt;/language&gt;&lt;/record&gt;&lt;/Cite&gt;&lt;/EndNote&gt;</w:instrText>
      </w:r>
      <w:r>
        <w:rPr>
          <w:rFonts w:ascii="Book Antiqua" w:hAnsi="Book Antiqua" w:cs="Arial"/>
          <w:sz w:val="24"/>
          <w:szCs w:val="24"/>
          <w:vertAlign w:val="superscript"/>
          <w:lang w:val="it-IT"/>
        </w:rPr>
        <w:fldChar w:fldCharType="separate"/>
      </w:r>
      <w:r>
        <w:rPr>
          <w:rFonts w:ascii="Book Antiqua" w:hAnsi="Book Antiqua" w:cs="Arial"/>
          <w:sz w:val="24"/>
          <w:szCs w:val="24"/>
          <w:vertAlign w:val="superscript"/>
          <w:lang w:val="en-GB"/>
        </w:rPr>
        <w:t>[</w:t>
      </w:r>
      <w:r>
        <w:rPr>
          <w:rFonts w:ascii="Book Antiqua" w:hAnsi="Book Antiqua" w:cs="Arial"/>
          <w:sz w:val="24"/>
          <w:szCs w:val="24"/>
          <w:vertAlign w:val="superscript"/>
          <w:lang w:val="en-GB"/>
        </w:rPr>
        <w:fldChar w:fldCharType="end"/>
      </w:r>
      <w:r>
        <w:rPr>
          <w:rFonts w:ascii="Book Antiqua" w:hAnsi="Book Antiqua" w:cs="Arial"/>
          <w:sz w:val="24"/>
          <w:szCs w:val="24"/>
          <w:vertAlign w:val="superscript"/>
          <w:lang w:val="en-GB"/>
        </w:rPr>
        <w:t>35]</w:t>
      </w:r>
      <w:r>
        <w:rPr>
          <w:rFonts w:ascii="Book Antiqua" w:hAnsi="Book Antiqua" w:cs="Arial"/>
          <w:sz w:val="24"/>
          <w:szCs w:val="24"/>
          <w:lang w:val="en-GB"/>
        </w:rPr>
        <w:t xml:space="preserve">. </w:t>
      </w:r>
      <w:r>
        <w:rPr>
          <w:rFonts w:ascii="Book Antiqua" w:hAnsi="Book Antiqua" w:cs="Arial"/>
          <w:sz w:val="24"/>
          <w:szCs w:val="24"/>
          <w:vertAlign w:val="superscript"/>
          <w:lang w:val="en-GB"/>
        </w:rPr>
        <w:t>99m</w:t>
      </w:r>
      <w:r>
        <w:rPr>
          <w:rFonts w:ascii="Book Antiqua" w:hAnsi="Book Antiqua" w:cs="Arial"/>
          <w:sz w:val="24"/>
          <w:szCs w:val="24"/>
          <w:lang w:val="en-GB"/>
        </w:rPr>
        <w:t>Tc-HMPAO WBC scintigraphy may distinguish discontinuous from continuous colitis with very good results</w:t>
      </w:r>
      <w:r>
        <w:rPr>
          <w:rFonts w:ascii="Book Antiqua" w:hAnsi="Book Antiqua" w:cs="Arial"/>
          <w:sz w:val="24"/>
          <w:szCs w:val="24"/>
          <w:vertAlign w:val="superscript"/>
          <w:lang w:val="en-GB"/>
        </w:rPr>
        <w:t>[36]</w:t>
      </w:r>
      <w:r>
        <w:rPr>
          <w:rFonts w:ascii="Book Antiqua" w:hAnsi="Book Antiqua" w:cs="Arial"/>
          <w:sz w:val="24"/>
          <w:szCs w:val="24"/>
          <w:lang w:val="en-GB"/>
        </w:rPr>
        <w:t xml:space="preserve">. </w:t>
      </w:r>
    </w:p>
    <w:p w:rsidR="0003376C" w:rsidRDefault="005739BD" w:rsidP="00924331">
      <w:pPr>
        <w:spacing w:after="0" w:line="360" w:lineRule="auto"/>
        <w:ind w:firstLineChars="300" w:firstLine="720"/>
        <w:jc w:val="both"/>
        <w:rPr>
          <w:rFonts w:ascii="Book Antiqua" w:eastAsiaTheme="minorEastAsia" w:hAnsi="Book Antiqua" w:cs="Arial"/>
          <w:sz w:val="24"/>
          <w:szCs w:val="24"/>
          <w:lang w:val="en-GB" w:eastAsia="zh-CN"/>
        </w:rPr>
      </w:pPr>
      <w:r>
        <w:rPr>
          <w:rFonts w:ascii="Book Antiqua" w:hAnsi="Book Antiqua" w:cs="Arial"/>
          <w:sz w:val="24"/>
          <w:szCs w:val="24"/>
          <w:lang w:val="en-GB"/>
        </w:rPr>
        <w:t xml:space="preserve">The use of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 WBC scan as initial screening modality to exclude IBD has been suggested, although controversial results have been reported. While a study showed that </w:t>
      </w:r>
      <w:r>
        <w:rPr>
          <w:rFonts w:ascii="Book Antiqua" w:hAnsi="Book Antiqua" w:cs="Arial"/>
          <w:sz w:val="24"/>
          <w:szCs w:val="24"/>
          <w:vertAlign w:val="superscript"/>
          <w:lang w:val="en-GB"/>
        </w:rPr>
        <w:t>99m</w:t>
      </w:r>
      <w:r>
        <w:rPr>
          <w:rFonts w:ascii="Book Antiqua" w:hAnsi="Book Antiqua" w:cs="Arial"/>
          <w:sz w:val="24"/>
          <w:szCs w:val="24"/>
          <w:lang w:val="en-GB"/>
        </w:rPr>
        <w:t>Tc-HMPAO-WBC scintigraphy is more sensitive than upper gastrointestinal small bowel follow-through (SBFT)</w:t>
      </w:r>
      <w:r>
        <w:rPr>
          <w:rFonts w:ascii="Book Antiqua" w:hAnsi="Book Antiqua" w:cs="Arial"/>
          <w:sz w:val="24"/>
          <w:szCs w:val="24"/>
          <w:vertAlign w:val="superscript"/>
          <w:lang w:val="en-GB"/>
        </w:rPr>
        <w:t>[37]</w:t>
      </w:r>
      <w:r>
        <w:rPr>
          <w:rFonts w:ascii="Book Antiqua" w:hAnsi="Book Antiqua" w:cs="Arial"/>
          <w:sz w:val="24"/>
          <w:szCs w:val="24"/>
          <w:lang w:val="en-GB"/>
        </w:rPr>
        <w:t xml:space="preserve">, other authors stated that </w:t>
      </w:r>
      <w:r>
        <w:rPr>
          <w:rFonts w:ascii="Book Antiqua" w:hAnsi="Book Antiqua" w:cs="Arial"/>
          <w:sz w:val="24"/>
          <w:szCs w:val="24"/>
          <w:vertAlign w:val="superscript"/>
          <w:lang w:val="en-GB"/>
        </w:rPr>
        <w:t>99m</w:t>
      </w:r>
      <w:r>
        <w:rPr>
          <w:rFonts w:ascii="Book Antiqua" w:hAnsi="Book Antiqua" w:cs="Arial"/>
          <w:sz w:val="24"/>
          <w:szCs w:val="24"/>
          <w:lang w:val="en-GB"/>
        </w:rPr>
        <w:t>Tc-HMPAO-WBC scintigraphy should not be depended upon as a screening test for CD, since its performance compares unfavourably with each of the conventional investigative techniques</w:t>
      </w:r>
      <w:r>
        <w:rPr>
          <w:rFonts w:ascii="Book Antiqua" w:hAnsi="Book Antiqua" w:cs="Arial"/>
          <w:sz w:val="24"/>
          <w:szCs w:val="24"/>
          <w:vertAlign w:val="superscript"/>
          <w:lang w:val="en-GB"/>
        </w:rPr>
        <w:t>[38,39]</w:t>
      </w:r>
      <w:r>
        <w:rPr>
          <w:rFonts w:ascii="Book Antiqua" w:eastAsiaTheme="minorEastAsia" w:hAnsi="Book Antiqua" w:cs="Arial" w:hint="eastAsia"/>
          <w:sz w:val="24"/>
          <w:szCs w:val="24"/>
          <w:lang w:val="en-GB" w:eastAsia="zh-CN"/>
        </w:rPr>
        <w:t>.</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Few data are available on other tracers. Peacock et al. reported good results using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Tc-Stannous colloid WBC scintigraphy (88% sensitivity, 90% specificity) although agreement was poor for topographic localization of disease when compared to conventional imaging. However, due to a non-inferiority principle (results at least comparable to those of other WBC tracers) authors concluded that in children, </w:t>
      </w:r>
      <w:r>
        <w:rPr>
          <w:rFonts w:ascii="Book Antiqua" w:hAnsi="Book Antiqua" w:cs="Arial"/>
          <w:sz w:val="24"/>
          <w:szCs w:val="24"/>
          <w:vertAlign w:val="superscript"/>
          <w:lang w:val="en-GB"/>
        </w:rPr>
        <w:t>99m</w:t>
      </w:r>
      <w:r>
        <w:rPr>
          <w:rFonts w:ascii="Book Antiqua" w:hAnsi="Book Antiqua" w:cs="Arial"/>
          <w:sz w:val="24"/>
          <w:szCs w:val="24"/>
          <w:lang w:val="en-GB"/>
        </w:rPr>
        <w:t>Tc- stannous colloid WBS should be preferred in view of lower cost, shorter preparation time, and smaller blood volumes required</w:t>
      </w:r>
      <w:r>
        <w:rPr>
          <w:rFonts w:ascii="Book Antiqua" w:hAnsi="Book Antiqua" w:cs="Arial"/>
          <w:sz w:val="24"/>
          <w:szCs w:val="24"/>
          <w:vertAlign w:val="superscript"/>
          <w:lang w:val="en-GB"/>
        </w:rPr>
        <w:t>[40]</w:t>
      </w:r>
      <w:r>
        <w:rPr>
          <w:rFonts w:ascii="Book Antiqua" w:hAnsi="Book Antiqua" w:cs="Arial"/>
          <w:sz w:val="24"/>
          <w:szCs w:val="24"/>
          <w:lang w:val="en-GB"/>
        </w:rPr>
        <w:fldChar w:fldCharType="begin">
          <w:fldData xml:space="preserve">PEVuZE5vdGU+PENpdGU+PEF1dGhvcj5QZWFjb2NrPC9BdXRob3I+PFllYXI+MjAwNDwvWWVhcj48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</w:fldData>
        </w:fldChar>
      </w:r>
      <w:r>
        <w:rPr>
          <w:rFonts w:ascii="Book Antiqua" w:hAnsi="Book Antiqua" w:cs="Arial"/>
          <w:sz w:val="24"/>
          <w:szCs w:val="24"/>
          <w:lang w:val="en-GB"/>
        </w:rPr>
        <w:instrText xml:space="preserve"> ADDIN EN.CITE </w:instrText>
      </w:r>
      <w:r>
        <w:rPr>
          <w:rFonts w:ascii="Book Antiqua" w:hAnsi="Book Antiqua" w:cs="Arial"/>
          <w:sz w:val="24"/>
          <w:szCs w:val="24"/>
          <w:lang w:val="en-GB"/>
        </w:rPr>
        <w:fldChar w:fldCharType="begin">
          <w:fldData xml:space="preserve">PEVuZE5vdGU+PENpdGU+PEF1dGhvcj5QZWFjb2NrPC9BdXRob3I+PFllYXI+MjAwNDwvWWVhcj48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</w:fldData>
        </w:fldChar>
      </w:r>
      <w:r>
        <w:rPr>
          <w:rFonts w:ascii="Book Antiqua" w:hAnsi="Book Antiqua" w:cs="Arial"/>
          <w:sz w:val="24"/>
          <w:szCs w:val="24"/>
          <w:lang w:val="en-GB"/>
        </w:rPr>
        <w:instrText xml:space="preserve"> ADDIN EN.CITE.DATA </w:instrText>
      </w:r>
      <w:r>
        <w:rPr>
          <w:rFonts w:ascii="Book Antiqua" w:hAnsi="Book Antiqua" w:cs="Arial"/>
          <w:sz w:val="24"/>
          <w:szCs w:val="24"/>
          <w:lang w:val="en-GB"/>
        </w:rPr>
      </w:r>
      <w:r>
        <w:rPr>
          <w:rFonts w:ascii="Book Antiqua" w:hAnsi="Book Antiqua" w:cs="Arial"/>
          <w:sz w:val="24"/>
          <w:szCs w:val="24"/>
          <w:lang w:val="en-GB"/>
        </w:rPr>
        <w:fldChar w:fldCharType="end"/>
      </w:r>
      <w:r>
        <w:rPr>
          <w:rFonts w:ascii="Book Antiqua" w:hAnsi="Book Antiqua" w:cs="Arial"/>
          <w:sz w:val="24"/>
          <w:szCs w:val="24"/>
          <w:lang w:val="en-GB"/>
        </w:rPr>
      </w:r>
      <w:r>
        <w:rPr>
          <w:rFonts w:ascii="Book Antiqua" w:hAnsi="Book Antiqua" w:cs="Arial"/>
          <w:sz w:val="24"/>
          <w:szCs w:val="24"/>
          <w:lang w:val="en-GB"/>
        </w:rPr>
        <w:fldChar w:fldCharType="end"/>
      </w:r>
      <w:r>
        <w:rPr>
          <w:rFonts w:ascii="Book Antiqua" w:hAnsi="Book Antiqua" w:cs="Arial"/>
          <w:sz w:val="24"/>
          <w:szCs w:val="24"/>
          <w:lang w:val="en-GB"/>
        </w:rPr>
        <w:t>.</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Bruno et al. reported a higher sensitivity of </w:t>
      </w:r>
      <w:proofErr w:type="spellStart"/>
      <w:r>
        <w:rPr>
          <w:rFonts w:ascii="Book Antiqua" w:hAnsi="Book Antiqua" w:cs="Arial"/>
          <w:sz w:val="24"/>
          <w:szCs w:val="24"/>
          <w:lang w:val="en-GB"/>
        </w:rPr>
        <w:t>immunoscintigraphy</w:t>
      </w:r>
      <w:proofErr w:type="spellEnd"/>
      <w:r>
        <w:rPr>
          <w:rFonts w:ascii="Book Antiqua" w:hAnsi="Book Antiqua" w:cs="Arial"/>
          <w:sz w:val="24"/>
          <w:szCs w:val="24"/>
          <w:lang w:val="en-GB"/>
        </w:rPr>
        <w:t xml:space="preserve"> in CD than in UC (94% and 85%, respectively), although specificity was suboptimal in identifying clinical remission during follow-up. In fact, scintigraphy resulted positive during clinical remission in 73% of patients with CD and in 66.7% of patients with UC</w:t>
      </w:r>
      <w:r>
        <w:rPr>
          <w:rFonts w:ascii="Book Antiqua" w:hAnsi="Book Antiqua" w:cs="Arial"/>
          <w:sz w:val="24"/>
          <w:szCs w:val="24"/>
          <w:vertAlign w:val="superscript"/>
          <w:lang w:val="en-GB"/>
        </w:rPr>
        <w:t>[41]</w:t>
      </w:r>
      <w:r>
        <w:rPr>
          <w:rFonts w:ascii="Book Antiqua" w:hAnsi="Book Antiqua" w:cs="Arial"/>
          <w:sz w:val="24"/>
          <w:szCs w:val="24"/>
          <w:lang w:val="en-GB"/>
        </w:rPr>
        <w:t xml:space="preserv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sz w:val="24"/>
          <w:szCs w:val="24"/>
          <w:lang w:val="en-GB"/>
        </w:rPr>
        <w:t>Diagnosis: PET</w:t>
      </w:r>
      <w:r>
        <w:rPr>
          <w:rFonts w:ascii="Book Antiqua" w:eastAsiaTheme="minorEastAsia" w:hAnsi="Book Antiqua" w:cs="Arial" w:hint="eastAsia"/>
          <w:b/>
          <w:sz w:val="24"/>
          <w:szCs w:val="24"/>
          <w:lang w:val="en-GB" w:eastAsia="zh-CN"/>
        </w:rPr>
        <w:t xml:space="preserve">:  </w:t>
      </w:r>
      <w:r>
        <w:rPr>
          <w:rFonts w:ascii="Book Antiqua" w:hAnsi="Book Antiqua" w:cs="Arial"/>
          <w:sz w:val="24"/>
          <w:szCs w:val="24"/>
          <w:lang w:val="en-GB"/>
        </w:rPr>
        <w:t xml:space="preserve">The paediatric literature studying the value of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and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PET/CT in IBD is limited, heterogeneous, and mostly restricted to retrospective studies. </w:t>
      </w:r>
    </w:p>
    <w:p w:rsidR="0003376C" w:rsidRDefault="005739BD" w:rsidP="00924331">
      <w:pPr>
        <w:spacing w:after="0" w:line="360" w:lineRule="auto"/>
        <w:ind w:firstLineChars="200" w:firstLine="480"/>
        <w:jc w:val="both"/>
        <w:rPr>
          <w:rFonts w:ascii="Book Antiqua" w:hAnsi="Book Antiqua" w:cs="Arial"/>
          <w:sz w:val="24"/>
          <w:szCs w:val="24"/>
          <w:lang w:val="en-GB"/>
        </w:rPr>
      </w:pPr>
      <w:r>
        <w:rPr>
          <w:rFonts w:ascii="Book Antiqua" w:hAnsi="Book Antiqua" w:cs="Arial"/>
          <w:sz w:val="24"/>
          <w:szCs w:val="24"/>
          <w:lang w:val="en-GB"/>
        </w:rPr>
        <w:t xml:space="preserve">One of the first article (published in 1999) was a retrospective study performed by </w:t>
      </w:r>
      <w:proofErr w:type="spellStart"/>
      <w:r>
        <w:rPr>
          <w:rFonts w:ascii="Book Antiqua" w:hAnsi="Book Antiqua" w:cs="Arial"/>
          <w:sz w:val="24"/>
          <w:szCs w:val="24"/>
          <w:lang w:val="en-GB"/>
        </w:rPr>
        <w:t>Skehan</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[18]</w:t>
      </w:r>
      <w:r>
        <w:rPr>
          <w:rFonts w:ascii="Book Antiqua" w:hAnsi="Book Antiqua" w:cs="Arial"/>
          <w:sz w:val="24"/>
          <w:szCs w:val="24"/>
          <w:lang w:val="en-GB"/>
        </w:rPr>
        <w:fldChar w:fldCharType="begin"/>
      </w:r>
      <w:r>
        <w:rPr>
          <w:rFonts w:ascii="Book Antiqua" w:hAnsi="Book Antiqua" w:cs="Arial"/>
          <w:sz w:val="24"/>
          <w:szCs w:val="24"/>
          <w:lang w:val="en-GB"/>
        </w:rPr>
        <w:instrText xml:space="preserve"> ADDIN EN.CITE &lt;EndNote&gt;&lt;Cite&gt;&lt;Author&gt;Skehan&lt;/Author&gt;&lt;Year&gt;1999&lt;/Year&gt;&lt;RecNum&gt;1103&lt;/RecNum&gt;&lt;DisplayText&gt;[13]&lt;/DisplayText&gt;&lt;record&gt;&lt;rec-number&gt;1103&lt;/rec-number&gt;&lt;foreign-keys&gt;&lt;key app="EN" db-id="avzfewesvzszfkerasu52zst9rw5ffdv52pf" timestamp="1457200654"&gt;1103&lt;/key&gt;&lt;key app="ENWeb" db-id=""&gt;0&lt;/key&gt;&lt;/foreign-keys&gt;&lt;ref-type name="Journal Article"&gt;17&lt;/ref-type&gt;&lt;contributors&gt;&lt;authors&gt;&lt;author&gt;Skehan, Stephen J.&lt;/author&gt;&lt;author&gt;Issenman, Robert&lt;/author&gt;&lt;author&gt;Mernagh, John&lt;/author&gt;&lt;author&gt;Nahmias, Claude&lt;/author&gt;&lt;author&gt;Jacobson, Kevan&lt;/author&gt;&lt;/authors&gt;&lt;/contributors&gt;&lt;titles&gt;&lt;title&gt;18F-fluorodeoxyglucose positron tomography in diagnosis of paediatric inflammatory bowel disease&lt;/title&gt;&lt;secondary-title&gt;The Lancet&lt;/secondary-title&gt;&lt;/titles&gt;&lt;periodical&gt;&lt;full-title&gt;The Lancet&lt;/full-title&gt;&lt;/periodical&gt;&lt;pages&gt;836-837&lt;/pages&gt;&lt;volume&gt;354&lt;/volume&gt;&lt;number&gt;9181&lt;/number&gt;&lt;dates&gt;&lt;year&gt;1999&lt;/year&gt;&lt;/dates&gt;&lt;isbn&gt;01406736&lt;/isbn&gt;&lt;urls&gt;&lt;/urls&gt;&lt;electronic-resource-num&gt;10.1016/s0140-6736(99)80021-x&lt;/electronic-resource-num&gt;&lt;/record&gt;&lt;/Cite&gt;&lt;/EndNote&gt;</w:instrText>
      </w:r>
      <w:r>
        <w:rPr>
          <w:rFonts w:ascii="Book Antiqua" w:hAnsi="Book Antiqua" w:cs="Arial"/>
          <w:sz w:val="24"/>
          <w:szCs w:val="24"/>
          <w:lang w:val="en-GB"/>
        </w:rPr>
        <w:fldChar w:fldCharType="end"/>
      </w:r>
      <w:r>
        <w:rPr>
          <w:rFonts w:ascii="Book Antiqua" w:hAnsi="Book Antiqua" w:cs="Arial"/>
          <w:sz w:val="24"/>
          <w:szCs w:val="24"/>
          <w:lang w:val="en-GB"/>
        </w:rPr>
        <w:t xml:space="preserve">. The authors  included 25 young patients with suspected IBD who had undergone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scan and colonoscopy with multiple biopsies, SBFT or both, which were used as a reference standard.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uptake in the gut was </w:t>
      </w:r>
      <w:r>
        <w:rPr>
          <w:rFonts w:ascii="Book Antiqua" w:hAnsi="Book Antiqua" w:cs="Arial"/>
          <w:sz w:val="24"/>
          <w:szCs w:val="24"/>
          <w:lang w:val="en-GB"/>
        </w:rPr>
        <w:lastRenderedPageBreak/>
        <w:t xml:space="preserve">considered pathological if greater than that of the vertebral spine.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showed a per-patient sensitivity and specificity of 81% and 85%, respectively. On a segment-by-segment basis, PET correctly identified the presence/absence of active disease in 60 of 79 (76%) bowel segments (sensitivity and specificity were 71% and 81%, respectively). </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 xml:space="preserve">In 2005 </w:t>
      </w:r>
      <w:proofErr w:type="spellStart"/>
      <w:r>
        <w:rPr>
          <w:rFonts w:ascii="Book Antiqua" w:hAnsi="Book Antiqua" w:cs="Arial"/>
          <w:sz w:val="24"/>
          <w:szCs w:val="24"/>
          <w:lang w:val="en-GB"/>
        </w:rPr>
        <w:t>Lemberg</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[42]</w:t>
      </w:r>
      <w:r>
        <w:rPr>
          <w:rFonts w:ascii="Book Antiqua" w:hAnsi="Book Antiqua" w:cs="Arial"/>
          <w:sz w:val="24"/>
          <w:szCs w:val="24"/>
          <w:lang w:val="en-GB"/>
        </w:rPr>
        <w:t xml:space="preserve"> published a prospective study including 65 children with newly diagnosed IBD (37/65 patients), with symptoms suggestive to recurrent disease (18/65 patients) or with recurrent abdominal pain (10/65 patients).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scan results were compared with SBFT, </w:t>
      </w:r>
      <w:proofErr w:type="spellStart"/>
      <w:r>
        <w:rPr>
          <w:rFonts w:ascii="Book Antiqua" w:hAnsi="Book Antiqua" w:cs="Arial"/>
          <w:sz w:val="24"/>
          <w:szCs w:val="24"/>
          <w:lang w:val="en-GB"/>
        </w:rPr>
        <w:t>pneumocolon</w:t>
      </w:r>
      <w:proofErr w:type="spellEnd"/>
      <w:r>
        <w:rPr>
          <w:rFonts w:ascii="Book Antiqua" w:hAnsi="Book Antiqua" w:cs="Arial"/>
          <w:sz w:val="24"/>
          <w:szCs w:val="24"/>
          <w:lang w:val="en-GB"/>
        </w:rPr>
        <w:t xml:space="preserve"> and/or colonoscopy and demonstrated a per-patient sensitivity in UC (</w:t>
      </w:r>
      <w:r>
        <w:rPr>
          <w:rFonts w:ascii="Book Antiqua" w:hAnsi="Book Antiqua" w:cs="Arial"/>
          <w:i/>
          <w:sz w:val="24"/>
          <w:szCs w:val="24"/>
          <w:lang w:val="en-GB"/>
        </w:rPr>
        <w:t>n</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17), CD (</w:t>
      </w:r>
      <w:r>
        <w:rPr>
          <w:rFonts w:ascii="Book Antiqua" w:hAnsi="Book Antiqua" w:cs="Arial"/>
          <w:i/>
          <w:sz w:val="24"/>
          <w:szCs w:val="24"/>
          <w:lang w:val="en-GB"/>
        </w:rPr>
        <w:t>n</w:t>
      </w:r>
      <w:r>
        <w:rPr>
          <w:rFonts w:ascii="Book Antiqua" w:hAnsi="Book Antiqua" w:cs="Arial"/>
          <w:sz w:val="24"/>
          <w:szCs w:val="24"/>
          <w:lang w:val="en-GB"/>
        </w:rPr>
        <w:t xml:space="preserve"> =</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 xml:space="preserve">38) and recurrent abdominal pain of 76%, 82%, and 100%, respectively. The specificity of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w:t>
      </w:r>
      <w:r>
        <w:rPr>
          <w:rFonts w:ascii="Book Antiqua" w:hAnsi="Book Antiqua" w:cs="Arial"/>
          <w:i/>
          <w:sz w:val="24"/>
          <w:szCs w:val="24"/>
          <w:lang w:val="en-GB"/>
        </w:rPr>
        <w:t>vs</w:t>
      </w:r>
      <w:r>
        <w:rPr>
          <w:rFonts w:ascii="Book Antiqua" w:hAnsi="Book Antiqua" w:cs="Arial"/>
          <w:sz w:val="24"/>
          <w:szCs w:val="24"/>
          <w:lang w:val="en-GB"/>
        </w:rPr>
        <w:t xml:space="preserve"> SBFT was 100% both for UC and CD, while it was 50% for CD and 81% for UC if compared to colonoscopy. The authors concluded that, although PET may not be able to replace conventional studies, it may be useful in case of difficult performance or failing of conventional studies. Additionally, </w:t>
      </w:r>
      <w:proofErr w:type="spellStart"/>
      <w:r>
        <w:rPr>
          <w:rFonts w:ascii="Book Antiqua" w:hAnsi="Book Antiqua" w:cs="Arial"/>
          <w:sz w:val="24"/>
          <w:szCs w:val="24"/>
          <w:lang w:val="en-GB"/>
        </w:rPr>
        <w:t>Löffler</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[43]</w:t>
      </w:r>
      <w:r>
        <w:rPr>
          <w:rFonts w:ascii="Book Antiqua" w:hAnsi="Book Antiqua" w:cs="Arial"/>
          <w:sz w:val="24"/>
          <w:szCs w:val="24"/>
          <w:lang w:val="en-GB"/>
        </w:rPr>
        <w:t xml:space="preserve"> studied 23 children with suspected IBD in a retrospective study, comparing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to endoscopy with biopsies and abdominal ultrasound. Inflammation was graded for each bowel segment on a 3-point scale, namely not inflamed, minimally inflamed and moderately-to-severely inflamed.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scans were analysed semi-quantitatively calculating SUV for all bowel segments, normalized to that of the liver. A score ≥ 3 or a </w:t>
      </w:r>
      <w:proofErr w:type="spellStart"/>
      <w:r>
        <w:rPr>
          <w:rFonts w:ascii="Book Antiqua" w:hAnsi="Book Antiqua" w:cs="Arial"/>
          <w:sz w:val="24"/>
          <w:szCs w:val="24"/>
          <w:lang w:val="en-GB"/>
        </w:rPr>
        <w:t>SUV</w:t>
      </w:r>
      <w:r>
        <w:rPr>
          <w:rFonts w:ascii="Book Antiqua" w:hAnsi="Book Antiqua" w:cs="Arial"/>
          <w:sz w:val="24"/>
          <w:szCs w:val="24"/>
          <w:vertAlign w:val="subscript"/>
          <w:lang w:val="en-GB"/>
        </w:rPr>
        <w:t>max</w:t>
      </w:r>
      <w:proofErr w:type="spellEnd"/>
      <w:r>
        <w:rPr>
          <w:rFonts w:ascii="Book Antiqua" w:hAnsi="Book Antiqua" w:cs="Arial"/>
          <w:sz w:val="24"/>
          <w:szCs w:val="24"/>
          <w:lang w:val="en-GB"/>
        </w:rPr>
        <w:t>/</w:t>
      </w:r>
      <w:proofErr w:type="spellStart"/>
      <w:r>
        <w:rPr>
          <w:rFonts w:ascii="Book Antiqua" w:hAnsi="Book Antiqua" w:cs="Arial"/>
          <w:sz w:val="24"/>
          <w:szCs w:val="24"/>
          <w:lang w:val="en-GB"/>
        </w:rPr>
        <w:t>SUV</w:t>
      </w:r>
      <w:r>
        <w:rPr>
          <w:rFonts w:ascii="Book Antiqua" w:hAnsi="Book Antiqua" w:cs="Arial"/>
          <w:sz w:val="24"/>
          <w:szCs w:val="24"/>
          <w:vertAlign w:val="subscript"/>
          <w:lang w:val="en-GB"/>
        </w:rPr>
        <w:t>liver</w:t>
      </w:r>
      <w:proofErr w:type="spellEnd"/>
      <w:r>
        <w:rPr>
          <w:rFonts w:ascii="Book Antiqua" w:hAnsi="Book Antiqua" w:cs="Arial"/>
          <w:sz w:val="24"/>
          <w:szCs w:val="24"/>
          <w:lang w:val="en-GB"/>
        </w:rPr>
        <w:t xml:space="preserve"> ratio &gt;1.2 was considered positive for inflammation.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showed higher sensitivity (98%) but lower specificity compared both to ultrasound (56% </w:t>
      </w:r>
      <w:r>
        <w:rPr>
          <w:rFonts w:ascii="Book Antiqua" w:hAnsi="Book Antiqua" w:cs="Arial"/>
          <w:i/>
          <w:sz w:val="24"/>
          <w:szCs w:val="24"/>
          <w:lang w:val="en-GB"/>
        </w:rPr>
        <w:t>vs</w:t>
      </w:r>
      <w:r>
        <w:rPr>
          <w:rFonts w:ascii="Book Antiqua" w:hAnsi="Book Antiqua" w:cs="Arial"/>
          <w:sz w:val="24"/>
          <w:szCs w:val="24"/>
          <w:lang w:val="en-GB"/>
        </w:rPr>
        <w:t xml:space="preserve"> 92%) and to endoscopy (90% </w:t>
      </w:r>
      <w:r>
        <w:rPr>
          <w:rFonts w:ascii="Book Antiqua" w:hAnsi="Book Antiqua" w:cs="Arial"/>
          <w:i/>
          <w:sz w:val="24"/>
          <w:szCs w:val="24"/>
          <w:lang w:val="en-GB"/>
        </w:rPr>
        <w:t>vs</w:t>
      </w:r>
      <w:r>
        <w:rPr>
          <w:rFonts w:ascii="Book Antiqua" w:hAnsi="Book Antiqua" w:cs="Arial"/>
          <w:sz w:val="24"/>
          <w:szCs w:val="24"/>
          <w:lang w:val="en-GB"/>
        </w:rPr>
        <w:t xml:space="preserve"> 75%). However, </w:t>
      </w:r>
      <w:r>
        <w:rPr>
          <w:rFonts w:ascii="Book Antiqua" w:hAnsi="Book Antiqua" w:cs="Arial"/>
          <w:sz w:val="24"/>
          <w:szCs w:val="24"/>
          <w:vertAlign w:val="superscript"/>
          <w:lang w:val="en-GB"/>
        </w:rPr>
        <w:t>18</w:t>
      </w:r>
      <w:r>
        <w:rPr>
          <w:rFonts w:ascii="Book Antiqua" w:hAnsi="Book Antiqua" w:cs="Arial"/>
          <w:sz w:val="24"/>
          <w:szCs w:val="24"/>
          <w:lang w:val="en-GB"/>
        </w:rPr>
        <w:t>F-FDG PET proved to be more reliable when assessing small bowel involvement (sensitivity</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100%; specificity</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86%; accuracy</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 xml:space="preserve">90%).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GB"/>
        </w:rPr>
        <w:t xml:space="preserve">More recently, </w:t>
      </w:r>
      <w:proofErr w:type="spellStart"/>
      <w:r>
        <w:rPr>
          <w:rFonts w:ascii="Book Antiqua" w:hAnsi="Book Antiqua" w:cs="Arial"/>
          <w:sz w:val="24"/>
          <w:szCs w:val="24"/>
          <w:lang w:val="en-GB"/>
        </w:rPr>
        <w:t>Däbritz</w:t>
      </w:r>
      <w:proofErr w:type="spellEnd"/>
      <w:r>
        <w:rPr>
          <w:rFonts w:ascii="Book Antiqua" w:hAnsi="Book Antiqua" w:cs="Arial"/>
          <w:i/>
          <w:sz w:val="24"/>
          <w:szCs w:val="24"/>
          <w:lang w:val="en-GB"/>
        </w:rPr>
        <w:t xml:space="preserve"> et al</w:t>
      </w:r>
      <w:r>
        <w:rPr>
          <w:rFonts w:ascii="Book Antiqua" w:hAnsi="Book Antiqua" w:cs="Arial"/>
          <w:sz w:val="24"/>
          <w:szCs w:val="24"/>
          <w:vertAlign w:val="superscript"/>
          <w:lang w:val="en-GB"/>
        </w:rPr>
        <w:t xml:space="preserve">[44] </w:t>
      </w:r>
      <w:r>
        <w:rPr>
          <w:rFonts w:ascii="Book Antiqua" w:hAnsi="Book Antiqua" w:cs="Arial"/>
          <w:sz w:val="24"/>
          <w:szCs w:val="24"/>
          <w:lang w:val="en-GB"/>
        </w:rPr>
        <w:t xml:space="preserve">compared results of PET/CT to conventional diagnostic procedures on a segment-based analysis. An FDG uptake in the gut greater than that of the liver was considered pathological. Following these criteria,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PET/CT showed per-patient sensitivity and specificity of 97% and 100%, respectively, and per-segment sensitivity and specificity of 82% and 97%, respectively (PPV 96%, NPV 88%, accuracy 91%). Berthold </w:t>
      </w:r>
      <w:r>
        <w:rPr>
          <w:rFonts w:ascii="Book Antiqua" w:hAnsi="Book Antiqua" w:cs="Arial"/>
          <w:i/>
          <w:sz w:val="24"/>
          <w:szCs w:val="24"/>
          <w:lang w:val="en-GB"/>
        </w:rPr>
        <w:t>et al</w:t>
      </w:r>
      <w:r>
        <w:rPr>
          <w:rFonts w:ascii="Book Antiqua" w:hAnsi="Book Antiqua" w:cs="Arial"/>
          <w:sz w:val="24"/>
          <w:szCs w:val="24"/>
          <w:vertAlign w:val="superscript"/>
          <w:lang w:val="en-GB"/>
        </w:rPr>
        <w:t>[45]</w:t>
      </w:r>
      <w:r>
        <w:rPr>
          <w:rFonts w:ascii="Book Antiqua" w:hAnsi="Book Antiqua" w:cs="Arial"/>
          <w:sz w:val="24"/>
          <w:szCs w:val="24"/>
          <w:lang w:val="en-GB"/>
        </w:rPr>
        <w:t xml:space="preserve"> retrospectively analysed 23 young symptomatic patients undergoing endoscopies (gastroscopy and colonoscopy) with biopsies, MRI and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eventually fused with CT, as part </w:t>
      </w:r>
      <w:r>
        <w:rPr>
          <w:rFonts w:ascii="Book Antiqua" w:hAnsi="Book Antiqua" w:cs="Arial"/>
          <w:sz w:val="24"/>
          <w:szCs w:val="24"/>
          <w:lang w:val="en-GB"/>
        </w:rPr>
        <w:lastRenderedPageBreak/>
        <w:t xml:space="preserve">of the diagnostic workup. Positive PET findings were defined as a diffuse and clearly increased FDG uptake in the bowel. In this study, sensitivity and specificity of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was 25% and 100% in the stomach and duodenum, 74% and 88% in the colon and 89% and 75% in the terminal ileum.  Especially interesting was the diagnostic performance in assessing lesions involving terminal ileum, for which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appears to be a reliable tool able for the non-invasive assessment of the presence and extent of the disease.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b/>
          <w:sz w:val="24"/>
          <w:szCs w:val="24"/>
          <w:lang w:val="en-GB" w:eastAsia="zh-CN"/>
        </w:rPr>
      </w:pPr>
      <w:r>
        <w:rPr>
          <w:rFonts w:ascii="Book Antiqua" w:hAnsi="Book Antiqua" w:cs="Arial"/>
          <w:b/>
          <w:sz w:val="24"/>
          <w:szCs w:val="24"/>
          <w:lang w:val="en-GB"/>
        </w:rPr>
        <w:t>Follow-up</w:t>
      </w:r>
      <w:r>
        <w:rPr>
          <w:rFonts w:ascii="Book Antiqua" w:eastAsiaTheme="minorEastAsia" w:hAnsi="Book Antiqua" w:cs="Arial" w:hint="eastAsia"/>
          <w:b/>
          <w:sz w:val="24"/>
          <w:szCs w:val="24"/>
          <w:lang w:val="en-GB" w:eastAsia="zh-CN"/>
        </w:rPr>
        <w:t xml:space="preserve">: </w:t>
      </w:r>
      <w:r>
        <w:rPr>
          <w:rFonts w:ascii="Book Antiqua" w:hAnsi="Book Antiqua" w:cs="Arial"/>
          <w:sz w:val="24"/>
          <w:szCs w:val="24"/>
          <w:lang w:val="en-GB"/>
        </w:rPr>
        <w:t>Only a few studies about paediatric patients have been published and are characterized by a smaller number of patients compared to those performed in adults and by the lack of an adequately long follow up</w:t>
      </w:r>
      <w:r>
        <w:rPr>
          <w:rFonts w:ascii="Book Antiqua" w:hAnsi="Book Antiqua" w:cs="Arial"/>
          <w:sz w:val="24"/>
          <w:szCs w:val="24"/>
          <w:vertAlign w:val="superscript"/>
          <w:lang w:val="en-GB"/>
        </w:rPr>
        <w:t>[46]</w:t>
      </w:r>
      <w:r>
        <w:rPr>
          <w:rFonts w:ascii="Book Antiqua" w:hAnsi="Book Antiqua" w:cs="Arial"/>
          <w:sz w:val="24"/>
          <w:szCs w:val="24"/>
          <w:lang w:val="en-GB"/>
        </w:rPr>
        <w:t xml:space="preserve">. </w:t>
      </w:r>
      <w:proofErr w:type="spellStart"/>
      <w:r>
        <w:rPr>
          <w:rFonts w:ascii="Book Antiqua" w:hAnsi="Book Antiqua" w:cs="Arial"/>
          <w:sz w:val="24"/>
          <w:szCs w:val="24"/>
          <w:lang w:val="en-GB"/>
        </w:rPr>
        <w:t>Chroustova</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[47]</w:t>
      </w:r>
      <w:r>
        <w:rPr>
          <w:rFonts w:ascii="Book Antiqua" w:hAnsi="Book Antiqua" w:cs="Arial"/>
          <w:sz w:val="24"/>
          <w:szCs w:val="24"/>
          <w:lang w:val="en-GB"/>
        </w:rPr>
        <w:t xml:space="preserve"> reported that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scintigraphy may play an important role in the follow-up of patients with IBD if the findings are evaluated in conjunction with clinical symptoms and laboratory examinations, providing good information about the current stage of disease. Similar results were replicated by </w:t>
      </w:r>
      <w:proofErr w:type="spellStart"/>
      <w:r>
        <w:rPr>
          <w:rFonts w:ascii="Book Antiqua" w:hAnsi="Book Antiqua" w:cs="Arial"/>
          <w:sz w:val="24"/>
          <w:szCs w:val="24"/>
          <w:lang w:val="en-GB"/>
        </w:rPr>
        <w:t>Papos</w:t>
      </w:r>
      <w:proofErr w:type="spellEnd"/>
      <w:r>
        <w:rPr>
          <w:rFonts w:ascii="Book Antiqua" w:hAnsi="Book Antiqua" w:cs="Arial"/>
          <w:sz w:val="24"/>
          <w:szCs w:val="24"/>
          <w:lang w:val="en-GB"/>
        </w:rPr>
        <w:t xml:space="preserve"> </w:t>
      </w:r>
      <w:r>
        <w:rPr>
          <w:rFonts w:ascii="Book Antiqua" w:eastAsiaTheme="minorEastAsia" w:hAnsi="Book Antiqua" w:cs="Arial" w:hint="eastAsia"/>
          <w:i/>
          <w:sz w:val="24"/>
          <w:szCs w:val="24"/>
          <w:lang w:val="en-GB" w:eastAsia="zh-CN"/>
        </w:rPr>
        <w:t>e</w:t>
      </w:r>
      <w:r>
        <w:rPr>
          <w:rFonts w:ascii="Book Antiqua" w:hAnsi="Book Antiqua" w:cs="Arial"/>
          <w:i/>
          <w:sz w:val="24"/>
          <w:szCs w:val="24"/>
          <w:lang w:val="en-GB"/>
        </w:rPr>
        <w:t>t al</w:t>
      </w:r>
      <w:r>
        <w:rPr>
          <w:rFonts w:ascii="Book Antiqua" w:hAnsi="Book Antiqua" w:cs="Arial"/>
          <w:sz w:val="24"/>
          <w:szCs w:val="24"/>
          <w:vertAlign w:val="superscript"/>
          <w:lang w:val="en-GB"/>
        </w:rPr>
        <w:t>[48]</w:t>
      </w:r>
      <w:r>
        <w:rPr>
          <w:rFonts w:ascii="Book Antiqua" w:hAnsi="Book Antiqua" w:cs="Arial"/>
          <w:sz w:val="24"/>
          <w:szCs w:val="24"/>
          <w:lang w:val="en-GB"/>
        </w:rPr>
        <w:t xml:space="preserve">, wherein the patient activity index scores (sum of the activity scores as measured in each bowel segment) were compared with laboratory parameters. The </w:t>
      </w:r>
      <w:proofErr w:type="spellStart"/>
      <w:r>
        <w:rPr>
          <w:rFonts w:ascii="Book Antiqua" w:hAnsi="Book Antiqua" w:cs="Arial"/>
          <w:sz w:val="24"/>
          <w:szCs w:val="24"/>
          <w:lang w:val="en-GB"/>
        </w:rPr>
        <w:t>scintigraphic</w:t>
      </w:r>
      <w:proofErr w:type="spellEnd"/>
      <w:r>
        <w:rPr>
          <w:rFonts w:ascii="Book Antiqua" w:hAnsi="Book Antiqua" w:cs="Arial"/>
          <w:sz w:val="24"/>
          <w:szCs w:val="24"/>
          <w:lang w:val="en-GB"/>
        </w:rPr>
        <w:t xml:space="preserve"> activity index showed an excellent correlation with several important activity markers in IBD, such as C-reactive protein (CRP), </w:t>
      </w:r>
      <w:r>
        <w:rPr>
          <w:rFonts w:ascii="Symbol" w:hAnsi="Symbol" w:cs="Arial"/>
          <w:sz w:val="24"/>
          <w:szCs w:val="24"/>
          <w:lang w:val="en-GB"/>
        </w:rPr>
        <w:t></w:t>
      </w:r>
      <w:r>
        <w:rPr>
          <w:rFonts w:ascii="Book Antiqua" w:hAnsi="Book Antiqua" w:cs="Arial"/>
          <w:sz w:val="24"/>
          <w:szCs w:val="24"/>
          <w:lang w:val="en-GB"/>
        </w:rPr>
        <w:t xml:space="preserve">2 globulin, iron, and erythrocyte sedimentation rate (ERS). Some impressive cases have been reported, in which </w:t>
      </w:r>
      <w:r>
        <w:rPr>
          <w:rFonts w:ascii="Book Antiqua" w:hAnsi="Book Antiqua" w:cs="Arial"/>
          <w:sz w:val="24"/>
          <w:szCs w:val="24"/>
          <w:vertAlign w:val="superscript"/>
          <w:lang w:val="en-GB"/>
        </w:rPr>
        <w:t>99m</w:t>
      </w:r>
      <w:r>
        <w:rPr>
          <w:rFonts w:ascii="Book Antiqua" w:hAnsi="Book Antiqua" w:cs="Arial"/>
          <w:sz w:val="24"/>
          <w:szCs w:val="24"/>
          <w:lang w:val="en-GB"/>
        </w:rPr>
        <w:t>Tc-HMPAO-WBC scintigraphy could effectively trace the changing in disease activity over time in paediatrics (Figure 2).</w:t>
      </w:r>
    </w:p>
    <w:p w:rsidR="0003376C" w:rsidRDefault="005739BD" w:rsidP="00924331">
      <w:pPr>
        <w:spacing w:after="0" w:line="360" w:lineRule="auto"/>
        <w:ind w:firstLineChars="200" w:firstLine="480"/>
        <w:jc w:val="both"/>
        <w:rPr>
          <w:rFonts w:ascii="Book Antiqua" w:hAnsi="Book Antiqua" w:cs="Arial"/>
          <w:sz w:val="24"/>
          <w:szCs w:val="24"/>
          <w:lang w:val="en-GB"/>
        </w:rPr>
      </w:pPr>
      <w:r>
        <w:rPr>
          <w:rFonts w:ascii="Book Antiqua" w:hAnsi="Book Antiqua" w:cs="Arial"/>
          <w:sz w:val="24"/>
          <w:szCs w:val="24"/>
          <w:lang w:val="en-GB"/>
        </w:rPr>
        <w:t xml:space="preserve">However, despite some advantages of </w:t>
      </w:r>
      <w:r>
        <w:rPr>
          <w:rFonts w:ascii="Book Antiqua" w:hAnsi="Book Antiqua" w:cs="Arial"/>
          <w:sz w:val="24"/>
          <w:szCs w:val="24"/>
          <w:vertAlign w:val="superscript"/>
          <w:lang w:val="en-GB"/>
        </w:rPr>
        <w:t>99m</w:t>
      </w:r>
      <w:r>
        <w:rPr>
          <w:rFonts w:ascii="Book Antiqua" w:hAnsi="Book Antiqua" w:cs="Arial"/>
          <w:sz w:val="24"/>
          <w:szCs w:val="24"/>
          <w:lang w:val="en-GB"/>
        </w:rPr>
        <w:t>Tc-HMPAO-WBC scintigraphy over conventional radiologic techniques in assessing acute inflammation activity, the post-operatory relapse of Crohn disease and the inflammatory component of stenosis</w:t>
      </w:r>
      <w:r>
        <w:rPr>
          <w:rFonts w:ascii="Book Antiqua" w:hAnsi="Book Antiqua" w:cs="Arial"/>
          <w:sz w:val="24"/>
          <w:szCs w:val="24"/>
          <w:vertAlign w:val="superscript"/>
          <w:lang w:val="en-GB"/>
        </w:rPr>
        <w:t>[49]</w:t>
      </w:r>
      <w:r>
        <w:rPr>
          <w:rFonts w:ascii="Book Antiqua" w:hAnsi="Book Antiqua" w:cs="Arial"/>
          <w:sz w:val="24"/>
          <w:szCs w:val="24"/>
          <w:lang w:val="en-GB"/>
        </w:rPr>
        <w:t xml:space="preserve">, some disadvantages of this technique should be recognized. For example, the exclusive use of SPECT without CT combination cannot define anatomic changes in IBD such as stricture formation, fistula formation, or </w:t>
      </w:r>
      <w:proofErr w:type="spellStart"/>
      <w:r>
        <w:rPr>
          <w:rFonts w:ascii="Book Antiqua" w:hAnsi="Book Antiqua" w:cs="Arial"/>
          <w:sz w:val="24"/>
          <w:szCs w:val="24"/>
          <w:lang w:val="en-GB"/>
        </w:rPr>
        <w:t>prestenotic</w:t>
      </w:r>
      <w:proofErr w:type="spellEnd"/>
      <w:r>
        <w:rPr>
          <w:rFonts w:ascii="Book Antiqua" w:hAnsi="Book Antiqua" w:cs="Arial"/>
          <w:sz w:val="24"/>
          <w:szCs w:val="24"/>
          <w:lang w:val="en-GB"/>
        </w:rPr>
        <w:t xml:space="preserve"> dilation. These lesions are best demonstrated by contrast radiography</w:t>
      </w:r>
      <w:r>
        <w:rPr>
          <w:rFonts w:ascii="Book Antiqua" w:hAnsi="Book Antiqua" w:cs="Arial"/>
          <w:sz w:val="24"/>
          <w:szCs w:val="24"/>
          <w:vertAlign w:val="superscript"/>
          <w:lang w:val="en-GB"/>
        </w:rPr>
        <w:t>[50]</w:t>
      </w:r>
      <w:r>
        <w:rPr>
          <w:rFonts w:ascii="Book Antiqua" w:hAnsi="Book Antiqua" w:cs="Arial"/>
          <w:sz w:val="24"/>
          <w:szCs w:val="24"/>
          <w:lang w:val="en-GB"/>
        </w:rPr>
        <w:t>. Moreover, these techniques require a blood sample, followed by reinjection</w:t>
      </w:r>
      <w:r>
        <w:rPr>
          <w:rFonts w:ascii="Book Antiqua" w:hAnsi="Book Antiqua" w:cs="Arial"/>
          <w:sz w:val="24"/>
          <w:szCs w:val="24"/>
          <w:vertAlign w:val="superscript"/>
          <w:lang w:val="en-GB"/>
        </w:rPr>
        <w:t>[41]</w:t>
      </w:r>
      <w:r>
        <w:rPr>
          <w:rFonts w:ascii="Book Antiqua" w:hAnsi="Book Antiqua" w:cs="Arial"/>
          <w:sz w:val="24"/>
          <w:szCs w:val="24"/>
          <w:lang w:val="en-GB"/>
        </w:rPr>
        <w:t xml:space="preserve">. </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GB"/>
        </w:rPr>
        <w:t>PET represents a relatively novel technique for monitoring IBD</w:t>
      </w:r>
      <w:r>
        <w:rPr>
          <w:rFonts w:ascii="Book Antiqua" w:hAnsi="Book Antiqua" w:cs="Arial"/>
          <w:sz w:val="24"/>
          <w:szCs w:val="24"/>
          <w:vertAlign w:val="superscript"/>
          <w:lang w:val="en-GB"/>
        </w:rPr>
        <w:t>[50]</w:t>
      </w:r>
      <w:r>
        <w:rPr>
          <w:rFonts w:ascii="Book Antiqua" w:hAnsi="Book Antiqua" w:cs="Arial"/>
          <w:sz w:val="24"/>
          <w:szCs w:val="24"/>
          <w:lang w:val="en-US"/>
        </w:rPr>
        <w:fldChar w:fldCharType="begin">
          <w:fldData xml:space="preserve">PEVuZE5vdGU+PENpdGU+PEF1dGhvcj5EZWwgUm9zYXJpbzwvQXV0aG9yPjxZZWFyPjE5OTk8L1ll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aW9kaWNhbD48cGFnZXM+NjMtNzA8L3BhZ2VzPjx2b2x1bWU+Mjg8L3ZvbHVtZT48bnVtYmVyPjE8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</w:fldData>
        </w:fldChar>
      </w:r>
      <w:r>
        <w:rPr>
          <w:rFonts w:ascii="Book Antiqua" w:hAnsi="Book Antiqua" w:cs="Arial"/>
          <w:sz w:val="24"/>
          <w:szCs w:val="24"/>
          <w:lang w:val="en-GB"/>
        </w:rPr>
        <w:instrText xml:space="preserve"> ADDIN EN.CITE </w:instrText>
      </w:r>
      <w:r>
        <w:rPr>
          <w:rFonts w:ascii="Book Antiqua" w:hAnsi="Book Antiqua" w:cs="Arial"/>
          <w:sz w:val="24"/>
          <w:szCs w:val="24"/>
          <w:lang w:val="en-US"/>
        </w:rPr>
        <w:fldChar w:fldCharType="begin">
          <w:fldData xml:space="preserve">PEVuZE5vdGU+PENpdGU+PEF1dGhvcj5EZWwgUm9zYXJpbzwvQXV0aG9yPjxZZWFyPjE5OTk8L1ll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aW9kaWNhbD48cGFnZXM+NjMtNzA8L3BhZ2VzPjx2b2x1bWU+Mjg8L3ZvbHVtZT48bnVtYmVyPjE8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</w:fldData>
        </w:fldChar>
      </w:r>
      <w:r>
        <w:rPr>
          <w:rFonts w:ascii="Book Antiqua" w:hAnsi="Book Antiqua" w:cs="Arial"/>
          <w:sz w:val="24"/>
          <w:szCs w:val="24"/>
          <w:lang w:val="en-GB"/>
        </w:rPr>
        <w:instrText xml:space="preserve"> ADDIN EN.CITE.DATA </w:instrText>
      </w:r>
      <w:r>
        <w:rPr>
          <w:rFonts w:ascii="Book Antiqua" w:hAnsi="Book Antiqua" w:cs="Arial"/>
          <w:sz w:val="24"/>
          <w:szCs w:val="24"/>
          <w:lang w:val="en-GB"/>
        </w:rPr>
      </w:r>
      <w:r>
        <w:rPr>
          <w:rFonts w:ascii="Book Antiqua" w:hAnsi="Book Antiqua" w:cs="Arial"/>
          <w:sz w:val="24"/>
          <w:szCs w:val="24"/>
          <w:lang w:val="en-GB"/>
        </w:rPr>
        <w:fldChar w:fldCharType="end"/>
      </w:r>
      <w:r>
        <w:rPr>
          <w:rFonts w:ascii="Book Antiqua" w:hAnsi="Book Antiqua" w:cs="Arial"/>
          <w:sz w:val="24"/>
          <w:szCs w:val="24"/>
          <w:lang w:val="en-US"/>
        </w:rPr>
      </w:r>
      <w:r>
        <w:rPr>
          <w:rFonts w:ascii="Book Antiqua" w:hAnsi="Book Antiqua" w:cs="Arial"/>
          <w:sz w:val="24"/>
          <w:szCs w:val="24"/>
          <w:lang w:val="en-US"/>
        </w:rPr>
        <w:fldChar w:fldCharType="end"/>
      </w:r>
      <w:r>
        <w:rPr>
          <w:rFonts w:ascii="Book Antiqua" w:hAnsi="Book Antiqua" w:cs="Arial"/>
          <w:sz w:val="24"/>
          <w:szCs w:val="24"/>
          <w:lang w:val="en-GB"/>
        </w:rPr>
        <w:t xml:space="preserve">. In contrast to the standard scintigraphy/SPECT, PET offers higher spatial and temporal resolution and is therefore more suitable for quantitative image analysis of </w:t>
      </w:r>
      <w:r>
        <w:rPr>
          <w:rFonts w:ascii="Book Antiqua" w:hAnsi="Book Antiqua" w:cs="Arial"/>
          <w:sz w:val="24"/>
          <w:szCs w:val="24"/>
          <w:lang w:val="en-GB"/>
        </w:rPr>
        <w:lastRenderedPageBreak/>
        <w:t>physiological and pathologic processes</w:t>
      </w:r>
      <w:r>
        <w:rPr>
          <w:rFonts w:ascii="Book Antiqua" w:hAnsi="Book Antiqua" w:cs="Arial"/>
          <w:sz w:val="24"/>
          <w:szCs w:val="24"/>
          <w:vertAlign w:val="superscript"/>
          <w:lang w:val="en-GB"/>
        </w:rPr>
        <w:t>[32]</w:t>
      </w:r>
      <w:r>
        <w:rPr>
          <w:rFonts w:ascii="Book Antiqua" w:hAnsi="Book Antiqua" w:cs="Arial"/>
          <w:sz w:val="24"/>
          <w:szCs w:val="24"/>
          <w:lang w:val="en-GB"/>
        </w:rPr>
        <w:t xml:space="preserve">. However, the precise role of PET in the follow-up of paediatric patients diagnosed with IBD still remains to be defined for some clinical indication, such as differential diagnosis of </w:t>
      </w:r>
      <w:proofErr w:type="spellStart"/>
      <w:r>
        <w:rPr>
          <w:rFonts w:ascii="Book Antiqua" w:hAnsi="Book Antiqua" w:cs="Arial"/>
          <w:sz w:val="24"/>
          <w:szCs w:val="24"/>
          <w:lang w:val="en-GB"/>
        </w:rPr>
        <w:t>fibrostenotic</w:t>
      </w:r>
      <w:proofErr w:type="spellEnd"/>
      <w:r>
        <w:rPr>
          <w:rFonts w:ascii="Book Antiqua" w:hAnsi="Book Antiqua" w:cs="Arial"/>
          <w:sz w:val="24"/>
          <w:szCs w:val="24"/>
          <w:lang w:val="en-GB"/>
        </w:rPr>
        <w:t xml:space="preserve"> strictures from inflammatory strictures and as an alternative investigation after failure of conventional imaging</w:t>
      </w:r>
      <w:r>
        <w:rPr>
          <w:rFonts w:ascii="Book Antiqua" w:hAnsi="Book Antiqua" w:cs="Arial"/>
          <w:sz w:val="24"/>
          <w:szCs w:val="24"/>
          <w:vertAlign w:val="superscript"/>
          <w:lang w:val="en-GB"/>
        </w:rPr>
        <w:t>[51]</w:t>
      </w:r>
      <w:r>
        <w:rPr>
          <w:rFonts w:ascii="Book Antiqua" w:hAnsi="Book Antiqua" w:cs="Arial"/>
          <w:sz w:val="24"/>
          <w:szCs w:val="24"/>
          <w:lang w:val="en-GB"/>
        </w:rPr>
        <w:t xml:space="preserv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hAnsi="Book Antiqua" w:cs="Arial"/>
          <w:b/>
          <w:i/>
          <w:sz w:val="24"/>
          <w:szCs w:val="24"/>
          <w:lang w:val="en-US"/>
        </w:rPr>
      </w:pPr>
      <w:r>
        <w:rPr>
          <w:rFonts w:ascii="Book Antiqua" w:hAnsi="Book Antiqua" w:cs="Arial"/>
          <w:b/>
          <w:i/>
          <w:sz w:val="24"/>
          <w:szCs w:val="24"/>
          <w:lang w:val="en-GB"/>
        </w:rPr>
        <w:t xml:space="preserve">New tracers and </w:t>
      </w:r>
      <w:r>
        <w:rPr>
          <w:rFonts w:ascii="Book Antiqua" w:hAnsi="Book Antiqua" w:cs="Arial"/>
          <w:b/>
          <w:i/>
          <w:sz w:val="24"/>
          <w:szCs w:val="24"/>
          <w:lang w:val="en-US"/>
        </w:rPr>
        <w:t>and preclinical experiments</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 xml:space="preserve">Radiolabelled autologous leukocytes and </w:t>
      </w:r>
      <w:r>
        <w:rPr>
          <w:rFonts w:ascii="Book Antiqua" w:hAnsi="Book Antiqua" w:cs="Arial"/>
          <w:sz w:val="24"/>
          <w:szCs w:val="24"/>
          <w:vertAlign w:val="superscript"/>
          <w:lang w:val="en-GB"/>
        </w:rPr>
        <w:t>18</w:t>
      </w:r>
      <w:r>
        <w:rPr>
          <w:rFonts w:ascii="Book Antiqua" w:hAnsi="Book Antiqua" w:cs="Arial"/>
          <w:sz w:val="24"/>
          <w:szCs w:val="24"/>
          <w:lang w:val="en-GB"/>
        </w:rPr>
        <w:t>F-FDG-PET</w:t>
      </w:r>
      <w:r>
        <w:rPr>
          <w:rFonts w:ascii="Book Antiqua" w:hAnsi="Book Antiqua" w:cs="Arial"/>
          <w:sz w:val="24"/>
          <w:szCs w:val="24"/>
          <w:lang w:val="en-US"/>
        </w:rPr>
        <w:t xml:space="preserve"> represent two of the most widely adopted tracers to image IBD and other inflammatory diseases</w:t>
      </w:r>
      <w:r>
        <w:rPr>
          <w:rFonts w:ascii="Book Antiqua" w:hAnsi="Book Antiqua" w:cs="Arial"/>
          <w:sz w:val="24"/>
          <w:szCs w:val="24"/>
          <w:lang w:val="en-GB"/>
        </w:rPr>
        <w:t xml:space="preserve"> and have gained increasing acceptance for routine use. However, during the latest </w:t>
      </w:r>
      <w:r>
        <w:rPr>
          <w:rFonts w:ascii="Book Antiqua" w:hAnsi="Book Antiqua" w:cs="Arial"/>
          <w:sz w:val="24"/>
          <w:szCs w:val="24"/>
          <w:lang w:val="en-US"/>
        </w:rPr>
        <w:t>decade many efforts have been made in order to develop new radiopharmaceuticals able to detect inflammation and/or infection, such as labeled monoclonal antibodies, chemotactic peptides, interleukins and chemokines</w:t>
      </w:r>
      <w:r>
        <w:rPr>
          <w:rFonts w:ascii="Book Antiqua" w:hAnsi="Book Antiqua" w:cs="Arial"/>
          <w:sz w:val="24"/>
          <w:szCs w:val="24"/>
          <w:vertAlign w:val="superscript"/>
          <w:lang w:val="en-US"/>
        </w:rPr>
        <w:t>[52]</w:t>
      </w:r>
      <w:r>
        <w:rPr>
          <w:rFonts w:ascii="Book Antiqua" w:hAnsi="Book Antiqua" w:cs="Arial"/>
          <w:sz w:val="24"/>
          <w:szCs w:val="24"/>
          <w:lang w:val="en-GB"/>
        </w:rPr>
        <w:t xml:space="preserve"> both for SPECT and PET imaging</w:t>
      </w:r>
      <w:r>
        <w:rPr>
          <w:rFonts w:ascii="Book Antiqua" w:hAnsi="Book Antiqua" w:cs="Arial"/>
          <w:sz w:val="24"/>
          <w:szCs w:val="24"/>
          <w:lang w:val="en-US"/>
        </w:rPr>
        <w:t xml:space="preserv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sz w:val="24"/>
          <w:szCs w:val="24"/>
          <w:lang w:val="en-GB"/>
        </w:rPr>
        <w:t>SPECT tracers</w:t>
      </w:r>
      <w:r>
        <w:rPr>
          <w:rFonts w:ascii="Book Antiqua" w:hAnsi="Book Antiqua" w:cs="Arial"/>
          <w:bCs/>
          <w:sz w:val="24"/>
          <w:szCs w:val="24"/>
          <w:lang w:val="en-GB"/>
        </w:rPr>
        <w:t>：</w:t>
      </w:r>
      <w:proofErr w:type="spellStart"/>
      <w:r>
        <w:rPr>
          <w:rFonts w:ascii="Book Antiqua" w:hAnsi="Book Antiqua" w:cs="Arial"/>
          <w:sz w:val="24"/>
          <w:szCs w:val="24"/>
          <w:lang w:val="en-US"/>
        </w:rPr>
        <w:t>Neurath</w:t>
      </w:r>
      <w:proofErr w:type="spellEnd"/>
      <w:r>
        <w:rPr>
          <w:rFonts w:ascii="Book Antiqua" w:hAnsi="Book Antiqua" w:cs="Arial"/>
          <w:sz w:val="24"/>
          <w:szCs w:val="24"/>
          <w:lang w:val="en-US"/>
        </w:rPr>
        <w:t xml:space="preserve"> and colleagues</w:t>
      </w:r>
      <w:r>
        <w:rPr>
          <w:rFonts w:ascii="Book Antiqua" w:hAnsi="Book Antiqua" w:cs="Arial"/>
          <w:sz w:val="24"/>
          <w:szCs w:val="24"/>
          <w:vertAlign w:val="superscript"/>
          <w:lang w:val="en-GB"/>
        </w:rPr>
        <w:t>[53]</w:t>
      </w:r>
      <w:r>
        <w:rPr>
          <w:rFonts w:ascii="Book Antiqua" w:hAnsi="Book Antiqua" w:cs="Arial"/>
          <w:sz w:val="24"/>
          <w:szCs w:val="24"/>
          <w:lang w:val="en-US"/>
        </w:rPr>
        <w:t xml:space="preserve"> enrolled 59 patients  with  CD  in  a  prospective  study, in order  to assess  disease  activity  by  FDG-PET,  hydro-MRI,  and  </w:t>
      </w:r>
      <w:proofErr w:type="spellStart"/>
      <w:r>
        <w:rPr>
          <w:rFonts w:ascii="Book Antiqua" w:hAnsi="Book Antiqua" w:cs="Arial"/>
          <w:sz w:val="24"/>
          <w:szCs w:val="24"/>
          <w:lang w:val="en-US"/>
        </w:rPr>
        <w:t>immunoscintigraphy</w:t>
      </w:r>
      <w:proofErr w:type="spellEnd"/>
      <w:r>
        <w:rPr>
          <w:rFonts w:ascii="Book Antiqua" w:hAnsi="Book Antiqua" w:cs="Arial"/>
          <w:sz w:val="24"/>
          <w:szCs w:val="24"/>
          <w:lang w:val="en-US"/>
        </w:rPr>
        <w:t xml:space="preserve">  with  anti–nonspecific  cross-reacting  antigen 95 </w:t>
      </w:r>
      <w:proofErr w:type="spellStart"/>
      <w:r>
        <w:rPr>
          <w:rFonts w:ascii="Book Antiqua" w:hAnsi="Book Antiqua" w:cs="Arial"/>
          <w:sz w:val="24"/>
          <w:szCs w:val="24"/>
          <w:lang w:val="en-US"/>
        </w:rPr>
        <w:t>antigranulocyte</w:t>
      </w:r>
      <w:proofErr w:type="spellEnd"/>
      <w:r>
        <w:rPr>
          <w:rFonts w:ascii="Book Antiqua" w:hAnsi="Book Antiqua" w:cs="Arial"/>
          <w:sz w:val="24"/>
          <w:szCs w:val="24"/>
          <w:lang w:val="en-US"/>
        </w:rPr>
        <w:t xml:space="preserve"> antibodies. Twelve patients with irritable bowel syndrome and 20 patients with gut cancer but without gut inflammation served as controls. All three methods showed high specificity  (89%)  to detect inflamed areas in the terminal ileum and colon, although analyses by hydro-MRI and granulocyte antibody scan had strikingly lower sensitivities (40.9% and 66.7%) than FDG-PET (85.4%). Although hydro-MRI showed a higher sensitivity than </w:t>
      </w:r>
      <w:proofErr w:type="spellStart"/>
      <w:r>
        <w:rPr>
          <w:rFonts w:ascii="Book Antiqua" w:hAnsi="Book Antiqua" w:cs="Arial"/>
          <w:sz w:val="24"/>
          <w:szCs w:val="24"/>
          <w:lang w:val="en-US"/>
        </w:rPr>
        <w:t>immunoscintigraphy</w:t>
      </w:r>
      <w:proofErr w:type="spellEnd"/>
      <w:r>
        <w:rPr>
          <w:rFonts w:ascii="Book Antiqua" w:hAnsi="Book Antiqua" w:cs="Arial"/>
          <w:sz w:val="24"/>
          <w:szCs w:val="24"/>
          <w:lang w:val="en-US"/>
        </w:rPr>
        <w:t xml:space="preserve">, still the diagnostic performance was suboptimal. Authors concluded that FDG-PET may provide improved diagnostic accuracy compared to the other two techniques. </w:t>
      </w:r>
    </w:p>
    <w:p w:rsidR="0003376C" w:rsidRDefault="005739BD" w:rsidP="00924331">
      <w:pPr>
        <w:spacing w:after="0" w:line="360" w:lineRule="auto"/>
        <w:ind w:firstLineChars="150" w:firstLine="360"/>
        <w:jc w:val="both"/>
        <w:rPr>
          <w:rFonts w:ascii="Book Antiqua" w:hAnsi="Book Antiqua" w:cs="Arial"/>
          <w:sz w:val="24"/>
          <w:szCs w:val="24"/>
          <w:lang w:val="en-GB"/>
        </w:rPr>
      </w:pPr>
      <w:proofErr w:type="spellStart"/>
      <w:r>
        <w:rPr>
          <w:rFonts w:ascii="Book Antiqua" w:hAnsi="Book Antiqua" w:cs="Arial"/>
          <w:sz w:val="24"/>
          <w:szCs w:val="24"/>
          <w:lang w:val="en-GB"/>
        </w:rPr>
        <w:t>Annovazzi</w:t>
      </w:r>
      <w:proofErr w:type="spellEnd"/>
      <w:r>
        <w:rPr>
          <w:rFonts w:ascii="Book Antiqua" w:hAnsi="Book Antiqua" w:cs="Arial"/>
          <w:sz w:val="24"/>
          <w:szCs w:val="24"/>
          <w:lang w:val="en-GB"/>
        </w:rPr>
        <w:t xml:space="preserve"> and co-workers</w:t>
      </w:r>
      <w:r>
        <w:rPr>
          <w:rFonts w:ascii="Book Antiqua" w:hAnsi="Book Antiqua" w:cs="Arial"/>
          <w:sz w:val="24"/>
          <w:szCs w:val="24"/>
          <w:vertAlign w:val="superscript"/>
          <w:lang w:val="en-GB"/>
        </w:rPr>
        <w:t xml:space="preserve">[54] </w:t>
      </w:r>
      <w:r>
        <w:rPr>
          <w:rFonts w:ascii="Book Antiqua" w:hAnsi="Book Antiqua" w:cs="Arial"/>
          <w:sz w:val="24"/>
          <w:szCs w:val="24"/>
          <w:lang w:val="en-GB"/>
        </w:rPr>
        <w:t xml:space="preserve">compared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scintigraphy to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Tc-IL2 scintigraphy in patients with CD. Both techniques provided high NPV (100% and 91%, respectively), unfortunately at expenses of a weak PPV (44% and 39%, respectively). However, only an unremarkable </w:t>
      </w:r>
      <w:r>
        <w:rPr>
          <w:rFonts w:ascii="Book Antiqua" w:hAnsi="Book Antiqua" w:cs="Arial"/>
          <w:sz w:val="24"/>
          <w:szCs w:val="24"/>
          <w:vertAlign w:val="superscript"/>
          <w:lang w:val="en-US"/>
        </w:rPr>
        <w:t>99m</w:t>
      </w:r>
      <w:r>
        <w:rPr>
          <w:rFonts w:ascii="Book Antiqua" w:hAnsi="Book Antiqua" w:cs="Arial"/>
          <w:sz w:val="24"/>
          <w:szCs w:val="24"/>
          <w:lang w:val="en-US"/>
        </w:rPr>
        <w:t>Tc-IL2</w:t>
      </w:r>
      <w:r>
        <w:rPr>
          <w:rFonts w:ascii="Book Antiqua" w:hAnsi="Book Antiqua" w:cs="Arial"/>
          <w:sz w:val="24"/>
          <w:szCs w:val="24"/>
          <w:lang w:val="en-GB"/>
        </w:rPr>
        <w:t xml:space="preserve"> scintigraphy was associated with longer disease free survival (log-rank test, </w:t>
      </w:r>
      <w:r>
        <w:rPr>
          <w:rFonts w:ascii="Book Antiqua" w:eastAsiaTheme="minorEastAsia" w:hAnsi="Book Antiqua" w:cs="Arial" w:hint="eastAsia"/>
          <w:i/>
          <w:sz w:val="24"/>
          <w:szCs w:val="24"/>
          <w:lang w:val="en-GB" w:eastAsia="zh-CN"/>
        </w:rPr>
        <w:t xml:space="preserve">P </w:t>
      </w:r>
      <w:r>
        <w:rPr>
          <w:rFonts w:ascii="Book Antiqua" w:hAnsi="Book Antiqua" w:cs="Arial"/>
          <w:sz w:val="24"/>
          <w:szCs w:val="24"/>
          <w:lang w:val="en-GB"/>
        </w:rPr>
        <w:t xml:space="preserve">= 0.013). As such, the authors hypothesized a promising role for </w:t>
      </w:r>
      <w:r>
        <w:rPr>
          <w:rFonts w:ascii="Book Antiqua" w:hAnsi="Book Antiqua" w:cs="Arial"/>
          <w:sz w:val="24"/>
          <w:szCs w:val="24"/>
          <w:vertAlign w:val="superscript"/>
          <w:lang w:val="en-US"/>
        </w:rPr>
        <w:t>99m</w:t>
      </w:r>
      <w:r>
        <w:rPr>
          <w:rFonts w:ascii="Book Antiqua" w:hAnsi="Book Antiqua" w:cs="Arial"/>
          <w:sz w:val="24"/>
          <w:szCs w:val="24"/>
          <w:lang w:val="en-US"/>
        </w:rPr>
        <w:t>Tc-IL2 scintigraphy</w:t>
      </w:r>
      <w:r>
        <w:rPr>
          <w:rFonts w:ascii="Book Antiqua" w:hAnsi="Book Antiqua" w:cs="Arial"/>
          <w:sz w:val="24"/>
          <w:szCs w:val="24"/>
          <w:lang w:val="en-GB"/>
        </w:rPr>
        <w:t xml:space="preserve"> is useful in selected </w:t>
      </w:r>
      <w:r>
        <w:rPr>
          <w:rFonts w:ascii="Book Antiqua" w:hAnsi="Book Antiqua" w:cs="Arial"/>
          <w:sz w:val="24"/>
          <w:szCs w:val="24"/>
          <w:lang w:val="en-GB"/>
        </w:rPr>
        <w:lastRenderedPageBreak/>
        <w:t xml:space="preserve">patients with CD in clinical remission, who could benefit from preventive therapy to avoid disease relapse.  </w:t>
      </w:r>
    </w:p>
    <w:p w:rsidR="0003376C" w:rsidRDefault="005739BD" w:rsidP="00924331">
      <w:pPr>
        <w:spacing w:after="0" w:line="360" w:lineRule="auto"/>
        <w:ind w:firstLineChars="150" w:firstLine="360"/>
        <w:jc w:val="both"/>
        <w:rPr>
          <w:rFonts w:ascii="Book Antiqua" w:hAnsi="Book Antiqua" w:cs="Arial"/>
          <w:bCs/>
          <w:sz w:val="24"/>
          <w:szCs w:val="24"/>
          <w:lang w:val="en-GB"/>
        </w:rPr>
      </w:pPr>
      <w:r>
        <w:rPr>
          <w:rFonts w:ascii="Book Antiqua" w:hAnsi="Book Antiqua" w:cs="Arial"/>
          <w:sz w:val="24"/>
          <w:szCs w:val="24"/>
          <w:lang w:val="en-US"/>
        </w:rPr>
        <w:t xml:space="preserve">More recently, Van de </w:t>
      </w:r>
      <w:proofErr w:type="spellStart"/>
      <w:r>
        <w:rPr>
          <w:rFonts w:ascii="Book Antiqua" w:hAnsi="Book Antiqua" w:cs="Arial"/>
          <w:sz w:val="24"/>
          <w:szCs w:val="24"/>
          <w:lang w:val="en-US"/>
        </w:rPr>
        <w:t>Wiele</w:t>
      </w:r>
      <w:proofErr w:type="spellEnd"/>
      <w:r>
        <w:rPr>
          <w:rFonts w:ascii="Book Antiqua" w:hAnsi="Book Antiqua" w:cs="Arial"/>
          <w:sz w:val="24"/>
          <w:szCs w:val="24"/>
          <w:lang w:val="en-US"/>
        </w:rPr>
        <w:t xml:space="preserve"> and colleagues</w:t>
      </w:r>
      <w:r>
        <w:rPr>
          <w:rFonts w:ascii="Book Antiqua" w:hAnsi="Book Antiqua" w:cs="Arial"/>
          <w:sz w:val="24"/>
          <w:szCs w:val="24"/>
          <w:vertAlign w:val="superscript"/>
          <w:lang w:val="en-GB"/>
        </w:rPr>
        <w:t xml:space="preserve"> [55]</w:t>
      </w:r>
      <w:r>
        <w:rPr>
          <w:rFonts w:ascii="Book Antiqua" w:hAnsi="Book Antiqua" w:cs="Arial"/>
          <w:sz w:val="24"/>
          <w:szCs w:val="24"/>
          <w:lang w:val="en-US"/>
        </w:rPr>
        <w:t xml:space="preserve"> investigated three different labelling methods for monocytes (</w:t>
      </w:r>
      <w:r>
        <w:rPr>
          <w:rFonts w:ascii="Book Antiqua" w:hAnsi="Book Antiqua" w:cs="Arial"/>
          <w:sz w:val="24"/>
          <w:szCs w:val="24"/>
          <w:vertAlign w:val="superscript"/>
          <w:lang w:val="en-US"/>
        </w:rPr>
        <w:t>99m</w:t>
      </w:r>
      <w:r>
        <w:rPr>
          <w:rFonts w:ascii="Book Antiqua" w:hAnsi="Book Antiqua" w:cs="Arial"/>
          <w:sz w:val="24"/>
          <w:szCs w:val="24"/>
          <w:lang w:val="en-US"/>
        </w:rPr>
        <w:t xml:space="preserve">Tc-HMPAO, </w:t>
      </w:r>
      <w:r>
        <w:rPr>
          <w:rFonts w:ascii="Book Antiqua" w:hAnsi="Book Antiqua" w:cs="Arial"/>
          <w:sz w:val="24"/>
          <w:szCs w:val="24"/>
          <w:vertAlign w:val="superscript"/>
          <w:lang w:val="en-US"/>
        </w:rPr>
        <w:t>111</w:t>
      </w:r>
      <w:r>
        <w:rPr>
          <w:rFonts w:ascii="Book Antiqua" w:hAnsi="Book Antiqua" w:cs="Arial"/>
          <w:sz w:val="24"/>
          <w:szCs w:val="24"/>
          <w:lang w:val="en-US"/>
        </w:rPr>
        <w:t>In-oxine</w:t>
      </w:r>
      <w:r>
        <w:rPr>
          <w:rFonts w:ascii="Book Antiqua" w:hAnsi="Book Antiqua" w:cs="Arial"/>
          <w:sz w:val="24"/>
          <w:szCs w:val="24"/>
          <w:lang w:val="en-GB"/>
        </w:rPr>
        <w:t xml:space="preserve"> and</w:t>
      </w:r>
      <w:r>
        <w:rPr>
          <w:rFonts w:ascii="Book Antiqua" w:hAnsi="Book Antiqua" w:cs="Arial"/>
          <w:sz w:val="24"/>
          <w:szCs w:val="24"/>
          <w:lang w:val="en-US"/>
        </w:rPr>
        <w:t xml:space="preserve"> </w:t>
      </w:r>
      <w:r>
        <w:rPr>
          <w:rFonts w:ascii="Book Antiqua" w:hAnsi="Book Antiqua" w:cs="Arial"/>
          <w:sz w:val="24"/>
          <w:szCs w:val="24"/>
          <w:vertAlign w:val="superscript"/>
          <w:lang w:val="en-US"/>
        </w:rPr>
        <w:t>99m</w:t>
      </w:r>
      <w:r>
        <w:rPr>
          <w:rFonts w:ascii="Book Antiqua" w:hAnsi="Book Antiqua" w:cs="Arial"/>
          <w:sz w:val="24"/>
          <w:szCs w:val="24"/>
          <w:lang w:val="en-US"/>
        </w:rPr>
        <w:t xml:space="preserve">Tc-colloids for SPECT studies or </w:t>
      </w:r>
      <w:r>
        <w:rPr>
          <w:rFonts w:ascii="Book Antiqua" w:hAnsi="Book Antiqua" w:cs="Arial"/>
          <w:sz w:val="24"/>
          <w:szCs w:val="24"/>
          <w:vertAlign w:val="superscript"/>
          <w:lang w:val="en-US"/>
        </w:rPr>
        <w:t>18</w:t>
      </w:r>
      <w:r>
        <w:rPr>
          <w:rFonts w:ascii="Book Antiqua" w:hAnsi="Book Antiqua" w:cs="Arial"/>
          <w:sz w:val="24"/>
          <w:szCs w:val="24"/>
          <w:lang w:val="en-US"/>
        </w:rPr>
        <w:t>F-FDG for PET studies). Best results were yielded by</w:t>
      </w:r>
      <w:r>
        <w:rPr>
          <w:rFonts w:ascii="Book Antiqua" w:hAnsi="Book Antiqua" w:cs="Arial"/>
          <w:sz w:val="24"/>
          <w:szCs w:val="24"/>
          <w:vertAlign w:val="superscript"/>
          <w:lang w:val="en-US"/>
        </w:rPr>
        <w:t xml:space="preserve"> 99m</w:t>
      </w:r>
      <w:r>
        <w:rPr>
          <w:rFonts w:ascii="Book Antiqua" w:hAnsi="Book Antiqua" w:cs="Arial"/>
          <w:sz w:val="24"/>
          <w:szCs w:val="24"/>
          <w:lang w:val="en-US"/>
        </w:rPr>
        <w:t xml:space="preserve">Tc-HMPAO. In-vitro labelled monocytes specifically accumulated in the intestinal activity foci. In 2015, </w:t>
      </w:r>
      <w:proofErr w:type="spellStart"/>
      <w:r>
        <w:rPr>
          <w:rFonts w:ascii="Book Antiqua" w:hAnsi="Book Antiqua" w:cs="Arial"/>
          <w:sz w:val="24"/>
          <w:szCs w:val="24"/>
          <w:lang w:val="en-US"/>
        </w:rPr>
        <w:t>Aarntzen</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GB"/>
        </w:rPr>
        <w:t>[19]</w:t>
      </w:r>
      <w:r>
        <w:rPr>
          <w:rFonts w:ascii="Book Antiqua" w:hAnsi="Book Antiqua" w:cs="Arial"/>
          <w:sz w:val="24"/>
          <w:szCs w:val="24"/>
          <w:lang w:val="en-US"/>
        </w:rPr>
        <w:t xml:space="preserve"> investigated the accuracy of </w:t>
      </w:r>
      <w:r>
        <w:rPr>
          <w:rFonts w:ascii="Book Antiqua" w:hAnsi="Book Antiqua" w:cs="Arial"/>
          <w:sz w:val="24"/>
          <w:szCs w:val="24"/>
          <w:vertAlign w:val="superscript"/>
          <w:lang w:val="en-US"/>
        </w:rPr>
        <w:t>99m</w:t>
      </w:r>
      <w:r>
        <w:rPr>
          <w:rFonts w:ascii="Book Antiqua" w:hAnsi="Book Antiqua" w:cs="Arial"/>
          <w:sz w:val="24"/>
          <w:szCs w:val="24"/>
          <w:lang w:val="en-GB"/>
        </w:rPr>
        <w:t>Tc</w:t>
      </w:r>
      <w:r>
        <w:rPr>
          <w:rFonts w:ascii="Book Antiqua" w:hAnsi="Book Antiqua" w:cs="Arial"/>
          <w:sz w:val="24"/>
          <w:szCs w:val="24"/>
          <w:lang w:val="en-US"/>
        </w:rPr>
        <w:t xml:space="preserve">-CXCL8 SPECT to detect and localize disease activity in a prospective series of patients with IBD. Radiolabeled CXCL8 [interleukin [IL]-8] targets the CXCL8 receptors mediating chemotaxis of immune cells to the site of inflammation. The overall sensitivity and specificity on a per-patient basis for the detection of active disease was 95% and 44% for </w:t>
      </w:r>
      <w:r>
        <w:rPr>
          <w:rFonts w:ascii="Book Antiqua" w:hAnsi="Book Antiqua" w:cs="Arial"/>
          <w:sz w:val="24"/>
          <w:szCs w:val="24"/>
          <w:vertAlign w:val="superscript"/>
          <w:lang w:val="en-US"/>
        </w:rPr>
        <w:t>99m</w:t>
      </w:r>
      <w:r>
        <w:rPr>
          <w:rFonts w:ascii="Book Antiqua" w:hAnsi="Book Antiqua" w:cs="Arial"/>
          <w:sz w:val="24"/>
          <w:szCs w:val="24"/>
          <w:lang w:val="en-GB"/>
        </w:rPr>
        <w:t>Tc</w:t>
      </w:r>
      <w:r>
        <w:rPr>
          <w:rFonts w:ascii="Book Antiqua" w:hAnsi="Book Antiqua" w:cs="Arial"/>
          <w:sz w:val="24"/>
          <w:szCs w:val="24"/>
          <w:lang w:val="en-US"/>
        </w:rPr>
        <w:t>-CXCL8</w:t>
      </w:r>
      <w:r>
        <w:rPr>
          <w:rFonts w:ascii="Book Antiqua" w:hAnsi="Book Antiqua" w:cs="Arial"/>
          <w:sz w:val="24"/>
          <w:szCs w:val="24"/>
          <w:lang w:val="en-GB"/>
        </w:rPr>
        <w:t xml:space="preserve"> </w:t>
      </w:r>
      <w:r>
        <w:rPr>
          <w:rFonts w:ascii="Book Antiqua" w:hAnsi="Book Antiqua" w:cs="Arial"/>
          <w:sz w:val="24"/>
          <w:szCs w:val="24"/>
          <w:lang w:val="en-US"/>
        </w:rPr>
        <w:t xml:space="preserve">scan and 71% and 70% for endoscopy. Interestingly, the degree of </w:t>
      </w:r>
      <w:r>
        <w:rPr>
          <w:rFonts w:ascii="Book Antiqua" w:hAnsi="Book Antiqua" w:cs="Arial"/>
          <w:sz w:val="24"/>
          <w:szCs w:val="24"/>
          <w:vertAlign w:val="superscript"/>
          <w:lang w:val="en-US"/>
        </w:rPr>
        <w:t>99m</w:t>
      </w:r>
      <w:r>
        <w:rPr>
          <w:rFonts w:ascii="Book Antiqua" w:hAnsi="Book Antiqua" w:cs="Arial"/>
          <w:sz w:val="24"/>
          <w:szCs w:val="24"/>
          <w:lang w:val="en-GB"/>
        </w:rPr>
        <w:t>Tc</w:t>
      </w:r>
      <w:r>
        <w:rPr>
          <w:rFonts w:ascii="Book Antiqua" w:hAnsi="Book Antiqua" w:cs="Arial"/>
          <w:sz w:val="24"/>
          <w:szCs w:val="24"/>
          <w:lang w:val="en-US"/>
        </w:rPr>
        <w:t xml:space="preserve">-CXCL88 accumulation correlated to the degree of neutrophilic influx in affected mucosa. </w:t>
      </w:r>
    </w:p>
    <w:p w:rsidR="0003376C" w:rsidRDefault="0003376C" w:rsidP="00924331">
      <w:pPr>
        <w:spacing w:after="0" w:line="360" w:lineRule="auto"/>
        <w:jc w:val="both"/>
        <w:rPr>
          <w:rFonts w:ascii="Book Antiqua" w:hAnsi="Book Antiqua" w:cs="Arial"/>
          <w:bCs/>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sz w:val="24"/>
          <w:szCs w:val="24"/>
          <w:lang w:val="en-GB"/>
        </w:rPr>
        <w:t>PET tracers</w:t>
      </w:r>
      <w:r>
        <w:rPr>
          <w:rFonts w:ascii="Book Antiqua" w:eastAsiaTheme="minorEastAsia" w:hAnsi="Book Antiqua" w:cs="Arial" w:hint="eastAsia"/>
          <w:b/>
          <w:bCs/>
          <w:sz w:val="24"/>
          <w:szCs w:val="24"/>
          <w:lang w:val="en-GB" w:eastAsia="zh-CN"/>
        </w:rPr>
        <w:t xml:space="preserve">: </w:t>
      </w:r>
      <w:r>
        <w:rPr>
          <w:rFonts w:ascii="Book Antiqua" w:hAnsi="Book Antiqua" w:cs="Arial"/>
          <w:sz w:val="24"/>
          <w:szCs w:val="24"/>
          <w:lang w:val="en-US"/>
        </w:rPr>
        <w:t>New more specific PET radiopharmaceuticals for inflammation of the intestinal mucosa have been investigated. A gradual shift from large proteins with a nonspecific uptake mechanism to more specific targeting proteins could be observed in the latest years.</w:t>
      </w:r>
    </w:p>
    <w:p w:rsidR="0003376C" w:rsidRDefault="005739BD" w:rsidP="00924331">
      <w:pPr>
        <w:spacing w:after="0" w:line="360" w:lineRule="auto"/>
        <w:ind w:firstLineChars="300" w:firstLine="720"/>
        <w:jc w:val="both"/>
        <w:rPr>
          <w:rFonts w:ascii="Book Antiqua" w:hAnsi="Book Antiqua" w:cs="Arial"/>
          <w:sz w:val="24"/>
          <w:szCs w:val="24"/>
          <w:lang w:val="en-GB"/>
        </w:rPr>
      </w:pPr>
      <w:r>
        <w:rPr>
          <w:rFonts w:ascii="Book Antiqua" w:hAnsi="Book Antiqua" w:cs="Arial"/>
          <w:sz w:val="24"/>
          <w:szCs w:val="24"/>
          <w:lang w:val="en-US"/>
        </w:rPr>
        <w:t>To date, neutrophil-mediated processes, characteristic for both inflammatory and infectious</w:t>
      </w:r>
      <w:r>
        <w:rPr>
          <w:rFonts w:ascii="Book Antiqua" w:hAnsi="Book Antiqua" w:cs="Arial"/>
          <w:sz w:val="24"/>
          <w:szCs w:val="24"/>
          <w:lang w:val="en-GB"/>
        </w:rPr>
        <w:t xml:space="preserve"> </w:t>
      </w:r>
      <w:r>
        <w:rPr>
          <w:rFonts w:ascii="Book Antiqua" w:hAnsi="Book Antiqua" w:cs="Arial"/>
          <w:sz w:val="24"/>
          <w:szCs w:val="24"/>
          <w:lang w:val="en-US"/>
        </w:rPr>
        <w:t>processes, can be targeted in situ by radiolabeled leukocytes, antibodies or its fragments and cytokines.</w:t>
      </w:r>
      <w:r>
        <w:rPr>
          <w:rFonts w:ascii="Book Antiqua" w:hAnsi="Book Antiqua" w:cs="Arial"/>
          <w:sz w:val="24"/>
          <w:szCs w:val="24"/>
          <w:lang w:val="en-GB"/>
        </w:rPr>
        <w:t xml:space="preserve"> </w:t>
      </w:r>
      <w:bookmarkStart w:id="33" w:name="body1"/>
      <w:r>
        <w:rPr>
          <w:rFonts w:ascii="Book Antiqua" w:hAnsi="Book Antiqua" w:cs="Arial"/>
          <w:sz w:val="24"/>
          <w:szCs w:val="24"/>
          <w:vertAlign w:val="superscript"/>
          <w:lang w:val="en-GB"/>
        </w:rPr>
        <w:t>68</w:t>
      </w:r>
      <w:r>
        <w:rPr>
          <w:rFonts w:ascii="Book Antiqua" w:hAnsi="Book Antiqua" w:cs="Arial"/>
          <w:sz w:val="24"/>
          <w:szCs w:val="24"/>
          <w:lang w:val="en-US"/>
        </w:rPr>
        <w:t>Ga is one of the earliest positron-emitting radionuclides applied to clinical medicine, with a short physical half-life</w:t>
      </w:r>
      <w:r>
        <w:rPr>
          <w:rFonts w:ascii="Book Antiqua" w:hAnsi="Book Antiqua" w:cs="Arial"/>
          <w:sz w:val="24"/>
          <w:szCs w:val="24"/>
          <w:lang w:val="en-GB"/>
        </w:rPr>
        <w:t> (</w:t>
      </w:r>
      <w:r>
        <w:rPr>
          <w:rFonts w:ascii="Book Antiqua" w:hAnsi="Book Antiqua" w:cs="Arial"/>
          <w:sz w:val="24"/>
          <w:szCs w:val="24"/>
          <w:lang w:val="en-US"/>
        </w:rPr>
        <w:t>t</w:t>
      </w:r>
      <w:r>
        <w:rPr>
          <w:rFonts w:ascii="Book Antiqua" w:hAnsi="Book Antiqua" w:cs="Arial"/>
          <w:sz w:val="24"/>
          <w:szCs w:val="24"/>
          <w:vertAlign w:val="subscript"/>
          <w:lang w:val="en-US"/>
        </w:rPr>
        <w:t>1/2</w:t>
      </w:r>
      <w:r>
        <w:rPr>
          <w:rFonts w:ascii="Book Antiqua" w:hAnsi="Book Antiqua" w:cs="Arial"/>
          <w:sz w:val="24"/>
          <w:szCs w:val="24"/>
          <w:lang w:val="en-GB"/>
        </w:rPr>
        <w:t> </w:t>
      </w:r>
      <w:r>
        <w:rPr>
          <w:rFonts w:ascii="Book Antiqua" w:hAnsi="Book Antiqua" w:cs="Arial"/>
          <w:sz w:val="24"/>
          <w:szCs w:val="24"/>
          <w:lang w:val="en-US"/>
        </w:rPr>
        <w:t xml:space="preserve">= 68 min), allowing favorable dosimetry with consequent lower dose delivered to the patients in case of repeated imaging. This constitutes a major advantage over the SPECT agent </w:t>
      </w:r>
      <w:r>
        <w:rPr>
          <w:rFonts w:ascii="Book Antiqua" w:hAnsi="Book Antiqua" w:cs="Arial"/>
          <w:sz w:val="24"/>
          <w:szCs w:val="24"/>
          <w:vertAlign w:val="superscript"/>
          <w:lang w:val="en-GB"/>
        </w:rPr>
        <w:t>67</w:t>
      </w:r>
      <w:r>
        <w:rPr>
          <w:rFonts w:ascii="Book Antiqua" w:hAnsi="Book Antiqua" w:cs="Arial"/>
          <w:sz w:val="24"/>
          <w:szCs w:val="24"/>
          <w:lang w:val="en-GB"/>
        </w:rPr>
        <w:t>Ga</w:t>
      </w:r>
      <w:r>
        <w:rPr>
          <w:rFonts w:ascii="Book Antiqua" w:hAnsi="Book Antiqua" w:cs="Arial"/>
          <w:sz w:val="24"/>
          <w:szCs w:val="24"/>
          <w:vertAlign w:val="superscript"/>
          <w:lang w:val="pt-PT"/>
        </w:rPr>
        <w:t>[</w:t>
      </w:r>
      <w:r>
        <w:rPr>
          <w:rFonts w:ascii="Book Antiqua" w:hAnsi="Book Antiqua" w:cs="Arial"/>
          <w:sz w:val="24"/>
          <w:szCs w:val="24"/>
          <w:vertAlign w:val="superscript"/>
          <w:lang w:val="en-GB"/>
        </w:rPr>
        <w:t>56</w:t>
      </w:r>
      <w:r>
        <w:rPr>
          <w:rFonts w:ascii="Book Antiqua" w:hAnsi="Book Antiqua" w:cs="Arial"/>
          <w:sz w:val="24"/>
          <w:szCs w:val="24"/>
          <w:vertAlign w:val="superscript"/>
          <w:lang w:val="pt-PT"/>
        </w:rPr>
        <w:t>]</w:t>
      </w:r>
      <w:r>
        <w:rPr>
          <w:rFonts w:ascii="Book Antiqua" w:hAnsi="Book Antiqua" w:cs="Arial"/>
          <w:sz w:val="24"/>
          <w:szCs w:val="24"/>
          <w:lang w:val="en-GB"/>
        </w:rPr>
        <w:t>.</w:t>
      </w:r>
    </w:p>
    <w:p w:rsidR="0003376C" w:rsidRDefault="005739BD" w:rsidP="00924331">
      <w:pPr>
        <w:spacing w:after="0" w:line="360" w:lineRule="auto"/>
        <w:ind w:firstLineChars="200" w:firstLine="480"/>
        <w:jc w:val="both"/>
        <w:rPr>
          <w:rFonts w:ascii="Book Antiqua" w:hAnsi="Book Antiqua" w:cs="Arial"/>
          <w:sz w:val="24"/>
          <w:szCs w:val="24"/>
          <w:lang w:val="en-GB"/>
        </w:rPr>
      </w:pPr>
      <w:bookmarkStart w:id="34" w:name="article_body5"/>
      <w:bookmarkEnd w:id="33"/>
      <w:r>
        <w:rPr>
          <w:rFonts w:ascii="Book Antiqua" w:hAnsi="Book Antiqua" w:cs="Arial"/>
          <w:sz w:val="24"/>
          <w:szCs w:val="24"/>
          <w:lang w:val="en-US"/>
        </w:rPr>
        <w:t xml:space="preserve">WBC labeled with </w:t>
      </w:r>
      <w:r>
        <w:rPr>
          <w:rFonts w:ascii="Book Antiqua" w:hAnsi="Book Antiqua" w:cs="Arial"/>
          <w:sz w:val="24"/>
          <w:szCs w:val="24"/>
          <w:vertAlign w:val="superscript"/>
          <w:lang w:val="en-GB"/>
        </w:rPr>
        <w:t>18</w:t>
      </w:r>
      <w:r>
        <w:rPr>
          <w:rFonts w:ascii="Book Antiqua" w:hAnsi="Book Antiqua" w:cs="Arial"/>
          <w:sz w:val="24"/>
          <w:szCs w:val="24"/>
          <w:lang w:val="en-GB"/>
        </w:rPr>
        <w:t>F-</w:t>
      </w:r>
      <w:r>
        <w:rPr>
          <w:rFonts w:ascii="Book Antiqua" w:hAnsi="Book Antiqua" w:cs="Arial"/>
          <w:sz w:val="24"/>
          <w:szCs w:val="24"/>
          <w:lang w:val="en-US"/>
        </w:rPr>
        <w:t>FDG is a promising</w:t>
      </w:r>
      <w:r>
        <w:rPr>
          <w:rFonts w:ascii="Book Antiqua" w:hAnsi="Book Antiqua" w:cs="Arial"/>
          <w:sz w:val="24"/>
          <w:szCs w:val="24"/>
          <w:lang w:val="en-GB"/>
        </w:rPr>
        <w:t xml:space="preserve"> </w:t>
      </w:r>
      <w:r>
        <w:rPr>
          <w:rFonts w:ascii="Book Antiqua" w:hAnsi="Book Antiqua" w:cs="Arial"/>
          <w:sz w:val="24"/>
          <w:szCs w:val="24"/>
          <w:lang w:val="en-US"/>
        </w:rPr>
        <w:t>method for a non-invasive diagnosis and grading of intestinal inflammation.</w:t>
      </w:r>
      <w:r>
        <w:rPr>
          <w:rFonts w:ascii="Book Antiqua" w:hAnsi="Book Antiqua" w:cs="Arial"/>
          <w:sz w:val="24"/>
          <w:szCs w:val="24"/>
          <w:lang w:val="en-GB"/>
        </w:rPr>
        <w:t xml:space="preserve"> </w:t>
      </w:r>
      <w:r>
        <w:rPr>
          <w:rFonts w:ascii="Book Antiqua" w:hAnsi="Book Antiqua" w:cs="Arial"/>
          <w:sz w:val="24"/>
          <w:szCs w:val="24"/>
          <w:lang w:val="en-US"/>
        </w:rPr>
        <w:t xml:space="preserve">In both murine models and humans,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WBC PET imaging demonstrated low tracer uptake in healthy gastrointestinal and urinary tracts, where the often unpredictable glucose metabolism often hinders the specificity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In a study, intestinal foci of FDG-labeled WBCs were later confirmed to be inflammatory foci by histopathology. Moreover, the intensity of </w:t>
      </w:r>
      <w:r>
        <w:rPr>
          <w:rFonts w:ascii="Book Antiqua" w:hAnsi="Book Antiqua" w:cs="Arial"/>
          <w:sz w:val="24"/>
          <w:szCs w:val="24"/>
          <w:lang w:val="en-US"/>
        </w:rPr>
        <w:lastRenderedPageBreak/>
        <w:t>uptake well correlated with the degree of inflammation based on histopathologic criteria</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57</w:t>
      </w:r>
      <w:r>
        <w:rPr>
          <w:rFonts w:ascii="Book Antiqua" w:hAnsi="Book Antiqua" w:cs="Arial"/>
          <w:sz w:val="24"/>
          <w:szCs w:val="24"/>
          <w:vertAlign w:val="superscript"/>
          <w:lang w:val="pt-PT"/>
        </w:rPr>
        <w:t>]</w:t>
      </w:r>
      <w:r>
        <w:rPr>
          <w:rFonts w:ascii="Book Antiqua" w:hAnsi="Book Antiqua" w:cs="Arial"/>
          <w:sz w:val="24"/>
          <w:szCs w:val="24"/>
          <w:lang w:val="pt-PT"/>
        </w:rPr>
        <w:t>.</w:t>
      </w:r>
    </w:p>
    <w:p w:rsidR="0003376C" w:rsidRDefault="0003376C" w:rsidP="00924331">
      <w:pPr>
        <w:spacing w:after="0" w:line="360" w:lineRule="auto"/>
        <w:jc w:val="both"/>
        <w:rPr>
          <w:rFonts w:ascii="Book Antiqua" w:hAnsi="Book Antiqua" w:cs="Arial"/>
          <w:sz w:val="24"/>
          <w:szCs w:val="24"/>
          <w:lang w:val="en-GB"/>
        </w:rPr>
      </w:pPr>
    </w:p>
    <w:bookmarkEnd w:id="34"/>
    <w:p w:rsidR="0003376C" w:rsidRDefault="005739BD" w:rsidP="00924331">
      <w:pPr>
        <w:spacing w:after="0" w:line="360" w:lineRule="auto"/>
        <w:jc w:val="both"/>
        <w:rPr>
          <w:rFonts w:ascii="Book Antiqua" w:hAnsi="Book Antiqua" w:cs="Arial"/>
          <w:b/>
          <w:bCs/>
          <w:i/>
          <w:sz w:val="24"/>
          <w:szCs w:val="24"/>
          <w:lang w:val="en-GB"/>
        </w:rPr>
      </w:pPr>
      <w:r>
        <w:rPr>
          <w:rFonts w:ascii="Book Antiqua" w:hAnsi="Book Antiqua" w:cs="Arial"/>
          <w:b/>
          <w:bCs/>
          <w:i/>
          <w:sz w:val="24"/>
          <w:szCs w:val="24"/>
          <w:lang w:val="en-GB"/>
        </w:rPr>
        <w:t xml:space="preserve">Preclinical experiments </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iCs/>
          <w:sz w:val="24"/>
          <w:szCs w:val="24"/>
          <w:lang w:val="en-GB"/>
        </w:rPr>
        <w:t>Interleukins</w:t>
      </w:r>
      <w:r>
        <w:rPr>
          <w:rFonts w:ascii="Book Antiqua" w:hAnsi="Book Antiqua" w:cs="Arial"/>
          <w:bCs/>
          <w:iCs/>
          <w:sz w:val="24"/>
          <w:szCs w:val="24"/>
          <w:lang w:val="en-GB"/>
        </w:rPr>
        <w:t>：</w:t>
      </w:r>
      <w:r>
        <w:rPr>
          <w:rFonts w:ascii="Book Antiqua" w:hAnsi="Book Antiqua" w:cs="Arial"/>
          <w:sz w:val="24"/>
          <w:szCs w:val="24"/>
          <w:lang w:val="en-US"/>
        </w:rPr>
        <w:t>Interleukins (</w:t>
      </w:r>
      <w:r>
        <w:rPr>
          <w:rFonts w:ascii="Book Antiqua" w:hAnsi="Book Antiqua" w:cs="Arial"/>
          <w:i/>
          <w:sz w:val="24"/>
          <w:szCs w:val="24"/>
          <w:lang w:val="en-US"/>
        </w:rPr>
        <w:t>e.g.</w:t>
      </w:r>
      <w:r>
        <w:rPr>
          <w:rFonts w:ascii="Book Antiqua" w:eastAsiaTheme="minorEastAsia" w:hAnsi="Book Antiqua" w:cs="Arial" w:hint="eastAsia"/>
          <w:i/>
          <w:sz w:val="24"/>
          <w:szCs w:val="24"/>
          <w:lang w:val="en-US" w:eastAsia="zh-CN"/>
        </w:rPr>
        <w:t>,</w:t>
      </w:r>
      <w:r>
        <w:rPr>
          <w:rFonts w:ascii="Book Antiqua" w:hAnsi="Book Antiqua" w:cs="Arial"/>
          <w:sz w:val="24"/>
          <w:szCs w:val="24"/>
          <w:lang w:val="en-US"/>
        </w:rPr>
        <w:t xml:space="preserve"> IL-1, IL-2, IL-8) have recently been proposed as potential agents for imaging infection and inflammation</w:t>
      </w:r>
      <w:r>
        <w:rPr>
          <w:rFonts w:ascii="Book Antiqua" w:hAnsi="Book Antiqua" w:cs="Arial"/>
          <w:sz w:val="24"/>
          <w:szCs w:val="24"/>
          <w:vertAlign w:val="superscript"/>
          <w:lang w:val="en-US"/>
        </w:rPr>
        <w:t>[52]</w:t>
      </w:r>
      <w:r>
        <w:rPr>
          <w:rFonts w:ascii="Book Antiqua" w:hAnsi="Book Antiqua" w:cs="Arial"/>
          <w:sz w:val="24"/>
          <w:szCs w:val="24"/>
          <w:lang w:val="en-US"/>
        </w:rPr>
        <w:t>.</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In a rabbit model of acute colitis, Gratz </w:t>
      </w:r>
      <w:r>
        <w:rPr>
          <w:rFonts w:ascii="Book Antiqua" w:hAnsi="Book Antiqua" w:cs="Arial"/>
          <w:i/>
          <w:sz w:val="24"/>
          <w:szCs w:val="24"/>
          <w:lang w:val="en-US"/>
        </w:rPr>
        <w:t>et al</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58</w:t>
      </w:r>
      <w:r>
        <w:rPr>
          <w:rFonts w:ascii="Book Antiqua" w:hAnsi="Book Antiqua" w:cs="Arial"/>
          <w:sz w:val="24"/>
          <w:szCs w:val="24"/>
          <w:vertAlign w:val="superscript"/>
          <w:lang w:val="en-US"/>
        </w:rPr>
        <w:t xml:space="preserve">] </w:t>
      </w:r>
      <w:r>
        <w:rPr>
          <w:rFonts w:ascii="Book Antiqua" w:hAnsi="Book Antiqua" w:cs="Arial"/>
          <w:sz w:val="24"/>
          <w:szCs w:val="24"/>
          <w:lang w:val="en-US"/>
        </w:rPr>
        <w:t xml:space="preserve">investigated the diagnostic performance of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 HYNIC-IL8  scintigraphy compared to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Tc-HMPAO-WBC scans. While both radiotracers detected colitis within 1 hour after injection,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 HYNIC-IL8 images were more accurate and the absolute uptake in the affected colon continuously increased until 4 hours after injection, whereas no further increase was measured for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Tc-HMPAO WBC beyond the first hour after the administration. The absolute uptake in the affected colon was significantly higher for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 HYNIC-IL8 than for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Tc-HMPAO-WBC. The authors concluded that </w:t>
      </w:r>
      <w:r>
        <w:rPr>
          <w:rFonts w:ascii="Book Antiqua" w:hAnsi="Book Antiqua" w:cs="Arial"/>
          <w:sz w:val="24"/>
          <w:szCs w:val="24"/>
          <w:vertAlign w:val="superscript"/>
          <w:lang w:val="en-GB"/>
        </w:rPr>
        <w:t>99m</w:t>
      </w:r>
      <w:r>
        <w:rPr>
          <w:rFonts w:ascii="Book Antiqua" w:hAnsi="Book Antiqua" w:cs="Arial"/>
          <w:sz w:val="24"/>
          <w:szCs w:val="24"/>
          <w:lang w:val="en-US"/>
        </w:rPr>
        <w:t xml:space="preserve">Tc- HYNIC-IL8 scintigraphy, unlike </w:t>
      </w:r>
      <w:r>
        <w:rPr>
          <w:rFonts w:ascii="Book Antiqua" w:hAnsi="Book Antiqua" w:cs="Arial"/>
          <w:sz w:val="24"/>
          <w:szCs w:val="24"/>
          <w:vertAlign w:val="superscript"/>
          <w:lang w:val="en-GB"/>
        </w:rPr>
        <w:t>99m</w:t>
      </w:r>
      <w:r>
        <w:rPr>
          <w:rFonts w:ascii="Book Antiqua" w:hAnsi="Book Antiqua" w:cs="Arial"/>
          <w:sz w:val="24"/>
          <w:szCs w:val="24"/>
          <w:lang w:val="en-US"/>
        </w:rPr>
        <w:t>Tc-HMPAO-WBC may provide a reliable estimation of the severity of IBD.</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iCs/>
          <w:sz w:val="24"/>
          <w:szCs w:val="24"/>
          <w:lang w:val="pt-PT"/>
        </w:rPr>
        <w:t>[</w:t>
      </w:r>
      <w:r>
        <w:rPr>
          <w:rFonts w:ascii="Book Antiqua" w:hAnsi="Book Antiqua" w:cs="Arial"/>
          <w:b/>
          <w:bCs/>
          <w:iCs/>
          <w:sz w:val="24"/>
          <w:szCs w:val="24"/>
          <w:vertAlign w:val="superscript"/>
          <w:lang w:val="en-GB"/>
        </w:rPr>
        <w:t>18</w:t>
      </w:r>
      <w:r>
        <w:rPr>
          <w:rFonts w:ascii="Book Antiqua" w:hAnsi="Book Antiqua" w:cs="Arial"/>
          <w:b/>
          <w:bCs/>
          <w:iCs/>
          <w:sz w:val="24"/>
          <w:szCs w:val="24"/>
          <w:lang w:val="en-GB"/>
        </w:rPr>
        <w:t>F]1-[2’</w:t>
      </w:r>
      <w:r>
        <w:rPr>
          <w:rFonts w:ascii="Book Antiqua" w:hAnsi="Book Antiqua" w:cs="Arial"/>
          <w:b/>
          <w:bCs/>
          <w:iCs/>
          <w:sz w:val="24"/>
          <w:szCs w:val="24"/>
          <w:lang w:val="en-US"/>
        </w:rPr>
        <w:t>-deoxy-2</w:t>
      </w:r>
      <w:r>
        <w:rPr>
          <w:rFonts w:ascii="Book Antiqua" w:hAnsi="Book Antiqua" w:cs="Arial"/>
          <w:b/>
          <w:bCs/>
          <w:iCs/>
          <w:sz w:val="24"/>
          <w:szCs w:val="24"/>
          <w:lang w:val="en-GB"/>
        </w:rPr>
        <w:t>’-</w:t>
      </w:r>
      <w:proofErr w:type="spellStart"/>
      <w:r>
        <w:rPr>
          <w:rFonts w:ascii="Book Antiqua" w:hAnsi="Book Antiqua" w:cs="Arial"/>
          <w:b/>
          <w:bCs/>
          <w:iCs/>
          <w:sz w:val="24"/>
          <w:szCs w:val="24"/>
          <w:lang w:val="en-GB"/>
        </w:rPr>
        <w:t>arabinofuranosyl</w:t>
      </w:r>
      <w:proofErr w:type="spellEnd"/>
      <w:r>
        <w:rPr>
          <w:rFonts w:ascii="Book Antiqua" w:hAnsi="Book Antiqua" w:cs="Arial"/>
          <w:b/>
          <w:bCs/>
          <w:iCs/>
          <w:sz w:val="24"/>
          <w:szCs w:val="24"/>
          <w:lang w:val="en-GB"/>
        </w:rPr>
        <w:t>] cytosine</w:t>
      </w:r>
      <w:r>
        <w:rPr>
          <w:rFonts w:ascii="Book Antiqua" w:eastAsiaTheme="minorEastAsia" w:hAnsi="Book Antiqua" w:cs="Arial" w:hint="eastAsia"/>
          <w:b/>
          <w:bCs/>
          <w:iCs/>
          <w:sz w:val="24"/>
          <w:szCs w:val="24"/>
          <w:lang w:val="en-GB" w:eastAsia="zh-CN"/>
        </w:rPr>
        <w:t>:</w:t>
      </w:r>
      <w:r>
        <w:rPr>
          <w:rFonts w:ascii="Book Antiqua" w:eastAsiaTheme="minorEastAsia" w:hAnsi="Book Antiqua" w:cs="Arial" w:hint="eastAsia"/>
          <w:bCs/>
          <w:iCs/>
          <w:sz w:val="24"/>
          <w:szCs w:val="24"/>
          <w:lang w:val="en-GB" w:eastAsia="zh-CN"/>
        </w:rPr>
        <w:t xml:space="preserve"> </w:t>
      </w:r>
      <w:r>
        <w:rPr>
          <w:rFonts w:ascii="Book Antiqua" w:hAnsi="Book Antiqua" w:cs="Arial"/>
          <w:sz w:val="24"/>
          <w:szCs w:val="24"/>
          <w:lang w:val="en-US"/>
        </w:rPr>
        <w:t>The [</w:t>
      </w:r>
      <w:r>
        <w:rPr>
          <w:rFonts w:ascii="Book Antiqua" w:hAnsi="Book Antiqua" w:cs="Arial"/>
          <w:sz w:val="24"/>
          <w:szCs w:val="24"/>
          <w:vertAlign w:val="superscript"/>
          <w:lang w:val="en-GB"/>
        </w:rPr>
        <w:t>18</w:t>
      </w:r>
      <w:r>
        <w:rPr>
          <w:rFonts w:ascii="Book Antiqua" w:hAnsi="Book Antiqua" w:cs="Arial"/>
          <w:sz w:val="24"/>
          <w:szCs w:val="24"/>
          <w:lang w:val="en-GB"/>
        </w:rPr>
        <w:t>F]1-[2’</w:t>
      </w:r>
      <w:r>
        <w:rPr>
          <w:rFonts w:ascii="Book Antiqua" w:hAnsi="Book Antiqua" w:cs="Arial"/>
          <w:sz w:val="24"/>
          <w:szCs w:val="24"/>
          <w:lang w:val="en-US"/>
        </w:rPr>
        <w:t>-deoxy-2</w:t>
      </w:r>
      <w:r>
        <w:rPr>
          <w:rFonts w:ascii="Book Antiqua" w:hAnsi="Book Antiqua" w:cs="Arial"/>
          <w:sz w:val="24"/>
          <w:szCs w:val="24"/>
          <w:lang w:val="en-GB"/>
        </w:rPr>
        <w:t>’</w:t>
      </w:r>
      <w:r>
        <w:rPr>
          <w:rFonts w:ascii="Book Antiqua" w:hAnsi="Book Antiqua" w:cs="Arial"/>
          <w:sz w:val="24"/>
          <w:szCs w:val="24"/>
          <w:lang w:val="en-US"/>
        </w:rPr>
        <w:t>-</w:t>
      </w:r>
      <w:proofErr w:type="spellStart"/>
      <w:r>
        <w:rPr>
          <w:rFonts w:ascii="Book Antiqua" w:hAnsi="Book Antiqua" w:cs="Arial"/>
          <w:sz w:val="24"/>
          <w:szCs w:val="24"/>
          <w:lang w:val="en-US"/>
        </w:rPr>
        <w:t>arabinofuranosyl</w:t>
      </w:r>
      <w:proofErr w:type="spellEnd"/>
      <w:r>
        <w:rPr>
          <w:rFonts w:ascii="Book Antiqua" w:hAnsi="Book Antiqua" w:cs="Arial"/>
          <w:sz w:val="24"/>
          <w:szCs w:val="24"/>
          <w:lang w:val="en-US"/>
        </w:rPr>
        <w:t>] cytosine [D-FAC] probe was developed as part of a broader effort to identify diverse molecular transport systems representing cellular biologic states</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59</w:t>
      </w:r>
      <w:r>
        <w:rPr>
          <w:rFonts w:ascii="Book Antiqua" w:hAnsi="Book Antiqua" w:cs="Arial"/>
          <w:sz w:val="24"/>
          <w:szCs w:val="24"/>
          <w:vertAlign w:val="superscript"/>
          <w:lang w:val="pt-PT"/>
        </w:rPr>
        <w:t>]</w:t>
      </w:r>
      <w:r>
        <w:rPr>
          <w:rFonts w:ascii="Book Antiqua" w:hAnsi="Book Antiqua" w:cs="Arial"/>
          <w:sz w:val="24"/>
          <w:szCs w:val="24"/>
          <w:lang w:val="pt-PT"/>
        </w:rPr>
        <w:t xml:space="preserve">.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The </w:t>
      </w:r>
      <w:proofErr w:type="spellStart"/>
      <w:r>
        <w:rPr>
          <w:rFonts w:ascii="Book Antiqua" w:hAnsi="Book Antiqua" w:cs="Arial"/>
          <w:sz w:val="24"/>
          <w:szCs w:val="24"/>
          <w:lang w:val="en-US"/>
        </w:rPr>
        <w:t>biodistribution</w:t>
      </w:r>
      <w:proofErr w:type="spellEnd"/>
      <w:r>
        <w:rPr>
          <w:rFonts w:ascii="Book Antiqua" w:hAnsi="Book Antiqua" w:cs="Arial"/>
          <w:sz w:val="24"/>
          <w:szCs w:val="24"/>
          <w:lang w:val="en-US"/>
        </w:rPr>
        <w:t xml:space="preserve"> of D-FAC differs from that of FDG for a higher selectivity for immune organs such as the spleen, bone marrow, and thymus. In addition, D-FAC had strikingly higher uptake in the intestine in mouse models</w:t>
      </w:r>
      <w:r>
        <w:rPr>
          <w:rFonts w:ascii="Book Antiqua" w:hAnsi="Book Antiqua" w:cs="Arial"/>
          <w:sz w:val="24"/>
          <w:szCs w:val="24"/>
          <w:vertAlign w:val="superscript"/>
          <w:lang w:val="en-US"/>
        </w:rPr>
        <w:t>[52]</w:t>
      </w:r>
      <w:r>
        <w:rPr>
          <w:rFonts w:ascii="Book Antiqua" w:hAnsi="Book Antiqua" w:cs="Arial"/>
          <w:sz w:val="24"/>
          <w:szCs w:val="24"/>
          <w:lang w:val="en-US"/>
        </w:rPr>
        <w:t>. While such increased uptake was thought to reflect the large amount of immune cells resident in the intestine mucosa, several lines of evidence revealed that intestinal D-FAC uptake is predominantly attributable to the intestinal epithelial cells. In fact, the distribution of the signal is strongly focalized in the duodenum, wherein the immune population is not significantly more expressed that in the remaining intestine</w:t>
      </w:r>
      <w:r>
        <w:rPr>
          <w:rFonts w:ascii="Book Antiqua" w:hAnsi="Book Antiqua" w:cs="Arial"/>
          <w:sz w:val="24"/>
          <w:szCs w:val="24"/>
          <w:vertAlign w:val="superscript"/>
          <w:lang w:val="en-US"/>
        </w:rPr>
        <w:t>[60]</w:t>
      </w:r>
      <w:r>
        <w:rPr>
          <w:rFonts w:ascii="Book Antiqua" w:hAnsi="Book Antiqua" w:cs="Arial"/>
          <w:sz w:val="24"/>
          <w:szCs w:val="24"/>
          <w:lang w:val="en-US"/>
        </w:rPr>
        <w:t xml:space="preserve">.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Uptake of </w:t>
      </w:r>
      <w:r>
        <w:rPr>
          <w:rFonts w:ascii="Book Antiqua" w:hAnsi="Book Antiqua" w:cs="Arial"/>
          <w:sz w:val="24"/>
          <w:szCs w:val="24"/>
          <w:vertAlign w:val="superscript"/>
          <w:lang w:val="en-GB"/>
        </w:rPr>
        <w:t>18</w:t>
      </w:r>
      <w:r>
        <w:rPr>
          <w:rFonts w:ascii="Book Antiqua" w:hAnsi="Book Antiqua" w:cs="Arial"/>
          <w:sz w:val="24"/>
          <w:szCs w:val="24"/>
          <w:lang w:val="en-GB"/>
        </w:rPr>
        <w:t>F-</w:t>
      </w:r>
      <w:r>
        <w:rPr>
          <w:rFonts w:ascii="Book Antiqua" w:hAnsi="Book Antiqua" w:cs="Arial"/>
          <w:sz w:val="24"/>
          <w:szCs w:val="24"/>
          <w:lang w:val="en-US"/>
        </w:rPr>
        <w:t>D-FAC allows for a noninvasive assessment by PET. Increased uptake of D-FAC radiotracer reflects the activity of the epithelium and lymphocytes, providing a unique early marker of intestinal inflammation</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59</w:t>
      </w:r>
      <w:r>
        <w:rPr>
          <w:rFonts w:ascii="Book Antiqua" w:hAnsi="Book Antiqua" w:cs="Arial"/>
          <w:sz w:val="24"/>
          <w:szCs w:val="24"/>
          <w:vertAlign w:val="superscript"/>
          <w:lang w:val="pt-PT"/>
        </w:rPr>
        <w:t>]</w:t>
      </w:r>
      <w:r>
        <w:rPr>
          <w:rFonts w:ascii="Book Antiqua" w:hAnsi="Book Antiqua" w:cs="Arial"/>
          <w:sz w:val="24"/>
          <w:szCs w:val="24"/>
          <w:lang w:val="pt-PT"/>
        </w:rPr>
        <w:t xml:space="preserve">. </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bCs/>
          <w:iCs/>
          <w:sz w:val="24"/>
          <w:szCs w:val="24"/>
          <w:lang w:val="pt-PT"/>
        </w:rPr>
        <w:lastRenderedPageBreak/>
        <w:t>[</w:t>
      </w:r>
      <w:r>
        <w:rPr>
          <w:rFonts w:ascii="Book Antiqua" w:hAnsi="Book Antiqua" w:cs="Arial"/>
          <w:b/>
          <w:bCs/>
          <w:iCs/>
          <w:sz w:val="24"/>
          <w:szCs w:val="24"/>
          <w:vertAlign w:val="superscript"/>
          <w:lang w:val="en-GB"/>
        </w:rPr>
        <w:t>18</w:t>
      </w:r>
      <w:r>
        <w:rPr>
          <w:rFonts w:ascii="Book Antiqua" w:hAnsi="Book Antiqua" w:cs="Arial"/>
          <w:b/>
          <w:bCs/>
          <w:iCs/>
          <w:sz w:val="24"/>
          <w:szCs w:val="24"/>
          <w:lang w:val="pt-PT"/>
        </w:rPr>
        <w:t>F]DPA-714</w:t>
      </w:r>
      <w:r>
        <w:rPr>
          <w:rFonts w:ascii="Book Antiqua" w:eastAsiaTheme="minorEastAsia" w:hAnsi="Book Antiqua" w:cs="Arial" w:hint="eastAsia"/>
          <w:b/>
          <w:bCs/>
          <w:iCs/>
          <w:sz w:val="24"/>
          <w:szCs w:val="24"/>
          <w:lang w:val="pt-PT" w:eastAsia="zh-CN"/>
        </w:rPr>
        <w:t>:</w:t>
      </w:r>
      <w:r>
        <w:rPr>
          <w:rFonts w:ascii="Book Antiqua" w:eastAsiaTheme="minorEastAsia" w:hAnsi="Book Antiqua" w:cs="Arial" w:hint="eastAsia"/>
          <w:bCs/>
          <w:iCs/>
          <w:sz w:val="24"/>
          <w:szCs w:val="24"/>
          <w:lang w:val="pt-PT" w:eastAsia="zh-CN"/>
        </w:rPr>
        <w:t xml:space="preserve"> </w:t>
      </w:r>
      <w:r>
        <w:rPr>
          <w:rFonts w:ascii="Book Antiqua" w:hAnsi="Book Antiqua" w:cs="Arial"/>
          <w:sz w:val="24"/>
          <w:szCs w:val="24"/>
          <w:lang w:val="pt-PT"/>
        </w:rPr>
        <w:t>[</w:t>
      </w:r>
      <w:r>
        <w:rPr>
          <w:rFonts w:ascii="Book Antiqua" w:hAnsi="Book Antiqua" w:cs="Arial"/>
          <w:sz w:val="24"/>
          <w:szCs w:val="24"/>
          <w:vertAlign w:val="superscript"/>
          <w:lang w:val="en-GB"/>
        </w:rPr>
        <w:t>18</w:t>
      </w:r>
      <w:r>
        <w:rPr>
          <w:rFonts w:ascii="Book Antiqua" w:hAnsi="Book Antiqua" w:cs="Arial"/>
          <w:sz w:val="24"/>
          <w:szCs w:val="24"/>
          <w:lang w:val="pt-PT"/>
        </w:rPr>
        <w:t>F]DPA-714, a radioligand</w:t>
      </w:r>
      <w:r>
        <w:rPr>
          <w:rFonts w:ascii="Book Antiqua" w:hAnsi="Book Antiqua" w:cs="Arial"/>
          <w:sz w:val="24"/>
          <w:szCs w:val="24"/>
          <w:lang w:val="en-GB"/>
        </w:rPr>
        <w:t xml:space="preserve"> of a translocator protein (</w:t>
      </w:r>
      <w:r>
        <w:rPr>
          <w:rFonts w:ascii="Book Antiqua" w:hAnsi="Book Antiqua" w:cs="Arial"/>
          <w:sz w:val="24"/>
          <w:szCs w:val="24"/>
          <w:lang w:val="en-US"/>
        </w:rPr>
        <w:t>TSPO), is another molecular probe developed for a non-invasive quantification of the inflammatory state of IBD in animal models</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61</w:t>
      </w:r>
      <w:r>
        <w:rPr>
          <w:rFonts w:ascii="Book Antiqua" w:hAnsi="Book Antiqua" w:cs="Arial"/>
          <w:sz w:val="24"/>
          <w:szCs w:val="24"/>
          <w:vertAlign w:val="superscript"/>
          <w:lang w:val="pt-PT"/>
        </w:rPr>
        <w:t>]</w:t>
      </w:r>
      <w:r>
        <w:rPr>
          <w:rFonts w:ascii="Book Antiqua" w:hAnsi="Book Antiqua" w:cs="Arial"/>
          <w:sz w:val="24"/>
          <w:szCs w:val="24"/>
          <w:lang w:val="pt-PT"/>
        </w:rPr>
        <w:t xml:space="preserve">. </w:t>
      </w:r>
    </w:p>
    <w:p w:rsidR="0003376C" w:rsidRDefault="005739BD" w:rsidP="00924331">
      <w:pPr>
        <w:spacing w:after="0" w:line="360" w:lineRule="auto"/>
        <w:ind w:firstLineChars="200" w:firstLine="480"/>
        <w:jc w:val="both"/>
        <w:rPr>
          <w:rFonts w:ascii="Book Antiqua" w:hAnsi="Book Antiqua" w:cs="Arial"/>
          <w:sz w:val="24"/>
          <w:szCs w:val="24"/>
          <w:lang w:val="en-GB"/>
        </w:rPr>
      </w:pPr>
      <w:r>
        <w:rPr>
          <w:rFonts w:ascii="Book Antiqua" w:hAnsi="Book Antiqua" w:cs="Arial"/>
          <w:sz w:val="24"/>
          <w:szCs w:val="24"/>
          <w:lang w:val="en-US"/>
        </w:rPr>
        <w:t>The TSPO is located on the outer membrane of the mitochondria and is overexpressed in the activated macrophages and microglia</w:t>
      </w:r>
      <w:r>
        <w:rPr>
          <w:rFonts w:ascii="Book Antiqua" w:hAnsi="Book Antiqua" w:cs="Arial"/>
          <w:sz w:val="24"/>
          <w:szCs w:val="24"/>
          <w:lang w:val="en-GB"/>
        </w:rPr>
        <w:t>. This molecular event has been widely investigated in the pathologies of the central nervous system,</w:t>
      </w:r>
      <w:r>
        <w:rPr>
          <w:rFonts w:ascii="Book Antiqua" w:hAnsi="Book Antiqua" w:cs="Arial"/>
          <w:sz w:val="24"/>
          <w:szCs w:val="24"/>
          <w:lang w:val="en-US"/>
        </w:rPr>
        <w:t xml:space="preserve"> representing a hallmark of brain inflammation. TSPO expression was recently described also in tissue samples of human colon suffering from IBD. Furthermore, its expression has been characterized in a rat model of IBD using autoradiography and immunohistochemistry</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62</w:t>
      </w:r>
      <w:r>
        <w:rPr>
          <w:rFonts w:ascii="Book Antiqua" w:eastAsiaTheme="minorEastAsia" w:hAnsi="Book Antiqua" w:cs="Arial" w:hint="eastAsia"/>
          <w:sz w:val="24"/>
          <w:szCs w:val="24"/>
          <w:vertAlign w:val="superscript"/>
          <w:lang w:val="en-GB" w:eastAsia="zh-CN"/>
        </w:rPr>
        <w:t>-</w:t>
      </w:r>
      <w:r>
        <w:rPr>
          <w:rFonts w:ascii="Book Antiqua" w:hAnsi="Book Antiqua" w:cs="Arial"/>
          <w:sz w:val="24"/>
          <w:szCs w:val="24"/>
          <w:vertAlign w:val="superscript"/>
          <w:lang w:val="en-GB"/>
        </w:rPr>
        <w:t>64</w:t>
      </w:r>
      <w:r>
        <w:rPr>
          <w:rFonts w:ascii="Book Antiqua" w:hAnsi="Book Antiqua" w:cs="Arial"/>
          <w:sz w:val="24"/>
          <w:szCs w:val="24"/>
          <w:vertAlign w:val="superscript"/>
          <w:lang w:val="pt-PT"/>
        </w:rPr>
        <w:t>]</w:t>
      </w:r>
      <w:r>
        <w:rPr>
          <w:rFonts w:ascii="Book Antiqua" w:hAnsi="Book Antiqua" w:cs="Arial"/>
          <w:sz w:val="24"/>
          <w:szCs w:val="24"/>
          <w:lang w:val="pt-PT"/>
        </w:rPr>
        <w:t xml:space="preserve">.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PET imaging of IBD was conducted using </w:t>
      </w:r>
      <w:r>
        <w:rPr>
          <w:rFonts w:ascii="Book Antiqua" w:hAnsi="Book Antiqua" w:cs="Arial"/>
          <w:sz w:val="24"/>
          <w:szCs w:val="24"/>
          <w:vertAlign w:val="superscript"/>
          <w:lang w:val="en-GB"/>
        </w:rPr>
        <w:t>18</w:t>
      </w:r>
      <w:r>
        <w:rPr>
          <w:rFonts w:ascii="Book Antiqua" w:hAnsi="Book Antiqua" w:cs="Arial"/>
          <w:sz w:val="24"/>
          <w:szCs w:val="24"/>
          <w:lang w:val="en-US"/>
        </w:rPr>
        <w:t xml:space="preserve">F-FDG and </w:t>
      </w:r>
      <w:r>
        <w:rPr>
          <w:rFonts w:ascii="Book Antiqua" w:hAnsi="Book Antiqua" w:cs="Arial"/>
          <w:sz w:val="24"/>
          <w:szCs w:val="24"/>
          <w:vertAlign w:val="superscript"/>
          <w:lang w:val="en-GB"/>
        </w:rPr>
        <w:t>18</w:t>
      </w:r>
      <w:r>
        <w:rPr>
          <w:rFonts w:ascii="Book Antiqua" w:hAnsi="Book Antiqua" w:cs="Arial"/>
          <w:sz w:val="24"/>
          <w:szCs w:val="24"/>
          <w:lang w:val="en-US"/>
        </w:rPr>
        <w:t>F-DPA-714 in two rat models</w:t>
      </w:r>
      <w:r>
        <w:rPr>
          <w:rFonts w:ascii="Book Antiqua" w:hAnsi="Book Antiqua" w:cs="Arial"/>
          <w:sz w:val="24"/>
          <w:szCs w:val="24"/>
          <w:vertAlign w:val="superscript"/>
          <w:lang w:val="en-US"/>
        </w:rPr>
        <w:t>[</w:t>
      </w:r>
      <w:r>
        <w:rPr>
          <w:rFonts w:ascii="Book Antiqua" w:hAnsi="Book Antiqua" w:cs="Arial"/>
          <w:sz w:val="24"/>
          <w:szCs w:val="24"/>
          <w:vertAlign w:val="superscript"/>
          <w:lang w:val="en-GB"/>
        </w:rPr>
        <w:t>61</w:t>
      </w:r>
      <w:r>
        <w:rPr>
          <w:rFonts w:ascii="Book Antiqua" w:hAnsi="Book Antiqua" w:cs="Arial"/>
          <w:sz w:val="24"/>
          <w:szCs w:val="24"/>
          <w:vertAlign w:val="superscript"/>
          <w:lang w:val="en-US"/>
        </w:rPr>
        <w:t>]</w:t>
      </w:r>
      <w:r>
        <w:rPr>
          <w:rFonts w:ascii="Book Antiqua" w:hAnsi="Book Antiqua" w:cs="Arial"/>
          <w:sz w:val="24"/>
          <w:szCs w:val="24"/>
          <w:lang w:val="en-US"/>
        </w:rPr>
        <w:t xml:space="preserve">. The first model was induced using </w:t>
      </w:r>
      <w:r w:rsidR="00C4587B">
        <w:rPr>
          <w:rFonts w:ascii="Book Antiqua" w:hAnsi="Book Antiqua" w:cs="Arial"/>
          <w:sz w:val="24"/>
          <w:szCs w:val="24"/>
          <w:lang w:val="en-US"/>
        </w:rPr>
        <w:t>d</w:t>
      </w:r>
      <w:r>
        <w:rPr>
          <w:rFonts w:ascii="Book Antiqua" w:hAnsi="Book Antiqua" w:cs="Arial"/>
          <w:sz w:val="24"/>
          <w:szCs w:val="24"/>
          <w:lang w:val="en-US"/>
        </w:rPr>
        <w:t xml:space="preserve">extran sodium sulfate (DSS), thus creating global inflammation in the colon, while the second one was induced by a rectal administration of </w:t>
      </w:r>
      <w:proofErr w:type="spellStart"/>
      <w:r>
        <w:rPr>
          <w:rFonts w:ascii="Book Antiqua" w:hAnsi="Book Antiqua" w:cs="Arial"/>
          <w:sz w:val="24"/>
          <w:szCs w:val="24"/>
          <w:lang w:val="en-US"/>
        </w:rPr>
        <w:t>trinitrobenzenesulfonic</w:t>
      </w:r>
      <w:proofErr w:type="spellEnd"/>
      <w:r>
        <w:rPr>
          <w:rFonts w:ascii="Book Antiqua" w:hAnsi="Book Antiqua" w:cs="Arial"/>
          <w:sz w:val="24"/>
          <w:szCs w:val="24"/>
          <w:lang w:val="en-US"/>
        </w:rPr>
        <w:t xml:space="preserve"> acid (TNBS), causing a local and acute inflammation.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The degree of inflammation was analyzed using PET imaging on days 7 and 8. In the first rat model, </w:t>
      </w:r>
      <w:r>
        <w:rPr>
          <w:rFonts w:ascii="Book Antiqua" w:hAnsi="Book Antiqua" w:cs="Arial"/>
          <w:sz w:val="24"/>
          <w:szCs w:val="24"/>
          <w:vertAlign w:val="superscript"/>
          <w:lang w:val="en-GB"/>
        </w:rPr>
        <w:t>18</w:t>
      </w:r>
      <w:r>
        <w:rPr>
          <w:rFonts w:ascii="Book Antiqua" w:hAnsi="Book Antiqua" w:cs="Arial"/>
          <w:sz w:val="24"/>
          <w:szCs w:val="24"/>
          <w:lang w:val="en-US"/>
        </w:rPr>
        <w:t>F-DPA-714 revealed significant differences between animals treated with DSS and controls (0.50</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GB"/>
        </w:rPr>
        <w:t xml:space="preserve">± </w:t>
      </w:r>
      <w:r>
        <w:rPr>
          <w:rFonts w:ascii="Book Antiqua" w:hAnsi="Book Antiqua" w:cs="Arial"/>
          <w:sz w:val="24"/>
          <w:szCs w:val="24"/>
          <w:lang w:val="en-US"/>
        </w:rPr>
        <w:t>0.17%</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ID/cc and 0.35</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pt-PT"/>
        </w:rPr>
        <w:t xml:space="preserve">0.15%ID/cc, respectively). Conversely, no differences could be seen using </w:t>
      </w:r>
      <w:r>
        <w:rPr>
          <w:rFonts w:ascii="Book Antiqua" w:hAnsi="Book Antiqua" w:cs="Arial"/>
          <w:sz w:val="24"/>
          <w:szCs w:val="24"/>
          <w:vertAlign w:val="superscript"/>
          <w:lang w:val="en-GB"/>
        </w:rPr>
        <w:t>18</w:t>
      </w:r>
      <w:r>
        <w:rPr>
          <w:rFonts w:ascii="Book Antiqua" w:hAnsi="Book Antiqua" w:cs="Arial"/>
          <w:sz w:val="24"/>
          <w:szCs w:val="24"/>
          <w:lang w:val="en-US"/>
        </w:rPr>
        <w:t xml:space="preserve">F-FDG. In the second model, the </w:t>
      </w:r>
      <w:r>
        <w:rPr>
          <w:rFonts w:ascii="Book Antiqua" w:hAnsi="Book Antiqua" w:cs="Arial"/>
          <w:sz w:val="24"/>
          <w:szCs w:val="24"/>
          <w:vertAlign w:val="superscript"/>
          <w:lang w:val="en-GB"/>
        </w:rPr>
        <w:t>18</w:t>
      </w:r>
      <w:r>
        <w:rPr>
          <w:rFonts w:ascii="Book Antiqua" w:hAnsi="Book Antiqua" w:cs="Arial"/>
          <w:sz w:val="24"/>
          <w:szCs w:val="24"/>
          <w:lang w:val="en-US"/>
        </w:rPr>
        <w:t>F-DPA-714 uptake significantly increased from 0.46</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0.23%</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ID/cc in the controls to 1.30</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GB"/>
        </w:rPr>
        <w: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0.62%</w:t>
      </w:r>
      <w:r>
        <w:rPr>
          <w:rFonts w:ascii="Book Antiqua" w:eastAsiaTheme="minorEastAsia" w:hAnsi="Book Antiqua" w:cs="Arial" w:hint="eastAsia"/>
          <w:sz w:val="24"/>
          <w:szCs w:val="24"/>
          <w:lang w:val="en-US" w:eastAsia="zh-CN"/>
        </w:rPr>
        <w:t xml:space="preserve"> </w:t>
      </w:r>
      <w:r>
        <w:rPr>
          <w:rFonts w:ascii="Book Antiqua" w:hAnsi="Book Antiqua" w:cs="Arial"/>
          <w:sz w:val="24"/>
          <w:szCs w:val="24"/>
          <w:lang w:val="en-US"/>
        </w:rPr>
        <w:t xml:space="preserve">ID/cc in the animals treated with TNBS. As such, a correlation between PET with increased TSPO expression at cellular level was fully demonstrated. The results of this study suggest that </w:t>
      </w:r>
      <w:r>
        <w:rPr>
          <w:rFonts w:ascii="Book Antiqua" w:hAnsi="Book Antiqua" w:cs="Arial"/>
          <w:sz w:val="24"/>
          <w:szCs w:val="24"/>
          <w:vertAlign w:val="superscript"/>
          <w:lang w:val="en-GB"/>
        </w:rPr>
        <w:t>18</w:t>
      </w:r>
      <w:r>
        <w:rPr>
          <w:rFonts w:ascii="Book Antiqua" w:hAnsi="Book Antiqua" w:cs="Arial"/>
          <w:sz w:val="24"/>
          <w:szCs w:val="24"/>
          <w:lang w:val="en-US"/>
        </w:rPr>
        <w:t xml:space="preserve">F-DPA-714 is suitable for studying inflammation in IBD models and could be a good molecular probe to define the degree and the localization of inflammation. Moreover, </w:t>
      </w:r>
      <w:r>
        <w:rPr>
          <w:rFonts w:ascii="Book Antiqua" w:hAnsi="Book Antiqua" w:cs="Arial"/>
          <w:i/>
          <w:iCs/>
          <w:sz w:val="24"/>
          <w:szCs w:val="24"/>
          <w:lang w:val="en-GB"/>
        </w:rPr>
        <w:t>in vivo</w:t>
      </w:r>
      <w:r>
        <w:rPr>
          <w:rFonts w:ascii="Book Antiqua" w:hAnsi="Book Antiqua" w:cs="Arial"/>
          <w:sz w:val="24"/>
          <w:szCs w:val="24"/>
          <w:lang w:val="en-US"/>
        </w:rPr>
        <w:t xml:space="preserve"> imaging using this TSPO ligand is potentially a powerful tool to stage and to follow inflammatory disease evolution and therapeutic efficiency at molecular level. </w:t>
      </w:r>
    </w:p>
    <w:p w:rsidR="0003376C" w:rsidRDefault="0003376C" w:rsidP="00924331">
      <w:pPr>
        <w:spacing w:after="0" w:line="360" w:lineRule="auto"/>
        <w:jc w:val="both"/>
        <w:rPr>
          <w:rFonts w:ascii="Book Antiqua" w:hAnsi="Book Antiqua" w:cs="Arial"/>
          <w:b/>
          <w:sz w:val="24"/>
          <w:szCs w:val="24"/>
          <w:lang w:val="pt-PT"/>
        </w:rPr>
      </w:pPr>
    </w:p>
    <w:p w:rsidR="0003376C" w:rsidRDefault="005739BD" w:rsidP="00924331">
      <w:pPr>
        <w:spacing w:after="0" w:line="360" w:lineRule="auto"/>
        <w:jc w:val="both"/>
        <w:rPr>
          <w:rFonts w:ascii="Book Antiqua" w:hAnsi="Book Antiqua" w:cs="Arial"/>
          <w:b/>
          <w:caps/>
          <w:sz w:val="24"/>
          <w:szCs w:val="24"/>
          <w:lang w:val="pt-PT"/>
        </w:rPr>
      </w:pPr>
      <w:r>
        <w:rPr>
          <w:rFonts w:ascii="Book Antiqua" w:hAnsi="Book Antiqua" w:cs="Arial"/>
          <w:b/>
          <w:caps/>
          <w:sz w:val="24"/>
          <w:szCs w:val="24"/>
          <w:lang w:val="pt-PT"/>
        </w:rPr>
        <w:t>Discussion</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t>IBD represents a diagnostic and therapeutic challenge, not only at initial disease presentation, but also during suspected disease flares. Standard procedures like endoscopy and conventional radiologic studies are frequently required in order to assess the specific IBD subtype and evaluate disease extension and activity</w:t>
      </w:r>
      <w:r>
        <w:rPr>
          <w:rFonts w:ascii="Book Antiqua" w:hAnsi="Book Antiqua" w:cs="Arial"/>
          <w:sz w:val="24"/>
          <w:szCs w:val="24"/>
          <w:vertAlign w:val="superscript"/>
          <w:lang w:val="it-IT"/>
        </w:rPr>
        <w:fldChar w:fldCharType="begin"/>
      </w:r>
      <w:r>
        <w:rPr>
          <w:rFonts w:ascii="Book Antiqua" w:hAnsi="Book Antiqua" w:cs="Arial"/>
          <w:sz w:val="24"/>
          <w:szCs w:val="24"/>
          <w:vertAlign w:val="superscript"/>
          <w:lang w:val="en-GB"/>
        </w:rPr>
        <w:instrText xml:space="preserve"> ADDIN EN.CITE &lt;EndNote&gt;&lt;Cite&gt;&lt;Author&gt;Cistaro&lt;/Author&gt;&lt;Year&gt;2012&lt;/Year&gt;&lt;RecNum&gt;1067&lt;/RecNum&gt;&lt;DisplayText&gt;[11]&lt;/DisplayText&gt;&lt;record&gt;&lt;rec-number&gt;1067&lt;/rec-number&gt;&lt;foreign-keys&gt;&lt;key app="EN" db-id="avzfewesvzszfkerasu52zst9rw5ffdv52pf" timestamp="1456080390"&gt;1067&lt;/key&gt;&lt;/foreign-keys&gt;&lt;ref-type name="Journal Article"&gt;17&lt;/ref-type&gt;&lt;contributors&gt;&lt;authors&gt;&lt;author&gt;Cistaro, A.&lt;/author&gt;&lt;author&gt;Quartuccio, N.&lt;/author&gt;&lt;author&gt;Mansi, L.&lt;/author&gt;&lt;author&gt;Signore, A.&lt;/author&gt;&lt;author&gt;Dolci, M.&lt;/author&gt;&lt;author&gt;Treglia, G.&lt;/author&gt;&lt;/authors&gt;&lt;/contributors&gt;&lt;titles&gt;&lt;title&gt;The role of positron emission tomography in inflammatory bowel disease&lt;/title&gt;&lt;secondary-title&gt;European Journal of Inflammation&lt;/secondary-title&gt;&lt;/titles&gt;&lt;periodical&gt;&lt;full-title&gt;European Journal of Inflammation&lt;/full-title&gt;&lt;/periodical&gt;&lt;pages&gt;251-256&lt;/pages&gt;&lt;volume&gt;10&lt;/volume&gt;&lt;number&gt;3&lt;/number&gt;&lt;dates&gt;&lt;year&gt;2012&lt;/year&gt;&lt;/dates&gt;&lt;work-type&gt;Review&lt;/work-type&gt;&lt;urls&gt;&lt;related-urls&gt;&lt;url&gt;http://www.scopus.com/inward/record.url?eid=2-s2.0-84873455520&amp;amp;partnerID=40&amp;amp;md5=b65078ea4d4f3cebab2b146d279fa4c5&lt;/url&gt;&lt;/related-urls&gt;&lt;/urls&gt;&lt;remote-database-name&gt;Scopus&lt;/remote-database-name&gt;&lt;/record&gt;&lt;/Cite&gt;&lt;/EndNote&gt;</w:instrText>
      </w:r>
      <w:r>
        <w:rPr>
          <w:rFonts w:ascii="Book Antiqua" w:hAnsi="Book Antiqua" w:cs="Arial"/>
          <w:sz w:val="24"/>
          <w:szCs w:val="24"/>
          <w:vertAlign w:val="superscript"/>
          <w:lang w:val="it-IT"/>
        </w:rPr>
        <w:fldChar w:fldCharType="separate"/>
      </w:r>
      <w:r>
        <w:rPr>
          <w:rFonts w:ascii="Book Antiqua" w:hAnsi="Book Antiqua" w:cs="Arial"/>
          <w:sz w:val="24"/>
          <w:szCs w:val="24"/>
          <w:vertAlign w:val="superscript"/>
          <w:lang w:val="en-GB"/>
        </w:rPr>
        <w:t>[34]</w:t>
      </w:r>
      <w:r>
        <w:rPr>
          <w:rFonts w:ascii="Book Antiqua" w:hAnsi="Book Antiqua" w:cs="Arial"/>
          <w:sz w:val="24"/>
          <w:szCs w:val="24"/>
          <w:vertAlign w:val="superscript"/>
          <w:lang w:val="en-GB"/>
        </w:rPr>
        <w:fldChar w:fldCharType="end"/>
      </w:r>
      <w:r>
        <w:rPr>
          <w:rFonts w:ascii="Book Antiqua" w:hAnsi="Book Antiqua" w:cs="Arial"/>
          <w:sz w:val="24"/>
          <w:szCs w:val="24"/>
          <w:lang w:val="en-GB"/>
        </w:rPr>
        <w:t xml:space="preserve">. </w:t>
      </w:r>
      <w:r>
        <w:rPr>
          <w:rFonts w:ascii="Book Antiqua" w:hAnsi="Book Antiqua" w:cs="Arial"/>
          <w:sz w:val="24"/>
          <w:szCs w:val="24"/>
          <w:lang w:val="en-GB"/>
        </w:rPr>
        <w:lastRenderedPageBreak/>
        <w:t xml:space="preserve">Although endoscopy is an essential procedure for the diagnosis and follow up of IBD, it is invasive and able to provide only a mucosal and not transmural assessment of the colon and the distal </w:t>
      </w:r>
      <w:proofErr w:type="spellStart"/>
      <w:r>
        <w:rPr>
          <w:rFonts w:ascii="Book Antiqua" w:hAnsi="Book Antiqua" w:cs="Arial"/>
          <w:sz w:val="24"/>
          <w:szCs w:val="24"/>
          <w:lang w:val="en-GB"/>
        </w:rPr>
        <w:t>ileal</w:t>
      </w:r>
      <w:proofErr w:type="spellEnd"/>
      <w:r>
        <w:rPr>
          <w:rFonts w:ascii="Book Antiqua" w:hAnsi="Book Antiqua" w:cs="Arial"/>
          <w:sz w:val="24"/>
          <w:szCs w:val="24"/>
          <w:lang w:val="en-GB"/>
        </w:rPr>
        <w:t xml:space="preserve"> segments. Furthermore, endoscopy is not always applicable during the active phase of IBD, especially in children</w:t>
      </w:r>
      <w:r>
        <w:rPr>
          <w:rFonts w:ascii="Book Antiqua" w:hAnsi="Book Antiqua" w:cs="Arial"/>
          <w:sz w:val="24"/>
          <w:szCs w:val="24"/>
          <w:vertAlign w:val="superscript"/>
          <w:lang w:val="en-GB"/>
        </w:rPr>
        <w:t>[48]</w:t>
      </w:r>
      <w:r>
        <w:rPr>
          <w:rFonts w:ascii="Book Antiqua" w:hAnsi="Book Antiqua" w:cs="Arial"/>
          <w:sz w:val="24"/>
          <w:szCs w:val="24"/>
          <w:lang w:val="en-GB"/>
        </w:rPr>
        <w:t xml:space="preserve">. As such, there is the need for a </w:t>
      </w:r>
      <w:proofErr w:type="spellStart"/>
      <w:r>
        <w:rPr>
          <w:rFonts w:ascii="Book Antiqua" w:hAnsi="Book Antiqua" w:cs="Arial"/>
          <w:sz w:val="24"/>
          <w:szCs w:val="24"/>
          <w:lang w:val="en-GB"/>
        </w:rPr>
        <w:t>noninvasive</w:t>
      </w:r>
      <w:proofErr w:type="spellEnd"/>
      <w:r>
        <w:rPr>
          <w:rFonts w:ascii="Book Antiqua" w:hAnsi="Book Antiqua" w:cs="Arial"/>
          <w:sz w:val="24"/>
          <w:szCs w:val="24"/>
          <w:lang w:val="en-GB"/>
        </w:rPr>
        <w:t xml:space="preserve"> technique able to replace colonoscopy or conventional radiologic examinations in the follow up of patients with IBD. This need is of particular importance in a paediatric population, as a highly variable response to therapy has been reported in these patients</w:t>
      </w:r>
      <w:r>
        <w:rPr>
          <w:rFonts w:ascii="Book Antiqua" w:hAnsi="Book Antiqua" w:cs="Arial"/>
          <w:sz w:val="24"/>
          <w:szCs w:val="24"/>
          <w:vertAlign w:val="superscript"/>
          <w:lang w:val="en-GB"/>
        </w:rPr>
        <w:fldChar w:fldCharType="begin">
          <w:fldData xml:space="preserve">PEVuZE5vdGU+PENpdGU+PEF1dGhvcj5HaWFmZmVyPC9BdXRob3I+PFllYXI+MTk5NjwvWWVhcj48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</w:fldData>
        </w:fldChar>
      </w:r>
      <w:r>
        <w:rPr>
          <w:rFonts w:ascii="Book Antiqua" w:hAnsi="Book Antiqua" w:cs="Arial"/>
          <w:sz w:val="24"/>
          <w:szCs w:val="24"/>
          <w:vertAlign w:val="superscript"/>
          <w:lang w:val="en-GB"/>
        </w:rPr>
        <w:instrText xml:space="preserve"> ADDIN EN.CITE </w:instrText>
      </w:r>
      <w:r>
        <w:rPr>
          <w:rFonts w:ascii="Book Antiqua" w:hAnsi="Book Antiqua" w:cs="Arial"/>
          <w:sz w:val="24"/>
          <w:szCs w:val="24"/>
          <w:vertAlign w:val="superscript"/>
          <w:lang w:val="en-GB"/>
        </w:rPr>
        <w:fldChar w:fldCharType="begin">
          <w:fldData xml:space="preserve">PEVuZE5vdGU+PENpdGU+PEF1dGhvcj5HaWFmZmVyPC9BdXRob3I+PFllYXI+MTk5NjwvWWVhcj48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</w:fldData>
        </w:fldChar>
      </w:r>
      <w:r>
        <w:rPr>
          <w:rFonts w:ascii="Book Antiqua" w:hAnsi="Book Antiqua" w:cs="Arial"/>
          <w:sz w:val="24"/>
          <w:szCs w:val="24"/>
          <w:vertAlign w:val="superscript"/>
          <w:lang w:val="en-GB"/>
        </w:rPr>
        <w:instrText xml:space="preserve"> ADDIN EN.CITE.DATA </w:instrText>
      </w:r>
      <w:r>
        <w:rPr>
          <w:rFonts w:ascii="Book Antiqua" w:hAnsi="Book Antiqua" w:cs="Arial"/>
          <w:sz w:val="24"/>
          <w:szCs w:val="24"/>
          <w:vertAlign w:val="superscript"/>
          <w:lang w:val="en-GB"/>
        </w:rPr>
      </w:r>
      <w:r>
        <w:rPr>
          <w:rFonts w:ascii="Book Antiqua" w:hAnsi="Book Antiqua" w:cs="Arial"/>
          <w:sz w:val="24"/>
          <w:szCs w:val="24"/>
          <w:vertAlign w:val="superscript"/>
          <w:lang w:val="en-GB"/>
        </w:rPr>
        <w:fldChar w:fldCharType="end"/>
      </w:r>
      <w:r>
        <w:rPr>
          <w:rFonts w:ascii="Book Antiqua" w:hAnsi="Book Antiqua" w:cs="Arial"/>
          <w:sz w:val="24"/>
          <w:szCs w:val="24"/>
          <w:vertAlign w:val="superscript"/>
          <w:lang w:val="en-GB"/>
        </w:rPr>
      </w:r>
      <w:r>
        <w:rPr>
          <w:rFonts w:ascii="Book Antiqua" w:hAnsi="Book Antiqua" w:cs="Arial"/>
          <w:sz w:val="24"/>
          <w:szCs w:val="24"/>
          <w:vertAlign w:val="superscript"/>
          <w:lang w:val="en-GB"/>
        </w:rPr>
        <w:fldChar w:fldCharType="separate"/>
      </w:r>
      <w:r>
        <w:rPr>
          <w:rFonts w:ascii="Book Antiqua" w:hAnsi="Book Antiqua" w:cs="Arial"/>
          <w:sz w:val="24"/>
          <w:szCs w:val="24"/>
          <w:vertAlign w:val="superscript"/>
          <w:lang w:val="en-GB"/>
        </w:rPr>
        <w:t>[46]</w:t>
      </w:r>
      <w:r>
        <w:rPr>
          <w:rFonts w:ascii="Book Antiqua" w:hAnsi="Book Antiqua" w:cs="Arial"/>
          <w:sz w:val="24"/>
          <w:szCs w:val="24"/>
          <w:vertAlign w:val="superscript"/>
          <w:lang w:val="en-GB"/>
        </w:rPr>
        <w:fldChar w:fldCharType="end"/>
      </w:r>
      <w:r>
        <w:rPr>
          <w:rFonts w:ascii="Book Antiqua" w:hAnsi="Book Antiqua" w:cs="Arial"/>
          <w:sz w:val="24"/>
          <w:szCs w:val="24"/>
          <w:lang w:val="en-GB"/>
        </w:rPr>
        <w:t xml:space="preserve">. As a consequence, a technique able to assess disease activity in paediatric patients plays a major role in yielding an IBD management. Since the simple clinical remission does not well correlate with the taming of the inflammatory process at the tissue level, an effective management of IBD represents a major challenge with the currently available diagnostic modalities.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GB"/>
        </w:rPr>
        <w:t xml:space="preserve">Molecular imaging presents various advantages over colonoscopy. Firstly, it is minimally invasive and well tolerated by the patients, also by paediatric ones. Second, patients can undergo the procedure also during the active state of disease, without any particular limitation or precaution. Third, it should be noted that no intestinal preparation is needed. Fourth, molecular imaging allows the evaluation of the colon and the terminal ileum. Presence of fibrosis does not impact the results of the examination. The investigation can be repeated over time, considering an adequate time interval. This latter aspect is of relevance especially during follow-up. Finally, molecular imaging has the potential to detect and characterize the anatomic location and the disease activity at diagnosis and on therapy.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GB"/>
        </w:rPr>
        <w:t>All these advantages make molecular imaging particularly suitable in paediatric patients, either when an endoscopy has been refused by the young patient or if there is any specific contraindication</w:t>
      </w:r>
      <w:r>
        <w:rPr>
          <w:rFonts w:ascii="Book Antiqua" w:hAnsi="Book Antiqua" w:cs="Arial"/>
          <w:sz w:val="24"/>
          <w:szCs w:val="24"/>
          <w:vertAlign w:val="superscript"/>
          <w:lang w:val="en-GB"/>
        </w:rPr>
        <w:fldChar w:fldCharType="begin">
          <w:fldData xml:space="preserve">PEVuZE5vdGU+PENpdGU+PEF1dGhvcj5DYW9iZWxsaTwvQXV0aG9yPjxZZWFyPjIwMTE8L1llYXI+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</w:fldData>
        </w:fldChar>
      </w:r>
      <w:r>
        <w:rPr>
          <w:rFonts w:ascii="Book Antiqua" w:hAnsi="Book Antiqua" w:cs="Arial"/>
          <w:sz w:val="24"/>
          <w:szCs w:val="24"/>
          <w:vertAlign w:val="superscript"/>
          <w:lang w:val="en-GB"/>
        </w:rPr>
        <w:instrText xml:space="preserve"> ADDIN EN.CITE </w:instrText>
      </w:r>
      <w:r>
        <w:rPr>
          <w:rFonts w:ascii="Book Antiqua" w:hAnsi="Book Antiqua" w:cs="Arial"/>
          <w:sz w:val="24"/>
          <w:szCs w:val="24"/>
          <w:vertAlign w:val="superscript"/>
          <w:lang w:val="en-GB"/>
        </w:rPr>
        <w:fldChar w:fldCharType="begin">
          <w:fldData xml:space="preserve">PEVuZE5vdGU+PENpdGU+PEF1dGhvcj5DYW9iZWxsaTwvQXV0aG9yPjxZZWFyPjIwMTE8L1llYXI+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</w:fldData>
        </w:fldChar>
      </w:r>
      <w:r>
        <w:rPr>
          <w:rFonts w:ascii="Book Antiqua" w:hAnsi="Book Antiqua" w:cs="Arial"/>
          <w:sz w:val="24"/>
          <w:szCs w:val="24"/>
          <w:vertAlign w:val="superscript"/>
          <w:lang w:val="en-GB"/>
        </w:rPr>
        <w:instrText xml:space="preserve"> ADDIN EN.CITE.DATA </w:instrText>
      </w:r>
      <w:r>
        <w:rPr>
          <w:rFonts w:ascii="Book Antiqua" w:hAnsi="Book Antiqua" w:cs="Arial"/>
          <w:sz w:val="24"/>
          <w:szCs w:val="24"/>
          <w:vertAlign w:val="superscript"/>
          <w:lang w:val="en-GB"/>
        </w:rPr>
      </w:r>
      <w:r>
        <w:rPr>
          <w:rFonts w:ascii="Book Antiqua" w:hAnsi="Book Antiqua" w:cs="Arial"/>
          <w:sz w:val="24"/>
          <w:szCs w:val="24"/>
          <w:vertAlign w:val="superscript"/>
          <w:lang w:val="en-GB"/>
        </w:rPr>
        <w:fldChar w:fldCharType="end"/>
      </w:r>
      <w:r>
        <w:rPr>
          <w:rFonts w:ascii="Book Antiqua" w:hAnsi="Book Antiqua" w:cs="Arial"/>
          <w:sz w:val="24"/>
          <w:szCs w:val="24"/>
          <w:vertAlign w:val="superscript"/>
          <w:lang w:val="en-GB"/>
        </w:rPr>
      </w:r>
      <w:r>
        <w:rPr>
          <w:rFonts w:ascii="Book Antiqua" w:hAnsi="Book Antiqua" w:cs="Arial"/>
          <w:sz w:val="24"/>
          <w:szCs w:val="24"/>
          <w:vertAlign w:val="superscript"/>
          <w:lang w:val="en-GB"/>
        </w:rPr>
        <w:fldChar w:fldCharType="separate"/>
      </w:r>
      <w:r>
        <w:rPr>
          <w:rFonts w:ascii="Book Antiqua" w:hAnsi="Book Antiqua" w:cs="Arial"/>
          <w:sz w:val="24"/>
          <w:szCs w:val="24"/>
          <w:vertAlign w:val="superscript"/>
          <w:lang w:val="en-GB"/>
        </w:rPr>
        <w:t>[34]</w:t>
      </w:r>
      <w:r>
        <w:rPr>
          <w:rFonts w:ascii="Book Antiqua" w:hAnsi="Book Antiqua" w:cs="Arial"/>
          <w:sz w:val="24"/>
          <w:szCs w:val="24"/>
          <w:vertAlign w:val="superscript"/>
          <w:lang w:val="en-GB"/>
        </w:rPr>
        <w:fldChar w:fldCharType="end"/>
      </w:r>
      <w:r>
        <w:rPr>
          <w:rFonts w:ascii="Book Antiqua" w:hAnsi="Book Antiqua" w:cs="Arial"/>
          <w:sz w:val="24"/>
          <w:szCs w:val="24"/>
          <w:lang w:val="en-GB"/>
        </w:rPr>
        <w:t>.</w:t>
      </w:r>
    </w:p>
    <w:p w:rsidR="0003376C" w:rsidRDefault="005739BD" w:rsidP="00924331">
      <w:pPr>
        <w:spacing w:after="0" w:line="360" w:lineRule="auto"/>
        <w:ind w:firstLineChars="150" w:firstLine="360"/>
        <w:jc w:val="both"/>
        <w:rPr>
          <w:rFonts w:ascii="Book Antiqua" w:hAnsi="Book Antiqua" w:cs="Arial"/>
          <w:sz w:val="24"/>
          <w:szCs w:val="24"/>
          <w:lang w:val="en-US"/>
        </w:rPr>
      </w:pPr>
      <w:r>
        <w:rPr>
          <w:rFonts w:ascii="Book Antiqua" w:hAnsi="Book Antiqua" w:cs="Arial"/>
          <w:sz w:val="24"/>
          <w:szCs w:val="24"/>
          <w:lang w:val="en-GB"/>
        </w:rPr>
        <w:t xml:space="preserve">From the data of the literature,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eventually fused with CT, appears to have the best potential among molecular imaging techniques, since it provides the highest accuracy both in diagnosis and follow-up. </w:t>
      </w:r>
      <w:r>
        <w:rPr>
          <w:rFonts w:ascii="Book Antiqua" w:hAnsi="Book Antiqua" w:cs="Arial"/>
          <w:sz w:val="24"/>
          <w:szCs w:val="24"/>
          <w:lang w:val="en-US"/>
        </w:rPr>
        <w:t xml:space="preserve">In a recent meta-analysis by Treglia </w:t>
      </w:r>
      <w:r>
        <w:rPr>
          <w:rFonts w:ascii="Book Antiqua" w:hAnsi="Book Antiqua" w:cs="Arial"/>
          <w:i/>
          <w:sz w:val="24"/>
          <w:szCs w:val="24"/>
          <w:lang w:val="en-US"/>
        </w:rPr>
        <w:t>et al</w:t>
      </w:r>
      <w:r>
        <w:rPr>
          <w:rFonts w:ascii="Book Antiqua" w:hAnsi="Book Antiqua" w:cs="Arial"/>
          <w:sz w:val="24"/>
          <w:szCs w:val="24"/>
          <w:vertAlign w:val="superscript"/>
          <w:lang w:val="en-US"/>
        </w:rPr>
        <w:t>[66]</w:t>
      </w:r>
      <w:r>
        <w:rPr>
          <w:rFonts w:ascii="Book Antiqua" w:hAnsi="Book Antiqua" w:cs="Arial"/>
          <w:sz w:val="24"/>
          <w:szCs w:val="24"/>
          <w:lang w:val="en-US"/>
        </w:rPr>
        <w:t xml:space="preserve"> on 7 selected studies, including 219 patients with IBD,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(and PET/CT) showed pooled sensitivity, specificity, positive likelihood ratio, negative likelihood ratio and Diagnostic Odd Ratio of 85%, 87%, 6.19, 0.19 and 44.35, respectively. In their paper, the area under the ROC curve was 0.933. </w:t>
      </w:r>
      <w:r>
        <w:rPr>
          <w:rFonts w:ascii="Book Antiqua" w:hAnsi="Book Antiqua" w:cs="Arial"/>
          <w:sz w:val="24"/>
          <w:szCs w:val="24"/>
          <w:lang w:val="en-GB"/>
        </w:rPr>
        <w:t>However, another</w:t>
      </w:r>
      <w:r>
        <w:rPr>
          <w:rFonts w:ascii="Book Antiqua" w:hAnsi="Book Antiqua" w:cs="Arial"/>
          <w:sz w:val="24"/>
          <w:szCs w:val="24"/>
          <w:lang w:val="en-US"/>
        </w:rPr>
        <w:t xml:space="preserve"> meta-analysis by Zhang and colleagues</w:t>
      </w:r>
      <w:r>
        <w:rPr>
          <w:rFonts w:ascii="Book Antiqua" w:hAnsi="Book Antiqua" w:cs="Arial"/>
          <w:sz w:val="24"/>
          <w:szCs w:val="24"/>
          <w:vertAlign w:val="superscript"/>
          <w:lang w:val="en-US"/>
        </w:rPr>
        <w:t>[3]</w:t>
      </w:r>
      <w:r>
        <w:rPr>
          <w:rFonts w:ascii="Book Antiqua" w:hAnsi="Book Antiqua" w:cs="Arial"/>
          <w:sz w:val="24"/>
          <w:szCs w:val="24"/>
          <w:lang w:val="en-US"/>
        </w:rPr>
        <w:t xml:space="preserve"> including 20 prospective studies </w:t>
      </w:r>
      <w:r>
        <w:rPr>
          <w:rFonts w:ascii="Book Antiqua" w:hAnsi="Book Antiqua" w:cs="Arial"/>
          <w:sz w:val="24"/>
          <w:szCs w:val="24"/>
          <w:lang w:val="en-US"/>
        </w:rPr>
        <w:lastRenderedPageBreak/>
        <w:t xml:space="preserve">published between 1993 and 2013, did not report significant differences in sensitivity, specificity and diagnostic accuracy between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and leukocyte scintigraphy. Following their results, the authors suggested that both techniques can be alternatively used for the diagnosis of IBD, depending on their local availability. Conversely, monoclonal anti-granulocyte antibody scintigraphy showed a significantly lower sensitivity, despite the higher specificity.  </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US"/>
        </w:rPr>
        <w:t xml:space="preserve">During follow-up, molecular imaging proved to effectively monitor therapy response. As a matter of fact, </w:t>
      </w:r>
      <w:r>
        <w:rPr>
          <w:rFonts w:ascii="Book Antiqua" w:hAnsi="Book Antiqua" w:cs="Arial"/>
          <w:sz w:val="24"/>
          <w:szCs w:val="24"/>
          <w:lang w:val="en-GB"/>
        </w:rPr>
        <w:t xml:space="preserve">FDG represents the whole inflammatory burden of the gut, and an early post-therapy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or PET/CT (within weeks from the start of the therapy) compared to a pre-therapy scan may allow for the early evaluation of therapy efficacy. </w:t>
      </w:r>
    </w:p>
    <w:p w:rsidR="0003376C" w:rsidRDefault="005739BD" w:rsidP="00924331">
      <w:pPr>
        <w:spacing w:after="0" w:line="360" w:lineRule="auto"/>
        <w:ind w:firstLineChars="150" w:firstLine="360"/>
        <w:jc w:val="both"/>
        <w:rPr>
          <w:rFonts w:ascii="Book Antiqua" w:eastAsiaTheme="minorEastAsia" w:hAnsi="Book Antiqua" w:cs="Arial"/>
          <w:sz w:val="24"/>
          <w:szCs w:val="24"/>
          <w:lang w:val="en-GB" w:eastAsia="zh-CN"/>
        </w:rPr>
      </w:pPr>
      <w:r>
        <w:rPr>
          <w:rFonts w:ascii="Book Antiqua" w:hAnsi="Book Antiqua" w:cs="Arial"/>
          <w:sz w:val="24"/>
          <w:szCs w:val="24"/>
          <w:lang w:val="en-GB"/>
        </w:rPr>
        <w:t xml:space="preserve">It seems that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or PET/CT may have different indications, depending on the subtype of IBD. </w:t>
      </w:r>
      <w:proofErr w:type="spellStart"/>
      <w:r>
        <w:rPr>
          <w:rFonts w:ascii="Book Antiqua" w:hAnsi="Book Antiqua" w:cs="Arial"/>
          <w:sz w:val="24"/>
          <w:szCs w:val="24"/>
          <w:lang w:val="en-GB"/>
        </w:rPr>
        <w:t>Spier</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Book Antiqua" w:hAnsi="Book Antiqua" w:cs="Arial"/>
          <w:sz w:val="24"/>
          <w:szCs w:val="24"/>
          <w:vertAlign w:val="superscript"/>
          <w:lang w:val="en-GB"/>
        </w:rPr>
        <w:t>[25]</w:t>
      </w:r>
      <w:r>
        <w:rPr>
          <w:rFonts w:ascii="Book Antiqua" w:eastAsiaTheme="minorEastAsia" w:hAnsi="Book Antiqua" w:cs="Arial" w:hint="eastAsia"/>
          <w:sz w:val="24"/>
          <w:szCs w:val="24"/>
          <w:vertAlign w:val="superscript"/>
          <w:lang w:val="en-GB" w:eastAsia="zh-CN"/>
        </w:rPr>
        <w:t xml:space="preserve"> </w:t>
      </w:r>
      <w:r>
        <w:rPr>
          <w:rFonts w:ascii="Book Antiqua" w:hAnsi="Book Antiqua" w:cs="Arial"/>
          <w:sz w:val="24"/>
          <w:szCs w:val="24"/>
          <w:lang w:val="en-GB"/>
        </w:rPr>
        <w:t xml:space="preserve">reported that </w:t>
      </w:r>
      <w:r>
        <w:rPr>
          <w:rFonts w:ascii="Book Antiqua" w:hAnsi="Book Antiqua" w:cs="Arial"/>
          <w:sz w:val="24"/>
          <w:szCs w:val="24"/>
          <w:vertAlign w:val="superscript"/>
          <w:lang w:val="en-GB"/>
        </w:rPr>
        <w:t>18</w:t>
      </w:r>
      <w:r>
        <w:rPr>
          <w:rFonts w:ascii="Book Antiqua" w:hAnsi="Book Antiqua" w:cs="Arial"/>
          <w:sz w:val="24"/>
          <w:szCs w:val="24"/>
          <w:lang w:val="en-GB"/>
        </w:rPr>
        <w:t>F-FDG PET has a good sensitivity in inflamed bowel segments in the patients with known IBD (range from 72.9</w:t>
      </w:r>
      <w:r>
        <w:rPr>
          <w:rFonts w:ascii="Book Antiqua" w:eastAsiaTheme="minorEastAsia" w:hAnsi="Book Antiqua" w:cs="Arial" w:hint="eastAsia"/>
          <w:sz w:val="24"/>
          <w:szCs w:val="24"/>
          <w:lang w:val="en-GB" w:eastAsia="zh-CN"/>
        </w:rPr>
        <w:t>%</w:t>
      </w:r>
      <w:r>
        <w:rPr>
          <w:rFonts w:ascii="Book Antiqua" w:hAnsi="Book Antiqua" w:cs="Arial"/>
          <w:sz w:val="24"/>
          <w:szCs w:val="24"/>
          <w:lang w:val="en-GB"/>
        </w:rPr>
        <w:t xml:space="preserve"> to 95.8%); while PET alone is at best suitable for patients with UC, PET/CT should be recommended in patients with CD, due to a better anatomical definition. It should also be noted that </w:t>
      </w:r>
      <w:r>
        <w:rPr>
          <w:rFonts w:ascii="Book Antiqua" w:hAnsi="Book Antiqua" w:cs="Arial"/>
          <w:sz w:val="24"/>
          <w:szCs w:val="24"/>
          <w:vertAlign w:val="superscript"/>
          <w:lang w:val="en-GB"/>
        </w:rPr>
        <w:t>18</w:t>
      </w:r>
      <w:r>
        <w:rPr>
          <w:rFonts w:ascii="Book Antiqua" w:hAnsi="Book Antiqua" w:cs="Arial"/>
          <w:sz w:val="24"/>
          <w:szCs w:val="24"/>
          <w:lang w:val="en-GB"/>
        </w:rPr>
        <w:t>F-FDG PET allows the visualization of the entire bowel wall in patients with known IBD. This ability is of particular importance in patients diagnosed with CD, since this condition is often characterized by a spread to the deeper layers of the bowel wall, where endoscopy fails to detect inflammatory lesions. Furthermore, PET can assess possible overlaps between irritable bowel syndrome and IBD prior to increasing or changing immunomodulation.</w:t>
      </w:r>
    </w:p>
    <w:p w:rsidR="0003376C" w:rsidRDefault="005739BD" w:rsidP="00924331">
      <w:pPr>
        <w:spacing w:after="0" w:line="360" w:lineRule="auto"/>
        <w:ind w:firstLineChars="150" w:firstLine="360"/>
        <w:jc w:val="both"/>
        <w:rPr>
          <w:rFonts w:ascii="Book Antiqua" w:hAnsi="Book Antiqua" w:cs="Arial"/>
          <w:sz w:val="24"/>
          <w:szCs w:val="24"/>
          <w:lang w:val="en-US"/>
        </w:rPr>
      </w:pPr>
      <w:r>
        <w:rPr>
          <w:rFonts w:ascii="Book Antiqua" w:hAnsi="Book Antiqua" w:cs="Arial"/>
          <w:sz w:val="24"/>
          <w:szCs w:val="24"/>
          <w:lang w:val="en-GB"/>
        </w:rPr>
        <w:t xml:space="preserve">Despite these advantages, the use of FDG PET/CT in a clinical setting is still indeterminate. Indeed, there is no common consensus on the timing and on the number of the post-therapy scan and the predominance of studies involving small cohorts of patients represent a limit to support the use of this imaging technique in clinical practice. Many papers in literature underlined a suboptimal specificity for </w:t>
      </w:r>
      <w:r>
        <w:rPr>
          <w:rFonts w:ascii="Book Antiqua" w:hAnsi="Book Antiqua" w:cs="Arial"/>
          <w:sz w:val="24"/>
          <w:szCs w:val="24"/>
          <w:vertAlign w:val="superscript"/>
          <w:lang w:val="en-GB"/>
        </w:rPr>
        <w:t>18</w:t>
      </w:r>
      <w:r>
        <w:rPr>
          <w:rFonts w:ascii="Book Antiqua" w:hAnsi="Book Antiqua" w:cs="Arial"/>
          <w:sz w:val="24"/>
          <w:szCs w:val="24"/>
          <w:lang w:val="en-GB"/>
        </w:rPr>
        <w:t xml:space="preserve">F-FDG PET. Indeed, </w:t>
      </w:r>
      <w:r>
        <w:rPr>
          <w:rFonts w:ascii="Book Antiqua" w:hAnsi="Book Antiqua" w:cs="Arial"/>
          <w:sz w:val="24"/>
          <w:szCs w:val="24"/>
          <w:lang w:val="en-US"/>
        </w:rPr>
        <w:t>false positive cases due to physiologic uptake of the radiopharmaceutical in normal bowel can be often found in clinical practice. However, false positive findings can be effectively reduced with a proper distention of bowel segments through the administration of great amount of fluids</w:t>
      </w:r>
      <w:r>
        <w:rPr>
          <w:rFonts w:ascii="Book Antiqua" w:hAnsi="Book Antiqua" w:cs="Arial"/>
          <w:sz w:val="24"/>
          <w:szCs w:val="24"/>
          <w:vertAlign w:val="superscript"/>
          <w:lang w:val="en-US"/>
        </w:rPr>
        <w:t xml:space="preserve">[1,3,7,20,21] </w:t>
      </w:r>
      <w:r>
        <w:rPr>
          <w:rFonts w:ascii="Book Antiqua" w:hAnsi="Book Antiqua" w:cs="Arial"/>
          <w:sz w:val="24"/>
          <w:szCs w:val="24"/>
          <w:lang w:val="en-US"/>
        </w:rPr>
        <w:t xml:space="preserve">or by specific patients preparations as reported by </w:t>
      </w:r>
      <w:proofErr w:type="spellStart"/>
      <w:r>
        <w:rPr>
          <w:rFonts w:ascii="Book Antiqua" w:hAnsi="Book Antiqua" w:cs="Arial"/>
          <w:sz w:val="24"/>
          <w:szCs w:val="24"/>
          <w:lang w:val="en-US"/>
        </w:rPr>
        <w:t>Franquet</w:t>
      </w:r>
      <w:proofErr w:type="spellEnd"/>
      <w:r>
        <w:rPr>
          <w:rFonts w:ascii="Book Antiqua" w:hAnsi="Book Antiqua" w:cs="Arial"/>
          <w:sz w:val="24"/>
          <w:szCs w:val="24"/>
          <w:lang w:val="en-US"/>
        </w:rPr>
        <w:t xml:space="preserve"> </w:t>
      </w:r>
      <w:r>
        <w:rPr>
          <w:rFonts w:ascii="Book Antiqua" w:hAnsi="Book Antiqua" w:cs="Arial"/>
          <w:i/>
          <w:sz w:val="24"/>
          <w:szCs w:val="24"/>
          <w:lang w:val="en-US"/>
        </w:rPr>
        <w:t>et al</w:t>
      </w:r>
      <w:r>
        <w:rPr>
          <w:rFonts w:ascii="Book Antiqua" w:hAnsi="Book Antiqua" w:cs="Arial"/>
          <w:sz w:val="24"/>
          <w:szCs w:val="24"/>
          <w:vertAlign w:val="superscript"/>
          <w:lang w:val="en-US"/>
        </w:rPr>
        <w:t>[22]</w:t>
      </w:r>
      <w:r>
        <w:rPr>
          <w:rFonts w:ascii="Book Antiqua" w:hAnsi="Book Antiqua" w:cs="Arial"/>
          <w:sz w:val="24"/>
          <w:szCs w:val="24"/>
          <w:lang w:val="en-US"/>
        </w:rPr>
        <w:t>.</w:t>
      </w:r>
    </w:p>
    <w:p w:rsidR="0003376C" w:rsidRDefault="005739BD" w:rsidP="00924331">
      <w:pPr>
        <w:spacing w:after="0" w:line="360" w:lineRule="auto"/>
        <w:ind w:firstLineChars="150" w:firstLine="360"/>
        <w:jc w:val="both"/>
        <w:rPr>
          <w:rFonts w:ascii="Book Antiqua" w:hAnsi="Book Antiqua" w:cs="Arial"/>
          <w:sz w:val="24"/>
          <w:szCs w:val="24"/>
          <w:lang w:val="en-GB"/>
        </w:rPr>
      </w:pPr>
      <w:r>
        <w:rPr>
          <w:rFonts w:ascii="Book Antiqua" w:hAnsi="Book Antiqua" w:cs="Arial"/>
          <w:sz w:val="24"/>
          <w:szCs w:val="24"/>
          <w:lang w:val="en-GB"/>
        </w:rPr>
        <w:lastRenderedPageBreak/>
        <w:t xml:space="preserve">In addition, a crucial question is the lack of a standardized method for quantifying accurately disease activity. Although many papers underlined the strategical role of </w:t>
      </w:r>
      <w:proofErr w:type="spellStart"/>
      <w:r>
        <w:rPr>
          <w:rFonts w:ascii="Book Antiqua" w:hAnsi="Book Antiqua" w:cs="Arial"/>
          <w:sz w:val="24"/>
          <w:szCs w:val="24"/>
          <w:lang w:val="en-GB"/>
        </w:rPr>
        <w:t>semiquantitative</w:t>
      </w:r>
      <w:proofErr w:type="spellEnd"/>
      <w:r>
        <w:rPr>
          <w:rFonts w:ascii="Book Antiqua" w:hAnsi="Book Antiqua" w:cs="Arial"/>
          <w:sz w:val="24"/>
          <w:szCs w:val="24"/>
          <w:lang w:val="en-GB"/>
        </w:rPr>
        <w:t xml:space="preserve"> parameters in PET imaging, still the huge heterogeneity of the published trials prevents to date to establish a robust assessment protocol. </w:t>
      </w:r>
    </w:p>
    <w:p w:rsidR="0003376C" w:rsidRDefault="005739BD" w:rsidP="00924331">
      <w:pPr>
        <w:spacing w:after="0" w:line="360" w:lineRule="auto"/>
        <w:ind w:firstLineChars="150" w:firstLine="360"/>
        <w:jc w:val="both"/>
        <w:rPr>
          <w:rFonts w:ascii="Book Antiqua" w:hAnsi="Book Antiqua" w:cs="Arial"/>
          <w:sz w:val="24"/>
          <w:szCs w:val="24"/>
          <w:lang w:val="en-US"/>
        </w:rPr>
      </w:pPr>
      <w:r>
        <w:rPr>
          <w:rFonts w:ascii="Book Antiqua" w:hAnsi="Book Antiqua" w:cs="Arial"/>
          <w:sz w:val="24"/>
          <w:szCs w:val="24"/>
          <w:lang w:val="en-GB"/>
        </w:rPr>
        <w:t xml:space="preserve">It should also be mentioned that, </w:t>
      </w:r>
      <w:r>
        <w:rPr>
          <w:rFonts w:ascii="Book Antiqua" w:hAnsi="Book Antiqua" w:cs="Arial"/>
          <w:sz w:val="24"/>
          <w:szCs w:val="24"/>
          <w:lang w:val="en-US"/>
        </w:rPr>
        <w:t xml:space="preserve">to date, the widespread use of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(and to a lesser extent of </w:t>
      </w:r>
      <w:r>
        <w:rPr>
          <w:rFonts w:ascii="Book Antiqua" w:hAnsi="Book Antiqua" w:cs="Arial"/>
          <w:sz w:val="24"/>
          <w:szCs w:val="24"/>
          <w:vertAlign w:val="superscript"/>
          <w:lang w:val="en-GB"/>
        </w:rPr>
        <w:t>99m</w:t>
      </w:r>
      <w:r>
        <w:rPr>
          <w:rFonts w:ascii="Book Antiqua" w:hAnsi="Book Antiqua" w:cs="Arial"/>
          <w:sz w:val="24"/>
          <w:szCs w:val="24"/>
          <w:lang w:val="en-GB"/>
        </w:rPr>
        <w:t xml:space="preserve">Tc-HMPAO-WBC </w:t>
      </w:r>
      <w:r>
        <w:rPr>
          <w:rFonts w:ascii="Book Antiqua" w:hAnsi="Book Antiqua" w:cs="Arial"/>
          <w:sz w:val="24"/>
          <w:szCs w:val="24"/>
          <w:lang w:val="en-US"/>
        </w:rPr>
        <w:t>scintigraphy) is hindered by relatively high costs and by relatively long waiting lists given its extensive use in oncology.</w:t>
      </w:r>
    </w:p>
    <w:p w:rsidR="0003376C" w:rsidRDefault="005739BD" w:rsidP="00924331">
      <w:pPr>
        <w:spacing w:after="0" w:line="360" w:lineRule="auto"/>
        <w:jc w:val="both"/>
        <w:rPr>
          <w:rFonts w:ascii="Book Antiqua" w:hAnsi="Book Antiqua" w:cs="Arial"/>
          <w:sz w:val="24"/>
          <w:szCs w:val="24"/>
          <w:lang w:val="en-US"/>
        </w:rPr>
      </w:pPr>
      <w:r>
        <w:rPr>
          <w:rFonts w:ascii="Book Antiqua" w:hAnsi="Book Antiqua" w:cs="Arial"/>
          <w:sz w:val="24"/>
          <w:szCs w:val="24"/>
          <w:lang w:val="en-US"/>
        </w:rPr>
        <w:t>Finally, these procedures cause patient exposure to ionizing radiation (</w:t>
      </w:r>
      <w:r>
        <w:rPr>
          <w:rFonts w:ascii="Book Antiqua" w:hAnsi="Book Antiqua" w:cs="Arial"/>
          <w:i/>
          <w:sz w:val="24"/>
          <w:szCs w:val="24"/>
          <w:lang w:val="en-US"/>
        </w:rPr>
        <w:t>e.g.</w:t>
      </w:r>
      <w:r>
        <w:rPr>
          <w:rFonts w:ascii="Book Antiqua" w:eastAsiaTheme="minorEastAsia" w:hAnsi="Book Antiqua" w:cs="Arial" w:hint="eastAsia"/>
          <w:i/>
          <w:sz w:val="24"/>
          <w:szCs w:val="24"/>
          <w:lang w:val="en-US" w:eastAsia="zh-CN"/>
        </w:rPr>
        <w:t>,</w:t>
      </w:r>
      <w:r>
        <w:rPr>
          <w:rFonts w:ascii="Book Antiqua" w:hAnsi="Book Antiqua" w:cs="Arial"/>
          <w:sz w:val="24"/>
          <w:szCs w:val="24"/>
          <w:lang w:val="en-US"/>
        </w:rPr>
        <w:t xml:space="preserve"> about 10 </w:t>
      </w:r>
      <w:proofErr w:type="spellStart"/>
      <w:r>
        <w:rPr>
          <w:rFonts w:ascii="Book Antiqua" w:hAnsi="Book Antiqua" w:cs="Arial"/>
          <w:sz w:val="24"/>
          <w:szCs w:val="24"/>
          <w:lang w:val="en-US"/>
        </w:rPr>
        <w:t>mSv</w:t>
      </w:r>
      <w:proofErr w:type="spellEnd"/>
      <w:r>
        <w:rPr>
          <w:rFonts w:ascii="Book Antiqua" w:hAnsi="Book Antiqua" w:cs="Arial"/>
          <w:sz w:val="24"/>
          <w:szCs w:val="24"/>
          <w:lang w:val="en-US"/>
        </w:rPr>
        <w:t xml:space="preserve"> for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PET/CT, using the 50 </w:t>
      </w:r>
      <w:proofErr w:type="spellStart"/>
      <w:r>
        <w:rPr>
          <w:rFonts w:ascii="Book Antiqua" w:hAnsi="Book Antiqua" w:cs="Arial"/>
          <w:sz w:val="24"/>
          <w:szCs w:val="24"/>
          <w:lang w:val="en-US"/>
        </w:rPr>
        <w:t>mAs</w:t>
      </w:r>
      <w:proofErr w:type="spellEnd"/>
      <w:r>
        <w:rPr>
          <w:rFonts w:ascii="Book Antiqua" w:hAnsi="Book Antiqua" w:cs="Arial"/>
          <w:sz w:val="24"/>
          <w:szCs w:val="24"/>
          <w:lang w:val="en-US"/>
        </w:rPr>
        <w:t xml:space="preserve">, 120 kV CT-protocol and an administered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activity of 3.7 </w:t>
      </w:r>
      <w:proofErr w:type="spellStart"/>
      <w:r>
        <w:rPr>
          <w:rFonts w:ascii="Book Antiqua" w:hAnsi="Book Antiqua" w:cs="Arial"/>
          <w:sz w:val="24"/>
          <w:szCs w:val="24"/>
          <w:lang w:val="en-US"/>
        </w:rPr>
        <w:t>MBq</w:t>
      </w:r>
      <w:proofErr w:type="spellEnd"/>
      <w:r>
        <w:rPr>
          <w:rFonts w:ascii="Book Antiqua" w:hAnsi="Book Antiqua" w:cs="Arial"/>
          <w:sz w:val="24"/>
          <w:szCs w:val="24"/>
          <w:lang w:val="en-US"/>
        </w:rPr>
        <w:t xml:space="preserve">/kg). Several studies showed that risk of cancer is greater with earlier age of exposure. Therefore it is essential to avoid unneeded ionizing radiation exposure especially in </w:t>
      </w:r>
      <w:proofErr w:type="spellStart"/>
      <w:r>
        <w:rPr>
          <w:rFonts w:ascii="Book Antiqua" w:hAnsi="Book Antiqua" w:cs="Arial"/>
          <w:sz w:val="24"/>
          <w:szCs w:val="24"/>
          <w:lang w:val="en-US"/>
        </w:rPr>
        <w:t>paediatrics</w:t>
      </w:r>
      <w:proofErr w:type="spellEnd"/>
      <w:r>
        <w:rPr>
          <w:rFonts w:ascii="Book Antiqua" w:hAnsi="Book Antiqua" w:cs="Arial"/>
          <w:sz w:val="24"/>
          <w:szCs w:val="24"/>
          <w:vertAlign w:val="superscript"/>
          <w:lang w:val="en-US"/>
        </w:rPr>
        <w:t>[66]</w:t>
      </w:r>
      <w:r>
        <w:rPr>
          <w:rFonts w:ascii="Book Antiqua" w:hAnsi="Book Antiqua" w:cs="Arial"/>
          <w:sz w:val="24"/>
          <w:szCs w:val="24"/>
          <w:lang w:val="en-US"/>
        </w:rPr>
        <w:t xml:space="preserve">. It should be considered, however, that radiation exposure can be kept under acceptable limits by limiting the CT scan only to the abdomen-pelvis and/or using a 3D instead of a 2D scanner and a longer acquisition time with a lower administered </w:t>
      </w:r>
      <w:r>
        <w:rPr>
          <w:rFonts w:ascii="Book Antiqua" w:hAnsi="Book Antiqua" w:cs="Arial"/>
          <w:sz w:val="24"/>
          <w:szCs w:val="24"/>
          <w:vertAlign w:val="superscript"/>
          <w:lang w:val="en-US"/>
        </w:rPr>
        <w:t>18</w:t>
      </w:r>
      <w:r>
        <w:rPr>
          <w:rFonts w:ascii="Book Antiqua" w:hAnsi="Book Antiqua" w:cs="Arial"/>
          <w:sz w:val="24"/>
          <w:szCs w:val="24"/>
          <w:lang w:val="en-US"/>
        </w:rPr>
        <w:t>F-FDG activity, if patient is able to remain still, or by using new reconstruction algorithms. The replacement of CT with MRI would significantly decrease the dose of radiations and improve diagnostic information on structural changes in bowel wall, despite a longer duration of the examination</w:t>
      </w:r>
      <w:r>
        <w:rPr>
          <w:rFonts w:ascii="Book Antiqua" w:hAnsi="Book Antiqua" w:cs="Arial"/>
          <w:sz w:val="24"/>
          <w:szCs w:val="24"/>
          <w:vertAlign w:val="superscript"/>
          <w:lang w:val="en-US"/>
        </w:rPr>
        <w:t>[1,2,4,5,6,7,21,67]</w:t>
      </w:r>
      <w:r>
        <w:rPr>
          <w:rFonts w:ascii="Book Antiqua" w:hAnsi="Book Antiqua" w:cs="Arial"/>
          <w:sz w:val="24"/>
          <w:szCs w:val="24"/>
          <w:lang w:val="en-US"/>
        </w:rPr>
        <w:t xml:space="preserve">. Finally, considering an adequate time interval between serial examinations would limit the </w:t>
      </w:r>
      <w:proofErr w:type="spellStart"/>
      <w:r>
        <w:rPr>
          <w:rFonts w:ascii="Book Antiqua" w:hAnsi="Book Antiqua" w:cs="Arial"/>
          <w:sz w:val="24"/>
          <w:szCs w:val="24"/>
          <w:lang w:val="en-US"/>
        </w:rPr>
        <w:t>radioexposure</w:t>
      </w:r>
      <w:proofErr w:type="spellEnd"/>
      <w:r>
        <w:rPr>
          <w:rFonts w:ascii="Book Antiqua" w:hAnsi="Book Antiqua" w:cs="Arial"/>
          <w:sz w:val="24"/>
          <w:szCs w:val="24"/>
          <w:lang w:val="en-US"/>
        </w:rPr>
        <w:t xml:space="preserve"> into acceptable limits. </w:t>
      </w:r>
    </w:p>
    <w:p w:rsidR="0003376C" w:rsidRDefault="005739BD" w:rsidP="00924331">
      <w:pPr>
        <w:spacing w:after="0" w:line="360" w:lineRule="auto"/>
        <w:ind w:firstLineChars="150" w:firstLine="360"/>
        <w:jc w:val="both"/>
        <w:rPr>
          <w:rFonts w:ascii="Book Antiqua" w:hAnsi="Book Antiqua" w:cs="Arial"/>
          <w:sz w:val="24"/>
          <w:szCs w:val="24"/>
          <w:lang w:val="en-US"/>
        </w:rPr>
      </w:pPr>
      <w:r>
        <w:rPr>
          <w:rFonts w:ascii="Book Antiqua" w:hAnsi="Book Antiqua" w:cs="Arial"/>
          <w:sz w:val="24"/>
          <w:szCs w:val="24"/>
          <w:lang w:val="en-US"/>
        </w:rPr>
        <w:t xml:space="preserve">In conclusion, WBC scintigraphy and </w:t>
      </w:r>
      <w:r>
        <w:rPr>
          <w:rFonts w:ascii="Book Antiqua" w:hAnsi="Book Antiqua" w:cs="Arial"/>
          <w:sz w:val="24"/>
          <w:szCs w:val="24"/>
          <w:vertAlign w:val="superscript"/>
          <w:lang w:val="en-US"/>
        </w:rPr>
        <w:t>18</w:t>
      </w:r>
      <w:r>
        <w:rPr>
          <w:rFonts w:ascii="Book Antiqua" w:hAnsi="Book Antiqua" w:cs="Arial"/>
          <w:sz w:val="24"/>
          <w:szCs w:val="24"/>
          <w:lang w:val="en-US"/>
        </w:rPr>
        <w:t xml:space="preserve">F-FDG PET (alone or combined with CT or, in a next future, with MRI) represent a useful tool to detect active disease in IBD. However, the available data need to be validated in prospective multicenter studies on larger patient samples. Furthermore, even better diagnostic performance may be envisioned thanks to more specific and accurate radiotracers, which are however to date still far from a clinical validation in the clinical setting. </w:t>
      </w:r>
    </w:p>
    <w:p w:rsidR="0003376C" w:rsidRDefault="0003376C" w:rsidP="00924331">
      <w:pPr>
        <w:spacing w:after="0" w:line="360" w:lineRule="auto"/>
        <w:jc w:val="both"/>
        <w:rPr>
          <w:rFonts w:ascii="Book Antiqua" w:hAnsi="Book Antiqua"/>
          <w:b/>
          <w:sz w:val="24"/>
          <w:highlight w:val="yellow"/>
          <w:lang w:val="en-US"/>
        </w:rPr>
      </w:pPr>
      <w:bookmarkStart w:id="35" w:name="OLE_LINK595"/>
      <w:bookmarkStart w:id="36" w:name="OLE_LINK596"/>
    </w:p>
    <w:p w:rsidR="0003376C" w:rsidRDefault="005739BD" w:rsidP="00924331">
      <w:pPr>
        <w:spacing w:after="0" w:line="360" w:lineRule="auto"/>
        <w:jc w:val="both"/>
        <w:rPr>
          <w:rFonts w:ascii="Book Antiqua" w:hAnsi="Book Antiqua"/>
          <w:b/>
          <w:sz w:val="24"/>
          <w:lang w:val="en-US"/>
        </w:rPr>
      </w:pPr>
      <w:r>
        <w:rPr>
          <w:rFonts w:ascii="Book Antiqua" w:hAnsi="Book Antiqua"/>
          <w:b/>
          <w:sz w:val="24"/>
          <w:lang w:val="en-US"/>
        </w:rPr>
        <w:t>COMMENTS</w:t>
      </w:r>
    </w:p>
    <w:p w:rsidR="0003376C" w:rsidRDefault="005739BD" w:rsidP="00924331">
      <w:pPr>
        <w:spacing w:after="0" w:line="360" w:lineRule="auto"/>
        <w:jc w:val="both"/>
        <w:rPr>
          <w:rFonts w:ascii="Book Antiqua" w:hAnsi="Book Antiqua"/>
          <w:b/>
          <w:bCs/>
          <w:sz w:val="24"/>
          <w:lang w:val="en-US"/>
        </w:rPr>
      </w:pPr>
      <w:r>
        <w:rPr>
          <w:rFonts w:ascii="Book Antiqua" w:hAnsi="Book Antiqua"/>
          <w:b/>
          <w:bCs/>
          <w:i/>
          <w:sz w:val="24"/>
          <w:lang w:val="en-US"/>
        </w:rPr>
        <w:t>Background</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sz w:val="24"/>
          <w:lang w:val="en-GB"/>
        </w:rPr>
        <w:t xml:space="preserve">Inflammatory bowel disease (IBD) is a chronic inflammatory condition, in which the integrity of the gut epithelium represents a major pathophysiological step. Although </w:t>
      </w:r>
      <w:r>
        <w:rPr>
          <w:rFonts w:ascii="Book Antiqua" w:hAnsi="Book Antiqua"/>
          <w:sz w:val="24"/>
          <w:lang w:val="en-US"/>
        </w:rPr>
        <w:lastRenderedPageBreak/>
        <w:t>endoscopy and barium radiological examinations are the diagnostic “gold standard” for IBD, both techniques require a specific patient preparation, not always feasible or easily tolerated.</w:t>
      </w:r>
    </w:p>
    <w:p w:rsidR="0003376C" w:rsidRDefault="0003376C" w:rsidP="00924331">
      <w:pPr>
        <w:spacing w:after="0" w:line="360" w:lineRule="auto"/>
        <w:jc w:val="both"/>
        <w:rPr>
          <w:rFonts w:ascii="Book Antiqua" w:eastAsiaTheme="minorEastAsia" w:hAnsi="Book Antiqua"/>
          <w:b/>
          <w:bCs/>
          <w:sz w:val="24"/>
          <w:lang w:val="en-US" w:eastAsia="zh-CN"/>
        </w:rPr>
      </w:pPr>
    </w:p>
    <w:p w:rsidR="0003376C" w:rsidRDefault="005739BD" w:rsidP="00924331">
      <w:pPr>
        <w:spacing w:after="0" w:line="360" w:lineRule="auto"/>
        <w:jc w:val="both"/>
        <w:rPr>
          <w:rFonts w:ascii="Book Antiqua" w:hAnsi="Book Antiqua"/>
          <w:b/>
          <w:bCs/>
          <w:sz w:val="24"/>
          <w:lang w:val="en-US"/>
        </w:rPr>
      </w:pPr>
      <w:r>
        <w:rPr>
          <w:rFonts w:ascii="Book Antiqua" w:hAnsi="Book Antiqua"/>
          <w:b/>
          <w:bCs/>
          <w:i/>
          <w:sz w:val="24"/>
          <w:lang w:val="en-US"/>
        </w:rPr>
        <w:t>Research frontiers</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sz w:val="24"/>
          <w:lang w:val="en-US"/>
        </w:rPr>
        <w:t>Molecular imaging with single photon emission tomography (SPECT) and positron emission tomography (PET) may be a reliable, non-invasive, accurate and easily reproducible diagnostic tool, able to assess location, extent and activity grade of IBD.</w:t>
      </w:r>
    </w:p>
    <w:p w:rsidR="0003376C" w:rsidRDefault="0003376C" w:rsidP="00924331">
      <w:pPr>
        <w:spacing w:after="0" w:line="360" w:lineRule="auto"/>
        <w:jc w:val="both"/>
        <w:rPr>
          <w:rFonts w:ascii="Book Antiqua" w:eastAsiaTheme="minorEastAsia" w:hAnsi="Book Antiqua"/>
          <w:b/>
          <w:sz w:val="24"/>
          <w:lang w:val="en-US" w:eastAsia="zh-CN"/>
        </w:rPr>
      </w:pPr>
    </w:p>
    <w:p w:rsidR="0003376C" w:rsidRDefault="005739BD" w:rsidP="00924331">
      <w:pPr>
        <w:spacing w:after="0" w:line="360" w:lineRule="auto"/>
        <w:jc w:val="both"/>
        <w:rPr>
          <w:rFonts w:ascii="Book Antiqua" w:hAnsi="Book Antiqua"/>
          <w:b/>
          <w:bCs/>
          <w:sz w:val="24"/>
          <w:lang w:val="en-US"/>
        </w:rPr>
      </w:pPr>
      <w:r>
        <w:rPr>
          <w:rFonts w:ascii="Book Antiqua" w:hAnsi="Book Antiqua"/>
          <w:b/>
          <w:bCs/>
          <w:i/>
          <w:sz w:val="24"/>
          <w:lang w:val="en-US"/>
        </w:rPr>
        <w:t>Innovations and breakthroughs</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sz w:val="24"/>
          <w:lang w:val="en-US"/>
        </w:rPr>
        <w:t>The present Review is to date the most comprehensive, including all imaging modalities (</w:t>
      </w:r>
      <w:r>
        <w:rPr>
          <w:rFonts w:ascii="Book Antiqua" w:hAnsi="Book Antiqua"/>
          <w:i/>
          <w:sz w:val="24"/>
          <w:lang w:val="en-US"/>
        </w:rPr>
        <w:t>i.e.</w:t>
      </w:r>
      <w:r>
        <w:rPr>
          <w:rFonts w:ascii="Book Antiqua" w:eastAsiaTheme="minorEastAsia" w:hAnsi="Book Antiqua" w:hint="eastAsia"/>
          <w:i/>
          <w:sz w:val="24"/>
          <w:lang w:val="en-US" w:eastAsia="zh-CN"/>
        </w:rPr>
        <w:t>,</w:t>
      </w:r>
      <w:r>
        <w:rPr>
          <w:rFonts w:ascii="Book Antiqua" w:hAnsi="Book Antiqua"/>
          <w:sz w:val="24"/>
          <w:lang w:val="en-US"/>
        </w:rPr>
        <w:t xml:space="preserve"> SPECT, SPECT/CT, PET, PET/CT) and various radiopharmaceuticals. Moreover, interesting data about experimental procedures are provided.</w:t>
      </w:r>
    </w:p>
    <w:p w:rsidR="0003376C" w:rsidRDefault="0003376C" w:rsidP="00924331">
      <w:pPr>
        <w:spacing w:after="0" w:line="360" w:lineRule="auto"/>
        <w:jc w:val="both"/>
        <w:rPr>
          <w:rFonts w:ascii="Book Antiqua" w:eastAsiaTheme="minorEastAsia" w:hAnsi="Book Antiqua"/>
          <w:b/>
          <w:sz w:val="24"/>
          <w:highlight w:val="yellow"/>
          <w:lang w:val="en-US" w:eastAsia="zh-CN"/>
        </w:rPr>
      </w:pPr>
    </w:p>
    <w:p w:rsidR="0003376C" w:rsidRDefault="005739BD" w:rsidP="00924331">
      <w:pPr>
        <w:spacing w:after="0" w:line="360" w:lineRule="auto"/>
        <w:jc w:val="both"/>
        <w:rPr>
          <w:rFonts w:ascii="Book Antiqua" w:hAnsi="Book Antiqua"/>
          <w:b/>
          <w:bCs/>
          <w:sz w:val="24"/>
          <w:lang w:val="en-US"/>
        </w:rPr>
      </w:pPr>
      <w:r>
        <w:rPr>
          <w:rFonts w:ascii="Book Antiqua" w:hAnsi="Book Antiqua"/>
          <w:b/>
          <w:bCs/>
          <w:i/>
          <w:sz w:val="24"/>
          <w:lang w:val="en-US"/>
        </w:rPr>
        <w:t>Applications</w:t>
      </w:r>
    </w:p>
    <w:p w:rsidR="0003376C" w:rsidRDefault="005739BD" w:rsidP="00924331">
      <w:pPr>
        <w:spacing w:after="0" w:line="360" w:lineRule="auto"/>
        <w:jc w:val="both"/>
        <w:rPr>
          <w:rFonts w:ascii="Book Antiqua" w:eastAsiaTheme="minorEastAsia" w:hAnsi="Book Antiqua"/>
          <w:sz w:val="24"/>
          <w:lang w:val="en-US" w:eastAsia="zh-CN"/>
        </w:rPr>
      </w:pPr>
      <w:r>
        <w:rPr>
          <w:rFonts w:ascii="Book Antiqua" w:hAnsi="Book Antiqua"/>
          <w:sz w:val="24"/>
          <w:lang w:val="en-US"/>
        </w:rPr>
        <w:t>The present Review aims at becoming a useful guide for the Clinicians who may want to plan an effective diagnostic assessment in patients with IBD. Furthermore, the knowledge of the state-of-the-art of molecular imaging provides a useful tool able to monitor the effectiveness of the therapy.</w:t>
      </w:r>
    </w:p>
    <w:p w:rsidR="0003376C" w:rsidRDefault="0003376C" w:rsidP="00924331">
      <w:pPr>
        <w:spacing w:after="0" w:line="360" w:lineRule="auto"/>
        <w:jc w:val="both"/>
        <w:rPr>
          <w:rFonts w:ascii="Book Antiqua" w:eastAsiaTheme="minorEastAsia" w:hAnsi="Book Antiqua"/>
          <w:sz w:val="24"/>
          <w:lang w:val="en-US" w:eastAsia="zh-CN"/>
        </w:rPr>
      </w:pPr>
    </w:p>
    <w:p w:rsidR="0003376C" w:rsidRDefault="005739BD" w:rsidP="00924331">
      <w:pPr>
        <w:spacing w:after="0" w:line="360" w:lineRule="auto"/>
        <w:jc w:val="both"/>
        <w:rPr>
          <w:rFonts w:ascii="Book Antiqua" w:hAnsi="Book Antiqua" w:cs="Arial"/>
          <w:b/>
          <w:bCs/>
          <w:sz w:val="24"/>
          <w:lang w:val="en-US"/>
        </w:rPr>
      </w:pPr>
      <w:r>
        <w:rPr>
          <w:rFonts w:ascii="Book Antiqua" w:hAnsi="Book Antiqua" w:cs="Arial"/>
          <w:b/>
          <w:bCs/>
          <w:i/>
          <w:sz w:val="24"/>
          <w:lang w:val="en-US"/>
        </w:rPr>
        <w:t>Terminology</w:t>
      </w:r>
    </w:p>
    <w:p w:rsidR="0003376C" w:rsidRDefault="005739BD" w:rsidP="00B76486">
      <w:pPr>
        <w:spacing w:after="0" w:line="360" w:lineRule="auto"/>
        <w:jc w:val="both"/>
        <w:rPr>
          <w:rFonts w:ascii="Book Antiqua" w:hAnsi="Book Antiqua" w:cs="Arial"/>
          <w:sz w:val="24"/>
          <w:lang w:val="en-US"/>
        </w:rPr>
      </w:pPr>
      <w:r>
        <w:rPr>
          <w:rFonts w:ascii="Book Antiqua" w:hAnsi="Book Antiqua" w:cs="Arial"/>
          <w:sz w:val="24"/>
          <w:lang w:val="en-US"/>
        </w:rPr>
        <w:t>SPECT</w:t>
      </w:r>
      <w:r>
        <w:rPr>
          <w:rFonts w:ascii="Book Antiqua" w:eastAsiaTheme="minorEastAsia" w:hAnsi="Book Antiqua" w:cs="Arial" w:hint="eastAsia"/>
          <w:sz w:val="24"/>
          <w:lang w:val="en-US" w:eastAsia="zh-CN"/>
        </w:rPr>
        <w:t xml:space="preserve">: </w:t>
      </w:r>
      <w:r>
        <w:rPr>
          <w:rFonts w:ascii="Book Antiqua" w:hAnsi="Book Antiqua" w:cs="Arial"/>
          <w:sz w:val="24"/>
          <w:lang w:val="en-US"/>
        </w:rPr>
        <w:t>single photon emission tomography. This technique is based on the administration of gamma-emitting radiopharmaceuticals, following the normal metabolic pathways. The uptake is detected by means of gamma-cameras, able to localize possible foci of increased uptakes, consistent with inflammation and/or infection.</w:t>
      </w:r>
      <w:r w:rsidR="00B76486">
        <w:rPr>
          <w:rFonts w:ascii="Book Antiqua" w:eastAsiaTheme="minorEastAsia" w:hAnsi="Book Antiqua" w:cs="Arial" w:hint="eastAsia"/>
          <w:sz w:val="24"/>
          <w:lang w:val="en-US" w:eastAsia="zh-CN"/>
        </w:rPr>
        <w:t xml:space="preserve"> </w:t>
      </w:r>
      <w:r>
        <w:rPr>
          <w:rFonts w:ascii="Book Antiqua" w:hAnsi="Book Antiqua" w:cs="Arial"/>
          <w:sz w:val="24"/>
          <w:lang w:val="en-US"/>
        </w:rPr>
        <w:t>PET</w:t>
      </w:r>
      <w:r>
        <w:rPr>
          <w:rFonts w:ascii="Book Antiqua" w:eastAsiaTheme="minorEastAsia" w:hAnsi="Book Antiqua" w:cs="Arial" w:hint="eastAsia"/>
          <w:sz w:val="24"/>
          <w:lang w:val="en-US" w:eastAsia="zh-CN"/>
        </w:rPr>
        <w:t xml:space="preserve">: </w:t>
      </w:r>
      <w:r>
        <w:rPr>
          <w:rFonts w:ascii="Book Antiqua" w:hAnsi="Book Antiqua" w:cs="Arial"/>
          <w:sz w:val="24"/>
          <w:lang w:val="en-US"/>
        </w:rPr>
        <w:t>positron emission tomography. This technique is based on the administration of positron emitting radiopharmaceuticals, also following the normal metabolic pathways. The uptake is detected by means of PET scanners, whose spatial and temporal resolution is significantly higher than those of SPECT cameras.</w:t>
      </w:r>
    </w:p>
    <w:p w:rsidR="0003376C" w:rsidRDefault="0003376C" w:rsidP="00924331">
      <w:pPr>
        <w:spacing w:after="0" w:line="360" w:lineRule="auto"/>
        <w:jc w:val="both"/>
        <w:rPr>
          <w:rFonts w:ascii="Book Antiqua" w:hAnsi="Book Antiqua" w:cs="Arial"/>
          <w:sz w:val="24"/>
          <w:lang w:val="en-US"/>
        </w:rPr>
      </w:pPr>
    </w:p>
    <w:bookmarkEnd w:id="35"/>
    <w:bookmarkEnd w:id="36"/>
    <w:p w:rsidR="0003376C" w:rsidRPr="00924331" w:rsidRDefault="00924331" w:rsidP="00924331">
      <w:pPr>
        <w:spacing w:after="0" w:line="360" w:lineRule="auto"/>
        <w:jc w:val="both"/>
        <w:rPr>
          <w:rFonts w:ascii="Book Antiqua" w:eastAsiaTheme="minorEastAsia" w:hAnsi="Book Antiqua" w:cs="Arial"/>
          <w:b/>
          <w:i/>
          <w:sz w:val="24"/>
          <w:szCs w:val="24"/>
          <w:lang w:val="pt-PT" w:eastAsia="zh-CN"/>
        </w:rPr>
      </w:pPr>
      <w:r w:rsidRPr="00924331">
        <w:rPr>
          <w:rFonts w:ascii="Book Antiqua" w:eastAsiaTheme="minorEastAsia" w:hAnsi="Book Antiqua" w:cs="Arial"/>
          <w:b/>
          <w:i/>
          <w:sz w:val="24"/>
          <w:szCs w:val="24"/>
          <w:lang w:val="pt-PT" w:eastAsia="zh-CN"/>
        </w:rPr>
        <w:t>P</w:t>
      </w:r>
      <w:r w:rsidRPr="00924331">
        <w:rPr>
          <w:rFonts w:ascii="Book Antiqua" w:eastAsiaTheme="minorEastAsia" w:hAnsi="Book Antiqua" w:cs="Arial" w:hint="eastAsia"/>
          <w:b/>
          <w:i/>
          <w:sz w:val="24"/>
          <w:szCs w:val="24"/>
          <w:lang w:val="pt-PT" w:eastAsia="zh-CN"/>
        </w:rPr>
        <w:t>eer-review</w:t>
      </w:r>
    </w:p>
    <w:p w:rsidR="00B76486" w:rsidRDefault="00B76486" w:rsidP="00B76486">
      <w:pPr>
        <w:spacing w:after="0" w:line="360" w:lineRule="auto"/>
        <w:jc w:val="both"/>
        <w:rPr>
          <w:rFonts w:ascii="Book Antiqua" w:eastAsiaTheme="minorEastAsia" w:hAnsi="Book Antiqua" w:cs="Arial"/>
          <w:sz w:val="24"/>
          <w:szCs w:val="24"/>
          <w:lang w:val="pt-PT" w:eastAsia="zh-CN"/>
        </w:rPr>
      </w:pPr>
      <w:r w:rsidRPr="00B76486">
        <w:rPr>
          <w:rFonts w:ascii="Book Antiqua" w:eastAsiaTheme="minorEastAsia" w:hAnsi="Book Antiqua" w:cs="Arial"/>
          <w:sz w:val="24"/>
          <w:szCs w:val="24"/>
          <w:lang w:val="pt-PT" w:eastAsia="zh-CN"/>
        </w:rPr>
        <w:lastRenderedPageBreak/>
        <w:t>This is an extensive review on nuclear medicine investigations in IBD, for diagnosis and follow-up. The authors nicely reported also in tables the large existing literature.</w:t>
      </w:r>
    </w:p>
    <w:p w:rsidR="00B76486" w:rsidRDefault="00B76486" w:rsidP="00924331">
      <w:pPr>
        <w:autoSpaceDE w:val="0"/>
        <w:autoSpaceDN w:val="0"/>
        <w:adjustRightInd w:val="0"/>
        <w:snapToGrid w:val="0"/>
        <w:spacing w:after="0" w:line="360" w:lineRule="auto"/>
        <w:jc w:val="both"/>
        <w:rPr>
          <w:rFonts w:ascii="Book Antiqua" w:eastAsiaTheme="minorEastAsia" w:hAnsi="Book Antiqua" w:cs="Arial"/>
          <w:b/>
          <w:sz w:val="24"/>
          <w:szCs w:val="24"/>
          <w:lang w:val="pt-PT" w:eastAsia="zh-CN"/>
        </w:rPr>
      </w:pPr>
      <w:bookmarkStart w:id="37" w:name="OLE_LINK346"/>
      <w:bookmarkStart w:id="38" w:name="OLE_LINK347"/>
    </w:p>
    <w:p w:rsidR="00B76486" w:rsidRDefault="00B76486">
      <w:pPr>
        <w:rPr>
          <w:rFonts w:ascii="Book Antiqua" w:eastAsiaTheme="minorEastAsia" w:hAnsi="Book Antiqua" w:cs="Arial"/>
          <w:b/>
          <w:sz w:val="24"/>
          <w:szCs w:val="24"/>
          <w:lang w:val="pt-PT" w:eastAsia="zh-CN"/>
        </w:rPr>
      </w:pPr>
      <w:r>
        <w:rPr>
          <w:rFonts w:ascii="Book Antiqua" w:eastAsiaTheme="minorEastAsia" w:hAnsi="Book Antiqua" w:cs="Arial"/>
          <w:b/>
          <w:sz w:val="24"/>
          <w:szCs w:val="24"/>
          <w:lang w:val="pt-PT" w:eastAsia="zh-CN"/>
        </w:rPr>
        <w:br w:type="page"/>
      </w:r>
    </w:p>
    <w:p w:rsidR="0003376C" w:rsidRDefault="005739BD" w:rsidP="00924331">
      <w:pPr>
        <w:autoSpaceDE w:val="0"/>
        <w:autoSpaceDN w:val="0"/>
        <w:adjustRightInd w:val="0"/>
        <w:snapToGrid w:val="0"/>
        <w:spacing w:after="0" w:line="360" w:lineRule="auto"/>
        <w:jc w:val="both"/>
        <w:rPr>
          <w:rFonts w:ascii="Book Antiqua" w:hAnsi="Book Antiqua" w:cs="Arial"/>
          <w:sz w:val="24"/>
          <w:szCs w:val="24"/>
          <w:lang w:val="en-US"/>
        </w:rPr>
      </w:pPr>
      <w:r>
        <w:rPr>
          <w:rFonts w:ascii="Book Antiqua" w:hAnsi="Book Antiqua" w:cs="Arial"/>
          <w:b/>
          <w:sz w:val="24"/>
          <w:lang w:val="pt-PT"/>
        </w:rPr>
        <w:lastRenderedPageBreak/>
        <w:t>REFERENCES</w:t>
      </w:r>
      <w:bookmarkEnd w:id="37"/>
      <w:bookmarkEnd w:id="38"/>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1 </w:t>
      </w:r>
      <w:r>
        <w:rPr>
          <w:rFonts w:ascii="Book Antiqua" w:eastAsia="宋体" w:hAnsi="Book Antiqua" w:cs="宋体"/>
          <w:b/>
          <w:bCs/>
          <w:sz w:val="24"/>
          <w:szCs w:val="24"/>
          <w:lang w:val="en-US"/>
        </w:rPr>
        <w:t>Das CJ</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Makharia</w:t>
      </w:r>
      <w:proofErr w:type="spellEnd"/>
      <w:r>
        <w:rPr>
          <w:rFonts w:ascii="Book Antiqua" w:eastAsia="宋体" w:hAnsi="Book Antiqua" w:cs="宋体"/>
          <w:sz w:val="24"/>
          <w:szCs w:val="24"/>
          <w:lang w:val="en-US"/>
        </w:rPr>
        <w:t xml:space="preserve"> GK, Kumar R, Kumar R, Tiwari RP, Sharma R, Malhotra A. PET/CT </w:t>
      </w:r>
      <w:proofErr w:type="spellStart"/>
      <w:r>
        <w:rPr>
          <w:rFonts w:ascii="Book Antiqua" w:eastAsia="宋体" w:hAnsi="Book Antiqua" w:cs="宋体"/>
          <w:sz w:val="24"/>
          <w:szCs w:val="24"/>
          <w:lang w:val="en-US"/>
        </w:rPr>
        <w:t>colonography</w:t>
      </w:r>
      <w:proofErr w:type="spellEnd"/>
      <w:r>
        <w:rPr>
          <w:rFonts w:ascii="Book Antiqua" w:eastAsia="宋体" w:hAnsi="Book Antiqua" w:cs="宋体"/>
          <w:sz w:val="24"/>
          <w:szCs w:val="24"/>
          <w:lang w:val="en-US"/>
        </w:rPr>
        <w:t>: a novel non-invasive technique for assessment of extent and activity of ulcerative colitis.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2010; </w:t>
      </w:r>
      <w:r>
        <w:rPr>
          <w:rFonts w:ascii="Book Antiqua" w:eastAsia="宋体" w:hAnsi="Book Antiqua" w:cs="宋体"/>
          <w:b/>
          <w:bCs/>
          <w:sz w:val="24"/>
          <w:szCs w:val="24"/>
          <w:lang w:val="en-US"/>
        </w:rPr>
        <w:t>37</w:t>
      </w:r>
      <w:r>
        <w:rPr>
          <w:rFonts w:ascii="Book Antiqua" w:eastAsia="宋体" w:hAnsi="Book Antiqua" w:cs="宋体"/>
          <w:sz w:val="24"/>
          <w:szCs w:val="24"/>
          <w:lang w:val="en-US"/>
        </w:rPr>
        <w:t>: 714-721 [PMID: 20033154 DOI: 10.1007/s00259-009-1335-2]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2 </w:t>
      </w:r>
      <w:proofErr w:type="spellStart"/>
      <w:r>
        <w:rPr>
          <w:rFonts w:ascii="Book Antiqua" w:eastAsia="宋体" w:hAnsi="Book Antiqua" w:cs="宋体"/>
          <w:b/>
          <w:bCs/>
          <w:sz w:val="24"/>
          <w:szCs w:val="24"/>
          <w:lang w:val="en-US"/>
        </w:rPr>
        <w:t>Holtmann</w:t>
      </w:r>
      <w:proofErr w:type="spellEnd"/>
      <w:r>
        <w:rPr>
          <w:rFonts w:ascii="Book Antiqua" w:eastAsia="宋体" w:hAnsi="Book Antiqua" w:cs="宋体"/>
          <w:b/>
          <w:bCs/>
          <w:sz w:val="24"/>
          <w:szCs w:val="24"/>
          <w:lang w:val="en-US"/>
        </w:rPr>
        <w:t xml:space="preserve"> MH</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Uenzen</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Helisch</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Dahmen</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Mudter</w:t>
      </w:r>
      <w:proofErr w:type="spellEnd"/>
      <w:r>
        <w:rPr>
          <w:rFonts w:ascii="Book Antiqua" w:eastAsia="宋体" w:hAnsi="Book Antiqua" w:cs="宋体"/>
          <w:sz w:val="24"/>
          <w:szCs w:val="24"/>
          <w:lang w:val="en-US"/>
        </w:rPr>
        <w:t xml:space="preserve"> J, Goetz M, </w:t>
      </w:r>
      <w:proofErr w:type="spellStart"/>
      <w:r>
        <w:rPr>
          <w:rFonts w:ascii="Book Antiqua" w:eastAsia="宋体" w:hAnsi="Book Antiqua" w:cs="宋体"/>
          <w:sz w:val="24"/>
          <w:szCs w:val="24"/>
          <w:lang w:val="en-US"/>
        </w:rPr>
        <w:t>Schreckenberger</w:t>
      </w:r>
      <w:proofErr w:type="spellEnd"/>
      <w:r>
        <w:rPr>
          <w:rFonts w:ascii="Book Antiqua" w:eastAsia="宋体" w:hAnsi="Book Antiqua" w:cs="宋体"/>
          <w:sz w:val="24"/>
          <w:szCs w:val="24"/>
          <w:lang w:val="en-US"/>
        </w:rPr>
        <w:t xml:space="preserve"> M, Galle PR, </w:t>
      </w:r>
      <w:proofErr w:type="spellStart"/>
      <w:r>
        <w:rPr>
          <w:rFonts w:ascii="Book Antiqua" w:eastAsia="宋体" w:hAnsi="Book Antiqua" w:cs="宋体"/>
          <w:sz w:val="24"/>
          <w:szCs w:val="24"/>
          <w:lang w:val="en-US"/>
        </w:rPr>
        <w:t>Bartenstein</w:t>
      </w:r>
      <w:proofErr w:type="spellEnd"/>
      <w:r>
        <w:rPr>
          <w:rFonts w:ascii="Book Antiqua" w:eastAsia="宋体" w:hAnsi="Book Antiqua" w:cs="宋体"/>
          <w:sz w:val="24"/>
          <w:szCs w:val="24"/>
          <w:lang w:val="en-US"/>
        </w:rPr>
        <w:t xml:space="preserve"> P, </w:t>
      </w:r>
      <w:proofErr w:type="spellStart"/>
      <w:r>
        <w:rPr>
          <w:rFonts w:ascii="Book Antiqua" w:eastAsia="宋体" w:hAnsi="Book Antiqua" w:cs="宋体"/>
          <w:sz w:val="24"/>
          <w:szCs w:val="24"/>
          <w:lang w:val="en-US"/>
        </w:rPr>
        <w:t>Neurath</w:t>
      </w:r>
      <w:proofErr w:type="spellEnd"/>
      <w:r>
        <w:rPr>
          <w:rFonts w:ascii="Book Antiqua" w:eastAsia="宋体" w:hAnsi="Book Antiqua" w:cs="宋体"/>
          <w:sz w:val="24"/>
          <w:szCs w:val="24"/>
          <w:lang w:val="en-US"/>
        </w:rPr>
        <w:t xml:space="preserve"> MF. 18F-Fluorodeoxyglucose positron-emission tomography (PET) can be used to assess inflammation non-invasively in Crohn's disease. </w:t>
      </w:r>
      <w:r>
        <w:rPr>
          <w:rFonts w:ascii="Book Antiqua" w:eastAsia="宋体" w:hAnsi="Book Antiqua" w:cs="宋体"/>
          <w:i/>
          <w:iCs/>
          <w:sz w:val="24"/>
          <w:szCs w:val="24"/>
          <w:lang w:val="en-US"/>
        </w:rPr>
        <w:t xml:space="preserve">Dig Dis </w:t>
      </w:r>
      <w:proofErr w:type="spellStart"/>
      <w:r>
        <w:rPr>
          <w:rFonts w:ascii="Book Antiqua" w:eastAsia="宋体" w:hAnsi="Book Antiqua" w:cs="宋体"/>
          <w:i/>
          <w:iCs/>
          <w:sz w:val="24"/>
          <w:szCs w:val="24"/>
          <w:lang w:val="en-US"/>
        </w:rPr>
        <w:t>Sci</w:t>
      </w:r>
      <w:proofErr w:type="spellEnd"/>
      <w:r>
        <w:rPr>
          <w:rFonts w:ascii="Book Antiqua" w:eastAsia="宋体" w:hAnsi="Book Antiqua" w:cs="宋体"/>
          <w:sz w:val="24"/>
          <w:szCs w:val="24"/>
          <w:lang w:val="en-US"/>
        </w:rPr>
        <w:t> 2012; </w:t>
      </w:r>
      <w:r>
        <w:rPr>
          <w:rFonts w:ascii="Book Antiqua" w:eastAsia="宋体" w:hAnsi="Book Antiqua" w:cs="宋体"/>
          <w:b/>
          <w:bCs/>
          <w:sz w:val="24"/>
          <w:szCs w:val="24"/>
          <w:lang w:val="en-US"/>
        </w:rPr>
        <w:t>57</w:t>
      </w:r>
      <w:r>
        <w:rPr>
          <w:rFonts w:ascii="Book Antiqua" w:eastAsia="宋体" w:hAnsi="Book Antiqua" w:cs="宋体"/>
          <w:sz w:val="24"/>
          <w:szCs w:val="24"/>
          <w:lang w:val="en-US"/>
        </w:rPr>
        <w:t>: 2658-2668 [PMID: 22569824 DOI: 10.1007/s10620-012-2190-8]</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3 </w:t>
      </w:r>
      <w:r>
        <w:rPr>
          <w:rFonts w:ascii="Book Antiqua" w:eastAsia="宋体" w:hAnsi="Book Antiqua" w:cs="宋体"/>
          <w:b/>
          <w:bCs/>
          <w:sz w:val="24"/>
          <w:szCs w:val="24"/>
          <w:lang w:val="en-US"/>
        </w:rPr>
        <w:t>Zhang J</w:t>
      </w:r>
      <w:r>
        <w:rPr>
          <w:rFonts w:ascii="Book Antiqua" w:eastAsia="宋体" w:hAnsi="Book Antiqua" w:cs="宋体"/>
          <w:sz w:val="24"/>
          <w:szCs w:val="24"/>
          <w:lang w:val="en-US"/>
        </w:rPr>
        <w:t xml:space="preserve">, Li LF, Zhu YJ, </w:t>
      </w:r>
      <w:proofErr w:type="spellStart"/>
      <w:r>
        <w:rPr>
          <w:rFonts w:ascii="Book Antiqua" w:eastAsia="宋体" w:hAnsi="Book Antiqua" w:cs="宋体"/>
          <w:sz w:val="24"/>
          <w:szCs w:val="24"/>
          <w:lang w:val="en-US"/>
        </w:rPr>
        <w:t>Qiu</w:t>
      </w:r>
      <w:proofErr w:type="spellEnd"/>
      <w:r>
        <w:rPr>
          <w:rFonts w:ascii="Book Antiqua" w:eastAsia="宋体" w:hAnsi="Book Antiqua" w:cs="宋体"/>
          <w:sz w:val="24"/>
          <w:szCs w:val="24"/>
          <w:lang w:val="en-US"/>
        </w:rPr>
        <w:t xml:space="preserve"> H, Xu Q, Yang J, </w:t>
      </w:r>
      <w:proofErr w:type="spellStart"/>
      <w:r>
        <w:rPr>
          <w:rFonts w:ascii="Book Antiqua" w:eastAsia="宋体" w:hAnsi="Book Antiqua" w:cs="宋体"/>
          <w:sz w:val="24"/>
          <w:szCs w:val="24"/>
          <w:lang w:val="en-US"/>
        </w:rPr>
        <w:t>Weng</w:t>
      </w:r>
      <w:proofErr w:type="spellEnd"/>
      <w:r>
        <w:rPr>
          <w:rFonts w:ascii="Book Antiqua" w:eastAsia="宋体" w:hAnsi="Book Antiqua" w:cs="宋体"/>
          <w:sz w:val="24"/>
          <w:szCs w:val="24"/>
          <w:lang w:val="en-US"/>
        </w:rPr>
        <w:t xml:space="preserve"> WW, Liu NH. Diagnostic performance of 18F-FDG-PET versus scintigraphy in patients with inflammatory bowel disease: a meta-analysis of prospective literature.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Commun</w:t>
      </w:r>
      <w:proofErr w:type="spellEnd"/>
      <w:r>
        <w:rPr>
          <w:rFonts w:ascii="Book Antiqua" w:eastAsia="宋体" w:hAnsi="Book Antiqua" w:cs="宋体"/>
          <w:sz w:val="24"/>
          <w:szCs w:val="24"/>
          <w:lang w:val="en-US"/>
        </w:rPr>
        <w:t> 2014; </w:t>
      </w:r>
      <w:r>
        <w:rPr>
          <w:rFonts w:ascii="Book Antiqua" w:eastAsia="宋体" w:hAnsi="Book Antiqua" w:cs="宋体"/>
          <w:b/>
          <w:bCs/>
          <w:sz w:val="24"/>
          <w:szCs w:val="24"/>
          <w:lang w:val="en-US"/>
        </w:rPr>
        <w:t>35</w:t>
      </w:r>
      <w:r>
        <w:rPr>
          <w:rFonts w:ascii="Book Antiqua" w:eastAsia="宋体" w:hAnsi="Book Antiqua" w:cs="宋体"/>
          <w:sz w:val="24"/>
          <w:szCs w:val="24"/>
          <w:lang w:val="en-US"/>
        </w:rPr>
        <w:t>: 1233-1246 [PMID: 25192191 DOI: 10.1097/MNM.0000000000000202]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4 </w:t>
      </w:r>
      <w:proofErr w:type="spellStart"/>
      <w:r>
        <w:rPr>
          <w:rFonts w:ascii="Book Antiqua" w:eastAsia="宋体" w:hAnsi="Book Antiqua" w:cs="宋体"/>
          <w:b/>
          <w:bCs/>
          <w:sz w:val="24"/>
          <w:szCs w:val="24"/>
          <w:lang w:val="en-US"/>
        </w:rPr>
        <w:t>Lenze</w:t>
      </w:r>
      <w:proofErr w:type="spellEnd"/>
      <w:r>
        <w:rPr>
          <w:rFonts w:ascii="Book Antiqua" w:eastAsia="宋体" w:hAnsi="Book Antiqua" w:cs="宋体"/>
          <w:b/>
          <w:bCs/>
          <w:sz w:val="24"/>
          <w:szCs w:val="24"/>
          <w:lang w:val="en-US"/>
        </w:rPr>
        <w:t xml:space="preserve"> F</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Wessling</w:t>
      </w:r>
      <w:proofErr w:type="spellEnd"/>
      <w:r>
        <w:rPr>
          <w:rFonts w:ascii="Book Antiqua" w:eastAsia="宋体" w:hAnsi="Book Antiqua" w:cs="宋体"/>
          <w:sz w:val="24"/>
          <w:szCs w:val="24"/>
          <w:lang w:val="en-US"/>
        </w:rPr>
        <w:t xml:space="preserve"> J, Bremer J, </w:t>
      </w:r>
      <w:proofErr w:type="spellStart"/>
      <w:r>
        <w:rPr>
          <w:rFonts w:ascii="Book Antiqua" w:eastAsia="宋体" w:hAnsi="Book Antiqua" w:cs="宋体"/>
          <w:sz w:val="24"/>
          <w:szCs w:val="24"/>
          <w:lang w:val="en-US"/>
        </w:rPr>
        <w:t>Ullerich</w:t>
      </w:r>
      <w:proofErr w:type="spellEnd"/>
      <w:r>
        <w:rPr>
          <w:rFonts w:ascii="Book Antiqua" w:eastAsia="宋体" w:hAnsi="Book Antiqua" w:cs="宋体"/>
          <w:sz w:val="24"/>
          <w:szCs w:val="24"/>
          <w:lang w:val="en-US"/>
        </w:rPr>
        <w:t xml:space="preserve"> H, </w:t>
      </w:r>
      <w:proofErr w:type="spellStart"/>
      <w:r>
        <w:rPr>
          <w:rFonts w:ascii="Book Antiqua" w:eastAsia="宋体" w:hAnsi="Book Antiqua" w:cs="宋体"/>
          <w:sz w:val="24"/>
          <w:szCs w:val="24"/>
          <w:lang w:val="en-US"/>
        </w:rPr>
        <w:t>Spieker</w:t>
      </w:r>
      <w:proofErr w:type="spellEnd"/>
      <w:r>
        <w:rPr>
          <w:rFonts w:ascii="Book Antiqua" w:eastAsia="宋体" w:hAnsi="Book Antiqua" w:cs="宋体"/>
          <w:sz w:val="24"/>
          <w:szCs w:val="24"/>
          <w:lang w:val="en-US"/>
        </w:rPr>
        <w:t xml:space="preserve"> T, </w:t>
      </w:r>
      <w:proofErr w:type="spellStart"/>
      <w:r>
        <w:rPr>
          <w:rFonts w:ascii="Book Antiqua" w:eastAsia="宋体" w:hAnsi="Book Antiqua" w:cs="宋体"/>
          <w:sz w:val="24"/>
          <w:szCs w:val="24"/>
          <w:lang w:val="en-US"/>
        </w:rPr>
        <w:t>Weckesser</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Gonschorrek</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Kannengiesser</w:t>
      </w:r>
      <w:proofErr w:type="spellEnd"/>
      <w:r>
        <w:rPr>
          <w:rFonts w:ascii="Book Antiqua" w:eastAsia="宋体" w:hAnsi="Book Antiqua" w:cs="宋体"/>
          <w:sz w:val="24"/>
          <w:szCs w:val="24"/>
          <w:lang w:val="en-US"/>
        </w:rPr>
        <w:t xml:space="preserve"> K, </w:t>
      </w:r>
      <w:proofErr w:type="spellStart"/>
      <w:r>
        <w:rPr>
          <w:rFonts w:ascii="Book Antiqua" w:eastAsia="宋体" w:hAnsi="Book Antiqua" w:cs="宋体"/>
          <w:sz w:val="24"/>
          <w:szCs w:val="24"/>
          <w:lang w:val="en-US"/>
        </w:rPr>
        <w:t>Rijcken</w:t>
      </w:r>
      <w:proofErr w:type="spellEnd"/>
      <w:r>
        <w:rPr>
          <w:rFonts w:ascii="Book Antiqua" w:eastAsia="宋体" w:hAnsi="Book Antiqua" w:cs="宋体"/>
          <w:sz w:val="24"/>
          <w:szCs w:val="24"/>
          <w:lang w:val="en-US"/>
        </w:rPr>
        <w:t xml:space="preserve"> E, </w:t>
      </w:r>
      <w:proofErr w:type="spellStart"/>
      <w:r>
        <w:rPr>
          <w:rFonts w:ascii="Book Antiqua" w:eastAsia="宋体" w:hAnsi="Book Antiqua" w:cs="宋体"/>
          <w:sz w:val="24"/>
          <w:szCs w:val="24"/>
          <w:lang w:val="en-US"/>
        </w:rPr>
        <w:t>Heidemann</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Luegering</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Schober</w:t>
      </w:r>
      <w:proofErr w:type="spellEnd"/>
      <w:r>
        <w:rPr>
          <w:rFonts w:ascii="Book Antiqua" w:eastAsia="宋体" w:hAnsi="Book Antiqua" w:cs="宋体"/>
          <w:sz w:val="24"/>
          <w:szCs w:val="24"/>
          <w:lang w:val="en-US"/>
        </w:rPr>
        <w:t xml:space="preserve"> O, </w:t>
      </w:r>
      <w:proofErr w:type="spellStart"/>
      <w:r>
        <w:rPr>
          <w:rFonts w:ascii="Book Antiqua" w:eastAsia="宋体" w:hAnsi="Book Antiqua" w:cs="宋体"/>
          <w:sz w:val="24"/>
          <w:szCs w:val="24"/>
          <w:lang w:val="en-US"/>
        </w:rPr>
        <w:t>Domschke</w:t>
      </w:r>
      <w:proofErr w:type="spellEnd"/>
      <w:r>
        <w:rPr>
          <w:rFonts w:ascii="Book Antiqua" w:eastAsia="宋体" w:hAnsi="Book Antiqua" w:cs="宋体"/>
          <w:sz w:val="24"/>
          <w:szCs w:val="24"/>
          <w:lang w:val="en-US"/>
        </w:rPr>
        <w:t xml:space="preserve"> W, </w:t>
      </w:r>
      <w:proofErr w:type="spellStart"/>
      <w:r>
        <w:rPr>
          <w:rFonts w:ascii="Book Antiqua" w:eastAsia="宋体" w:hAnsi="Book Antiqua" w:cs="宋体"/>
          <w:sz w:val="24"/>
          <w:szCs w:val="24"/>
          <w:lang w:val="en-US"/>
        </w:rPr>
        <w:t>Kucharzik</w:t>
      </w:r>
      <w:proofErr w:type="spellEnd"/>
      <w:r>
        <w:rPr>
          <w:rFonts w:ascii="Book Antiqua" w:eastAsia="宋体" w:hAnsi="Book Antiqua" w:cs="宋体"/>
          <w:sz w:val="24"/>
          <w:szCs w:val="24"/>
          <w:lang w:val="en-US"/>
        </w:rPr>
        <w:t xml:space="preserve"> T, </w:t>
      </w:r>
      <w:proofErr w:type="spellStart"/>
      <w:r>
        <w:rPr>
          <w:rFonts w:ascii="Book Antiqua" w:eastAsia="宋体" w:hAnsi="Book Antiqua" w:cs="宋体"/>
          <w:sz w:val="24"/>
          <w:szCs w:val="24"/>
          <w:lang w:val="en-US"/>
        </w:rPr>
        <w:t>Maaser</w:t>
      </w:r>
      <w:proofErr w:type="spellEnd"/>
      <w:r>
        <w:rPr>
          <w:rFonts w:ascii="Book Antiqua" w:eastAsia="宋体" w:hAnsi="Book Antiqua" w:cs="宋体"/>
          <w:sz w:val="24"/>
          <w:szCs w:val="24"/>
          <w:lang w:val="en-US"/>
        </w:rPr>
        <w:t xml:space="preserve"> C. Detection and differentiation of inflammatory versus fibromatous Crohn's disease strictures: prospective comparison of 18F-FDG-PET/CT, MR-</w:t>
      </w:r>
      <w:proofErr w:type="spellStart"/>
      <w:r>
        <w:rPr>
          <w:rFonts w:ascii="Book Antiqua" w:eastAsia="宋体" w:hAnsi="Book Antiqua" w:cs="宋体"/>
          <w:sz w:val="24"/>
          <w:szCs w:val="24"/>
          <w:lang w:val="en-US"/>
        </w:rPr>
        <w:t>enteroclysis</w:t>
      </w:r>
      <w:proofErr w:type="spellEnd"/>
      <w:r>
        <w:rPr>
          <w:rFonts w:ascii="Book Antiqua" w:eastAsia="宋体" w:hAnsi="Book Antiqua" w:cs="宋体"/>
          <w:sz w:val="24"/>
          <w:szCs w:val="24"/>
          <w:lang w:val="en-US"/>
        </w:rPr>
        <w:t>, and transabdominal ultrasound versus endoscopic/histologic evaluation.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2012; </w:t>
      </w:r>
      <w:r>
        <w:rPr>
          <w:rFonts w:ascii="Book Antiqua" w:eastAsia="宋体" w:hAnsi="Book Antiqua" w:cs="宋体"/>
          <w:b/>
          <w:bCs/>
          <w:sz w:val="24"/>
          <w:szCs w:val="24"/>
          <w:lang w:val="en-US"/>
        </w:rPr>
        <w:t>18</w:t>
      </w:r>
      <w:r>
        <w:rPr>
          <w:rFonts w:ascii="Book Antiqua" w:eastAsia="宋体" w:hAnsi="Book Antiqua" w:cs="宋体"/>
          <w:sz w:val="24"/>
          <w:szCs w:val="24"/>
          <w:lang w:val="en-US"/>
        </w:rPr>
        <w:t>: 2252-2260 [PMID: 22359277 DOI: 10.1002/ibd.22930]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5 </w:t>
      </w:r>
      <w:r>
        <w:rPr>
          <w:rFonts w:ascii="Book Antiqua" w:eastAsia="宋体" w:hAnsi="Book Antiqua" w:cs="宋体"/>
          <w:b/>
          <w:bCs/>
          <w:sz w:val="24"/>
          <w:szCs w:val="24"/>
          <w:lang w:val="en-US"/>
        </w:rPr>
        <w:t>Catalano OA</w:t>
      </w:r>
      <w:r>
        <w:rPr>
          <w:rFonts w:ascii="Book Antiqua" w:eastAsia="宋体" w:hAnsi="Book Antiqua" w:cs="宋体"/>
          <w:sz w:val="24"/>
          <w:szCs w:val="24"/>
          <w:lang w:val="en-US"/>
        </w:rPr>
        <w:t xml:space="preserve">, Gee MS, Nicolai E, </w:t>
      </w:r>
      <w:proofErr w:type="spellStart"/>
      <w:r>
        <w:rPr>
          <w:rFonts w:ascii="Book Antiqua" w:eastAsia="宋体" w:hAnsi="Book Antiqua" w:cs="宋体"/>
          <w:sz w:val="24"/>
          <w:szCs w:val="24"/>
          <w:lang w:val="en-US"/>
        </w:rPr>
        <w:t>Selvaggi</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Pellino</w:t>
      </w:r>
      <w:proofErr w:type="spellEnd"/>
      <w:r>
        <w:rPr>
          <w:rFonts w:ascii="Book Antiqua" w:eastAsia="宋体" w:hAnsi="Book Antiqua" w:cs="宋体"/>
          <w:sz w:val="24"/>
          <w:szCs w:val="24"/>
          <w:lang w:val="en-US"/>
        </w:rPr>
        <w:t xml:space="preserve"> G, </w:t>
      </w:r>
      <w:proofErr w:type="spellStart"/>
      <w:r>
        <w:rPr>
          <w:rFonts w:ascii="Book Antiqua" w:eastAsia="宋体" w:hAnsi="Book Antiqua" w:cs="宋体"/>
          <w:sz w:val="24"/>
          <w:szCs w:val="24"/>
          <w:lang w:val="en-US"/>
        </w:rPr>
        <w:t>Cuocolo</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Luongo</w:t>
      </w:r>
      <w:proofErr w:type="spellEnd"/>
      <w:r>
        <w:rPr>
          <w:rFonts w:ascii="Book Antiqua" w:eastAsia="宋体" w:hAnsi="Book Antiqua" w:cs="宋体"/>
          <w:sz w:val="24"/>
          <w:szCs w:val="24"/>
          <w:lang w:val="en-US"/>
        </w:rPr>
        <w:t xml:space="preserve"> A, Catalano M, Rosen BR, Gervais D, </w:t>
      </w:r>
      <w:proofErr w:type="spellStart"/>
      <w:r>
        <w:rPr>
          <w:rFonts w:ascii="Book Antiqua" w:eastAsia="宋体" w:hAnsi="Book Antiqua" w:cs="宋体"/>
          <w:sz w:val="24"/>
          <w:szCs w:val="24"/>
          <w:lang w:val="en-US"/>
        </w:rPr>
        <w:t>Vangel</w:t>
      </w:r>
      <w:proofErr w:type="spellEnd"/>
      <w:r>
        <w:rPr>
          <w:rFonts w:ascii="Book Antiqua" w:eastAsia="宋体" w:hAnsi="Book Antiqua" w:cs="宋体"/>
          <w:sz w:val="24"/>
          <w:szCs w:val="24"/>
          <w:lang w:val="en-US"/>
        </w:rPr>
        <w:t xml:space="preserve"> MG, </w:t>
      </w:r>
      <w:proofErr w:type="spellStart"/>
      <w:r>
        <w:rPr>
          <w:rFonts w:ascii="Book Antiqua" w:eastAsia="宋体" w:hAnsi="Book Antiqua" w:cs="宋体"/>
          <w:sz w:val="24"/>
          <w:szCs w:val="24"/>
          <w:lang w:val="en-US"/>
        </w:rPr>
        <w:t>Soricelli</w:t>
      </w:r>
      <w:proofErr w:type="spellEnd"/>
      <w:r>
        <w:rPr>
          <w:rFonts w:ascii="Book Antiqua" w:eastAsia="宋体" w:hAnsi="Book Antiqua" w:cs="宋体"/>
          <w:sz w:val="24"/>
          <w:szCs w:val="24"/>
          <w:lang w:val="en-US"/>
        </w:rPr>
        <w:t xml:space="preserve"> A, Salvatore M. Evaluation of Quantitative PET/MR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Biomarkers for Discrimination of Inflammatory Strictures from Fibrotic Strictures in Crohn Disease. </w:t>
      </w:r>
      <w:r>
        <w:rPr>
          <w:rFonts w:ascii="Book Antiqua" w:eastAsia="宋体" w:hAnsi="Book Antiqua" w:cs="宋体"/>
          <w:i/>
          <w:iCs/>
          <w:sz w:val="24"/>
          <w:szCs w:val="24"/>
          <w:lang w:val="en-US"/>
        </w:rPr>
        <w:t>Radiology</w:t>
      </w:r>
      <w:r>
        <w:rPr>
          <w:rFonts w:ascii="Book Antiqua" w:eastAsia="宋体" w:hAnsi="Book Antiqua" w:cs="宋体"/>
          <w:sz w:val="24"/>
          <w:szCs w:val="24"/>
          <w:lang w:val="en-US"/>
        </w:rPr>
        <w:t> 2016; </w:t>
      </w:r>
      <w:r>
        <w:rPr>
          <w:rFonts w:ascii="Book Antiqua" w:eastAsia="宋体" w:hAnsi="Book Antiqua" w:cs="宋体"/>
          <w:b/>
          <w:bCs/>
          <w:sz w:val="24"/>
          <w:szCs w:val="24"/>
          <w:lang w:val="en-US"/>
        </w:rPr>
        <w:t>278</w:t>
      </w:r>
      <w:r>
        <w:rPr>
          <w:rFonts w:ascii="Book Antiqua" w:eastAsia="宋体" w:hAnsi="Book Antiqua" w:cs="宋体"/>
          <w:sz w:val="24"/>
          <w:szCs w:val="24"/>
          <w:lang w:val="en-US"/>
        </w:rPr>
        <w:t>: 792-800 [PMID: 26436860 DOI: 10.1148/radiol.2015150566]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6 </w:t>
      </w:r>
      <w:proofErr w:type="spellStart"/>
      <w:r>
        <w:rPr>
          <w:rFonts w:ascii="Book Antiqua" w:eastAsia="宋体" w:hAnsi="Book Antiqua" w:cs="宋体"/>
          <w:b/>
          <w:bCs/>
          <w:sz w:val="24"/>
          <w:szCs w:val="24"/>
          <w:lang w:val="en-US"/>
        </w:rPr>
        <w:t>Meisner</w:t>
      </w:r>
      <w:proofErr w:type="spellEnd"/>
      <w:r>
        <w:rPr>
          <w:rFonts w:ascii="Book Antiqua" w:eastAsia="宋体" w:hAnsi="Book Antiqua" w:cs="宋体"/>
          <w:b/>
          <w:bCs/>
          <w:sz w:val="24"/>
          <w:szCs w:val="24"/>
          <w:lang w:val="en-US"/>
        </w:rPr>
        <w:t xml:space="preserve"> RS</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Spier</w:t>
      </w:r>
      <w:proofErr w:type="spellEnd"/>
      <w:r>
        <w:rPr>
          <w:rFonts w:ascii="Book Antiqua" w:eastAsia="宋体" w:hAnsi="Book Antiqua" w:cs="宋体"/>
          <w:sz w:val="24"/>
          <w:szCs w:val="24"/>
          <w:lang w:val="en-US"/>
        </w:rPr>
        <w:t xml:space="preserve"> BJ, </w:t>
      </w:r>
      <w:proofErr w:type="spellStart"/>
      <w:r>
        <w:rPr>
          <w:rFonts w:ascii="Book Antiqua" w:eastAsia="宋体" w:hAnsi="Book Antiqua" w:cs="宋体"/>
          <w:sz w:val="24"/>
          <w:szCs w:val="24"/>
          <w:lang w:val="en-US"/>
        </w:rPr>
        <w:t>Einarsson</w:t>
      </w:r>
      <w:proofErr w:type="spellEnd"/>
      <w:r>
        <w:rPr>
          <w:rFonts w:ascii="Book Antiqua" w:eastAsia="宋体" w:hAnsi="Book Antiqua" w:cs="宋体"/>
          <w:sz w:val="24"/>
          <w:szCs w:val="24"/>
          <w:lang w:val="en-US"/>
        </w:rPr>
        <w:t xml:space="preserve"> S, Roberson EN, Perlman SB, Bianco JA, Taylor AJ, Einstein M, </w:t>
      </w:r>
      <w:proofErr w:type="spellStart"/>
      <w:r>
        <w:rPr>
          <w:rFonts w:ascii="Book Antiqua" w:eastAsia="宋体" w:hAnsi="Book Antiqua" w:cs="宋体"/>
          <w:sz w:val="24"/>
          <w:szCs w:val="24"/>
          <w:lang w:val="en-US"/>
        </w:rPr>
        <w:t>Jaskowiak</w:t>
      </w:r>
      <w:proofErr w:type="spellEnd"/>
      <w:r>
        <w:rPr>
          <w:rFonts w:ascii="Book Antiqua" w:eastAsia="宋体" w:hAnsi="Book Antiqua" w:cs="宋体"/>
          <w:sz w:val="24"/>
          <w:szCs w:val="24"/>
          <w:lang w:val="en-US"/>
        </w:rPr>
        <w:t xml:space="preserve"> CJ, </w:t>
      </w:r>
      <w:proofErr w:type="spellStart"/>
      <w:r>
        <w:rPr>
          <w:rFonts w:ascii="Book Antiqua" w:eastAsia="宋体" w:hAnsi="Book Antiqua" w:cs="宋体"/>
          <w:sz w:val="24"/>
          <w:szCs w:val="24"/>
          <w:lang w:val="en-US"/>
        </w:rPr>
        <w:t>Massoth</w:t>
      </w:r>
      <w:proofErr w:type="spellEnd"/>
      <w:r>
        <w:rPr>
          <w:rFonts w:ascii="Book Antiqua" w:eastAsia="宋体" w:hAnsi="Book Antiqua" w:cs="宋体"/>
          <w:sz w:val="24"/>
          <w:szCs w:val="24"/>
          <w:lang w:val="en-US"/>
        </w:rPr>
        <w:t xml:space="preserve"> KM, </w:t>
      </w:r>
      <w:proofErr w:type="spellStart"/>
      <w:r>
        <w:rPr>
          <w:rFonts w:ascii="Book Antiqua" w:eastAsia="宋体" w:hAnsi="Book Antiqua" w:cs="宋体"/>
          <w:sz w:val="24"/>
          <w:szCs w:val="24"/>
          <w:lang w:val="en-US"/>
        </w:rPr>
        <w:t>Reichelderfer</w:t>
      </w:r>
      <w:proofErr w:type="spellEnd"/>
      <w:r>
        <w:rPr>
          <w:rFonts w:ascii="Book Antiqua" w:eastAsia="宋体" w:hAnsi="Book Antiqua" w:cs="宋体"/>
          <w:sz w:val="24"/>
          <w:szCs w:val="24"/>
          <w:lang w:val="en-US"/>
        </w:rPr>
        <w:t xml:space="preserve"> M. Pilot study using PET/CT as a novel, noninvasive assessment of disease activity in inflammatory bowel disease.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2007; </w:t>
      </w:r>
      <w:r>
        <w:rPr>
          <w:rFonts w:ascii="Book Antiqua" w:eastAsia="宋体" w:hAnsi="Book Antiqua" w:cs="宋体"/>
          <w:b/>
          <w:bCs/>
          <w:sz w:val="24"/>
          <w:szCs w:val="24"/>
          <w:lang w:val="en-US"/>
        </w:rPr>
        <w:t>13</w:t>
      </w:r>
      <w:r>
        <w:rPr>
          <w:rFonts w:ascii="Book Antiqua" w:eastAsia="宋体" w:hAnsi="Book Antiqua" w:cs="宋体"/>
          <w:sz w:val="24"/>
          <w:szCs w:val="24"/>
          <w:lang w:val="en-US"/>
        </w:rPr>
        <w:t>: 993-1000 [PMID: 17394243 DOI: 10.1002/ibd.20134]</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7 </w:t>
      </w:r>
      <w:r>
        <w:rPr>
          <w:rFonts w:ascii="Book Antiqua" w:eastAsia="宋体" w:hAnsi="Book Antiqua" w:cs="宋体"/>
          <w:b/>
          <w:bCs/>
          <w:sz w:val="24"/>
          <w:szCs w:val="24"/>
          <w:lang w:val="en-US"/>
        </w:rPr>
        <w:t>Ahmadi A</w:t>
      </w:r>
      <w:r>
        <w:rPr>
          <w:rFonts w:ascii="Book Antiqua" w:eastAsia="宋体" w:hAnsi="Book Antiqua" w:cs="宋体"/>
          <w:sz w:val="24"/>
          <w:szCs w:val="24"/>
          <w:lang w:val="en-US"/>
        </w:rPr>
        <w:t xml:space="preserve">, Li Q, Muller K, Collins D, Valentine JF, </w:t>
      </w:r>
      <w:proofErr w:type="spellStart"/>
      <w:r>
        <w:rPr>
          <w:rFonts w:ascii="Book Antiqua" w:eastAsia="宋体" w:hAnsi="Book Antiqua" w:cs="宋体"/>
          <w:sz w:val="24"/>
          <w:szCs w:val="24"/>
          <w:lang w:val="en-US"/>
        </w:rPr>
        <w:t>Drane</w:t>
      </w:r>
      <w:proofErr w:type="spellEnd"/>
      <w:r>
        <w:rPr>
          <w:rFonts w:ascii="Book Antiqua" w:eastAsia="宋体" w:hAnsi="Book Antiqua" w:cs="宋体"/>
          <w:sz w:val="24"/>
          <w:szCs w:val="24"/>
          <w:lang w:val="en-US"/>
        </w:rPr>
        <w:t xml:space="preserve"> W, </w:t>
      </w:r>
      <w:proofErr w:type="spellStart"/>
      <w:r>
        <w:rPr>
          <w:rFonts w:ascii="Book Antiqua" w:eastAsia="宋体" w:hAnsi="Book Antiqua" w:cs="宋体"/>
          <w:sz w:val="24"/>
          <w:szCs w:val="24"/>
          <w:lang w:val="en-US"/>
        </w:rPr>
        <w:t>Polyak</w:t>
      </w:r>
      <w:proofErr w:type="spellEnd"/>
      <w:r>
        <w:rPr>
          <w:rFonts w:ascii="Book Antiqua" w:eastAsia="宋体" w:hAnsi="Book Antiqua" w:cs="宋体"/>
          <w:sz w:val="24"/>
          <w:szCs w:val="24"/>
          <w:lang w:val="en-US"/>
        </w:rPr>
        <w:t xml:space="preserve"> S. Diagnostic value of noninvasive combined fluorine-18 labeled fluoro-2-deoxy-D-glucose </w:t>
      </w:r>
      <w:r>
        <w:rPr>
          <w:rFonts w:ascii="Book Antiqua" w:eastAsia="宋体" w:hAnsi="Book Antiqua" w:cs="宋体"/>
          <w:sz w:val="24"/>
          <w:szCs w:val="24"/>
          <w:lang w:val="en-US"/>
        </w:rPr>
        <w:lastRenderedPageBreak/>
        <w:t xml:space="preserve">positron emission tomography and computed tomography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in active Crohn's disease.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2010; </w:t>
      </w:r>
      <w:r>
        <w:rPr>
          <w:rFonts w:ascii="Book Antiqua" w:eastAsia="宋体" w:hAnsi="Book Antiqua" w:cs="宋体"/>
          <w:b/>
          <w:bCs/>
          <w:sz w:val="24"/>
          <w:szCs w:val="24"/>
          <w:lang w:val="en-US"/>
        </w:rPr>
        <w:t>16</w:t>
      </w:r>
      <w:r>
        <w:rPr>
          <w:rFonts w:ascii="Book Antiqua" w:eastAsia="宋体" w:hAnsi="Book Antiqua" w:cs="宋体"/>
          <w:sz w:val="24"/>
          <w:szCs w:val="24"/>
          <w:lang w:val="en-US"/>
        </w:rPr>
        <w:t>: 974-981 [PMID: 19885907 DOI: 10.1002/ibd.21153]</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8 </w:t>
      </w:r>
      <w:proofErr w:type="spellStart"/>
      <w:r>
        <w:rPr>
          <w:rFonts w:ascii="Book Antiqua" w:eastAsia="宋体" w:hAnsi="Book Antiqua" w:cs="宋体"/>
          <w:b/>
          <w:bCs/>
          <w:sz w:val="24"/>
          <w:szCs w:val="24"/>
          <w:lang w:val="en-US"/>
        </w:rPr>
        <w:t>Lachter</w:t>
      </w:r>
      <w:proofErr w:type="spellEnd"/>
      <w:r>
        <w:rPr>
          <w:rFonts w:ascii="Book Antiqua" w:eastAsia="宋体" w:hAnsi="Book Antiqua" w:cs="宋体"/>
          <w:b/>
          <w:bCs/>
          <w:sz w:val="24"/>
          <w:szCs w:val="24"/>
          <w:lang w:val="en-US"/>
        </w:rPr>
        <w:t xml:space="preserve"> J</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Isseroff</w:t>
      </w:r>
      <w:proofErr w:type="spellEnd"/>
      <w:r>
        <w:rPr>
          <w:rFonts w:ascii="Book Antiqua" w:eastAsia="宋体" w:hAnsi="Book Antiqua" w:cs="宋体"/>
          <w:sz w:val="24"/>
          <w:szCs w:val="24"/>
          <w:lang w:val="en-US"/>
        </w:rPr>
        <w:t xml:space="preserve"> HN, </w:t>
      </w:r>
      <w:proofErr w:type="spellStart"/>
      <w:r>
        <w:rPr>
          <w:rFonts w:ascii="Book Antiqua" w:eastAsia="宋体" w:hAnsi="Book Antiqua" w:cs="宋体"/>
          <w:sz w:val="24"/>
          <w:szCs w:val="24"/>
          <w:lang w:val="en-US"/>
        </w:rPr>
        <w:t>Yasin</w:t>
      </w:r>
      <w:proofErr w:type="spellEnd"/>
      <w:r>
        <w:rPr>
          <w:rFonts w:ascii="Book Antiqua" w:eastAsia="宋体" w:hAnsi="Book Antiqua" w:cs="宋体"/>
          <w:sz w:val="24"/>
          <w:szCs w:val="24"/>
          <w:lang w:val="en-US"/>
        </w:rPr>
        <w:t xml:space="preserve"> K, </w:t>
      </w:r>
      <w:proofErr w:type="spellStart"/>
      <w:r>
        <w:rPr>
          <w:rFonts w:ascii="Book Antiqua" w:eastAsia="宋体" w:hAnsi="Book Antiqua" w:cs="宋体"/>
          <w:sz w:val="24"/>
          <w:szCs w:val="24"/>
          <w:lang w:val="en-US"/>
        </w:rPr>
        <w:t>Keidar</w:t>
      </w:r>
      <w:proofErr w:type="spellEnd"/>
      <w:r>
        <w:rPr>
          <w:rFonts w:ascii="Book Antiqua" w:eastAsia="宋体" w:hAnsi="Book Antiqua" w:cs="宋体"/>
          <w:sz w:val="24"/>
          <w:szCs w:val="24"/>
          <w:lang w:val="en-US"/>
        </w:rPr>
        <w:t xml:space="preserve"> Z, Israel O. Radiolabeled leukocyte imaging in inflammatory bowel disease: a prospective blinded evaluation. </w:t>
      </w:r>
      <w:proofErr w:type="spellStart"/>
      <w:r>
        <w:rPr>
          <w:rFonts w:ascii="Book Antiqua" w:eastAsia="宋体" w:hAnsi="Book Antiqua" w:cs="宋体"/>
          <w:i/>
          <w:iCs/>
          <w:sz w:val="24"/>
          <w:szCs w:val="24"/>
          <w:lang w:val="en-US"/>
        </w:rPr>
        <w:t>Hepatogastroenterology</w:t>
      </w:r>
      <w:proofErr w:type="spellEnd"/>
      <w:r>
        <w:rPr>
          <w:rFonts w:ascii="Book Antiqua" w:eastAsia="宋体" w:hAnsi="Book Antiqua" w:cs="宋体"/>
          <w:sz w:val="24"/>
          <w:szCs w:val="24"/>
          <w:lang w:val="en-US"/>
        </w:rPr>
        <w:t> </w:t>
      </w:r>
      <w:r>
        <w:rPr>
          <w:rFonts w:ascii="Book Antiqua" w:eastAsia="宋体" w:hAnsi="Book Antiqua" w:cs="宋体" w:hint="eastAsia"/>
          <w:sz w:val="24"/>
          <w:szCs w:val="24"/>
          <w:lang w:val="en-US"/>
        </w:rPr>
        <w:t>2003</w:t>
      </w:r>
      <w:r>
        <w:rPr>
          <w:rFonts w:ascii="Book Antiqua" w:eastAsia="宋体" w:hAnsi="Book Antiqua" w:cs="宋体"/>
          <w:sz w:val="24"/>
          <w:szCs w:val="24"/>
          <w:lang w:val="en-US"/>
        </w:rPr>
        <w:t>; </w:t>
      </w:r>
      <w:r>
        <w:rPr>
          <w:rFonts w:ascii="Book Antiqua" w:eastAsia="宋体" w:hAnsi="Book Antiqua" w:cs="宋体"/>
          <w:b/>
          <w:bCs/>
          <w:sz w:val="24"/>
          <w:szCs w:val="24"/>
          <w:lang w:val="en-US"/>
        </w:rPr>
        <w:t>50</w:t>
      </w:r>
      <w:r>
        <w:rPr>
          <w:rFonts w:ascii="Book Antiqua" w:eastAsia="宋体" w:hAnsi="Book Antiqua" w:cs="宋体"/>
          <w:sz w:val="24"/>
          <w:szCs w:val="24"/>
          <w:lang w:val="en-US"/>
        </w:rPr>
        <w:t>: 1439-1441 [PMID: 14571757]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9 </w:t>
      </w:r>
      <w:r>
        <w:rPr>
          <w:rFonts w:ascii="Book Antiqua" w:eastAsia="宋体" w:hAnsi="Book Antiqua" w:cs="宋体"/>
          <w:b/>
          <w:bCs/>
          <w:sz w:val="24"/>
          <w:szCs w:val="24"/>
          <w:lang w:val="en-US"/>
        </w:rPr>
        <w:t>Paredes JM</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Ripollés</w:t>
      </w:r>
      <w:proofErr w:type="spellEnd"/>
      <w:r>
        <w:rPr>
          <w:rFonts w:ascii="Book Antiqua" w:eastAsia="宋体" w:hAnsi="Book Antiqua" w:cs="宋体"/>
          <w:sz w:val="24"/>
          <w:szCs w:val="24"/>
          <w:lang w:val="en-US"/>
        </w:rPr>
        <w:t xml:space="preserve"> T, Cortés X, Reyes MD, </w:t>
      </w:r>
      <w:proofErr w:type="spellStart"/>
      <w:r>
        <w:rPr>
          <w:rFonts w:ascii="Book Antiqua" w:eastAsia="宋体" w:hAnsi="Book Antiqua" w:cs="宋体"/>
          <w:sz w:val="24"/>
          <w:szCs w:val="24"/>
          <w:lang w:val="en-US"/>
        </w:rPr>
        <w:t>López</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Martínez</w:t>
      </w:r>
      <w:proofErr w:type="spellEnd"/>
      <w:r>
        <w:rPr>
          <w:rFonts w:ascii="Book Antiqua" w:eastAsia="宋体" w:hAnsi="Book Antiqua" w:cs="宋体"/>
          <w:sz w:val="24"/>
          <w:szCs w:val="24"/>
          <w:lang w:val="en-US"/>
        </w:rPr>
        <w:t xml:space="preserve"> MJ, Moreno-</w:t>
      </w:r>
      <w:proofErr w:type="spellStart"/>
      <w:r>
        <w:rPr>
          <w:rFonts w:ascii="Book Antiqua" w:eastAsia="宋体" w:hAnsi="Book Antiqua" w:cs="宋体"/>
          <w:sz w:val="24"/>
          <w:szCs w:val="24"/>
          <w:lang w:val="en-US"/>
        </w:rPr>
        <w:t>Osset</w:t>
      </w:r>
      <w:proofErr w:type="spellEnd"/>
      <w:r>
        <w:rPr>
          <w:rFonts w:ascii="Book Antiqua" w:eastAsia="宋体" w:hAnsi="Book Antiqua" w:cs="宋体"/>
          <w:sz w:val="24"/>
          <w:szCs w:val="24"/>
          <w:lang w:val="en-US"/>
        </w:rPr>
        <w:t xml:space="preserve"> E. Non-invasive diagnosis and grading of postsurgical endoscopic recurrence in Crohn's disease: usefulness of abdominal ultrasonography and (99m)</w:t>
      </w:r>
      <w:proofErr w:type="spellStart"/>
      <w:r>
        <w:rPr>
          <w:rFonts w:ascii="Book Antiqua" w:eastAsia="宋体" w:hAnsi="Book Antiqua" w:cs="宋体"/>
          <w:sz w:val="24"/>
          <w:szCs w:val="24"/>
          <w:lang w:val="en-US"/>
        </w:rPr>
        <w:t>Tc-hexamethylpropylene</w:t>
      </w:r>
      <w:proofErr w:type="spellEnd"/>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amineoxime-labelled</w:t>
      </w:r>
      <w:proofErr w:type="spellEnd"/>
      <w:r>
        <w:rPr>
          <w:rFonts w:ascii="Book Antiqua" w:eastAsia="宋体" w:hAnsi="Book Antiqua" w:cs="宋体"/>
          <w:sz w:val="24"/>
          <w:szCs w:val="24"/>
          <w:lang w:val="en-US"/>
        </w:rPr>
        <w:t xml:space="preserve"> leucocyte scintigraphy.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Crohns</w:t>
      </w:r>
      <w:proofErr w:type="spellEnd"/>
      <w:r>
        <w:rPr>
          <w:rFonts w:ascii="Book Antiqua" w:eastAsia="宋体" w:hAnsi="Book Antiqua" w:cs="宋体"/>
          <w:i/>
          <w:iCs/>
          <w:sz w:val="24"/>
          <w:szCs w:val="24"/>
          <w:lang w:val="en-US"/>
        </w:rPr>
        <w:t xml:space="preserve"> Colitis</w:t>
      </w:r>
      <w:r>
        <w:rPr>
          <w:rFonts w:ascii="Book Antiqua" w:eastAsia="宋体" w:hAnsi="Book Antiqua" w:cs="宋体"/>
          <w:sz w:val="24"/>
          <w:szCs w:val="24"/>
          <w:lang w:val="en-US"/>
        </w:rPr>
        <w:t> 2010; </w:t>
      </w:r>
      <w:r>
        <w:rPr>
          <w:rFonts w:ascii="Book Antiqua" w:eastAsia="宋体" w:hAnsi="Book Antiqua" w:cs="宋体"/>
          <w:b/>
          <w:bCs/>
          <w:sz w:val="24"/>
          <w:szCs w:val="24"/>
          <w:lang w:val="en-US"/>
        </w:rPr>
        <w:t>4</w:t>
      </w:r>
      <w:r>
        <w:rPr>
          <w:rFonts w:ascii="Book Antiqua" w:eastAsia="宋体" w:hAnsi="Book Antiqua" w:cs="宋体"/>
          <w:sz w:val="24"/>
          <w:szCs w:val="24"/>
          <w:lang w:val="en-US"/>
        </w:rPr>
        <w:t>: 537-545 [PMID: 21122557 DOI: 10.1016/j.crohns.2010.03.002]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10 </w:t>
      </w:r>
      <w:r>
        <w:rPr>
          <w:rFonts w:ascii="Book Antiqua" w:eastAsia="宋体" w:hAnsi="Book Antiqua" w:cs="宋体"/>
          <w:b/>
          <w:bCs/>
          <w:sz w:val="24"/>
          <w:szCs w:val="24"/>
          <w:lang w:val="en-US"/>
        </w:rPr>
        <w:t>Kerry JE</w:t>
      </w:r>
      <w:r>
        <w:rPr>
          <w:rFonts w:ascii="Book Antiqua" w:eastAsia="宋体" w:hAnsi="Book Antiqua" w:cs="宋体"/>
          <w:sz w:val="24"/>
          <w:szCs w:val="24"/>
          <w:lang w:val="en-US"/>
        </w:rPr>
        <w:t xml:space="preserve">, Marshall C, Griffiths PA, James MW, Scott BB. Comparison between Tc-HMPAO labelled white cells and Tc </w:t>
      </w:r>
      <w:proofErr w:type="spellStart"/>
      <w:r>
        <w:rPr>
          <w:rFonts w:ascii="Book Antiqua" w:eastAsia="宋体" w:hAnsi="Book Antiqua" w:cs="宋体"/>
          <w:sz w:val="24"/>
          <w:szCs w:val="24"/>
          <w:lang w:val="en-US"/>
        </w:rPr>
        <w:t>LeukoScan</w:t>
      </w:r>
      <w:proofErr w:type="spellEnd"/>
      <w:r>
        <w:rPr>
          <w:rFonts w:ascii="Book Antiqua" w:eastAsia="宋体" w:hAnsi="Book Antiqua" w:cs="宋体"/>
          <w:sz w:val="24"/>
          <w:szCs w:val="24"/>
          <w:lang w:val="en-US"/>
        </w:rPr>
        <w:t xml:space="preserve"> in the investigation of inflammatory bowel disease.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Commun</w:t>
      </w:r>
      <w:proofErr w:type="spellEnd"/>
      <w:r>
        <w:rPr>
          <w:rFonts w:ascii="Book Antiqua" w:eastAsia="宋体" w:hAnsi="Book Antiqua" w:cs="宋体"/>
          <w:sz w:val="24"/>
          <w:szCs w:val="24"/>
          <w:lang w:val="en-US"/>
        </w:rPr>
        <w:t> 2005; </w:t>
      </w:r>
      <w:r>
        <w:rPr>
          <w:rFonts w:ascii="Book Antiqua" w:eastAsia="宋体" w:hAnsi="Book Antiqua" w:cs="宋体"/>
          <w:b/>
          <w:bCs/>
          <w:sz w:val="24"/>
          <w:szCs w:val="24"/>
          <w:lang w:val="en-US"/>
        </w:rPr>
        <w:t>26</w:t>
      </w:r>
      <w:r>
        <w:rPr>
          <w:rFonts w:ascii="Book Antiqua" w:eastAsia="宋体" w:hAnsi="Book Antiqua" w:cs="宋体"/>
          <w:sz w:val="24"/>
          <w:szCs w:val="24"/>
          <w:lang w:val="en-US"/>
        </w:rPr>
        <w:t>: 245-251 [PMID: 15722905]</w:t>
      </w:r>
    </w:p>
    <w:p w:rsidR="0003376C" w:rsidRPr="00222F0D"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11 </w:t>
      </w:r>
      <w:proofErr w:type="spellStart"/>
      <w:r>
        <w:rPr>
          <w:rFonts w:ascii="Book Antiqua" w:eastAsia="宋体" w:hAnsi="Book Antiqua" w:cs="宋体"/>
          <w:b/>
          <w:bCs/>
          <w:sz w:val="24"/>
          <w:szCs w:val="24"/>
          <w:lang w:val="en-US"/>
        </w:rPr>
        <w:t>Biancone</w:t>
      </w:r>
      <w:proofErr w:type="spellEnd"/>
      <w:r>
        <w:rPr>
          <w:rFonts w:ascii="Book Antiqua" w:eastAsia="宋体" w:hAnsi="Book Antiqua" w:cs="宋体"/>
          <w:b/>
          <w:bCs/>
          <w:sz w:val="24"/>
          <w:szCs w:val="24"/>
          <w:lang w:val="en-US"/>
        </w:rPr>
        <w:t xml:space="preserve"> L</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Schillaci</w:t>
      </w:r>
      <w:proofErr w:type="spellEnd"/>
      <w:r>
        <w:rPr>
          <w:rFonts w:ascii="Book Antiqua" w:eastAsia="宋体" w:hAnsi="Book Antiqua" w:cs="宋体"/>
          <w:sz w:val="24"/>
          <w:szCs w:val="24"/>
          <w:lang w:val="en-US"/>
        </w:rPr>
        <w:t xml:space="preserve"> O, </w:t>
      </w:r>
      <w:proofErr w:type="spellStart"/>
      <w:r>
        <w:rPr>
          <w:rFonts w:ascii="Book Antiqua" w:eastAsia="宋体" w:hAnsi="Book Antiqua" w:cs="宋体"/>
          <w:sz w:val="24"/>
          <w:szCs w:val="24"/>
          <w:lang w:val="en-US"/>
        </w:rPr>
        <w:t>Capoccetti</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Bozzi</w:t>
      </w:r>
      <w:proofErr w:type="spellEnd"/>
      <w:r>
        <w:rPr>
          <w:rFonts w:ascii="Book Antiqua" w:eastAsia="宋体" w:hAnsi="Book Antiqua" w:cs="宋体"/>
          <w:sz w:val="24"/>
          <w:szCs w:val="24"/>
          <w:lang w:val="en-US"/>
        </w:rPr>
        <w:t xml:space="preserve"> RM, </w:t>
      </w:r>
      <w:proofErr w:type="spellStart"/>
      <w:r>
        <w:rPr>
          <w:rFonts w:ascii="Book Antiqua" w:eastAsia="宋体" w:hAnsi="Book Antiqua" w:cs="宋体"/>
          <w:sz w:val="24"/>
          <w:szCs w:val="24"/>
          <w:lang w:val="en-US"/>
        </w:rPr>
        <w:t>Fina</w:t>
      </w:r>
      <w:proofErr w:type="spellEnd"/>
      <w:r>
        <w:rPr>
          <w:rFonts w:ascii="Book Antiqua" w:eastAsia="宋体" w:hAnsi="Book Antiqua" w:cs="宋体"/>
          <w:sz w:val="24"/>
          <w:szCs w:val="24"/>
          <w:lang w:val="en-US"/>
        </w:rPr>
        <w:t xml:space="preserve"> D, </w:t>
      </w:r>
      <w:proofErr w:type="spellStart"/>
      <w:r>
        <w:rPr>
          <w:rFonts w:ascii="Book Antiqua" w:eastAsia="宋体" w:hAnsi="Book Antiqua" w:cs="宋体"/>
          <w:sz w:val="24"/>
          <w:szCs w:val="24"/>
          <w:lang w:val="en-US"/>
        </w:rPr>
        <w:t>Petruzziello</w:t>
      </w:r>
      <w:proofErr w:type="spellEnd"/>
      <w:r>
        <w:rPr>
          <w:rFonts w:ascii="Book Antiqua" w:eastAsia="宋体" w:hAnsi="Book Antiqua" w:cs="宋体"/>
          <w:sz w:val="24"/>
          <w:szCs w:val="24"/>
          <w:lang w:val="en-US"/>
        </w:rPr>
        <w:t xml:space="preserve"> C, </w:t>
      </w:r>
      <w:proofErr w:type="spellStart"/>
      <w:r>
        <w:rPr>
          <w:rFonts w:ascii="Book Antiqua" w:eastAsia="宋体" w:hAnsi="Book Antiqua" w:cs="宋体"/>
          <w:sz w:val="24"/>
          <w:szCs w:val="24"/>
          <w:lang w:val="en-US"/>
        </w:rPr>
        <w:t>Geremia</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Simonetti</w:t>
      </w:r>
      <w:proofErr w:type="spellEnd"/>
      <w:r>
        <w:rPr>
          <w:rFonts w:ascii="Book Antiqua" w:eastAsia="宋体" w:hAnsi="Book Antiqua" w:cs="宋体"/>
          <w:sz w:val="24"/>
          <w:szCs w:val="24"/>
          <w:lang w:val="en-US"/>
        </w:rPr>
        <w:t xml:space="preserve"> G, Pallone F. Technetium-99m-HMPAO labeled leukocyte single photon emission computerized tomography (SPECT) for assessing Crohn's disease extent and intestinal infiltration. </w:t>
      </w:r>
      <w:r>
        <w:rPr>
          <w:rFonts w:ascii="Book Antiqua" w:eastAsia="宋体" w:hAnsi="Book Antiqua" w:cs="宋体"/>
          <w:i/>
          <w:iCs/>
          <w:sz w:val="24"/>
          <w:szCs w:val="24"/>
          <w:lang w:val="en-US"/>
        </w:rPr>
        <w:t xml:space="preserve">Am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sz w:val="24"/>
          <w:szCs w:val="24"/>
          <w:lang w:val="en-US"/>
        </w:rPr>
        <w:t> 2005; </w:t>
      </w:r>
      <w:r>
        <w:rPr>
          <w:rFonts w:ascii="Book Antiqua" w:eastAsia="宋体" w:hAnsi="Book Antiqua" w:cs="宋体"/>
          <w:b/>
          <w:bCs/>
          <w:sz w:val="24"/>
          <w:szCs w:val="24"/>
          <w:lang w:val="en-US"/>
        </w:rPr>
        <w:t>100</w:t>
      </w:r>
      <w:r>
        <w:rPr>
          <w:rFonts w:ascii="Book Antiqua" w:eastAsia="宋体" w:hAnsi="Book Antiqua" w:cs="宋体"/>
          <w:sz w:val="24"/>
          <w:szCs w:val="24"/>
          <w:lang w:val="en-US"/>
        </w:rPr>
        <w:t xml:space="preserve">: 344-354 [PMID: 15667492 DOI: </w:t>
      </w:r>
      <w:r w:rsidRPr="00222F0D">
        <w:rPr>
          <w:rFonts w:ascii="Book Antiqua" w:eastAsia="宋体" w:hAnsi="Book Antiqua" w:cs="宋体"/>
          <w:sz w:val="24"/>
          <w:szCs w:val="24"/>
          <w:lang w:val="en-US"/>
        </w:rPr>
        <w:t>10.1111/j.1572-0241.2005.41123.x]</w:t>
      </w:r>
    </w:p>
    <w:p w:rsidR="0003376C" w:rsidRPr="00222F0D" w:rsidRDefault="005739BD" w:rsidP="00924331">
      <w:pPr>
        <w:spacing w:after="0" w:line="360" w:lineRule="auto"/>
        <w:jc w:val="both"/>
        <w:rPr>
          <w:rFonts w:ascii="Book Antiqua" w:eastAsia="宋体" w:hAnsi="Book Antiqua" w:cs="宋体"/>
          <w:sz w:val="24"/>
          <w:szCs w:val="24"/>
          <w:lang w:val="en-US"/>
        </w:rPr>
      </w:pPr>
      <w:r w:rsidRPr="00222F0D">
        <w:rPr>
          <w:rFonts w:ascii="Book Antiqua" w:eastAsia="宋体" w:hAnsi="Book Antiqua" w:cs="宋体"/>
          <w:sz w:val="24"/>
          <w:szCs w:val="24"/>
          <w:lang w:val="en-US"/>
        </w:rPr>
        <w:t>12 </w:t>
      </w:r>
      <w:r w:rsidRPr="00222F0D">
        <w:rPr>
          <w:rFonts w:ascii="Book Antiqua" w:eastAsia="宋体" w:hAnsi="Book Antiqua" w:cs="宋体"/>
          <w:b/>
          <w:bCs/>
          <w:sz w:val="24"/>
          <w:szCs w:val="24"/>
          <w:lang w:val="en-US"/>
        </w:rPr>
        <w:t>Hillel PG</w:t>
      </w:r>
      <w:r w:rsidRPr="00222F0D">
        <w:rPr>
          <w:rFonts w:ascii="Book Antiqua" w:eastAsia="宋体" w:hAnsi="Book Antiqua" w:cs="宋体"/>
          <w:sz w:val="24"/>
          <w:szCs w:val="24"/>
          <w:lang w:val="en-US"/>
        </w:rPr>
        <w:t xml:space="preserve">, Lorenz E, </w:t>
      </w:r>
      <w:proofErr w:type="spellStart"/>
      <w:r w:rsidRPr="00222F0D">
        <w:rPr>
          <w:rFonts w:ascii="Book Antiqua" w:eastAsia="宋体" w:hAnsi="Book Antiqua" w:cs="宋体"/>
          <w:sz w:val="24"/>
          <w:szCs w:val="24"/>
          <w:lang w:val="en-US"/>
        </w:rPr>
        <w:t>Metherall</w:t>
      </w:r>
      <w:proofErr w:type="spellEnd"/>
      <w:r w:rsidRPr="00222F0D">
        <w:rPr>
          <w:rFonts w:ascii="Book Antiqua" w:eastAsia="宋体" w:hAnsi="Book Antiqua" w:cs="宋体"/>
          <w:sz w:val="24"/>
          <w:szCs w:val="24"/>
          <w:lang w:val="en-US"/>
        </w:rPr>
        <w:t xml:space="preserve"> P, Tindale WB. 99mTc white-cell imaging in inflammatory bowel disease: a comparison of planar versus SPECT. </w:t>
      </w:r>
      <w:proofErr w:type="spellStart"/>
      <w:r w:rsidRPr="00222F0D">
        <w:rPr>
          <w:rFonts w:ascii="Book Antiqua" w:eastAsia="宋体" w:hAnsi="Book Antiqua" w:cs="宋体"/>
          <w:i/>
          <w:iCs/>
          <w:sz w:val="24"/>
          <w:szCs w:val="24"/>
          <w:lang w:val="en-US"/>
        </w:rPr>
        <w:t>Nucl</w:t>
      </w:r>
      <w:proofErr w:type="spellEnd"/>
      <w:r w:rsidRPr="00222F0D">
        <w:rPr>
          <w:rFonts w:ascii="Book Antiqua" w:eastAsia="宋体" w:hAnsi="Book Antiqua" w:cs="宋体"/>
          <w:i/>
          <w:iCs/>
          <w:sz w:val="24"/>
          <w:szCs w:val="24"/>
          <w:lang w:val="en-US"/>
        </w:rPr>
        <w:t xml:space="preserve"> Med </w:t>
      </w:r>
      <w:proofErr w:type="spellStart"/>
      <w:r w:rsidRPr="00222F0D">
        <w:rPr>
          <w:rFonts w:ascii="Book Antiqua" w:eastAsia="宋体" w:hAnsi="Book Antiqua" w:cs="宋体"/>
          <w:i/>
          <w:iCs/>
          <w:sz w:val="24"/>
          <w:szCs w:val="24"/>
          <w:lang w:val="en-US"/>
        </w:rPr>
        <w:t>Commun</w:t>
      </w:r>
      <w:proofErr w:type="spellEnd"/>
      <w:r w:rsidRPr="00222F0D">
        <w:rPr>
          <w:rFonts w:ascii="Book Antiqua" w:eastAsia="宋体" w:hAnsi="Book Antiqua" w:cs="宋体"/>
          <w:sz w:val="24"/>
          <w:szCs w:val="24"/>
          <w:lang w:val="en-US"/>
        </w:rPr>
        <w:t> 2011; </w:t>
      </w:r>
      <w:r w:rsidRPr="00222F0D">
        <w:rPr>
          <w:rFonts w:ascii="Book Antiqua" w:eastAsia="宋体" w:hAnsi="Book Antiqua" w:cs="宋体"/>
          <w:b/>
          <w:bCs/>
          <w:sz w:val="24"/>
          <w:szCs w:val="24"/>
          <w:lang w:val="en-US"/>
        </w:rPr>
        <w:t>32</w:t>
      </w:r>
      <w:r w:rsidRPr="00222F0D">
        <w:rPr>
          <w:rFonts w:ascii="Book Antiqua" w:eastAsia="宋体" w:hAnsi="Book Antiqua" w:cs="宋体"/>
          <w:sz w:val="24"/>
          <w:szCs w:val="24"/>
          <w:lang w:val="en-US"/>
        </w:rPr>
        <w:t>: 591-596 [PMID: 21423061 DOI: 10.1097/MNM.0b013e328345b2fd]</w:t>
      </w:r>
    </w:p>
    <w:p w:rsidR="0003376C" w:rsidRDefault="005739BD" w:rsidP="00924331">
      <w:pPr>
        <w:spacing w:after="0" w:line="360" w:lineRule="auto"/>
        <w:jc w:val="both"/>
        <w:rPr>
          <w:rFonts w:ascii="Book Antiqua" w:eastAsia="宋体" w:hAnsi="Book Antiqua" w:cs="宋体"/>
          <w:sz w:val="24"/>
          <w:szCs w:val="24"/>
          <w:lang w:val="en-US"/>
        </w:rPr>
      </w:pPr>
      <w:r w:rsidRPr="00222F0D">
        <w:rPr>
          <w:rFonts w:ascii="Book Antiqua" w:eastAsia="宋体" w:hAnsi="Book Antiqua" w:cs="宋体"/>
          <w:sz w:val="24"/>
          <w:szCs w:val="24"/>
          <w:lang w:val="en-US"/>
        </w:rPr>
        <w:t>13 </w:t>
      </w:r>
      <w:proofErr w:type="spellStart"/>
      <w:r w:rsidRPr="00222F0D">
        <w:rPr>
          <w:rFonts w:ascii="Book Antiqua" w:eastAsia="宋体" w:hAnsi="Book Antiqua" w:cs="宋体"/>
          <w:b/>
          <w:bCs/>
          <w:sz w:val="24"/>
          <w:szCs w:val="24"/>
          <w:lang w:val="en-US"/>
        </w:rPr>
        <w:t>Mota</w:t>
      </w:r>
      <w:proofErr w:type="spellEnd"/>
      <w:r w:rsidRPr="00222F0D">
        <w:rPr>
          <w:rFonts w:ascii="Book Antiqua" w:eastAsia="宋体" w:hAnsi="Book Antiqua" w:cs="宋体"/>
          <w:b/>
          <w:bCs/>
          <w:sz w:val="24"/>
          <w:szCs w:val="24"/>
          <w:lang w:val="en-US"/>
        </w:rPr>
        <w:t xml:space="preserve"> LG</w:t>
      </w:r>
      <w:r w:rsidRPr="00222F0D">
        <w:rPr>
          <w:rFonts w:ascii="Book Antiqua" w:eastAsia="宋体" w:hAnsi="Book Antiqua" w:cs="宋体"/>
          <w:sz w:val="24"/>
          <w:szCs w:val="24"/>
          <w:lang w:val="en-US"/>
        </w:rPr>
        <w:t xml:space="preserve">, Coelho LG, </w:t>
      </w:r>
      <w:proofErr w:type="spellStart"/>
      <w:r w:rsidRPr="00222F0D">
        <w:rPr>
          <w:rFonts w:ascii="Book Antiqua" w:eastAsia="宋体" w:hAnsi="Book Antiqua" w:cs="宋体"/>
          <w:sz w:val="24"/>
          <w:szCs w:val="24"/>
          <w:lang w:val="en-US"/>
        </w:rPr>
        <w:t>Simal</w:t>
      </w:r>
      <w:proofErr w:type="spellEnd"/>
      <w:r w:rsidRPr="00222F0D">
        <w:rPr>
          <w:rFonts w:ascii="Book Antiqua" w:eastAsia="宋体" w:hAnsi="Book Antiqua" w:cs="宋体"/>
          <w:sz w:val="24"/>
          <w:szCs w:val="24"/>
          <w:lang w:val="en-US"/>
        </w:rPr>
        <w:t xml:space="preserve"> CJ, Ferrari ML, Toledo C, Martin-Comin J, </w:t>
      </w:r>
      <w:proofErr w:type="spellStart"/>
      <w:r w:rsidRPr="00222F0D">
        <w:rPr>
          <w:rFonts w:ascii="Book Antiqua" w:eastAsia="宋体" w:hAnsi="Book Antiqua" w:cs="宋体"/>
          <w:sz w:val="24"/>
          <w:szCs w:val="24"/>
          <w:lang w:val="en-US"/>
        </w:rPr>
        <w:t>Diniz</w:t>
      </w:r>
      <w:proofErr w:type="spellEnd"/>
      <w:r w:rsidRPr="00222F0D">
        <w:rPr>
          <w:rFonts w:ascii="Book Antiqua" w:eastAsia="宋体" w:hAnsi="Book Antiqua" w:cs="宋体"/>
          <w:sz w:val="24"/>
          <w:szCs w:val="24"/>
          <w:lang w:val="en-US"/>
        </w:rPr>
        <w:t xml:space="preserve"> SO, Cardoso VN. Leukocyte-technetium-99m uptak</w:t>
      </w:r>
      <w:r>
        <w:rPr>
          <w:rFonts w:ascii="Book Antiqua" w:eastAsia="宋体" w:hAnsi="Book Antiqua" w:cs="宋体"/>
          <w:sz w:val="24"/>
          <w:szCs w:val="24"/>
          <w:lang w:val="en-US"/>
        </w:rPr>
        <w:t>e in Crohn's disease: does it show subclinical disease? </w:t>
      </w:r>
      <w:r>
        <w:rPr>
          <w:rFonts w:ascii="Book Antiqua" w:eastAsia="宋体" w:hAnsi="Book Antiqua" w:cs="宋体"/>
          <w:i/>
          <w:iCs/>
          <w:sz w:val="24"/>
          <w:szCs w:val="24"/>
          <w:lang w:val="en-US"/>
        </w:rPr>
        <w:t xml:space="preserve">World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sz w:val="24"/>
          <w:szCs w:val="24"/>
          <w:lang w:val="en-US"/>
        </w:rPr>
        <w:t> 2010; </w:t>
      </w:r>
      <w:r>
        <w:rPr>
          <w:rFonts w:ascii="Book Antiqua" w:eastAsia="宋体" w:hAnsi="Book Antiqua" w:cs="宋体"/>
          <w:b/>
          <w:bCs/>
          <w:sz w:val="24"/>
          <w:szCs w:val="24"/>
          <w:lang w:val="en-US"/>
        </w:rPr>
        <w:t>16</w:t>
      </w:r>
      <w:r>
        <w:rPr>
          <w:rFonts w:ascii="Book Antiqua" w:eastAsia="宋体" w:hAnsi="Book Antiqua" w:cs="宋体"/>
          <w:sz w:val="24"/>
          <w:szCs w:val="24"/>
          <w:lang w:val="en-US"/>
        </w:rPr>
        <w:t>: 365-371 [PMID: 20082484 DOI: 10.3748/WJG.v16.i3.365]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14 </w:t>
      </w:r>
      <w:r>
        <w:rPr>
          <w:rFonts w:ascii="Book Antiqua" w:eastAsia="宋体" w:hAnsi="Book Antiqua" w:cs="宋体"/>
          <w:b/>
          <w:bCs/>
          <w:sz w:val="24"/>
          <w:szCs w:val="24"/>
          <w:lang w:val="en-US"/>
        </w:rPr>
        <w:t>Rowe FA</w:t>
      </w:r>
      <w:r>
        <w:rPr>
          <w:rFonts w:ascii="Book Antiqua" w:eastAsia="宋体" w:hAnsi="Book Antiqua" w:cs="宋体"/>
          <w:sz w:val="24"/>
          <w:szCs w:val="24"/>
          <w:lang w:val="en-US"/>
        </w:rPr>
        <w:t xml:space="preserve">, Camilleri M, </w:t>
      </w:r>
      <w:proofErr w:type="spellStart"/>
      <w:r>
        <w:rPr>
          <w:rFonts w:ascii="Book Antiqua" w:eastAsia="宋体" w:hAnsi="Book Antiqua" w:cs="宋体"/>
          <w:sz w:val="24"/>
          <w:szCs w:val="24"/>
          <w:lang w:val="en-US"/>
        </w:rPr>
        <w:t>Forstrom</w:t>
      </w:r>
      <w:proofErr w:type="spellEnd"/>
      <w:r>
        <w:rPr>
          <w:rFonts w:ascii="Book Antiqua" w:eastAsia="宋体" w:hAnsi="Book Antiqua" w:cs="宋体"/>
          <w:sz w:val="24"/>
          <w:szCs w:val="24"/>
          <w:lang w:val="en-US"/>
        </w:rPr>
        <w:t xml:space="preserve"> LA, Batts KP, </w:t>
      </w:r>
      <w:proofErr w:type="spellStart"/>
      <w:r>
        <w:rPr>
          <w:rFonts w:ascii="Book Antiqua" w:eastAsia="宋体" w:hAnsi="Book Antiqua" w:cs="宋体"/>
          <w:sz w:val="24"/>
          <w:szCs w:val="24"/>
          <w:lang w:val="en-US"/>
        </w:rPr>
        <w:t>Mullan</w:t>
      </w:r>
      <w:proofErr w:type="spellEnd"/>
      <w:r>
        <w:rPr>
          <w:rFonts w:ascii="Book Antiqua" w:eastAsia="宋体" w:hAnsi="Book Antiqua" w:cs="宋体"/>
          <w:sz w:val="24"/>
          <w:szCs w:val="24"/>
          <w:lang w:val="en-US"/>
        </w:rPr>
        <w:t xml:space="preserve"> BP, </w:t>
      </w:r>
      <w:proofErr w:type="spellStart"/>
      <w:r>
        <w:rPr>
          <w:rFonts w:ascii="Book Antiqua" w:eastAsia="宋体" w:hAnsi="Book Antiqua" w:cs="宋体"/>
          <w:sz w:val="24"/>
          <w:szCs w:val="24"/>
          <w:lang w:val="en-US"/>
        </w:rPr>
        <w:t>Thomforde</w:t>
      </w:r>
      <w:proofErr w:type="spellEnd"/>
      <w:r>
        <w:rPr>
          <w:rFonts w:ascii="Book Antiqua" w:eastAsia="宋体" w:hAnsi="Book Antiqua" w:cs="宋体"/>
          <w:sz w:val="24"/>
          <w:szCs w:val="24"/>
          <w:lang w:val="en-US"/>
        </w:rPr>
        <w:t xml:space="preserve"> GM, Dunn W, </w:t>
      </w:r>
      <w:proofErr w:type="spellStart"/>
      <w:r>
        <w:rPr>
          <w:rFonts w:ascii="Book Antiqua" w:eastAsia="宋体" w:hAnsi="Book Antiqua" w:cs="宋体"/>
          <w:sz w:val="24"/>
          <w:szCs w:val="24"/>
          <w:lang w:val="en-US"/>
        </w:rPr>
        <w:t>Zinsmeister</w:t>
      </w:r>
      <w:proofErr w:type="spellEnd"/>
      <w:r>
        <w:rPr>
          <w:rFonts w:ascii="Book Antiqua" w:eastAsia="宋体" w:hAnsi="Book Antiqua" w:cs="宋体"/>
          <w:sz w:val="24"/>
          <w:szCs w:val="24"/>
          <w:lang w:val="en-US"/>
        </w:rPr>
        <w:t xml:space="preserve"> AR. A pilot study of splenic and whole body retention of autologous radiolabeled leukocytes in the assessment of severity in inflammatory colitis. </w:t>
      </w:r>
      <w:r>
        <w:rPr>
          <w:rFonts w:ascii="Book Antiqua" w:eastAsia="宋体" w:hAnsi="Book Antiqua" w:cs="宋体"/>
          <w:i/>
          <w:iCs/>
          <w:sz w:val="24"/>
          <w:szCs w:val="24"/>
          <w:lang w:val="en-US"/>
        </w:rPr>
        <w:t xml:space="preserve">Am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sz w:val="24"/>
          <w:szCs w:val="24"/>
          <w:lang w:val="en-US"/>
        </w:rPr>
        <w:t> 1995; </w:t>
      </w:r>
      <w:r>
        <w:rPr>
          <w:rFonts w:ascii="Book Antiqua" w:eastAsia="宋体" w:hAnsi="Book Antiqua" w:cs="宋体"/>
          <w:b/>
          <w:bCs/>
          <w:sz w:val="24"/>
          <w:szCs w:val="24"/>
          <w:lang w:val="en-US"/>
        </w:rPr>
        <w:t>90</w:t>
      </w:r>
      <w:r>
        <w:rPr>
          <w:rFonts w:ascii="Book Antiqua" w:eastAsia="宋体" w:hAnsi="Book Antiqua" w:cs="宋体"/>
          <w:sz w:val="24"/>
          <w:szCs w:val="24"/>
          <w:lang w:val="en-US"/>
        </w:rPr>
        <w:t>: 1771-1775 [PMID: 7572892]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15 </w:t>
      </w:r>
      <w:proofErr w:type="spellStart"/>
      <w:r>
        <w:rPr>
          <w:rFonts w:ascii="Book Antiqua" w:eastAsia="宋体" w:hAnsi="Book Antiqua" w:cs="宋体"/>
          <w:b/>
          <w:bCs/>
          <w:sz w:val="24"/>
          <w:szCs w:val="24"/>
          <w:lang w:val="en-US"/>
        </w:rPr>
        <w:t>Cheow</w:t>
      </w:r>
      <w:proofErr w:type="spellEnd"/>
      <w:r>
        <w:rPr>
          <w:rFonts w:ascii="Book Antiqua" w:eastAsia="宋体" w:hAnsi="Book Antiqua" w:cs="宋体"/>
          <w:b/>
          <w:bCs/>
          <w:sz w:val="24"/>
          <w:szCs w:val="24"/>
          <w:lang w:val="en-US"/>
        </w:rPr>
        <w:t xml:space="preserve"> HK</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Voutnis</w:t>
      </w:r>
      <w:proofErr w:type="spellEnd"/>
      <w:r>
        <w:rPr>
          <w:rFonts w:ascii="Book Antiqua" w:eastAsia="宋体" w:hAnsi="Book Antiqua" w:cs="宋体"/>
          <w:sz w:val="24"/>
          <w:szCs w:val="24"/>
          <w:lang w:val="en-US"/>
        </w:rPr>
        <w:t xml:space="preserve"> DD, Evans JW, </w:t>
      </w:r>
      <w:proofErr w:type="spellStart"/>
      <w:r>
        <w:rPr>
          <w:rFonts w:ascii="Book Antiqua" w:eastAsia="宋体" w:hAnsi="Book Antiqua" w:cs="宋体"/>
          <w:sz w:val="24"/>
          <w:szCs w:val="24"/>
          <w:lang w:val="en-US"/>
        </w:rPr>
        <w:t>Szczepura</w:t>
      </w:r>
      <w:proofErr w:type="spellEnd"/>
      <w:r>
        <w:rPr>
          <w:rFonts w:ascii="Book Antiqua" w:eastAsia="宋体" w:hAnsi="Book Antiqua" w:cs="宋体"/>
          <w:sz w:val="24"/>
          <w:szCs w:val="24"/>
          <w:lang w:val="en-US"/>
        </w:rPr>
        <w:t xml:space="preserve"> KR, Swift EA, Bird NJ, </w:t>
      </w:r>
      <w:proofErr w:type="spellStart"/>
      <w:r>
        <w:rPr>
          <w:rFonts w:ascii="Book Antiqua" w:eastAsia="宋体" w:hAnsi="Book Antiqua" w:cs="宋体"/>
          <w:sz w:val="24"/>
          <w:szCs w:val="24"/>
          <w:lang w:val="en-US"/>
        </w:rPr>
        <w:t>Ruparelia</w:t>
      </w:r>
      <w:proofErr w:type="spellEnd"/>
      <w:r>
        <w:rPr>
          <w:rFonts w:ascii="Book Antiqua" w:eastAsia="宋体" w:hAnsi="Book Antiqua" w:cs="宋体"/>
          <w:sz w:val="24"/>
          <w:szCs w:val="24"/>
          <w:lang w:val="en-US"/>
        </w:rPr>
        <w:t xml:space="preserve"> P, Solanki CK, Ballinger JR, </w:t>
      </w:r>
      <w:proofErr w:type="spellStart"/>
      <w:r>
        <w:rPr>
          <w:rFonts w:ascii="Book Antiqua" w:eastAsia="宋体" w:hAnsi="Book Antiqua" w:cs="宋体"/>
          <w:sz w:val="24"/>
          <w:szCs w:val="24"/>
          <w:lang w:val="en-US"/>
        </w:rPr>
        <w:t>Chilvers</w:t>
      </w:r>
      <w:proofErr w:type="spellEnd"/>
      <w:r>
        <w:rPr>
          <w:rFonts w:ascii="Book Antiqua" w:eastAsia="宋体" w:hAnsi="Book Antiqua" w:cs="宋体"/>
          <w:sz w:val="24"/>
          <w:szCs w:val="24"/>
          <w:lang w:val="en-US"/>
        </w:rPr>
        <w:t xml:space="preserve"> ER, Middleton SJ, Peters AM. Quantification of disease activity in patients undergoing leucocyte scintigraphy for suspected </w:t>
      </w:r>
      <w:r>
        <w:rPr>
          <w:rFonts w:ascii="Book Antiqua" w:eastAsia="宋体" w:hAnsi="Book Antiqua" w:cs="宋体"/>
          <w:sz w:val="24"/>
          <w:szCs w:val="24"/>
          <w:lang w:val="en-US"/>
        </w:rPr>
        <w:lastRenderedPageBreak/>
        <w:t>inflammatory bowel disease.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2005; </w:t>
      </w:r>
      <w:r>
        <w:rPr>
          <w:rFonts w:ascii="Book Antiqua" w:eastAsia="宋体" w:hAnsi="Book Antiqua" w:cs="宋体"/>
          <w:b/>
          <w:bCs/>
          <w:sz w:val="24"/>
          <w:szCs w:val="24"/>
          <w:lang w:val="en-US"/>
        </w:rPr>
        <w:t>32</w:t>
      </w:r>
      <w:r>
        <w:rPr>
          <w:rFonts w:ascii="Book Antiqua" w:eastAsia="宋体" w:hAnsi="Book Antiqua" w:cs="宋体"/>
          <w:sz w:val="24"/>
          <w:szCs w:val="24"/>
          <w:lang w:val="en-US"/>
        </w:rPr>
        <w:t>: 329-337 [PMID: 15791443 DOI: 10.1007/s00259-004-1617-7]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16 </w:t>
      </w:r>
      <w:r>
        <w:rPr>
          <w:rFonts w:ascii="Book Antiqua" w:eastAsia="宋体" w:hAnsi="Book Antiqua" w:cs="宋体"/>
          <w:b/>
          <w:bCs/>
          <w:sz w:val="24"/>
          <w:szCs w:val="24"/>
          <w:lang w:val="en-US"/>
        </w:rPr>
        <w:t>Van den Brande JM</w:t>
      </w:r>
      <w:r>
        <w:rPr>
          <w:rFonts w:ascii="Book Antiqua" w:eastAsia="宋体" w:hAnsi="Book Antiqua" w:cs="宋体"/>
          <w:sz w:val="24"/>
          <w:szCs w:val="24"/>
          <w:lang w:val="en-US"/>
        </w:rPr>
        <w:t xml:space="preserve">, Koehler TC, </w:t>
      </w:r>
      <w:proofErr w:type="spellStart"/>
      <w:r>
        <w:rPr>
          <w:rFonts w:ascii="Book Antiqua" w:eastAsia="宋体" w:hAnsi="Book Antiqua" w:cs="宋体"/>
          <w:sz w:val="24"/>
          <w:szCs w:val="24"/>
          <w:lang w:val="en-US"/>
        </w:rPr>
        <w:t>Zelinkova</w:t>
      </w:r>
      <w:proofErr w:type="spellEnd"/>
      <w:r>
        <w:rPr>
          <w:rFonts w:ascii="Book Antiqua" w:eastAsia="宋体" w:hAnsi="Book Antiqua" w:cs="宋体"/>
          <w:sz w:val="24"/>
          <w:szCs w:val="24"/>
          <w:lang w:val="en-US"/>
        </w:rPr>
        <w:t xml:space="preserve"> Z, </w:t>
      </w:r>
      <w:proofErr w:type="spellStart"/>
      <w:r>
        <w:rPr>
          <w:rFonts w:ascii="Book Antiqua" w:eastAsia="宋体" w:hAnsi="Book Antiqua" w:cs="宋体"/>
          <w:sz w:val="24"/>
          <w:szCs w:val="24"/>
          <w:lang w:val="en-US"/>
        </w:rPr>
        <w:t>Bennink</w:t>
      </w:r>
      <w:proofErr w:type="spellEnd"/>
      <w:r>
        <w:rPr>
          <w:rFonts w:ascii="Book Antiqua" w:eastAsia="宋体" w:hAnsi="Book Antiqua" w:cs="宋体"/>
          <w:sz w:val="24"/>
          <w:szCs w:val="24"/>
          <w:lang w:val="en-US"/>
        </w:rPr>
        <w:t xml:space="preserve"> RJ, </w:t>
      </w:r>
      <w:proofErr w:type="spellStart"/>
      <w:r>
        <w:rPr>
          <w:rFonts w:ascii="Book Antiqua" w:eastAsia="宋体" w:hAnsi="Book Antiqua" w:cs="宋体"/>
          <w:sz w:val="24"/>
          <w:szCs w:val="24"/>
          <w:lang w:val="en-US"/>
        </w:rPr>
        <w:t>te</w:t>
      </w:r>
      <w:proofErr w:type="spellEnd"/>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Velde</w:t>
      </w:r>
      <w:proofErr w:type="spellEnd"/>
      <w:r>
        <w:rPr>
          <w:rFonts w:ascii="Book Antiqua" w:eastAsia="宋体" w:hAnsi="Book Antiqua" w:cs="宋体"/>
          <w:sz w:val="24"/>
          <w:szCs w:val="24"/>
          <w:lang w:val="en-US"/>
        </w:rPr>
        <w:t xml:space="preserve"> AA, ten Cate FJ, van Deventer SJ, </w:t>
      </w:r>
      <w:proofErr w:type="spellStart"/>
      <w:r>
        <w:rPr>
          <w:rFonts w:ascii="Book Antiqua" w:eastAsia="宋体" w:hAnsi="Book Antiqua" w:cs="宋体"/>
          <w:sz w:val="24"/>
          <w:szCs w:val="24"/>
          <w:lang w:val="en-US"/>
        </w:rPr>
        <w:t>Peppelenbosch</w:t>
      </w:r>
      <w:proofErr w:type="spellEnd"/>
      <w:r>
        <w:rPr>
          <w:rFonts w:ascii="Book Antiqua" w:eastAsia="宋体" w:hAnsi="Book Antiqua" w:cs="宋体"/>
          <w:sz w:val="24"/>
          <w:szCs w:val="24"/>
          <w:lang w:val="en-US"/>
        </w:rPr>
        <w:t xml:space="preserve"> MP, Hommes DW. Prediction of </w:t>
      </w:r>
      <w:proofErr w:type="spellStart"/>
      <w:r>
        <w:rPr>
          <w:rFonts w:ascii="Book Antiqua" w:eastAsia="宋体" w:hAnsi="Book Antiqua" w:cs="宋体"/>
          <w:sz w:val="24"/>
          <w:szCs w:val="24"/>
          <w:lang w:val="en-US"/>
        </w:rPr>
        <w:t>antitumour</w:t>
      </w:r>
      <w:proofErr w:type="spellEnd"/>
      <w:r>
        <w:rPr>
          <w:rFonts w:ascii="Book Antiqua" w:eastAsia="宋体" w:hAnsi="Book Antiqua" w:cs="宋体"/>
          <w:sz w:val="24"/>
          <w:szCs w:val="24"/>
          <w:lang w:val="en-US"/>
        </w:rPr>
        <w:t xml:space="preserve"> necrosis factor clinical efficacy by real-time </w:t>
      </w:r>
      <w:proofErr w:type="spellStart"/>
      <w:r>
        <w:rPr>
          <w:rFonts w:ascii="Book Antiqua" w:eastAsia="宋体" w:hAnsi="Book Antiqua" w:cs="宋体"/>
          <w:sz w:val="24"/>
          <w:szCs w:val="24"/>
          <w:lang w:val="en-US"/>
        </w:rPr>
        <w:t>visualisation</w:t>
      </w:r>
      <w:proofErr w:type="spellEnd"/>
      <w:r>
        <w:rPr>
          <w:rFonts w:ascii="Book Antiqua" w:eastAsia="宋体" w:hAnsi="Book Antiqua" w:cs="宋体"/>
          <w:sz w:val="24"/>
          <w:szCs w:val="24"/>
          <w:lang w:val="en-US"/>
        </w:rPr>
        <w:t xml:space="preserve"> of apoptosis in patients with Crohn's disease. </w:t>
      </w:r>
      <w:r>
        <w:rPr>
          <w:rFonts w:ascii="Book Antiqua" w:eastAsia="宋体" w:hAnsi="Book Antiqua" w:cs="宋体"/>
          <w:i/>
          <w:iCs/>
          <w:sz w:val="24"/>
          <w:szCs w:val="24"/>
          <w:lang w:val="en-US"/>
        </w:rPr>
        <w:t>Gut</w:t>
      </w:r>
      <w:r>
        <w:rPr>
          <w:rFonts w:ascii="Book Antiqua" w:eastAsia="宋体" w:hAnsi="Book Antiqua" w:cs="宋体"/>
          <w:sz w:val="24"/>
          <w:szCs w:val="24"/>
          <w:lang w:val="en-US"/>
        </w:rPr>
        <w:t> 2007; </w:t>
      </w:r>
      <w:r>
        <w:rPr>
          <w:rFonts w:ascii="Book Antiqua" w:eastAsia="宋体" w:hAnsi="Book Antiqua" w:cs="宋体"/>
          <w:b/>
          <w:bCs/>
          <w:sz w:val="24"/>
          <w:szCs w:val="24"/>
          <w:lang w:val="en-US"/>
        </w:rPr>
        <w:t>56</w:t>
      </w:r>
      <w:r>
        <w:rPr>
          <w:rFonts w:ascii="Book Antiqua" w:eastAsia="宋体" w:hAnsi="Book Antiqua" w:cs="宋体"/>
          <w:sz w:val="24"/>
          <w:szCs w:val="24"/>
          <w:lang w:val="en-US"/>
        </w:rPr>
        <w:t>: 509-517 [PMID: 17082252 DOI: 10.1136/gut.2006.105379]</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17 </w:t>
      </w:r>
      <w:proofErr w:type="spellStart"/>
      <w:r>
        <w:rPr>
          <w:rFonts w:ascii="Book Antiqua" w:eastAsia="宋体" w:hAnsi="Book Antiqua" w:cs="宋体"/>
          <w:b/>
          <w:bCs/>
          <w:sz w:val="24"/>
          <w:szCs w:val="24"/>
          <w:lang w:val="en-US"/>
        </w:rPr>
        <w:t>Bicik</w:t>
      </w:r>
      <w:proofErr w:type="spellEnd"/>
      <w:r>
        <w:rPr>
          <w:rFonts w:ascii="Book Antiqua" w:eastAsia="宋体" w:hAnsi="Book Antiqua" w:cs="宋体"/>
          <w:b/>
          <w:bCs/>
          <w:sz w:val="24"/>
          <w:szCs w:val="24"/>
          <w:lang w:val="en-US"/>
        </w:rPr>
        <w:t xml:space="preserve"> I</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Bauerfeind</w:t>
      </w:r>
      <w:proofErr w:type="spellEnd"/>
      <w:r>
        <w:rPr>
          <w:rFonts w:ascii="Book Antiqua" w:eastAsia="宋体" w:hAnsi="Book Antiqua" w:cs="宋体"/>
          <w:sz w:val="24"/>
          <w:szCs w:val="24"/>
          <w:lang w:val="en-US"/>
        </w:rPr>
        <w:t xml:space="preserve"> P, </w:t>
      </w:r>
      <w:proofErr w:type="spellStart"/>
      <w:r>
        <w:rPr>
          <w:rFonts w:ascii="Book Antiqua" w:eastAsia="宋体" w:hAnsi="Book Antiqua" w:cs="宋体"/>
          <w:sz w:val="24"/>
          <w:szCs w:val="24"/>
          <w:lang w:val="en-US"/>
        </w:rPr>
        <w:t>Breitbach</w:t>
      </w:r>
      <w:proofErr w:type="spellEnd"/>
      <w:r>
        <w:rPr>
          <w:rFonts w:ascii="Book Antiqua" w:eastAsia="宋体" w:hAnsi="Book Antiqua" w:cs="宋体"/>
          <w:sz w:val="24"/>
          <w:szCs w:val="24"/>
          <w:lang w:val="en-US"/>
        </w:rPr>
        <w:t xml:space="preserve"> T, von </w:t>
      </w:r>
      <w:proofErr w:type="spellStart"/>
      <w:r>
        <w:rPr>
          <w:rFonts w:ascii="Book Antiqua" w:eastAsia="宋体" w:hAnsi="Book Antiqua" w:cs="宋体"/>
          <w:sz w:val="24"/>
          <w:szCs w:val="24"/>
          <w:lang w:val="en-US"/>
        </w:rPr>
        <w:t>Schulthess</w:t>
      </w:r>
      <w:proofErr w:type="spellEnd"/>
      <w:r>
        <w:rPr>
          <w:rFonts w:ascii="Book Antiqua" w:eastAsia="宋体" w:hAnsi="Book Antiqua" w:cs="宋体"/>
          <w:sz w:val="24"/>
          <w:szCs w:val="24"/>
          <w:lang w:val="en-US"/>
        </w:rPr>
        <w:t xml:space="preserve"> GK, Fried M. Inflammatory bowel disease activity measured by positron-emission tomography. </w:t>
      </w:r>
      <w:r>
        <w:rPr>
          <w:rFonts w:ascii="Book Antiqua" w:eastAsia="宋体" w:hAnsi="Book Antiqua" w:cs="宋体"/>
          <w:i/>
          <w:iCs/>
          <w:sz w:val="24"/>
          <w:szCs w:val="24"/>
          <w:lang w:val="en-US"/>
        </w:rPr>
        <w:t>Lancet</w:t>
      </w:r>
      <w:r>
        <w:rPr>
          <w:rFonts w:ascii="Book Antiqua" w:eastAsia="宋体" w:hAnsi="Book Antiqua" w:cs="宋体"/>
          <w:sz w:val="24"/>
          <w:szCs w:val="24"/>
          <w:lang w:val="en-US"/>
        </w:rPr>
        <w:t> 1997; </w:t>
      </w:r>
      <w:r>
        <w:rPr>
          <w:rFonts w:ascii="Book Antiqua" w:eastAsia="宋体" w:hAnsi="Book Antiqua" w:cs="宋体"/>
          <w:b/>
          <w:bCs/>
          <w:sz w:val="24"/>
          <w:szCs w:val="24"/>
          <w:lang w:val="en-US"/>
        </w:rPr>
        <w:t>350</w:t>
      </w:r>
      <w:r>
        <w:rPr>
          <w:rFonts w:ascii="Book Antiqua" w:eastAsia="宋体" w:hAnsi="Book Antiqua" w:cs="宋体"/>
          <w:sz w:val="24"/>
          <w:szCs w:val="24"/>
          <w:lang w:val="en-US"/>
        </w:rPr>
        <w:t>: 262 [PMID: 9242806 DOI: 10.1016/S0140-6736(05)62225-8]</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18 </w:t>
      </w:r>
      <w:proofErr w:type="spellStart"/>
      <w:r>
        <w:rPr>
          <w:rFonts w:ascii="Book Antiqua" w:eastAsia="宋体" w:hAnsi="Book Antiqua" w:cs="宋体"/>
          <w:b/>
          <w:bCs/>
          <w:sz w:val="24"/>
          <w:szCs w:val="24"/>
          <w:lang w:val="en-US"/>
        </w:rPr>
        <w:t>Skehan</w:t>
      </w:r>
      <w:proofErr w:type="spellEnd"/>
      <w:r>
        <w:rPr>
          <w:rFonts w:ascii="Book Antiqua" w:eastAsia="宋体" w:hAnsi="Book Antiqua" w:cs="宋体"/>
          <w:b/>
          <w:bCs/>
          <w:sz w:val="24"/>
          <w:szCs w:val="24"/>
          <w:lang w:val="en-US"/>
        </w:rPr>
        <w:t xml:space="preserve"> SJ</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Issenman</w:t>
      </w:r>
      <w:proofErr w:type="spellEnd"/>
      <w:r>
        <w:rPr>
          <w:rFonts w:ascii="Book Antiqua" w:eastAsia="宋体" w:hAnsi="Book Antiqua" w:cs="宋体"/>
          <w:sz w:val="24"/>
          <w:szCs w:val="24"/>
          <w:lang w:val="en-US"/>
        </w:rPr>
        <w:t xml:space="preserve"> R, </w:t>
      </w:r>
      <w:proofErr w:type="spellStart"/>
      <w:r>
        <w:rPr>
          <w:rFonts w:ascii="Book Antiqua" w:eastAsia="宋体" w:hAnsi="Book Antiqua" w:cs="宋体"/>
          <w:sz w:val="24"/>
          <w:szCs w:val="24"/>
          <w:lang w:val="en-US"/>
        </w:rPr>
        <w:t>Mernagh</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Nahmias</w:t>
      </w:r>
      <w:proofErr w:type="spellEnd"/>
      <w:r>
        <w:rPr>
          <w:rFonts w:ascii="Book Antiqua" w:eastAsia="宋体" w:hAnsi="Book Antiqua" w:cs="宋体"/>
          <w:sz w:val="24"/>
          <w:szCs w:val="24"/>
          <w:lang w:val="en-US"/>
        </w:rPr>
        <w:t xml:space="preserve"> C, Jacobson K. 18F-fluorodeoxyglucose positron tomography in diagnosis of </w:t>
      </w:r>
      <w:proofErr w:type="spellStart"/>
      <w:r>
        <w:rPr>
          <w:rFonts w:ascii="Book Antiqua" w:eastAsia="宋体" w:hAnsi="Book Antiqua" w:cs="宋体"/>
          <w:sz w:val="24"/>
          <w:szCs w:val="24"/>
          <w:lang w:val="en-US"/>
        </w:rPr>
        <w:t>paediatric</w:t>
      </w:r>
      <w:proofErr w:type="spellEnd"/>
      <w:r>
        <w:rPr>
          <w:rFonts w:ascii="Book Antiqua" w:eastAsia="宋体" w:hAnsi="Book Antiqua" w:cs="宋体"/>
          <w:sz w:val="24"/>
          <w:szCs w:val="24"/>
          <w:lang w:val="en-US"/>
        </w:rPr>
        <w:t xml:space="preserve"> inflammatory bowel disease. </w:t>
      </w:r>
      <w:r>
        <w:rPr>
          <w:rFonts w:ascii="Book Antiqua" w:eastAsia="宋体" w:hAnsi="Book Antiqua" w:cs="宋体"/>
          <w:i/>
          <w:iCs/>
          <w:sz w:val="24"/>
          <w:szCs w:val="24"/>
          <w:lang w:val="en-US"/>
        </w:rPr>
        <w:t>Lancet</w:t>
      </w:r>
      <w:r>
        <w:rPr>
          <w:rFonts w:ascii="Book Antiqua" w:eastAsia="宋体" w:hAnsi="Book Antiqua" w:cs="宋体"/>
          <w:sz w:val="24"/>
          <w:szCs w:val="24"/>
          <w:lang w:val="en-US"/>
        </w:rPr>
        <w:t> 1999; </w:t>
      </w:r>
      <w:r>
        <w:rPr>
          <w:rFonts w:ascii="Book Antiqua" w:eastAsia="宋体" w:hAnsi="Book Antiqua" w:cs="宋体"/>
          <w:b/>
          <w:bCs/>
          <w:sz w:val="24"/>
          <w:szCs w:val="24"/>
          <w:lang w:val="en-US"/>
        </w:rPr>
        <w:t>354</w:t>
      </w:r>
      <w:r>
        <w:rPr>
          <w:rFonts w:ascii="Book Antiqua" w:eastAsia="宋体" w:hAnsi="Book Antiqua" w:cs="宋体"/>
          <w:sz w:val="24"/>
          <w:szCs w:val="24"/>
          <w:lang w:val="en-US"/>
        </w:rPr>
        <w:t>: 836-837 [PMID: 10485733 DOI: 10.1016/S0140-6736(99)80021-X]</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19 </w:t>
      </w:r>
      <w:proofErr w:type="spellStart"/>
      <w:r>
        <w:rPr>
          <w:rFonts w:ascii="Book Antiqua" w:eastAsia="宋体" w:hAnsi="Book Antiqua" w:cs="宋体"/>
          <w:b/>
          <w:bCs/>
          <w:sz w:val="24"/>
          <w:szCs w:val="24"/>
          <w:lang w:val="en-US"/>
        </w:rPr>
        <w:t>Aarntzen</w:t>
      </w:r>
      <w:proofErr w:type="spellEnd"/>
      <w:r>
        <w:rPr>
          <w:rFonts w:ascii="Book Antiqua" w:eastAsia="宋体" w:hAnsi="Book Antiqua" w:cs="宋体"/>
          <w:b/>
          <w:bCs/>
          <w:sz w:val="24"/>
          <w:szCs w:val="24"/>
          <w:lang w:val="en-US"/>
        </w:rPr>
        <w:t xml:space="preserve"> EH</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Hermsen</w:t>
      </w:r>
      <w:proofErr w:type="spellEnd"/>
      <w:r>
        <w:rPr>
          <w:rFonts w:ascii="Book Antiqua" w:eastAsia="宋体" w:hAnsi="Book Antiqua" w:cs="宋体"/>
          <w:sz w:val="24"/>
          <w:szCs w:val="24"/>
          <w:lang w:val="en-US"/>
        </w:rPr>
        <w:t xml:space="preserve"> R, </w:t>
      </w:r>
      <w:proofErr w:type="spellStart"/>
      <w:r>
        <w:rPr>
          <w:rFonts w:ascii="Book Antiqua" w:eastAsia="宋体" w:hAnsi="Book Antiqua" w:cs="宋体"/>
          <w:sz w:val="24"/>
          <w:szCs w:val="24"/>
          <w:lang w:val="en-US"/>
        </w:rPr>
        <w:t>Drenth</w:t>
      </w:r>
      <w:proofErr w:type="spellEnd"/>
      <w:r>
        <w:rPr>
          <w:rFonts w:ascii="Book Antiqua" w:eastAsia="宋体" w:hAnsi="Book Antiqua" w:cs="宋体"/>
          <w:sz w:val="24"/>
          <w:szCs w:val="24"/>
          <w:lang w:val="en-US"/>
        </w:rPr>
        <w:t xml:space="preserve"> JP, </w:t>
      </w:r>
      <w:proofErr w:type="spellStart"/>
      <w:r>
        <w:rPr>
          <w:rFonts w:ascii="Book Antiqua" w:eastAsia="宋体" w:hAnsi="Book Antiqua" w:cs="宋体"/>
          <w:sz w:val="24"/>
          <w:szCs w:val="24"/>
          <w:lang w:val="en-US"/>
        </w:rPr>
        <w:t>Boerman</w:t>
      </w:r>
      <w:proofErr w:type="spellEnd"/>
      <w:r>
        <w:rPr>
          <w:rFonts w:ascii="Book Antiqua" w:eastAsia="宋体" w:hAnsi="Book Antiqua" w:cs="宋体"/>
          <w:sz w:val="24"/>
          <w:szCs w:val="24"/>
          <w:lang w:val="en-US"/>
        </w:rPr>
        <w:t xml:space="preserve"> OC, Oyen WJ. 99mTc-CXCL8 SPECT to Monitor Disease Activity in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2016; </w:t>
      </w:r>
      <w:r>
        <w:rPr>
          <w:rFonts w:ascii="Book Antiqua" w:eastAsia="宋体" w:hAnsi="Book Antiqua" w:cs="宋体"/>
          <w:b/>
          <w:bCs/>
          <w:sz w:val="24"/>
          <w:szCs w:val="24"/>
          <w:lang w:val="en-US"/>
        </w:rPr>
        <w:t>57</w:t>
      </w:r>
      <w:r>
        <w:rPr>
          <w:rFonts w:ascii="Book Antiqua" w:eastAsia="宋体" w:hAnsi="Book Antiqua" w:cs="宋体"/>
          <w:sz w:val="24"/>
          <w:szCs w:val="24"/>
          <w:lang w:val="en-US"/>
        </w:rPr>
        <w:t>: 398-403 [PMID: 26609182 DOI: 10.2967/jnumed.115.165795]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20 </w:t>
      </w:r>
      <w:proofErr w:type="spellStart"/>
      <w:r>
        <w:rPr>
          <w:rFonts w:ascii="Book Antiqua" w:eastAsia="宋体" w:hAnsi="Book Antiqua" w:cs="宋体"/>
          <w:b/>
          <w:bCs/>
          <w:sz w:val="24"/>
          <w:szCs w:val="24"/>
          <w:lang w:val="en-US"/>
        </w:rPr>
        <w:t>Groshar</w:t>
      </w:r>
      <w:proofErr w:type="spellEnd"/>
      <w:r>
        <w:rPr>
          <w:rFonts w:ascii="Book Antiqua" w:eastAsia="宋体" w:hAnsi="Book Antiqua" w:cs="宋体"/>
          <w:b/>
          <w:bCs/>
          <w:sz w:val="24"/>
          <w:szCs w:val="24"/>
          <w:lang w:val="en-US"/>
        </w:rPr>
        <w:t xml:space="preserve"> D</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Bernstine</w:t>
      </w:r>
      <w:proofErr w:type="spellEnd"/>
      <w:r>
        <w:rPr>
          <w:rFonts w:ascii="Book Antiqua" w:eastAsia="宋体" w:hAnsi="Book Antiqua" w:cs="宋体"/>
          <w:sz w:val="24"/>
          <w:szCs w:val="24"/>
          <w:lang w:val="en-US"/>
        </w:rPr>
        <w:t xml:space="preserve"> H, Stern D, </w:t>
      </w:r>
      <w:proofErr w:type="spellStart"/>
      <w:r>
        <w:rPr>
          <w:rFonts w:ascii="Book Antiqua" w:eastAsia="宋体" w:hAnsi="Book Antiqua" w:cs="宋体"/>
          <w:sz w:val="24"/>
          <w:szCs w:val="24"/>
          <w:lang w:val="en-US"/>
        </w:rPr>
        <w:t>Sosna</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Eligalashvili</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Gurbuz</w:t>
      </w:r>
      <w:proofErr w:type="spellEnd"/>
      <w:r>
        <w:rPr>
          <w:rFonts w:ascii="Book Antiqua" w:eastAsia="宋体" w:hAnsi="Book Antiqua" w:cs="宋体"/>
          <w:sz w:val="24"/>
          <w:szCs w:val="24"/>
          <w:lang w:val="en-US"/>
        </w:rPr>
        <w:t xml:space="preserve"> EG, </w:t>
      </w:r>
      <w:proofErr w:type="spellStart"/>
      <w:r>
        <w:rPr>
          <w:rFonts w:ascii="Book Antiqua" w:eastAsia="宋体" w:hAnsi="Book Antiqua" w:cs="宋体"/>
          <w:sz w:val="24"/>
          <w:szCs w:val="24"/>
          <w:lang w:val="en-US"/>
        </w:rPr>
        <w:t>Niv</w:t>
      </w:r>
      <w:proofErr w:type="spellEnd"/>
      <w:r>
        <w:rPr>
          <w:rFonts w:ascii="Book Antiqua" w:eastAsia="宋体" w:hAnsi="Book Antiqua" w:cs="宋体"/>
          <w:sz w:val="24"/>
          <w:szCs w:val="24"/>
          <w:lang w:val="en-US"/>
        </w:rPr>
        <w:t xml:space="preserve"> Y, Fraser G. PET/CT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in Crohn disease: correlation of disease activity on CT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with 18F-FDG uptake.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2010; </w:t>
      </w:r>
      <w:r>
        <w:rPr>
          <w:rFonts w:ascii="Book Antiqua" w:eastAsia="宋体" w:hAnsi="Book Antiqua" w:cs="宋体"/>
          <w:b/>
          <w:bCs/>
          <w:sz w:val="24"/>
          <w:szCs w:val="24"/>
          <w:lang w:val="en-US"/>
        </w:rPr>
        <w:t>51</w:t>
      </w:r>
      <w:r>
        <w:rPr>
          <w:rFonts w:ascii="Book Antiqua" w:eastAsia="宋体" w:hAnsi="Book Antiqua" w:cs="宋体"/>
          <w:sz w:val="24"/>
          <w:szCs w:val="24"/>
          <w:lang w:val="en-US"/>
        </w:rPr>
        <w:t>: 1009-1014 [PMID: 20554741 DOI: 10.2967/jnumed.109.073130]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21 </w:t>
      </w:r>
      <w:proofErr w:type="spellStart"/>
      <w:r>
        <w:rPr>
          <w:rFonts w:ascii="Book Antiqua" w:eastAsia="宋体" w:hAnsi="Book Antiqua" w:cs="宋体"/>
          <w:b/>
          <w:bCs/>
          <w:sz w:val="24"/>
          <w:szCs w:val="24"/>
          <w:lang w:val="en-US"/>
        </w:rPr>
        <w:t>Shyn</w:t>
      </w:r>
      <w:proofErr w:type="spellEnd"/>
      <w:r>
        <w:rPr>
          <w:rFonts w:ascii="Book Antiqua" w:eastAsia="宋体" w:hAnsi="Book Antiqua" w:cs="宋体"/>
          <w:b/>
          <w:bCs/>
          <w:sz w:val="24"/>
          <w:szCs w:val="24"/>
          <w:lang w:val="en-US"/>
        </w:rPr>
        <w:t xml:space="preserve"> PB</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Mortele</w:t>
      </w:r>
      <w:proofErr w:type="spellEnd"/>
      <w:r>
        <w:rPr>
          <w:rFonts w:ascii="Book Antiqua" w:eastAsia="宋体" w:hAnsi="Book Antiqua" w:cs="宋体"/>
          <w:sz w:val="24"/>
          <w:szCs w:val="24"/>
          <w:lang w:val="en-US"/>
        </w:rPr>
        <w:t xml:space="preserve"> KJ, </w:t>
      </w:r>
      <w:proofErr w:type="spellStart"/>
      <w:r>
        <w:rPr>
          <w:rFonts w:ascii="Book Antiqua" w:eastAsia="宋体" w:hAnsi="Book Antiqua" w:cs="宋体"/>
          <w:sz w:val="24"/>
          <w:szCs w:val="24"/>
          <w:lang w:val="en-US"/>
        </w:rPr>
        <w:t>Britz</w:t>
      </w:r>
      <w:proofErr w:type="spellEnd"/>
      <w:r>
        <w:rPr>
          <w:rFonts w:ascii="Book Antiqua" w:eastAsia="宋体" w:hAnsi="Book Antiqua" w:cs="宋体"/>
          <w:sz w:val="24"/>
          <w:szCs w:val="24"/>
          <w:lang w:val="en-US"/>
        </w:rPr>
        <w:t xml:space="preserve">-Cunningham SH, Friedman S, </w:t>
      </w:r>
      <w:proofErr w:type="spellStart"/>
      <w:r>
        <w:rPr>
          <w:rFonts w:ascii="Book Antiqua" w:eastAsia="宋体" w:hAnsi="Book Antiqua" w:cs="宋体"/>
          <w:sz w:val="24"/>
          <w:szCs w:val="24"/>
          <w:lang w:val="en-US"/>
        </w:rPr>
        <w:t>Odze</w:t>
      </w:r>
      <w:proofErr w:type="spellEnd"/>
      <w:r>
        <w:rPr>
          <w:rFonts w:ascii="Book Antiqua" w:eastAsia="宋体" w:hAnsi="Book Antiqua" w:cs="宋体"/>
          <w:sz w:val="24"/>
          <w:szCs w:val="24"/>
          <w:lang w:val="en-US"/>
        </w:rPr>
        <w:t xml:space="preserve"> RD, </w:t>
      </w:r>
      <w:proofErr w:type="spellStart"/>
      <w:r>
        <w:rPr>
          <w:rFonts w:ascii="Book Antiqua" w:eastAsia="宋体" w:hAnsi="Book Antiqua" w:cs="宋体"/>
          <w:sz w:val="24"/>
          <w:szCs w:val="24"/>
          <w:lang w:val="en-US"/>
        </w:rPr>
        <w:t>Burakoff</w:t>
      </w:r>
      <w:proofErr w:type="spellEnd"/>
      <w:r>
        <w:rPr>
          <w:rFonts w:ascii="Book Antiqua" w:eastAsia="宋体" w:hAnsi="Book Antiqua" w:cs="宋体"/>
          <w:sz w:val="24"/>
          <w:szCs w:val="24"/>
          <w:lang w:val="en-US"/>
        </w:rPr>
        <w:t xml:space="preserve"> R, Goldberg JE, </w:t>
      </w:r>
      <w:proofErr w:type="spellStart"/>
      <w:r>
        <w:rPr>
          <w:rFonts w:ascii="Book Antiqua" w:eastAsia="宋体" w:hAnsi="Book Antiqua" w:cs="宋体"/>
          <w:sz w:val="24"/>
          <w:szCs w:val="24"/>
          <w:lang w:val="en-US"/>
        </w:rPr>
        <w:t>Erturk</w:t>
      </w:r>
      <w:proofErr w:type="spellEnd"/>
      <w:r>
        <w:rPr>
          <w:rFonts w:ascii="Book Antiqua" w:eastAsia="宋体" w:hAnsi="Book Antiqua" w:cs="宋体"/>
          <w:sz w:val="24"/>
          <w:szCs w:val="24"/>
          <w:lang w:val="en-US"/>
        </w:rPr>
        <w:t xml:space="preserve"> M, Silverman SG. Low-dose 18F-FDG PET/CT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improving on CT </w:t>
      </w:r>
      <w:proofErr w:type="spellStart"/>
      <w:r>
        <w:rPr>
          <w:rFonts w:ascii="Book Antiqua" w:eastAsia="宋体" w:hAnsi="Book Antiqua" w:cs="宋体"/>
          <w:sz w:val="24"/>
          <w:szCs w:val="24"/>
          <w:lang w:val="en-US"/>
        </w:rPr>
        <w:t>enterography</w:t>
      </w:r>
      <w:proofErr w:type="spellEnd"/>
      <w:r>
        <w:rPr>
          <w:rFonts w:ascii="Book Antiqua" w:eastAsia="宋体" w:hAnsi="Book Antiqua" w:cs="宋体"/>
          <w:sz w:val="24"/>
          <w:szCs w:val="24"/>
          <w:lang w:val="en-US"/>
        </w:rPr>
        <w:t xml:space="preserve"> assessment of patients with Crohn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2010; </w:t>
      </w:r>
      <w:r>
        <w:rPr>
          <w:rFonts w:ascii="Book Antiqua" w:eastAsia="宋体" w:hAnsi="Book Antiqua" w:cs="宋体"/>
          <w:b/>
          <w:bCs/>
          <w:sz w:val="24"/>
          <w:szCs w:val="24"/>
          <w:lang w:val="en-US"/>
        </w:rPr>
        <w:t>51</w:t>
      </w:r>
      <w:r>
        <w:rPr>
          <w:rFonts w:ascii="Book Antiqua" w:eastAsia="宋体" w:hAnsi="Book Antiqua" w:cs="宋体"/>
          <w:sz w:val="24"/>
          <w:szCs w:val="24"/>
          <w:lang w:val="en-US"/>
        </w:rPr>
        <w:t>: 1841-1848 [PMID: 21078803 DOI: 10.2967/jnumed.110.080796]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22 </w:t>
      </w:r>
      <w:proofErr w:type="spellStart"/>
      <w:r>
        <w:rPr>
          <w:rFonts w:ascii="Book Antiqua" w:eastAsia="宋体" w:hAnsi="Book Antiqua" w:cs="宋体"/>
          <w:b/>
          <w:bCs/>
          <w:sz w:val="24"/>
          <w:szCs w:val="24"/>
          <w:lang w:val="en-US"/>
        </w:rPr>
        <w:t>Franquet</w:t>
      </w:r>
      <w:proofErr w:type="spellEnd"/>
      <w:r>
        <w:rPr>
          <w:rFonts w:ascii="Book Antiqua" w:eastAsia="宋体" w:hAnsi="Book Antiqua" w:cs="宋体"/>
          <w:b/>
          <w:bCs/>
          <w:sz w:val="24"/>
          <w:szCs w:val="24"/>
          <w:lang w:val="en-US"/>
        </w:rPr>
        <w:t xml:space="preserve"> E</w:t>
      </w:r>
      <w:r>
        <w:rPr>
          <w:rFonts w:ascii="Book Antiqua" w:eastAsia="宋体" w:hAnsi="Book Antiqua" w:cs="宋体"/>
          <w:sz w:val="24"/>
          <w:szCs w:val="24"/>
          <w:lang w:val="en-US"/>
        </w:rPr>
        <w:t xml:space="preserve">, Palmer MR, Gifford AE, </w:t>
      </w:r>
      <w:proofErr w:type="spellStart"/>
      <w:r>
        <w:rPr>
          <w:rFonts w:ascii="Book Antiqua" w:eastAsia="宋体" w:hAnsi="Book Antiqua" w:cs="宋体"/>
          <w:sz w:val="24"/>
          <w:szCs w:val="24"/>
          <w:lang w:val="en-US"/>
        </w:rPr>
        <w:t>Selen</w:t>
      </w:r>
      <w:proofErr w:type="spellEnd"/>
      <w:r>
        <w:rPr>
          <w:rFonts w:ascii="Book Antiqua" w:eastAsia="宋体" w:hAnsi="Book Antiqua" w:cs="宋体"/>
          <w:sz w:val="24"/>
          <w:szCs w:val="24"/>
          <w:lang w:val="en-US"/>
        </w:rPr>
        <w:t xml:space="preserve"> DJ, Chen YC, </w:t>
      </w:r>
      <w:proofErr w:type="spellStart"/>
      <w:r>
        <w:rPr>
          <w:rFonts w:ascii="Book Antiqua" w:eastAsia="宋体" w:hAnsi="Book Antiqua" w:cs="宋体"/>
          <w:sz w:val="24"/>
          <w:szCs w:val="24"/>
          <w:lang w:val="en-US"/>
        </w:rPr>
        <w:t>Sedora</w:t>
      </w:r>
      <w:proofErr w:type="spellEnd"/>
      <w:r>
        <w:rPr>
          <w:rFonts w:ascii="Book Antiqua" w:eastAsia="宋体" w:hAnsi="Book Antiqua" w:cs="宋体"/>
          <w:sz w:val="24"/>
          <w:szCs w:val="24"/>
          <w:lang w:val="en-US"/>
        </w:rPr>
        <w:t xml:space="preserve">-Roman N, Joyce RM, </w:t>
      </w:r>
      <w:proofErr w:type="spellStart"/>
      <w:r>
        <w:rPr>
          <w:rFonts w:ascii="Book Antiqua" w:eastAsia="宋体" w:hAnsi="Book Antiqua" w:cs="宋体"/>
          <w:sz w:val="24"/>
          <w:szCs w:val="24"/>
          <w:lang w:val="en-US"/>
        </w:rPr>
        <w:t>Kolodny</w:t>
      </w:r>
      <w:proofErr w:type="spellEnd"/>
      <w:r>
        <w:rPr>
          <w:rFonts w:ascii="Book Antiqua" w:eastAsia="宋体" w:hAnsi="Book Antiqua" w:cs="宋体"/>
          <w:sz w:val="24"/>
          <w:szCs w:val="24"/>
          <w:lang w:val="en-US"/>
        </w:rPr>
        <w:t xml:space="preserve"> GM, Moss AC. </w:t>
      </w:r>
      <w:proofErr w:type="spellStart"/>
      <w:r>
        <w:rPr>
          <w:rFonts w:ascii="Book Antiqua" w:eastAsia="宋体" w:hAnsi="Book Antiqua" w:cs="宋体"/>
          <w:sz w:val="24"/>
          <w:szCs w:val="24"/>
          <w:lang w:val="en-US"/>
        </w:rPr>
        <w:t>Rifaximin</w:t>
      </w:r>
      <w:proofErr w:type="spellEnd"/>
      <w:r>
        <w:rPr>
          <w:rFonts w:ascii="Book Antiqua" w:eastAsia="宋体" w:hAnsi="Book Antiqua" w:cs="宋体"/>
          <w:sz w:val="24"/>
          <w:szCs w:val="24"/>
          <w:lang w:val="en-US"/>
        </w:rPr>
        <w:t xml:space="preserve"> suppresses background intestinal 18F-FDG uptake on PET/CT scans.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Commun</w:t>
      </w:r>
      <w:proofErr w:type="spellEnd"/>
      <w:r>
        <w:rPr>
          <w:rFonts w:ascii="Book Antiqua" w:eastAsia="宋体" w:hAnsi="Book Antiqua" w:cs="宋体"/>
          <w:sz w:val="24"/>
          <w:szCs w:val="24"/>
          <w:lang w:val="en-US"/>
        </w:rPr>
        <w:t> 2014; </w:t>
      </w:r>
      <w:r>
        <w:rPr>
          <w:rFonts w:ascii="Book Antiqua" w:eastAsia="宋体" w:hAnsi="Book Antiqua" w:cs="宋体"/>
          <w:b/>
          <w:bCs/>
          <w:sz w:val="24"/>
          <w:szCs w:val="24"/>
          <w:lang w:val="en-US"/>
        </w:rPr>
        <w:t>35</w:t>
      </w:r>
      <w:r>
        <w:rPr>
          <w:rFonts w:ascii="Book Antiqua" w:eastAsia="宋体" w:hAnsi="Book Antiqua" w:cs="宋体"/>
          <w:sz w:val="24"/>
          <w:szCs w:val="24"/>
          <w:lang w:val="en-US"/>
        </w:rPr>
        <w:t>: 1026-1031 [PMID: 25076161 DOI: 10.1097/MNM.0000000000000170]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23 </w:t>
      </w:r>
      <w:r>
        <w:rPr>
          <w:rFonts w:ascii="Book Antiqua" w:eastAsia="宋体" w:hAnsi="Book Antiqua" w:cs="宋体"/>
          <w:b/>
          <w:bCs/>
          <w:sz w:val="24"/>
          <w:szCs w:val="24"/>
          <w:lang w:val="en-US"/>
        </w:rPr>
        <w:t>Louis E</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Ancion</w:t>
      </w:r>
      <w:proofErr w:type="spellEnd"/>
      <w:r>
        <w:rPr>
          <w:rFonts w:ascii="Book Antiqua" w:eastAsia="宋体" w:hAnsi="Book Antiqua" w:cs="宋体"/>
          <w:sz w:val="24"/>
          <w:szCs w:val="24"/>
          <w:lang w:val="en-US"/>
        </w:rPr>
        <w:t xml:space="preserve"> G, </w:t>
      </w:r>
      <w:proofErr w:type="spellStart"/>
      <w:r>
        <w:rPr>
          <w:rFonts w:ascii="Book Antiqua" w:eastAsia="宋体" w:hAnsi="Book Antiqua" w:cs="宋体"/>
          <w:sz w:val="24"/>
          <w:szCs w:val="24"/>
          <w:lang w:val="en-US"/>
        </w:rPr>
        <w:t>Colard</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Spote</w:t>
      </w:r>
      <w:proofErr w:type="spellEnd"/>
      <w:r>
        <w:rPr>
          <w:rFonts w:ascii="Book Antiqua" w:eastAsia="宋体" w:hAnsi="Book Antiqua" w:cs="宋体"/>
          <w:sz w:val="24"/>
          <w:szCs w:val="24"/>
          <w:lang w:val="en-US"/>
        </w:rPr>
        <w:t xml:space="preserve"> V, </w:t>
      </w:r>
      <w:proofErr w:type="spellStart"/>
      <w:r>
        <w:rPr>
          <w:rFonts w:ascii="Book Antiqua" w:eastAsia="宋体" w:hAnsi="Book Antiqua" w:cs="宋体"/>
          <w:sz w:val="24"/>
          <w:szCs w:val="24"/>
          <w:lang w:val="en-US"/>
        </w:rPr>
        <w:t>Belaiche</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Hustinx</w:t>
      </w:r>
      <w:proofErr w:type="spellEnd"/>
      <w:r>
        <w:rPr>
          <w:rFonts w:ascii="Book Antiqua" w:eastAsia="宋体" w:hAnsi="Book Antiqua" w:cs="宋体"/>
          <w:sz w:val="24"/>
          <w:szCs w:val="24"/>
          <w:lang w:val="en-US"/>
        </w:rPr>
        <w:t xml:space="preserve"> R. Noninvasive assessment of Crohn's disease intestinal lesions with (18)F-FDG PET/CT.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2007; </w:t>
      </w:r>
      <w:r>
        <w:rPr>
          <w:rFonts w:ascii="Book Antiqua" w:eastAsia="宋体" w:hAnsi="Book Antiqua" w:cs="宋体"/>
          <w:b/>
          <w:bCs/>
          <w:sz w:val="24"/>
          <w:szCs w:val="24"/>
          <w:lang w:val="en-US"/>
        </w:rPr>
        <w:t>48</w:t>
      </w:r>
      <w:r>
        <w:rPr>
          <w:rFonts w:ascii="Book Antiqua" w:eastAsia="宋体" w:hAnsi="Book Antiqua" w:cs="宋体"/>
          <w:sz w:val="24"/>
          <w:szCs w:val="24"/>
          <w:lang w:val="en-US"/>
        </w:rPr>
        <w:t>: 1053-1059 [PMID: 17574978 DOI: 10.2967/jnumed.107.040436]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lastRenderedPageBreak/>
        <w:t>24 </w:t>
      </w:r>
      <w:r>
        <w:rPr>
          <w:rFonts w:ascii="Book Antiqua" w:eastAsia="宋体" w:hAnsi="Book Antiqua" w:cs="宋体"/>
          <w:b/>
          <w:bCs/>
          <w:sz w:val="24"/>
          <w:szCs w:val="24"/>
          <w:lang w:val="en-US"/>
        </w:rPr>
        <w:t>Das CJ</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Makharia</w:t>
      </w:r>
      <w:proofErr w:type="spellEnd"/>
      <w:r>
        <w:rPr>
          <w:rFonts w:ascii="Book Antiqua" w:eastAsia="宋体" w:hAnsi="Book Antiqua" w:cs="宋体"/>
          <w:sz w:val="24"/>
          <w:szCs w:val="24"/>
          <w:lang w:val="en-US"/>
        </w:rPr>
        <w:t xml:space="preserve"> G, Kumar R, Chawla M, </w:t>
      </w:r>
      <w:proofErr w:type="spellStart"/>
      <w:r>
        <w:rPr>
          <w:rFonts w:ascii="Book Antiqua" w:eastAsia="宋体" w:hAnsi="Book Antiqua" w:cs="宋体"/>
          <w:sz w:val="24"/>
          <w:szCs w:val="24"/>
          <w:lang w:val="en-US"/>
        </w:rPr>
        <w:t>Goswami</w:t>
      </w:r>
      <w:proofErr w:type="spellEnd"/>
      <w:r>
        <w:rPr>
          <w:rFonts w:ascii="Book Antiqua" w:eastAsia="宋体" w:hAnsi="Book Antiqua" w:cs="宋体"/>
          <w:sz w:val="24"/>
          <w:szCs w:val="24"/>
          <w:lang w:val="en-US"/>
        </w:rPr>
        <w:t xml:space="preserve"> P, Sharma R, Malhotra A. PET-CT </w:t>
      </w:r>
      <w:proofErr w:type="spellStart"/>
      <w:r>
        <w:rPr>
          <w:rFonts w:ascii="Book Antiqua" w:eastAsia="宋体" w:hAnsi="Book Antiqua" w:cs="宋体"/>
          <w:sz w:val="24"/>
          <w:szCs w:val="24"/>
          <w:lang w:val="en-US"/>
        </w:rPr>
        <w:t>enteroclysis</w:t>
      </w:r>
      <w:proofErr w:type="spellEnd"/>
      <w:r>
        <w:rPr>
          <w:rFonts w:ascii="Book Antiqua" w:eastAsia="宋体" w:hAnsi="Book Antiqua" w:cs="宋体"/>
          <w:sz w:val="24"/>
          <w:szCs w:val="24"/>
          <w:lang w:val="en-US"/>
        </w:rPr>
        <w:t>: a new technique for evaluation of inflammatory diseases of the intestine.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2007; </w:t>
      </w:r>
      <w:r>
        <w:rPr>
          <w:rFonts w:ascii="Book Antiqua" w:eastAsia="宋体" w:hAnsi="Book Antiqua" w:cs="宋体"/>
          <w:b/>
          <w:bCs/>
          <w:sz w:val="24"/>
          <w:szCs w:val="24"/>
          <w:lang w:val="en-US"/>
        </w:rPr>
        <w:t>34</w:t>
      </w:r>
      <w:r>
        <w:rPr>
          <w:rFonts w:ascii="Book Antiqua" w:eastAsia="宋体" w:hAnsi="Book Antiqua" w:cs="宋体"/>
          <w:sz w:val="24"/>
          <w:szCs w:val="24"/>
          <w:lang w:val="en-US"/>
        </w:rPr>
        <w:t>: 2106-2114 [PMID: 17710395 DOI: 10.1007/s00259-007-0525-z]</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25 </w:t>
      </w:r>
      <w:proofErr w:type="spellStart"/>
      <w:r>
        <w:rPr>
          <w:rFonts w:ascii="Book Antiqua" w:eastAsia="宋体" w:hAnsi="Book Antiqua" w:cs="宋体"/>
          <w:b/>
          <w:bCs/>
          <w:sz w:val="24"/>
          <w:szCs w:val="24"/>
          <w:lang w:val="en-US"/>
        </w:rPr>
        <w:t>Spier</w:t>
      </w:r>
      <w:proofErr w:type="spellEnd"/>
      <w:r>
        <w:rPr>
          <w:rFonts w:ascii="Book Antiqua" w:eastAsia="宋体" w:hAnsi="Book Antiqua" w:cs="宋体"/>
          <w:b/>
          <w:bCs/>
          <w:sz w:val="24"/>
          <w:szCs w:val="24"/>
          <w:lang w:val="en-US"/>
        </w:rPr>
        <w:t xml:space="preserve"> BJ</w:t>
      </w:r>
      <w:r>
        <w:rPr>
          <w:rFonts w:ascii="Book Antiqua" w:eastAsia="宋体" w:hAnsi="Book Antiqua" w:cs="宋体"/>
          <w:sz w:val="24"/>
          <w:szCs w:val="24"/>
          <w:lang w:val="en-US"/>
        </w:rPr>
        <w:t xml:space="preserve">, Perlman SB, </w:t>
      </w:r>
      <w:proofErr w:type="spellStart"/>
      <w:r>
        <w:rPr>
          <w:rFonts w:ascii="Book Antiqua" w:eastAsia="宋体" w:hAnsi="Book Antiqua" w:cs="宋体"/>
          <w:sz w:val="24"/>
          <w:szCs w:val="24"/>
          <w:lang w:val="en-US"/>
        </w:rPr>
        <w:t>Jaskowiak</w:t>
      </w:r>
      <w:proofErr w:type="spellEnd"/>
      <w:r>
        <w:rPr>
          <w:rFonts w:ascii="Book Antiqua" w:eastAsia="宋体" w:hAnsi="Book Antiqua" w:cs="宋体"/>
          <w:sz w:val="24"/>
          <w:szCs w:val="24"/>
          <w:lang w:val="en-US"/>
        </w:rPr>
        <w:t xml:space="preserve"> CJ, </w:t>
      </w:r>
      <w:proofErr w:type="spellStart"/>
      <w:r>
        <w:rPr>
          <w:rFonts w:ascii="Book Antiqua" w:eastAsia="宋体" w:hAnsi="Book Antiqua" w:cs="宋体"/>
          <w:sz w:val="24"/>
          <w:szCs w:val="24"/>
          <w:lang w:val="en-US"/>
        </w:rPr>
        <w:t>Reichelderfer</w:t>
      </w:r>
      <w:proofErr w:type="spellEnd"/>
      <w:r>
        <w:rPr>
          <w:rFonts w:ascii="Book Antiqua" w:eastAsia="宋体" w:hAnsi="Book Antiqua" w:cs="宋体"/>
          <w:sz w:val="24"/>
          <w:szCs w:val="24"/>
          <w:lang w:val="en-US"/>
        </w:rPr>
        <w:t xml:space="preserve"> M. PET/CT in the evaluation of inflammatory bowel disease: studies in patients before and after treatment.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 </w:t>
      </w:r>
      <w:proofErr w:type="spellStart"/>
      <w:r>
        <w:rPr>
          <w:rFonts w:ascii="Book Antiqua" w:eastAsia="宋体" w:hAnsi="Book Antiqua" w:cs="宋体"/>
          <w:i/>
          <w:iCs/>
          <w:sz w:val="24"/>
          <w:szCs w:val="24"/>
          <w:lang w:val="en-US"/>
        </w:rPr>
        <w:t>Biol</w:t>
      </w:r>
      <w:proofErr w:type="spellEnd"/>
      <w:r>
        <w:rPr>
          <w:rFonts w:ascii="Book Antiqua" w:eastAsia="宋体" w:hAnsi="Book Antiqua" w:cs="宋体"/>
          <w:sz w:val="24"/>
          <w:szCs w:val="24"/>
          <w:lang w:val="en-US"/>
        </w:rPr>
        <w:t> </w:t>
      </w:r>
      <w:r>
        <w:rPr>
          <w:rFonts w:ascii="Book Antiqua" w:eastAsia="宋体" w:hAnsi="Book Antiqua" w:cs="宋体" w:hint="eastAsia"/>
          <w:sz w:val="24"/>
          <w:szCs w:val="24"/>
          <w:lang w:val="en-US"/>
        </w:rPr>
        <w:t>2010</w:t>
      </w:r>
      <w:r>
        <w:rPr>
          <w:rFonts w:ascii="Book Antiqua" w:eastAsia="宋体" w:hAnsi="Book Antiqua" w:cs="宋体"/>
          <w:sz w:val="24"/>
          <w:szCs w:val="24"/>
          <w:lang w:val="en-US"/>
        </w:rPr>
        <w:t>; </w:t>
      </w:r>
      <w:r>
        <w:rPr>
          <w:rFonts w:ascii="Book Antiqua" w:eastAsia="宋体" w:hAnsi="Book Antiqua" w:cs="宋体"/>
          <w:b/>
          <w:bCs/>
          <w:sz w:val="24"/>
          <w:szCs w:val="24"/>
          <w:lang w:val="en-US"/>
        </w:rPr>
        <w:t>12</w:t>
      </w:r>
      <w:r>
        <w:rPr>
          <w:rFonts w:ascii="Book Antiqua" w:eastAsia="宋体" w:hAnsi="Book Antiqua" w:cs="宋体"/>
          <w:sz w:val="24"/>
          <w:szCs w:val="24"/>
          <w:lang w:val="en-US"/>
        </w:rPr>
        <w:t>: 85-88 [PMID: 19430844 DOI: 10.1007/s11307-009-0232-1]</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26 </w:t>
      </w:r>
      <w:proofErr w:type="spellStart"/>
      <w:r>
        <w:rPr>
          <w:rFonts w:ascii="Book Antiqua" w:eastAsia="宋体" w:hAnsi="Book Antiqua" w:cs="宋体"/>
          <w:b/>
          <w:bCs/>
          <w:sz w:val="24"/>
          <w:szCs w:val="24"/>
          <w:lang w:val="en-US"/>
        </w:rPr>
        <w:t>Glaudemans</w:t>
      </w:r>
      <w:proofErr w:type="spellEnd"/>
      <w:r>
        <w:rPr>
          <w:rFonts w:ascii="Book Antiqua" w:eastAsia="宋体" w:hAnsi="Book Antiqua" w:cs="宋体"/>
          <w:b/>
          <w:bCs/>
          <w:sz w:val="24"/>
          <w:szCs w:val="24"/>
          <w:lang w:val="en-US"/>
        </w:rPr>
        <w:t xml:space="preserve"> AW</w:t>
      </w:r>
      <w:r>
        <w:rPr>
          <w:rFonts w:ascii="Book Antiqua" w:eastAsia="宋体" w:hAnsi="Book Antiqua" w:cs="宋体"/>
          <w:sz w:val="24"/>
          <w:szCs w:val="24"/>
          <w:lang w:val="en-US"/>
        </w:rPr>
        <w:t xml:space="preserve">, de </w:t>
      </w:r>
      <w:proofErr w:type="spellStart"/>
      <w:r>
        <w:rPr>
          <w:rFonts w:ascii="Book Antiqua" w:eastAsia="宋体" w:hAnsi="Book Antiqua" w:cs="宋体"/>
          <w:sz w:val="24"/>
          <w:szCs w:val="24"/>
          <w:lang w:val="en-US"/>
        </w:rPr>
        <w:t>Vries</w:t>
      </w:r>
      <w:proofErr w:type="spellEnd"/>
      <w:r>
        <w:rPr>
          <w:rFonts w:ascii="Book Antiqua" w:eastAsia="宋体" w:hAnsi="Book Antiqua" w:cs="宋体"/>
          <w:sz w:val="24"/>
          <w:szCs w:val="24"/>
          <w:lang w:val="en-US"/>
        </w:rPr>
        <w:t xml:space="preserve"> EF, Galli F, </w:t>
      </w:r>
      <w:proofErr w:type="spellStart"/>
      <w:r>
        <w:rPr>
          <w:rFonts w:ascii="Book Antiqua" w:eastAsia="宋体" w:hAnsi="Book Antiqua" w:cs="宋体"/>
          <w:sz w:val="24"/>
          <w:szCs w:val="24"/>
          <w:lang w:val="en-US"/>
        </w:rPr>
        <w:t>Dierckx</w:t>
      </w:r>
      <w:proofErr w:type="spellEnd"/>
      <w:r>
        <w:rPr>
          <w:rFonts w:ascii="Book Antiqua" w:eastAsia="宋体" w:hAnsi="Book Antiqua" w:cs="宋体"/>
          <w:sz w:val="24"/>
          <w:szCs w:val="24"/>
          <w:lang w:val="en-US"/>
        </w:rPr>
        <w:t xml:space="preserve"> RA, </w:t>
      </w:r>
      <w:proofErr w:type="spellStart"/>
      <w:r>
        <w:rPr>
          <w:rFonts w:ascii="Book Antiqua" w:eastAsia="宋体" w:hAnsi="Book Antiqua" w:cs="宋体"/>
          <w:sz w:val="24"/>
          <w:szCs w:val="24"/>
          <w:lang w:val="en-US"/>
        </w:rPr>
        <w:t>Slart</w:t>
      </w:r>
      <w:proofErr w:type="spellEnd"/>
      <w:r>
        <w:rPr>
          <w:rFonts w:ascii="Book Antiqua" w:eastAsia="宋体" w:hAnsi="Book Antiqua" w:cs="宋体"/>
          <w:sz w:val="24"/>
          <w:szCs w:val="24"/>
          <w:lang w:val="en-US"/>
        </w:rPr>
        <w:t xml:space="preserve"> RH, Signore A. The use of (18)F-FDG-PET/CT for diagnosis and treatment monitoring of inflammatory and infectious diseases. </w:t>
      </w:r>
      <w:proofErr w:type="spellStart"/>
      <w:r>
        <w:rPr>
          <w:rFonts w:ascii="Book Antiqua" w:eastAsia="宋体" w:hAnsi="Book Antiqua" w:cs="宋体"/>
          <w:i/>
          <w:iCs/>
          <w:sz w:val="24"/>
          <w:szCs w:val="24"/>
          <w:lang w:val="en-US"/>
        </w:rPr>
        <w:t>Clin</w:t>
      </w:r>
      <w:proofErr w:type="spellEnd"/>
      <w:r>
        <w:rPr>
          <w:rFonts w:ascii="Book Antiqua" w:eastAsia="宋体" w:hAnsi="Book Antiqua" w:cs="宋体"/>
          <w:i/>
          <w:iCs/>
          <w:sz w:val="24"/>
          <w:szCs w:val="24"/>
          <w:lang w:val="en-US"/>
        </w:rPr>
        <w:t xml:space="preserve"> Dev </w:t>
      </w:r>
      <w:proofErr w:type="spellStart"/>
      <w:r>
        <w:rPr>
          <w:rFonts w:ascii="Book Antiqua" w:eastAsia="宋体" w:hAnsi="Book Antiqua" w:cs="宋体"/>
          <w:i/>
          <w:iCs/>
          <w:sz w:val="24"/>
          <w:szCs w:val="24"/>
          <w:lang w:val="en-US"/>
        </w:rPr>
        <w:t>Immunol</w:t>
      </w:r>
      <w:proofErr w:type="spellEnd"/>
      <w:r>
        <w:rPr>
          <w:rFonts w:ascii="Book Antiqua" w:eastAsia="宋体" w:hAnsi="Book Antiqua" w:cs="宋体"/>
          <w:sz w:val="24"/>
          <w:szCs w:val="24"/>
          <w:lang w:val="en-US"/>
        </w:rPr>
        <w:t> 2013; </w:t>
      </w:r>
      <w:r>
        <w:rPr>
          <w:rFonts w:ascii="Book Antiqua" w:eastAsia="宋体" w:hAnsi="Book Antiqua" w:cs="宋体"/>
          <w:b/>
          <w:bCs/>
          <w:sz w:val="24"/>
          <w:szCs w:val="24"/>
          <w:lang w:val="en-US"/>
        </w:rPr>
        <w:t>2013</w:t>
      </w:r>
      <w:r>
        <w:rPr>
          <w:rFonts w:ascii="Book Antiqua" w:eastAsia="宋体" w:hAnsi="Book Antiqua" w:cs="宋体"/>
          <w:sz w:val="24"/>
          <w:szCs w:val="24"/>
          <w:lang w:val="en-US"/>
        </w:rPr>
        <w:t>: 623036 [PMID: 24027590 DOI: 10.1155/2013/623036]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27 </w:t>
      </w:r>
      <w:r>
        <w:rPr>
          <w:rFonts w:ascii="Book Antiqua" w:eastAsia="宋体" w:hAnsi="Book Antiqua" w:cs="宋体"/>
          <w:b/>
          <w:bCs/>
          <w:sz w:val="24"/>
          <w:szCs w:val="24"/>
          <w:lang w:val="en-US"/>
        </w:rPr>
        <w:t>Rubin DT</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Surma</w:t>
      </w:r>
      <w:proofErr w:type="spellEnd"/>
      <w:r>
        <w:rPr>
          <w:rFonts w:ascii="Book Antiqua" w:eastAsia="宋体" w:hAnsi="Book Antiqua" w:cs="宋体"/>
          <w:sz w:val="24"/>
          <w:szCs w:val="24"/>
          <w:lang w:val="en-US"/>
        </w:rPr>
        <w:t xml:space="preserve"> BL, </w:t>
      </w:r>
      <w:proofErr w:type="spellStart"/>
      <w:r>
        <w:rPr>
          <w:rFonts w:ascii="Book Antiqua" w:eastAsia="宋体" w:hAnsi="Book Antiqua" w:cs="宋体"/>
          <w:sz w:val="24"/>
          <w:szCs w:val="24"/>
          <w:lang w:val="en-US"/>
        </w:rPr>
        <w:t>Gavzy</w:t>
      </w:r>
      <w:proofErr w:type="spellEnd"/>
      <w:r>
        <w:rPr>
          <w:rFonts w:ascii="Book Antiqua" w:eastAsia="宋体" w:hAnsi="Book Antiqua" w:cs="宋体"/>
          <w:sz w:val="24"/>
          <w:szCs w:val="24"/>
          <w:lang w:val="en-US"/>
        </w:rPr>
        <w:t xml:space="preserve"> SJ, Schnell KM, </w:t>
      </w:r>
      <w:proofErr w:type="spellStart"/>
      <w:r>
        <w:rPr>
          <w:rFonts w:ascii="Book Antiqua" w:eastAsia="宋体" w:hAnsi="Book Antiqua" w:cs="宋体"/>
          <w:sz w:val="24"/>
          <w:szCs w:val="24"/>
          <w:lang w:val="en-US"/>
        </w:rPr>
        <w:t>Bunnag</w:t>
      </w:r>
      <w:proofErr w:type="spellEnd"/>
      <w:r>
        <w:rPr>
          <w:rFonts w:ascii="Book Antiqua" w:eastAsia="宋体" w:hAnsi="Book Antiqua" w:cs="宋体"/>
          <w:sz w:val="24"/>
          <w:szCs w:val="24"/>
          <w:lang w:val="en-US"/>
        </w:rPr>
        <w:t xml:space="preserve"> AP, </w:t>
      </w:r>
      <w:proofErr w:type="spellStart"/>
      <w:r>
        <w:rPr>
          <w:rFonts w:ascii="Book Antiqua" w:eastAsia="宋体" w:hAnsi="Book Antiqua" w:cs="宋体"/>
          <w:sz w:val="24"/>
          <w:szCs w:val="24"/>
          <w:lang w:val="en-US"/>
        </w:rPr>
        <w:t>Huo</w:t>
      </w:r>
      <w:proofErr w:type="spellEnd"/>
      <w:r>
        <w:rPr>
          <w:rFonts w:ascii="Book Antiqua" w:eastAsia="宋体" w:hAnsi="Book Antiqua" w:cs="宋体"/>
          <w:sz w:val="24"/>
          <w:szCs w:val="24"/>
          <w:lang w:val="en-US"/>
        </w:rPr>
        <w:t xml:space="preserve"> D, </w:t>
      </w:r>
      <w:proofErr w:type="spellStart"/>
      <w:r>
        <w:rPr>
          <w:rFonts w:ascii="Book Antiqua" w:eastAsia="宋体" w:hAnsi="Book Antiqua" w:cs="宋体"/>
          <w:sz w:val="24"/>
          <w:szCs w:val="24"/>
          <w:lang w:val="en-US"/>
        </w:rPr>
        <w:t>Appelbaum</w:t>
      </w:r>
      <w:proofErr w:type="spellEnd"/>
      <w:r>
        <w:rPr>
          <w:rFonts w:ascii="Book Antiqua" w:eastAsia="宋体" w:hAnsi="Book Antiqua" w:cs="宋体"/>
          <w:sz w:val="24"/>
          <w:szCs w:val="24"/>
          <w:lang w:val="en-US"/>
        </w:rPr>
        <w:t xml:space="preserve"> DE. Positron emission tomography (PET) used to image subclinical inflammation associated with ulcerative colitis (UC) in remission.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2009; </w:t>
      </w:r>
      <w:r>
        <w:rPr>
          <w:rFonts w:ascii="Book Antiqua" w:eastAsia="宋体" w:hAnsi="Book Antiqua" w:cs="宋体"/>
          <w:b/>
          <w:bCs/>
          <w:sz w:val="24"/>
          <w:szCs w:val="24"/>
          <w:lang w:val="en-US"/>
        </w:rPr>
        <w:t>15</w:t>
      </w:r>
      <w:r>
        <w:rPr>
          <w:rFonts w:ascii="Book Antiqua" w:eastAsia="宋体" w:hAnsi="Book Antiqua" w:cs="宋体"/>
          <w:sz w:val="24"/>
          <w:szCs w:val="24"/>
          <w:lang w:val="en-US"/>
        </w:rPr>
        <w:t>: 750-755 [PMID: 19090558 DOI: 10.1002/ibd.20819]</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28 </w:t>
      </w:r>
      <w:r>
        <w:rPr>
          <w:rFonts w:ascii="Book Antiqua" w:eastAsia="宋体" w:hAnsi="Book Antiqua" w:cs="宋体"/>
          <w:b/>
          <w:bCs/>
          <w:sz w:val="24"/>
          <w:szCs w:val="24"/>
          <w:lang w:val="en-US"/>
        </w:rPr>
        <w:t>Lapp RT</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Spier</w:t>
      </w:r>
      <w:proofErr w:type="spellEnd"/>
      <w:r>
        <w:rPr>
          <w:rFonts w:ascii="Book Antiqua" w:eastAsia="宋体" w:hAnsi="Book Antiqua" w:cs="宋体"/>
          <w:sz w:val="24"/>
          <w:szCs w:val="24"/>
          <w:lang w:val="en-US"/>
        </w:rPr>
        <w:t xml:space="preserve"> BJ, Perlman SB, </w:t>
      </w:r>
      <w:proofErr w:type="spellStart"/>
      <w:r>
        <w:rPr>
          <w:rFonts w:ascii="Book Antiqua" w:eastAsia="宋体" w:hAnsi="Book Antiqua" w:cs="宋体"/>
          <w:sz w:val="24"/>
          <w:szCs w:val="24"/>
          <w:lang w:val="en-US"/>
        </w:rPr>
        <w:t>Jaskowiak</w:t>
      </w:r>
      <w:proofErr w:type="spellEnd"/>
      <w:r>
        <w:rPr>
          <w:rFonts w:ascii="Book Antiqua" w:eastAsia="宋体" w:hAnsi="Book Antiqua" w:cs="宋体"/>
          <w:sz w:val="24"/>
          <w:szCs w:val="24"/>
          <w:lang w:val="en-US"/>
        </w:rPr>
        <w:t xml:space="preserve"> CJ, </w:t>
      </w:r>
      <w:proofErr w:type="spellStart"/>
      <w:r>
        <w:rPr>
          <w:rFonts w:ascii="Book Antiqua" w:eastAsia="宋体" w:hAnsi="Book Antiqua" w:cs="宋体"/>
          <w:sz w:val="24"/>
          <w:szCs w:val="24"/>
          <w:lang w:val="en-US"/>
        </w:rPr>
        <w:t>Reichelderfer</w:t>
      </w:r>
      <w:proofErr w:type="spellEnd"/>
      <w:r>
        <w:rPr>
          <w:rFonts w:ascii="Book Antiqua" w:eastAsia="宋体" w:hAnsi="Book Antiqua" w:cs="宋体"/>
          <w:sz w:val="24"/>
          <w:szCs w:val="24"/>
          <w:lang w:val="en-US"/>
        </w:rPr>
        <w:t xml:space="preserve"> M. Clinical utility of positron emission tomography/computed tomography in inflammatory bowel disease.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 </w:t>
      </w:r>
      <w:proofErr w:type="spellStart"/>
      <w:r>
        <w:rPr>
          <w:rFonts w:ascii="Book Antiqua" w:eastAsia="宋体" w:hAnsi="Book Antiqua" w:cs="宋体"/>
          <w:i/>
          <w:iCs/>
          <w:sz w:val="24"/>
          <w:szCs w:val="24"/>
          <w:lang w:val="en-US"/>
        </w:rPr>
        <w:t>Biol</w:t>
      </w:r>
      <w:proofErr w:type="spellEnd"/>
      <w:r>
        <w:rPr>
          <w:rFonts w:ascii="Book Antiqua" w:eastAsia="宋体" w:hAnsi="Book Antiqua" w:cs="宋体"/>
          <w:sz w:val="24"/>
          <w:szCs w:val="24"/>
          <w:lang w:val="en-US"/>
        </w:rPr>
        <w:t> 2011; </w:t>
      </w:r>
      <w:r>
        <w:rPr>
          <w:rFonts w:ascii="Book Antiqua" w:eastAsia="宋体" w:hAnsi="Book Antiqua" w:cs="宋体"/>
          <w:b/>
          <w:bCs/>
          <w:sz w:val="24"/>
          <w:szCs w:val="24"/>
          <w:lang w:val="en-US"/>
        </w:rPr>
        <w:t>13</w:t>
      </w:r>
      <w:r>
        <w:rPr>
          <w:rFonts w:ascii="Book Antiqua" w:eastAsia="宋体" w:hAnsi="Book Antiqua" w:cs="宋体"/>
          <w:sz w:val="24"/>
          <w:szCs w:val="24"/>
          <w:lang w:val="en-US"/>
        </w:rPr>
        <w:t>: 573-576 [PMID: 20574849 DOI: 10.1007/s11307-010-0367-0]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29 </w:t>
      </w:r>
      <w:proofErr w:type="spellStart"/>
      <w:r>
        <w:rPr>
          <w:rFonts w:ascii="Book Antiqua" w:eastAsia="宋体" w:hAnsi="Book Antiqua" w:cs="宋体"/>
          <w:b/>
          <w:bCs/>
          <w:sz w:val="24"/>
          <w:szCs w:val="24"/>
          <w:lang w:val="en-US"/>
        </w:rPr>
        <w:t>Jacene</w:t>
      </w:r>
      <w:proofErr w:type="spellEnd"/>
      <w:r>
        <w:rPr>
          <w:rFonts w:ascii="Book Antiqua" w:eastAsia="宋体" w:hAnsi="Book Antiqua" w:cs="宋体"/>
          <w:b/>
          <w:bCs/>
          <w:sz w:val="24"/>
          <w:szCs w:val="24"/>
          <w:lang w:val="en-US"/>
        </w:rPr>
        <w:t xml:space="preserve"> HA</w:t>
      </w:r>
      <w:r>
        <w:rPr>
          <w:rFonts w:ascii="Book Antiqua" w:eastAsia="宋体" w:hAnsi="Book Antiqua" w:cs="宋体"/>
          <w:sz w:val="24"/>
          <w:szCs w:val="24"/>
          <w:lang w:val="en-US"/>
        </w:rPr>
        <w:t>, Ginsburg P, Kwon J, Nguyen GC, Montgomery EA, Bayless TM, Wahl RL. Prediction of the need for surgical intervention in obstructive Crohn's disease by 18F-FDG PET/CT.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2009; </w:t>
      </w:r>
      <w:r>
        <w:rPr>
          <w:rFonts w:ascii="Book Antiqua" w:eastAsia="宋体" w:hAnsi="Book Antiqua" w:cs="宋体"/>
          <w:b/>
          <w:bCs/>
          <w:sz w:val="24"/>
          <w:szCs w:val="24"/>
          <w:lang w:val="en-US"/>
        </w:rPr>
        <w:t>50</w:t>
      </w:r>
      <w:r>
        <w:rPr>
          <w:rFonts w:ascii="Book Antiqua" w:eastAsia="宋体" w:hAnsi="Book Antiqua" w:cs="宋体"/>
          <w:sz w:val="24"/>
          <w:szCs w:val="24"/>
          <w:lang w:val="en-US"/>
        </w:rPr>
        <w:t>: 1751-1759 [PMID: 19837758 DOI: 10.2967/jnumed.109.065466]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30 </w:t>
      </w:r>
      <w:proofErr w:type="spellStart"/>
      <w:r>
        <w:rPr>
          <w:rFonts w:ascii="Book Antiqua" w:eastAsia="宋体" w:hAnsi="Book Antiqua" w:cs="宋体"/>
          <w:b/>
          <w:bCs/>
          <w:sz w:val="24"/>
          <w:szCs w:val="24"/>
          <w:lang w:val="en-US"/>
        </w:rPr>
        <w:t>Kuwaki</w:t>
      </w:r>
      <w:proofErr w:type="spellEnd"/>
      <w:r>
        <w:rPr>
          <w:rFonts w:ascii="Book Antiqua" w:eastAsia="宋体" w:hAnsi="Book Antiqua" w:cs="宋体"/>
          <w:b/>
          <w:bCs/>
          <w:sz w:val="24"/>
          <w:szCs w:val="24"/>
          <w:lang w:val="en-US"/>
        </w:rPr>
        <w:t xml:space="preserve"> K</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Mitsuyama</w:t>
      </w:r>
      <w:proofErr w:type="spellEnd"/>
      <w:r>
        <w:rPr>
          <w:rFonts w:ascii="Book Antiqua" w:eastAsia="宋体" w:hAnsi="Book Antiqua" w:cs="宋体"/>
          <w:sz w:val="24"/>
          <w:szCs w:val="24"/>
          <w:lang w:val="en-US"/>
        </w:rPr>
        <w:t xml:space="preserve"> K, </w:t>
      </w:r>
      <w:proofErr w:type="spellStart"/>
      <w:r>
        <w:rPr>
          <w:rFonts w:ascii="Book Antiqua" w:eastAsia="宋体" w:hAnsi="Book Antiqua" w:cs="宋体"/>
          <w:sz w:val="24"/>
          <w:szCs w:val="24"/>
          <w:lang w:val="en-US"/>
        </w:rPr>
        <w:t>Kaida</w:t>
      </w:r>
      <w:proofErr w:type="spellEnd"/>
      <w:r>
        <w:rPr>
          <w:rFonts w:ascii="Book Antiqua" w:eastAsia="宋体" w:hAnsi="Book Antiqua" w:cs="宋体"/>
          <w:sz w:val="24"/>
          <w:szCs w:val="24"/>
          <w:lang w:val="en-US"/>
        </w:rPr>
        <w:t xml:space="preserve"> H, </w:t>
      </w:r>
      <w:proofErr w:type="spellStart"/>
      <w:r>
        <w:rPr>
          <w:rFonts w:ascii="Book Antiqua" w:eastAsia="宋体" w:hAnsi="Book Antiqua" w:cs="宋体"/>
          <w:sz w:val="24"/>
          <w:szCs w:val="24"/>
          <w:lang w:val="en-US"/>
        </w:rPr>
        <w:t>Takedatsu</w:t>
      </w:r>
      <w:proofErr w:type="spellEnd"/>
      <w:r>
        <w:rPr>
          <w:rFonts w:ascii="Book Antiqua" w:eastAsia="宋体" w:hAnsi="Book Antiqua" w:cs="宋体"/>
          <w:sz w:val="24"/>
          <w:szCs w:val="24"/>
          <w:lang w:val="en-US"/>
        </w:rPr>
        <w:t xml:space="preserve"> H, Yoshioka S, Yamasaki H, Yamauchi R, </w:t>
      </w:r>
      <w:proofErr w:type="spellStart"/>
      <w:r>
        <w:rPr>
          <w:rFonts w:ascii="Book Antiqua" w:eastAsia="宋体" w:hAnsi="Book Antiqua" w:cs="宋体"/>
          <w:sz w:val="24"/>
          <w:szCs w:val="24"/>
          <w:lang w:val="en-US"/>
        </w:rPr>
        <w:t>Fukunaga</w:t>
      </w:r>
      <w:proofErr w:type="spellEnd"/>
      <w:r>
        <w:rPr>
          <w:rFonts w:ascii="Book Antiqua" w:eastAsia="宋体" w:hAnsi="Book Antiqua" w:cs="宋体"/>
          <w:sz w:val="24"/>
          <w:szCs w:val="24"/>
          <w:lang w:val="en-US"/>
        </w:rPr>
        <w:t xml:space="preserve"> S, Abe T, </w:t>
      </w:r>
      <w:proofErr w:type="spellStart"/>
      <w:r>
        <w:rPr>
          <w:rFonts w:ascii="Book Antiqua" w:eastAsia="宋体" w:hAnsi="Book Antiqua" w:cs="宋体"/>
          <w:sz w:val="24"/>
          <w:szCs w:val="24"/>
          <w:lang w:val="en-US"/>
        </w:rPr>
        <w:t>Tsuruta</w:t>
      </w:r>
      <w:proofErr w:type="spellEnd"/>
      <w:r>
        <w:rPr>
          <w:rFonts w:ascii="Book Antiqua" w:eastAsia="宋体" w:hAnsi="Book Antiqua" w:cs="宋体"/>
          <w:sz w:val="24"/>
          <w:szCs w:val="24"/>
          <w:lang w:val="en-US"/>
        </w:rPr>
        <w:t xml:space="preserve"> O, </w:t>
      </w:r>
      <w:proofErr w:type="spellStart"/>
      <w:r>
        <w:rPr>
          <w:rFonts w:ascii="Book Antiqua" w:eastAsia="宋体" w:hAnsi="Book Antiqua" w:cs="宋体"/>
          <w:sz w:val="24"/>
          <w:szCs w:val="24"/>
          <w:lang w:val="en-US"/>
        </w:rPr>
        <w:t>Torimura</w:t>
      </w:r>
      <w:proofErr w:type="spellEnd"/>
      <w:r>
        <w:rPr>
          <w:rFonts w:ascii="Book Antiqua" w:eastAsia="宋体" w:hAnsi="Book Antiqua" w:cs="宋体"/>
          <w:sz w:val="24"/>
          <w:szCs w:val="24"/>
          <w:lang w:val="en-US"/>
        </w:rPr>
        <w:t xml:space="preserve"> T. A longitudinal study of FDG-PET in Crohn disease patients receiving granulocyte/monocyte apheresis therapy. </w:t>
      </w:r>
      <w:proofErr w:type="spellStart"/>
      <w:r>
        <w:rPr>
          <w:rFonts w:ascii="Book Antiqua" w:eastAsia="宋体" w:hAnsi="Book Antiqua" w:cs="宋体"/>
          <w:i/>
          <w:iCs/>
          <w:sz w:val="24"/>
          <w:szCs w:val="24"/>
          <w:lang w:val="en-US"/>
        </w:rPr>
        <w:t>Cytotherapy</w:t>
      </w:r>
      <w:proofErr w:type="spellEnd"/>
      <w:r>
        <w:rPr>
          <w:rFonts w:ascii="Book Antiqua" w:eastAsia="宋体" w:hAnsi="Book Antiqua" w:cs="宋体"/>
          <w:sz w:val="24"/>
          <w:szCs w:val="24"/>
          <w:lang w:val="en-US"/>
        </w:rPr>
        <w:t> 2016; </w:t>
      </w:r>
      <w:r>
        <w:rPr>
          <w:rFonts w:ascii="Book Antiqua" w:eastAsia="宋体" w:hAnsi="Book Antiqua" w:cs="宋体"/>
          <w:b/>
          <w:bCs/>
          <w:sz w:val="24"/>
          <w:szCs w:val="24"/>
          <w:lang w:val="en-US"/>
        </w:rPr>
        <w:t>18</w:t>
      </w:r>
      <w:r>
        <w:rPr>
          <w:rFonts w:ascii="Book Antiqua" w:eastAsia="宋体" w:hAnsi="Book Antiqua" w:cs="宋体"/>
          <w:sz w:val="24"/>
          <w:szCs w:val="24"/>
          <w:lang w:val="en-US"/>
        </w:rPr>
        <w:t>: 291-299 [PMID: 26700210 DOI: 10.1016/j.jcyt.2015.10.010]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31 </w:t>
      </w:r>
      <w:proofErr w:type="spellStart"/>
      <w:r>
        <w:rPr>
          <w:rFonts w:ascii="Book Antiqua" w:eastAsia="宋体" w:hAnsi="Book Antiqua" w:cs="宋体"/>
          <w:b/>
          <w:bCs/>
          <w:sz w:val="24"/>
          <w:szCs w:val="24"/>
          <w:lang w:val="en-US"/>
        </w:rPr>
        <w:t>Saboury</w:t>
      </w:r>
      <w:proofErr w:type="spellEnd"/>
      <w:r>
        <w:rPr>
          <w:rFonts w:ascii="Book Antiqua" w:eastAsia="宋体" w:hAnsi="Book Antiqua" w:cs="宋体"/>
          <w:b/>
          <w:bCs/>
          <w:sz w:val="24"/>
          <w:szCs w:val="24"/>
          <w:lang w:val="en-US"/>
        </w:rPr>
        <w:t xml:space="preserve"> B</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Salavati</w:t>
      </w:r>
      <w:proofErr w:type="spellEnd"/>
      <w:r>
        <w:rPr>
          <w:rFonts w:ascii="Book Antiqua" w:eastAsia="宋体" w:hAnsi="Book Antiqua" w:cs="宋体"/>
          <w:sz w:val="24"/>
          <w:szCs w:val="24"/>
          <w:lang w:val="en-US"/>
        </w:rPr>
        <w:t xml:space="preserve"> A, Brothers A, </w:t>
      </w:r>
      <w:proofErr w:type="spellStart"/>
      <w:r>
        <w:rPr>
          <w:rFonts w:ascii="Book Antiqua" w:eastAsia="宋体" w:hAnsi="Book Antiqua" w:cs="宋体"/>
          <w:sz w:val="24"/>
          <w:szCs w:val="24"/>
          <w:lang w:val="en-US"/>
        </w:rPr>
        <w:t>Basu</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Kwee</w:t>
      </w:r>
      <w:proofErr w:type="spellEnd"/>
      <w:r>
        <w:rPr>
          <w:rFonts w:ascii="Book Antiqua" w:eastAsia="宋体" w:hAnsi="Book Antiqua" w:cs="宋体"/>
          <w:sz w:val="24"/>
          <w:szCs w:val="24"/>
          <w:lang w:val="en-US"/>
        </w:rPr>
        <w:t xml:space="preserve"> TC, Lam MG, </w:t>
      </w:r>
      <w:proofErr w:type="spellStart"/>
      <w:r>
        <w:rPr>
          <w:rFonts w:ascii="Book Antiqua" w:eastAsia="宋体" w:hAnsi="Book Antiqua" w:cs="宋体"/>
          <w:sz w:val="24"/>
          <w:szCs w:val="24"/>
          <w:lang w:val="en-US"/>
        </w:rPr>
        <w:t>Hustinx</w:t>
      </w:r>
      <w:proofErr w:type="spellEnd"/>
      <w:r>
        <w:rPr>
          <w:rFonts w:ascii="Book Antiqua" w:eastAsia="宋体" w:hAnsi="Book Antiqua" w:cs="宋体"/>
          <w:sz w:val="24"/>
          <w:szCs w:val="24"/>
          <w:lang w:val="en-US"/>
        </w:rPr>
        <w:t xml:space="preserve"> R, Louis E, </w:t>
      </w:r>
      <w:proofErr w:type="spellStart"/>
      <w:r>
        <w:rPr>
          <w:rFonts w:ascii="Book Antiqua" w:eastAsia="宋体" w:hAnsi="Book Antiqua" w:cs="宋体"/>
          <w:sz w:val="24"/>
          <w:szCs w:val="24"/>
          <w:lang w:val="en-US"/>
        </w:rPr>
        <w:t>Torigian</w:t>
      </w:r>
      <w:proofErr w:type="spellEnd"/>
      <w:r>
        <w:rPr>
          <w:rFonts w:ascii="Book Antiqua" w:eastAsia="宋体" w:hAnsi="Book Antiqua" w:cs="宋体"/>
          <w:sz w:val="24"/>
          <w:szCs w:val="24"/>
          <w:lang w:val="en-US"/>
        </w:rPr>
        <w:t xml:space="preserve"> DA, </w:t>
      </w:r>
      <w:proofErr w:type="spellStart"/>
      <w:r>
        <w:rPr>
          <w:rFonts w:ascii="Book Antiqua" w:eastAsia="宋体" w:hAnsi="Book Antiqua" w:cs="宋体"/>
          <w:sz w:val="24"/>
          <w:szCs w:val="24"/>
          <w:lang w:val="en-US"/>
        </w:rPr>
        <w:t>Alavi</w:t>
      </w:r>
      <w:proofErr w:type="spellEnd"/>
      <w:r>
        <w:rPr>
          <w:rFonts w:ascii="Book Antiqua" w:eastAsia="宋体" w:hAnsi="Book Antiqua" w:cs="宋体"/>
          <w:sz w:val="24"/>
          <w:szCs w:val="24"/>
          <w:lang w:val="en-US"/>
        </w:rPr>
        <w:t xml:space="preserve"> A. FDG PET/CT in Crohn's disease: correlation of quantitative FDG PET/CT parameters with clinical and endoscopic surrogate markers of disease activity.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2014; </w:t>
      </w:r>
      <w:r>
        <w:rPr>
          <w:rFonts w:ascii="Book Antiqua" w:eastAsia="宋体" w:hAnsi="Book Antiqua" w:cs="宋体"/>
          <w:b/>
          <w:bCs/>
          <w:sz w:val="24"/>
          <w:szCs w:val="24"/>
          <w:lang w:val="en-US"/>
        </w:rPr>
        <w:t>41</w:t>
      </w:r>
      <w:r>
        <w:rPr>
          <w:rFonts w:ascii="Book Antiqua" w:eastAsia="宋体" w:hAnsi="Book Antiqua" w:cs="宋体"/>
          <w:sz w:val="24"/>
          <w:szCs w:val="24"/>
          <w:lang w:val="en-US"/>
        </w:rPr>
        <w:t>: 605-614 [PMID: 24253895 DOI: 10.1007/s00259-013-2625-2]</w:t>
      </w:r>
    </w:p>
    <w:p w:rsidR="0003376C" w:rsidRDefault="005739BD" w:rsidP="00924331">
      <w:pPr>
        <w:spacing w:after="0" w:line="360" w:lineRule="auto"/>
        <w:jc w:val="both"/>
        <w:rPr>
          <w:rFonts w:ascii="Book Antiqua" w:eastAsia="宋体" w:hAnsi="Book Antiqua" w:cs="宋体"/>
          <w:sz w:val="24"/>
          <w:szCs w:val="24"/>
          <w:lang w:val="it-CH"/>
        </w:rPr>
      </w:pPr>
      <w:r>
        <w:rPr>
          <w:rFonts w:ascii="Book Antiqua" w:eastAsia="宋体" w:hAnsi="Book Antiqua" w:cs="宋体"/>
          <w:sz w:val="24"/>
          <w:szCs w:val="24"/>
          <w:lang w:val="en-US"/>
        </w:rPr>
        <w:lastRenderedPageBreak/>
        <w:t>32 </w:t>
      </w:r>
      <w:proofErr w:type="spellStart"/>
      <w:r>
        <w:rPr>
          <w:rFonts w:ascii="Book Antiqua" w:eastAsia="宋体" w:hAnsi="Book Antiqua" w:cs="宋体"/>
          <w:b/>
          <w:bCs/>
          <w:sz w:val="24"/>
          <w:szCs w:val="24"/>
          <w:lang w:val="en-US"/>
        </w:rPr>
        <w:t>Alberini</w:t>
      </w:r>
      <w:proofErr w:type="spellEnd"/>
      <w:r>
        <w:rPr>
          <w:rFonts w:ascii="Book Antiqua" w:eastAsia="宋体" w:hAnsi="Book Antiqua" w:cs="宋体"/>
          <w:b/>
          <w:bCs/>
          <w:sz w:val="24"/>
          <w:szCs w:val="24"/>
          <w:lang w:val="en-US"/>
        </w:rPr>
        <w:t xml:space="preserve"> JL</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Badran</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Freneaux</w:t>
      </w:r>
      <w:proofErr w:type="spellEnd"/>
      <w:r>
        <w:rPr>
          <w:rFonts w:ascii="Book Antiqua" w:eastAsia="宋体" w:hAnsi="Book Antiqua" w:cs="宋体"/>
          <w:sz w:val="24"/>
          <w:szCs w:val="24"/>
          <w:lang w:val="en-US"/>
        </w:rPr>
        <w:t xml:space="preserve"> E, </w:t>
      </w:r>
      <w:proofErr w:type="spellStart"/>
      <w:r>
        <w:rPr>
          <w:rFonts w:ascii="Book Antiqua" w:eastAsia="宋体" w:hAnsi="Book Antiqua" w:cs="宋体"/>
          <w:sz w:val="24"/>
          <w:szCs w:val="24"/>
          <w:lang w:val="en-US"/>
        </w:rPr>
        <w:t>Hadji</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Kalifa</w:t>
      </w:r>
      <w:proofErr w:type="spellEnd"/>
      <w:r>
        <w:rPr>
          <w:rFonts w:ascii="Book Antiqua" w:eastAsia="宋体" w:hAnsi="Book Antiqua" w:cs="宋体"/>
          <w:sz w:val="24"/>
          <w:szCs w:val="24"/>
          <w:lang w:val="en-US"/>
        </w:rPr>
        <w:t xml:space="preserve"> G, </w:t>
      </w:r>
      <w:proofErr w:type="spellStart"/>
      <w:r>
        <w:rPr>
          <w:rFonts w:ascii="Book Antiqua" w:eastAsia="宋体" w:hAnsi="Book Antiqua" w:cs="宋体"/>
          <w:sz w:val="24"/>
          <w:szCs w:val="24"/>
          <w:lang w:val="en-US"/>
        </w:rPr>
        <w:t>Devaux</w:t>
      </w:r>
      <w:proofErr w:type="spellEnd"/>
      <w:r>
        <w:rPr>
          <w:rFonts w:ascii="Book Antiqua" w:eastAsia="宋体" w:hAnsi="Book Antiqua" w:cs="宋体"/>
          <w:sz w:val="24"/>
          <w:szCs w:val="24"/>
          <w:lang w:val="en-US"/>
        </w:rPr>
        <w:t xml:space="preserve"> JY, </w:t>
      </w:r>
      <w:proofErr w:type="spellStart"/>
      <w:r>
        <w:rPr>
          <w:rFonts w:ascii="Book Antiqua" w:eastAsia="宋体" w:hAnsi="Book Antiqua" w:cs="宋体"/>
          <w:sz w:val="24"/>
          <w:szCs w:val="24"/>
          <w:lang w:val="en-US"/>
        </w:rPr>
        <w:t>Dupont</w:t>
      </w:r>
      <w:proofErr w:type="spellEnd"/>
      <w:r>
        <w:rPr>
          <w:rFonts w:ascii="Book Antiqua" w:eastAsia="宋体" w:hAnsi="Book Antiqua" w:cs="宋体"/>
          <w:sz w:val="24"/>
          <w:szCs w:val="24"/>
          <w:lang w:val="en-US"/>
        </w:rPr>
        <w:t xml:space="preserve"> T. Technetium-99m HMPAO-labeled leukocyte imaging compared with endoscopy, ultrasonography, and contrast radiology in children with inflammatory bowel disease. </w:t>
      </w:r>
      <w:r>
        <w:rPr>
          <w:rFonts w:ascii="Book Antiqua" w:eastAsia="宋体" w:hAnsi="Book Antiqua" w:cs="宋体"/>
          <w:i/>
          <w:iCs/>
          <w:sz w:val="24"/>
          <w:szCs w:val="24"/>
          <w:lang w:val="it-CH"/>
        </w:rPr>
        <w:t>J Pediatr Gastroenterol Nutr</w:t>
      </w:r>
      <w:r>
        <w:rPr>
          <w:rFonts w:ascii="Book Antiqua" w:eastAsia="宋体" w:hAnsi="Book Antiqua" w:cs="宋体"/>
          <w:sz w:val="24"/>
          <w:szCs w:val="24"/>
          <w:lang w:val="it-CH"/>
        </w:rPr>
        <w:t> 2001; </w:t>
      </w:r>
      <w:r>
        <w:rPr>
          <w:rFonts w:ascii="Book Antiqua" w:eastAsia="宋体" w:hAnsi="Book Antiqua" w:cs="宋体"/>
          <w:b/>
          <w:bCs/>
          <w:sz w:val="24"/>
          <w:szCs w:val="24"/>
          <w:lang w:val="it-CH"/>
        </w:rPr>
        <w:t>32</w:t>
      </w:r>
      <w:r>
        <w:rPr>
          <w:rFonts w:ascii="Book Antiqua" w:eastAsia="宋体" w:hAnsi="Book Antiqua" w:cs="宋体"/>
          <w:sz w:val="24"/>
          <w:szCs w:val="24"/>
          <w:lang w:val="it-CH"/>
        </w:rPr>
        <w:t>: 278-286 [PMID: 11345176]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it-CH"/>
        </w:rPr>
        <w:t>33 </w:t>
      </w:r>
      <w:r>
        <w:rPr>
          <w:rFonts w:ascii="Book Antiqua" w:eastAsia="宋体" w:hAnsi="Book Antiqua" w:cs="宋体"/>
          <w:b/>
          <w:bCs/>
          <w:sz w:val="24"/>
          <w:szCs w:val="24"/>
          <w:lang w:val="it-CH"/>
        </w:rPr>
        <w:t>Charron M</w:t>
      </w:r>
      <w:r>
        <w:rPr>
          <w:rFonts w:ascii="Book Antiqua" w:eastAsia="宋体" w:hAnsi="Book Antiqua" w:cs="宋体"/>
          <w:sz w:val="24"/>
          <w:szCs w:val="24"/>
          <w:lang w:val="it-CH"/>
        </w:rPr>
        <w:t xml:space="preserve">, del Rosario FJ, Kocoshis SA. </w:t>
      </w:r>
      <w:r>
        <w:rPr>
          <w:rFonts w:ascii="Book Antiqua" w:eastAsia="宋体" w:hAnsi="Book Antiqua" w:cs="宋体"/>
          <w:sz w:val="24"/>
          <w:szCs w:val="24"/>
          <w:lang w:val="en-US"/>
        </w:rPr>
        <w:t>Pediatric inflammatory bowel disease: assessment with scintigraphy with 99mTc white blood cells. </w:t>
      </w:r>
      <w:r>
        <w:rPr>
          <w:rFonts w:ascii="Book Antiqua" w:eastAsia="宋体" w:hAnsi="Book Antiqua" w:cs="宋体"/>
          <w:i/>
          <w:iCs/>
          <w:sz w:val="24"/>
          <w:szCs w:val="24"/>
          <w:lang w:val="en-US"/>
        </w:rPr>
        <w:t>Radiology</w:t>
      </w:r>
      <w:r>
        <w:rPr>
          <w:rFonts w:ascii="Book Antiqua" w:eastAsia="宋体" w:hAnsi="Book Antiqua" w:cs="宋体"/>
          <w:sz w:val="24"/>
          <w:szCs w:val="24"/>
          <w:lang w:val="en-US"/>
        </w:rPr>
        <w:t> 1999; </w:t>
      </w:r>
      <w:r>
        <w:rPr>
          <w:rFonts w:ascii="Book Antiqua" w:eastAsia="宋体" w:hAnsi="Book Antiqua" w:cs="宋体"/>
          <w:b/>
          <w:bCs/>
          <w:sz w:val="24"/>
          <w:szCs w:val="24"/>
          <w:lang w:val="en-US"/>
        </w:rPr>
        <w:t>212</w:t>
      </w:r>
      <w:r>
        <w:rPr>
          <w:rFonts w:ascii="Book Antiqua" w:eastAsia="宋体" w:hAnsi="Book Antiqua" w:cs="宋体"/>
          <w:sz w:val="24"/>
          <w:szCs w:val="24"/>
          <w:lang w:val="en-US"/>
        </w:rPr>
        <w:t>: 507-513 [PMID: 10429710 DOI: 10.1148/radiology.212.2.r99au45507]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34 </w:t>
      </w:r>
      <w:proofErr w:type="spellStart"/>
      <w:r>
        <w:rPr>
          <w:rFonts w:ascii="Book Antiqua" w:eastAsia="宋体" w:hAnsi="Book Antiqua" w:cs="宋体"/>
          <w:b/>
          <w:bCs/>
          <w:sz w:val="24"/>
          <w:szCs w:val="24"/>
          <w:lang w:val="en-US"/>
        </w:rPr>
        <w:t>Caobelli</w:t>
      </w:r>
      <w:proofErr w:type="spellEnd"/>
      <w:r>
        <w:rPr>
          <w:rFonts w:ascii="Book Antiqua" w:eastAsia="宋体" w:hAnsi="Book Antiqua" w:cs="宋体"/>
          <w:b/>
          <w:bCs/>
          <w:sz w:val="24"/>
          <w:szCs w:val="24"/>
          <w:lang w:val="en-US"/>
        </w:rPr>
        <w:t xml:space="preserve"> F</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Panarotto</w:t>
      </w:r>
      <w:proofErr w:type="spellEnd"/>
      <w:r>
        <w:rPr>
          <w:rFonts w:ascii="Book Antiqua" w:eastAsia="宋体" w:hAnsi="Book Antiqua" w:cs="宋体"/>
          <w:sz w:val="24"/>
          <w:szCs w:val="24"/>
          <w:lang w:val="en-US"/>
        </w:rPr>
        <w:t xml:space="preserve"> MB, </w:t>
      </w:r>
      <w:proofErr w:type="spellStart"/>
      <w:r>
        <w:rPr>
          <w:rFonts w:ascii="Book Antiqua" w:eastAsia="宋体" w:hAnsi="Book Antiqua" w:cs="宋体"/>
          <w:sz w:val="24"/>
          <w:szCs w:val="24"/>
          <w:lang w:val="en-US"/>
        </w:rPr>
        <w:t>Andreoli</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Ravelli</w:t>
      </w:r>
      <w:proofErr w:type="spellEnd"/>
      <w:r>
        <w:rPr>
          <w:rFonts w:ascii="Book Antiqua" w:eastAsia="宋体" w:hAnsi="Book Antiqua" w:cs="宋体"/>
          <w:sz w:val="24"/>
          <w:szCs w:val="24"/>
          <w:lang w:val="en-US"/>
        </w:rPr>
        <w:t xml:space="preserve"> A, De </w:t>
      </w:r>
      <w:proofErr w:type="spellStart"/>
      <w:r>
        <w:rPr>
          <w:rFonts w:ascii="Book Antiqua" w:eastAsia="宋体" w:hAnsi="Book Antiqua" w:cs="宋体"/>
          <w:sz w:val="24"/>
          <w:szCs w:val="24"/>
          <w:lang w:val="en-US"/>
        </w:rPr>
        <w:t>Agostini</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Giubbini</w:t>
      </w:r>
      <w:proofErr w:type="spellEnd"/>
      <w:r>
        <w:rPr>
          <w:rFonts w:ascii="Book Antiqua" w:eastAsia="宋体" w:hAnsi="Book Antiqua" w:cs="宋体"/>
          <w:sz w:val="24"/>
          <w:szCs w:val="24"/>
          <w:lang w:val="en-US"/>
        </w:rPr>
        <w:t xml:space="preserve"> R. Is 99mTc-HMPAO granulocyte scan an alternative to endoscopy in pediatric chronic inflammatory bowel disease (IBD)?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sz w:val="24"/>
          <w:szCs w:val="24"/>
          <w:lang w:val="en-US"/>
        </w:rPr>
        <w:t> 2011; </w:t>
      </w:r>
      <w:r>
        <w:rPr>
          <w:rFonts w:ascii="Book Antiqua" w:eastAsia="宋体" w:hAnsi="Book Antiqua" w:cs="宋体"/>
          <w:b/>
          <w:bCs/>
          <w:sz w:val="24"/>
          <w:szCs w:val="24"/>
          <w:lang w:val="en-US"/>
        </w:rPr>
        <w:t>170</w:t>
      </w:r>
      <w:r>
        <w:rPr>
          <w:rFonts w:ascii="Book Antiqua" w:eastAsia="宋体" w:hAnsi="Book Antiqua" w:cs="宋体"/>
          <w:sz w:val="24"/>
          <w:szCs w:val="24"/>
          <w:lang w:val="en-US"/>
        </w:rPr>
        <w:t>: 51-57 [PMID: 20669028 DOI: 10.1007/s00431-010-1269-5]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35 </w:t>
      </w:r>
      <w:proofErr w:type="spellStart"/>
      <w:r>
        <w:rPr>
          <w:rFonts w:ascii="Book Antiqua" w:eastAsia="宋体" w:hAnsi="Book Antiqua" w:cs="宋体"/>
          <w:b/>
          <w:bCs/>
          <w:sz w:val="24"/>
          <w:szCs w:val="24"/>
          <w:lang w:val="en-US"/>
        </w:rPr>
        <w:t>Cucchiara</w:t>
      </w:r>
      <w:proofErr w:type="spellEnd"/>
      <w:r>
        <w:rPr>
          <w:rFonts w:ascii="Book Antiqua" w:eastAsia="宋体" w:hAnsi="Book Antiqua" w:cs="宋体"/>
          <w:b/>
          <w:bCs/>
          <w:sz w:val="24"/>
          <w:szCs w:val="24"/>
          <w:lang w:val="en-US"/>
        </w:rPr>
        <w:t xml:space="preserve"> S</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Celentano</w:t>
      </w:r>
      <w:proofErr w:type="spellEnd"/>
      <w:r>
        <w:rPr>
          <w:rFonts w:ascii="Book Antiqua" w:eastAsia="宋体" w:hAnsi="Book Antiqua" w:cs="宋体"/>
          <w:sz w:val="24"/>
          <w:szCs w:val="24"/>
          <w:lang w:val="en-US"/>
        </w:rPr>
        <w:t xml:space="preserve"> L, de </w:t>
      </w:r>
      <w:proofErr w:type="spellStart"/>
      <w:r>
        <w:rPr>
          <w:rFonts w:ascii="Book Antiqua" w:eastAsia="宋体" w:hAnsi="Book Antiqua" w:cs="宋体"/>
          <w:sz w:val="24"/>
          <w:szCs w:val="24"/>
          <w:lang w:val="en-US"/>
        </w:rPr>
        <w:t>Magistris</w:t>
      </w:r>
      <w:proofErr w:type="spellEnd"/>
      <w:r>
        <w:rPr>
          <w:rFonts w:ascii="Book Antiqua" w:eastAsia="宋体" w:hAnsi="Book Antiqua" w:cs="宋体"/>
          <w:sz w:val="24"/>
          <w:szCs w:val="24"/>
          <w:lang w:val="en-US"/>
        </w:rPr>
        <w:t xml:space="preserve"> TM, </w:t>
      </w:r>
      <w:proofErr w:type="spellStart"/>
      <w:r>
        <w:rPr>
          <w:rFonts w:ascii="Book Antiqua" w:eastAsia="宋体" w:hAnsi="Book Antiqua" w:cs="宋体"/>
          <w:sz w:val="24"/>
          <w:szCs w:val="24"/>
          <w:lang w:val="en-US"/>
        </w:rPr>
        <w:t>Montisci</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Iula</w:t>
      </w:r>
      <w:proofErr w:type="spellEnd"/>
      <w:r>
        <w:rPr>
          <w:rFonts w:ascii="Book Antiqua" w:eastAsia="宋体" w:hAnsi="Book Antiqua" w:cs="宋体"/>
          <w:sz w:val="24"/>
          <w:szCs w:val="24"/>
          <w:lang w:val="en-US"/>
        </w:rPr>
        <w:t xml:space="preserve"> VD, </w:t>
      </w:r>
      <w:proofErr w:type="spellStart"/>
      <w:r>
        <w:rPr>
          <w:rFonts w:ascii="Book Antiqua" w:eastAsia="宋体" w:hAnsi="Book Antiqua" w:cs="宋体"/>
          <w:sz w:val="24"/>
          <w:szCs w:val="24"/>
          <w:lang w:val="en-US"/>
        </w:rPr>
        <w:t>Fecarotta</w:t>
      </w:r>
      <w:proofErr w:type="spellEnd"/>
      <w:r>
        <w:rPr>
          <w:rFonts w:ascii="Book Antiqua" w:eastAsia="宋体" w:hAnsi="Book Antiqua" w:cs="宋体"/>
          <w:sz w:val="24"/>
          <w:szCs w:val="24"/>
          <w:lang w:val="en-US"/>
        </w:rPr>
        <w:t xml:space="preserve"> S. Colonoscopy and technetium-99m white cell scan in children with suspected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sz w:val="24"/>
          <w:szCs w:val="24"/>
          <w:lang w:val="en-US"/>
        </w:rPr>
        <w:t> 1999; </w:t>
      </w:r>
      <w:r>
        <w:rPr>
          <w:rFonts w:ascii="Book Antiqua" w:eastAsia="宋体" w:hAnsi="Book Antiqua" w:cs="宋体"/>
          <w:b/>
          <w:bCs/>
          <w:sz w:val="24"/>
          <w:szCs w:val="24"/>
          <w:lang w:val="en-US"/>
        </w:rPr>
        <w:t>135</w:t>
      </w:r>
      <w:r>
        <w:rPr>
          <w:rFonts w:ascii="Book Antiqua" w:eastAsia="宋体" w:hAnsi="Book Antiqua" w:cs="宋体"/>
          <w:sz w:val="24"/>
          <w:szCs w:val="24"/>
          <w:lang w:val="en-US"/>
        </w:rPr>
        <w:t>: 727-732 [PMID: 10586176]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36 </w:t>
      </w:r>
      <w:proofErr w:type="spellStart"/>
      <w:r>
        <w:rPr>
          <w:rFonts w:ascii="Book Antiqua" w:eastAsia="宋体" w:hAnsi="Book Antiqua" w:cs="宋体"/>
          <w:b/>
          <w:bCs/>
          <w:sz w:val="24"/>
          <w:szCs w:val="24"/>
          <w:lang w:val="en-US"/>
        </w:rPr>
        <w:t>Charron</w:t>
      </w:r>
      <w:proofErr w:type="spellEnd"/>
      <w:r>
        <w:rPr>
          <w:rFonts w:ascii="Book Antiqua" w:eastAsia="宋体" w:hAnsi="Book Antiqua" w:cs="宋体"/>
          <w:b/>
          <w:bCs/>
          <w:sz w:val="24"/>
          <w:szCs w:val="24"/>
          <w:lang w:val="en-US"/>
        </w:rPr>
        <w:t xml:space="preserve"> M</w:t>
      </w:r>
      <w:r>
        <w:rPr>
          <w:rFonts w:ascii="Book Antiqua" w:eastAsia="宋体" w:hAnsi="Book Antiqua" w:cs="宋体"/>
          <w:sz w:val="24"/>
          <w:szCs w:val="24"/>
          <w:lang w:val="en-US"/>
        </w:rPr>
        <w:t xml:space="preserve">, del Rosario JF, </w:t>
      </w:r>
      <w:proofErr w:type="spellStart"/>
      <w:r>
        <w:rPr>
          <w:rFonts w:ascii="Book Antiqua" w:eastAsia="宋体" w:hAnsi="Book Antiqua" w:cs="宋体"/>
          <w:sz w:val="24"/>
          <w:szCs w:val="24"/>
          <w:lang w:val="en-US"/>
        </w:rPr>
        <w:t>Kocoshis</w:t>
      </w:r>
      <w:proofErr w:type="spellEnd"/>
      <w:r>
        <w:rPr>
          <w:rFonts w:ascii="Book Antiqua" w:eastAsia="宋体" w:hAnsi="Book Antiqua" w:cs="宋体"/>
          <w:sz w:val="24"/>
          <w:szCs w:val="24"/>
          <w:lang w:val="en-US"/>
        </w:rPr>
        <w:t xml:space="preserve"> S. Use of technetium-tagged white blood cells in patients with Crohn's disease and ulcerative colitis: is differential diagnosis possible?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Radiol</w:t>
      </w:r>
      <w:proofErr w:type="spellEnd"/>
      <w:r>
        <w:rPr>
          <w:rFonts w:ascii="Book Antiqua" w:eastAsia="宋体" w:hAnsi="Book Antiqua" w:cs="宋体"/>
          <w:sz w:val="24"/>
          <w:szCs w:val="24"/>
          <w:lang w:val="en-US"/>
        </w:rPr>
        <w:t> 1998; </w:t>
      </w:r>
      <w:r>
        <w:rPr>
          <w:rFonts w:ascii="Book Antiqua" w:eastAsia="宋体" w:hAnsi="Book Antiqua" w:cs="宋体"/>
          <w:b/>
          <w:bCs/>
          <w:sz w:val="24"/>
          <w:szCs w:val="24"/>
          <w:lang w:val="en-US"/>
        </w:rPr>
        <w:t>28</w:t>
      </w:r>
      <w:r>
        <w:rPr>
          <w:rFonts w:ascii="Book Antiqua" w:eastAsia="宋体" w:hAnsi="Book Antiqua" w:cs="宋体"/>
          <w:sz w:val="24"/>
          <w:szCs w:val="24"/>
          <w:lang w:val="en-US"/>
        </w:rPr>
        <w:t>: 871-877 [PMID: 9799322 DOI: 10.1007/s002470050486]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37 </w:t>
      </w:r>
      <w:proofErr w:type="spellStart"/>
      <w:r>
        <w:rPr>
          <w:rFonts w:ascii="Book Antiqua" w:eastAsia="宋体" w:hAnsi="Book Antiqua" w:cs="宋体"/>
          <w:b/>
          <w:bCs/>
          <w:sz w:val="24"/>
          <w:szCs w:val="24"/>
          <w:lang w:val="en-US"/>
        </w:rPr>
        <w:t>Charron</w:t>
      </w:r>
      <w:proofErr w:type="spellEnd"/>
      <w:r>
        <w:rPr>
          <w:rFonts w:ascii="Book Antiqua" w:eastAsia="宋体" w:hAnsi="Book Antiqua" w:cs="宋体"/>
          <w:b/>
          <w:bCs/>
          <w:sz w:val="24"/>
          <w:szCs w:val="24"/>
          <w:lang w:val="en-US"/>
        </w:rPr>
        <w:t xml:space="preserve"> M</w:t>
      </w:r>
      <w:r>
        <w:rPr>
          <w:rFonts w:ascii="Book Antiqua" w:eastAsia="宋体" w:hAnsi="Book Antiqua" w:cs="宋体"/>
          <w:sz w:val="24"/>
          <w:szCs w:val="24"/>
          <w:lang w:val="en-US"/>
        </w:rPr>
        <w:t xml:space="preserve">, Di Lorenzo C, </w:t>
      </w:r>
      <w:proofErr w:type="spellStart"/>
      <w:r>
        <w:rPr>
          <w:rFonts w:ascii="Book Antiqua" w:eastAsia="宋体" w:hAnsi="Book Antiqua" w:cs="宋体"/>
          <w:sz w:val="24"/>
          <w:szCs w:val="24"/>
          <w:lang w:val="en-US"/>
        </w:rPr>
        <w:t>Kocoshis</w:t>
      </w:r>
      <w:proofErr w:type="spellEnd"/>
      <w:r>
        <w:rPr>
          <w:rFonts w:ascii="Book Antiqua" w:eastAsia="宋体" w:hAnsi="Book Antiqua" w:cs="宋体"/>
          <w:sz w:val="24"/>
          <w:szCs w:val="24"/>
          <w:lang w:val="en-US"/>
        </w:rPr>
        <w:t xml:space="preserve"> S. Are 99mTc leukocyte scintigraphy and SBFT studies useful in children suspected of having inflammatory bowel disease? </w:t>
      </w:r>
      <w:r>
        <w:rPr>
          <w:rFonts w:ascii="Book Antiqua" w:eastAsia="宋体" w:hAnsi="Book Antiqua" w:cs="宋体"/>
          <w:i/>
          <w:iCs/>
          <w:sz w:val="24"/>
          <w:szCs w:val="24"/>
          <w:lang w:val="en-US"/>
        </w:rPr>
        <w:t xml:space="preserve">Am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sz w:val="24"/>
          <w:szCs w:val="24"/>
          <w:lang w:val="en-US"/>
        </w:rPr>
        <w:t> 2000; </w:t>
      </w:r>
      <w:r>
        <w:rPr>
          <w:rFonts w:ascii="Book Antiqua" w:eastAsia="宋体" w:hAnsi="Book Antiqua" w:cs="宋体"/>
          <w:b/>
          <w:bCs/>
          <w:sz w:val="24"/>
          <w:szCs w:val="24"/>
          <w:lang w:val="en-US"/>
        </w:rPr>
        <w:t>95</w:t>
      </w:r>
      <w:r>
        <w:rPr>
          <w:rFonts w:ascii="Book Antiqua" w:eastAsia="宋体" w:hAnsi="Book Antiqua" w:cs="宋体"/>
          <w:sz w:val="24"/>
          <w:szCs w:val="24"/>
          <w:lang w:val="en-US"/>
        </w:rPr>
        <w:t>: 1208-1212 [PMID: 10811329 DOI: 10.1111/j.1572-0241.2000.02011.x]</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38 </w:t>
      </w:r>
      <w:r>
        <w:rPr>
          <w:rFonts w:ascii="Book Antiqua" w:eastAsia="宋体" w:hAnsi="Book Antiqua" w:cs="宋体"/>
          <w:b/>
          <w:bCs/>
          <w:sz w:val="24"/>
          <w:szCs w:val="24"/>
          <w:lang w:val="en-US"/>
        </w:rPr>
        <w:t>Davison SM</w:t>
      </w:r>
      <w:r>
        <w:rPr>
          <w:rFonts w:ascii="Book Antiqua" w:eastAsia="宋体" w:hAnsi="Book Antiqua" w:cs="宋体"/>
          <w:sz w:val="24"/>
          <w:szCs w:val="24"/>
          <w:lang w:val="en-US"/>
        </w:rPr>
        <w:t>, Chapman S, Murphy MS. 99mTc-HMPAO leucocyte scintigraphy fails to detect Crohn's disease in the proximal gastrointestinal tract. </w:t>
      </w:r>
      <w:r>
        <w:rPr>
          <w:rFonts w:ascii="Book Antiqua" w:eastAsia="宋体" w:hAnsi="Book Antiqua" w:cs="宋体"/>
          <w:i/>
          <w:iCs/>
          <w:sz w:val="24"/>
          <w:szCs w:val="24"/>
          <w:lang w:val="en-US"/>
        </w:rPr>
        <w:t>Arch Dis Child</w:t>
      </w:r>
      <w:r>
        <w:rPr>
          <w:rFonts w:ascii="Book Antiqua" w:eastAsia="宋体" w:hAnsi="Book Antiqua" w:cs="宋体"/>
          <w:sz w:val="24"/>
          <w:szCs w:val="24"/>
          <w:lang w:val="en-US"/>
        </w:rPr>
        <w:t> 2001; </w:t>
      </w:r>
      <w:r>
        <w:rPr>
          <w:rFonts w:ascii="Book Antiqua" w:eastAsia="宋体" w:hAnsi="Book Antiqua" w:cs="宋体"/>
          <w:b/>
          <w:bCs/>
          <w:sz w:val="24"/>
          <w:szCs w:val="24"/>
          <w:lang w:val="en-US"/>
        </w:rPr>
        <w:t>85</w:t>
      </w:r>
      <w:r>
        <w:rPr>
          <w:rFonts w:ascii="Book Antiqua" w:eastAsia="宋体" w:hAnsi="Book Antiqua" w:cs="宋体"/>
          <w:sz w:val="24"/>
          <w:szCs w:val="24"/>
          <w:lang w:val="en-US"/>
        </w:rPr>
        <w:t>: 43-46 [PMID: 11420197]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39 </w:t>
      </w:r>
      <w:proofErr w:type="spellStart"/>
      <w:r>
        <w:rPr>
          <w:rFonts w:ascii="Book Antiqua" w:eastAsia="宋体" w:hAnsi="Book Antiqua" w:cs="宋体"/>
          <w:b/>
          <w:bCs/>
          <w:sz w:val="24"/>
          <w:szCs w:val="24"/>
          <w:lang w:val="en-US"/>
        </w:rPr>
        <w:t>Grahnquist</w:t>
      </w:r>
      <w:proofErr w:type="spellEnd"/>
      <w:r>
        <w:rPr>
          <w:rFonts w:ascii="Book Antiqua" w:eastAsia="宋体" w:hAnsi="Book Antiqua" w:cs="宋体"/>
          <w:b/>
          <w:bCs/>
          <w:sz w:val="24"/>
          <w:szCs w:val="24"/>
          <w:lang w:val="en-US"/>
        </w:rPr>
        <w:t xml:space="preserve"> L</w:t>
      </w:r>
      <w:r>
        <w:rPr>
          <w:rFonts w:ascii="Book Antiqua" w:eastAsia="宋体" w:hAnsi="Book Antiqua" w:cs="宋体"/>
          <w:sz w:val="24"/>
          <w:szCs w:val="24"/>
          <w:lang w:val="en-US"/>
        </w:rPr>
        <w:t xml:space="preserve">, Chapman SC, </w:t>
      </w:r>
      <w:proofErr w:type="spellStart"/>
      <w:r>
        <w:rPr>
          <w:rFonts w:ascii="Book Antiqua" w:eastAsia="宋体" w:hAnsi="Book Antiqua" w:cs="宋体"/>
          <w:sz w:val="24"/>
          <w:szCs w:val="24"/>
          <w:lang w:val="en-US"/>
        </w:rPr>
        <w:t>Hvidsten</w:t>
      </w:r>
      <w:proofErr w:type="spellEnd"/>
      <w:r>
        <w:rPr>
          <w:rFonts w:ascii="Book Antiqua" w:eastAsia="宋体" w:hAnsi="Book Antiqua" w:cs="宋体"/>
          <w:sz w:val="24"/>
          <w:szCs w:val="24"/>
          <w:lang w:val="en-US"/>
        </w:rPr>
        <w:t xml:space="preserve"> S, Murphy MS. Evaluation of 99mTc-HMPAO leukocyte scintigraphy in the investigation of pediatric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sz w:val="24"/>
          <w:szCs w:val="24"/>
          <w:lang w:val="en-US"/>
        </w:rPr>
        <w:t> 2003; </w:t>
      </w:r>
      <w:r>
        <w:rPr>
          <w:rFonts w:ascii="Book Antiqua" w:eastAsia="宋体" w:hAnsi="Book Antiqua" w:cs="宋体"/>
          <w:b/>
          <w:bCs/>
          <w:sz w:val="24"/>
          <w:szCs w:val="24"/>
          <w:lang w:val="en-US"/>
        </w:rPr>
        <w:t>143</w:t>
      </w:r>
      <w:r>
        <w:rPr>
          <w:rFonts w:ascii="Book Antiqua" w:eastAsia="宋体" w:hAnsi="Book Antiqua" w:cs="宋体"/>
          <w:sz w:val="24"/>
          <w:szCs w:val="24"/>
          <w:lang w:val="en-US"/>
        </w:rPr>
        <w:t>: 48-53 [PMID: 12915823 DOI: 10.1016/S0022-3476(03)00280-4]</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40 </w:t>
      </w:r>
      <w:r>
        <w:rPr>
          <w:rFonts w:ascii="Book Antiqua" w:eastAsia="宋体" w:hAnsi="Book Antiqua" w:cs="宋体"/>
          <w:b/>
          <w:bCs/>
          <w:sz w:val="24"/>
          <w:szCs w:val="24"/>
          <w:lang w:val="en-US"/>
        </w:rPr>
        <w:t>Peacock K</w:t>
      </w:r>
      <w:r>
        <w:rPr>
          <w:rFonts w:ascii="Book Antiqua" w:eastAsia="宋体" w:hAnsi="Book Antiqua" w:cs="宋体"/>
          <w:sz w:val="24"/>
          <w:szCs w:val="24"/>
          <w:lang w:val="en-US"/>
        </w:rPr>
        <w:t xml:space="preserve">, Porn U, </w:t>
      </w:r>
      <w:proofErr w:type="spellStart"/>
      <w:r>
        <w:rPr>
          <w:rFonts w:ascii="Book Antiqua" w:eastAsia="宋体" w:hAnsi="Book Antiqua" w:cs="宋体"/>
          <w:sz w:val="24"/>
          <w:szCs w:val="24"/>
          <w:lang w:val="en-US"/>
        </w:rPr>
        <w:t>Howman</w:t>
      </w:r>
      <w:proofErr w:type="spellEnd"/>
      <w:r>
        <w:rPr>
          <w:rFonts w:ascii="Book Antiqua" w:eastAsia="宋体" w:hAnsi="Book Antiqua" w:cs="宋体"/>
          <w:sz w:val="24"/>
          <w:szCs w:val="24"/>
          <w:lang w:val="en-US"/>
        </w:rPr>
        <w:t xml:space="preserve">-Giles R, O'Loughlin E, Uren R, Gaskin K, </w:t>
      </w:r>
      <w:proofErr w:type="spellStart"/>
      <w:r>
        <w:rPr>
          <w:rFonts w:ascii="Book Antiqua" w:eastAsia="宋体" w:hAnsi="Book Antiqua" w:cs="宋体"/>
          <w:sz w:val="24"/>
          <w:szCs w:val="24"/>
          <w:lang w:val="en-US"/>
        </w:rPr>
        <w:t>Dorney</w:t>
      </w:r>
      <w:proofErr w:type="spellEnd"/>
      <w:r>
        <w:rPr>
          <w:rFonts w:ascii="Book Antiqua" w:eastAsia="宋体" w:hAnsi="Book Antiqua" w:cs="宋体"/>
          <w:sz w:val="24"/>
          <w:szCs w:val="24"/>
          <w:lang w:val="en-US"/>
        </w:rPr>
        <w:t xml:space="preserve"> S, Kamath R. 99mTc-stannous colloid white cell scintigraphy in childhood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2004; </w:t>
      </w:r>
      <w:r>
        <w:rPr>
          <w:rFonts w:ascii="Book Antiqua" w:eastAsia="宋体" w:hAnsi="Book Antiqua" w:cs="宋体"/>
          <w:b/>
          <w:bCs/>
          <w:sz w:val="24"/>
          <w:szCs w:val="24"/>
          <w:lang w:val="en-US"/>
        </w:rPr>
        <w:t>45</w:t>
      </w:r>
      <w:r>
        <w:rPr>
          <w:rFonts w:ascii="Book Antiqua" w:eastAsia="宋体" w:hAnsi="Book Antiqua" w:cs="宋体"/>
          <w:sz w:val="24"/>
          <w:szCs w:val="24"/>
          <w:lang w:val="en-US"/>
        </w:rPr>
        <w:t>: 261-265 [PMID: 14960645]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lastRenderedPageBreak/>
        <w:t>41 </w:t>
      </w:r>
      <w:r>
        <w:rPr>
          <w:rFonts w:ascii="Book Antiqua" w:eastAsia="宋体" w:hAnsi="Book Antiqua" w:cs="宋体"/>
          <w:b/>
          <w:bCs/>
          <w:sz w:val="24"/>
          <w:szCs w:val="24"/>
          <w:lang w:val="en-US"/>
        </w:rPr>
        <w:t>Bruno I</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Martelossi</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Geatti</w:t>
      </w:r>
      <w:proofErr w:type="spellEnd"/>
      <w:r>
        <w:rPr>
          <w:rFonts w:ascii="Book Antiqua" w:eastAsia="宋体" w:hAnsi="Book Antiqua" w:cs="宋体"/>
          <w:sz w:val="24"/>
          <w:szCs w:val="24"/>
          <w:lang w:val="en-US"/>
        </w:rPr>
        <w:t xml:space="preserve"> O, Maggiore G, </w:t>
      </w:r>
      <w:proofErr w:type="spellStart"/>
      <w:r>
        <w:rPr>
          <w:rFonts w:ascii="Book Antiqua" w:eastAsia="宋体" w:hAnsi="Book Antiqua" w:cs="宋体"/>
          <w:sz w:val="24"/>
          <w:szCs w:val="24"/>
          <w:lang w:val="en-US"/>
        </w:rPr>
        <w:t>Guastalla</w:t>
      </w:r>
      <w:proofErr w:type="spellEnd"/>
      <w:r>
        <w:rPr>
          <w:rFonts w:ascii="Book Antiqua" w:eastAsia="宋体" w:hAnsi="Book Antiqua" w:cs="宋体"/>
          <w:sz w:val="24"/>
          <w:szCs w:val="24"/>
          <w:lang w:val="en-US"/>
        </w:rPr>
        <w:t xml:space="preserve"> P, </w:t>
      </w:r>
      <w:proofErr w:type="spellStart"/>
      <w:r>
        <w:rPr>
          <w:rFonts w:ascii="Book Antiqua" w:eastAsia="宋体" w:hAnsi="Book Antiqua" w:cs="宋体"/>
          <w:sz w:val="24"/>
          <w:szCs w:val="24"/>
          <w:lang w:val="en-US"/>
        </w:rPr>
        <w:t>Povolato</w:t>
      </w:r>
      <w:proofErr w:type="spellEnd"/>
      <w:r>
        <w:rPr>
          <w:rFonts w:ascii="Book Antiqua" w:eastAsia="宋体" w:hAnsi="Book Antiqua" w:cs="宋体"/>
          <w:sz w:val="24"/>
          <w:szCs w:val="24"/>
          <w:lang w:val="en-US"/>
        </w:rPr>
        <w:t xml:space="preserve"> M, Ventura A. </w:t>
      </w:r>
      <w:proofErr w:type="spellStart"/>
      <w:r>
        <w:rPr>
          <w:rFonts w:ascii="Book Antiqua" w:eastAsia="宋体" w:hAnsi="Book Antiqua" w:cs="宋体"/>
          <w:sz w:val="24"/>
          <w:szCs w:val="24"/>
          <w:lang w:val="en-US"/>
        </w:rPr>
        <w:t>Antigranulocyte</w:t>
      </w:r>
      <w:proofErr w:type="spellEnd"/>
      <w:r>
        <w:rPr>
          <w:rFonts w:ascii="Book Antiqua" w:eastAsia="宋体" w:hAnsi="Book Antiqua" w:cs="宋体"/>
          <w:sz w:val="24"/>
          <w:szCs w:val="24"/>
          <w:lang w:val="en-US"/>
        </w:rPr>
        <w:t xml:space="preserve"> monoclonal antibody </w:t>
      </w:r>
      <w:proofErr w:type="spellStart"/>
      <w:r>
        <w:rPr>
          <w:rFonts w:ascii="Book Antiqua" w:eastAsia="宋体" w:hAnsi="Book Antiqua" w:cs="宋体"/>
          <w:sz w:val="24"/>
          <w:szCs w:val="24"/>
          <w:lang w:val="en-US"/>
        </w:rPr>
        <w:t>immunoscintigraphy</w:t>
      </w:r>
      <w:proofErr w:type="spellEnd"/>
      <w:r>
        <w:rPr>
          <w:rFonts w:ascii="Book Antiqua" w:eastAsia="宋体" w:hAnsi="Book Antiqua" w:cs="宋体"/>
          <w:sz w:val="24"/>
          <w:szCs w:val="24"/>
          <w:lang w:val="en-US"/>
        </w:rPr>
        <w:t xml:space="preserve"> in inflammatory bowel disease in children and young adolescents. </w:t>
      </w:r>
      <w:proofErr w:type="spellStart"/>
      <w:r>
        <w:rPr>
          <w:rFonts w:ascii="Book Antiqua" w:eastAsia="宋体" w:hAnsi="Book Antiqua" w:cs="宋体"/>
          <w:i/>
          <w:iCs/>
          <w:sz w:val="24"/>
          <w:szCs w:val="24"/>
          <w:lang w:val="en-US"/>
        </w:rPr>
        <w:t>Acta</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Paediatr</w:t>
      </w:r>
      <w:proofErr w:type="spellEnd"/>
      <w:r>
        <w:rPr>
          <w:rFonts w:ascii="Book Antiqua" w:eastAsia="宋体" w:hAnsi="Book Antiqua" w:cs="宋体"/>
          <w:sz w:val="24"/>
          <w:szCs w:val="24"/>
          <w:lang w:val="en-US"/>
        </w:rPr>
        <w:t> 2002; </w:t>
      </w:r>
      <w:r>
        <w:rPr>
          <w:rFonts w:ascii="Book Antiqua" w:eastAsia="宋体" w:hAnsi="Book Antiqua" w:cs="宋体"/>
          <w:b/>
          <w:bCs/>
          <w:sz w:val="24"/>
          <w:szCs w:val="24"/>
          <w:lang w:val="en-US"/>
        </w:rPr>
        <w:t>91</w:t>
      </w:r>
      <w:r>
        <w:rPr>
          <w:rFonts w:ascii="Book Antiqua" w:eastAsia="宋体" w:hAnsi="Book Antiqua" w:cs="宋体"/>
          <w:sz w:val="24"/>
          <w:szCs w:val="24"/>
          <w:lang w:val="en-US"/>
        </w:rPr>
        <w:t>: 1050-1055 [PMID: 12434889]</w:t>
      </w:r>
    </w:p>
    <w:p w:rsidR="0003376C" w:rsidRDefault="005739BD" w:rsidP="00924331">
      <w:pPr>
        <w:spacing w:after="0" w:line="360" w:lineRule="auto"/>
        <w:jc w:val="both"/>
        <w:rPr>
          <w:rFonts w:ascii="Book Antiqua" w:eastAsia="宋体" w:hAnsi="Book Antiqua" w:cs="宋体"/>
          <w:sz w:val="24"/>
          <w:szCs w:val="24"/>
        </w:rPr>
      </w:pPr>
      <w:r>
        <w:rPr>
          <w:rFonts w:ascii="Book Antiqua" w:eastAsia="宋体" w:hAnsi="Book Antiqua" w:cs="宋体"/>
          <w:sz w:val="24"/>
          <w:szCs w:val="24"/>
          <w:lang w:val="en-US"/>
        </w:rPr>
        <w:t>42 </w:t>
      </w:r>
      <w:proofErr w:type="spellStart"/>
      <w:r>
        <w:rPr>
          <w:rFonts w:ascii="Book Antiqua" w:eastAsia="宋体" w:hAnsi="Book Antiqua" w:cs="宋体"/>
          <w:b/>
          <w:bCs/>
          <w:sz w:val="24"/>
          <w:szCs w:val="24"/>
          <w:lang w:val="en-US"/>
        </w:rPr>
        <w:t>Lemberg</w:t>
      </w:r>
      <w:proofErr w:type="spellEnd"/>
      <w:r>
        <w:rPr>
          <w:rFonts w:ascii="Book Antiqua" w:eastAsia="宋体" w:hAnsi="Book Antiqua" w:cs="宋体"/>
          <w:b/>
          <w:bCs/>
          <w:sz w:val="24"/>
          <w:szCs w:val="24"/>
          <w:lang w:val="en-US"/>
        </w:rPr>
        <w:t xml:space="preserve"> DA</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Issenman</w:t>
      </w:r>
      <w:proofErr w:type="spellEnd"/>
      <w:r>
        <w:rPr>
          <w:rFonts w:ascii="Book Antiqua" w:eastAsia="宋体" w:hAnsi="Book Antiqua" w:cs="宋体"/>
          <w:sz w:val="24"/>
          <w:szCs w:val="24"/>
          <w:lang w:val="en-US"/>
        </w:rPr>
        <w:t xml:space="preserve"> RM, </w:t>
      </w:r>
      <w:proofErr w:type="spellStart"/>
      <w:r>
        <w:rPr>
          <w:rFonts w:ascii="Book Antiqua" w:eastAsia="宋体" w:hAnsi="Book Antiqua" w:cs="宋体"/>
          <w:sz w:val="24"/>
          <w:szCs w:val="24"/>
          <w:lang w:val="en-US"/>
        </w:rPr>
        <w:t>Cawdron</w:t>
      </w:r>
      <w:proofErr w:type="spellEnd"/>
      <w:r>
        <w:rPr>
          <w:rFonts w:ascii="Book Antiqua" w:eastAsia="宋体" w:hAnsi="Book Antiqua" w:cs="宋体"/>
          <w:sz w:val="24"/>
          <w:szCs w:val="24"/>
          <w:lang w:val="en-US"/>
        </w:rPr>
        <w:t xml:space="preserve"> R, Green T, </w:t>
      </w:r>
      <w:proofErr w:type="spellStart"/>
      <w:r>
        <w:rPr>
          <w:rFonts w:ascii="Book Antiqua" w:eastAsia="宋体" w:hAnsi="Book Antiqua" w:cs="宋体"/>
          <w:sz w:val="24"/>
          <w:szCs w:val="24"/>
          <w:lang w:val="en-US"/>
        </w:rPr>
        <w:t>Mernagh</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Skehan</w:t>
      </w:r>
      <w:proofErr w:type="spellEnd"/>
      <w:r>
        <w:rPr>
          <w:rFonts w:ascii="Book Antiqua" w:eastAsia="宋体" w:hAnsi="Book Antiqua" w:cs="宋体"/>
          <w:sz w:val="24"/>
          <w:szCs w:val="24"/>
          <w:lang w:val="en-US"/>
        </w:rPr>
        <w:t xml:space="preserve"> SJ, </w:t>
      </w:r>
      <w:proofErr w:type="spellStart"/>
      <w:r>
        <w:rPr>
          <w:rFonts w:ascii="Book Antiqua" w:eastAsia="宋体" w:hAnsi="Book Antiqua" w:cs="宋体"/>
          <w:sz w:val="24"/>
          <w:szCs w:val="24"/>
          <w:lang w:val="en-US"/>
        </w:rPr>
        <w:t>Nahmias</w:t>
      </w:r>
      <w:proofErr w:type="spellEnd"/>
      <w:r>
        <w:rPr>
          <w:rFonts w:ascii="Book Antiqua" w:eastAsia="宋体" w:hAnsi="Book Antiqua" w:cs="宋体"/>
          <w:sz w:val="24"/>
          <w:szCs w:val="24"/>
          <w:lang w:val="en-US"/>
        </w:rPr>
        <w:t xml:space="preserve"> C, Jacobson K. Positron emission tomography in the investigation of pediatric inflammatory bowel disease. </w:t>
      </w:r>
      <w:r>
        <w:rPr>
          <w:rFonts w:ascii="Book Antiqua" w:eastAsia="宋体" w:hAnsi="Book Antiqua" w:cs="宋体"/>
          <w:i/>
          <w:iCs/>
          <w:sz w:val="24"/>
          <w:szCs w:val="24"/>
        </w:rPr>
        <w:t>Inflamm Bowel Dis</w:t>
      </w:r>
      <w:r>
        <w:rPr>
          <w:rFonts w:ascii="Book Antiqua" w:eastAsia="宋体" w:hAnsi="Book Antiqua" w:cs="宋体"/>
          <w:sz w:val="24"/>
          <w:szCs w:val="24"/>
        </w:rPr>
        <w:t> 2005; </w:t>
      </w:r>
      <w:r>
        <w:rPr>
          <w:rFonts w:ascii="Book Antiqua" w:eastAsia="宋体" w:hAnsi="Book Antiqua" w:cs="宋体"/>
          <w:b/>
          <w:bCs/>
          <w:sz w:val="24"/>
          <w:szCs w:val="24"/>
        </w:rPr>
        <w:t>11</w:t>
      </w:r>
      <w:r>
        <w:rPr>
          <w:rFonts w:ascii="Book Antiqua" w:eastAsia="宋体" w:hAnsi="Book Antiqua" w:cs="宋体"/>
          <w:sz w:val="24"/>
          <w:szCs w:val="24"/>
        </w:rPr>
        <w:t>: 733-738 [PMID: 16043988 DOI: 10.1097/01.MIB.0000172810.49619.cb]</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rPr>
        <w:t>43 </w:t>
      </w:r>
      <w:r>
        <w:rPr>
          <w:rFonts w:ascii="Book Antiqua" w:eastAsia="宋体" w:hAnsi="Book Antiqua" w:cs="宋体"/>
          <w:b/>
          <w:bCs/>
          <w:sz w:val="24"/>
          <w:szCs w:val="24"/>
        </w:rPr>
        <w:t>Löffler M</w:t>
      </w:r>
      <w:r>
        <w:rPr>
          <w:rFonts w:ascii="Book Antiqua" w:eastAsia="宋体" w:hAnsi="Book Antiqua" w:cs="宋体"/>
          <w:sz w:val="24"/>
          <w:szCs w:val="24"/>
        </w:rPr>
        <w:t xml:space="preserve">, Weckesser M, Franzius C, Schober O, Zimmer KP. </w:t>
      </w:r>
      <w:r>
        <w:rPr>
          <w:rFonts w:ascii="Book Antiqua" w:eastAsia="宋体" w:hAnsi="Book Antiqua" w:cs="宋体"/>
          <w:sz w:val="24"/>
          <w:szCs w:val="24"/>
          <w:lang w:val="en-US"/>
        </w:rPr>
        <w:t>High diagnostic value of 18F-FDG-PET in pediatric patients with chronic inflammatory bowel disease. </w:t>
      </w:r>
      <w:r>
        <w:rPr>
          <w:rFonts w:ascii="Book Antiqua" w:eastAsia="宋体" w:hAnsi="Book Antiqua" w:cs="宋体"/>
          <w:i/>
          <w:iCs/>
          <w:sz w:val="24"/>
          <w:szCs w:val="24"/>
          <w:lang w:val="en-US"/>
        </w:rPr>
        <w:t xml:space="preserve">Ann N Y </w:t>
      </w:r>
      <w:proofErr w:type="spellStart"/>
      <w:r>
        <w:rPr>
          <w:rFonts w:ascii="Book Antiqua" w:eastAsia="宋体" w:hAnsi="Book Antiqua" w:cs="宋体"/>
          <w:i/>
          <w:iCs/>
          <w:sz w:val="24"/>
          <w:szCs w:val="24"/>
          <w:lang w:val="en-US"/>
        </w:rPr>
        <w:t>Acad</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Sci</w:t>
      </w:r>
      <w:proofErr w:type="spellEnd"/>
      <w:r>
        <w:rPr>
          <w:rFonts w:ascii="Book Antiqua" w:eastAsia="宋体" w:hAnsi="Book Antiqua" w:cs="宋体"/>
          <w:sz w:val="24"/>
          <w:szCs w:val="24"/>
          <w:lang w:val="en-US"/>
        </w:rPr>
        <w:t> 2006; </w:t>
      </w:r>
      <w:r>
        <w:rPr>
          <w:rFonts w:ascii="Book Antiqua" w:eastAsia="宋体" w:hAnsi="Book Antiqua" w:cs="宋体"/>
          <w:b/>
          <w:bCs/>
          <w:sz w:val="24"/>
          <w:szCs w:val="24"/>
          <w:lang w:val="en-US"/>
        </w:rPr>
        <w:t>1072</w:t>
      </w:r>
      <w:r>
        <w:rPr>
          <w:rFonts w:ascii="Book Antiqua" w:eastAsia="宋体" w:hAnsi="Book Antiqua" w:cs="宋体"/>
          <w:sz w:val="24"/>
          <w:szCs w:val="24"/>
          <w:lang w:val="en-US"/>
        </w:rPr>
        <w:t>: 379-385 [PMID: 17057218 DOI: 10.1196/annals.1326.014]</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44 </w:t>
      </w:r>
      <w:proofErr w:type="spellStart"/>
      <w:r>
        <w:rPr>
          <w:rFonts w:ascii="Book Antiqua" w:eastAsia="宋体" w:hAnsi="Book Antiqua" w:cs="宋体"/>
          <w:b/>
          <w:bCs/>
          <w:sz w:val="24"/>
          <w:szCs w:val="24"/>
          <w:lang w:val="en-US"/>
        </w:rPr>
        <w:t>Däbritz</w:t>
      </w:r>
      <w:proofErr w:type="spellEnd"/>
      <w:r>
        <w:rPr>
          <w:rFonts w:ascii="Book Antiqua" w:eastAsia="宋体" w:hAnsi="Book Antiqua" w:cs="宋体"/>
          <w:b/>
          <w:bCs/>
          <w:sz w:val="24"/>
          <w:szCs w:val="24"/>
          <w:lang w:val="en-US"/>
        </w:rPr>
        <w:t xml:space="preserve"> J</w:t>
      </w:r>
      <w:r>
        <w:rPr>
          <w:rFonts w:ascii="Book Antiqua" w:eastAsia="宋体" w:hAnsi="Book Antiqua" w:cs="宋体"/>
          <w:sz w:val="24"/>
          <w:szCs w:val="24"/>
          <w:lang w:val="en-US"/>
        </w:rPr>
        <w:t xml:space="preserve">, Jasper N, </w:t>
      </w:r>
      <w:proofErr w:type="spellStart"/>
      <w:r>
        <w:rPr>
          <w:rFonts w:ascii="Book Antiqua" w:eastAsia="宋体" w:hAnsi="Book Antiqua" w:cs="宋体"/>
          <w:sz w:val="24"/>
          <w:szCs w:val="24"/>
          <w:lang w:val="en-US"/>
        </w:rPr>
        <w:t>Loeffler</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Weckesser</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Foell</w:t>
      </w:r>
      <w:proofErr w:type="spellEnd"/>
      <w:r>
        <w:rPr>
          <w:rFonts w:ascii="Book Antiqua" w:eastAsia="宋体" w:hAnsi="Book Antiqua" w:cs="宋体"/>
          <w:sz w:val="24"/>
          <w:szCs w:val="24"/>
          <w:lang w:val="en-US"/>
        </w:rPr>
        <w:t xml:space="preserve"> D. Noninvasive assessment of pediatric inflammatory bowel disease with ¹</w:t>
      </w:r>
      <w:r>
        <w:rPr>
          <w:rFonts w:ascii="Cambria Math" w:eastAsia="MS Mincho" w:hAnsi="Cambria Math" w:cs="Cambria Math"/>
          <w:sz w:val="24"/>
          <w:szCs w:val="24"/>
          <w:lang w:val="en-US"/>
        </w:rPr>
        <w:t>⁸</w:t>
      </w:r>
      <w:r>
        <w:rPr>
          <w:rFonts w:ascii="Book Antiqua" w:eastAsia="宋体" w:hAnsi="Book Antiqua" w:cs="宋体"/>
          <w:sz w:val="24"/>
          <w:szCs w:val="24"/>
          <w:lang w:val="en-US"/>
        </w:rPr>
        <w:t>F-fluorodeoxyglucose-positron emission tomography and computed tomography.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Hepatol</w:t>
      </w:r>
      <w:proofErr w:type="spellEnd"/>
      <w:r>
        <w:rPr>
          <w:rFonts w:ascii="Book Antiqua" w:eastAsia="宋体" w:hAnsi="Book Antiqua" w:cs="宋体"/>
          <w:sz w:val="24"/>
          <w:szCs w:val="24"/>
          <w:lang w:val="en-US"/>
        </w:rPr>
        <w:t> 2011; </w:t>
      </w:r>
      <w:r>
        <w:rPr>
          <w:rFonts w:ascii="Book Antiqua" w:eastAsia="宋体" w:hAnsi="Book Antiqua" w:cs="宋体"/>
          <w:b/>
          <w:bCs/>
          <w:sz w:val="24"/>
          <w:szCs w:val="24"/>
          <w:lang w:val="en-US"/>
        </w:rPr>
        <w:t>23</w:t>
      </w:r>
      <w:r>
        <w:rPr>
          <w:rFonts w:ascii="Book Antiqua" w:eastAsia="宋体" w:hAnsi="Book Antiqua" w:cs="宋体"/>
          <w:sz w:val="24"/>
          <w:szCs w:val="24"/>
          <w:lang w:val="en-US"/>
        </w:rPr>
        <w:t>: 81-89 [PMID: 21042220 DOI: 10.1097/MEG.0b013e3283410222]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de-CH"/>
        </w:rPr>
        <w:t>45 </w:t>
      </w:r>
      <w:r>
        <w:rPr>
          <w:rFonts w:ascii="Book Antiqua" w:eastAsia="宋体" w:hAnsi="Book Antiqua" w:cs="宋体"/>
          <w:b/>
          <w:bCs/>
          <w:sz w:val="24"/>
          <w:szCs w:val="24"/>
          <w:lang w:val="de-CH"/>
        </w:rPr>
        <w:t>Berthold LD</w:t>
      </w:r>
      <w:r>
        <w:rPr>
          <w:rFonts w:ascii="Book Antiqua" w:eastAsia="宋体" w:hAnsi="Book Antiqua" w:cs="宋体"/>
          <w:sz w:val="24"/>
          <w:szCs w:val="24"/>
          <w:lang w:val="de-CH"/>
        </w:rPr>
        <w:t xml:space="preserve">, Steiner D, Scholz D, Alzen G, Zimmer KP. </w:t>
      </w:r>
      <w:r>
        <w:rPr>
          <w:rFonts w:ascii="Book Antiqua" w:eastAsia="宋体" w:hAnsi="Book Antiqua" w:cs="宋体"/>
          <w:sz w:val="24"/>
          <w:szCs w:val="24"/>
          <w:lang w:val="en-US"/>
        </w:rPr>
        <w:t>Imaging of chronic inflammatory bowel disease with 18F-FDG PET in children and adolescents. </w:t>
      </w:r>
      <w:proofErr w:type="spellStart"/>
      <w:r>
        <w:rPr>
          <w:rFonts w:ascii="Book Antiqua" w:eastAsia="宋体" w:hAnsi="Book Antiqua" w:cs="宋体"/>
          <w:i/>
          <w:iCs/>
          <w:sz w:val="24"/>
          <w:szCs w:val="24"/>
          <w:lang w:val="en-US"/>
        </w:rPr>
        <w:t>Klin</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Padiatr</w:t>
      </w:r>
      <w:proofErr w:type="spellEnd"/>
      <w:r>
        <w:rPr>
          <w:rFonts w:ascii="Book Antiqua" w:eastAsia="宋体" w:hAnsi="Book Antiqua" w:cs="宋体"/>
          <w:sz w:val="24"/>
          <w:szCs w:val="24"/>
          <w:lang w:val="en-US"/>
        </w:rPr>
        <w:t> 2013; </w:t>
      </w:r>
      <w:r>
        <w:rPr>
          <w:rFonts w:ascii="Book Antiqua" w:eastAsia="宋体" w:hAnsi="Book Antiqua" w:cs="宋体"/>
          <w:b/>
          <w:bCs/>
          <w:sz w:val="24"/>
          <w:szCs w:val="24"/>
          <w:lang w:val="en-US"/>
        </w:rPr>
        <w:t>225</w:t>
      </w:r>
      <w:r>
        <w:rPr>
          <w:rFonts w:ascii="Book Antiqua" w:eastAsia="宋体" w:hAnsi="Book Antiqua" w:cs="宋体"/>
          <w:sz w:val="24"/>
          <w:szCs w:val="24"/>
          <w:lang w:val="en-US"/>
        </w:rPr>
        <w:t>: 212-217 [PMID: 23519750 DOI: 10.1055/s-0033-1334878]</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46 </w:t>
      </w:r>
      <w:proofErr w:type="spellStart"/>
      <w:r>
        <w:rPr>
          <w:rFonts w:ascii="Book Antiqua" w:eastAsia="宋体" w:hAnsi="Book Antiqua" w:cs="宋体"/>
          <w:b/>
          <w:bCs/>
          <w:sz w:val="24"/>
          <w:szCs w:val="24"/>
          <w:lang w:val="en-US"/>
        </w:rPr>
        <w:t>Giaffer</w:t>
      </w:r>
      <w:proofErr w:type="spellEnd"/>
      <w:r>
        <w:rPr>
          <w:rFonts w:ascii="Book Antiqua" w:eastAsia="宋体" w:hAnsi="Book Antiqua" w:cs="宋体"/>
          <w:b/>
          <w:bCs/>
          <w:sz w:val="24"/>
          <w:szCs w:val="24"/>
          <w:lang w:val="en-US"/>
        </w:rPr>
        <w:t xml:space="preserve"> MH</w:t>
      </w:r>
      <w:r>
        <w:rPr>
          <w:rFonts w:ascii="Book Antiqua" w:eastAsia="宋体" w:hAnsi="Book Antiqua" w:cs="宋体"/>
          <w:sz w:val="24"/>
          <w:szCs w:val="24"/>
          <w:lang w:val="en-US"/>
        </w:rPr>
        <w:t xml:space="preserve">, Tindale WB, </w:t>
      </w:r>
      <w:proofErr w:type="spellStart"/>
      <w:r>
        <w:rPr>
          <w:rFonts w:ascii="Book Antiqua" w:eastAsia="宋体" w:hAnsi="Book Antiqua" w:cs="宋体"/>
          <w:sz w:val="24"/>
          <w:szCs w:val="24"/>
          <w:lang w:val="en-US"/>
        </w:rPr>
        <w:t>Holdsworth</w:t>
      </w:r>
      <w:proofErr w:type="spellEnd"/>
      <w:r>
        <w:rPr>
          <w:rFonts w:ascii="Book Antiqua" w:eastAsia="宋体" w:hAnsi="Book Antiqua" w:cs="宋体"/>
          <w:sz w:val="24"/>
          <w:szCs w:val="24"/>
          <w:lang w:val="en-US"/>
        </w:rPr>
        <w:t xml:space="preserve"> D. Value of technetium-99m HMPAO-labelled leucocyte scintigraphy as an initial screening test in patients suspected of having inflammatory bowel disease.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Hepatol</w:t>
      </w:r>
      <w:proofErr w:type="spellEnd"/>
      <w:r>
        <w:rPr>
          <w:rFonts w:ascii="Book Antiqua" w:eastAsia="宋体" w:hAnsi="Book Antiqua" w:cs="宋体"/>
          <w:sz w:val="24"/>
          <w:szCs w:val="24"/>
          <w:lang w:val="en-US"/>
        </w:rPr>
        <w:t> 1996; </w:t>
      </w:r>
      <w:r>
        <w:rPr>
          <w:rFonts w:ascii="Book Antiqua" w:eastAsia="宋体" w:hAnsi="Book Antiqua" w:cs="宋体"/>
          <w:b/>
          <w:bCs/>
          <w:sz w:val="24"/>
          <w:szCs w:val="24"/>
          <w:lang w:val="en-US"/>
        </w:rPr>
        <w:t>8</w:t>
      </w:r>
      <w:r>
        <w:rPr>
          <w:rFonts w:ascii="Book Antiqua" w:eastAsia="宋体" w:hAnsi="Book Antiqua" w:cs="宋体"/>
          <w:sz w:val="24"/>
          <w:szCs w:val="24"/>
          <w:lang w:val="en-US"/>
        </w:rPr>
        <w:t>: 1195-1200 [PMID: 8980940]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 xml:space="preserve">47 </w:t>
      </w:r>
      <w:proofErr w:type="spellStart"/>
      <w:r>
        <w:rPr>
          <w:rFonts w:ascii="Book Antiqua" w:eastAsia="宋体" w:hAnsi="Book Antiqua" w:cs="宋体"/>
          <w:b/>
          <w:sz w:val="24"/>
          <w:szCs w:val="24"/>
          <w:lang w:val="en-US"/>
        </w:rPr>
        <w:t>Chroustova</w:t>
      </w:r>
      <w:proofErr w:type="spellEnd"/>
      <w:r>
        <w:rPr>
          <w:rFonts w:ascii="Book Antiqua" w:eastAsia="宋体" w:hAnsi="Book Antiqua" w:cs="宋体"/>
          <w:b/>
          <w:sz w:val="24"/>
          <w:szCs w:val="24"/>
          <w:lang w:val="en-US"/>
        </w:rPr>
        <w:t xml:space="preserve"> D</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Volf</w:t>
      </w:r>
      <w:proofErr w:type="spellEnd"/>
      <w:r>
        <w:rPr>
          <w:rFonts w:ascii="Book Antiqua" w:eastAsia="宋体" w:hAnsi="Book Antiqua" w:cs="宋体"/>
          <w:sz w:val="24"/>
          <w:szCs w:val="24"/>
          <w:lang w:val="en-US"/>
        </w:rPr>
        <w:t xml:space="preserve"> V, </w:t>
      </w:r>
      <w:proofErr w:type="spellStart"/>
      <w:r>
        <w:rPr>
          <w:rFonts w:ascii="Book Antiqua" w:eastAsia="宋体" w:hAnsi="Book Antiqua" w:cs="宋体"/>
          <w:sz w:val="24"/>
          <w:szCs w:val="24"/>
          <w:lang w:val="en-US"/>
        </w:rPr>
        <w:t>Kleisner</w:t>
      </w:r>
      <w:proofErr w:type="spellEnd"/>
      <w:r>
        <w:rPr>
          <w:rFonts w:ascii="Book Antiqua" w:eastAsia="宋体" w:hAnsi="Book Antiqua" w:cs="宋体"/>
          <w:sz w:val="24"/>
          <w:szCs w:val="24"/>
          <w:lang w:val="en-US"/>
        </w:rPr>
        <w:t xml:space="preserve"> I, </w:t>
      </w:r>
      <w:proofErr w:type="spellStart"/>
      <w:r>
        <w:rPr>
          <w:rFonts w:ascii="Book Antiqua" w:eastAsia="宋体" w:hAnsi="Book Antiqua" w:cs="宋体"/>
          <w:sz w:val="24"/>
          <w:szCs w:val="24"/>
          <w:lang w:val="en-US"/>
        </w:rPr>
        <w:t>Doubravska</w:t>
      </w:r>
      <w:proofErr w:type="spellEnd"/>
      <w:r>
        <w:rPr>
          <w:rFonts w:ascii="Book Antiqua" w:eastAsia="宋体" w:hAnsi="Book Antiqua" w:cs="宋体"/>
          <w:sz w:val="24"/>
          <w:szCs w:val="24"/>
          <w:lang w:val="en-US"/>
        </w:rPr>
        <w:t xml:space="preserve"> M. 99mTc-HMPAO-Labelled Leukocytes Scintigraphy in Monitoring Children and Adolescents with IBD. </w:t>
      </w:r>
      <w:r>
        <w:rPr>
          <w:rFonts w:ascii="Book Antiqua" w:eastAsia="宋体" w:hAnsi="Book Antiqua" w:cs="宋体"/>
          <w:i/>
          <w:sz w:val="24"/>
          <w:szCs w:val="24"/>
          <w:lang w:val="en-US"/>
        </w:rPr>
        <w:t xml:space="preserve">Current </w:t>
      </w:r>
      <w:proofErr w:type="spellStart"/>
      <w:r>
        <w:rPr>
          <w:rFonts w:ascii="Book Antiqua" w:eastAsia="宋体" w:hAnsi="Book Antiqua" w:cs="宋体"/>
          <w:i/>
          <w:sz w:val="24"/>
          <w:szCs w:val="24"/>
          <w:lang w:val="en-US"/>
        </w:rPr>
        <w:t>Radiopharma</w:t>
      </w:r>
      <w:proofErr w:type="spellEnd"/>
      <w:r>
        <w:rPr>
          <w:rFonts w:ascii="Book Antiqua" w:eastAsia="宋体" w:hAnsi="Book Antiqua" w:cs="宋体" w:hint="eastAsia"/>
          <w:sz w:val="24"/>
          <w:szCs w:val="24"/>
          <w:lang w:val="en-US"/>
        </w:rPr>
        <w:t xml:space="preserve"> </w:t>
      </w:r>
      <w:r>
        <w:rPr>
          <w:rFonts w:ascii="Book Antiqua" w:eastAsia="宋体" w:hAnsi="Book Antiqua" w:cs="宋体"/>
          <w:sz w:val="24"/>
          <w:szCs w:val="24"/>
          <w:lang w:val="en-US"/>
        </w:rPr>
        <w:t xml:space="preserve">2009; </w:t>
      </w:r>
      <w:r>
        <w:rPr>
          <w:rFonts w:ascii="Book Antiqua" w:eastAsia="宋体" w:hAnsi="Book Antiqua" w:cs="宋体"/>
          <w:b/>
          <w:sz w:val="24"/>
          <w:szCs w:val="24"/>
          <w:lang w:val="en-US"/>
        </w:rPr>
        <w:t>2:</w:t>
      </w:r>
      <w:r>
        <w:rPr>
          <w:rFonts w:ascii="Book Antiqua" w:eastAsia="宋体" w:hAnsi="Book Antiqua" w:cs="宋体"/>
          <w:sz w:val="24"/>
          <w:szCs w:val="24"/>
          <w:lang w:val="en-US"/>
        </w:rPr>
        <w:t xml:space="preserve"> 18-23</w:t>
      </w:r>
      <w:r>
        <w:rPr>
          <w:rFonts w:ascii="Book Antiqua" w:eastAsia="宋体" w:hAnsi="Book Antiqua" w:cs="宋体" w:hint="eastAsia"/>
          <w:sz w:val="24"/>
          <w:szCs w:val="24"/>
          <w:lang w:val="en-US"/>
        </w:rPr>
        <w:t xml:space="preserve"> </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48 </w:t>
      </w:r>
      <w:proofErr w:type="spellStart"/>
      <w:r>
        <w:rPr>
          <w:rFonts w:ascii="Book Antiqua" w:eastAsia="宋体" w:hAnsi="Book Antiqua" w:cs="宋体"/>
          <w:b/>
          <w:bCs/>
          <w:sz w:val="24"/>
          <w:szCs w:val="24"/>
          <w:lang w:val="en-US"/>
        </w:rPr>
        <w:t>Papós</w:t>
      </w:r>
      <w:proofErr w:type="spellEnd"/>
      <w:r>
        <w:rPr>
          <w:rFonts w:ascii="Book Antiqua" w:eastAsia="宋体" w:hAnsi="Book Antiqua" w:cs="宋体"/>
          <w:b/>
          <w:bCs/>
          <w:sz w:val="24"/>
          <w:szCs w:val="24"/>
          <w:lang w:val="en-US"/>
        </w:rPr>
        <w:t xml:space="preserve"> M</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Várkonyi</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Láng</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Buga</w:t>
      </w:r>
      <w:proofErr w:type="spellEnd"/>
      <w:r>
        <w:rPr>
          <w:rFonts w:ascii="Book Antiqua" w:eastAsia="宋体" w:hAnsi="Book Antiqua" w:cs="宋体"/>
          <w:sz w:val="24"/>
          <w:szCs w:val="24"/>
          <w:lang w:val="en-US"/>
        </w:rPr>
        <w:t xml:space="preserve"> K, </w:t>
      </w:r>
      <w:proofErr w:type="spellStart"/>
      <w:r>
        <w:rPr>
          <w:rFonts w:ascii="Book Antiqua" w:eastAsia="宋体" w:hAnsi="Book Antiqua" w:cs="宋体"/>
          <w:sz w:val="24"/>
          <w:szCs w:val="24"/>
          <w:lang w:val="en-US"/>
        </w:rPr>
        <w:t>Tímár</w:t>
      </w:r>
      <w:proofErr w:type="spellEnd"/>
      <w:r>
        <w:rPr>
          <w:rFonts w:ascii="Book Antiqua" w:eastAsia="宋体" w:hAnsi="Book Antiqua" w:cs="宋体"/>
          <w:sz w:val="24"/>
          <w:szCs w:val="24"/>
          <w:lang w:val="en-US"/>
        </w:rPr>
        <w:t xml:space="preserve"> E, </w:t>
      </w:r>
      <w:proofErr w:type="spellStart"/>
      <w:r>
        <w:rPr>
          <w:rFonts w:ascii="Book Antiqua" w:eastAsia="宋体" w:hAnsi="Book Antiqua" w:cs="宋体"/>
          <w:sz w:val="24"/>
          <w:szCs w:val="24"/>
          <w:lang w:val="en-US"/>
        </w:rPr>
        <w:t>Polgár</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Bódi</w:t>
      </w:r>
      <w:proofErr w:type="spellEnd"/>
      <w:r>
        <w:rPr>
          <w:rFonts w:ascii="Book Antiqua" w:eastAsia="宋体" w:hAnsi="Book Antiqua" w:cs="宋体"/>
          <w:sz w:val="24"/>
          <w:szCs w:val="24"/>
          <w:lang w:val="en-US"/>
        </w:rPr>
        <w:t xml:space="preserve"> I, </w:t>
      </w:r>
      <w:proofErr w:type="spellStart"/>
      <w:r>
        <w:rPr>
          <w:rFonts w:ascii="Book Antiqua" w:eastAsia="宋体" w:hAnsi="Book Antiqua" w:cs="宋体"/>
          <w:sz w:val="24"/>
          <w:szCs w:val="24"/>
          <w:lang w:val="en-US"/>
        </w:rPr>
        <w:t>Csernay</w:t>
      </w:r>
      <w:proofErr w:type="spellEnd"/>
      <w:r>
        <w:rPr>
          <w:rFonts w:ascii="Book Antiqua" w:eastAsia="宋体" w:hAnsi="Book Antiqua" w:cs="宋体"/>
          <w:sz w:val="24"/>
          <w:szCs w:val="24"/>
          <w:lang w:val="en-US"/>
        </w:rPr>
        <w:t xml:space="preserve"> L. HM-PAO-labeled leukocyte scintigraphy in pediatric patients with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Nutr</w:t>
      </w:r>
      <w:proofErr w:type="spellEnd"/>
      <w:r>
        <w:rPr>
          <w:rFonts w:ascii="Book Antiqua" w:eastAsia="宋体" w:hAnsi="Book Antiqua" w:cs="宋体"/>
          <w:sz w:val="24"/>
          <w:szCs w:val="24"/>
          <w:lang w:val="en-US"/>
        </w:rPr>
        <w:t> 1996; </w:t>
      </w:r>
      <w:r>
        <w:rPr>
          <w:rFonts w:ascii="Book Antiqua" w:eastAsia="宋体" w:hAnsi="Book Antiqua" w:cs="宋体"/>
          <w:b/>
          <w:bCs/>
          <w:sz w:val="24"/>
          <w:szCs w:val="24"/>
          <w:lang w:val="en-US"/>
        </w:rPr>
        <w:t>23</w:t>
      </w:r>
      <w:r>
        <w:rPr>
          <w:rFonts w:ascii="Book Antiqua" w:eastAsia="宋体" w:hAnsi="Book Antiqua" w:cs="宋体"/>
          <w:sz w:val="24"/>
          <w:szCs w:val="24"/>
          <w:lang w:val="en-US"/>
        </w:rPr>
        <w:t>: 547-552 [PMID: 8985843]</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49 </w:t>
      </w:r>
      <w:proofErr w:type="spellStart"/>
      <w:r>
        <w:rPr>
          <w:rFonts w:ascii="Book Antiqua" w:eastAsia="宋体" w:hAnsi="Book Antiqua" w:cs="宋体"/>
          <w:b/>
          <w:bCs/>
          <w:sz w:val="24"/>
          <w:szCs w:val="24"/>
          <w:lang w:val="en-US"/>
        </w:rPr>
        <w:t>Verdú</w:t>
      </w:r>
      <w:proofErr w:type="spellEnd"/>
      <w:r>
        <w:rPr>
          <w:rFonts w:ascii="Book Antiqua" w:eastAsia="宋体" w:hAnsi="Book Antiqua" w:cs="宋体"/>
          <w:b/>
          <w:bCs/>
          <w:sz w:val="24"/>
          <w:szCs w:val="24"/>
          <w:lang w:val="en-US"/>
        </w:rPr>
        <w:t xml:space="preserve"> Rico J</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Juste</w:t>
      </w:r>
      <w:proofErr w:type="spellEnd"/>
      <w:r>
        <w:rPr>
          <w:rFonts w:ascii="Book Antiqua" w:eastAsia="宋体" w:hAnsi="Book Antiqua" w:cs="宋体"/>
          <w:sz w:val="24"/>
          <w:szCs w:val="24"/>
          <w:lang w:val="en-US"/>
        </w:rPr>
        <w:t xml:space="preserve"> Ruiz M, </w:t>
      </w:r>
      <w:proofErr w:type="spellStart"/>
      <w:r>
        <w:rPr>
          <w:rFonts w:ascii="Book Antiqua" w:eastAsia="宋体" w:hAnsi="Book Antiqua" w:cs="宋体"/>
          <w:sz w:val="24"/>
          <w:szCs w:val="24"/>
          <w:lang w:val="en-US"/>
        </w:rPr>
        <w:t>Jover</w:t>
      </w:r>
      <w:proofErr w:type="spellEnd"/>
      <w:r>
        <w:rPr>
          <w:rFonts w:ascii="Book Antiqua" w:eastAsia="宋体" w:hAnsi="Book Antiqua" w:cs="宋体"/>
          <w:sz w:val="24"/>
          <w:szCs w:val="24"/>
          <w:lang w:val="en-US"/>
        </w:rPr>
        <w:t xml:space="preserve"> R, Muñoz Acosta J, Muñoz J, </w:t>
      </w:r>
      <w:proofErr w:type="spellStart"/>
      <w:r>
        <w:rPr>
          <w:rFonts w:ascii="Book Antiqua" w:eastAsia="宋体" w:hAnsi="Book Antiqua" w:cs="宋体"/>
          <w:sz w:val="24"/>
          <w:szCs w:val="24"/>
          <w:lang w:val="en-US"/>
        </w:rPr>
        <w:t>Martínez</w:t>
      </w:r>
      <w:proofErr w:type="spellEnd"/>
      <w:r>
        <w:rPr>
          <w:rFonts w:ascii="Book Antiqua" w:eastAsia="宋体" w:hAnsi="Book Antiqua" w:cs="宋体"/>
          <w:sz w:val="24"/>
          <w:szCs w:val="24"/>
          <w:lang w:val="en-US"/>
        </w:rPr>
        <w:t xml:space="preserve"> Caballero A, </w:t>
      </w:r>
      <w:proofErr w:type="spellStart"/>
      <w:r>
        <w:rPr>
          <w:rFonts w:ascii="Book Antiqua" w:eastAsia="宋体" w:hAnsi="Book Antiqua" w:cs="宋体"/>
          <w:sz w:val="24"/>
          <w:szCs w:val="24"/>
          <w:lang w:val="en-US"/>
        </w:rPr>
        <w:t>Antón</w:t>
      </w:r>
      <w:proofErr w:type="spellEnd"/>
      <w:r>
        <w:rPr>
          <w:rFonts w:ascii="Book Antiqua" w:eastAsia="宋体" w:hAnsi="Book Antiqua" w:cs="宋体"/>
          <w:sz w:val="24"/>
          <w:szCs w:val="24"/>
          <w:lang w:val="en-US"/>
        </w:rPr>
        <w:t xml:space="preserve"> Leal A, Caballero </w:t>
      </w:r>
      <w:proofErr w:type="spellStart"/>
      <w:r>
        <w:rPr>
          <w:rFonts w:ascii="Book Antiqua" w:eastAsia="宋体" w:hAnsi="Book Antiqua" w:cs="宋体"/>
          <w:sz w:val="24"/>
          <w:szCs w:val="24"/>
          <w:lang w:val="en-US"/>
        </w:rPr>
        <w:t>Carpena</w:t>
      </w:r>
      <w:proofErr w:type="spellEnd"/>
      <w:r>
        <w:rPr>
          <w:rFonts w:ascii="Book Antiqua" w:eastAsia="宋体" w:hAnsi="Book Antiqua" w:cs="宋体"/>
          <w:sz w:val="24"/>
          <w:szCs w:val="24"/>
          <w:lang w:val="en-US"/>
        </w:rPr>
        <w:t xml:space="preserve"> O. [99mTc-HMPAO-leukocyte-labeled scintigraphy in the detection and follow-up of inflammatory bowel disease]. </w:t>
      </w:r>
      <w:r>
        <w:rPr>
          <w:rFonts w:ascii="Book Antiqua" w:eastAsia="宋体" w:hAnsi="Book Antiqua" w:cs="宋体"/>
          <w:i/>
          <w:iCs/>
          <w:sz w:val="24"/>
          <w:szCs w:val="24"/>
          <w:lang w:val="en-US"/>
        </w:rPr>
        <w:t xml:space="preserve">An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iCs/>
          <w:sz w:val="24"/>
          <w:szCs w:val="24"/>
          <w:lang w:val="en-US"/>
        </w:rPr>
        <w:t xml:space="preserve"> (</w:t>
      </w:r>
      <w:proofErr w:type="spellStart"/>
      <w:r>
        <w:rPr>
          <w:rFonts w:ascii="Book Antiqua" w:eastAsia="宋体" w:hAnsi="Book Antiqua" w:cs="宋体"/>
          <w:iCs/>
          <w:sz w:val="24"/>
          <w:szCs w:val="24"/>
          <w:lang w:val="en-US"/>
        </w:rPr>
        <w:t>Barc</w:t>
      </w:r>
      <w:proofErr w:type="spellEnd"/>
      <w:r>
        <w:rPr>
          <w:rFonts w:ascii="Book Antiqua" w:eastAsia="宋体" w:hAnsi="Book Antiqua" w:cs="宋体"/>
          <w:iCs/>
          <w:sz w:val="24"/>
          <w:szCs w:val="24"/>
          <w:lang w:val="en-US"/>
        </w:rPr>
        <w:t>)</w:t>
      </w:r>
      <w:r>
        <w:rPr>
          <w:rFonts w:ascii="Book Antiqua" w:eastAsia="宋体" w:hAnsi="Book Antiqua" w:cs="宋体"/>
          <w:sz w:val="24"/>
          <w:szCs w:val="24"/>
          <w:lang w:val="en-US"/>
        </w:rPr>
        <w:t> 2006; </w:t>
      </w:r>
      <w:r>
        <w:rPr>
          <w:rFonts w:ascii="Book Antiqua" w:eastAsia="宋体" w:hAnsi="Book Antiqua" w:cs="宋体"/>
          <w:b/>
          <w:bCs/>
          <w:sz w:val="24"/>
          <w:szCs w:val="24"/>
          <w:lang w:val="en-US"/>
        </w:rPr>
        <w:t>64</w:t>
      </w:r>
      <w:r>
        <w:rPr>
          <w:rFonts w:ascii="Book Antiqua" w:eastAsia="宋体" w:hAnsi="Book Antiqua" w:cs="宋体"/>
          <w:sz w:val="24"/>
          <w:szCs w:val="24"/>
          <w:lang w:val="en-US"/>
        </w:rPr>
        <w:t>: 457-463 [PMID: 16756887]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lastRenderedPageBreak/>
        <w:t>50 </w:t>
      </w:r>
      <w:r>
        <w:rPr>
          <w:rFonts w:ascii="Book Antiqua" w:eastAsia="宋体" w:hAnsi="Book Antiqua" w:cs="宋体"/>
          <w:b/>
          <w:bCs/>
          <w:sz w:val="24"/>
          <w:szCs w:val="24"/>
          <w:lang w:val="en-US"/>
        </w:rPr>
        <w:t>Del Rosario MA</w:t>
      </w:r>
      <w:r>
        <w:rPr>
          <w:rFonts w:ascii="Book Antiqua" w:eastAsia="宋体" w:hAnsi="Book Antiqua" w:cs="宋体"/>
          <w:sz w:val="24"/>
          <w:szCs w:val="24"/>
          <w:lang w:val="en-US"/>
        </w:rPr>
        <w:t xml:space="preserve">, Fitzgerald JF, Siddiqui AR, Chong SK, </w:t>
      </w:r>
      <w:proofErr w:type="spellStart"/>
      <w:r>
        <w:rPr>
          <w:rFonts w:ascii="Book Antiqua" w:eastAsia="宋体" w:hAnsi="Book Antiqua" w:cs="宋体"/>
          <w:sz w:val="24"/>
          <w:szCs w:val="24"/>
          <w:lang w:val="en-US"/>
        </w:rPr>
        <w:t>Croffie</w:t>
      </w:r>
      <w:proofErr w:type="spellEnd"/>
      <w:r>
        <w:rPr>
          <w:rFonts w:ascii="Book Antiqua" w:eastAsia="宋体" w:hAnsi="Book Antiqua" w:cs="宋体"/>
          <w:sz w:val="24"/>
          <w:szCs w:val="24"/>
          <w:lang w:val="en-US"/>
        </w:rPr>
        <w:t xml:space="preserve"> JM, Gupta SK. Clinical applications of technetium Tc 99m </w:t>
      </w:r>
      <w:proofErr w:type="spellStart"/>
      <w:r>
        <w:rPr>
          <w:rFonts w:ascii="Book Antiqua" w:eastAsia="宋体" w:hAnsi="Book Antiqua" w:cs="宋体"/>
          <w:sz w:val="24"/>
          <w:szCs w:val="24"/>
          <w:lang w:val="en-US"/>
        </w:rPr>
        <w:t>hexamethyl</w:t>
      </w:r>
      <w:proofErr w:type="spellEnd"/>
      <w:r>
        <w:rPr>
          <w:rFonts w:ascii="Book Antiqua" w:eastAsia="宋体" w:hAnsi="Book Antiqua" w:cs="宋体"/>
          <w:sz w:val="24"/>
          <w:szCs w:val="24"/>
          <w:lang w:val="en-US"/>
        </w:rPr>
        <w:t xml:space="preserve"> propylene amine oxime leukocyte scan in children with inflammatory bowel disease.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Nutr</w:t>
      </w:r>
      <w:proofErr w:type="spellEnd"/>
      <w:r>
        <w:rPr>
          <w:rFonts w:ascii="Book Antiqua" w:eastAsia="宋体" w:hAnsi="Book Antiqua" w:cs="宋体"/>
          <w:sz w:val="24"/>
          <w:szCs w:val="24"/>
          <w:lang w:val="en-US"/>
        </w:rPr>
        <w:t> 1999; </w:t>
      </w:r>
      <w:r>
        <w:rPr>
          <w:rFonts w:ascii="Book Antiqua" w:eastAsia="宋体" w:hAnsi="Book Antiqua" w:cs="宋体"/>
          <w:b/>
          <w:bCs/>
          <w:sz w:val="24"/>
          <w:szCs w:val="24"/>
          <w:lang w:val="en-US"/>
        </w:rPr>
        <w:t>28</w:t>
      </w:r>
      <w:r>
        <w:rPr>
          <w:rFonts w:ascii="Book Antiqua" w:eastAsia="宋体" w:hAnsi="Book Antiqua" w:cs="宋体"/>
          <w:sz w:val="24"/>
          <w:szCs w:val="24"/>
          <w:lang w:val="en-US"/>
        </w:rPr>
        <w:t>: 63-70 [PMID: 9890471 DOI: 00005176-199901000-00015]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51 </w:t>
      </w:r>
      <w:proofErr w:type="spellStart"/>
      <w:r>
        <w:rPr>
          <w:rFonts w:ascii="Book Antiqua" w:eastAsia="宋体" w:hAnsi="Book Antiqua" w:cs="宋体"/>
          <w:b/>
          <w:bCs/>
          <w:sz w:val="24"/>
          <w:szCs w:val="24"/>
          <w:lang w:val="en-US"/>
        </w:rPr>
        <w:t>Halpenny</w:t>
      </w:r>
      <w:proofErr w:type="spellEnd"/>
      <w:r>
        <w:rPr>
          <w:rFonts w:ascii="Book Antiqua" w:eastAsia="宋体" w:hAnsi="Book Antiqua" w:cs="宋体"/>
          <w:b/>
          <w:bCs/>
          <w:sz w:val="24"/>
          <w:szCs w:val="24"/>
          <w:lang w:val="en-US"/>
        </w:rPr>
        <w:t xml:space="preserve"> DF</w:t>
      </w:r>
      <w:r>
        <w:rPr>
          <w:rFonts w:ascii="Book Antiqua" w:eastAsia="宋体" w:hAnsi="Book Antiqua" w:cs="宋体"/>
          <w:sz w:val="24"/>
          <w:szCs w:val="24"/>
          <w:lang w:val="en-US"/>
        </w:rPr>
        <w:t>, Burke JP, Lawlor GO, O'Connell M. Role of PET and combination PET/CT in the evaluation of patients with inflammatory bowel disease.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2009; </w:t>
      </w:r>
      <w:r>
        <w:rPr>
          <w:rFonts w:ascii="Book Antiqua" w:eastAsia="宋体" w:hAnsi="Book Antiqua" w:cs="宋体"/>
          <w:b/>
          <w:bCs/>
          <w:sz w:val="24"/>
          <w:szCs w:val="24"/>
          <w:lang w:val="en-US"/>
        </w:rPr>
        <w:t>15</w:t>
      </w:r>
      <w:r>
        <w:rPr>
          <w:rFonts w:ascii="Book Antiqua" w:eastAsia="宋体" w:hAnsi="Book Antiqua" w:cs="宋体"/>
          <w:sz w:val="24"/>
          <w:szCs w:val="24"/>
          <w:lang w:val="en-US"/>
        </w:rPr>
        <w:t>: 951-958 [PMID: 19130618 DOI: 10.1002/ibd.20817]</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52 </w:t>
      </w:r>
      <w:proofErr w:type="spellStart"/>
      <w:r>
        <w:rPr>
          <w:rFonts w:ascii="Book Antiqua" w:eastAsia="宋体" w:hAnsi="Book Antiqua" w:cs="宋体"/>
          <w:b/>
          <w:bCs/>
          <w:sz w:val="24"/>
          <w:szCs w:val="24"/>
          <w:lang w:val="en-US"/>
        </w:rPr>
        <w:t>Basu</w:t>
      </w:r>
      <w:proofErr w:type="spellEnd"/>
      <w:r>
        <w:rPr>
          <w:rFonts w:ascii="Book Antiqua" w:eastAsia="宋体" w:hAnsi="Book Antiqua" w:cs="宋体"/>
          <w:b/>
          <w:bCs/>
          <w:sz w:val="24"/>
          <w:szCs w:val="24"/>
          <w:lang w:val="en-US"/>
        </w:rPr>
        <w:t xml:space="preserve"> S</w:t>
      </w:r>
      <w:r>
        <w:rPr>
          <w:rFonts w:ascii="Book Antiqua" w:eastAsia="宋体" w:hAnsi="Book Antiqua" w:cs="宋体"/>
          <w:sz w:val="24"/>
          <w:szCs w:val="24"/>
          <w:lang w:val="en-US"/>
        </w:rPr>
        <w:t xml:space="preserve">, Zhuang H, </w:t>
      </w:r>
      <w:proofErr w:type="spellStart"/>
      <w:r>
        <w:rPr>
          <w:rFonts w:ascii="Book Antiqua" w:eastAsia="宋体" w:hAnsi="Book Antiqua" w:cs="宋体"/>
          <w:sz w:val="24"/>
          <w:szCs w:val="24"/>
          <w:lang w:val="en-US"/>
        </w:rPr>
        <w:t>Torigian</w:t>
      </w:r>
      <w:proofErr w:type="spellEnd"/>
      <w:r>
        <w:rPr>
          <w:rFonts w:ascii="Book Antiqua" w:eastAsia="宋体" w:hAnsi="Book Antiqua" w:cs="宋体"/>
          <w:sz w:val="24"/>
          <w:szCs w:val="24"/>
          <w:lang w:val="en-US"/>
        </w:rPr>
        <w:t xml:space="preserve"> DA, Rosenbaum J, Chen W, </w:t>
      </w:r>
      <w:proofErr w:type="spellStart"/>
      <w:r>
        <w:rPr>
          <w:rFonts w:ascii="Book Antiqua" w:eastAsia="宋体" w:hAnsi="Book Antiqua" w:cs="宋体"/>
          <w:sz w:val="24"/>
          <w:szCs w:val="24"/>
          <w:lang w:val="en-US"/>
        </w:rPr>
        <w:t>Alavi</w:t>
      </w:r>
      <w:proofErr w:type="spellEnd"/>
      <w:r>
        <w:rPr>
          <w:rFonts w:ascii="Book Antiqua" w:eastAsia="宋体" w:hAnsi="Book Antiqua" w:cs="宋体"/>
          <w:sz w:val="24"/>
          <w:szCs w:val="24"/>
          <w:lang w:val="en-US"/>
        </w:rPr>
        <w:t xml:space="preserve"> A. Functional imaging of inflammatory diseases using nuclear medicine techniques. </w:t>
      </w:r>
      <w:proofErr w:type="spellStart"/>
      <w:r>
        <w:rPr>
          <w:rFonts w:ascii="Book Antiqua" w:eastAsia="宋体" w:hAnsi="Book Antiqua" w:cs="宋体"/>
          <w:i/>
          <w:iCs/>
          <w:sz w:val="24"/>
          <w:szCs w:val="24"/>
          <w:lang w:val="en-US"/>
        </w:rPr>
        <w:t>Semin</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2009; </w:t>
      </w:r>
      <w:r>
        <w:rPr>
          <w:rFonts w:ascii="Book Antiqua" w:eastAsia="宋体" w:hAnsi="Book Antiqua" w:cs="宋体"/>
          <w:b/>
          <w:bCs/>
          <w:sz w:val="24"/>
          <w:szCs w:val="24"/>
          <w:lang w:val="en-US"/>
        </w:rPr>
        <w:t>39</w:t>
      </w:r>
      <w:r>
        <w:rPr>
          <w:rFonts w:ascii="Book Antiqua" w:eastAsia="宋体" w:hAnsi="Book Antiqua" w:cs="宋体"/>
          <w:sz w:val="24"/>
          <w:szCs w:val="24"/>
          <w:lang w:val="en-US"/>
        </w:rPr>
        <w:t>: 124-145 [PMID: 19187805 DOI: 10.1053/j.semnuclmed.2008.10.006]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53 </w:t>
      </w:r>
      <w:proofErr w:type="spellStart"/>
      <w:r>
        <w:rPr>
          <w:rFonts w:ascii="Book Antiqua" w:eastAsia="宋体" w:hAnsi="Book Antiqua" w:cs="宋体"/>
          <w:b/>
          <w:bCs/>
          <w:sz w:val="24"/>
          <w:szCs w:val="24"/>
          <w:lang w:val="en-US"/>
        </w:rPr>
        <w:t>Neurath</w:t>
      </w:r>
      <w:proofErr w:type="spellEnd"/>
      <w:r>
        <w:rPr>
          <w:rFonts w:ascii="Book Antiqua" w:eastAsia="宋体" w:hAnsi="Book Antiqua" w:cs="宋体"/>
          <w:b/>
          <w:bCs/>
          <w:sz w:val="24"/>
          <w:szCs w:val="24"/>
          <w:lang w:val="en-US"/>
        </w:rPr>
        <w:t xml:space="preserve"> MF</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Vehling</w:t>
      </w:r>
      <w:proofErr w:type="spellEnd"/>
      <w:r>
        <w:rPr>
          <w:rFonts w:ascii="Book Antiqua" w:eastAsia="宋体" w:hAnsi="Book Antiqua" w:cs="宋体"/>
          <w:sz w:val="24"/>
          <w:szCs w:val="24"/>
          <w:lang w:val="en-US"/>
        </w:rPr>
        <w:t xml:space="preserve"> D, </w:t>
      </w:r>
      <w:proofErr w:type="spellStart"/>
      <w:r>
        <w:rPr>
          <w:rFonts w:ascii="Book Antiqua" w:eastAsia="宋体" w:hAnsi="Book Antiqua" w:cs="宋体"/>
          <w:sz w:val="24"/>
          <w:szCs w:val="24"/>
          <w:lang w:val="en-US"/>
        </w:rPr>
        <w:t>Schunk</w:t>
      </w:r>
      <w:proofErr w:type="spellEnd"/>
      <w:r>
        <w:rPr>
          <w:rFonts w:ascii="Book Antiqua" w:eastAsia="宋体" w:hAnsi="Book Antiqua" w:cs="宋体"/>
          <w:sz w:val="24"/>
          <w:szCs w:val="24"/>
          <w:lang w:val="en-US"/>
        </w:rPr>
        <w:t xml:space="preserve"> K, </w:t>
      </w:r>
      <w:proofErr w:type="spellStart"/>
      <w:r>
        <w:rPr>
          <w:rFonts w:ascii="Book Antiqua" w:eastAsia="宋体" w:hAnsi="Book Antiqua" w:cs="宋体"/>
          <w:sz w:val="24"/>
          <w:szCs w:val="24"/>
          <w:lang w:val="en-US"/>
        </w:rPr>
        <w:t>Holtmann</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Brockmann</w:t>
      </w:r>
      <w:proofErr w:type="spellEnd"/>
      <w:r>
        <w:rPr>
          <w:rFonts w:ascii="Book Antiqua" w:eastAsia="宋体" w:hAnsi="Book Antiqua" w:cs="宋体"/>
          <w:sz w:val="24"/>
          <w:szCs w:val="24"/>
          <w:lang w:val="en-US"/>
        </w:rPr>
        <w:t xml:space="preserve"> H, </w:t>
      </w:r>
      <w:proofErr w:type="spellStart"/>
      <w:r>
        <w:rPr>
          <w:rFonts w:ascii="Book Antiqua" w:eastAsia="宋体" w:hAnsi="Book Antiqua" w:cs="宋体"/>
          <w:sz w:val="24"/>
          <w:szCs w:val="24"/>
          <w:lang w:val="en-US"/>
        </w:rPr>
        <w:t>Helisch</w:t>
      </w:r>
      <w:proofErr w:type="spellEnd"/>
      <w:r>
        <w:rPr>
          <w:rFonts w:ascii="Book Antiqua" w:eastAsia="宋体" w:hAnsi="Book Antiqua" w:cs="宋体"/>
          <w:sz w:val="24"/>
          <w:szCs w:val="24"/>
          <w:lang w:val="en-US"/>
        </w:rPr>
        <w:t xml:space="preserve"> A, Orth T, </w:t>
      </w:r>
      <w:proofErr w:type="spellStart"/>
      <w:r>
        <w:rPr>
          <w:rFonts w:ascii="Book Antiqua" w:eastAsia="宋体" w:hAnsi="Book Antiqua" w:cs="宋体"/>
          <w:sz w:val="24"/>
          <w:szCs w:val="24"/>
          <w:lang w:val="en-US"/>
        </w:rPr>
        <w:t>Schreckenberger</w:t>
      </w:r>
      <w:proofErr w:type="spellEnd"/>
      <w:r>
        <w:rPr>
          <w:rFonts w:ascii="Book Antiqua" w:eastAsia="宋体" w:hAnsi="Book Antiqua" w:cs="宋体"/>
          <w:sz w:val="24"/>
          <w:szCs w:val="24"/>
          <w:lang w:val="en-US"/>
        </w:rPr>
        <w:t xml:space="preserve"> M, Galle PR, </w:t>
      </w:r>
      <w:proofErr w:type="spellStart"/>
      <w:r>
        <w:rPr>
          <w:rFonts w:ascii="Book Antiqua" w:eastAsia="宋体" w:hAnsi="Book Antiqua" w:cs="宋体"/>
          <w:sz w:val="24"/>
          <w:szCs w:val="24"/>
          <w:lang w:val="en-US"/>
        </w:rPr>
        <w:t>Bartenstein</w:t>
      </w:r>
      <w:proofErr w:type="spellEnd"/>
      <w:r>
        <w:rPr>
          <w:rFonts w:ascii="Book Antiqua" w:eastAsia="宋体" w:hAnsi="Book Antiqua" w:cs="宋体"/>
          <w:sz w:val="24"/>
          <w:szCs w:val="24"/>
          <w:lang w:val="en-US"/>
        </w:rPr>
        <w:t xml:space="preserve"> P. Noninvasive assessment of Crohn's disease activity: a comparison of 18F-fluorodeoxyglucose positron emission tomography, </w:t>
      </w:r>
      <w:proofErr w:type="spellStart"/>
      <w:r>
        <w:rPr>
          <w:rFonts w:ascii="Book Antiqua" w:eastAsia="宋体" w:hAnsi="Book Antiqua" w:cs="宋体"/>
          <w:sz w:val="24"/>
          <w:szCs w:val="24"/>
          <w:lang w:val="en-US"/>
        </w:rPr>
        <w:t>hydromagnetic</w:t>
      </w:r>
      <w:proofErr w:type="spellEnd"/>
      <w:r>
        <w:rPr>
          <w:rFonts w:ascii="Book Antiqua" w:eastAsia="宋体" w:hAnsi="Book Antiqua" w:cs="宋体"/>
          <w:sz w:val="24"/>
          <w:szCs w:val="24"/>
          <w:lang w:val="en-US"/>
        </w:rPr>
        <w:t xml:space="preserve"> resonance imaging, and granulocyte scintigraphy with labeled antibodies. </w:t>
      </w:r>
      <w:r>
        <w:rPr>
          <w:rFonts w:ascii="Book Antiqua" w:eastAsia="宋体" w:hAnsi="Book Antiqua" w:cs="宋体"/>
          <w:i/>
          <w:iCs/>
          <w:sz w:val="24"/>
          <w:szCs w:val="24"/>
          <w:lang w:val="en-US"/>
        </w:rPr>
        <w:t xml:space="preserve">Am J </w:t>
      </w:r>
      <w:proofErr w:type="spellStart"/>
      <w:r>
        <w:rPr>
          <w:rFonts w:ascii="Book Antiqua" w:eastAsia="宋体" w:hAnsi="Book Antiqua" w:cs="宋体"/>
          <w:i/>
          <w:iCs/>
          <w:sz w:val="24"/>
          <w:szCs w:val="24"/>
          <w:lang w:val="en-US"/>
        </w:rPr>
        <w:t>Gastroenterol</w:t>
      </w:r>
      <w:proofErr w:type="spellEnd"/>
      <w:r>
        <w:rPr>
          <w:rFonts w:ascii="Book Antiqua" w:eastAsia="宋体" w:hAnsi="Book Antiqua" w:cs="宋体"/>
          <w:sz w:val="24"/>
          <w:szCs w:val="24"/>
          <w:lang w:val="en-US"/>
        </w:rPr>
        <w:t> 2002; </w:t>
      </w:r>
      <w:r>
        <w:rPr>
          <w:rFonts w:ascii="Book Antiqua" w:eastAsia="宋体" w:hAnsi="Book Antiqua" w:cs="宋体"/>
          <w:b/>
          <w:bCs/>
          <w:sz w:val="24"/>
          <w:szCs w:val="24"/>
          <w:lang w:val="en-US"/>
        </w:rPr>
        <w:t>97</w:t>
      </w:r>
      <w:r>
        <w:rPr>
          <w:rFonts w:ascii="Book Antiqua" w:eastAsia="宋体" w:hAnsi="Book Antiqua" w:cs="宋体"/>
          <w:sz w:val="24"/>
          <w:szCs w:val="24"/>
          <w:lang w:val="en-US"/>
        </w:rPr>
        <w:t>: 1978-1985 [PMID: 12190164 DOI: 10.1111/j.1572-0241.2002.05836.x]</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54 </w:t>
      </w:r>
      <w:proofErr w:type="spellStart"/>
      <w:r>
        <w:rPr>
          <w:rFonts w:ascii="Book Antiqua" w:eastAsia="宋体" w:hAnsi="Book Antiqua" w:cs="宋体"/>
          <w:b/>
          <w:bCs/>
          <w:sz w:val="24"/>
          <w:szCs w:val="24"/>
          <w:lang w:val="en-US"/>
        </w:rPr>
        <w:t>Annovazzi</w:t>
      </w:r>
      <w:proofErr w:type="spellEnd"/>
      <w:r>
        <w:rPr>
          <w:rFonts w:ascii="Book Antiqua" w:eastAsia="宋体" w:hAnsi="Book Antiqua" w:cs="宋体"/>
          <w:b/>
          <w:bCs/>
          <w:sz w:val="24"/>
          <w:szCs w:val="24"/>
          <w:lang w:val="en-US"/>
        </w:rPr>
        <w:t xml:space="preserve"> A</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Biancone</w:t>
      </w:r>
      <w:proofErr w:type="spellEnd"/>
      <w:r>
        <w:rPr>
          <w:rFonts w:ascii="Book Antiqua" w:eastAsia="宋体" w:hAnsi="Book Antiqua" w:cs="宋体"/>
          <w:sz w:val="24"/>
          <w:szCs w:val="24"/>
          <w:lang w:val="en-US"/>
        </w:rPr>
        <w:t xml:space="preserve"> L, </w:t>
      </w:r>
      <w:proofErr w:type="spellStart"/>
      <w:r>
        <w:rPr>
          <w:rFonts w:ascii="Book Antiqua" w:eastAsia="宋体" w:hAnsi="Book Antiqua" w:cs="宋体"/>
          <w:sz w:val="24"/>
          <w:szCs w:val="24"/>
          <w:lang w:val="en-US"/>
        </w:rPr>
        <w:t>Caviglia</w:t>
      </w:r>
      <w:proofErr w:type="spellEnd"/>
      <w:r>
        <w:rPr>
          <w:rFonts w:ascii="Book Antiqua" w:eastAsia="宋体" w:hAnsi="Book Antiqua" w:cs="宋体"/>
          <w:sz w:val="24"/>
          <w:szCs w:val="24"/>
          <w:lang w:val="en-US"/>
        </w:rPr>
        <w:t xml:space="preserve"> R, </w:t>
      </w:r>
      <w:proofErr w:type="spellStart"/>
      <w:r>
        <w:rPr>
          <w:rFonts w:ascii="Book Antiqua" w:eastAsia="宋体" w:hAnsi="Book Antiqua" w:cs="宋体"/>
          <w:sz w:val="24"/>
          <w:szCs w:val="24"/>
          <w:lang w:val="en-US"/>
        </w:rPr>
        <w:t>Chianelli</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Capriotti</w:t>
      </w:r>
      <w:proofErr w:type="spellEnd"/>
      <w:r>
        <w:rPr>
          <w:rFonts w:ascii="Book Antiqua" w:eastAsia="宋体" w:hAnsi="Book Antiqua" w:cs="宋体"/>
          <w:sz w:val="24"/>
          <w:szCs w:val="24"/>
          <w:lang w:val="en-US"/>
        </w:rPr>
        <w:t xml:space="preserve"> G, Mather SJ, </w:t>
      </w:r>
      <w:proofErr w:type="spellStart"/>
      <w:r>
        <w:rPr>
          <w:rFonts w:ascii="Book Antiqua" w:eastAsia="宋体" w:hAnsi="Book Antiqua" w:cs="宋体"/>
          <w:sz w:val="24"/>
          <w:szCs w:val="24"/>
          <w:lang w:val="en-US"/>
        </w:rPr>
        <w:t>Caprilli</w:t>
      </w:r>
      <w:proofErr w:type="spellEnd"/>
      <w:r>
        <w:rPr>
          <w:rFonts w:ascii="Book Antiqua" w:eastAsia="宋体" w:hAnsi="Book Antiqua" w:cs="宋体"/>
          <w:sz w:val="24"/>
          <w:szCs w:val="24"/>
          <w:lang w:val="en-US"/>
        </w:rPr>
        <w:t xml:space="preserve"> R, Pallone F, </w:t>
      </w:r>
      <w:proofErr w:type="spellStart"/>
      <w:r>
        <w:rPr>
          <w:rFonts w:ascii="Book Antiqua" w:eastAsia="宋体" w:hAnsi="Book Antiqua" w:cs="宋体"/>
          <w:sz w:val="24"/>
          <w:szCs w:val="24"/>
          <w:lang w:val="en-US"/>
        </w:rPr>
        <w:t>Scopinaro</w:t>
      </w:r>
      <w:proofErr w:type="spellEnd"/>
      <w:r>
        <w:rPr>
          <w:rFonts w:ascii="Book Antiqua" w:eastAsia="宋体" w:hAnsi="Book Antiqua" w:cs="宋体"/>
          <w:sz w:val="24"/>
          <w:szCs w:val="24"/>
          <w:lang w:val="en-US"/>
        </w:rPr>
        <w:t xml:space="preserve"> F, Signore A. 99mTc-interleukin-2 and (99m)Tc-HMPAO granulocyte scintigraphy in patients with inactive Crohn's disease. </w:t>
      </w:r>
      <w:proofErr w:type="spellStart"/>
      <w:r>
        <w:rPr>
          <w:rFonts w:ascii="Book Antiqua" w:eastAsia="宋体" w:hAnsi="Book Antiqua" w:cs="宋体"/>
          <w:i/>
          <w:iCs/>
          <w:sz w:val="24"/>
          <w:szCs w:val="24"/>
          <w:lang w:val="en-US"/>
        </w:rPr>
        <w:t>Eur</w:t>
      </w:r>
      <w:proofErr w:type="spellEnd"/>
      <w:r>
        <w:rPr>
          <w:rFonts w:ascii="Book Antiqua" w:eastAsia="宋体" w:hAnsi="Book Antiqua" w:cs="宋体"/>
          <w:i/>
          <w:iCs/>
          <w:sz w:val="24"/>
          <w:szCs w:val="24"/>
          <w:lang w:val="en-US"/>
        </w:rPr>
        <w:t xml:space="preserve">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2003; </w:t>
      </w:r>
      <w:r>
        <w:rPr>
          <w:rFonts w:ascii="Book Antiqua" w:eastAsia="宋体" w:hAnsi="Book Antiqua" w:cs="宋体"/>
          <w:b/>
          <w:bCs/>
          <w:sz w:val="24"/>
          <w:szCs w:val="24"/>
          <w:lang w:val="en-US"/>
        </w:rPr>
        <w:t>30</w:t>
      </w:r>
      <w:r>
        <w:rPr>
          <w:rFonts w:ascii="Book Antiqua" w:eastAsia="宋体" w:hAnsi="Book Antiqua" w:cs="宋体"/>
          <w:sz w:val="24"/>
          <w:szCs w:val="24"/>
          <w:lang w:val="en-US"/>
        </w:rPr>
        <w:t>: 374-382 [PMID: 12634965 DOI: 10.1007/s00259-002-1069-x]</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55 </w:t>
      </w:r>
      <w:r>
        <w:rPr>
          <w:rFonts w:ascii="Book Antiqua" w:eastAsia="宋体" w:hAnsi="Book Antiqua" w:cs="宋体"/>
          <w:b/>
          <w:bCs/>
          <w:sz w:val="24"/>
          <w:szCs w:val="24"/>
          <w:lang w:val="en-US"/>
        </w:rPr>
        <w:t xml:space="preserve">Van De </w:t>
      </w:r>
      <w:proofErr w:type="spellStart"/>
      <w:r>
        <w:rPr>
          <w:rFonts w:ascii="Book Antiqua" w:eastAsia="宋体" w:hAnsi="Book Antiqua" w:cs="宋体"/>
          <w:b/>
          <w:bCs/>
          <w:sz w:val="24"/>
          <w:szCs w:val="24"/>
          <w:lang w:val="en-US"/>
        </w:rPr>
        <w:t>Wiele</w:t>
      </w:r>
      <w:proofErr w:type="spellEnd"/>
      <w:r>
        <w:rPr>
          <w:rFonts w:ascii="Book Antiqua" w:eastAsia="宋体" w:hAnsi="Book Antiqua" w:cs="宋体"/>
          <w:b/>
          <w:bCs/>
          <w:sz w:val="24"/>
          <w:szCs w:val="24"/>
          <w:lang w:val="en-US"/>
        </w:rPr>
        <w:t xml:space="preserve"> C</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Sathekge</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Maes</w:t>
      </w:r>
      <w:proofErr w:type="spellEnd"/>
      <w:r>
        <w:rPr>
          <w:rFonts w:ascii="Book Antiqua" w:eastAsia="宋体" w:hAnsi="Book Antiqua" w:cs="宋体"/>
          <w:sz w:val="24"/>
          <w:szCs w:val="24"/>
          <w:lang w:val="en-US"/>
        </w:rPr>
        <w:t xml:space="preserve"> A. Targeting monocytes and macrophages by means of SPECT and PET. </w:t>
      </w:r>
      <w:r>
        <w:rPr>
          <w:rFonts w:ascii="Book Antiqua" w:eastAsia="宋体" w:hAnsi="Book Antiqua" w:cs="宋体"/>
          <w:i/>
          <w:iCs/>
          <w:sz w:val="24"/>
          <w:szCs w:val="24"/>
          <w:lang w:val="en-US"/>
        </w:rPr>
        <w:t xml:space="preserve">Q 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w:t>
      </w:r>
      <w:r>
        <w:rPr>
          <w:rFonts w:ascii="Book Antiqua" w:eastAsia="宋体" w:hAnsi="Book Antiqua" w:cs="宋体"/>
          <w:sz w:val="24"/>
          <w:szCs w:val="24"/>
          <w:lang w:val="en-US"/>
        </w:rPr>
        <w:t> 2014; </w:t>
      </w:r>
      <w:r>
        <w:rPr>
          <w:rFonts w:ascii="Book Antiqua" w:eastAsia="宋体" w:hAnsi="Book Antiqua" w:cs="宋体"/>
          <w:b/>
          <w:bCs/>
          <w:sz w:val="24"/>
          <w:szCs w:val="24"/>
          <w:lang w:val="en-US"/>
        </w:rPr>
        <w:t>58</w:t>
      </w:r>
      <w:r>
        <w:rPr>
          <w:rFonts w:ascii="Book Antiqua" w:eastAsia="宋体" w:hAnsi="Book Antiqua" w:cs="宋体"/>
          <w:sz w:val="24"/>
          <w:szCs w:val="24"/>
          <w:lang w:val="en-US"/>
        </w:rPr>
        <w:t>: 269-275 [PMID: 24844256]</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56 </w:t>
      </w:r>
      <w:proofErr w:type="spellStart"/>
      <w:r>
        <w:rPr>
          <w:rFonts w:ascii="Book Antiqua" w:eastAsia="宋体" w:hAnsi="Book Antiqua" w:cs="宋体"/>
          <w:b/>
          <w:bCs/>
          <w:sz w:val="24"/>
          <w:szCs w:val="24"/>
          <w:lang w:val="en-US"/>
        </w:rPr>
        <w:t>Silvola</w:t>
      </w:r>
      <w:proofErr w:type="spellEnd"/>
      <w:r>
        <w:rPr>
          <w:rFonts w:ascii="Book Antiqua" w:eastAsia="宋体" w:hAnsi="Book Antiqua" w:cs="宋体"/>
          <w:b/>
          <w:bCs/>
          <w:sz w:val="24"/>
          <w:szCs w:val="24"/>
          <w:lang w:val="en-US"/>
        </w:rPr>
        <w:t xml:space="preserve"> JM</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Laitinen</w:t>
      </w:r>
      <w:proofErr w:type="spellEnd"/>
      <w:r>
        <w:rPr>
          <w:rFonts w:ascii="Book Antiqua" w:eastAsia="宋体" w:hAnsi="Book Antiqua" w:cs="宋体"/>
          <w:sz w:val="24"/>
          <w:szCs w:val="24"/>
          <w:lang w:val="en-US"/>
        </w:rPr>
        <w:t xml:space="preserve"> I, </w:t>
      </w:r>
      <w:proofErr w:type="spellStart"/>
      <w:r>
        <w:rPr>
          <w:rFonts w:ascii="Book Antiqua" w:eastAsia="宋体" w:hAnsi="Book Antiqua" w:cs="宋体"/>
          <w:sz w:val="24"/>
          <w:szCs w:val="24"/>
          <w:lang w:val="en-US"/>
        </w:rPr>
        <w:t>Sipilä</w:t>
      </w:r>
      <w:proofErr w:type="spellEnd"/>
      <w:r>
        <w:rPr>
          <w:rFonts w:ascii="Book Antiqua" w:eastAsia="宋体" w:hAnsi="Book Antiqua" w:cs="宋体"/>
          <w:sz w:val="24"/>
          <w:szCs w:val="24"/>
          <w:lang w:val="en-US"/>
        </w:rPr>
        <w:t xml:space="preserve"> HJ, Laine VJ, </w:t>
      </w:r>
      <w:proofErr w:type="spellStart"/>
      <w:r>
        <w:rPr>
          <w:rFonts w:ascii="Book Antiqua" w:eastAsia="宋体" w:hAnsi="Book Antiqua" w:cs="宋体"/>
          <w:sz w:val="24"/>
          <w:szCs w:val="24"/>
          <w:lang w:val="en-US"/>
        </w:rPr>
        <w:t>Leppänen</w:t>
      </w:r>
      <w:proofErr w:type="spellEnd"/>
      <w:r>
        <w:rPr>
          <w:rFonts w:ascii="Book Antiqua" w:eastAsia="宋体" w:hAnsi="Book Antiqua" w:cs="宋体"/>
          <w:sz w:val="24"/>
          <w:szCs w:val="24"/>
          <w:lang w:val="en-US"/>
        </w:rPr>
        <w:t xml:space="preserve"> P, </w:t>
      </w:r>
      <w:proofErr w:type="spellStart"/>
      <w:r>
        <w:rPr>
          <w:rFonts w:ascii="Book Antiqua" w:eastAsia="宋体" w:hAnsi="Book Antiqua" w:cs="宋体"/>
          <w:sz w:val="24"/>
          <w:szCs w:val="24"/>
          <w:lang w:val="en-US"/>
        </w:rPr>
        <w:t>Ylä-Herttuala</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Knuuti</w:t>
      </w:r>
      <w:proofErr w:type="spellEnd"/>
      <w:r>
        <w:rPr>
          <w:rFonts w:ascii="Book Antiqua" w:eastAsia="宋体" w:hAnsi="Book Antiqua" w:cs="宋体"/>
          <w:sz w:val="24"/>
          <w:szCs w:val="24"/>
          <w:lang w:val="en-US"/>
        </w:rPr>
        <w:t xml:space="preserve"> J, </w:t>
      </w:r>
      <w:proofErr w:type="spellStart"/>
      <w:r>
        <w:rPr>
          <w:rFonts w:ascii="Book Antiqua" w:eastAsia="宋体" w:hAnsi="Book Antiqua" w:cs="宋体"/>
          <w:sz w:val="24"/>
          <w:szCs w:val="24"/>
          <w:lang w:val="en-US"/>
        </w:rPr>
        <w:t>Roivainen</w:t>
      </w:r>
      <w:proofErr w:type="spellEnd"/>
      <w:r>
        <w:rPr>
          <w:rFonts w:ascii="Book Antiqua" w:eastAsia="宋体" w:hAnsi="Book Antiqua" w:cs="宋体"/>
          <w:sz w:val="24"/>
          <w:szCs w:val="24"/>
          <w:lang w:val="en-US"/>
        </w:rPr>
        <w:t xml:space="preserve"> A. Uptake of 68gallium in atherosclerotic plaques in LDLR-/-ApoB100/100 mice. </w:t>
      </w:r>
      <w:r>
        <w:rPr>
          <w:rFonts w:ascii="Book Antiqua" w:eastAsia="宋体" w:hAnsi="Book Antiqua" w:cs="宋体"/>
          <w:i/>
          <w:iCs/>
          <w:sz w:val="24"/>
          <w:szCs w:val="24"/>
          <w:lang w:val="en-US"/>
        </w:rPr>
        <w:t>EJNMMI Res</w:t>
      </w:r>
      <w:r>
        <w:rPr>
          <w:rFonts w:ascii="Book Antiqua" w:eastAsia="宋体" w:hAnsi="Book Antiqua" w:cs="宋体"/>
          <w:sz w:val="24"/>
          <w:szCs w:val="24"/>
          <w:lang w:val="en-US"/>
        </w:rPr>
        <w:t> 2011; </w:t>
      </w:r>
      <w:r>
        <w:rPr>
          <w:rFonts w:ascii="Book Antiqua" w:eastAsia="宋体" w:hAnsi="Book Antiqua" w:cs="宋体"/>
          <w:b/>
          <w:bCs/>
          <w:sz w:val="24"/>
          <w:szCs w:val="24"/>
          <w:lang w:val="en-US"/>
        </w:rPr>
        <w:t>1</w:t>
      </w:r>
      <w:r>
        <w:rPr>
          <w:rFonts w:ascii="Book Antiqua" w:eastAsia="宋体" w:hAnsi="Book Antiqua" w:cs="宋体"/>
          <w:sz w:val="24"/>
          <w:szCs w:val="24"/>
          <w:lang w:val="en-US"/>
        </w:rPr>
        <w:t>: 14 [PMID: 22214258 DOI: 10.1186/2191-219X-1-14]</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57 </w:t>
      </w:r>
      <w:proofErr w:type="spellStart"/>
      <w:r>
        <w:rPr>
          <w:rFonts w:ascii="Book Antiqua" w:eastAsia="宋体" w:hAnsi="Book Antiqua" w:cs="宋体"/>
          <w:b/>
          <w:bCs/>
          <w:sz w:val="24"/>
          <w:szCs w:val="24"/>
          <w:lang w:val="en-US"/>
        </w:rPr>
        <w:t>Pio</w:t>
      </w:r>
      <w:proofErr w:type="spellEnd"/>
      <w:r>
        <w:rPr>
          <w:rFonts w:ascii="Book Antiqua" w:eastAsia="宋体" w:hAnsi="Book Antiqua" w:cs="宋体"/>
          <w:b/>
          <w:bCs/>
          <w:sz w:val="24"/>
          <w:szCs w:val="24"/>
          <w:lang w:val="en-US"/>
        </w:rPr>
        <w:t xml:space="preserve"> BS</w:t>
      </w:r>
      <w:r>
        <w:rPr>
          <w:rFonts w:ascii="Book Antiqua" w:eastAsia="宋体" w:hAnsi="Book Antiqua" w:cs="宋体"/>
          <w:sz w:val="24"/>
          <w:szCs w:val="24"/>
          <w:lang w:val="en-US"/>
        </w:rPr>
        <w:t xml:space="preserve">, Byrne FR, Aranda R, </w:t>
      </w:r>
      <w:proofErr w:type="spellStart"/>
      <w:r>
        <w:rPr>
          <w:rFonts w:ascii="Book Antiqua" w:eastAsia="宋体" w:hAnsi="Book Antiqua" w:cs="宋体"/>
          <w:sz w:val="24"/>
          <w:szCs w:val="24"/>
          <w:lang w:val="en-US"/>
        </w:rPr>
        <w:t>Boulay</w:t>
      </w:r>
      <w:proofErr w:type="spellEnd"/>
      <w:r>
        <w:rPr>
          <w:rFonts w:ascii="Book Antiqua" w:eastAsia="宋体" w:hAnsi="Book Antiqua" w:cs="宋体"/>
          <w:sz w:val="24"/>
          <w:szCs w:val="24"/>
          <w:lang w:val="en-US"/>
        </w:rPr>
        <w:t xml:space="preserve"> G, </w:t>
      </w:r>
      <w:proofErr w:type="spellStart"/>
      <w:r>
        <w:rPr>
          <w:rFonts w:ascii="Book Antiqua" w:eastAsia="宋体" w:hAnsi="Book Antiqua" w:cs="宋体"/>
          <w:sz w:val="24"/>
          <w:szCs w:val="24"/>
          <w:lang w:val="en-US"/>
        </w:rPr>
        <w:t>Spicher</w:t>
      </w:r>
      <w:proofErr w:type="spellEnd"/>
      <w:r>
        <w:rPr>
          <w:rFonts w:ascii="Book Antiqua" w:eastAsia="宋体" w:hAnsi="Book Antiqua" w:cs="宋体"/>
          <w:sz w:val="24"/>
          <w:szCs w:val="24"/>
          <w:lang w:val="en-US"/>
        </w:rPr>
        <w:t xml:space="preserve"> K, Song MH, </w:t>
      </w:r>
      <w:proofErr w:type="spellStart"/>
      <w:r>
        <w:rPr>
          <w:rFonts w:ascii="Book Antiqua" w:eastAsia="宋体" w:hAnsi="Book Antiqua" w:cs="宋体"/>
          <w:sz w:val="24"/>
          <w:szCs w:val="24"/>
          <w:lang w:val="en-US"/>
        </w:rPr>
        <w:t>Birnbaumer</w:t>
      </w:r>
      <w:proofErr w:type="spellEnd"/>
      <w:r>
        <w:rPr>
          <w:rFonts w:ascii="Book Antiqua" w:eastAsia="宋体" w:hAnsi="Book Antiqua" w:cs="宋体"/>
          <w:sz w:val="24"/>
          <w:szCs w:val="24"/>
          <w:lang w:val="en-US"/>
        </w:rPr>
        <w:t xml:space="preserve"> L, Phelps ME, </w:t>
      </w:r>
      <w:proofErr w:type="spellStart"/>
      <w:r>
        <w:rPr>
          <w:rFonts w:ascii="Book Antiqua" w:eastAsia="宋体" w:hAnsi="Book Antiqua" w:cs="宋体"/>
          <w:sz w:val="24"/>
          <w:szCs w:val="24"/>
          <w:lang w:val="en-US"/>
        </w:rPr>
        <w:t>Czernin</w:t>
      </w:r>
      <w:proofErr w:type="spellEnd"/>
      <w:r>
        <w:rPr>
          <w:rFonts w:ascii="Book Antiqua" w:eastAsia="宋体" w:hAnsi="Book Antiqua" w:cs="宋体"/>
          <w:sz w:val="24"/>
          <w:szCs w:val="24"/>
          <w:lang w:val="en-US"/>
        </w:rPr>
        <w:t xml:space="preserve"> J, Silverman DH. Noninvasive quantification of bowel inflammation through positron emission tomography imaging of 2-deoxy-2-[18F]</w:t>
      </w:r>
      <w:proofErr w:type="spellStart"/>
      <w:r>
        <w:rPr>
          <w:rFonts w:ascii="Book Antiqua" w:eastAsia="宋体" w:hAnsi="Book Antiqua" w:cs="宋体"/>
          <w:sz w:val="24"/>
          <w:szCs w:val="24"/>
          <w:lang w:val="en-US"/>
        </w:rPr>
        <w:t>fluoro</w:t>
      </w:r>
      <w:proofErr w:type="spellEnd"/>
      <w:r>
        <w:rPr>
          <w:rFonts w:ascii="Book Antiqua" w:eastAsia="宋体" w:hAnsi="Book Antiqua" w:cs="宋体"/>
          <w:sz w:val="24"/>
          <w:szCs w:val="24"/>
          <w:lang w:val="en-US"/>
        </w:rPr>
        <w:t>-D-glucose-labeled white blood cells.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 </w:t>
      </w:r>
      <w:proofErr w:type="spellStart"/>
      <w:r>
        <w:rPr>
          <w:rFonts w:ascii="Book Antiqua" w:eastAsia="宋体" w:hAnsi="Book Antiqua" w:cs="宋体"/>
          <w:i/>
          <w:iCs/>
          <w:sz w:val="24"/>
          <w:szCs w:val="24"/>
          <w:lang w:val="en-US"/>
        </w:rPr>
        <w:t>Biol</w:t>
      </w:r>
      <w:proofErr w:type="spellEnd"/>
      <w:r>
        <w:rPr>
          <w:rFonts w:ascii="Book Antiqua" w:eastAsia="宋体" w:hAnsi="Book Antiqua" w:cs="宋体"/>
          <w:sz w:val="24"/>
          <w:szCs w:val="24"/>
          <w:lang w:val="en-US"/>
        </w:rPr>
        <w:t> </w:t>
      </w:r>
      <w:r>
        <w:rPr>
          <w:rFonts w:ascii="Book Antiqua" w:eastAsia="宋体" w:hAnsi="Book Antiqua" w:cs="宋体" w:hint="eastAsia"/>
          <w:sz w:val="24"/>
          <w:szCs w:val="24"/>
          <w:lang w:val="en-US"/>
        </w:rPr>
        <w:t>2003</w:t>
      </w:r>
      <w:r>
        <w:rPr>
          <w:rFonts w:ascii="Book Antiqua" w:eastAsia="宋体" w:hAnsi="Book Antiqua" w:cs="宋体"/>
          <w:sz w:val="24"/>
          <w:szCs w:val="24"/>
          <w:lang w:val="en-US"/>
        </w:rPr>
        <w:t>; </w:t>
      </w:r>
      <w:r>
        <w:rPr>
          <w:rFonts w:ascii="Book Antiqua" w:eastAsia="宋体" w:hAnsi="Book Antiqua" w:cs="宋体"/>
          <w:b/>
          <w:bCs/>
          <w:sz w:val="24"/>
          <w:szCs w:val="24"/>
          <w:lang w:val="en-US"/>
        </w:rPr>
        <w:t>5</w:t>
      </w:r>
      <w:r>
        <w:rPr>
          <w:rFonts w:ascii="Book Antiqua" w:eastAsia="宋体" w:hAnsi="Book Antiqua" w:cs="宋体"/>
          <w:sz w:val="24"/>
          <w:szCs w:val="24"/>
          <w:lang w:val="en-US"/>
        </w:rPr>
        <w:t>: 271-277 [PMID: 14499142]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de-CH"/>
        </w:rPr>
        <w:lastRenderedPageBreak/>
        <w:t>58 </w:t>
      </w:r>
      <w:r>
        <w:rPr>
          <w:rFonts w:ascii="Book Antiqua" w:eastAsia="宋体" w:hAnsi="Book Antiqua" w:cs="宋体"/>
          <w:b/>
          <w:bCs/>
          <w:sz w:val="24"/>
          <w:szCs w:val="24"/>
          <w:lang w:val="de-CH"/>
        </w:rPr>
        <w:t>Gratz S</w:t>
      </w:r>
      <w:r>
        <w:rPr>
          <w:rFonts w:ascii="Book Antiqua" w:eastAsia="宋体" w:hAnsi="Book Antiqua" w:cs="宋体"/>
          <w:sz w:val="24"/>
          <w:szCs w:val="24"/>
          <w:lang w:val="de-CH"/>
        </w:rPr>
        <w:t xml:space="preserve">, Rennen HJ, Boerman OC, Oyen WJ, Corstens FH. </w:t>
      </w:r>
      <w:r>
        <w:rPr>
          <w:rFonts w:ascii="Book Antiqua" w:eastAsia="宋体" w:hAnsi="Book Antiqua" w:cs="宋体"/>
          <w:sz w:val="24"/>
          <w:szCs w:val="24"/>
          <w:lang w:val="en-US"/>
        </w:rPr>
        <w:t>Rapid imaging of experimental colitis with (99m)Tc-interleukin-8 in rabbits.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2001; </w:t>
      </w:r>
      <w:r>
        <w:rPr>
          <w:rFonts w:ascii="Book Antiqua" w:eastAsia="宋体" w:hAnsi="Book Antiqua" w:cs="宋体"/>
          <w:b/>
          <w:bCs/>
          <w:sz w:val="24"/>
          <w:szCs w:val="24"/>
          <w:lang w:val="en-US"/>
        </w:rPr>
        <w:t>42</w:t>
      </w:r>
      <w:r>
        <w:rPr>
          <w:rFonts w:ascii="Book Antiqua" w:eastAsia="宋体" w:hAnsi="Book Antiqua" w:cs="宋体"/>
          <w:sz w:val="24"/>
          <w:szCs w:val="24"/>
          <w:lang w:val="en-US"/>
        </w:rPr>
        <w:t>: 917-923 [PMID: 11390557]</w:t>
      </w:r>
    </w:p>
    <w:p w:rsidR="0003376C" w:rsidRDefault="005739BD" w:rsidP="00924331">
      <w:pPr>
        <w:spacing w:after="0" w:line="360" w:lineRule="auto"/>
        <w:jc w:val="both"/>
        <w:rPr>
          <w:rFonts w:ascii="Book Antiqua" w:eastAsia="宋体" w:hAnsi="Book Antiqua" w:cs="宋体"/>
          <w:sz w:val="24"/>
          <w:szCs w:val="24"/>
        </w:rPr>
      </w:pPr>
      <w:r>
        <w:rPr>
          <w:rFonts w:ascii="Book Antiqua" w:eastAsia="宋体" w:hAnsi="Book Antiqua" w:cs="宋体"/>
          <w:sz w:val="24"/>
          <w:szCs w:val="24"/>
          <w:lang w:val="en-US"/>
        </w:rPr>
        <w:t>59 </w:t>
      </w:r>
      <w:r>
        <w:rPr>
          <w:rFonts w:ascii="Book Antiqua" w:eastAsia="宋体" w:hAnsi="Book Antiqua" w:cs="宋体"/>
          <w:b/>
          <w:bCs/>
          <w:sz w:val="24"/>
          <w:szCs w:val="24"/>
          <w:lang w:val="en-US"/>
        </w:rPr>
        <w:t>Brewer S</w:t>
      </w:r>
      <w:r>
        <w:rPr>
          <w:rFonts w:ascii="Book Antiqua" w:eastAsia="宋体" w:hAnsi="Book Antiqua" w:cs="宋体"/>
          <w:sz w:val="24"/>
          <w:szCs w:val="24"/>
          <w:lang w:val="en-US"/>
        </w:rPr>
        <w:t xml:space="preserve">, Nair-Gill E, Wei B, Chen L, Li X, </w:t>
      </w:r>
      <w:proofErr w:type="spellStart"/>
      <w:r>
        <w:rPr>
          <w:rFonts w:ascii="Book Antiqua" w:eastAsia="宋体" w:hAnsi="Book Antiqua" w:cs="宋体"/>
          <w:sz w:val="24"/>
          <w:szCs w:val="24"/>
          <w:lang w:val="en-US"/>
        </w:rPr>
        <w:t>Riedinger</w:t>
      </w:r>
      <w:proofErr w:type="spellEnd"/>
      <w:r>
        <w:rPr>
          <w:rFonts w:ascii="Book Antiqua" w:eastAsia="宋体" w:hAnsi="Book Antiqua" w:cs="宋体"/>
          <w:sz w:val="24"/>
          <w:szCs w:val="24"/>
          <w:lang w:val="en-US"/>
        </w:rPr>
        <w:t xml:space="preserve"> M, Campbell DO, </w:t>
      </w:r>
      <w:proofErr w:type="spellStart"/>
      <w:r>
        <w:rPr>
          <w:rFonts w:ascii="Book Antiqua" w:eastAsia="宋体" w:hAnsi="Book Antiqua" w:cs="宋体"/>
          <w:sz w:val="24"/>
          <w:szCs w:val="24"/>
          <w:lang w:val="en-US"/>
        </w:rPr>
        <w:t>Wiltzius</w:t>
      </w:r>
      <w:proofErr w:type="spellEnd"/>
      <w:r>
        <w:rPr>
          <w:rFonts w:ascii="Book Antiqua" w:eastAsia="宋体" w:hAnsi="Book Antiqua" w:cs="宋体"/>
          <w:sz w:val="24"/>
          <w:szCs w:val="24"/>
          <w:lang w:val="en-US"/>
        </w:rPr>
        <w:t xml:space="preserve"> S, </w:t>
      </w:r>
      <w:proofErr w:type="spellStart"/>
      <w:r>
        <w:rPr>
          <w:rFonts w:ascii="Book Antiqua" w:eastAsia="宋体" w:hAnsi="Book Antiqua" w:cs="宋体"/>
          <w:sz w:val="24"/>
          <w:szCs w:val="24"/>
          <w:lang w:val="en-US"/>
        </w:rPr>
        <w:t>Satyamurthy</w:t>
      </w:r>
      <w:proofErr w:type="spellEnd"/>
      <w:r>
        <w:rPr>
          <w:rFonts w:ascii="Book Antiqua" w:eastAsia="宋体" w:hAnsi="Book Antiqua" w:cs="宋体"/>
          <w:sz w:val="24"/>
          <w:szCs w:val="24"/>
          <w:lang w:val="en-US"/>
        </w:rPr>
        <w:t xml:space="preserve"> N, Phelps ME, </w:t>
      </w:r>
      <w:proofErr w:type="spellStart"/>
      <w:r>
        <w:rPr>
          <w:rFonts w:ascii="Book Antiqua" w:eastAsia="宋体" w:hAnsi="Book Antiqua" w:cs="宋体"/>
          <w:sz w:val="24"/>
          <w:szCs w:val="24"/>
          <w:lang w:val="en-US"/>
        </w:rPr>
        <w:t>Radu</w:t>
      </w:r>
      <w:proofErr w:type="spellEnd"/>
      <w:r>
        <w:rPr>
          <w:rFonts w:ascii="Book Antiqua" w:eastAsia="宋体" w:hAnsi="Book Antiqua" w:cs="宋体"/>
          <w:sz w:val="24"/>
          <w:szCs w:val="24"/>
          <w:lang w:val="en-US"/>
        </w:rPr>
        <w:t xml:space="preserve"> C, Witte ON, Braun J. Epithelial uptake of [18F]1-(2'-deoxy-2'-arabinofuranosyl) cytosine indicates intestinal inflammation in mice. </w:t>
      </w:r>
      <w:r>
        <w:rPr>
          <w:rFonts w:ascii="Book Antiqua" w:eastAsia="宋体" w:hAnsi="Book Antiqua" w:cs="宋体"/>
          <w:i/>
          <w:iCs/>
          <w:sz w:val="24"/>
          <w:szCs w:val="24"/>
        </w:rPr>
        <w:t>Gastroenterology</w:t>
      </w:r>
      <w:r>
        <w:rPr>
          <w:rFonts w:ascii="Book Antiqua" w:eastAsia="宋体" w:hAnsi="Book Antiqua" w:cs="宋体"/>
          <w:sz w:val="24"/>
          <w:szCs w:val="24"/>
        </w:rPr>
        <w:t> 2010; </w:t>
      </w:r>
      <w:r>
        <w:rPr>
          <w:rFonts w:ascii="Book Antiqua" w:eastAsia="宋体" w:hAnsi="Book Antiqua" w:cs="宋体"/>
          <w:b/>
          <w:bCs/>
          <w:sz w:val="24"/>
          <w:szCs w:val="24"/>
        </w:rPr>
        <w:t>138</w:t>
      </w:r>
      <w:r>
        <w:rPr>
          <w:rFonts w:ascii="Book Antiqua" w:eastAsia="宋体" w:hAnsi="Book Antiqua" w:cs="宋体"/>
          <w:sz w:val="24"/>
          <w:szCs w:val="24"/>
        </w:rPr>
        <w:t>: 1266-1275 [PMID: 20080095 DOI: 10.1053/j.gastro.2010.01.003]</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rPr>
        <w:t>60 </w:t>
      </w:r>
      <w:r>
        <w:rPr>
          <w:rFonts w:ascii="Book Antiqua" w:eastAsia="宋体" w:hAnsi="Book Antiqua" w:cs="宋体"/>
          <w:b/>
          <w:bCs/>
          <w:sz w:val="24"/>
          <w:szCs w:val="24"/>
        </w:rPr>
        <w:t>Blumenthal RD</w:t>
      </w:r>
      <w:r>
        <w:rPr>
          <w:rFonts w:ascii="Book Antiqua" w:eastAsia="宋体" w:hAnsi="Book Antiqua" w:cs="宋体"/>
          <w:sz w:val="24"/>
          <w:szCs w:val="24"/>
        </w:rPr>
        <w:t xml:space="preserve">, Sharkey RM, Kashi R, Natale AM, Goldenberg DM. </w:t>
      </w:r>
      <w:r>
        <w:rPr>
          <w:rFonts w:ascii="Book Antiqua" w:eastAsia="宋体" w:hAnsi="Book Antiqua" w:cs="宋体"/>
          <w:sz w:val="24"/>
          <w:szCs w:val="24"/>
          <w:lang w:val="en-US"/>
        </w:rPr>
        <w:t xml:space="preserve">Physiological factors influencing </w:t>
      </w:r>
      <w:proofErr w:type="spellStart"/>
      <w:r>
        <w:rPr>
          <w:rFonts w:ascii="Book Antiqua" w:eastAsia="宋体" w:hAnsi="Book Antiqua" w:cs="宋体"/>
          <w:sz w:val="24"/>
          <w:szCs w:val="24"/>
          <w:lang w:val="en-US"/>
        </w:rPr>
        <w:t>radioantibody</w:t>
      </w:r>
      <w:proofErr w:type="spellEnd"/>
      <w:r>
        <w:rPr>
          <w:rFonts w:ascii="Book Antiqua" w:eastAsia="宋体" w:hAnsi="Book Antiqua" w:cs="宋体"/>
          <w:sz w:val="24"/>
          <w:szCs w:val="24"/>
          <w:lang w:val="en-US"/>
        </w:rPr>
        <w:t xml:space="preserve"> uptake: a study of four human colonic carcinomas. </w:t>
      </w:r>
      <w:proofErr w:type="spellStart"/>
      <w:r>
        <w:rPr>
          <w:rFonts w:ascii="Book Antiqua" w:eastAsia="宋体" w:hAnsi="Book Antiqua" w:cs="宋体"/>
          <w:i/>
          <w:iCs/>
          <w:sz w:val="24"/>
          <w:szCs w:val="24"/>
          <w:lang w:val="en-US"/>
        </w:rPr>
        <w:t>Int</w:t>
      </w:r>
      <w:proofErr w:type="spellEnd"/>
      <w:r>
        <w:rPr>
          <w:rFonts w:ascii="Book Antiqua" w:eastAsia="宋体" w:hAnsi="Book Antiqua" w:cs="宋体"/>
          <w:i/>
          <w:iCs/>
          <w:sz w:val="24"/>
          <w:szCs w:val="24"/>
          <w:lang w:val="en-US"/>
        </w:rPr>
        <w:t xml:space="preserve"> J Cancer</w:t>
      </w:r>
      <w:r>
        <w:rPr>
          <w:rFonts w:ascii="Book Antiqua" w:eastAsia="宋体" w:hAnsi="Book Antiqua" w:cs="宋体"/>
          <w:sz w:val="24"/>
          <w:szCs w:val="24"/>
          <w:lang w:val="en-US"/>
        </w:rPr>
        <w:t> 1992; </w:t>
      </w:r>
      <w:r>
        <w:rPr>
          <w:rFonts w:ascii="Book Antiqua" w:eastAsia="宋体" w:hAnsi="Book Antiqua" w:cs="宋体"/>
          <w:b/>
          <w:bCs/>
          <w:sz w:val="24"/>
          <w:szCs w:val="24"/>
          <w:lang w:val="en-US"/>
        </w:rPr>
        <w:t>51</w:t>
      </w:r>
      <w:r>
        <w:rPr>
          <w:rFonts w:ascii="Book Antiqua" w:eastAsia="宋体" w:hAnsi="Book Antiqua" w:cs="宋体"/>
          <w:sz w:val="24"/>
          <w:szCs w:val="24"/>
          <w:lang w:val="en-US"/>
        </w:rPr>
        <w:t>: 935-941 [PMID: 1322378]</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61 </w:t>
      </w:r>
      <w:proofErr w:type="spellStart"/>
      <w:r>
        <w:rPr>
          <w:rFonts w:ascii="Book Antiqua" w:eastAsia="宋体" w:hAnsi="Book Antiqua" w:cs="宋体"/>
          <w:b/>
          <w:bCs/>
          <w:sz w:val="24"/>
          <w:szCs w:val="24"/>
          <w:lang w:val="en-US"/>
        </w:rPr>
        <w:t>Bernards</w:t>
      </w:r>
      <w:proofErr w:type="spellEnd"/>
      <w:r>
        <w:rPr>
          <w:rFonts w:ascii="Book Antiqua" w:eastAsia="宋体" w:hAnsi="Book Antiqua" w:cs="宋体"/>
          <w:b/>
          <w:bCs/>
          <w:sz w:val="24"/>
          <w:szCs w:val="24"/>
          <w:lang w:val="en-US"/>
        </w:rPr>
        <w:t xml:space="preserve"> N</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Pottier</w:t>
      </w:r>
      <w:proofErr w:type="spellEnd"/>
      <w:r>
        <w:rPr>
          <w:rFonts w:ascii="Book Antiqua" w:eastAsia="宋体" w:hAnsi="Book Antiqua" w:cs="宋体"/>
          <w:sz w:val="24"/>
          <w:szCs w:val="24"/>
          <w:lang w:val="en-US"/>
        </w:rPr>
        <w:t xml:space="preserve"> G, </w:t>
      </w:r>
      <w:proofErr w:type="spellStart"/>
      <w:r>
        <w:rPr>
          <w:rFonts w:ascii="Book Antiqua" w:eastAsia="宋体" w:hAnsi="Book Antiqua" w:cs="宋体"/>
          <w:sz w:val="24"/>
          <w:szCs w:val="24"/>
          <w:lang w:val="en-US"/>
        </w:rPr>
        <w:t>Thézé</w:t>
      </w:r>
      <w:proofErr w:type="spellEnd"/>
      <w:r>
        <w:rPr>
          <w:rFonts w:ascii="Book Antiqua" w:eastAsia="宋体" w:hAnsi="Book Antiqua" w:cs="宋体"/>
          <w:sz w:val="24"/>
          <w:szCs w:val="24"/>
          <w:lang w:val="en-US"/>
        </w:rPr>
        <w:t xml:space="preserve"> B, </w:t>
      </w:r>
      <w:proofErr w:type="spellStart"/>
      <w:r>
        <w:rPr>
          <w:rFonts w:ascii="Book Antiqua" w:eastAsia="宋体" w:hAnsi="Book Antiqua" w:cs="宋体"/>
          <w:sz w:val="24"/>
          <w:szCs w:val="24"/>
          <w:lang w:val="en-US"/>
        </w:rPr>
        <w:t>Dollé</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Boisgard</w:t>
      </w:r>
      <w:proofErr w:type="spellEnd"/>
      <w:r>
        <w:rPr>
          <w:rFonts w:ascii="Book Antiqua" w:eastAsia="宋体" w:hAnsi="Book Antiqua" w:cs="宋体"/>
          <w:sz w:val="24"/>
          <w:szCs w:val="24"/>
          <w:lang w:val="en-US"/>
        </w:rPr>
        <w:t xml:space="preserve"> R. In vivo evaluation of inflammatory bowel disease with the aid of </w:t>
      </w:r>
      <w:r>
        <w:rPr>
          <w:rFonts w:ascii="Book Antiqua" w:eastAsia="宋体" w:hAnsi="Book Antiqua" w:cs="宋体"/>
          <w:sz w:val="24"/>
          <w:szCs w:val="24"/>
        </w:rPr>
        <w:t>μ</w:t>
      </w:r>
      <w:r>
        <w:rPr>
          <w:rFonts w:ascii="Book Antiqua" w:eastAsia="宋体" w:hAnsi="Book Antiqua" w:cs="宋体"/>
          <w:sz w:val="24"/>
          <w:szCs w:val="24"/>
          <w:lang w:val="en-US"/>
        </w:rPr>
        <w:t xml:space="preserve">PET and the translocator protein 18 </w:t>
      </w:r>
      <w:proofErr w:type="spellStart"/>
      <w:r>
        <w:rPr>
          <w:rFonts w:ascii="Book Antiqua" w:eastAsia="宋体" w:hAnsi="Book Antiqua" w:cs="宋体"/>
          <w:sz w:val="24"/>
          <w:szCs w:val="24"/>
          <w:lang w:val="en-US"/>
        </w:rPr>
        <w:t>kDa</w:t>
      </w:r>
      <w:proofErr w:type="spellEnd"/>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radioligand</w:t>
      </w:r>
      <w:proofErr w:type="spellEnd"/>
      <w:r>
        <w:rPr>
          <w:rFonts w:ascii="Book Antiqua" w:eastAsia="宋体" w:hAnsi="Book Antiqua" w:cs="宋体"/>
          <w:sz w:val="24"/>
          <w:szCs w:val="24"/>
          <w:lang w:val="en-US"/>
        </w:rPr>
        <w:t xml:space="preserve"> [18F]DPA-714. </w:t>
      </w:r>
      <w:proofErr w:type="spellStart"/>
      <w:r>
        <w:rPr>
          <w:rFonts w:ascii="Book Antiqua" w:eastAsia="宋体" w:hAnsi="Book Antiqua" w:cs="宋体"/>
          <w:i/>
          <w:iCs/>
          <w:sz w:val="24"/>
          <w:szCs w:val="24"/>
          <w:lang w:val="en-US"/>
        </w:rPr>
        <w:t>Mol</w:t>
      </w:r>
      <w:proofErr w:type="spellEnd"/>
      <w:r>
        <w:rPr>
          <w:rFonts w:ascii="Book Antiqua" w:eastAsia="宋体" w:hAnsi="Book Antiqua" w:cs="宋体"/>
          <w:i/>
          <w:iCs/>
          <w:sz w:val="24"/>
          <w:szCs w:val="24"/>
          <w:lang w:val="en-US"/>
        </w:rPr>
        <w:t xml:space="preserve"> Imaging </w:t>
      </w:r>
      <w:proofErr w:type="spellStart"/>
      <w:r>
        <w:rPr>
          <w:rFonts w:ascii="Book Antiqua" w:eastAsia="宋体" w:hAnsi="Book Antiqua" w:cs="宋体"/>
          <w:i/>
          <w:iCs/>
          <w:sz w:val="24"/>
          <w:szCs w:val="24"/>
          <w:lang w:val="en-US"/>
        </w:rPr>
        <w:t>Biol</w:t>
      </w:r>
      <w:proofErr w:type="spellEnd"/>
      <w:r>
        <w:rPr>
          <w:rFonts w:ascii="Book Antiqua" w:eastAsia="宋体" w:hAnsi="Book Antiqua" w:cs="宋体"/>
          <w:sz w:val="24"/>
          <w:szCs w:val="24"/>
          <w:lang w:val="en-US"/>
        </w:rPr>
        <w:t> 2015; </w:t>
      </w:r>
      <w:r>
        <w:rPr>
          <w:rFonts w:ascii="Book Antiqua" w:eastAsia="宋体" w:hAnsi="Book Antiqua" w:cs="宋体"/>
          <w:b/>
          <w:bCs/>
          <w:sz w:val="24"/>
          <w:szCs w:val="24"/>
          <w:lang w:val="en-US"/>
        </w:rPr>
        <w:t>17</w:t>
      </w:r>
      <w:r>
        <w:rPr>
          <w:rFonts w:ascii="Book Antiqua" w:eastAsia="宋体" w:hAnsi="Book Antiqua" w:cs="宋体"/>
          <w:sz w:val="24"/>
          <w:szCs w:val="24"/>
          <w:lang w:val="en-US"/>
        </w:rPr>
        <w:t>: 67-75 [PMID: 25015387 DOI: 10.1007/s11307-014-0765-9]</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62 </w:t>
      </w:r>
      <w:r>
        <w:rPr>
          <w:rFonts w:ascii="Book Antiqua" w:eastAsia="宋体" w:hAnsi="Book Antiqua" w:cs="宋体"/>
          <w:b/>
          <w:bCs/>
          <w:sz w:val="24"/>
          <w:szCs w:val="24"/>
          <w:lang w:val="en-US"/>
        </w:rPr>
        <w:t>Martín A</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Boisgard</w:t>
      </w:r>
      <w:proofErr w:type="spellEnd"/>
      <w:r>
        <w:rPr>
          <w:rFonts w:ascii="Book Antiqua" w:eastAsia="宋体" w:hAnsi="Book Antiqua" w:cs="宋体"/>
          <w:sz w:val="24"/>
          <w:szCs w:val="24"/>
          <w:lang w:val="en-US"/>
        </w:rPr>
        <w:t xml:space="preserve"> R, </w:t>
      </w:r>
      <w:proofErr w:type="spellStart"/>
      <w:r>
        <w:rPr>
          <w:rFonts w:ascii="Book Antiqua" w:eastAsia="宋体" w:hAnsi="Book Antiqua" w:cs="宋体"/>
          <w:sz w:val="24"/>
          <w:szCs w:val="24"/>
          <w:lang w:val="en-US"/>
        </w:rPr>
        <w:t>Thézé</w:t>
      </w:r>
      <w:proofErr w:type="spellEnd"/>
      <w:r>
        <w:rPr>
          <w:rFonts w:ascii="Book Antiqua" w:eastAsia="宋体" w:hAnsi="Book Antiqua" w:cs="宋体"/>
          <w:sz w:val="24"/>
          <w:szCs w:val="24"/>
          <w:lang w:val="en-US"/>
        </w:rPr>
        <w:t xml:space="preserve"> B, Van Camp N, </w:t>
      </w:r>
      <w:proofErr w:type="spellStart"/>
      <w:r>
        <w:rPr>
          <w:rFonts w:ascii="Book Antiqua" w:eastAsia="宋体" w:hAnsi="Book Antiqua" w:cs="宋体"/>
          <w:sz w:val="24"/>
          <w:szCs w:val="24"/>
          <w:lang w:val="en-US"/>
        </w:rPr>
        <w:t>Kuhnast</w:t>
      </w:r>
      <w:proofErr w:type="spellEnd"/>
      <w:r>
        <w:rPr>
          <w:rFonts w:ascii="Book Antiqua" w:eastAsia="宋体" w:hAnsi="Book Antiqua" w:cs="宋体"/>
          <w:sz w:val="24"/>
          <w:szCs w:val="24"/>
          <w:lang w:val="en-US"/>
        </w:rPr>
        <w:t xml:space="preserve"> B, </w:t>
      </w:r>
      <w:proofErr w:type="spellStart"/>
      <w:r>
        <w:rPr>
          <w:rFonts w:ascii="Book Antiqua" w:eastAsia="宋体" w:hAnsi="Book Antiqua" w:cs="宋体"/>
          <w:sz w:val="24"/>
          <w:szCs w:val="24"/>
          <w:lang w:val="en-US"/>
        </w:rPr>
        <w:t>Damont</w:t>
      </w:r>
      <w:proofErr w:type="spellEnd"/>
      <w:r>
        <w:rPr>
          <w:rFonts w:ascii="Book Antiqua" w:eastAsia="宋体" w:hAnsi="Book Antiqua" w:cs="宋体"/>
          <w:sz w:val="24"/>
          <w:szCs w:val="24"/>
          <w:lang w:val="en-US"/>
        </w:rPr>
        <w:t xml:space="preserve"> A, </w:t>
      </w:r>
      <w:proofErr w:type="spellStart"/>
      <w:r>
        <w:rPr>
          <w:rFonts w:ascii="Book Antiqua" w:eastAsia="宋体" w:hAnsi="Book Antiqua" w:cs="宋体"/>
          <w:sz w:val="24"/>
          <w:szCs w:val="24"/>
          <w:lang w:val="en-US"/>
        </w:rPr>
        <w:t>Kassiou</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Dollé</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Tavitian</w:t>
      </w:r>
      <w:proofErr w:type="spellEnd"/>
      <w:r>
        <w:rPr>
          <w:rFonts w:ascii="Book Antiqua" w:eastAsia="宋体" w:hAnsi="Book Antiqua" w:cs="宋体"/>
          <w:sz w:val="24"/>
          <w:szCs w:val="24"/>
          <w:lang w:val="en-US"/>
        </w:rPr>
        <w:t xml:space="preserve"> B. Evaluation of the PBR/TSPO </w:t>
      </w:r>
      <w:proofErr w:type="spellStart"/>
      <w:r>
        <w:rPr>
          <w:rFonts w:ascii="Book Antiqua" w:eastAsia="宋体" w:hAnsi="Book Antiqua" w:cs="宋体"/>
          <w:sz w:val="24"/>
          <w:szCs w:val="24"/>
          <w:lang w:val="en-US"/>
        </w:rPr>
        <w:t>radioligand</w:t>
      </w:r>
      <w:proofErr w:type="spellEnd"/>
      <w:r>
        <w:rPr>
          <w:rFonts w:ascii="Book Antiqua" w:eastAsia="宋体" w:hAnsi="Book Antiqua" w:cs="宋体"/>
          <w:sz w:val="24"/>
          <w:szCs w:val="24"/>
          <w:lang w:val="en-US"/>
        </w:rPr>
        <w:t xml:space="preserve"> [(18)F]DPA-714 in a rat model of focal cerebral ischemia.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Cereb</w:t>
      </w:r>
      <w:proofErr w:type="spellEnd"/>
      <w:r>
        <w:rPr>
          <w:rFonts w:ascii="Book Antiqua" w:eastAsia="宋体" w:hAnsi="Book Antiqua" w:cs="宋体"/>
          <w:i/>
          <w:iCs/>
          <w:sz w:val="24"/>
          <w:szCs w:val="24"/>
          <w:lang w:val="en-US"/>
        </w:rPr>
        <w:t xml:space="preserve"> Blood Flow </w:t>
      </w:r>
      <w:proofErr w:type="spellStart"/>
      <w:r>
        <w:rPr>
          <w:rFonts w:ascii="Book Antiqua" w:eastAsia="宋体" w:hAnsi="Book Antiqua" w:cs="宋体"/>
          <w:i/>
          <w:iCs/>
          <w:sz w:val="24"/>
          <w:szCs w:val="24"/>
          <w:lang w:val="en-US"/>
        </w:rPr>
        <w:t>Metab</w:t>
      </w:r>
      <w:proofErr w:type="spellEnd"/>
      <w:r>
        <w:rPr>
          <w:rFonts w:ascii="Book Antiqua" w:eastAsia="宋体" w:hAnsi="Book Antiqua" w:cs="宋体"/>
          <w:sz w:val="24"/>
          <w:szCs w:val="24"/>
          <w:lang w:val="en-US"/>
        </w:rPr>
        <w:t> 2010; </w:t>
      </w:r>
      <w:r>
        <w:rPr>
          <w:rFonts w:ascii="Book Antiqua" w:eastAsia="宋体" w:hAnsi="Book Antiqua" w:cs="宋体"/>
          <w:b/>
          <w:bCs/>
          <w:sz w:val="24"/>
          <w:szCs w:val="24"/>
          <w:lang w:val="en-US"/>
        </w:rPr>
        <w:t>30</w:t>
      </w:r>
      <w:r>
        <w:rPr>
          <w:rFonts w:ascii="Book Antiqua" w:eastAsia="宋体" w:hAnsi="Book Antiqua" w:cs="宋体"/>
          <w:sz w:val="24"/>
          <w:szCs w:val="24"/>
          <w:lang w:val="en-US"/>
        </w:rPr>
        <w:t>: 230-241 [PMID: 19794397 DOI: 10.1038/jcbfm.2009.205]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63 </w:t>
      </w:r>
      <w:proofErr w:type="spellStart"/>
      <w:r>
        <w:rPr>
          <w:rFonts w:ascii="Book Antiqua" w:eastAsia="宋体" w:hAnsi="Book Antiqua" w:cs="宋体"/>
          <w:b/>
          <w:bCs/>
          <w:sz w:val="24"/>
          <w:szCs w:val="24"/>
          <w:lang w:val="en-US"/>
        </w:rPr>
        <w:t>Abourbeh</w:t>
      </w:r>
      <w:proofErr w:type="spellEnd"/>
      <w:r>
        <w:rPr>
          <w:rFonts w:ascii="Book Antiqua" w:eastAsia="宋体" w:hAnsi="Book Antiqua" w:cs="宋体"/>
          <w:b/>
          <w:bCs/>
          <w:sz w:val="24"/>
          <w:szCs w:val="24"/>
          <w:lang w:val="en-US"/>
        </w:rPr>
        <w:t xml:space="preserve"> G</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Thézé</w:t>
      </w:r>
      <w:proofErr w:type="spellEnd"/>
      <w:r>
        <w:rPr>
          <w:rFonts w:ascii="Book Antiqua" w:eastAsia="宋体" w:hAnsi="Book Antiqua" w:cs="宋体"/>
          <w:sz w:val="24"/>
          <w:szCs w:val="24"/>
          <w:lang w:val="en-US"/>
        </w:rPr>
        <w:t xml:space="preserve"> B, </w:t>
      </w:r>
      <w:proofErr w:type="spellStart"/>
      <w:r>
        <w:rPr>
          <w:rFonts w:ascii="Book Antiqua" w:eastAsia="宋体" w:hAnsi="Book Antiqua" w:cs="宋体"/>
          <w:sz w:val="24"/>
          <w:szCs w:val="24"/>
          <w:lang w:val="en-US"/>
        </w:rPr>
        <w:t>Maroy</w:t>
      </w:r>
      <w:proofErr w:type="spellEnd"/>
      <w:r>
        <w:rPr>
          <w:rFonts w:ascii="Book Antiqua" w:eastAsia="宋体" w:hAnsi="Book Antiqua" w:cs="宋体"/>
          <w:sz w:val="24"/>
          <w:szCs w:val="24"/>
          <w:lang w:val="en-US"/>
        </w:rPr>
        <w:t xml:space="preserve"> R, Dubois A, </w:t>
      </w:r>
      <w:proofErr w:type="spellStart"/>
      <w:r>
        <w:rPr>
          <w:rFonts w:ascii="Book Antiqua" w:eastAsia="宋体" w:hAnsi="Book Antiqua" w:cs="宋体"/>
          <w:sz w:val="24"/>
          <w:szCs w:val="24"/>
          <w:lang w:val="en-US"/>
        </w:rPr>
        <w:t>Brulon</w:t>
      </w:r>
      <w:proofErr w:type="spellEnd"/>
      <w:r>
        <w:rPr>
          <w:rFonts w:ascii="Book Antiqua" w:eastAsia="宋体" w:hAnsi="Book Antiqua" w:cs="宋体"/>
          <w:sz w:val="24"/>
          <w:szCs w:val="24"/>
          <w:lang w:val="en-US"/>
        </w:rPr>
        <w:t xml:space="preserve"> V, </w:t>
      </w:r>
      <w:proofErr w:type="spellStart"/>
      <w:r>
        <w:rPr>
          <w:rFonts w:ascii="Book Antiqua" w:eastAsia="宋体" w:hAnsi="Book Antiqua" w:cs="宋体"/>
          <w:sz w:val="24"/>
          <w:szCs w:val="24"/>
          <w:lang w:val="en-US"/>
        </w:rPr>
        <w:t>Fontyn</w:t>
      </w:r>
      <w:proofErr w:type="spellEnd"/>
      <w:r>
        <w:rPr>
          <w:rFonts w:ascii="Book Antiqua" w:eastAsia="宋体" w:hAnsi="Book Antiqua" w:cs="宋体"/>
          <w:sz w:val="24"/>
          <w:szCs w:val="24"/>
          <w:lang w:val="en-US"/>
        </w:rPr>
        <w:t xml:space="preserve"> Y, </w:t>
      </w:r>
      <w:proofErr w:type="spellStart"/>
      <w:r>
        <w:rPr>
          <w:rFonts w:ascii="Book Antiqua" w:eastAsia="宋体" w:hAnsi="Book Antiqua" w:cs="宋体"/>
          <w:sz w:val="24"/>
          <w:szCs w:val="24"/>
          <w:lang w:val="en-US"/>
        </w:rPr>
        <w:t>Dollé</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Tavitian</w:t>
      </w:r>
      <w:proofErr w:type="spellEnd"/>
      <w:r>
        <w:rPr>
          <w:rFonts w:ascii="Book Antiqua" w:eastAsia="宋体" w:hAnsi="Book Antiqua" w:cs="宋体"/>
          <w:sz w:val="24"/>
          <w:szCs w:val="24"/>
          <w:lang w:val="en-US"/>
        </w:rPr>
        <w:t xml:space="preserve"> B, </w:t>
      </w:r>
      <w:proofErr w:type="spellStart"/>
      <w:r>
        <w:rPr>
          <w:rFonts w:ascii="Book Antiqua" w:eastAsia="宋体" w:hAnsi="Book Antiqua" w:cs="宋体"/>
          <w:sz w:val="24"/>
          <w:szCs w:val="24"/>
          <w:lang w:val="en-US"/>
        </w:rPr>
        <w:t>Boisgard</w:t>
      </w:r>
      <w:proofErr w:type="spellEnd"/>
      <w:r>
        <w:rPr>
          <w:rFonts w:ascii="Book Antiqua" w:eastAsia="宋体" w:hAnsi="Book Antiqua" w:cs="宋体"/>
          <w:sz w:val="24"/>
          <w:szCs w:val="24"/>
          <w:lang w:val="en-US"/>
        </w:rPr>
        <w:t xml:space="preserve"> R. Imaging microglial/macrophage activation in spinal cords of experimental autoimmune encephalomyelitis rats by positron emission tomography using the mitochondrial 18 </w:t>
      </w:r>
      <w:proofErr w:type="spellStart"/>
      <w:r>
        <w:rPr>
          <w:rFonts w:ascii="Book Antiqua" w:eastAsia="宋体" w:hAnsi="Book Antiqua" w:cs="宋体"/>
          <w:sz w:val="24"/>
          <w:szCs w:val="24"/>
          <w:lang w:val="en-US"/>
        </w:rPr>
        <w:t>kDa</w:t>
      </w:r>
      <w:proofErr w:type="spellEnd"/>
      <w:r>
        <w:rPr>
          <w:rFonts w:ascii="Book Antiqua" w:eastAsia="宋体" w:hAnsi="Book Antiqua" w:cs="宋体"/>
          <w:sz w:val="24"/>
          <w:szCs w:val="24"/>
          <w:lang w:val="en-US"/>
        </w:rPr>
        <w:t xml:space="preserve"> translocator protein </w:t>
      </w:r>
      <w:proofErr w:type="spellStart"/>
      <w:r>
        <w:rPr>
          <w:rFonts w:ascii="Book Antiqua" w:eastAsia="宋体" w:hAnsi="Book Antiqua" w:cs="宋体"/>
          <w:sz w:val="24"/>
          <w:szCs w:val="24"/>
          <w:lang w:val="en-US"/>
        </w:rPr>
        <w:t>radioligand</w:t>
      </w:r>
      <w:proofErr w:type="spellEnd"/>
      <w:r>
        <w:rPr>
          <w:rFonts w:ascii="Book Antiqua" w:eastAsia="宋体" w:hAnsi="Book Antiqua" w:cs="宋体"/>
          <w:sz w:val="24"/>
          <w:szCs w:val="24"/>
          <w:lang w:val="en-US"/>
        </w:rPr>
        <w:t xml:space="preserve"> [¹</w:t>
      </w:r>
      <w:r>
        <w:rPr>
          <w:rFonts w:ascii="Cambria Math" w:eastAsia="MS Mincho" w:hAnsi="Cambria Math" w:cs="Cambria Math"/>
          <w:sz w:val="24"/>
          <w:szCs w:val="24"/>
          <w:lang w:val="en-US"/>
        </w:rPr>
        <w:t>⁸</w:t>
      </w:r>
      <w:r>
        <w:rPr>
          <w:rFonts w:ascii="Book Antiqua" w:eastAsia="宋体" w:hAnsi="Book Antiqua" w:cs="宋体"/>
          <w:sz w:val="24"/>
          <w:szCs w:val="24"/>
          <w:lang w:val="en-US"/>
        </w:rPr>
        <w:t>F]DPA-714.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Neurosci</w:t>
      </w:r>
      <w:proofErr w:type="spellEnd"/>
      <w:r>
        <w:rPr>
          <w:rFonts w:ascii="Book Antiqua" w:eastAsia="宋体" w:hAnsi="Book Antiqua" w:cs="宋体"/>
          <w:sz w:val="24"/>
          <w:szCs w:val="24"/>
          <w:lang w:val="en-US"/>
        </w:rPr>
        <w:t> 2012; </w:t>
      </w:r>
      <w:r>
        <w:rPr>
          <w:rFonts w:ascii="Book Antiqua" w:eastAsia="宋体" w:hAnsi="Book Antiqua" w:cs="宋体"/>
          <w:b/>
          <w:bCs/>
          <w:sz w:val="24"/>
          <w:szCs w:val="24"/>
          <w:lang w:val="en-US"/>
        </w:rPr>
        <w:t>32</w:t>
      </w:r>
      <w:r>
        <w:rPr>
          <w:rFonts w:ascii="Book Antiqua" w:eastAsia="宋体" w:hAnsi="Book Antiqua" w:cs="宋体"/>
          <w:sz w:val="24"/>
          <w:szCs w:val="24"/>
          <w:lang w:val="en-US"/>
        </w:rPr>
        <w:t>: 5728-5736 [PMID: 22539835 DOI: 10.1523/JNEUROSCI.2900-11.2012]</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64 </w:t>
      </w:r>
      <w:proofErr w:type="spellStart"/>
      <w:r>
        <w:rPr>
          <w:rFonts w:ascii="Book Antiqua" w:eastAsia="宋体" w:hAnsi="Book Antiqua" w:cs="宋体"/>
          <w:b/>
          <w:bCs/>
          <w:sz w:val="24"/>
          <w:szCs w:val="24"/>
          <w:lang w:val="en-US"/>
        </w:rPr>
        <w:t>Ostuni</w:t>
      </w:r>
      <w:proofErr w:type="spellEnd"/>
      <w:r>
        <w:rPr>
          <w:rFonts w:ascii="Book Antiqua" w:eastAsia="宋体" w:hAnsi="Book Antiqua" w:cs="宋体"/>
          <w:b/>
          <w:bCs/>
          <w:sz w:val="24"/>
          <w:szCs w:val="24"/>
          <w:lang w:val="en-US"/>
        </w:rPr>
        <w:t xml:space="preserve"> MA</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Issop</w:t>
      </w:r>
      <w:proofErr w:type="spellEnd"/>
      <w:r>
        <w:rPr>
          <w:rFonts w:ascii="Book Antiqua" w:eastAsia="宋体" w:hAnsi="Book Antiqua" w:cs="宋体"/>
          <w:sz w:val="24"/>
          <w:szCs w:val="24"/>
          <w:lang w:val="en-US"/>
        </w:rPr>
        <w:t xml:space="preserve"> L, </w:t>
      </w:r>
      <w:proofErr w:type="spellStart"/>
      <w:r>
        <w:rPr>
          <w:rFonts w:ascii="Book Antiqua" w:eastAsia="宋体" w:hAnsi="Book Antiqua" w:cs="宋体"/>
          <w:sz w:val="24"/>
          <w:szCs w:val="24"/>
          <w:lang w:val="en-US"/>
        </w:rPr>
        <w:t>Péranzi</w:t>
      </w:r>
      <w:proofErr w:type="spellEnd"/>
      <w:r>
        <w:rPr>
          <w:rFonts w:ascii="Book Antiqua" w:eastAsia="宋体" w:hAnsi="Book Antiqua" w:cs="宋体"/>
          <w:sz w:val="24"/>
          <w:szCs w:val="24"/>
          <w:lang w:val="en-US"/>
        </w:rPr>
        <w:t xml:space="preserve"> G, Walker F, </w:t>
      </w:r>
      <w:proofErr w:type="spellStart"/>
      <w:r>
        <w:rPr>
          <w:rFonts w:ascii="Book Antiqua" w:eastAsia="宋体" w:hAnsi="Book Antiqua" w:cs="宋体"/>
          <w:sz w:val="24"/>
          <w:szCs w:val="24"/>
          <w:lang w:val="en-US"/>
        </w:rPr>
        <w:t>Fasseu</w:t>
      </w:r>
      <w:proofErr w:type="spellEnd"/>
      <w:r>
        <w:rPr>
          <w:rFonts w:ascii="Book Antiqua" w:eastAsia="宋体" w:hAnsi="Book Antiqua" w:cs="宋体"/>
          <w:sz w:val="24"/>
          <w:szCs w:val="24"/>
          <w:lang w:val="en-US"/>
        </w:rPr>
        <w:t xml:space="preserve"> M, </w:t>
      </w:r>
      <w:proofErr w:type="spellStart"/>
      <w:r>
        <w:rPr>
          <w:rFonts w:ascii="Book Antiqua" w:eastAsia="宋体" w:hAnsi="Book Antiqua" w:cs="宋体"/>
          <w:sz w:val="24"/>
          <w:szCs w:val="24"/>
          <w:lang w:val="en-US"/>
        </w:rPr>
        <w:t>Elbim</w:t>
      </w:r>
      <w:proofErr w:type="spellEnd"/>
      <w:r>
        <w:rPr>
          <w:rFonts w:ascii="Book Antiqua" w:eastAsia="宋体" w:hAnsi="Book Antiqua" w:cs="宋体"/>
          <w:sz w:val="24"/>
          <w:szCs w:val="24"/>
          <w:lang w:val="en-US"/>
        </w:rPr>
        <w:t xml:space="preserve"> C, Papadopoulos V, </w:t>
      </w:r>
      <w:proofErr w:type="spellStart"/>
      <w:r>
        <w:rPr>
          <w:rFonts w:ascii="Book Antiqua" w:eastAsia="宋体" w:hAnsi="Book Antiqua" w:cs="宋体"/>
          <w:sz w:val="24"/>
          <w:szCs w:val="24"/>
          <w:lang w:val="en-US"/>
        </w:rPr>
        <w:t>Lacapere</w:t>
      </w:r>
      <w:proofErr w:type="spellEnd"/>
      <w:r>
        <w:rPr>
          <w:rFonts w:ascii="Book Antiqua" w:eastAsia="宋体" w:hAnsi="Book Antiqua" w:cs="宋体"/>
          <w:sz w:val="24"/>
          <w:szCs w:val="24"/>
          <w:lang w:val="en-US"/>
        </w:rPr>
        <w:t xml:space="preserve"> JJ. Overexpression of translocator protein in inflammatory bowel disease: potential diagnostic and treatment value. </w:t>
      </w:r>
      <w:proofErr w:type="spellStart"/>
      <w:r>
        <w:rPr>
          <w:rFonts w:ascii="Book Antiqua" w:eastAsia="宋体" w:hAnsi="Book Antiqua" w:cs="宋体"/>
          <w:i/>
          <w:iCs/>
          <w:sz w:val="24"/>
          <w:szCs w:val="24"/>
          <w:lang w:val="en-US"/>
        </w:rPr>
        <w:t>Inflamm</w:t>
      </w:r>
      <w:proofErr w:type="spellEnd"/>
      <w:r>
        <w:rPr>
          <w:rFonts w:ascii="Book Antiqua" w:eastAsia="宋体" w:hAnsi="Book Antiqua" w:cs="宋体"/>
          <w:i/>
          <w:iCs/>
          <w:sz w:val="24"/>
          <w:szCs w:val="24"/>
          <w:lang w:val="en-US"/>
        </w:rPr>
        <w:t xml:space="preserve"> Bowel Dis</w:t>
      </w:r>
      <w:r>
        <w:rPr>
          <w:rFonts w:ascii="Book Antiqua" w:eastAsia="宋体" w:hAnsi="Book Antiqua" w:cs="宋体"/>
          <w:sz w:val="24"/>
          <w:szCs w:val="24"/>
          <w:lang w:val="en-US"/>
        </w:rPr>
        <w:t> 2010; </w:t>
      </w:r>
      <w:r>
        <w:rPr>
          <w:rFonts w:ascii="Book Antiqua" w:eastAsia="宋体" w:hAnsi="Book Antiqua" w:cs="宋体"/>
          <w:b/>
          <w:bCs/>
          <w:sz w:val="24"/>
          <w:szCs w:val="24"/>
          <w:lang w:val="en-US"/>
        </w:rPr>
        <w:t>16</w:t>
      </w:r>
      <w:r>
        <w:rPr>
          <w:rFonts w:ascii="Book Antiqua" w:eastAsia="宋体" w:hAnsi="Book Antiqua" w:cs="宋体"/>
          <w:sz w:val="24"/>
          <w:szCs w:val="24"/>
          <w:lang w:val="en-US"/>
        </w:rPr>
        <w:t>: 1476-1487 [PMID: 20222126 DOI: 10.1002/ibd.21250]</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65 </w:t>
      </w:r>
      <w:r>
        <w:rPr>
          <w:rFonts w:ascii="Book Antiqua" w:eastAsia="宋体" w:hAnsi="Book Antiqua" w:cs="宋体"/>
          <w:b/>
          <w:bCs/>
          <w:sz w:val="24"/>
          <w:szCs w:val="24"/>
          <w:lang w:val="en-US"/>
        </w:rPr>
        <w:t>Treglia G</w:t>
      </w:r>
      <w:r>
        <w:rPr>
          <w:rFonts w:ascii="Book Antiqua" w:eastAsia="宋体" w:hAnsi="Book Antiqua" w:cs="宋体"/>
          <w:sz w:val="24"/>
          <w:szCs w:val="24"/>
          <w:lang w:val="en-US"/>
        </w:rPr>
        <w:t xml:space="preserve">, </w:t>
      </w:r>
      <w:proofErr w:type="spellStart"/>
      <w:r>
        <w:rPr>
          <w:rFonts w:ascii="Book Antiqua" w:eastAsia="宋体" w:hAnsi="Book Antiqua" w:cs="宋体"/>
          <w:sz w:val="24"/>
          <w:szCs w:val="24"/>
          <w:lang w:val="en-US"/>
        </w:rPr>
        <w:t>Quartuccio</w:t>
      </w:r>
      <w:proofErr w:type="spellEnd"/>
      <w:r>
        <w:rPr>
          <w:rFonts w:ascii="Book Antiqua" w:eastAsia="宋体" w:hAnsi="Book Antiqua" w:cs="宋体"/>
          <w:sz w:val="24"/>
          <w:szCs w:val="24"/>
          <w:lang w:val="en-US"/>
        </w:rPr>
        <w:t xml:space="preserve"> N, </w:t>
      </w:r>
      <w:proofErr w:type="spellStart"/>
      <w:r>
        <w:rPr>
          <w:rFonts w:ascii="Book Antiqua" w:eastAsia="宋体" w:hAnsi="Book Antiqua" w:cs="宋体"/>
          <w:sz w:val="24"/>
          <w:szCs w:val="24"/>
          <w:lang w:val="en-US"/>
        </w:rPr>
        <w:t>Sadeghi</w:t>
      </w:r>
      <w:proofErr w:type="spellEnd"/>
      <w:r>
        <w:rPr>
          <w:rFonts w:ascii="Book Antiqua" w:eastAsia="宋体" w:hAnsi="Book Antiqua" w:cs="宋体"/>
          <w:sz w:val="24"/>
          <w:szCs w:val="24"/>
          <w:lang w:val="en-US"/>
        </w:rPr>
        <w:t xml:space="preserve"> R, </w:t>
      </w:r>
      <w:proofErr w:type="spellStart"/>
      <w:r>
        <w:rPr>
          <w:rFonts w:ascii="Book Antiqua" w:eastAsia="宋体" w:hAnsi="Book Antiqua" w:cs="宋体"/>
          <w:sz w:val="24"/>
          <w:szCs w:val="24"/>
          <w:lang w:val="en-US"/>
        </w:rPr>
        <w:t>Farchione</w:t>
      </w:r>
      <w:proofErr w:type="spellEnd"/>
      <w:r>
        <w:rPr>
          <w:rFonts w:ascii="Book Antiqua" w:eastAsia="宋体" w:hAnsi="Book Antiqua" w:cs="宋体"/>
          <w:sz w:val="24"/>
          <w:szCs w:val="24"/>
          <w:lang w:val="en-US"/>
        </w:rPr>
        <w:t xml:space="preserve"> A, Caldarella C, </w:t>
      </w:r>
      <w:proofErr w:type="spellStart"/>
      <w:r>
        <w:rPr>
          <w:rFonts w:ascii="Book Antiqua" w:eastAsia="宋体" w:hAnsi="Book Antiqua" w:cs="宋体"/>
          <w:sz w:val="24"/>
          <w:szCs w:val="24"/>
          <w:lang w:val="en-US"/>
        </w:rPr>
        <w:t>Bertagna</w:t>
      </w:r>
      <w:proofErr w:type="spellEnd"/>
      <w:r>
        <w:rPr>
          <w:rFonts w:ascii="Book Antiqua" w:eastAsia="宋体" w:hAnsi="Book Antiqua" w:cs="宋体"/>
          <w:sz w:val="24"/>
          <w:szCs w:val="24"/>
          <w:lang w:val="en-US"/>
        </w:rPr>
        <w:t xml:space="preserve"> F, </w:t>
      </w:r>
      <w:proofErr w:type="spellStart"/>
      <w:r>
        <w:rPr>
          <w:rFonts w:ascii="Book Antiqua" w:eastAsia="宋体" w:hAnsi="Book Antiqua" w:cs="宋体"/>
          <w:sz w:val="24"/>
          <w:szCs w:val="24"/>
          <w:lang w:val="en-US"/>
        </w:rPr>
        <w:t>Fania</w:t>
      </w:r>
      <w:proofErr w:type="spellEnd"/>
      <w:r>
        <w:rPr>
          <w:rFonts w:ascii="Book Antiqua" w:eastAsia="宋体" w:hAnsi="Book Antiqua" w:cs="宋体"/>
          <w:sz w:val="24"/>
          <w:szCs w:val="24"/>
          <w:lang w:val="en-US"/>
        </w:rPr>
        <w:t xml:space="preserve"> P, </w:t>
      </w:r>
      <w:proofErr w:type="spellStart"/>
      <w:r>
        <w:rPr>
          <w:rFonts w:ascii="Book Antiqua" w:eastAsia="宋体" w:hAnsi="Book Antiqua" w:cs="宋体"/>
          <w:sz w:val="24"/>
          <w:szCs w:val="24"/>
          <w:lang w:val="en-US"/>
        </w:rPr>
        <w:t>Cistaro</w:t>
      </w:r>
      <w:proofErr w:type="spellEnd"/>
      <w:r>
        <w:rPr>
          <w:rFonts w:ascii="Book Antiqua" w:eastAsia="宋体" w:hAnsi="Book Antiqua" w:cs="宋体"/>
          <w:sz w:val="24"/>
          <w:szCs w:val="24"/>
          <w:lang w:val="en-US"/>
        </w:rPr>
        <w:t xml:space="preserve"> A. Diagnostic performance of Fluorine-18-Fluorodeoxyglucose positron emission tomography in patients with chronic inflammatory bowel disease: a </w:t>
      </w:r>
      <w:r>
        <w:rPr>
          <w:rFonts w:ascii="Book Antiqua" w:eastAsia="宋体" w:hAnsi="Book Antiqua" w:cs="宋体"/>
          <w:sz w:val="24"/>
          <w:szCs w:val="24"/>
          <w:lang w:val="en-US"/>
        </w:rPr>
        <w:lastRenderedPageBreak/>
        <w:t>systematic review and a meta-analysis. </w:t>
      </w:r>
      <w:r>
        <w:rPr>
          <w:rFonts w:ascii="Book Antiqua" w:eastAsia="宋体" w:hAnsi="Book Antiqua" w:cs="宋体"/>
          <w:i/>
          <w:iCs/>
          <w:sz w:val="24"/>
          <w:szCs w:val="24"/>
          <w:lang w:val="en-US"/>
        </w:rPr>
        <w:t xml:space="preserve">J </w:t>
      </w:r>
      <w:proofErr w:type="spellStart"/>
      <w:r>
        <w:rPr>
          <w:rFonts w:ascii="Book Antiqua" w:eastAsia="宋体" w:hAnsi="Book Antiqua" w:cs="宋体"/>
          <w:i/>
          <w:iCs/>
          <w:sz w:val="24"/>
          <w:szCs w:val="24"/>
          <w:lang w:val="en-US"/>
        </w:rPr>
        <w:t>Crohns</w:t>
      </w:r>
      <w:proofErr w:type="spellEnd"/>
      <w:r>
        <w:rPr>
          <w:rFonts w:ascii="Book Antiqua" w:eastAsia="宋体" w:hAnsi="Book Antiqua" w:cs="宋体"/>
          <w:i/>
          <w:iCs/>
          <w:sz w:val="24"/>
          <w:szCs w:val="24"/>
          <w:lang w:val="en-US"/>
        </w:rPr>
        <w:t xml:space="preserve"> Colitis</w:t>
      </w:r>
      <w:r>
        <w:rPr>
          <w:rFonts w:ascii="Book Antiqua" w:eastAsia="宋体" w:hAnsi="Book Antiqua" w:cs="宋体"/>
          <w:sz w:val="24"/>
          <w:szCs w:val="24"/>
          <w:lang w:val="en-US"/>
        </w:rPr>
        <w:t> 2013; </w:t>
      </w:r>
      <w:r>
        <w:rPr>
          <w:rFonts w:ascii="Book Antiqua" w:eastAsia="宋体" w:hAnsi="Book Antiqua" w:cs="宋体"/>
          <w:b/>
          <w:bCs/>
          <w:sz w:val="24"/>
          <w:szCs w:val="24"/>
          <w:lang w:val="en-US"/>
        </w:rPr>
        <w:t>7</w:t>
      </w:r>
      <w:r>
        <w:rPr>
          <w:rFonts w:ascii="Book Antiqua" w:eastAsia="宋体" w:hAnsi="Book Antiqua" w:cs="宋体"/>
          <w:sz w:val="24"/>
          <w:szCs w:val="24"/>
          <w:lang w:val="en-US"/>
        </w:rPr>
        <w:t>: 345-354 [PMID: 22960135 DOI: 10.1016/j.crohns.2012.08.005]</w:t>
      </w:r>
    </w:p>
    <w:p w:rsidR="0003376C" w:rsidRDefault="005739BD" w:rsidP="00924331">
      <w:pPr>
        <w:spacing w:after="0" w:line="360" w:lineRule="auto"/>
        <w:jc w:val="both"/>
        <w:rPr>
          <w:rFonts w:ascii="Book Antiqua" w:eastAsia="宋体" w:hAnsi="Book Antiqua" w:cs="宋体"/>
          <w:sz w:val="24"/>
          <w:szCs w:val="24"/>
          <w:lang w:val="en-US"/>
        </w:rPr>
      </w:pPr>
      <w:r>
        <w:rPr>
          <w:rFonts w:ascii="Book Antiqua" w:eastAsia="宋体" w:hAnsi="Book Antiqua" w:cs="宋体"/>
          <w:sz w:val="24"/>
          <w:szCs w:val="24"/>
          <w:lang w:val="en-US"/>
        </w:rPr>
        <w:t>66 </w:t>
      </w:r>
      <w:r>
        <w:rPr>
          <w:rFonts w:ascii="Book Antiqua" w:eastAsia="宋体" w:hAnsi="Book Antiqua" w:cs="宋体"/>
          <w:b/>
          <w:bCs/>
          <w:sz w:val="24"/>
          <w:szCs w:val="24"/>
          <w:lang w:val="en-US"/>
        </w:rPr>
        <w:t>Sauer CG</w:t>
      </w:r>
      <w:r>
        <w:rPr>
          <w:rFonts w:ascii="Book Antiqua" w:eastAsia="宋体" w:hAnsi="Book Antiqua" w:cs="宋体"/>
          <w:sz w:val="24"/>
          <w:szCs w:val="24"/>
          <w:lang w:val="en-US"/>
        </w:rPr>
        <w:t>. Radiation exposure in children with inflammatory bowel disease. </w:t>
      </w:r>
      <w:proofErr w:type="spellStart"/>
      <w:r>
        <w:rPr>
          <w:rFonts w:ascii="Book Antiqua" w:eastAsia="宋体" w:hAnsi="Book Antiqua" w:cs="宋体"/>
          <w:i/>
          <w:iCs/>
          <w:sz w:val="24"/>
          <w:szCs w:val="24"/>
          <w:lang w:val="en-US"/>
        </w:rPr>
        <w:t>Curr</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Opin</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Pediatr</w:t>
      </w:r>
      <w:proofErr w:type="spellEnd"/>
      <w:r>
        <w:rPr>
          <w:rFonts w:ascii="Book Antiqua" w:eastAsia="宋体" w:hAnsi="Book Antiqua" w:cs="宋体"/>
          <w:sz w:val="24"/>
          <w:szCs w:val="24"/>
          <w:lang w:val="en-US"/>
        </w:rPr>
        <w:t> 2012; </w:t>
      </w:r>
      <w:r>
        <w:rPr>
          <w:rFonts w:ascii="Book Antiqua" w:eastAsia="宋体" w:hAnsi="Book Antiqua" w:cs="宋体"/>
          <w:b/>
          <w:bCs/>
          <w:sz w:val="24"/>
          <w:szCs w:val="24"/>
          <w:lang w:val="en-US"/>
        </w:rPr>
        <w:t>24</w:t>
      </w:r>
      <w:r>
        <w:rPr>
          <w:rFonts w:ascii="Book Antiqua" w:eastAsia="宋体" w:hAnsi="Book Antiqua" w:cs="宋体"/>
          <w:sz w:val="24"/>
          <w:szCs w:val="24"/>
          <w:lang w:val="en-US"/>
        </w:rPr>
        <w:t>: 621-626 [PMID: 22935753 DOI: 10.1097/MOP.0b013e32835742a2]</w:t>
      </w:r>
    </w:p>
    <w:p w:rsidR="0003376C" w:rsidRPr="00201838" w:rsidRDefault="005739BD" w:rsidP="00924331">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rPr>
        <w:t>67 </w:t>
      </w:r>
      <w:r>
        <w:rPr>
          <w:rFonts w:ascii="Book Antiqua" w:eastAsia="宋体" w:hAnsi="Book Antiqua" w:cs="宋体"/>
          <w:b/>
          <w:bCs/>
          <w:sz w:val="24"/>
          <w:szCs w:val="24"/>
          <w:lang w:val="en-US"/>
        </w:rPr>
        <w:t>Perlman SB</w:t>
      </w:r>
      <w:r>
        <w:rPr>
          <w:rFonts w:ascii="Book Antiqua" w:eastAsia="宋体" w:hAnsi="Book Antiqua" w:cs="宋体"/>
          <w:sz w:val="24"/>
          <w:szCs w:val="24"/>
          <w:lang w:val="en-US"/>
        </w:rPr>
        <w:t xml:space="preserve">, Hall BS, </w:t>
      </w:r>
      <w:proofErr w:type="spellStart"/>
      <w:r>
        <w:rPr>
          <w:rFonts w:ascii="Book Antiqua" w:eastAsia="宋体" w:hAnsi="Book Antiqua" w:cs="宋体"/>
          <w:sz w:val="24"/>
          <w:szCs w:val="24"/>
          <w:lang w:val="en-US"/>
        </w:rPr>
        <w:t>Reichelderfer</w:t>
      </w:r>
      <w:proofErr w:type="spellEnd"/>
      <w:r>
        <w:rPr>
          <w:rFonts w:ascii="Book Antiqua" w:eastAsia="宋体" w:hAnsi="Book Antiqua" w:cs="宋体"/>
          <w:sz w:val="24"/>
          <w:szCs w:val="24"/>
          <w:lang w:val="en-US"/>
        </w:rPr>
        <w:t xml:space="preserve"> M. PET/CT imaging of inflammatory bowel disease. </w:t>
      </w:r>
      <w:proofErr w:type="spellStart"/>
      <w:r>
        <w:rPr>
          <w:rFonts w:ascii="Book Antiqua" w:eastAsia="宋体" w:hAnsi="Book Antiqua" w:cs="宋体"/>
          <w:i/>
          <w:iCs/>
          <w:sz w:val="24"/>
          <w:szCs w:val="24"/>
          <w:lang w:val="en-US"/>
        </w:rPr>
        <w:t>Semin</w:t>
      </w:r>
      <w:proofErr w:type="spellEnd"/>
      <w:r>
        <w:rPr>
          <w:rFonts w:ascii="Book Antiqua" w:eastAsia="宋体" w:hAnsi="Book Antiqua" w:cs="宋体"/>
          <w:i/>
          <w:iCs/>
          <w:sz w:val="24"/>
          <w:szCs w:val="24"/>
          <w:lang w:val="en-US"/>
        </w:rPr>
        <w:t xml:space="preserve"> </w:t>
      </w:r>
      <w:proofErr w:type="spellStart"/>
      <w:r>
        <w:rPr>
          <w:rFonts w:ascii="Book Antiqua" w:eastAsia="宋体" w:hAnsi="Book Antiqua" w:cs="宋体"/>
          <w:i/>
          <w:iCs/>
          <w:sz w:val="24"/>
          <w:szCs w:val="24"/>
          <w:lang w:val="en-US"/>
        </w:rPr>
        <w:t>Nucl</w:t>
      </w:r>
      <w:proofErr w:type="spellEnd"/>
      <w:r>
        <w:rPr>
          <w:rFonts w:ascii="Book Antiqua" w:eastAsia="宋体" w:hAnsi="Book Antiqua" w:cs="宋体"/>
          <w:i/>
          <w:iCs/>
          <w:sz w:val="24"/>
          <w:szCs w:val="24"/>
          <w:lang w:val="en-US"/>
        </w:rPr>
        <w:t xml:space="preserve"> Med</w:t>
      </w:r>
      <w:r>
        <w:rPr>
          <w:rFonts w:ascii="Book Antiqua" w:eastAsia="宋体" w:hAnsi="Book Antiqua" w:cs="宋体"/>
          <w:sz w:val="24"/>
          <w:szCs w:val="24"/>
          <w:lang w:val="en-US"/>
        </w:rPr>
        <w:t> 2013; </w:t>
      </w:r>
      <w:r>
        <w:rPr>
          <w:rFonts w:ascii="Book Antiqua" w:eastAsia="宋体" w:hAnsi="Book Antiqua" w:cs="宋体"/>
          <w:b/>
          <w:bCs/>
          <w:sz w:val="24"/>
          <w:szCs w:val="24"/>
          <w:lang w:val="en-US"/>
        </w:rPr>
        <w:t>43</w:t>
      </w:r>
      <w:r>
        <w:rPr>
          <w:rFonts w:ascii="Book Antiqua" w:eastAsia="宋体" w:hAnsi="Book Antiqua" w:cs="宋体"/>
          <w:sz w:val="24"/>
          <w:szCs w:val="24"/>
          <w:lang w:val="en-US"/>
        </w:rPr>
        <w:t>: 420-426 [PMID: 24094709 DOI: 10.1053/j.semnuclmed.2013.06.006]</w:t>
      </w:r>
    </w:p>
    <w:p w:rsidR="0003376C" w:rsidRDefault="0003376C" w:rsidP="00924331">
      <w:pPr>
        <w:spacing w:after="0" w:line="360" w:lineRule="auto"/>
        <w:jc w:val="both"/>
        <w:rPr>
          <w:rFonts w:ascii="Book Antiqua" w:hAnsi="Book Antiqua" w:cs="Arial"/>
          <w:sz w:val="24"/>
          <w:szCs w:val="24"/>
          <w:lang w:val="en-US"/>
        </w:rPr>
      </w:pPr>
    </w:p>
    <w:p w:rsidR="0003376C" w:rsidRPr="00B76486" w:rsidRDefault="005739BD" w:rsidP="00B76486">
      <w:pPr>
        <w:spacing w:after="0" w:line="360" w:lineRule="auto"/>
        <w:ind w:right="120"/>
        <w:jc w:val="right"/>
        <w:rPr>
          <w:rFonts w:ascii="Book Antiqua" w:eastAsiaTheme="minorEastAsia" w:hAnsi="Book Antiqua"/>
          <w:b/>
          <w:bCs/>
          <w:color w:val="000000"/>
          <w:sz w:val="24"/>
          <w:szCs w:val="24"/>
          <w:lang w:val="en-US" w:eastAsia="zh-CN"/>
        </w:rPr>
      </w:pPr>
      <w:bookmarkStart w:id="39" w:name="OLE_LINK277"/>
      <w:bookmarkStart w:id="40" w:name="OLE_LINK278"/>
      <w:bookmarkStart w:id="41" w:name="OLE_LINK279"/>
      <w:bookmarkStart w:id="42" w:name="OLE_LINK290"/>
      <w:bookmarkStart w:id="43" w:name="OLE_LINK301"/>
      <w:bookmarkStart w:id="44" w:name="OLE_LINK312"/>
      <w:bookmarkStart w:id="45" w:name="OLE_LINK315"/>
      <w:bookmarkStart w:id="46" w:name="OLE_LINK316"/>
      <w:bookmarkStart w:id="47" w:name="OLE_LINK317"/>
      <w:bookmarkStart w:id="48" w:name="OLE_LINK318"/>
      <w:bookmarkStart w:id="49" w:name="OLE_LINK326"/>
      <w:bookmarkStart w:id="50" w:name="OLE_LINK335"/>
      <w:bookmarkStart w:id="51" w:name="OLE_LINK339"/>
      <w:bookmarkStart w:id="52" w:name="OLE_LINK348"/>
      <w:bookmarkStart w:id="53" w:name="OLE_LINK399"/>
      <w:bookmarkStart w:id="54" w:name="OLE_LINK419"/>
      <w:bookmarkStart w:id="55" w:name="OLE_LINK420"/>
      <w:bookmarkStart w:id="56" w:name="OLE_LINK423"/>
      <w:bookmarkStart w:id="57" w:name="OLE_LINK449"/>
      <w:bookmarkStart w:id="58" w:name="OLE_LINK450"/>
      <w:bookmarkStart w:id="59" w:name="OLE_LINK454"/>
      <w:bookmarkStart w:id="60" w:name="OLE_LINK461"/>
      <w:bookmarkStart w:id="61" w:name="OLE_LINK471"/>
      <w:bookmarkStart w:id="62" w:name="OLE_LINK474"/>
      <w:bookmarkStart w:id="63" w:name="OLE_LINK407"/>
      <w:bookmarkStart w:id="64" w:name="OLE_LINK494"/>
      <w:bookmarkStart w:id="65" w:name="OLE_LINK506"/>
      <w:bookmarkStart w:id="66" w:name="OLE_LINK519"/>
      <w:bookmarkStart w:id="67" w:name="OLE_LINK8"/>
      <w:bookmarkStart w:id="68" w:name="OLE_LINK87"/>
      <w:bookmarkStart w:id="69" w:name="OLE_LINK556"/>
      <w:bookmarkStart w:id="70" w:name="OLE_LINK602"/>
      <w:bookmarkStart w:id="71" w:name="OLE_LINK576"/>
      <w:r w:rsidRPr="00B76486">
        <w:rPr>
          <w:rStyle w:val="Strong"/>
          <w:rFonts w:ascii="Book Antiqua" w:hAnsi="Book Antiqua" w:cs="Arial"/>
          <w:bCs w:val="0"/>
          <w:noProof/>
          <w:color w:val="000000"/>
          <w:sz w:val="24"/>
          <w:szCs w:val="24"/>
          <w:lang w:val="en-US"/>
        </w:rPr>
        <w:t>P-Reviewer</w:t>
      </w:r>
      <w:r w:rsidRPr="00B76486">
        <w:rPr>
          <w:rStyle w:val="Strong"/>
          <w:rFonts w:ascii="Book Antiqua" w:eastAsia="宋体" w:hAnsi="Book Antiqua" w:cs="Arial"/>
          <w:bCs w:val="0"/>
          <w:noProof/>
          <w:color w:val="000000"/>
          <w:sz w:val="24"/>
          <w:szCs w:val="24"/>
          <w:lang w:val="en-US" w:eastAsia="zh-CN"/>
        </w:rPr>
        <w:t>:</w:t>
      </w:r>
      <w:r w:rsidRPr="00B76486">
        <w:rPr>
          <w:rFonts w:ascii="Book Antiqua" w:hAnsi="Book Antiqua"/>
          <w:bCs/>
          <w:color w:val="000000"/>
          <w:sz w:val="24"/>
          <w:szCs w:val="24"/>
          <w:lang w:val="en-US"/>
        </w:rPr>
        <w:t xml:space="preserve">  </w:t>
      </w:r>
      <w:proofErr w:type="spellStart"/>
      <w:r w:rsidRPr="00B76486">
        <w:rPr>
          <w:rFonts w:ascii="Book Antiqua" w:hAnsi="Book Antiqua"/>
          <w:bCs/>
          <w:color w:val="000000"/>
          <w:sz w:val="24"/>
          <w:szCs w:val="24"/>
          <w:lang w:val="en-US"/>
        </w:rPr>
        <w:t>Annese</w:t>
      </w:r>
      <w:proofErr w:type="spellEnd"/>
      <w:r w:rsidRPr="00B76486">
        <w:rPr>
          <w:rFonts w:ascii="Book Antiqua" w:eastAsiaTheme="minorEastAsia" w:hAnsi="Book Antiqua" w:hint="eastAsia"/>
          <w:bCs/>
          <w:color w:val="000000"/>
          <w:sz w:val="24"/>
          <w:szCs w:val="24"/>
          <w:lang w:val="en-US" w:eastAsia="zh-CN"/>
        </w:rPr>
        <w:t xml:space="preserve"> V,</w:t>
      </w:r>
      <w:r w:rsidRPr="00B76486">
        <w:rPr>
          <w:rFonts w:ascii="Book Antiqua" w:hAnsi="Book Antiqua"/>
          <w:bCs/>
          <w:color w:val="000000"/>
          <w:sz w:val="24"/>
          <w:szCs w:val="24"/>
          <w:lang w:val="en-US"/>
        </w:rPr>
        <w:t xml:space="preserve"> </w:t>
      </w:r>
      <w:proofErr w:type="spellStart"/>
      <w:r w:rsidRPr="00B76486">
        <w:rPr>
          <w:rFonts w:ascii="Book Antiqua" w:hAnsi="Book Antiqua"/>
          <w:bCs/>
          <w:color w:val="000000"/>
          <w:sz w:val="24"/>
          <w:szCs w:val="24"/>
          <w:lang w:val="en-US"/>
        </w:rPr>
        <w:t>Capasso</w:t>
      </w:r>
      <w:proofErr w:type="spellEnd"/>
      <w:r w:rsidRPr="00B76486">
        <w:rPr>
          <w:rFonts w:ascii="Book Antiqua" w:eastAsiaTheme="minorEastAsia" w:hAnsi="Book Antiqua" w:hint="eastAsia"/>
          <w:bCs/>
          <w:color w:val="000000"/>
          <w:sz w:val="24"/>
          <w:szCs w:val="24"/>
          <w:lang w:val="en-US" w:eastAsia="zh-CN"/>
        </w:rPr>
        <w:t xml:space="preserve"> R, </w:t>
      </w:r>
      <w:proofErr w:type="spellStart"/>
      <w:r w:rsidRPr="00B76486">
        <w:rPr>
          <w:rFonts w:ascii="Book Antiqua" w:eastAsiaTheme="minorEastAsia" w:hAnsi="Book Antiqua"/>
          <w:bCs/>
          <w:color w:val="000000"/>
          <w:sz w:val="24"/>
          <w:szCs w:val="24"/>
          <w:lang w:val="en-US" w:eastAsia="zh-CN"/>
        </w:rPr>
        <w:t>Giron</w:t>
      </w:r>
      <w:proofErr w:type="spellEnd"/>
      <w:r w:rsidRPr="00B76486">
        <w:rPr>
          <w:rFonts w:ascii="Book Antiqua" w:eastAsiaTheme="minorEastAsia" w:hAnsi="Book Antiqua" w:hint="eastAsia"/>
          <w:bCs/>
          <w:color w:val="000000"/>
          <w:sz w:val="24"/>
          <w:szCs w:val="24"/>
          <w:lang w:val="en-US" w:eastAsia="zh-CN"/>
        </w:rPr>
        <w:t xml:space="preserve"> MC, </w:t>
      </w:r>
      <w:r w:rsidRPr="00B76486">
        <w:rPr>
          <w:rFonts w:ascii="Book Antiqua" w:eastAsiaTheme="minorEastAsia" w:hAnsi="Book Antiqua"/>
          <w:bCs/>
          <w:color w:val="000000"/>
          <w:sz w:val="24"/>
          <w:szCs w:val="24"/>
          <w:lang w:val="en-US" w:eastAsia="zh-CN"/>
        </w:rPr>
        <w:t>Fries</w:t>
      </w:r>
      <w:r w:rsidRPr="00B76486">
        <w:rPr>
          <w:rFonts w:ascii="Book Antiqua" w:eastAsiaTheme="minorEastAsia" w:hAnsi="Book Antiqua" w:hint="eastAsia"/>
          <w:bCs/>
          <w:color w:val="000000"/>
          <w:sz w:val="24"/>
          <w:szCs w:val="24"/>
          <w:lang w:val="en-US" w:eastAsia="zh-CN"/>
        </w:rPr>
        <w:t xml:space="preserve"> W </w:t>
      </w:r>
      <w:r w:rsidRPr="00B76486">
        <w:rPr>
          <w:rFonts w:ascii="Book Antiqua" w:hAnsi="Book Antiqua"/>
          <w:b/>
          <w:bCs/>
          <w:color w:val="000000"/>
          <w:sz w:val="24"/>
          <w:szCs w:val="24"/>
          <w:lang w:val="en-US"/>
        </w:rPr>
        <w:t>S-Editor</w:t>
      </w:r>
      <w:r w:rsidRPr="00B76486">
        <w:rPr>
          <w:rFonts w:ascii="Book Antiqua" w:eastAsia="宋体" w:hAnsi="Book Antiqua"/>
          <w:b/>
          <w:bCs/>
          <w:color w:val="000000"/>
          <w:sz w:val="24"/>
          <w:szCs w:val="24"/>
          <w:lang w:val="en-US" w:eastAsia="zh-CN"/>
        </w:rPr>
        <w:t>:</w:t>
      </w:r>
      <w:r w:rsidRPr="00B76486">
        <w:rPr>
          <w:rFonts w:ascii="Book Antiqua" w:hAnsi="Book Antiqua"/>
          <w:bCs/>
          <w:color w:val="000000"/>
          <w:sz w:val="24"/>
          <w:szCs w:val="24"/>
          <w:lang w:val="en-US"/>
        </w:rPr>
        <w:t xml:space="preserve"> </w:t>
      </w:r>
      <w:r w:rsidRPr="00B76486">
        <w:rPr>
          <w:rFonts w:ascii="Book Antiqua" w:eastAsia="宋体" w:hAnsi="Book Antiqua"/>
          <w:bCs/>
          <w:color w:val="000000"/>
          <w:sz w:val="24"/>
          <w:szCs w:val="24"/>
          <w:lang w:val="en-US" w:eastAsia="zh-CN"/>
        </w:rPr>
        <w:t>Qi Y</w:t>
      </w:r>
      <w:r w:rsidRPr="00B76486">
        <w:rPr>
          <w:rFonts w:ascii="Book Antiqua" w:hAnsi="Book Antiqua"/>
          <w:b/>
          <w:bCs/>
          <w:color w:val="000000"/>
          <w:sz w:val="24"/>
          <w:szCs w:val="24"/>
          <w:lang w:val="en-US"/>
        </w:rPr>
        <w:t xml:space="preserve">  </w:t>
      </w:r>
    </w:p>
    <w:p w:rsidR="0003376C" w:rsidRPr="00B76486" w:rsidRDefault="005739BD" w:rsidP="00B76486">
      <w:pPr>
        <w:spacing w:after="0" w:line="360" w:lineRule="auto"/>
        <w:ind w:right="120"/>
        <w:jc w:val="right"/>
        <w:rPr>
          <w:rFonts w:ascii="Book Antiqua" w:eastAsia="宋体" w:hAnsi="Book Antiqua"/>
          <w:b/>
          <w:bCs/>
          <w:color w:val="000000"/>
          <w:sz w:val="24"/>
          <w:szCs w:val="24"/>
          <w:lang w:eastAsia="zh-CN"/>
        </w:rPr>
      </w:pPr>
      <w:r w:rsidRPr="00B76486">
        <w:rPr>
          <w:rFonts w:ascii="Book Antiqua" w:hAnsi="Book Antiqua"/>
          <w:b/>
          <w:bCs/>
          <w:color w:val="000000"/>
          <w:sz w:val="24"/>
          <w:szCs w:val="24"/>
          <w:lang w:val="en-US"/>
        </w:rPr>
        <w:t xml:space="preserve"> </w:t>
      </w:r>
      <w:r w:rsidRPr="00B76486">
        <w:rPr>
          <w:rFonts w:ascii="Book Antiqua" w:hAnsi="Book Antiqua"/>
          <w:b/>
          <w:bCs/>
          <w:color w:val="000000"/>
          <w:sz w:val="24"/>
          <w:szCs w:val="24"/>
        </w:rPr>
        <w:t>L-Editor</w:t>
      </w:r>
      <w:r w:rsidRPr="00B76486">
        <w:rPr>
          <w:rFonts w:ascii="Book Antiqua" w:eastAsia="宋体" w:hAnsi="Book Antiqua"/>
          <w:b/>
          <w:bCs/>
          <w:color w:val="000000"/>
          <w:sz w:val="24"/>
          <w:szCs w:val="24"/>
          <w:lang w:eastAsia="zh-CN"/>
        </w:rPr>
        <w:t>:</w:t>
      </w:r>
      <w:r w:rsidRPr="00B76486">
        <w:rPr>
          <w:rFonts w:ascii="Book Antiqua" w:hAnsi="Book Antiqua"/>
          <w:b/>
          <w:bCs/>
          <w:color w:val="000000"/>
          <w:sz w:val="24"/>
          <w:szCs w:val="24"/>
        </w:rPr>
        <w:t xml:space="preserve">   E-Editor</w:t>
      </w:r>
      <w:r w:rsidRPr="00B76486">
        <w:rPr>
          <w:rFonts w:ascii="Book Antiqua" w:eastAsia="宋体" w:hAnsi="Book Antiqua"/>
          <w:b/>
          <w:bCs/>
          <w:color w:val="000000"/>
          <w:sz w:val="24"/>
          <w:szCs w:val="24"/>
          <w:lang w:eastAsia="zh-CN"/>
        </w:rPr>
        <w:t>:</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03376C" w:rsidRDefault="0003376C" w:rsidP="00924331">
      <w:pPr>
        <w:spacing w:after="0" w:line="360" w:lineRule="auto"/>
        <w:jc w:val="both"/>
        <w:rPr>
          <w:rFonts w:ascii="Book Antiqua" w:hAnsi="Book Antiqua" w:cs="Arial"/>
          <w:sz w:val="24"/>
          <w:szCs w:val="24"/>
        </w:rPr>
      </w:pPr>
    </w:p>
    <w:p w:rsidR="0003376C" w:rsidRDefault="0003376C" w:rsidP="00924331">
      <w:pPr>
        <w:spacing w:after="0" w:line="360" w:lineRule="auto"/>
        <w:jc w:val="both"/>
        <w:rPr>
          <w:rFonts w:ascii="Book Antiqua" w:hAnsi="Book Antiqua" w:cs="Arial"/>
          <w:sz w:val="24"/>
          <w:szCs w:val="24"/>
          <w:lang w:val="en-US"/>
        </w:rPr>
      </w:pPr>
    </w:p>
    <w:p w:rsidR="0003376C" w:rsidRDefault="005739BD" w:rsidP="00924331">
      <w:pPr>
        <w:spacing w:after="0" w:line="360" w:lineRule="auto"/>
        <w:jc w:val="both"/>
        <w:rPr>
          <w:rFonts w:ascii="Book Antiqua" w:eastAsiaTheme="minorEastAsia" w:hAnsi="Book Antiqua" w:cs="Arial"/>
          <w:b/>
          <w:sz w:val="24"/>
          <w:szCs w:val="24"/>
          <w:lang w:val="en-GB" w:eastAsia="zh-CN"/>
        </w:rPr>
      </w:pPr>
      <w:r>
        <w:rPr>
          <w:noProof/>
          <w:lang w:val="en-US"/>
        </w:rPr>
        <w:drawing>
          <wp:inline distT="0" distB="0" distL="0" distR="0" wp14:anchorId="7E01A7EE" wp14:editId="209454EB">
            <wp:extent cx="3876675" cy="5238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76675" cy="5238750"/>
                    </a:xfrm>
                    <a:prstGeom prst="rect">
                      <a:avLst/>
                    </a:prstGeom>
                  </pic:spPr>
                </pic:pic>
              </a:graphicData>
            </a:graphic>
          </wp:inline>
        </w:drawing>
      </w:r>
      <w:r>
        <w:rPr>
          <w:rFonts w:ascii="Book Antiqua" w:hAnsi="Book Antiqua" w:cs="Arial"/>
          <w:b/>
          <w:sz w:val="24"/>
          <w:szCs w:val="24"/>
          <w:lang w:val="en-GB"/>
        </w:rPr>
        <w:t xml:space="preserve"> </w:t>
      </w:r>
    </w:p>
    <w:p w:rsidR="00B76486" w:rsidRDefault="005739BD" w:rsidP="00924331">
      <w:pPr>
        <w:spacing w:after="0" w:line="360" w:lineRule="auto"/>
        <w:jc w:val="both"/>
        <w:rPr>
          <w:rFonts w:ascii="Book Antiqua" w:eastAsiaTheme="minorEastAsia" w:hAnsi="Book Antiqua" w:cs="Arial"/>
          <w:sz w:val="24"/>
          <w:szCs w:val="24"/>
          <w:lang w:val="en-GB" w:eastAsia="zh-CN"/>
        </w:rPr>
      </w:pPr>
      <w:r>
        <w:rPr>
          <w:rFonts w:ascii="Book Antiqua" w:hAnsi="Book Antiqua" w:cs="Arial"/>
          <w:b/>
          <w:sz w:val="24"/>
          <w:szCs w:val="24"/>
          <w:lang w:val="en-GB"/>
        </w:rPr>
        <w:lastRenderedPageBreak/>
        <w:t>Figure 1</w:t>
      </w:r>
      <w:r>
        <w:rPr>
          <w:rFonts w:ascii="Book Antiqua" w:eastAsiaTheme="minorEastAsia" w:hAnsi="Book Antiqua" w:cs="Arial" w:hint="eastAsia"/>
          <w:b/>
          <w:sz w:val="24"/>
          <w:szCs w:val="24"/>
          <w:lang w:val="en-GB" w:eastAsia="zh-CN"/>
        </w:rPr>
        <w:t xml:space="preserve"> M</w:t>
      </w:r>
      <w:r>
        <w:rPr>
          <w:rFonts w:ascii="Book Antiqua" w:hAnsi="Book Antiqua" w:cs="Arial"/>
          <w:b/>
          <w:sz w:val="24"/>
          <w:szCs w:val="24"/>
          <w:lang w:val="en-GB"/>
        </w:rPr>
        <w:t xml:space="preserve">aximum intensity projection image of an </w:t>
      </w:r>
      <w:r>
        <w:rPr>
          <w:rFonts w:ascii="Book Antiqua" w:hAnsi="Book Antiqua" w:cs="Arial"/>
          <w:b/>
          <w:sz w:val="24"/>
          <w:szCs w:val="24"/>
          <w:vertAlign w:val="superscript"/>
          <w:lang w:val="en-GB"/>
        </w:rPr>
        <w:t>18</w:t>
      </w:r>
      <w:r>
        <w:rPr>
          <w:rFonts w:ascii="Book Antiqua" w:hAnsi="Book Antiqua" w:cs="Arial"/>
          <w:b/>
          <w:sz w:val="24"/>
          <w:szCs w:val="24"/>
          <w:lang w:val="en-GB"/>
        </w:rPr>
        <w:t xml:space="preserve">F-FDG–PET examination shows diffuse and intense radiopharmaceutical uptake in the large bowel. </w:t>
      </w:r>
      <w:r>
        <w:rPr>
          <w:rFonts w:ascii="Book Antiqua" w:hAnsi="Book Antiqua" w:cs="Arial"/>
          <w:sz w:val="24"/>
          <w:szCs w:val="24"/>
          <w:lang w:val="en-GB"/>
        </w:rPr>
        <w:t xml:space="preserve">Reprinted with permission of Springer </w:t>
      </w:r>
      <w:proofErr w:type="spellStart"/>
      <w:r>
        <w:rPr>
          <w:rFonts w:ascii="Book Antiqua" w:hAnsi="Book Antiqua" w:cs="Arial"/>
          <w:sz w:val="24"/>
          <w:szCs w:val="24"/>
          <w:lang w:val="en-GB"/>
        </w:rPr>
        <w:t>Verlag</w:t>
      </w:r>
      <w:proofErr w:type="spellEnd"/>
      <w:r>
        <w:rPr>
          <w:rFonts w:ascii="Book Antiqua" w:hAnsi="Book Antiqua" w:cs="Arial"/>
          <w:sz w:val="24"/>
          <w:szCs w:val="24"/>
          <w:lang w:val="en-GB"/>
        </w:rPr>
        <w:t xml:space="preserve"> from </w:t>
      </w:r>
      <w:proofErr w:type="spellStart"/>
      <w:r>
        <w:rPr>
          <w:rFonts w:ascii="Book Antiqua" w:hAnsi="Book Antiqua" w:cs="Arial"/>
          <w:sz w:val="24"/>
          <w:szCs w:val="24"/>
          <w:lang w:val="en-GB"/>
        </w:rPr>
        <w:t>Cistaro</w:t>
      </w:r>
      <w:proofErr w:type="spellEnd"/>
      <w:r>
        <w:rPr>
          <w:rFonts w:ascii="Book Antiqua" w:hAnsi="Book Antiqua" w:cs="Arial"/>
          <w:sz w:val="24"/>
          <w:szCs w:val="24"/>
          <w:lang w:val="en-GB"/>
        </w:rPr>
        <w:t xml:space="preserve"> </w:t>
      </w:r>
      <w:r>
        <w:rPr>
          <w:rFonts w:ascii="Book Antiqua" w:hAnsi="Book Antiqua" w:cs="Arial"/>
          <w:i/>
          <w:sz w:val="24"/>
          <w:szCs w:val="24"/>
          <w:lang w:val="en-GB"/>
        </w:rPr>
        <w:t xml:space="preserve">et </w:t>
      </w:r>
      <w:proofErr w:type="gramStart"/>
      <w:r>
        <w:rPr>
          <w:rFonts w:ascii="Book Antiqua" w:hAnsi="Book Antiqua" w:cs="Arial"/>
          <w:i/>
          <w:sz w:val="24"/>
          <w:szCs w:val="24"/>
          <w:lang w:val="en-GB"/>
        </w:rPr>
        <w:t>al</w:t>
      </w:r>
      <w:r>
        <w:rPr>
          <w:rFonts w:ascii="Book Antiqua" w:eastAsiaTheme="minorEastAsia" w:hAnsi="Book Antiqua" w:cs="Arial" w:hint="eastAsia"/>
          <w:sz w:val="24"/>
          <w:szCs w:val="24"/>
          <w:vertAlign w:val="superscript"/>
          <w:lang w:val="en-GB" w:eastAsia="zh-CN"/>
        </w:rPr>
        <w:t>[</w:t>
      </w:r>
      <w:proofErr w:type="gramEnd"/>
      <w:r>
        <w:rPr>
          <w:rFonts w:ascii="Book Antiqua" w:eastAsiaTheme="minorEastAsia" w:hAnsi="Book Antiqua" w:cs="Arial" w:hint="eastAsia"/>
          <w:sz w:val="24"/>
          <w:szCs w:val="24"/>
          <w:vertAlign w:val="superscript"/>
          <w:lang w:val="en-GB" w:eastAsia="zh-CN"/>
        </w:rPr>
        <w:t>66]</w:t>
      </w:r>
      <w:r>
        <w:rPr>
          <w:rFonts w:ascii="Book Antiqua" w:eastAsiaTheme="minorEastAsia" w:hAnsi="Book Antiqua" w:cs="Arial" w:hint="eastAsia"/>
          <w:sz w:val="24"/>
          <w:szCs w:val="24"/>
          <w:lang w:val="en-GB" w:eastAsia="zh-CN"/>
        </w:rPr>
        <w:t>.</w:t>
      </w:r>
    </w:p>
    <w:p w:rsidR="00B76486" w:rsidRDefault="00B76486">
      <w:pPr>
        <w:rPr>
          <w:rFonts w:ascii="Book Antiqua" w:eastAsiaTheme="minorEastAsia" w:hAnsi="Book Antiqua" w:cs="Arial"/>
          <w:sz w:val="24"/>
          <w:szCs w:val="24"/>
          <w:lang w:val="en-GB" w:eastAsia="zh-CN"/>
        </w:rPr>
      </w:pPr>
      <w:r>
        <w:rPr>
          <w:rFonts w:ascii="Book Antiqua" w:eastAsiaTheme="minorEastAsia" w:hAnsi="Book Antiqua" w:cs="Arial"/>
          <w:sz w:val="24"/>
          <w:szCs w:val="24"/>
          <w:lang w:val="en-GB" w:eastAsia="zh-CN"/>
        </w:rPr>
        <w:br w:type="page"/>
      </w: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line="360" w:lineRule="auto"/>
        <w:jc w:val="both"/>
        <w:rPr>
          <w:rFonts w:ascii="Book Antiqua" w:eastAsiaTheme="minorEastAsia" w:hAnsi="Book Antiqua" w:cs="Arial"/>
          <w:i/>
          <w:sz w:val="24"/>
          <w:szCs w:val="24"/>
          <w:lang w:val="en-GB" w:eastAsia="zh-CN"/>
        </w:rPr>
      </w:pPr>
      <w:r>
        <w:rPr>
          <w:rFonts w:ascii="Book Antiqua" w:eastAsiaTheme="minorEastAsia" w:hAnsi="Book Antiqua" w:cs="Arial" w:hint="eastAsia"/>
          <w:i/>
          <w:sz w:val="24"/>
          <w:szCs w:val="24"/>
          <w:lang w:val="en-GB" w:eastAsia="zh-CN"/>
        </w:rPr>
        <w:t xml:space="preserve"> </w:t>
      </w:r>
    </w:p>
    <w:p w:rsidR="0003376C" w:rsidRDefault="005739BD" w:rsidP="00924331">
      <w:pPr>
        <w:spacing w:after="0" w:line="360" w:lineRule="auto"/>
        <w:jc w:val="both"/>
        <w:rPr>
          <w:rFonts w:ascii="Book Antiqua" w:eastAsiaTheme="minorEastAsia" w:hAnsi="Book Antiqua" w:cs="Arial"/>
          <w:sz w:val="24"/>
          <w:szCs w:val="24"/>
          <w:lang w:val="en-GB" w:eastAsia="zh-CN"/>
        </w:rPr>
      </w:pPr>
      <w:r>
        <w:rPr>
          <w:noProof/>
          <w:lang w:val="en-US"/>
        </w:rPr>
        <w:drawing>
          <wp:inline distT="0" distB="0" distL="0" distR="0" wp14:anchorId="758A6DCB" wp14:editId="5AA30E50">
            <wp:extent cx="5486400" cy="23387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38705"/>
                    </a:xfrm>
                    <a:prstGeom prst="rect">
                      <a:avLst/>
                    </a:prstGeom>
                  </pic:spPr>
                </pic:pic>
              </a:graphicData>
            </a:graphic>
          </wp:inline>
        </w:drawing>
      </w:r>
      <w:r>
        <w:rPr>
          <w:rFonts w:ascii="Book Antiqua" w:hAnsi="Book Antiqua" w:cs="Arial"/>
          <w:b/>
          <w:sz w:val="24"/>
          <w:szCs w:val="24"/>
          <w:lang w:val="en-US"/>
        </w:rPr>
        <w:t xml:space="preserve"> Figure 2 </w:t>
      </w:r>
      <w:r>
        <w:rPr>
          <w:rFonts w:ascii="Book Antiqua" w:hAnsi="Book Antiqua" w:cs="Arial"/>
          <w:b/>
          <w:sz w:val="24"/>
          <w:szCs w:val="24"/>
          <w:lang w:val="en-GB"/>
        </w:rPr>
        <w:t xml:space="preserve">Three sequential </w:t>
      </w:r>
      <w:r>
        <w:rPr>
          <w:rFonts w:ascii="Book Antiqua" w:hAnsi="Book Antiqua" w:cs="Arial"/>
          <w:b/>
          <w:sz w:val="24"/>
          <w:szCs w:val="24"/>
          <w:vertAlign w:val="superscript"/>
          <w:lang w:val="en-GB"/>
        </w:rPr>
        <w:t>99m</w:t>
      </w:r>
      <w:r>
        <w:rPr>
          <w:rFonts w:ascii="Book Antiqua" w:hAnsi="Book Antiqua" w:cs="Arial"/>
          <w:b/>
          <w:sz w:val="24"/>
          <w:szCs w:val="24"/>
          <w:lang w:val="en-GB"/>
        </w:rPr>
        <w:t xml:space="preserve">Tc-HMPAO-WBC </w:t>
      </w:r>
      <w:proofErr w:type="spellStart"/>
      <w:r>
        <w:rPr>
          <w:rFonts w:ascii="Book Antiqua" w:hAnsi="Book Antiqua" w:cs="Arial"/>
          <w:b/>
          <w:sz w:val="24"/>
          <w:szCs w:val="24"/>
          <w:lang w:val="en-GB"/>
        </w:rPr>
        <w:t>scintigraphies</w:t>
      </w:r>
      <w:proofErr w:type="spellEnd"/>
      <w:r>
        <w:rPr>
          <w:rFonts w:ascii="Book Antiqua" w:hAnsi="Book Antiqua" w:cs="Arial"/>
          <w:b/>
          <w:sz w:val="24"/>
          <w:szCs w:val="24"/>
          <w:lang w:val="en-GB"/>
        </w:rPr>
        <w:t xml:space="preserve"> performed in a patient diagnosed with </w:t>
      </w:r>
      <w:r w:rsidR="00B76486" w:rsidRPr="00B76486">
        <w:rPr>
          <w:rFonts w:ascii="Book Antiqua" w:hAnsi="Book Antiqua" w:cs="Arial"/>
          <w:b/>
          <w:sz w:val="24"/>
          <w:szCs w:val="24"/>
          <w:lang w:val="en-GB"/>
        </w:rPr>
        <w:t>Crohn’s disease</w:t>
      </w:r>
      <w:r>
        <w:rPr>
          <w:rFonts w:ascii="Book Antiqua" w:hAnsi="Book Antiqua" w:cs="Arial"/>
          <w:b/>
          <w:sz w:val="24"/>
          <w:szCs w:val="24"/>
          <w:lang w:val="en-GB"/>
        </w:rPr>
        <w:t xml:space="preserve">. </w:t>
      </w:r>
      <w:r>
        <w:rPr>
          <w:rFonts w:ascii="Book Antiqua" w:hAnsi="Book Antiqua" w:cs="Arial"/>
          <w:sz w:val="24"/>
          <w:szCs w:val="24"/>
          <w:lang w:val="en-GB"/>
        </w:rPr>
        <w:t xml:space="preserve">On the first examination showed on the left, which was performed at diagnosis, there is evidence of increased activity involving colon </w:t>
      </w:r>
      <w:proofErr w:type="spellStart"/>
      <w:r>
        <w:rPr>
          <w:rFonts w:ascii="Book Antiqua" w:hAnsi="Book Antiqua" w:cs="Arial"/>
          <w:sz w:val="24"/>
          <w:szCs w:val="24"/>
          <w:lang w:val="en-GB"/>
        </w:rPr>
        <w:t>ascendens</w:t>
      </w:r>
      <w:proofErr w:type="spellEnd"/>
      <w:r>
        <w:rPr>
          <w:rFonts w:ascii="Book Antiqua" w:hAnsi="Book Antiqua" w:cs="Arial"/>
          <w:sz w:val="24"/>
          <w:szCs w:val="24"/>
          <w:lang w:val="en-GB"/>
        </w:rPr>
        <w:t xml:space="preserve">. In the second one, performed at follow-up after immunological therapy, a complete remission can be demonstrated. Finally, in the third one on the right, there is evidence of a relapse involving colon </w:t>
      </w:r>
      <w:proofErr w:type="spellStart"/>
      <w:r>
        <w:rPr>
          <w:rFonts w:ascii="Book Antiqua" w:hAnsi="Book Antiqua" w:cs="Arial"/>
          <w:sz w:val="24"/>
          <w:szCs w:val="24"/>
          <w:lang w:val="en-GB"/>
        </w:rPr>
        <w:t>ascendens</w:t>
      </w:r>
      <w:proofErr w:type="spellEnd"/>
      <w:r>
        <w:rPr>
          <w:rFonts w:ascii="Book Antiqua" w:hAnsi="Book Antiqua" w:cs="Arial"/>
          <w:sz w:val="24"/>
          <w:szCs w:val="24"/>
          <w:lang w:val="en-GB"/>
        </w:rPr>
        <w:t xml:space="preserve"> and sigma-rectum. Reprinted with permission of Springer </w:t>
      </w:r>
      <w:proofErr w:type="spellStart"/>
      <w:r>
        <w:rPr>
          <w:rFonts w:ascii="Book Antiqua" w:hAnsi="Book Antiqua" w:cs="Arial"/>
          <w:sz w:val="24"/>
          <w:szCs w:val="24"/>
          <w:lang w:val="en-GB"/>
        </w:rPr>
        <w:t>Verlag</w:t>
      </w:r>
      <w:proofErr w:type="spellEnd"/>
      <w:r>
        <w:rPr>
          <w:rFonts w:ascii="Book Antiqua" w:hAnsi="Book Antiqua" w:cs="Arial"/>
          <w:sz w:val="24"/>
          <w:szCs w:val="24"/>
          <w:lang w:val="en-GB"/>
        </w:rPr>
        <w:t xml:space="preserve"> from </w:t>
      </w:r>
      <w:proofErr w:type="spellStart"/>
      <w:r>
        <w:rPr>
          <w:rFonts w:ascii="Book Antiqua" w:hAnsi="Book Antiqua" w:cs="Arial"/>
          <w:sz w:val="24"/>
          <w:szCs w:val="24"/>
          <w:lang w:val="en-GB"/>
        </w:rPr>
        <w:t>Caobelli</w:t>
      </w:r>
      <w:proofErr w:type="spellEnd"/>
      <w:r>
        <w:rPr>
          <w:rFonts w:ascii="Book Antiqua" w:hAnsi="Book Antiqua" w:cs="Arial"/>
          <w:i/>
          <w:sz w:val="24"/>
          <w:szCs w:val="24"/>
          <w:lang w:val="en-GB"/>
        </w:rPr>
        <w:t xml:space="preserve"> et al</w:t>
      </w:r>
      <w:r>
        <w:rPr>
          <w:rFonts w:ascii="Book Antiqua" w:eastAsiaTheme="minorEastAsia" w:hAnsi="Book Antiqua" w:cs="Arial" w:hint="eastAsia"/>
          <w:sz w:val="24"/>
          <w:szCs w:val="24"/>
          <w:vertAlign w:val="superscript"/>
          <w:lang w:val="en-GB" w:eastAsia="zh-CN"/>
        </w:rPr>
        <w:t>[34]</w:t>
      </w:r>
      <w:r>
        <w:rPr>
          <w:rFonts w:ascii="Book Antiqua" w:eastAsiaTheme="minorEastAsia" w:hAnsi="Book Antiqua" w:cs="Arial" w:hint="eastAsia"/>
          <w:sz w:val="24"/>
          <w:szCs w:val="24"/>
          <w:lang w:val="en-GB" w:eastAsia="zh-CN"/>
        </w:rPr>
        <w:t>.</w:t>
      </w:r>
    </w:p>
    <w:p w:rsidR="0003376C" w:rsidRDefault="0003376C" w:rsidP="00924331">
      <w:pPr>
        <w:snapToGrid w:val="0"/>
        <w:spacing w:after="0" w:line="360" w:lineRule="auto"/>
        <w:jc w:val="both"/>
        <w:rPr>
          <w:rFonts w:ascii="Book Antiqua" w:hAnsi="Book Antiqua" w:cs="Arial"/>
          <w:b/>
          <w:sz w:val="24"/>
          <w:lang w:val="en-US"/>
        </w:rPr>
      </w:pPr>
      <w:bookmarkStart w:id="72" w:name="OLE_LINK354"/>
      <w:bookmarkStart w:id="73" w:name="OLE_LINK75"/>
    </w:p>
    <w:bookmarkEnd w:id="72"/>
    <w:bookmarkEnd w:id="73"/>
    <w:p w:rsidR="0003376C" w:rsidRDefault="0003376C" w:rsidP="00924331">
      <w:pPr>
        <w:spacing w:after="0" w:line="360" w:lineRule="auto"/>
        <w:jc w:val="both"/>
        <w:rPr>
          <w:rFonts w:ascii="Book Antiqua" w:hAnsi="Book Antiqua" w:cs="Arial"/>
          <w:sz w:val="24"/>
          <w:szCs w:val="24"/>
          <w:lang w:val="en-US"/>
        </w:rPr>
      </w:pPr>
    </w:p>
    <w:p w:rsidR="0003376C" w:rsidRDefault="0003376C" w:rsidP="00924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Book Antiqua" w:hAnsi="Book Antiqua" w:cs="Arial"/>
          <w:sz w:val="24"/>
          <w:szCs w:val="24"/>
          <w:lang w:val="en-US"/>
        </w:rPr>
      </w:pP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br w:type="page"/>
      </w:r>
    </w:p>
    <w:p w:rsidR="0003376C" w:rsidRDefault="005739BD" w:rsidP="00924331">
      <w:pPr>
        <w:spacing w:after="0" w:line="360" w:lineRule="auto"/>
        <w:jc w:val="both"/>
        <w:rPr>
          <w:rFonts w:ascii="Book Antiqua" w:eastAsiaTheme="minorEastAsia" w:hAnsi="Book Antiqua" w:cs="Arial"/>
          <w:b/>
          <w:sz w:val="24"/>
          <w:szCs w:val="24"/>
          <w:lang w:val="en-US" w:eastAsia="zh-CN"/>
        </w:rPr>
      </w:pPr>
      <w:r>
        <w:rPr>
          <w:rFonts w:ascii="Book Antiqua" w:hAnsi="Book Antiqua" w:cs="Arial"/>
          <w:b/>
          <w:sz w:val="24"/>
          <w:szCs w:val="24"/>
          <w:lang w:val="en-GB"/>
        </w:rPr>
        <w:lastRenderedPageBreak/>
        <w:t>Table 1</w:t>
      </w:r>
      <w:r>
        <w:rPr>
          <w:rFonts w:ascii="Book Antiqua" w:hAnsi="Book Antiqua" w:cs="Arial"/>
          <w:b/>
          <w:sz w:val="24"/>
          <w:szCs w:val="24"/>
          <w:lang w:val="en-US"/>
        </w:rPr>
        <w:t xml:space="preserve"> Studies on planar scintigraphy and single photon emission tomography included in the present review</w:t>
      </w:r>
    </w:p>
    <w:p w:rsidR="0003376C" w:rsidRDefault="0003376C" w:rsidP="00924331">
      <w:pPr>
        <w:spacing w:after="0" w:line="360" w:lineRule="auto"/>
        <w:jc w:val="both"/>
        <w:rPr>
          <w:rFonts w:ascii="Book Antiqua" w:hAnsi="Book Antiqua" w:cs="Arial"/>
          <w:sz w:val="24"/>
          <w:szCs w:val="24"/>
          <w:lang w:val="en-GB"/>
        </w:rPr>
      </w:pPr>
    </w:p>
    <w:tbl>
      <w:tblPr>
        <w:tblStyle w:val="TableGrid"/>
        <w:tblW w:w="1541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036"/>
        <w:gridCol w:w="2067"/>
        <w:gridCol w:w="725"/>
        <w:gridCol w:w="2053"/>
        <w:gridCol w:w="2409"/>
        <w:gridCol w:w="1569"/>
        <w:gridCol w:w="3980"/>
      </w:tblGrid>
      <w:tr w:rsidR="0003376C">
        <w:trPr>
          <w:jc w:val="center"/>
        </w:trPr>
        <w:tc>
          <w:tcPr>
            <w:tcW w:w="1577"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Authors, ref</w:t>
            </w:r>
          </w:p>
        </w:tc>
        <w:tc>
          <w:tcPr>
            <w:tcW w:w="1036"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 xml:space="preserve">Year of </w:t>
            </w:r>
          </w:p>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pub</w:t>
            </w:r>
          </w:p>
        </w:tc>
        <w:tc>
          <w:tcPr>
            <w:tcW w:w="2067"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Journal</w:t>
            </w:r>
          </w:p>
        </w:tc>
        <w:tc>
          <w:tcPr>
            <w:tcW w:w="725"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N of</w:t>
            </w:r>
          </w:p>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pts</w:t>
            </w:r>
          </w:p>
        </w:tc>
        <w:tc>
          <w:tcPr>
            <w:tcW w:w="2053"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Indication</w:t>
            </w:r>
          </w:p>
        </w:tc>
        <w:tc>
          <w:tcPr>
            <w:tcW w:w="2409"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Imaging Technique</w:t>
            </w:r>
          </w:p>
        </w:tc>
        <w:tc>
          <w:tcPr>
            <w:tcW w:w="1569"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Gold standard</w:t>
            </w:r>
          </w:p>
        </w:tc>
        <w:tc>
          <w:tcPr>
            <w:tcW w:w="3980" w:type="dxa"/>
            <w:tcBorders>
              <w:top w:val="single" w:sz="4" w:space="0" w:color="auto"/>
              <w:bottom w:val="single" w:sz="4" w:space="0" w:color="auto"/>
            </w:tcBorders>
            <w:shd w:val="clear" w:color="auto" w:fill="auto"/>
            <w:vAlign w:val="center"/>
          </w:tcPr>
          <w:p w:rsidR="0003376C" w:rsidRDefault="005739BD" w:rsidP="00924331">
            <w:pPr>
              <w:spacing w:line="360" w:lineRule="auto"/>
              <w:jc w:val="both"/>
              <w:rPr>
                <w:rFonts w:ascii="Book Antiqua" w:eastAsiaTheme="minorEastAsia" w:hAnsi="Book Antiqua"/>
                <w:b/>
                <w:sz w:val="24"/>
                <w:szCs w:val="24"/>
                <w:lang w:val="en-GB" w:eastAsia="zh-CN"/>
              </w:rPr>
            </w:pPr>
            <w:r>
              <w:rPr>
                <w:rFonts w:ascii="Book Antiqua" w:hAnsi="Book Antiqua"/>
                <w:b/>
                <w:sz w:val="24"/>
                <w:szCs w:val="24"/>
                <w:lang w:val="en-GB"/>
              </w:rPr>
              <w:t>Conclusion</w:t>
            </w:r>
          </w:p>
        </w:tc>
      </w:tr>
      <w:tr w:rsidR="0003376C">
        <w:trPr>
          <w:jc w:val="center"/>
        </w:trPr>
        <w:tc>
          <w:tcPr>
            <w:tcW w:w="1577"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Rowe et al, </w:t>
            </w:r>
            <w:r>
              <w:rPr>
                <w:rFonts w:ascii="Book Antiqua" w:hAnsi="Book Antiqua"/>
                <w:i/>
                <w:sz w:val="24"/>
                <w:szCs w:val="24"/>
                <w:lang w:val="es-ES_tradnl"/>
              </w:rPr>
              <w:t>14</w:t>
            </w:r>
          </w:p>
        </w:tc>
        <w:tc>
          <w:tcPr>
            <w:tcW w:w="1036"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1995</w:t>
            </w:r>
          </w:p>
        </w:tc>
        <w:tc>
          <w:tcPr>
            <w:tcW w:w="2067"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Am J </w:t>
            </w:r>
            <w:proofErr w:type="spellStart"/>
            <w:r>
              <w:rPr>
                <w:rFonts w:ascii="Book Antiqua" w:hAnsi="Book Antiqua"/>
                <w:sz w:val="24"/>
                <w:szCs w:val="24"/>
                <w:lang w:val="en-GB"/>
              </w:rPr>
              <w:t>Gastroenterol</w:t>
            </w:r>
            <w:proofErr w:type="spellEnd"/>
          </w:p>
        </w:tc>
        <w:tc>
          <w:tcPr>
            <w:tcW w:w="725"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11</w:t>
            </w:r>
          </w:p>
        </w:tc>
        <w:tc>
          <w:tcPr>
            <w:tcW w:w="2053"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The measurement of the severity colitis</w:t>
            </w:r>
          </w:p>
        </w:tc>
        <w:tc>
          <w:tcPr>
            <w:tcW w:w="2409"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111In-labelled leukocyte planar scintigraphy</w:t>
            </w:r>
          </w:p>
        </w:tc>
        <w:tc>
          <w:tcPr>
            <w:tcW w:w="1569"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Truelove and </w:t>
            </w:r>
            <w:proofErr w:type="spellStart"/>
            <w:r>
              <w:rPr>
                <w:rFonts w:ascii="Book Antiqua" w:hAnsi="Book Antiqua"/>
                <w:sz w:val="24"/>
                <w:szCs w:val="24"/>
                <w:lang w:val="en-GB"/>
              </w:rPr>
              <w:t>Witts</w:t>
            </w:r>
            <w:proofErr w:type="spellEnd"/>
            <w:r>
              <w:rPr>
                <w:rFonts w:ascii="Book Antiqua" w:hAnsi="Book Antiqua"/>
                <w:sz w:val="24"/>
                <w:szCs w:val="24"/>
                <w:lang w:val="en-GB"/>
              </w:rPr>
              <w:t xml:space="preserve"> criteria</w:t>
            </w:r>
          </w:p>
        </w:tc>
        <w:tc>
          <w:tcPr>
            <w:tcW w:w="3980" w:type="dxa"/>
            <w:tcBorders>
              <w:top w:val="single" w:sz="4" w:space="0" w:color="auto"/>
            </w:tcBorders>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The disappearance of radioactivity from the spleen or whole body during 24h is likely to be a useful and accurate index of disease severity in inflammatory colitis.</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Lachter</w:t>
            </w:r>
            <w:proofErr w:type="spellEnd"/>
            <w:r>
              <w:rPr>
                <w:rFonts w:ascii="Book Antiqua" w:hAnsi="Book Antiqua"/>
                <w:sz w:val="24"/>
                <w:szCs w:val="24"/>
                <w:lang w:val="en-GB"/>
              </w:rPr>
              <w:t xml:space="preserve"> et al, </w:t>
            </w:r>
            <w:r>
              <w:rPr>
                <w:rFonts w:ascii="Book Antiqua" w:hAnsi="Book Antiqua"/>
                <w:i/>
                <w:sz w:val="24"/>
                <w:szCs w:val="24"/>
                <w:lang w:val="es-ES_tradnl"/>
              </w:rPr>
              <w:t>8</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2003</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Hepato</w:t>
            </w:r>
            <w:proofErr w:type="spellEnd"/>
            <w:r>
              <w:rPr>
                <w:rFonts w:ascii="Book Antiqua" w:hAnsi="Book Antiqua"/>
                <w:sz w:val="24"/>
                <w:szCs w:val="24"/>
                <w:lang w:val="en-GB"/>
              </w:rPr>
              <w:t>-Gastroenterology</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46</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Diagnosis of suspected inflammatory bowel disease</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99mTc-HMPAO planar scintigraphy</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Histology</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Scintigraphy is useful for patients with CD, but not for ulcerative colitis. Leukocyte scintigraphy is more useful for the reassessment than initial diagnosis (particularly in case of structuring and fistulising CD).</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Kerry et al, </w:t>
            </w:r>
            <w:r>
              <w:rPr>
                <w:rFonts w:ascii="Book Antiqua" w:hAnsi="Book Antiqua"/>
                <w:i/>
                <w:sz w:val="24"/>
                <w:szCs w:val="24"/>
                <w:lang w:val="es-ES_tradnl"/>
              </w:rPr>
              <w:t>10</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2005</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Nuclear Medicine Communication</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22</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Diagnosis of IBD and comparison between 99mTc-HMPAO and 99mTc-Leukoscan</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99mTc-HMPAO planar scintigraphy</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99mTc-Leukoscan planar  scintigraphy</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99mTc-Leukoscan SPECT</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Histology</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Radiology</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Response to treatment</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99mTc-Leukoscan cannot be useful for the evaluation of IBD</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Biancone</w:t>
            </w:r>
            <w:proofErr w:type="spellEnd"/>
            <w:r>
              <w:rPr>
                <w:rFonts w:ascii="Book Antiqua" w:hAnsi="Book Antiqua"/>
                <w:sz w:val="24"/>
                <w:szCs w:val="24"/>
                <w:lang w:val="en-GB"/>
              </w:rPr>
              <w:t xml:space="preserve"> et al, </w:t>
            </w:r>
            <w:r>
              <w:rPr>
                <w:rFonts w:ascii="Book Antiqua" w:hAnsi="Book Antiqua"/>
                <w:i/>
                <w:sz w:val="24"/>
                <w:szCs w:val="24"/>
                <w:lang w:val="en-GB"/>
              </w:rPr>
              <w:t>11</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2005</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Am J </w:t>
            </w:r>
            <w:proofErr w:type="spellStart"/>
            <w:r>
              <w:rPr>
                <w:rFonts w:ascii="Book Antiqua" w:hAnsi="Book Antiqua"/>
                <w:sz w:val="24"/>
                <w:szCs w:val="24"/>
                <w:lang w:val="en-GB"/>
              </w:rPr>
              <w:t>Gastroenterol</w:t>
            </w:r>
            <w:proofErr w:type="spellEnd"/>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22</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Comparison between 99mTc-HMPAO planar and SPECT for the assessment of intestinal infiltration in CD</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99mTc-HMPAO planar and SPECT</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Histology</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SPECT images may better discriminate between intestinal and bone marrow uptake, thus allowing a better visualization of CD lesions in the pelvis (especially for perianal and </w:t>
            </w:r>
            <w:proofErr w:type="spellStart"/>
            <w:r>
              <w:rPr>
                <w:rFonts w:ascii="Book Antiqua" w:hAnsi="Book Antiqua"/>
                <w:sz w:val="24"/>
                <w:szCs w:val="24"/>
                <w:lang w:val="en-GB"/>
              </w:rPr>
              <w:t>enterovesical</w:t>
            </w:r>
            <w:proofErr w:type="spellEnd"/>
            <w:r>
              <w:rPr>
                <w:rFonts w:ascii="Book Antiqua" w:hAnsi="Book Antiqua"/>
                <w:sz w:val="24"/>
                <w:szCs w:val="24"/>
                <w:lang w:val="en-GB"/>
              </w:rPr>
              <w:t xml:space="preserve"> disease)</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Cheow</w:t>
            </w:r>
            <w:proofErr w:type="spellEnd"/>
            <w:r>
              <w:rPr>
                <w:rFonts w:ascii="Book Antiqua" w:hAnsi="Book Antiqua"/>
                <w:sz w:val="24"/>
                <w:szCs w:val="24"/>
                <w:lang w:val="en-GB"/>
              </w:rPr>
              <w:t xml:space="preserve"> et al, </w:t>
            </w:r>
            <w:r>
              <w:rPr>
                <w:rFonts w:ascii="Book Antiqua" w:hAnsi="Book Antiqua"/>
                <w:i/>
                <w:sz w:val="24"/>
                <w:szCs w:val="24"/>
                <w:lang w:val="en-GB"/>
              </w:rPr>
              <w:t>15</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2005</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Eur</w:t>
            </w:r>
            <w:proofErr w:type="spellEnd"/>
            <w:r>
              <w:rPr>
                <w:rFonts w:ascii="Book Antiqua" w:hAnsi="Book Antiqua"/>
                <w:sz w:val="24"/>
                <w:szCs w:val="24"/>
                <w:lang w:val="en-GB"/>
              </w:rPr>
              <w:t xml:space="preserve"> J </w:t>
            </w:r>
            <w:proofErr w:type="spellStart"/>
            <w:r>
              <w:rPr>
                <w:rFonts w:ascii="Book Antiqua" w:hAnsi="Book Antiqua"/>
                <w:sz w:val="24"/>
                <w:szCs w:val="24"/>
                <w:lang w:val="en-GB"/>
              </w:rPr>
              <w:t>Nucl</w:t>
            </w:r>
            <w:proofErr w:type="spellEnd"/>
            <w:r>
              <w:rPr>
                <w:rFonts w:ascii="Book Antiqua" w:hAnsi="Book Antiqua"/>
                <w:sz w:val="24"/>
                <w:szCs w:val="24"/>
                <w:lang w:val="en-GB"/>
              </w:rPr>
              <w:t xml:space="preserve"> Med </w:t>
            </w:r>
            <w:proofErr w:type="spellStart"/>
            <w:r>
              <w:rPr>
                <w:rFonts w:ascii="Book Antiqua" w:hAnsi="Book Antiqua"/>
                <w:sz w:val="24"/>
                <w:szCs w:val="24"/>
                <w:lang w:val="en-GB"/>
              </w:rPr>
              <w:t>Mol</w:t>
            </w:r>
            <w:proofErr w:type="spellEnd"/>
            <w:r>
              <w:rPr>
                <w:rFonts w:ascii="Book Antiqua" w:hAnsi="Book Antiqua"/>
                <w:sz w:val="24"/>
                <w:szCs w:val="24"/>
                <w:lang w:val="en-GB"/>
              </w:rPr>
              <w:t xml:space="preserve"> Imaging</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30</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To quantify disease activity </w:t>
            </w:r>
            <w:r>
              <w:rPr>
                <w:rFonts w:ascii="Book Antiqua" w:hAnsi="Book Antiqua"/>
                <w:sz w:val="24"/>
                <w:szCs w:val="24"/>
                <w:lang w:val="en-GB"/>
              </w:rPr>
              <w:lastRenderedPageBreak/>
              <w:t>in IBD</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lastRenderedPageBreak/>
              <w:t xml:space="preserve">99mTc-granulocytes planar scintigraphy </w:t>
            </w:r>
            <w:r>
              <w:rPr>
                <w:rFonts w:ascii="Book Antiqua" w:hAnsi="Book Antiqua"/>
                <w:sz w:val="24"/>
                <w:szCs w:val="24"/>
                <w:lang w:val="en-GB"/>
              </w:rPr>
              <w:lastRenderedPageBreak/>
              <w:t>and In111-granulocytes</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lastRenderedPageBreak/>
              <w:t>NA</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 dedicated whole-body counting using 111In can be useful to </w:t>
            </w:r>
            <w:r>
              <w:rPr>
                <w:rFonts w:ascii="Book Antiqua" w:hAnsi="Book Antiqua"/>
                <w:sz w:val="24"/>
                <w:szCs w:val="24"/>
                <w:lang w:val="en-GB"/>
              </w:rPr>
              <w:lastRenderedPageBreak/>
              <w:t>quantify inflammatory disease, especially IBD</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lastRenderedPageBreak/>
              <w:t xml:space="preserve">Van den Brande et al, </w:t>
            </w:r>
            <w:r>
              <w:rPr>
                <w:rFonts w:ascii="Book Antiqua" w:hAnsi="Book Antiqua"/>
                <w:i/>
                <w:sz w:val="24"/>
                <w:szCs w:val="24"/>
                <w:lang w:val="es-ES_tradnl"/>
              </w:rPr>
              <w:t>16</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2007</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Gut</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14</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predict the efficacy of anti-TNF treatment in IBD</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99mTc-annexin V</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Histology</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The uptake of 99mTc-annexin V correlates with clinical benefit of anti-TNF treatment</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 xml:space="preserve">Mota et al, </w:t>
            </w:r>
            <w:r>
              <w:rPr>
                <w:rFonts w:ascii="Book Antiqua" w:hAnsi="Book Antiqua"/>
                <w:i/>
                <w:sz w:val="24"/>
                <w:szCs w:val="24"/>
                <w:lang w:val="en-GB"/>
              </w:rPr>
              <w:t>13</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2010</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World J Gastroenterol</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evaluate inflammatory activity in CD patients</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99mTc-HMPAO</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NA</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Scintigraphy with radiolabeled HMPAO could be useful for the evaluation of intestinal activity in CD</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Parendes et al, 9</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2010</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Journal of Crohn’s and Colitis</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40</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assess the accuracy of abdominal ultrasonography, 99mTc-HMPAO in recurrent CD</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99mTc-HMPAO</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Histology</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99mTc-HMPAO can be used in case of postsurgical recurrence in CD, in particular for those patients who reject endoscopic examination or for the assessment of </w:t>
            </w:r>
            <w:proofErr w:type="spellStart"/>
            <w:r>
              <w:rPr>
                <w:rFonts w:ascii="Book Antiqua" w:hAnsi="Book Antiqua"/>
                <w:sz w:val="24"/>
                <w:szCs w:val="24"/>
                <w:lang w:val="en-GB"/>
              </w:rPr>
              <w:t>neoterminal</w:t>
            </w:r>
            <w:proofErr w:type="spellEnd"/>
            <w:r>
              <w:rPr>
                <w:rFonts w:ascii="Book Antiqua" w:hAnsi="Book Antiqua"/>
                <w:sz w:val="24"/>
                <w:szCs w:val="24"/>
                <w:lang w:val="en-GB"/>
              </w:rPr>
              <w:t xml:space="preserve"> ileum.</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 xml:space="preserve">Hillel et al, </w:t>
            </w:r>
            <w:r>
              <w:rPr>
                <w:rFonts w:ascii="Book Antiqua" w:hAnsi="Book Antiqua"/>
                <w:i/>
                <w:sz w:val="24"/>
                <w:szCs w:val="24"/>
              </w:rPr>
              <w:t>12</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2011</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Nuclear Medicine Communication</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compare planar and SPECT imaging in IBD</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99mTc-HMPAO</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NA</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SPECT improves </w:t>
            </w:r>
            <w:proofErr w:type="spellStart"/>
            <w:r>
              <w:rPr>
                <w:rFonts w:ascii="Book Antiqua" w:hAnsi="Book Antiqua"/>
                <w:sz w:val="24"/>
                <w:szCs w:val="24"/>
                <w:lang w:val="en-GB"/>
              </w:rPr>
              <w:t>interoperator</w:t>
            </w:r>
            <w:proofErr w:type="spellEnd"/>
            <w:r>
              <w:rPr>
                <w:rFonts w:ascii="Book Antiqua" w:hAnsi="Book Antiqua"/>
                <w:sz w:val="24"/>
                <w:szCs w:val="24"/>
                <w:lang w:val="en-GB"/>
              </w:rPr>
              <w:t xml:space="preserve"> variability and probably sensitivity for IBD. The size of lesion suggest that planar images underestimates the extent of active disease.</w:t>
            </w:r>
          </w:p>
        </w:tc>
      </w:tr>
      <w:tr w:rsidR="0003376C">
        <w:trPr>
          <w:jc w:val="center"/>
        </w:trPr>
        <w:tc>
          <w:tcPr>
            <w:tcW w:w="157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 xml:space="preserve">Aarntzen et al, </w:t>
            </w:r>
            <w:r>
              <w:rPr>
                <w:rFonts w:ascii="Book Antiqua" w:hAnsi="Book Antiqua"/>
                <w:i/>
                <w:sz w:val="24"/>
                <w:szCs w:val="24"/>
              </w:rPr>
              <w:t>19</w:t>
            </w:r>
          </w:p>
        </w:tc>
        <w:tc>
          <w:tcPr>
            <w:tcW w:w="1036"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2015</w:t>
            </w:r>
          </w:p>
        </w:tc>
        <w:tc>
          <w:tcPr>
            <w:tcW w:w="2067"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J Nucl Med</w:t>
            </w:r>
          </w:p>
        </w:tc>
        <w:tc>
          <w:tcPr>
            <w:tcW w:w="725"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30</w:t>
            </w:r>
          </w:p>
        </w:tc>
        <w:tc>
          <w:tcPr>
            <w:tcW w:w="2053"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assess the accuracy of  99mTc-CXCL8 SPECT to detect and to localize disease activity</w:t>
            </w:r>
          </w:p>
        </w:tc>
        <w:tc>
          <w:tcPr>
            <w:tcW w:w="240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99mTc-CXCL8</w:t>
            </w:r>
          </w:p>
        </w:tc>
        <w:tc>
          <w:tcPr>
            <w:tcW w:w="1569" w:type="dxa"/>
            <w:shd w:val="clear" w:color="auto" w:fill="auto"/>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Histology</w:t>
            </w:r>
          </w:p>
        </w:tc>
        <w:tc>
          <w:tcPr>
            <w:tcW w:w="3980" w:type="dxa"/>
            <w:shd w:val="clear" w:color="auto" w:fill="auto"/>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99mTc-CXCL8 is a novel target for neutrophil recruitment to the intestinal wall, especially in moderate to severe exacerbations of IBD.</w:t>
            </w:r>
          </w:p>
        </w:tc>
      </w:tr>
    </w:tbl>
    <w:p w:rsidR="0003376C" w:rsidRDefault="005739BD" w:rsidP="00924331">
      <w:pPr>
        <w:spacing w:after="0" w:line="360" w:lineRule="auto"/>
        <w:jc w:val="both"/>
        <w:rPr>
          <w:rFonts w:ascii="Book Antiqua" w:eastAsiaTheme="minorEastAsia" w:hAnsi="Book Antiqua"/>
          <w:sz w:val="24"/>
          <w:szCs w:val="24"/>
          <w:lang w:val="en-GB" w:eastAsia="zh-CN"/>
        </w:rPr>
      </w:pPr>
      <w:r>
        <w:rPr>
          <w:rFonts w:ascii="Book Antiqua" w:hAnsi="Book Antiqua"/>
          <w:sz w:val="24"/>
          <w:szCs w:val="24"/>
          <w:lang w:val="en-GB"/>
        </w:rPr>
        <w:t xml:space="preserve">CD: Crohn’s disease; IBD: </w:t>
      </w:r>
      <w:r>
        <w:rPr>
          <w:rFonts w:ascii="Book Antiqua" w:hAnsi="Book Antiqua"/>
          <w:caps/>
          <w:sz w:val="24"/>
          <w:szCs w:val="24"/>
          <w:lang w:val="en-GB"/>
        </w:rPr>
        <w:t>i</w:t>
      </w:r>
      <w:r>
        <w:rPr>
          <w:rFonts w:ascii="Book Antiqua" w:hAnsi="Book Antiqua"/>
          <w:sz w:val="24"/>
          <w:szCs w:val="24"/>
          <w:lang w:val="en-GB"/>
        </w:rPr>
        <w:t xml:space="preserve">nflammatory bowel disease; TNF: </w:t>
      </w:r>
      <w:proofErr w:type="spellStart"/>
      <w:r>
        <w:rPr>
          <w:rFonts w:ascii="Book Antiqua" w:eastAsiaTheme="minorEastAsia" w:hAnsi="Book Antiqua" w:hint="eastAsia"/>
          <w:sz w:val="24"/>
          <w:szCs w:val="24"/>
          <w:lang w:val="en-GB" w:eastAsia="zh-CN"/>
        </w:rPr>
        <w:t>T</w:t>
      </w:r>
      <w:r>
        <w:rPr>
          <w:rFonts w:ascii="Book Antiqua" w:hAnsi="Book Antiqua"/>
          <w:sz w:val="24"/>
          <w:szCs w:val="24"/>
          <w:lang w:val="en-GB"/>
        </w:rPr>
        <w:t>umor</w:t>
      </w:r>
      <w:proofErr w:type="spellEnd"/>
      <w:r>
        <w:rPr>
          <w:rFonts w:ascii="Book Antiqua" w:hAnsi="Book Antiqua"/>
          <w:sz w:val="24"/>
          <w:szCs w:val="24"/>
          <w:lang w:val="en-GB"/>
        </w:rPr>
        <w:t xml:space="preserve"> necrosis factor; NA: </w:t>
      </w:r>
      <w:r>
        <w:rPr>
          <w:rFonts w:ascii="Book Antiqua" w:eastAsiaTheme="minorEastAsia" w:hAnsi="Book Antiqua" w:hint="eastAsia"/>
          <w:sz w:val="24"/>
          <w:szCs w:val="24"/>
          <w:lang w:val="en-GB" w:eastAsia="zh-CN"/>
        </w:rPr>
        <w:t>N</w:t>
      </w:r>
      <w:r>
        <w:rPr>
          <w:rFonts w:ascii="Book Antiqua" w:hAnsi="Book Antiqua"/>
          <w:sz w:val="24"/>
          <w:szCs w:val="24"/>
          <w:lang w:val="en-GB"/>
        </w:rPr>
        <w:t>ot available</w:t>
      </w:r>
      <w:r>
        <w:rPr>
          <w:rFonts w:ascii="Book Antiqua" w:eastAsiaTheme="minorEastAsia" w:hAnsi="Book Antiqua" w:hint="eastAsia"/>
          <w:sz w:val="24"/>
          <w:szCs w:val="24"/>
          <w:lang w:val="en-GB" w:eastAsia="zh-CN"/>
        </w:rPr>
        <w:t>.</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br w:type="page"/>
      </w:r>
    </w:p>
    <w:p w:rsidR="0003376C" w:rsidRDefault="005739BD" w:rsidP="00924331">
      <w:pPr>
        <w:spacing w:after="0" w:line="360" w:lineRule="auto"/>
        <w:jc w:val="both"/>
        <w:rPr>
          <w:rFonts w:ascii="Book Antiqua" w:hAnsi="Book Antiqua" w:cs="Arial"/>
          <w:b/>
          <w:sz w:val="24"/>
          <w:szCs w:val="24"/>
          <w:lang w:val="en-GB"/>
        </w:rPr>
      </w:pPr>
      <w:r>
        <w:rPr>
          <w:rFonts w:ascii="Book Antiqua" w:hAnsi="Book Antiqua" w:cs="Arial"/>
          <w:b/>
          <w:sz w:val="24"/>
          <w:szCs w:val="24"/>
          <w:lang w:val="en-GB"/>
        </w:rPr>
        <w:lastRenderedPageBreak/>
        <w:t>Table 2</w:t>
      </w:r>
      <w:r>
        <w:rPr>
          <w:rFonts w:ascii="Book Antiqua" w:eastAsiaTheme="minorEastAsia" w:hAnsi="Book Antiqua" w:cs="Arial" w:hint="eastAsia"/>
          <w:b/>
          <w:sz w:val="24"/>
          <w:szCs w:val="24"/>
          <w:lang w:val="en-US" w:eastAsia="zh-CN"/>
        </w:rPr>
        <w:t xml:space="preserve"> </w:t>
      </w:r>
      <w:r>
        <w:rPr>
          <w:rFonts w:ascii="Book Antiqua" w:hAnsi="Book Antiqua" w:cs="Arial"/>
          <w:b/>
          <w:sz w:val="24"/>
          <w:szCs w:val="24"/>
          <w:lang w:val="en-GB"/>
        </w:rPr>
        <w:t>Diagnostic accuracies in some selected studies on single photon emission tomography</w:t>
      </w:r>
    </w:p>
    <w:p w:rsidR="0003376C" w:rsidRDefault="0003376C" w:rsidP="00924331">
      <w:pPr>
        <w:spacing w:after="0" w:line="360" w:lineRule="auto"/>
        <w:jc w:val="both"/>
        <w:rPr>
          <w:rFonts w:ascii="Book Antiqua" w:hAnsi="Book Antiqua" w:cs="Arial"/>
          <w:sz w:val="24"/>
          <w:szCs w:val="24"/>
          <w:lang w:val="en-GB"/>
        </w:rPr>
      </w:pPr>
    </w:p>
    <w:tbl>
      <w:tblPr>
        <w:tblStyle w:val="TableGrid"/>
        <w:tblW w:w="9349" w:type="dxa"/>
        <w:jc w:val="center"/>
        <w:tblInd w:w="-5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1109"/>
        <w:gridCol w:w="1758"/>
        <w:gridCol w:w="1855"/>
        <w:gridCol w:w="1496"/>
      </w:tblGrid>
      <w:tr w:rsidR="0003376C">
        <w:trPr>
          <w:trHeight w:val="395"/>
          <w:jc w:val="center"/>
        </w:trPr>
        <w:tc>
          <w:tcPr>
            <w:tcW w:w="3131" w:type="dxa"/>
            <w:tcBorders>
              <w:top w:val="single" w:sz="4" w:space="0" w:color="auto"/>
              <w:bottom w:val="single" w:sz="4" w:space="0" w:color="auto"/>
            </w:tcBorders>
            <w:vAlign w:val="center"/>
          </w:tcPr>
          <w:p w:rsidR="0003376C" w:rsidRDefault="005739BD" w:rsidP="00924331">
            <w:pPr>
              <w:spacing w:line="360" w:lineRule="auto"/>
              <w:jc w:val="both"/>
              <w:rPr>
                <w:rFonts w:ascii="Book Antiqua" w:eastAsiaTheme="minorEastAsia" w:hAnsi="Book Antiqua" w:cs="Arial"/>
                <w:b/>
                <w:sz w:val="24"/>
                <w:szCs w:val="24"/>
                <w:lang w:val="en-GB" w:eastAsia="zh-CN"/>
              </w:rPr>
            </w:pPr>
            <w:r>
              <w:rPr>
                <w:rFonts w:ascii="Book Antiqua" w:hAnsi="Book Antiqua" w:cs="Arial"/>
                <w:b/>
                <w:sz w:val="24"/>
                <w:szCs w:val="24"/>
                <w:lang w:val="en-GB"/>
              </w:rPr>
              <w:t>Ref</w:t>
            </w:r>
            <w:r>
              <w:rPr>
                <w:rFonts w:ascii="Book Antiqua" w:eastAsiaTheme="minorEastAsia" w:hAnsi="Book Antiqua" w:cs="Arial" w:hint="eastAsia"/>
                <w:b/>
                <w:sz w:val="24"/>
                <w:szCs w:val="24"/>
                <w:lang w:val="en-GB" w:eastAsia="zh-CN"/>
              </w:rPr>
              <w:t xml:space="preserve">. </w:t>
            </w:r>
          </w:p>
        </w:tc>
        <w:tc>
          <w:tcPr>
            <w:tcW w:w="1109"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cs="Arial"/>
                <w:b/>
                <w:sz w:val="24"/>
                <w:szCs w:val="24"/>
                <w:lang w:val="en-GB"/>
              </w:rPr>
            </w:pPr>
            <w:r>
              <w:rPr>
                <w:rFonts w:ascii="Book Antiqua" w:hAnsi="Book Antiqua" w:cs="Arial"/>
                <w:b/>
                <w:sz w:val="24"/>
                <w:szCs w:val="24"/>
                <w:lang w:val="en-GB"/>
              </w:rPr>
              <w:t>Year of pub</w:t>
            </w:r>
          </w:p>
        </w:tc>
        <w:tc>
          <w:tcPr>
            <w:tcW w:w="1758"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cs="Arial"/>
                <w:b/>
                <w:sz w:val="24"/>
                <w:szCs w:val="24"/>
                <w:lang w:val="en-GB"/>
              </w:rPr>
            </w:pPr>
            <w:r>
              <w:rPr>
                <w:rFonts w:ascii="Book Antiqua" w:hAnsi="Book Antiqua" w:cs="Arial"/>
                <w:b/>
                <w:sz w:val="24"/>
                <w:szCs w:val="24"/>
                <w:lang w:val="en-GB"/>
              </w:rPr>
              <w:t>Tracer</w:t>
            </w:r>
          </w:p>
        </w:tc>
        <w:tc>
          <w:tcPr>
            <w:tcW w:w="1855"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cs="Arial"/>
                <w:b/>
                <w:sz w:val="24"/>
                <w:szCs w:val="24"/>
                <w:lang w:val="en-GB"/>
              </w:rPr>
            </w:pPr>
            <w:r>
              <w:rPr>
                <w:rFonts w:ascii="Book Antiqua" w:hAnsi="Book Antiqua" w:cs="Arial"/>
                <w:b/>
                <w:sz w:val="24"/>
                <w:szCs w:val="24"/>
                <w:lang w:val="en-GB"/>
              </w:rPr>
              <w:t>Sensitivity</w:t>
            </w:r>
          </w:p>
        </w:tc>
        <w:tc>
          <w:tcPr>
            <w:tcW w:w="1496"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cs="Arial"/>
                <w:b/>
                <w:sz w:val="24"/>
                <w:szCs w:val="24"/>
                <w:lang w:val="en-GB"/>
              </w:rPr>
            </w:pPr>
            <w:r>
              <w:rPr>
                <w:rFonts w:ascii="Book Antiqua" w:hAnsi="Book Antiqua" w:cs="Arial"/>
                <w:b/>
                <w:sz w:val="24"/>
                <w:szCs w:val="24"/>
                <w:lang w:val="en-GB"/>
              </w:rPr>
              <w:t>Specificity</w:t>
            </w:r>
          </w:p>
        </w:tc>
      </w:tr>
      <w:tr w:rsidR="0003376C">
        <w:trPr>
          <w:jc w:val="center"/>
        </w:trPr>
        <w:tc>
          <w:tcPr>
            <w:tcW w:w="3131" w:type="dxa"/>
            <w:tcBorders>
              <w:top w:val="single" w:sz="4" w:space="0" w:color="auto"/>
            </w:tcBorders>
          </w:tcPr>
          <w:p w:rsidR="0003376C" w:rsidRDefault="005739BD" w:rsidP="00924331">
            <w:pPr>
              <w:spacing w:line="360" w:lineRule="auto"/>
              <w:jc w:val="both"/>
              <w:rPr>
                <w:rFonts w:ascii="Book Antiqua" w:hAnsi="Book Antiqua" w:cs="Arial"/>
                <w:sz w:val="24"/>
                <w:szCs w:val="24"/>
                <w:lang w:val="en-GB"/>
              </w:rPr>
            </w:pPr>
            <w:proofErr w:type="spellStart"/>
            <w:r>
              <w:rPr>
                <w:rFonts w:ascii="Book Antiqua" w:hAnsi="Book Antiqua" w:cs="Arial"/>
                <w:sz w:val="24"/>
                <w:szCs w:val="24"/>
                <w:lang w:val="en-GB"/>
              </w:rPr>
              <w:t>Lachter</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Theme="minorEastAsia" w:eastAsiaTheme="minorEastAsia" w:hAnsiTheme="minorEastAsia" w:cs="Arial" w:hint="eastAsia"/>
                <w:sz w:val="24"/>
                <w:szCs w:val="24"/>
                <w:vertAlign w:val="superscript"/>
                <w:lang w:val="en-GB" w:eastAsia="zh-CN"/>
              </w:rPr>
              <w:t>[8]</w:t>
            </w:r>
            <w:r>
              <w:rPr>
                <w:rFonts w:ascii="Book Antiqua" w:hAnsi="Book Antiqua" w:cs="Arial"/>
                <w:sz w:val="24"/>
                <w:szCs w:val="24"/>
                <w:vertAlign w:val="superscript"/>
                <w:lang w:val="en-GB"/>
              </w:rPr>
              <w:t xml:space="preserve"> </w:t>
            </w:r>
          </w:p>
        </w:tc>
        <w:tc>
          <w:tcPr>
            <w:tcW w:w="1109" w:type="dxa"/>
            <w:tcBorders>
              <w:top w:val="single" w:sz="4" w:space="0" w:color="auto"/>
            </w:tcBorders>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2003</w:t>
            </w:r>
          </w:p>
        </w:tc>
        <w:tc>
          <w:tcPr>
            <w:tcW w:w="1758" w:type="dxa"/>
            <w:tcBorders>
              <w:top w:val="single" w:sz="4" w:space="0" w:color="auto"/>
            </w:tcBorders>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99mTc-HMPAO</w:t>
            </w:r>
          </w:p>
        </w:tc>
        <w:tc>
          <w:tcPr>
            <w:tcW w:w="1855" w:type="dxa"/>
            <w:tcBorders>
              <w:top w:val="single" w:sz="4" w:space="0" w:color="auto"/>
            </w:tcBorders>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58%</w:t>
            </w:r>
          </w:p>
        </w:tc>
        <w:tc>
          <w:tcPr>
            <w:tcW w:w="1496" w:type="dxa"/>
            <w:tcBorders>
              <w:top w:val="single" w:sz="4" w:space="0" w:color="auto"/>
            </w:tcBorders>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100%</w:t>
            </w:r>
          </w:p>
        </w:tc>
      </w:tr>
      <w:tr w:rsidR="0003376C">
        <w:trPr>
          <w:jc w:val="center"/>
        </w:trPr>
        <w:tc>
          <w:tcPr>
            <w:tcW w:w="3131" w:type="dxa"/>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Kerry </w:t>
            </w:r>
            <w:r>
              <w:rPr>
                <w:rFonts w:ascii="Book Antiqua" w:hAnsi="Book Antiqua" w:cs="Arial"/>
                <w:i/>
                <w:sz w:val="24"/>
                <w:szCs w:val="24"/>
                <w:lang w:val="en-GB"/>
              </w:rPr>
              <w:t>et al</w:t>
            </w:r>
            <w:r>
              <w:rPr>
                <w:rFonts w:asciiTheme="minorEastAsia" w:eastAsiaTheme="minorEastAsia" w:hAnsiTheme="minorEastAsia" w:cs="Arial" w:hint="eastAsia"/>
                <w:sz w:val="24"/>
                <w:szCs w:val="24"/>
                <w:vertAlign w:val="superscript"/>
                <w:lang w:val="en-GB" w:eastAsia="zh-CN"/>
              </w:rPr>
              <w:t>[10]</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  99mTc-HMPAO (2</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h)</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  99mTc-Leukoscan (1</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h)</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  99mTc-Leukoscan (2</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h)</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  99mTc-Leukoscan (4</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GB"/>
              </w:rPr>
              <w:t>h)</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 xml:space="preserve">  99mTc-Leukoscan (4h-SPECT)</w:t>
            </w:r>
          </w:p>
        </w:tc>
        <w:tc>
          <w:tcPr>
            <w:tcW w:w="1109" w:type="dxa"/>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2005</w:t>
            </w:r>
          </w:p>
        </w:tc>
        <w:tc>
          <w:tcPr>
            <w:tcW w:w="1758" w:type="dxa"/>
            <w:vAlign w:val="center"/>
          </w:tcPr>
          <w:p w:rsidR="0003376C" w:rsidRDefault="0003376C" w:rsidP="00924331">
            <w:pPr>
              <w:spacing w:line="360" w:lineRule="auto"/>
              <w:jc w:val="both"/>
              <w:rPr>
                <w:rFonts w:ascii="Book Antiqua" w:hAnsi="Book Antiqua" w:cs="Arial"/>
                <w:sz w:val="24"/>
                <w:szCs w:val="24"/>
                <w:lang w:val="en-GB"/>
              </w:rPr>
            </w:pP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99mTc-HMPAO</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99mTc-Leukoscan</w:t>
            </w:r>
          </w:p>
        </w:tc>
        <w:tc>
          <w:tcPr>
            <w:tcW w:w="1855" w:type="dxa"/>
          </w:tcPr>
          <w:p w:rsidR="0003376C" w:rsidRDefault="0003376C" w:rsidP="00924331">
            <w:pPr>
              <w:spacing w:line="360" w:lineRule="auto"/>
              <w:jc w:val="both"/>
              <w:rPr>
                <w:rFonts w:ascii="Book Antiqua" w:hAnsi="Book Antiqua" w:cs="Arial"/>
                <w:sz w:val="24"/>
                <w:szCs w:val="24"/>
                <w:lang w:val="it-IT"/>
              </w:rPr>
            </w:pP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87%</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20%</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40%</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73%</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87%</w:t>
            </w:r>
          </w:p>
        </w:tc>
        <w:tc>
          <w:tcPr>
            <w:tcW w:w="1496" w:type="dxa"/>
          </w:tcPr>
          <w:p w:rsidR="0003376C" w:rsidRDefault="0003376C" w:rsidP="00924331">
            <w:pPr>
              <w:spacing w:line="360" w:lineRule="auto"/>
              <w:jc w:val="both"/>
              <w:rPr>
                <w:rFonts w:ascii="Book Antiqua" w:hAnsi="Book Antiqua" w:cs="Arial"/>
                <w:sz w:val="24"/>
                <w:szCs w:val="24"/>
                <w:lang w:val="en-GB"/>
              </w:rPr>
            </w:pP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86%</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86%</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100%</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57%</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57%</w:t>
            </w:r>
          </w:p>
        </w:tc>
      </w:tr>
      <w:tr w:rsidR="0003376C">
        <w:trPr>
          <w:jc w:val="center"/>
        </w:trPr>
        <w:tc>
          <w:tcPr>
            <w:tcW w:w="3131" w:type="dxa"/>
          </w:tcPr>
          <w:p w:rsidR="0003376C" w:rsidRDefault="005739BD" w:rsidP="00924331">
            <w:pPr>
              <w:spacing w:line="360" w:lineRule="auto"/>
              <w:jc w:val="both"/>
              <w:rPr>
                <w:rFonts w:ascii="Book Antiqua" w:hAnsi="Book Antiqua" w:cs="Arial"/>
                <w:sz w:val="24"/>
                <w:szCs w:val="24"/>
                <w:lang w:val="es-ES_tradnl"/>
              </w:rPr>
            </w:pPr>
            <w:r>
              <w:rPr>
                <w:rFonts w:ascii="Book Antiqua" w:hAnsi="Book Antiqua" w:cs="Arial"/>
                <w:sz w:val="24"/>
                <w:szCs w:val="24"/>
                <w:lang w:val="es-ES_tradnl"/>
              </w:rPr>
              <w:t xml:space="preserve">Paredes </w:t>
            </w:r>
            <w:r>
              <w:rPr>
                <w:rFonts w:ascii="Book Antiqua" w:hAnsi="Book Antiqua" w:cs="Arial"/>
                <w:i/>
                <w:sz w:val="24"/>
                <w:szCs w:val="24"/>
                <w:lang w:val="fr-CH"/>
              </w:rPr>
              <w:t>et al</w:t>
            </w:r>
            <w:r>
              <w:rPr>
                <w:rFonts w:asciiTheme="minorEastAsia" w:eastAsiaTheme="minorEastAsia" w:hAnsiTheme="minorEastAsia" w:cs="Arial" w:hint="eastAsia"/>
                <w:sz w:val="24"/>
                <w:szCs w:val="24"/>
                <w:vertAlign w:val="superscript"/>
                <w:lang w:val="fr-CH" w:eastAsia="zh-CN"/>
              </w:rPr>
              <w:t>[9]</w:t>
            </w:r>
          </w:p>
          <w:p w:rsidR="0003376C" w:rsidRDefault="005739BD" w:rsidP="00924331">
            <w:pPr>
              <w:spacing w:line="360" w:lineRule="auto"/>
              <w:jc w:val="both"/>
              <w:rPr>
                <w:rFonts w:ascii="Book Antiqua" w:hAnsi="Book Antiqua" w:cs="Arial"/>
                <w:sz w:val="24"/>
                <w:szCs w:val="24"/>
                <w:lang w:val="es-ES_tradnl"/>
              </w:rPr>
            </w:pPr>
            <w:r>
              <w:rPr>
                <w:rFonts w:ascii="Book Antiqua" w:hAnsi="Book Antiqua" w:cs="Arial"/>
                <w:sz w:val="24"/>
                <w:szCs w:val="24"/>
                <w:lang w:val="es-ES_tradnl"/>
              </w:rPr>
              <w:t xml:space="preserve">  Endoscopic recurrence</w:t>
            </w:r>
          </w:p>
          <w:p w:rsidR="0003376C" w:rsidRDefault="005739BD" w:rsidP="00924331">
            <w:pPr>
              <w:spacing w:line="360" w:lineRule="auto"/>
              <w:jc w:val="both"/>
              <w:rPr>
                <w:rFonts w:ascii="Book Antiqua" w:hAnsi="Book Antiqua" w:cs="Arial"/>
                <w:sz w:val="24"/>
                <w:szCs w:val="24"/>
                <w:lang w:val="fr-CH"/>
              </w:rPr>
            </w:pPr>
            <w:r>
              <w:rPr>
                <w:rFonts w:ascii="Book Antiqua" w:hAnsi="Book Antiqua" w:cs="Arial"/>
                <w:sz w:val="24"/>
                <w:szCs w:val="24"/>
                <w:lang w:val="es-ES_tradnl"/>
              </w:rPr>
              <w:t xml:space="preserve">  </w:t>
            </w:r>
            <w:r>
              <w:rPr>
                <w:rFonts w:ascii="Book Antiqua" w:hAnsi="Book Antiqua" w:cs="Arial"/>
                <w:sz w:val="24"/>
                <w:szCs w:val="24"/>
                <w:lang w:val="fr-CH"/>
              </w:rPr>
              <w:t>Scintigraphic recurrence</w:t>
            </w:r>
          </w:p>
        </w:tc>
        <w:tc>
          <w:tcPr>
            <w:tcW w:w="1109" w:type="dxa"/>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2010</w:t>
            </w:r>
          </w:p>
        </w:tc>
        <w:tc>
          <w:tcPr>
            <w:tcW w:w="1758" w:type="dxa"/>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99mTc-HMPAO</w:t>
            </w:r>
          </w:p>
        </w:tc>
        <w:tc>
          <w:tcPr>
            <w:tcW w:w="1855" w:type="dxa"/>
          </w:tcPr>
          <w:p w:rsidR="0003376C" w:rsidRDefault="0003376C" w:rsidP="00924331">
            <w:pPr>
              <w:spacing w:line="360" w:lineRule="auto"/>
              <w:jc w:val="both"/>
              <w:rPr>
                <w:rFonts w:ascii="Book Antiqua" w:hAnsi="Book Antiqua" w:cs="Arial"/>
                <w:sz w:val="24"/>
                <w:szCs w:val="24"/>
                <w:lang w:val="en-GB"/>
              </w:rPr>
            </w:pP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88%</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73.3%</w:t>
            </w:r>
          </w:p>
        </w:tc>
        <w:tc>
          <w:tcPr>
            <w:tcW w:w="1496" w:type="dxa"/>
          </w:tcPr>
          <w:p w:rsidR="0003376C" w:rsidRDefault="0003376C" w:rsidP="00924331">
            <w:pPr>
              <w:spacing w:line="360" w:lineRule="auto"/>
              <w:jc w:val="both"/>
              <w:rPr>
                <w:rFonts w:ascii="Book Antiqua" w:hAnsi="Book Antiqua" w:cs="Arial"/>
                <w:sz w:val="24"/>
                <w:szCs w:val="24"/>
                <w:lang w:val="en-GB"/>
              </w:rPr>
            </w:pP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42.9%</w:t>
            </w:r>
          </w:p>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88.2%</w:t>
            </w:r>
          </w:p>
        </w:tc>
      </w:tr>
      <w:tr w:rsidR="0003376C">
        <w:trPr>
          <w:jc w:val="center"/>
        </w:trPr>
        <w:tc>
          <w:tcPr>
            <w:tcW w:w="3131" w:type="dxa"/>
          </w:tcPr>
          <w:p w:rsidR="0003376C" w:rsidRDefault="005739BD" w:rsidP="00924331">
            <w:pPr>
              <w:spacing w:line="360" w:lineRule="auto"/>
              <w:jc w:val="both"/>
              <w:rPr>
                <w:rFonts w:ascii="Book Antiqua" w:hAnsi="Book Antiqua" w:cs="Arial"/>
                <w:sz w:val="24"/>
                <w:szCs w:val="24"/>
                <w:lang w:val="en-GB"/>
              </w:rPr>
            </w:pPr>
            <w:proofErr w:type="spellStart"/>
            <w:r>
              <w:rPr>
                <w:rFonts w:ascii="Book Antiqua" w:hAnsi="Book Antiqua" w:cs="Arial"/>
                <w:sz w:val="24"/>
                <w:szCs w:val="24"/>
                <w:lang w:val="en-GB"/>
              </w:rPr>
              <w:t>Aarntzen</w:t>
            </w:r>
            <w:proofErr w:type="spellEnd"/>
            <w:r>
              <w:rPr>
                <w:rFonts w:ascii="Book Antiqua" w:hAnsi="Book Antiqua" w:cs="Arial"/>
                <w:sz w:val="24"/>
                <w:szCs w:val="24"/>
                <w:lang w:val="en-GB"/>
              </w:rPr>
              <w:t xml:space="preserve"> </w:t>
            </w:r>
            <w:r>
              <w:rPr>
                <w:rFonts w:ascii="Book Antiqua" w:hAnsi="Book Antiqua" w:cs="Arial"/>
                <w:i/>
                <w:sz w:val="24"/>
                <w:szCs w:val="24"/>
                <w:lang w:val="en-GB"/>
              </w:rPr>
              <w:t>et al</w:t>
            </w:r>
            <w:r>
              <w:rPr>
                <w:rFonts w:asciiTheme="minorEastAsia" w:eastAsiaTheme="minorEastAsia" w:hAnsiTheme="minorEastAsia" w:cs="Arial" w:hint="eastAsia"/>
                <w:sz w:val="24"/>
                <w:szCs w:val="24"/>
                <w:vertAlign w:val="superscript"/>
                <w:lang w:val="en-GB" w:eastAsia="zh-CN"/>
              </w:rPr>
              <w:t>[19]</w:t>
            </w:r>
          </w:p>
        </w:tc>
        <w:tc>
          <w:tcPr>
            <w:tcW w:w="1109" w:type="dxa"/>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2015</w:t>
            </w:r>
          </w:p>
        </w:tc>
        <w:tc>
          <w:tcPr>
            <w:tcW w:w="1758" w:type="dxa"/>
            <w:vAlign w:val="center"/>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99mTc-CXCL8</w:t>
            </w:r>
          </w:p>
        </w:tc>
        <w:tc>
          <w:tcPr>
            <w:tcW w:w="1855" w:type="dxa"/>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95%</w:t>
            </w:r>
          </w:p>
        </w:tc>
        <w:tc>
          <w:tcPr>
            <w:tcW w:w="1496" w:type="dxa"/>
          </w:tcPr>
          <w:p w:rsidR="0003376C" w:rsidRDefault="005739BD" w:rsidP="00924331">
            <w:pPr>
              <w:spacing w:line="360" w:lineRule="auto"/>
              <w:jc w:val="both"/>
              <w:rPr>
                <w:rFonts w:ascii="Book Antiqua" w:hAnsi="Book Antiqua" w:cs="Arial"/>
                <w:sz w:val="24"/>
                <w:szCs w:val="24"/>
                <w:lang w:val="en-GB"/>
              </w:rPr>
            </w:pPr>
            <w:r>
              <w:rPr>
                <w:rFonts w:ascii="Book Antiqua" w:hAnsi="Book Antiqua" w:cs="Arial"/>
                <w:sz w:val="24"/>
                <w:szCs w:val="24"/>
                <w:lang w:val="en-GB"/>
              </w:rPr>
              <w:t>44%</w:t>
            </w:r>
          </w:p>
        </w:tc>
      </w:tr>
    </w:tbl>
    <w:p w:rsidR="0003376C" w:rsidRDefault="005739BD" w:rsidP="00924331">
      <w:pPr>
        <w:spacing w:after="0" w:line="360" w:lineRule="auto"/>
        <w:jc w:val="both"/>
        <w:rPr>
          <w:rFonts w:ascii="Book Antiqua" w:eastAsiaTheme="minorEastAsia" w:hAnsi="Book Antiqua" w:cs="Arial"/>
          <w:sz w:val="24"/>
          <w:szCs w:val="24"/>
          <w:lang w:val="en-US" w:eastAsia="zh-CN"/>
        </w:rPr>
      </w:pPr>
      <w:r>
        <w:rPr>
          <w:rFonts w:ascii="Book Antiqua" w:hAnsi="Book Antiqua"/>
          <w:sz w:val="24"/>
          <w:szCs w:val="24"/>
          <w:lang w:val="en-GB"/>
        </w:rPr>
        <w:t>SPECT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 xml:space="preserve"> Single photon emission tomography</w:t>
      </w:r>
      <w:r>
        <w:rPr>
          <w:rFonts w:ascii="Book Antiqua" w:eastAsiaTheme="minorEastAsia" w:hAnsi="Book Antiqua" w:cs="Arial" w:hint="eastAsia"/>
          <w:sz w:val="24"/>
          <w:szCs w:val="24"/>
          <w:lang w:val="en-US" w:eastAsia="zh-CN"/>
        </w:rPr>
        <w:t>.</w:t>
      </w: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br w:type="page"/>
      </w:r>
    </w:p>
    <w:p w:rsidR="0003376C" w:rsidRDefault="005739BD" w:rsidP="00924331">
      <w:pPr>
        <w:spacing w:after="0" w:line="360" w:lineRule="auto"/>
        <w:jc w:val="both"/>
        <w:rPr>
          <w:rFonts w:ascii="Book Antiqua" w:hAnsi="Book Antiqua" w:cs="Arial"/>
          <w:b/>
          <w:sz w:val="24"/>
          <w:szCs w:val="24"/>
          <w:lang w:val="en-US"/>
        </w:rPr>
      </w:pPr>
      <w:r>
        <w:rPr>
          <w:rFonts w:ascii="Book Antiqua" w:hAnsi="Book Antiqua" w:cs="Arial"/>
          <w:b/>
          <w:sz w:val="24"/>
          <w:szCs w:val="24"/>
          <w:lang w:val="en-GB"/>
        </w:rPr>
        <w:lastRenderedPageBreak/>
        <w:t>Table 3</w:t>
      </w:r>
      <w:r>
        <w:rPr>
          <w:rFonts w:ascii="Book Antiqua" w:eastAsiaTheme="minorEastAsia" w:hAnsi="Book Antiqua" w:cs="Arial" w:hint="eastAsia"/>
          <w:b/>
          <w:sz w:val="24"/>
          <w:szCs w:val="24"/>
          <w:lang w:val="en-US" w:eastAsia="zh-CN"/>
        </w:rPr>
        <w:t xml:space="preserve"> </w:t>
      </w:r>
      <w:r>
        <w:rPr>
          <w:rFonts w:ascii="Book Antiqua" w:hAnsi="Book Antiqua" w:cs="Arial"/>
          <w:b/>
          <w:sz w:val="24"/>
          <w:szCs w:val="24"/>
          <w:lang w:val="en-US"/>
        </w:rPr>
        <w:t>Overview of the selected studies on the role of positron emission tomography in diagnosing inflammatory bowel disease</w:t>
      </w:r>
    </w:p>
    <w:p w:rsidR="0003376C" w:rsidRDefault="0003376C" w:rsidP="00924331">
      <w:pPr>
        <w:spacing w:after="0" w:line="360" w:lineRule="auto"/>
        <w:jc w:val="both"/>
        <w:rPr>
          <w:rFonts w:ascii="Book Antiqua" w:hAnsi="Book Antiqua" w:cs="Arial"/>
          <w:sz w:val="24"/>
          <w:szCs w:val="24"/>
          <w:lang w:val="en-GB"/>
        </w:rPr>
      </w:pPr>
    </w:p>
    <w:tbl>
      <w:tblPr>
        <w:tblStyle w:val="TableGrid"/>
        <w:tblW w:w="1518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002"/>
        <w:gridCol w:w="1945"/>
        <w:gridCol w:w="709"/>
        <w:gridCol w:w="1894"/>
        <w:gridCol w:w="2593"/>
        <w:gridCol w:w="1759"/>
        <w:gridCol w:w="3638"/>
      </w:tblGrid>
      <w:tr w:rsidR="0003376C">
        <w:trPr>
          <w:jc w:val="center"/>
        </w:trPr>
        <w:tc>
          <w:tcPr>
            <w:tcW w:w="1640" w:type="dxa"/>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Authors, ref</w:t>
            </w:r>
          </w:p>
        </w:tc>
        <w:tc>
          <w:tcPr>
            <w:tcW w:w="1002"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Year of</w:t>
            </w:r>
          </w:p>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Pub</w:t>
            </w:r>
          </w:p>
        </w:tc>
        <w:tc>
          <w:tcPr>
            <w:tcW w:w="1945"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Journal</w:t>
            </w:r>
          </w:p>
        </w:tc>
        <w:tc>
          <w:tcPr>
            <w:tcW w:w="709"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N of</w:t>
            </w:r>
          </w:p>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Pts</w:t>
            </w:r>
          </w:p>
        </w:tc>
        <w:tc>
          <w:tcPr>
            <w:tcW w:w="1894"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Indication</w:t>
            </w:r>
          </w:p>
        </w:tc>
        <w:tc>
          <w:tcPr>
            <w:tcW w:w="2593"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Imaging Technique</w:t>
            </w:r>
          </w:p>
        </w:tc>
        <w:tc>
          <w:tcPr>
            <w:tcW w:w="1759"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Gold standard</w:t>
            </w:r>
          </w:p>
        </w:tc>
        <w:tc>
          <w:tcPr>
            <w:tcW w:w="3638" w:type="dxa"/>
            <w:tcBorders>
              <w:top w:val="single" w:sz="4" w:space="0" w:color="auto"/>
              <w:bottom w:val="single" w:sz="4" w:space="0" w:color="auto"/>
            </w:tcBorders>
            <w:vAlign w:val="center"/>
          </w:tcPr>
          <w:p w:rsidR="0003376C" w:rsidRDefault="005739BD" w:rsidP="00924331">
            <w:pPr>
              <w:spacing w:line="360" w:lineRule="auto"/>
              <w:jc w:val="both"/>
              <w:rPr>
                <w:rFonts w:ascii="Book Antiqua" w:hAnsi="Book Antiqua"/>
                <w:b/>
                <w:sz w:val="24"/>
                <w:szCs w:val="24"/>
                <w:lang w:val="en-GB"/>
              </w:rPr>
            </w:pPr>
            <w:r>
              <w:rPr>
                <w:rFonts w:ascii="Book Antiqua" w:hAnsi="Book Antiqua"/>
                <w:b/>
                <w:sz w:val="24"/>
                <w:szCs w:val="24"/>
                <w:lang w:val="en-GB"/>
              </w:rPr>
              <w:t>Conclusions</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Meisner</w:t>
            </w:r>
            <w:proofErr w:type="spellEnd"/>
            <w:r>
              <w:rPr>
                <w:rFonts w:ascii="Book Antiqua" w:hAnsi="Book Antiqua"/>
                <w:sz w:val="24"/>
                <w:szCs w:val="24"/>
                <w:lang w:val="en-GB"/>
              </w:rPr>
              <w:t xml:space="preserve"> RS et al, </w:t>
            </w:r>
            <w:r>
              <w:rPr>
                <w:rFonts w:ascii="Book Antiqua" w:hAnsi="Book Antiqua"/>
                <w:i/>
                <w:sz w:val="24"/>
                <w:szCs w:val="24"/>
                <w:lang w:val="en-GB"/>
              </w:rPr>
              <w:t>6</w:t>
            </w:r>
          </w:p>
        </w:tc>
        <w:tc>
          <w:tcPr>
            <w:tcW w:w="1002"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2007</w:t>
            </w:r>
          </w:p>
        </w:tc>
        <w:tc>
          <w:tcPr>
            <w:tcW w:w="1945"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Inflamm</w:t>
            </w:r>
            <w:proofErr w:type="spellEnd"/>
            <w:r>
              <w:rPr>
                <w:rFonts w:ascii="Book Antiqua" w:hAnsi="Book Antiqua"/>
                <w:sz w:val="24"/>
                <w:szCs w:val="24"/>
                <w:lang w:val="en-GB"/>
              </w:rPr>
              <w:t xml:space="preserve"> Bowel Dis</w:t>
            </w:r>
          </w:p>
        </w:tc>
        <w:tc>
          <w:tcPr>
            <w:tcW w:w="709"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12</w:t>
            </w:r>
          </w:p>
        </w:tc>
        <w:tc>
          <w:tcPr>
            <w:tcW w:w="1894"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identify regions of active inflammation in patients with known and at least moderate UC or CD</w:t>
            </w:r>
          </w:p>
        </w:tc>
        <w:tc>
          <w:tcPr>
            <w:tcW w:w="2593"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PET/CT</w:t>
            </w:r>
          </w:p>
        </w:tc>
        <w:tc>
          <w:tcPr>
            <w:tcW w:w="1759"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Clinical evaluation including colonoscopy and radiologic imaging</w:t>
            </w:r>
          </w:p>
        </w:tc>
        <w:tc>
          <w:tcPr>
            <w:tcW w:w="3638" w:type="dxa"/>
            <w:tcBorders>
              <w:top w:val="single" w:sz="4" w:space="0" w:color="auto"/>
            </w:tcBorders>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There is high correlation between </w:t>
            </w:r>
            <w:r>
              <w:rPr>
                <w:rFonts w:ascii="Book Antiqua" w:hAnsi="Book Antiqua"/>
                <w:sz w:val="24"/>
                <w:szCs w:val="24"/>
                <w:vertAlign w:val="superscript"/>
                <w:lang w:val="en-GB"/>
              </w:rPr>
              <w:t>18</w:t>
            </w:r>
            <w:r>
              <w:rPr>
                <w:rFonts w:ascii="Book Antiqua" w:hAnsi="Book Antiqua"/>
                <w:sz w:val="24"/>
                <w:szCs w:val="24"/>
                <w:lang w:val="en-GB"/>
              </w:rPr>
              <w:t xml:space="preserve">F-FDG PET activity and clinical </w:t>
            </w:r>
            <w:r w:rsidR="00C4587B">
              <w:rPr>
                <w:rFonts w:ascii="Book Antiqua" w:hAnsi="Book Antiqua"/>
                <w:sz w:val="24"/>
                <w:szCs w:val="24"/>
                <w:lang w:val="en-GB"/>
              </w:rPr>
              <w:t>disease activity</w:t>
            </w:r>
            <w:r>
              <w:rPr>
                <w:rFonts w:ascii="Book Antiqua" w:hAnsi="Book Antiqua"/>
                <w:sz w:val="24"/>
                <w:szCs w:val="24"/>
                <w:lang w:val="en-GB"/>
              </w:rPr>
              <w:t>.</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CT is necessary for anatomical identification of different bowel segments in CD patients with small bowel involvement or surgically treated.</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Das CJ et al,</w:t>
            </w:r>
          </w:p>
          <w:p w:rsidR="0003376C" w:rsidRDefault="005739BD" w:rsidP="00924331">
            <w:pPr>
              <w:spacing w:line="360" w:lineRule="auto"/>
              <w:jc w:val="both"/>
              <w:rPr>
                <w:rFonts w:ascii="Book Antiqua" w:hAnsi="Book Antiqua"/>
                <w:i/>
                <w:sz w:val="24"/>
                <w:szCs w:val="24"/>
                <w:lang w:val="en-GB"/>
              </w:rPr>
            </w:pPr>
            <w:r>
              <w:rPr>
                <w:rFonts w:ascii="Book Antiqua" w:hAnsi="Book Antiqua"/>
                <w:i/>
                <w:sz w:val="24"/>
                <w:szCs w:val="24"/>
                <w:lang w:val="en-GB"/>
              </w:rPr>
              <w:t>1</w:t>
            </w:r>
          </w:p>
        </w:tc>
        <w:tc>
          <w:tcPr>
            <w:tcW w:w="1002"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2010</w:t>
            </w:r>
          </w:p>
        </w:tc>
        <w:tc>
          <w:tcPr>
            <w:tcW w:w="1945"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Eur</w:t>
            </w:r>
            <w:proofErr w:type="spellEnd"/>
            <w:r>
              <w:rPr>
                <w:rFonts w:ascii="Book Antiqua" w:hAnsi="Book Antiqua"/>
                <w:sz w:val="24"/>
                <w:szCs w:val="24"/>
                <w:lang w:val="en-GB"/>
              </w:rPr>
              <w:t xml:space="preserve"> J </w:t>
            </w:r>
            <w:proofErr w:type="spellStart"/>
            <w:r>
              <w:rPr>
                <w:rFonts w:ascii="Book Antiqua" w:hAnsi="Book Antiqua"/>
                <w:sz w:val="24"/>
                <w:szCs w:val="24"/>
                <w:lang w:val="en-GB"/>
              </w:rPr>
              <w:t>Nucl</w:t>
            </w:r>
            <w:proofErr w:type="spellEnd"/>
            <w:r>
              <w:rPr>
                <w:rFonts w:ascii="Book Antiqua" w:hAnsi="Book Antiqua"/>
                <w:sz w:val="24"/>
                <w:szCs w:val="24"/>
                <w:lang w:val="en-GB"/>
              </w:rPr>
              <w:t xml:space="preserve"> Med </w:t>
            </w:r>
            <w:proofErr w:type="spellStart"/>
            <w:r>
              <w:rPr>
                <w:rFonts w:ascii="Book Antiqua" w:hAnsi="Book Antiqua"/>
                <w:sz w:val="24"/>
                <w:szCs w:val="24"/>
                <w:lang w:val="en-GB"/>
              </w:rPr>
              <w:t>Mol</w:t>
            </w:r>
            <w:proofErr w:type="spellEnd"/>
            <w:r>
              <w:rPr>
                <w:rFonts w:ascii="Book Antiqua" w:hAnsi="Book Antiqua"/>
                <w:sz w:val="24"/>
                <w:szCs w:val="24"/>
                <w:lang w:val="en-GB"/>
              </w:rPr>
              <w:t xml:space="preserve"> Imaging</w:t>
            </w:r>
          </w:p>
        </w:tc>
        <w:tc>
          <w:tcPr>
            <w:tcW w:w="70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15</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assess the extent and severity of disease in patients with active, mild to moderate UC</w:t>
            </w:r>
          </w:p>
        </w:tc>
        <w:tc>
          <w:tcPr>
            <w:tcW w:w="2593"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w:t>
            </w:r>
            <w:proofErr w:type="spellStart"/>
            <w:r>
              <w:rPr>
                <w:rFonts w:ascii="Book Antiqua" w:hAnsi="Book Antiqua"/>
                <w:sz w:val="24"/>
                <w:szCs w:val="24"/>
                <w:lang w:val="en-GB"/>
              </w:rPr>
              <w:t>CTcolonography</w:t>
            </w:r>
            <w:proofErr w:type="spellEnd"/>
          </w:p>
        </w:tc>
        <w:tc>
          <w:tcPr>
            <w:tcW w:w="175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Colonoscopy</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w:t>
            </w:r>
            <w:proofErr w:type="spellStart"/>
            <w:r>
              <w:rPr>
                <w:rFonts w:ascii="Book Antiqua" w:hAnsi="Book Antiqua"/>
                <w:sz w:val="24"/>
                <w:szCs w:val="24"/>
                <w:lang w:val="en-GB"/>
              </w:rPr>
              <w:t>CTcolonography</w:t>
            </w:r>
            <w:proofErr w:type="spellEnd"/>
            <w:r>
              <w:rPr>
                <w:rFonts w:ascii="Book Antiqua" w:hAnsi="Book Antiqua"/>
                <w:sz w:val="24"/>
                <w:szCs w:val="24"/>
                <w:lang w:val="en-GB"/>
              </w:rPr>
              <w:t xml:space="preserve"> is a useful tool for the assessment of extent and activity</w:t>
            </w:r>
            <w:r w:rsidR="00C4587B">
              <w:rPr>
                <w:rFonts w:ascii="Book Antiqua" w:hAnsi="Book Antiqua"/>
                <w:sz w:val="24"/>
                <w:szCs w:val="24"/>
                <w:lang w:val="en-GB"/>
              </w:rPr>
              <w:t xml:space="preserve"> </w:t>
            </w:r>
            <w:r>
              <w:rPr>
                <w:rFonts w:ascii="Book Antiqua" w:hAnsi="Book Antiqua"/>
                <w:sz w:val="24"/>
                <w:szCs w:val="24"/>
                <w:lang w:val="en-GB"/>
              </w:rPr>
              <w:t>of UC.</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Ahmadi A et al, </w:t>
            </w:r>
            <w:r>
              <w:rPr>
                <w:rFonts w:ascii="Book Antiqua" w:hAnsi="Book Antiqua"/>
                <w:i/>
                <w:sz w:val="24"/>
                <w:szCs w:val="24"/>
                <w:lang w:val="en-GB"/>
              </w:rPr>
              <w:t>7</w:t>
            </w:r>
          </w:p>
        </w:tc>
        <w:tc>
          <w:tcPr>
            <w:tcW w:w="1002"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2010</w:t>
            </w:r>
          </w:p>
        </w:tc>
        <w:tc>
          <w:tcPr>
            <w:tcW w:w="1945"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Inflamm</w:t>
            </w:r>
            <w:proofErr w:type="spellEnd"/>
            <w:r>
              <w:rPr>
                <w:rFonts w:ascii="Book Antiqua" w:hAnsi="Book Antiqua"/>
                <w:sz w:val="24"/>
                <w:szCs w:val="24"/>
                <w:lang w:val="en-GB"/>
              </w:rPr>
              <w:t xml:space="preserve"> Bowel Dis</w:t>
            </w:r>
          </w:p>
        </w:tc>
        <w:tc>
          <w:tcPr>
            <w:tcW w:w="70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41</w:t>
            </w:r>
          </w:p>
        </w:tc>
        <w:tc>
          <w:tcPr>
            <w:tcW w:w="1894"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Toidentify</w:t>
            </w:r>
            <w:proofErr w:type="spellEnd"/>
            <w:r>
              <w:rPr>
                <w:rFonts w:ascii="Book Antiqua" w:hAnsi="Book Antiqua"/>
                <w:sz w:val="24"/>
                <w:szCs w:val="24"/>
                <w:lang w:val="en-GB"/>
              </w:rPr>
              <w:t xml:space="preserve"> disease activity in patients with known or suspected active CD of the small intestine.</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To find out possible risk factors </w:t>
            </w:r>
            <w:r w:rsidR="00C4587B">
              <w:rPr>
                <w:rFonts w:ascii="Book Antiqua" w:hAnsi="Book Antiqua"/>
                <w:sz w:val="24"/>
                <w:szCs w:val="24"/>
                <w:lang w:val="en-GB"/>
              </w:rPr>
              <w:t>for therapy</w:t>
            </w:r>
            <w:r>
              <w:rPr>
                <w:rFonts w:ascii="Book Antiqua" w:hAnsi="Book Antiqua"/>
                <w:sz w:val="24"/>
                <w:szCs w:val="24"/>
                <w:lang w:val="en-GB"/>
              </w:rPr>
              <w:t xml:space="preserve"> failure</w:t>
            </w:r>
          </w:p>
        </w:tc>
        <w:tc>
          <w:tcPr>
            <w:tcW w:w="2593"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Localized </w:t>
            </w:r>
            <w:r>
              <w:rPr>
                <w:rFonts w:ascii="Book Antiqua" w:hAnsi="Book Antiqua"/>
                <w:sz w:val="24"/>
                <w:szCs w:val="24"/>
                <w:vertAlign w:val="superscript"/>
                <w:lang w:val="en-GB"/>
              </w:rPr>
              <w:t>18</w:t>
            </w:r>
            <w:r>
              <w:rPr>
                <w:rFonts w:ascii="Book Antiqua" w:hAnsi="Book Antiqua"/>
                <w:sz w:val="24"/>
                <w:szCs w:val="24"/>
                <w:lang w:val="en-GB"/>
              </w:rPr>
              <w:t>F-FDG PET/</w:t>
            </w:r>
            <w:proofErr w:type="spellStart"/>
            <w:r>
              <w:rPr>
                <w:rFonts w:ascii="Book Antiqua" w:hAnsi="Book Antiqua"/>
                <w:sz w:val="24"/>
                <w:szCs w:val="24"/>
                <w:lang w:val="en-GB"/>
              </w:rPr>
              <w:t>CTe</w:t>
            </w:r>
            <w:proofErr w:type="spellEnd"/>
          </w:p>
        </w:tc>
        <w:tc>
          <w:tcPr>
            <w:tcW w:w="175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NA</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 scan does not increase</w:t>
            </w:r>
            <w:r w:rsidR="00C4587B">
              <w:rPr>
                <w:rFonts w:ascii="Book Antiqua" w:hAnsi="Book Antiqua"/>
                <w:sz w:val="24"/>
                <w:szCs w:val="24"/>
                <w:lang w:val="en-GB"/>
              </w:rPr>
              <w:t xml:space="preserve"> </w:t>
            </w:r>
            <w:proofErr w:type="spellStart"/>
            <w:r>
              <w:rPr>
                <w:rFonts w:ascii="Book Antiqua" w:hAnsi="Book Antiqua"/>
                <w:sz w:val="24"/>
                <w:szCs w:val="24"/>
                <w:lang w:val="en-GB"/>
              </w:rPr>
              <w:t>CTesensitivity</w:t>
            </w:r>
            <w:proofErr w:type="spellEnd"/>
            <w:r>
              <w:rPr>
                <w:rFonts w:ascii="Book Antiqua" w:hAnsi="Book Antiqua"/>
                <w:sz w:val="24"/>
                <w:szCs w:val="24"/>
                <w:lang w:val="en-GB"/>
              </w:rPr>
              <w:t xml:space="preserve"> in detection of active disease.</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 low </w:t>
            </w:r>
            <w:r>
              <w:rPr>
                <w:rFonts w:ascii="Book Antiqua" w:hAnsi="Book Antiqua"/>
                <w:sz w:val="24"/>
                <w:szCs w:val="24"/>
                <w:vertAlign w:val="superscript"/>
                <w:lang w:val="en-GB"/>
              </w:rPr>
              <w:t>18</w:t>
            </w:r>
            <w:r>
              <w:rPr>
                <w:rFonts w:ascii="Book Antiqua" w:hAnsi="Book Antiqua"/>
                <w:sz w:val="24"/>
                <w:szCs w:val="24"/>
                <w:lang w:val="en-GB"/>
              </w:rPr>
              <w:t xml:space="preserve">F-FDG uptake in at least one small bowel segment, resulted to be pathological on </w:t>
            </w:r>
            <w:proofErr w:type="spellStart"/>
            <w:r>
              <w:rPr>
                <w:rFonts w:ascii="Book Antiqua" w:hAnsi="Book Antiqua"/>
                <w:sz w:val="24"/>
                <w:szCs w:val="24"/>
                <w:lang w:val="en-GB"/>
              </w:rPr>
              <w:t>CTe</w:t>
            </w:r>
            <w:proofErr w:type="spellEnd"/>
            <w:r>
              <w:rPr>
                <w:rFonts w:ascii="Book Antiqua" w:hAnsi="Book Antiqua"/>
                <w:sz w:val="24"/>
                <w:szCs w:val="24"/>
                <w:lang w:val="en-GB"/>
              </w:rPr>
              <w:t>,</w:t>
            </w:r>
            <w:r w:rsidR="00C4587B">
              <w:rPr>
                <w:rFonts w:ascii="Book Antiqua" w:hAnsi="Book Antiqua"/>
                <w:sz w:val="24"/>
                <w:szCs w:val="24"/>
                <w:lang w:val="en-GB"/>
              </w:rPr>
              <w:t xml:space="preserve"> </w:t>
            </w:r>
            <w:r>
              <w:rPr>
                <w:rFonts w:ascii="Book Antiqua" w:hAnsi="Book Antiqua"/>
                <w:sz w:val="24"/>
                <w:szCs w:val="24"/>
                <w:lang w:val="en-GB"/>
              </w:rPr>
              <w:t>represent a risk factor for medical treatment failure</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lastRenderedPageBreak/>
              <w:t>Groshar</w:t>
            </w:r>
            <w:proofErr w:type="spellEnd"/>
            <w:r>
              <w:rPr>
                <w:rFonts w:ascii="Book Antiqua" w:hAnsi="Book Antiqua"/>
                <w:sz w:val="24"/>
                <w:szCs w:val="24"/>
                <w:lang w:val="en-GB"/>
              </w:rPr>
              <w:t xml:space="preserve"> D et al, </w:t>
            </w:r>
            <w:r>
              <w:rPr>
                <w:rFonts w:ascii="Book Antiqua" w:hAnsi="Book Antiqua"/>
                <w:i/>
                <w:sz w:val="24"/>
                <w:szCs w:val="24"/>
                <w:lang w:val="en-GB"/>
              </w:rPr>
              <w:t>20</w:t>
            </w:r>
          </w:p>
        </w:tc>
        <w:tc>
          <w:tcPr>
            <w:tcW w:w="1002"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2010</w:t>
            </w:r>
          </w:p>
        </w:tc>
        <w:tc>
          <w:tcPr>
            <w:tcW w:w="1945"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J </w:t>
            </w:r>
            <w:proofErr w:type="spellStart"/>
            <w:r>
              <w:rPr>
                <w:rFonts w:ascii="Book Antiqua" w:hAnsi="Book Antiqua"/>
                <w:sz w:val="24"/>
                <w:szCs w:val="24"/>
                <w:lang w:val="en-GB"/>
              </w:rPr>
              <w:t>Nucl</w:t>
            </w:r>
            <w:proofErr w:type="spellEnd"/>
            <w:r>
              <w:rPr>
                <w:rFonts w:ascii="Book Antiqua" w:hAnsi="Book Antiqua"/>
                <w:sz w:val="24"/>
                <w:szCs w:val="24"/>
                <w:lang w:val="en-GB"/>
              </w:rPr>
              <w:t xml:space="preserve"> Med</w:t>
            </w:r>
          </w:p>
        </w:tc>
        <w:tc>
          <w:tcPr>
            <w:tcW w:w="70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28</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evaluate disease activity in patients with known or suspected active CD</w:t>
            </w:r>
          </w:p>
        </w:tc>
        <w:tc>
          <w:tcPr>
            <w:tcW w:w="2593"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w:t>
            </w:r>
            <w:proofErr w:type="spellStart"/>
            <w:r>
              <w:rPr>
                <w:rFonts w:ascii="Book Antiqua" w:hAnsi="Book Antiqua"/>
                <w:sz w:val="24"/>
                <w:szCs w:val="24"/>
                <w:lang w:val="en-GB"/>
              </w:rPr>
              <w:t>CTe</w:t>
            </w:r>
            <w:proofErr w:type="spellEnd"/>
          </w:p>
        </w:tc>
        <w:tc>
          <w:tcPr>
            <w:tcW w:w="175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NA</w:t>
            </w:r>
          </w:p>
        </w:tc>
        <w:tc>
          <w:tcPr>
            <w:tcW w:w="3638"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SUV</w:t>
            </w:r>
            <w:r>
              <w:rPr>
                <w:rFonts w:ascii="Book Antiqua" w:hAnsi="Book Antiqua"/>
                <w:sz w:val="24"/>
                <w:szCs w:val="24"/>
                <w:vertAlign w:val="subscript"/>
                <w:lang w:val="en-GB"/>
              </w:rPr>
              <w:t>max</w:t>
            </w:r>
            <w:proofErr w:type="spellEnd"/>
            <w:r w:rsidR="00C4587B">
              <w:rPr>
                <w:rFonts w:ascii="Book Antiqua" w:hAnsi="Book Antiqua"/>
                <w:sz w:val="24"/>
                <w:szCs w:val="24"/>
                <w:vertAlign w:val="subscript"/>
                <w:lang w:val="en-GB"/>
              </w:rPr>
              <w:t xml:space="preserve"> </w:t>
            </w:r>
            <w:r>
              <w:rPr>
                <w:rFonts w:ascii="Book Antiqua" w:hAnsi="Book Antiqua"/>
                <w:sz w:val="24"/>
                <w:szCs w:val="24"/>
                <w:lang w:val="en-GB"/>
              </w:rPr>
              <w:t xml:space="preserve">correlates well with </w:t>
            </w:r>
            <w:proofErr w:type="spellStart"/>
            <w:r>
              <w:rPr>
                <w:rFonts w:ascii="Book Antiqua" w:hAnsi="Book Antiqua"/>
                <w:sz w:val="24"/>
                <w:szCs w:val="24"/>
                <w:lang w:val="en-GB"/>
              </w:rPr>
              <w:t>CTe</w:t>
            </w:r>
            <w:proofErr w:type="spellEnd"/>
            <w:r>
              <w:rPr>
                <w:rFonts w:ascii="Book Antiqua" w:hAnsi="Book Antiqua"/>
                <w:sz w:val="24"/>
                <w:szCs w:val="24"/>
                <w:lang w:val="en-GB"/>
              </w:rPr>
              <w:t xml:space="preserve"> findings of active disease. It might be</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a reliable objective method for quantifying CD’s activity</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n-GB"/>
              </w:rPr>
            </w:pPr>
            <w:proofErr w:type="spellStart"/>
            <w:r>
              <w:rPr>
                <w:rFonts w:ascii="Book Antiqua" w:hAnsi="Book Antiqua"/>
                <w:sz w:val="24"/>
                <w:szCs w:val="24"/>
                <w:lang w:val="en-GB"/>
              </w:rPr>
              <w:t>Shyn</w:t>
            </w:r>
            <w:proofErr w:type="spellEnd"/>
            <w:r>
              <w:rPr>
                <w:rFonts w:ascii="Book Antiqua" w:hAnsi="Book Antiqua"/>
                <w:sz w:val="24"/>
                <w:szCs w:val="24"/>
                <w:lang w:val="en-GB"/>
              </w:rPr>
              <w:t xml:space="preserve"> PB et al, </w:t>
            </w:r>
            <w:r>
              <w:rPr>
                <w:rFonts w:ascii="Book Antiqua" w:hAnsi="Book Antiqua"/>
                <w:i/>
                <w:sz w:val="24"/>
                <w:szCs w:val="24"/>
                <w:lang w:val="en-GB"/>
              </w:rPr>
              <w:t>21</w:t>
            </w:r>
          </w:p>
        </w:tc>
        <w:tc>
          <w:tcPr>
            <w:tcW w:w="1002"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2010</w:t>
            </w:r>
          </w:p>
        </w:tc>
        <w:tc>
          <w:tcPr>
            <w:tcW w:w="1945"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J </w:t>
            </w:r>
            <w:proofErr w:type="spellStart"/>
            <w:r>
              <w:rPr>
                <w:rFonts w:ascii="Book Antiqua" w:hAnsi="Book Antiqua"/>
                <w:sz w:val="24"/>
                <w:szCs w:val="24"/>
                <w:lang w:val="en-GB"/>
              </w:rPr>
              <w:t>Nucl</w:t>
            </w:r>
            <w:proofErr w:type="spellEnd"/>
            <w:r>
              <w:rPr>
                <w:rFonts w:ascii="Book Antiqua" w:hAnsi="Book Antiqua"/>
                <w:sz w:val="24"/>
                <w:szCs w:val="24"/>
                <w:lang w:val="en-GB"/>
              </w:rPr>
              <w:t xml:space="preserve"> Med</w:t>
            </w:r>
          </w:p>
        </w:tc>
        <w:tc>
          <w:tcPr>
            <w:tcW w:w="70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13</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detect active disease and assess severity of inflammation in patients with clinically suspected active CD</w:t>
            </w:r>
          </w:p>
        </w:tc>
        <w:tc>
          <w:tcPr>
            <w:tcW w:w="2593"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F-FDG PET/</w:t>
            </w:r>
            <w:proofErr w:type="spellStart"/>
            <w:r>
              <w:rPr>
                <w:rFonts w:ascii="Book Antiqua" w:hAnsi="Book Antiqua"/>
                <w:sz w:val="24"/>
                <w:szCs w:val="24"/>
                <w:lang w:val="en-GB"/>
              </w:rPr>
              <w:t>CTe</w:t>
            </w:r>
            <w:proofErr w:type="spellEnd"/>
          </w:p>
        </w:tc>
        <w:tc>
          <w:tcPr>
            <w:tcW w:w="175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Histology after surgery or after biopsy performed during endoscopy</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 xml:space="preserve">F-FDGPET added to </w:t>
            </w:r>
            <w:proofErr w:type="spellStart"/>
            <w:r>
              <w:rPr>
                <w:rFonts w:ascii="Book Antiqua" w:hAnsi="Book Antiqua"/>
                <w:sz w:val="24"/>
                <w:szCs w:val="24"/>
                <w:lang w:val="en-GB"/>
              </w:rPr>
              <w:t>CTe</w:t>
            </w:r>
            <w:proofErr w:type="spellEnd"/>
            <w:r>
              <w:rPr>
                <w:rFonts w:ascii="Book Antiqua" w:hAnsi="Book Antiqua"/>
                <w:sz w:val="24"/>
                <w:szCs w:val="24"/>
                <w:lang w:val="en-GB"/>
              </w:rPr>
              <w:t xml:space="preserve"> may improve the detection of active disease</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 xml:space="preserve">Holtmann MH et al, </w:t>
            </w:r>
            <w:r>
              <w:rPr>
                <w:rFonts w:ascii="Book Antiqua" w:hAnsi="Book Antiqua"/>
                <w:i/>
                <w:sz w:val="24"/>
                <w:szCs w:val="24"/>
                <w:lang w:val="es-ES_tradnl"/>
              </w:rPr>
              <w:t>2</w:t>
            </w:r>
          </w:p>
        </w:tc>
        <w:tc>
          <w:tcPr>
            <w:tcW w:w="1002" w:type="dxa"/>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2012</w:t>
            </w:r>
          </w:p>
        </w:tc>
        <w:tc>
          <w:tcPr>
            <w:tcW w:w="1945" w:type="dxa"/>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Dig Dis Sci</w:t>
            </w:r>
          </w:p>
        </w:tc>
        <w:tc>
          <w:tcPr>
            <w:tcW w:w="709" w:type="dxa"/>
            <w:vAlign w:val="center"/>
          </w:tcPr>
          <w:p w:rsidR="0003376C" w:rsidRDefault="005739BD" w:rsidP="00924331">
            <w:pPr>
              <w:spacing w:line="360" w:lineRule="auto"/>
              <w:jc w:val="both"/>
              <w:rPr>
                <w:rFonts w:ascii="Book Antiqua" w:hAnsi="Book Antiqua"/>
                <w:sz w:val="24"/>
                <w:szCs w:val="24"/>
                <w:lang w:val="es-ES_tradnl"/>
              </w:rPr>
            </w:pPr>
            <w:r>
              <w:rPr>
                <w:rFonts w:ascii="Book Antiqua" w:hAnsi="Book Antiqua"/>
                <w:sz w:val="24"/>
                <w:szCs w:val="24"/>
                <w:lang w:val="es-ES_tradnl"/>
              </w:rPr>
              <w:t>43</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detect bowel segments with active CD</w:t>
            </w:r>
          </w:p>
        </w:tc>
        <w:tc>
          <w:tcPr>
            <w:tcW w:w="2593"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vertAlign w:val="superscript"/>
                <w:lang w:val="en-GB"/>
              </w:rPr>
              <w:t>18</w:t>
            </w:r>
            <w:r>
              <w:rPr>
                <w:rFonts w:ascii="Book Antiqua" w:hAnsi="Book Antiqua"/>
                <w:sz w:val="24"/>
                <w:szCs w:val="24"/>
                <w:lang w:val="en-GB"/>
              </w:rPr>
              <w:t>F-FDG PET</w:t>
            </w:r>
          </w:p>
        </w:tc>
        <w:tc>
          <w:tcPr>
            <w:tcW w:w="1759"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Endoscopy for distal ileum and colon,</w:t>
            </w:r>
          </w:p>
          <w:p w:rsidR="0003376C" w:rsidRDefault="005739BD" w:rsidP="00924331">
            <w:pPr>
              <w:spacing w:line="360" w:lineRule="auto"/>
              <w:jc w:val="both"/>
              <w:rPr>
                <w:rFonts w:ascii="Book Antiqua" w:hAnsi="Book Antiqua"/>
                <w:sz w:val="24"/>
                <w:szCs w:val="24"/>
                <w:lang w:val="pt-BR"/>
              </w:rPr>
            </w:pPr>
            <w:r>
              <w:rPr>
                <w:rFonts w:ascii="Book Antiqua" w:hAnsi="Book Antiqua"/>
                <w:sz w:val="24"/>
                <w:szCs w:val="24"/>
                <w:lang w:val="pt-BR"/>
              </w:rPr>
              <w:t xml:space="preserve">Hydro-MRI for proximal ileum </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 xml:space="preserve">F-FDG PET diagnostic performance in the detection of bowel segments with active disease is high. Compared to </w:t>
            </w:r>
            <w:r>
              <w:rPr>
                <w:rFonts w:ascii="Book Antiqua" w:hAnsi="Book Antiqua"/>
                <w:sz w:val="24"/>
                <w:szCs w:val="24"/>
                <w:vertAlign w:val="superscript"/>
                <w:lang w:val="en-GB"/>
              </w:rPr>
              <w:t>18</w:t>
            </w:r>
            <w:r>
              <w:rPr>
                <w:rFonts w:ascii="Book Antiqua" w:hAnsi="Book Antiqua"/>
                <w:sz w:val="24"/>
                <w:szCs w:val="24"/>
                <w:lang w:val="en-GB"/>
              </w:rPr>
              <w:t>F-FDG PET, hydro-MRI shows much lower sensitivity but higher specificity for all colon segments, higher sensitivity and the same specificity for terminal ileum and same performance for proximal ileum. Both methods seem to have high accuracy in strictures detection and characterization of their nature</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 xml:space="preserve">Lenze F et al, </w:t>
            </w:r>
            <w:r>
              <w:rPr>
                <w:rFonts w:ascii="Book Antiqua" w:hAnsi="Book Antiqua"/>
                <w:i/>
                <w:sz w:val="24"/>
                <w:szCs w:val="24"/>
              </w:rPr>
              <w:t>3</w:t>
            </w:r>
          </w:p>
        </w:tc>
        <w:tc>
          <w:tcPr>
            <w:tcW w:w="1002"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2012</w:t>
            </w:r>
          </w:p>
        </w:tc>
        <w:tc>
          <w:tcPr>
            <w:tcW w:w="1945"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Inflamm Bowel Dis</w:t>
            </w:r>
          </w:p>
        </w:tc>
        <w:tc>
          <w:tcPr>
            <w:tcW w:w="709"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30</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To detect CD strictures and </w:t>
            </w:r>
            <w:r>
              <w:rPr>
                <w:rFonts w:ascii="Book Antiqua" w:hAnsi="Book Antiqua"/>
                <w:sz w:val="24"/>
                <w:szCs w:val="24"/>
                <w:lang w:val="en-GB"/>
              </w:rPr>
              <w:lastRenderedPageBreak/>
              <w:t>differentiate inflammatory from fibrotic ones</w:t>
            </w:r>
          </w:p>
        </w:tc>
        <w:tc>
          <w:tcPr>
            <w:tcW w:w="2593" w:type="dxa"/>
            <w:vAlign w:val="center"/>
          </w:tcPr>
          <w:p w:rsidR="0003376C" w:rsidRDefault="005739BD" w:rsidP="00924331">
            <w:pPr>
              <w:spacing w:line="360" w:lineRule="auto"/>
              <w:jc w:val="both"/>
              <w:rPr>
                <w:rFonts w:ascii="Book Antiqua" w:hAnsi="Book Antiqua"/>
                <w:sz w:val="24"/>
                <w:szCs w:val="24"/>
                <w:lang w:val="fr-CH"/>
              </w:rPr>
            </w:pPr>
            <w:r>
              <w:rPr>
                <w:rFonts w:ascii="Book Antiqua" w:hAnsi="Book Antiqua"/>
                <w:sz w:val="24"/>
                <w:szCs w:val="24"/>
                <w:vertAlign w:val="superscript"/>
                <w:lang w:val="fr-CH"/>
              </w:rPr>
              <w:lastRenderedPageBreak/>
              <w:t>18</w:t>
            </w:r>
            <w:r>
              <w:rPr>
                <w:rFonts w:ascii="Book Antiqua" w:hAnsi="Book Antiqua"/>
                <w:sz w:val="24"/>
                <w:szCs w:val="24"/>
                <w:lang w:val="fr-CH"/>
              </w:rPr>
              <w:t>F-FDG PET/CT enteroclysis,</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lastRenderedPageBreak/>
              <w:t xml:space="preserve">MR </w:t>
            </w:r>
            <w:proofErr w:type="spellStart"/>
            <w:r>
              <w:rPr>
                <w:rFonts w:ascii="Book Antiqua" w:hAnsi="Book Antiqua"/>
                <w:sz w:val="24"/>
                <w:szCs w:val="24"/>
                <w:lang w:val="en-GB"/>
              </w:rPr>
              <w:t>enteroclysis</w:t>
            </w:r>
            <w:proofErr w:type="spellEnd"/>
            <w:r>
              <w:rPr>
                <w:rFonts w:ascii="Book Antiqua" w:hAnsi="Book Antiqua"/>
                <w:sz w:val="24"/>
                <w:szCs w:val="24"/>
                <w:lang w:val="en-GB"/>
              </w:rPr>
              <w:t>,</w:t>
            </w:r>
          </w:p>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Transabdominal ultrasound</w:t>
            </w:r>
          </w:p>
        </w:tc>
        <w:tc>
          <w:tcPr>
            <w:tcW w:w="1759"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lastRenderedPageBreak/>
              <w:t>Endoscopy + hystology</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 xml:space="preserve">All the three studied techniques have good strictures detection </w:t>
            </w:r>
            <w:r>
              <w:rPr>
                <w:rFonts w:ascii="Book Antiqua" w:hAnsi="Book Antiqua"/>
                <w:sz w:val="24"/>
                <w:szCs w:val="24"/>
                <w:lang w:val="en-GB"/>
              </w:rPr>
              <w:lastRenderedPageBreak/>
              <w:t>rates relating to the gold standard, but none of them can accurately differentiate strictures’ nature. However, a combination of methods allows the detection of all strictures requiring surgery</w:t>
            </w:r>
          </w:p>
        </w:tc>
      </w:tr>
      <w:tr w:rsidR="0003376C">
        <w:trPr>
          <w:jc w:val="center"/>
        </w:trPr>
        <w:tc>
          <w:tcPr>
            <w:tcW w:w="1640"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lastRenderedPageBreak/>
              <w:t xml:space="preserve">Catalano OA et al, </w:t>
            </w:r>
            <w:r>
              <w:rPr>
                <w:rFonts w:ascii="Book Antiqua" w:hAnsi="Book Antiqua"/>
                <w:i/>
                <w:sz w:val="24"/>
                <w:szCs w:val="24"/>
              </w:rPr>
              <w:t>5</w:t>
            </w:r>
          </w:p>
        </w:tc>
        <w:tc>
          <w:tcPr>
            <w:tcW w:w="1002"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2016</w:t>
            </w:r>
          </w:p>
        </w:tc>
        <w:tc>
          <w:tcPr>
            <w:tcW w:w="1945"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Radiology</w:t>
            </w:r>
          </w:p>
        </w:tc>
        <w:tc>
          <w:tcPr>
            <w:tcW w:w="709"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19</w:t>
            </w:r>
          </w:p>
        </w:tc>
        <w:tc>
          <w:tcPr>
            <w:tcW w:w="1894"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lang w:val="en-GB"/>
              </w:rPr>
              <w:t>To differentiate fibrotic from inflammatory strictures in CD patients</w:t>
            </w:r>
          </w:p>
        </w:tc>
        <w:tc>
          <w:tcPr>
            <w:tcW w:w="2593"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 xml:space="preserve">F-FDG PET/MR </w:t>
            </w:r>
            <w:proofErr w:type="spellStart"/>
            <w:r>
              <w:rPr>
                <w:rFonts w:ascii="Book Antiqua" w:hAnsi="Book Antiqua"/>
                <w:sz w:val="24"/>
                <w:szCs w:val="24"/>
                <w:lang w:val="en-GB"/>
              </w:rPr>
              <w:t>enterography</w:t>
            </w:r>
            <w:proofErr w:type="spellEnd"/>
          </w:p>
        </w:tc>
        <w:tc>
          <w:tcPr>
            <w:tcW w:w="1759" w:type="dxa"/>
            <w:vAlign w:val="center"/>
          </w:tcPr>
          <w:p w:rsidR="0003376C" w:rsidRDefault="005739BD" w:rsidP="00924331">
            <w:pPr>
              <w:spacing w:line="360" w:lineRule="auto"/>
              <w:jc w:val="both"/>
              <w:rPr>
                <w:rFonts w:ascii="Book Antiqua" w:hAnsi="Book Antiqua"/>
                <w:sz w:val="24"/>
                <w:szCs w:val="24"/>
              </w:rPr>
            </w:pPr>
            <w:r>
              <w:rPr>
                <w:rFonts w:ascii="Book Antiqua" w:hAnsi="Book Antiqua"/>
                <w:sz w:val="24"/>
                <w:szCs w:val="24"/>
              </w:rPr>
              <w:t>Post-surgical histology</w:t>
            </w:r>
          </w:p>
        </w:tc>
        <w:tc>
          <w:tcPr>
            <w:tcW w:w="3638" w:type="dxa"/>
            <w:vAlign w:val="center"/>
          </w:tcPr>
          <w:p w:rsidR="0003376C" w:rsidRDefault="005739BD" w:rsidP="00924331">
            <w:pPr>
              <w:spacing w:line="360" w:lineRule="auto"/>
              <w:jc w:val="both"/>
              <w:rPr>
                <w:rFonts w:ascii="Book Antiqua" w:hAnsi="Book Antiqua"/>
                <w:sz w:val="24"/>
                <w:szCs w:val="24"/>
                <w:lang w:val="en-GB"/>
              </w:rPr>
            </w:pPr>
            <w:r>
              <w:rPr>
                <w:rFonts w:ascii="Book Antiqua" w:hAnsi="Book Antiqua"/>
                <w:sz w:val="24"/>
                <w:szCs w:val="24"/>
                <w:vertAlign w:val="superscript"/>
                <w:lang w:val="en-GB"/>
              </w:rPr>
              <w:t>18</w:t>
            </w:r>
            <w:r>
              <w:rPr>
                <w:rFonts w:ascii="Book Antiqua" w:hAnsi="Book Antiqua"/>
                <w:sz w:val="24"/>
                <w:szCs w:val="24"/>
                <w:lang w:val="en-GB"/>
              </w:rPr>
              <w:t xml:space="preserve">F-FDG PET/MR </w:t>
            </w:r>
            <w:proofErr w:type="spellStart"/>
            <w:r>
              <w:rPr>
                <w:rFonts w:ascii="Book Antiqua" w:hAnsi="Book Antiqua"/>
                <w:sz w:val="24"/>
                <w:szCs w:val="24"/>
                <w:lang w:val="en-GB"/>
              </w:rPr>
              <w:t>enterography</w:t>
            </w:r>
            <w:proofErr w:type="spellEnd"/>
            <w:r>
              <w:rPr>
                <w:rFonts w:ascii="Book Antiqua" w:hAnsi="Book Antiqua"/>
                <w:sz w:val="24"/>
                <w:szCs w:val="24"/>
                <w:lang w:val="en-GB"/>
              </w:rPr>
              <w:t xml:space="preserve"> offers valid biomarkers for stricture evaluation</w:t>
            </w:r>
          </w:p>
        </w:tc>
      </w:tr>
    </w:tbl>
    <w:p w:rsidR="0003376C" w:rsidRDefault="005739BD" w:rsidP="00924331">
      <w:pPr>
        <w:spacing w:after="0" w:line="360" w:lineRule="auto"/>
        <w:jc w:val="both"/>
        <w:rPr>
          <w:rFonts w:ascii="Book Antiqua" w:eastAsiaTheme="minorEastAsia" w:hAnsi="Book Antiqua" w:cs="Arial"/>
          <w:sz w:val="24"/>
          <w:szCs w:val="24"/>
          <w:lang w:val="en-US" w:eastAsia="zh-CN"/>
        </w:rPr>
      </w:pPr>
      <w:r>
        <w:rPr>
          <w:rFonts w:ascii="Book Antiqua" w:hAnsi="Book Antiqua"/>
          <w:sz w:val="24"/>
          <w:szCs w:val="24"/>
          <w:lang w:val="en-GB"/>
        </w:rPr>
        <w:t>SPECT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 xml:space="preserve"> Single photon emission tomography</w:t>
      </w:r>
      <w:r>
        <w:rPr>
          <w:rFonts w:ascii="Book Antiqua" w:eastAsiaTheme="minorEastAsia" w:hAnsi="Book Antiqua" w:cs="Arial" w:hint="eastAsia"/>
          <w:sz w:val="24"/>
          <w:szCs w:val="24"/>
          <w:lang w:val="en-US" w:eastAsia="zh-CN"/>
        </w:rPr>
        <w:t>.</w:t>
      </w:r>
    </w:p>
    <w:p w:rsidR="0003376C" w:rsidRDefault="0003376C" w:rsidP="00924331">
      <w:pPr>
        <w:spacing w:after="0" w:line="360" w:lineRule="auto"/>
        <w:jc w:val="both"/>
        <w:rPr>
          <w:rFonts w:ascii="Book Antiqua" w:hAnsi="Book Antiqua" w:cs="Arial"/>
          <w:sz w:val="24"/>
          <w:szCs w:val="24"/>
          <w:lang w:val="en-GB"/>
        </w:rPr>
      </w:pPr>
    </w:p>
    <w:p w:rsidR="0003376C" w:rsidRDefault="005739BD" w:rsidP="00924331">
      <w:pPr>
        <w:spacing w:after="0" w:line="360" w:lineRule="auto"/>
        <w:jc w:val="both"/>
        <w:rPr>
          <w:rFonts w:ascii="Book Antiqua" w:hAnsi="Book Antiqua" w:cs="Arial"/>
          <w:sz w:val="24"/>
          <w:szCs w:val="24"/>
          <w:lang w:val="en-GB"/>
        </w:rPr>
      </w:pPr>
      <w:r>
        <w:rPr>
          <w:rFonts w:ascii="Book Antiqua" w:hAnsi="Book Antiqua" w:cs="Arial"/>
          <w:sz w:val="24"/>
          <w:szCs w:val="24"/>
          <w:lang w:val="en-GB"/>
        </w:rPr>
        <w:br w:type="page"/>
      </w:r>
    </w:p>
    <w:p w:rsidR="0003376C" w:rsidRDefault="005739BD" w:rsidP="00924331">
      <w:pPr>
        <w:spacing w:after="0" w:line="360" w:lineRule="auto"/>
        <w:jc w:val="both"/>
        <w:rPr>
          <w:rFonts w:ascii="Book Antiqua" w:hAnsi="Book Antiqua" w:cs="Arial"/>
          <w:b/>
          <w:sz w:val="24"/>
          <w:szCs w:val="24"/>
          <w:lang w:val="en-GB"/>
        </w:rPr>
      </w:pPr>
      <w:r>
        <w:rPr>
          <w:rFonts w:ascii="Book Antiqua" w:hAnsi="Book Antiqua" w:cs="Arial"/>
          <w:b/>
          <w:sz w:val="24"/>
          <w:szCs w:val="24"/>
          <w:lang w:val="en-GB"/>
        </w:rPr>
        <w:lastRenderedPageBreak/>
        <w:t>Table 4</w:t>
      </w:r>
      <w:r>
        <w:rPr>
          <w:rFonts w:ascii="Book Antiqua" w:eastAsiaTheme="minorEastAsia" w:hAnsi="Book Antiqua" w:cs="Arial" w:hint="eastAsia"/>
          <w:b/>
          <w:sz w:val="24"/>
          <w:szCs w:val="24"/>
          <w:lang w:val="en-US" w:eastAsia="zh-CN"/>
        </w:rPr>
        <w:t xml:space="preserve"> </w:t>
      </w:r>
      <w:r>
        <w:rPr>
          <w:rFonts w:ascii="Book Antiqua" w:hAnsi="Book Antiqua" w:cs="Arial"/>
          <w:b/>
          <w:sz w:val="24"/>
          <w:szCs w:val="24"/>
          <w:lang w:val="en-GB"/>
        </w:rPr>
        <w:t>Diagnostic accuracies in some selected studies on positron emission tomography</w:t>
      </w:r>
    </w:p>
    <w:p w:rsidR="0003376C" w:rsidRDefault="0003376C" w:rsidP="00924331">
      <w:pPr>
        <w:spacing w:after="0" w:line="360" w:lineRule="auto"/>
        <w:jc w:val="both"/>
        <w:rPr>
          <w:rFonts w:ascii="Book Antiqua" w:hAnsi="Book Antiqua" w:cs="Arial"/>
          <w:sz w:val="24"/>
          <w:szCs w:val="24"/>
          <w:lang w:val="en-GB"/>
        </w:rPr>
      </w:pPr>
    </w:p>
    <w:tbl>
      <w:tblPr>
        <w:tblW w:w="9031" w:type="dxa"/>
        <w:jc w:val="center"/>
        <w:tblInd w:w="-25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253"/>
        <w:gridCol w:w="1143"/>
        <w:gridCol w:w="2843"/>
        <w:gridCol w:w="1403"/>
        <w:gridCol w:w="1389"/>
      </w:tblGrid>
      <w:tr w:rsidR="0003376C">
        <w:trPr>
          <w:trHeight w:val="395"/>
          <w:jc w:val="center"/>
        </w:trPr>
        <w:tc>
          <w:tcPr>
            <w:tcW w:w="2253" w:type="dxa"/>
            <w:tcBorders>
              <w:top w:val="single" w:sz="4" w:space="0" w:color="auto"/>
              <w:bottom w:val="single" w:sz="4" w:space="0" w:color="auto"/>
            </w:tcBorders>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heme="minorEastAsia" w:hAnsi="Book Antiqua"/>
                <w:sz w:val="24"/>
                <w:szCs w:val="24"/>
                <w:lang w:val="it-IT" w:eastAsia="zh-CN"/>
              </w:rPr>
            </w:pPr>
            <w:r>
              <w:rPr>
                <w:rFonts w:ascii="Book Antiqua" w:eastAsiaTheme="minorEastAsia" w:hAnsi="Book Antiqua" w:hint="eastAsia"/>
                <w:b/>
                <w:bCs/>
                <w:sz w:val="24"/>
                <w:szCs w:val="24"/>
                <w:lang w:val="en-GB" w:eastAsia="zh-CN"/>
              </w:rPr>
              <w:t>Ref.</w:t>
            </w:r>
          </w:p>
        </w:tc>
        <w:tc>
          <w:tcPr>
            <w:tcW w:w="1143" w:type="dxa"/>
            <w:tcBorders>
              <w:top w:val="single" w:sz="4" w:space="0" w:color="auto"/>
              <w:bottom w:val="single" w:sz="4" w:space="0" w:color="auto"/>
            </w:tcBorders>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b/>
                <w:bCs/>
                <w:sz w:val="24"/>
                <w:szCs w:val="24"/>
                <w:lang w:val="en-GB" w:eastAsia="it-IT"/>
              </w:rPr>
              <w:t>Year of pub</w:t>
            </w:r>
          </w:p>
        </w:tc>
        <w:tc>
          <w:tcPr>
            <w:tcW w:w="2843" w:type="dxa"/>
            <w:tcBorders>
              <w:top w:val="single" w:sz="4" w:space="0" w:color="auto"/>
              <w:bottom w:val="single" w:sz="4" w:space="0" w:color="auto"/>
            </w:tcBorders>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b/>
                <w:bCs/>
                <w:sz w:val="24"/>
                <w:szCs w:val="24"/>
                <w:lang w:val="en-GB" w:eastAsia="it-IT"/>
              </w:rPr>
              <w:t>Tracer</w:t>
            </w:r>
          </w:p>
        </w:tc>
        <w:tc>
          <w:tcPr>
            <w:tcW w:w="1403" w:type="dxa"/>
            <w:tcBorders>
              <w:top w:val="single" w:sz="4" w:space="0" w:color="auto"/>
              <w:bottom w:val="single" w:sz="4" w:space="0" w:color="auto"/>
            </w:tcBorders>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b/>
                <w:bCs/>
                <w:sz w:val="24"/>
                <w:szCs w:val="24"/>
                <w:lang w:val="en-GB" w:eastAsia="it-IT"/>
              </w:rPr>
              <w:t>Sensitivity</w:t>
            </w:r>
          </w:p>
        </w:tc>
        <w:tc>
          <w:tcPr>
            <w:tcW w:w="1389" w:type="dxa"/>
            <w:tcBorders>
              <w:top w:val="single" w:sz="4" w:space="0" w:color="auto"/>
              <w:bottom w:val="single" w:sz="4" w:space="0" w:color="auto"/>
            </w:tcBorders>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b/>
                <w:bCs/>
                <w:sz w:val="24"/>
                <w:szCs w:val="24"/>
                <w:lang w:val="en-GB" w:eastAsia="it-IT"/>
              </w:rPr>
              <w:t>Specificity</w:t>
            </w:r>
          </w:p>
        </w:tc>
      </w:tr>
      <w:tr w:rsidR="0003376C">
        <w:trPr>
          <w:jc w:val="center"/>
        </w:trPr>
        <w:tc>
          <w:tcPr>
            <w:tcW w:w="2253" w:type="dxa"/>
            <w:tcBorders>
              <w:top w:val="single" w:sz="4" w:space="0" w:color="auto"/>
            </w:tcBorders>
            <w:tcMar>
              <w:top w:w="0" w:type="dxa"/>
              <w:left w:w="108" w:type="dxa"/>
              <w:bottom w:w="0" w:type="dxa"/>
              <w:right w:w="108" w:type="dxa"/>
            </w:tcMar>
          </w:tcPr>
          <w:p w:rsidR="0003376C" w:rsidRDefault="005739BD" w:rsidP="00924331">
            <w:pPr>
              <w:spacing w:after="0" w:line="360" w:lineRule="auto"/>
              <w:jc w:val="both"/>
              <w:rPr>
                <w:rFonts w:ascii="Book Antiqua" w:eastAsiaTheme="minorEastAsia" w:hAnsi="Book Antiqua"/>
                <w:i/>
                <w:sz w:val="24"/>
                <w:szCs w:val="24"/>
                <w:lang w:eastAsia="zh-CN"/>
              </w:rPr>
            </w:pPr>
            <w:r>
              <w:rPr>
                <w:rFonts w:ascii="Book Antiqua" w:eastAsia="Times New Roman" w:hAnsi="Book Antiqua"/>
                <w:sz w:val="24"/>
                <w:szCs w:val="24"/>
                <w:lang w:eastAsia="it-IT"/>
              </w:rPr>
              <w:t xml:space="preserve">Meisner </w:t>
            </w:r>
            <w:r>
              <w:rPr>
                <w:rFonts w:ascii="Book Antiqua" w:eastAsia="Times New Roman" w:hAnsi="Book Antiqua"/>
                <w:i/>
                <w:sz w:val="24"/>
                <w:szCs w:val="24"/>
                <w:lang w:eastAsia="it-IT"/>
              </w:rPr>
              <w:t>et al</w:t>
            </w:r>
            <w:r>
              <w:rPr>
                <w:rFonts w:ascii="Book Antiqua" w:eastAsiaTheme="minorEastAsia" w:hAnsi="Book Antiqua" w:hint="eastAsia"/>
                <w:sz w:val="24"/>
                <w:szCs w:val="24"/>
                <w:vertAlign w:val="superscript"/>
                <w:lang w:eastAsia="zh-CN"/>
              </w:rPr>
              <w:t>[6]</w:t>
            </w:r>
          </w:p>
          <w:p w:rsidR="0003376C" w:rsidRDefault="0003376C" w:rsidP="00924331">
            <w:pPr>
              <w:spacing w:after="0" w:line="360" w:lineRule="auto"/>
              <w:jc w:val="both"/>
              <w:rPr>
                <w:rFonts w:ascii="Book Antiqua" w:eastAsia="Times New Roman" w:hAnsi="Book Antiqua"/>
                <w:i/>
                <w:sz w:val="24"/>
                <w:szCs w:val="24"/>
                <w:lang w:eastAsia="it-IT"/>
              </w:rPr>
            </w:pPr>
          </w:p>
          <w:p w:rsidR="0003376C" w:rsidRDefault="005739BD" w:rsidP="00924331">
            <w:pPr>
              <w:spacing w:after="0" w:line="360" w:lineRule="auto"/>
              <w:jc w:val="both"/>
              <w:rPr>
                <w:rFonts w:ascii="Book Antiqua" w:eastAsia="Times New Roman" w:hAnsi="Book Antiqua"/>
                <w:sz w:val="24"/>
                <w:szCs w:val="24"/>
                <w:lang w:eastAsia="it-IT"/>
              </w:rPr>
            </w:pPr>
            <w:r>
              <w:rPr>
                <w:rFonts w:ascii="Book Antiqua" w:eastAsia="Times New Roman" w:hAnsi="Book Antiqua"/>
                <w:sz w:val="24"/>
                <w:szCs w:val="24"/>
                <w:lang w:eastAsia="it-IT"/>
              </w:rPr>
              <w:t>UC</w:t>
            </w:r>
          </w:p>
          <w:p w:rsidR="0003376C" w:rsidRDefault="005739BD" w:rsidP="00924331">
            <w:pPr>
              <w:spacing w:after="0" w:line="360" w:lineRule="auto"/>
              <w:jc w:val="both"/>
              <w:rPr>
                <w:rFonts w:ascii="Book Antiqua" w:eastAsia="Times New Roman" w:hAnsi="Book Antiqua"/>
                <w:sz w:val="24"/>
                <w:szCs w:val="24"/>
                <w:lang w:eastAsia="it-IT"/>
              </w:rPr>
            </w:pPr>
            <w:r>
              <w:rPr>
                <w:rFonts w:ascii="Book Antiqua" w:eastAsia="Times New Roman" w:hAnsi="Book Antiqua"/>
                <w:sz w:val="24"/>
                <w:szCs w:val="24"/>
                <w:lang w:eastAsia="it-IT"/>
              </w:rPr>
              <w:t>CD</w:t>
            </w:r>
          </w:p>
        </w:tc>
        <w:tc>
          <w:tcPr>
            <w:tcW w:w="1143" w:type="dxa"/>
            <w:tcBorders>
              <w:top w:val="single" w:sz="4" w:space="0" w:color="auto"/>
            </w:tcBorders>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2007</w:t>
            </w:r>
          </w:p>
        </w:tc>
        <w:tc>
          <w:tcPr>
            <w:tcW w:w="2843" w:type="dxa"/>
            <w:tcBorders>
              <w:top w:val="single" w:sz="4" w:space="0" w:color="auto"/>
            </w:tcBorders>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Borders>
              <w:top w:val="single" w:sz="4" w:space="0" w:color="auto"/>
            </w:tcBorders>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95.8%</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81</w:t>
            </w:r>
            <w:r>
              <w:rPr>
                <w:rFonts w:ascii="Book Antiqua" w:eastAsiaTheme="minorEastAsia" w:hAnsi="Book Antiqua" w:hint="eastAsia"/>
                <w:sz w:val="24"/>
                <w:szCs w:val="24"/>
                <w:lang w:val="it-IT" w:eastAsia="zh-CN"/>
              </w:rPr>
              <w:t>.</w:t>
            </w:r>
            <w:r>
              <w:rPr>
                <w:rFonts w:ascii="Book Antiqua" w:eastAsia="Times New Roman" w:hAnsi="Book Antiqua"/>
                <w:sz w:val="24"/>
                <w:szCs w:val="24"/>
                <w:lang w:val="it-IT" w:eastAsia="it-IT"/>
              </w:rPr>
              <w:t>3%</w:t>
            </w:r>
          </w:p>
        </w:tc>
        <w:tc>
          <w:tcPr>
            <w:tcW w:w="1389" w:type="dxa"/>
            <w:tcBorders>
              <w:top w:val="single" w:sz="4" w:space="0" w:color="auto"/>
            </w:tcBorders>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 xml:space="preserve">Das </w:t>
            </w:r>
            <w:r>
              <w:rPr>
                <w:rFonts w:ascii="Book Antiqua" w:eastAsia="Times New Roman" w:hAnsi="Book Antiqua"/>
                <w:i/>
                <w:sz w:val="24"/>
                <w:szCs w:val="24"/>
                <w:lang w:eastAsia="it-IT"/>
              </w:rPr>
              <w:t>et al</w:t>
            </w:r>
            <w:r>
              <w:rPr>
                <w:rFonts w:ascii="Book Antiqua" w:eastAsiaTheme="minorEastAsia" w:hAnsi="Book Antiqua" w:hint="eastAsia"/>
                <w:sz w:val="24"/>
                <w:szCs w:val="24"/>
                <w:vertAlign w:val="superscript"/>
                <w:lang w:eastAsia="zh-CN"/>
              </w:rPr>
              <w:t>1]</w:t>
            </w: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2010</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98.5%</w:t>
            </w:r>
          </w:p>
        </w:tc>
        <w:tc>
          <w:tcPr>
            <w:tcW w:w="1389"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 xml:space="preserve">Ahmadi </w:t>
            </w:r>
            <w:r>
              <w:rPr>
                <w:rFonts w:ascii="Book Antiqua" w:eastAsia="Times New Roman" w:hAnsi="Book Antiqua"/>
                <w:i/>
                <w:sz w:val="24"/>
                <w:szCs w:val="24"/>
                <w:lang w:eastAsia="it-IT"/>
              </w:rPr>
              <w:t>et al</w:t>
            </w:r>
            <w:r>
              <w:rPr>
                <w:rFonts w:ascii="Book Antiqua" w:eastAsiaTheme="minorEastAsia" w:hAnsi="Book Antiqua" w:hint="eastAsia"/>
                <w:sz w:val="24"/>
                <w:szCs w:val="24"/>
                <w:vertAlign w:val="superscript"/>
                <w:lang w:eastAsia="zh-CN"/>
              </w:rPr>
              <w:t>[7]</w:t>
            </w: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2010</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c>
          <w:tcPr>
            <w:tcW w:w="1389"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 xml:space="preserve">Groshar </w:t>
            </w:r>
            <w:r>
              <w:rPr>
                <w:rFonts w:ascii="Book Antiqua" w:eastAsia="Times New Roman" w:hAnsi="Book Antiqua"/>
                <w:i/>
                <w:sz w:val="24"/>
                <w:szCs w:val="24"/>
                <w:lang w:eastAsia="it-IT"/>
              </w:rPr>
              <w:t>et al</w:t>
            </w:r>
            <w:r>
              <w:rPr>
                <w:rFonts w:ascii="Book Antiqua" w:eastAsiaTheme="minorEastAsia" w:hAnsi="Book Antiqua" w:hint="eastAsia"/>
                <w:sz w:val="24"/>
                <w:szCs w:val="24"/>
                <w:vertAlign w:val="superscript"/>
                <w:lang w:eastAsia="zh-CN"/>
              </w:rPr>
              <w:t>[20]</w:t>
            </w: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2010</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c>
          <w:tcPr>
            <w:tcW w:w="1389"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i/>
                <w:sz w:val="24"/>
                <w:szCs w:val="24"/>
                <w:lang w:val="en-GB" w:eastAsia="it-IT"/>
              </w:rPr>
            </w:pPr>
            <w:proofErr w:type="spellStart"/>
            <w:r>
              <w:rPr>
                <w:rFonts w:ascii="Book Antiqua" w:eastAsia="Times New Roman" w:hAnsi="Book Antiqua"/>
                <w:sz w:val="24"/>
                <w:szCs w:val="24"/>
                <w:lang w:val="en-GB" w:eastAsia="it-IT"/>
              </w:rPr>
              <w:t>Shyn</w:t>
            </w:r>
            <w:proofErr w:type="spellEnd"/>
            <w:r>
              <w:rPr>
                <w:rFonts w:ascii="Book Antiqua" w:eastAsia="Times New Roman" w:hAnsi="Book Antiqua"/>
                <w:sz w:val="24"/>
                <w:szCs w:val="24"/>
                <w:lang w:val="en-GB" w:eastAsia="it-IT"/>
              </w:rPr>
              <w:t xml:space="preserve"> </w:t>
            </w:r>
            <w:r>
              <w:rPr>
                <w:rFonts w:ascii="Book Antiqua" w:eastAsia="Times New Roman" w:hAnsi="Book Antiqua"/>
                <w:i/>
                <w:sz w:val="24"/>
                <w:szCs w:val="24"/>
                <w:lang w:val="en-US" w:eastAsia="it-IT"/>
              </w:rPr>
              <w:t>et al</w:t>
            </w:r>
            <w:r>
              <w:rPr>
                <w:rFonts w:ascii="Book Antiqua" w:eastAsiaTheme="minorEastAsia" w:hAnsi="Book Antiqua" w:hint="eastAsia"/>
                <w:sz w:val="24"/>
                <w:szCs w:val="24"/>
                <w:vertAlign w:val="superscript"/>
                <w:lang w:val="en-US" w:eastAsia="zh-CN"/>
              </w:rPr>
              <w:t>[21]</w:t>
            </w:r>
          </w:p>
          <w:p w:rsidR="0003376C" w:rsidRDefault="0003376C" w:rsidP="00924331">
            <w:pPr>
              <w:spacing w:after="0" w:line="360" w:lineRule="auto"/>
              <w:jc w:val="both"/>
              <w:rPr>
                <w:rFonts w:ascii="Book Antiqua" w:eastAsia="Times New Roman" w:hAnsi="Book Antiqua"/>
                <w:i/>
                <w:sz w:val="24"/>
                <w:szCs w:val="24"/>
                <w:lang w:val="en-GB" w:eastAsia="it-IT"/>
              </w:rPr>
            </w:pPr>
          </w:p>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Detection of bowel segments with active CD</w:t>
            </w:r>
          </w:p>
          <w:p w:rsidR="0003376C" w:rsidRDefault="005739BD" w:rsidP="00924331">
            <w:pPr>
              <w:pStyle w:val="ListParagraph"/>
              <w:numPr>
                <w:ilvl w:val="0"/>
                <w:numId w:val="13"/>
              </w:numPr>
              <w:spacing w:after="0" w:line="360" w:lineRule="auto"/>
              <w:ind w:left="0"/>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using a threshold &gt;</w:t>
            </w:r>
            <w:r>
              <w:rPr>
                <w:rFonts w:ascii="Book Antiqua" w:eastAsiaTheme="minorEastAsia" w:hAnsi="Book Antiqua" w:hint="eastAsia"/>
                <w:sz w:val="24"/>
                <w:szCs w:val="24"/>
                <w:lang w:val="en-GB" w:eastAsia="zh-CN"/>
              </w:rPr>
              <w:t xml:space="preserve"> </w:t>
            </w:r>
            <w:r>
              <w:rPr>
                <w:rFonts w:ascii="Book Antiqua" w:eastAsia="Times New Roman" w:hAnsi="Book Antiqua"/>
                <w:sz w:val="24"/>
                <w:szCs w:val="24"/>
                <w:lang w:val="en-GB" w:eastAsia="it-IT"/>
              </w:rPr>
              <w:t>1 (at least mild activity)</w:t>
            </w:r>
          </w:p>
          <w:p w:rsidR="0003376C" w:rsidRDefault="005739BD" w:rsidP="00924331">
            <w:pPr>
              <w:pStyle w:val="ListParagraph"/>
              <w:numPr>
                <w:ilvl w:val="0"/>
                <w:numId w:val="13"/>
              </w:numPr>
              <w:spacing w:after="0" w:line="360" w:lineRule="auto"/>
              <w:ind w:left="0"/>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using a threshold &gt;</w:t>
            </w:r>
            <w:r>
              <w:rPr>
                <w:rFonts w:ascii="Book Antiqua" w:eastAsiaTheme="minorEastAsia" w:hAnsi="Book Antiqua" w:hint="eastAsia"/>
                <w:sz w:val="24"/>
                <w:szCs w:val="24"/>
                <w:lang w:val="en-GB" w:eastAsia="zh-CN"/>
              </w:rPr>
              <w:t xml:space="preserve"> </w:t>
            </w:r>
            <w:r>
              <w:rPr>
                <w:rFonts w:ascii="Book Antiqua" w:eastAsia="Times New Roman" w:hAnsi="Book Antiqua"/>
                <w:sz w:val="24"/>
                <w:szCs w:val="24"/>
                <w:lang w:val="en-GB" w:eastAsia="it-IT"/>
              </w:rPr>
              <w:t>2 (at least moderate activity)</w:t>
            </w:r>
          </w:p>
        </w:tc>
        <w:tc>
          <w:tcPr>
            <w:tcW w:w="1143" w:type="dxa"/>
            <w:tcMar>
              <w:top w:w="0" w:type="dxa"/>
              <w:left w:w="108" w:type="dxa"/>
              <w:bottom w:w="0" w:type="dxa"/>
              <w:right w:w="108" w:type="dxa"/>
            </w:tcMar>
            <w:vAlign w:val="center"/>
          </w:tcPr>
          <w:p w:rsidR="0003376C" w:rsidRDefault="0003376C" w:rsidP="00924331">
            <w:pPr>
              <w:spacing w:after="0" w:line="360" w:lineRule="auto"/>
              <w:jc w:val="both"/>
              <w:rPr>
                <w:rFonts w:ascii="Book Antiqua" w:eastAsia="Times New Roman" w:hAnsi="Book Antiqua"/>
                <w:sz w:val="24"/>
                <w:szCs w:val="24"/>
                <w:lang w:val="en-GB" w:eastAsia="it-IT"/>
              </w:rPr>
            </w:pPr>
          </w:p>
          <w:p w:rsidR="0003376C" w:rsidRDefault="0003376C" w:rsidP="00924331">
            <w:pPr>
              <w:spacing w:after="0" w:line="360" w:lineRule="auto"/>
              <w:jc w:val="both"/>
              <w:rPr>
                <w:rFonts w:ascii="Book Antiqua" w:eastAsia="Times New Roman" w:hAnsi="Book Antiqua"/>
                <w:sz w:val="24"/>
                <w:szCs w:val="24"/>
                <w:lang w:val="en-GB" w:eastAsia="it-IT"/>
              </w:rPr>
            </w:pPr>
          </w:p>
          <w:p w:rsidR="0003376C" w:rsidRDefault="0003376C" w:rsidP="00924331">
            <w:pPr>
              <w:spacing w:after="0" w:line="360" w:lineRule="auto"/>
              <w:jc w:val="both"/>
              <w:rPr>
                <w:rFonts w:ascii="Book Antiqua" w:eastAsia="Times New Roman" w:hAnsi="Book Antiqua"/>
                <w:sz w:val="24"/>
                <w:szCs w:val="24"/>
                <w:lang w:val="en-GB"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2010</w:t>
            </w:r>
          </w:p>
          <w:p w:rsidR="0003376C" w:rsidRDefault="0003376C" w:rsidP="00924331">
            <w:pPr>
              <w:spacing w:after="0" w:line="360" w:lineRule="auto"/>
              <w:jc w:val="both"/>
              <w:rPr>
                <w:rFonts w:ascii="Book Antiqua" w:eastAsia="Times New Roman" w:hAnsi="Book Antiqua"/>
                <w:sz w:val="24"/>
                <w:szCs w:val="24"/>
                <w:lang w:val="it-IT" w:eastAsia="it-IT"/>
              </w:rPr>
            </w:pPr>
          </w:p>
        </w:tc>
        <w:tc>
          <w:tcPr>
            <w:tcW w:w="2843" w:type="dxa"/>
            <w:tcMar>
              <w:top w:w="0" w:type="dxa"/>
              <w:left w:w="108" w:type="dxa"/>
              <w:bottom w:w="0" w:type="dxa"/>
              <w:right w:w="108" w:type="dxa"/>
            </w:tcMar>
            <w:vAlign w:val="center"/>
          </w:tcPr>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tc>
        <w:tc>
          <w:tcPr>
            <w:tcW w:w="1403"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63.3%</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100%</w:t>
            </w:r>
          </w:p>
        </w:tc>
        <w:tc>
          <w:tcPr>
            <w:tcW w:w="1389"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100%</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89.7%</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i/>
                <w:sz w:val="24"/>
                <w:szCs w:val="24"/>
                <w:lang w:val="en-GB" w:eastAsia="it-IT"/>
              </w:rPr>
            </w:pPr>
            <w:proofErr w:type="spellStart"/>
            <w:r>
              <w:rPr>
                <w:rFonts w:ascii="Book Antiqua" w:eastAsia="Times New Roman" w:hAnsi="Book Antiqua"/>
                <w:sz w:val="24"/>
                <w:szCs w:val="24"/>
                <w:lang w:val="en-GB" w:eastAsia="it-IT"/>
              </w:rPr>
              <w:t>Holtmann</w:t>
            </w:r>
            <w:proofErr w:type="spellEnd"/>
            <w:r>
              <w:rPr>
                <w:rFonts w:ascii="Book Antiqua" w:eastAsia="Times New Roman" w:hAnsi="Book Antiqua"/>
                <w:sz w:val="24"/>
                <w:szCs w:val="24"/>
                <w:lang w:val="en-GB" w:eastAsia="it-IT"/>
              </w:rPr>
              <w:t xml:space="preserve"> </w:t>
            </w:r>
            <w:r>
              <w:rPr>
                <w:rFonts w:ascii="Book Antiqua" w:eastAsia="Times New Roman" w:hAnsi="Book Antiqua"/>
                <w:i/>
                <w:sz w:val="24"/>
                <w:szCs w:val="24"/>
                <w:lang w:val="en-US" w:eastAsia="it-IT"/>
              </w:rPr>
              <w:t>et al</w:t>
            </w:r>
            <w:r>
              <w:rPr>
                <w:rFonts w:ascii="Book Antiqua" w:eastAsiaTheme="minorEastAsia" w:hAnsi="Book Antiqua" w:hint="eastAsia"/>
                <w:sz w:val="24"/>
                <w:szCs w:val="24"/>
                <w:vertAlign w:val="superscript"/>
                <w:lang w:val="en-US" w:eastAsia="zh-CN"/>
              </w:rPr>
              <w:t>[2]</w:t>
            </w:r>
            <w:r>
              <w:rPr>
                <w:rFonts w:ascii="Book Antiqua" w:eastAsia="Times New Roman" w:hAnsi="Book Antiqua"/>
                <w:sz w:val="24"/>
                <w:szCs w:val="24"/>
                <w:lang w:val="en-GB" w:eastAsia="it-IT"/>
              </w:rPr>
              <w:t xml:space="preserve"> </w:t>
            </w:r>
          </w:p>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Detection of active CD</w:t>
            </w:r>
          </w:p>
          <w:p w:rsidR="0003376C" w:rsidRDefault="005739BD" w:rsidP="00924331">
            <w:pPr>
              <w:pStyle w:val="ListParagraph"/>
              <w:numPr>
                <w:ilvl w:val="0"/>
                <w:numId w:val="12"/>
              </w:numPr>
              <w:spacing w:after="0" w:line="360" w:lineRule="auto"/>
              <w:ind w:left="0"/>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in the terminal ileum + colon (on a per segment-based analysis)</w:t>
            </w:r>
          </w:p>
          <w:p w:rsidR="0003376C" w:rsidRDefault="005739BD" w:rsidP="00924331">
            <w:pPr>
              <w:pStyle w:val="ListParagraph"/>
              <w:numPr>
                <w:ilvl w:val="0"/>
                <w:numId w:val="12"/>
              </w:numPr>
              <w:spacing w:after="0" w:line="360" w:lineRule="auto"/>
              <w:ind w:left="0"/>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 xml:space="preserve">in the proximal ileum (on a per </w:t>
            </w:r>
            <w:r>
              <w:rPr>
                <w:rFonts w:ascii="Book Antiqua" w:eastAsia="Times New Roman" w:hAnsi="Book Antiqua"/>
                <w:sz w:val="24"/>
                <w:szCs w:val="24"/>
                <w:lang w:val="en-GB" w:eastAsia="it-IT"/>
              </w:rPr>
              <w:lastRenderedPageBreak/>
              <w:t>patient-based analysis)</w:t>
            </w: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lastRenderedPageBreak/>
              <w:t>2012</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90%</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100%</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tc>
        <w:tc>
          <w:tcPr>
            <w:tcW w:w="1389"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92.6%</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100%</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i/>
                <w:sz w:val="24"/>
                <w:szCs w:val="24"/>
                <w:lang w:val="en-GB" w:eastAsia="it-IT"/>
              </w:rPr>
            </w:pPr>
            <w:proofErr w:type="spellStart"/>
            <w:r>
              <w:rPr>
                <w:rFonts w:ascii="Book Antiqua" w:eastAsia="Times New Roman" w:hAnsi="Book Antiqua"/>
                <w:sz w:val="24"/>
                <w:szCs w:val="24"/>
                <w:lang w:val="en-GB" w:eastAsia="it-IT"/>
              </w:rPr>
              <w:lastRenderedPageBreak/>
              <w:t>Lenze</w:t>
            </w:r>
            <w:proofErr w:type="spellEnd"/>
            <w:r>
              <w:rPr>
                <w:rFonts w:ascii="Book Antiqua" w:eastAsia="Times New Roman" w:hAnsi="Book Antiqua"/>
                <w:sz w:val="24"/>
                <w:szCs w:val="24"/>
                <w:lang w:val="en-US" w:eastAsia="it-IT"/>
              </w:rPr>
              <w:t xml:space="preserve"> </w:t>
            </w:r>
            <w:r>
              <w:rPr>
                <w:rFonts w:ascii="Book Antiqua" w:eastAsia="Times New Roman" w:hAnsi="Book Antiqua"/>
                <w:i/>
                <w:sz w:val="24"/>
                <w:szCs w:val="24"/>
                <w:lang w:val="en-US" w:eastAsia="it-IT"/>
              </w:rPr>
              <w:t>et al</w:t>
            </w:r>
            <w:r>
              <w:rPr>
                <w:rFonts w:ascii="Book Antiqua" w:eastAsiaTheme="minorEastAsia" w:hAnsi="Book Antiqua" w:hint="eastAsia"/>
                <w:sz w:val="24"/>
                <w:szCs w:val="24"/>
                <w:vertAlign w:val="superscript"/>
                <w:lang w:val="en-US" w:eastAsia="zh-CN"/>
              </w:rPr>
              <w:t>[4]</w:t>
            </w:r>
          </w:p>
          <w:p w:rsidR="0003376C" w:rsidRDefault="005739BD" w:rsidP="00924331">
            <w:pPr>
              <w:spacing w:after="0" w:line="360" w:lineRule="auto"/>
              <w:jc w:val="both"/>
              <w:rPr>
                <w:rFonts w:ascii="Book Antiqua" w:eastAsiaTheme="minorEastAsia" w:hAnsi="Book Antiqua"/>
                <w:sz w:val="24"/>
                <w:szCs w:val="24"/>
                <w:lang w:val="en-GB" w:eastAsia="zh-CN"/>
              </w:rPr>
            </w:pPr>
            <w:r>
              <w:rPr>
                <w:rFonts w:ascii="Book Antiqua" w:eastAsia="Times New Roman" w:hAnsi="Book Antiqua"/>
                <w:sz w:val="24"/>
                <w:szCs w:val="24"/>
                <w:lang w:val="en-GB" w:eastAsia="it-IT"/>
              </w:rPr>
              <w:t>Detection of CD strictures</w:t>
            </w:r>
            <w:r>
              <w:rPr>
                <w:rFonts w:ascii="Book Antiqua" w:eastAsiaTheme="minorEastAsia" w:hAnsi="Book Antiqua" w:hint="eastAsia"/>
                <w:sz w:val="24"/>
                <w:szCs w:val="24"/>
                <w:lang w:val="en-GB" w:eastAsia="zh-CN"/>
              </w:rPr>
              <w:t xml:space="preserve"> </w:t>
            </w:r>
          </w:p>
          <w:p w:rsidR="0003376C" w:rsidRDefault="0003376C" w:rsidP="00924331">
            <w:pPr>
              <w:spacing w:after="0" w:line="360" w:lineRule="auto"/>
              <w:jc w:val="both"/>
              <w:rPr>
                <w:rFonts w:ascii="Book Antiqua" w:eastAsia="Times New Roman" w:hAnsi="Book Antiqua"/>
                <w:sz w:val="24"/>
                <w:szCs w:val="24"/>
                <w:lang w:val="en-GB" w:eastAsia="it-IT"/>
              </w:rPr>
            </w:pPr>
          </w:p>
          <w:p w:rsidR="0003376C" w:rsidRDefault="005739BD" w:rsidP="00924331">
            <w:pPr>
              <w:spacing w:after="0" w:line="360" w:lineRule="auto"/>
              <w:jc w:val="both"/>
              <w:rPr>
                <w:rFonts w:ascii="Book Antiqua" w:eastAsia="Times New Roman" w:hAnsi="Book Antiqua"/>
                <w:sz w:val="24"/>
                <w:szCs w:val="24"/>
                <w:lang w:eastAsia="it-IT"/>
              </w:rPr>
            </w:pPr>
            <w:r>
              <w:rPr>
                <w:rFonts w:ascii="Book Antiqua" w:eastAsia="Times New Roman" w:hAnsi="Book Antiqua"/>
                <w:sz w:val="24"/>
                <w:szCs w:val="24"/>
                <w:lang w:eastAsia="it-IT"/>
              </w:rPr>
              <w:t>Differentiation of the nature of</w:t>
            </w:r>
          </w:p>
          <w:p w:rsidR="0003376C" w:rsidRDefault="005739BD" w:rsidP="00924331">
            <w:pPr>
              <w:pStyle w:val="ListParagraph"/>
              <w:numPr>
                <w:ilvl w:val="0"/>
                <w:numId w:val="11"/>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all strictures</w:t>
            </w:r>
          </w:p>
          <w:p w:rsidR="0003376C" w:rsidRDefault="005739BD" w:rsidP="00924331">
            <w:pPr>
              <w:pStyle w:val="ListParagraph"/>
              <w:numPr>
                <w:ilvl w:val="0"/>
                <w:numId w:val="11"/>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only inflammatory ones</w:t>
            </w:r>
          </w:p>
          <w:p w:rsidR="0003376C" w:rsidRDefault="005739BD" w:rsidP="00924331">
            <w:pPr>
              <w:pStyle w:val="ListParagraph"/>
              <w:numPr>
                <w:ilvl w:val="0"/>
                <w:numId w:val="11"/>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only fibromatous ones</w:t>
            </w:r>
          </w:p>
          <w:p w:rsidR="0003376C" w:rsidRDefault="005739BD" w:rsidP="00924331">
            <w:pPr>
              <w:pStyle w:val="ListParagraph"/>
              <w:numPr>
                <w:ilvl w:val="0"/>
                <w:numId w:val="11"/>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only mixed ones</w:t>
            </w:r>
          </w:p>
          <w:p w:rsidR="0003376C" w:rsidRDefault="0003376C" w:rsidP="00924331">
            <w:pPr>
              <w:spacing w:after="0" w:line="360" w:lineRule="auto"/>
              <w:jc w:val="both"/>
              <w:rPr>
                <w:rFonts w:ascii="Book Antiqua" w:eastAsia="Times New Roman" w:hAnsi="Book Antiqua"/>
                <w:sz w:val="24"/>
                <w:szCs w:val="24"/>
                <w:lang w:eastAsia="it-IT"/>
              </w:rPr>
            </w:pP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2012</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81%</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53%</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83%</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11%</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w:t>
            </w:r>
          </w:p>
        </w:tc>
        <w:tc>
          <w:tcPr>
            <w:tcW w:w="1389"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NA</w:t>
            </w:r>
          </w:p>
        </w:tc>
      </w:tr>
      <w:tr w:rsidR="0003376C">
        <w:trPr>
          <w:jc w:val="center"/>
        </w:trPr>
        <w:tc>
          <w:tcPr>
            <w:tcW w:w="2253" w:type="dxa"/>
            <w:tcMar>
              <w:top w:w="0" w:type="dxa"/>
              <w:left w:w="108" w:type="dxa"/>
              <w:bottom w:w="0" w:type="dxa"/>
              <w:right w:w="108" w:type="dxa"/>
            </w:tcMar>
          </w:tcPr>
          <w:p w:rsidR="0003376C" w:rsidRDefault="005739BD" w:rsidP="00924331">
            <w:pPr>
              <w:spacing w:after="0" w:line="360" w:lineRule="auto"/>
              <w:jc w:val="both"/>
              <w:rPr>
                <w:rFonts w:ascii="Book Antiqua" w:eastAsia="Times New Roman" w:hAnsi="Book Antiqua"/>
                <w:i/>
                <w:sz w:val="24"/>
                <w:szCs w:val="24"/>
                <w:lang w:val="it-IT" w:eastAsia="it-IT"/>
              </w:rPr>
            </w:pPr>
            <w:r>
              <w:rPr>
                <w:rFonts w:ascii="Book Antiqua" w:eastAsia="Times New Roman" w:hAnsi="Book Antiqua"/>
                <w:sz w:val="24"/>
                <w:szCs w:val="24"/>
                <w:lang w:val="it-IT" w:eastAsia="it-IT"/>
              </w:rPr>
              <w:t xml:space="preserve">Treglia </w:t>
            </w:r>
            <w:r>
              <w:rPr>
                <w:rFonts w:ascii="Book Antiqua" w:eastAsia="Times New Roman" w:hAnsi="Book Antiqua"/>
                <w:i/>
                <w:sz w:val="24"/>
                <w:szCs w:val="24"/>
                <w:lang w:val="it-CH" w:eastAsia="it-IT"/>
              </w:rPr>
              <w:t>et al</w:t>
            </w:r>
            <w:r>
              <w:rPr>
                <w:rFonts w:ascii="Book Antiqua" w:eastAsiaTheme="minorEastAsia" w:hAnsi="Book Antiqua" w:hint="eastAsia"/>
                <w:sz w:val="24"/>
                <w:szCs w:val="24"/>
                <w:vertAlign w:val="superscript"/>
                <w:lang w:val="it-CH" w:eastAsia="zh-CN"/>
              </w:rPr>
              <w:t>[66]</w:t>
            </w:r>
            <w:r>
              <w:rPr>
                <w:rFonts w:ascii="Book Antiqua" w:eastAsia="Times New Roman" w:hAnsi="Book Antiqua"/>
                <w:sz w:val="24"/>
                <w:szCs w:val="24"/>
                <w:lang w:val="it-IT" w:eastAsia="it-IT"/>
              </w:rPr>
              <w:t xml:space="preserve"> (</w:t>
            </w:r>
            <w:r>
              <w:rPr>
                <w:rFonts w:ascii="Book Antiqua" w:eastAsia="Times New Roman" w:hAnsi="Book Antiqua"/>
                <w:i/>
                <w:sz w:val="24"/>
                <w:szCs w:val="24"/>
                <w:lang w:val="it-IT" w:eastAsia="it-IT"/>
              </w:rPr>
              <w:t>META-ANALYSIS)</w:t>
            </w:r>
          </w:p>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(on a per segment-based analysis)</w:t>
            </w:r>
          </w:p>
        </w:tc>
        <w:tc>
          <w:tcPr>
            <w:tcW w:w="11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2013</w:t>
            </w:r>
          </w:p>
        </w:tc>
        <w:tc>
          <w:tcPr>
            <w:tcW w:w="2843" w:type="dxa"/>
            <w:tcMar>
              <w:top w:w="0" w:type="dxa"/>
              <w:left w:w="108" w:type="dxa"/>
              <w:bottom w:w="0" w:type="dxa"/>
              <w:right w:w="108" w:type="dxa"/>
            </w:tcMar>
            <w:vAlign w:val="center"/>
          </w:tcPr>
          <w:p w:rsidR="0003376C" w:rsidRDefault="005739BD" w:rsidP="00924331">
            <w:pPr>
              <w:spacing w:after="0" w:line="360" w:lineRule="auto"/>
              <w:jc w:val="both"/>
              <w:rPr>
                <w:rFonts w:ascii="Book Antiqua" w:eastAsia="Times New Roman" w:hAnsi="Book Antiqua"/>
                <w:sz w:val="24"/>
                <w:szCs w:val="24"/>
                <w:vertAlign w:val="superscript"/>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tc>
        <w:tc>
          <w:tcPr>
            <w:tcW w:w="1403"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85%</w:t>
            </w:r>
          </w:p>
        </w:tc>
        <w:tc>
          <w:tcPr>
            <w:tcW w:w="1389" w:type="dxa"/>
            <w:tcMar>
              <w:top w:w="0" w:type="dxa"/>
              <w:left w:w="108" w:type="dxa"/>
              <w:bottom w:w="0" w:type="dxa"/>
              <w:right w:w="108" w:type="dxa"/>
            </w:tcMar>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87%</w:t>
            </w:r>
          </w:p>
        </w:tc>
      </w:tr>
      <w:tr w:rsidR="0003376C">
        <w:trPr>
          <w:jc w:val="center"/>
        </w:trPr>
        <w:tc>
          <w:tcPr>
            <w:tcW w:w="2253" w:type="dxa"/>
            <w:tcMar>
              <w:top w:w="0" w:type="dxa"/>
              <w:left w:w="108" w:type="dxa"/>
              <w:bottom w:w="0" w:type="dxa"/>
              <w:right w:w="108" w:type="dxa"/>
            </w:tcMar>
            <w:hideMark/>
          </w:tcPr>
          <w:p w:rsidR="0003376C" w:rsidRDefault="005739BD" w:rsidP="00924331">
            <w:pPr>
              <w:spacing w:after="0" w:line="360" w:lineRule="auto"/>
              <w:jc w:val="both"/>
              <w:rPr>
                <w:rFonts w:ascii="Book Antiqua" w:hAnsi="Book Antiqua"/>
                <w:i/>
                <w:sz w:val="24"/>
                <w:szCs w:val="24"/>
                <w:lang w:val="fr-CH"/>
              </w:rPr>
            </w:pPr>
            <w:r>
              <w:rPr>
                <w:rFonts w:ascii="Book Antiqua" w:hAnsi="Book Antiqua"/>
                <w:sz w:val="24"/>
                <w:szCs w:val="24"/>
                <w:lang w:val="fr-CH"/>
              </w:rPr>
              <w:t xml:space="preserve">Zhang </w:t>
            </w:r>
            <w:r>
              <w:rPr>
                <w:rFonts w:ascii="Book Antiqua" w:eastAsia="Times New Roman" w:hAnsi="Book Antiqua"/>
                <w:i/>
                <w:sz w:val="24"/>
                <w:szCs w:val="24"/>
                <w:lang w:val="fr-CH" w:eastAsia="it-IT"/>
              </w:rPr>
              <w:t>et al</w:t>
            </w:r>
            <w:r>
              <w:rPr>
                <w:rFonts w:ascii="Book Antiqua" w:eastAsiaTheme="minorEastAsia" w:hAnsi="Book Antiqua" w:hint="eastAsia"/>
                <w:sz w:val="24"/>
                <w:szCs w:val="24"/>
                <w:vertAlign w:val="superscript"/>
                <w:lang w:val="fr-CH" w:eastAsia="zh-CN"/>
              </w:rPr>
              <w:t>[3]</w:t>
            </w:r>
            <w:r>
              <w:rPr>
                <w:rFonts w:ascii="Book Antiqua" w:hAnsi="Book Antiqua"/>
                <w:i/>
                <w:sz w:val="24"/>
                <w:szCs w:val="24"/>
                <w:lang w:val="fr-CH"/>
              </w:rPr>
              <w:t xml:space="preserve"> (META-ANALYSIS)</w:t>
            </w:r>
          </w:p>
          <w:p w:rsidR="0003376C" w:rsidRDefault="005739BD" w:rsidP="00924331">
            <w:pPr>
              <w:spacing w:after="0" w:line="360" w:lineRule="auto"/>
              <w:jc w:val="both"/>
              <w:rPr>
                <w:rFonts w:ascii="Book Antiqua" w:eastAsia="Times New Roman" w:hAnsi="Book Antiqua"/>
                <w:sz w:val="24"/>
                <w:szCs w:val="24"/>
                <w:lang w:eastAsia="it-IT"/>
              </w:rPr>
            </w:pPr>
            <w:r>
              <w:rPr>
                <w:rFonts w:ascii="Book Antiqua" w:eastAsia="Times New Roman" w:hAnsi="Book Antiqua"/>
                <w:sz w:val="24"/>
                <w:szCs w:val="24"/>
                <w:vertAlign w:val="superscript"/>
                <w:lang w:eastAsia="it-IT"/>
              </w:rPr>
              <w:t>18</w:t>
            </w:r>
            <w:r>
              <w:rPr>
                <w:rFonts w:ascii="Book Antiqua" w:eastAsia="Times New Roman" w:hAnsi="Book Antiqua"/>
                <w:sz w:val="24"/>
                <w:szCs w:val="24"/>
                <w:lang w:eastAsia="it-IT"/>
              </w:rPr>
              <w:t>F-FDG</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 per-bowel-segment basis</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 per-patient basis</w:t>
            </w:r>
          </w:p>
          <w:p w:rsidR="0003376C" w:rsidRDefault="0003376C" w:rsidP="00924331">
            <w:pPr>
              <w:pStyle w:val="ListParagraph"/>
              <w:spacing w:after="0" w:line="360" w:lineRule="auto"/>
              <w:ind w:left="0"/>
              <w:jc w:val="both"/>
              <w:rPr>
                <w:rFonts w:ascii="Book Antiqua" w:eastAsia="Times New Roman" w:hAnsi="Book Antiqua"/>
                <w:sz w:val="24"/>
                <w:szCs w:val="24"/>
                <w:lang w:eastAsia="it-IT"/>
              </w:rPr>
            </w:pPr>
          </w:p>
          <w:p w:rsidR="0003376C" w:rsidRDefault="005739BD" w:rsidP="00924331">
            <w:pPr>
              <w:spacing w:after="0" w:line="360" w:lineRule="auto"/>
              <w:jc w:val="both"/>
              <w:rPr>
                <w:rFonts w:ascii="Book Antiqua" w:eastAsia="Times New Roman" w:hAnsi="Book Antiqua"/>
                <w:sz w:val="24"/>
                <w:szCs w:val="24"/>
                <w:lang w:eastAsia="it-IT"/>
              </w:rPr>
            </w:pPr>
            <w:r>
              <w:rPr>
                <w:rFonts w:ascii="Book Antiqua" w:eastAsia="Times New Roman" w:hAnsi="Book Antiqua"/>
                <w:sz w:val="24"/>
                <w:szCs w:val="24"/>
                <w:vertAlign w:val="superscript"/>
                <w:lang w:eastAsia="it-IT"/>
              </w:rPr>
              <w:t>99m</w:t>
            </w:r>
            <w:r>
              <w:rPr>
                <w:rFonts w:ascii="Book Antiqua" w:eastAsia="Times New Roman" w:hAnsi="Book Antiqua"/>
                <w:sz w:val="24"/>
                <w:szCs w:val="24"/>
                <w:lang w:eastAsia="it-IT"/>
              </w:rPr>
              <w:t xml:space="preserve">Tc-HMPAO </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on per-bowel-segment basis</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lastRenderedPageBreak/>
              <w:t>on per-patient basis</w:t>
            </w:r>
          </w:p>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vertAlign w:val="superscript"/>
                <w:lang w:val="en-GB" w:eastAsia="it-IT"/>
              </w:rPr>
              <w:t>99m</w:t>
            </w:r>
            <w:r>
              <w:rPr>
                <w:rFonts w:ascii="Book Antiqua" w:eastAsia="Times New Roman" w:hAnsi="Book Antiqua"/>
                <w:sz w:val="24"/>
                <w:szCs w:val="24"/>
                <w:lang w:val="en-GB" w:eastAsia="it-IT"/>
              </w:rPr>
              <w:t xml:space="preserve">Tc-monoclonal </w:t>
            </w:r>
            <w:proofErr w:type="spellStart"/>
            <w:r>
              <w:rPr>
                <w:rFonts w:ascii="Book Antiqua" w:eastAsia="Times New Roman" w:hAnsi="Book Antiqua"/>
                <w:sz w:val="24"/>
                <w:szCs w:val="24"/>
                <w:lang w:val="en-GB" w:eastAsia="it-IT"/>
              </w:rPr>
              <w:t>antigranulocyte</w:t>
            </w:r>
            <w:proofErr w:type="spellEnd"/>
            <w:r>
              <w:rPr>
                <w:rFonts w:ascii="Book Antiqua" w:eastAsia="Times New Roman" w:hAnsi="Book Antiqua"/>
                <w:sz w:val="24"/>
                <w:szCs w:val="24"/>
                <w:lang w:val="en-GB" w:eastAsia="it-IT"/>
              </w:rPr>
              <w:t xml:space="preserve"> antibody on per-bowel-segment basis</w:t>
            </w:r>
          </w:p>
        </w:tc>
        <w:tc>
          <w:tcPr>
            <w:tcW w:w="1143" w:type="dxa"/>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en-GB" w:eastAsia="it-IT"/>
              </w:rPr>
              <w:lastRenderedPageBreak/>
              <w:t>2014</w:t>
            </w:r>
          </w:p>
        </w:tc>
        <w:tc>
          <w:tcPr>
            <w:tcW w:w="2843" w:type="dxa"/>
            <w:tcMar>
              <w:top w:w="0" w:type="dxa"/>
              <w:left w:w="108" w:type="dxa"/>
              <w:bottom w:w="0" w:type="dxa"/>
              <w:right w:w="108" w:type="dxa"/>
            </w:tcMar>
            <w:vAlign w:val="center"/>
            <w:hideMark/>
          </w:tcPr>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p w:rsidR="0003376C" w:rsidRDefault="0003376C" w:rsidP="00924331">
            <w:pPr>
              <w:spacing w:after="0" w:line="360" w:lineRule="auto"/>
              <w:jc w:val="both"/>
              <w:rPr>
                <w:rFonts w:ascii="Book Antiqua" w:eastAsia="Times New Roman" w:hAnsi="Book Antiqua"/>
                <w:sz w:val="24"/>
                <w:szCs w:val="24"/>
                <w:vertAlign w:val="superscript"/>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vertAlign w:val="superscript"/>
                <w:lang w:val="it-IT" w:eastAsia="it-IT"/>
              </w:rPr>
              <w:t>99m</w:t>
            </w:r>
            <w:r>
              <w:rPr>
                <w:rFonts w:ascii="Book Antiqua" w:eastAsia="Times New Roman" w:hAnsi="Book Antiqua"/>
                <w:sz w:val="24"/>
                <w:szCs w:val="24"/>
                <w:lang w:val="it-IT" w:eastAsia="it-IT"/>
              </w:rPr>
              <w:t>Tc-HMPAO,</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vertAlign w:val="superscript"/>
                <w:lang w:val="it-IT" w:eastAsia="it-IT"/>
              </w:rPr>
              <w:t>99m</w:t>
            </w:r>
            <w:r>
              <w:rPr>
                <w:rFonts w:ascii="Book Antiqua" w:eastAsia="Times New Roman" w:hAnsi="Book Antiqua"/>
                <w:sz w:val="24"/>
                <w:szCs w:val="24"/>
                <w:lang w:val="it-IT" w:eastAsia="it-IT"/>
              </w:rPr>
              <w:t>Tc-monoclonal antigranulocyteantibody</w:t>
            </w:r>
          </w:p>
        </w:tc>
        <w:tc>
          <w:tcPr>
            <w:tcW w:w="1403" w:type="dxa"/>
            <w:tcMar>
              <w:top w:w="0" w:type="dxa"/>
              <w:left w:w="108" w:type="dxa"/>
              <w:bottom w:w="0" w:type="dxa"/>
              <w:right w:w="108" w:type="dxa"/>
            </w:tcMar>
            <w:hideMark/>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0.84</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0.59</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0.86</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lastRenderedPageBreak/>
              <w:t>0.79</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0.91</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0.45</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tc>
        <w:tc>
          <w:tcPr>
            <w:tcW w:w="1389" w:type="dxa"/>
            <w:tcMar>
              <w:top w:w="0" w:type="dxa"/>
              <w:left w:w="108" w:type="dxa"/>
              <w:bottom w:w="0" w:type="dxa"/>
              <w:right w:w="108" w:type="dxa"/>
            </w:tcMar>
            <w:hideMark/>
          </w:tcPr>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0.86</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1</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0.50</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lastRenderedPageBreak/>
              <w:t>0.76</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0.85</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0.94</w:t>
            </w:r>
          </w:p>
          <w:p w:rsidR="0003376C" w:rsidRDefault="0003376C" w:rsidP="00924331">
            <w:pPr>
              <w:spacing w:after="0" w:line="360" w:lineRule="auto"/>
              <w:jc w:val="both"/>
              <w:rPr>
                <w:rFonts w:ascii="Book Antiqua" w:eastAsia="Times New Roman" w:hAnsi="Book Antiqua"/>
                <w:sz w:val="24"/>
                <w:szCs w:val="24"/>
                <w:lang w:val="it-IT" w:eastAsia="it-IT"/>
              </w:rPr>
            </w:pPr>
          </w:p>
        </w:tc>
      </w:tr>
      <w:tr w:rsidR="0003376C">
        <w:trPr>
          <w:jc w:val="center"/>
        </w:trPr>
        <w:tc>
          <w:tcPr>
            <w:tcW w:w="2253" w:type="dxa"/>
            <w:tcMar>
              <w:top w:w="0" w:type="dxa"/>
              <w:left w:w="108" w:type="dxa"/>
              <w:bottom w:w="0" w:type="dxa"/>
              <w:right w:w="108" w:type="dxa"/>
            </w:tcMar>
            <w:hideMark/>
          </w:tcPr>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lastRenderedPageBreak/>
              <w:t xml:space="preserve">Catalano </w:t>
            </w:r>
            <w:r>
              <w:rPr>
                <w:rFonts w:ascii="Book Antiqua" w:eastAsia="Times New Roman" w:hAnsi="Book Antiqua"/>
                <w:i/>
                <w:sz w:val="24"/>
                <w:szCs w:val="24"/>
                <w:lang w:val="en-US" w:eastAsia="it-IT"/>
              </w:rPr>
              <w:t>et al</w:t>
            </w:r>
            <w:r>
              <w:rPr>
                <w:rFonts w:ascii="Book Antiqua" w:eastAsiaTheme="minorEastAsia" w:hAnsi="Book Antiqua" w:hint="eastAsia"/>
                <w:sz w:val="24"/>
                <w:szCs w:val="24"/>
                <w:vertAlign w:val="superscript"/>
                <w:lang w:val="en-US" w:eastAsia="zh-CN"/>
              </w:rPr>
              <w:t>[5]</w:t>
            </w:r>
          </w:p>
          <w:p w:rsidR="0003376C" w:rsidRDefault="005739BD" w:rsidP="00924331">
            <w:pPr>
              <w:spacing w:after="0" w:line="360" w:lineRule="auto"/>
              <w:jc w:val="both"/>
              <w:rPr>
                <w:rFonts w:ascii="Book Antiqua" w:eastAsia="Times New Roman" w:hAnsi="Book Antiqua"/>
                <w:sz w:val="24"/>
                <w:szCs w:val="24"/>
                <w:lang w:val="en-GB" w:eastAsia="it-IT"/>
              </w:rPr>
            </w:pPr>
            <w:r>
              <w:rPr>
                <w:rFonts w:ascii="Book Antiqua" w:eastAsia="Times New Roman" w:hAnsi="Book Antiqua"/>
                <w:sz w:val="24"/>
                <w:szCs w:val="24"/>
                <w:lang w:val="en-GB" w:eastAsia="it-IT"/>
              </w:rPr>
              <w:t>Detection of fibrotic CD strictures by</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ADC x SUV</w:t>
            </w:r>
            <w:r>
              <w:rPr>
                <w:rFonts w:ascii="Book Antiqua" w:eastAsia="Times New Roman" w:hAnsi="Book Antiqua"/>
                <w:sz w:val="24"/>
                <w:szCs w:val="24"/>
                <w:vertAlign w:val="subscript"/>
                <w:lang w:eastAsia="it-IT"/>
              </w:rPr>
              <w:t>max</w:t>
            </w:r>
            <w:r>
              <w:rPr>
                <w:rFonts w:ascii="Book Antiqua" w:eastAsiaTheme="minorEastAsia" w:hAnsi="Book Antiqua" w:hint="eastAsia"/>
                <w:sz w:val="24"/>
                <w:szCs w:val="24"/>
                <w:vertAlign w:val="subscript"/>
                <w:lang w:eastAsia="zh-CN"/>
              </w:rPr>
              <w:t xml:space="preserve"> </w:t>
            </w:r>
            <w:r>
              <w:rPr>
                <w:rFonts w:ascii="Book Antiqua" w:eastAsia="Times New Roman" w:hAnsi="Book Antiqua"/>
                <w:sz w:val="24"/>
                <w:szCs w:val="24"/>
                <w:lang w:eastAsia="it-IT"/>
              </w:rPr>
              <w:t>&lt;</w:t>
            </w:r>
            <w:r>
              <w:rPr>
                <w:rFonts w:ascii="Book Antiqua" w:eastAsiaTheme="minorEastAsia" w:hAnsi="Book Antiqua" w:hint="eastAsia"/>
                <w:sz w:val="24"/>
                <w:szCs w:val="24"/>
                <w:lang w:eastAsia="zh-CN"/>
              </w:rPr>
              <w:t xml:space="preserve"> </w:t>
            </w:r>
            <w:r>
              <w:rPr>
                <w:rFonts w:ascii="Book Antiqua" w:eastAsia="Times New Roman" w:hAnsi="Book Antiqua"/>
                <w:sz w:val="24"/>
                <w:szCs w:val="24"/>
                <w:lang w:eastAsia="it-IT"/>
              </w:rPr>
              <w:t>3000</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val="fr-CH" w:eastAsia="it-IT"/>
              </w:rPr>
            </w:pPr>
            <w:r>
              <w:rPr>
                <w:rFonts w:ascii="Book Antiqua" w:eastAsia="Times New Roman" w:hAnsi="Book Antiqua"/>
                <w:sz w:val="24"/>
                <w:szCs w:val="24"/>
                <w:lang w:val="fr-CH" w:eastAsia="it-IT"/>
              </w:rPr>
              <w:t>SI on T2-weightedimages x SUV</w:t>
            </w:r>
            <w:r>
              <w:rPr>
                <w:rFonts w:ascii="Book Antiqua" w:eastAsia="Times New Roman" w:hAnsi="Book Antiqua"/>
                <w:sz w:val="24"/>
                <w:szCs w:val="24"/>
                <w:vertAlign w:val="subscript"/>
                <w:lang w:val="fr-CH" w:eastAsia="it-IT"/>
              </w:rPr>
              <w:t>max</w:t>
            </w:r>
            <w:r>
              <w:rPr>
                <w:rFonts w:ascii="Book Antiqua" w:eastAsiaTheme="minorEastAsia" w:hAnsi="Book Antiqua" w:hint="eastAsia"/>
                <w:sz w:val="24"/>
                <w:szCs w:val="24"/>
                <w:vertAlign w:val="subscript"/>
                <w:lang w:val="fr-CH" w:eastAsia="zh-CN"/>
              </w:rPr>
              <w:t xml:space="preserve"> </w:t>
            </w:r>
            <w:r>
              <w:rPr>
                <w:rFonts w:ascii="Book Antiqua" w:eastAsia="Times New Roman" w:hAnsi="Book Antiqua"/>
                <w:sz w:val="24"/>
                <w:szCs w:val="24"/>
                <w:lang w:val="fr-CH" w:eastAsia="it-IT"/>
              </w:rPr>
              <w:t>&lt;</w:t>
            </w:r>
            <w:r>
              <w:rPr>
                <w:rFonts w:ascii="Book Antiqua" w:eastAsiaTheme="minorEastAsia" w:hAnsi="Book Antiqua" w:hint="eastAsia"/>
                <w:sz w:val="24"/>
                <w:szCs w:val="24"/>
                <w:lang w:val="fr-CH" w:eastAsia="zh-CN"/>
              </w:rPr>
              <w:t xml:space="preserve"> </w:t>
            </w:r>
            <w:r>
              <w:rPr>
                <w:rFonts w:ascii="Book Antiqua" w:eastAsia="Times New Roman" w:hAnsi="Book Antiqua"/>
                <w:sz w:val="24"/>
                <w:szCs w:val="24"/>
                <w:lang w:val="fr-CH" w:eastAsia="it-IT"/>
              </w:rPr>
              <w:t>2000</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SUV</w:t>
            </w:r>
            <w:r>
              <w:rPr>
                <w:rFonts w:ascii="Book Antiqua" w:eastAsia="Times New Roman" w:hAnsi="Book Antiqua"/>
                <w:sz w:val="24"/>
                <w:szCs w:val="24"/>
                <w:vertAlign w:val="subscript"/>
                <w:lang w:eastAsia="it-IT"/>
              </w:rPr>
              <w:t>max</w:t>
            </w:r>
            <w:r>
              <w:rPr>
                <w:rFonts w:ascii="Book Antiqua" w:eastAsiaTheme="minorEastAsia" w:hAnsi="Book Antiqua" w:hint="eastAsia"/>
                <w:sz w:val="24"/>
                <w:szCs w:val="24"/>
                <w:vertAlign w:val="subscript"/>
                <w:lang w:eastAsia="zh-CN"/>
              </w:rPr>
              <w:t xml:space="preserve"> </w:t>
            </w:r>
            <w:r>
              <w:rPr>
                <w:rFonts w:ascii="Book Antiqua" w:eastAsia="Times New Roman" w:hAnsi="Book Antiqua"/>
                <w:sz w:val="24"/>
                <w:szCs w:val="24"/>
                <w:lang w:eastAsia="it-IT"/>
              </w:rPr>
              <w:t>&lt;</w:t>
            </w:r>
            <w:r>
              <w:rPr>
                <w:rFonts w:ascii="Book Antiqua" w:eastAsiaTheme="minorEastAsia" w:hAnsi="Book Antiqua" w:hint="eastAsia"/>
                <w:sz w:val="24"/>
                <w:szCs w:val="24"/>
                <w:lang w:eastAsia="zh-CN"/>
              </w:rPr>
              <w:t xml:space="preserve"> </w:t>
            </w:r>
            <w:r>
              <w:rPr>
                <w:rFonts w:ascii="Book Antiqua" w:eastAsia="Times New Roman" w:hAnsi="Book Antiqua"/>
                <w:sz w:val="24"/>
                <w:szCs w:val="24"/>
                <w:lang w:eastAsia="it-IT"/>
              </w:rPr>
              <w:t>2.5</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ADC &lt;1250 x 10</w:t>
            </w:r>
            <w:r>
              <w:rPr>
                <w:rFonts w:ascii="Book Antiqua" w:eastAsia="Times New Roman" w:hAnsi="Book Antiqua"/>
                <w:sz w:val="24"/>
                <w:szCs w:val="24"/>
                <w:vertAlign w:val="superscript"/>
                <w:lang w:eastAsia="it-IT"/>
              </w:rPr>
              <w:t>-3</w:t>
            </w:r>
            <w:r>
              <w:rPr>
                <w:rFonts w:ascii="Book Antiqua" w:eastAsia="Times New Roman" w:hAnsi="Book Antiqua"/>
                <w:sz w:val="24"/>
                <w:szCs w:val="24"/>
                <w:lang w:eastAsia="it-IT"/>
              </w:rPr>
              <w:t>mm</w:t>
            </w:r>
            <w:r>
              <w:rPr>
                <w:rFonts w:ascii="Book Antiqua" w:eastAsia="Times New Roman" w:hAnsi="Book Antiqua"/>
                <w:sz w:val="24"/>
                <w:szCs w:val="24"/>
                <w:vertAlign w:val="superscript"/>
                <w:lang w:eastAsia="it-IT"/>
              </w:rPr>
              <w:t>2</w:t>
            </w:r>
            <w:r>
              <w:rPr>
                <w:rFonts w:ascii="Book Antiqua" w:eastAsia="Times New Roman" w:hAnsi="Book Antiqua"/>
                <w:sz w:val="24"/>
                <w:szCs w:val="24"/>
                <w:lang w:eastAsia="it-IT"/>
              </w:rPr>
              <w:t>/sec</w:t>
            </w:r>
          </w:p>
          <w:p w:rsidR="0003376C" w:rsidRDefault="005739BD" w:rsidP="00924331">
            <w:pPr>
              <w:pStyle w:val="ListParagraph"/>
              <w:numPr>
                <w:ilvl w:val="0"/>
                <w:numId w:val="10"/>
              </w:numPr>
              <w:spacing w:after="0" w:line="360" w:lineRule="auto"/>
              <w:ind w:left="0"/>
              <w:jc w:val="both"/>
              <w:rPr>
                <w:rFonts w:ascii="Book Antiqua" w:eastAsia="Times New Roman" w:hAnsi="Book Antiqua"/>
                <w:sz w:val="24"/>
                <w:szCs w:val="24"/>
                <w:lang w:eastAsia="it-IT"/>
              </w:rPr>
            </w:pPr>
            <w:r>
              <w:rPr>
                <w:rFonts w:ascii="Book Antiqua" w:eastAsia="Times New Roman" w:hAnsi="Book Antiqua"/>
                <w:sz w:val="24"/>
                <w:szCs w:val="24"/>
                <w:lang w:eastAsia="it-IT"/>
              </w:rPr>
              <w:t>SI on T2-weightedimages &lt;</w:t>
            </w:r>
            <w:r>
              <w:rPr>
                <w:rFonts w:ascii="Book Antiqua" w:eastAsiaTheme="minorEastAsia" w:hAnsi="Book Antiqua" w:hint="eastAsia"/>
                <w:sz w:val="24"/>
                <w:szCs w:val="24"/>
                <w:lang w:eastAsia="zh-CN"/>
              </w:rPr>
              <w:t xml:space="preserve"> </w:t>
            </w:r>
            <w:r>
              <w:rPr>
                <w:rFonts w:ascii="Book Antiqua" w:eastAsia="Times New Roman" w:hAnsi="Book Antiqua"/>
                <w:sz w:val="24"/>
                <w:szCs w:val="24"/>
                <w:lang w:eastAsia="it-IT"/>
              </w:rPr>
              <w:t>750</w:t>
            </w:r>
          </w:p>
        </w:tc>
        <w:tc>
          <w:tcPr>
            <w:tcW w:w="1143" w:type="dxa"/>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2016</w:t>
            </w:r>
          </w:p>
        </w:tc>
        <w:tc>
          <w:tcPr>
            <w:tcW w:w="2843" w:type="dxa"/>
            <w:tcMar>
              <w:top w:w="0" w:type="dxa"/>
              <w:left w:w="108" w:type="dxa"/>
              <w:bottom w:w="0" w:type="dxa"/>
              <w:right w:w="108" w:type="dxa"/>
            </w:tcMar>
            <w:vAlign w:val="center"/>
            <w:hideMark/>
          </w:tcPr>
          <w:p w:rsidR="0003376C" w:rsidRDefault="005739BD" w:rsidP="00924331">
            <w:pPr>
              <w:spacing w:after="0" w:line="360" w:lineRule="auto"/>
              <w:jc w:val="both"/>
              <w:rPr>
                <w:rFonts w:ascii="Book Antiqua" w:eastAsia="Times New Roman" w:hAnsi="Book Antiqua" w:cs="Arial"/>
                <w:sz w:val="24"/>
                <w:szCs w:val="24"/>
                <w:lang w:val="it-IT" w:eastAsia="it-IT"/>
              </w:rPr>
            </w:pPr>
            <w:r>
              <w:rPr>
                <w:rFonts w:ascii="Book Antiqua" w:eastAsia="Times New Roman" w:hAnsi="Book Antiqua"/>
                <w:sz w:val="24"/>
                <w:szCs w:val="24"/>
                <w:vertAlign w:val="superscript"/>
                <w:lang w:val="it-IT" w:eastAsia="it-IT"/>
              </w:rPr>
              <w:t>18</w:t>
            </w:r>
            <w:r>
              <w:rPr>
                <w:rFonts w:ascii="Book Antiqua" w:eastAsia="Times New Roman" w:hAnsi="Book Antiqua"/>
                <w:sz w:val="24"/>
                <w:szCs w:val="24"/>
                <w:lang w:val="it-IT" w:eastAsia="it-IT"/>
              </w:rPr>
              <w:t>F-FDG</w:t>
            </w:r>
            <w:r>
              <w:rPr>
                <w:rFonts w:ascii="Book Antiqua" w:eastAsia="Times New Roman" w:hAnsi="Book Antiqua" w:cs="Arial"/>
                <w:sz w:val="24"/>
                <w:szCs w:val="24"/>
                <w:lang w:val="en-GB" w:eastAsia="it-IT"/>
              </w:rPr>
              <w:t> </w:t>
            </w:r>
          </w:p>
        </w:tc>
        <w:tc>
          <w:tcPr>
            <w:tcW w:w="1403" w:type="dxa"/>
            <w:tcMar>
              <w:top w:w="0" w:type="dxa"/>
              <w:left w:w="108" w:type="dxa"/>
              <w:bottom w:w="0" w:type="dxa"/>
              <w:right w:w="108" w:type="dxa"/>
            </w:tcMar>
            <w:hideMark/>
          </w:tcPr>
          <w:p w:rsidR="0003376C" w:rsidRDefault="005739BD" w:rsidP="00924331">
            <w:pPr>
              <w:spacing w:after="0" w:line="360" w:lineRule="auto"/>
              <w:jc w:val="both"/>
              <w:rPr>
                <w:rFonts w:ascii="Book Antiqua" w:eastAsia="Times New Roman" w:hAnsi="Book Antiqua" w:cs="Arial"/>
                <w:sz w:val="24"/>
                <w:szCs w:val="24"/>
                <w:lang w:val="it-IT" w:eastAsia="it-IT"/>
              </w:rPr>
            </w:pPr>
            <w:r>
              <w:rPr>
                <w:rFonts w:ascii="Book Antiqua" w:eastAsia="Times New Roman" w:hAnsi="Book Antiqua" w:cs="Arial"/>
                <w:sz w:val="24"/>
                <w:szCs w:val="24"/>
                <w:lang w:val="it-IT" w:eastAsia="it-IT"/>
              </w:rPr>
              <w:t> </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(Mean)</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0.67</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0.77</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0.79</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0.84</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0.73</w:t>
            </w:r>
          </w:p>
        </w:tc>
        <w:tc>
          <w:tcPr>
            <w:tcW w:w="1389" w:type="dxa"/>
            <w:tcMar>
              <w:top w:w="0" w:type="dxa"/>
              <w:left w:w="108" w:type="dxa"/>
              <w:bottom w:w="0" w:type="dxa"/>
              <w:right w:w="108" w:type="dxa"/>
            </w:tcMar>
            <w:hideMark/>
          </w:tcPr>
          <w:p w:rsidR="0003376C" w:rsidRDefault="005739BD" w:rsidP="00924331">
            <w:pPr>
              <w:spacing w:after="0" w:line="360" w:lineRule="auto"/>
              <w:jc w:val="both"/>
              <w:rPr>
                <w:rFonts w:ascii="Book Antiqua" w:eastAsia="Times New Roman" w:hAnsi="Book Antiqua" w:cs="Arial"/>
                <w:sz w:val="24"/>
                <w:szCs w:val="24"/>
                <w:lang w:val="it-IT" w:eastAsia="it-IT"/>
              </w:rPr>
            </w:pPr>
            <w:r>
              <w:rPr>
                <w:rFonts w:ascii="Book Antiqua" w:eastAsia="Times New Roman" w:hAnsi="Book Antiqua" w:cs="Arial"/>
                <w:sz w:val="24"/>
                <w:szCs w:val="24"/>
                <w:lang w:val="en-GB" w:eastAsia="it-IT"/>
              </w:rPr>
              <w:t> </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(Mean)</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0.73</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0.57</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0.61</w:t>
            </w: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0.26</w:t>
            </w:r>
          </w:p>
          <w:p w:rsidR="0003376C" w:rsidRDefault="0003376C" w:rsidP="00924331">
            <w:pPr>
              <w:spacing w:after="0" w:line="360" w:lineRule="auto"/>
              <w:jc w:val="both"/>
              <w:rPr>
                <w:rFonts w:ascii="Book Antiqua" w:eastAsia="Times New Roman" w:hAnsi="Book Antiqua"/>
                <w:sz w:val="24"/>
                <w:szCs w:val="24"/>
                <w:lang w:val="it-IT" w:eastAsia="it-IT"/>
              </w:rPr>
            </w:pPr>
          </w:p>
          <w:p w:rsidR="0003376C" w:rsidRDefault="005739BD" w:rsidP="00924331">
            <w:pPr>
              <w:spacing w:after="0" w:line="360" w:lineRule="auto"/>
              <w:jc w:val="both"/>
              <w:rPr>
                <w:rFonts w:ascii="Book Antiqua" w:eastAsia="Times New Roman" w:hAnsi="Book Antiqua"/>
                <w:sz w:val="24"/>
                <w:szCs w:val="24"/>
                <w:lang w:val="it-IT" w:eastAsia="it-IT"/>
              </w:rPr>
            </w:pPr>
            <w:r>
              <w:rPr>
                <w:rFonts w:ascii="Book Antiqua" w:eastAsia="Times New Roman" w:hAnsi="Book Antiqua"/>
                <w:sz w:val="24"/>
                <w:szCs w:val="24"/>
                <w:lang w:val="it-IT" w:eastAsia="it-IT"/>
              </w:rPr>
              <w:t>0.13</w:t>
            </w:r>
          </w:p>
        </w:tc>
      </w:tr>
    </w:tbl>
    <w:p w:rsidR="0003376C" w:rsidRDefault="005739BD" w:rsidP="00924331">
      <w:pPr>
        <w:spacing w:after="0" w:line="360" w:lineRule="auto"/>
        <w:jc w:val="both"/>
        <w:rPr>
          <w:rFonts w:ascii="Book Antiqua" w:eastAsiaTheme="minorEastAsia" w:hAnsi="Book Antiqua" w:cs="Arial"/>
          <w:sz w:val="24"/>
          <w:szCs w:val="24"/>
          <w:lang w:val="en-US" w:eastAsia="zh-CN"/>
        </w:rPr>
      </w:pPr>
      <w:r>
        <w:rPr>
          <w:rFonts w:ascii="Book Antiqua" w:hAnsi="Book Antiqua"/>
          <w:sz w:val="24"/>
          <w:szCs w:val="24"/>
          <w:lang w:val="en-GB"/>
        </w:rPr>
        <w:t>SPECT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 xml:space="preserve"> Single photon emission tomography</w:t>
      </w:r>
      <w:r>
        <w:rPr>
          <w:rFonts w:ascii="Book Antiqua" w:eastAsiaTheme="minorEastAsia" w:hAnsi="Book Antiqua" w:cs="Arial" w:hint="eastAsia"/>
          <w:sz w:val="24"/>
          <w:szCs w:val="24"/>
          <w:lang w:val="en-US" w:eastAsia="zh-CN"/>
        </w:rPr>
        <w:t>.</w:t>
      </w:r>
    </w:p>
    <w:p w:rsidR="0003376C" w:rsidRDefault="0003376C" w:rsidP="00924331">
      <w:pPr>
        <w:spacing w:after="0" w:line="360" w:lineRule="auto"/>
        <w:jc w:val="both"/>
        <w:rPr>
          <w:rFonts w:ascii="Book Antiqua" w:hAnsi="Book Antiqua" w:cs="Arial"/>
          <w:sz w:val="24"/>
          <w:szCs w:val="24"/>
          <w:lang w:val="en-GB"/>
        </w:rPr>
      </w:pPr>
    </w:p>
    <w:p w:rsidR="0003376C" w:rsidRDefault="0003376C" w:rsidP="00924331">
      <w:pPr>
        <w:spacing w:after="0" w:line="360" w:lineRule="auto"/>
        <w:jc w:val="both"/>
        <w:rPr>
          <w:rFonts w:ascii="Book Antiqua" w:eastAsiaTheme="minorEastAsia" w:hAnsi="Book Antiqua" w:cs="Arial"/>
          <w:sz w:val="24"/>
          <w:szCs w:val="24"/>
          <w:lang w:val="en-GB" w:eastAsia="zh-CN"/>
        </w:rPr>
      </w:pPr>
    </w:p>
    <w:p w:rsidR="0003376C" w:rsidRDefault="005739BD" w:rsidP="00924331">
      <w:pPr>
        <w:spacing w:after="0"/>
        <w:jc w:val="both"/>
        <w:rPr>
          <w:rFonts w:ascii="Book Antiqua" w:hAnsi="Book Antiqua" w:cs="Arial"/>
          <w:b/>
          <w:sz w:val="24"/>
          <w:szCs w:val="24"/>
          <w:lang w:val="en-GB"/>
        </w:rPr>
      </w:pPr>
      <w:r>
        <w:rPr>
          <w:rFonts w:ascii="Book Antiqua" w:hAnsi="Book Antiqua" w:cs="Arial"/>
          <w:b/>
          <w:sz w:val="24"/>
          <w:szCs w:val="24"/>
          <w:lang w:val="en-GB"/>
        </w:rPr>
        <w:br w:type="page"/>
      </w:r>
    </w:p>
    <w:p w:rsidR="0003376C" w:rsidRDefault="005739BD" w:rsidP="00924331">
      <w:pPr>
        <w:spacing w:after="0" w:line="360" w:lineRule="auto"/>
        <w:jc w:val="both"/>
        <w:rPr>
          <w:rFonts w:ascii="Book Antiqua" w:eastAsiaTheme="minorEastAsia" w:hAnsi="Book Antiqua" w:cs="Arial"/>
          <w:b/>
          <w:sz w:val="24"/>
          <w:szCs w:val="24"/>
          <w:lang w:val="en-US" w:eastAsia="zh-CN"/>
        </w:rPr>
      </w:pPr>
      <w:r>
        <w:rPr>
          <w:rFonts w:ascii="Book Antiqua" w:hAnsi="Book Antiqua" w:cs="Arial"/>
          <w:b/>
          <w:sz w:val="24"/>
          <w:szCs w:val="24"/>
          <w:lang w:val="en-GB"/>
        </w:rPr>
        <w:lastRenderedPageBreak/>
        <w:t>Table 5</w:t>
      </w:r>
      <w:r>
        <w:rPr>
          <w:rFonts w:ascii="Book Antiqua" w:eastAsiaTheme="minorEastAsia" w:hAnsi="Book Antiqua" w:cs="Arial" w:hint="eastAsia"/>
          <w:b/>
          <w:sz w:val="24"/>
          <w:szCs w:val="24"/>
          <w:lang w:val="en-US" w:eastAsia="zh-CN"/>
        </w:rPr>
        <w:t xml:space="preserve"> </w:t>
      </w:r>
      <w:r>
        <w:rPr>
          <w:rFonts w:ascii="Book Antiqua" w:hAnsi="Book Antiqua" w:cs="Arial"/>
          <w:b/>
          <w:sz w:val="24"/>
          <w:szCs w:val="24"/>
          <w:lang w:val="en-US"/>
        </w:rPr>
        <w:t xml:space="preserve">Studies on molecular imaging in </w:t>
      </w:r>
      <w:proofErr w:type="spellStart"/>
      <w:r>
        <w:rPr>
          <w:rFonts w:ascii="Book Antiqua" w:hAnsi="Book Antiqua" w:cs="Arial"/>
          <w:b/>
          <w:sz w:val="24"/>
          <w:szCs w:val="24"/>
          <w:lang w:val="en-US"/>
        </w:rPr>
        <w:t>paediatric</w:t>
      </w:r>
      <w:proofErr w:type="spellEnd"/>
      <w:r>
        <w:rPr>
          <w:rFonts w:ascii="Book Antiqua" w:hAnsi="Book Antiqua" w:cs="Arial"/>
          <w:b/>
          <w:sz w:val="24"/>
          <w:szCs w:val="24"/>
          <w:lang w:val="en-US"/>
        </w:rPr>
        <w:t xml:space="preserve"> patients included in the present Review</w:t>
      </w:r>
    </w:p>
    <w:p w:rsidR="0003376C" w:rsidRDefault="0003376C" w:rsidP="00924331">
      <w:pPr>
        <w:spacing w:after="0" w:line="360" w:lineRule="auto"/>
        <w:jc w:val="both"/>
        <w:rPr>
          <w:rFonts w:ascii="Book Antiqua" w:hAnsi="Book Antiqua" w:cs="Arial"/>
          <w:sz w:val="24"/>
          <w:szCs w:val="24"/>
          <w:lang w:val="en-GB"/>
        </w:rPr>
      </w:pPr>
    </w:p>
    <w:tbl>
      <w:tblPr>
        <w:tblW w:w="14284" w:type="dxa"/>
        <w:tblBorders>
          <w:top w:val="single" w:sz="4" w:space="0" w:color="auto"/>
          <w:bottom w:val="single" w:sz="4" w:space="0" w:color="auto"/>
        </w:tblBorders>
        <w:tblLayout w:type="fixed"/>
        <w:tblLook w:val="00A0" w:firstRow="1" w:lastRow="0" w:firstColumn="1" w:lastColumn="0" w:noHBand="0" w:noVBand="0"/>
      </w:tblPr>
      <w:tblGrid>
        <w:gridCol w:w="959"/>
        <w:gridCol w:w="769"/>
        <w:gridCol w:w="540"/>
        <w:gridCol w:w="676"/>
        <w:gridCol w:w="1275"/>
        <w:gridCol w:w="1134"/>
        <w:gridCol w:w="1843"/>
        <w:gridCol w:w="1792"/>
        <w:gridCol w:w="1327"/>
        <w:gridCol w:w="3969"/>
      </w:tblGrid>
      <w:tr w:rsidR="0003376C">
        <w:tc>
          <w:tcPr>
            <w:tcW w:w="959" w:type="dxa"/>
            <w:tcBorders>
              <w:top w:val="single" w:sz="4" w:space="0" w:color="auto"/>
              <w:bottom w:val="single" w:sz="4" w:space="0" w:color="auto"/>
            </w:tcBorders>
          </w:tcPr>
          <w:p w:rsidR="0003376C" w:rsidRDefault="005739BD" w:rsidP="00924331">
            <w:pPr>
              <w:spacing w:after="0" w:line="360" w:lineRule="auto"/>
              <w:jc w:val="both"/>
              <w:rPr>
                <w:rFonts w:ascii="Book Antiqua" w:eastAsiaTheme="minorEastAsia" w:hAnsi="Book Antiqua" w:cs="Arial"/>
                <w:b/>
                <w:bCs/>
                <w:sz w:val="24"/>
                <w:szCs w:val="24"/>
                <w:lang w:eastAsia="zh-CN"/>
              </w:rPr>
            </w:pPr>
            <w:r>
              <w:rPr>
                <w:rFonts w:ascii="Book Antiqua" w:eastAsia="MS ??" w:hAnsi="Book Antiqua" w:cs="Arial"/>
                <w:b/>
                <w:bCs/>
                <w:sz w:val="24"/>
                <w:szCs w:val="24"/>
              </w:rPr>
              <w:t>Ref</w:t>
            </w:r>
            <w:r>
              <w:rPr>
                <w:rFonts w:ascii="Book Antiqua" w:eastAsiaTheme="minorEastAsia" w:hAnsi="Book Antiqua" w:cs="Arial" w:hint="eastAsia"/>
                <w:b/>
                <w:bCs/>
                <w:sz w:val="24"/>
                <w:szCs w:val="24"/>
                <w:lang w:eastAsia="zh-CN"/>
              </w:rPr>
              <w:t>.</w:t>
            </w:r>
          </w:p>
        </w:tc>
        <w:tc>
          <w:tcPr>
            <w:tcW w:w="769"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Year</w:t>
            </w:r>
          </w:p>
        </w:tc>
        <w:tc>
          <w:tcPr>
            <w:tcW w:w="540"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Pts (n=)</w:t>
            </w:r>
          </w:p>
        </w:tc>
        <w:tc>
          <w:tcPr>
            <w:tcW w:w="676"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Age (range)</w:t>
            </w:r>
          </w:p>
        </w:tc>
        <w:tc>
          <w:tcPr>
            <w:tcW w:w="1275"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Type of study</w:t>
            </w:r>
          </w:p>
        </w:tc>
        <w:tc>
          <w:tcPr>
            <w:tcW w:w="1134"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Clinical setting</w:t>
            </w:r>
          </w:p>
        </w:tc>
        <w:tc>
          <w:tcPr>
            <w:tcW w:w="1843"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Principal results</w:t>
            </w:r>
          </w:p>
        </w:tc>
        <w:tc>
          <w:tcPr>
            <w:tcW w:w="1792"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Technique</w:t>
            </w:r>
          </w:p>
        </w:tc>
        <w:tc>
          <w:tcPr>
            <w:tcW w:w="1327"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Segments evaluated (</w:t>
            </w:r>
            <w:r>
              <w:rPr>
                <w:rFonts w:ascii="Book Antiqua" w:eastAsia="MS ??" w:hAnsi="Book Antiqua" w:cs="Arial"/>
                <w:b/>
                <w:bCs/>
                <w:i/>
                <w:sz w:val="24"/>
                <w:szCs w:val="24"/>
              </w:rPr>
              <w:t>n</w:t>
            </w:r>
            <w:r>
              <w:rPr>
                <w:rFonts w:ascii="Book Antiqua" w:eastAsia="MS ??" w:hAnsi="Book Antiqua" w:cs="Arial"/>
                <w:b/>
                <w:bCs/>
                <w:sz w:val="24"/>
                <w:szCs w:val="24"/>
              </w:rPr>
              <w:t>)</w:t>
            </w:r>
          </w:p>
        </w:tc>
        <w:tc>
          <w:tcPr>
            <w:tcW w:w="3969" w:type="dxa"/>
            <w:tcBorders>
              <w:top w:val="single" w:sz="4" w:space="0" w:color="auto"/>
              <w:bottom w:val="single" w:sz="4" w:space="0" w:color="auto"/>
            </w:tcBorders>
          </w:tcPr>
          <w:p w:rsidR="0003376C" w:rsidRDefault="005739BD" w:rsidP="00924331">
            <w:pPr>
              <w:spacing w:after="0" w:line="360" w:lineRule="auto"/>
              <w:jc w:val="both"/>
              <w:rPr>
                <w:rFonts w:ascii="Book Antiqua" w:eastAsia="MS ??" w:hAnsi="Book Antiqua" w:cs="Arial"/>
                <w:b/>
                <w:bCs/>
                <w:sz w:val="24"/>
                <w:szCs w:val="24"/>
              </w:rPr>
            </w:pPr>
            <w:r>
              <w:rPr>
                <w:rFonts w:ascii="Book Antiqua" w:eastAsia="MS ??" w:hAnsi="Book Antiqua" w:cs="Arial"/>
                <w:b/>
                <w:bCs/>
                <w:sz w:val="24"/>
                <w:szCs w:val="24"/>
              </w:rPr>
              <w:t>Criterion for positivity</w:t>
            </w:r>
          </w:p>
        </w:tc>
      </w:tr>
      <w:tr w:rsidR="0003376C">
        <w:tc>
          <w:tcPr>
            <w:tcW w:w="959" w:type="dxa"/>
            <w:tcBorders>
              <w:top w:val="single" w:sz="4" w:space="0" w:color="auto"/>
            </w:tcBorders>
          </w:tcPr>
          <w:p w:rsidR="0003376C" w:rsidRDefault="00C4587B" w:rsidP="00924331">
            <w:pPr>
              <w:spacing w:after="0" w:line="360" w:lineRule="auto"/>
              <w:jc w:val="both"/>
              <w:rPr>
                <w:rFonts w:ascii="Book Antiqua" w:eastAsia="MS ??" w:hAnsi="Book Antiqua" w:cs="Arial"/>
                <w:sz w:val="24"/>
                <w:szCs w:val="24"/>
              </w:rPr>
            </w:pPr>
            <w:hyperlink r:id="rId10" w:history="1">
              <w:r w:rsidR="005739BD">
                <w:rPr>
                  <w:rFonts w:ascii="Book Antiqua" w:eastAsia="MS ??" w:hAnsi="Book Antiqua" w:cs="Arial"/>
                  <w:sz w:val="24"/>
                  <w:szCs w:val="24"/>
                  <w:lang w:val="it-IT"/>
                </w:rPr>
                <w:t xml:space="preserve">Papós </w:t>
              </w:r>
            </w:hyperlink>
            <w:r w:rsidR="005739BD">
              <w:rPr>
                <w:rFonts w:ascii="Book Antiqua" w:eastAsia="MS ??" w:hAnsi="Book Antiqua" w:cs="Arial"/>
                <w:sz w:val="24"/>
                <w:szCs w:val="24"/>
                <w:lang w:val="it-IT"/>
              </w:rPr>
              <w:t xml:space="preserve"> </w:t>
            </w:r>
            <w:r w:rsidR="005739BD">
              <w:rPr>
                <w:rFonts w:ascii="Book Antiqua" w:eastAsia="MS ??" w:hAnsi="Book Antiqua" w:cs="Arial"/>
                <w:i/>
                <w:sz w:val="24"/>
                <w:szCs w:val="24"/>
                <w:lang w:val="it-IT"/>
              </w:rPr>
              <w:t>et al</w:t>
            </w:r>
            <w:r w:rsidR="005739BD">
              <w:rPr>
                <w:rFonts w:ascii="Book Antiqua" w:eastAsia="MS ??" w:hAnsi="Book Antiqua" w:cs="Arial"/>
                <w:sz w:val="24"/>
                <w:szCs w:val="24"/>
                <w:vertAlign w:val="superscript"/>
                <w:lang w:val="it-IT"/>
              </w:rPr>
              <w:t>[49]</w:t>
            </w:r>
            <w:r w:rsidR="005739BD">
              <w:rPr>
                <w:rFonts w:ascii="Book Antiqua" w:eastAsia="MS ??" w:hAnsi="Book Antiqua" w:cs="Arial"/>
                <w:sz w:val="24"/>
                <w:szCs w:val="24"/>
                <w:lang w:val="it-IT"/>
              </w:rPr>
              <w:fldChar w:fldCharType="begin">
                <w:fldData xml:space="preserve">PEVuZE5vdGU+PENpdGU+PEF1dGhvcj5QYXBvczwvQXV0aG9yPjxZZWFyPjE5OTY8L1llYXI+PFJl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NTQ3LTUyPC9wYWdlcz48dm9sdW1lPjIzPC92b2x1bWU+PG51bWJlcj41PC9udW1iZXI+PGVkaXRp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</w:fldData>
              </w:fldChar>
            </w:r>
            <w:r w:rsidR="005739BD">
              <w:rPr>
                <w:rFonts w:ascii="Book Antiqua" w:eastAsia="MS ??" w:hAnsi="Book Antiqua" w:cs="Arial"/>
                <w:sz w:val="24"/>
                <w:szCs w:val="24"/>
                <w:lang w:val="it-IT"/>
              </w:rPr>
              <w:instrText xml:space="preserve"> ADDIN EN.CITE </w:instrText>
            </w:r>
            <w:r w:rsidR="005739BD">
              <w:rPr>
                <w:rFonts w:ascii="Book Antiqua" w:eastAsia="MS ??" w:hAnsi="Book Antiqua" w:cs="Arial"/>
                <w:sz w:val="24"/>
                <w:szCs w:val="24"/>
                <w:lang w:val="it-IT"/>
              </w:rPr>
              <w:fldChar w:fldCharType="begin">
                <w:fldData xml:space="preserve">PEVuZE5vdGU+PENpdGU+PEF1dGhvcj5QYXBvczwvQXV0aG9yPjxZZWFyPjE5OTY8L1llYXI+PFJl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</w:fldData>
              </w:fldChar>
            </w:r>
            <w:r w:rsidR="005739BD">
              <w:rPr>
                <w:rFonts w:ascii="Book Antiqua" w:eastAsia="MS ??" w:hAnsi="Book Antiqua" w:cs="Arial"/>
                <w:sz w:val="24"/>
                <w:szCs w:val="24"/>
                <w:lang w:val="it-IT"/>
              </w:rPr>
              <w:instrText xml:space="preserve"> ADDIN EN.CITE.DATA </w:instrText>
            </w:r>
            <w:r w:rsidR="005739BD">
              <w:rPr>
                <w:rFonts w:ascii="Book Antiqua" w:eastAsia="MS ??" w:hAnsi="Book Antiqua" w:cs="Arial"/>
                <w:sz w:val="24"/>
                <w:szCs w:val="24"/>
                <w:lang w:val="it-IT"/>
              </w:rPr>
            </w:r>
            <w:r w:rsidR="005739BD">
              <w:rPr>
                <w:rFonts w:ascii="Book Antiqua" w:eastAsia="MS ??" w:hAnsi="Book Antiqua" w:cs="Arial"/>
                <w:sz w:val="24"/>
                <w:szCs w:val="24"/>
                <w:lang w:val="it-IT"/>
              </w:rPr>
              <w:fldChar w:fldCharType="end"/>
            </w:r>
            <w:r w:rsidR="005739BD">
              <w:rPr>
                <w:rFonts w:ascii="Book Antiqua" w:eastAsia="MS ??" w:hAnsi="Book Antiqua" w:cs="Arial"/>
                <w:sz w:val="24"/>
                <w:szCs w:val="24"/>
                <w:lang w:val="it-IT"/>
              </w:rPr>
            </w:r>
            <w:r w:rsidR="005739BD">
              <w:rPr>
                <w:rFonts w:ascii="Book Antiqua" w:eastAsia="MS ??" w:hAnsi="Book Antiqua" w:cs="Arial"/>
                <w:sz w:val="24"/>
                <w:szCs w:val="24"/>
                <w:lang w:val="it-IT"/>
              </w:rPr>
              <w:fldChar w:fldCharType="end"/>
            </w:r>
          </w:p>
        </w:tc>
        <w:tc>
          <w:tcPr>
            <w:tcW w:w="769"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1996</w:t>
            </w:r>
          </w:p>
        </w:tc>
        <w:tc>
          <w:tcPr>
            <w:tcW w:w="540"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w:t>
            </w:r>
          </w:p>
        </w:tc>
        <w:tc>
          <w:tcPr>
            <w:tcW w:w="676"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4-18</w:t>
            </w:r>
          </w:p>
        </w:tc>
        <w:tc>
          <w:tcPr>
            <w:tcW w:w="1275"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Prospective</w:t>
            </w:r>
          </w:p>
        </w:tc>
        <w:tc>
          <w:tcPr>
            <w:tcW w:w="1134"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IBD</w:t>
            </w:r>
          </w:p>
        </w:tc>
        <w:tc>
          <w:tcPr>
            <w:tcW w:w="1843"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sensitivity, specificity, and accuracy of LS were 93, 88, and 91%, respectively</w:t>
            </w:r>
          </w:p>
        </w:tc>
        <w:tc>
          <w:tcPr>
            <w:tcW w:w="1792"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(30 min and 2 and 3 h)</w:t>
            </w:r>
          </w:p>
        </w:tc>
        <w:tc>
          <w:tcPr>
            <w:tcW w:w="1327" w:type="dxa"/>
            <w:tcBorders>
              <w:top w:val="single" w:sz="4" w:space="0" w:color="auto"/>
            </w:tcBorders>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Borders>
              <w:top w:val="single" w:sz="4" w:space="0" w:color="auto"/>
            </w:tcBorders>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scored relative to the normal bone marrow uptake (0, no uptake; 1, &lt;</w:t>
            </w:r>
            <w:r>
              <w:rPr>
                <w:rFonts w:ascii="Book Antiqua" w:eastAsiaTheme="minorEastAsia" w:hAnsi="Book Antiqua" w:cs="Arial" w:hint="eastAsia"/>
                <w:sz w:val="24"/>
                <w:szCs w:val="24"/>
                <w:lang w:val="en-GB" w:eastAsia="zh-CN"/>
              </w:rPr>
              <w:t xml:space="preserve"> </w:t>
            </w:r>
            <w:r>
              <w:rPr>
                <w:rFonts w:ascii="Book Antiqua" w:eastAsia="MS ??" w:hAnsi="Book Antiqua" w:cs="Arial"/>
                <w:sz w:val="24"/>
                <w:szCs w:val="24"/>
                <w:lang w:val="en-GB"/>
              </w:rPr>
              <w:t>bone marrow uptake; 2, = bone marrow uptake; and 3, &gt;bone marrow uptake)</w:t>
            </w: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Charron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36</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1998</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178</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n.r.</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03376C" w:rsidP="00924331">
            <w:pPr>
              <w:spacing w:after="0" w:line="360" w:lineRule="auto"/>
              <w:jc w:val="both"/>
              <w:rPr>
                <w:rFonts w:ascii="Book Antiqua" w:eastAsia="MS ??" w:hAnsi="Book Antiqua" w:cs="Arial"/>
                <w:sz w:val="24"/>
                <w:szCs w:val="24"/>
              </w:rPr>
            </w:pP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Useful in distinguishing discontinuous from continuous colitis</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 SPECT (</w:t>
            </w:r>
            <w:r>
              <w:rPr>
                <w:rFonts w:ascii="Book Antiqua" w:eastAsia="MS ??" w:hAnsi="Book Antiqua" w:cs="Arial"/>
                <w:bCs/>
                <w:sz w:val="24"/>
                <w:szCs w:val="24"/>
                <w:lang w:val="en-GB"/>
              </w:rPr>
              <w:t>0.5-1 h, 2-4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Cucchiara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35</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1999</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48</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2-17</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Prospective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suspected IBD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significant correlation between results of scintigraphy and endoscopy for the intensity of inflammation</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(dynamic + 30, 60, 120, and 180 minutes)</w:t>
            </w:r>
          </w:p>
        </w:tc>
        <w:tc>
          <w:tcPr>
            <w:tcW w:w="1327"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9</w:t>
            </w:r>
          </w:p>
        </w:tc>
        <w:tc>
          <w:tcPr>
            <w:tcW w:w="3969"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abnormal if activity was seen in the gut within the first hour. 0 = no </w:t>
            </w:r>
            <w:proofErr w:type="spellStart"/>
            <w:r>
              <w:rPr>
                <w:rFonts w:ascii="Book Antiqua" w:eastAsia="MS ??" w:hAnsi="Book Antiqua" w:cs="Arial"/>
                <w:sz w:val="24"/>
                <w:szCs w:val="24"/>
                <w:lang w:val="en-GB"/>
              </w:rPr>
              <w:t>labeling</w:t>
            </w:r>
            <w:proofErr w:type="spellEnd"/>
            <w:r>
              <w:rPr>
                <w:rFonts w:ascii="Book Antiqua" w:eastAsia="MS ??" w:hAnsi="Book Antiqua" w:cs="Arial"/>
                <w:sz w:val="24"/>
                <w:szCs w:val="24"/>
                <w:lang w:val="en-GB"/>
              </w:rPr>
              <w:t>; 1 = less than bone marrow; 2 = greater than bone marrow, less than liver; and 3 = greater than or equal to liver.</w:t>
            </w: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Del rosario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51</w:t>
            </w:r>
            <w:r>
              <w:rPr>
                <w:rFonts w:ascii="Book Antiqua" w:eastAsia="MS ??" w:hAnsi="Book Antiqua" w:cs="Arial"/>
                <w:sz w:val="24"/>
                <w:szCs w:val="24"/>
                <w:vertAlign w:val="superscript"/>
                <w:lang w:val="it-IT"/>
              </w:rPr>
              <w:t>]</w:t>
            </w:r>
            <w:r>
              <w:rPr>
                <w:rFonts w:ascii="Book Antiqua" w:eastAsia="MS ??" w:hAnsi="Book Antiqua" w:cs="Arial"/>
                <w:sz w:val="24"/>
                <w:szCs w:val="24"/>
              </w:rPr>
              <w:fldChar w:fldCharType="begin">
                <w:fldData xml:space="preserve">PEVuZE5vdGU+PENpdGU+PEF1dGhvcj5EZWwgUm9zYXJpbzwvQXV0aG9yPjxZZWFyPjE5OTk8L1ll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aW9kaWNhbD48cGFnZXM+NjMtNzA8L3BhZ2VzPjx2b2x1bWU+Mjg8L3ZvbHVtZT48bnVtYmVyPjE8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</w:fldData>
              </w:fldChar>
            </w:r>
            <w:r>
              <w:rPr>
                <w:rFonts w:ascii="Book Antiqua" w:eastAsia="MS ??" w:hAnsi="Book Antiqua" w:cs="Arial"/>
                <w:sz w:val="24"/>
                <w:szCs w:val="24"/>
              </w:rPr>
              <w:instrText xml:space="preserve"> ADDIN EN.CITE </w:instrText>
            </w:r>
            <w:r>
              <w:rPr>
                <w:rFonts w:ascii="Book Antiqua" w:eastAsia="MS ??" w:hAnsi="Book Antiqua" w:cs="Arial"/>
                <w:sz w:val="24"/>
                <w:szCs w:val="24"/>
              </w:rPr>
              <w:fldChar w:fldCharType="begin">
                <w:fldData xml:space="preserve">PEVuZE5vdGU+PENpdGU+PEF1dGhvcj5EZWwgUm9zYXJpbzwvQXV0aG9yPjxZZWFyPjE5OTk8L1ll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aW9kaWNhbD48cGFnZXM+NjMtNzA8L3BhZ2VzPjx2b2x1bWU+Mjg8L3ZvbHVtZT48bnVtYmVyPjE8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</w:fldData>
              </w:fldChar>
            </w:r>
            <w:r>
              <w:rPr>
                <w:rFonts w:ascii="Book Antiqua" w:eastAsia="MS ??" w:hAnsi="Book Antiqua" w:cs="Arial"/>
                <w:sz w:val="24"/>
                <w:szCs w:val="24"/>
              </w:rPr>
              <w:instrText xml:space="preserve"> ADDIN EN.CITE.DATA </w:instrText>
            </w:r>
            <w:r>
              <w:rPr>
                <w:rFonts w:ascii="Book Antiqua" w:eastAsia="MS ??" w:hAnsi="Book Antiqua" w:cs="Arial"/>
                <w:sz w:val="24"/>
                <w:szCs w:val="24"/>
              </w:rPr>
            </w:r>
            <w:r>
              <w:rPr>
                <w:rFonts w:ascii="Book Antiqua" w:eastAsia="MS ??" w:hAnsi="Book Antiqua" w:cs="Arial"/>
                <w:sz w:val="24"/>
                <w:szCs w:val="24"/>
              </w:rPr>
              <w:fldChar w:fldCharType="end"/>
            </w:r>
            <w:r>
              <w:rPr>
                <w:rFonts w:ascii="Book Antiqua" w:eastAsia="MS ??" w:hAnsi="Book Antiqua" w:cs="Arial"/>
                <w:sz w:val="24"/>
                <w:szCs w:val="24"/>
              </w:rPr>
            </w:r>
            <w:r>
              <w:rPr>
                <w:rFonts w:ascii="Book Antiqua" w:eastAsia="MS ??" w:hAnsi="Book Antiqua" w:cs="Arial"/>
                <w:sz w:val="24"/>
                <w:szCs w:val="24"/>
              </w:rPr>
              <w:fldChar w:fldCharType="end"/>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1999</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35</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2-20</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IBD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83% sensitivity which prompted more </w:t>
            </w:r>
            <w:r>
              <w:rPr>
                <w:rFonts w:ascii="Book Antiqua" w:eastAsia="MS ??" w:hAnsi="Book Antiqua" w:cs="Arial"/>
                <w:sz w:val="24"/>
                <w:szCs w:val="24"/>
                <w:lang w:val="en-GB"/>
              </w:rPr>
              <w:lastRenderedPageBreak/>
              <w:t>aggressive management in 75% of cases</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lastRenderedPageBreak/>
              <w:t xml:space="preserve">99mTc-HMPAO WBC planar scintigraphy </w:t>
            </w:r>
            <w:r>
              <w:rPr>
                <w:rFonts w:ascii="Book Antiqua" w:eastAsia="MS ??" w:hAnsi="Book Antiqua" w:cs="Arial"/>
                <w:sz w:val="24"/>
                <w:szCs w:val="24"/>
                <w:lang w:val="en-GB"/>
              </w:rPr>
              <w:lastRenderedPageBreak/>
              <w:t>(30 min + 2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bCs/>
                <w:sz w:val="24"/>
                <w:szCs w:val="24"/>
              </w:rPr>
              <w:lastRenderedPageBreak/>
              <w:t xml:space="preserve">Charron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33</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1999</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184</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n.r.</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03376C" w:rsidP="00924331">
            <w:pPr>
              <w:spacing w:after="0" w:line="360" w:lineRule="auto"/>
              <w:jc w:val="both"/>
              <w:rPr>
                <w:rFonts w:ascii="Book Antiqua" w:eastAsia="MS ??" w:hAnsi="Book Antiqua" w:cs="Arial"/>
                <w:sz w:val="24"/>
                <w:szCs w:val="24"/>
              </w:rPr>
            </w:pPr>
          </w:p>
        </w:tc>
        <w:tc>
          <w:tcPr>
            <w:tcW w:w="1843"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Sensitivity = 90%, specificity = 97%, overall accuracy = 93%</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 SPECT (</w:t>
            </w:r>
            <w:r>
              <w:rPr>
                <w:rFonts w:ascii="Book Antiqua" w:eastAsia="MS ??" w:hAnsi="Book Antiqua" w:cs="Arial"/>
                <w:bCs/>
                <w:sz w:val="24"/>
                <w:szCs w:val="24"/>
                <w:lang w:val="en-GB"/>
              </w:rPr>
              <w:t>0.5-1 h, 2-4 h +/- 6h +/- 24h)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Charron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37</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2000</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262</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n.r.</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IBD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Useful as initial screening modality to exclude IBD</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 SPECT (</w:t>
            </w:r>
            <w:r>
              <w:rPr>
                <w:rFonts w:ascii="Book Antiqua" w:eastAsia="MS ??" w:hAnsi="Book Antiqua" w:cs="Arial"/>
                <w:bCs/>
                <w:sz w:val="24"/>
                <w:szCs w:val="24"/>
                <w:lang w:val="en-GB"/>
              </w:rPr>
              <w:t>0.5-1 h, 2-4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Alberini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32</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2001</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28</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2-15</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03376C" w:rsidP="00924331">
            <w:pPr>
              <w:spacing w:after="0" w:line="360" w:lineRule="auto"/>
              <w:jc w:val="both"/>
              <w:rPr>
                <w:rFonts w:ascii="Book Antiqua" w:eastAsia="MS ??" w:hAnsi="Book Antiqua" w:cs="Arial"/>
                <w:sz w:val="24"/>
                <w:szCs w:val="24"/>
              </w:rPr>
            </w:pP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Sensitivity and specificity were 75% and 92% for 99mTc-HMPAO WBC</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99mTc-HMPAO WBC planar scintigraphy (1 + 3 hrs </w:t>
            </w:r>
            <w:proofErr w:type="spellStart"/>
            <w:r>
              <w:rPr>
                <w:rFonts w:ascii="Book Antiqua" w:eastAsia="MS ??" w:hAnsi="Book Antiqua" w:cs="Arial"/>
                <w:sz w:val="24"/>
                <w:szCs w:val="24"/>
                <w:lang w:val="en-GB"/>
              </w:rPr>
              <w:t>p.i</w:t>
            </w:r>
            <w:proofErr w:type="spellEnd"/>
            <w:r>
              <w:rPr>
                <w:rFonts w:ascii="Book Antiqua" w:eastAsia="MS ??" w:hAnsi="Book Antiqua" w:cs="Arial"/>
                <w:sz w:val="24"/>
                <w:szCs w:val="24"/>
                <w:lang w:val="en-GB"/>
              </w:rPr>
              <w:t>.)</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Davison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38</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2001</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10</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nr</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Prosepctive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CD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9mTc-HMPAO leucocyte scintigraphy should not be depended upon as a screening test for Crohn’s disease</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 (45 min + 3.5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Abdominal isotope up- take equal to or greater than that associated with the bone marrow was considered to </w:t>
            </w:r>
            <w:proofErr w:type="spellStart"/>
            <w:r>
              <w:rPr>
                <w:rFonts w:ascii="Book Antiqua" w:eastAsia="MS ??" w:hAnsi="Book Antiqua" w:cs="Arial"/>
                <w:sz w:val="24"/>
                <w:szCs w:val="24"/>
                <w:lang w:val="en-GB"/>
              </w:rPr>
              <w:t>indi</w:t>
            </w:r>
            <w:proofErr w:type="spellEnd"/>
            <w:r>
              <w:rPr>
                <w:rFonts w:ascii="Book Antiqua" w:eastAsia="MS ??" w:hAnsi="Book Antiqua" w:cs="Arial"/>
                <w:sz w:val="24"/>
                <w:szCs w:val="24"/>
                <w:lang w:val="en-GB"/>
              </w:rPr>
              <w:t>- cate significant inflammation.</w:t>
            </w: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Bruno </w:t>
            </w:r>
            <w:r>
              <w:rPr>
                <w:rFonts w:ascii="Book Antiqua" w:eastAsia="MS ??" w:hAnsi="Book Antiqua" w:cs="Arial"/>
                <w:i/>
                <w:sz w:val="24"/>
                <w:szCs w:val="24"/>
                <w:lang w:val="it-IT"/>
              </w:rPr>
              <w:lastRenderedPageBreak/>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41</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lastRenderedPageBreak/>
              <w:t>2002</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66</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4-19</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Prospecti</w:t>
            </w:r>
            <w:r>
              <w:rPr>
                <w:rFonts w:ascii="Book Antiqua" w:eastAsia="MS ??" w:hAnsi="Book Antiqua" w:cs="Arial"/>
                <w:sz w:val="24"/>
                <w:szCs w:val="24"/>
              </w:rPr>
              <w:lastRenderedPageBreak/>
              <w:t>ve</w:t>
            </w:r>
          </w:p>
        </w:tc>
        <w:tc>
          <w:tcPr>
            <w:tcW w:w="1134" w:type="dxa"/>
          </w:tcPr>
          <w:p w:rsidR="0003376C" w:rsidRDefault="0003376C" w:rsidP="00924331">
            <w:pPr>
              <w:spacing w:after="0" w:line="360" w:lineRule="auto"/>
              <w:jc w:val="both"/>
              <w:rPr>
                <w:rFonts w:ascii="Book Antiqua" w:eastAsia="MS ??" w:hAnsi="Book Antiqua" w:cs="Arial"/>
                <w:sz w:val="24"/>
                <w:szCs w:val="24"/>
              </w:rPr>
            </w:pP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Sensitivity of </w:t>
            </w:r>
            <w:proofErr w:type="spellStart"/>
            <w:r>
              <w:rPr>
                <w:rFonts w:ascii="Book Antiqua" w:eastAsia="MS ??" w:hAnsi="Book Antiqua" w:cs="Arial"/>
                <w:sz w:val="24"/>
                <w:szCs w:val="24"/>
                <w:lang w:val="en-GB"/>
              </w:rPr>
              <w:lastRenderedPageBreak/>
              <w:t>immunoscitigrap</w:t>
            </w:r>
            <w:bookmarkStart w:id="74" w:name="_GoBack"/>
            <w:bookmarkEnd w:id="74"/>
            <w:r>
              <w:rPr>
                <w:rFonts w:ascii="Book Antiqua" w:eastAsia="MS ??" w:hAnsi="Book Antiqua" w:cs="Arial"/>
                <w:sz w:val="24"/>
                <w:szCs w:val="24"/>
                <w:lang w:val="en-GB"/>
              </w:rPr>
              <w:t>hy</w:t>
            </w:r>
            <w:proofErr w:type="spellEnd"/>
            <w:r>
              <w:rPr>
                <w:rFonts w:ascii="Book Antiqua" w:eastAsia="MS ??" w:hAnsi="Book Antiqua" w:cs="Arial"/>
                <w:sz w:val="24"/>
                <w:szCs w:val="24"/>
                <w:lang w:val="en-GB"/>
              </w:rPr>
              <w:t xml:space="preserve"> was 94% for CD and 85% for UC with a relative low specificity</w:t>
            </w:r>
          </w:p>
        </w:tc>
        <w:tc>
          <w:tcPr>
            <w:tcW w:w="1792"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lastRenderedPageBreak/>
              <w:t>99mTc-</w:t>
            </w:r>
            <w:r>
              <w:rPr>
                <w:rFonts w:ascii="Book Antiqua" w:eastAsia="MS ??" w:hAnsi="Book Antiqua" w:cs="Arial"/>
                <w:sz w:val="24"/>
                <w:szCs w:val="24"/>
              </w:rPr>
              <w:lastRenderedPageBreak/>
              <w:t>BW250/183 planar scintigraphy (4 + 24 hrs p.i.)</w:t>
            </w:r>
          </w:p>
        </w:tc>
        <w:tc>
          <w:tcPr>
            <w:tcW w:w="1327" w:type="dxa"/>
          </w:tcPr>
          <w:p w:rsidR="0003376C" w:rsidRDefault="0003376C" w:rsidP="00924331">
            <w:pPr>
              <w:spacing w:after="0" w:line="360" w:lineRule="auto"/>
              <w:jc w:val="both"/>
              <w:rPr>
                <w:rFonts w:ascii="Book Antiqua" w:eastAsia="MS ??" w:hAnsi="Book Antiqua" w:cs="Arial"/>
                <w:sz w:val="24"/>
                <w:szCs w:val="24"/>
              </w:rPr>
            </w:pPr>
          </w:p>
        </w:tc>
        <w:tc>
          <w:tcPr>
            <w:tcW w:w="3969" w:type="dxa"/>
          </w:tcPr>
          <w:p w:rsidR="0003376C" w:rsidRDefault="0003376C" w:rsidP="00924331">
            <w:pPr>
              <w:spacing w:after="0" w:line="360" w:lineRule="auto"/>
              <w:jc w:val="both"/>
              <w:rPr>
                <w:rFonts w:ascii="Book Antiqua" w:eastAsia="MS ??" w:hAnsi="Book Antiqua" w:cs="Arial"/>
                <w:sz w:val="24"/>
                <w:szCs w:val="24"/>
              </w:rPr>
            </w:pPr>
          </w:p>
        </w:tc>
      </w:tr>
      <w:tr w:rsidR="0003376C">
        <w:tc>
          <w:tcPr>
            <w:tcW w:w="959" w:type="dxa"/>
          </w:tcPr>
          <w:p w:rsidR="0003376C" w:rsidRDefault="00C4587B" w:rsidP="00924331">
            <w:pPr>
              <w:spacing w:after="0" w:line="360" w:lineRule="auto"/>
              <w:jc w:val="both"/>
              <w:rPr>
                <w:rFonts w:ascii="Book Antiqua" w:eastAsia="MS ??" w:hAnsi="Book Antiqua" w:cs="Arial"/>
                <w:sz w:val="24"/>
                <w:szCs w:val="24"/>
              </w:rPr>
            </w:pPr>
            <w:hyperlink r:id="rId11" w:history="1">
              <w:r w:rsidR="005739BD">
                <w:rPr>
                  <w:rFonts w:ascii="Book Antiqua" w:eastAsia="MS ??" w:hAnsi="Book Antiqua" w:cs="Arial"/>
                  <w:sz w:val="24"/>
                  <w:szCs w:val="24"/>
                  <w:lang w:val="it-IT"/>
                </w:rPr>
                <w:t xml:space="preserve">Grahnquist </w:t>
              </w:r>
            </w:hyperlink>
            <w:r w:rsidR="005739BD">
              <w:rPr>
                <w:rFonts w:ascii="Book Antiqua" w:eastAsia="MS ??" w:hAnsi="Book Antiqua" w:cs="Arial"/>
                <w:sz w:val="24"/>
                <w:szCs w:val="24"/>
                <w:lang w:val="it-IT"/>
              </w:rPr>
              <w:t xml:space="preserve"> </w:t>
            </w:r>
            <w:r w:rsidR="005739BD">
              <w:rPr>
                <w:rFonts w:ascii="Book Antiqua" w:eastAsia="MS ??" w:hAnsi="Book Antiqua" w:cs="Arial"/>
                <w:i/>
                <w:sz w:val="24"/>
                <w:szCs w:val="24"/>
                <w:lang w:val="it-IT"/>
              </w:rPr>
              <w:t>et al</w:t>
            </w:r>
            <w:r w:rsidR="005739BD">
              <w:rPr>
                <w:rFonts w:ascii="Book Antiqua" w:eastAsia="MS ??" w:hAnsi="Book Antiqua" w:cs="Arial"/>
                <w:sz w:val="24"/>
                <w:szCs w:val="24"/>
                <w:vertAlign w:val="superscript"/>
                <w:lang w:val="it-IT"/>
              </w:rPr>
              <w:t>[</w:t>
            </w:r>
            <w:r w:rsidR="005739BD">
              <w:rPr>
                <w:rFonts w:ascii="Book Antiqua" w:eastAsiaTheme="minorEastAsia" w:hAnsi="Book Antiqua" w:cs="Arial" w:hint="eastAsia"/>
                <w:sz w:val="24"/>
                <w:szCs w:val="24"/>
                <w:vertAlign w:val="superscript"/>
                <w:lang w:val="it-IT" w:eastAsia="zh-CN"/>
              </w:rPr>
              <w:t>39</w:t>
            </w:r>
            <w:r w:rsidR="005739BD">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2003</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95</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2-16</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Prospective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Suspected IBD (</w:t>
            </w:r>
            <w:r>
              <w:rPr>
                <w:rFonts w:ascii="Book Antiqua" w:eastAsia="MS ??" w:hAnsi="Book Antiqua" w:cs="Arial"/>
                <w:sz w:val="24"/>
                <w:szCs w:val="24"/>
                <w:lang w:val="it-IT"/>
              </w:rPr>
              <w:t>screening test)</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As a screening test for children with suspected IBD the calculated sensitivity was 75%, and the specificity was 82%</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(45 min + 3.5 h)</w:t>
            </w:r>
          </w:p>
        </w:tc>
        <w:tc>
          <w:tcPr>
            <w:tcW w:w="1327"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6</w:t>
            </w:r>
          </w:p>
        </w:tc>
        <w:tc>
          <w:tcPr>
            <w:tcW w:w="3969" w:type="dxa"/>
          </w:tcPr>
          <w:p w:rsidR="0003376C" w:rsidRDefault="0003376C" w:rsidP="00924331">
            <w:pPr>
              <w:spacing w:after="0" w:line="360" w:lineRule="auto"/>
              <w:jc w:val="both"/>
              <w:rPr>
                <w:rFonts w:ascii="Book Antiqua" w:eastAsia="MS ??" w:hAnsi="Book Antiqua" w:cs="Arial"/>
                <w:sz w:val="24"/>
                <w:szCs w:val="24"/>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Peacock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40</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2004</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64</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2-19</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Retrospective</w:t>
            </w: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Suspected IBD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99mTc-Stannous colloid WCS had an 88% sensitivity, 90% specificity</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99mTc-stannous colloid WCS planar + SPECT (1 h, 3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03376C" w:rsidP="00924331">
            <w:pPr>
              <w:spacing w:after="0" w:line="360" w:lineRule="auto"/>
              <w:jc w:val="both"/>
              <w:rPr>
                <w:rFonts w:ascii="Book Antiqua" w:eastAsia="MS ??" w:hAnsi="Book Antiqua" w:cs="Arial"/>
                <w:sz w:val="24"/>
                <w:szCs w:val="24"/>
                <w:lang w:val="en-GB"/>
              </w:rPr>
            </w:pP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 xml:space="preserve">Chroustova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48</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2009</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40</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5-18</w:t>
            </w:r>
          </w:p>
        </w:tc>
        <w:tc>
          <w:tcPr>
            <w:tcW w:w="1275" w:type="dxa"/>
          </w:tcPr>
          <w:p w:rsidR="0003376C" w:rsidRDefault="0003376C" w:rsidP="00924331">
            <w:pPr>
              <w:spacing w:after="0" w:line="360" w:lineRule="auto"/>
              <w:jc w:val="both"/>
              <w:rPr>
                <w:rFonts w:ascii="Book Antiqua" w:eastAsia="MS ??" w:hAnsi="Book Antiqua" w:cs="Arial"/>
                <w:sz w:val="24"/>
                <w:szCs w:val="24"/>
              </w:rPr>
            </w:pPr>
          </w:p>
        </w:tc>
        <w:tc>
          <w:tcPr>
            <w:tcW w:w="1134"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Monitoring IBD (17 = UC, 23 = CD)</w:t>
            </w: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provided good information about the current stage of disease in IBD monitoring</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99mTc-HMPAO WBC planar scintigraphy + SPECT (30-45 min, 2 h, 3 h)</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graded 1-3 according to the uptake intensity. Grade 1 = a barely detectable abnormal uptake, grade 3 = an abnormal uptake at least as intense as that in the bone marrow and grade 2 was between these extremes. The extent of the abnormal uptake was subjectively </w:t>
            </w:r>
            <w:proofErr w:type="spellStart"/>
            <w:r>
              <w:rPr>
                <w:rFonts w:ascii="Book Antiqua" w:eastAsia="MS ??" w:hAnsi="Book Antiqua" w:cs="Arial"/>
                <w:sz w:val="24"/>
                <w:szCs w:val="24"/>
                <w:lang w:val="en-GB"/>
              </w:rPr>
              <w:t>classi</w:t>
            </w:r>
            <w:proofErr w:type="spellEnd"/>
            <w:r>
              <w:rPr>
                <w:rFonts w:ascii="Book Antiqua" w:eastAsia="MS ??" w:hAnsi="Book Antiqua" w:cs="Arial"/>
                <w:sz w:val="24"/>
                <w:szCs w:val="24"/>
                <w:lang w:val="en-GB"/>
              </w:rPr>
              <w:t xml:space="preserve">- </w:t>
            </w:r>
            <w:proofErr w:type="spellStart"/>
            <w:r>
              <w:rPr>
                <w:rFonts w:ascii="Book Antiqua" w:eastAsia="MS ??" w:hAnsi="Book Antiqua" w:cs="Arial"/>
                <w:sz w:val="24"/>
                <w:szCs w:val="24"/>
                <w:lang w:val="en-GB"/>
              </w:rPr>
              <w:t>fied</w:t>
            </w:r>
            <w:proofErr w:type="spellEnd"/>
            <w:r>
              <w:rPr>
                <w:rFonts w:ascii="Book Antiqua" w:eastAsia="MS ??" w:hAnsi="Book Antiqua" w:cs="Arial"/>
                <w:sz w:val="24"/>
                <w:szCs w:val="24"/>
                <w:lang w:val="en-GB"/>
              </w:rPr>
              <w:t xml:space="preserve"> as A (restricted to a single small focus), C (diffuse, such as in </w:t>
            </w:r>
            <w:proofErr w:type="spellStart"/>
            <w:r>
              <w:rPr>
                <w:rFonts w:ascii="Book Antiqua" w:eastAsia="MS ??" w:hAnsi="Book Antiqua" w:cs="Arial"/>
                <w:sz w:val="24"/>
                <w:szCs w:val="24"/>
                <w:lang w:val="en-GB"/>
              </w:rPr>
              <w:t>pancolitis</w:t>
            </w:r>
            <w:proofErr w:type="spellEnd"/>
            <w:r>
              <w:rPr>
                <w:rFonts w:ascii="Book Antiqua" w:eastAsia="MS ??" w:hAnsi="Book Antiqua" w:cs="Arial"/>
                <w:sz w:val="24"/>
                <w:szCs w:val="24"/>
                <w:lang w:val="en-GB"/>
              </w:rPr>
              <w:t xml:space="preserve">) or B (between </w:t>
            </w:r>
            <w:r>
              <w:rPr>
                <w:rFonts w:ascii="Book Antiqua" w:eastAsia="MS ??" w:hAnsi="Book Antiqua" w:cs="Arial"/>
                <w:sz w:val="24"/>
                <w:szCs w:val="24"/>
                <w:lang w:val="en-GB"/>
              </w:rPr>
              <w:lastRenderedPageBreak/>
              <w:t>these extremes)</w:t>
            </w:r>
          </w:p>
        </w:tc>
      </w:tr>
      <w:tr w:rsidR="0003376C">
        <w:tc>
          <w:tcPr>
            <w:tcW w:w="95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lastRenderedPageBreak/>
              <w:t xml:space="preserve">Caobelli </w:t>
            </w:r>
            <w:r>
              <w:rPr>
                <w:rFonts w:ascii="Book Antiqua" w:eastAsia="MS ??" w:hAnsi="Book Antiqua" w:cs="Arial"/>
                <w:i/>
                <w:sz w:val="24"/>
                <w:szCs w:val="24"/>
                <w:lang w:val="it-IT"/>
              </w:rPr>
              <w:t>et al</w:t>
            </w:r>
            <w:r>
              <w:rPr>
                <w:rFonts w:ascii="Book Antiqua" w:eastAsia="MS ??" w:hAnsi="Book Antiqua" w:cs="Arial"/>
                <w:sz w:val="24"/>
                <w:szCs w:val="24"/>
                <w:vertAlign w:val="superscript"/>
                <w:lang w:val="it-IT"/>
              </w:rPr>
              <w:t>[</w:t>
            </w:r>
            <w:r>
              <w:rPr>
                <w:rFonts w:ascii="Book Antiqua" w:eastAsiaTheme="minorEastAsia" w:hAnsi="Book Antiqua" w:cs="Arial" w:hint="eastAsia"/>
                <w:sz w:val="24"/>
                <w:szCs w:val="24"/>
                <w:vertAlign w:val="superscript"/>
                <w:lang w:val="it-IT" w:eastAsia="zh-CN"/>
              </w:rPr>
              <w:t>34</w:t>
            </w:r>
            <w:r>
              <w:rPr>
                <w:rFonts w:ascii="Book Antiqua" w:eastAsia="MS ??" w:hAnsi="Book Antiqua" w:cs="Arial"/>
                <w:sz w:val="24"/>
                <w:szCs w:val="24"/>
                <w:vertAlign w:val="superscript"/>
                <w:lang w:val="it-IT"/>
              </w:rPr>
              <w:t>]</w:t>
            </w:r>
          </w:p>
        </w:tc>
        <w:tc>
          <w:tcPr>
            <w:tcW w:w="769"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2011</w:t>
            </w:r>
          </w:p>
        </w:tc>
        <w:tc>
          <w:tcPr>
            <w:tcW w:w="540"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52</w:t>
            </w:r>
          </w:p>
        </w:tc>
        <w:tc>
          <w:tcPr>
            <w:tcW w:w="676"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2-17</w:t>
            </w:r>
          </w:p>
        </w:tc>
        <w:tc>
          <w:tcPr>
            <w:tcW w:w="1275" w:type="dxa"/>
          </w:tcPr>
          <w:p w:rsidR="0003376C" w:rsidRDefault="005739BD" w:rsidP="00924331">
            <w:pPr>
              <w:spacing w:after="0" w:line="360" w:lineRule="auto"/>
              <w:jc w:val="both"/>
              <w:rPr>
                <w:rFonts w:ascii="Book Antiqua" w:eastAsia="MS ??" w:hAnsi="Book Antiqua" w:cs="Arial"/>
                <w:sz w:val="24"/>
                <w:szCs w:val="24"/>
              </w:rPr>
            </w:pPr>
            <w:r>
              <w:rPr>
                <w:rFonts w:ascii="Book Antiqua" w:eastAsia="MS ??" w:hAnsi="Book Antiqua" w:cs="Arial"/>
                <w:sz w:val="24"/>
                <w:szCs w:val="24"/>
              </w:rPr>
              <w:t>Prospective</w:t>
            </w:r>
          </w:p>
        </w:tc>
        <w:tc>
          <w:tcPr>
            <w:tcW w:w="1134" w:type="dxa"/>
          </w:tcPr>
          <w:p w:rsidR="0003376C" w:rsidRDefault="0003376C" w:rsidP="00924331">
            <w:pPr>
              <w:spacing w:after="0" w:line="360" w:lineRule="auto"/>
              <w:jc w:val="both"/>
              <w:rPr>
                <w:rFonts w:ascii="Book Antiqua" w:eastAsia="MS ??" w:hAnsi="Book Antiqua" w:cs="Arial"/>
                <w:sz w:val="24"/>
                <w:szCs w:val="24"/>
              </w:rPr>
            </w:pPr>
          </w:p>
        </w:tc>
        <w:tc>
          <w:tcPr>
            <w:tcW w:w="1843"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sensitivity of 94%, specificity of 86%, and negative predictive value of 96% to diagnose IBD. During the follow-up, all relapses and remissions were correctly recognized</w:t>
            </w:r>
          </w:p>
        </w:tc>
        <w:tc>
          <w:tcPr>
            <w:tcW w:w="1792"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 xml:space="preserve">99mTc-HMPAO WBC planar scintigraphy (0.5 h, 3 </w:t>
            </w:r>
            <w:r>
              <w:rPr>
                <w:rFonts w:ascii="Book Antiqua" w:eastAsiaTheme="minorEastAsia" w:hAnsi="Book Antiqua" w:cs="Arial" w:hint="eastAsia"/>
                <w:sz w:val="24"/>
                <w:szCs w:val="24"/>
                <w:lang w:val="en-GB" w:eastAsia="zh-CN"/>
              </w:rPr>
              <w:t>h</w:t>
            </w:r>
            <w:r>
              <w:rPr>
                <w:rFonts w:ascii="Book Antiqua" w:eastAsia="MS ??" w:hAnsi="Book Antiqua" w:cs="Arial"/>
                <w:sz w:val="24"/>
                <w:szCs w:val="24"/>
                <w:lang w:val="en-GB"/>
              </w:rPr>
              <w:t xml:space="preserve"> </w:t>
            </w:r>
            <w:proofErr w:type="spellStart"/>
            <w:r>
              <w:rPr>
                <w:rFonts w:ascii="Book Antiqua" w:eastAsia="MS ??" w:hAnsi="Book Antiqua" w:cs="Arial"/>
                <w:sz w:val="24"/>
                <w:szCs w:val="24"/>
                <w:lang w:val="en-GB"/>
              </w:rPr>
              <w:t>p.i</w:t>
            </w:r>
            <w:proofErr w:type="spellEnd"/>
            <w:r>
              <w:rPr>
                <w:rFonts w:ascii="Book Antiqua" w:eastAsia="MS ??" w:hAnsi="Book Antiqua" w:cs="Arial"/>
                <w:sz w:val="24"/>
                <w:szCs w:val="24"/>
                <w:lang w:val="en-GB"/>
              </w:rPr>
              <w:t>.)</w:t>
            </w:r>
          </w:p>
        </w:tc>
        <w:tc>
          <w:tcPr>
            <w:tcW w:w="1327" w:type="dxa"/>
          </w:tcPr>
          <w:p w:rsidR="0003376C" w:rsidRDefault="0003376C" w:rsidP="00924331">
            <w:pPr>
              <w:spacing w:after="0" w:line="360" w:lineRule="auto"/>
              <w:jc w:val="both"/>
              <w:rPr>
                <w:rFonts w:ascii="Book Antiqua" w:eastAsia="MS ??" w:hAnsi="Book Antiqua" w:cs="Arial"/>
                <w:sz w:val="24"/>
                <w:szCs w:val="24"/>
                <w:lang w:val="en-GB"/>
              </w:rPr>
            </w:pPr>
          </w:p>
        </w:tc>
        <w:tc>
          <w:tcPr>
            <w:tcW w:w="3969" w:type="dxa"/>
          </w:tcPr>
          <w:p w:rsidR="0003376C" w:rsidRDefault="005739BD" w:rsidP="00924331">
            <w:pPr>
              <w:spacing w:after="0" w:line="360" w:lineRule="auto"/>
              <w:jc w:val="both"/>
              <w:rPr>
                <w:rFonts w:ascii="Book Antiqua" w:eastAsia="MS ??" w:hAnsi="Book Antiqua" w:cs="Arial"/>
                <w:sz w:val="24"/>
                <w:szCs w:val="24"/>
                <w:lang w:val="en-GB"/>
              </w:rPr>
            </w:pPr>
            <w:r>
              <w:rPr>
                <w:rFonts w:ascii="Book Antiqua" w:eastAsia="MS ??" w:hAnsi="Book Antiqua" w:cs="Arial"/>
                <w:sz w:val="24"/>
                <w:szCs w:val="24"/>
                <w:lang w:val="en-GB"/>
              </w:rPr>
              <w:t>Disease severity was graded by the focal uptake intensity versus iliac bone uptake (Scan Activity Index) and compared with Endoscopy Mayo Score.</w:t>
            </w:r>
          </w:p>
        </w:tc>
      </w:tr>
    </w:tbl>
    <w:p w:rsidR="0003376C" w:rsidRDefault="005739BD" w:rsidP="00924331">
      <w:pPr>
        <w:spacing w:after="0" w:line="360" w:lineRule="auto"/>
        <w:jc w:val="both"/>
        <w:rPr>
          <w:rFonts w:ascii="Book Antiqua" w:eastAsiaTheme="minorEastAsia" w:hAnsi="Book Antiqua" w:cs="Arial"/>
          <w:sz w:val="24"/>
          <w:szCs w:val="24"/>
          <w:lang w:val="en-US" w:eastAsia="zh-CN"/>
        </w:rPr>
      </w:pPr>
      <w:r>
        <w:rPr>
          <w:rFonts w:ascii="Book Antiqua" w:hAnsi="Book Antiqua"/>
          <w:sz w:val="24"/>
          <w:szCs w:val="24"/>
          <w:lang w:val="en-GB"/>
        </w:rPr>
        <w:t>SPECT</w:t>
      </w:r>
      <w:r>
        <w:rPr>
          <w:rFonts w:ascii="Book Antiqua" w:eastAsiaTheme="minorEastAsia" w:hAnsi="Book Antiqua" w:cs="Arial" w:hint="eastAsia"/>
          <w:sz w:val="24"/>
          <w:szCs w:val="24"/>
          <w:lang w:val="en-GB" w:eastAsia="zh-CN"/>
        </w:rPr>
        <w:t xml:space="preserve">: </w:t>
      </w:r>
      <w:r>
        <w:rPr>
          <w:rFonts w:ascii="Book Antiqua" w:hAnsi="Book Antiqua" w:cs="Arial"/>
          <w:sz w:val="24"/>
          <w:szCs w:val="24"/>
          <w:lang w:val="en-US"/>
        </w:rPr>
        <w:t xml:space="preserve"> Single photon emission tomography</w:t>
      </w:r>
      <w:r>
        <w:rPr>
          <w:rFonts w:ascii="Book Antiqua" w:eastAsiaTheme="minorEastAsia" w:hAnsi="Book Antiqua" w:cs="Arial" w:hint="eastAsia"/>
          <w:sz w:val="24"/>
          <w:szCs w:val="24"/>
          <w:lang w:val="en-US" w:eastAsia="zh-CN"/>
        </w:rPr>
        <w:t>.</w:t>
      </w:r>
    </w:p>
    <w:sectPr w:rsidR="0003376C">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0B1" w:rsidRDefault="00B520B1">
      <w:pPr>
        <w:spacing w:after="0" w:line="240" w:lineRule="auto"/>
      </w:pPr>
      <w:r>
        <w:separator/>
      </w:r>
    </w:p>
  </w:endnote>
  <w:endnote w:type="continuationSeparator" w:id="0">
    <w:p w:rsidR="00B520B1" w:rsidRDefault="00B5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0B1" w:rsidRDefault="00B520B1">
      <w:pPr>
        <w:spacing w:after="0" w:line="240" w:lineRule="auto"/>
      </w:pPr>
      <w:r>
        <w:separator/>
      </w:r>
    </w:p>
  </w:footnote>
  <w:footnote w:type="continuationSeparator" w:id="0">
    <w:p w:rsidR="00B520B1" w:rsidRDefault="00B520B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AFE"/>
    <w:multiLevelType w:val="hybridMultilevel"/>
    <w:tmpl w:val="1ECCD974"/>
    <w:lvl w:ilvl="0" w:tplc="CB4011C2">
      <w:start w:val="1"/>
      <w:numFmt w:val="decimal"/>
      <w:lvlText w:val="%1."/>
      <w:lvlJc w:val="left"/>
      <w:pPr>
        <w:ind w:left="720" w:hanging="360"/>
      </w:pPr>
      <w:rPr>
        <w:rFonts w:hint="default"/>
        <w:lang w:val="en-G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2D95FDB"/>
    <w:multiLevelType w:val="hybridMultilevel"/>
    <w:tmpl w:val="97B6B3CA"/>
    <w:lvl w:ilvl="0" w:tplc="0CBE52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DB0BBF"/>
    <w:multiLevelType w:val="hybridMultilevel"/>
    <w:tmpl w:val="3B4AEA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9312704"/>
    <w:multiLevelType w:val="hybridMultilevel"/>
    <w:tmpl w:val="1CD46B22"/>
    <w:styleLink w:val="Numerato"/>
    <w:lvl w:ilvl="0" w:tplc="8238396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5A688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5CD48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4CB4C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1ABF5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485D5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04891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22556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AC32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4E3D4531"/>
    <w:multiLevelType w:val="hybridMultilevel"/>
    <w:tmpl w:val="4476F618"/>
    <w:lvl w:ilvl="0" w:tplc="7734A4A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A77F3D"/>
    <w:multiLevelType w:val="hybridMultilevel"/>
    <w:tmpl w:val="1CD46B22"/>
    <w:numStyleLink w:val="Numerato"/>
  </w:abstractNum>
  <w:abstractNum w:abstractNumId="6">
    <w:nsid w:val="60D2259A"/>
    <w:multiLevelType w:val="hybridMultilevel"/>
    <w:tmpl w:val="00762728"/>
    <w:lvl w:ilvl="0" w:tplc="91529A6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805393D"/>
    <w:multiLevelType w:val="hybridMultilevel"/>
    <w:tmpl w:val="9DA8D750"/>
    <w:lvl w:ilvl="0" w:tplc="0807000F">
      <w:start w:val="58"/>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78076DCB"/>
    <w:multiLevelType w:val="hybridMultilevel"/>
    <w:tmpl w:val="2480CA4C"/>
    <w:lvl w:ilvl="0" w:tplc="73F4B7A8">
      <w:numFmt w:val="bullet"/>
      <w:lvlText w:val="-"/>
      <w:lvlJc w:val="left"/>
      <w:pPr>
        <w:ind w:left="720" w:hanging="360"/>
      </w:pPr>
      <w:rPr>
        <w:rFonts w:ascii="Times New Roman" w:eastAsia="Times New Roman" w:hAnsi="Times New Roman"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5"/>
    <w:lvlOverride w:ilvl="0">
      <w:lvl w:ilvl="0" w:tplc="C30664BE">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9" w:hanging="2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8AB402">
        <w:start w:val="1"/>
        <w:numFmt w:val="decimal"/>
        <w:lvlText w:val="%2."/>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3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EAC43A">
        <w:start w:val="1"/>
        <w:numFmt w:val="decimal"/>
        <w:lvlText w:val="%3."/>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9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221B4E">
        <w:start w:val="1"/>
        <w:numFmt w:val="decimal"/>
        <w:lvlText w:val="%4."/>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5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B4525E">
        <w:start w:val="1"/>
        <w:numFmt w:val="decimal"/>
        <w:lvlText w:val="%5."/>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01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8820F2">
        <w:start w:val="1"/>
        <w:numFmt w:val="decimal"/>
        <w:lvlText w:val="%6."/>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7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716277C">
        <w:start w:val="1"/>
        <w:numFmt w:val="decimal"/>
        <w:lvlText w:val="%7."/>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73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6CBB66">
        <w:start w:val="1"/>
        <w:numFmt w:val="decimal"/>
        <w:lvlText w:val="%8."/>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s>
          <w:ind w:left="3099"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A0E505A">
        <w:start w:val="1"/>
        <w:numFmt w:val="decimal"/>
        <w:lvlText w:val="%9."/>
        <w:lvlJc w:val="left"/>
        <w:pPr>
          <w:tabs>
            <w:tab w:val="left" w:pos="708"/>
            <w:tab w:val="left" w:pos="1416"/>
            <w:tab w:val="left" w:pos="2124"/>
            <w:tab w:val="left" w:pos="2832"/>
            <w:tab w:val="num" w:pos="3240"/>
            <w:tab w:val="left" w:pos="3540"/>
            <w:tab w:val="left" w:pos="4248"/>
            <w:tab w:val="left" w:pos="4956"/>
            <w:tab w:val="left" w:pos="5664"/>
            <w:tab w:val="left" w:pos="6372"/>
            <w:tab w:val="left" w:pos="7080"/>
            <w:tab w:val="left" w:pos="7788"/>
            <w:tab w:val="left" w:pos="8496"/>
            <w:tab w:val="left" w:pos="9204"/>
          </w:tabs>
          <w:ind w:left="3459" w:hanging="5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lvlOverride w:ilvl="0">
      <w:lvl w:ilvl="0" w:tplc="C30664BE">
        <w:start w:val="1"/>
        <w:numFmt w:val="decimal"/>
        <w:suff w:val="nothing"/>
        <w:lvlText w:val="%1."/>
        <w:lvlJc w:val="left"/>
        <w:pPr>
          <w:ind w:left="339" w:hanging="3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8AB402">
        <w:start w:val="1"/>
        <w:numFmt w:val="decimal"/>
        <w:lvlText w:val="%2."/>
        <w:lvlJc w:val="left"/>
        <w:pPr>
          <w:tabs>
            <w:tab w:val="num" w:pos="720"/>
          </w:tabs>
          <w:ind w:left="105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EAC43A">
        <w:start w:val="1"/>
        <w:numFmt w:val="decimal"/>
        <w:lvlText w:val="%3."/>
        <w:lvlJc w:val="left"/>
        <w:pPr>
          <w:tabs>
            <w:tab w:val="num" w:pos="1080"/>
          </w:tabs>
          <w:ind w:left="141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221B4E">
        <w:start w:val="1"/>
        <w:numFmt w:val="decimal"/>
        <w:lvlText w:val="%4."/>
        <w:lvlJc w:val="left"/>
        <w:pPr>
          <w:tabs>
            <w:tab w:val="num" w:pos="1440"/>
          </w:tabs>
          <w:ind w:left="177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B4525E">
        <w:start w:val="1"/>
        <w:numFmt w:val="decimal"/>
        <w:lvlText w:val="%5."/>
        <w:lvlJc w:val="left"/>
        <w:pPr>
          <w:tabs>
            <w:tab w:val="num" w:pos="1800"/>
          </w:tabs>
          <w:ind w:left="213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8820F2">
        <w:start w:val="1"/>
        <w:numFmt w:val="decimal"/>
        <w:lvlText w:val="%6."/>
        <w:lvlJc w:val="left"/>
        <w:pPr>
          <w:tabs>
            <w:tab w:val="num" w:pos="2160"/>
          </w:tabs>
          <w:ind w:left="249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716277C">
        <w:start w:val="1"/>
        <w:numFmt w:val="decimal"/>
        <w:lvlText w:val="%7."/>
        <w:lvlJc w:val="left"/>
        <w:pPr>
          <w:tabs>
            <w:tab w:val="num" w:pos="2520"/>
          </w:tabs>
          <w:ind w:left="285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6CBB66">
        <w:start w:val="1"/>
        <w:numFmt w:val="decimal"/>
        <w:lvlText w:val="%8."/>
        <w:lvlJc w:val="left"/>
        <w:pPr>
          <w:tabs>
            <w:tab w:val="num" w:pos="2880"/>
          </w:tabs>
          <w:ind w:left="3219"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A0E505A">
        <w:start w:val="1"/>
        <w:numFmt w:val="decimal"/>
        <w:lvlText w:val="%9."/>
        <w:lvlJc w:val="left"/>
        <w:pPr>
          <w:tabs>
            <w:tab w:val="num" w:pos="3240"/>
          </w:tabs>
          <w:ind w:left="3579" w:hanging="6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5"/>
    <w:lvlOverride w:ilvl="0">
      <w:lvl w:ilvl="0" w:tplc="C30664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8AB40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EAC43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221B4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B4525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8820F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716277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6CBB6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A0E505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5"/>
    <w:lvlOverride w:ilvl="0">
      <w:lvl w:ilvl="0" w:tplc="C30664BE">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8AB402">
        <w:start w:val="1"/>
        <w:numFmt w:val="decimal"/>
        <w:lvlText w:val="%2."/>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EAC43A">
        <w:start w:val="1"/>
        <w:numFmt w:val="decimal"/>
        <w:lvlText w:val="%3."/>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9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221B4E">
        <w:start w:val="1"/>
        <w:numFmt w:val="decimal"/>
        <w:lvlText w:val="%4."/>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5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B4525E">
        <w:start w:val="1"/>
        <w:numFmt w:val="decimal"/>
        <w:lvlText w:val="%5."/>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01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8820F2">
        <w:start w:val="1"/>
        <w:numFmt w:val="decimal"/>
        <w:lvlText w:val="%6."/>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716277C">
        <w:start w:val="1"/>
        <w:numFmt w:val="decimal"/>
        <w:lvlText w:val="%7."/>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7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6CBB66">
        <w:start w:val="1"/>
        <w:numFmt w:val="decimal"/>
        <w:lvlText w:val="%8."/>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s>
          <w:ind w:left="309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A0E505A">
        <w:start w:val="1"/>
        <w:numFmt w:val="decimal"/>
        <w:lvlText w:val="%9."/>
        <w:lvlJc w:val="left"/>
        <w:pPr>
          <w:tabs>
            <w:tab w:val="left" w:pos="708"/>
            <w:tab w:val="left" w:pos="1416"/>
            <w:tab w:val="left" w:pos="2124"/>
            <w:tab w:val="left" w:pos="2832"/>
            <w:tab w:val="num" w:pos="3240"/>
            <w:tab w:val="left" w:pos="3540"/>
            <w:tab w:val="left" w:pos="4248"/>
            <w:tab w:val="left" w:pos="4956"/>
            <w:tab w:val="left" w:pos="5664"/>
            <w:tab w:val="left" w:pos="6372"/>
            <w:tab w:val="left" w:pos="7080"/>
            <w:tab w:val="left" w:pos="7788"/>
            <w:tab w:val="left" w:pos="8496"/>
            <w:tab w:val="left" w:pos="9204"/>
          </w:tabs>
          <w:ind w:left="3456" w:hanging="5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num>
  <w:num w:numId="9">
    <w:abstractNumId w:val="2"/>
  </w:num>
  <w:num w:numId="10">
    <w:abstractNumId w:val="4"/>
  </w:num>
  <w:num w:numId="11">
    <w:abstractNumId w:val="6"/>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76C"/>
    <w:rsid w:val="0003376C"/>
    <w:rsid w:val="0019502C"/>
    <w:rsid w:val="00201838"/>
    <w:rsid w:val="00222F0D"/>
    <w:rsid w:val="00291648"/>
    <w:rsid w:val="003E1FBF"/>
    <w:rsid w:val="005739BD"/>
    <w:rsid w:val="00846D8C"/>
    <w:rsid w:val="008D60D3"/>
    <w:rsid w:val="00924331"/>
    <w:rsid w:val="009C415B"/>
    <w:rsid w:val="009F2248"/>
    <w:rsid w:val="00A0062A"/>
    <w:rsid w:val="00B520B1"/>
    <w:rsid w:val="00B76486"/>
    <w:rsid w:val="00BD4EAD"/>
    <w:rsid w:val="00C4587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numbering" w:customStyle="1" w:styleId="Numerato">
    <w:name w:val="Numerato"/>
    <w:pPr>
      <w:numPr>
        <w:numId w:val="2"/>
      </w:numPr>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de-DE"/>
    </w:rPr>
  </w:style>
  <w:style w:type="character" w:customStyle="1" w:styleId="apple-converted-space">
    <w:name w:val="apple-converted-space"/>
    <w:basedOn w:val="DefaultParagraphFont"/>
  </w:style>
  <w:style w:type="paragraph" w:styleId="Header">
    <w:name w:val="header"/>
    <w:basedOn w:val="Normal"/>
    <w:link w:val="HeaderChar"/>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Pr>
      <w:rFonts w:ascii="Calibri" w:eastAsia="Calibri" w:hAnsi="Calibri" w:cs="Times New Roman"/>
      <w:sz w:val="18"/>
      <w:szCs w:val="18"/>
      <w:lang w:val="de-DE"/>
    </w:rPr>
  </w:style>
  <w:style w:type="paragraph" w:styleId="Footer">
    <w:name w:val="footer"/>
    <w:basedOn w:val="Normal"/>
    <w:link w:val="FooterChar"/>
    <w:uiPriority w:val="99"/>
    <w:unhideWhenUse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Pr>
      <w:rFonts w:ascii="Calibri" w:eastAsia="Calibri" w:hAnsi="Calibri" w:cs="Times New Roman"/>
      <w:sz w:val="18"/>
      <w:szCs w:val="18"/>
      <w:lang w:val="de-DE"/>
    </w:rPr>
  </w:style>
  <w:style w:type="paragraph" w:customStyle="1" w:styleId="Listeafsnit1">
    <w:name w:val="Listeafsnit1"/>
    <w:basedOn w:val="Normal"/>
    <w:pPr>
      <w:ind w:left="720"/>
      <w:contextualSpacing/>
    </w:pPr>
    <w:rPr>
      <w:rFonts w:eastAsia="Times New Roman"/>
      <w:lang w:val="da-DK" w:eastAsia="da-DK"/>
    </w:rPr>
  </w:style>
  <w:style w:type="character" w:styleId="CommentReference">
    <w:name w:val="annotation reference"/>
    <w:basedOn w:val="DefaultParagraphFont"/>
    <w:unhideWhenUsed/>
    <w:rPr>
      <w:sz w:val="21"/>
      <w:szCs w:val="21"/>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rFonts w:ascii="Calibri" w:eastAsia="Calibri" w:hAnsi="Calibri" w:cs="Times New Roman"/>
      <w:lang w:val="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lang w:val="de-DE"/>
    </w:rPr>
  </w:style>
  <w:style w:type="character" w:styleId="Strong">
    <w:name w:val="Strong"/>
    <w:uiPriority w:val="22"/>
    <w:qFormat/>
    <w:rPr>
      <w:b/>
      <w:bCs/>
    </w:rPr>
  </w:style>
  <w:style w:type="paragraph" w:styleId="NormalWeb">
    <w:name w:val="Normal (Web)"/>
    <w:basedOn w:val="Normal"/>
    <w:uiPriority w:val="99"/>
    <w:unhideWhenUsed/>
    <w:rsid w:val="00924331"/>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Emphasis">
    <w:name w:val="Emphasis"/>
    <w:qFormat/>
    <w:rsid w:val="00C4587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numbering" w:customStyle="1" w:styleId="Numerato">
    <w:name w:val="Numerato"/>
    <w:pPr>
      <w:numPr>
        <w:numId w:val="2"/>
      </w:numPr>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de-DE"/>
    </w:rPr>
  </w:style>
  <w:style w:type="character" w:customStyle="1" w:styleId="apple-converted-space">
    <w:name w:val="apple-converted-space"/>
    <w:basedOn w:val="DefaultParagraphFont"/>
  </w:style>
  <w:style w:type="paragraph" w:styleId="Header">
    <w:name w:val="header"/>
    <w:basedOn w:val="Normal"/>
    <w:link w:val="HeaderChar"/>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Pr>
      <w:rFonts w:ascii="Calibri" w:eastAsia="Calibri" w:hAnsi="Calibri" w:cs="Times New Roman"/>
      <w:sz w:val="18"/>
      <w:szCs w:val="18"/>
      <w:lang w:val="de-DE"/>
    </w:rPr>
  </w:style>
  <w:style w:type="paragraph" w:styleId="Footer">
    <w:name w:val="footer"/>
    <w:basedOn w:val="Normal"/>
    <w:link w:val="FooterChar"/>
    <w:uiPriority w:val="99"/>
    <w:unhideWhenUse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Pr>
      <w:rFonts w:ascii="Calibri" w:eastAsia="Calibri" w:hAnsi="Calibri" w:cs="Times New Roman"/>
      <w:sz w:val="18"/>
      <w:szCs w:val="18"/>
      <w:lang w:val="de-DE"/>
    </w:rPr>
  </w:style>
  <w:style w:type="paragraph" w:customStyle="1" w:styleId="Listeafsnit1">
    <w:name w:val="Listeafsnit1"/>
    <w:basedOn w:val="Normal"/>
    <w:pPr>
      <w:ind w:left="720"/>
      <w:contextualSpacing/>
    </w:pPr>
    <w:rPr>
      <w:rFonts w:eastAsia="Times New Roman"/>
      <w:lang w:val="da-DK" w:eastAsia="da-DK"/>
    </w:rPr>
  </w:style>
  <w:style w:type="character" w:styleId="CommentReference">
    <w:name w:val="annotation reference"/>
    <w:basedOn w:val="DefaultParagraphFont"/>
    <w:unhideWhenUsed/>
    <w:rPr>
      <w:sz w:val="21"/>
      <w:szCs w:val="21"/>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rFonts w:ascii="Calibri" w:eastAsia="Calibri" w:hAnsi="Calibri" w:cs="Times New Roman"/>
      <w:lang w:val="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lang w:val="de-DE"/>
    </w:rPr>
  </w:style>
  <w:style w:type="character" w:styleId="Strong">
    <w:name w:val="Strong"/>
    <w:uiPriority w:val="22"/>
    <w:qFormat/>
    <w:rPr>
      <w:b/>
      <w:bCs/>
    </w:rPr>
  </w:style>
  <w:style w:type="paragraph" w:styleId="NormalWeb">
    <w:name w:val="Normal (Web)"/>
    <w:basedOn w:val="Normal"/>
    <w:uiPriority w:val="99"/>
    <w:unhideWhenUsed/>
    <w:rsid w:val="00924331"/>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Emphasis">
    <w:name w:val="Emphasis"/>
    <w:qFormat/>
    <w:rsid w:val="00C4587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841">
      <w:bodyDiv w:val="1"/>
      <w:marLeft w:val="0"/>
      <w:marRight w:val="0"/>
      <w:marTop w:val="0"/>
      <w:marBottom w:val="0"/>
      <w:divBdr>
        <w:top w:val="none" w:sz="0" w:space="0" w:color="auto"/>
        <w:left w:val="none" w:sz="0" w:space="0" w:color="auto"/>
        <w:bottom w:val="none" w:sz="0" w:space="0" w:color="auto"/>
        <w:right w:val="none" w:sz="0" w:space="0" w:color="auto"/>
      </w:divBdr>
    </w:div>
    <w:div w:id="21514684">
      <w:bodyDiv w:val="1"/>
      <w:marLeft w:val="0"/>
      <w:marRight w:val="0"/>
      <w:marTop w:val="0"/>
      <w:marBottom w:val="0"/>
      <w:divBdr>
        <w:top w:val="none" w:sz="0" w:space="0" w:color="auto"/>
        <w:left w:val="none" w:sz="0" w:space="0" w:color="auto"/>
        <w:bottom w:val="none" w:sz="0" w:space="0" w:color="auto"/>
        <w:right w:val="none" w:sz="0" w:space="0" w:color="auto"/>
      </w:divBdr>
    </w:div>
    <w:div w:id="33701560">
      <w:bodyDiv w:val="1"/>
      <w:marLeft w:val="0"/>
      <w:marRight w:val="0"/>
      <w:marTop w:val="0"/>
      <w:marBottom w:val="0"/>
      <w:divBdr>
        <w:top w:val="none" w:sz="0" w:space="0" w:color="auto"/>
        <w:left w:val="none" w:sz="0" w:space="0" w:color="auto"/>
        <w:bottom w:val="none" w:sz="0" w:space="0" w:color="auto"/>
        <w:right w:val="none" w:sz="0" w:space="0" w:color="auto"/>
      </w:divBdr>
    </w:div>
    <w:div w:id="98256300">
      <w:bodyDiv w:val="1"/>
      <w:marLeft w:val="0"/>
      <w:marRight w:val="0"/>
      <w:marTop w:val="0"/>
      <w:marBottom w:val="0"/>
      <w:divBdr>
        <w:top w:val="none" w:sz="0" w:space="0" w:color="auto"/>
        <w:left w:val="none" w:sz="0" w:space="0" w:color="auto"/>
        <w:bottom w:val="none" w:sz="0" w:space="0" w:color="auto"/>
        <w:right w:val="none" w:sz="0" w:space="0" w:color="auto"/>
      </w:divBdr>
    </w:div>
    <w:div w:id="108861616">
      <w:bodyDiv w:val="1"/>
      <w:marLeft w:val="0"/>
      <w:marRight w:val="0"/>
      <w:marTop w:val="0"/>
      <w:marBottom w:val="0"/>
      <w:divBdr>
        <w:top w:val="none" w:sz="0" w:space="0" w:color="auto"/>
        <w:left w:val="none" w:sz="0" w:space="0" w:color="auto"/>
        <w:bottom w:val="none" w:sz="0" w:space="0" w:color="auto"/>
        <w:right w:val="none" w:sz="0" w:space="0" w:color="auto"/>
      </w:divBdr>
    </w:div>
    <w:div w:id="116417392">
      <w:bodyDiv w:val="1"/>
      <w:marLeft w:val="0"/>
      <w:marRight w:val="0"/>
      <w:marTop w:val="0"/>
      <w:marBottom w:val="0"/>
      <w:divBdr>
        <w:top w:val="none" w:sz="0" w:space="0" w:color="auto"/>
        <w:left w:val="none" w:sz="0" w:space="0" w:color="auto"/>
        <w:bottom w:val="none" w:sz="0" w:space="0" w:color="auto"/>
        <w:right w:val="none" w:sz="0" w:space="0" w:color="auto"/>
      </w:divBdr>
    </w:div>
    <w:div w:id="120850737">
      <w:bodyDiv w:val="1"/>
      <w:marLeft w:val="0"/>
      <w:marRight w:val="0"/>
      <w:marTop w:val="0"/>
      <w:marBottom w:val="0"/>
      <w:divBdr>
        <w:top w:val="none" w:sz="0" w:space="0" w:color="auto"/>
        <w:left w:val="none" w:sz="0" w:space="0" w:color="auto"/>
        <w:bottom w:val="none" w:sz="0" w:space="0" w:color="auto"/>
        <w:right w:val="none" w:sz="0" w:space="0" w:color="auto"/>
      </w:divBdr>
    </w:div>
    <w:div w:id="138615962">
      <w:bodyDiv w:val="1"/>
      <w:marLeft w:val="0"/>
      <w:marRight w:val="0"/>
      <w:marTop w:val="0"/>
      <w:marBottom w:val="0"/>
      <w:divBdr>
        <w:top w:val="none" w:sz="0" w:space="0" w:color="auto"/>
        <w:left w:val="none" w:sz="0" w:space="0" w:color="auto"/>
        <w:bottom w:val="none" w:sz="0" w:space="0" w:color="auto"/>
        <w:right w:val="none" w:sz="0" w:space="0" w:color="auto"/>
      </w:divBdr>
    </w:div>
    <w:div w:id="146173570">
      <w:bodyDiv w:val="1"/>
      <w:marLeft w:val="0"/>
      <w:marRight w:val="0"/>
      <w:marTop w:val="0"/>
      <w:marBottom w:val="0"/>
      <w:divBdr>
        <w:top w:val="none" w:sz="0" w:space="0" w:color="auto"/>
        <w:left w:val="none" w:sz="0" w:space="0" w:color="auto"/>
        <w:bottom w:val="none" w:sz="0" w:space="0" w:color="auto"/>
        <w:right w:val="none" w:sz="0" w:space="0" w:color="auto"/>
      </w:divBdr>
    </w:div>
    <w:div w:id="157427372">
      <w:bodyDiv w:val="1"/>
      <w:marLeft w:val="0"/>
      <w:marRight w:val="0"/>
      <w:marTop w:val="0"/>
      <w:marBottom w:val="0"/>
      <w:divBdr>
        <w:top w:val="none" w:sz="0" w:space="0" w:color="auto"/>
        <w:left w:val="none" w:sz="0" w:space="0" w:color="auto"/>
        <w:bottom w:val="none" w:sz="0" w:space="0" w:color="auto"/>
        <w:right w:val="none" w:sz="0" w:space="0" w:color="auto"/>
      </w:divBdr>
    </w:div>
    <w:div w:id="159732203">
      <w:bodyDiv w:val="1"/>
      <w:marLeft w:val="0"/>
      <w:marRight w:val="0"/>
      <w:marTop w:val="0"/>
      <w:marBottom w:val="0"/>
      <w:divBdr>
        <w:top w:val="none" w:sz="0" w:space="0" w:color="auto"/>
        <w:left w:val="none" w:sz="0" w:space="0" w:color="auto"/>
        <w:bottom w:val="none" w:sz="0" w:space="0" w:color="auto"/>
        <w:right w:val="none" w:sz="0" w:space="0" w:color="auto"/>
      </w:divBdr>
    </w:div>
    <w:div w:id="165678769">
      <w:bodyDiv w:val="1"/>
      <w:marLeft w:val="0"/>
      <w:marRight w:val="0"/>
      <w:marTop w:val="0"/>
      <w:marBottom w:val="0"/>
      <w:divBdr>
        <w:top w:val="none" w:sz="0" w:space="0" w:color="auto"/>
        <w:left w:val="none" w:sz="0" w:space="0" w:color="auto"/>
        <w:bottom w:val="none" w:sz="0" w:space="0" w:color="auto"/>
        <w:right w:val="none" w:sz="0" w:space="0" w:color="auto"/>
      </w:divBdr>
    </w:div>
    <w:div w:id="194007969">
      <w:bodyDiv w:val="1"/>
      <w:marLeft w:val="0"/>
      <w:marRight w:val="0"/>
      <w:marTop w:val="0"/>
      <w:marBottom w:val="0"/>
      <w:divBdr>
        <w:top w:val="none" w:sz="0" w:space="0" w:color="auto"/>
        <w:left w:val="none" w:sz="0" w:space="0" w:color="auto"/>
        <w:bottom w:val="none" w:sz="0" w:space="0" w:color="auto"/>
        <w:right w:val="none" w:sz="0" w:space="0" w:color="auto"/>
      </w:divBdr>
    </w:div>
    <w:div w:id="201865323">
      <w:bodyDiv w:val="1"/>
      <w:marLeft w:val="0"/>
      <w:marRight w:val="0"/>
      <w:marTop w:val="0"/>
      <w:marBottom w:val="0"/>
      <w:divBdr>
        <w:top w:val="none" w:sz="0" w:space="0" w:color="auto"/>
        <w:left w:val="none" w:sz="0" w:space="0" w:color="auto"/>
        <w:bottom w:val="none" w:sz="0" w:space="0" w:color="auto"/>
        <w:right w:val="none" w:sz="0" w:space="0" w:color="auto"/>
      </w:divBdr>
    </w:div>
    <w:div w:id="215092783">
      <w:bodyDiv w:val="1"/>
      <w:marLeft w:val="0"/>
      <w:marRight w:val="0"/>
      <w:marTop w:val="0"/>
      <w:marBottom w:val="0"/>
      <w:divBdr>
        <w:top w:val="none" w:sz="0" w:space="0" w:color="auto"/>
        <w:left w:val="none" w:sz="0" w:space="0" w:color="auto"/>
        <w:bottom w:val="none" w:sz="0" w:space="0" w:color="auto"/>
        <w:right w:val="none" w:sz="0" w:space="0" w:color="auto"/>
      </w:divBdr>
    </w:div>
    <w:div w:id="239222300">
      <w:bodyDiv w:val="1"/>
      <w:marLeft w:val="0"/>
      <w:marRight w:val="0"/>
      <w:marTop w:val="0"/>
      <w:marBottom w:val="0"/>
      <w:divBdr>
        <w:top w:val="none" w:sz="0" w:space="0" w:color="auto"/>
        <w:left w:val="none" w:sz="0" w:space="0" w:color="auto"/>
        <w:bottom w:val="none" w:sz="0" w:space="0" w:color="auto"/>
        <w:right w:val="none" w:sz="0" w:space="0" w:color="auto"/>
      </w:divBdr>
    </w:div>
    <w:div w:id="245386297">
      <w:bodyDiv w:val="1"/>
      <w:marLeft w:val="0"/>
      <w:marRight w:val="0"/>
      <w:marTop w:val="0"/>
      <w:marBottom w:val="0"/>
      <w:divBdr>
        <w:top w:val="none" w:sz="0" w:space="0" w:color="auto"/>
        <w:left w:val="none" w:sz="0" w:space="0" w:color="auto"/>
        <w:bottom w:val="none" w:sz="0" w:space="0" w:color="auto"/>
        <w:right w:val="none" w:sz="0" w:space="0" w:color="auto"/>
      </w:divBdr>
    </w:div>
    <w:div w:id="290744790">
      <w:bodyDiv w:val="1"/>
      <w:marLeft w:val="0"/>
      <w:marRight w:val="0"/>
      <w:marTop w:val="0"/>
      <w:marBottom w:val="0"/>
      <w:divBdr>
        <w:top w:val="none" w:sz="0" w:space="0" w:color="auto"/>
        <w:left w:val="none" w:sz="0" w:space="0" w:color="auto"/>
        <w:bottom w:val="none" w:sz="0" w:space="0" w:color="auto"/>
        <w:right w:val="none" w:sz="0" w:space="0" w:color="auto"/>
      </w:divBdr>
    </w:div>
    <w:div w:id="347683044">
      <w:bodyDiv w:val="1"/>
      <w:marLeft w:val="0"/>
      <w:marRight w:val="0"/>
      <w:marTop w:val="0"/>
      <w:marBottom w:val="0"/>
      <w:divBdr>
        <w:top w:val="none" w:sz="0" w:space="0" w:color="auto"/>
        <w:left w:val="none" w:sz="0" w:space="0" w:color="auto"/>
        <w:bottom w:val="none" w:sz="0" w:space="0" w:color="auto"/>
        <w:right w:val="none" w:sz="0" w:space="0" w:color="auto"/>
      </w:divBdr>
    </w:div>
    <w:div w:id="375156793">
      <w:bodyDiv w:val="1"/>
      <w:marLeft w:val="0"/>
      <w:marRight w:val="0"/>
      <w:marTop w:val="0"/>
      <w:marBottom w:val="0"/>
      <w:divBdr>
        <w:top w:val="none" w:sz="0" w:space="0" w:color="auto"/>
        <w:left w:val="none" w:sz="0" w:space="0" w:color="auto"/>
        <w:bottom w:val="none" w:sz="0" w:space="0" w:color="auto"/>
        <w:right w:val="none" w:sz="0" w:space="0" w:color="auto"/>
      </w:divBdr>
    </w:div>
    <w:div w:id="377558442">
      <w:bodyDiv w:val="1"/>
      <w:marLeft w:val="0"/>
      <w:marRight w:val="0"/>
      <w:marTop w:val="0"/>
      <w:marBottom w:val="0"/>
      <w:divBdr>
        <w:top w:val="none" w:sz="0" w:space="0" w:color="auto"/>
        <w:left w:val="none" w:sz="0" w:space="0" w:color="auto"/>
        <w:bottom w:val="none" w:sz="0" w:space="0" w:color="auto"/>
        <w:right w:val="none" w:sz="0" w:space="0" w:color="auto"/>
      </w:divBdr>
    </w:div>
    <w:div w:id="393282638">
      <w:bodyDiv w:val="1"/>
      <w:marLeft w:val="0"/>
      <w:marRight w:val="0"/>
      <w:marTop w:val="0"/>
      <w:marBottom w:val="0"/>
      <w:divBdr>
        <w:top w:val="none" w:sz="0" w:space="0" w:color="auto"/>
        <w:left w:val="none" w:sz="0" w:space="0" w:color="auto"/>
        <w:bottom w:val="none" w:sz="0" w:space="0" w:color="auto"/>
        <w:right w:val="none" w:sz="0" w:space="0" w:color="auto"/>
      </w:divBdr>
    </w:div>
    <w:div w:id="442774114">
      <w:bodyDiv w:val="1"/>
      <w:marLeft w:val="0"/>
      <w:marRight w:val="0"/>
      <w:marTop w:val="0"/>
      <w:marBottom w:val="0"/>
      <w:divBdr>
        <w:top w:val="none" w:sz="0" w:space="0" w:color="auto"/>
        <w:left w:val="none" w:sz="0" w:space="0" w:color="auto"/>
        <w:bottom w:val="none" w:sz="0" w:space="0" w:color="auto"/>
        <w:right w:val="none" w:sz="0" w:space="0" w:color="auto"/>
      </w:divBdr>
    </w:div>
    <w:div w:id="445194058">
      <w:bodyDiv w:val="1"/>
      <w:marLeft w:val="0"/>
      <w:marRight w:val="0"/>
      <w:marTop w:val="0"/>
      <w:marBottom w:val="0"/>
      <w:divBdr>
        <w:top w:val="none" w:sz="0" w:space="0" w:color="auto"/>
        <w:left w:val="none" w:sz="0" w:space="0" w:color="auto"/>
        <w:bottom w:val="none" w:sz="0" w:space="0" w:color="auto"/>
        <w:right w:val="none" w:sz="0" w:space="0" w:color="auto"/>
      </w:divBdr>
    </w:div>
    <w:div w:id="450394000">
      <w:bodyDiv w:val="1"/>
      <w:marLeft w:val="0"/>
      <w:marRight w:val="0"/>
      <w:marTop w:val="0"/>
      <w:marBottom w:val="0"/>
      <w:divBdr>
        <w:top w:val="none" w:sz="0" w:space="0" w:color="auto"/>
        <w:left w:val="none" w:sz="0" w:space="0" w:color="auto"/>
        <w:bottom w:val="none" w:sz="0" w:space="0" w:color="auto"/>
        <w:right w:val="none" w:sz="0" w:space="0" w:color="auto"/>
      </w:divBdr>
    </w:div>
    <w:div w:id="458567809">
      <w:bodyDiv w:val="1"/>
      <w:marLeft w:val="0"/>
      <w:marRight w:val="0"/>
      <w:marTop w:val="0"/>
      <w:marBottom w:val="0"/>
      <w:divBdr>
        <w:top w:val="none" w:sz="0" w:space="0" w:color="auto"/>
        <w:left w:val="none" w:sz="0" w:space="0" w:color="auto"/>
        <w:bottom w:val="none" w:sz="0" w:space="0" w:color="auto"/>
        <w:right w:val="none" w:sz="0" w:space="0" w:color="auto"/>
      </w:divBdr>
    </w:div>
    <w:div w:id="469908358">
      <w:bodyDiv w:val="1"/>
      <w:marLeft w:val="0"/>
      <w:marRight w:val="0"/>
      <w:marTop w:val="0"/>
      <w:marBottom w:val="0"/>
      <w:divBdr>
        <w:top w:val="none" w:sz="0" w:space="0" w:color="auto"/>
        <w:left w:val="none" w:sz="0" w:space="0" w:color="auto"/>
        <w:bottom w:val="none" w:sz="0" w:space="0" w:color="auto"/>
        <w:right w:val="none" w:sz="0" w:space="0" w:color="auto"/>
      </w:divBdr>
    </w:div>
    <w:div w:id="470680967">
      <w:bodyDiv w:val="1"/>
      <w:marLeft w:val="0"/>
      <w:marRight w:val="0"/>
      <w:marTop w:val="0"/>
      <w:marBottom w:val="0"/>
      <w:divBdr>
        <w:top w:val="none" w:sz="0" w:space="0" w:color="auto"/>
        <w:left w:val="none" w:sz="0" w:space="0" w:color="auto"/>
        <w:bottom w:val="none" w:sz="0" w:space="0" w:color="auto"/>
        <w:right w:val="none" w:sz="0" w:space="0" w:color="auto"/>
      </w:divBdr>
    </w:div>
    <w:div w:id="473524346">
      <w:bodyDiv w:val="1"/>
      <w:marLeft w:val="0"/>
      <w:marRight w:val="0"/>
      <w:marTop w:val="0"/>
      <w:marBottom w:val="0"/>
      <w:divBdr>
        <w:top w:val="none" w:sz="0" w:space="0" w:color="auto"/>
        <w:left w:val="none" w:sz="0" w:space="0" w:color="auto"/>
        <w:bottom w:val="none" w:sz="0" w:space="0" w:color="auto"/>
        <w:right w:val="none" w:sz="0" w:space="0" w:color="auto"/>
      </w:divBdr>
    </w:div>
    <w:div w:id="503980494">
      <w:bodyDiv w:val="1"/>
      <w:marLeft w:val="0"/>
      <w:marRight w:val="0"/>
      <w:marTop w:val="0"/>
      <w:marBottom w:val="0"/>
      <w:divBdr>
        <w:top w:val="none" w:sz="0" w:space="0" w:color="auto"/>
        <w:left w:val="none" w:sz="0" w:space="0" w:color="auto"/>
        <w:bottom w:val="none" w:sz="0" w:space="0" w:color="auto"/>
        <w:right w:val="none" w:sz="0" w:space="0" w:color="auto"/>
      </w:divBdr>
    </w:div>
    <w:div w:id="523908374">
      <w:bodyDiv w:val="1"/>
      <w:marLeft w:val="0"/>
      <w:marRight w:val="0"/>
      <w:marTop w:val="0"/>
      <w:marBottom w:val="0"/>
      <w:divBdr>
        <w:top w:val="none" w:sz="0" w:space="0" w:color="auto"/>
        <w:left w:val="none" w:sz="0" w:space="0" w:color="auto"/>
        <w:bottom w:val="none" w:sz="0" w:space="0" w:color="auto"/>
        <w:right w:val="none" w:sz="0" w:space="0" w:color="auto"/>
      </w:divBdr>
    </w:div>
    <w:div w:id="554048941">
      <w:bodyDiv w:val="1"/>
      <w:marLeft w:val="0"/>
      <w:marRight w:val="0"/>
      <w:marTop w:val="0"/>
      <w:marBottom w:val="0"/>
      <w:divBdr>
        <w:top w:val="none" w:sz="0" w:space="0" w:color="auto"/>
        <w:left w:val="none" w:sz="0" w:space="0" w:color="auto"/>
        <w:bottom w:val="none" w:sz="0" w:space="0" w:color="auto"/>
        <w:right w:val="none" w:sz="0" w:space="0" w:color="auto"/>
      </w:divBdr>
    </w:div>
    <w:div w:id="557589277">
      <w:bodyDiv w:val="1"/>
      <w:marLeft w:val="0"/>
      <w:marRight w:val="0"/>
      <w:marTop w:val="0"/>
      <w:marBottom w:val="0"/>
      <w:divBdr>
        <w:top w:val="none" w:sz="0" w:space="0" w:color="auto"/>
        <w:left w:val="none" w:sz="0" w:space="0" w:color="auto"/>
        <w:bottom w:val="none" w:sz="0" w:space="0" w:color="auto"/>
        <w:right w:val="none" w:sz="0" w:space="0" w:color="auto"/>
      </w:divBdr>
    </w:div>
    <w:div w:id="609241550">
      <w:bodyDiv w:val="1"/>
      <w:marLeft w:val="0"/>
      <w:marRight w:val="0"/>
      <w:marTop w:val="0"/>
      <w:marBottom w:val="0"/>
      <w:divBdr>
        <w:top w:val="none" w:sz="0" w:space="0" w:color="auto"/>
        <w:left w:val="none" w:sz="0" w:space="0" w:color="auto"/>
        <w:bottom w:val="none" w:sz="0" w:space="0" w:color="auto"/>
        <w:right w:val="none" w:sz="0" w:space="0" w:color="auto"/>
      </w:divBdr>
    </w:div>
    <w:div w:id="610556559">
      <w:bodyDiv w:val="1"/>
      <w:marLeft w:val="0"/>
      <w:marRight w:val="0"/>
      <w:marTop w:val="0"/>
      <w:marBottom w:val="0"/>
      <w:divBdr>
        <w:top w:val="none" w:sz="0" w:space="0" w:color="auto"/>
        <w:left w:val="none" w:sz="0" w:space="0" w:color="auto"/>
        <w:bottom w:val="none" w:sz="0" w:space="0" w:color="auto"/>
        <w:right w:val="none" w:sz="0" w:space="0" w:color="auto"/>
      </w:divBdr>
    </w:div>
    <w:div w:id="625432449">
      <w:bodyDiv w:val="1"/>
      <w:marLeft w:val="0"/>
      <w:marRight w:val="0"/>
      <w:marTop w:val="0"/>
      <w:marBottom w:val="0"/>
      <w:divBdr>
        <w:top w:val="none" w:sz="0" w:space="0" w:color="auto"/>
        <w:left w:val="none" w:sz="0" w:space="0" w:color="auto"/>
        <w:bottom w:val="none" w:sz="0" w:space="0" w:color="auto"/>
        <w:right w:val="none" w:sz="0" w:space="0" w:color="auto"/>
      </w:divBdr>
    </w:div>
    <w:div w:id="627400682">
      <w:bodyDiv w:val="1"/>
      <w:marLeft w:val="0"/>
      <w:marRight w:val="0"/>
      <w:marTop w:val="0"/>
      <w:marBottom w:val="0"/>
      <w:divBdr>
        <w:top w:val="none" w:sz="0" w:space="0" w:color="auto"/>
        <w:left w:val="none" w:sz="0" w:space="0" w:color="auto"/>
        <w:bottom w:val="none" w:sz="0" w:space="0" w:color="auto"/>
        <w:right w:val="none" w:sz="0" w:space="0" w:color="auto"/>
      </w:divBdr>
    </w:div>
    <w:div w:id="639387841">
      <w:bodyDiv w:val="1"/>
      <w:marLeft w:val="0"/>
      <w:marRight w:val="0"/>
      <w:marTop w:val="0"/>
      <w:marBottom w:val="0"/>
      <w:divBdr>
        <w:top w:val="none" w:sz="0" w:space="0" w:color="auto"/>
        <w:left w:val="none" w:sz="0" w:space="0" w:color="auto"/>
        <w:bottom w:val="none" w:sz="0" w:space="0" w:color="auto"/>
        <w:right w:val="none" w:sz="0" w:space="0" w:color="auto"/>
      </w:divBdr>
    </w:div>
    <w:div w:id="655303246">
      <w:bodyDiv w:val="1"/>
      <w:marLeft w:val="0"/>
      <w:marRight w:val="0"/>
      <w:marTop w:val="0"/>
      <w:marBottom w:val="0"/>
      <w:divBdr>
        <w:top w:val="none" w:sz="0" w:space="0" w:color="auto"/>
        <w:left w:val="none" w:sz="0" w:space="0" w:color="auto"/>
        <w:bottom w:val="none" w:sz="0" w:space="0" w:color="auto"/>
        <w:right w:val="none" w:sz="0" w:space="0" w:color="auto"/>
      </w:divBdr>
    </w:div>
    <w:div w:id="667247843">
      <w:bodyDiv w:val="1"/>
      <w:marLeft w:val="0"/>
      <w:marRight w:val="0"/>
      <w:marTop w:val="0"/>
      <w:marBottom w:val="0"/>
      <w:divBdr>
        <w:top w:val="none" w:sz="0" w:space="0" w:color="auto"/>
        <w:left w:val="none" w:sz="0" w:space="0" w:color="auto"/>
        <w:bottom w:val="none" w:sz="0" w:space="0" w:color="auto"/>
        <w:right w:val="none" w:sz="0" w:space="0" w:color="auto"/>
      </w:divBdr>
    </w:div>
    <w:div w:id="667948015">
      <w:bodyDiv w:val="1"/>
      <w:marLeft w:val="0"/>
      <w:marRight w:val="0"/>
      <w:marTop w:val="0"/>
      <w:marBottom w:val="0"/>
      <w:divBdr>
        <w:top w:val="none" w:sz="0" w:space="0" w:color="auto"/>
        <w:left w:val="none" w:sz="0" w:space="0" w:color="auto"/>
        <w:bottom w:val="none" w:sz="0" w:space="0" w:color="auto"/>
        <w:right w:val="none" w:sz="0" w:space="0" w:color="auto"/>
      </w:divBdr>
    </w:div>
    <w:div w:id="676076442">
      <w:bodyDiv w:val="1"/>
      <w:marLeft w:val="0"/>
      <w:marRight w:val="0"/>
      <w:marTop w:val="0"/>
      <w:marBottom w:val="0"/>
      <w:divBdr>
        <w:top w:val="none" w:sz="0" w:space="0" w:color="auto"/>
        <w:left w:val="none" w:sz="0" w:space="0" w:color="auto"/>
        <w:bottom w:val="none" w:sz="0" w:space="0" w:color="auto"/>
        <w:right w:val="none" w:sz="0" w:space="0" w:color="auto"/>
      </w:divBdr>
    </w:div>
    <w:div w:id="686903443">
      <w:bodyDiv w:val="1"/>
      <w:marLeft w:val="0"/>
      <w:marRight w:val="0"/>
      <w:marTop w:val="0"/>
      <w:marBottom w:val="0"/>
      <w:divBdr>
        <w:top w:val="none" w:sz="0" w:space="0" w:color="auto"/>
        <w:left w:val="none" w:sz="0" w:space="0" w:color="auto"/>
        <w:bottom w:val="none" w:sz="0" w:space="0" w:color="auto"/>
        <w:right w:val="none" w:sz="0" w:space="0" w:color="auto"/>
      </w:divBdr>
    </w:div>
    <w:div w:id="703596713">
      <w:bodyDiv w:val="1"/>
      <w:marLeft w:val="0"/>
      <w:marRight w:val="0"/>
      <w:marTop w:val="0"/>
      <w:marBottom w:val="0"/>
      <w:divBdr>
        <w:top w:val="none" w:sz="0" w:space="0" w:color="auto"/>
        <w:left w:val="none" w:sz="0" w:space="0" w:color="auto"/>
        <w:bottom w:val="none" w:sz="0" w:space="0" w:color="auto"/>
        <w:right w:val="none" w:sz="0" w:space="0" w:color="auto"/>
      </w:divBdr>
    </w:div>
    <w:div w:id="722875773">
      <w:bodyDiv w:val="1"/>
      <w:marLeft w:val="0"/>
      <w:marRight w:val="0"/>
      <w:marTop w:val="0"/>
      <w:marBottom w:val="0"/>
      <w:divBdr>
        <w:top w:val="none" w:sz="0" w:space="0" w:color="auto"/>
        <w:left w:val="none" w:sz="0" w:space="0" w:color="auto"/>
        <w:bottom w:val="none" w:sz="0" w:space="0" w:color="auto"/>
        <w:right w:val="none" w:sz="0" w:space="0" w:color="auto"/>
      </w:divBdr>
    </w:div>
    <w:div w:id="740103456">
      <w:bodyDiv w:val="1"/>
      <w:marLeft w:val="0"/>
      <w:marRight w:val="0"/>
      <w:marTop w:val="0"/>
      <w:marBottom w:val="0"/>
      <w:divBdr>
        <w:top w:val="none" w:sz="0" w:space="0" w:color="auto"/>
        <w:left w:val="none" w:sz="0" w:space="0" w:color="auto"/>
        <w:bottom w:val="none" w:sz="0" w:space="0" w:color="auto"/>
        <w:right w:val="none" w:sz="0" w:space="0" w:color="auto"/>
      </w:divBdr>
    </w:div>
    <w:div w:id="761415413">
      <w:bodyDiv w:val="1"/>
      <w:marLeft w:val="0"/>
      <w:marRight w:val="0"/>
      <w:marTop w:val="0"/>
      <w:marBottom w:val="0"/>
      <w:divBdr>
        <w:top w:val="none" w:sz="0" w:space="0" w:color="auto"/>
        <w:left w:val="none" w:sz="0" w:space="0" w:color="auto"/>
        <w:bottom w:val="none" w:sz="0" w:space="0" w:color="auto"/>
        <w:right w:val="none" w:sz="0" w:space="0" w:color="auto"/>
      </w:divBdr>
      <w:divsChild>
        <w:div w:id="2070306377">
          <w:marLeft w:val="0"/>
          <w:marRight w:val="0"/>
          <w:marTop w:val="0"/>
          <w:marBottom w:val="0"/>
          <w:divBdr>
            <w:top w:val="none" w:sz="0" w:space="0" w:color="auto"/>
            <w:left w:val="none" w:sz="0" w:space="0" w:color="auto"/>
            <w:bottom w:val="none" w:sz="0" w:space="0" w:color="auto"/>
            <w:right w:val="none" w:sz="0" w:space="0" w:color="auto"/>
          </w:divBdr>
        </w:div>
      </w:divsChild>
    </w:div>
    <w:div w:id="768506121">
      <w:bodyDiv w:val="1"/>
      <w:marLeft w:val="0"/>
      <w:marRight w:val="0"/>
      <w:marTop w:val="0"/>
      <w:marBottom w:val="0"/>
      <w:divBdr>
        <w:top w:val="none" w:sz="0" w:space="0" w:color="auto"/>
        <w:left w:val="none" w:sz="0" w:space="0" w:color="auto"/>
        <w:bottom w:val="none" w:sz="0" w:space="0" w:color="auto"/>
        <w:right w:val="none" w:sz="0" w:space="0" w:color="auto"/>
      </w:divBdr>
    </w:div>
    <w:div w:id="771319586">
      <w:bodyDiv w:val="1"/>
      <w:marLeft w:val="0"/>
      <w:marRight w:val="0"/>
      <w:marTop w:val="0"/>
      <w:marBottom w:val="0"/>
      <w:divBdr>
        <w:top w:val="none" w:sz="0" w:space="0" w:color="auto"/>
        <w:left w:val="none" w:sz="0" w:space="0" w:color="auto"/>
        <w:bottom w:val="none" w:sz="0" w:space="0" w:color="auto"/>
        <w:right w:val="none" w:sz="0" w:space="0" w:color="auto"/>
      </w:divBdr>
    </w:div>
    <w:div w:id="798260258">
      <w:bodyDiv w:val="1"/>
      <w:marLeft w:val="0"/>
      <w:marRight w:val="0"/>
      <w:marTop w:val="0"/>
      <w:marBottom w:val="0"/>
      <w:divBdr>
        <w:top w:val="none" w:sz="0" w:space="0" w:color="auto"/>
        <w:left w:val="none" w:sz="0" w:space="0" w:color="auto"/>
        <w:bottom w:val="none" w:sz="0" w:space="0" w:color="auto"/>
        <w:right w:val="none" w:sz="0" w:space="0" w:color="auto"/>
      </w:divBdr>
    </w:div>
    <w:div w:id="826942944">
      <w:bodyDiv w:val="1"/>
      <w:marLeft w:val="0"/>
      <w:marRight w:val="0"/>
      <w:marTop w:val="0"/>
      <w:marBottom w:val="0"/>
      <w:divBdr>
        <w:top w:val="none" w:sz="0" w:space="0" w:color="auto"/>
        <w:left w:val="none" w:sz="0" w:space="0" w:color="auto"/>
        <w:bottom w:val="none" w:sz="0" w:space="0" w:color="auto"/>
        <w:right w:val="none" w:sz="0" w:space="0" w:color="auto"/>
      </w:divBdr>
    </w:div>
    <w:div w:id="833685128">
      <w:bodyDiv w:val="1"/>
      <w:marLeft w:val="0"/>
      <w:marRight w:val="0"/>
      <w:marTop w:val="0"/>
      <w:marBottom w:val="0"/>
      <w:divBdr>
        <w:top w:val="none" w:sz="0" w:space="0" w:color="auto"/>
        <w:left w:val="none" w:sz="0" w:space="0" w:color="auto"/>
        <w:bottom w:val="none" w:sz="0" w:space="0" w:color="auto"/>
        <w:right w:val="none" w:sz="0" w:space="0" w:color="auto"/>
      </w:divBdr>
    </w:div>
    <w:div w:id="854467458">
      <w:bodyDiv w:val="1"/>
      <w:marLeft w:val="0"/>
      <w:marRight w:val="0"/>
      <w:marTop w:val="0"/>
      <w:marBottom w:val="0"/>
      <w:divBdr>
        <w:top w:val="none" w:sz="0" w:space="0" w:color="auto"/>
        <w:left w:val="none" w:sz="0" w:space="0" w:color="auto"/>
        <w:bottom w:val="none" w:sz="0" w:space="0" w:color="auto"/>
        <w:right w:val="none" w:sz="0" w:space="0" w:color="auto"/>
      </w:divBdr>
    </w:div>
    <w:div w:id="865600707">
      <w:bodyDiv w:val="1"/>
      <w:marLeft w:val="0"/>
      <w:marRight w:val="0"/>
      <w:marTop w:val="0"/>
      <w:marBottom w:val="0"/>
      <w:divBdr>
        <w:top w:val="none" w:sz="0" w:space="0" w:color="auto"/>
        <w:left w:val="none" w:sz="0" w:space="0" w:color="auto"/>
        <w:bottom w:val="none" w:sz="0" w:space="0" w:color="auto"/>
        <w:right w:val="none" w:sz="0" w:space="0" w:color="auto"/>
      </w:divBdr>
    </w:div>
    <w:div w:id="880819541">
      <w:bodyDiv w:val="1"/>
      <w:marLeft w:val="0"/>
      <w:marRight w:val="0"/>
      <w:marTop w:val="0"/>
      <w:marBottom w:val="0"/>
      <w:divBdr>
        <w:top w:val="none" w:sz="0" w:space="0" w:color="auto"/>
        <w:left w:val="none" w:sz="0" w:space="0" w:color="auto"/>
        <w:bottom w:val="none" w:sz="0" w:space="0" w:color="auto"/>
        <w:right w:val="none" w:sz="0" w:space="0" w:color="auto"/>
      </w:divBdr>
    </w:div>
    <w:div w:id="889658144">
      <w:bodyDiv w:val="1"/>
      <w:marLeft w:val="0"/>
      <w:marRight w:val="0"/>
      <w:marTop w:val="0"/>
      <w:marBottom w:val="0"/>
      <w:divBdr>
        <w:top w:val="none" w:sz="0" w:space="0" w:color="auto"/>
        <w:left w:val="none" w:sz="0" w:space="0" w:color="auto"/>
        <w:bottom w:val="none" w:sz="0" w:space="0" w:color="auto"/>
        <w:right w:val="none" w:sz="0" w:space="0" w:color="auto"/>
      </w:divBdr>
    </w:div>
    <w:div w:id="891162288">
      <w:bodyDiv w:val="1"/>
      <w:marLeft w:val="0"/>
      <w:marRight w:val="0"/>
      <w:marTop w:val="0"/>
      <w:marBottom w:val="0"/>
      <w:divBdr>
        <w:top w:val="none" w:sz="0" w:space="0" w:color="auto"/>
        <w:left w:val="none" w:sz="0" w:space="0" w:color="auto"/>
        <w:bottom w:val="none" w:sz="0" w:space="0" w:color="auto"/>
        <w:right w:val="none" w:sz="0" w:space="0" w:color="auto"/>
      </w:divBdr>
    </w:div>
    <w:div w:id="897205953">
      <w:bodyDiv w:val="1"/>
      <w:marLeft w:val="0"/>
      <w:marRight w:val="0"/>
      <w:marTop w:val="0"/>
      <w:marBottom w:val="0"/>
      <w:divBdr>
        <w:top w:val="none" w:sz="0" w:space="0" w:color="auto"/>
        <w:left w:val="none" w:sz="0" w:space="0" w:color="auto"/>
        <w:bottom w:val="none" w:sz="0" w:space="0" w:color="auto"/>
        <w:right w:val="none" w:sz="0" w:space="0" w:color="auto"/>
      </w:divBdr>
    </w:div>
    <w:div w:id="902376012">
      <w:bodyDiv w:val="1"/>
      <w:marLeft w:val="0"/>
      <w:marRight w:val="0"/>
      <w:marTop w:val="0"/>
      <w:marBottom w:val="0"/>
      <w:divBdr>
        <w:top w:val="none" w:sz="0" w:space="0" w:color="auto"/>
        <w:left w:val="none" w:sz="0" w:space="0" w:color="auto"/>
        <w:bottom w:val="none" w:sz="0" w:space="0" w:color="auto"/>
        <w:right w:val="none" w:sz="0" w:space="0" w:color="auto"/>
      </w:divBdr>
    </w:div>
    <w:div w:id="909316767">
      <w:bodyDiv w:val="1"/>
      <w:marLeft w:val="0"/>
      <w:marRight w:val="0"/>
      <w:marTop w:val="0"/>
      <w:marBottom w:val="0"/>
      <w:divBdr>
        <w:top w:val="none" w:sz="0" w:space="0" w:color="auto"/>
        <w:left w:val="none" w:sz="0" w:space="0" w:color="auto"/>
        <w:bottom w:val="none" w:sz="0" w:space="0" w:color="auto"/>
        <w:right w:val="none" w:sz="0" w:space="0" w:color="auto"/>
      </w:divBdr>
    </w:div>
    <w:div w:id="922908885">
      <w:bodyDiv w:val="1"/>
      <w:marLeft w:val="0"/>
      <w:marRight w:val="0"/>
      <w:marTop w:val="0"/>
      <w:marBottom w:val="0"/>
      <w:divBdr>
        <w:top w:val="none" w:sz="0" w:space="0" w:color="auto"/>
        <w:left w:val="none" w:sz="0" w:space="0" w:color="auto"/>
        <w:bottom w:val="none" w:sz="0" w:space="0" w:color="auto"/>
        <w:right w:val="none" w:sz="0" w:space="0" w:color="auto"/>
      </w:divBdr>
    </w:div>
    <w:div w:id="927806525">
      <w:bodyDiv w:val="1"/>
      <w:marLeft w:val="0"/>
      <w:marRight w:val="0"/>
      <w:marTop w:val="0"/>
      <w:marBottom w:val="0"/>
      <w:divBdr>
        <w:top w:val="none" w:sz="0" w:space="0" w:color="auto"/>
        <w:left w:val="none" w:sz="0" w:space="0" w:color="auto"/>
        <w:bottom w:val="none" w:sz="0" w:space="0" w:color="auto"/>
        <w:right w:val="none" w:sz="0" w:space="0" w:color="auto"/>
      </w:divBdr>
    </w:div>
    <w:div w:id="931162778">
      <w:bodyDiv w:val="1"/>
      <w:marLeft w:val="0"/>
      <w:marRight w:val="0"/>
      <w:marTop w:val="0"/>
      <w:marBottom w:val="0"/>
      <w:divBdr>
        <w:top w:val="none" w:sz="0" w:space="0" w:color="auto"/>
        <w:left w:val="none" w:sz="0" w:space="0" w:color="auto"/>
        <w:bottom w:val="none" w:sz="0" w:space="0" w:color="auto"/>
        <w:right w:val="none" w:sz="0" w:space="0" w:color="auto"/>
      </w:divBdr>
    </w:div>
    <w:div w:id="997929007">
      <w:bodyDiv w:val="1"/>
      <w:marLeft w:val="0"/>
      <w:marRight w:val="0"/>
      <w:marTop w:val="0"/>
      <w:marBottom w:val="0"/>
      <w:divBdr>
        <w:top w:val="none" w:sz="0" w:space="0" w:color="auto"/>
        <w:left w:val="none" w:sz="0" w:space="0" w:color="auto"/>
        <w:bottom w:val="none" w:sz="0" w:space="0" w:color="auto"/>
        <w:right w:val="none" w:sz="0" w:space="0" w:color="auto"/>
      </w:divBdr>
    </w:div>
    <w:div w:id="998115150">
      <w:bodyDiv w:val="1"/>
      <w:marLeft w:val="0"/>
      <w:marRight w:val="0"/>
      <w:marTop w:val="0"/>
      <w:marBottom w:val="0"/>
      <w:divBdr>
        <w:top w:val="none" w:sz="0" w:space="0" w:color="auto"/>
        <w:left w:val="none" w:sz="0" w:space="0" w:color="auto"/>
        <w:bottom w:val="none" w:sz="0" w:space="0" w:color="auto"/>
        <w:right w:val="none" w:sz="0" w:space="0" w:color="auto"/>
      </w:divBdr>
    </w:div>
    <w:div w:id="1009527412">
      <w:bodyDiv w:val="1"/>
      <w:marLeft w:val="0"/>
      <w:marRight w:val="0"/>
      <w:marTop w:val="0"/>
      <w:marBottom w:val="0"/>
      <w:divBdr>
        <w:top w:val="none" w:sz="0" w:space="0" w:color="auto"/>
        <w:left w:val="none" w:sz="0" w:space="0" w:color="auto"/>
        <w:bottom w:val="none" w:sz="0" w:space="0" w:color="auto"/>
        <w:right w:val="none" w:sz="0" w:space="0" w:color="auto"/>
      </w:divBdr>
    </w:div>
    <w:div w:id="1027829627">
      <w:bodyDiv w:val="1"/>
      <w:marLeft w:val="0"/>
      <w:marRight w:val="0"/>
      <w:marTop w:val="0"/>
      <w:marBottom w:val="0"/>
      <w:divBdr>
        <w:top w:val="none" w:sz="0" w:space="0" w:color="auto"/>
        <w:left w:val="none" w:sz="0" w:space="0" w:color="auto"/>
        <w:bottom w:val="none" w:sz="0" w:space="0" w:color="auto"/>
        <w:right w:val="none" w:sz="0" w:space="0" w:color="auto"/>
      </w:divBdr>
    </w:div>
    <w:div w:id="1051882235">
      <w:bodyDiv w:val="1"/>
      <w:marLeft w:val="0"/>
      <w:marRight w:val="0"/>
      <w:marTop w:val="0"/>
      <w:marBottom w:val="0"/>
      <w:divBdr>
        <w:top w:val="none" w:sz="0" w:space="0" w:color="auto"/>
        <w:left w:val="none" w:sz="0" w:space="0" w:color="auto"/>
        <w:bottom w:val="none" w:sz="0" w:space="0" w:color="auto"/>
        <w:right w:val="none" w:sz="0" w:space="0" w:color="auto"/>
      </w:divBdr>
    </w:div>
    <w:div w:id="1059330326">
      <w:bodyDiv w:val="1"/>
      <w:marLeft w:val="0"/>
      <w:marRight w:val="0"/>
      <w:marTop w:val="0"/>
      <w:marBottom w:val="0"/>
      <w:divBdr>
        <w:top w:val="none" w:sz="0" w:space="0" w:color="auto"/>
        <w:left w:val="none" w:sz="0" w:space="0" w:color="auto"/>
        <w:bottom w:val="none" w:sz="0" w:space="0" w:color="auto"/>
        <w:right w:val="none" w:sz="0" w:space="0" w:color="auto"/>
      </w:divBdr>
    </w:div>
    <w:div w:id="1063868913">
      <w:bodyDiv w:val="1"/>
      <w:marLeft w:val="0"/>
      <w:marRight w:val="0"/>
      <w:marTop w:val="0"/>
      <w:marBottom w:val="0"/>
      <w:divBdr>
        <w:top w:val="none" w:sz="0" w:space="0" w:color="auto"/>
        <w:left w:val="none" w:sz="0" w:space="0" w:color="auto"/>
        <w:bottom w:val="none" w:sz="0" w:space="0" w:color="auto"/>
        <w:right w:val="none" w:sz="0" w:space="0" w:color="auto"/>
      </w:divBdr>
    </w:div>
    <w:div w:id="1103187450">
      <w:bodyDiv w:val="1"/>
      <w:marLeft w:val="0"/>
      <w:marRight w:val="0"/>
      <w:marTop w:val="0"/>
      <w:marBottom w:val="0"/>
      <w:divBdr>
        <w:top w:val="none" w:sz="0" w:space="0" w:color="auto"/>
        <w:left w:val="none" w:sz="0" w:space="0" w:color="auto"/>
        <w:bottom w:val="none" w:sz="0" w:space="0" w:color="auto"/>
        <w:right w:val="none" w:sz="0" w:space="0" w:color="auto"/>
      </w:divBdr>
    </w:div>
    <w:div w:id="1114444230">
      <w:bodyDiv w:val="1"/>
      <w:marLeft w:val="0"/>
      <w:marRight w:val="0"/>
      <w:marTop w:val="0"/>
      <w:marBottom w:val="0"/>
      <w:divBdr>
        <w:top w:val="none" w:sz="0" w:space="0" w:color="auto"/>
        <w:left w:val="none" w:sz="0" w:space="0" w:color="auto"/>
        <w:bottom w:val="none" w:sz="0" w:space="0" w:color="auto"/>
        <w:right w:val="none" w:sz="0" w:space="0" w:color="auto"/>
      </w:divBdr>
    </w:div>
    <w:div w:id="1126313908">
      <w:bodyDiv w:val="1"/>
      <w:marLeft w:val="0"/>
      <w:marRight w:val="0"/>
      <w:marTop w:val="0"/>
      <w:marBottom w:val="0"/>
      <w:divBdr>
        <w:top w:val="none" w:sz="0" w:space="0" w:color="auto"/>
        <w:left w:val="none" w:sz="0" w:space="0" w:color="auto"/>
        <w:bottom w:val="none" w:sz="0" w:space="0" w:color="auto"/>
        <w:right w:val="none" w:sz="0" w:space="0" w:color="auto"/>
      </w:divBdr>
    </w:div>
    <w:div w:id="1141192326">
      <w:bodyDiv w:val="1"/>
      <w:marLeft w:val="0"/>
      <w:marRight w:val="0"/>
      <w:marTop w:val="0"/>
      <w:marBottom w:val="0"/>
      <w:divBdr>
        <w:top w:val="none" w:sz="0" w:space="0" w:color="auto"/>
        <w:left w:val="none" w:sz="0" w:space="0" w:color="auto"/>
        <w:bottom w:val="none" w:sz="0" w:space="0" w:color="auto"/>
        <w:right w:val="none" w:sz="0" w:space="0" w:color="auto"/>
      </w:divBdr>
    </w:div>
    <w:div w:id="1154568181">
      <w:bodyDiv w:val="1"/>
      <w:marLeft w:val="0"/>
      <w:marRight w:val="0"/>
      <w:marTop w:val="0"/>
      <w:marBottom w:val="0"/>
      <w:divBdr>
        <w:top w:val="none" w:sz="0" w:space="0" w:color="auto"/>
        <w:left w:val="none" w:sz="0" w:space="0" w:color="auto"/>
        <w:bottom w:val="none" w:sz="0" w:space="0" w:color="auto"/>
        <w:right w:val="none" w:sz="0" w:space="0" w:color="auto"/>
      </w:divBdr>
    </w:div>
    <w:div w:id="1165127959">
      <w:bodyDiv w:val="1"/>
      <w:marLeft w:val="0"/>
      <w:marRight w:val="0"/>
      <w:marTop w:val="0"/>
      <w:marBottom w:val="0"/>
      <w:divBdr>
        <w:top w:val="none" w:sz="0" w:space="0" w:color="auto"/>
        <w:left w:val="none" w:sz="0" w:space="0" w:color="auto"/>
        <w:bottom w:val="none" w:sz="0" w:space="0" w:color="auto"/>
        <w:right w:val="none" w:sz="0" w:space="0" w:color="auto"/>
      </w:divBdr>
    </w:div>
    <w:div w:id="1167091890">
      <w:bodyDiv w:val="1"/>
      <w:marLeft w:val="0"/>
      <w:marRight w:val="0"/>
      <w:marTop w:val="0"/>
      <w:marBottom w:val="0"/>
      <w:divBdr>
        <w:top w:val="none" w:sz="0" w:space="0" w:color="auto"/>
        <w:left w:val="none" w:sz="0" w:space="0" w:color="auto"/>
        <w:bottom w:val="none" w:sz="0" w:space="0" w:color="auto"/>
        <w:right w:val="none" w:sz="0" w:space="0" w:color="auto"/>
      </w:divBdr>
    </w:div>
    <w:div w:id="1170025160">
      <w:bodyDiv w:val="1"/>
      <w:marLeft w:val="0"/>
      <w:marRight w:val="0"/>
      <w:marTop w:val="0"/>
      <w:marBottom w:val="0"/>
      <w:divBdr>
        <w:top w:val="none" w:sz="0" w:space="0" w:color="auto"/>
        <w:left w:val="none" w:sz="0" w:space="0" w:color="auto"/>
        <w:bottom w:val="none" w:sz="0" w:space="0" w:color="auto"/>
        <w:right w:val="none" w:sz="0" w:space="0" w:color="auto"/>
      </w:divBdr>
    </w:div>
    <w:div w:id="1226646398">
      <w:bodyDiv w:val="1"/>
      <w:marLeft w:val="0"/>
      <w:marRight w:val="0"/>
      <w:marTop w:val="0"/>
      <w:marBottom w:val="0"/>
      <w:divBdr>
        <w:top w:val="none" w:sz="0" w:space="0" w:color="auto"/>
        <w:left w:val="none" w:sz="0" w:space="0" w:color="auto"/>
        <w:bottom w:val="none" w:sz="0" w:space="0" w:color="auto"/>
        <w:right w:val="none" w:sz="0" w:space="0" w:color="auto"/>
      </w:divBdr>
    </w:div>
    <w:div w:id="1229416499">
      <w:bodyDiv w:val="1"/>
      <w:marLeft w:val="0"/>
      <w:marRight w:val="0"/>
      <w:marTop w:val="0"/>
      <w:marBottom w:val="0"/>
      <w:divBdr>
        <w:top w:val="none" w:sz="0" w:space="0" w:color="auto"/>
        <w:left w:val="none" w:sz="0" w:space="0" w:color="auto"/>
        <w:bottom w:val="none" w:sz="0" w:space="0" w:color="auto"/>
        <w:right w:val="none" w:sz="0" w:space="0" w:color="auto"/>
      </w:divBdr>
    </w:div>
    <w:div w:id="1240749317">
      <w:bodyDiv w:val="1"/>
      <w:marLeft w:val="0"/>
      <w:marRight w:val="0"/>
      <w:marTop w:val="0"/>
      <w:marBottom w:val="0"/>
      <w:divBdr>
        <w:top w:val="none" w:sz="0" w:space="0" w:color="auto"/>
        <w:left w:val="none" w:sz="0" w:space="0" w:color="auto"/>
        <w:bottom w:val="none" w:sz="0" w:space="0" w:color="auto"/>
        <w:right w:val="none" w:sz="0" w:space="0" w:color="auto"/>
      </w:divBdr>
    </w:div>
    <w:div w:id="1249847490">
      <w:bodyDiv w:val="1"/>
      <w:marLeft w:val="0"/>
      <w:marRight w:val="0"/>
      <w:marTop w:val="0"/>
      <w:marBottom w:val="0"/>
      <w:divBdr>
        <w:top w:val="none" w:sz="0" w:space="0" w:color="auto"/>
        <w:left w:val="none" w:sz="0" w:space="0" w:color="auto"/>
        <w:bottom w:val="none" w:sz="0" w:space="0" w:color="auto"/>
        <w:right w:val="none" w:sz="0" w:space="0" w:color="auto"/>
      </w:divBdr>
    </w:div>
    <w:div w:id="1270965267">
      <w:bodyDiv w:val="1"/>
      <w:marLeft w:val="0"/>
      <w:marRight w:val="0"/>
      <w:marTop w:val="0"/>
      <w:marBottom w:val="0"/>
      <w:divBdr>
        <w:top w:val="none" w:sz="0" w:space="0" w:color="auto"/>
        <w:left w:val="none" w:sz="0" w:space="0" w:color="auto"/>
        <w:bottom w:val="none" w:sz="0" w:space="0" w:color="auto"/>
        <w:right w:val="none" w:sz="0" w:space="0" w:color="auto"/>
      </w:divBdr>
    </w:div>
    <w:div w:id="1270971040">
      <w:bodyDiv w:val="1"/>
      <w:marLeft w:val="0"/>
      <w:marRight w:val="0"/>
      <w:marTop w:val="0"/>
      <w:marBottom w:val="0"/>
      <w:divBdr>
        <w:top w:val="none" w:sz="0" w:space="0" w:color="auto"/>
        <w:left w:val="none" w:sz="0" w:space="0" w:color="auto"/>
        <w:bottom w:val="none" w:sz="0" w:space="0" w:color="auto"/>
        <w:right w:val="none" w:sz="0" w:space="0" w:color="auto"/>
      </w:divBdr>
    </w:div>
    <w:div w:id="1297952065">
      <w:bodyDiv w:val="1"/>
      <w:marLeft w:val="0"/>
      <w:marRight w:val="0"/>
      <w:marTop w:val="0"/>
      <w:marBottom w:val="0"/>
      <w:divBdr>
        <w:top w:val="none" w:sz="0" w:space="0" w:color="auto"/>
        <w:left w:val="none" w:sz="0" w:space="0" w:color="auto"/>
        <w:bottom w:val="none" w:sz="0" w:space="0" w:color="auto"/>
        <w:right w:val="none" w:sz="0" w:space="0" w:color="auto"/>
      </w:divBdr>
    </w:div>
    <w:div w:id="1300039475">
      <w:bodyDiv w:val="1"/>
      <w:marLeft w:val="0"/>
      <w:marRight w:val="0"/>
      <w:marTop w:val="0"/>
      <w:marBottom w:val="0"/>
      <w:divBdr>
        <w:top w:val="none" w:sz="0" w:space="0" w:color="auto"/>
        <w:left w:val="none" w:sz="0" w:space="0" w:color="auto"/>
        <w:bottom w:val="none" w:sz="0" w:space="0" w:color="auto"/>
        <w:right w:val="none" w:sz="0" w:space="0" w:color="auto"/>
      </w:divBdr>
    </w:div>
    <w:div w:id="1335766143">
      <w:bodyDiv w:val="1"/>
      <w:marLeft w:val="0"/>
      <w:marRight w:val="0"/>
      <w:marTop w:val="0"/>
      <w:marBottom w:val="0"/>
      <w:divBdr>
        <w:top w:val="none" w:sz="0" w:space="0" w:color="auto"/>
        <w:left w:val="none" w:sz="0" w:space="0" w:color="auto"/>
        <w:bottom w:val="none" w:sz="0" w:space="0" w:color="auto"/>
        <w:right w:val="none" w:sz="0" w:space="0" w:color="auto"/>
      </w:divBdr>
      <w:divsChild>
        <w:div w:id="490173964">
          <w:marLeft w:val="0"/>
          <w:marRight w:val="0"/>
          <w:marTop w:val="0"/>
          <w:marBottom w:val="0"/>
          <w:divBdr>
            <w:top w:val="none" w:sz="0" w:space="0" w:color="auto"/>
            <w:left w:val="none" w:sz="0" w:space="0" w:color="auto"/>
            <w:bottom w:val="none" w:sz="0" w:space="0" w:color="auto"/>
            <w:right w:val="none" w:sz="0" w:space="0" w:color="auto"/>
          </w:divBdr>
        </w:div>
      </w:divsChild>
    </w:div>
    <w:div w:id="1366784054">
      <w:bodyDiv w:val="1"/>
      <w:marLeft w:val="0"/>
      <w:marRight w:val="0"/>
      <w:marTop w:val="0"/>
      <w:marBottom w:val="0"/>
      <w:divBdr>
        <w:top w:val="none" w:sz="0" w:space="0" w:color="auto"/>
        <w:left w:val="none" w:sz="0" w:space="0" w:color="auto"/>
        <w:bottom w:val="none" w:sz="0" w:space="0" w:color="auto"/>
        <w:right w:val="none" w:sz="0" w:space="0" w:color="auto"/>
      </w:divBdr>
    </w:div>
    <w:div w:id="1384402409">
      <w:bodyDiv w:val="1"/>
      <w:marLeft w:val="0"/>
      <w:marRight w:val="0"/>
      <w:marTop w:val="0"/>
      <w:marBottom w:val="0"/>
      <w:divBdr>
        <w:top w:val="none" w:sz="0" w:space="0" w:color="auto"/>
        <w:left w:val="none" w:sz="0" w:space="0" w:color="auto"/>
        <w:bottom w:val="none" w:sz="0" w:space="0" w:color="auto"/>
        <w:right w:val="none" w:sz="0" w:space="0" w:color="auto"/>
      </w:divBdr>
      <w:divsChild>
        <w:div w:id="2082482341">
          <w:marLeft w:val="0"/>
          <w:marRight w:val="0"/>
          <w:marTop w:val="0"/>
          <w:marBottom w:val="0"/>
          <w:divBdr>
            <w:top w:val="none" w:sz="0" w:space="0" w:color="auto"/>
            <w:left w:val="none" w:sz="0" w:space="0" w:color="auto"/>
            <w:bottom w:val="none" w:sz="0" w:space="0" w:color="auto"/>
            <w:right w:val="none" w:sz="0" w:space="0" w:color="auto"/>
          </w:divBdr>
        </w:div>
      </w:divsChild>
    </w:div>
    <w:div w:id="1384525122">
      <w:bodyDiv w:val="1"/>
      <w:marLeft w:val="0"/>
      <w:marRight w:val="0"/>
      <w:marTop w:val="0"/>
      <w:marBottom w:val="0"/>
      <w:divBdr>
        <w:top w:val="none" w:sz="0" w:space="0" w:color="auto"/>
        <w:left w:val="none" w:sz="0" w:space="0" w:color="auto"/>
        <w:bottom w:val="none" w:sz="0" w:space="0" w:color="auto"/>
        <w:right w:val="none" w:sz="0" w:space="0" w:color="auto"/>
      </w:divBdr>
    </w:div>
    <w:div w:id="1483352034">
      <w:bodyDiv w:val="1"/>
      <w:marLeft w:val="0"/>
      <w:marRight w:val="0"/>
      <w:marTop w:val="0"/>
      <w:marBottom w:val="0"/>
      <w:divBdr>
        <w:top w:val="none" w:sz="0" w:space="0" w:color="auto"/>
        <w:left w:val="none" w:sz="0" w:space="0" w:color="auto"/>
        <w:bottom w:val="none" w:sz="0" w:space="0" w:color="auto"/>
        <w:right w:val="none" w:sz="0" w:space="0" w:color="auto"/>
      </w:divBdr>
    </w:div>
    <w:div w:id="1509641036">
      <w:bodyDiv w:val="1"/>
      <w:marLeft w:val="0"/>
      <w:marRight w:val="0"/>
      <w:marTop w:val="0"/>
      <w:marBottom w:val="0"/>
      <w:divBdr>
        <w:top w:val="none" w:sz="0" w:space="0" w:color="auto"/>
        <w:left w:val="none" w:sz="0" w:space="0" w:color="auto"/>
        <w:bottom w:val="none" w:sz="0" w:space="0" w:color="auto"/>
        <w:right w:val="none" w:sz="0" w:space="0" w:color="auto"/>
      </w:divBdr>
    </w:div>
    <w:div w:id="1547911943">
      <w:bodyDiv w:val="1"/>
      <w:marLeft w:val="0"/>
      <w:marRight w:val="0"/>
      <w:marTop w:val="0"/>
      <w:marBottom w:val="0"/>
      <w:divBdr>
        <w:top w:val="none" w:sz="0" w:space="0" w:color="auto"/>
        <w:left w:val="none" w:sz="0" w:space="0" w:color="auto"/>
        <w:bottom w:val="none" w:sz="0" w:space="0" w:color="auto"/>
        <w:right w:val="none" w:sz="0" w:space="0" w:color="auto"/>
      </w:divBdr>
    </w:div>
    <w:div w:id="1555311753">
      <w:bodyDiv w:val="1"/>
      <w:marLeft w:val="0"/>
      <w:marRight w:val="0"/>
      <w:marTop w:val="0"/>
      <w:marBottom w:val="0"/>
      <w:divBdr>
        <w:top w:val="none" w:sz="0" w:space="0" w:color="auto"/>
        <w:left w:val="none" w:sz="0" w:space="0" w:color="auto"/>
        <w:bottom w:val="none" w:sz="0" w:space="0" w:color="auto"/>
        <w:right w:val="none" w:sz="0" w:space="0" w:color="auto"/>
      </w:divBdr>
    </w:div>
    <w:div w:id="1568998924">
      <w:bodyDiv w:val="1"/>
      <w:marLeft w:val="0"/>
      <w:marRight w:val="0"/>
      <w:marTop w:val="0"/>
      <w:marBottom w:val="0"/>
      <w:divBdr>
        <w:top w:val="none" w:sz="0" w:space="0" w:color="auto"/>
        <w:left w:val="none" w:sz="0" w:space="0" w:color="auto"/>
        <w:bottom w:val="none" w:sz="0" w:space="0" w:color="auto"/>
        <w:right w:val="none" w:sz="0" w:space="0" w:color="auto"/>
      </w:divBdr>
    </w:div>
    <w:div w:id="1622111711">
      <w:bodyDiv w:val="1"/>
      <w:marLeft w:val="0"/>
      <w:marRight w:val="0"/>
      <w:marTop w:val="0"/>
      <w:marBottom w:val="0"/>
      <w:divBdr>
        <w:top w:val="none" w:sz="0" w:space="0" w:color="auto"/>
        <w:left w:val="none" w:sz="0" w:space="0" w:color="auto"/>
        <w:bottom w:val="none" w:sz="0" w:space="0" w:color="auto"/>
        <w:right w:val="none" w:sz="0" w:space="0" w:color="auto"/>
      </w:divBdr>
    </w:div>
    <w:div w:id="1633293977">
      <w:bodyDiv w:val="1"/>
      <w:marLeft w:val="0"/>
      <w:marRight w:val="0"/>
      <w:marTop w:val="0"/>
      <w:marBottom w:val="0"/>
      <w:divBdr>
        <w:top w:val="none" w:sz="0" w:space="0" w:color="auto"/>
        <w:left w:val="none" w:sz="0" w:space="0" w:color="auto"/>
        <w:bottom w:val="none" w:sz="0" w:space="0" w:color="auto"/>
        <w:right w:val="none" w:sz="0" w:space="0" w:color="auto"/>
      </w:divBdr>
    </w:div>
    <w:div w:id="1637562469">
      <w:bodyDiv w:val="1"/>
      <w:marLeft w:val="0"/>
      <w:marRight w:val="0"/>
      <w:marTop w:val="0"/>
      <w:marBottom w:val="0"/>
      <w:divBdr>
        <w:top w:val="none" w:sz="0" w:space="0" w:color="auto"/>
        <w:left w:val="none" w:sz="0" w:space="0" w:color="auto"/>
        <w:bottom w:val="none" w:sz="0" w:space="0" w:color="auto"/>
        <w:right w:val="none" w:sz="0" w:space="0" w:color="auto"/>
      </w:divBdr>
    </w:div>
    <w:div w:id="1644503612">
      <w:bodyDiv w:val="1"/>
      <w:marLeft w:val="0"/>
      <w:marRight w:val="0"/>
      <w:marTop w:val="0"/>
      <w:marBottom w:val="0"/>
      <w:divBdr>
        <w:top w:val="none" w:sz="0" w:space="0" w:color="auto"/>
        <w:left w:val="none" w:sz="0" w:space="0" w:color="auto"/>
        <w:bottom w:val="none" w:sz="0" w:space="0" w:color="auto"/>
        <w:right w:val="none" w:sz="0" w:space="0" w:color="auto"/>
      </w:divBdr>
    </w:div>
    <w:div w:id="1645742870">
      <w:bodyDiv w:val="1"/>
      <w:marLeft w:val="0"/>
      <w:marRight w:val="0"/>
      <w:marTop w:val="0"/>
      <w:marBottom w:val="0"/>
      <w:divBdr>
        <w:top w:val="none" w:sz="0" w:space="0" w:color="auto"/>
        <w:left w:val="none" w:sz="0" w:space="0" w:color="auto"/>
        <w:bottom w:val="none" w:sz="0" w:space="0" w:color="auto"/>
        <w:right w:val="none" w:sz="0" w:space="0" w:color="auto"/>
      </w:divBdr>
    </w:div>
    <w:div w:id="1670717695">
      <w:bodyDiv w:val="1"/>
      <w:marLeft w:val="0"/>
      <w:marRight w:val="0"/>
      <w:marTop w:val="0"/>
      <w:marBottom w:val="0"/>
      <w:divBdr>
        <w:top w:val="none" w:sz="0" w:space="0" w:color="auto"/>
        <w:left w:val="none" w:sz="0" w:space="0" w:color="auto"/>
        <w:bottom w:val="none" w:sz="0" w:space="0" w:color="auto"/>
        <w:right w:val="none" w:sz="0" w:space="0" w:color="auto"/>
      </w:divBdr>
    </w:div>
    <w:div w:id="1682926992">
      <w:bodyDiv w:val="1"/>
      <w:marLeft w:val="0"/>
      <w:marRight w:val="0"/>
      <w:marTop w:val="0"/>
      <w:marBottom w:val="0"/>
      <w:divBdr>
        <w:top w:val="none" w:sz="0" w:space="0" w:color="auto"/>
        <w:left w:val="none" w:sz="0" w:space="0" w:color="auto"/>
        <w:bottom w:val="none" w:sz="0" w:space="0" w:color="auto"/>
        <w:right w:val="none" w:sz="0" w:space="0" w:color="auto"/>
      </w:divBdr>
    </w:div>
    <w:div w:id="1734351447">
      <w:bodyDiv w:val="1"/>
      <w:marLeft w:val="0"/>
      <w:marRight w:val="0"/>
      <w:marTop w:val="0"/>
      <w:marBottom w:val="0"/>
      <w:divBdr>
        <w:top w:val="none" w:sz="0" w:space="0" w:color="auto"/>
        <w:left w:val="none" w:sz="0" w:space="0" w:color="auto"/>
        <w:bottom w:val="none" w:sz="0" w:space="0" w:color="auto"/>
        <w:right w:val="none" w:sz="0" w:space="0" w:color="auto"/>
      </w:divBdr>
      <w:divsChild>
        <w:div w:id="1107165387">
          <w:marLeft w:val="0"/>
          <w:marRight w:val="0"/>
          <w:marTop w:val="0"/>
          <w:marBottom w:val="0"/>
          <w:divBdr>
            <w:top w:val="none" w:sz="0" w:space="0" w:color="auto"/>
            <w:left w:val="none" w:sz="0" w:space="0" w:color="auto"/>
            <w:bottom w:val="none" w:sz="0" w:space="0" w:color="auto"/>
            <w:right w:val="none" w:sz="0" w:space="0" w:color="auto"/>
          </w:divBdr>
        </w:div>
      </w:divsChild>
    </w:div>
    <w:div w:id="1753890497">
      <w:bodyDiv w:val="1"/>
      <w:marLeft w:val="0"/>
      <w:marRight w:val="0"/>
      <w:marTop w:val="0"/>
      <w:marBottom w:val="0"/>
      <w:divBdr>
        <w:top w:val="none" w:sz="0" w:space="0" w:color="auto"/>
        <w:left w:val="none" w:sz="0" w:space="0" w:color="auto"/>
        <w:bottom w:val="none" w:sz="0" w:space="0" w:color="auto"/>
        <w:right w:val="none" w:sz="0" w:space="0" w:color="auto"/>
      </w:divBdr>
    </w:div>
    <w:div w:id="1775589740">
      <w:bodyDiv w:val="1"/>
      <w:marLeft w:val="0"/>
      <w:marRight w:val="0"/>
      <w:marTop w:val="0"/>
      <w:marBottom w:val="0"/>
      <w:divBdr>
        <w:top w:val="none" w:sz="0" w:space="0" w:color="auto"/>
        <w:left w:val="none" w:sz="0" w:space="0" w:color="auto"/>
        <w:bottom w:val="none" w:sz="0" w:space="0" w:color="auto"/>
        <w:right w:val="none" w:sz="0" w:space="0" w:color="auto"/>
      </w:divBdr>
    </w:div>
    <w:div w:id="1788238516">
      <w:bodyDiv w:val="1"/>
      <w:marLeft w:val="0"/>
      <w:marRight w:val="0"/>
      <w:marTop w:val="0"/>
      <w:marBottom w:val="0"/>
      <w:divBdr>
        <w:top w:val="none" w:sz="0" w:space="0" w:color="auto"/>
        <w:left w:val="none" w:sz="0" w:space="0" w:color="auto"/>
        <w:bottom w:val="none" w:sz="0" w:space="0" w:color="auto"/>
        <w:right w:val="none" w:sz="0" w:space="0" w:color="auto"/>
      </w:divBdr>
    </w:div>
    <w:div w:id="1867715835">
      <w:bodyDiv w:val="1"/>
      <w:marLeft w:val="0"/>
      <w:marRight w:val="0"/>
      <w:marTop w:val="0"/>
      <w:marBottom w:val="0"/>
      <w:divBdr>
        <w:top w:val="none" w:sz="0" w:space="0" w:color="auto"/>
        <w:left w:val="none" w:sz="0" w:space="0" w:color="auto"/>
        <w:bottom w:val="none" w:sz="0" w:space="0" w:color="auto"/>
        <w:right w:val="none" w:sz="0" w:space="0" w:color="auto"/>
      </w:divBdr>
    </w:div>
    <w:div w:id="1886485766">
      <w:bodyDiv w:val="1"/>
      <w:marLeft w:val="0"/>
      <w:marRight w:val="0"/>
      <w:marTop w:val="0"/>
      <w:marBottom w:val="0"/>
      <w:divBdr>
        <w:top w:val="none" w:sz="0" w:space="0" w:color="auto"/>
        <w:left w:val="none" w:sz="0" w:space="0" w:color="auto"/>
        <w:bottom w:val="none" w:sz="0" w:space="0" w:color="auto"/>
        <w:right w:val="none" w:sz="0" w:space="0" w:color="auto"/>
      </w:divBdr>
    </w:div>
    <w:div w:id="1896237544">
      <w:bodyDiv w:val="1"/>
      <w:marLeft w:val="0"/>
      <w:marRight w:val="0"/>
      <w:marTop w:val="0"/>
      <w:marBottom w:val="0"/>
      <w:divBdr>
        <w:top w:val="none" w:sz="0" w:space="0" w:color="auto"/>
        <w:left w:val="none" w:sz="0" w:space="0" w:color="auto"/>
        <w:bottom w:val="none" w:sz="0" w:space="0" w:color="auto"/>
        <w:right w:val="none" w:sz="0" w:space="0" w:color="auto"/>
      </w:divBdr>
    </w:div>
    <w:div w:id="1899439121">
      <w:bodyDiv w:val="1"/>
      <w:marLeft w:val="0"/>
      <w:marRight w:val="0"/>
      <w:marTop w:val="0"/>
      <w:marBottom w:val="0"/>
      <w:divBdr>
        <w:top w:val="none" w:sz="0" w:space="0" w:color="auto"/>
        <w:left w:val="none" w:sz="0" w:space="0" w:color="auto"/>
        <w:bottom w:val="none" w:sz="0" w:space="0" w:color="auto"/>
        <w:right w:val="none" w:sz="0" w:space="0" w:color="auto"/>
      </w:divBdr>
    </w:div>
    <w:div w:id="1954634739">
      <w:bodyDiv w:val="1"/>
      <w:marLeft w:val="0"/>
      <w:marRight w:val="0"/>
      <w:marTop w:val="0"/>
      <w:marBottom w:val="0"/>
      <w:divBdr>
        <w:top w:val="none" w:sz="0" w:space="0" w:color="auto"/>
        <w:left w:val="none" w:sz="0" w:space="0" w:color="auto"/>
        <w:bottom w:val="none" w:sz="0" w:space="0" w:color="auto"/>
        <w:right w:val="none" w:sz="0" w:space="0" w:color="auto"/>
      </w:divBdr>
    </w:div>
    <w:div w:id="1973828048">
      <w:bodyDiv w:val="1"/>
      <w:marLeft w:val="0"/>
      <w:marRight w:val="0"/>
      <w:marTop w:val="0"/>
      <w:marBottom w:val="0"/>
      <w:divBdr>
        <w:top w:val="none" w:sz="0" w:space="0" w:color="auto"/>
        <w:left w:val="none" w:sz="0" w:space="0" w:color="auto"/>
        <w:bottom w:val="none" w:sz="0" w:space="0" w:color="auto"/>
        <w:right w:val="none" w:sz="0" w:space="0" w:color="auto"/>
      </w:divBdr>
    </w:div>
    <w:div w:id="2008627345">
      <w:bodyDiv w:val="1"/>
      <w:marLeft w:val="0"/>
      <w:marRight w:val="0"/>
      <w:marTop w:val="0"/>
      <w:marBottom w:val="0"/>
      <w:divBdr>
        <w:top w:val="none" w:sz="0" w:space="0" w:color="auto"/>
        <w:left w:val="none" w:sz="0" w:space="0" w:color="auto"/>
        <w:bottom w:val="none" w:sz="0" w:space="0" w:color="auto"/>
        <w:right w:val="none" w:sz="0" w:space="0" w:color="auto"/>
      </w:divBdr>
    </w:div>
    <w:div w:id="2045790924">
      <w:bodyDiv w:val="1"/>
      <w:marLeft w:val="0"/>
      <w:marRight w:val="0"/>
      <w:marTop w:val="0"/>
      <w:marBottom w:val="0"/>
      <w:divBdr>
        <w:top w:val="none" w:sz="0" w:space="0" w:color="auto"/>
        <w:left w:val="none" w:sz="0" w:space="0" w:color="auto"/>
        <w:bottom w:val="none" w:sz="0" w:space="0" w:color="auto"/>
        <w:right w:val="none" w:sz="0" w:space="0" w:color="auto"/>
      </w:divBdr>
    </w:div>
    <w:div w:id="2050645153">
      <w:bodyDiv w:val="1"/>
      <w:marLeft w:val="0"/>
      <w:marRight w:val="0"/>
      <w:marTop w:val="0"/>
      <w:marBottom w:val="0"/>
      <w:divBdr>
        <w:top w:val="none" w:sz="0" w:space="0" w:color="auto"/>
        <w:left w:val="none" w:sz="0" w:space="0" w:color="auto"/>
        <w:bottom w:val="none" w:sz="0" w:space="0" w:color="auto"/>
        <w:right w:val="none" w:sz="0" w:space="0" w:color="auto"/>
      </w:divBdr>
    </w:div>
    <w:div w:id="2078895247">
      <w:bodyDiv w:val="1"/>
      <w:marLeft w:val="0"/>
      <w:marRight w:val="0"/>
      <w:marTop w:val="0"/>
      <w:marBottom w:val="0"/>
      <w:divBdr>
        <w:top w:val="none" w:sz="0" w:space="0" w:color="auto"/>
        <w:left w:val="none" w:sz="0" w:space="0" w:color="auto"/>
        <w:bottom w:val="none" w:sz="0" w:space="0" w:color="auto"/>
        <w:right w:val="none" w:sz="0" w:space="0" w:color="auto"/>
      </w:divBdr>
    </w:div>
    <w:div w:id="2080252647">
      <w:bodyDiv w:val="1"/>
      <w:marLeft w:val="0"/>
      <w:marRight w:val="0"/>
      <w:marTop w:val="0"/>
      <w:marBottom w:val="0"/>
      <w:divBdr>
        <w:top w:val="none" w:sz="0" w:space="0" w:color="auto"/>
        <w:left w:val="none" w:sz="0" w:space="0" w:color="auto"/>
        <w:bottom w:val="none" w:sz="0" w:space="0" w:color="auto"/>
        <w:right w:val="none" w:sz="0" w:space="0" w:color="auto"/>
      </w:divBdr>
    </w:div>
    <w:div w:id="2082172970">
      <w:bodyDiv w:val="1"/>
      <w:marLeft w:val="0"/>
      <w:marRight w:val="0"/>
      <w:marTop w:val="0"/>
      <w:marBottom w:val="0"/>
      <w:divBdr>
        <w:top w:val="none" w:sz="0" w:space="0" w:color="auto"/>
        <w:left w:val="none" w:sz="0" w:space="0" w:color="auto"/>
        <w:bottom w:val="none" w:sz="0" w:space="0" w:color="auto"/>
        <w:right w:val="none" w:sz="0" w:space="0" w:color="auto"/>
      </w:divBdr>
    </w:div>
    <w:div w:id="2118256660">
      <w:bodyDiv w:val="1"/>
      <w:marLeft w:val="0"/>
      <w:marRight w:val="0"/>
      <w:marTop w:val="0"/>
      <w:marBottom w:val="0"/>
      <w:divBdr>
        <w:top w:val="none" w:sz="0" w:space="0" w:color="auto"/>
        <w:left w:val="none" w:sz="0" w:space="0" w:color="auto"/>
        <w:bottom w:val="none" w:sz="0" w:space="0" w:color="auto"/>
        <w:right w:val="none" w:sz="0" w:space="0" w:color="auto"/>
      </w:divBdr>
    </w:div>
    <w:div w:id="214670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Grahnquist%20L%5BAuthor%5D&amp;cauthor=true&amp;cauthor_uid=12915823"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ncbi.nlm.nih.gov/pubmed/?term=Pap%C3%B3s%20M%5BAuthor%5D&amp;cauthor=true&amp;cauthor_uid=898584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14055</Words>
  <Characters>80119</Characters>
  <Application>Microsoft Macintosh Word</Application>
  <DocSecurity>0</DocSecurity>
  <Lines>667</Lines>
  <Paragraphs>187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USB</Company>
  <LinksUpToDate>false</LinksUpToDate>
  <CharactersWithSpaces>93987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Caobelli Federico</dc:creator>
  <cp:lastModifiedBy>Na Ma</cp:lastModifiedBy>
  <cp:revision>2</cp:revision>
  <dcterms:created xsi:type="dcterms:W3CDTF">2016-08-27T17:23:00Z</dcterms:created>
  <dcterms:modified xsi:type="dcterms:W3CDTF">2016-08-27T17:23:00Z</dcterms:modified>
</cp:coreProperties>
</file>