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4B" w:rsidRPr="00564DBC" w:rsidRDefault="006E094B" w:rsidP="00564DBC">
      <w:pPr>
        <w:widowControl w:val="0"/>
        <w:spacing w:after="0" w:line="360" w:lineRule="auto"/>
        <w:jc w:val="both"/>
        <w:rPr>
          <w:rFonts w:ascii="Book Antiqua" w:hAnsi="Book Antiqua"/>
          <w:b/>
          <w:bCs/>
          <w:i/>
          <w:kern w:val="32"/>
          <w:sz w:val="24"/>
          <w:szCs w:val="24"/>
          <w:lang w:val="en-US" w:eastAsia="hi-IN" w:bidi="hi-IN"/>
        </w:rPr>
      </w:pPr>
      <w:r w:rsidRPr="00564DBC">
        <w:rPr>
          <w:rFonts w:ascii="Book Antiqua" w:hAnsi="Book Antiqua"/>
          <w:b/>
          <w:bCs/>
          <w:kern w:val="32"/>
          <w:sz w:val="24"/>
          <w:szCs w:val="24"/>
          <w:lang w:val="en-US" w:eastAsia="hi-IN" w:bidi="hi-IN"/>
        </w:rPr>
        <w:t xml:space="preserve">Name of Journal: </w:t>
      </w:r>
      <w:r w:rsidRPr="00564DBC">
        <w:rPr>
          <w:rFonts w:ascii="Book Antiqua" w:hAnsi="Book Antiqua"/>
          <w:b/>
          <w:bCs/>
          <w:i/>
          <w:kern w:val="32"/>
          <w:sz w:val="24"/>
          <w:szCs w:val="24"/>
          <w:lang w:val="en-US" w:eastAsia="hi-IN" w:bidi="hi-IN"/>
        </w:rPr>
        <w:t>World Journal of Clinical Cases</w:t>
      </w:r>
    </w:p>
    <w:p w:rsidR="006E094B" w:rsidRPr="00564DBC" w:rsidRDefault="006E094B" w:rsidP="00564DBC">
      <w:pPr>
        <w:widowControl w:val="0"/>
        <w:spacing w:after="0" w:line="360" w:lineRule="auto"/>
        <w:jc w:val="both"/>
        <w:rPr>
          <w:rFonts w:ascii="Book Antiqua" w:hAnsi="Book Antiqua"/>
          <w:b/>
          <w:bCs/>
          <w:kern w:val="32"/>
          <w:sz w:val="24"/>
          <w:szCs w:val="24"/>
          <w:lang w:val="en-US" w:eastAsia="hi-IN" w:bidi="hi-IN"/>
        </w:rPr>
      </w:pPr>
      <w:r w:rsidRPr="00564DBC">
        <w:rPr>
          <w:rFonts w:ascii="Book Antiqua" w:hAnsi="Book Antiqua"/>
          <w:b/>
          <w:bCs/>
          <w:kern w:val="32"/>
          <w:sz w:val="24"/>
          <w:szCs w:val="24"/>
          <w:lang w:val="en-US" w:eastAsia="hi-IN" w:bidi="hi-IN"/>
        </w:rPr>
        <w:t>ESPS Manuscript NO: 26035</w:t>
      </w:r>
    </w:p>
    <w:p w:rsidR="006E094B" w:rsidRPr="00564DBC" w:rsidRDefault="006E094B" w:rsidP="00564DBC">
      <w:pPr>
        <w:widowControl w:val="0"/>
        <w:spacing w:after="0" w:line="360" w:lineRule="auto"/>
        <w:jc w:val="both"/>
        <w:rPr>
          <w:rFonts w:ascii="Book Antiqua" w:hAnsi="Book Antiqua"/>
          <w:b/>
          <w:bCs/>
          <w:kern w:val="32"/>
          <w:sz w:val="24"/>
          <w:szCs w:val="24"/>
          <w:lang w:val="en-US" w:eastAsia="hi-IN" w:bidi="hi-IN"/>
        </w:rPr>
      </w:pPr>
      <w:r w:rsidRPr="00564DBC">
        <w:rPr>
          <w:rFonts w:ascii="Book Antiqua" w:hAnsi="Book Antiqua"/>
          <w:b/>
          <w:bCs/>
          <w:kern w:val="32"/>
          <w:sz w:val="24"/>
          <w:szCs w:val="24"/>
          <w:lang w:val="en-US" w:eastAsia="hi-IN" w:bidi="hi-IN"/>
        </w:rPr>
        <w:t>Manuscript Type: CASE REPORT</w:t>
      </w:r>
    </w:p>
    <w:p w:rsidR="006E094B" w:rsidRPr="00564DBC" w:rsidRDefault="006E094B" w:rsidP="00564DBC">
      <w:pPr>
        <w:widowControl w:val="0"/>
        <w:spacing w:after="0" w:line="360" w:lineRule="auto"/>
        <w:jc w:val="both"/>
        <w:rPr>
          <w:rFonts w:ascii="Book Antiqua" w:hAnsi="Book Antiqua"/>
          <w:b/>
          <w:bCs/>
          <w:kern w:val="32"/>
          <w:sz w:val="24"/>
          <w:szCs w:val="24"/>
          <w:lang w:val="en-US" w:eastAsia="zh-CN" w:bidi="hi-IN"/>
        </w:rPr>
      </w:pPr>
    </w:p>
    <w:p w:rsidR="006E094B" w:rsidRPr="00564DBC" w:rsidRDefault="00816A51" w:rsidP="00564DBC">
      <w:pPr>
        <w:widowControl w:val="0"/>
        <w:spacing w:after="0" w:line="360" w:lineRule="auto"/>
        <w:jc w:val="both"/>
        <w:rPr>
          <w:rFonts w:ascii="Book Antiqua" w:hAnsi="Book Antiqua"/>
          <w:b/>
          <w:bCs/>
          <w:kern w:val="32"/>
          <w:sz w:val="24"/>
          <w:szCs w:val="24"/>
          <w:lang w:val="en-US" w:eastAsia="zh-CN" w:bidi="hi-IN"/>
        </w:rPr>
      </w:pPr>
      <w:r w:rsidRPr="00564DBC">
        <w:rPr>
          <w:rFonts w:ascii="Book Antiqua" w:hAnsi="Book Antiqua"/>
          <w:b/>
          <w:sz w:val="24"/>
          <w:szCs w:val="24"/>
          <w:lang w:val="en-US" w:eastAsia="ru-RU"/>
        </w:rPr>
        <w:t xml:space="preserve">Fluorine-18 </w:t>
      </w:r>
      <w:proofErr w:type="spellStart"/>
      <w:r w:rsidRPr="00564DBC">
        <w:rPr>
          <w:rFonts w:ascii="Book Antiqua" w:hAnsi="Book Antiqua"/>
          <w:b/>
          <w:sz w:val="24"/>
          <w:szCs w:val="24"/>
          <w:lang w:val="en-US" w:eastAsia="ru-RU"/>
        </w:rPr>
        <w:t>fluorodeoxyglucose</w:t>
      </w:r>
      <w:proofErr w:type="spellEnd"/>
      <w:r w:rsidRPr="00564DBC">
        <w:rPr>
          <w:rFonts w:ascii="Book Antiqua" w:hAnsi="Book Antiqua"/>
          <w:b/>
          <w:sz w:val="24"/>
          <w:szCs w:val="24"/>
          <w:lang w:val="en-US" w:eastAsia="ru-RU"/>
        </w:rPr>
        <w:t xml:space="preserve"> positron emission tomography/computed tomography </w:t>
      </w:r>
      <w:r w:rsidR="006E094B" w:rsidRPr="00564DBC">
        <w:rPr>
          <w:rFonts w:ascii="Book Antiqua" w:hAnsi="Book Antiqua"/>
          <w:b/>
          <w:bCs/>
          <w:kern w:val="32"/>
          <w:sz w:val="24"/>
          <w:szCs w:val="24"/>
          <w:lang w:val="en-US" w:eastAsia="hi-IN" w:bidi="hi-IN"/>
        </w:rPr>
        <w:t>evaluation of subcutaneous panniculitis-like T cell lymphoma and treatment response</w:t>
      </w:r>
    </w:p>
    <w:p w:rsidR="006E094B" w:rsidRPr="00564DBC" w:rsidRDefault="006E094B" w:rsidP="00564DBC">
      <w:pPr>
        <w:widowControl w:val="0"/>
        <w:spacing w:after="0" w:line="360" w:lineRule="auto"/>
        <w:jc w:val="both"/>
        <w:textAlignment w:val="baseline"/>
        <w:rPr>
          <w:rFonts w:ascii="Book Antiqua" w:eastAsia="Times New Roman" w:hAnsi="Book Antiqua"/>
          <w:bCs/>
          <w:sz w:val="24"/>
          <w:szCs w:val="24"/>
          <w:lang w:val="en-US" w:eastAsia="hi-IN" w:bidi="hi-IN"/>
        </w:rPr>
      </w:pPr>
    </w:p>
    <w:p w:rsidR="006E094B" w:rsidRPr="00564DBC" w:rsidRDefault="006E094B" w:rsidP="00564DBC">
      <w:pPr>
        <w:widowControl w:val="0"/>
        <w:spacing w:after="0" w:line="360" w:lineRule="auto"/>
        <w:jc w:val="both"/>
        <w:textAlignment w:val="baseline"/>
        <w:rPr>
          <w:rFonts w:ascii="Book Antiqua" w:hAnsi="Book Antiqua"/>
          <w:sz w:val="24"/>
          <w:szCs w:val="24"/>
          <w:lang w:val="en-US" w:eastAsia="hi-IN" w:bidi="hi-IN"/>
        </w:rPr>
      </w:pPr>
      <w:proofErr w:type="spellStart"/>
      <w:r w:rsidRPr="00564DBC">
        <w:rPr>
          <w:rFonts w:ascii="Book Antiqua" w:eastAsia="Times New Roman" w:hAnsi="Book Antiqua"/>
          <w:bCs/>
          <w:sz w:val="24"/>
          <w:szCs w:val="24"/>
          <w:lang w:val="en-US" w:eastAsia="hi-IN" w:bidi="hi-IN"/>
        </w:rPr>
        <w:t>Gorodetskiy</w:t>
      </w:r>
      <w:proofErr w:type="spellEnd"/>
      <w:r w:rsidRPr="00564DBC">
        <w:rPr>
          <w:rFonts w:ascii="Book Antiqua" w:eastAsia="Times New Roman" w:hAnsi="Book Antiqua"/>
          <w:bCs/>
          <w:sz w:val="24"/>
          <w:szCs w:val="24"/>
          <w:lang w:val="en-US" w:eastAsia="hi-IN" w:bidi="hi-IN"/>
        </w:rPr>
        <w:t xml:space="preserve"> VR </w:t>
      </w:r>
      <w:r w:rsidRPr="00564DBC">
        <w:rPr>
          <w:rFonts w:ascii="Book Antiqua" w:eastAsia="Times New Roman" w:hAnsi="Book Antiqua"/>
          <w:bCs/>
          <w:i/>
          <w:sz w:val="24"/>
          <w:szCs w:val="24"/>
          <w:lang w:val="en-US" w:eastAsia="hi-IN" w:bidi="hi-IN"/>
        </w:rPr>
        <w:t>et al</w:t>
      </w:r>
      <w:r w:rsidRPr="00564DBC">
        <w:rPr>
          <w:rFonts w:ascii="Book Antiqua" w:eastAsia="Times New Roman" w:hAnsi="Book Antiqua"/>
          <w:bCs/>
          <w:sz w:val="24"/>
          <w:szCs w:val="24"/>
          <w:lang w:val="en-US" w:eastAsia="hi-IN" w:bidi="hi-IN"/>
        </w:rPr>
        <w:t xml:space="preserve">. </w:t>
      </w:r>
      <w:r w:rsidRPr="00564DBC">
        <w:rPr>
          <w:rFonts w:ascii="Book Antiqua" w:eastAsia="NewtonC-Italic" w:hAnsi="Book Antiqua"/>
          <w:iCs/>
          <w:sz w:val="24"/>
          <w:szCs w:val="24"/>
          <w:lang w:val="en-US" w:eastAsia="ru-RU" w:bidi="hi-IN"/>
        </w:rPr>
        <w:t>FDG PET/CT in SPTCL patients</w:t>
      </w:r>
    </w:p>
    <w:p w:rsidR="006E094B" w:rsidRPr="00564DBC" w:rsidRDefault="006E094B" w:rsidP="00564DBC">
      <w:pPr>
        <w:widowControl w:val="0"/>
        <w:spacing w:after="0" w:line="360" w:lineRule="auto"/>
        <w:jc w:val="both"/>
        <w:textAlignment w:val="baseline"/>
        <w:rPr>
          <w:rFonts w:ascii="Book Antiqua" w:eastAsia="NewtonC-Italic" w:hAnsi="Book Antiqua"/>
          <w:iCs/>
          <w:sz w:val="24"/>
          <w:szCs w:val="24"/>
          <w:lang w:val="en-US" w:eastAsia="ru-RU" w:bidi="hi-IN"/>
        </w:rPr>
      </w:pPr>
    </w:p>
    <w:p w:rsidR="006E094B" w:rsidRPr="00564DBC" w:rsidRDefault="006E094B" w:rsidP="00564DBC">
      <w:pPr>
        <w:widowControl w:val="0"/>
        <w:autoSpaceDE w:val="0"/>
        <w:autoSpaceDN w:val="0"/>
        <w:adjustRightInd w:val="0"/>
        <w:spacing w:after="0" w:line="360" w:lineRule="auto"/>
        <w:jc w:val="both"/>
        <w:rPr>
          <w:rFonts w:ascii="Book Antiqua" w:eastAsia="Times New Roman" w:hAnsi="Book Antiqua"/>
          <w:b/>
          <w:bCs/>
          <w:sz w:val="24"/>
          <w:szCs w:val="24"/>
          <w:lang w:val="en-US" w:eastAsia="hi-IN" w:bidi="hi-IN"/>
        </w:rPr>
      </w:pPr>
      <w:r w:rsidRPr="00564DBC">
        <w:rPr>
          <w:rFonts w:ascii="Book Antiqua" w:eastAsia="Times New Roman" w:hAnsi="Book Antiqua"/>
          <w:b/>
          <w:bCs/>
          <w:sz w:val="24"/>
          <w:szCs w:val="24"/>
          <w:lang w:val="en-US" w:eastAsia="hi-IN" w:bidi="hi-IN"/>
        </w:rPr>
        <w:t xml:space="preserve">Vadim R </w:t>
      </w:r>
      <w:proofErr w:type="spellStart"/>
      <w:r w:rsidRPr="00564DBC">
        <w:rPr>
          <w:rFonts w:ascii="Book Antiqua" w:eastAsia="Times New Roman" w:hAnsi="Book Antiqua"/>
          <w:b/>
          <w:bCs/>
          <w:sz w:val="24"/>
          <w:szCs w:val="24"/>
          <w:lang w:val="en-US" w:eastAsia="hi-IN" w:bidi="hi-IN"/>
        </w:rPr>
        <w:t>Gorodetskiy</w:t>
      </w:r>
      <w:proofErr w:type="spellEnd"/>
      <w:r w:rsidRPr="00564DBC">
        <w:rPr>
          <w:rFonts w:ascii="Book Antiqua" w:eastAsia="Times New Roman" w:hAnsi="Book Antiqua"/>
          <w:b/>
          <w:bCs/>
          <w:sz w:val="24"/>
          <w:szCs w:val="24"/>
          <w:lang w:val="en-US" w:eastAsia="hi-IN" w:bidi="hi-IN"/>
        </w:rPr>
        <w:t xml:space="preserve">, Olga V </w:t>
      </w:r>
      <w:proofErr w:type="spellStart"/>
      <w:r w:rsidRPr="00564DBC">
        <w:rPr>
          <w:rFonts w:ascii="Book Antiqua" w:eastAsia="Times New Roman" w:hAnsi="Book Antiqua"/>
          <w:b/>
          <w:bCs/>
          <w:sz w:val="24"/>
          <w:szCs w:val="24"/>
          <w:lang w:val="en-US" w:eastAsia="hi-IN" w:bidi="hi-IN"/>
        </w:rPr>
        <w:t>Mukhortova</w:t>
      </w:r>
      <w:proofErr w:type="spellEnd"/>
      <w:r w:rsidRPr="00564DBC">
        <w:rPr>
          <w:rFonts w:ascii="Book Antiqua" w:eastAsia="Times New Roman" w:hAnsi="Book Antiqua"/>
          <w:b/>
          <w:sz w:val="24"/>
          <w:szCs w:val="24"/>
          <w:lang w:val="en-US" w:eastAsia="hi-IN" w:bidi="hi-IN"/>
        </w:rPr>
        <w:t xml:space="preserve">, </w:t>
      </w:r>
      <w:proofErr w:type="spellStart"/>
      <w:r w:rsidRPr="00564DBC">
        <w:rPr>
          <w:rFonts w:ascii="Book Antiqua" w:eastAsia="Times New Roman" w:hAnsi="Book Antiqua"/>
          <w:b/>
          <w:sz w:val="24"/>
          <w:szCs w:val="24"/>
          <w:lang w:val="en-US" w:eastAsia="hi-IN" w:bidi="hi-IN"/>
        </w:rPr>
        <w:t>Irakli</w:t>
      </w:r>
      <w:proofErr w:type="spellEnd"/>
      <w:r w:rsidRPr="00564DBC">
        <w:rPr>
          <w:rFonts w:ascii="Book Antiqua" w:eastAsia="Times New Roman" w:hAnsi="Book Antiqua"/>
          <w:b/>
          <w:sz w:val="24"/>
          <w:szCs w:val="24"/>
          <w:lang w:val="en-US" w:eastAsia="hi-IN" w:bidi="hi-IN"/>
        </w:rPr>
        <w:t xml:space="preserve"> P </w:t>
      </w:r>
      <w:proofErr w:type="spellStart"/>
      <w:r w:rsidRPr="00564DBC">
        <w:rPr>
          <w:rFonts w:ascii="Book Antiqua" w:eastAsia="Times New Roman" w:hAnsi="Book Antiqua"/>
          <w:b/>
          <w:sz w:val="24"/>
          <w:szCs w:val="24"/>
          <w:lang w:val="en-US" w:eastAsia="hi-IN" w:bidi="hi-IN"/>
        </w:rPr>
        <w:t>Aslanidis</w:t>
      </w:r>
      <w:proofErr w:type="spellEnd"/>
      <w:r w:rsidRPr="00564DBC">
        <w:rPr>
          <w:rFonts w:ascii="Book Antiqua" w:eastAsia="Times New Roman" w:hAnsi="Book Antiqua"/>
          <w:b/>
          <w:sz w:val="24"/>
          <w:szCs w:val="24"/>
          <w:lang w:val="en-US" w:eastAsia="hi-IN" w:bidi="hi-IN"/>
        </w:rPr>
        <w:t xml:space="preserve">, Wolfram </w:t>
      </w:r>
      <w:proofErr w:type="spellStart"/>
      <w:r w:rsidRPr="00564DBC">
        <w:rPr>
          <w:rFonts w:ascii="Book Antiqua" w:eastAsia="Times New Roman" w:hAnsi="Book Antiqua"/>
          <w:b/>
          <w:sz w:val="24"/>
          <w:szCs w:val="24"/>
          <w:lang w:val="en-US" w:eastAsia="hi-IN" w:bidi="hi-IN"/>
        </w:rPr>
        <w:t>Klapper</w:t>
      </w:r>
      <w:proofErr w:type="spellEnd"/>
      <w:r w:rsidRPr="00564DBC">
        <w:rPr>
          <w:rFonts w:ascii="Book Antiqua" w:eastAsia="Times New Roman" w:hAnsi="Book Antiqua"/>
          <w:b/>
          <w:sz w:val="24"/>
          <w:szCs w:val="24"/>
          <w:lang w:val="en-US" w:eastAsia="hi-IN" w:bidi="hi-IN"/>
        </w:rPr>
        <w:t>,</w:t>
      </w:r>
      <w:r w:rsidRPr="00564DBC">
        <w:rPr>
          <w:rFonts w:ascii="Book Antiqua" w:eastAsia="Times New Roman" w:hAnsi="Book Antiqua"/>
          <w:b/>
          <w:sz w:val="24"/>
          <w:szCs w:val="24"/>
          <w:vertAlign w:val="superscript"/>
          <w:lang w:val="en-US" w:eastAsia="hi-IN" w:bidi="hi-IN"/>
        </w:rPr>
        <w:t xml:space="preserve"> </w:t>
      </w:r>
      <w:r w:rsidRPr="00564DBC">
        <w:rPr>
          <w:rFonts w:ascii="Book Antiqua" w:eastAsia="Times New Roman" w:hAnsi="Book Antiqua"/>
          <w:b/>
          <w:bCs/>
          <w:sz w:val="24"/>
          <w:szCs w:val="24"/>
          <w:lang w:val="en-US" w:eastAsia="hi-IN" w:bidi="hi-IN"/>
        </w:rPr>
        <w:t xml:space="preserve">Natalya A </w:t>
      </w:r>
      <w:proofErr w:type="spellStart"/>
      <w:r w:rsidRPr="00564DBC">
        <w:rPr>
          <w:rFonts w:ascii="Book Antiqua" w:eastAsia="Times New Roman" w:hAnsi="Book Antiqua"/>
          <w:b/>
          <w:bCs/>
          <w:sz w:val="24"/>
          <w:szCs w:val="24"/>
          <w:lang w:val="en-US" w:eastAsia="hi-IN" w:bidi="hi-IN"/>
        </w:rPr>
        <w:t>Probatova</w:t>
      </w:r>
      <w:proofErr w:type="spellEnd"/>
    </w:p>
    <w:p w:rsidR="006E094B" w:rsidRPr="00564DBC" w:rsidRDefault="006E094B" w:rsidP="00564DBC">
      <w:pPr>
        <w:widowControl w:val="0"/>
        <w:autoSpaceDE w:val="0"/>
        <w:autoSpaceDN w:val="0"/>
        <w:adjustRightInd w:val="0"/>
        <w:spacing w:after="0" w:line="360" w:lineRule="auto"/>
        <w:jc w:val="both"/>
        <w:rPr>
          <w:rFonts w:ascii="Book Antiqua" w:eastAsia="NewtonC-Italic" w:hAnsi="Book Antiqua"/>
          <w:iCs/>
          <w:sz w:val="24"/>
          <w:szCs w:val="24"/>
          <w:lang w:val="en-US" w:eastAsia="ru-RU" w:bidi="hi-IN"/>
        </w:rPr>
      </w:pPr>
    </w:p>
    <w:p w:rsidR="006E094B" w:rsidRPr="00564DBC" w:rsidRDefault="006E094B" w:rsidP="00564DBC">
      <w:pPr>
        <w:widowControl w:val="0"/>
        <w:autoSpaceDE w:val="0"/>
        <w:autoSpaceDN w:val="0"/>
        <w:adjustRightInd w:val="0"/>
        <w:spacing w:after="0" w:line="360" w:lineRule="auto"/>
        <w:jc w:val="both"/>
        <w:rPr>
          <w:rFonts w:ascii="Book Antiqua" w:eastAsia="NewtonC-Italic" w:hAnsi="Book Antiqua"/>
          <w:iCs/>
          <w:sz w:val="24"/>
          <w:szCs w:val="24"/>
          <w:lang w:val="en-US" w:eastAsia="ru-RU" w:bidi="hi-IN"/>
        </w:rPr>
      </w:pPr>
      <w:r w:rsidRPr="00564DBC">
        <w:rPr>
          <w:rFonts w:ascii="Book Antiqua" w:eastAsia="NewtonC-Italic" w:hAnsi="Book Antiqua"/>
          <w:b/>
          <w:iCs/>
          <w:sz w:val="24"/>
          <w:szCs w:val="24"/>
          <w:lang w:val="en-US" w:eastAsia="ru-RU" w:bidi="hi-IN"/>
        </w:rPr>
        <w:t xml:space="preserve">Vadim R </w:t>
      </w:r>
      <w:proofErr w:type="spellStart"/>
      <w:r w:rsidRPr="00564DBC">
        <w:rPr>
          <w:rFonts w:ascii="Book Antiqua" w:eastAsia="NewtonC-Italic" w:hAnsi="Book Antiqua"/>
          <w:b/>
          <w:iCs/>
          <w:sz w:val="24"/>
          <w:szCs w:val="24"/>
          <w:lang w:val="en-US" w:eastAsia="ru-RU" w:bidi="hi-IN"/>
        </w:rPr>
        <w:t>Gorodetskiy</w:t>
      </w:r>
      <w:proofErr w:type="spellEnd"/>
      <w:r w:rsidRPr="00564DBC">
        <w:rPr>
          <w:rFonts w:ascii="Book Antiqua" w:eastAsia="NewtonC-Italic" w:hAnsi="Book Antiqua"/>
          <w:b/>
          <w:iCs/>
          <w:sz w:val="24"/>
          <w:szCs w:val="24"/>
          <w:lang w:val="en-US" w:eastAsia="ru-RU" w:bidi="hi-IN"/>
        </w:rPr>
        <w:t>,</w:t>
      </w:r>
      <w:r w:rsidRPr="00564DBC">
        <w:rPr>
          <w:rFonts w:ascii="Book Antiqua" w:eastAsia="NewtonC-Italic" w:hAnsi="Book Antiqua"/>
          <w:iCs/>
          <w:sz w:val="24"/>
          <w:szCs w:val="24"/>
          <w:lang w:val="en-US" w:eastAsia="ru-RU" w:bidi="hi-IN"/>
        </w:rPr>
        <w:t xml:space="preserve"> </w:t>
      </w:r>
      <w:r w:rsidRPr="00564DBC">
        <w:rPr>
          <w:rFonts w:ascii="Book Antiqua" w:hAnsi="Book Antiqua" w:cs="MinionPro-It"/>
          <w:iCs/>
          <w:sz w:val="24"/>
          <w:szCs w:val="24"/>
          <w:lang w:val="en-US" w:eastAsia="ru-RU"/>
        </w:rPr>
        <w:t xml:space="preserve">Department of Intensive Methods of Therapy, </w:t>
      </w:r>
      <w:r w:rsidRPr="00564DBC">
        <w:rPr>
          <w:rFonts w:ascii="Book Antiqua" w:eastAsia="NewtonC-Italic" w:hAnsi="Book Antiqua"/>
          <w:iCs/>
          <w:sz w:val="24"/>
          <w:szCs w:val="24"/>
          <w:lang w:val="en-US" w:eastAsia="ru-RU" w:bidi="hi-IN"/>
        </w:rPr>
        <w:t xml:space="preserve">V.A. </w:t>
      </w:r>
      <w:proofErr w:type="spellStart"/>
      <w:r w:rsidRPr="00564DBC">
        <w:rPr>
          <w:rFonts w:ascii="Book Antiqua" w:eastAsia="NewtonC-Italic" w:hAnsi="Book Antiqua"/>
          <w:iCs/>
          <w:sz w:val="24"/>
          <w:szCs w:val="24"/>
          <w:lang w:val="en-US" w:eastAsia="ru-RU" w:bidi="hi-IN"/>
        </w:rPr>
        <w:t>Nasonova</w:t>
      </w:r>
      <w:proofErr w:type="spellEnd"/>
      <w:r w:rsidRPr="00564DBC">
        <w:rPr>
          <w:rFonts w:ascii="Book Antiqua" w:eastAsia="NewtonC-Italic" w:hAnsi="Book Antiqua"/>
          <w:iCs/>
          <w:sz w:val="24"/>
          <w:szCs w:val="24"/>
          <w:lang w:val="en-US" w:eastAsia="ru-RU" w:bidi="hi-IN"/>
        </w:rPr>
        <w:t xml:space="preserve"> Research Institute of Rheumatology, Russian Academy of Medical Sciences,</w:t>
      </w:r>
      <w:r w:rsidR="00654A04" w:rsidRPr="00564DBC">
        <w:rPr>
          <w:rFonts w:ascii="Book Antiqua" w:eastAsia="Times New Roman" w:hAnsi="Book Antiqua"/>
          <w:sz w:val="24"/>
          <w:szCs w:val="24"/>
          <w:lang w:val="en-US" w:eastAsia="hi-IN" w:bidi="hi-IN"/>
        </w:rPr>
        <w:t xml:space="preserve"> 115522</w:t>
      </w:r>
      <w:r w:rsidRPr="00564DBC">
        <w:rPr>
          <w:rFonts w:ascii="Book Antiqua" w:eastAsia="NewtonC-Italic" w:hAnsi="Book Antiqua"/>
          <w:iCs/>
          <w:sz w:val="24"/>
          <w:szCs w:val="24"/>
          <w:lang w:val="en-US" w:eastAsia="ru-RU" w:bidi="hi-IN"/>
        </w:rPr>
        <w:t xml:space="preserve"> Moscow, Russia</w:t>
      </w:r>
    </w:p>
    <w:p w:rsidR="006E094B" w:rsidRPr="00564DBC" w:rsidRDefault="006E094B" w:rsidP="00564DBC">
      <w:pPr>
        <w:widowControl w:val="0"/>
        <w:autoSpaceDE w:val="0"/>
        <w:autoSpaceDN w:val="0"/>
        <w:adjustRightInd w:val="0"/>
        <w:spacing w:after="0" w:line="360" w:lineRule="auto"/>
        <w:jc w:val="both"/>
        <w:rPr>
          <w:rFonts w:ascii="Book Antiqua" w:eastAsia="NewtonC-Italic" w:hAnsi="Book Antiqua"/>
          <w:iCs/>
          <w:sz w:val="24"/>
          <w:szCs w:val="24"/>
          <w:lang w:val="en-US" w:eastAsia="ru-RU" w:bidi="hi-IN"/>
        </w:rPr>
      </w:pPr>
    </w:p>
    <w:p w:rsidR="006E094B" w:rsidRPr="00564DBC" w:rsidRDefault="006E094B" w:rsidP="00564DBC">
      <w:pPr>
        <w:widowControl w:val="0"/>
        <w:autoSpaceDE w:val="0"/>
        <w:autoSpaceDN w:val="0"/>
        <w:adjustRightInd w:val="0"/>
        <w:spacing w:after="0" w:line="360" w:lineRule="auto"/>
        <w:jc w:val="both"/>
        <w:rPr>
          <w:rFonts w:ascii="Book Antiqua" w:eastAsia="NewtonC-Italic" w:hAnsi="Book Antiqua"/>
          <w:iCs/>
          <w:sz w:val="24"/>
          <w:szCs w:val="24"/>
          <w:lang w:val="en-US" w:eastAsia="ru-RU" w:bidi="hi-IN"/>
        </w:rPr>
      </w:pPr>
      <w:r w:rsidRPr="00564DBC">
        <w:rPr>
          <w:rFonts w:ascii="Book Antiqua" w:eastAsia="Times New Roman" w:hAnsi="Book Antiqua"/>
          <w:b/>
          <w:bCs/>
          <w:sz w:val="24"/>
          <w:szCs w:val="24"/>
          <w:lang w:val="en-US" w:eastAsia="hi-IN" w:bidi="hi-IN"/>
        </w:rPr>
        <w:t xml:space="preserve">Olga V </w:t>
      </w:r>
      <w:proofErr w:type="spellStart"/>
      <w:r w:rsidRPr="00564DBC">
        <w:rPr>
          <w:rFonts w:ascii="Book Antiqua" w:eastAsia="Times New Roman" w:hAnsi="Book Antiqua"/>
          <w:b/>
          <w:bCs/>
          <w:sz w:val="24"/>
          <w:szCs w:val="24"/>
          <w:lang w:val="en-US" w:eastAsia="hi-IN" w:bidi="hi-IN"/>
        </w:rPr>
        <w:t>Mukhortova</w:t>
      </w:r>
      <w:proofErr w:type="spellEnd"/>
      <w:r w:rsidRPr="00564DBC">
        <w:rPr>
          <w:rFonts w:ascii="Book Antiqua" w:eastAsia="Times New Roman" w:hAnsi="Book Antiqua"/>
          <w:bCs/>
          <w:sz w:val="24"/>
          <w:szCs w:val="24"/>
          <w:lang w:val="en-US" w:eastAsia="hi-IN" w:bidi="hi-IN"/>
        </w:rPr>
        <w:t xml:space="preserve">, </w:t>
      </w:r>
      <w:proofErr w:type="spellStart"/>
      <w:r w:rsidRPr="00564DBC">
        <w:rPr>
          <w:rFonts w:ascii="Book Antiqua" w:eastAsia="Times New Roman" w:hAnsi="Book Antiqua"/>
          <w:b/>
          <w:sz w:val="24"/>
          <w:szCs w:val="24"/>
          <w:lang w:val="en-US" w:eastAsia="hi-IN" w:bidi="hi-IN"/>
        </w:rPr>
        <w:t>Irakli</w:t>
      </w:r>
      <w:proofErr w:type="spellEnd"/>
      <w:r w:rsidRPr="00564DBC">
        <w:rPr>
          <w:rFonts w:ascii="Book Antiqua" w:eastAsia="Times New Roman" w:hAnsi="Book Antiqua"/>
          <w:b/>
          <w:sz w:val="24"/>
          <w:szCs w:val="24"/>
          <w:lang w:val="en-US" w:eastAsia="hi-IN" w:bidi="hi-IN"/>
        </w:rPr>
        <w:t xml:space="preserve"> P </w:t>
      </w:r>
      <w:proofErr w:type="spellStart"/>
      <w:r w:rsidRPr="00564DBC">
        <w:rPr>
          <w:rFonts w:ascii="Book Antiqua" w:eastAsia="Times New Roman" w:hAnsi="Book Antiqua"/>
          <w:b/>
          <w:sz w:val="24"/>
          <w:szCs w:val="24"/>
          <w:lang w:val="en-US" w:eastAsia="hi-IN" w:bidi="hi-IN"/>
        </w:rPr>
        <w:t>Aslanidis</w:t>
      </w:r>
      <w:proofErr w:type="spellEnd"/>
      <w:r w:rsidRPr="00564DBC">
        <w:rPr>
          <w:rFonts w:ascii="Book Antiqua" w:eastAsia="Times New Roman" w:hAnsi="Book Antiqua"/>
          <w:b/>
          <w:sz w:val="24"/>
          <w:szCs w:val="24"/>
          <w:lang w:val="en-US" w:eastAsia="hi-IN" w:bidi="hi-IN"/>
        </w:rPr>
        <w:t>,</w:t>
      </w:r>
      <w:r w:rsidRPr="00564DBC">
        <w:rPr>
          <w:rFonts w:ascii="Book Antiqua" w:eastAsia="Times New Roman" w:hAnsi="Book Antiqua"/>
          <w:sz w:val="24"/>
          <w:szCs w:val="24"/>
          <w:lang w:val="en-US" w:eastAsia="hi-IN" w:bidi="hi-IN"/>
        </w:rPr>
        <w:t xml:space="preserve"> Department</w:t>
      </w:r>
      <w:r w:rsidRPr="00564DBC">
        <w:rPr>
          <w:rFonts w:ascii="Book Antiqua" w:hAnsi="Book Antiqua"/>
          <w:sz w:val="24"/>
          <w:szCs w:val="24"/>
          <w:lang w:val="en-US"/>
        </w:rPr>
        <w:t xml:space="preserve"> of Nuclear Diagnostics,</w:t>
      </w:r>
      <w:r w:rsidRPr="00564DBC">
        <w:rPr>
          <w:rFonts w:ascii="Book Antiqua" w:eastAsia="Times New Roman" w:hAnsi="Book Antiqua"/>
          <w:sz w:val="24"/>
          <w:szCs w:val="24"/>
          <w:lang w:val="en-US" w:eastAsia="hi-IN" w:bidi="hi-IN"/>
        </w:rPr>
        <w:t xml:space="preserve"> </w:t>
      </w:r>
      <w:proofErr w:type="spellStart"/>
      <w:r w:rsidRPr="00564DBC">
        <w:rPr>
          <w:rFonts w:ascii="Book Antiqua" w:eastAsia="Times New Roman" w:hAnsi="Book Antiqua"/>
          <w:sz w:val="24"/>
          <w:szCs w:val="24"/>
          <w:lang w:val="en-US" w:eastAsia="hi-IN" w:bidi="hi-IN"/>
        </w:rPr>
        <w:t>Bakoulev</w:t>
      </w:r>
      <w:proofErr w:type="spellEnd"/>
      <w:r w:rsidRPr="00564DBC">
        <w:rPr>
          <w:rFonts w:ascii="Book Antiqua" w:eastAsia="Times New Roman" w:hAnsi="Book Antiqua"/>
          <w:sz w:val="24"/>
          <w:szCs w:val="24"/>
          <w:lang w:val="en-US" w:eastAsia="hi-IN" w:bidi="hi-IN"/>
        </w:rPr>
        <w:t xml:space="preserve"> Scientific Center for Cardiovascular Surgery</w:t>
      </w:r>
      <w:r w:rsidRPr="00564DBC">
        <w:rPr>
          <w:rFonts w:ascii="Book Antiqua" w:eastAsia="NewtonC-Italic" w:hAnsi="Book Antiqua"/>
          <w:iCs/>
          <w:sz w:val="24"/>
          <w:szCs w:val="24"/>
          <w:lang w:val="en-US" w:eastAsia="ru-RU" w:bidi="hi-IN"/>
        </w:rPr>
        <w:t xml:space="preserve">, </w:t>
      </w:r>
      <w:r w:rsidR="00654A04" w:rsidRPr="00564DBC">
        <w:rPr>
          <w:rFonts w:ascii="Book Antiqua" w:eastAsia="NewtonC-Italic" w:hAnsi="Book Antiqua"/>
          <w:iCs/>
          <w:sz w:val="24"/>
          <w:szCs w:val="24"/>
          <w:lang w:val="en-US" w:eastAsia="ru-RU" w:bidi="hi-IN"/>
        </w:rPr>
        <w:t>121552</w:t>
      </w:r>
      <w:r w:rsidR="00654A04" w:rsidRPr="00564DBC">
        <w:rPr>
          <w:rFonts w:ascii="Book Antiqua" w:hAnsi="Book Antiqua"/>
          <w:iCs/>
          <w:sz w:val="24"/>
          <w:szCs w:val="24"/>
          <w:lang w:val="en-US" w:eastAsia="zh-CN" w:bidi="hi-IN"/>
        </w:rPr>
        <w:t xml:space="preserve"> </w:t>
      </w:r>
      <w:r w:rsidRPr="00564DBC">
        <w:rPr>
          <w:rFonts w:ascii="Book Antiqua" w:eastAsia="NewtonC-Italic" w:hAnsi="Book Antiqua"/>
          <w:iCs/>
          <w:sz w:val="24"/>
          <w:szCs w:val="24"/>
          <w:lang w:val="en-US" w:eastAsia="ru-RU" w:bidi="hi-IN"/>
        </w:rPr>
        <w:t>Moscow, Russia</w:t>
      </w:r>
    </w:p>
    <w:p w:rsidR="006E094B" w:rsidRPr="00564DBC" w:rsidRDefault="006E094B" w:rsidP="00564DBC">
      <w:pPr>
        <w:widowControl w:val="0"/>
        <w:autoSpaceDE w:val="0"/>
        <w:autoSpaceDN w:val="0"/>
        <w:adjustRightInd w:val="0"/>
        <w:spacing w:after="0" w:line="360" w:lineRule="auto"/>
        <w:jc w:val="both"/>
        <w:rPr>
          <w:rFonts w:ascii="Book Antiqua" w:eastAsia="Times New Roman" w:hAnsi="Book Antiqua"/>
          <w:sz w:val="24"/>
          <w:szCs w:val="24"/>
          <w:lang w:val="en-US" w:eastAsia="hi-IN" w:bidi="hi-IN"/>
        </w:rPr>
      </w:pPr>
    </w:p>
    <w:p w:rsidR="006E094B" w:rsidRPr="00564DBC" w:rsidRDefault="006E094B" w:rsidP="00564DBC">
      <w:pPr>
        <w:widowControl w:val="0"/>
        <w:autoSpaceDE w:val="0"/>
        <w:autoSpaceDN w:val="0"/>
        <w:adjustRightInd w:val="0"/>
        <w:spacing w:after="0" w:line="360" w:lineRule="auto"/>
        <w:jc w:val="both"/>
        <w:rPr>
          <w:rFonts w:ascii="Book Antiqua" w:eastAsia="Times New Roman" w:hAnsi="Book Antiqua"/>
          <w:bCs/>
          <w:sz w:val="24"/>
          <w:szCs w:val="24"/>
          <w:lang w:val="en-US" w:eastAsia="hi-IN" w:bidi="hi-IN"/>
        </w:rPr>
      </w:pPr>
      <w:r w:rsidRPr="00564DBC">
        <w:rPr>
          <w:rFonts w:ascii="Book Antiqua" w:eastAsia="Times New Roman" w:hAnsi="Book Antiqua"/>
          <w:b/>
          <w:sz w:val="24"/>
          <w:szCs w:val="24"/>
          <w:lang w:val="en-US" w:eastAsia="hi-IN" w:bidi="hi-IN"/>
        </w:rPr>
        <w:t xml:space="preserve">Wolfram </w:t>
      </w:r>
      <w:proofErr w:type="spellStart"/>
      <w:r w:rsidRPr="00564DBC">
        <w:rPr>
          <w:rFonts w:ascii="Book Antiqua" w:eastAsia="Times New Roman" w:hAnsi="Book Antiqua"/>
          <w:b/>
          <w:sz w:val="24"/>
          <w:szCs w:val="24"/>
          <w:lang w:val="en-US" w:eastAsia="hi-IN" w:bidi="hi-IN"/>
        </w:rPr>
        <w:t>Klapper</w:t>
      </w:r>
      <w:proofErr w:type="spellEnd"/>
      <w:r w:rsidRPr="00564DBC">
        <w:rPr>
          <w:rFonts w:ascii="Book Antiqua" w:eastAsia="Times New Roman" w:hAnsi="Book Antiqua"/>
          <w:b/>
          <w:sz w:val="24"/>
          <w:szCs w:val="24"/>
          <w:lang w:val="en-US" w:eastAsia="hi-IN" w:bidi="hi-IN"/>
        </w:rPr>
        <w:t>,</w:t>
      </w:r>
      <w:r w:rsidRPr="00564DBC">
        <w:rPr>
          <w:rFonts w:ascii="Book Antiqua" w:eastAsia="Times New Roman" w:hAnsi="Book Antiqua"/>
          <w:sz w:val="24"/>
          <w:szCs w:val="24"/>
          <w:lang w:val="en-US" w:eastAsia="hi-IN" w:bidi="hi-IN"/>
        </w:rPr>
        <w:t xml:space="preserve"> Department of Pathology, </w:t>
      </w:r>
      <w:proofErr w:type="spellStart"/>
      <w:r w:rsidRPr="00564DBC">
        <w:rPr>
          <w:rFonts w:ascii="Book Antiqua" w:eastAsia="Times New Roman" w:hAnsi="Book Antiqua"/>
          <w:sz w:val="24"/>
          <w:szCs w:val="24"/>
          <w:lang w:val="en-US" w:eastAsia="hi-IN" w:bidi="hi-IN"/>
        </w:rPr>
        <w:t>Hematopathology</w:t>
      </w:r>
      <w:proofErr w:type="spellEnd"/>
      <w:r w:rsidRPr="00564DBC">
        <w:rPr>
          <w:rFonts w:ascii="Book Antiqua" w:eastAsia="Times New Roman" w:hAnsi="Book Antiqua"/>
          <w:sz w:val="24"/>
          <w:szCs w:val="24"/>
          <w:lang w:val="en-US" w:eastAsia="hi-IN" w:bidi="hi-IN"/>
        </w:rPr>
        <w:t xml:space="preserve"> Section and Lymph Node Registry, Christian-Albrecht University Kiel and University Hospital Schleswig-Holstein, Campus Kiel,</w:t>
      </w:r>
      <w:r w:rsidR="00654A04" w:rsidRPr="00564DBC">
        <w:rPr>
          <w:rFonts w:ascii="Book Antiqua" w:eastAsia="Times New Roman" w:hAnsi="Book Antiqua"/>
          <w:sz w:val="24"/>
          <w:szCs w:val="24"/>
          <w:lang w:val="en-US" w:eastAsia="hi-IN" w:bidi="hi-IN"/>
        </w:rPr>
        <w:t xml:space="preserve"> 24105</w:t>
      </w:r>
      <w:r w:rsidR="00654A04" w:rsidRPr="00564DBC">
        <w:rPr>
          <w:rFonts w:ascii="Book Antiqua" w:hAnsi="Book Antiqua"/>
          <w:sz w:val="24"/>
          <w:szCs w:val="24"/>
          <w:lang w:val="en-US" w:eastAsia="zh-CN" w:bidi="hi-IN"/>
        </w:rPr>
        <w:t xml:space="preserve"> </w:t>
      </w:r>
      <w:r w:rsidRPr="00564DBC">
        <w:rPr>
          <w:rFonts w:ascii="Book Antiqua" w:eastAsia="Times New Roman" w:hAnsi="Book Antiqua"/>
          <w:sz w:val="24"/>
          <w:szCs w:val="24"/>
          <w:lang w:val="en-US" w:eastAsia="hi-IN" w:bidi="hi-IN"/>
        </w:rPr>
        <w:t>Kiel, Germany</w:t>
      </w:r>
    </w:p>
    <w:p w:rsidR="006E094B" w:rsidRPr="00564DBC" w:rsidRDefault="006E094B" w:rsidP="00564DBC">
      <w:pPr>
        <w:widowControl w:val="0"/>
        <w:autoSpaceDE w:val="0"/>
        <w:autoSpaceDN w:val="0"/>
        <w:adjustRightInd w:val="0"/>
        <w:spacing w:after="0" w:line="360" w:lineRule="auto"/>
        <w:jc w:val="both"/>
        <w:rPr>
          <w:rFonts w:ascii="Book Antiqua" w:hAnsi="Book Antiqua"/>
          <w:bCs/>
          <w:sz w:val="24"/>
          <w:szCs w:val="24"/>
          <w:lang w:val="en-US" w:bidi="hi-IN"/>
        </w:rPr>
      </w:pPr>
    </w:p>
    <w:p w:rsidR="006E094B" w:rsidRPr="00564DBC" w:rsidRDefault="006E094B" w:rsidP="00564DBC">
      <w:pPr>
        <w:widowControl w:val="0"/>
        <w:autoSpaceDE w:val="0"/>
        <w:autoSpaceDN w:val="0"/>
        <w:adjustRightInd w:val="0"/>
        <w:spacing w:after="0" w:line="360" w:lineRule="auto"/>
        <w:jc w:val="both"/>
        <w:rPr>
          <w:rFonts w:ascii="Book Antiqua" w:eastAsia="NewtonC-Italic" w:hAnsi="Book Antiqua"/>
          <w:iCs/>
          <w:sz w:val="24"/>
          <w:szCs w:val="24"/>
          <w:lang w:val="en-US" w:eastAsia="ru-RU" w:bidi="hi-IN"/>
        </w:rPr>
      </w:pPr>
      <w:r w:rsidRPr="00564DBC">
        <w:rPr>
          <w:rFonts w:ascii="Book Antiqua" w:eastAsia="Times New Roman" w:hAnsi="Book Antiqua"/>
          <w:b/>
          <w:bCs/>
          <w:sz w:val="24"/>
          <w:szCs w:val="24"/>
          <w:lang w:val="en-US" w:eastAsia="hi-IN" w:bidi="hi-IN"/>
        </w:rPr>
        <w:t xml:space="preserve">Natalya A </w:t>
      </w:r>
      <w:proofErr w:type="spellStart"/>
      <w:r w:rsidRPr="00564DBC">
        <w:rPr>
          <w:rFonts w:ascii="Book Antiqua" w:eastAsia="Times New Roman" w:hAnsi="Book Antiqua"/>
          <w:b/>
          <w:bCs/>
          <w:sz w:val="24"/>
          <w:szCs w:val="24"/>
          <w:lang w:val="en-US" w:eastAsia="hi-IN" w:bidi="hi-IN"/>
        </w:rPr>
        <w:t>Probatova</w:t>
      </w:r>
      <w:proofErr w:type="spellEnd"/>
      <w:r w:rsidRPr="00564DBC">
        <w:rPr>
          <w:rFonts w:ascii="Book Antiqua" w:eastAsia="Times New Roman" w:hAnsi="Book Antiqua"/>
          <w:b/>
          <w:bCs/>
          <w:sz w:val="24"/>
          <w:szCs w:val="24"/>
          <w:lang w:val="en-US" w:eastAsia="hi-IN" w:bidi="hi-IN"/>
        </w:rPr>
        <w:t>,</w:t>
      </w:r>
      <w:r w:rsidRPr="00564DBC">
        <w:rPr>
          <w:rFonts w:ascii="Book Antiqua" w:eastAsia="Times New Roman" w:hAnsi="Book Antiqua"/>
          <w:bCs/>
          <w:sz w:val="24"/>
          <w:szCs w:val="24"/>
          <w:lang w:val="en-US" w:eastAsia="hi-IN" w:bidi="hi-IN"/>
        </w:rPr>
        <w:t xml:space="preserve"> </w:t>
      </w:r>
      <w:r w:rsidRPr="00564DBC">
        <w:rPr>
          <w:rFonts w:ascii="Book Antiqua" w:eastAsia="Times New Roman" w:hAnsi="Book Antiqua"/>
          <w:sz w:val="24"/>
          <w:szCs w:val="24"/>
          <w:lang w:val="en-US" w:eastAsia="hi-IN" w:bidi="hi-IN"/>
        </w:rPr>
        <w:t>Department of Pathology,</w:t>
      </w:r>
      <w:r w:rsidRPr="00564DBC">
        <w:rPr>
          <w:rFonts w:ascii="Book Antiqua" w:eastAsia="Times New Roman" w:hAnsi="Book Antiqua"/>
          <w:bCs/>
          <w:sz w:val="24"/>
          <w:szCs w:val="24"/>
          <w:lang w:val="en-US" w:eastAsia="hi-IN" w:bidi="hi-IN"/>
        </w:rPr>
        <w:t xml:space="preserve"> N.N. </w:t>
      </w:r>
      <w:proofErr w:type="spellStart"/>
      <w:r w:rsidRPr="00564DBC">
        <w:rPr>
          <w:rFonts w:ascii="Book Antiqua" w:eastAsia="Times New Roman" w:hAnsi="Book Antiqua"/>
          <w:bCs/>
          <w:sz w:val="24"/>
          <w:szCs w:val="24"/>
          <w:lang w:val="en-US" w:eastAsia="hi-IN" w:bidi="hi-IN"/>
        </w:rPr>
        <w:t>Blokhin</w:t>
      </w:r>
      <w:proofErr w:type="spellEnd"/>
      <w:r w:rsidRPr="00564DBC">
        <w:rPr>
          <w:rFonts w:ascii="Book Antiqua" w:eastAsia="Times New Roman" w:hAnsi="Book Antiqua"/>
          <w:bCs/>
          <w:sz w:val="24"/>
          <w:szCs w:val="24"/>
          <w:lang w:val="en-US" w:eastAsia="hi-IN" w:bidi="hi-IN"/>
        </w:rPr>
        <w:t xml:space="preserve"> Russian Cancer Research Center,</w:t>
      </w:r>
      <w:r w:rsidRPr="00564DBC">
        <w:rPr>
          <w:rFonts w:ascii="Book Antiqua" w:eastAsia="NewtonC-Italic" w:hAnsi="Book Antiqua"/>
          <w:iCs/>
          <w:sz w:val="24"/>
          <w:szCs w:val="24"/>
          <w:lang w:val="en-US" w:eastAsia="ru-RU" w:bidi="hi-IN"/>
        </w:rPr>
        <w:t xml:space="preserve"> Russian Academy of Medical Sciences, </w:t>
      </w:r>
      <w:r w:rsidR="00654A04" w:rsidRPr="00564DBC">
        <w:rPr>
          <w:rFonts w:ascii="Book Antiqua" w:eastAsia="NewtonC-Italic" w:hAnsi="Book Antiqua"/>
          <w:iCs/>
          <w:sz w:val="24"/>
          <w:szCs w:val="24"/>
          <w:lang w:val="en-US" w:eastAsia="ru-RU" w:bidi="hi-IN"/>
        </w:rPr>
        <w:t>115478</w:t>
      </w:r>
      <w:r w:rsidR="00654A04" w:rsidRPr="00564DBC">
        <w:rPr>
          <w:rFonts w:ascii="Book Antiqua" w:hAnsi="Book Antiqua"/>
          <w:iCs/>
          <w:sz w:val="24"/>
          <w:szCs w:val="24"/>
          <w:lang w:val="en-US" w:eastAsia="zh-CN" w:bidi="hi-IN"/>
        </w:rPr>
        <w:t xml:space="preserve"> </w:t>
      </w:r>
      <w:r w:rsidRPr="00564DBC">
        <w:rPr>
          <w:rFonts w:ascii="Book Antiqua" w:eastAsia="NewtonC-Italic" w:hAnsi="Book Antiqua"/>
          <w:iCs/>
          <w:sz w:val="24"/>
          <w:szCs w:val="24"/>
          <w:lang w:val="en-US" w:eastAsia="ru-RU" w:bidi="hi-IN"/>
        </w:rPr>
        <w:t>Moscow, Russia</w:t>
      </w:r>
    </w:p>
    <w:p w:rsidR="00654A04" w:rsidRPr="00564DBC" w:rsidRDefault="00654A04" w:rsidP="00564DBC">
      <w:pPr>
        <w:widowControl w:val="0"/>
        <w:autoSpaceDE w:val="0"/>
        <w:autoSpaceDN w:val="0"/>
        <w:adjustRightInd w:val="0"/>
        <w:spacing w:after="0" w:line="360" w:lineRule="auto"/>
        <w:jc w:val="both"/>
        <w:rPr>
          <w:rFonts w:ascii="Book Antiqua" w:hAnsi="Book Antiqua"/>
          <w:iCs/>
          <w:sz w:val="24"/>
          <w:szCs w:val="24"/>
          <w:lang w:val="en-US" w:eastAsia="zh-CN" w:bidi="hi-IN"/>
        </w:rPr>
      </w:pPr>
    </w:p>
    <w:p w:rsidR="006E094B" w:rsidRPr="00564DBC" w:rsidRDefault="006E094B" w:rsidP="00564DBC">
      <w:pPr>
        <w:widowControl w:val="0"/>
        <w:autoSpaceDE w:val="0"/>
        <w:autoSpaceDN w:val="0"/>
        <w:adjustRightInd w:val="0"/>
        <w:spacing w:after="0" w:line="360" w:lineRule="auto"/>
        <w:jc w:val="both"/>
        <w:rPr>
          <w:rFonts w:ascii="Book Antiqua" w:eastAsia="Times New Roman" w:hAnsi="Book Antiqua"/>
          <w:sz w:val="24"/>
          <w:szCs w:val="24"/>
          <w:lang w:val="en-US" w:eastAsia="hi-IN" w:bidi="hi-IN"/>
        </w:rPr>
      </w:pPr>
      <w:r w:rsidRPr="00564DBC">
        <w:rPr>
          <w:rFonts w:ascii="Book Antiqua" w:eastAsia="Times New Roman" w:hAnsi="Book Antiqua"/>
          <w:b/>
          <w:sz w:val="24"/>
          <w:szCs w:val="24"/>
          <w:lang w:val="en-US" w:eastAsia="hi-IN" w:bidi="hi-IN"/>
        </w:rPr>
        <w:t>Author contributions:</w:t>
      </w:r>
      <w:r w:rsidRPr="00564DBC">
        <w:rPr>
          <w:rFonts w:ascii="Book Antiqua" w:eastAsia="Times New Roman" w:hAnsi="Book Antiqua"/>
          <w:b/>
          <w:bCs/>
          <w:sz w:val="24"/>
          <w:szCs w:val="24"/>
          <w:lang w:val="en-US" w:eastAsia="hi-IN" w:bidi="hi-IN"/>
        </w:rPr>
        <w:t xml:space="preserve"> </w:t>
      </w:r>
      <w:proofErr w:type="spellStart"/>
      <w:r w:rsidRPr="00564DBC">
        <w:rPr>
          <w:rFonts w:ascii="Book Antiqua" w:eastAsia="Times New Roman" w:hAnsi="Book Antiqua"/>
          <w:bCs/>
          <w:sz w:val="24"/>
          <w:szCs w:val="24"/>
          <w:lang w:val="en-US" w:eastAsia="hi-IN" w:bidi="hi-IN"/>
        </w:rPr>
        <w:t>Gorodetskiy</w:t>
      </w:r>
      <w:proofErr w:type="spellEnd"/>
      <w:r w:rsidRPr="00564DBC">
        <w:rPr>
          <w:rFonts w:ascii="Book Antiqua" w:eastAsia="Times New Roman" w:hAnsi="Book Antiqua"/>
          <w:bCs/>
          <w:sz w:val="24"/>
          <w:szCs w:val="24"/>
          <w:lang w:val="en-US" w:eastAsia="hi-IN" w:bidi="hi-IN"/>
        </w:rPr>
        <w:t xml:space="preserve"> VR</w:t>
      </w:r>
      <w:r w:rsidRPr="00564DBC">
        <w:rPr>
          <w:rFonts w:ascii="Book Antiqua" w:eastAsia="Times New Roman" w:hAnsi="Book Antiqua"/>
          <w:b/>
          <w:bCs/>
          <w:sz w:val="24"/>
          <w:szCs w:val="24"/>
          <w:lang w:val="en-US" w:eastAsia="hi-IN" w:bidi="hi-IN"/>
        </w:rPr>
        <w:t xml:space="preserve"> </w:t>
      </w:r>
      <w:r w:rsidRPr="00564DBC">
        <w:rPr>
          <w:rFonts w:ascii="Book Antiqua" w:hAnsi="Book Antiqua" w:cs="Book Antiqua"/>
          <w:sz w:val="24"/>
          <w:szCs w:val="24"/>
          <w:lang w:val="en-US" w:eastAsia="ru-RU"/>
        </w:rPr>
        <w:t xml:space="preserve">designed the report, analyzed the data and wrote the paper; </w:t>
      </w:r>
      <w:proofErr w:type="spellStart"/>
      <w:r w:rsidRPr="00564DBC">
        <w:rPr>
          <w:rFonts w:ascii="Book Antiqua" w:eastAsia="Times New Roman" w:hAnsi="Book Antiqua"/>
          <w:bCs/>
          <w:sz w:val="24"/>
          <w:szCs w:val="24"/>
          <w:lang w:val="en-US" w:eastAsia="hi-IN" w:bidi="hi-IN"/>
        </w:rPr>
        <w:t>Mukhortova</w:t>
      </w:r>
      <w:proofErr w:type="spellEnd"/>
      <w:r w:rsidRPr="00564DBC">
        <w:rPr>
          <w:rFonts w:ascii="Book Antiqua" w:eastAsia="Times New Roman" w:hAnsi="Book Antiqua"/>
          <w:bCs/>
          <w:sz w:val="24"/>
          <w:szCs w:val="24"/>
          <w:lang w:val="en-US" w:eastAsia="hi-IN" w:bidi="hi-IN"/>
        </w:rPr>
        <w:t xml:space="preserve"> OV and </w:t>
      </w:r>
      <w:proofErr w:type="spellStart"/>
      <w:r w:rsidRPr="00564DBC">
        <w:rPr>
          <w:rFonts w:ascii="Book Antiqua" w:eastAsia="Times New Roman" w:hAnsi="Book Antiqua"/>
          <w:sz w:val="24"/>
          <w:szCs w:val="24"/>
          <w:lang w:val="en-US" w:eastAsia="hi-IN" w:bidi="hi-IN"/>
        </w:rPr>
        <w:t>Aslanidis</w:t>
      </w:r>
      <w:proofErr w:type="spellEnd"/>
      <w:r w:rsidRPr="00564DBC">
        <w:rPr>
          <w:rFonts w:ascii="Book Antiqua" w:eastAsia="Times New Roman" w:hAnsi="Book Antiqua"/>
          <w:sz w:val="24"/>
          <w:szCs w:val="24"/>
          <w:lang w:val="en-US" w:eastAsia="hi-IN" w:bidi="hi-IN"/>
        </w:rPr>
        <w:t xml:space="preserve"> IP</w:t>
      </w:r>
      <w:r w:rsidRPr="00564DBC">
        <w:rPr>
          <w:rFonts w:ascii="Book Antiqua" w:hAnsi="Book Antiqua" w:cs="Book Antiqua"/>
          <w:sz w:val="24"/>
          <w:szCs w:val="24"/>
          <w:lang w:val="en-US" w:eastAsia="ru-RU"/>
        </w:rPr>
        <w:t xml:space="preserve"> performed the </w:t>
      </w:r>
      <w:r w:rsidRPr="00564DBC">
        <w:rPr>
          <w:rFonts w:ascii="Book Antiqua" w:eastAsia="NewtonC-Italic" w:hAnsi="Book Antiqua"/>
          <w:iCs/>
          <w:sz w:val="24"/>
          <w:szCs w:val="24"/>
          <w:lang w:val="en-US" w:eastAsia="ru-RU" w:bidi="hi-IN"/>
        </w:rPr>
        <w:t xml:space="preserve">FDG </w:t>
      </w:r>
      <w:r w:rsidRPr="00564DBC">
        <w:rPr>
          <w:rFonts w:ascii="Book Antiqua" w:eastAsia="NewtonC-Italic" w:hAnsi="Book Antiqua"/>
          <w:iCs/>
          <w:sz w:val="24"/>
          <w:szCs w:val="24"/>
          <w:lang w:val="en-US" w:eastAsia="ru-RU" w:bidi="hi-IN"/>
        </w:rPr>
        <w:lastRenderedPageBreak/>
        <w:t>PET/CT;</w:t>
      </w:r>
      <w:r w:rsidRPr="00564DBC">
        <w:rPr>
          <w:rFonts w:ascii="Book Antiqua" w:eastAsia="Times New Roman" w:hAnsi="Book Antiqua"/>
          <w:b/>
          <w:sz w:val="24"/>
          <w:szCs w:val="24"/>
          <w:lang w:val="en-US" w:eastAsia="hi-IN" w:bidi="hi-IN"/>
        </w:rPr>
        <w:t xml:space="preserve"> </w:t>
      </w:r>
      <w:proofErr w:type="spellStart"/>
      <w:r w:rsidRPr="00564DBC">
        <w:rPr>
          <w:rFonts w:ascii="Book Antiqua" w:eastAsia="Times New Roman" w:hAnsi="Book Antiqua"/>
          <w:sz w:val="24"/>
          <w:szCs w:val="24"/>
          <w:lang w:val="en-US" w:eastAsia="hi-IN" w:bidi="hi-IN"/>
        </w:rPr>
        <w:t>Klapper</w:t>
      </w:r>
      <w:proofErr w:type="spellEnd"/>
      <w:r w:rsidRPr="00564DBC">
        <w:rPr>
          <w:rFonts w:ascii="Book Antiqua" w:eastAsia="Times New Roman" w:hAnsi="Book Antiqua"/>
          <w:sz w:val="24"/>
          <w:szCs w:val="24"/>
          <w:lang w:val="en-US" w:eastAsia="hi-IN" w:bidi="hi-IN"/>
        </w:rPr>
        <w:t xml:space="preserve"> W and</w:t>
      </w:r>
      <w:r w:rsidRPr="00564DBC">
        <w:rPr>
          <w:rFonts w:ascii="Book Antiqua" w:eastAsia="Times New Roman" w:hAnsi="Book Antiqua"/>
          <w:bCs/>
          <w:sz w:val="24"/>
          <w:szCs w:val="24"/>
          <w:lang w:val="en-US" w:eastAsia="hi-IN" w:bidi="hi-IN"/>
        </w:rPr>
        <w:t xml:space="preserve"> </w:t>
      </w:r>
      <w:proofErr w:type="spellStart"/>
      <w:r w:rsidRPr="00564DBC">
        <w:rPr>
          <w:rFonts w:ascii="Book Antiqua" w:eastAsia="Times New Roman" w:hAnsi="Book Antiqua"/>
          <w:bCs/>
          <w:sz w:val="24"/>
          <w:szCs w:val="24"/>
          <w:lang w:val="en-US" w:eastAsia="hi-IN" w:bidi="hi-IN"/>
        </w:rPr>
        <w:t>Probatova</w:t>
      </w:r>
      <w:proofErr w:type="spellEnd"/>
      <w:r w:rsidRPr="00564DBC">
        <w:rPr>
          <w:rFonts w:ascii="Book Antiqua" w:eastAsia="Times New Roman" w:hAnsi="Book Antiqua"/>
          <w:bCs/>
          <w:sz w:val="24"/>
          <w:szCs w:val="24"/>
          <w:lang w:val="en-US" w:eastAsia="hi-IN" w:bidi="hi-IN"/>
        </w:rPr>
        <w:t xml:space="preserve"> NA</w:t>
      </w:r>
      <w:r w:rsidRPr="00564DBC">
        <w:rPr>
          <w:rFonts w:ascii="Book Antiqua" w:hAnsi="Book Antiqua" w:cs="Book Antiqua"/>
          <w:sz w:val="24"/>
          <w:szCs w:val="24"/>
          <w:lang w:val="en-US" w:eastAsia="ru-RU"/>
        </w:rPr>
        <w:t xml:space="preserve"> performed the</w:t>
      </w:r>
      <w:r w:rsidRPr="00564DBC">
        <w:rPr>
          <w:rFonts w:ascii="Book Antiqua" w:hAnsi="Book Antiqua"/>
          <w:sz w:val="24"/>
          <w:szCs w:val="24"/>
          <w:lang w:val="en-US" w:eastAsia="hi-IN" w:bidi="hi-IN"/>
        </w:rPr>
        <w:t xml:space="preserve"> histological and </w:t>
      </w:r>
      <w:proofErr w:type="spellStart"/>
      <w:r w:rsidRPr="00564DBC">
        <w:rPr>
          <w:rFonts w:ascii="Book Antiqua" w:hAnsi="Book Antiqua"/>
          <w:sz w:val="24"/>
          <w:szCs w:val="24"/>
          <w:lang w:val="en-US" w:eastAsia="hi-IN" w:bidi="hi-IN"/>
        </w:rPr>
        <w:t>immunohistochemical</w:t>
      </w:r>
      <w:proofErr w:type="spellEnd"/>
      <w:r w:rsidRPr="00564DBC">
        <w:rPr>
          <w:rFonts w:ascii="Book Antiqua" w:hAnsi="Book Antiqua"/>
          <w:sz w:val="24"/>
          <w:szCs w:val="24"/>
          <w:lang w:val="en-US" w:eastAsia="hi-IN" w:bidi="hi-IN"/>
        </w:rPr>
        <w:t xml:space="preserve"> studies.</w:t>
      </w:r>
    </w:p>
    <w:p w:rsidR="00654A04" w:rsidRPr="00564DBC" w:rsidRDefault="00654A04" w:rsidP="00564DBC">
      <w:pPr>
        <w:widowControl w:val="0"/>
        <w:autoSpaceDE w:val="0"/>
        <w:autoSpaceDN w:val="0"/>
        <w:adjustRightInd w:val="0"/>
        <w:spacing w:after="0" w:line="360" w:lineRule="auto"/>
        <w:jc w:val="both"/>
        <w:rPr>
          <w:rFonts w:ascii="Book Antiqua" w:hAnsi="Book Antiqua" w:cs="Book Antiqua"/>
          <w:b/>
          <w:sz w:val="24"/>
          <w:szCs w:val="24"/>
          <w:lang w:val="en-US" w:eastAsia="zh-CN"/>
        </w:rPr>
      </w:pPr>
    </w:p>
    <w:p w:rsidR="006E094B" w:rsidRPr="00564DBC" w:rsidRDefault="00654A04" w:rsidP="00564DBC">
      <w:pPr>
        <w:widowControl w:val="0"/>
        <w:autoSpaceDE w:val="0"/>
        <w:autoSpaceDN w:val="0"/>
        <w:adjustRightInd w:val="0"/>
        <w:spacing w:after="0" w:line="360" w:lineRule="auto"/>
        <w:jc w:val="both"/>
        <w:rPr>
          <w:rFonts w:ascii="Book Antiqua" w:hAnsi="Book Antiqua" w:cs="Book Antiqua"/>
          <w:sz w:val="24"/>
          <w:szCs w:val="24"/>
          <w:lang w:val="en-US" w:eastAsia="ru-RU"/>
        </w:rPr>
      </w:pPr>
      <w:r w:rsidRPr="00564DBC">
        <w:rPr>
          <w:rFonts w:ascii="Book Antiqua" w:eastAsia="Times New Roman" w:hAnsi="Book Antiqua"/>
          <w:b/>
          <w:bCs/>
          <w:iCs/>
          <w:sz w:val="24"/>
          <w:szCs w:val="24"/>
        </w:rPr>
        <w:t>Institutional review board statement</w:t>
      </w:r>
      <w:r w:rsidRPr="00564DBC">
        <w:rPr>
          <w:rFonts w:ascii="Book Antiqua" w:hAnsi="Book Antiqua"/>
          <w:b/>
          <w:sz w:val="24"/>
          <w:szCs w:val="24"/>
        </w:rPr>
        <w:t>:</w:t>
      </w:r>
      <w:r w:rsidR="006E094B" w:rsidRPr="00564DBC">
        <w:rPr>
          <w:rFonts w:ascii="Book Antiqua" w:hAnsi="Book Antiqua" w:cs="Book Antiqua"/>
          <w:sz w:val="24"/>
          <w:szCs w:val="24"/>
          <w:lang w:val="en-US" w:eastAsia="ru-RU"/>
        </w:rPr>
        <w:t xml:space="preserve"> The study was reviewed and approved by the Institutional Review Board of the</w:t>
      </w:r>
      <w:r w:rsidR="006E094B" w:rsidRPr="00564DBC">
        <w:rPr>
          <w:rFonts w:ascii="Book Antiqua" w:eastAsia="NewtonC-Italic" w:hAnsi="Book Antiqua"/>
          <w:iCs/>
          <w:sz w:val="24"/>
          <w:szCs w:val="24"/>
          <w:lang w:val="en-US" w:eastAsia="ru-RU" w:bidi="hi-IN"/>
        </w:rPr>
        <w:t xml:space="preserve"> V.A. </w:t>
      </w:r>
      <w:proofErr w:type="spellStart"/>
      <w:r w:rsidR="006E094B" w:rsidRPr="00564DBC">
        <w:rPr>
          <w:rFonts w:ascii="Book Antiqua" w:eastAsia="NewtonC-Italic" w:hAnsi="Book Antiqua"/>
          <w:iCs/>
          <w:sz w:val="24"/>
          <w:szCs w:val="24"/>
          <w:lang w:val="en-US" w:eastAsia="ru-RU" w:bidi="hi-IN"/>
        </w:rPr>
        <w:t>Nasonova</w:t>
      </w:r>
      <w:proofErr w:type="spellEnd"/>
      <w:r w:rsidR="006E094B" w:rsidRPr="00564DBC">
        <w:rPr>
          <w:rFonts w:ascii="Book Antiqua" w:eastAsia="NewtonC-Italic" w:hAnsi="Book Antiqua"/>
          <w:iCs/>
          <w:sz w:val="24"/>
          <w:szCs w:val="24"/>
          <w:lang w:val="en-US" w:eastAsia="ru-RU" w:bidi="hi-IN"/>
        </w:rPr>
        <w:t xml:space="preserve"> Research Institute of Rheumatology, Russian Academy of Medical Sciences</w:t>
      </w:r>
      <w:r w:rsidR="006E094B" w:rsidRPr="00564DBC">
        <w:rPr>
          <w:rFonts w:ascii="Book Antiqua" w:hAnsi="Book Antiqua" w:cs="Book Antiqua"/>
          <w:sz w:val="24"/>
          <w:szCs w:val="24"/>
          <w:lang w:val="en-US" w:eastAsia="ru-RU"/>
        </w:rPr>
        <w:t>.</w:t>
      </w:r>
    </w:p>
    <w:p w:rsidR="006E094B" w:rsidRPr="00564DBC" w:rsidRDefault="006E094B" w:rsidP="00564DBC">
      <w:pPr>
        <w:widowControl w:val="0"/>
        <w:autoSpaceDE w:val="0"/>
        <w:autoSpaceDN w:val="0"/>
        <w:adjustRightInd w:val="0"/>
        <w:spacing w:after="0" w:line="360" w:lineRule="auto"/>
        <w:jc w:val="both"/>
        <w:rPr>
          <w:rFonts w:ascii="Book Antiqua" w:hAnsi="Book Antiqua" w:cs="Book Antiqua"/>
          <w:b/>
          <w:sz w:val="24"/>
          <w:szCs w:val="24"/>
          <w:lang w:val="en-US" w:eastAsia="ru-RU"/>
        </w:rPr>
      </w:pPr>
    </w:p>
    <w:p w:rsidR="006E094B" w:rsidRPr="00564DBC" w:rsidRDefault="00654A04" w:rsidP="00564DBC">
      <w:pPr>
        <w:widowControl w:val="0"/>
        <w:autoSpaceDE w:val="0"/>
        <w:autoSpaceDN w:val="0"/>
        <w:adjustRightInd w:val="0"/>
        <w:spacing w:after="0" w:line="360" w:lineRule="auto"/>
        <w:jc w:val="both"/>
        <w:rPr>
          <w:rFonts w:ascii="Book Antiqua" w:hAnsi="Book Antiqua" w:cs="Book Antiqua"/>
          <w:b/>
          <w:sz w:val="24"/>
          <w:szCs w:val="24"/>
          <w:lang w:val="en-US" w:eastAsia="ru-RU"/>
        </w:rPr>
      </w:pPr>
      <w:r w:rsidRPr="00564DBC">
        <w:rPr>
          <w:rFonts w:ascii="Book Antiqua" w:eastAsia="Times New Roman" w:hAnsi="Book Antiqua"/>
          <w:b/>
          <w:bCs/>
          <w:iCs/>
          <w:sz w:val="24"/>
          <w:szCs w:val="24"/>
        </w:rPr>
        <w:t>Informed consent statement</w:t>
      </w:r>
      <w:r w:rsidRPr="00564DBC">
        <w:rPr>
          <w:rFonts w:ascii="Book Antiqua" w:hAnsi="Book Antiqua"/>
          <w:b/>
          <w:sz w:val="24"/>
          <w:szCs w:val="24"/>
        </w:rPr>
        <w:t>:</w:t>
      </w:r>
      <w:r w:rsidRPr="00564DBC">
        <w:rPr>
          <w:rFonts w:ascii="Book Antiqua" w:hAnsi="Book Antiqua"/>
          <w:b/>
          <w:sz w:val="24"/>
          <w:szCs w:val="24"/>
          <w:lang w:eastAsia="zh-CN"/>
        </w:rPr>
        <w:t xml:space="preserve"> </w:t>
      </w:r>
      <w:r w:rsidR="006E094B" w:rsidRPr="00564DBC">
        <w:rPr>
          <w:rFonts w:ascii="Book Antiqua" w:hAnsi="Book Antiqua" w:cs="Book Antiqua"/>
          <w:sz w:val="24"/>
          <w:szCs w:val="24"/>
          <w:lang w:val="en-US" w:eastAsia="ru-RU"/>
        </w:rPr>
        <w:t>All study participants provided informed written consent prior to study enrollment.</w:t>
      </w:r>
    </w:p>
    <w:p w:rsidR="006E094B" w:rsidRPr="00564DBC" w:rsidRDefault="006E094B" w:rsidP="00564DBC">
      <w:pPr>
        <w:widowControl w:val="0"/>
        <w:autoSpaceDE w:val="0"/>
        <w:autoSpaceDN w:val="0"/>
        <w:adjustRightInd w:val="0"/>
        <w:spacing w:after="0" w:line="360" w:lineRule="auto"/>
        <w:jc w:val="both"/>
        <w:rPr>
          <w:rFonts w:ascii="Book Antiqua" w:hAnsi="Book Antiqua" w:cs="Book Antiqua"/>
          <w:b/>
          <w:sz w:val="24"/>
          <w:szCs w:val="24"/>
          <w:lang w:val="en-US" w:eastAsia="ru-RU"/>
        </w:rPr>
      </w:pPr>
    </w:p>
    <w:p w:rsidR="00654A04" w:rsidRPr="00564DBC" w:rsidRDefault="00654A04" w:rsidP="00564DBC">
      <w:pPr>
        <w:widowControl w:val="0"/>
        <w:spacing w:after="0" w:line="360" w:lineRule="auto"/>
        <w:jc w:val="both"/>
        <w:rPr>
          <w:rFonts w:ascii="Book Antiqua" w:hAnsi="Book Antiqua"/>
          <w:b/>
          <w:sz w:val="24"/>
          <w:szCs w:val="24"/>
        </w:rPr>
      </w:pPr>
      <w:r w:rsidRPr="00564DBC">
        <w:rPr>
          <w:rFonts w:ascii="Book Antiqua" w:eastAsia="Times New Roman" w:hAnsi="Book Antiqua" w:cs="TimesNewRomanPS-BoldItalicMT"/>
          <w:b/>
          <w:bCs/>
          <w:iCs/>
          <w:sz w:val="24"/>
          <w:szCs w:val="24"/>
        </w:rPr>
        <w:t>Conflict-of-interest statement</w:t>
      </w:r>
      <w:r w:rsidRPr="00564DBC">
        <w:rPr>
          <w:rFonts w:ascii="Book Antiqua" w:hAnsi="Book Antiqua"/>
          <w:b/>
          <w:sz w:val="24"/>
          <w:szCs w:val="24"/>
        </w:rPr>
        <w:t>:</w:t>
      </w:r>
      <w:r w:rsidRPr="00564DBC">
        <w:rPr>
          <w:rFonts w:ascii="Book Antiqua" w:eastAsia="Times New Roman" w:hAnsi="Book Antiqua" w:cs="TimesNewRomanPSMT"/>
          <w:spacing w:val="-2"/>
          <w:sz w:val="24"/>
          <w:szCs w:val="24"/>
        </w:rPr>
        <w:t xml:space="preserve"> </w:t>
      </w:r>
      <w:r w:rsidRPr="00564DBC">
        <w:rPr>
          <w:rFonts w:ascii="Book Antiqua" w:hAnsi="Book Antiqua" w:cs="MinionPro-Regular"/>
          <w:sz w:val="24"/>
          <w:szCs w:val="24"/>
          <w:lang w:val="en-US" w:eastAsia="ru-RU"/>
        </w:rPr>
        <w:t>The authors declare that they have no conflict of interests regarding the publication of this study.</w:t>
      </w:r>
    </w:p>
    <w:p w:rsidR="00654A04" w:rsidRPr="00564DBC" w:rsidRDefault="00654A04" w:rsidP="00564DBC">
      <w:pPr>
        <w:widowControl w:val="0"/>
        <w:spacing w:after="0" w:line="360" w:lineRule="auto"/>
        <w:jc w:val="both"/>
        <w:rPr>
          <w:rFonts w:ascii="Book Antiqua" w:hAnsi="Book Antiqua"/>
          <w:sz w:val="24"/>
          <w:szCs w:val="24"/>
          <w:lang w:eastAsia="zh-CN"/>
        </w:rPr>
      </w:pPr>
    </w:p>
    <w:p w:rsidR="00654A04" w:rsidRPr="00564DBC" w:rsidRDefault="00654A04" w:rsidP="00564DBC">
      <w:pPr>
        <w:widowControl w:val="0"/>
        <w:spacing w:after="0" w:line="360" w:lineRule="auto"/>
        <w:jc w:val="both"/>
        <w:rPr>
          <w:rFonts w:ascii="Book Antiqua" w:hAnsi="Book Antiqua" w:cs="宋体"/>
          <w:sz w:val="24"/>
          <w:szCs w:val="24"/>
        </w:rPr>
      </w:pPr>
      <w:r w:rsidRPr="00564DBC">
        <w:rPr>
          <w:rFonts w:ascii="Book Antiqua" w:hAnsi="Book Antiqua"/>
          <w:b/>
          <w:sz w:val="24"/>
          <w:szCs w:val="24"/>
        </w:rPr>
        <w:t xml:space="preserve">Open-Access: </w:t>
      </w:r>
      <w:bookmarkStart w:id="0" w:name="OLE_LINK479"/>
      <w:bookmarkStart w:id="1" w:name="OLE_LINK496"/>
      <w:bookmarkStart w:id="2" w:name="OLE_LINK506"/>
      <w:bookmarkStart w:id="3" w:name="OLE_LINK507"/>
      <w:r w:rsidRPr="00564DBC">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6E094B" w:rsidRPr="00564DBC" w:rsidRDefault="006E094B" w:rsidP="00564DBC">
      <w:pPr>
        <w:widowControl w:val="0"/>
        <w:autoSpaceDE w:val="0"/>
        <w:autoSpaceDN w:val="0"/>
        <w:adjustRightInd w:val="0"/>
        <w:spacing w:after="0" w:line="360" w:lineRule="auto"/>
        <w:jc w:val="both"/>
        <w:rPr>
          <w:rFonts w:ascii="Book Antiqua" w:hAnsi="Book Antiqua"/>
          <w:sz w:val="24"/>
          <w:szCs w:val="24"/>
          <w:lang w:val="en-US" w:eastAsia="zh-CN" w:bidi="hi-IN"/>
        </w:rPr>
      </w:pPr>
    </w:p>
    <w:p w:rsidR="00654A04" w:rsidRPr="00564DBC" w:rsidRDefault="00654A04" w:rsidP="00564DBC">
      <w:pPr>
        <w:widowControl w:val="0"/>
        <w:autoSpaceDE w:val="0"/>
        <w:autoSpaceDN w:val="0"/>
        <w:adjustRightInd w:val="0"/>
        <w:spacing w:after="0" w:line="360" w:lineRule="auto"/>
        <w:jc w:val="both"/>
        <w:rPr>
          <w:rFonts w:ascii="Book Antiqua" w:eastAsia="宋体" w:hAnsi="Book Antiqua" w:cs="宋体"/>
          <w:sz w:val="24"/>
          <w:szCs w:val="24"/>
          <w:lang w:eastAsia="zh-CN"/>
        </w:rPr>
      </w:pPr>
      <w:r w:rsidRPr="00564DBC">
        <w:rPr>
          <w:rFonts w:ascii="Book Antiqua" w:eastAsia="宋体" w:hAnsi="Book Antiqua" w:cs="宋体"/>
          <w:b/>
          <w:sz w:val="24"/>
          <w:szCs w:val="24"/>
        </w:rPr>
        <w:t>Manuscript source:</w:t>
      </w:r>
      <w:r w:rsidRPr="00564DBC">
        <w:rPr>
          <w:rFonts w:ascii="Book Antiqua" w:eastAsia="宋体" w:hAnsi="Book Antiqua" w:cs="宋体"/>
          <w:sz w:val="24"/>
          <w:szCs w:val="24"/>
        </w:rPr>
        <w:t> Invited manuscript</w:t>
      </w:r>
    </w:p>
    <w:p w:rsidR="00654A04" w:rsidRPr="00564DBC" w:rsidRDefault="00654A04" w:rsidP="00564DBC">
      <w:pPr>
        <w:widowControl w:val="0"/>
        <w:autoSpaceDE w:val="0"/>
        <w:autoSpaceDN w:val="0"/>
        <w:adjustRightInd w:val="0"/>
        <w:spacing w:after="0" w:line="360" w:lineRule="auto"/>
        <w:jc w:val="both"/>
        <w:rPr>
          <w:rFonts w:ascii="Book Antiqua" w:hAnsi="Book Antiqua"/>
          <w:sz w:val="24"/>
          <w:szCs w:val="24"/>
          <w:lang w:val="en-US" w:eastAsia="zh-CN" w:bidi="hi-IN"/>
        </w:rPr>
      </w:pPr>
    </w:p>
    <w:p w:rsidR="00654A04" w:rsidRPr="00564DBC" w:rsidRDefault="006E094B" w:rsidP="00564DBC">
      <w:pPr>
        <w:widowControl w:val="0"/>
        <w:autoSpaceDE w:val="0"/>
        <w:autoSpaceDN w:val="0"/>
        <w:adjustRightInd w:val="0"/>
        <w:spacing w:after="0" w:line="360" w:lineRule="auto"/>
        <w:jc w:val="both"/>
        <w:rPr>
          <w:rFonts w:ascii="Book Antiqua" w:hAnsi="Book Antiqua"/>
          <w:sz w:val="24"/>
          <w:szCs w:val="24"/>
          <w:lang w:val="en-US" w:eastAsia="zh-CN" w:bidi="hi-IN"/>
        </w:rPr>
      </w:pPr>
      <w:r w:rsidRPr="00564DBC">
        <w:rPr>
          <w:rFonts w:ascii="Book Antiqua" w:hAnsi="Book Antiqua" w:cs="Book Antiqua"/>
          <w:b/>
          <w:sz w:val="24"/>
          <w:szCs w:val="24"/>
          <w:lang w:val="en-US" w:eastAsia="ru-RU"/>
        </w:rPr>
        <w:t>Correspondence to:</w:t>
      </w:r>
      <w:r w:rsidRPr="00564DBC">
        <w:rPr>
          <w:rFonts w:ascii="Book Antiqua" w:eastAsia="Times New Roman" w:hAnsi="Book Antiqua"/>
          <w:b/>
          <w:sz w:val="24"/>
          <w:szCs w:val="24"/>
          <w:lang w:val="en-US" w:eastAsia="hi-IN" w:bidi="hi-IN"/>
        </w:rPr>
        <w:t xml:space="preserve"> Vadim R </w:t>
      </w:r>
      <w:proofErr w:type="spellStart"/>
      <w:r w:rsidRPr="00564DBC">
        <w:rPr>
          <w:rFonts w:ascii="Book Antiqua" w:eastAsia="Times New Roman" w:hAnsi="Book Antiqua"/>
          <w:b/>
          <w:sz w:val="24"/>
          <w:szCs w:val="24"/>
          <w:lang w:val="en-US" w:eastAsia="hi-IN" w:bidi="hi-IN"/>
        </w:rPr>
        <w:t>Gorodetskiy</w:t>
      </w:r>
      <w:proofErr w:type="spellEnd"/>
      <w:r w:rsidRPr="00564DBC">
        <w:rPr>
          <w:rFonts w:ascii="Book Antiqua" w:eastAsia="Times New Roman" w:hAnsi="Book Antiqua"/>
          <w:sz w:val="24"/>
          <w:szCs w:val="24"/>
          <w:lang w:val="en-US" w:eastAsia="hi-IN" w:bidi="hi-IN"/>
        </w:rPr>
        <w:t xml:space="preserve">, </w:t>
      </w:r>
      <w:r w:rsidRPr="00564DBC">
        <w:rPr>
          <w:rFonts w:ascii="Book Antiqua" w:eastAsia="Times New Roman" w:hAnsi="Book Antiqua"/>
          <w:b/>
          <w:sz w:val="24"/>
          <w:szCs w:val="24"/>
          <w:lang w:val="en-US" w:eastAsia="hi-IN" w:bidi="hi-IN"/>
        </w:rPr>
        <w:t>MD, PhD,</w:t>
      </w:r>
      <w:r w:rsidRPr="00564DBC">
        <w:rPr>
          <w:rFonts w:ascii="Book Antiqua" w:eastAsia="Times New Roman" w:hAnsi="Book Antiqua"/>
          <w:sz w:val="24"/>
          <w:szCs w:val="24"/>
          <w:lang w:val="en-US" w:eastAsia="hi-IN" w:bidi="hi-IN"/>
        </w:rPr>
        <w:t xml:space="preserve"> </w:t>
      </w:r>
      <w:r w:rsidR="00654A04" w:rsidRPr="00564DBC">
        <w:rPr>
          <w:rFonts w:ascii="Book Antiqua" w:hAnsi="Book Antiqua" w:cs="MinionPro-It"/>
          <w:iCs/>
          <w:sz w:val="24"/>
          <w:szCs w:val="24"/>
          <w:lang w:val="en-US" w:eastAsia="ru-RU"/>
        </w:rPr>
        <w:t xml:space="preserve">Department of Intensive Methods of Therapy, </w:t>
      </w:r>
      <w:r w:rsidR="00654A04" w:rsidRPr="00564DBC">
        <w:rPr>
          <w:rFonts w:ascii="Book Antiqua" w:eastAsia="NewtonC-Italic" w:hAnsi="Book Antiqua"/>
          <w:iCs/>
          <w:sz w:val="24"/>
          <w:szCs w:val="24"/>
          <w:lang w:val="en-US" w:eastAsia="ru-RU" w:bidi="hi-IN"/>
        </w:rPr>
        <w:t xml:space="preserve">V.A. </w:t>
      </w:r>
      <w:proofErr w:type="spellStart"/>
      <w:r w:rsidR="00654A04" w:rsidRPr="00564DBC">
        <w:rPr>
          <w:rFonts w:ascii="Book Antiqua" w:eastAsia="NewtonC-Italic" w:hAnsi="Book Antiqua"/>
          <w:iCs/>
          <w:sz w:val="24"/>
          <w:szCs w:val="24"/>
          <w:lang w:val="en-US" w:eastAsia="ru-RU" w:bidi="hi-IN"/>
        </w:rPr>
        <w:t>Nasonova</w:t>
      </w:r>
      <w:proofErr w:type="spellEnd"/>
      <w:r w:rsidR="00654A04" w:rsidRPr="00564DBC">
        <w:rPr>
          <w:rFonts w:ascii="Book Antiqua" w:eastAsia="NewtonC-Italic" w:hAnsi="Book Antiqua"/>
          <w:iCs/>
          <w:sz w:val="24"/>
          <w:szCs w:val="24"/>
          <w:lang w:val="en-US" w:eastAsia="ru-RU" w:bidi="hi-IN"/>
        </w:rPr>
        <w:t xml:space="preserve"> Research Institute of Rheumatology, Russian Academy of Medical Sciences, </w:t>
      </w:r>
      <w:proofErr w:type="spellStart"/>
      <w:r w:rsidR="00654A04" w:rsidRPr="00564DBC">
        <w:rPr>
          <w:rFonts w:ascii="Book Antiqua" w:eastAsia="Times New Roman" w:hAnsi="Book Antiqua"/>
          <w:sz w:val="24"/>
          <w:szCs w:val="24"/>
          <w:lang w:val="en-US" w:eastAsia="hi-IN" w:bidi="hi-IN"/>
        </w:rPr>
        <w:t>Kashirskoye</w:t>
      </w:r>
      <w:proofErr w:type="spellEnd"/>
      <w:r w:rsidR="00654A04" w:rsidRPr="00564DBC">
        <w:rPr>
          <w:rFonts w:ascii="Book Antiqua" w:eastAsia="Times New Roman" w:hAnsi="Book Antiqua"/>
          <w:sz w:val="24"/>
          <w:szCs w:val="24"/>
          <w:lang w:val="en-US" w:eastAsia="hi-IN" w:bidi="hi-IN"/>
        </w:rPr>
        <w:t xml:space="preserve"> </w:t>
      </w:r>
      <w:proofErr w:type="spellStart"/>
      <w:r w:rsidR="00654A04" w:rsidRPr="00564DBC">
        <w:rPr>
          <w:rFonts w:ascii="Book Antiqua" w:eastAsia="Times New Roman" w:hAnsi="Book Antiqua"/>
          <w:sz w:val="24"/>
          <w:szCs w:val="24"/>
          <w:lang w:val="en-US" w:eastAsia="hi-IN" w:bidi="hi-IN"/>
        </w:rPr>
        <w:t>Shosse</w:t>
      </w:r>
      <w:proofErr w:type="spellEnd"/>
      <w:r w:rsidR="00654A04" w:rsidRPr="00564DBC">
        <w:rPr>
          <w:rFonts w:ascii="Book Antiqua" w:eastAsia="Times New Roman" w:hAnsi="Book Antiqua"/>
          <w:sz w:val="24"/>
          <w:szCs w:val="24"/>
          <w:lang w:val="en-US" w:eastAsia="hi-IN" w:bidi="hi-IN"/>
        </w:rPr>
        <w:t xml:space="preserve"> 34A,</w:t>
      </w:r>
      <w:r w:rsidR="00654A04" w:rsidRPr="00564DBC">
        <w:rPr>
          <w:rFonts w:ascii="Book Antiqua" w:hAnsi="Book Antiqua"/>
          <w:sz w:val="24"/>
          <w:szCs w:val="24"/>
          <w:lang w:val="en-US" w:eastAsia="zh-CN" w:bidi="hi-IN"/>
        </w:rPr>
        <w:t xml:space="preserve"> </w:t>
      </w:r>
      <w:r w:rsidR="00654A04" w:rsidRPr="00564DBC">
        <w:rPr>
          <w:rFonts w:ascii="Book Antiqua" w:eastAsia="Times New Roman" w:hAnsi="Book Antiqua"/>
          <w:sz w:val="24"/>
          <w:szCs w:val="24"/>
          <w:lang w:val="en-US" w:eastAsia="hi-IN" w:bidi="hi-IN"/>
        </w:rPr>
        <w:t>115522</w:t>
      </w:r>
      <w:r w:rsidR="00654A04" w:rsidRPr="00564DBC">
        <w:rPr>
          <w:rFonts w:ascii="Book Antiqua" w:hAnsi="Book Antiqua"/>
          <w:sz w:val="24"/>
          <w:szCs w:val="24"/>
          <w:lang w:val="en-US" w:eastAsia="zh-CN" w:bidi="hi-IN"/>
        </w:rPr>
        <w:t xml:space="preserve"> </w:t>
      </w:r>
      <w:r w:rsidR="00654A04" w:rsidRPr="00564DBC">
        <w:rPr>
          <w:rFonts w:ascii="Book Antiqua" w:eastAsia="NewtonC-Italic" w:hAnsi="Book Antiqua"/>
          <w:iCs/>
          <w:sz w:val="24"/>
          <w:szCs w:val="24"/>
          <w:lang w:val="en-US" w:eastAsia="ru-RU" w:bidi="hi-IN"/>
        </w:rPr>
        <w:t>Moscow, Russia</w:t>
      </w:r>
      <w:r w:rsidR="00654A04" w:rsidRPr="00564DBC">
        <w:rPr>
          <w:rFonts w:ascii="Book Antiqua" w:hAnsi="Book Antiqua"/>
          <w:iCs/>
          <w:sz w:val="24"/>
          <w:szCs w:val="24"/>
          <w:lang w:val="en-US" w:eastAsia="zh-CN" w:bidi="hi-IN"/>
        </w:rPr>
        <w:t xml:space="preserve">. </w:t>
      </w:r>
      <w:r w:rsidR="00654A04" w:rsidRPr="00564DBC">
        <w:rPr>
          <w:rFonts w:ascii="Book Antiqua" w:eastAsia="NewtonC-Italic" w:hAnsi="Book Antiqua"/>
          <w:iCs/>
          <w:sz w:val="24"/>
          <w:szCs w:val="24"/>
          <w:lang w:val="en-US" w:eastAsia="ru-RU" w:bidi="hi-IN"/>
        </w:rPr>
        <w:t>gorodetskiyblood@mail.ru</w:t>
      </w:r>
    </w:p>
    <w:p w:rsidR="006E094B" w:rsidRPr="00564DBC" w:rsidRDefault="006E094B" w:rsidP="00564DBC">
      <w:pPr>
        <w:widowControl w:val="0"/>
        <w:autoSpaceDE w:val="0"/>
        <w:autoSpaceDN w:val="0"/>
        <w:adjustRightInd w:val="0"/>
        <w:spacing w:after="0" w:line="360" w:lineRule="auto"/>
        <w:jc w:val="both"/>
        <w:rPr>
          <w:rFonts w:ascii="Book Antiqua" w:eastAsia="Times New Roman" w:hAnsi="Book Antiqua"/>
          <w:sz w:val="24"/>
          <w:szCs w:val="24"/>
          <w:lang w:val="en-US" w:eastAsia="hi-IN" w:bidi="hi-IN"/>
        </w:rPr>
      </w:pPr>
      <w:r w:rsidRPr="00564DBC">
        <w:rPr>
          <w:rFonts w:ascii="Book Antiqua" w:eastAsia="Times New Roman" w:hAnsi="Book Antiqua"/>
          <w:b/>
          <w:sz w:val="24"/>
          <w:szCs w:val="24"/>
          <w:lang w:val="en-US" w:eastAsia="hi-IN" w:bidi="hi-IN"/>
        </w:rPr>
        <w:t>Telephone:</w:t>
      </w:r>
      <w:r w:rsidR="00654A04" w:rsidRPr="00564DBC">
        <w:rPr>
          <w:rFonts w:ascii="Book Antiqua" w:eastAsia="Times New Roman" w:hAnsi="Book Antiqua"/>
          <w:sz w:val="24"/>
          <w:szCs w:val="24"/>
          <w:lang w:val="en-US" w:eastAsia="hi-IN" w:bidi="hi-IN"/>
        </w:rPr>
        <w:t xml:space="preserve"> +7-916-51781</w:t>
      </w:r>
      <w:r w:rsidRPr="00564DBC">
        <w:rPr>
          <w:rFonts w:ascii="Book Antiqua" w:eastAsia="Times New Roman" w:hAnsi="Book Antiqua"/>
          <w:sz w:val="24"/>
          <w:szCs w:val="24"/>
          <w:lang w:val="en-US" w:eastAsia="hi-IN" w:bidi="hi-IN"/>
        </w:rPr>
        <w:t>92</w:t>
      </w:r>
    </w:p>
    <w:p w:rsidR="006E094B" w:rsidRPr="00564DBC" w:rsidRDefault="006E094B" w:rsidP="00564DBC">
      <w:pPr>
        <w:widowControl w:val="0"/>
        <w:spacing w:after="0" w:line="360" w:lineRule="auto"/>
        <w:jc w:val="both"/>
        <w:rPr>
          <w:rFonts w:ascii="Book Antiqua" w:hAnsi="Book Antiqua"/>
          <w:sz w:val="24"/>
          <w:szCs w:val="24"/>
          <w:lang w:val="en-US"/>
        </w:rPr>
      </w:pPr>
      <w:r w:rsidRPr="00564DBC">
        <w:rPr>
          <w:rFonts w:ascii="Book Antiqua" w:hAnsi="Book Antiqua"/>
          <w:b/>
          <w:sz w:val="24"/>
          <w:szCs w:val="24"/>
          <w:lang w:val="en-US"/>
        </w:rPr>
        <w:t>Fax:</w:t>
      </w:r>
      <w:r w:rsidR="00654A04" w:rsidRPr="00564DBC">
        <w:rPr>
          <w:rFonts w:ascii="Book Antiqua" w:hAnsi="Book Antiqua"/>
          <w:sz w:val="24"/>
          <w:szCs w:val="24"/>
          <w:lang w:val="en-US"/>
        </w:rPr>
        <w:t xml:space="preserve"> +7-499-61444</w:t>
      </w:r>
      <w:r w:rsidRPr="00564DBC">
        <w:rPr>
          <w:rFonts w:ascii="Book Antiqua" w:hAnsi="Book Antiqua"/>
          <w:sz w:val="24"/>
          <w:szCs w:val="24"/>
          <w:lang w:val="en-US"/>
        </w:rPr>
        <w:t>68</w:t>
      </w:r>
    </w:p>
    <w:p w:rsidR="006E094B" w:rsidRPr="00564DBC" w:rsidRDefault="006E094B" w:rsidP="00564DBC">
      <w:pPr>
        <w:widowControl w:val="0"/>
        <w:spacing w:after="0" w:line="360" w:lineRule="auto"/>
        <w:jc w:val="both"/>
        <w:rPr>
          <w:rFonts w:ascii="Book Antiqua" w:hAnsi="Book Antiqua"/>
          <w:b/>
          <w:sz w:val="24"/>
          <w:szCs w:val="24"/>
          <w:lang w:val="en-US"/>
        </w:rPr>
      </w:pPr>
    </w:p>
    <w:p w:rsidR="00654A04" w:rsidRPr="00564DBC" w:rsidRDefault="00654A04" w:rsidP="00564DBC">
      <w:pPr>
        <w:widowControl w:val="0"/>
        <w:spacing w:after="0" w:line="360" w:lineRule="auto"/>
        <w:jc w:val="both"/>
        <w:rPr>
          <w:rFonts w:ascii="Book Antiqua" w:hAnsi="Book Antiqua"/>
          <w:b/>
          <w:sz w:val="24"/>
          <w:szCs w:val="24"/>
        </w:rPr>
      </w:pPr>
      <w:r w:rsidRPr="00564DBC">
        <w:rPr>
          <w:rFonts w:ascii="Book Antiqua" w:hAnsi="Book Antiqua"/>
          <w:b/>
          <w:sz w:val="24"/>
          <w:szCs w:val="24"/>
        </w:rPr>
        <w:lastRenderedPageBreak/>
        <w:t>Received:</w:t>
      </w:r>
      <w:r w:rsidRPr="00564DBC">
        <w:rPr>
          <w:rFonts w:ascii="Book Antiqua" w:hAnsi="Book Antiqua"/>
          <w:b/>
          <w:sz w:val="24"/>
          <w:szCs w:val="24"/>
          <w:lang w:eastAsia="zh-CN"/>
        </w:rPr>
        <w:t xml:space="preserve"> </w:t>
      </w:r>
      <w:r w:rsidRPr="00564DBC">
        <w:rPr>
          <w:rFonts w:ascii="Book Antiqua" w:hAnsi="Book Antiqua"/>
          <w:sz w:val="24"/>
          <w:szCs w:val="24"/>
          <w:lang w:eastAsia="zh-CN"/>
        </w:rPr>
        <w:t>March 28, 2016</w:t>
      </w:r>
      <w:r w:rsidRPr="00564DBC">
        <w:rPr>
          <w:rFonts w:ascii="Book Antiqua" w:hAnsi="Book Antiqua"/>
          <w:b/>
          <w:sz w:val="24"/>
          <w:szCs w:val="24"/>
        </w:rPr>
        <w:t xml:space="preserve">   </w:t>
      </w:r>
    </w:p>
    <w:p w:rsidR="00654A04" w:rsidRPr="00564DBC" w:rsidRDefault="00654A04" w:rsidP="00564DBC">
      <w:pPr>
        <w:widowControl w:val="0"/>
        <w:spacing w:after="0" w:line="360" w:lineRule="auto"/>
        <w:jc w:val="both"/>
        <w:rPr>
          <w:rFonts w:ascii="Book Antiqua" w:hAnsi="Book Antiqua"/>
          <w:b/>
          <w:sz w:val="24"/>
          <w:szCs w:val="24"/>
        </w:rPr>
      </w:pPr>
      <w:r w:rsidRPr="00564DBC">
        <w:rPr>
          <w:rFonts w:ascii="Book Antiqua" w:hAnsi="Book Antiqua"/>
          <w:b/>
          <w:sz w:val="24"/>
          <w:szCs w:val="24"/>
        </w:rPr>
        <w:t>Peer-review started:</w:t>
      </w:r>
      <w:r w:rsidRPr="00564DBC">
        <w:rPr>
          <w:rFonts w:ascii="Book Antiqua" w:hAnsi="Book Antiqua"/>
          <w:sz w:val="24"/>
          <w:szCs w:val="24"/>
          <w:lang w:eastAsia="zh-CN"/>
        </w:rPr>
        <w:t xml:space="preserve"> March 28, 2016</w:t>
      </w:r>
    </w:p>
    <w:p w:rsidR="00654A04" w:rsidRPr="00564DBC" w:rsidRDefault="00654A04" w:rsidP="00564DBC">
      <w:pPr>
        <w:widowControl w:val="0"/>
        <w:spacing w:after="0" w:line="360" w:lineRule="auto"/>
        <w:jc w:val="both"/>
        <w:rPr>
          <w:rFonts w:ascii="Book Antiqua" w:hAnsi="Book Antiqua"/>
          <w:b/>
          <w:sz w:val="24"/>
          <w:szCs w:val="24"/>
          <w:lang w:eastAsia="zh-CN"/>
        </w:rPr>
      </w:pPr>
      <w:r w:rsidRPr="00564DBC">
        <w:rPr>
          <w:rFonts w:ascii="Book Antiqua" w:hAnsi="Book Antiqua"/>
          <w:b/>
          <w:sz w:val="24"/>
          <w:szCs w:val="24"/>
        </w:rPr>
        <w:t>First decision:</w:t>
      </w:r>
      <w:r w:rsidRPr="00564DBC">
        <w:rPr>
          <w:rFonts w:ascii="Book Antiqua" w:hAnsi="Book Antiqua"/>
          <w:b/>
          <w:sz w:val="24"/>
          <w:szCs w:val="24"/>
          <w:lang w:eastAsia="zh-CN"/>
        </w:rPr>
        <w:t xml:space="preserve"> </w:t>
      </w:r>
      <w:r w:rsidRPr="00564DBC">
        <w:rPr>
          <w:rFonts w:ascii="Book Antiqua" w:hAnsi="Book Antiqua"/>
          <w:sz w:val="24"/>
          <w:szCs w:val="24"/>
          <w:lang w:eastAsia="zh-CN"/>
        </w:rPr>
        <w:t>June 16, 2016</w:t>
      </w:r>
    </w:p>
    <w:p w:rsidR="00654A04" w:rsidRPr="00564DBC" w:rsidRDefault="00654A04" w:rsidP="00564DBC">
      <w:pPr>
        <w:widowControl w:val="0"/>
        <w:spacing w:after="0" w:line="360" w:lineRule="auto"/>
        <w:jc w:val="both"/>
        <w:rPr>
          <w:rFonts w:ascii="Book Antiqua" w:hAnsi="Book Antiqua"/>
          <w:b/>
          <w:sz w:val="24"/>
          <w:szCs w:val="24"/>
        </w:rPr>
      </w:pPr>
      <w:r w:rsidRPr="00564DBC">
        <w:rPr>
          <w:rFonts w:ascii="Book Antiqua" w:hAnsi="Book Antiqua"/>
          <w:b/>
          <w:sz w:val="24"/>
          <w:szCs w:val="24"/>
        </w:rPr>
        <w:t>Revised:</w:t>
      </w:r>
      <w:r w:rsidRPr="00564DBC">
        <w:rPr>
          <w:rFonts w:ascii="Book Antiqua" w:hAnsi="Book Antiqua"/>
          <w:sz w:val="24"/>
          <w:szCs w:val="24"/>
          <w:lang w:eastAsia="zh-CN"/>
        </w:rPr>
        <w:t xml:space="preserve"> June 22, 2016</w:t>
      </w:r>
      <w:r w:rsidRPr="00564DBC">
        <w:rPr>
          <w:rFonts w:ascii="Book Antiqua" w:hAnsi="Book Antiqua"/>
          <w:b/>
          <w:sz w:val="24"/>
          <w:szCs w:val="24"/>
        </w:rPr>
        <w:t xml:space="preserve">  </w:t>
      </w:r>
    </w:p>
    <w:p w:rsidR="00654A04" w:rsidRPr="00654316" w:rsidRDefault="00654A04" w:rsidP="00654316">
      <w:pPr>
        <w:rPr>
          <w:rFonts w:ascii="Book Antiqua" w:hAnsi="Book Antiqua"/>
          <w:iCs/>
          <w:sz w:val="24"/>
        </w:rPr>
      </w:pPr>
      <w:proofErr w:type="spellStart"/>
      <w:r w:rsidRPr="00564DBC">
        <w:rPr>
          <w:rFonts w:ascii="Book Antiqua" w:hAnsi="Book Antiqua"/>
          <w:b/>
          <w:sz w:val="24"/>
          <w:szCs w:val="24"/>
        </w:rPr>
        <w:t>Accepted</w:t>
      </w:r>
      <w:proofErr w:type="spellEnd"/>
      <w:r w:rsidRPr="00564DBC">
        <w:rPr>
          <w:rFonts w:ascii="Book Antiqua" w:hAnsi="Book Antiqua"/>
          <w:b/>
          <w:sz w:val="24"/>
          <w:szCs w:val="24"/>
        </w:rPr>
        <w:t>:</w:t>
      </w:r>
      <w:r w:rsidR="00654316">
        <w:rPr>
          <w:rFonts w:ascii="Book Antiqua" w:hAnsi="Book Antiqua"/>
          <w:b/>
          <w:sz w:val="24"/>
          <w:szCs w:val="24"/>
        </w:rPr>
        <w:t xml:space="preserve"> </w:t>
      </w:r>
      <w:proofErr w:type="spellStart"/>
      <w:r w:rsidR="00654316">
        <w:rPr>
          <w:rStyle w:val="Emphasis"/>
        </w:rPr>
        <w:t>July</w:t>
      </w:r>
      <w:proofErr w:type="spellEnd"/>
      <w:r w:rsidR="00654316">
        <w:rPr>
          <w:rStyle w:val="Emphasis"/>
        </w:rPr>
        <w:t xml:space="preserve"> 11</w:t>
      </w:r>
      <w:r w:rsidR="00654316" w:rsidRPr="00235CD4">
        <w:rPr>
          <w:rStyle w:val="Emphasis"/>
        </w:rPr>
        <w:t>,</w:t>
      </w:r>
      <w:r w:rsidR="00654316">
        <w:rPr>
          <w:rStyle w:val="Emphasis"/>
        </w:rPr>
        <w:t xml:space="preserve"> 2016</w:t>
      </w:r>
      <w:r w:rsidRPr="00564DBC">
        <w:rPr>
          <w:rFonts w:ascii="Book Antiqua" w:hAnsi="Book Antiqua"/>
          <w:b/>
          <w:sz w:val="24"/>
          <w:szCs w:val="24"/>
        </w:rPr>
        <w:t xml:space="preserve">  </w:t>
      </w:r>
    </w:p>
    <w:p w:rsidR="00654A04" w:rsidRPr="00564DBC" w:rsidRDefault="00654A04" w:rsidP="00564DBC">
      <w:pPr>
        <w:widowControl w:val="0"/>
        <w:spacing w:after="0" w:line="360" w:lineRule="auto"/>
        <w:jc w:val="both"/>
        <w:rPr>
          <w:rFonts w:ascii="Book Antiqua" w:hAnsi="Book Antiqua"/>
          <w:b/>
          <w:sz w:val="24"/>
          <w:szCs w:val="24"/>
        </w:rPr>
      </w:pPr>
      <w:r w:rsidRPr="00564DBC">
        <w:rPr>
          <w:rFonts w:ascii="Book Antiqua" w:hAnsi="Book Antiqua"/>
          <w:b/>
          <w:sz w:val="24"/>
          <w:szCs w:val="24"/>
        </w:rPr>
        <w:t>Article in press:</w:t>
      </w:r>
      <w:r w:rsidRPr="00564DBC">
        <w:rPr>
          <w:rFonts w:ascii="Book Antiqua" w:hAnsi="Book Antiqua"/>
          <w:sz w:val="24"/>
          <w:szCs w:val="24"/>
        </w:rPr>
        <w:t xml:space="preserve">    </w:t>
      </w:r>
    </w:p>
    <w:p w:rsidR="00654A04" w:rsidRPr="00564DBC" w:rsidRDefault="00654A04" w:rsidP="00564DBC">
      <w:pPr>
        <w:widowControl w:val="0"/>
        <w:spacing w:after="0" w:line="360" w:lineRule="auto"/>
        <w:jc w:val="both"/>
        <w:rPr>
          <w:rFonts w:ascii="Book Antiqua" w:hAnsi="Book Antiqua"/>
          <w:b/>
          <w:sz w:val="24"/>
          <w:szCs w:val="24"/>
        </w:rPr>
      </w:pPr>
      <w:r w:rsidRPr="00564DBC">
        <w:rPr>
          <w:rFonts w:ascii="Book Antiqua" w:hAnsi="Book Antiqua"/>
          <w:b/>
          <w:sz w:val="24"/>
          <w:szCs w:val="24"/>
        </w:rPr>
        <w:t xml:space="preserve">Published online: </w:t>
      </w:r>
    </w:p>
    <w:p w:rsidR="006E094B" w:rsidRPr="00564DBC" w:rsidRDefault="006E094B" w:rsidP="00564DBC">
      <w:pPr>
        <w:widowControl w:val="0"/>
        <w:spacing w:after="0" w:line="360" w:lineRule="auto"/>
        <w:jc w:val="both"/>
        <w:rPr>
          <w:rFonts w:ascii="Book Antiqua" w:hAnsi="Book Antiqua"/>
          <w:b/>
          <w:sz w:val="24"/>
          <w:szCs w:val="24"/>
          <w:lang w:val="en-US"/>
        </w:rPr>
      </w:pPr>
    </w:p>
    <w:p w:rsidR="00654A04" w:rsidRPr="00564DBC" w:rsidRDefault="00654A04" w:rsidP="00564DBC">
      <w:pPr>
        <w:widowControl w:val="0"/>
        <w:spacing w:after="0" w:line="360" w:lineRule="auto"/>
        <w:jc w:val="both"/>
        <w:rPr>
          <w:rFonts w:ascii="Book Antiqua" w:hAnsi="Book Antiqua"/>
          <w:b/>
          <w:sz w:val="24"/>
          <w:szCs w:val="24"/>
          <w:lang w:val="en-US"/>
        </w:rPr>
      </w:pPr>
      <w:r w:rsidRPr="00564DBC">
        <w:rPr>
          <w:rFonts w:ascii="Book Antiqua" w:hAnsi="Book Antiqua"/>
          <w:b/>
          <w:sz w:val="24"/>
          <w:szCs w:val="24"/>
          <w:lang w:val="en-US"/>
        </w:rPr>
        <w:br w:type="page"/>
      </w:r>
    </w:p>
    <w:p w:rsidR="006E094B" w:rsidRPr="00564DBC" w:rsidRDefault="006E094B" w:rsidP="00564DBC">
      <w:pPr>
        <w:widowControl w:val="0"/>
        <w:spacing w:after="0" w:line="360" w:lineRule="auto"/>
        <w:jc w:val="both"/>
        <w:rPr>
          <w:rFonts w:ascii="Book Antiqua" w:hAnsi="Book Antiqua"/>
          <w:b/>
          <w:sz w:val="24"/>
          <w:szCs w:val="24"/>
          <w:lang w:val="en-US"/>
        </w:rPr>
      </w:pPr>
      <w:r w:rsidRPr="00564DBC">
        <w:rPr>
          <w:rFonts w:ascii="Book Antiqua" w:hAnsi="Book Antiqua"/>
          <w:b/>
          <w:sz w:val="24"/>
          <w:szCs w:val="24"/>
          <w:lang w:val="en-US"/>
        </w:rPr>
        <w:lastRenderedPageBreak/>
        <w:t xml:space="preserve">Abstract </w:t>
      </w:r>
    </w:p>
    <w:p w:rsidR="006E094B" w:rsidRPr="00564DBC" w:rsidRDefault="006E094B" w:rsidP="00564DBC">
      <w:pPr>
        <w:widowControl w:val="0"/>
        <w:spacing w:after="0" w:line="360" w:lineRule="auto"/>
        <w:jc w:val="both"/>
        <w:rPr>
          <w:rFonts w:ascii="Book Antiqua" w:hAnsi="Book Antiqua"/>
          <w:sz w:val="24"/>
          <w:szCs w:val="24"/>
          <w:lang w:val="en-US" w:eastAsia="hi-IN" w:bidi="hi-IN"/>
        </w:rPr>
      </w:pPr>
      <w:r w:rsidRPr="00564DBC">
        <w:rPr>
          <w:rFonts w:ascii="Book Antiqua" w:hAnsi="Book Antiqua"/>
          <w:sz w:val="24"/>
          <w:szCs w:val="24"/>
          <w:lang w:val="en-US" w:eastAsia="hi-IN" w:bidi="hi-IN"/>
        </w:rPr>
        <w:t>Subcutaneous panniculitis-like T cell lymphoma (SPTCL) is a very rare variant of non-Hodgkin’s lymphoma. Currently, there is no standard imaging method</w:t>
      </w:r>
      <w:r w:rsidRPr="00564DBC">
        <w:rPr>
          <w:rFonts w:ascii="Book Antiqua" w:hAnsi="Book Antiqua"/>
          <w:b/>
          <w:sz w:val="24"/>
          <w:szCs w:val="24"/>
          <w:lang w:val="en-US" w:eastAsia="hi-IN" w:bidi="hi-IN"/>
        </w:rPr>
        <w:t xml:space="preserve"> </w:t>
      </w:r>
      <w:r w:rsidR="00654316">
        <w:rPr>
          <w:rFonts w:ascii="Book Antiqua" w:hAnsi="Book Antiqua"/>
          <w:sz w:val="24"/>
          <w:szCs w:val="24"/>
          <w:lang w:val="en-US" w:eastAsia="hi-IN" w:bidi="hi-IN"/>
        </w:rPr>
        <w:t xml:space="preserve">for staging of SPTCL </w:t>
      </w:r>
      <w:proofErr w:type="gramStart"/>
      <w:r w:rsidR="00654316">
        <w:rPr>
          <w:rFonts w:ascii="Book Antiqua" w:hAnsi="Book Antiqua"/>
          <w:sz w:val="24"/>
          <w:szCs w:val="24"/>
          <w:lang w:val="en-US" w:eastAsia="hi-IN" w:bidi="hi-IN"/>
        </w:rPr>
        <w:t>n</w:t>
      </w:r>
      <w:r w:rsidRPr="00564DBC">
        <w:rPr>
          <w:rFonts w:ascii="Book Antiqua" w:hAnsi="Book Antiqua"/>
          <w:sz w:val="24"/>
          <w:szCs w:val="24"/>
          <w:lang w:val="en-US" w:eastAsia="hi-IN" w:bidi="hi-IN"/>
        </w:rPr>
        <w:t>or</w:t>
      </w:r>
      <w:proofErr w:type="gramEnd"/>
      <w:r w:rsidRPr="00564DBC">
        <w:rPr>
          <w:rFonts w:ascii="Book Antiqua" w:hAnsi="Book Antiqua"/>
          <w:sz w:val="24"/>
          <w:szCs w:val="24"/>
          <w:lang w:val="en-US" w:eastAsia="hi-IN" w:bidi="hi-IN"/>
        </w:rPr>
        <w:t xml:space="preserve"> for assessment of treatment response. </w:t>
      </w:r>
      <w:r w:rsidRPr="00564DBC">
        <w:rPr>
          <w:rFonts w:ascii="Book Antiqua" w:hAnsi="Book Antiqua"/>
          <w:sz w:val="24"/>
          <w:szCs w:val="24"/>
          <w:lang w:val="en-US" w:eastAsia="ru-RU"/>
        </w:rPr>
        <w:t xml:space="preserve">Here, we describe our use of fluorine-18 </w:t>
      </w:r>
      <w:proofErr w:type="spellStart"/>
      <w:r w:rsidRPr="00564DBC">
        <w:rPr>
          <w:rFonts w:ascii="Book Antiqua" w:hAnsi="Book Antiqua"/>
          <w:sz w:val="24"/>
          <w:szCs w:val="24"/>
          <w:lang w:val="en-US" w:eastAsia="ru-RU"/>
        </w:rPr>
        <w:t>fluorodeoxyglucose</w:t>
      </w:r>
      <w:proofErr w:type="spellEnd"/>
      <w:r w:rsidRPr="00564DBC">
        <w:rPr>
          <w:rFonts w:ascii="Book Antiqua" w:hAnsi="Book Antiqua"/>
          <w:sz w:val="24"/>
          <w:szCs w:val="24"/>
          <w:lang w:val="en-US" w:eastAsia="ru-RU"/>
        </w:rPr>
        <w:t xml:space="preserve"> (FDG) positron emission tomography/computed tomography (PET/CT) for staging and monitoring of treatment response in 3 cases of SPTCL. </w:t>
      </w:r>
      <w:r w:rsidRPr="00564DBC">
        <w:rPr>
          <w:rFonts w:ascii="Book Antiqua" w:hAnsi="Book Antiqua"/>
          <w:sz w:val="24"/>
          <w:szCs w:val="24"/>
          <w:lang w:val="en-US" w:eastAsia="hi-IN" w:bidi="hi-IN"/>
        </w:rPr>
        <w:t xml:space="preserve">Primary staging by PET/CT showed that all 3 patients had multiple foci in the subcutaneous fat tissue, with </w:t>
      </w:r>
      <w:proofErr w:type="spellStart"/>
      <w:r w:rsidRPr="00564DBC">
        <w:rPr>
          <w:rFonts w:ascii="Book Antiqua" w:hAnsi="Book Antiqua"/>
          <w:sz w:val="24"/>
          <w:szCs w:val="24"/>
          <w:lang w:val="en-US" w:eastAsia="hi-IN" w:bidi="hi-IN"/>
        </w:rPr>
        <w:t>SUVmax</w:t>
      </w:r>
      <w:proofErr w:type="spellEnd"/>
      <w:r w:rsidRPr="00564DBC">
        <w:rPr>
          <w:rFonts w:ascii="Book Antiqua" w:hAnsi="Book Antiqua"/>
          <w:sz w:val="24"/>
          <w:szCs w:val="24"/>
          <w:lang w:val="en-US" w:eastAsia="hi-IN" w:bidi="hi-IN"/>
        </w:rPr>
        <w:t xml:space="preserve"> from 10.5 to 14.6.</w:t>
      </w:r>
      <w:r w:rsidRPr="00564DBC">
        <w:rPr>
          <w:rFonts w:ascii="Book Antiqua" w:eastAsia="Times New Roman" w:hAnsi="Book Antiqua"/>
          <w:sz w:val="24"/>
          <w:szCs w:val="24"/>
          <w:lang w:val="en-US" w:eastAsia="hi-IN" w:bidi="hi-IN"/>
        </w:rPr>
        <w:t xml:space="preserve"> </w:t>
      </w:r>
      <w:r w:rsidRPr="00564DBC">
        <w:rPr>
          <w:rFonts w:ascii="Book Antiqua" w:hAnsi="Book Antiqua"/>
          <w:sz w:val="24"/>
          <w:szCs w:val="24"/>
          <w:lang w:val="en-US" w:eastAsia="hi-IN" w:bidi="hi-IN"/>
        </w:rPr>
        <w:t xml:space="preserve">Involvement of intra-abdominal fat with high </w:t>
      </w:r>
      <w:proofErr w:type="spellStart"/>
      <w:r w:rsidRPr="00564DBC">
        <w:rPr>
          <w:rFonts w:ascii="Book Antiqua" w:hAnsi="Book Antiqua"/>
          <w:sz w:val="24"/>
          <w:szCs w:val="24"/>
          <w:lang w:val="en-US" w:eastAsia="hi-IN" w:bidi="hi-IN"/>
        </w:rPr>
        <w:t>SUVmax</w:t>
      </w:r>
      <w:proofErr w:type="spellEnd"/>
      <w:r w:rsidRPr="00564DBC">
        <w:rPr>
          <w:rFonts w:ascii="Book Antiqua" w:hAnsi="Book Antiqua"/>
          <w:sz w:val="24"/>
          <w:szCs w:val="24"/>
          <w:lang w:val="en-US" w:eastAsia="hi-IN" w:bidi="hi-IN"/>
        </w:rPr>
        <w:t xml:space="preserve"> was identified in 2 of the patients. Use of the triple drug regimen of </w:t>
      </w:r>
      <w:r w:rsidRPr="00564DBC">
        <w:rPr>
          <w:rFonts w:ascii="Book Antiqua" w:eastAsia="Times New Roman" w:hAnsi="Book Antiqua"/>
          <w:sz w:val="24"/>
          <w:szCs w:val="24"/>
        </w:rPr>
        <w:t>gemcitabine, cisplatin and methylprednisolone</w:t>
      </w:r>
      <w:r w:rsidRPr="00564DBC">
        <w:rPr>
          <w:rFonts w:ascii="Book Antiqua" w:hAnsi="Book Antiqua"/>
          <w:sz w:val="24"/>
          <w:szCs w:val="24"/>
          <w:lang w:val="en-US" w:eastAsia="hi-IN" w:bidi="hi-IN"/>
        </w:rPr>
        <w:t xml:space="preserve"> (commonly known as </w:t>
      </w:r>
      <w:r w:rsidR="00064D90" w:rsidRPr="00564DBC">
        <w:rPr>
          <w:rFonts w:ascii="Book Antiqua" w:hAnsi="Book Antiqua"/>
          <w:sz w:val="24"/>
          <w:szCs w:val="24"/>
          <w:lang w:val="en-US" w:eastAsia="zh-CN" w:bidi="hi-IN"/>
        </w:rPr>
        <w:t>“</w:t>
      </w:r>
      <w:r w:rsidRPr="00564DBC">
        <w:rPr>
          <w:rFonts w:ascii="Book Antiqua" w:hAnsi="Book Antiqua"/>
          <w:sz w:val="24"/>
          <w:szCs w:val="24"/>
          <w:lang w:val="en-US" w:eastAsia="hi-IN" w:bidi="hi-IN"/>
        </w:rPr>
        <w:t>GEM-P</w:t>
      </w:r>
      <w:r w:rsidR="00064D90" w:rsidRPr="00564DBC">
        <w:rPr>
          <w:rFonts w:ascii="Book Antiqua" w:hAnsi="Book Antiqua"/>
          <w:sz w:val="24"/>
          <w:szCs w:val="24"/>
          <w:lang w:val="en-US" w:eastAsia="zh-CN" w:bidi="hi-IN"/>
        </w:rPr>
        <w:t>”</w:t>
      </w:r>
      <w:r w:rsidRPr="00564DBC">
        <w:rPr>
          <w:rFonts w:ascii="Book Antiqua" w:hAnsi="Book Antiqua"/>
          <w:sz w:val="24"/>
          <w:szCs w:val="24"/>
          <w:lang w:val="en-US" w:eastAsia="hi-IN" w:bidi="hi-IN"/>
        </w:rPr>
        <w:t>) as first-line therapy</w:t>
      </w:r>
      <w:r w:rsidRPr="00564DBC">
        <w:rPr>
          <w:rFonts w:ascii="Book Antiqua" w:hAnsi="Book Antiqua"/>
          <w:b/>
          <w:sz w:val="24"/>
          <w:szCs w:val="24"/>
          <w:lang w:val="en-US" w:eastAsia="hi-IN" w:bidi="hi-IN"/>
        </w:rPr>
        <w:t xml:space="preserve"> </w:t>
      </w:r>
      <w:r w:rsidRPr="00564DBC">
        <w:rPr>
          <w:rFonts w:ascii="Book Antiqua" w:hAnsi="Book Antiqua"/>
          <w:sz w:val="24"/>
          <w:szCs w:val="24"/>
          <w:lang w:val="en-US" w:eastAsia="hi-IN" w:bidi="hi-IN"/>
        </w:rPr>
        <w:t>or</w:t>
      </w:r>
      <w:r w:rsidRPr="00564DBC">
        <w:rPr>
          <w:rFonts w:ascii="Book Antiqua" w:hAnsi="Book Antiqua"/>
          <w:b/>
          <w:sz w:val="24"/>
          <w:szCs w:val="24"/>
          <w:lang w:val="en-US" w:eastAsia="hi-IN" w:bidi="hi-IN"/>
        </w:rPr>
        <w:t xml:space="preserve"> </w:t>
      </w:r>
      <w:r w:rsidRPr="00564DBC">
        <w:rPr>
          <w:rFonts w:ascii="Book Antiqua" w:hAnsi="Book Antiqua"/>
          <w:sz w:val="24"/>
          <w:szCs w:val="24"/>
          <w:lang w:val="en-US" w:eastAsia="hi-IN" w:bidi="hi-IN"/>
        </w:rPr>
        <w:t>second-line therapy</w:t>
      </w:r>
      <w:r w:rsidRPr="00564DBC">
        <w:rPr>
          <w:rFonts w:ascii="Book Antiqua" w:hAnsi="Book Antiqua"/>
          <w:b/>
          <w:sz w:val="24"/>
          <w:szCs w:val="24"/>
          <w:lang w:val="en-US" w:eastAsia="hi-IN" w:bidi="hi-IN"/>
        </w:rPr>
        <w:t xml:space="preserve"> </w:t>
      </w:r>
      <w:r w:rsidRPr="00564DBC">
        <w:rPr>
          <w:rFonts w:ascii="Book Antiqua" w:hAnsi="Book Antiqua"/>
          <w:sz w:val="24"/>
          <w:szCs w:val="24"/>
          <w:lang w:val="en-US" w:eastAsia="hi-IN" w:bidi="hi-IN"/>
        </w:rPr>
        <w:t>facilitated</w:t>
      </w:r>
      <w:r w:rsidRPr="00564DBC">
        <w:rPr>
          <w:rFonts w:ascii="Book Antiqua" w:hAnsi="Book Antiqua"/>
          <w:b/>
          <w:sz w:val="24"/>
          <w:szCs w:val="24"/>
          <w:lang w:val="en-US" w:eastAsia="hi-IN" w:bidi="hi-IN"/>
        </w:rPr>
        <w:t xml:space="preserve"> </w:t>
      </w:r>
      <w:r w:rsidRPr="00564DBC">
        <w:rPr>
          <w:rFonts w:ascii="Book Antiqua" w:hAnsi="Book Antiqua"/>
          <w:sz w:val="24"/>
          <w:szCs w:val="24"/>
          <w:lang w:val="en-US" w:eastAsia="hi-IN" w:bidi="hi-IN"/>
        </w:rPr>
        <w:t xml:space="preserve">complete metabolic response for all 3 cases. </w:t>
      </w:r>
      <w:r w:rsidRPr="00564DBC">
        <w:rPr>
          <w:rFonts w:ascii="Book Antiqua" w:hAnsi="Book Antiqua"/>
          <w:sz w:val="24"/>
          <w:szCs w:val="24"/>
          <w:lang w:val="en-US" w:eastAsia="ru-RU"/>
        </w:rPr>
        <w:t xml:space="preserve">FDG PET/CT </w:t>
      </w:r>
      <w:r w:rsidRPr="00564DBC">
        <w:rPr>
          <w:rFonts w:ascii="Book Antiqua" w:hAnsi="Book Antiqua"/>
          <w:sz w:val="24"/>
          <w:szCs w:val="24"/>
          <w:lang w:val="en-US" w:eastAsia="hi-IN" w:bidi="hi-IN"/>
        </w:rPr>
        <w:t xml:space="preserve">provides valuable information </w:t>
      </w:r>
      <w:r w:rsidRPr="00564DBC">
        <w:rPr>
          <w:rFonts w:ascii="Book Antiqua" w:hAnsi="Book Antiqua"/>
          <w:sz w:val="24"/>
          <w:szCs w:val="24"/>
          <w:lang w:val="en-US" w:eastAsia="ru-RU"/>
        </w:rPr>
        <w:t xml:space="preserve">for staging and monitoring of treatment response and </w:t>
      </w:r>
      <w:r w:rsidRPr="00564DBC">
        <w:rPr>
          <w:rFonts w:ascii="Book Antiqua" w:hAnsi="Book Antiqua"/>
          <w:sz w:val="24"/>
          <w:szCs w:val="24"/>
          <w:lang w:val="en-US" w:eastAsia="hi-IN" w:bidi="hi-IN"/>
        </w:rPr>
        <w:t xml:space="preserve">can </w:t>
      </w:r>
      <w:r w:rsidRPr="00564DBC">
        <w:rPr>
          <w:rFonts w:ascii="Book Antiqua" w:hAnsi="Book Antiqua"/>
          <w:sz w:val="24"/>
          <w:szCs w:val="24"/>
          <w:lang w:val="en-US" w:eastAsia="ru-RU"/>
        </w:rPr>
        <w:t xml:space="preserve">reveal </w:t>
      </w:r>
      <w:r w:rsidRPr="00564DBC">
        <w:rPr>
          <w:rFonts w:ascii="Book Antiqua" w:eastAsia="Times New Roman" w:hAnsi="Book Antiqua"/>
          <w:sz w:val="24"/>
          <w:szCs w:val="24"/>
          <w:lang w:val="en-US" w:eastAsia="ru-RU"/>
        </w:rPr>
        <w:t>occult</w:t>
      </w:r>
      <w:r w:rsidRPr="00564DBC">
        <w:rPr>
          <w:rFonts w:ascii="Book Antiqua" w:hAnsi="Book Antiqua"/>
          <w:sz w:val="24"/>
          <w:szCs w:val="24"/>
          <w:lang w:val="en-US" w:eastAsia="ru-RU"/>
        </w:rPr>
        <w:t xml:space="preserve"> </w:t>
      </w:r>
      <w:r w:rsidRPr="00564DBC">
        <w:rPr>
          <w:rFonts w:ascii="Book Antiqua" w:eastAsia="Times New Roman" w:hAnsi="Book Antiqua"/>
          <w:sz w:val="24"/>
          <w:szCs w:val="24"/>
          <w:lang w:val="en-US" w:eastAsia="ru-RU"/>
        </w:rPr>
        <w:t>involvement</w:t>
      </w:r>
      <w:r w:rsidRPr="00564DBC">
        <w:rPr>
          <w:rFonts w:ascii="Book Antiqua" w:hAnsi="Book Antiqua"/>
          <w:sz w:val="24"/>
          <w:szCs w:val="24"/>
          <w:lang w:val="en-US" w:eastAsia="ru-RU"/>
        </w:rPr>
        <w:t xml:space="preserve"> </w:t>
      </w:r>
      <w:r w:rsidRPr="00564DBC">
        <w:rPr>
          <w:rFonts w:ascii="Book Antiqua" w:eastAsia="Times New Roman" w:hAnsi="Book Antiqua"/>
          <w:sz w:val="24"/>
          <w:szCs w:val="24"/>
          <w:lang w:val="en-US" w:eastAsia="ru-RU"/>
        </w:rPr>
        <w:t>of</w:t>
      </w:r>
      <w:r w:rsidRPr="00564DBC">
        <w:rPr>
          <w:rFonts w:ascii="Book Antiqua" w:hAnsi="Book Antiqua"/>
          <w:sz w:val="24"/>
          <w:szCs w:val="24"/>
          <w:lang w:val="en-US" w:eastAsia="ru-RU"/>
        </w:rPr>
        <w:t xml:space="preserve"> </w:t>
      </w:r>
      <w:r w:rsidRPr="00564DBC">
        <w:rPr>
          <w:rFonts w:ascii="Book Antiqua" w:eastAsia="Times New Roman" w:hAnsi="Book Antiqua"/>
          <w:sz w:val="24"/>
          <w:szCs w:val="24"/>
          <w:lang w:val="en-US" w:eastAsia="ru-RU"/>
        </w:rPr>
        <w:t>the</w:t>
      </w:r>
      <w:r w:rsidRPr="00564DBC">
        <w:rPr>
          <w:rFonts w:ascii="Book Antiqua" w:hAnsi="Book Antiqua"/>
          <w:sz w:val="24"/>
          <w:szCs w:val="24"/>
          <w:lang w:val="en-US" w:eastAsia="ru-RU"/>
        </w:rPr>
        <w:t xml:space="preserve"> </w:t>
      </w:r>
      <w:r w:rsidRPr="00564DBC">
        <w:rPr>
          <w:rFonts w:ascii="Book Antiqua" w:eastAsia="Times New Roman" w:hAnsi="Book Antiqua"/>
          <w:sz w:val="24"/>
          <w:szCs w:val="24"/>
          <w:lang w:val="en-US" w:eastAsia="ru-RU"/>
        </w:rPr>
        <w:t>intra-abdominal</w:t>
      </w:r>
      <w:r w:rsidRPr="00564DBC">
        <w:rPr>
          <w:rFonts w:ascii="Book Antiqua" w:hAnsi="Book Antiqua"/>
          <w:sz w:val="24"/>
          <w:szCs w:val="24"/>
          <w:lang w:val="en-US" w:eastAsia="ru-RU"/>
        </w:rPr>
        <w:t xml:space="preserve"> </w:t>
      </w:r>
      <w:r w:rsidRPr="00564DBC">
        <w:rPr>
          <w:rFonts w:ascii="Book Antiqua" w:eastAsia="Times New Roman" w:hAnsi="Book Antiqua"/>
          <w:sz w:val="24"/>
          <w:szCs w:val="24"/>
          <w:lang w:val="en-US" w:eastAsia="ru-RU"/>
        </w:rPr>
        <w:t>visceral</w:t>
      </w:r>
      <w:r w:rsidRPr="00564DBC">
        <w:rPr>
          <w:rFonts w:ascii="Book Antiqua" w:hAnsi="Book Antiqua"/>
          <w:sz w:val="24"/>
          <w:szCs w:val="24"/>
          <w:lang w:val="en-US" w:eastAsia="ru-RU"/>
        </w:rPr>
        <w:t xml:space="preserve"> </w:t>
      </w:r>
      <w:r w:rsidRPr="00564DBC">
        <w:rPr>
          <w:rFonts w:ascii="Book Antiqua" w:eastAsia="Times New Roman" w:hAnsi="Book Antiqua"/>
          <w:sz w:val="24"/>
          <w:szCs w:val="24"/>
          <w:lang w:val="en-US" w:eastAsia="ru-RU"/>
        </w:rPr>
        <w:t xml:space="preserve">fat. </w:t>
      </w:r>
      <w:r w:rsidRPr="00564DBC">
        <w:rPr>
          <w:rFonts w:ascii="Book Antiqua" w:eastAsia="Times New Roman" w:hAnsi="Book Antiqua"/>
          <w:sz w:val="24"/>
          <w:szCs w:val="24"/>
          <w:lang w:val="en-US" w:eastAsia="hi-IN" w:bidi="hi-IN"/>
        </w:rPr>
        <w:t>High FDG uptake on pre-treatment PET can identify patients with aggressive disease and help in selection of first-line therapy.</w:t>
      </w:r>
      <w:r w:rsidRPr="00564DBC">
        <w:rPr>
          <w:rFonts w:ascii="Book Antiqua" w:hAnsi="Book Antiqua"/>
          <w:sz w:val="24"/>
          <w:szCs w:val="24"/>
          <w:lang w:val="en-US" w:eastAsia="ru-RU"/>
        </w:rPr>
        <w:t xml:space="preserve"> </w:t>
      </w:r>
    </w:p>
    <w:p w:rsidR="006E094B" w:rsidRPr="00564DBC" w:rsidRDefault="006E094B" w:rsidP="00564DBC">
      <w:pPr>
        <w:widowControl w:val="0"/>
        <w:autoSpaceDE w:val="0"/>
        <w:autoSpaceDN w:val="0"/>
        <w:adjustRightInd w:val="0"/>
        <w:spacing w:after="0" w:line="360" w:lineRule="auto"/>
        <w:jc w:val="both"/>
        <w:rPr>
          <w:rFonts w:ascii="Book Antiqua" w:eastAsia="Times New Roman" w:hAnsi="Book Antiqua"/>
          <w:b/>
          <w:bCs/>
          <w:sz w:val="24"/>
          <w:szCs w:val="24"/>
          <w:lang w:val="en-US" w:eastAsia="hi-IN" w:bidi="hi-IN"/>
        </w:rPr>
      </w:pPr>
    </w:p>
    <w:p w:rsidR="006E094B" w:rsidRPr="00564DBC" w:rsidRDefault="006E094B" w:rsidP="00564DBC">
      <w:pPr>
        <w:widowControl w:val="0"/>
        <w:autoSpaceDE w:val="0"/>
        <w:autoSpaceDN w:val="0"/>
        <w:adjustRightInd w:val="0"/>
        <w:spacing w:after="0" w:line="360" w:lineRule="auto"/>
        <w:jc w:val="both"/>
        <w:rPr>
          <w:rFonts w:ascii="Book Antiqua" w:hAnsi="Book Antiqua"/>
          <w:b/>
          <w:sz w:val="24"/>
          <w:szCs w:val="24"/>
          <w:lang w:val="en-GB"/>
        </w:rPr>
      </w:pPr>
      <w:r w:rsidRPr="00564DBC">
        <w:rPr>
          <w:rFonts w:ascii="Book Antiqua" w:eastAsia="Times New Roman" w:hAnsi="Book Antiqua"/>
          <w:b/>
          <w:bCs/>
          <w:sz w:val="24"/>
          <w:szCs w:val="24"/>
          <w:lang w:val="en-US" w:eastAsia="hi-IN" w:bidi="hi-IN"/>
        </w:rPr>
        <w:t>Key words:</w:t>
      </w:r>
      <w:r w:rsidRPr="00564DBC">
        <w:rPr>
          <w:rFonts w:ascii="Book Antiqua" w:eastAsia="Times New Roman" w:hAnsi="Book Antiqua"/>
          <w:sz w:val="24"/>
          <w:szCs w:val="24"/>
          <w:lang w:val="en-US" w:eastAsia="hi-IN" w:bidi="hi-IN"/>
        </w:rPr>
        <w:t xml:space="preserve"> Subcutaneous panniculitis-like T cell lymphoma; P</w:t>
      </w:r>
      <w:r w:rsidRPr="00564DBC">
        <w:rPr>
          <w:rFonts w:ascii="Book Antiqua" w:hAnsi="Book Antiqua"/>
          <w:sz w:val="24"/>
          <w:szCs w:val="24"/>
          <w:lang w:val="en-US" w:eastAsia="ru-RU"/>
        </w:rPr>
        <w:t>ositron emission tomography</w:t>
      </w:r>
      <w:r w:rsidRPr="00564DBC">
        <w:rPr>
          <w:rFonts w:ascii="Book Antiqua" w:eastAsia="Times New Roman" w:hAnsi="Book Antiqua"/>
          <w:sz w:val="24"/>
          <w:szCs w:val="24"/>
          <w:lang w:val="en-US" w:eastAsia="hi-IN" w:bidi="hi-IN"/>
        </w:rPr>
        <w:t>;</w:t>
      </w:r>
      <w:r w:rsidRPr="00564DBC">
        <w:rPr>
          <w:rFonts w:ascii="Book Antiqua" w:hAnsi="Book Antiqua"/>
          <w:sz w:val="24"/>
          <w:szCs w:val="24"/>
          <w:lang w:val="en-US" w:eastAsia="hi-IN" w:bidi="hi-IN"/>
        </w:rPr>
        <w:t xml:space="preserve"> Staging;</w:t>
      </w:r>
      <w:r w:rsidRPr="00564DBC">
        <w:rPr>
          <w:rFonts w:ascii="Book Antiqua" w:eastAsia="Times New Roman" w:hAnsi="Book Antiqua"/>
          <w:sz w:val="24"/>
          <w:szCs w:val="24"/>
          <w:lang w:val="en-US" w:eastAsia="hi-IN" w:bidi="hi-IN"/>
        </w:rPr>
        <w:t xml:space="preserve"> T</w:t>
      </w:r>
      <w:r w:rsidRPr="00564DBC">
        <w:rPr>
          <w:rFonts w:ascii="Book Antiqua" w:eastAsia="Times New Roman" w:hAnsi="Book Antiqua"/>
          <w:bCs/>
          <w:sz w:val="24"/>
          <w:szCs w:val="24"/>
          <w:lang w:val="en-US" w:eastAsia="hi-IN" w:bidi="hi-IN"/>
        </w:rPr>
        <w:t>reatment;</w:t>
      </w:r>
      <w:r w:rsidRPr="00564DBC">
        <w:rPr>
          <w:rFonts w:ascii="Book Antiqua" w:hAnsi="Book Antiqua"/>
          <w:sz w:val="24"/>
          <w:szCs w:val="24"/>
          <w:lang w:val="en-US" w:eastAsia="ru-RU"/>
        </w:rPr>
        <w:t xml:space="preserve"> N</w:t>
      </w:r>
      <w:r w:rsidRPr="00564DBC">
        <w:rPr>
          <w:rFonts w:ascii="Book Antiqua" w:hAnsi="Book Antiqua"/>
          <w:sz w:val="24"/>
          <w:szCs w:val="24"/>
          <w:lang w:val="en-US" w:eastAsia="hi-IN" w:bidi="hi-IN"/>
        </w:rPr>
        <w:t>on-Hodgkin’s lymphoma</w:t>
      </w:r>
    </w:p>
    <w:p w:rsidR="006E094B" w:rsidRPr="00564DBC" w:rsidRDefault="006E094B" w:rsidP="00564DBC">
      <w:pPr>
        <w:widowControl w:val="0"/>
        <w:autoSpaceDE w:val="0"/>
        <w:autoSpaceDN w:val="0"/>
        <w:adjustRightInd w:val="0"/>
        <w:spacing w:after="0" w:line="360" w:lineRule="auto"/>
        <w:jc w:val="both"/>
        <w:rPr>
          <w:rFonts w:ascii="Book Antiqua" w:hAnsi="Book Antiqua"/>
          <w:sz w:val="24"/>
          <w:szCs w:val="24"/>
          <w:lang w:val="en-US" w:eastAsia="hi-IN" w:bidi="hi-IN"/>
        </w:rPr>
      </w:pPr>
    </w:p>
    <w:p w:rsidR="00064D90" w:rsidRPr="00564DBC" w:rsidRDefault="00064D90" w:rsidP="00564DBC">
      <w:pPr>
        <w:widowControl w:val="0"/>
        <w:spacing w:after="0" w:line="360" w:lineRule="auto"/>
        <w:jc w:val="both"/>
        <w:rPr>
          <w:rFonts w:ascii="Book Antiqua" w:hAnsi="Book Antiqua" w:cs="Arial"/>
          <w:sz w:val="24"/>
          <w:szCs w:val="24"/>
        </w:rPr>
      </w:pPr>
      <w:r w:rsidRPr="00564DBC">
        <w:rPr>
          <w:rFonts w:ascii="Book Antiqua" w:hAnsi="Book Antiqua"/>
          <w:b/>
          <w:sz w:val="24"/>
          <w:szCs w:val="24"/>
        </w:rPr>
        <w:t xml:space="preserve">© </w:t>
      </w:r>
      <w:r w:rsidRPr="00564DBC">
        <w:rPr>
          <w:rFonts w:ascii="Book Antiqua" w:hAnsi="Book Antiqua" w:cs="Arial"/>
          <w:b/>
          <w:sz w:val="24"/>
          <w:szCs w:val="24"/>
        </w:rPr>
        <w:t>The Author(s) 2016.</w:t>
      </w:r>
      <w:r w:rsidRPr="00564DBC">
        <w:rPr>
          <w:rFonts w:ascii="Book Antiqua" w:hAnsi="Book Antiqua" w:cs="Arial"/>
          <w:sz w:val="24"/>
          <w:szCs w:val="24"/>
        </w:rPr>
        <w:t xml:space="preserve"> Published by Baishideng Publishing Group Inc. All rights reserved.</w:t>
      </w:r>
    </w:p>
    <w:p w:rsidR="006E094B" w:rsidRPr="00564DBC" w:rsidRDefault="006E094B" w:rsidP="00564DBC">
      <w:pPr>
        <w:widowControl w:val="0"/>
        <w:autoSpaceDE w:val="0"/>
        <w:autoSpaceDN w:val="0"/>
        <w:adjustRightInd w:val="0"/>
        <w:spacing w:after="0" w:line="360" w:lineRule="auto"/>
        <w:jc w:val="both"/>
        <w:rPr>
          <w:rFonts w:ascii="Book Antiqua" w:hAnsi="Book Antiqua" w:cs="Book Antiqua"/>
          <w:b/>
          <w:sz w:val="24"/>
          <w:szCs w:val="24"/>
          <w:lang w:val="en-US" w:eastAsia="ru-RU"/>
        </w:rPr>
      </w:pPr>
    </w:p>
    <w:p w:rsidR="006E094B" w:rsidRPr="00564DBC" w:rsidRDefault="006E094B" w:rsidP="00564DBC">
      <w:pPr>
        <w:widowControl w:val="0"/>
        <w:autoSpaceDE w:val="0"/>
        <w:autoSpaceDN w:val="0"/>
        <w:adjustRightInd w:val="0"/>
        <w:spacing w:after="0" w:line="360" w:lineRule="auto"/>
        <w:jc w:val="both"/>
        <w:rPr>
          <w:rFonts w:ascii="Book Antiqua" w:eastAsia="Times New Roman" w:hAnsi="Book Antiqua"/>
          <w:b/>
          <w:bCs/>
          <w:sz w:val="24"/>
          <w:szCs w:val="24"/>
          <w:lang w:val="en-US" w:eastAsia="hi-IN" w:bidi="hi-IN"/>
        </w:rPr>
      </w:pPr>
      <w:r w:rsidRPr="00564DBC">
        <w:rPr>
          <w:rFonts w:ascii="Book Antiqua" w:hAnsi="Book Antiqua" w:cs="Book Antiqua"/>
          <w:b/>
          <w:sz w:val="24"/>
          <w:szCs w:val="24"/>
          <w:lang w:val="en-US" w:eastAsia="ru-RU"/>
        </w:rPr>
        <w:t>Core tip:</w:t>
      </w:r>
      <w:r w:rsidRPr="00564DBC">
        <w:rPr>
          <w:rFonts w:ascii="Book Antiqua" w:hAnsi="Book Antiqua"/>
          <w:sz w:val="24"/>
          <w:szCs w:val="24"/>
          <w:lang w:val="en-US" w:eastAsia="ru-RU"/>
        </w:rPr>
        <w:t xml:space="preserve"> We used fluorine-18 </w:t>
      </w:r>
      <w:proofErr w:type="spellStart"/>
      <w:r w:rsidRPr="00564DBC">
        <w:rPr>
          <w:rFonts w:ascii="Book Antiqua" w:hAnsi="Book Antiqua"/>
          <w:sz w:val="24"/>
          <w:szCs w:val="24"/>
          <w:lang w:val="en-US" w:eastAsia="ru-RU"/>
        </w:rPr>
        <w:t>fluorodeoxyglucose</w:t>
      </w:r>
      <w:proofErr w:type="spellEnd"/>
      <w:r w:rsidRPr="00564DBC">
        <w:rPr>
          <w:rFonts w:ascii="Book Antiqua" w:hAnsi="Book Antiqua"/>
          <w:sz w:val="24"/>
          <w:szCs w:val="24"/>
          <w:lang w:val="en-US" w:eastAsia="ru-RU"/>
        </w:rPr>
        <w:t xml:space="preserve"> (FDG) positron emission tomography/computed tomography (PET/CT) for staging and monitoring of treatment response in 3 cases of</w:t>
      </w:r>
      <w:r w:rsidRPr="00564DBC">
        <w:rPr>
          <w:rFonts w:ascii="Book Antiqua" w:hAnsi="Book Antiqua"/>
          <w:sz w:val="24"/>
          <w:szCs w:val="24"/>
          <w:lang w:val="en-US" w:eastAsia="hi-IN" w:bidi="hi-IN"/>
        </w:rPr>
        <w:t xml:space="preserve"> </w:t>
      </w:r>
      <w:r w:rsidRPr="00564DBC">
        <w:rPr>
          <w:rFonts w:ascii="Book Antiqua" w:hAnsi="Book Antiqua"/>
          <w:sz w:val="24"/>
          <w:szCs w:val="24"/>
          <w:lang w:val="en-US" w:eastAsia="ru-RU"/>
        </w:rPr>
        <w:t>s</w:t>
      </w:r>
      <w:r w:rsidRPr="00564DBC">
        <w:rPr>
          <w:rFonts w:ascii="Book Antiqua" w:hAnsi="Book Antiqua"/>
          <w:sz w:val="24"/>
          <w:szCs w:val="24"/>
          <w:lang w:val="en-US" w:eastAsia="hi-IN" w:bidi="hi-IN"/>
        </w:rPr>
        <w:t>ubcutaneous panniculitis-like T cell lymphoma (SPTCL), a very rare variant of non-Hodgkin’s lymphoma</w:t>
      </w:r>
      <w:r w:rsidRPr="00564DBC">
        <w:rPr>
          <w:rFonts w:ascii="Book Antiqua" w:hAnsi="Book Antiqua"/>
          <w:sz w:val="24"/>
          <w:szCs w:val="24"/>
          <w:lang w:val="en-US" w:eastAsia="ru-RU"/>
        </w:rPr>
        <w:t xml:space="preserve">. FDG PET/CT </w:t>
      </w:r>
      <w:r w:rsidRPr="00564DBC">
        <w:rPr>
          <w:rFonts w:ascii="Book Antiqua" w:hAnsi="Book Antiqua"/>
          <w:sz w:val="24"/>
          <w:szCs w:val="24"/>
          <w:lang w:val="en-US" w:eastAsia="hi-IN" w:bidi="hi-IN"/>
        </w:rPr>
        <w:t>provided valuable information</w:t>
      </w:r>
      <w:r w:rsidRPr="00564DBC">
        <w:rPr>
          <w:rFonts w:ascii="Book Antiqua" w:hAnsi="Book Antiqua"/>
          <w:sz w:val="24"/>
          <w:szCs w:val="24"/>
          <w:lang w:val="en-US" w:eastAsia="ru-RU"/>
        </w:rPr>
        <w:t xml:space="preserve"> for </w:t>
      </w:r>
      <w:r w:rsidRPr="00564DBC">
        <w:rPr>
          <w:rFonts w:ascii="Book Antiqua" w:hAnsi="Book Antiqua"/>
          <w:sz w:val="24"/>
          <w:szCs w:val="24"/>
          <w:lang w:val="en-US" w:eastAsia="hi-IN" w:bidi="hi-IN"/>
        </w:rPr>
        <w:t>SPTCL</w:t>
      </w:r>
      <w:r w:rsidRPr="00564DBC">
        <w:rPr>
          <w:rFonts w:ascii="Book Antiqua" w:hAnsi="Book Antiqua"/>
          <w:sz w:val="24"/>
          <w:szCs w:val="24"/>
          <w:lang w:val="en-US" w:eastAsia="ru-RU"/>
        </w:rPr>
        <w:t xml:space="preserve"> staging and monitoring of treatment response in the patients. It can reveal </w:t>
      </w:r>
      <w:r w:rsidRPr="00564DBC">
        <w:rPr>
          <w:rFonts w:ascii="Book Antiqua" w:eastAsia="Times New Roman" w:hAnsi="Book Antiqua"/>
          <w:sz w:val="24"/>
          <w:szCs w:val="24"/>
          <w:lang w:val="en-US" w:eastAsia="ru-RU"/>
        </w:rPr>
        <w:t>occult</w:t>
      </w:r>
      <w:r w:rsidRPr="00564DBC">
        <w:rPr>
          <w:rFonts w:ascii="Book Antiqua" w:hAnsi="Book Antiqua"/>
          <w:sz w:val="24"/>
          <w:szCs w:val="24"/>
          <w:lang w:val="en-US" w:eastAsia="ru-RU"/>
        </w:rPr>
        <w:t xml:space="preserve"> </w:t>
      </w:r>
      <w:r w:rsidRPr="00564DBC">
        <w:rPr>
          <w:rFonts w:ascii="Book Antiqua" w:eastAsia="Times New Roman" w:hAnsi="Book Antiqua"/>
          <w:sz w:val="24"/>
          <w:szCs w:val="24"/>
          <w:lang w:val="en-US" w:eastAsia="ru-RU"/>
        </w:rPr>
        <w:t>involvement</w:t>
      </w:r>
      <w:r w:rsidRPr="00564DBC">
        <w:rPr>
          <w:rFonts w:ascii="Book Antiqua" w:hAnsi="Book Antiqua"/>
          <w:sz w:val="24"/>
          <w:szCs w:val="24"/>
          <w:lang w:val="en-US" w:eastAsia="ru-RU"/>
        </w:rPr>
        <w:t xml:space="preserve"> </w:t>
      </w:r>
      <w:r w:rsidRPr="00564DBC">
        <w:rPr>
          <w:rFonts w:ascii="Book Antiqua" w:eastAsia="Times New Roman" w:hAnsi="Book Antiqua"/>
          <w:sz w:val="24"/>
          <w:szCs w:val="24"/>
          <w:lang w:val="en-US" w:eastAsia="ru-RU"/>
        </w:rPr>
        <w:t>of</w:t>
      </w:r>
      <w:r w:rsidRPr="00564DBC">
        <w:rPr>
          <w:rFonts w:ascii="Book Antiqua" w:hAnsi="Book Antiqua"/>
          <w:sz w:val="24"/>
          <w:szCs w:val="24"/>
          <w:lang w:val="en-US" w:eastAsia="ru-RU"/>
        </w:rPr>
        <w:t xml:space="preserve"> </w:t>
      </w:r>
      <w:r w:rsidRPr="00564DBC">
        <w:rPr>
          <w:rFonts w:ascii="Book Antiqua" w:eastAsia="Times New Roman" w:hAnsi="Book Antiqua"/>
          <w:sz w:val="24"/>
          <w:szCs w:val="24"/>
          <w:lang w:val="en-US" w:eastAsia="ru-RU"/>
        </w:rPr>
        <w:t>the</w:t>
      </w:r>
      <w:r w:rsidRPr="00564DBC">
        <w:rPr>
          <w:rFonts w:ascii="Book Antiqua" w:hAnsi="Book Antiqua"/>
          <w:sz w:val="24"/>
          <w:szCs w:val="24"/>
          <w:lang w:val="en-US" w:eastAsia="ru-RU"/>
        </w:rPr>
        <w:t xml:space="preserve"> </w:t>
      </w:r>
      <w:r w:rsidRPr="00564DBC">
        <w:rPr>
          <w:rFonts w:ascii="Book Antiqua" w:eastAsia="Times New Roman" w:hAnsi="Book Antiqua"/>
          <w:sz w:val="24"/>
          <w:szCs w:val="24"/>
          <w:lang w:val="en-US" w:eastAsia="ru-RU"/>
        </w:rPr>
        <w:t>intra-abdominal</w:t>
      </w:r>
      <w:r w:rsidRPr="00564DBC">
        <w:rPr>
          <w:rFonts w:ascii="Book Antiqua" w:hAnsi="Book Antiqua"/>
          <w:sz w:val="24"/>
          <w:szCs w:val="24"/>
          <w:lang w:val="en-US" w:eastAsia="ru-RU"/>
        </w:rPr>
        <w:t xml:space="preserve"> </w:t>
      </w:r>
      <w:r w:rsidRPr="00564DBC">
        <w:rPr>
          <w:rFonts w:ascii="Book Antiqua" w:eastAsia="Times New Roman" w:hAnsi="Book Antiqua"/>
          <w:sz w:val="24"/>
          <w:szCs w:val="24"/>
          <w:lang w:val="en-US" w:eastAsia="ru-RU"/>
        </w:rPr>
        <w:t>visceral</w:t>
      </w:r>
      <w:r w:rsidRPr="00564DBC">
        <w:rPr>
          <w:rFonts w:ascii="Book Antiqua" w:hAnsi="Book Antiqua"/>
          <w:sz w:val="24"/>
          <w:szCs w:val="24"/>
          <w:lang w:val="en-US" w:eastAsia="ru-RU"/>
        </w:rPr>
        <w:t xml:space="preserve"> </w:t>
      </w:r>
      <w:r w:rsidRPr="00564DBC">
        <w:rPr>
          <w:rFonts w:ascii="Book Antiqua" w:eastAsia="Times New Roman" w:hAnsi="Book Antiqua"/>
          <w:sz w:val="24"/>
          <w:szCs w:val="24"/>
          <w:lang w:val="en-US" w:eastAsia="ru-RU"/>
        </w:rPr>
        <w:t>fat</w:t>
      </w:r>
      <w:r w:rsidRPr="00564DBC">
        <w:rPr>
          <w:rFonts w:ascii="Book Antiqua" w:hAnsi="Book Antiqua"/>
          <w:sz w:val="24"/>
          <w:szCs w:val="24"/>
          <w:lang w:val="en-US" w:eastAsia="ru-RU"/>
        </w:rPr>
        <w:t xml:space="preserve"> and</w:t>
      </w:r>
      <w:r w:rsidRPr="00564DBC">
        <w:rPr>
          <w:rFonts w:ascii="Book Antiqua" w:eastAsia="Times New Roman" w:hAnsi="Book Antiqua"/>
          <w:sz w:val="24"/>
          <w:szCs w:val="24"/>
          <w:lang w:val="en-US" w:eastAsia="hi-IN" w:bidi="hi-IN"/>
        </w:rPr>
        <w:t xml:space="preserve"> identify patients with aggressive </w:t>
      </w:r>
      <w:r w:rsidRPr="00564DBC">
        <w:rPr>
          <w:rFonts w:ascii="Book Antiqua" w:hAnsi="Book Antiqua"/>
          <w:sz w:val="24"/>
          <w:szCs w:val="24"/>
          <w:lang w:val="en-US" w:eastAsia="hi-IN" w:bidi="hi-IN"/>
        </w:rPr>
        <w:t>SPTCL</w:t>
      </w:r>
      <w:r w:rsidRPr="00564DBC">
        <w:rPr>
          <w:rFonts w:ascii="Book Antiqua" w:eastAsia="Times New Roman" w:hAnsi="Book Antiqua"/>
          <w:sz w:val="24"/>
          <w:szCs w:val="24"/>
          <w:lang w:val="en-US" w:eastAsia="hi-IN" w:bidi="hi-IN"/>
        </w:rPr>
        <w:t xml:space="preserve"> </w:t>
      </w:r>
      <w:r w:rsidRPr="00564DBC">
        <w:rPr>
          <w:rFonts w:ascii="Book Antiqua" w:eastAsia="Times New Roman" w:hAnsi="Book Antiqua"/>
          <w:sz w:val="24"/>
          <w:szCs w:val="24"/>
          <w:lang w:val="en-US" w:eastAsia="hi-IN" w:bidi="hi-IN"/>
        </w:rPr>
        <w:lastRenderedPageBreak/>
        <w:t>disease</w:t>
      </w:r>
      <w:r w:rsidRPr="00564DBC">
        <w:rPr>
          <w:rFonts w:ascii="Book Antiqua" w:eastAsia="Times New Roman" w:hAnsi="Book Antiqua"/>
          <w:sz w:val="24"/>
          <w:szCs w:val="24"/>
          <w:lang w:val="en-US" w:eastAsia="ru-RU"/>
        </w:rPr>
        <w:t>.</w:t>
      </w:r>
    </w:p>
    <w:p w:rsidR="006E094B" w:rsidRPr="00564DBC" w:rsidRDefault="006E094B" w:rsidP="00564DBC">
      <w:pPr>
        <w:widowControl w:val="0"/>
        <w:spacing w:after="0" w:line="360" w:lineRule="auto"/>
        <w:jc w:val="both"/>
        <w:rPr>
          <w:rFonts w:ascii="Book Antiqua" w:hAnsi="Book Antiqua"/>
          <w:b/>
          <w:bCs/>
          <w:kern w:val="32"/>
          <w:sz w:val="24"/>
          <w:szCs w:val="24"/>
          <w:lang w:val="en-US" w:eastAsia="zh-CN" w:bidi="hi-IN"/>
        </w:rPr>
      </w:pPr>
    </w:p>
    <w:p w:rsidR="00064D90" w:rsidRPr="00564DBC" w:rsidRDefault="00064D90" w:rsidP="00564DBC">
      <w:pPr>
        <w:widowControl w:val="0"/>
        <w:spacing w:after="0" w:line="360" w:lineRule="auto"/>
        <w:jc w:val="both"/>
        <w:rPr>
          <w:rFonts w:ascii="Book Antiqua" w:hAnsi="Book Antiqua"/>
          <w:bCs/>
          <w:kern w:val="32"/>
          <w:sz w:val="24"/>
          <w:szCs w:val="24"/>
          <w:lang w:val="en-US" w:eastAsia="zh-CN" w:bidi="hi-IN"/>
        </w:rPr>
      </w:pPr>
      <w:proofErr w:type="spellStart"/>
      <w:r w:rsidRPr="00564DBC">
        <w:rPr>
          <w:rFonts w:ascii="Book Antiqua" w:eastAsia="Times New Roman" w:hAnsi="Book Antiqua"/>
          <w:bCs/>
          <w:sz w:val="24"/>
          <w:szCs w:val="24"/>
          <w:lang w:val="en-US" w:eastAsia="hi-IN" w:bidi="hi-IN"/>
        </w:rPr>
        <w:t>Gorodetskiy</w:t>
      </w:r>
      <w:proofErr w:type="spellEnd"/>
      <w:r w:rsidRPr="00564DBC">
        <w:rPr>
          <w:rFonts w:ascii="Book Antiqua" w:hAnsi="Book Antiqua"/>
          <w:bCs/>
          <w:sz w:val="24"/>
          <w:szCs w:val="24"/>
          <w:lang w:val="en-US" w:eastAsia="zh-CN" w:bidi="hi-IN"/>
        </w:rPr>
        <w:t xml:space="preserve"> VR</w:t>
      </w:r>
      <w:r w:rsidRPr="00564DBC">
        <w:rPr>
          <w:rFonts w:ascii="Book Antiqua" w:eastAsia="Times New Roman" w:hAnsi="Book Antiqua"/>
          <w:bCs/>
          <w:sz w:val="24"/>
          <w:szCs w:val="24"/>
          <w:lang w:val="en-US" w:eastAsia="hi-IN" w:bidi="hi-IN"/>
        </w:rPr>
        <w:t xml:space="preserve">, </w:t>
      </w:r>
      <w:proofErr w:type="spellStart"/>
      <w:r w:rsidRPr="00564DBC">
        <w:rPr>
          <w:rFonts w:ascii="Book Antiqua" w:eastAsia="Times New Roman" w:hAnsi="Book Antiqua"/>
          <w:bCs/>
          <w:sz w:val="24"/>
          <w:szCs w:val="24"/>
          <w:lang w:val="en-US" w:eastAsia="hi-IN" w:bidi="hi-IN"/>
        </w:rPr>
        <w:t>Mukhortova</w:t>
      </w:r>
      <w:proofErr w:type="spellEnd"/>
      <w:r w:rsidRPr="00564DBC">
        <w:rPr>
          <w:rFonts w:ascii="Book Antiqua" w:hAnsi="Book Antiqua"/>
          <w:bCs/>
          <w:sz w:val="24"/>
          <w:szCs w:val="24"/>
          <w:lang w:val="en-US" w:eastAsia="zh-CN" w:bidi="hi-IN"/>
        </w:rPr>
        <w:t xml:space="preserve"> OV</w:t>
      </w:r>
      <w:r w:rsidRPr="00564DBC">
        <w:rPr>
          <w:rFonts w:ascii="Book Antiqua" w:eastAsia="Times New Roman" w:hAnsi="Book Antiqua"/>
          <w:sz w:val="24"/>
          <w:szCs w:val="24"/>
          <w:lang w:val="en-US" w:eastAsia="hi-IN" w:bidi="hi-IN"/>
        </w:rPr>
        <w:t xml:space="preserve">, </w:t>
      </w:r>
      <w:proofErr w:type="spellStart"/>
      <w:r w:rsidRPr="00564DBC">
        <w:rPr>
          <w:rFonts w:ascii="Book Antiqua" w:eastAsia="Times New Roman" w:hAnsi="Book Antiqua"/>
          <w:sz w:val="24"/>
          <w:szCs w:val="24"/>
          <w:lang w:val="en-US" w:eastAsia="hi-IN" w:bidi="hi-IN"/>
        </w:rPr>
        <w:t>Aslanidis</w:t>
      </w:r>
      <w:proofErr w:type="spellEnd"/>
      <w:r w:rsidRPr="00564DBC">
        <w:rPr>
          <w:rFonts w:ascii="Book Antiqua" w:hAnsi="Book Antiqua"/>
          <w:sz w:val="24"/>
          <w:szCs w:val="24"/>
          <w:lang w:val="en-US" w:eastAsia="zh-CN" w:bidi="hi-IN"/>
        </w:rPr>
        <w:t xml:space="preserve"> IP</w:t>
      </w:r>
      <w:r w:rsidRPr="00564DBC">
        <w:rPr>
          <w:rFonts w:ascii="Book Antiqua" w:eastAsia="Times New Roman" w:hAnsi="Book Antiqua"/>
          <w:sz w:val="24"/>
          <w:szCs w:val="24"/>
          <w:lang w:val="en-US" w:eastAsia="hi-IN" w:bidi="hi-IN"/>
        </w:rPr>
        <w:t xml:space="preserve">, </w:t>
      </w:r>
      <w:proofErr w:type="spellStart"/>
      <w:r w:rsidRPr="00564DBC">
        <w:rPr>
          <w:rFonts w:ascii="Book Antiqua" w:eastAsia="Times New Roman" w:hAnsi="Book Antiqua"/>
          <w:sz w:val="24"/>
          <w:szCs w:val="24"/>
          <w:lang w:val="en-US" w:eastAsia="hi-IN" w:bidi="hi-IN"/>
        </w:rPr>
        <w:t>Klapper</w:t>
      </w:r>
      <w:proofErr w:type="spellEnd"/>
      <w:r w:rsidRPr="00564DBC">
        <w:rPr>
          <w:rFonts w:ascii="Book Antiqua" w:hAnsi="Book Antiqua"/>
          <w:sz w:val="24"/>
          <w:szCs w:val="24"/>
          <w:lang w:val="en-US" w:eastAsia="zh-CN" w:bidi="hi-IN"/>
        </w:rPr>
        <w:t xml:space="preserve"> W</w:t>
      </w:r>
      <w:r w:rsidRPr="00564DBC">
        <w:rPr>
          <w:rFonts w:ascii="Book Antiqua" w:eastAsia="Times New Roman" w:hAnsi="Book Antiqua"/>
          <w:sz w:val="24"/>
          <w:szCs w:val="24"/>
          <w:lang w:val="en-US" w:eastAsia="hi-IN" w:bidi="hi-IN"/>
        </w:rPr>
        <w:t>,</w:t>
      </w:r>
      <w:r w:rsidRPr="00564DBC">
        <w:rPr>
          <w:rFonts w:ascii="Book Antiqua" w:eastAsia="Times New Roman" w:hAnsi="Book Antiqua"/>
          <w:sz w:val="24"/>
          <w:szCs w:val="24"/>
          <w:vertAlign w:val="superscript"/>
          <w:lang w:val="en-US" w:eastAsia="hi-IN" w:bidi="hi-IN"/>
        </w:rPr>
        <w:t xml:space="preserve"> </w:t>
      </w:r>
      <w:proofErr w:type="spellStart"/>
      <w:r w:rsidRPr="00564DBC">
        <w:rPr>
          <w:rFonts w:ascii="Book Antiqua" w:eastAsia="Times New Roman" w:hAnsi="Book Antiqua"/>
          <w:bCs/>
          <w:sz w:val="24"/>
          <w:szCs w:val="24"/>
          <w:lang w:val="en-US" w:eastAsia="hi-IN" w:bidi="hi-IN"/>
        </w:rPr>
        <w:t>Probatova</w:t>
      </w:r>
      <w:proofErr w:type="spellEnd"/>
      <w:r w:rsidRPr="00564DBC">
        <w:rPr>
          <w:rFonts w:ascii="Book Antiqua" w:hAnsi="Book Antiqua"/>
          <w:bCs/>
          <w:sz w:val="24"/>
          <w:szCs w:val="24"/>
          <w:lang w:val="en-US" w:eastAsia="zh-CN" w:bidi="hi-IN"/>
        </w:rPr>
        <w:t xml:space="preserve"> NA.</w:t>
      </w:r>
      <w:r w:rsidRPr="00564DBC">
        <w:rPr>
          <w:rFonts w:ascii="Book Antiqua" w:hAnsi="Book Antiqua"/>
          <w:sz w:val="24"/>
          <w:szCs w:val="24"/>
          <w:lang w:val="en-US" w:eastAsia="ru-RU"/>
        </w:rPr>
        <w:t xml:space="preserve"> Fluorine-18 </w:t>
      </w:r>
      <w:proofErr w:type="spellStart"/>
      <w:r w:rsidRPr="00564DBC">
        <w:rPr>
          <w:rFonts w:ascii="Book Antiqua" w:hAnsi="Book Antiqua"/>
          <w:sz w:val="24"/>
          <w:szCs w:val="24"/>
          <w:lang w:val="en-US" w:eastAsia="ru-RU"/>
        </w:rPr>
        <w:t>fluorodeoxyglucose</w:t>
      </w:r>
      <w:proofErr w:type="spellEnd"/>
      <w:r w:rsidRPr="00564DBC">
        <w:rPr>
          <w:rFonts w:ascii="Book Antiqua" w:hAnsi="Book Antiqua"/>
          <w:sz w:val="24"/>
          <w:szCs w:val="24"/>
          <w:lang w:val="en-US" w:eastAsia="ru-RU"/>
        </w:rPr>
        <w:t xml:space="preserve"> positron emission tomography/computed tomography </w:t>
      </w:r>
      <w:r w:rsidRPr="00564DBC">
        <w:rPr>
          <w:rFonts w:ascii="Book Antiqua" w:hAnsi="Book Antiqua"/>
          <w:bCs/>
          <w:kern w:val="32"/>
          <w:sz w:val="24"/>
          <w:szCs w:val="24"/>
          <w:lang w:val="en-US" w:eastAsia="hi-IN" w:bidi="hi-IN"/>
        </w:rPr>
        <w:t>evaluation of subcutaneous panniculitis-like T cell lymphoma and treatment response</w:t>
      </w:r>
      <w:r w:rsidRPr="00564DBC">
        <w:rPr>
          <w:rFonts w:ascii="Book Antiqua" w:hAnsi="Book Antiqua"/>
          <w:bCs/>
          <w:kern w:val="32"/>
          <w:sz w:val="24"/>
          <w:szCs w:val="24"/>
          <w:lang w:val="en-US" w:eastAsia="zh-CN" w:bidi="hi-IN"/>
        </w:rPr>
        <w:t>.</w:t>
      </w:r>
      <w:r w:rsidRPr="00564DBC">
        <w:rPr>
          <w:rFonts w:ascii="Book Antiqua" w:hAnsi="Book Antiqua"/>
          <w:i/>
          <w:iCs/>
          <w:sz w:val="24"/>
          <w:szCs w:val="24"/>
        </w:rPr>
        <w:t xml:space="preserve"> World J Clin Cases</w:t>
      </w:r>
      <w:r w:rsidRPr="00564DBC">
        <w:rPr>
          <w:rFonts w:ascii="Book Antiqua" w:hAnsi="Book Antiqua"/>
          <w:i/>
          <w:iCs/>
          <w:sz w:val="24"/>
          <w:szCs w:val="24"/>
          <w:lang w:eastAsia="zh-CN"/>
        </w:rPr>
        <w:t xml:space="preserve"> </w:t>
      </w:r>
      <w:r w:rsidRPr="00564DBC">
        <w:rPr>
          <w:rFonts w:ascii="Book Antiqua" w:hAnsi="Book Antiqua"/>
          <w:iCs/>
          <w:sz w:val="24"/>
          <w:szCs w:val="24"/>
          <w:lang w:eastAsia="zh-CN"/>
        </w:rPr>
        <w:t>2016; In press</w:t>
      </w:r>
    </w:p>
    <w:p w:rsidR="006E094B" w:rsidRPr="00564DBC" w:rsidRDefault="006E094B" w:rsidP="00564DBC">
      <w:pPr>
        <w:widowControl w:val="0"/>
        <w:spacing w:after="0" w:line="360" w:lineRule="auto"/>
        <w:jc w:val="both"/>
        <w:rPr>
          <w:rFonts w:ascii="Book Antiqua" w:eastAsia="Times New Roman" w:hAnsi="Book Antiqua"/>
          <w:b/>
          <w:bCs/>
          <w:kern w:val="32"/>
          <w:sz w:val="24"/>
          <w:szCs w:val="24"/>
          <w:lang w:val="en-US" w:eastAsia="hi-IN" w:bidi="hi-IN"/>
        </w:rPr>
      </w:pPr>
      <w:r w:rsidRPr="00564DBC">
        <w:rPr>
          <w:rFonts w:ascii="Book Antiqua" w:hAnsi="Book Antiqua"/>
          <w:b/>
          <w:bCs/>
          <w:kern w:val="32"/>
          <w:sz w:val="24"/>
          <w:szCs w:val="24"/>
          <w:lang w:val="en-US" w:eastAsia="hi-IN" w:bidi="hi-IN"/>
        </w:rPr>
        <w:br w:type="page"/>
      </w:r>
      <w:r w:rsidRPr="00564DBC">
        <w:rPr>
          <w:rFonts w:ascii="Book Antiqua" w:hAnsi="Book Antiqua"/>
          <w:b/>
          <w:bCs/>
          <w:kern w:val="32"/>
          <w:sz w:val="24"/>
          <w:szCs w:val="24"/>
          <w:lang w:val="en-US" w:eastAsia="hi-IN" w:bidi="hi-IN"/>
        </w:rPr>
        <w:lastRenderedPageBreak/>
        <w:t>INTRODUCTION</w:t>
      </w:r>
    </w:p>
    <w:p w:rsidR="006E094B" w:rsidRPr="00564DBC" w:rsidRDefault="006E094B" w:rsidP="00564DBC">
      <w:pPr>
        <w:widowControl w:val="0"/>
        <w:spacing w:after="0" w:line="360" w:lineRule="auto"/>
        <w:jc w:val="both"/>
        <w:rPr>
          <w:rFonts w:ascii="Book Antiqua" w:hAnsi="Book Antiqua"/>
          <w:sz w:val="24"/>
          <w:szCs w:val="24"/>
          <w:lang w:val="en-US" w:eastAsia="hi-IN" w:bidi="hi-IN"/>
        </w:rPr>
      </w:pPr>
      <w:r w:rsidRPr="00564DBC">
        <w:rPr>
          <w:rFonts w:ascii="Book Antiqua" w:hAnsi="Book Antiqua"/>
          <w:sz w:val="24"/>
          <w:szCs w:val="24"/>
          <w:lang w:val="en-US" w:eastAsia="hi-IN" w:bidi="hi-IN"/>
        </w:rPr>
        <w:t xml:space="preserve">Subcutaneous panniculitis-like T cell lymphoma (SPTCL) was first defined as a clinical entity in 1991, and described as a cytotoxic T cell lymphoma that preferentially infiltrates the subcutaneous </w:t>
      </w:r>
      <w:proofErr w:type="gramStart"/>
      <w:r w:rsidRPr="00564DBC">
        <w:rPr>
          <w:rFonts w:ascii="Book Antiqua" w:hAnsi="Book Antiqua"/>
          <w:sz w:val="24"/>
          <w:szCs w:val="24"/>
          <w:lang w:val="en-US" w:eastAsia="hi-IN" w:bidi="hi-IN"/>
        </w:rPr>
        <w:t>tissue</w:t>
      </w:r>
      <w:r w:rsidRPr="00564DBC">
        <w:rPr>
          <w:rFonts w:ascii="Book Antiqua" w:hAnsi="Book Antiqua"/>
          <w:sz w:val="24"/>
          <w:szCs w:val="24"/>
          <w:vertAlign w:val="superscript"/>
          <w:lang w:val="en-US" w:eastAsia="hi-IN" w:bidi="hi-IN"/>
        </w:rPr>
        <w:t>[</w:t>
      </w:r>
      <w:proofErr w:type="gramEnd"/>
      <w:r w:rsidRPr="00564DBC">
        <w:rPr>
          <w:rFonts w:ascii="Book Antiqua" w:hAnsi="Book Antiqua"/>
          <w:sz w:val="24"/>
          <w:szCs w:val="24"/>
          <w:vertAlign w:val="superscript"/>
          <w:lang w:val="en-US" w:eastAsia="hi-IN" w:bidi="hi-IN"/>
        </w:rPr>
        <w:t>1]</w:t>
      </w:r>
      <w:r w:rsidRPr="00564DBC">
        <w:rPr>
          <w:rFonts w:ascii="Book Antiqua" w:hAnsi="Book Antiqua"/>
          <w:sz w:val="24"/>
          <w:szCs w:val="24"/>
          <w:lang w:val="en-US" w:eastAsia="hi-IN" w:bidi="hi-IN"/>
        </w:rPr>
        <w:t>.</w:t>
      </w:r>
      <w:r w:rsidRPr="00564DBC">
        <w:rPr>
          <w:rFonts w:ascii="Book Antiqua" w:hAnsi="Book Antiqua"/>
          <w:sz w:val="24"/>
          <w:szCs w:val="24"/>
          <w:vertAlign w:val="superscript"/>
          <w:lang w:val="en-US" w:eastAsia="hi-IN" w:bidi="hi-IN"/>
        </w:rPr>
        <w:t xml:space="preserve"> </w:t>
      </w:r>
      <w:r w:rsidRPr="00564DBC">
        <w:rPr>
          <w:rFonts w:ascii="Book Antiqua" w:hAnsi="Book Antiqua"/>
          <w:sz w:val="24"/>
          <w:szCs w:val="24"/>
          <w:lang w:val="en-US" w:eastAsia="hi-IN" w:bidi="hi-IN"/>
        </w:rPr>
        <w:t xml:space="preserve">Patients present with multiple subcutaneous nodules, usually exclusively, with no other involved </w:t>
      </w:r>
      <w:proofErr w:type="gramStart"/>
      <w:r w:rsidRPr="00564DBC">
        <w:rPr>
          <w:rFonts w:ascii="Book Antiqua" w:hAnsi="Book Antiqua"/>
          <w:sz w:val="24"/>
          <w:szCs w:val="24"/>
          <w:lang w:val="en-US" w:eastAsia="hi-IN" w:bidi="hi-IN"/>
        </w:rPr>
        <w:t>sites</w:t>
      </w:r>
      <w:r w:rsidRPr="00564DBC">
        <w:rPr>
          <w:rFonts w:ascii="Book Antiqua" w:hAnsi="Book Antiqua"/>
          <w:sz w:val="24"/>
          <w:szCs w:val="24"/>
          <w:vertAlign w:val="superscript"/>
          <w:lang w:val="en-US" w:eastAsia="hi-IN" w:bidi="hi-IN"/>
        </w:rPr>
        <w:t>[</w:t>
      </w:r>
      <w:proofErr w:type="gramEnd"/>
      <w:r w:rsidRPr="00564DBC">
        <w:rPr>
          <w:rFonts w:ascii="Book Antiqua" w:hAnsi="Book Antiqua"/>
          <w:sz w:val="24"/>
          <w:szCs w:val="24"/>
          <w:vertAlign w:val="superscript"/>
          <w:lang w:val="en-US" w:eastAsia="hi-IN" w:bidi="hi-IN"/>
        </w:rPr>
        <w:t>2-5]</w:t>
      </w:r>
      <w:r w:rsidRPr="00564DBC">
        <w:rPr>
          <w:rFonts w:ascii="Book Antiqua" w:hAnsi="Book Antiqua"/>
          <w:sz w:val="24"/>
          <w:szCs w:val="24"/>
          <w:lang w:val="en-US" w:eastAsia="hi-IN" w:bidi="hi-IN"/>
        </w:rPr>
        <w:t xml:space="preserve">. The original description of SPTCL was further refined in 2008 by the World Health Organization, which restricted the classification to exclude </w:t>
      </w:r>
      <w:proofErr w:type="spellStart"/>
      <w:r w:rsidR="00064D90" w:rsidRPr="00564DBC">
        <w:rPr>
          <w:rFonts w:ascii="Book Antiqua" w:hAnsi="Book Antiqua"/>
          <w:sz w:val="24"/>
          <w:szCs w:val="24"/>
          <w:lang w:val="en-US" w:eastAsia="hi-IN" w:bidi="hi-IN"/>
        </w:rPr>
        <w:t>γ</w:t>
      </w:r>
      <w:r w:rsidR="00E34CF4" w:rsidRPr="00564DBC">
        <w:rPr>
          <w:rFonts w:ascii="Book Antiqua" w:hAnsi="Book Antiqua"/>
          <w:sz w:val="24"/>
          <w:szCs w:val="24"/>
          <w:lang w:val="en-US" w:eastAsia="hi-IN" w:bidi="hi-IN"/>
        </w:rPr>
        <w:t>δ</w:t>
      </w:r>
      <w:r w:rsidRPr="00564DBC">
        <w:rPr>
          <w:rFonts w:ascii="Book Antiqua" w:hAnsi="Book Antiqua"/>
          <w:sz w:val="24"/>
          <w:szCs w:val="24"/>
          <w:lang w:val="en-US" w:eastAsia="hi-IN" w:bidi="hi-IN"/>
        </w:rPr>
        <w:t>T</w:t>
      </w:r>
      <w:proofErr w:type="spellEnd"/>
      <w:r w:rsidRPr="00564DBC">
        <w:rPr>
          <w:rFonts w:ascii="Book Antiqua" w:hAnsi="Book Antiqua"/>
          <w:sz w:val="24"/>
          <w:szCs w:val="24"/>
          <w:lang w:val="en-US" w:eastAsia="hi-IN" w:bidi="hi-IN"/>
        </w:rPr>
        <w:t xml:space="preserve"> cell </w:t>
      </w:r>
      <w:proofErr w:type="gramStart"/>
      <w:r w:rsidRPr="00564DBC">
        <w:rPr>
          <w:rFonts w:ascii="Book Antiqua" w:hAnsi="Book Antiqua"/>
          <w:sz w:val="24"/>
          <w:szCs w:val="24"/>
          <w:lang w:val="en-US" w:eastAsia="hi-IN" w:bidi="hi-IN"/>
        </w:rPr>
        <w:t>lymphoma</w:t>
      </w:r>
      <w:r w:rsidRPr="00564DBC">
        <w:rPr>
          <w:rFonts w:ascii="Book Antiqua" w:hAnsi="Book Antiqua"/>
          <w:sz w:val="24"/>
          <w:szCs w:val="24"/>
          <w:vertAlign w:val="superscript"/>
          <w:lang w:val="en-US" w:eastAsia="hi-IN" w:bidi="hi-IN"/>
        </w:rPr>
        <w:t>[</w:t>
      </w:r>
      <w:proofErr w:type="gramEnd"/>
      <w:r w:rsidRPr="00564DBC">
        <w:rPr>
          <w:rFonts w:ascii="Book Antiqua" w:hAnsi="Book Antiqua"/>
          <w:sz w:val="24"/>
          <w:szCs w:val="24"/>
          <w:vertAlign w:val="superscript"/>
          <w:lang w:val="en-US" w:eastAsia="hi-IN" w:bidi="hi-IN"/>
        </w:rPr>
        <w:t>2]</w:t>
      </w:r>
      <w:r w:rsidRPr="00564DBC">
        <w:rPr>
          <w:rFonts w:ascii="Book Antiqua" w:hAnsi="Book Antiqua"/>
          <w:sz w:val="24"/>
          <w:szCs w:val="24"/>
          <w:lang w:val="en-US" w:eastAsia="hi-IN" w:bidi="hi-IN"/>
        </w:rPr>
        <w:t>. To date, SPTCL remains a very rare variant of</w:t>
      </w:r>
      <w:r w:rsidRPr="00564DBC">
        <w:rPr>
          <w:rFonts w:ascii="Book Antiqua" w:hAnsi="Book Antiqua"/>
          <w:b/>
          <w:sz w:val="24"/>
          <w:szCs w:val="24"/>
          <w:lang w:val="en-US" w:eastAsia="hi-IN" w:bidi="hi-IN"/>
        </w:rPr>
        <w:t xml:space="preserve"> </w:t>
      </w:r>
      <w:r w:rsidRPr="00564DBC">
        <w:rPr>
          <w:rFonts w:ascii="Book Antiqua" w:hAnsi="Book Antiqua"/>
          <w:sz w:val="24"/>
          <w:szCs w:val="24"/>
          <w:lang w:val="en-US" w:eastAsia="hi-IN" w:bidi="hi-IN"/>
        </w:rPr>
        <w:t>non-Hodgkin’s lymphoma, and the hematologist faces several unresolved issues in the management of patients with SPTCL. The best imaging method</w:t>
      </w:r>
      <w:r w:rsidRPr="00564DBC">
        <w:rPr>
          <w:rFonts w:ascii="Book Antiqua" w:hAnsi="Book Antiqua"/>
          <w:b/>
          <w:sz w:val="24"/>
          <w:szCs w:val="24"/>
          <w:lang w:val="en-US" w:eastAsia="hi-IN" w:bidi="hi-IN"/>
        </w:rPr>
        <w:t xml:space="preserve"> </w:t>
      </w:r>
      <w:r w:rsidRPr="00564DBC">
        <w:rPr>
          <w:rFonts w:ascii="Book Antiqua" w:hAnsi="Book Antiqua"/>
          <w:sz w:val="24"/>
          <w:szCs w:val="24"/>
          <w:lang w:val="en-US" w:eastAsia="hi-IN" w:bidi="hi-IN"/>
        </w:rPr>
        <w:t>for staging of SPTCL and assessment of response to treatment in patients is controversial.</w:t>
      </w:r>
    </w:p>
    <w:p w:rsidR="006E094B" w:rsidRPr="00564DBC" w:rsidRDefault="006E094B" w:rsidP="00564DBC">
      <w:pPr>
        <w:widowControl w:val="0"/>
        <w:spacing w:after="0" w:line="360" w:lineRule="auto"/>
        <w:ind w:firstLineChars="100" w:firstLine="240"/>
        <w:jc w:val="both"/>
        <w:rPr>
          <w:rFonts w:ascii="Book Antiqua" w:hAnsi="Book Antiqua"/>
          <w:sz w:val="24"/>
          <w:szCs w:val="24"/>
          <w:lang w:val="en-US" w:eastAsia="hi-IN" w:bidi="hi-IN"/>
        </w:rPr>
      </w:pPr>
      <w:r w:rsidRPr="00564DBC">
        <w:rPr>
          <w:rFonts w:ascii="Book Antiqua" w:hAnsi="Book Antiqua"/>
          <w:sz w:val="24"/>
          <w:szCs w:val="24"/>
          <w:lang w:val="en-US" w:eastAsia="hi-IN" w:bidi="hi-IN"/>
        </w:rPr>
        <w:t>We report</w:t>
      </w:r>
      <w:r w:rsidRPr="00564DBC">
        <w:rPr>
          <w:rFonts w:ascii="Book Antiqua" w:hAnsi="Book Antiqua"/>
          <w:sz w:val="24"/>
          <w:szCs w:val="24"/>
          <w:lang w:val="en-US" w:eastAsia="ru-RU"/>
        </w:rPr>
        <w:t xml:space="preserve"> here 3 cases of</w:t>
      </w:r>
      <w:r w:rsidRPr="00564DBC">
        <w:rPr>
          <w:rFonts w:ascii="Book Antiqua" w:hAnsi="Book Antiqua"/>
          <w:sz w:val="24"/>
          <w:szCs w:val="24"/>
          <w:lang w:val="en-US" w:eastAsia="hi-IN" w:bidi="hi-IN"/>
        </w:rPr>
        <w:t xml:space="preserve"> SPTCL</w:t>
      </w:r>
      <w:r w:rsidRPr="00564DBC">
        <w:rPr>
          <w:rFonts w:ascii="Book Antiqua" w:hAnsi="Book Antiqua"/>
          <w:sz w:val="24"/>
          <w:szCs w:val="24"/>
          <w:lang w:val="en-US" w:eastAsia="ru-RU"/>
        </w:rPr>
        <w:t xml:space="preserve"> that were examined by </w:t>
      </w:r>
      <w:r w:rsidRPr="00564DBC">
        <w:rPr>
          <w:rFonts w:ascii="Book Antiqua" w:hAnsi="Book Antiqua"/>
          <w:sz w:val="24"/>
          <w:szCs w:val="24"/>
          <w:lang w:val="en-US" w:eastAsia="hi-IN" w:bidi="hi-IN"/>
        </w:rPr>
        <w:t xml:space="preserve">positron emission tomography (PET) with </w:t>
      </w:r>
      <w:r w:rsidRPr="00564DBC">
        <w:rPr>
          <w:rFonts w:ascii="Book Antiqua" w:hAnsi="Book Antiqua"/>
          <w:sz w:val="24"/>
          <w:szCs w:val="24"/>
          <w:lang w:val="en-US" w:eastAsia="ru-RU"/>
        </w:rPr>
        <w:t xml:space="preserve">fluorine-18 </w:t>
      </w:r>
      <w:proofErr w:type="spellStart"/>
      <w:r w:rsidRPr="00564DBC">
        <w:rPr>
          <w:rFonts w:ascii="Book Antiqua" w:hAnsi="Book Antiqua"/>
          <w:sz w:val="24"/>
          <w:szCs w:val="24"/>
          <w:lang w:val="en-US" w:eastAsia="hi-IN" w:bidi="hi-IN"/>
        </w:rPr>
        <w:t>fluorodeoxyglucose</w:t>
      </w:r>
      <w:proofErr w:type="spellEnd"/>
      <w:r w:rsidRPr="00564DBC">
        <w:rPr>
          <w:rFonts w:ascii="Book Antiqua" w:hAnsi="Book Antiqua"/>
          <w:sz w:val="24"/>
          <w:szCs w:val="24"/>
          <w:lang w:val="en-US" w:eastAsia="hi-IN" w:bidi="hi-IN"/>
        </w:rPr>
        <w:t xml:space="preserve"> (FDG) combined with </w:t>
      </w:r>
      <w:r w:rsidRPr="00564DBC">
        <w:rPr>
          <w:rFonts w:ascii="Book Antiqua" w:hAnsi="Book Antiqua"/>
          <w:sz w:val="24"/>
          <w:szCs w:val="24"/>
          <w:lang w:val="en-US" w:eastAsia="ru-RU"/>
        </w:rPr>
        <w:t>computed tomography (</w:t>
      </w:r>
      <w:r w:rsidRPr="00564DBC">
        <w:rPr>
          <w:rFonts w:ascii="Book Antiqua" w:hAnsi="Book Antiqua"/>
          <w:sz w:val="24"/>
          <w:szCs w:val="24"/>
          <w:lang w:val="en-US" w:eastAsia="hi-IN" w:bidi="hi-IN"/>
        </w:rPr>
        <w:t>CT)</w:t>
      </w:r>
      <w:r w:rsidRPr="00564DBC">
        <w:rPr>
          <w:rFonts w:ascii="Book Antiqua" w:hAnsi="Book Antiqua"/>
          <w:sz w:val="24"/>
          <w:szCs w:val="24"/>
          <w:lang w:val="en-US" w:eastAsia="ru-RU"/>
        </w:rPr>
        <w:t xml:space="preserve"> in order to determine their disease stage and to monitor their treatment response. </w:t>
      </w:r>
    </w:p>
    <w:p w:rsidR="006E094B" w:rsidRPr="00564DBC" w:rsidRDefault="006E094B" w:rsidP="00564DBC">
      <w:pPr>
        <w:widowControl w:val="0"/>
        <w:spacing w:after="0" w:line="360" w:lineRule="auto"/>
        <w:jc w:val="both"/>
        <w:rPr>
          <w:rFonts w:ascii="Book Antiqua" w:hAnsi="Book Antiqua"/>
          <w:b/>
          <w:sz w:val="24"/>
          <w:szCs w:val="24"/>
          <w:lang w:val="en-US" w:eastAsia="hi-IN" w:bidi="hi-IN"/>
        </w:rPr>
      </w:pPr>
    </w:p>
    <w:p w:rsidR="006E094B" w:rsidRPr="00564DBC" w:rsidRDefault="006E094B" w:rsidP="00564DBC">
      <w:pPr>
        <w:widowControl w:val="0"/>
        <w:spacing w:after="0" w:line="360" w:lineRule="auto"/>
        <w:jc w:val="both"/>
        <w:rPr>
          <w:rFonts w:ascii="Book Antiqua" w:eastAsia="Times New Roman" w:hAnsi="Book Antiqua"/>
          <w:b/>
          <w:sz w:val="24"/>
          <w:szCs w:val="24"/>
          <w:lang w:val="en-US" w:eastAsia="hi-IN" w:bidi="hi-IN"/>
        </w:rPr>
      </w:pPr>
      <w:r w:rsidRPr="00564DBC">
        <w:rPr>
          <w:rFonts w:ascii="Book Antiqua" w:hAnsi="Book Antiqua"/>
          <w:b/>
          <w:sz w:val="24"/>
          <w:szCs w:val="24"/>
          <w:lang w:val="en-US" w:eastAsia="hi-IN" w:bidi="hi-IN"/>
        </w:rPr>
        <w:t>CASE REPORT</w:t>
      </w:r>
    </w:p>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eastAsia="hi-IN" w:bidi="hi-IN"/>
        </w:rPr>
        <w:t xml:space="preserve">All 3 cases of SPTCL were diagnosed in the V.A. </w:t>
      </w:r>
      <w:proofErr w:type="spellStart"/>
      <w:r w:rsidRPr="00564DBC">
        <w:rPr>
          <w:rFonts w:ascii="Book Antiqua" w:hAnsi="Book Antiqua"/>
          <w:sz w:val="24"/>
          <w:szCs w:val="24"/>
          <w:lang w:val="en-US" w:eastAsia="hi-IN" w:bidi="hi-IN"/>
        </w:rPr>
        <w:t>Nasonova</w:t>
      </w:r>
      <w:proofErr w:type="spellEnd"/>
      <w:r w:rsidRPr="00564DBC">
        <w:rPr>
          <w:rFonts w:ascii="Book Antiqua" w:hAnsi="Book Antiqua"/>
          <w:sz w:val="24"/>
          <w:szCs w:val="24"/>
          <w:lang w:val="en-US" w:eastAsia="hi-IN" w:bidi="hi-IN"/>
        </w:rPr>
        <w:t xml:space="preserve"> Research Institute of Rheumatology (Moscow, Russia). On admission to the Institute, each patient underwent laboratory testing for complete blood count, urinalysis, blood chemistry and immunological analysis, the latter of which included measurement of antinuclear antibodies by indirect immunofluorescence test and of antibody titer for double-stranded DNA, Sm, anti-Ro and anti-La. In addition, histological and cytological examination of the bone marrow was performed. Formalin-fixed and paraffin-embedded skin biopsy specimens were also reviewed by 2 pathologists working independently (</w:t>
      </w:r>
      <w:r w:rsidR="0068294E" w:rsidRPr="00564DBC">
        <w:rPr>
          <w:rFonts w:ascii="Book Antiqua" w:eastAsia="Times New Roman" w:hAnsi="Book Antiqua"/>
          <w:sz w:val="24"/>
          <w:szCs w:val="24"/>
          <w:lang w:val="en-US" w:eastAsia="hi-IN" w:bidi="hi-IN"/>
        </w:rPr>
        <w:t xml:space="preserve">Wolfram </w:t>
      </w:r>
      <w:proofErr w:type="spellStart"/>
      <w:r w:rsidR="0068294E" w:rsidRPr="00564DBC">
        <w:rPr>
          <w:rFonts w:ascii="Book Antiqua" w:eastAsia="Times New Roman" w:hAnsi="Book Antiqua"/>
          <w:sz w:val="24"/>
          <w:szCs w:val="24"/>
          <w:lang w:val="en-US" w:eastAsia="hi-IN" w:bidi="hi-IN"/>
        </w:rPr>
        <w:t>Klapper</w:t>
      </w:r>
      <w:proofErr w:type="spellEnd"/>
      <w:r w:rsidR="0068294E" w:rsidRPr="00564DBC">
        <w:rPr>
          <w:rFonts w:ascii="Book Antiqua" w:hAnsi="Book Antiqua" w:hint="eastAsia"/>
          <w:sz w:val="24"/>
          <w:szCs w:val="24"/>
          <w:lang w:val="en-US" w:eastAsia="zh-CN" w:bidi="hi-IN"/>
        </w:rPr>
        <w:t xml:space="preserve"> and</w:t>
      </w:r>
      <w:r w:rsidR="0068294E" w:rsidRPr="00564DBC">
        <w:rPr>
          <w:rFonts w:ascii="Book Antiqua" w:eastAsia="Times New Roman" w:hAnsi="Book Antiqua"/>
          <w:sz w:val="24"/>
          <w:szCs w:val="24"/>
          <w:vertAlign w:val="superscript"/>
          <w:lang w:val="en-US" w:eastAsia="hi-IN" w:bidi="hi-IN"/>
        </w:rPr>
        <w:t xml:space="preserve"> </w:t>
      </w:r>
      <w:r w:rsidR="0068294E" w:rsidRPr="00564DBC">
        <w:rPr>
          <w:rFonts w:ascii="Book Antiqua" w:eastAsia="Times New Roman" w:hAnsi="Book Antiqua"/>
          <w:bCs/>
          <w:sz w:val="24"/>
          <w:szCs w:val="24"/>
          <w:lang w:val="en-US" w:eastAsia="hi-IN" w:bidi="hi-IN"/>
        </w:rPr>
        <w:t xml:space="preserve">Natalya A </w:t>
      </w:r>
      <w:proofErr w:type="spellStart"/>
      <w:r w:rsidR="0068294E" w:rsidRPr="00564DBC">
        <w:rPr>
          <w:rFonts w:ascii="Book Antiqua" w:eastAsia="Times New Roman" w:hAnsi="Book Antiqua"/>
          <w:bCs/>
          <w:sz w:val="24"/>
          <w:szCs w:val="24"/>
          <w:lang w:val="en-US" w:eastAsia="hi-IN" w:bidi="hi-IN"/>
        </w:rPr>
        <w:t>Probatova</w:t>
      </w:r>
      <w:proofErr w:type="spellEnd"/>
      <w:r w:rsidRPr="00564DBC">
        <w:rPr>
          <w:rFonts w:ascii="Book Antiqua" w:hAnsi="Book Antiqua"/>
          <w:sz w:val="24"/>
          <w:szCs w:val="24"/>
          <w:lang w:val="en-US" w:eastAsia="hi-IN" w:bidi="hi-IN"/>
        </w:rPr>
        <w:t xml:space="preserve">), which was followed by </w:t>
      </w:r>
      <w:proofErr w:type="spellStart"/>
      <w:r w:rsidRPr="00564DBC">
        <w:rPr>
          <w:rFonts w:ascii="Book Antiqua" w:hAnsi="Book Antiqua"/>
          <w:sz w:val="24"/>
          <w:szCs w:val="24"/>
          <w:lang w:val="en-US" w:eastAsia="hi-IN" w:bidi="hi-IN"/>
        </w:rPr>
        <w:t>immunohistochemical</w:t>
      </w:r>
      <w:proofErr w:type="spellEnd"/>
      <w:r w:rsidRPr="00564DBC">
        <w:rPr>
          <w:rFonts w:ascii="Book Antiqua" w:hAnsi="Book Antiqua"/>
          <w:sz w:val="24"/>
          <w:szCs w:val="24"/>
          <w:lang w:val="en-US" w:eastAsia="hi-IN" w:bidi="hi-IN"/>
        </w:rPr>
        <w:t xml:space="preserve"> staining and molecular analyses. The </w:t>
      </w:r>
      <w:proofErr w:type="spellStart"/>
      <w:r w:rsidRPr="00564DBC">
        <w:rPr>
          <w:rFonts w:ascii="Book Antiqua" w:hAnsi="Book Antiqua"/>
          <w:sz w:val="24"/>
          <w:szCs w:val="24"/>
          <w:lang w:val="en-US" w:eastAsia="hi-IN" w:bidi="hi-IN"/>
        </w:rPr>
        <w:t>immunohistochemical</w:t>
      </w:r>
      <w:proofErr w:type="spellEnd"/>
      <w:r w:rsidRPr="00564DBC">
        <w:rPr>
          <w:rFonts w:ascii="Book Antiqua" w:hAnsi="Book Antiqua"/>
          <w:sz w:val="24"/>
          <w:szCs w:val="24"/>
          <w:lang w:val="en-US" w:eastAsia="hi-IN" w:bidi="hi-IN"/>
        </w:rPr>
        <w:t xml:space="preserve"> study of paraffin-embedded sections was performed using a wide panel of antibodies, including CD2, CD3, CD4, CD5, CD7, CD8, </w:t>
      </w:r>
      <w:r w:rsidRPr="00564DBC">
        <w:rPr>
          <w:rFonts w:ascii="Book Antiqua" w:hAnsi="Book Antiqua"/>
          <w:sz w:val="24"/>
          <w:szCs w:val="24"/>
          <w:lang w:val="en-US" w:eastAsia="hi-IN" w:bidi="hi-IN"/>
        </w:rPr>
        <w:lastRenderedPageBreak/>
        <w:t xml:space="preserve">CD10, CD20, CD56, CD68, CD138, VS38c, Ki67 (proliferation marker, expressed as %), </w:t>
      </w:r>
      <w:proofErr w:type="spellStart"/>
      <w:r w:rsidRPr="00564DBC">
        <w:rPr>
          <w:rFonts w:ascii="Book Antiqua" w:hAnsi="Book Antiqua"/>
          <w:sz w:val="24"/>
          <w:szCs w:val="24"/>
          <w:lang w:val="en-US" w:eastAsia="hi-IN" w:bidi="hi-IN"/>
        </w:rPr>
        <w:t>granzyme</w:t>
      </w:r>
      <w:proofErr w:type="spellEnd"/>
      <w:r w:rsidRPr="00564DBC">
        <w:rPr>
          <w:rFonts w:ascii="Book Antiqua" w:hAnsi="Book Antiqua"/>
          <w:sz w:val="24"/>
          <w:szCs w:val="24"/>
          <w:lang w:val="en-US" w:eastAsia="hi-IN" w:bidi="hi-IN"/>
        </w:rPr>
        <w:t xml:space="preserve"> B, TIA1, perforin, </w:t>
      </w:r>
      <w:r w:rsidRPr="00564DBC">
        <w:rPr>
          <w:rFonts w:ascii="Book Antiqua" w:hAnsi="Book Antiqua"/>
          <w:sz w:val="24"/>
          <w:szCs w:val="24"/>
          <w:lang w:val="en-US" w:eastAsia="hi-IN" w:bidi="hi-IN"/>
        </w:rPr>
        <w:t xml:space="preserve">F1 and </w:t>
      </w:r>
      <w:proofErr w:type="spellStart"/>
      <w:r w:rsidRPr="00564DBC">
        <w:rPr>
          <w:rFonts w:ascii="Book Antiqua" w:hAnsi="Book Antiqua"/>
          <w:sz w:val="24"/>
          <w:szCs w:val="24"/>
          <w:lang w:val="en-US" w:eastAsia="hi-IN" w:bidi="hi-IN"/>
        </w:rPr>
        <w:t>TdT</w:t>
      </w:r>
      <w:proofErr w:type="spellEnd"/>
      <w:r w:rsidRPr="00564DBC">
        <w:rPr>
          <w:rFonts w:ascii="Book Antiqua" w:hAnsi="Book Antiqua"/>
          <w:sz w:val="24"/>
          <w:szCs w:val="24"/>
          <w:lang w:val="en-US" w:eastAsia="hi-IN" w:bidi="hi-IN"/>
        </w:rPr>
        <w:t xml:space="preserve">. The T cell receptor (TCR) C gamma M1-antibody (gamma 3.20; Pierce Biotechnology, Rockford, IL, United States) was used for staining of </w:t>
      </w:r>
      <w:proofErr w:type="spellStart"/>
      <w:r w:rsidRPr="00564DBC">
        <w:rPr>
          <w:rFonts w:ascii="Book Antiqua" w:hAnsi="Book Antiqua"/>
          <w:sz w:val="24"/>
          <w:szCs w:val="24"/>
          <w:lang w:val="en-US" w:eastAsia="hi-IN" w:bidi="hi-IN"/>
        </w:rPr>
        <w:t>TCR</w:t>
      </w:r>
      <w:r w:rsidR="0068294E" w:rsidRPr="00564DBC">
        <w:rPr>
          <w:rFonts w:ascii="Book Antiqua" w:hAnsi="Book Antiqua"/>
          <w:sz w:val="24"/>
          <w:szCs w:val="24"/>
          <w:lang w:val="en-US" w:eastAsia="hi-IN" w:bidi="hi-IN"/>
        </w:rPr>
        <w:t>γ</w:t>
      </w:r>
      <w:proofErr w:type="spellEnd"/>
      <w:r w:rsidRPr="00564DBC">
        <w:rPr>
          <w:rFonts w:ascii="Book Antiqua" w:hAnsi="Book Antiqua"/>
          <w:sz w:val="24"/>
          <w:szCs w:val="24"/>
          <w:lang w:val="en-US" w:eastAsia="hi-IN" w:bidi="hi-IN"/>
        </w:rPr>
        <w:t>.</w:t>
      </w:r>
    </w:p>
    <w:p w:rsidR="006E094B" w:rsidRPr="00564DBC" w:rsidRDefault="006E094B" w:rsidP="00564DBC">
      <w:pPr>
        <w:widowControl w:val="0"/>
        <w:spacing w:after="0" w:line="360" w:lineRule="auto"/>
        <w:ind w:firstLineChars="100" w:firstLine="240"/>
        <w:jc w:val="both"/>
        <w:rPr>
          <w:rFonts w:ascii="Book Antiqua" w:eastAsia="Times New Roman" w:hAnsi="Book Antiqua"/>
          <w:sz w:val="24"/>
          <w:szCs w:val="24"/>
          <w:lang w:val="en-US" w:eastAsia="hi-IN" w:bidi="hi-IN"/>
        </w:rPr>
      </w:pPr>
      <w:r w:rsidRPr="00564DBC">
        <w:rPr>
          <w:rFonts w:ascii="Book Antiqua" w:hAnsi="Book Antiqua"/>
          <w:sz w:val="24"/>
          <w:szCs w:val="24"/>
          <w:lang w:val="en-US" w:eastAsia="hi-IN" w:bidi="hi-IN"/>
        </w:rPr>
        <w:t xml:space="preserve">Determination of T cell </w:t>
      </w:r>
      <w:proofErr w:type="spellStart"/>
      <w:r w:rsidRPr="00564DBC">
        <w:rPr>
          <w:rFonts w:ascii="Book Antiqua" w:hAnsi="Book Antiqua"/>
          <w:sz w:val="24"/>
          <w:szCs w:val="24"/>
          <w:lang w:val="en-US" w:eastAsia="hi-IN" w:bidi="hi-IN"/>
        </w:rPr>
        <w:t>clonality</w:t>
      </w:r>
      <w:proofErr w:type="spellEnd"/>
      <w:r w:rsidRPr="00564DBC">
        <w:rPr>
          <w:rFonts w:ascii="Book Antiqua" w:hAnsi="Book Antiqua"/>
          <w:sz w:val="24"/>
          <w:szCs w:val="24"/>
          <w:lang w:val="en-US" w:eastAsia="hi-IN" w:bidi="hi-IN"/>
        </w:rPr>
        <w:t xml:space="preserve"> by investigating rearrangements of the genes encoding the gamma, beta and delta chains of TCRs was carried out on paraffin-embedded tissue blocks using the polymerase chain reaction (PCR) followed by fragment analysis as described previously</w:t>
      </w:r>
      <w:r w:rsidR="0068294E" w:rsidRPr="00564DBC">
        <w:rPr>
          <w:rFonts w:ascii="Book Antiqua" w:hAnsi="Book Antiqua"/>
          <w:sz w:val="24"/>
          <w:szCs w:val="24"/>
          <w:vertAlign w:val="superscript"/>
          <w:lang w:val="en-US" w:eastAsia="hi-IN" w:bidi="hi-IN"/>
        </w:rPr>
        <w:t>[6,</w:t>
      </w:r>
      <w:r w:rsidRPr="00564DBC">
        <w:rPr>
          <w:rFonts w:ascii="Book Antiqua" w:hAnsi="Book Antiqua"/>
          <w:sz w:val="24"/>
          <w:szCs w:val="24"/>
          <w:vertAlign w:val="superscript"/>
          <w:lang w:val="en-US" w:eastAsia="hi-IN" w:bidi="hi-IN"/>
        </w:rPr>
        <w:t>7]</w:t>
      </w:r>
      <w:r w:rsidRPr="00564DBC">
        <w:rPr>
          <w:rFonts w:ascii="Book Antiqua" w:hAnsi="Book Antiqua"/>
          <w:sz w:val="24"/>
          <w:szCs w:val="24"/>
          <w:lang w:val="en-US" w:eastAsia="hi-IN" w:bidi="hi-IN"/>
        </w:rPr>
        <w:t>.</w:t>
      </w:r>
    </w:p>
    <w:p w:rsidR="006E094B" w:rsidRPr="00564DBC" w:rsidRDefault="006E094B" w:rsidP="00564DBC">
      <w:pPr>
        <w:widowControl w:val="0"/>
        <w:spacing w:after="0" w:line="360" w:lineRule="auto"/>
        <w:ind w:firstLineChars="100" w:firstLine="240"/>
        <w:jc w:val="both"/>
        <w:rPr>
          <w:rFonts w:ascii="Book Antiqua" w:eastAsia="Times New Roman" w:hAnsi="Book Antiqua"/>
          <w:sz w:val="24"/>
          <w:szCs w:val="24"/>
          <w:lang w:val="en-US" w:eastAsia="hi-IN" w:bidi="hi-IN"/>
        </w:rPr>
      </w:pPr>
      <w:r w:rsidRPr="00564DBC">
        <w:rPr>
          <w:rFonts w:ascii="Book Antiqua" w:hAnsi="Book Antiqua"/>
          <w:sz w:val="24"/>
          <w:szCs w:val="24"/>
          <w:lang w:val="en-US" w:eastAsia="hi-IN" w:bidi="hi-IN"/>
        </w:rPr>
        <w:t xml:space="preserve">All patients underwent whole-body FDG PET/CT, with calculation of the maximum standardized FDG accumulation in pathological foci (standard uptake value, </w:t>
      </w:r>
      <w:proofErr w:type="spellStart"/>
      <w:r w:rsidRPr="00564DBC">
        <w:rPr>
          <w:rFonts w:ascii="Book Antiqua" w:hAnsi="Book Antiqua"/>
          <w:sz w:val="24"/>
          <w:szCs w:val="24"/>
          <w:lang w:val="en-US" w:eastAsia="hi-IN" w:bidi="hi-IN"/>
        </w:rPr>
        <w:t>SUVmax</w:t>
      </w:r>
      <w:proofErr w:type="spellEnd"/>
      <w:r w:rsidRPr="00564DBC">
        <w:rPr>
          <w:rFonts w:ascii="Book Antiqua" w:hAnsi="Book Antiqua"/>
          <w:sz w:val="24"/>
          <w:szCs w:val="24"/>
          <w:lang w:val="en-US" w:eastAsia="hi-IN" w:bidi="hi-IN"/>
        </w:rPr>
        <w:t xml:space="preserve">). FDG PET/CT studies were performed before treatment, during the treatment, and 1 </w:t>
      </w:r>
      <w:proofErr w:type="spellStart"/>
      <w:r w:rsidRPr="00564DBC">
        <w:rPr>
          <w:rFonts w:ascii="Book Antiqua" w:hAnsi="Book Antiqua"/>
          <w:sz w:val="24"/>
          <w:szCs w:val="24"/>
          <w:lang w:val="en-US" w:eastAsia="hi-IN" w:bidi="hi-IN"/>
        </w:rPr>
        <w:t>mo</w:t>
      </w:r>
      <w:proofErr w:type="spellEnd"/>
      <w:r w:rsidRPr="00564DBC">
        <w:rPr>
          <w:rFonts w:ascii="Book Antiqua" w:hAnsi="Book Antiqua"/>
          <w:sz w:val="24"/>
          <w:szCs w:val="24"/>
          <w:lang w:val="en-US" w:eastAsia="hi-IN" w:bidi="hi-IN"/>
        </w:rPr>
        <w:t xml:space="preserve"> after completion of chemotherapy.</w:t>
      </w:r>
    </w:p>
    <w:p w:rsidR="006E094B" w:rsidRPr="00564DBC" w:rsidRDefault="006E094B" w:rsidP="00564DBC">
      <w:pPr>
        <w:widowControl w:val="0"/>
        <w:spacing w:after="0" w:line="360" w:lineRule="auto"/>
        <w:ind w:firstLineChars="100" w:firstLine="240"/>
        <w:jc w:val="both"/>
        <w:rPr>
          <w:rFonts w:ascii="Book Antiqua" w:hAnsi="Book Antiqua"/>
          <w:sz w:val="24"/>
          <w:szCs w:val="24"/>
          <w:lang w:val="en-US" w:eastAsia="hi-IN" w:bidi="hi-IN"/>
        </w:rPr>
      </w:pPr>
      <w:r w:rsidRPr="00564DBC">
        <w:rPr>
          <w:rFonts w:ascii="Book Antiqua" w:hAnsi="Book Antiqua"/>
          <w:sz w:val="24"/>
          <w:szCs w:val="24"/>
          <w:lang w:val="en-US" w:eastAsia="hi-IN" w:bidi="hi-IN"/>
        </w:rPr>
        <w:t>The complete resolution of FDG uptake at sites of initial disease and the absence of new uptake areas were considered to indicate complete metabolic response (CMR), and were treated as a complete remission of lymphoma regardless of presence of nodules in the subcutaneous tissue found upon physical examination or of residual tumor signs found on CT.</w:t>
      </w:r>
    </w:p>
    <w:p w:rsidR="006E094B" w:rsidRPr="00564DBC" w:rsidRDefault="006E094B" w:rsidP="00564DBC">
      <w:pPr>
        <w:widowControl w:val="0"/>
        <w:spacing w:after="0" w:line="360" w:lineRule="auto"/>
        <w:jc w:val="both"/>
        <w:rPr>
          <w:rFonts w:ascii="Book Antiqua" w:hAnsi="Book Antiqua"/>
          <w:bCs/>
          <w:i/>
          <w:iCs/>
          <w:sz w:val="24"/>
          <w:szCs w:val="24"/>
          <w:lang w:val="en-US" w:eastAsia="hi-IN" w:bidi="hi-IN"/>
        </w:rPr>
      </w:pPr>
    </w:p>
    <w:p w:rsidR="006E094B" w:rsidRPr="00564DBC" w:rsidRDefault="006E094B" w:rsidP="00564DBC">
      <w:pPr>
        <w:widowControl w:val="0"/>
        <w:spacing w:after="0" w:line="360" w:lineRule="auto"/>
        <w:jc w:val="both"/>
        <w:rPr>
          <w:rFonts w:ascii="Book Antiqua" w:eastAsia="Times New Roman" w:hAnsi="Book Antiqua"/>
          <w:b/>
          <w:bCs/>
          <w:i/>
          <w:iCs/>
          <w:sz w:val="24"/>
          <w:szCs w:val="24"/>
          <w:lang w:val="en-US" w:eastAsia="hi-IN" w:bidi="hi-IN"/>
        </w:rPr>
      </w:pPr>
      <w:r w:rsidRPr="00564DBC">
        <w:rPr>
          <w:rFonts w:ascii="Book Antiqua" w:hAnsi="Book Antiqua"/>
          <w:b/>
          <w:bCs/>
          <w:i/>
          <w:iCs/>
          <w:sz w:val="24"/>
          <w:szCs w:val="24"/>
          <w:lang w:val="en-US" w:eastAsia="hi-IN" w:bidi="hi-IN"/>
        </w:rPr>
        <w:t xml:space="preserve">Histological, </w:t>
      </w:r>
      <w:proofErr w:type="spellStart"/>
      <w:r w:rsidRPr="00564DBC">
        <w:rPr>
          <w:rFonts w:ascii="Book Antiqua" w:hAnsi="Book Antiqua"/>
          <w:b/>
          <w:bCs/>
          <w:i/>
          <w:iCs/>
          <w:sz w:val="24"/>
          <w:szCs w:val="24"/>
          <w:lang w:val="en-US" w:eastAsia="hi-IN" w:bidi="hi-IN"/>
        </w:rPr>
        <w:t>immunohistochemical</w:t>
      </w:r>
      <w:proofErr w:type="spellEnd"/>
      <w:r w:rsidRPr="00564DBC">
        <w:rPr>
          <w:rFonts w:ascii="Book Antiqua" w:hAnsi="Book Antiqua"/>
          <w:b/>
          <w:bCs/>
          <w:i/>
          <w:iCs/>
          <w:sz w:val="24"/>
          <w:szCs w:val="24"/>
          <w:lang w:val="en-US" w:eastAsia="hi-IN" w:bidi="hi-IN"/>
        </w:rPr>
        <w:t xml:space="preserve"> and molecular features</w:t>
      </w:r>
    </w:p>
    <w:p w:rsidR="0068294E" w:rsidRPr="00564DBC" w:rsidRDefault="006E094B" w:rsidP="00564DBC">
      <w:pPr>
        <w:widowControl w:val="0"/>
        <w:spacing w:after="0" w:line="360" w:lineRule="auto"/>
        <w:jc w:val="both"/>
        <w:rPr>
          <w:rFonts w:ascii="Book Antiqua" w:hAnsi="Book Antiqua"/>
          <w:sz w:val="24"/>
          <w:szCs w:val="24"/>
          <w:lang w:val="en-US" w:eastAsia="zh-CN" w:bidi="hi-IN"/>
        </w:rPr>
      </w:pPr>
      <w:r w:rsidRPr="00564DBC">
        <w:rPr>
          <w:rFonts w:ascii="Book Antiqua" w:hAnsi="Book Antiqua"/>
          <w:sz w:val="24"/>
          <w:szCs w:val="24"/>
          <w:lang w:val="en-US" w:eastAsia="hi-IN" w:bidi="hi-IN"/>
        </w:rPr>
        <w:t>All 3 cases showed the characteristic panniculitis-like infiltration with obvious rimming of subcutaneous fat cells. The observed atypical CD8-positive lymphoma cells were small and medium-sized. Tumor infiltration did not affect the dermis and epidermis. The lymphoma cells were positive for TCR</w:t>
      </w:r>
      <w:r w:rsidR="0068294E" w:rsidRPr="00564DBC">
        <w:rPr>
          <w:rFonts w:ascii="Book Antiqua" w:hAnsi="Book Antiqua"/>
          <w:sz w:val="24"/>
          <w:szCs w:val="24"/>
          <w:lang w:val="en-US" w:eastAsia="hi-IN" w:bidi="hi-IN"/>
        </w:rPr>
        <w:t>β</w:t>
      </w:r>
      <w:r w:rsidRPr="00564DBC">
        <w:rPr>
          <w:rFonts w:ascii="Book Antiqua" w:hAnsi="Book Antiqua"/>
          <w:sz w:val="24"/>
          <w:szCs w:val="24"/>
          <w:lang w:val="en-US" w:eastAsia="hi-IN" w:bidi="hi-IN"/>
        </w:rPr>
        <w:t xml:space="preserve">, CD3 and CD8, and expressed the cytotoxic markers TIA1, </w:t>
      </w:r>
      <w:proofErr w:type="spellStart"/>
      <w:r w:rsidRPr="00564DBC">
        <w:rPr>
          <w:rFonts w:ascii="Book Antiqua" w:hAnsi="Book Antiqua"/>
          <w:sz w:val="24"/>
          <w:szCs w:val="24"/>
          <w:lang w:val="en-US" w:eastAsia="hi-IN" w:bidi="hi-IN"/>
        </w:rPr>
        <w:t>granzyme</w:t>
      </w:r>
      <w:proofErr w:type="spellEnd"/>
      <w:r w:rsidRPr="00564DBC">
        <w:rPr>
          <w:rFonts w:ascii="Book Antiqua" w:hAnsi="Book Antiqua"/>
          <w:sz w:val="24"/>
          <w:szCs w:val="24"/>
          <w:lang w:val="en-US" w:eastAsia="hi-IN" w:bidi="hi-IN"/>
        </w:rPr>
        <w:t xml:space="preserve"> B and perforin. Proliferation rate of the neoplastic T cells was 50%-70% (as indicated by Ki-67) for all 3 cases. T cell </w:t>
      </w:r>
      <w:bookmarkStart w:id="4" w:name="_GoBack"/>
      <w:proofErr w:type="spellStart"/>
      <w:r w:rsidRPr="00564DBC">
        <w:rPr>
          <w:rFonts w:ascii="Book Antiqua" w:hAnsi="Book Antiqua"/>
          <w:sz w:val="24"/>
          <w:szCs w:val="24"/>
          <w:lang w:val="en-US" w:eastAsia="hi-IN" w:bidi="hi-IN"/>
        </w:rPr>
        <w:t>clonality</w:t>
      </w:r>
      <w:proofErr w:type="spellEnd"/>
      <w:r w:rsidRPr="00564DBC">
        <w:rPr>
          <w:rFonts w:ascii="Book Antiqua" w:hAnsi="Book Antiqua"/>
          <w:sz w:val="24"/>
          <w:szCs w:val="24"/>
          <w:lang w:val="en-US" w:eastAsia="hi-IN" w:bidi="hi-IN"/>
        </w:rPr>
        <w:t xml:space="preserve"> </w:t>
      </w:r>
      <w:bookmarkEnd w:id="4"/>
      <w:r w:rsidRPr="00564DBC">
        <w:rPr>
          <w:rFonts w:ascii="Book Antiqua" w:hAnsi="Book Antiqua"/>
          <w:sz w:val="24"/>
          <w:szCs w:val="24"/>
          <w:lang w:val="en-US" w:eastAsia="hi-IN" w:bidi="hi-IN"/>
        </w:rPr>
        <w:t>was confirmed in case 1, which showed incomplete (D</w:t>
      </w:r>
      <w:r w:rsidR="0068294E" w:rsidRPr="00564DBC">
        <w:rPr>
          <w:rFonts w:ascii="Book Antiqua" w:hAnsi="Book Antiqua"/>
          <w:sz w:val="24"/>
          <w:szCs w:val="24"/>
          <w:lang w:val="en-US" w:eastAsia="hi-IN" w:bidi="hi-IN"/>
        </w:rPr>
        <w:t>β</w:t>
      </w:r>
      <w:r w:rsidRPr="00564DBC">
        <w:rPr>
          <w:rFonts w:ascii="Book Antiqua" w:hAnsi="Book Antiqua"/>
          <w:sz w:val="24"/>
          <w:szCs w:val="24"/>
          <w:lang w:val="en-US" w:eastAsia="hi-IN" w:bidi="hi-IN"/>
        </w:rPr>
        <w:t>-J</w:t>
      </w:r>
      <w:r w:rsidR="0068294E" w:rsidRPr="00564DBC">
        <w:rPr>
          <w:rFonts w:ascii="Book Antiqua" w:hAnsi="Book Antiqua"/>
          <w:sz w:val="24"/>
          <w:szCs w:val="24"/>
          <w:lang w:val="en-US" w:eastAsia="hi-IN" w:bidi="hi-IN"/>
        </w:rPr>
        <w:t>β</w:t>
      </w:r>
      <w:r w:rsidRPr="00564DBC">
        <w:rPr>
          <w:rFonts w:ascii="Book Antiqua" w:hAnsi="Book Antiqua"/>
          <w:sz w:val="24"/>
          <w:szCs w:val="24"/>
          <w:lang w:val="en-US" w:eastAsia="hi-IN" w:bidi="hi-IN"/>
        </w:rPr>
        <w:t>) clonal rearrangement of the TCR</w:t>
      </w:r>
      <w:r w:rsidR="0068294E" w:rsidRPr="00564DBC">
        <w:rPr>
          <w:rFonts w:ascii="Book Antiqua" w:hAnsi="Book Antiqua" w:hint="eastAsia"/>
          <w:sz w:val="24"/>
          <w:szCs w:val="24"/>
          <w:lang w:val="en-US" w:eastAsia="zh-CN" w:bidi="hi-IN"/>
        </w:rPr>
        <w:t xml:space="preserve"> </w:t>
      </w:r>
      <w:r w:rsidR="0068294E" w:rsidRPr="00564DBC">
        <w:rPr>
          <w:rFonts w:ascii="Book Antiqua" w:hAnsi="Book Antiqua"/>
          <w:sz w:val="24"/>
          <w:szCs w:val="24"/>
          <w:lang w:val="en-US" w:eastAsia="hi-IN" w:bidi="hi-IN"/>
        </w:rPr>
        <w:t>β</w:t>
      </w:r>
      <w:r w:rsidRPr="00564DBC">
        <w:rPr>
          <w:rFonts w:ascii="Book Antiqua" w:hAnsi="Book Antiqua"/>
          <w:sz w:val="24"/>
          <w:szCs w:val="24"/>
          <w:lang w:val="en-US" w:eastAsia="hi-IN" w:bidi="hi-IN"/>
        </w:rPr>
        <w:t xml:space="preserve"> chain, and case 3, which showed complete clonal rearrangement of the TCR </w:t>
      </w:r>
      <w:r w:rsidR="0068294E" w:rsidRPr="00564DBC">
        <w:rPr>
          <w:rFonts w:ascii="Book Antiqua" w:hAnsi="Book Antiqua"/>
          <w:sz w:val="24"/>
          <w:szCs w:val="24"/>
          <w:lang w:val="en-US" w:eastAsia="hi-IN" w:bidi="hi-IN"/>
        </w:rPr>
        <w:t>β</w:t>
      </w:r>
      <w:r w:rsidRPr="00564DBC">
        <w:rPr>
          <w:rFonts w:ascii="Book Antiqua" w:hAnsi="Book Antiqua"/>
          <w:sz w:val="24"/>
          <w:szCs w:val="24"/>
          <w:lang w:val="en-US" w:eastAsia="hi-IN" w:bidi="hi-IN"/>
        </w:rPr>
        <w:t xml:space="preserve"> and </w:t>
      </w:r>
      <w:r w:rsidR="0068294E" w:rsidRPr="00564DBC">
        <w:rPr>
          <w:rFonts w:ascii="Book Antiqua" w:hAnsi="Book Antiqua"/>
          <w:sz w:val="24"/>
          <w:szCs w:val="24"/>
          <w:lang w:val="en-US" w:eastAsia="hi-IN" w:bidi="hi-IN"/>
        </w:rPr>
        <w:t>γ</w:t>
      </w:r>
      <w:r w:rsidRPr="00564DBC">
        <w:rPr>
          <w:rFonts w:ascii="Book Antiqua" w:hAnsi="Book Antiqua"/>
          <w:sz w:val="24"/>
          <w:szCs w:val="24"/>
          <w:lang w:val="en-US" w:eastAsia="hi-IN" w:bidi="hi-IN"/>
        </w:rPr>
        <w:t xml:space="preserve"> chains.</w:t>
      </w:r>
    </w:p>
    <w:p w:rsidR="0068294E" w:rsidRPr="00564DBC" w:rsidRDefault="0068294E" w:rsidP="00564DBC">
      <w:pPr>
        <w:widowControl w:val="0"/>
        <w:spacing w:after="0" w:line="360" w:lineRule="auto"/>
        <w:jc w:val="both"/>
        <w:rPr>
          <w:rFonts w:ascii="Book Antiqua" w:hAnsi="Book Antiqua"/>
          <w:sz w:val="24"/>
          <w:szCs w:val="24"/>
          <w:lang w:val="en-US" w:eastAsia="zh-CN" w:bidi="hi-IN"/>
        </w:rPr>
      </w:pPr>
    </w:p>
    <w:p w:rsidR="006E094B" w:rsidRPr="00564DBC" w:rsidRDefault="006E094B" w:rsidP="00564DBC">
      <w:pPr>
        <w:widowControl w:val="0"/>
        <w:spacing w:after="0" w:line="360" w:lineRule="auto"/>
        <w:jc w:val="both"/>
        <w:rPr>
          <w:rFonts w:ascii="Book Antiqua" w:hAnsi="Book Antiqua"/>
          <w:sz w:val="24"/>
          <w:szCs w:val="24"/>
          <w:lang w:val="en-US" w:eastAsia="zh-CN" w:bidi="hi-IN"/>
        </w:rPr>
      </w:pPr>
      <w:r w:rsidRPr="00564DBC">
        <w:rPr>
          <w:rFonts w:ascii="Book Antiqua" w:hAnsi="Book Antiqua"/>
          <w:b/>
          <w:bCs/>
          <w:i/>
          <w:iCs/>
          <w:sz w:val="24"/>
          <w:szCs w:val="24"/>
          <w:lang w:val="en-US" w:eastAsia="hi-IN" w:bidi="hi-IN"/>
        </w:rPr>
        <w:t>Clinical features and results of FDG PET/CT</w:t>
      </w:r>
    </w:p>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eastAsia="hi-IN" w:bidi="hi-IN"/>
        </w:rPr>
        <w:lastRenderedPageBreak/>
        <w:t>Table 1 shows the clinical features of the 3 patients (2 females and 1 male). Two patients had autoimmune disorders, with case 2 showing IgG antibodies to erythrocytes and case 3 showing autoimmune thyroiditis and 2-fold increase of antibody titer to the La/SS-B. None of the patients showed evidence of lupus erythematosus. All 3 patients suffered from multifocal disease with red to purple, non-ulcerated, sometimes painful nodules or plaques involving the face, trunk and extremities. All 3 patients also had B-symptoms and elevated lactate dehydrogenase (LDH) level.</w:t>
      </w:r>
    </w:p>
    <w:p w:rsidR="006E094B" w:rsidRPr="00564DBC" w:rsidRDefault="006E094B" w:rsidP="00564DBC">
      <w:pPr>
        <w:widowControl w:val="0"/>
        <w:spacing w:after="0" w:line="360" w:lineRule="auto"/>
        <w:ind w:firstLineChars="100" w:firstLine="240"/>
        <w:jc w:val="both"/>
        <w:rPr>
          <w:rFonts w:ascii="Book Antiqua" w:hAnsi="Book Antiqua"/>
          <w:sz w:val="24"/>
          <w:szCs w:val="24"/>
          <w:lang w:val="en-US" w:eastAsia="hi-IN" w:bidi="hi-IN"/>
        </w:rPr>
      </w:pPr>
      <w:r w:rsidRPr="00564DBC">
        <w:rPr>
          <w:rFonts w:ascii="Book Antiqua" w:hAnsi="Book Antiqua"/>
          <w:sz w:val="24"/>
          <w:szCs w:val="24"/>
          <w:lang w:val="en-US" w:eastAsia="hi-IN" w:bidi="hi-IN"/>
        </w:rPr>
        <w:t xml:space="preserve">Figures 1-3 show results of the PET/CT primary staging and monitoring of treatment response in the 3 patients, respectively. Primary staging by PET/CT showed multiple foci of increased uptake in the subcutaneous fat of all patients, with the </w:t>
      </w:r>
      <w:proofErr w:type="spellStart"/>
      <w:r w:rsidRPr="00564DBC">
        <w:rPr>
          <w:rFonts w:ascii="Book Antiqua" w:hAnsi="Book Antiqua"/>
          <w:sz w:val="24"/>
          <w:szCs w:val="24"/>
          <w:lang w:val="en-US" w:eastAsia="hi-IN" w:bidi="hi-IN"/>
        </w:rPr>
        <w:t>SUVmax</w:t>
      </w:r>
      <w:proofErr w:type="spellEnd"/>
      <w:r w:rsidRPr="00564DBC">
        <w:rPr>
          <w:rFonts w:ascii="Book Antiqua" w:hAnsi="Book Antiqua"/>
          <w:sz w:val="24"/>
          <w:szCs w:val="24"/>
          <w:lang w:val="en-US" w:eastAsia="hi-IN" w:bidi="hi-IN"/>
        </w:rPr>
        <w:t xml:space="preserve"> ranging from 10.5 to 14.6. Involvement of intra-abdominal fat with high </w:t>
      </w:r>
      <w:proofErr w:type="spellStart"/>
      <w:r w:rsidRPr="00564DBC">
        <w:rPr>
          <w:rFonts w:ascii="Book Antiqua" w:hAnsi="Book Antiqua"/>
          <w:sz w:val="24"/>
          <w:szCs w:val="24"/>
          <w:lang w:val="en-US" w:eastAsia="hi-IN" w:bidi="hi-IN"/>
        </w:rPr>
        <w:t>SUVmax</w:t>
      </w:r>
      <w:proofErr w:type="spellEnd"/>
      <w:r w:rsidRPr="00564DBC">
        <w:rPr>
          <w:rFonts w:ascii="Book Antiqua" w:hAnsi="Book Antiqua"/>
          <w:sz w:val="24"/>
          <w:szCs w:val="24"/>
          <w:lang w:val="en-US" w:eastAsia="hi-IN" w:bidi="hi-IN"/>
        </w:rPr>
        <w:t xml:space="preserve"> was identified in 2 of the patients; specifically, case 1 showed progression of lymphoma at interim PET, and case 3 showed progression at primary staging. </w:t>
      </w:r>
    </w:p>
    <w:p w:rsidR="006E094B" w:rsidRPr="00564DBC" w:rsidRDefault="006E094B" w:rsidP="00564DBC">
      <w:pPr>
        <w:widowControl w:val="0"/>
        <w:spacing w:after="0" w:line="360" w:lineRule="auto"/>
        <w:ind w:firstLineChars="100" w:firstLine="240"/>
        <w:jc w:val="both"/>
        <w:rPr>
          <w:rFonts w:ascii="Book Antiqua" w:hAnsi="Book Antiqua"/>
          <w:b/>
          <w:sz w:val="24"/>
          <w:szCs w:val="24"/>
          <w:lang w:val="en-US" w:eastAsia="hi-IN" w:bidi="hi-IN"/>
        </w:rPr>
      </w:pPr>
      <w:r w:rsidRPr="00564DBC">
        <w:rPr>
          <w:rFonts w:ascii="Book Antiqua" w:hAnsi="Book Antiqua"/>
          <w:sz w:val="24"/>
          <w:szCs w:val="24"/>
          <w:lang w:val="en-US" w:eastAsia="hi-IN" w:bidi="hi-IN"/>
        </w:rPr>
        <w:t xml:space="preserve">Initial steroid monotherapy was unsuccessful in case 1. All 3 patients received multi-agent chemotherapy. In cases 1 and 3, the lymphoma was refractory to the therapy; case 1 received the </w:t>
      </w:r>
      <w:r w:rsidRPr="00564DBC">
        <w:rPr>
          <w:rFonts w:ascii="Book Antiqua" w:hAnsi="Book Antiqua"/>
          <w:sz w:val="24"/>
          <w:szCs w:val="24"/>
          <w:lang w:val="en-US" w:eastAsia="ru-RU"/>
        </w:rPr>
        <w:t xml:space="preserve">cyclophosphamide, </w:t>
      </w:r>
      <w:proofErr w:type="spellStart"/>
      <w:r w:rsidRPr="00564DBC">
        <w:rPr>
          <w:rFonts w:ascii="Book Antiqua" w:hAnsi="Book Antiqua"/>
          <w:sz w:val="24"/>
          <w:szCs w:val="24"/>
          <w:lang w:val="en-US" w:eastAsia="ru-RU"/>
        </w:rPr>
        <w:t>doxorubicine</w:t>
      </w:r>
      <w:proofErr w:type="spellEnd"/>
      <w:r w:rsidRPr="00564DBC">
        <w:rPr>
          <w:rFonts w:ascii="Book Antiqua" w:hAnsi="Book Antiqua"/>
          <w:sz w:val="24"/>
          <w:szCs w:val="24"/>
          <w:lang w:val="en-US" w:eastAsia="ru-RU"/>
        </w:rPr>
        <w:t>, vincristine and prednisolone</w:t>
      </w:r>
      <w:r w:rsidRPr="00564DBC">
        <w:rPr>
          <w:rFonts w:ascii="Book Antiqua" w:hAnsi="Book Antiqua"/>
          <w:sz w:val="24"/>
          <w:szCs w:val="24"/>
          <w:lang w:val="en-US" w:eastAsia="hi-IN" w:bidi="hi-IN"/>
        </w:rPr>
        <w:t xml:space="preserve"> (CHOP) regimen and case 3 received the </w:t>
      </w:r>
      <w:proofErr w:type="spellStart"/>
      <w:r w:rsidRPr="00564DBC">
        <w:rPr>
          <w:rFonts w:ascii="Book Antiqua" w:hAnsi="Book Antiqua"/>
          <w:sz w:val="24"/>
          <w:szCs w:val="24"/>
          <w:lang w:val="en-US" w:eastAsia="ru-RU"/>
        </w:rPr>
        <w:t>fludarabine</w:t>
      </w:r>
      <w:proofErr w:type="spellEnd"/>
      <w:r w:rsidRPr="00564DBC">
        <w:rPr>
          <w:rFonts w:ascii="Book Antiqua" w:hAnsi="Book Antiqua"/>
          <w:sz w:val="24"/>
          <w:szCs w:val="24"/>
          <w:lang w:val="en-US" w:eastAsia="ru-RU"/>
        </w:rPr>
        <w:t xml:space="preserve">, </w:t>
      </w:r>
      <w:proofErr w:type="spellStart"/>
      <w:r w:rsidRPr="00564DBC">
        <w:rPr>
          <w:rFonts w:ascii="Book Antiqua" w:hAnsi="Book Antiqua"/>
          <w:sz w:val="24"/>
          <w:szCs w:val="24"/>
          <w:lang w:val="en-US" w:eastAsia="ru-RU"/>
        </w:rPr>
        <w:t>mitoxantrone</w:t>
      </w:r>
      <w:proofErr w:type="spellEnd"/>
      <w:r w:rsidRPr="00564DBC">
        <w:rPr>
          <w:rFonts w:ascii="Book Antiqua" w:hAnsi="Book Antiqua"/>
          <w:sz w:val="24"/>
          <w:szCs w:val="24"/>
          <w:lang w:val="en-US" w:eastAsia="ru-RU"/>
        </w:rPr>
        <w:t xml:space="preserve"> and cyclophosphamide</w:t>
      </w:r>
      <w:r w:rsidRPr="00564DBC">
        <w:rPr>
          <w:rFonts w:ascii="Book Antiqua" w:hAnsi="Book Antiqua"/>
          <w:sz w:val="24"/>
          <w:szCs w:val="24"/>
          <w:lang w:val="en-US" w:eastAsia="hi-IN" w:bidi="hi-IN"/>
        </w:rPr>
        <w:t xml:space="preserve"> (FCM</w:t>
      </w:r>
      <w:r w:rsidRPr="00564DBC">
        <w:rPr>
          <w:rFonts w:ascii="Book Antiqua" w:hAnsi="Book Antiqua"/>
          <w:sz w:val="24"/>
          <w:szCs w:val="24"/>
          <w:lang w:val="en-US" w:eastAsia="ru-RU"/>
        </w:rPr>
        <w:t>)</w:t>
      </w:r>
      <w:r w:rsidRPr="00564DBC">
        <w:rPr>
          <w:rFonts w:ascii="Book Antiqua" w:hAnsi="Book Antiqua"/>
          <w:sz w:val="24"/>
          <w:szCs w:val="24"/>
          <w:lang w:val="en-US" w:eastAsia="hi-IN" w:bidi="hi-IN"/>
        </w:rPr>
        <w:t xml:space="preserve"> regimen. The </w:t>
      </w:r>
      <w:r w:rsidRPr="00564DBC">
        <w:rPr>
          <w:rFonts w:ascii="Book Antiqua" w:hAnsi="Book Antiqua"/>
          <w:sz w:val="24"/>
          <w:szCs w:val="24"/>
          <w:lang w:val="en-US"/>
        </w:rPr>
        <w:t>gemcitabine, cisplatin and methylprednisolone</w:t>
      </w:r>
      <w:r w:rsidRPr="00564DBC">
        <w:rPr>
          <w:rFonts w:ascii="Book Antiqua" w:hAnsi="Book Antiqua"/>
          <w:sz w:val="24"/>
          <w:szCs w:val="24"/>
          <w:lang w:val="en-US" w:eastAsia="hi-IN" w:bidi="hi-IN"/>
        </w:rPr>
        <w:t xml:space="preserve"> (GEM-P)</w:t>
      </w:r>
      <w:r w:rsidRPr="00564DBC">
        <w:rPr>
          <w:rFonts w:ascii="Book Antiqua" w:hAnsi="Book Antiqua"/>
          <w:sz w:val="24"/>
          <w:szCs w:val="24"/>
          <w:lang w:val="en-US"/>
        </w:rPr>
        <w:t xml:space="preserve"> </w:t>
      </w:r>
      <w:r w:rsidRPr="00564DBC">
        <w:rPr>
          <w:rFonts w:ascii="Book Antiqua" w:hAnsi="Book Antiqua"/>
          <w:sz w:val="24"/>
          <w:szCs w:val="24"/>
          <w:lang w:val="en-US" w:eastAsia="hi-IN" w:bidi="hi-IN"/>
        </w:rPr>
        <w:t xml:space="preserve">regimen was used as first-line therapy for case 2 and as second-line therapy for cases 1 and 3, and led to CMR in all. All 3 of the patients remained in remission at the time of last follow-up (range, 8-29 </w:t>
      </w:r>
      <w:proofErr w:type="spellStart"/>
      <w:r w:rsidRPr="00564DBC">
        <w:rPr>
          <w:rFonts w:ascii="Book Antiqua" w:hAnsi="Book Antiqua"/>
          <w:sz w:val="24"/>
          <w:szCs w:val="24"/>
          <w:lang w:val="en-US" w:eastAsia="hi-IN" w:bidi="hi-IN"/>
        </w:rPr>
        <w:t>mo</w:t>
      </w:r>
      <w:proofErr w:type="spellEnd"/>
      <w:r w:rsidRPr="00564DBC">
        <w:rPr>
          <w:rFonts w:ascii="Book Antiqua" w:hAnsi="Book Antiqua"/>
          <w:sz w:val="24"/>
          <w:szCs w:val="24"/>
          <w:lang w:val="en-US" w:eastAsia="hi-IN" w:bidi="hi-IN"/>
        </w:rPr>
        <w:t xml:space="preserve">). </w:t>
      </w:r>
    </w:p>
    <w:p w:rsidR="006E094B" w:rsidRPr="00564DBC" w:rsidRDefault="006E094B" w:rsidP="00564DBC">
      <w:pPr>
        <w:widowControl w:val="0"/>
        <w:spacing w:after="0" w:line="360" w:lineRule="auto"/>
        <w:jc w:val="both"/>
        <w:rPr>
          <w:rFonts w:ascii="Book Antiqua" w:hAnsi="Book Antiqua"/>
          <w:b/>
          <w:sz w:val="24"/>
          <w:szCs w:val="24"/>
          <w:lang w:val="en-US" w:eastAsia="hi-IN" w:bidi="hi-IN"/>
        </w:rPr>
      </w:pPr>
    </w:p>
    <w:p w:rsidR="006E094B" w:rsidRPr="00564DBC" w:rsidRDefault="006E094B" w:rsidP="00564DBC">
      <w:pPr>
        <w:widowControl w:val="0"/>
        <w:spacing w:after="0" w:line="360" w:lineRule="auto"/>
        <w:jc w:val="both"/>
        <w:rPr>
          <w:rFonts w:ascii="Book Antiqua" w:hAnsi="Book Antiqua"/>
          <w:b/>
          <w:sz w:val="24"/>
          <w:szCs w:val="24"/>
          <w:lang w:val="en-US" w:eastAsia="hi-IN" w:bidi="hi-IN"/>
        </w:rPr>
      </w:pPr>
      <w:r w:rsidRPr="00564DBC">
        <w:rPr>
          <w:rFonts w:ascii="Book Antiqua" w:hAnsi="Book Antiqua"/>
          <w:b/>
          <w:sz w:val="24"/>
          <w:szCs w:val="24"/>
          <w:lang w:val="en-US" w:eastAsia="hi-IN" w:bidi="hi-IN"/>
        </w:rPr>
        <w:t>DISCUSSION</w:t>
      </w:r>
    </w:p>
    <w:p w:rsidR="006E094B" w:rsidRPr="00564DBC" w:rsidRDefault="006E094B" w:rsidP="00564DBC">
      <w:pPr>
        <w:widowControl w:val="0"/>
        <w:spacing w:after="0" w:line="360" w:lineRule="auto"/>
        <w:jc w:val="both"/>
        <w:rPr>
          <w:rFonts w:ascii="Book Antiqua" w:hAnsi="Book Antiqua"/>
          <w:b/>
          <w:sz w:val="24"/>
          <w:szCs w:val="24"/>
          <w:lang w:val="en-US" w:eastAsia="hi-IN" w:bidi="hi-IN"/>
        </w:rPr>
      </w:pPr>
      <w:r w:rsidRPr="00564DBC">
        <w:rPr>
          <w:rFonts w:ascii="Book Antiqua" w:hAnsi="Book Antiqua"/>
          <w:sz w:val="24"/>
          <w:szCs w:val="24"/>
          <w:lang w:val="en-US" w:eastAsia="hi-IN" w:bidi="hi-IN"/>
        </w:rPr>
        <w:t xml:space="preserve">The extent of lymphoid tumors and their associated pathologic characteristics play an important role in the choice of therapeutic algorithm, and quantification of disease burden during the therapy is crucial for decision-making of whether to continue the ongoing treatment regimen or to change it. Despite the fact that FDG PET has been used increasingly for </w:t>
      </w:r>
      <w:r w:rsidRPr="00564DBC">
        <w:rPr>
          <w:rFonts w:ascii="Book Antiqua" w:hAnsi="Book Antiqua"/>
          <w:sz w:val="24"/>
          <w:szCs w:val="24"/>
          <w:lang w:val="en-US" w:eastAsia="hi-IN" w:bidi="hi-IN"/>
        </w:rPr>
        <w:lastRenderedPageBreak/>
        <w:t>staging and response assessment for different types of lymphomas, the experience of its use in SPTCL is limited</w:t>
      </w:r>
      <w:r w:rsidRPr="00564DBC">
        <w:rPr>
          <w:rFonts w:ascii="Book Antiqua" w:hAnsi="Book Antiqua"/>
          <w:sz w:val="24"/>
          <w:szCs w:val="24"/>
          <w:vertAlign w:val="superscript"/>
          <w:lang w:val="en-US" w:eastAsia="hi-IN" w:bidi="hi-IN"/>
        </w:rPr>
        <w:t>[8-14]</w:t>
      </w:r>
      <w:r w:rsidRPr="00564DBC">
        <w:rPr>
          <w:rFonts w:ascii="Book Antiqua" w:hAnsi="Book Antiqua"/>
          <w:sz w:val="24"/>
          <w:szCs w:val="24"/>
          <w:lang w:val="en-US" w:eastAsia="hi-IN" w:bidi="hi-IN"/>
        </w:rPr>
        <w:t>. Analysis of published data on 7 patients with SPTCL revealed FDG-avid tumors in 71%</w:t>
      </w:r>
      <w:r w:rsidRPr="00564DBC">
        <w:rPr>
          <w:rFonts w:ascii="Book Antiqua" w:hAnsi="Book Antiqua"/>
          <w:sz w:val="24"/>
          <w:szCs w:val="24"/>
          <w:vertAlign w:val="superscript"/>
          <w:lang w:val="en-US" w:eastAsia="hi-IN" w:bidi="hi-IN"/>
        </w:rPr>
        <w:t>[8]</w:t>
      </w:r>
      <w:r w:rsidRPr="00564DBC">
        <w:rPr>
          <w:rFonts w:ascii="Book Antiqua" w:hAnsi="Book Antiqua"/>
          <w:sz w:val="24"/>
          <w:szCs w:val="24"/>
          <w:lang w:val="en-US" w:eastAsia="hi-IN" w:bidi="hi-IN"/>
        </w:rPr>
        <w:t xml:space="preserve">. Feeney </w:t>
      </w:r>
      <w:r w:rsidRPr="00564DBC">
        <w:rPr>
          <w:rFonts w:ascii="Book Antiqua" w:hAnsi="Book Antiqua"/>
          <w:i/>
          <w:sz w:val="24"/>
          <w:szCs w:val="24"/>
          <w:lang w:val="en-US" w:eastAsia="hi-IN" w:bidi="hi-IN"/>
        </w:rPr>
        <w:t xml:space="preserve">et </w:t>
      </w:r>
      <w:proofErr w:type="gramStart"/>
      <w:r w:rsidRPr="00564DBC">
        <w:rPr>
          <w:rFonts w:ascii="Book Antiqua" w:hAnsi="Book Antiqua"/>
          <w:i/>
          <w:sz w:val="24"/>
          <w:szCs w:val="24"/>
          <w:lang w:val="en-US" w:eastAsia="hi-IN" w:bidi="hi-IN"/>
        </w:rPr>
        <w:t>al</w:t>
      </w:r>
      <w:r w:rsidRPr="00564DBC">
        <w:rPr>
          <w:rFonts w:ascii="Book Antiqua" w:hAnsi="Book Antiqua"/>
          <w:sz w:val="24"/>
          <w:szCs w:val="24"/>
          <w:vertAlign w:val="superscript"/>
          <w:lang w:val="en-US" w:eastAsia="hi-IN" w:bidi="hi-IN"/>
        </w:rPr>
        <w:t>[</w:t>
      </w:r>
      <w:proofErr w:type="gramEnd"/>
      <w:r w:rsidRPr="00564DBC">
        <w:rPr>
          <w:rFonts w:ascii="Book Antiqua" w:hAnsi="Book Antiqua"/>
          <w:sz w:val="24"/>
          <w:szCs w:val="24"/>
          <w:vertAlign w:val="superscript"/>
          <w:lang w:val="en-US" w:eastAsia="hi-IN" w:bidi="hi-IN"/>
        </w:rPr>
        <w:t>11]</w:t>
      </w:r>
      <w:r w:rsidRPr="00564DBC">
        <w:rPr>
          <w:rFonts w:ascii="Book Antiqua" w:hAnsi="Book Antiqua"/>
          <w:sz w:val="24"/>
          <w:szCs w:val="24"/>
          <w:lang w:val="en-US" w:eastAsia="hi-IN" w:bidi="hi-IN"/>
        </w:rPr>
        <w:t xml:space="preserve"> studied 9 SPTCL patients, all of who were </w:t>
      </w:r>
      <w:r w:rsidRPr="00564DBC">
        <w:rPr>
          <w:rFonts w:ascii="Book Antiqua" w:hAnsi="Book Antiqua"/>
          <w:sz w:val="24"/>
          <w:szCs w:val="24"/>
          <w:lang w:val="en-US" w:eastAsia="ru-RU"/>
        </w:rPr>
        <w:t xml:space="preserve">PET-positive, and the average </w:t>
      </w:r>
      <w:proofErr w:type="spellStart"/>
      <w:r w:rsidRPr="00564DBC">
        <w:rPr>
          <w:rFonts w:ascii="Book Antiqua" w:hAnsi="Book Antiqua"/>
          <w:sz w:val="24"/>
          <w:szCs w:val="24"/>
          <w:lang w:val="en-US" w:eastAsia="hi-IN" w:bidi="hi-IN"/>
        </w:rPr>
        <w:t>SUVmax</w:t>
      </w:r>
      <w:proofErr w:type="spellEnd"/>
      <w:r w:rsidRPr="00564DBC">
        <w:rPr>
          <w:rFonts w:ascii="Book Antiqua" w:hAnsi="Book Antiqua"/>
          <w:sz w:val="24"/>
          <w:szCs w:val="24"/>
          <w:lang w:val="en-US" w:eastAsia="hi-IN" w:bidi="hi-IN"/>
        </w:rPr>
        <w:t xml:space="preserve"> was </w:t>
      </w:r>
      <w:r w:rsidRPr="00564DBC">
        <w:rPr>
          <w:rFonts w:ascii="Book Antiqua" w:hAnsi="Book Antiqua"/>
          <w:sz w:val="24"/>
          <w:szCs w:val="24"/>
          <w:lang w:val="en-US" w:eastAsia="ru-RU"/>
        </w:rPr>
        <w:t>5.7 (range, 1.5</w:t>
      </w:r>
      <w:r w:rsidR="005B6993" w:rsidRPr="00564DBC">
        <w:rPr>
          <w:rFonts w:ascii="Book Antiqua" w:hAnsi="Book Antiqua" w:hint="eastAsia"/>
          <w:sz w:val="24"/>
          <w:szCs w:val="24"/>
          <w:lang w:val="en-US" w:eastAsia="zh-CN"/>
        </w:rPr>
        <w:t>-</w:t>
      </w:r>
      <w:r w:rsidRPr="00564DBC">
        <w:rPr>
          <w:rFonts w:ascii="Book Antiqua" w:hAnsi="Book Antiqua"/>
          <w:sz w:val="24"/>
          <w:szCs w:val="24"/>
          <w:lang w:val="en-US" w:eastAsia="ru-RU"/>
        </w:rPr>
        <w:t>13.1)</w:t>
      </w:r>
      <w:r w:rsidRPr="00564DBC">
        <w:rPr>
          <w:rFonts w:ascii="Book Antiqua" w:hAnsi="Book Antiqua"/>
          <w:sz w:val="24"/>
          <w:szCs w:val="24"/>
          <w:lang w:val="en-US" w:eastAsia="hi-IN" w:bidi="hi-IN"/>
        </w:rPr>
        <w:t>.</w:t>
      </w:r>
      <w:r w:rsidRPr="00564DBC">
        <w:rPr>
          <w:rFonts w:ascii="Book Antiqua" w:hAnsi="Book Antiqua"/>
          <w:b/>
          <w:sz w:val="24"/>
          <w:szCs w:val="24"/>
          <w:lang w:val="en-US" w:eastAsia="hi-IN" w:bidi="hi-IN"/>
        </w:rPr>
        <w:t xml:space="preserve"> </w:t>
      </w:r>
    </w:p>
    <w:p w:rsidR="006E094B" w:rsidRPr="00564DBC" w:rsidRDefault="006E094B" w:rsidP="00564DBC">
      <w:pPr>
        <w:widowControl w:val="0"/>
        <w:spacing w:after="0" w:line="360" w:lineRule="auto"/>
        <w:ind w:firstLineChars="100" w:firstLine="240"/>
        <w:jc w:val="both"/>
        <w:rPr>
          <w:rFonts w:ascii="Book Antiqua" w:hAnsi="Book Antiqua"/>
          <w:sz w:val="24"/>
          <w:szCs w:val="24"/>
          <w:lang w:val="en-US" w:eastAsia="hi-IN" w:bidi="hi-IN"/>
        </w:rPr>
      </w:pPr>
      <w:r w:rsidRPr="00564DBC">
        <w:rPr>
          <w:rFonts w:ascii="Book Antiqua" w:hAnsi="Book Antiqua"/>
          <w:sz w:val="24"/>
          <w:szCs w:val="24"/>
          <w:lang w:val="en-US" w:eastAsia="hi-IN" w:bidi="hi-IN"/>
        </w:rPr>
        <w:t xml:space="preserve">All 3 of our patients showed FDG-avid lesions in the pre-treatment PET, which correlated with a high index of proliferative activity of lymphoid cells. In addition, generalized distribution of subcutaneous fat foci with high </w:t>
      </w:r>
      <w:proofErr w:type="spellStart"/>
      <w:r w:rsidRPr="00564DBC">
        <w:rPr>
          <w:rFonts w:ascii="Book Antiqua" w:hAnsi="Book Antiqua"/>
          <w:sz w:val="24"/>
          <w:szCs w:val="24"/>
          <w:lang w:val="en-US" w:eastAsia="hi-IN" w:bidi="hi-IN"/>
        </w:rPr>
        <w:t>SUVmax</w:t>
      </w:r>
      <w:proofErr w:type="spellEnd"/>
      <w:r w:rsidRPr="00564DBC">
        <w:rPr>
          <w:rFonts w:ascii="Book Antiqua" w:hAnsi="Book Antiqua"/>
          <w:sz w:val="24"/>
          <w:szCs w:val="24"/>
          <w:lang w:val="en-US" w:eastAsia="hi-IN" w:bidi="hi-IN"/>
        </w:rPr>
        <w:t xml:space="preserve"> were identified in the mesenteric fat in 2 of the patients. Involvement of intra-abdominal fat in SPTCL has been described in recent </w:t>
      </w:r>
      <w:proofErr w:type="gramStart"/>
      <w:r w:rsidRPr="00564DBC">
        <w:rPr>
          <w:rFonts w:ascii="Book Antiqua" w:hAnsi="Book Antiqua"/>
          <w:sz w:val="24"/>
          <w:szCs w:val="24"/>
          <w:lang w:val="en-US" w:eastAsia="hi-IN" w:bidi="hi-IN"/>
        </w:rPr>
        <w:t>years</w:t>
      </w:r>
      <w:r w:rsidR="005B6993" w:rsidRPr="00564DBC">
        <w:rPr>
          <w:rFonts w:ascii="Book Antiqua" w:hAnsi="Book Antiqua"/>
          <w:sz w:val="24"/>
          <w:szCs w:val="24"/>
          <w:vertAlign w:val="superscript"/>
          <w:lang w:val="en-US" w:eastAsia="hi-IN" w:bidi="hi-IN"/>
        </w:rPr>
        <w:t>[</w:t>
      </w:r>
      <w:proofErr w:type="gramEnd"/>
      <w:r w:rsidR="005B6993" w:rsidRPr="00564DBC">
        <w:rPr>
          <w:rFonts w:ascii="Book Antiqua" w:hAnsi="Book Antiqua"/>
          <w:sz w:val="24"/>
          <w:szCs w:val="24"/>
          <w:vertAlign w:val="superscript"/>
          <w:lang w:val="en-US" w:eastAsia="hi-IN" w:bidi="hi-IN"/>
        </w:rPr>
        <w:t>15,</w:t>
      </w:r>
      <w:r w:rsidRPr="00564DBC">
        <w:rPr>
          <w:rFonts w:ascii="Book Antiqua" w:hAnsi="Book Antiqua"/>
          <w:sz w:val="24"/>
          <w:szCs w:val="24"/>
          <w:vertAlign w:val="superscript"/>
          <w:lang w:val="en-US" w:eastAsia="hi-IN" w:bidi="hi-IN"/>
        </w:rPr>
        <w:t>16]</w:t>
      </w:r>
      <w:r w:rsidRPr="00564DBC">
        <w:rPr>
          <w:rFonts w:ascii="Book Antiqua" w:hAnsi="Book Antiqua"/>
          <w:sz w:val="24"/>
          <w:szCs w:val="24"/>
          <w:lang w:val="en-US" w:eastAsia="hi-IN" w:bidi="hi-IN"/>
        </w:rPr>
        <w:t xml:space="preserve">. Our results suggest that PET/CT may therefore be useful in detecting occult </w:t>
      </w:r>
      <w:proofErr w:type="spellStart"/>
      <w:r w:rsidRPr="00564DBC">
        <w:rPr>
          <w:rFonts w:ascii="Book Antiqua" w:hAnsi="Book Antiqua"/>
          <w:sz w:val="24"/>
          <w:szCs w:val="24"/>
          <w:lang w:val="en-US" w:eastAsia="hi-IN" w:bidi="hi-IN"/>
        </w:rPr>
        <w:t>extracutaneous</w:t>
      </w:r>
      <w:proofErr w:type="spellEnd"/>
      <w:r w:rsidRPr="00564DBC">
        <w:rPr>
          <w:rFonts w:ascii="Book Antiqua" w:hAnsi="Book Antiqua"/>
          <w:sz w:val="24"/>
          <w:szCs w:val="24"/>
          <w:lang w:val="en-US" w:eastAsia="hi-IN" w:bidi="hi-IN"/>
        </w:rPr>
        <w:t xml:space="preserve"> involvement in SCPTL.</w:t>
      </w:r>
      <w:r w:rsidRPr="00564DBC">
        <w:rPr>
          <w:rFonts w:ascii="Book Antiqua" w:eastAsia="Times New Roman" w:hAnsi="Book Antiqua"/>
          <w:sz w:val="24"/>
          <w:szCs w:val="24"/>
          <w:lang w:val="en-US" w:eastAsia="hi-IN" w:bidi="hi-IN"/>
        </w:rPr>
        <w:t xml:space="preserve"> </w:t>
      </w:r>
      <w:r w:rsidRPr="00564DBC">
        <w:rPr>
          <w:rFonts w:ascii="Book Antiqua" w:hAnsi="Book Antiqua"/>
          <w:sz w:val="24"/>
          <w:szCs w:val="24"/>
          <w:lang w:val="en-US" w:eastAsia="hi-IN" w:bidi="hi-IN"/>
        </w:rPr>
        <w:t>However, the prognostic value of intra-abdominal dissemination of SCPTL is unknown.</w:t>
      </w:r>
    </w:p>
    <w:p w:rsidR="006E094B" w:rsidRPr="00564DBC" w:rsidRDefault="006E094B" w:rsidP="00564DBC">
      <w:pPr>
        <w:widowControl w:val="0"/>
        <w:spacing w:after="0" w:line="360" w:lineRule="auto"/>
        <w:ind w:firstLineChars="100" w:firstLine="240"/>
        <w:jc w:val="both"/>
        <w:rPr>
          <w:rFonts w:ascii="Book Antiqua" w:eastAsia="Times New Roman" w:hAnsi="Book Antiqua"/>
          <w:sz w:val="24"/>
          <w:szCs w:val="24"/>
          <w:lang w:val="en-US" w:eastAsia="hi-IN" w:bidi="hi-IN"/>
        </w:rPr>
      </w:pPr>
      <w:r w:rsidRPr="00564DBC">
        <w:rPr>
          <w:rFonts w:ascii="Book Antiqua" w:hAnsi="Book Antiqua"/>
          <w:sz w:val="24"/>
          <w:szCs w:val="24"/>
          <w:lang w:val="en-US" w:eastAsia="hi-IN" w:bidi="hi-IN"/>
        </w:rPr>
        <w:t xml:space="preserve">To evaluate the effectiveness of chemotherapy, we focused on the FDG PET/CT data in addition to the clinical picture of the cases. In case 1, following 6 </w:t>
      </w:r>
      <w:r w:rsidRPr="00564DBC">
        <w:rPr>
          <w:rFonts w:ascii="Book Antiqua" w:eastAsia="Times New Roman" w:hAnsi="Book Antiqua"/>
          <w:sz w:val="24"/>
          <w:szCs w:val="24"/>
          <w:lang w:val="en-US" w:eastAsia="hi-IN" w:bidi="hi-IN"/>
        </w:rPr>
        <w:t>cycles</w:t>
      </w:r>
      <w:r w:rsidRPr="00564DBC">
        <w:rPr>
          <w:rFonts w:ascii="Book Antiqua" w:hAnsi="Book Antiqua"/>
          <w:sz w:val="24"/>
          <w:szCs w:val="24"/>
          <w:lang w:val="en-US" w:eastAsia="hi-IN" w:bidi="hi-IN"/>
        </w:rPr>
        <w:t xml:space="preserve"> of the CHOP regimen, a marked improvement was noted, which manifested as normalization of temperature and LDH level, and a significant reduction in the size and density of the subcutaneous nodules.</w:t>
      </w:r>
      <w:r w:rsidRPr="00564DBC">
        <w:rPr>
          <w:rFonts w:ascii="Book Antiqua" w:eastAsia="Times New Roman" w:hAnsi="Book Antiqua"/>
          <w:sz w:val="24"/>
          <w:szCs w:val="24"/>
          <w:lang w:val="en-US" w:eastAsia="hi-IN" w:bidi="hi-IN"/>
        </w:rPr>
        <w:t xml:space="preserve"> </w:t>
      </w:r>
      <w:r w:rsidRPr="00564DBC">
        <w:rPr>
          <w:rFonts w:ascii="Book Antiqua" w:hAnsi="Book Antiqua"/>
          <w:sz w:val="24"/>
          <w:szCs w:val="24"/>
          <w:lang w:val="en-US" w:eastAsia="hi-IN" w:bidi="hi-IN"/>
        </w:rPr>
        <w:t xml:space="preserve">However, the FDG PET/CT data revealed preservation of previously defined and developing new lesions, which led to a change in the chemotherapy regimen to that of GEM-P. After 6 </w:t>
      </w:r>
      <w:r w:rsidRPr="00564DBC">
        <w:rPr>
          <w:rFonts w:ascii="Book Antiqua" w:eastAsia="Times New Roman" w:hAnsi="Book Antiqua"/>
          <w:sz w:val="24"/>
          <w:szCs w:val="24"/>
          <w:lang w:val="en-US" w:eastAsia="hi-IN" w:bidi="hi-IN"/>
        </w:rPr>
        <w:t>cycles</w:t>
      </w:r>
      <w:r w:rsidRPr="00564DBC">
        <w:rPr>
          <w:rFonts w:ascii="Book Antiqua" w:hAnsi="Book Antiqua"/>
          <w:sz w:val="24"/>
          <w:szCs w:val="24"/>
          <w:lang w:val="en-US" w:eastAsia="hi-IN" w:bidi="hi-IN"/>
        </w:rPr>
        <w:t xml:space="preserve"> of the GEM-P chemotherapy regimen, CMR was obtained. In case 2, following 7 </w:t>
      </w:r>
      <w:r w:rsidRPr="00564DBC">
        <w:rPr>
          <w:rFonts w:ascii="Book Antiqua" w:eastAsia="Times New Roman" w:hAnsi="Book Antiqua"/>
          <w:sz w:val="24"/>
          <w:szCs w:val="24"/>
          <w:lang w:val="en-US" w:eastAsia="hi-IN" w:bidi="hi-IN"/>
        </w:rPr>
        <w:t>cycles</w:t>
      </w:r>
      <w:r w:rsidRPr="00564DBC">
        <w:rPr>
          <w:rFonts w:ascii="Book Antiqua" w:hAnsi="Book Antiqua"/>
          <w:sz w:val="24"/>
          <w:szCs w:val="24"/>
          <w:lang w:val="en-US" w:eastAsia="hi-IN" w:bidi="hi-IN"/>
        </w:rPr>
        <w:t xml:space="preserve"> of the GEM-P chemotherapy regimen, palpable subcutaneous nodules and elevated LDH was still present but the FDG PET/CT data revealed CMR; as a result, the therapy was discontinued and the risks associated with overtreatment were avoided. In case 3, following 3 </w:t>
      </w:r>
      <w:r w:rsidRPr="00564DBC">
        <w:rPr>
          <w:rFonts w:ascii="Book Antiqua" w:eastAsia="Times New Roman" w:hAnsi="Book Antiqua"/>
          <w:sz w:val="24"/>
          <w:szCs w:val="24"/>
          <w:lang w:val="en-US" w:eastAsia="hi-IN" w:bidi="hi-IN"/>
        </w:rPr>
        <w:t>cycles</w:t>
      </w:r>
      <w:r w:rsidRPr="00564DBC">
        <w:rPr>
          <w:rFonts w:ascii="Book Antiqua" w:hAnsi="Book Antiqua"/>
          <w:sz w:val="24"/>
          <w:szCs w:val="24"/>
          <w:lang w:val="en-US" w:eastAsia="hi-IN" w:bidi="hi-IN"/>
        </w:rPr>
        <w:t xml:space="preserve"> of the FCM chemotherapy regimen, an ambivalent</w:t>
      </w:r>
      <w:r w:rsidRPr="00564DBC">
        <w:rPr>
          <w:rFonts w:ascii="Book Antiqua" w:hAnsi="Book Antiqua"/>
          <w:b/>
          <w:sz w:val="24"/>
          <w:szCs w:val="24"/>
          <w:lang w:val="en-US" w:eastAsia="hi-IN" w:bidi="hi-IN"/>
        </w:rPr>
        <w:t xml:space="preserve"> </w:t>
      </w:r>
      <w:r w:rsidRPr="00564DBC">
        <w:rPr>
          <w:rFonts w:ascii="Book Antiqua" w:hAnsi="Book Antiqua"/>
          <w:sz w:val="24"/>
          <w:szCs w:val="24"/>
          <w:lang w:val="en-US" w:eastAsia="hi-IN" w:bidi="hi-IN"/>
        </w:rPr>
        <w:t xml:space="preserve">picture was observed, with the disappearance of previously palpable nodes and the emergence of new, fast-growing, subcutaneous nodules. For this last case, the FDG PET/CT data confirmed development of new lesions, with </w:t>
      </w:r>
      <w:proofErr w:type="spellStart"/>
      <w:r w:rsidRPr="00564DBC">
        <w:rPr>
          <w:rFonts w:ascii="Book Antiqua" w:hAnsi="Book Antiqua"/>
          <w:sz w:val="24"/>
          <w:szCs w:val="24"/>
          <w:lang w:val="en-US" w:eastAsia="hi-IN" w:bidi="hi-IN"/>
        </w:rPr>
        <w:t>SUVmax</w:t>
      </w:r>
      <w:proofErr w:type="spellEnd"/>
      <w:r w:rsidRPr="00564DBC">
        <w:rPr>
          <w:rFonts w:ascii="Book Antiqua" w:hAnsi="Book Antiqua"/>
          <w:sz w:val="24"/>
          <w:szCs w:val="24"/>
          <w:lang w:val="en-US" w:eastAsia="hi-IN" w:bidi="hi-IN"/>
        </w:rPr>
        <w:t xml:space="preserve"> of 12.9, and a lack of FDG accumulation in the previous nodules.</w:t>
      </w:r>
      <w:r w:rsidRPr="00564DBC">
        <w:rPr>
          <w:rFonts w:ascii="Book Antiqua" w:hAnsi="Book Antiqua"/>
          <w:b/>
          <w:sz w:val="24"/>
          <w:szCs w:val="24"/>
          <w:lang w:val="en-US" w:eastAsia="hi-IN" w:bidi="hi-IN"/>
        </w:rPr>
        <w:t xml:space="preserve"> </w:t>
      </w:r>
      <w:r w:rsidRPr="00564DBC">
        <w:rPr>
          <w:rFonts w:ascii="Book Antiqua" w:hAnsi="Book Antiqua"/>
          <w:sz w:val="24"/>
          <w:szCs w:val="24"/>
          <w:lang w:val="en-US" w:eastAsia="hi-IN" w:bidi="hi-IN"/>
        </w:rPr>
        <w:t xml:space="preserve">Three </w:t>
      </w:r>
      <w:r w:rsidRPr="00564DBC">
        <w:rPr>
          <w:rFonts w:ascii="Book Antiqua" w:eastAsia="Times New Roman" w:hAnsi="Book Antiqua"/>
          <w:sz w:val="24"/>
          <w:szCs w:val="24"/>
          <w:lang w:val="en-US" w:eastAsia="hi-IN" w:bidi="hi-IN"/>
        </w:rPr>
        <w:t>cycles</w:t>
      </w:r>
      <w:r w:rsidRPr="00564DBC">
        <w:rPr>
          <w:rFonts w:ascii="Book Antiqua" w:hAnsi="Book Antiqua"/>
          <w:sz w:val="24"/>
          <w:szCs w:val="24"/>
          <w:lang w:val="en-US" w:eastAsia="hi-IN" w:bidi="hi-IN"/>
        </w:rPr>
        <w:t xml:space="preserve"> of the GEM-P chemotherapy regimen </w:t>
      </w:r>
      <w:r w:rsidRPr="00564DBC">
        <w:rPr>
          <w:rFonts w:ascii="Book Antiqua" w:hAnsi="Book Antiqua"/>
          <w:sz w:val="24"/>
          <w:szCs w:val="24"/>
          <w:lang w:val="en-US" w:eastAsia="hi-IN" w:bidi="hi-IN"/>
        </w:rPr>
        <w:lastRenderedPageBreak/>
        <w:t xml:space="preserve">produced CMR, after which 3 consolidating </w:t>
      </w:r>
      <w:r w:rsidRPr="00564DBC">
        <w:rPr>
          <w:rFonts w:ascii="Book Antiqua" w:eastAsia="Times New Roman" w:hAnsi="Book Antiqua"/>
          <w:sz w:val="24"/>
          <w:szCs w:val="24"/>
          <w:lang w:val="en-US" w:eastAsia="hi-IN" w:bidi="hi-IN"/>
        </w:rPr>
        <w:t>cycles</w:t>
      </w:r>
      <w:r w:rsidRPr="00564DBC">
        <w:rPr>
          <w:rFonts w:ascii="Book Antiqua" w:hAnsi="Book Antiqua"/>
          <w:sz w:val="24"/>
          <w:szCs w:val="24"/>
          <w:lang w:val="en-US" w:eastAsia="hi-IN" w:bidi="hi-IN"/>
        </w:rPr>
        <w:t xml:space="preserve"> of GEM-P were added.</w:t>
      </w:r>
    </w:p>
    <w:p w:rsidR="006E094B" w:rsidRPr="00564DBC" w:rsidRDefault="006E094B" w:rsidP="00564DBC">
      <w:pPr>
        <w:widowControl w:val="0"/>
        <w:spacing w:after="0" w:line="360" w:lineRule="auto"/>
        <w:ind w:firstLineChars="100" w:firstLine="240"/>
        <w:jc w:val="both"/>
        <w:rPr>
          <w:rFonts w:ascii="Book Antiqua" w:hAnsi="Book Antiqua"/>
          <w:sz w:val="24"/>
          <w:szCs w:val="24"/>
          <w:lang w:val="en-US" w:eastAsia="hi-IN" w:bidi="hi-IN"/>
        </w:rPr>
      </w:pPr>
      <w:r w:rsidRPr="00564DBC">
        <w:rPr>
          <w:rFonts w:ascii="Book Antiqua" w:hAnsi="Book Antiqua"/>
          <w:sz w:val="24"/>
          <w:szCs w:val="24"/>
          <w:lang w:val="en-US" w:eastAsia="hi-IN" w:bidi="hi-IN"/>
        </w:rPr>
        <w:t xml:space="preserve">Recently, SPTCL was classified as a lymphoid tumor with indolent clinical </w:t>
      </w:r>
      <w:proofErr w:type="gramStart"/>
      <w:r w:rsidRPr="00564DBC">
        <w:rPr>
          <w:rFonts w:ascii="Book Antiqua" w:hAnsi="Book Antiqua"/>
          <w:sz w:val="24"/>
          <w:szCs w:val="24"/>
          <w:lang w:val="en-US" w:eastAsia="hi-IN" w:bidi="hi-IN"/>
        </w:rPr>
        <w:t>course</w:t>
      </w:r>
      <w:r w:rsidRPr="00564DBC">
        <w:rPr>
          <w:rFonts w:ascii="Book Antiqua" w:hAnsi="Book Antiqua"/>
          <w:sz w:val="24"/>
          <w:szCs w:val="24"/>
          <w:vertAlign w:val="superscript"/>
          <w:lang w:val="en-US" w:eastAsia="hi-IN" w:bidi="hi-IN"/>
        </w:rPr>
        <w:t>[</w:t>
      </w:r>
      <w:proofErr w:type="gramEnd"/>
      <w:r w:rsidRPr="00564DBC">
        <w:rPr>
          <w:rFonts w:ascii="Book Antiqua" w:hAnsi="Book Antiqua"/>
          <w:sz w:val="24"/>
          <w:szCs w:val="24"/>
          <w:vertAlign w:val="superscript"/>
          <w:lang w:val="en-US" w:eastAsia="hi-IN" w:bidi="hi-IN"/>
        </w:rPr>
        <w:t>17]</w:t>
      </w:r>
      <w:r w:rsidRPr="00564DBC">
        <w:rPr>
          <w:rFonts w:ascii="Book Antiqua" w:hAnsi="Book Antiqua"/>
          <w:sz w:val="24"/>
          <w:szCs w:val="24"/>
          <w:lang w:val="en-US" w:eastAsia="hi-IN" w:bidi="hi-IN"/>
        </w:rPr>
        <w:t>. However, in each of our 3 patients,</w:t>
      </w:r>
      <w:r w:rsidRPr="00564DBC">
        <w:rPr>
          <w:rFonts w:ascii="Book Antiqua" w:eastAsia="Times New Roman" w:hAnsi="Book Antiqua"/>
          <w:sz w:val="24"/>
          <w:szCs w:val="24"/>
          <w:lang w:val="en-US" w:eastAsia="hi-IN" w:bidi="hi-IN"/>
        </w:rPr>
        <w:t xml:space="preserve"> d</w:t>
      </w:r>
      <w:r w:rsidRPr="00564DBC">
        <w:rPr>
          <w:rFonts w:ascii="Book Antiqua" w:hAnsi="Book Antiqua"/>
          <w:sz w:val="24"/>
          <w:szCs w:val="24"/>
          <w:lang w:val="en-US" w:eastAsia="hi-IN" w:bidi="hi-IN"/>
        </w:rPr>
        <w:t xml:space="preserve">espite the lack of </w:t>
      </w:r>
      <w:proofErr w:type="spellStart"/>
      <w:r w:rsidRPr="00564DBC">
        <w:rPr>
          <w:rFonts w:ascii="Book Antiqua" w:hAnsi="Book Antiqua"/>
          <w:sz w:val="24"/>
          <w:szCs w:val="24"/>
          <w:lang w:val="en-US" w:eastAsia="hi-IN" w:bidi="hi-IN"/>
        </w:rPr>
        <w:t>hemophagocytic</w:t>
      </w:r>
      <w:proofErr w:type="spellEnd"/>
      <w:r w:rsidRPr="00564DBC">
        <w:rPr>
          <w:rFonts w:ascii="Book Antiqua" w:hAnsi="Book Antiqua"/>
          <w:sz w:val="24"/>
          <w:szCs w:val="24"/>
          <w:lang w:val="en-US" w:eastAsia="hi-IN" w:bidi="hi-IN"/>
        </w:rPr>
        <w:t xml:space="preserve"> syndrome, the SPTCL course progressed rapidly.</w:t>
      </w:r>
      <w:r w:rsidRPr="00564DBC">
        <w:rPr>
          <w:rFonts w:ascii="Book Antiqua" w:eastAsia="Times New Roman" w:hAnsi="Book Antiqua"/>
          <w:sz w:val="24"/>
          <w:szCs w:val="24"/>
          <w:lang w:val="en-US" w:eastAsia="hi-IN" w:bidi="hi-IN"/>
        </w:rPr>
        <w:t xml:space="preserve"> </w:t>
      </w:r>
      <w:r w:rsidRPr="00564DBC">
        <w:rPr>
          <w:rFonts w:ascii="Book Antiqua" w:hAnsi="Book Antiqua"/>
          <w:sz w:val="24"/>
          <w:szCs w:val="24"/>
          <w:lang w:val="en-US" w:eastAsia="hi-IN" w:bidi="hi-IN"/>
        </w:rPr>
        <w:t>B-symptoms and LDH increase were observed, and the index of proliferative activity of the tumor was about 50%</w:t>
      </w:r>
      <w:r w:rsidR="005B6993" w:rsidRPr="00564DBC">
        <w:rPr>
          <w:rFonts w:ascii="Book Antiqua" w:hAnsi="Book Antiqua" w:hint="eastAsia"/>
          <w:sz w:val="24"/>
          <w:szCs w:val="24"/>
          <w:lang w:val="en-US" w:eastAsia="zh-CN" w:bidi="hi-IN"/>
        </w:rPr>
        <w:t>-</w:t>
      </w:r>
      <w:r w:rsidRPr="00564DBC">
        <w:rPr>
          <w:rFonts w:ascii="Book Antiqua" w:hAnsi="Book Antiqua"/>
          <w:sz w:val="24"/>
          <w:szCs w:val="24"/>
          <w:lang w:val="en-US" w:eastAsia="hi-IN" w:bidi="hi-IN"/>
        </w:rPr>
        <w:t xml:space="preserve">70%, which is comparable with the proliferative activity of diffuse large B cell lymphoma. Additionally, the PET/CT findings in our cases also suggested aggressive behavior of the tumors. </w:t>
      </w:r>
    </w:p>
    <w:p w:rsidR="006E094B" w:rsidRPr="00564DBC" w:rsidRDefault="006E094B" w:rsidP="00564DBC">
      <w:pPr>
        <w:widowControl w:val="0"/>
        <w:spacing w:after="0" w:line="360" w:lineRule="auto"/>
        <w:ind w:firstLineChars="100" w:firstLine="240"/>
        <w:jc w:val="both"/>
        <w:rPr>
          <w:rFonts w:ascii="Book Antiqua" w:hAnsi="Book Antiqua"/>
          <w:sz w:val="24"/>
          <w:szCs w:val="24"/>
          <w:lang w:val="en-US" w:eastAsia="hi-IN" w:bidi="hi-IN"/>
        </w:rPr>
      </w:pPr>
      <w:r w:rsidRPr="00564DBC">
        <w:rPr>
          <w:rFonts w:ascii="Book Antiqua" w:hAnsi="Book Antiqua"/>
          <w:sz w:val="24"/>
          <w:szCs w:val="24"/>
          <w:lang w:val="en-US" w:eastAsia="hi-IN" w:bidi="hi-IN"/>
        </w:rPr>
        <w:t xml:space="preserve">The GEM-P regimen is accepted as a first-line therapy for treatment of peripheral T cell lymphomas, as well as for lymphoma cases of recurrence or primary </w:t>
      </w:r>
      <w:proofErr w:type="gramStart"/>
      <w:r w:rsidRPr="00564DBC">
        <w:rPr>
          <w:rFonts w:ascii="Book Antiqua" w:hAnsi="Book Antiqua"/>
          <w:sz w:val="24"/>
          <w:szCs w:val="24"/>
          <w:lang w:val="en-US" w:eastAsia="hi-IN" w:bidi="hi-IN"/>
        </w:rPr>
        <w:t>resistance</w:t>
      </w:r>
      <w:r w:rsidRPr="00564DBC">
        <w:rPr>
          <w:rFonts w:ascii="Book Antiqua" w:hAnsi="Book Antiqua"/>
          <w:sz w:val="24"/>
          <w:szCs w:val="24"/>
          <w:vertAlign w:val="superscript"/>
          <w:lang w:val="en-US" w:eastAsia="hi-IN" w:bidi="hi-IN"/>
        </w:rPr>
        <w:t>[</w:t>
      </w:r>
      <w:proofErr w:type="gramEnd"/>
      <w:r w:rsidRPr="00564DBC">
        <w:rPr>
          <w:rFonts w:ascii="Book Antiqua" w:hAnsi="Book Antiqua"/>
          <w:sz w:val="24"/>
          <w:szCs w:val="24"/>
          <w:vertAlign w:val="superscript"/>
          <w:lang w:val="en-US" w:eastAsia="hi-IN" w:bidi="hi-IN"/>
        </w:rPr>
        <w:t>18-20]</w:t>
      </w:r>
      <w:r w:rsidRPr="00564DBC">
        <w:rPr>
          <w:rFonts w:ascii="Book Antiqua" w:hAnsi="Book Antiqua"/>
          <w:sz w:val="24"/>
          <w:szCs w:val="24"/>
          <w:lang w:val="en-US" w:eastAsia="hi-IN" w:bidi="hi-IN"/>
        </w:rPr>
        <w:t>. Our review of the literature found only a single SPTCL case for which the GEM-P regimen was used as treatment. That patient had been refractory to the CHOP regimen but responded well to GEM-</w:t>
      </w:r>
      <w:proofErr w:type="gramStart"/>
      <w:r w:rsidRPr="00564DBC">
        <w:rPr>
          <w:rFonts w:ascii="Book Antiqua" w:hAnsi="Book Antiqua"/>
          <w:sz w:val="24"/>
          <w:szCs w:val="24"/>
          <w:lang w:val="en-US" w:eastAsia="hi-IN" w:bidi="hi-IN"/>
        </w:rPr>
        <w:t>P</w:t>
      </w:r>
      <w:r w:rsidRPr="00564DBC">
        <w:rPr>
          <w:rFonts w:ascii="Book Antiqua" w:hAnsi="Book Antiqua"/>
          <w:sz w:val="24"/>
          <w:szCs w:val="24"/>
          <w:vertAlign w:val="superscript"/>
          <w:lang w:val="en-US" w:eastAsia="hi-IN" w:bidi="hi-IN"/>
        </w:rPr>
        <w:t>[</w:t>
      </w:r>
      <w:proofErr w:type="gramEnd"/>
      <w:r w:rsidRPr="00564DBC">
        <w:rPr>
          <w:rFonts w:ascii="Book Antiqua" w:hAnsi="Book Antiqua"/>
          <w:sz w:val="24"/>
          <w:szCs w:val="24"/>
          <w:vertAlign w:val="superscript"/>
          <w:lang w:val="en-US" w:eastAsia="hi-IN" w:bidi="hi-IN"/>
        </w:rPr>
        <w:t>21]</w:t>
      </w:r>
      <w:r w:rsidRPr="00564DBC">
        <w:rPr>
          <w:rFonts w:ascii="Book Antiqua" w:hAnsi="Book Antiqua"/>
          <w:sz w:val="24"/>
          <w:szCs w:val="24"/>
          <w:lang w:val="en-US" w:eastAsia="hi-IN" w:bidi="hi-IN"/>
        </w:rPr>
        <w:t>. Our results suggest that the GEM-P regimen is efficacious for the treatment of SPTCL, including in those patients who are refractory to the CHOP or FCM regimens.</w:t>
      </w:r>
    </w:p>
    <w:p w:rsidR="006E094B" w:rsidRPr="00564DBC" w:rsidRDefault="006E094B" w:rsidP="00564DBC">
      <w:pPr>
        <w:widowControl w:val="0"/>
        <w:spacing w:after="0" w:line="360" w:lineRule="auto"/>
        <w:ind w:firstLineChars="100" w:firstLine="240"/>
        <w:jc w:val="both"/>
        <w:rPr>
          <w:rFonts w:ascii="Book Antiqua" w:eastAsia="Times New Roman" w:hAnsi="Book Antiqua"/>
          <w:sz w:val="24"/>
          <w:szCs w:val="24"/>
          <w:lang w:val="en-US" w:eastAsia="hi-IN" w:bidi="hi-IN"/>
        </w:rPr>
      </w:pPr>
      <w:r w:rsidRPr="00564DBC">
        <w:rPr>
          <w:rFonts w:ascii="Book Antiqua" w:hAnsi="Book Antiqua"/>
          <w:sz w:val="24"/>
          <w:szCs w:val="24"/>
          <w:lang w:val="en-US" w:eastAsia="hi-IN" w:bidi="hi-IN"/>
        </w:rPr>
        <w:t>It is possible that SPTCL is an inherently biologically heterogeneous tumor or acquires heterogeneity in the course of tumor progression. It would then be assumed that some SPTCL cases are indolent, have a low index of proliferative activity, with low FDG accumulation, and respond well to immunosuppressive therapy. Alternatively, a rapidly progressive disease course would then be observed in some cases, accompanied by constitutional symptoms and with a high index of proliferative activity and high level of FDG uptake.</w:t>
      </w:r>
      <w:r w:rsidRPr="00564DBC">
        <w:rPr>
          <w:rFonts w:ascii="Book Antiqua" w:eastAsia="Times New Roman" w:hAnsi="Book Antiqua"/>
          <w:sz w:val="24"/>
          <w:szCs w:val="24"/>
          <w:lang w:val="en-US" w:eastAsia="hi-IN" w:bidi="hi-IN"/>
        </w:rPr>
        <w:t xml:space="preserve"> </w:t>
      </w:r>
      <w:r w:rsidRPr="00564DBC">
        <w:rPr>
          <w:rFonts w:ascii="Book Antiqua" w:hAnsi="Book Antiqua"/>
          <w:sz w:val="24"/>
          <w:szCs w:val="24"/>
          <w:lang w:val="en-US" w:eastAsia="hi-IN" w:bidi="hi-IN"/>
        </w:rPr>
        <w:t>These more aggressive lymphomas would presumably require multi-agent chemotherapy.</w:t>
      </w:r>
    </w:p>
    <w:p w:rsidR="006E094B" w:rsidRPr="00564DBC" w:rsidRDefault="006E094B" w:rsidP="00564DBC">
      <w:pPr>
        <w:widowControl w:val="0"/>
        <w:spacing w:after="0" w:line="360" w:lineRule="auto"/>
        <w:ind w:firstLineChars="100" w:firstLine="240"/>
        <w:jc w:val="both"/>
        <w:rPr>
          <w:rFonts w:ascii="Book Antiqua" w:eastAsia="Times New Roman" w:hAnsi="Book Antiqua"/>
          <w:sz w:val="24"/>
          <w:szCs w:val="24"/>
          <w:lang w:val="en-US" w:eastAsia="hi-IN" w:bidi="hi-IN"/>
        </w:rPr>
      </w:pPr>
      <w:r w:rsidRPr="00564DBC">
        <w:rPr>
          <w:rFonts w:ascii="Book Antiqua" w:hAnsi="Book Antiqua"/>
          <w:sz w:val="24"/>
          <w:szCs w:val="24"/>
          <w:lang w:val="en-US" w:eastAsia="hi-IN" w:bidi="hi-IN"/>
        </w:rPr>
        <w:t>Although there is need for further study, the findings from our 3 cases suggest that FDG PET/CT provides valuable information towards detecting</w:t>
      </w:r>
      <w:r w:rsidRPr="00564DBC">
        <w:rPr>
          <w:rFonts w:ascii="Book Antiqua" w:eastAsia="Times New Roman" w:hAnsi="Book Antiqua"/>
          <w:sz w:val="24"/>
          <w:szCs w:val="24"/>
          <w:lang w:val="en-US" w:eastAsia="hi-IN" w:bidi="hi-IN"/>
        </w:rPr>
        <w:t xml:space="preserve"> occult</w:t>
      </w:r>
      <w:r w:rsidRPr="00564DBC">
        <w:rPr>
          <w:rFonts w:ascii="Book Antiqua" w:hAnsi="Book Antiqua"/>
          <w:sz w:val="24"/>
          <w:szCs w:val="24"/>
          <w:lang w:val="en-US" w:eastAsia="hi-IN" w:bidi="hi-IN"/>
        </w:rPr>
        <w:t xml:space="preserve"> lesions in SPTCL and may be useful in disease staging and monitoring of treatment response. Moreover, </w:t>
      </w:r>
      <w:r w:rsidRPr="00564DBC">
        <w:rPr>
          <w:rFonts w:ascii="Book Antiqua" w:eastAsia="Times New Roman" w:hAnsi="Book Antiqua"/>
          <w:sz w:val="24"/>
          <w:szCs w:val="24"/>
          <w:lang w:val="en-US" w:eastAsia="hi-IN" w:bidi="hi-IN"/>
        </w:rPr>
        <w:t xml:space="preserve">high FDG uptake on pre-treatment PET could identify patients with aggressive disease and help in choosing first-line </w:t>
      </w:r>
      <w:r w:rsidRPr="00564DBC">
        <w:rPr>
          <w:rFonts w:ascii="Book Antiqua" w:eastAsia="Times New Roman" w:hAnsi="Book Antiqua"/>
          <w:sz w:val="24"/>
          <w:szCs w:val="24"/>
          <w:lang w:val="en-US" w:eastAsia="hi-IN" w:bidi="hi-IN"/>
        </w:rPr>
        <w:lastRenderedPageBreak/>
        <w:t>therapy.</w:t>
      </w:r>
    </w:p>
    <w:p w:rsidR="006E094B" w:rsidRPr="00564DBC" w:rsidRDefault="006E094B" w:rsidP="00564DBC">
      <w:pPr>
        <w:widowControl w:val="0"/>
        <w:spacing w:after="0" w:line="360" w:lineRule="auto"/>
        <w:jc w:val="both"/>
        <w:rPr>
          <w:rFonts w:ascii="Book Antiqua" w:hAnsi="Book Antiqua"/>
          <w:b/>
          <w:bCs/>
          <w:kern w:val="32"/>
          <w:sz w:val="24"/>
          <w:szCs w:val="24"/>
          <w:lang w:val="en-US" w:eastAsia="hi-IN" w:bidi="hi-IN"/>
        </w:rPr>
      </w:pPr>
    </w:p>
    <w:p w:rsidR="006E094B" w:rsidRPr="00564DBC" w:rsidRDefault="006E094B" w:rsidP="00564DBC">
      <w:pPr>
        <w:widowControl w:val="0"/>
        <w:spacing w:after="0" w:line="360" w:lineRule="auto"/>
        <w:jc w:val="both"/>
        <w:rPr>
          <w:rFonts w:ascii="Book Antiqua" w:hAnsi="Book Antiqua"/>
          <w:b/>
          <w:bCs/>
          <w:sz w:val="24"/>
          <w:szCs w:val="24"/>
          <w:lang w:val="en-US"/>
        </w:rPr>
      </w:pPr>
      <w:r w:rsidRPr="00564DBC">
        <w:rPr>
          <w:rFonts w:ascii="Book Antiqua" w:hAnsi="Book Antiqua"/>
          <w:b/>
          <w:bCs/>
          <w:sz w:val="24"/>
          <w:szCs w:val="24"/>
          <w:lang w:val="en-US"/>
        </w:rPr>
        <w:t>COMMENTS</w:t>
      </w:r>
    </w:p>
    <w:p w:rsidR="006E094B" w:rsidRPr="00564DBC" w:rsidRDefault="006E094B" w:rsidP="00564DBC">
      <w:pPr>
        <w:widowControl w:val="0"/>
        <w:spacing w:after="0" w:line="360" w:lineRule="auto"/>
        <w:jc w:val="both"/>
        <w:rPr>
          <w:rFonts w:ascii="Book Antiqua" w:hAnsi="Book Antiqua"/>
          <w:b/>
          <w:bCs/>
          <w:i/>
          <w:iCs/>
          <w:sz w:val="24"/>
          <w:szCs w:val="24"/>
          <w:lang w:val="en-US"/>
        </w:rPr>
      </w:pPr>
      <w:r w:rsidRPr="00564DBC">
        <w:rPr>
          <w:rFonts w:ascii="Book Antiqua" w:hAnsi="Book Antiqua"/>
          <w:b/>
          <w:bCs/>
          <w:i/>
          <w:iCs/>
          <w:sz w:val="24"/>
          <w:szCs w:val="24"/>
          <w:lang w:val="en-US"/>
        </w:rPr>
        <w:t>Case characteristics</w:t>
      </w:r>
    </w:p>
    <w:p w:rsidR="006E094B" w:rsidRPr="00564DBC" w:rsidRDefault="006E094B" w:rsidP="00564DBC">
      <w:pPr>
        <w:widowControl w:val="0"/>
        <w:spacing w:after="0" w:line="360" w:lineRule="auto"/>
        <w:jc w:val="both"/>
        <w:rPr>
          <w:rFonts w:ascii="Book Antiqua" w:hAnsi="Book Antiqua"/>
          <w:sz w:val="24"/>
          <w:szCs w:val="24"/>
          <w:lang w:val="en-US"/>
        </w:rPr>
      </w:pPr>
      <w:r w:rsidRPr="00564DBC">
        <w:rPr>
          <w:rFonts w:ascii="Book Antiqua" w:hAnsi="Book Antiqua"/>
          <w:sz w:val="24"/>
          <w:szCs w:val="24"/>
          <w:lang w:val="en-US" w:eastAsia="hi-IN" w:bidi="hi-IN"/>
        </w:rPr>
        <w:t xml:space="preserve">Three patients (two females, aged 27 and 57 years; one male, aged 22 years) who </w:t>
      </w:r>
      <w:r w:rsidRPr="00564DBC">
        <w:rPr>
          <w:rFonts w:ascii="Book Antiqua" w:hAnsi="Book Antiqua" w:cs="Book Antiqua"/>
          <w:sz w:val="24"/>
          <w:szCs w:val="24"/>
          <w:lang w:val="en-US" w:eastAsia="ru-RU"/>
        </w:rPr>
        <w:t>presented with</w:t>
      </w:r>
      <w:r w:rsidRPr="00564DBC">
        <w:rPr>
          <w:rFonts w:ascii="Book Antiqua" w:hAnsi="Book Antiqua"/>
          <w:sz w:val="24"/>
          <w:szCs w:val="24"/>
          <w:lang w:val="en-US"/>
        </w:rPr>
        <w:t xml:space="preserve"> multiple subcutaneous nodules and accompanying fever.</w:t>
      </w:r>
      <w:r w:rsidRPr="00564DBC">
        <w:rPr>
          <w:rFonts w:ascii="Book Antiqua" w:hAnsi="Book Antiqua"/>
          <w:sz w:val="24"/>
          <w:szCs w:val="24"/>
          <w:lang w:val="en-US" w:eastAsia="hi-IN" w:bidi="hi-IN"/>
        </w:rPr>
        <w:t xml:space="preserve"> </w:t>
      </w:r>
    </w:p>
    <w:p w:rsidR="006E094B" w:rsidRPr="00564DBC" w:rsidRDefault="006E094B" w:rsidP="00564DBC">
      <w:pPr>
        <w:widowControl w:val="0"/>
        <w:spacing w:after="0" w:line="360" w:lineRule="auto"/>
        <w:jc w:val="both"/>
        <w:rPr>
          <w:rFonts w:ascii="Book Antiqua" w:hAnsi="Book Antiqua"/>
          <w:b/>
          <w:bCs/>
          <w:iCs/>
          <w:sz w:val="24"/>
          <w:szCs w:val="24"/>
          <w:lang w:val="en-US"/>
        </w:rPr>
      </w:pPr>
    </w:p>
    <w:p w:rsidR="006E094B" w:rsidRPr="00564DBC" w:rsidRDefault="006E094B" w:rsidP="00564DBC">
      <w:pPr>
        <w:widowControl w:val="0"/>
        <w:spacing w:after="0" w:line="360" w:lineRule="auto"/>
        <w:jc w:val="both"/>
        <w:rPr>
          <w:rFonts w:ascii="Book Antiqua" w:hAnsi="Book Antiqua"/>
          <w:b/>
          <w:bCs/>
          <w:i/>
          <w:iCs/>
          <w:sz w:val="24"/>
          <w:szCs w:val="24"/>
          <w:lang w:val="en-US"/>
        </w:rPr>
      </w:pPr>
      <w:r w:rsidRPr="00564DBC">
        <w:rPr>
          <w:rFonts w:ascii="Book Antiqua" w:hAnsi="Book Antiqua"/>
          <w:b/>
          <w:bCs/>
          <w:i/>
          <w:iCs/>
          <w:sz w:val="24"/>
          <w:szCs w:val="24"/>
          <w:lang w:val="en-US"/>
        </w:rPr>
        <w:t>Clinical diagnosis</w:t>
      </w:r>
    </w:p>
    <w:p w:rsidR="006E094B" w:rsidRPr="00564DBC" w:rsidRDefault="006E094B" w:rsidP="00564DBC">
      <w:pPr>
        <w:widowControl w:val="0"/>
        <w:spacing w:after="0" w:line="360" w:lineRule="auto"/>
        <w:jc w:val="both"/>
        <w:rPr>
          <w:rFonts w:ascii="Book Antiqua" w:hAnsi="Book Antiqua"/>
          <w:sz w:val="24"/>
          <w:szCs w:val="24"/>
          <w:lang w:val="en-US"/>
        </w:rPr>
      </w:pPr>
      <w:r w:rsidRPr="00564DBC">
        <w:rPr>
          <w:rFonts w:ascii="Book Antiqua" w:hAnsi="Book Antiqua"/>
          <w:sz w:val="24"/>
          <w:szCs w:val="24"/>
          <w:lang w:val="en-US"/>
        </w:rPr>
        <w:t>Panniculitis was the provisional diagnosis.</w:t>
      </w:r>
    </w:p>
    <w:p w:rsidR="006E094B" w:rsidRPr="00564DBC" w:rsidRDefault="006E094B" w:rsidP="00564DBC">
      <w:pPr>
        <w:widowControl w:val="0"/>
        <w:spacing w:after="0" w:line="360" w:lineRule="auto"/>
        <w:jc w:val="both"/>
        <w:rPr>
          <w:rFonts w:ascii="Book Antiqua" w:hAnsi="Book Antiqua"/>
          <w:b/>
          <w:bCs/>
          <w:iCs/>
          <w:sz w:val="24"/>
          <w:szCs w:val="24"/>
          <w:lang w:val="en-US"/>
        </w:rPr>
      </w:pPr>
    </w:p>
    <w:p w:rsidR="006E094B" w:rsidRPr="00564DBC" w:rsidRDefault="006E094B" w:rsidP="00564DBC">
      <w:pPr>
        <w:widowControl w:val="0"/>
        <w:spacing w:after="0" w:line="360" w:lineRule="auto"/>
        <w:jc w:val="both"/>
        <w:rPr>
          <w:rFonts w:ascii="Book Antiqua" w:hAnsi="Book Antiqua"/>
          <w:b/>
          <w:bCs/>
          <w:i/>
          <w:iCs/>
          <w:sz w:val="24"/>
          <w:szCs w:val="24"/>
          <w:lang w:val="en-US"/>
        </w:rPr>
      </w:pPr>
      <w:r w:rsidRPr="00564DBC">
        <w:rPr>
          <w:rFonts w:ascii="Book Antiqua" w:hAnsi="Book Antiqua"/>
          <w:b/>
          <w:bCs/>
          <w:i/>
          <w:iCs/>
          <w:sz w:val="24"/>
          <w:szCs w:val="24"/>
          <w:lang w:val="en-US"/>
        </w:rPr>
        <w:t>Differential diagnosis</w:t>
      </w:r>
    </w:p>
    <w:p w:rsidR="006E094B" w:rsidRPr="00564DBC" w:rsidRDefault="006E094B" w:rsidP="00564DBC">
      <w:pPr>
        <w:widowControl w:val="0"/>
        <w:spacing w:after="0" w:line="360" w:lineRule="auto"/>
        <w:jc w:val="both"/>
        <w:rPr>
          <w:rFonts w:ascii="Book Antiqua" w:hAnsi="Book Antiqua" w:cs="ArialNarrow"/>
          <w:sz w:val="24"/>
          <w:szCs w:val="24"/>
          <w:lang w:val="en-US" w:eastAsia="ru-RU"/>
        </w:rPr>
      </w:pPr>
      <w:r w:rsidRPr="00564DBC">
        <w:rPr>
          <w:rFonts w:ascii="Book Antiqua" w:hAnsi="Book Antiqua" w:cs="ArialNarrow"/>
          <w:sz w:val="24"/>
          <w:szCs w:val="24"/>
          <w:lang w:val="en-US" w:eastAsia="ru-RU"/>
        </w:rPr>
        <w:t xml:space="preserve">The morphological differential diagnosis included atypical lymphocytic lobular panniculitis, lupus </w:t>
      </w:r>
      <w:proofErr w:type="spellStart"/>
      <w:r w:rsidRPr="00564DBC">
        <w:rPr>
          <w:rFonts w:ascii="Book Antiqua" w:hAnsi="Book Antiqua" w:cs="ArialNarrow"/>
          <w:sz w:val="24"/>
          <w:szCs w:val="24"/>
          <w:lang w:val="en-US" w:eastAsia="ru-RU"/>
        </w:rPr>
        <w:t>profundus</w:t>
      </w:r>
      <w:proofErr w:type="spellEnd"/>
      <w:r w:rsidRPr="00564DBC">
        <w:rPr>
          <w:rFonts w:ascii="Book Antiqua" w:hAnsi="Book Antiqua" w:cs="ArialNarrow"/>
          <w:sz w:val="24"/>
          <w:szCs w:val="24"/>
          <w:lang w:val="en-US" w:eastAsia="ru-RU"/>
        </w:rPr>
        <w:t xml:space="preserve">, natural killer (NK) cell and NK-like T cell lymphomas involving </w:t>
      </w:r>
      <w:proofErr w:type="spellStart"/>
      <w:r w:rsidRPr="00564DBC">
        <w:rPr>
          <w:rFonts w:ascii="Book Antiqua" w:hAnsi="Book Antiqua" w:cs="ArialNarrow"/>
          <w:sz w:val="24"/>
          <w:szCs w:val="24"/>
          <w:lang w:val="en-US" w:eastAsia="ru-RU"/>
        </w:rPr>
        <w:t>subcutis</w:t>
      </w:r>
      <w:proofErr w:type="spellEnd"/>
      <w:r w:rsidRPr="00564DBC">
        <w:rPr>
          <w:rFonts w:ascii="Book Antiqua" w:hAnsi="Book Antiqua" w:cs="ArialNarrow"/>
          <w:sz w:val="24"/>
          <w:szCs w:val="24"/>
          <w:lang w:val="en-US" w:eastAsia="ru-RU"/>
        </w:rPr>
        <w:t xml:space="preserve">. </w:t>
      </w:r>
    </w:p>
    <w:p w:rsidR="006E094B" w:rsidRPr="00564DBC" w:rsidRDefault="006E094B" w:rsidP="00564DBC">
      <w:pPr>
        <w:widowControl w:val="0"/>
        <w:spacing w:after="0" w:line="360" w:lineRule="auto"/>
        <w:jc w:val="both"/>
        <w:rPr>
          <w:rFonts w:ascii="Book Antiqua" w:hAnsi="Book Antiqua"/>
          <w:b/>
          <w:bCs/>
          <w:iCs/>
          <w:sz w:val="24"/>
          <w:szCs w:val="24"/>
          <w:lang w:val="en-US"/>
        </w:rPr>
      </w:pPr>
    </w:p>
    <w:p w:rsidR="006E094B" w:rsidRPr="00564DBC" w:rsidRDefault="006E094B" w:rsidP="00564DBC">
      <w:pPr>
        <w:widowControl w:val="0"/>
        <w:spacing w:after="0" w:line="360" w:lineRule="auto"/>
        <w:jc w:val="both"/>
        <w:rPr>
          <w:rFonts w:ascii="Book Antiqua" w:hAnsi="Book Antiqua"/>
          <w:b/>
          <w:bCs/>
          <w:i/>
          <w:iCs/>
          <w:sz w:val="24"/>
          <w:szCs w:val="24"/>
          <w:lang w:val="en-US"/>
        </w:rPr>
      </w:pPr>
      <w:r w:rsidRPr="00564DBC">
        <w:rPr>
          <w:rFonts w:ascii="Book Antiqua" w:hAnsi="Book Antiqua"/>
          <w:b/>
          <w:bCs/>
          <w:i/>
          <w:iCs/>
          <w:sz w:val="24"/>
          <w:szCs w:val="24"/>
          <w:lang w:val="en-US"/>
        </w:rPr>
        <w:t>Laboratory diagnosis</w:t>
      </w:r>
    </w:p>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eastAsia="hi-IN" w:bidi="hi-IN"/>
        </w:rPr>
        <w:t>All 3 patients in this study had elevated lactate dehydrogenase level.</w:t>
      </w:r>
    </w:p>
    <w:p w:rsidR="006E094B" w:rsidRPr="00564DBC" w:rsidRDefault="006E094B" w:rsidP="00564DBC">
      <w:pPr>
        <w:widowControl w:val="0"/>
        <w:spacing w:after="0" w:line="360" w:lineRule="auto"/>
        <w:jc w:val="both"/>
        <w:rPr>
          <w:rFonts w:ascii="Book Antiqua" w:hAnsi="Book Antiqua"/>
          <w:b/>
          <w:bCs/>
          <w:iCs/>
          <w:sz w:val="24"/>
          <w:szCs w:val="24"/>
          <w:lang w:val="en-US"/>
        </w:rPr>
      </w:pPr>
    </w:p>
    <w:p w:rsidR="006E094B" w:rsidRPr="00564DBC" w:rsidRDefault="006E094B" w:rsidP="00564DBC">
      <w:pPr>
        <w:widowControl w:val="0"/>
        <w:spacing w:after="0" w:line="360" w:lineRule="auto"/>
        <w:jc w:val="both"/>
        <w:rPr>
          <w:rFonts w:ascii="Book Antiqua" w:hAnsi="Book Antiqua"/>
          <w:b/>
          <w:bCs/>
          <w:iCs/>
          <w:sz w:val="24"/>
          <w:szCs w:val="24"/>
          <w:lang w:val="en-US"/>
        </w:rPr>
      </w:pPr>
      <w:r w:rsidRPr="00564DBC">
        <w:rPr>
          <w:rFonts w:ascii="Book Antiqua" w:hAnsi="Book Antiqua"/>
          <w:b/>
          <w:bCs/>
          <w:i/>
          <w:iCs/>
          <w:sz w:val="24"/>
          <w:szCs w:val="24"/>
          <w:lang w:val="en-US"/>
        </w:rPr>
        <w:t>Imaging diagnosis</w:t>
      </w:r>
    </w:p>
    <w:p w:rsidR="006E094B" w:rsidRPr="00564DBC" w:rsidRDefault="006E094B" w:rsidP="00564DBC">
      <w:pPr>
        <w:widowControl w:val="0"/>
        <w:spacing w:after="0" w:line="360" w:lineRule="auto"/>
        <w:jc w:val="both"/>
        <w:rPr>
          <w:rFonts w:ascii="Book Antiqua" w:hAnsi="Book Antiqua"/>
          <w:b/>
          <w:bCs/>
          <w:i/>
          <w:iCs/>
          <w:sz w:val="24"/>
          <w:szCs w:val="24"/>
          <w:lang w:val="en-US"/>
        </w:rPr>
      </w:pPr>
      <w:r w:rsidRPr="00564DBC">
        <w:rPr>
          <w:rFonts w:ascii="Book Antiqua" w:hAnsi="Book Antiqua"/>
          <w:sz w:val="24"/>
          <w:szCs w:val="24"/>
          <w:lang w:val="en-US" w:eastAsia="hi-IN" w:bidi="hi-IN"/>
        </w:rPr>
        <w:t xml:space="preserve">Positron emission tomography combined with </w:t>
      </w:r>
      <w:r w:rsidRPr="00564DBC">
        <w:rPr>
          <w:rFonts w:ascii="Book Antiqua" w:hAnsi="Book Antiqua"/>
          <w:sz w:val="24"/>
          <w:szCs w:val="24"/>
          <w:lang w:val="en-US" w:eastAsia="ru-RU"/>
        </w:rPr>
        <w:t>computed tomography</w:t>
      </w:r>
      <w:r w:rsidRPr="00564DBC">
        <w:rPr>
          <w:rFonts w:ascii="Book Antiqua" w:hAnsi="Book Antiqua"/>
          <w:sz w:val="24"/>
          <w:szCs w:val="24"/>
          <w:lang w:val="en-US" w:eastAsia="hi-IN" w:bidi="hi-IN"/>
        </w:rPr>
        <w:t xml:space="preserve"> (PET/CT) showed multiple foci of increased uptake of </w:t>
      </w:r>
      <w:r w:rsidRPr="00564DBC">
        <w:rPr>
          <w:rFonts w:ascii="Book Antiqua" w:hAnsi="Book Antiqua"/>
          <w:sz w:val="24"/>
          <w:szCs w:val="24"/>
          <w:lang w:val="en-US" w:eastAsia="ru-RU"/>
        </w:rPr>
        <w:t xml:space="preserve">fluorine-18 </w:t>
      </w:r>
      <w:proofErr w:type="spellStart"/>
      <w:r w:rsidRPr="00564DBC">
        <w:rPr>
          <w:rFonts w:ascii="Book Antiqua" w:hAnsi="Book Antiqua"/>
          <w:sz w:val="24"/>
          <w:szCs w:val="24"/>
          <w:lang w:val="en-US" w:eastAsia="hi-IN" w:bidi="hi-IN"/>
        </w:rPr>
        <w:t>fluorodeoxyglucose</w:t>
      </w:r>
      <w:proofErr w:type="spellEnd"/>
      <w:r w:rsidRPr="00564DBC">
        <w:rPr>
          <w:rFonts w:ascii="Book Antiqua" w:hAnsi="Book Antiqua"/>
          <w:sz w:val="24"/>
          <w:szCs w:val="24"/>
          <w:lang w:val="en-US" w:eastAsia="hi-IN" w:bidi="hi-IN"/>
        </w:rPr>
        <w:t xml:space="preserve"> in the subcutaneous fat of all 3 patients; the </w:t>
      </w:r>
      <w:proofErr w:type="spellStart"/>
      <w:r w:rsidRPr="00564DBC">
        <w:rPr>
          <w:rFonts w:ascii="Book Antiqua" w:hAnsi="Book Antiqua"/>
          <w:sz w:val="24"/>
          <w:szCs w:val="24"/>
          <w:lang w:val="en-US" w:eastAsia="hi-IN" w:bidi="hi-IN"/>
        </w:rPr>
        <w:t>SUVmax</w:t>
      </w:r>
      <w:proofErr w:type="spellEnd"/>
      <w:r w:rsidRPr="00564DBC">
        <w:rPr>
          <w:rFonts w:ascii="Book Antiqua" w:hAnsi="Book Antiqua"/>
          <w:sz w:val="24"/>
          <w:szCs w:val="24"/>
          <w:lang w:val="en-US" w:eastAsia="hi-IN" w:bidi="hi-IN"/>
        </w:rPr>
        <w:t xml:space="preserve"> values ranged from 10.5 to 14.6. Involvement of intra-abdominal fat was identified in 2 of the patients.</w:t>
      </w:r>
    </w:p>
    <w:p w:rsidR="006E094B" w:rsidRPr="00564DBC" w:rsidRDefault="006E094B" w:rsidP="00564DBC">
      <w:pPr>
        <w:widowControl w:val="0"/>
        <w:spacing w:after="0" w:line="360" w:lineRule="auto"/>
        <w:jc w:val="both"/>
        <w:rPr>
          <w:rFonts w:ascii="Book Antiqua" w:hAnsi="Book Antiqua"/>
          <w:b/>
          <w:bCs/>
          <w:iCs/>
          <w:sz w:val="24"/>
          <w:szCs w:val="24"/>
          <w:lang w:val="en-US"/>
        </w:rPr>
      </w:pPr>
    </w:p>
    <w:p w:rsidR="006E094B" w:rsidRPr="00564DBC" w:rsidRDefault="006E094B" w:rsidP="00564DBC">
      <w:pPr>
        <w:widowControl w:val="0"/>
        <w:spacing w:after="0" w:line="360" w:lineRule="auto"/>
        <w:jc w:val="both"/>
        <w:rPr>
          <w:rFonts w:ascii="Book Antiqua" w:hAnsi="Book Antiqua"/>
          <w:i/>
          <w:sz w:val="24"/>
          <w:szCs w:val="24"/>
          <w:lang w:val="en-US" w:eastAsia="hi-IN" w:bidi="hi-IN"/>
        </w:rPr>
      </w:pPr>
      <w:r w:rsidRPr="00564DBC">
        <w:rPr>
          <w:rFonts w:ascii="Book Antiqua" w:hAnsi="Book Antiqua"/>
          <w:b/>
          <w:bCs/>
          <w:i/>
          <w:iCs/>
          <w:sz w:val="24"/>
          <w:szCs w:val="24"/>
          <w:lang w:val="en-US"/>
        </w:rPr>
        <w:t>Pathological diagnosis</w:t>
      </w:r>
      <w:r w:rsidRPr="00564DBC">
        <w:rPr>
          <w:rFonts w:ascii="Book Antiqua" w:hAnsi="Book Antiqua"/>
          <w:i/>
          <w:sz w:val="24"/>
          <w:szCs w:val="24"/>
          <w:lang w:val="en-US" w:eastAsia="hi-IN" w:bidi="hi-IN"/>
        </w:rPr>
        <w:t xml:space="preserve"> </w:t>
      </w:r>
    </w:p>
    <w:p w:rsidR="006E094B" w:rsidRPr="00564DBC" w:rsidRDefault="006E094B" w:rsidP="00564DBC">
      <w:pPr>
        <w:widowControl w:val="0"/>
        <w:spacing w:after="0" w:line="360" w:lineRule="auto"/>
        <w:jc w:val="both"/>
        <w:rPr>
          <w:rFonts w:ascii="Book Antiqua" w:hAnsi="Book Antiqua"/>
          <w:b/>
          <w:bCs/>
          <w:i/>
          <w:iCs/>
          <w:sz w:val="24"/>
          <w:szCs w:val="24"/>
          <w:lang w:val="en-US"/>
        </w:rPr>
      </w:pPr>
      <w:r w:rsidRPr="00564DBC">
        <w:rPr>
          <w:rFonts w:ascii="Book Antiqua" w:hAnsi="Book Antiqua"/>
          <w:sz w:val="24"/>
          <w:szCs w:val="24"/>
          <w:lang w:val="en-US" w:eastAsia="hi-IN" w:bidi="hi-IN"/>
        </w:rPr>
        <w:t xml:space="preserve">Subcutaneous panniculitis-like T </w:t>
      </w:r>
      <w:proofErr w:type="gramStart"/>
      <w:r w:rsidRPr="00564DBC">
        <w:rPr>
          <w:rFonts w:ascii="Book Antiqua" w:hAnsi="Book Antiqua"/>
          <w:sz w:val="24"/>
          <w:szCs w:val="24"/>
          <w:lang w:val="en-US" w:eastAsia="hi-IN" w:bidi="hi-IN"/>
        </w:rPr>
        <w:t>cell</w:t>
      </w:r>
      <w:proofErr w:type="gramEnd"/>
      <w:r w:rsidRPr="00564DBC">
        <w:rPr>
          <w:rFonts w:ascii="Book Antiqua" w:hAnsi="Book Antiqua"/>
          <w:sz w:val="24"/>
          <w:szCs w:val="24"/>
          <w:lang w:val="en-US" w:eastAsia="hi-IN" w:bidi="hi-IN"/>
        </w:rPr>
        <w:t xml:space="preserve"> lymphoma (SPTCL).</w:t>
      </w:r>
    </w:p>
    <w:p w:rsidR="006E094B" w:rsidRPr="00564DBC" w:rsidRDefault="006E094B" w:rsidP="00564DBC">
      <w:pPr>
        <w:widowControl w:val="0"/>
        <w:spacing w:after="0" w:line="360" w:lineRule="auto"/>
        <w:jc w:val="both"/>
        <w:rPr>
          <w:rFonts w:ascii="Book Antiqua" w:hAnsi="Book Antiqua"/>
          <w:b/>
          <w:bCs/>
          <w:iCs/>
          <w:sz w:val="24"/>
          <w:szCs w:val="24"/>
          <w:lang w:val="en-US"/>
        </w:rPr>
      </w:pPr>
    </w:p>
    <w:p w:rsidR="006E094B" w:rsidRPr="00564DBC" w:rsidRDefault="006E094B" w:rsidP="00564DBC">
      <w:pPr>
        <w:widowControl w:val="0"/>
        <w:spacing w:after="0" w:line="360" w:lineRule="auto"/>
        <w:jc w:val="both"/>
        <w:rPr>
          <w:rFonts w:ascii="Book Antiqua" w:hAnsi="Book Antiqua"/>
          <w:i/>
          <w:sz w:val="24"/>
          <w:szCs w:val="24"/>
          <w:lang w:val="en-US" w:eastAsia="hi-IN" w:bidi="hi-IN"/>
        </w:rPr>
      </w:pPr>
      <w:r w:rsidRPr="00564DBC">
        <w:rPr>
          <w:rFonts w:ascii="Book Antiqua" w:hAnsi="Book Antiqua"/>
          <w:b/>
          <w:bCs/>
          <w:i/>
          <w:iCs/>
          <w:sz w:val="24"/>
          <w:szCs w:val="24"/>
          <w:lang w:val="en-US"/>
        </w:rPr>
        <w:t>Treatment</w:t>
      </w:r>
      <w:r w:rsidRPr="00564DBC">
        <w:rPr>
          <w:rFonts w:ascii="Book Antiqua" w:hAnsi="Book Antiqua"/>
          <w:i/>
          <w:sz w:val="24"/>
          <w:szCs w:val="24"/>
          <w:lang w:val="en-US" w:eastAsia="hi-IN" w:bidi="hi-IN"/>
        </w:rPr>
        <w:t xml:space="preserve"> </w:t>
      </w:r>
    </w:p>
    <w:p w:rsidR="006E094B" w:rsidRPr="00564DBC" w:rsidRDefault="006E094B" w:rsidP="00564DBC">
      <w:pPr>
        <w:widowControl w:val="0"/>
        <w:spacing w:after="0" w:line="360" w:lineRule="auto"/>
        <w:jc w:val="both"/>
        <w:rPr>
          <w:rFonts w:ascii="Book Antiqua" w:hAnsi="Book Antiqua"/>
          <w:b/>
          <w:bCs/>
          <w:i/>
          <w:iCs/>
          <w:sz w:val="24"/>
          <w:szCs w:val="24"/>
          <w:lang w:val="en-US"/>
        </w:rPr>
      </w:pPr>
      <w:r w:rsidRPr="00564DBC">
        <w:rPr>
          <w:rFonts w:ascii="Book Antiqua" w:hAnsi="Book Antiqua"/>
          <w:sz w:val="24"/>
          <w:szCs w:val="24"/>
          <w:lang w:val="en-US" w:eastAsia="hi-IN" w:bidi="hi-IN"/>
        </w:rPr>
        <w:t xml:space="preserve">Use of the </w:t>
      </w:r>
      <w:r w:rsidRPr="00564DBC">
        <w:rPr>
          <w:rFonts w:ascii="Book Antiqua" w:hAnsi="Book Antiqua"/>
          <w:sz w:val="24"/>
          <w:szCs w:val="24"/>
          <w:lang w:val="en-US"/>
        </w:rPr>
        <w:t>gemcitabine, cisplatin and methylprednisolone</w:t>
      </w:r>
      <w:r w:rsidRPr="00564DBC">
        <w:rPr>
          <w:rFonts w:ascii="Book Antiqua" w:hAnsi="Book Antiqua"/>
          <w:sz w:val="24"/>
          <w:szCs w:val="24"/>
          <w:lang w:val="en-US" w:eastAsia="hi-IN" w:bidi="hi-IN"/>
        </w:rPr>
        <w:t xml:space="preserve"> regimen as first-line therapy or second-line therapy was followed by achievement of complete </w:t>
      </w:r>
      <w:r w:rsidRPr="00564DBC">
        <w:rPr>
          <w:rFonts w:ascii="Book Antiqua" w:hAnsi="Book Antiqua"/>
          <w:sz w:val="24"/>
          <w:szCs w:val="24"/>
          <w:lang w:val="en-US" w:eastAsia="hi-IN" w:bidi="hi-IN"/>
        </w:rPr>
        <w:lastRenderedPageBreak/>
        <w:t>metabolic response for all 3 cases.</w:t>
      </w:r>
    </w:p>
    <w:p w:rsidR="006E094B" w:rsidRPr="00564DBC" w:rsidRDefault="006E094B" w:rsidP="00564DBC">
      <w:pPr>
        <w:widowControl w:val="0"/>
        <w:spacing w:after="0" w:line="360" w:lineRule="auto"/>
        <w:jc w:val="both"/>
        <w:rPr>
          <w:rFonts w:ascii="Book Antiqua" w:hAnsi="Book Antiqua"/>
          <w:b/>
          <w:bCs/>
          <w:iCs/>
          <w:sz w:val="24"/>
          <w:szCs w:val="24"/>
          <w:lang w:val="en-US"/>
        </w:rPr>
      </w:pPr>
    </w:p>
    <w:p w:rsidR="006E094B" w:rsidRPr="00564DBC" w:rsidRDefault="006E094B" w:rsidP="00564DBC">
      <w:pPr>
        <w:widowControl w:val="0"/>
        <w:spacing w:after="0" w:line="360" w:lineRule="auto"/>
        <w:jc w:val="both"/>
        <w:rPr>
          <w:rFonts w:ascii="Book Antiqua" w:hAnsi="Book Antiqua"/>
          <w:b/>
          <w:bCs/>
          <w:i/>
          <w:iCs/>
          <w:sz w:val="24"/>
          <w:szCs w:val="24"/>
          <w:lang w:val="en-US"/>
        </w:rPr>
      </w:pPr>
      <w:r w:rsidRPr="00564DBC">
        <w:rPr>
          <w:rFonts w:ascii="Book Antiqua" w:hAnsi="Book Antiqua"/>
          <w:b/>
          <w:bCs/>
          <w:i/>
          <w:iCs/>
          <w:sz w:val="24"/>
          <w:szCs w:val="24"/>
          <w:lang w:val="en-US"/>
        </w:rPr>
        <w:t>Related reports</w:t>
      </w:r>
    </w:p>
    <w:p w:rsidR="006E094B" w:rsidRPr="00564DBC" w:rsidRDefault="006E094B" w:rsidP="00564DBC">
      <w:pPr>
        <w:widowControl w:val="0"/>
        <w:spacing w:after="0" w:line="360" w:lineRule="auto"/>
        <w:jc w:val="both"/>
        <w:rPr>
          <w:rFonts w:ascii="Book Antiqua" w:hAnsi="Book Antiqua"/>
          <w:b/>
          <w:bCs/>
          <w:iCs/>
          <w:sz w:val="24"/>
          <w:szCs w:val="24"/>
          <w:lang w:val="en-US"/>
        </w:rPr>
      </w:pPr>
      <w:r w:rsidRPr="00564DBC">
        <w:rPr>
          <w:rFonts w:ascii="Book Antiqua" w:hAnsi="Book Antiqua"/>
          <w:sz w:val="24"/>
          <w:szCs w:val="24"/>
          <w:lang w:val="en-US" w:eastAsia="hi-IN" w:bidi="hi-IN"/>
        </w:rPr>
        <w:t>SPTCL</w:t>
      </w:r>
      <w:r w:rsidRPr="00564DBC">
        <w:rPr>
          <w:rFonts w:ascii="Book Antiqua" w:hAnsi="Book Antiqua" w:cs="Book Antiqua"/>
          <w:sz w:val="24"/>
          <w:szCs w:val="24"/>
          <w:lang w:val="en-US" w:eastAsia="ru-RU"/>
        </w:rPr>
        <w:t xml:space="preserve"> is a </w:t>
      </w:r>
      <w:r w:rsidRPr="00564DBC">
        <w:rPr>
          <w:rFonts w:ascii="Book Antiqua" w:hAnsi="Book Antiqua"/>
          <w:sz w:val="24"/>
          <w:szCs w:val="24"/>
          <w:lang w:val="en-US" w:eastAsia="hi-IN" w:bidi="hi-IN"/>
        </w:rPr>
        <w:t xml:space="preserve">very rare variant of non-Hodgkin’s lymphoma, </w:t>
      </w:r>
      <w:r w:rsidRPr="00564DBC">
        <w:rPr>
          <w:rFonts w:ascii="Book Antiqua" w:hAnsi="Book Antiqua" w:cs="Book Antiqua"/>
          <w:sz w:val="24"/>
          <w:szCs w:val="24"/>
          <w:lang w:val="en-US" w:eastAsia="ru-RU"/>
        </w:rPr>
        <w:t xml:space="preserve">commonly confused with a non-neoplastic process due to its unusual location; in histological analysis, it can mimic </w:t>
      </w:r>
      <w:r w:rsidRPr="00564DBC">
        <w:rPr>
          <w:rFonts w:ascii="Book Antiqua" w:hAnsi="Book Antiqua" w:cs="ArialNarrow"/>
          <w:sz w:val="24"/>
          <w:szCs w:val="24"/>
          <w:lang w:val="en-US" w:eastAsia="ru-RU"/>
        </w:rPr>
        <w:t>panniculitis</w:t>
      </w:r>
      <w:r w:rsidRPr="00564DBC">
        <w:rPr>
          <w:rFonts w:ascii="Book Antiqua" w:hAnsi="Book Antiqua" w:cs="Book Antiqua"/>
          <w:sz w:val="24"/>
          <w:szCs w:val="24"/>
          <w:lang w:val="en-US" w:eastAsia="ru-RU"/>
        </w:rPr>
        <w:t>.</w:t>
      </w:r>
    </w:p>
    <w:p w:rsidR="006E094B" w:rsidRPr="00564DBC" w:rsidRDefault="006E094B" w:rsidP="00564DBC">
      <w:pPr>
        <w:widowControl w:val="0"/>
        <w:spacing w:after="0" w:line="360" w:lineRule="auto"/>
        <w:jc w:val="both"/>
        <w:rPr>
          <w:rFonts w:ascii="Book Antiqua" w:hAnsi="Book Antiqua"/>
          <w:b/>
          <w:bCs/>
          <w:iCs/>
          <w:sz w:val="24"/>
          <w:szCs w:val="24"/>
          <w:lang w:val="en-US"/>
        </w:rPr>
      </w:pPr>
    </w:p>
    <w:p w:rsidR="006E094B" w:rsidRPr="00564DBC" w:rsidRDefault="006E094B" w:rsidP="00564DBC">
      <w:pPr>
        <w:widowControl w:val="0"/>
        <w:spacing w:after="0" w:line="360" w:lineRule="auto"/>
        <w:jc w:val="both"/>
        <w:rPr>
          <w:rFonts w:ascii="Book Antiqua" w:hAnsi="Book Antiqua"/>
          <w:b/>
          <w:bCs/>
          <w:i/>
          <w:iCs/>
          <w:sz w:val="24"/>
          <w:szCs w:val="24"/>
          <w:lang w:val="en-US"/>
        </w:rPr>
      </w:pPr>
      <w:r w:rsidRPr="00564DBC">
        <w:rPr>
          <w:rFonts w:ascii="Book Antiqua" w:hAnsi="Book Antiqua"/>
          <w:b/>
          <w:bCs/>
          <w:i/>
          <w:iCs/>
          <w:sz w:val="24"/>
          <w:szCs w:val="24"/>
          <w:lang w:val="en-US"/>
        </w:rPr>
        <w:t>Term explanation</w:t>
      </w:r>
    </w:p>
    <w:p w:rsidR="006E094B" w:rsidRPr="00564DBC" w:rsidRDefault="006E094B" w:rsidP="00564DBC">
      <w:pPr>
        <w:widowControl w:val="0"/>
        <w:spacing w:after="0" w:line="360" w:lineRule="auto"/>
        <w:jc w:val="both"/>
        <w:rPr>
          <w:rFonts w:ascii="Book Antiqua" w:hAnsi="Book Antiqua"/>
          <w:sz w:val="24"/>
          <w:szCs w:val="24"/>
          <w:lang w:val="en-US"/>
        </w:rPr>
      </w:pPr>
      <w:r w:rsidRPr="00564DBC">
        <w:rPr>
          <w:rFonts w:ascii="Book Antiqua" w:hAnsi="Book Antiqua"/>
          <w:sz w:val="24"/>
          <w:szCs w:val="24"/>
          <w:lang w:val="en-US" w:eastAsia="hi-IN" w:bidi="hi-IN"/>
        </w:rPr>
        <w:t>SPTCL</w:t>
      </w:r>
      <w:r w:rsidRPr="00564DBC">
        <w:rPr>
          <w:rFonts w:ascii="Book Antiqua" w:hAnsi="Book Antiqua"/>
          <w:sz w:val="24"/>
          <w:szCs w:val="24"/>
          <w:lang w:val="en-US"/>
        </w:rPr>
        <w:t xml:space="preserve"> is a malignant neoplasm belonging to the non-Hodgkin’s lymphomas.</w:t>
      </w:r>
    </w:p>
    <w:p w:rsidR="006E094B" w:rsidRPr="00564DBC" w:rsidRDefault="006E094B" w:rsidP="00564DBC">
      <w:pPr>
        <w:widowControl w:val="0"/>
        <w:spacing w:after="0" w:line="360" w:lineRule="auto"/>
        <w:jc w:val="both"/>
        <w:rPr>
          <w:rFonts w:ascii="Book Antiqua" w:hAnsi="Book Antiqua"/>
          <w:b/>
          <w:bCs/>
          <w:iCs/>
          <w:sz w:val="24"/>
          <w:szCs w:val="24"/>
          <w:lang w:val="en-US"/>
        </w:rPr>
      </w:pPr>
    </w:p>
    <w:p w:rsidR="006E094B" w:rsidRPr="00564DBC" w:rsidRDefault="006E094B" w:rsidP="00564DBC">
      <w:pPr>
        <w:widowControl w:val="0"/>
        <w:spacing w:after="0" w:line="360" w:lineRule="auto"/>
        <w:jc w:val="both"/>
        <w:rPr>
          <w:rFonts w:ascii="Book Antiqua" w:hAnsi="Book Antiqua"/>
          <w:b/>
          <w:bCs/>
          <w:i/>
          <w:iCs/>
          <w:sz w:val="24"/>
          <w:szCs w:val="24"/>
          <w:lang w:val="en-US"/>
        </w:rPr>
      </w:pPr>
      <w:r w:rsidRPr="00564DBC">
        <w:rPr>
          <w:rFonts w:ascii="Book Antiqua" w:hAnsi="Book Antiqua"/>
          <w:b/>
          <w:bCs/>
          <w:i/>
          <w:iCs/>
          <w:sz w:val="24"/>
          <w:szCs w:val="24"/>
          <w:lang w:val="en-US"/>
        </w:rPr>
        <w:t>Experiences and lessons</w:t>
      </w:r>
    </w:p>
    <w:p w:rsidR="006E094B" w:rsidRPr="00564DBC" w:rsidRDefault="006E094B" w:rsidP="00564DBC">
      <w:pPr>
        <w:widowControl w:val="0"/>
        <w:spacing w:after="0" w:line="360" w:lineRule="auto"/>
        <w:jc w:val="both"/>
        <w:rPr>
          <w:rFonts w:ascii="Book Antiqua" w:hAnsi="Book Antiqua"/>
          <w:sz w:val="24"/>
          <w:szCs w:val="24"/>
          <w:lang w:val="en-US"/>
        </w:rPr>
      </w:pPr>
      <w:r w:rsidRPr="00564DBC">
        <w:rPr>
          <w:rFonts w:ascii="Book Antiqua" w:hAnsi="Book Antiqua"/>
          <w:sz w:val="24"/>
          <w:szCs w:val="24"/>
          <w:lang w:val="en-US" w:eastAsia="ru-RU"/>
        </w:rPr>
        <w:t xml:space="preserve">Fluorine-18 </w:t>
      </w:r>
      <w:proofErr w:type="spellStart"/>
      <w:r w:rsidRPr="00564DBC">
        <w:rPr>
          <w:rFonts w:ascii="Book Antiqua" w:hAnsi="Book Antiqua"/>
          <w:sz w:val="24"/>
          <w:szCs w:val="24"/>
          <w:lang w:val="en-US" w:eastAsia="ru-RU"/>
        </w:rPr>
        <w:t>fluorodeoxyglucose</w:t>
      </w:r>
      <w:proofErr w:type="spellEnd"/>
      <w:r w:rsidRPr="00564DBC">
        <w:rPr>
          <w:rFonts w:ascii="Book Antiqua" w:hAnsi="Book Antiqua"/>
          <w:sz w:val="24"/>
          <w:szCs w:val="24"/>
          <w:lang w:val="en-US" w:eastAsia="hi-IN" w:bidi="hi-IN"/>
        </w:rPr>
        <w:t xml:space="preserve"> PET/CT</w:t>
      </w:r>
      <w:r w:rsidRPr="00564DBC">
        <w:rPr>
          <w:rFonts w:ascii="Book Antiqua" w:hAnsi="Book Antiqua"/>
          <w:sz w:val="24"/>
          <w:szCs w:val="24"/>
          <w:lang w:val="en-US" w:eastAsia="ru-RU"/>
        </w:rPr>
        <w:t xml:space="preserve"> </w:t>
      </w:r>
      <w:r w:rsidRPr="00564DBC">
        <w:rPr>
          <w:rFonts w:ascii="Book Antiqua" w:hAnsi="Book Antiqua"/>
          <w:sz w:val="24"/>
          <w:szCs w:val="24"/>
          <w:lang w:val="en-US" w:eastAsia="hi-IN" w:bidi="hi-IN"/>
        </w:rPr>
        <w:t>provides valuable information</w:t>
      </w:r>
      <w:r w:rsidRPr="00564DBC">
        <w:rPr>
          <w:rFonts w:ascii="Book Antiqua" w:hAnsi="Book Antiqua"/>
          <w:sz w:val="24"/>
          <w:szCs w:val="24"/>
          <w:lang w:val="en-US" w:eastAsia="ru-RU"/>
        </w:rPr>
        <w:t xml:space="preserve"> for staging of </w:t>
      </w:r>
      <w:r w:rsidRPr="00564DBC">
        <w:rPr>
          <w:rFonts w:ascii="Book Antiqua" w:hAnsi="Book Antiqua"/>
          <w:sz w:val="24"/>
          <w:szCs w:val="24"/>
          <w:lang w:val="en-US" w:eastAsia="hi-IN" w:bidi="hi-IN"/>
        </w:rPr>
        <w:t>SPTCL</w:t>
      </w:r>
      <w:r w:rsidRPr="00564DBC">
        <w:rPr>
          <w:rFonts w:ascii="Book Antiqua" w:hAnsi="Book Antiqua"/>
          <w:sz w:val="24"/>
          <w:szCs w:val="24"/>
          <w:lang w:val="en-US" w:eastAsia="ru-RU"/>
        </w:rPr>
        <w:t xml:space="preserve"> and monitoring of treatment response in patients. </w:t>
      </w:r>
      <w:r w:rsidRPr="00564DBC">
        <w:rPr>
          <w:rFonts w:ascii="Book Antiqua" w:hAnsi="Book Antiqua"/>
          <w:sz w:val="24"/>
          <w:szCs w:val="24"/>
          <w:lang w:val="en-US"/>
        </w:rPr>
        <w:t xml:space="preserve"> </w:t>
      </w:r>
    </w:p>
    <w:p w:rsidR="006E094B" w:rsidRPr="00564DBC" w:rsidRDefault="006E094B" w:rsidP="00564DBC">
      <w:pPr>
        <w:widowControl w:val="0"/>
        <w:spacing w:after="0" w:line="360" w:lineRule="auto"/>
        <w:jc w:val="both"/>
        <w:rPr>
          <w:rFonts w:ascii="Book Antiqua" w:hAnsi="Book Antiqua"/>
          <w:b/>
          <w:bCs/>
          <w:kern w:val="32"/>
          <w:sz w:val="24"/>
          <w:szCs w:val="24"/>
          <w:lang w:val="en-US" w:eastAsia="hi-IN" w:bidi="hi-IN"/>
        </w:rPr>
      </w:pPr>
    </w:p>
    <w:p w:rsidR="006E094B" w:rsidRPr="00564DBC" w:rsidRDefault="006E094B" w:rsidP="00564DBC">
      <w:pPr>
        <w:widowControl w:val="0"/>
        <w:spacing w:after="0" w:line="360" w:lineRule="auto"/>
        <w:jc w:val="both"/>
        <w:rPr>
          <w:rFonts w:ascii="Book Antiqua" w:hAnsi="Book Antiqua"/>
          <w:b/>
          <w:bCs/>
          <w:i/>
          <w:kern w:val="32"/>
          <w:sz w:val="24"/>
          <w:szCs w:val="24"/>
          <w:lang w:val="en-US" w:eastAsia="hi-IN" w:bidi="hi-IN"/>
        </w:rPr>
      </w:pPr>
      <w:r w:rsidRPr="00564DBC">
        <w:rPr>
          <w:rFonts w:ascii="Book Antiqua" w:hAnsi="Book Antiqua"/>
          <w:b/>
          <w:bCs/>
          <w:i/>
          <w:kern w:val="32"/>
          <w:sz w:val="24"/>
          <w:szCs w:val="24"/>
          <w:lang w:val="en-US" w:eastAsia="hi-IN" w:bidi="hi-IN"/>
        </w:rPr>
        <w:t>Peer</w:t>
      </w:r>
      <w:r w:rsidR="005B6993" w:rsidRPr="00564DBC">
        <w:rPr>
          <w:rFonts w:ascii="Book Antiqua" w:hAnsi="Book Antiqua"/>
          <w:b/>
          <w:bCs/>
          <w:i/>
          <w:kern w:val="32"/>
          <w:sz w:val="24"/>
          <w:szCs w:val="24"/>
          <w:lang w:val="en-US" w:eastAsia="zh-CN" w:bidi="hi-IN"/>
        </w:rPr>
        <w:t>-</w:t>
      </w:r>
      <w:r w:rsidRPr="00564DBC">
        <w:rPr>
          <w:rFonts w:ascii="Book Antiqua" w:hAnsi="Book Antiqua"/>
          <w:b/>
          <w:bCs/>
          <w:i/>
          <w:kern w:val="32"/>
          <w:sz w:val="24"/>
          <w:szCs w:val="24"/>
          <w:lang w:val="en-US" w:eastAsia="hi-IN" w:bidi="hi-IN"/>
        </w:rPr>
        <w:t>review</w:t>
      </w:r>
    </w:p>
    <w:p w:rsidR="005B6993" w:rsidRPr="00564DBC" w:rsidRDefault="00906D1E" w:rsidP="00564DBC">
      <w:pPr>
        <w:widowControl w:val="0"/>
        <w:spacing w:after="0" w:line="360" w:lineRule="auto"/>
        <w:jc w:val="both"/>
        <w:rPr>
          <w:rFonts w:ascii="Book Antiqua" w:hAnsi="Book Antiqua"/>
          <w:sz w:val="24"/>
          <w:szCs w:val="24"/>
          <w:lang w:eastAsia="zh-CN"/>
        </w:rPr>
      </w:pPr>
      <w:r w:rsidRPr="00564DBC">
        <w:rPr>
          <w:rFonts w:ascii="Book Antiqua" w:hAnsi="Book Antiqua"/>
          <w:sz w:val="24"/>
          <w:szCs w:val="24"/>
        </w:rPr>
        <w:t>The article is well written, clear and concise. The topic and the results are interesting. Methods are sound.</w:t>
      </w:r>
    </w:p>
    <w:p w:rsidR="00906D1E" w:rsidRPr="00564DBC" w:rsidRDefault="00906D1E" w:rsidP="00564DBC">
      <w:pPr>
        <w:widowControl w:val="0"/>
        <w:spacing w:after="0" w:line="360" w:lineRule="auto"/>
        <w:jc w:val="both"/>
        <w:rPr>
          <w:rFonts w:ascii="Book Antiqua" w:hAnsi="Book Antiqua"/>
          <w:b/>
          <w:bCs/>
          <w:kern w:val="32"/>
          <w:sz w:val="24"/>
          <w:szCs w:val="24"/>
          <w:lang w:val="en-US" w:eastAsia="zh-CN" w:bidi="hi-IN"/>
        </w:rPr>
      </w:pPr>
    </w:p>
    <w:p w:rsidR="00906D1E" w:rsidRPr="00564DBC" w:rsidRDefault="00906D1E" w:rsidP="00564DBC">
      <w:pPr>
        <w:widowControl w:val="0"/>
        <w:spacing w:after="0" w:line="360" w:lineRule="auto"/>
        <w:jc w:val="both"/>
        <w:rPr>
          <w:rFonts w:ascii="Book Antiqua" w:hAnsi="Book Antiqua"/>
          <w:b/>
          <w:bCs/>
          <w:kern w:val="32"/>
          <w:sz w:val="24"/>
          <w:szCs w:val="24"/>
          <w:lang w:val="en-US" w:eastAsia="hi-IN" w:bidi="hi-IN"/>
        </w:rPr>
      </w:pPr>
      <w:r w:rsidRPr="00564DBC">
        <w:rPr>
          <w:rFonts w:ascii="Book Antiqua" w:hAnsi="Book Antiqua"/>
          <w:b/>
          <w:bCs/>
          <w:kern w:val="32"/>
          <w:sz w:val="24"/>
          <w:szCs w:val="24"/>
          <w:lang w:val="en-US" w:eastAsia="hi-IN" w:bidi="hi-IN"/>
        </w:rPr>
        <w:br w:type="page"/>
      </w:r>
    </w:p>
    <w:p w:rsidR="006E094B" w:rsidRPr="00564DBC" w:rsidRDefault="006E094B" w:rsidP="00564DBC">
      <w:pPr>
        <w:widowControl w:val="0"/>
        <w:spacing w:after="0" w:line="360" w:lineRule="auto"/>
        <w:jc w:val="both"/>
        <w:rPr>
          <w:rFonts w:ascii="Book Antiqua" w:hAnsi="Book Antiqua"/>
          <w:sz w:val="24"/>
          <w:szCs w:val="24"/>
          <w:lang w:val="en-US" w:eastAsia="hi-IN" w:bidi="hi-IN"/>
        </w:rPr>
      </w:pPr>
      <w:r w:rsidRPr="00564DBC">
        <w:rPr>
          <w:rFonts w:ascii="Book Antiqua" w:hAnsi="Book Antiqua"/>
          <w:b/>
          <w:bCs/>
          <w:kern w:val="32"/>
          <w:sz w:val="24"/>
          <w:szCs w:val="24"/>
          <w:lang w:val="en-US" w:eastAsia="hi-IN" w:bidi="hi-IN"/>
        </w:rPr>
        <w:lastRenderedPageBreak/>
        <w:t>REFERENCES</w:t>
      </w:r>
    </w:p>
    <w:p w:rsidR="00906D1E" w:rsidRPr="00564DBC" w:rsidRDefault="00906D1E" w:rsidP="00564DBC">
      <w:pPr>
        <w:widowControl w:val="0"/>
        <w:spacing w:after="0" w:line="360" w:lineRule="auto"/>
        <w:jc w:val="both"/>
        <w:rPr>
          <w:rFonts w:ascii="Book Antiqua" w:eastAsia="宋体" w:hAnsi="Book Antiqua" w:cs="宋体"/>
          <w:sz w:val="24"/>
          <w:szCs w:val="24"/>
          <w:lang w:val="en-US" w:eastAsia="zh-CN"/>
        </w:rPr>
      </w:pPr>
      <w:proofErr w:type="gramStart"/>
      <w:r w:rsidRPr="00564DBC">
        <w:rPr>
          <w:rFonts w:ascii="Book Antiqua" w:eastAsia="宋体" w:hAnsi="Book Antiqua" w:cs="宋体"/>
          <w:sz w:val="24"/>
          <w:szCs w:val="24"/>
          <w:lang w:val="en-US" w:eastAsia="zh-CN"/>
        </w:rPr>
        <w:t xml:space="preserve">1 </w:t>
      </w:r>
      <w:r w:rsidRPr="00564DBC">
        <w:rPr>
          <w:rFonts w:ascii="Book Antiqua" w:eastAsia="宋体" w:hAnsi="Book Antiqua" w:cs="宋体"/>
          <w:b/>
          <w:bCs/>
          <w:sz w:val="24"/>
          <w:szCs w:val="24"/>
          <w:lang w:val="en-US" w:eastAsia="zh-CN"/>
        </w:rPr>
        <w:t>Gonzalez CL</w:t>
      </w:r>
      <w:r w:rsidRPr="00564DBC">
        <w:rPr>
          <w:rFonts w:ascii="Book Antiqua" w:eastAsia="宋体" w:hAnsi="Book Antiqua" w:cs="宋体"/>
          <w:sz w:val="24"/>
          <w:szCs w:val="24"/>
          <w:lang w:val="en-US" w:eastAsia="zh-CN"/>
        </w:rPr>
        <w:t xml:space="preserve">, Medeiros LJ, </w:t>
      </w:r>
      <w:proofErr w:type="spellStart"/>
      <w:r w:rsidRPr="00564DBC">
        <w:rPr>
          <w:rFonts w:ascii="Book Antiqua" w:eastAsia="宋体" w:hAnsi="Book Antiqua" w:cs="宋体"/>
          <w:sz w:val="24"/>
          <w:szCs w:val="24"/>
          <w:lang w:val="en-US" w:eastAsia="zh-CN"/>
        </w:rPr>
        <w:t>Braziel</w:t>
      </w:r>
      <w:proofErr w:type="spellEnd"/>
      <w:r w:rsidRPr="00564DBC">
        <w:rPr>
          <w:rFonts w:ascii="Book Antiqua" w:eastAsia="宋体" w:hAnsi="Book Antiqua" w:cs="宋体"/>
          <w:sz w:val="24"/>
          <w:szCs w:val="24"/>
          <w:lang w:val="en-US" w:eastAsia="zh-CN"/>
        </w:rPr>
        <w:t xml:space="preserve"> RM, Jaffe ES.</w:t>
      </w:r>
      <w:proofErr w:type="gramEnd"/>
      <w:r w:rsidRPr="00564DBC">
        <w:rPr>
          <w:rFonts w:ascii="Book Antiqua" w:eastAsia="宋体" w:hAnsi="Book Antiqua" w:cs="宋体"/>
          <w:sz w:val="24"/>
          <w:szCs w:val="24"/>
          <w:lang w:val="en-US" w:eastAsia="zh-CN"/>
        </w:rPr>
        <w:t xml:space="preserve"> </w:t>
      </w:r>
      <w:proofErr w:type="gramStart"/>
      <w:r w:rsidRPr="00564DBC">
        <w:rPr>
          <w:rFonts w:ascii="Book Antiqua" w:eastAsia="宋体" w:hAnsi="Book Antiqua" w:cs="宋体"/>
          <w:sz w:val="24"/>
          <w:szCs w:val="24"/>
          <w:lang w:val="en-US" w:eastAsia="zh-CN"/>
        </w:rPr>
        <w:t>T-cell lymphoma involving subcutaneous tissue.</w:t>
      </w:r>
      <w:proofErr w:type="gramEnd"/>
      <w:r w:rsidRPr="00564DBC">
        <w:rPr>
          <w:rFonts w:ascii="Book Antiqua" w:eastAsia="宋体" w:hAnsi="Book Antiqua" w:cs="宋体"/>
          <w:sz w:val="24"/>
          <w:szCs w:val="24"/>
          <w:lang w:val="en-US" w:eastAsia="zh-CN"/>
        </w:rPr>
        <w:t xml:space="preserve"> A </w:t>
      </w:r>
      <w:proofErr w:type="spellStart"/>
      <w:r w:rsidRPr="00564DBC">
        <w:rPr>
          <w:rFonts w:ascii="Book Antiqua" w:eastAsia="宋体" w:hAnsi="Book Antiqua" w:cs="宋体"/>
          <w:sz w:val="24"/>
          <w:szCs w:val="24"/>
          <w:lang w:val="en-US" w:eastAsia="zh-CN"/>
        </w:rPr>
        <w:t>clinicopathologic</w:t>
      </w:r>
      <w:proofErr w:type="spellEnd"/>
      <w:r w:rsidRPr="00564DBC">
        <w:rPr>
          <w:rFonts w:ascii="Book Antiqua" w:eastAsia="宋体" w:hAnsi="Book Antiqua" w:cs="宋体"/>
          <w:sz w:val="24"/>
          <w:szCs w:val="24"/>
          <w:lang w:val="en-US" w:eastAsia="zh-CN"/>
        </w:rPr>
        <w:t xml:space="preserve"> entity commonly associated with </w:t>
      </w:r>
      <w:proofErr w:type="spellStart"/>
      <w:r w:rsidRPr="00564DBC">
        <w:rPr>
          <w:rFonts w:ascii="Book Antiqua" w:eastAsia="宋体" w:hAnsi="Book Antiqua" w:cs="宋体"/>
          <w:sz w:val="24"/>
          <w:szCs w:val="24"/>
          <w:lang w:val="en-US" w:eastAsia="zh-CN"/>
        </w:rPr>
        <w:t>hemophagocytic</w:t>
      </w:r>
      <w:proofErr w:type="spellEnd"/>
      <w:r w:rsidRPr="00564DBC">
        <w:rPr>
          <w:rFonts w:ascii="Book Antiqua" w:eastAsia="宋体" w:hAnsi="Book Antiqua" w:cs="宋体"/>
          <w:sz w:val="24"/>
          <w:szCs w:val="24"/>
          <w:lang w:val="en-US" w:eastAsia="zh-CN"/>
        </w:rPr>
        <w:t xml:space="preserve"> syndrome. </w:t>
      </w:r>
      <w:r w:rsidRPr="00564DBC">
        <w:rPr>
          <w:rFonts w:ascii="Book Antiqua" w:eastAsia="宋体" w:hAnsi="Book Antiqua" w:cs="宋体"/>
          <w:i/>
          <w:iCs/>
          <w:sz w:val="24"/>
          <w:szCs w:val="24"/>
          <w:lang w:val="en-US" w:eastAsia="zh-CN"/>
        </w:rPr>
        <w:t xml:space="preserve">Am J </w:t>
      </w:r>
      <w:proofErr w:type="spellStart"/>
      <w:r w:rsidRPr="00564DBC">
        <w:rPr>
          <w:rFonts w:ascii="Book Antiqua" w:eastAsia="宋体" w:hAnsi="Book Antiqua" w:cs="宋体"/>
          <w:i/>
          <w:iCs/>
          <w:sz w:val="24"/>
          <w:szCs w:val="24"/>
          <w:lang w:val="en-US" w:eastAsia="zh-CN"/>
        </w:rPr>
        <w:t>Surg</w:t>
      </w:r>
      <w:proofErr w:type="spellEnd"/>
      <w:r w:rsidRPr="00564DBC">
        <w:rPr>
          <w:rFonts w:ascii="Book Antiqua" w:eastAsia="宋体" w:hAnsi="Book Antiqua" w:cs="宋体"/>
          <w:i/>
          <w:iCs/>
          <w:sz w:val="24"/>
          <w:szCs w:val="24"/>
          <w:lang w:val="en-US" w:eastAsia="zh-CN"/>
        </w:rPr>
        <w:t xml:space="preserve"> </w:t>
      </w:r>
      <w:proofErr w:type="spellStart"/>
      <w:r w:rsidRPr="00564DBC">
        <w:rPr>
          <w:rFonts w:ascii="Book Antiqua" w:eastAsia="宋体" w:hAnsi="Book Antiqua" w:cs="宋体"/>
          <w:i/>
          <w:iCs/>
          <w:sz w:val="24"/>
          <w:szCs w:val="24"/>
          <w:lang w:val="en-US" w:eastAsia="zh-CN"/>
        </w:rPr>
        <w:t>Pathol</w:t>
      </w:r>
      <w:proofErr w:type="spellEnd"/>
      <w:r w:rsidRPr="00564DBC">
        <w:rPr>
          <w:rFonts w:ascii="Book Antiqua" w:eastAsia="宋体" w:hAnsi="Book Antiqua" w:cs="宋体"/>
          <w:sz w:val="24"/>
          <w:szCs w:val="24"/>
          <w:lang w:val="en-US" w:eastAsia="zh-CN"/>
        </w:rPr>
        <w:t xml:space="preserve"> 1991; </w:t>
      </w:r>
      <w:r w:rsidRPr="00564DBC">
        <w:rPr>
          <w:rFonts w:ascii="Book Antiqua" w:eastAsia="宋体" w:hAnsi="Book Antiqua" w:cs="宋体"/>
          <w:b/>
          <w:bCs/>
          <w:sz w:val="24"/>
          <w:szCs w:val="24"/>
          <w:lang w:val="en-US" w:eastAsia="zh-CN"/>
        </w:rPr>
        <w:t>15</w:t>
      </w:r>
      <w:r w:rsidRPr="00564DBC">
        <w:rPr>
          <w:rFonts w:ascii="Book Antiqua" w:eastAsia="宋体" w:hAnsi="Book Antiqua" w:cs="宋体"/>
          <w:sz w:val="24"/>
          <w:szCs w:val="24"/>
          <w:lang w:val="en-US" w:eastAsia="zh-CN"/>
        </w:rPr>
        <w:t>: 17-27 [PMID: 1985499 DOI: 10.1097/00000478-199101000-00002]</w:t>
      </w:r>
    </w:p>
    <w:p w:rsidR="00906D1E" w:rsidRPr="00564DBC" w:rsidRDefault="00221345" w:rsidP="00564DBC">
      <w:pPr>
        <w:widowControl w:val="0"/>
        <w:spacing w:after="0" w:line="360" w:lineRule="auto"/>
        <w:jc w:val="both"/>
        <w:rPr>
          <w:rFonts w:ascii="Book Antiqua" w:eastAsia="宋体" w:hAnsi="Book Antiqua" w:cs="宋体"/>
          <w:sz w:val="24"/>
          <w:szCs w:val="24"/>
          <w:lang w:val="en-US" w:eastAsia="zh-CN"/>
        </w:rPr>
      </w:pPr>
      <w:r w:rsidRPr="00564DBC">
        <w:rPr>
          <w:rFonts w:ascii="Book Antiqua" w:eastAsia="宋体" w:hAnsi="Book Antiqua" w:cs="宋体"/>
          <w:sz w:val="24"/>
          <w:szCs w:val="24"/>
          <w:lang w:val="en-US" w:eastAsia="zh-CN"/>
        </w:rPr>
        <w:t xml:space="preserve">2 </w:t>
      </w:r>
      <w:r w:rsidR="00906D1E" w:rsidRPr="00564DBC">
        <w:rPr>
          <w:rFonts w:ascii="Book Antiqua" w:eastAsia="宋体" w:hAnsi="Book Antiqua" w:cs="宋体"/>
          <w:b/>
          <w:sz w:val="24"/>
          <w:szCs w:val="24"/>
          <w:lang w:val="en-US" w:eastAsia="zh-CN"/>
        </w:rPr>
        <w:t>Jaffe ES</w:t>
      </w:r>
      <w:r w:rsidR="00906D1E" w:rsidRPr="00564DBC">
        <w:rPr>
          <w:rFonts w:ascii="Book Antiqua" w:eastAsia="宋体" w:hAnsi="Book Antiqua" w:cs="宋体"/>
          <w:sz w:val="24"/>
          <w:szCs w:val="24"/>
          <w:lang w:val="en-US" w:eastAsia="zh-CN"/>
        </w:rPr>
        <w:t xml:space="preserve">, </w:t>
      </w:r>
      <w:proofErr w:type="spellStart"/>
      <w:r w:rsidR="00906D1E" w:rsidRPr="00564DBC">
        <w:rPr>
          <w:rFonts w:ascii="Book Antiqua" w:eastAsia="宋体" w:hAnsi="Book Antiqua" w:cs="宋体"/>
          <w:sz w:val="24"/>
          <w:szCs w:val="24"/>
          <w:lang w:val="en-US" w:eastAsia="zh-CN"/>
        </w:rPr>
        <w:t>Gaulard</w:t>
      </w:r>
      <w:proofErr w:type="spellEnd"/>
      <w:r w:rsidR="00906D1E" w:rsidRPr="00564DBC">
        <w:rPr>
          <w:rFonts w:ascii="Book Antiqua" w:eastAsia="宋体" w:hAnsi="Book Antiqua" w:cs="宋体"/>
          <w:sz w:val="24"/>
          <w:szCs w:val="24"/>
          <w:lang w:val="en-US" w:eastAsia="zh-CN"/>
        </w:rPr>
        <w:t xml:space="preserve"> P, </w:t>
      </w:r>
      <w:proofErr w:type="spellStart"/>
      <w:r w:rsidR="00906D1E" w:rsidRPr="00564DBC">
        <w:rPr>
          <w:rFonts w:ascii="Book Antiqua" w:eastAsia="宋体" w:hAnsi="Book Antiqua" w:cs="宋体"/>
          <w:sz w:val="24"/>
          <w:szCs w:val="24"/>
          <w:lang w:val="en-US" w:eastAsia="zh-CN"/>
        </w:rPr>
        <w:t>Ralfkiaer</w:t>
      </w:r>
      <w:proofErr w:type="spellEnd"/>
      <w:r w:rsidR="00906D1E" w:rsidRPr="00564DBC">
        <w:rPr>
          <w:rFonts w:ascii="Book Antiqua" w:eastAsia="宋体" w:hAnsi="Book Antiqua" w:cs="宋体"/>
          <w:sz w:val="24"/>
          <w:szCs w:val="24"/>
          <w:lang w:val="en-US" w:eastAsia="zh-CN"/>
        </w:rPr>
        <w:t xml:space="preserve"> E, </w:t>
      </w:r>
      <w:proofErr w:type="spellStart"/>
      <w:r w:rsidR="00906D1E" w:rsidRPr="00564DBC">
        <w:rPr>
          <w:rFonts w:ascii="Book Antiqua" w:eastAsia="宋体" w:hAnsi="Book Antiqua" w:cs="宋体"/>
          <w:sz w:val="24"/>
          <w:szCs w:val="24"/>
          <w:lang w:val="en-US" w:eastAsia="zh-CN"/>
        </w:rPr>
        <w:t>Cerroni</w:t>
      </w:r>
      <w:proofErr w:type="spellEnd"/>
      <w:r w:rsidR="00906D1E" w:rsidRPr="00564DBC">
        <w:rPr>
          <w:rFonts w:ascii="Book Antiqua" w:eastAsia="宋体" w:hAnsi="Book Antiqua" w:cs="宋体"/>
          <w:sz w:val="24"/>
          <w:szCs w:val="24"/>
          <w:lang w:val="en-US" w:eastAsia="zh-CN"/>
        </w:rPr>
        <w:t xml:space="preserve"> L, Meijer C.J.L.M. Subcutaneous panniculitis-like T-cell lymphoma. In: </w:t>
      </w:r>
      <w:proofErr w:type="spellStart"/>
      <w:r w:rsidR="00906D1E" w:rsidRPr="00564DBC">
        <w:rPr>
          <w:rFonts w:ascii="Book Antiqua" w:eastAsia="宋体" w:hAnsi="Book Antiqua" w:cs="宋体"/>
          <w:sz w:val="24"/>
          <w:szCs w:val="24"/>
          <w:lang w:val="en-US" w:eastAsia="zh-CN"/>
        </w:rPr>
        <w:t>Swerdlow</w:t>
      </w:r>
      <w:proofErr w:type="spellEnd"/>
      <w:r w:rsidR="00906D1E" w:rsidRPr="00564DBC">
        <w:rPr>
          <w:rFonts w:ascii="Book Antiqua" w:eastAsia="宋体" w:hAnsi="Book Antiqua" w:cs="宋体"/>
          <w:sz w:val="24"/>
          <w:szCs w:val="24"/>
          <w:lang w:val="en-US" w:eastAsia="zh-CN"/>
        </w:rPr>
        <w:t xml:space="preserve"> SH, Campo E, Harris NL, et al., editors. </w:t>
      </w:r>
      <w:proofErr w:type="gramStart"/>
      <w:r w:rsidR="00906D1E" w:rsidRPr="00564DBC">
        <w:rPr>
          <w:rFonts w:ascii="Book Antiqua" w:eastAsia="宋体" w:hAnsi="Book Antiqua" w:cs="宋体"/>
          <w:sz w:val="24"/>
          <w:szCs w:val="24"/>
          <w:lang w:val="en-US" w:eastAsia="zh-CN"/>
        </w:rPr>
        <w:t xml:space="preserve">WHO Classification of Tumors of </w:t>
      </w:r>
      <w:proofErr w:type="spellStart"/>
      <w:r w:rsidR="00906D1E" w:rsidRPr="00564DBC">
        <w:rPr>
          <w:rFonts w:ascii="Book Antiqua" w:eastAsia="宋体" w:hAnsi="Book Antiqua" w:cs="宋体"/>
          <w:sz w:val="24"/>
          <w:szCs w:val="24"/>
          <w:lang w:val="en-US" w:eastAsia="zh-CN"/>
        </w:rPr>
        <w:t>Haematopoietic</w:t>
      </w:r>
      <w:proofErr w:type="spellEnd"/>
      <w:r w:rsidR="00906D1E" w:rsidRPr="00564DBC">
        <w:rPr>
          <w:rFonts w:ascii="Book Antiqua" w:eastAsia="宋体" w:hAnsi="Book Antiqua" w:cs="宋体"/>
          <w:sz w:val="24"/>
          <w:szCs w:val="24"/>
          <w:lang w:val="en-US" w:eastAsia="zh-CN"/>
        </w:rPr>
        <w:t xml:space="preserve"> and Lymphoid Tissues.</w:t>
      </w:r>
      <w:proofErr w:type="gramEnd"/>
      <w:r w:rsidR="00906D1E" w:rsidRPr="00564DBC">
        <w:rPr>
          <w:rFonts w:ascii="Book Antiqua" w:eastAsia="宋体" w:hAnsi="Book Antiqua" w:cs="宋体"/>
          <w:sz w:val="24"/>
          <w:szCs w:val="24"/>
          <w:lang w:val="en-US" w:eastAsia="zh-CN"/>
        </w:rPr>
        <w:t xml:space="preserve"> Lyon: IARC, 2008: 294</w:t>
      </w:r>
      <w:r w:rsidRPr="00564DBC">
        <w:rPr>
          <w:rFonts w:ascii="Book Antiqua" w:eastAsia="宋体" w:hAnsi="Book Antiqua" w:cs="宋体" w:hint="eastAsia"/>
          <w:sz w:val="24"/>
          <w:szCs w:val="24"/>
          <w:lang w:val="en-US" w:eastAsia="zh-CN"/>
        </w:rPr>
        <w:t>-</w:t>
      </w:r>
      <w:r w:rsidR="00906D1E" w:rsidRPr="00564DBC">
        <w:rPr>
          <w:rFonts w:ascii="Book Antiqua" w:eastAsia="宋体" w:hAnsi="Book Antiqua" w:cs="宋体"/>
          <w:sz w:val="24"/>
          <w:szCs w:val="24"/>
          <w:lang w:val="en-US" w:eastAsia="zh-CN"/>
        </w:rPr>
        <w:t>295</w:t>
      </w:r>
    </w:p>
    <w:p w:rsidR="00906D1E" w:rsidRPr="00564DBC" w:rsidRDefault="00906D1E" w:rsidP="00564DBC">
      <w:pPr>
        <w:widowControl w:val="0"/>
        <w:spacing w:after="0" w:line="360" w:lineRule="auto"/>
        <w:jc w:val="both"/>
        <w:rPr>
          <w:rFonts w:ascii="Book Antiqua" w:eastAsia="宋体" w:hAnsi="Book Antiqua" w:cs="宋体"/>
          <w:sz w:val="24"/>
          <w:szCs w:val="24"/>
          <w:lang w:val="en-US" w:eastAsia="zh-CN"/>
        </w:rPr>
      </w:pPr>
      <w:r w:rsidRPr="00564DBC">
        <w:rPr>
          <w:rFonts w:ascii="Book Antiqua" w:eastAsia="宋体" w:hAnsi="Book Antiqua" w:cs="宋体"/>
          <w:sz w:val="24"/>
          <w:szCs w:val="24"/>
          <w:lang w:val="en-US" w:eastAsia="zh-CN"/>
        </w:rPr>
        <w:t xml:space="preserve">3 </w:t>
      </w:r>
      <w:r w:rsidRPr="00564DBC">
        <w:rPr>
          <w:rFonts w:ascii="Book Antiqua" w:eastAsia="宋体" w:hAnsi="Book Antiqua" w:cs="宋体"/>
          <w:b/>
          <w:bCs/>
          <w:sz w:val="24"/>
          <w:szCs w:val="24"/>
          <w:lang w:val="en-US" w:eastAsia="zh-CN"/>
        </w:rPr>
        <w:t>Go RS</w:t>
      </w:r>
      <w:r w:rsidRPr="00564DBC">
        <w:rPr>
          <w:rFonts w:ascii="Book Antiqua" w:eastAsia="宋体" w:hAnsi="Book Antiqua" w:cs="宋体"/>
          <w:sz w:val="24"/>
          <w:szCs w:val="24"/>
          <w:lang w:val="en-US" w:eastAsia="zh-CN"/>
        </w:rPr>
        <w:t xml:space="preserve">, Wester SM. </w:t>
      </w:r>
      <w:proofErr w:type="spellStart"/>
      <w:r w:rsidRPr="00564DBC">
        <w:rPr>
          <w:rFonts w:ascii="Book Antiqua" w:eastAsia="宋体" w:hAnsi="Book Antiqua" w:cs="宋体"/>
          <w:sz w:val="24"/>
          <w:szCs w:val="24"/>
          <w:lang w:val="en-US" w:eastAsia="zh-CN"/>
        </w:rPr>
        <w:t>Immunophenotypic</w:t>
      </w:r>
      <w:proofErr w:type="spellEnd"/>
      <w:r w:rsidRPr="00564DBC">
        <w:rPr>
          <w:rFonts w:ascii="Book Antiqua" w:eastAsia="宋体" w:hAnsi="Book Antiqua" w:cs="宋体"/>
          <w:sz w:val="24"/>
          <w:szCs w:val="24"/>
          <w:lang w:val="en-US" w:eastAsia="zh-CN"/>
        </w:rPr>
        <w:t xml:space="preserve"> and molecular features, clinical outcomes, treatments, and prognostic factors associated with subcutaneous panniculitis-like T-cell lymphoma: a systematic analysis of 156 patients reported in the literature. </w:t>
      </w:r>
      <w:r w:rsidRPr="00564DBC">
        <w:rPr>
          <w:rFonts w:ascii="Book Antiqua" w:eastAsia="宋体" w:hAnsi="Book Antiqua" w:cs="宋体"/>
          <w:i/>
          <w:iCs/>
          <w:sz w:val="24"/>
          <w:szCs w:val="24"/>
          <w:lang w:val="en-US" w:eastAsia="zh-CN"/>
        </w:rPr>
        <w:t>Cancer</w:t>
      </w:r>
      <w:r w:rsidRPr="00564DBC">
        <w:rPr>
          <w:rFonts w:ascii="Book Antiqua" w:eastAsia="宋体" w:hAnsi="Book Antiqua" w:cs="宋体"/>
          <w:sz w:val="24"/>
          <w:szCs w:val="24"/>
          <w:lang w:val="en-US" w:eastAsia="zh-CN"/>
        </w:rPr>
        <w:t xml:space="preserve"> 2004; </w:t>
      </w:r>
      <w:r w:rsidRPr="00564DBC">
        <w:rPr>
          <w:rFonts w:ascii="Book Antiqua" w:eastAsia="宋体" w:hAnsi="Book Antiqua" w:cs="宋体"/>
          <w:b/>
          <w:bCs/>
          <w:sz w:val="24"/>
          <w:szCs w:val="24"/>
          <w:lang w:val="en-US" w:eastAsia="zh-CN"/>
        </w:rPr>
        <w:t>101</w:t>
      </w:r>
      <w:r w:rsidRPr="00564DBC">
        <w:rPr>
          <w:rFonts w:ascii="Book Antiqua" w:eastAsia="宋体" w:hAnsi="Book Antiqua" w:cs="宋体"/>
          <w:sz w:val="24"/>
          <w:szCs w:val="24"/>
          <w:lang w:val="en-US" w:eastAsia="zh-CN"/>
        </w:rPr>
        <w:t>: 1404-1413 [PMID: 15368328 DOI: 10.1002/cncr.20502]</w:t>
      </w:r>
    </w:p>
    <w:p w:rsidR="00906D1E" w:rsidRPr="00564DBC" w:rsidRDefault="00906D1E" w:rsidP="00564DBC">
      <w:pPr>
        <w:widowControl w:val="0"/>
        <w:spacing w:after="0" w:line="360" w:lineRule="auto"/>
        <w:jc w:val="both"/>
        <w:rPr>
          <w:rFonts w:ascii="Book Antiqua" w:eastAsia="宋体" w:hAnsi="Book Antiqua" w:cs="宋体"/>
          <w:sz w:val="24"/>
          <w:szCs w:val="24"/>
          <w:lang w:val="en-US" w:eastAsia="zh-CN"/>
        </w:rPr>
      </w:pPr>
      <w:r w:rsidRPr="00564DBC">
        <w:rPr>
          <w:rFonts w:ascii="Book Antiqua" w:eastAsia="宋体" w:hAnsi="Book Antiqua" w:cs="宋体"/>
          <w:sz w:val="24"/>
          <w:szCs w:val="24"/>
          <w:lang w:val="en-US" w:eastAsia="zh-CN"/>
        </w:rPr>
        <w:t xml:space="preserve">4 </w:t>
      </w:r>
      <w:proofErr w:type="spellStart"/>
      <w:r w:rsidRPr="00564DBC">
        <w:rPr>
          <w:rFonts w:ascii="Book Antiqua" w:eastAsia="宋体" w:hAnsi="Book Antiqua" w:cs="宋体"/>
          <w:b/>
          <w:bCs/>
          <w:sz w:val="24"/>
          <w:szCs w:val="24"/>
          <w:lang w:val="en-US" w:eastAsia="zh-CN"/>
        </w:rPr>
        <w:t>Willemze</w:t>
      </w:r>
      <w:proofErr w:type="spellEnd"/>
      <w:r w:rsidRPr="00564DBC">
        <w:rPr>
          <w:rFonts w:ascii="Book Antiqua" w:eastAsia="宋体" w:hAnsi="Book Antiqua" w:cs="宋体"/>
          <w:b/>
          <w:bCs/>
          <w:sz w:val="24"/>
          <w:szCs w:val="24"/>
          <w:lang w:val="en-US" w:eastAsia="zh-CN"/>
        </w:rPr>
        <w:t xml:space="preserve"> R</w:t>
      </w:r>
      <w:r w:rsidRPr="00564DBC">
        <w:rPr>
          <w:rFonts w:ascii="Book Antiqua" w:eastAsia="宋体" w:hAnsi="Book Antiqua" w:cs="宋体"/>
          <w:sz w:val="24"/>
          <w:szCs w:val="24"/>
          <w:lang w:val="en-US" w:eastAsia="zh-CN"/>
        </w:rPr>
        <w:t xml:space="preserve">, Jansen PM, </w:t>
      </w:r>
      <w:proofErr w:type="spellStart"/>
      <w:r w:rsidRPr="00564DBC">
        <w:rPr>
          <w:rFonts w:ascii="Book Antiqua" w:eastAsia="宋体" w:hAnsi="Book Antiqua" w:cs="宋体"/>
          <w:sz w:val="24"/>
          <w:szCs w:val="24"/>
          <w:lang w:val="en-US" w:eastAsia="zh-CN"/>
        </w:rPr>
        <w:t>Cerroni</w:t>
      </w:r>
      <w:proofErr w:type="spellEnd"/>
      <w:r w:rsidRPr="00564DBC">
        <w:rPr>
          <w:rFonts w:ascii="Book Antiqua" w:eastAsia="宋体" w:hAnsi="Book Antiqua" w:cs="宋体"/>
          <w:sz w:val="24"/>
          <w:szCs w:val="24"/>
          <w:lang w:val="en-US" w:eastAsia="zh-CN"/>
        </w:rPr>
        <w:t xml:space="preserve"> L, </w:t>
      </w:r>
      <w:proofErr w:type="spellStart"/>
      <w:r w:rsidRPr="00564DBC">
        <w:rPr>
          <w:rFonts w:ascii="Book Antiqua" w:eastAsia="宋体" w:hAnsi="Book Antiqua" w:cs="宋体"/>
          <w:sz w:val="24"/>
          <w:szCs w:val="24"/>
          <w:lang w:val="en-US" w:eastAsia="zh-CN"/>
        </w:rPr>
        <w:t>Berti</w:t>
      </w:r>
      <w:proofErr w:type="spellEnd"/>
      <w:r w:rsidRPr="00564DBC">
        <w:rPr>
          <w:rFonts w:ascii="Book Antiqua" w:eastAsia="宋体" w:hAnsi="Book Antiqua" w:cs="宋体"/>
          <w:sz w:val="24"/>
          <w:szCs w:val="24"/>
          <w:lang w:val="en-US" w:eastAsia="zh-CN"/>
        </w:rPr>
        <w:t xml:space="preserve"> E, </w:t>
      </w:r>
      <w:proofErr w:type="spellStart"/>
      <w:r w:rsidRPr="00564DBC">
        <w:rPr>
          <w:rFonts w:ascii="Book Antiqua" w:eastAsia="宋体" w:hAnsi="Book Antiqua" w:cs="宋体"/>
          <w:sz w:val="24"/>
          <w:szCs w:val="24"/>
          <w:lang w:val="en-US" w:eastAsia="zh-CN"/>
        </w:rPr>
        <w:t>Santucci</w:t>
      </w:r>
      <w:proofErr w:type="spellEnd"/>
      <w:r w:rsidRPr="00564DBC">
        <w:rPr>
          <w:rFonts w:ascii="Book Antiqua" w:eastAsia="宋体" w:hAnsi="Book Antiqua" w:cs="宋体"/>
          <w:sz w:val="24"/>
          <w:szCs w:val="24"/>
          <w:lang w:val="en-US" w:eastAsia="zh-CN"/>
        </w:rPr>
        <w:t xml:space="preserve"> M, </w:t>
      </w:r>
      <w:proofErr w:type="spellStart"/>
      <w:r w:rsidRPr="00564DBC">
        <w:rPr>
          <w:rFonts w:ascii="Book Antiqua" w:eastAsia="宋体" w:hAnsi="Book Antiqua" w:cs="宋体"/>
          <w:sz w:val="24"/>
          <w:szCs w:val="24"/>
          <w:lang w:val="en-US" w:eastAsia="zh-CN"/>
        </w:rPr>
        <w:t>Assaf</w:t>
      </w:r>
      <w:proofErr w:type="spellEnd"/>
      <w:r w:rsidRPr="00564DBC">
        <w:rPr>
          <w:rFonts w:ascii="Book Antiqua" w:eastAsia="宋体" w:hAnsi="Book Antiqua" w:cs="宋体"/>
          <w:sz w:val="24"/>
          <w:szCs w:val="24"/>
          <w:lang w:val="en-US" w:eastAsia="zh-CN"/>
        </w:rPr>
        <w:t xml:space="preserve"> C, </w:t>
      </w:r>
      <w:proofErr w:type="spellStart"/>
      <w:r w:rsidRPr="00564DBC">
        <w:rPr>
          <w:rFonts w:ascii="Book Antiqua" w:eastAsia="宋体" w:hAnsi="Book Antiqua" w:cs="宋体"/>
          <w:sz w:val="24"/>
          <w:szCs w:val="24"/>
          <w:lang w:val="en-US" w:eastAsia="zh-CN"/>
        </w:rPr>
        <w:t>Canninga</w:t>
      </w:r>
      <w:proofErr w:type="spellEnd"/>
      <w:r w:rsidRPr="00564DBC">
        <w:rPr>
          <w:rFonts w:ascii="Book Antiqua" w:eastAsia="宋体" w:hAnsi="Book Antiqua" w:cs="宋体"/>
          <w:sz w:val="24"/>
          <w:szCs w:val="24"/>
          <w:lang w:val="en-US" w:eastAsia="zh-CN"/>
        </w:rPr>
        <w:t xml:space="preserve">-van </w:t>
      </w:r>
      <w:proofErr w:type="spellStart"/>
      <w:r w:rsidRPr="00564DBC">
        <w:rPr>
          <w:rFonts w:ascii="Book Antiqua" w:eastAsia="宋体" w:hAnsi="Book Antiqua" w:cs="宋体"/>
          <w:sz w:val="24"/>
          <w:szCs w:val="24"/>
          <w:lang w:val="en-US" w:eastAsia="zh-CN"/>
        </w:rPr>
        <w:t>Dijk</w:t>
      </w:r>
      <w:proofErr w:type="spellEnd"/>
      <w:r w:rsidRPr="00564DBC">
        <w:rPr>
          <w:rFonts w:ascii="Book Antiqua" w:eastAsia="宋体" w:hAnsi="Book Antiqua" w:cs="宋体"/>
          <w:sz w:val="24"/>
          <w:szCs w:val="24"/>
          <w:lang w:val="en-US" w:eastAsia="zh-CN"/>
        </w:rPr>
        <w:t xml:space="preserve"> MR, </w:t>
      </w:r>
      <w:proofErr w:type="spellStart"/>
      <w:r w:rsidRPr="00564DBC">
        <w:rPr>
          <w:rFonts w:ascii="Book Antiqua" w:eastAsia="宋体" w:hAnsi="Book Antiqua" w:cs="宋体"/>
          <w:sz w:val="24"/>
          <w:szCs w:val="24"/>
          <w:lang w:val="en-US" w:eastAsia="zh-CN"/>
        </w:rPr>
        <w:t>Carlotti</w:t>
      </w:r>
      <w:proofErr w:type="spellEnd"/>
      <w:r w:rsidRPr="00564DBC">
        <w:rPr>
          <w:rFonts w:ascii="Book Antiqua" w:eastAsia="宋体" w:hAnsi="Book Antiqua" w:cs="宋体"/>
          <w:sz w:val="24"/>
          <w:szCs w:val="24"/>
          <w:lang w:val="en-US" w:eastAsia="zh-CN"/>
        </w:rPr>
        <w:t xml:space="preserve"> A, </w:t>
      </w:r>
      <w:proofErr w:type="spellStart"/>
      <w:r w:rsidRPr="00564DBC">
        <w:rPr>
          <w:rFonts w:ascii="Book Antiqua" w:eastAsia="宋体" w:hAnsi="Book Antiqua" w:cs="宋体"/>
          <w:sz w:val="24"/>
          <w:szCs w:val="24"/>
          <w:lang w:val="en-US" w:eastAsia="zh-CN"/>
        </w:rPr>
        <w:t>Geerts</w:t>
      </w:r>
      <w:proofErr w:type="spellEnd"/>
      <w:r w:rsidRPr="00564DBC">
        <w:rPr>
          <w:rFonts w:ascii="Book Antiqua" w:eastAsia="宋体" w:hAnsi="Book Antiqua" w:cs="宋体"/>
          <w:sz w:val="24"/>
          <w:szCs w:val="24"/>
          <w:lang w:val="en-US" w:eastAsia="zh-CN"/>
        </w:rPr>
        <w:t xml:space="preserve"> ML, </w:t>
      </w:r>
      <w:proofErr w:type="spellStart"/>
      <w:r w:rsidRPr="00564DBC">
        <w:rPr>
          <w:rFonts w:ascii="Book Antiqua" w:eastAsia="宋体" w:hAnsi="Book Antiqua" w:cs="宋体"/>
          <w:sz w:val="24"/>
          <w:szCs w:val="24"/>
          <w:lang w:val="en-US" w:eastAsia="zh-CN"/>
        </w:rPr>
        <w:t>Hahtola</w:t>
      </w:r>
      <w:proofErr w:type="spellEnd"/>
      <w:r w:rsidRPr="00564DBC">
        <w:rPr>
          <w:rFonts w:ascii="Book Antiqua" w:eastAsia="宋体" w:hAnsi="Book Antiqua" w:cs="宋体"/>
          <w:sz w:val="24"/>
          <w:szCs w:val="24"/>
          <w:lang w:val="en-US" w:eastAsia="zh-CN"/>
        </w:rPr>
        <w:t xml:space="preserve"> S, Hummel M, </w:t>
      </w:r>
      <w:proofErr w:type="spellStart"/>
      <w:r w:rsidRPr="00564DBC">
        <w:rPr>
          <w:rFonts w:ascii="Book Antiqua" w:eastAsia="宋体" w:hAnsi="Book Antiqua" w:cs="宋体"/>
          <w:sz w:val="24"/>
          <w:szCs w:val="24"/>
          <w:lang w:val="en-US" w:eastAsia="zh-CN"/>
        </w:rPr>
        <w:t>Jeskanen</w:t>
      </w:r>
      <w:proofErr w:type="spellEnd"/>
      <w:r w:rsidRPr="00564DBC">
        <w:rPr>
          <w:rFonts w:ascii="Book Antiqua" w:eastAsia="宋体" w:hAnsi="Book Antiqua" w:cs="宋体"/>
          <w:sz w:val="24"/>
          <w:szCs w:val="24"/>
          <w:lang w:val="en-US" w:eastAsia="zh-CN"/>
        </w:rPr>
        <w:t xml:space="preserve"> L, </w:t>
      </w:r>
      <w:proofErr w:type="spellStart"/>
      <w:r w:rsidRPr="00564DBC">
        <w:rPr>
          <w:rFonts w:ascii="Book Antiqua" w:eastAsia="宋体" w:hAnsi="Book Antiqua" w:cs="宋体"/>
          <w:sz w:val="24"/>
          <w:szCs w:val="24"/>
          <w:lang w:val="en-US" w:eastAsia="zh-CN"/>
        </w:rPr>
        <w:t>Kempf</w:t>
      </w:r>
      <w:proofErr w:type="spellEnd"/>
      <w:r w:rsidRPr="00564DBC">
        <w:rPr>
          <w:rFonts w:ascii="Book Antiqua" w:eastAsia="宋体" w:hAnsi="Book Antiqua" w:cs="宋体"/>
          <w:sz w:val="24"/>
          <w:szCs w:val="24"/>
          <w:lang w:val="en-US" w:eastAsia="zh-CN"/>
        </w:rPr>
        <w:t xml:space="preserve"> W, </w:t>
      </w:r>
      <w:proofErr w:type="spellStart"/>
      <w:r w:rsidRPr="00564DBC">
        <w:rPr>
          <w:rFonts w:ascii="Book Antiqua" w:eastAsia="宋体" w:hAnsi="Book Antiqua" w:cs="宋体"/>
          <w:sz w:val="24"/>
          <w:szCs w:val="24"/>
          <w:lang w:val="en-US" w:eastAsia="zh-CN"/>
        </w:rPr>
        <w:t>Massone</w:t>
      </w:r>
      <w:proofErr w:type="spellEnd"/>
      <w:r w:rsidRPr="00564DBC">
        <w:rPr>
          <w:rFonts w:ascii="Book Antiqua" w:eastAsia="宋体" w:hAnsi="Book Antiqua" w:cs="宋体"/>
          <w:sz w:val="24"/>
          <w:szCs w:val="24"/>
          <w:lang w:val="en-US" w:eastAsia="zh-CN"/>
        </w:rPr>
        <w:t xml:space="preserve"> C, Ortiz-Romero PL, </w:t>
      </w:r>
      <w:proofErr w:type="spellStart"/>
      <w:r w:rsidRPr="00564DBC">
        <w:rPr>
          <w:rFonts w:ascii="Book Antiqua" w:eastAsia="宋体" w:hAnsi="Book Antiqua" w:cs="宋体"/>
          <w:sz w:val="24"/>
          <w:szCs w:val="24"/>
          <w:lang w:val="en-US" w:eastAsia="zh-CN"/>
        </w:rPr>
        <w:t>Paulli</w:t>
      </w:r>
      <w:proofErr w:type="spellEnd"/>
      <w:r w:rsidRPr="00564DBC">
        <w:rPr>
          <w:rFonts w:ascii="Book Antiqua" w:eastAsia="宋体" w:hAnsi="Book Antiqua" w:cs="宋体"/>
          <w:sz w:val="24"/>
          <w:szCs w:val="24"/>
          <w:lang w:val="en-US" w:eastAsia="zh-CN"/>
        </w:rPr>
        <w:t xml:space="preserve"> M, </w:t>
      </w:r>
      <w:proofErr w:type="spellStart"/>
      <w:r w:rsidRPr="00564DBC">
        <w:rPr>
          <w:rFonts w:ascii="Book Antiqua" w:eastAsia="宋体" w:hAnsi="Book Antiqua" w:cs="宋体"/>
          <w:sz w:val="24"/>
          <w:szCs w:val="24"/>
          <w:lang w:val="en-US" w:eastAsia="zh-CN"/>
        </w:rPr>
        <w:t>Petrella</w:t>
      </w:r>
      <w:proofErr w:type="spellEnd"/>
      <w:r w:rsidRPr="00564DBC">
        <w:rPr>
          <w:rFonts w:ascii="Book Antiqua" w:eastAsia="宋体" w:hAnsi="Book Antiqua" w:cs="宋体"/>
          <w:sz w:val="24"/>
          <w:szCs w:val="24"/>
          <w:lang w:val="en-US" w:eastAsia="zh-CN"/>
        </w:rPr>
        <w:t xml:space="preserve"> T, </w:t>
      </w:r>
      <w:proofErr w:type="spellStart"/>
      <w:r w:rsidRPr="00564DBC">
        <w:rPr>
          <w:rFonts w:ascii="Book Antiqua" w:eastAsia="宋体" w:hAnsi="Book Antiqua" w:cs="宋体"/>
          <w:sz w:val="24"/>
          <w:szCs w:val="24"/>
          <w:lang w:val="en-US" w:eastAsia="zh-CN"/>
        </w:rPr>
        <w:t>Ranki</w:t>
      </w:r>
      <w:proofErr w:type="spellEnd"/>
      <w:r w:rsidRPr="00564DBC">
        <w:rPr>
          <w:rFonts w:ascii="Book Antiqua" w:eastAsia="宋体" w:hAnsi="Book Antiqua" w:cs="宋体"/>
          <w:sz w:val="24"/>
          <w:szCs w:val="24"/>
          <w:lang w:val="en-US" w:eastAsia="zh-CN"/>
        </w:rPr>
        <w:t xml:space="preserve"> A, </w:t>
      </w:r>
      <w:proofErr w:type="spellStart"/>
      <w:r w:rsidRPr="00564DBC">
        <w:rPr>
          <w:rFonts w:ascii="Book Antiqua" w:eastAsia="宋体" w:hAnsi="Book Antiqua" w:cs="宋体"/>
          <w:sz w:val="24"/>
          <w:szCs w:val="24"/>
          <w:lang w:val="en-US" w:eastAsia="zh-CN"/>
        </w:rPr>
        <w:t>Peralto</w:t>
      </w:r>
      <w:proofErr w:type="spellEnd"/>
      <w:r w:rsidRPr="00564DBC">
        <w:rPr>
          <w:rFonts w:ascii="Book Antiqua" w:eastAsia="宋体" w:hAnsi="Book Antiqua" w:cs="宋体"/>
          <w:sz w:val="24"/>
          <w:szCs w:val="24"/>
          <w:lang w:val="en-US" w:eastAsia="zh-CN"/>
        </w:rPr>
        <w:t xml:space="preserve"> JL, Robson A, </w:t>
      </w:r>
      <w:proofErr w:type="spellStart"/>
      <w:r w:rsidRPr="00564DBC">
        <w:rPr>
          <w:rFonts w:ascii="Book Antiqua" w:eastAsia="宋体" w:hAnsi="Book Antiqua" w:cs="宋体"/>
          <w:sz w:val="24"/>
          <w:szCs w:val="24"/>
          <w:lang w:val="en-US" w:eastAsia="zh-CN"/>
        </w:rPr>
        <w:t>Senff</w:t>
      </w:r>
      <w:proofErr w:type="spellEnd"/>
      <w:r w:rsidRPr="00564DBC">
        <w:rPr>
          <w:rFonts w:ascii="Book Antiqua" w:eastAsia="宋体" w:hAnsi="Book Antiqua" w:cs="宋体"/>
          <w:sz w:val="24"/>
          <w:szCs w:val="24"/>
          <w:lang w:val="en-US" w:eastAsia="zh-CN"/>
        </w:rPr>
        <w:t xml:space="preserve"> NJ, Vermeer MH, Wechsler J, Whittaker S, Meijer CJ. Subcutaneous panniculitis-like T-cell lymphoma: definition, classification, and prognostic factors: an EORTC Cutaneous Lymphoma Group Study of 83 cases. </w:t>
      </w:r>
      <w:r w:rsidRPr="00564DBC">
        <w:rPr>
          <w:rFonts w:ascii="Book Antiqua" w:eastAsia="宋体" w:hAnsi="Book Antiqua" w:cs="宋体"/>
          <w:i/>
          <w:iCs/>
          <w:sz w:val="24"/>
          <w:szCs w:val="24"/>
          <w:lang w:val="en-US" w:eastAsia="zh-CN"/>
        </w:rPr>
        <w:t>Blood</w:t>
      </w:r>
      <w:r w:rsidRPr="00564DBC">
        <w:rPr>
          <w:rFonts w:ascii="Book Antiqua" w:eastAsia="宋体" w:hAnsi="Book Antiqua" w:cs="宋体"/>
          <w:sz w:val="24"/>
          <w:szCs w:val="24"/>
          <w:lang w:val="en-US" w:eastAsia="zh-CN"/>
        </w:rPr>
        <w:t xml:space="preserve"> 2008; </w:t>
      </w:r>
      <w:r w:rsidRPr="00564DBC">
        <w:rPr>
          <w:rFonts w:ascii="Book Antiqua" w:eastAsia="宋体" w:hAnsi="Book Antiqua" w:cs="宋体"/>
          <w:b/>
          <w:bCs/>
          <w:sz w:val="24"/>
          <w:szCs w:val="24"/>
          <w:lang w:val="en-US" w:eastAsia="zh-CN"/>
        </w:rPr>
        <w:t>111</w:t>
      </w:r>
      <w:r w:rsidRPr="00564DBC">
        <w:rPr>
          <w:rFonts w:ascii="Book Antiqua" w:eastAsia="宋体" w:hAnsi="Book Antiqua" w:cs="宋体"/>
          <w:sz w:val="24"/>
          <w:szCs w:val="24"/>
          <w:lang w:val="en-US" w:eastAsia="zh-CN"/>
        </w:rPr>
        <w:t>: 838-845 [PMID: 17934071 DOI: 10.1182/blood-2007-04-087288]</w:t>
      </w:r>
    </w:p>
    <w:p w:rsidR="00906D1E" w:rsidRPr="00564DBC" w:rsidRDefault="00906D1E" w:rsidP="00564DBC">
      <w:pPr>
        <w:widowControl w:val="0"/>
        <w:spacing w:after="0" w:line="360" w:lineRule="auto"/>
        <w:jc w:val="both"/>
        <w:rPr>
          <w:rFonts w:ascii="Book Antiqua" w:eastAsia="宋体" w:hAnsi="Book Antiqua" w:cs="宋体"/>
          <w:sz w:val="24"/>
          <w:szCs w:val="24"/>
          <w:lang w:val="en-US" w:eastAsia="zh-CN"/>
        </w:rPr>
      </w:pPr>
      <w:r w:rsidRPr="00564DBC">
        <w:rPr>
          <w:rFonts w:ascii="Book Antiqua" w:eastAsia="宋体" w:hAnsi="Book Antiqua" w:cs="宋体"/>
          <w:sz w:val="24"/>
          <w:szCs w:val="24"/>
          <w:lang w:val="en-US" w:eastAsia="zh-CN"/>
        </w:rPr>
        <w:t xml:space="preserve">5 </w:t>
      </w:r>
      <w:proofErr w:type="spellStart"/>
      <w:r w:rsidRPr="00564DBC">
        <w:rPr>
          <w:rFonts w:ascii="Book Antiqua" w:eastAsia="宋体" w:hAnsi="Book Antiqua" w:cs="宋体"/>
          <w:b/>
          <w:bCs/>
          <w:sz w:val="24"/>
          <w:szCs w:val="24"/>
          <w:lang w:val="en-US" w:eastAsia="zh-CN"/>
        </w:rPr>
        <w:t>Oschlies</w:t>
      </w:r>
      <w:proofErr w:type="spellEnd"/>
      <w:r w:rsidRPr="00564DBC">
        <w:rPr>
          <w:rFonts w:ascii="Book Antiqua" w:eastAsia="宋体" w:hAnsi="Book Antiqua" w:cs="宋体"/>
          <w:b/>
          <w:bCs/>
          <w:sz w:val="24"/>
          <w:szCs w:val="24"/>
          <w:lang w:val="en-US" w:eastAsia="zh-CN"/>
        </w:rPr>
        <w:t xml:space="preserve"> I</w:t>
      </w:r>
      <w:r w:rsidRPr="00564DBC">
        <w:rPr>
          <w:rFonts w:ascii="Book Antiqua" w:eastAsia="宋体" w:hAnsi="Book Antiqua" w:cs="宋体"/>
          <w:sz w:val="24"/>
          <w:szCs w:val="24"/>
          <w:lang w:val="en-US" w:eastAsia="zh-CN"/>
        </w:rPr>
        <w:t xml:space="preserve">, </w:t>
      </w:r>
      <w:proofErr w:type="spellStart"/>
      <w:r w:rsidRPr="00564DBC">
        <w:rPr>
          <w:rFonts w:ascii="Book Antiqua" w:eastAsia="宋体" w:hAnsi="Book Antiqua" w:cs="宋体"/>
          <w:sz w:val="24"/>
          <w:szCs w:val="24"/>
          <w:lang w:val="en-US" w:eastAsia="zh-CN"/>
        </w:rPr>
        <w:t>Simonitsch-Klupp</w:t>
      </w:r>
      <w:proofErr w:type="spellEnd"/>
      <w:r w:rsidRPr="00564DBC">
        <w:rPr>
          <w:rFonts w:ascii="Book Antiqua" w:eastAsia="宋体" w:hAnsi="Book Antiqua" w:cs="宋体"/>
          <w:sz w:val="24"/>
          <w:szCs w:val="24"/>
          <w:lang w:val="en-US" w:eastAsia="zh-CN"/>
        </w:rPr>
        <w:t xml:space="preserve"> I, </w:t>
      </w:r>
      <w:proofErr w:type="spellStart"/>
      <w:r w:rsidRPr="00564DBC">
        <w:rPr>
          <w:rFonts w:ascii="Book Antiqua" w:eastAsia="宋体" w:hAnsi="Book Antiqua" w:cs="宋体"/>
          <w:sz w:val="24"/>
          <w:szCs w:val="24"/>
          <w:lang w:val="en-US" w:eastAsia="zh-CN"/>
        </w:rPr>
        <w:t>Maldyk</w:t>
      </w:r>
      <w:proofErr w:type="spellEnd"/>
      <w:r w:rsidRPr="00564DBC">
        <w:rPr>
          <w:rFonts w:ascii="Book Antiqua" w:eastAsia="宋体" w:hAnsi="Book Antiqua" w:cs="宋体"/>
          <w:sz w:val="24"/>
          <w:szCs w:val="24"/>
          <w:lang w:val="en-US" w:eastAsia="zh-CN"/>
        </w:rPr>
        <w:t xml:space="preserve"> J, </w:t>
      </w:r>
      <w:proofErr w:type="spellStart"/>
      <w:r w:rsidRPr="00564DBC">
        <w:rPr>
          <w:rFonts w:ascii="Book Antiqua" w:eastAsia="宋体" w:hAnsi="Book Antiqua" w:cs="宋体"/>
          <w:sz w:val="24"/>
          <w:szCs w:val="24"/>
          <w:lang w:val="en-US" w:eastAsia="zh-CN"/>
        </w:rPr>
        <w:t>Konovalov</w:t>
      </w:r>
      <w:proofErr w:type="spellEnd"/>
      <w:r w:rsidRPr="00564DBC">
        <w:rPr>
          <w:rFonts w:ascii="Book Antiqua" w:eastAsia="宋体" w:hAnsi="Book Antiqua" w:cs="宋体"/>
          <w:sz w:val="24"/>
          <w:szCs w:val="24"/>
          <w:lang w:val="en-US" w:eastAsia="zh-CN"/>
        </w:rPr>
        <w:t xml:space="preserve"> D, Abramov D, </w:t>
      </w:r>
      <w:proofErr w:type="spellStart"/>
      <w:r w:rsidRPr="00564DBC">
        <w:rPr>
          <w:rFonts w:ascii="Book Antiqua" w:eastAsia="宋体" w:hAnsi="Book Antiqua" w:cs="宋体"/>
          <w:sz w:val="24"/>
          <w:szCs w:val="24"/>
          <w:lang w:val="en-US" w:eastAsia="zh-CN"/>
        </w:rPr>
        <w:t>Myakova</w:t>
      </w:r>
      <w:proofErr w:type="spellEnd"/>
      <w:r w:rsidRPr="00564DBC">
        <w:rPr>
          <w:rFonts w:ascii="Book Antiqua" w:eastAsia="宋体" w:hAnsi="Book Antiqua" w:cs="宋体"/>
          <w:sz w:val="24"/>
          <w:szCs w:val="24"/>
          <w:lang w:val="en-US" w:eastAsia="zh-CN"/>
        </w:rPr>
        <w:t xml:space="preserve"> N, </w:t>
      </w:r>
      <w:proofErr w:type="spellStart"/>
      <w:r w:rsidRPr="00564DBC">
        <w:rPr>
          <w:rFonts w:ascii="Book Antiqua" w:eastAsia="宋体" w:hAnsi="Book Antiqua" w:cs="宋体"/>
          <w:sz w:val="24"/>
          <w:szCs w:val="24"/>
          <w:lang w:val="en-US" w:eastAsia="zh-CN"/>
        </w:rPr>
        <w:t>Lisfeld</w:t>
      </w:r>
      <w:proofErr w:type="spellEnd"/>
      <w:r w:rsidRPr="00564DBC">
        <w:rPr>
          <w:rFonts w:ascii="Book Antiqua" w:eastAsia="宋体" w:hAnsi="Book Antiqua" w:cs="宋体"/>
          <w:sz w:val="24"/>
          <w:szCs w:val="24"/>
          <w:lang w:val="en-US" w:eastAsia="zh-CN"/>
        </w:rPr>
        <w:t xml:space="preserve"> J, </w:t>
      </w:r>
      <w:proofErr w:type="spellStart"/>
      <w:r w:rsidRPr="00564DBC">
        <w:rPr>
          <w:rFonts w:ascii="Book Antiqua" w:eastAsia="宋体" w:hAnsi="Book Antiqua" w:cs="宋体"/>
          <w:sz w:val="24"/>
          <w:szCs w:val="24"/>
          <w:lang w:val="en-US" w:eastAsia="zh-CN"/>
        </w:rPr>
        <w:t>Attarbaschi</w:t>
      </w:r>
      <w:proofErr w:type="spellEnd"/>
      <w:r w:rsidRPr="00564DBC">
        <w:rPr>
          <w:rFonts w:ascii="Book Antiqua" w:eastAsia="宋体" w:hAnsi="Book Antiqua" w:cs="宋体"/>
          <w:sz w:val="24"/>
          <w:szCs w:val="24"/>
          <w:lang w:val="en-US" w:eastAsia="zh-CN"/>
        </w:rPr>
        <w:t xml:space="preserve"> A, </w:t>
      </w:r>
      <w:proofErr w:type="spellStart"/>
      <w:r w:rsidRPr="00564DBC">
        <w:rPr>
          <w:rFonts w:ascii="Book Antiqua" w:eastAsia="宋体" w:hAnsi="Book Antiqua" w:cs="宋体"/>
          <w:sz w:val="24"/>
          <w:szCs w:val="24"/>
          <w:lang w:val="en-US" w:eastAsia="zh-CN"/>
        </w:rPr>
        <w:t>Kontny</w:t>
      </w:r>
      <w:proofErr w:type="spellEnd"/>
      <w:r w:rsidRPr="00564DBC">
        <w:rPr>
          <w:rFonts w:ascii="Book Antiqua" w:eastAsia="宋体" w:hAnsi="Book Antiqua" w:cs="宋体"/>
          <w:sz w:val="24"/>
          <w:szCs w:val="24"/>
          <w:lang w:val="en-US" w:eastAsia="zh-CN"/>
        </w:rPr>
        <w:t xml:space="preserve"> U, </w:t>
      </w:r>
      <w:proofErr w:type="spellStart"/>
      <w:r w:rsidRPr="00564DBC">
        <w:rPr>
          <w:rFonts w:ascii="Book Antiqua" w:eastAsia="宋体" w:hAnsi="Book Antiqua" w:cs="宋体"/>
          <w:sz w:val="24"/>
          <w:szCs w:val="24"/>
          <w:lang w:val="en-US" w:eastAsia="zh-CN"/>
        </w:rPr>
        <w:t>Woessmann</w:t>
      </w:r>
      <w:proofErr w:type="spellEnd"/>
      <w:r w:rsidRPr="00564DBC">
        <w:rPr>
          <w:rFonts w:ascii="Book Antiqua" w:eastAsia="宋体" w:hAnsi="Book Antiqua" w:cs="宋体"/>
          <w:sz w:val="24"/>
          <w:szCs w:val="24"/>
          <w:lang w:val="en-US" w:eastAsia="zh-CN"/>
        </w:rPr>
        <w:t xml:space="preserve"> W, </w:t>
      </w:r>
      <w:proofErr w:type="spellStart"/>
      <w:r w:rsidRPr="00564DBC">
        <w:rPr>
          <w:rFonts w:ascii="Book Antiqua" w:eastAsia="宋体" w:hAnsi="Book Antiqua" w:cs="宋体"/>
          <w:sz w:val="24"/>
          <w:szCs w:val="24"/>
          <w:lang w:val="en-US" w:eastAsia="zh-CN"/>
        </w:rPr>
        <w:t>Klapper</w:t>
      </w:r>
      <w:proofErr w:type="spellEnd"/>
      <w:r w:rsidRPr="00564DBC">
        <w:rPr>
          <w:rFonts w:ascii="Book Antiqua" w:eastAsia="宋体" w:hAnsi="Book Antiqua" w:cs="宋体"/>
          <w:sz w:val="24"/>
          <w:szCs w:val="24"/>
          <w:lang w:val="en-US" w:eastAsia="zh-CN"/>
        </w:rPr>
        <w:t xml:space="preserve"> W. Subcutaneous panniculitis-like T-cell lymphoma in children: a detailed </w:t>
      </w:r>
      <w:proofErr w:type="spellStart"/>
      <w:r w:rsidRPr="00564DBC">
        <w:rPr>
          <w:rFonts w:ascii="Book Antiqua" w:eastAsia="宋体" w:hAnsi="Book Antiqua" w:cs="宋体"/>
          <w:sz w:val="24"/>
          <w:szCs w:val="24"/>
          <w:lang w:val="en-US" w:eastAsia="zh-CN"/>
        </w:rPr>
        <w:t>clinicopathological</w:t>
      </w:r>
      <w:proofErr w:type="spellEnd"/>
      <w:r w:rsidRPr="00564DBC">
        <w:rPr>
          <w:rFonts w:ascii="Book Antiqua" w:eastAsia="宋体" w:hAnsi="Book Antiqua" w:cs="宋体"/>
          <w:sz w:val="24"/>
          <w:szCs w:val="24"/>
          <w:lang w:val="en-US" w:eastAsia="zh-CN"/>
        </w:rPr>
        <w:t xml:space="preserve"> description of 11 multifocal cases with a high frequency of </w:t>
      </w:r>
      <w:proofErr w:type="spellStart"/>
      <w:r w:rsidRPr="00564DBC">
        <w:rPr>
          <w:rFonts w:ascii="Book Antiqua" w:eastAsia="宋体" w:hAnsi="Book Antiqua" w:cs="宋体"/>
          <w:sz w:val="24"/>
          <w:szCs w:val="24"/>
          <w:lang w:val="en-US" w:eastAsia="zh-CN"/>
        </w:rPr>
        <w:t>haemophagocytic</w:t>
      </w:r>
      <w:proofErr w:type="spellEnd"/>
      <w:r w:rsidRPr="00564DBC">
        <w:rPr>
          <w:rFonts w:ascii="Book Antiqua" w:eastAsia="宋体" w:hAnsi="Book Antiqua" w:cs="宋体"/>
          <w:sz w:val="24"/>
          <w:szCs w:val="24"/>
          <w:lang w:val="en-US" w:eastAsia="zh-CN"/>
        </w:rPr>
        <w:t xml:space="preserve"> syndrome. </w:t>
      </w:r>
      <w:r w:rsidRPr="00564DBC">
        <w:rPr>
          <w:rFonts w:ascii="Book Antiqua" w:eastAsia="宋体" w:hAnsi="Book Antiqua" w:cs="宋体"/>
          <w:i/>
          <w:iCs/>
          <w:sz w:val="24"/>
          <w:szCs w:val="24"/>
          <w:lang w:val="en-US" w:eastAsia="zh-CN"/>
        </w:rPr>
        <w:t xml:space="preserve">Br J </w:t>
      </w:r>
      <w:proofErr w:type="spellStart"/>
      <w:r w:rsidRPr="00564DBC">
        <w:rPr>
          <w:rFonts w:ascii="Book Antiqua" w:eastAsia="宋体" w:hAnsi="Book Antiqua" w:cs="宋体"/>
          <w:i/>
          <w:iCs/>
          <w:sz w:val="24"/>
          <w:szCs w:val="24"/>
          <w:lang w:val="en-US" w:eastAsia="zh-CN"/>
        </w:rPr>
        <w:t>Dermatol</w:t>
      </w:r>
      <w:proofErr w:type="spellEnd"/>
      <w:r w:rsidRPr="00564DBC">
        <w:rPr>
          <w:rFonts w:ascii="Book Antiqua" w:eastAsia="宋体" w:hAnsi="Book Antiqua" w:cs="宋体"/>
          <w:sz w:val="24"/>
          <w:szCs w:val="24"/>
          <w:lang w:val="en-US" w:eastAsia="zh-CN"/>
        </w:rPr>
        <w:t xml:space="preserve"> 2015; </w:t>
      </w:r>
      <w:r w:rsidRPr="00564DBC">
        <w:rPr>
          <w:rFonts w:ascii="Book Antiqua" w:eastAsia="宋体" w:hAnsi="Book Antiqua" w:cs="宋体"/>
          <w:b/>
          <w:bCs/>
          <w:sz w:val="24"/>
          <w:szCs w:val="24"/>
          <w:lang w:val="en-US" w:eastAsia="zh-CN"/>
        </w:rPr>
        <w:t>172</w:t>
      </w:r>
      <w:r w:rsidRPr="00564DBC">
        <w:rPr>
          <w:rFonts w:ascii="Book Antiqua" w:eastAsia="宋体" w:hAnsi="Book Antiqua" w:cs="宋体"/>
          <w:sz w:val="24"/>
          <w:szCs w:val="24"/>
          <w:lang w:val="en-US" w:eastAsia="zh-CN"/>
        </w:rPr>
        <w:t>: 793-797 [PMID: 25456748 DOI: 10.1111/bjd.13440]</w:t>
      </w:r>
    </w:p>
    <w:p w:rsidR="00906D1E" w:rsidRPr="00564DBC" w:rsidRDefault="00906D1E" w:rsidP="00564DBC">
      <w:pPr>
        <w:widowControl w:val="0"/>
        <w:spacing w:after="0" w:line="360" w:lineRule="auto"/>
        <w:jc w:val="both"/>
        <w:rPr>
          <w:rFonts w:ascii="Book Antiqua" w:eastAsia="宋体" w:hAnsi="Book Antiqua" w:cs="宋体"/>
          <w:sz w:val="24"/>
          <w:szCs w:val="24"/>
          <w:lang w:val="en-US" w:eastAsia="zh-CN"/>
        </w:rPr>
      </w:pPr>
      <w:r w:rsidRPr="00564DBC">
        <w:rPr>
          <w:rFonts w:ascii="Book Antiqua" w:eastAsia="宋体" w:hAnsi="Book Antiqua" w:cs="宋体"/>
          <w:sz w:val="24"/>
          <w:szCs w:val="24"/>
          <w:lang w:val="en-US" w:eastAsia="zh-CN"/>
        </w:rPr>
        <w:t xml:space="preserve">6 </w:t>
      </w:r>
      <w:r w:rsidRPr="00564DBC">
        <w:rPr>
          <w:rFonts w:ascii="Book Antiqua" w:eastAsia="宋体" w:hAnsi="Book Antiqua" w:cs="宋体"/>
          <w:b/>
          <w:bCs/>
          <w:sz w:val="24"/>
          <w:szCs w:val="24"/>
          <w:lang w:val="en-US" w:eastAsia="zh-CN"/>
        </w:rPr>
        <w:t xml:space="preserve">van </w:t>
      </w:r>
      <w:proofErr w:type="spellStart"/>
      <w:r w:rsidRPr="00564DBC">
        <w:rPr>
          <w:rFonts w:ascii="Book Antiqua" w:eastAsia="宋体" w:hAnsi="Book Antiqua" w:cs="宋体"/>
          <w:b/>
          <w:bCs/>
          <w:sz w:val="24"/>
          <w:szCs w:val="24"/>
          <w:lang w:val="en-US" w:eastAsia="zh-CN"/>
        </w:rPr>
        <w:t>Dongen</w:t>
      </w:r>
      <w:proofErr w:type="spellEnd"/>
      <w:r w:rsidRPr="00564DBC">
        <w:rPr>
          <w:rFonts w:ascii="Book Antiqua" w:eastAsia="宋体" w:hAnsi="Book Antiqua" w:cs="宋体"/>
          <w:b/>
          <w:bCs/>
          <w:sz w:val="24"/>
          <w:szCs w:val="24"/>
          <w:lang w:val="en-US" w:eastAsia="zh-CN"/>
        </w:rPr>
        <w:t xml:space="preserve"> JJ</w:t>
      </w:r>
      <w:r w:rsidRPr="00564DBC">
        <w:rPr>
          <w:rFonts w:ascii="Book Antiqua" w:eastAsia="宋体" w:hAnsi="Book Antiqua" w:cs="宋体"/>
          <w:sz w:val="24"/>
          <w:szCs w:val="24"/>
          <w:lang w:val="en-US" w:eastAsia="zh-CN"/>
        </w:rPr>
        <w:t xml:space="preserve">, </w:t>
      </w:r>
      <w:proofErr w:type="spellStart"/>
      <w:r w:rsidRPr="00564DBC">
        <w:rPr>
          <w:rFonts w:ascii="Book Antiqua" w:eastAsia="宋体" w:hAnsi="Book Antiqua" w:cs="宋体"/>
          <w:sz w:val="24"/>
          <w:szCs w:val="24"/>
          <w:lang w:val="en-US" w:eastAsia="zh-CN"/>
        </w:rPr>
        <w:t>Langerak</w:t>
      </w:r>
      <w:proofErr w:type="spellEnd"/>
      <w:r w:rsidRPr="00564DBC">
        <w:rPr>
          <w:rFonts w:ascii="Book Antiqua" w:eastAsia="宋体" w:hAnsi="Book Antiqua" w:cs="宋体"/>
          <w:sz w:val="24"/>
          <w:szCs w:val="24"/>
          <w:lang w:val="en-US" w:eastAsia="zh-CN"/>
        </w:rPr>
        <w:t xml:space="preserve"> AW, </w:t>
      </w:r>
      <w:proofErr w:type="spellStart"/>
      <w:r w:rsidRPr="00564DBC">
        <w:rPr>
          <w:rFonts w:ascii="Book Antiqua" w:eastAsia="宋体" w:hAnsi="Book Antiqua" w:cs="宋体"/>
          <w:sz w:val="24"/>
          <w:szCs w:val="24"/>
          <w:lang w:val="en-US" w:eastAsia="zh-CN"/>
        </w:rPr>
        <w:t>Brüggemann</w:t>
      </w:r>
      <w:proofErr w:type="spellEnd"/>
      <w:r w:rsidRPr="00564DBC">
        <w:rPr>
          <w:rFonts w:ascii="Book Antiqua" w:eastAsia="宋体" w:hAnsi="Book Antiqua" w:cs="宋体"/>
          <w:sz w:val="24"/>
          <w:szCs w:val="24"/>
          <w:lang w:val="en-US" w:eastAsia="zh-CN"/>
        </w:rPr>
        <w:t xml:space="preserve"> M, Evans PA, Hummel M, Lavender FL, </w:t>
      </w:r>
      <w:proofErr w:type="spellStart"/>
      <w:r w:rsidRPr="00564DBC">
        <w:rPr>
          <w:rFonts w:ascii="Book Antiqua" w:eastAsia="宋体" w:hAnsi="Book Antiqua" w:cs="宋体"/>
          <w:sz w:val="24"/>
          <w:szCs w:val="24"/>
          <w:lang w:val="en-US" w:eastAsia="zh-CN"/>
        </w:rPr>
        <w:t>Delabesse</w:t>
      </w:r>
      <w:proofErr w:type="spellEnd"/>
      <w:r w:rsidRPr="00564DBC">
        <w:rPr>
          <w:rFonts w:ascii="Book Antiqua" w:eastAsia="宋体" w:hAnsi="Book Antiqua" w:cs="宋体"/>
          <w:sz w:val="24"/>
          <w:szCs w:val="24"/>
          <w:lang w:val="en-US" w:eastAsia="zh-CN"/>
        </w:rPr>
        <w:t xml:space="preserve"> E, </w:t>
      </w:r>
      <w:proofErr w:type="spellStart"/>
      <w:r w:rsidRPr="00564DBC">
        <w:rPr>
          <w:rFonts w:ascii="Book Antiqua" w:eastAsia="宋体" w:hAnsi="Book Antiqua" w:cs="宋体"/>
          <w:sz w:val="24"/>
          <w:szCs w:val="24"/>
          <w:lang w:val="en-US" w:eastAsia="zh-CN"/>
        </w:rPr>
        <w:t>Davi</w:t>
      </w:r>
      <w:proofErr w:type="spellEnd"/>
      <w:r w:rsidRPr="00564DBC">
        <w:rPr>
          <w:rFonts w:ascii="Book Antiqua" w:eastAsia="宋体" w:hAnsi="Book Antiqua" w:cs="宋体"/>
          <w:sz w:val="24"/>
          <w:szCs w:val="24"/>
          <w:lang w:val="en-US" w:eastAsia="zh-CN"/>
        </w:rPr>
        <w:t xml:space="preserve"> F, </w:t>
      </w:r>
      <w:proofErr w:type="spellStart"/>
      <w:r w:rsidRPr="00564DBC">
        <w:rPr>
          <w:rFonts w:ascii="Book Antiqua" w:eastAsia="宋体" w:hAnsi="Book Antiqua" w:cs="宋体"/>
          <w:sz w:val="24"/>
          <w:szCs w:val="24"/>
          <w:lang w:val="en-US" w:eastAsia="zh-CN"/>
        </w:rPr>
        <w:t>Schuuring</w:t>
      </w:r>
      <w:proofErr w:type="spellEnd"/>
      <w:r w:rsidRPr="00564DBC">
        <w:rPr>
          <w:rFonts w:ascii="Book Antiqua" w:eastAsia="宋体" w:hAnsi="Book Antiqua" w:cs="宋体"/>
          <w:sz w:val="24"/>
          <w:szCs w:val="24"/>
          <w:lang w:val="en-US" w:eastAsia="zh-CN"/>
        </w:rPr>
        <w:t xml:space="preserve"> E, </w:t>
      </w:r>
      <w:proofErr w:type="spellStart"/>
      <w:r w:rsidRPr="00564DBC">
        <w:rPr>
          <w:rFonts w:ascii="Book Antiqua" w:eastAsia="宋体" w:hAnsi="Book Antiqua" w:cs="宋体"/>
          <w:sz w:val="24"/>
          <w:szCs w:val="24"/>
          <w:lang w:val="en-US" w:eastAsia="zh-CN"/>
        </w:rPr>
        <w:t>García-Sanz</w:t>
      </w:r>
      <w:proofErr w:type="spellEnd"/>
      <w:r w:rsidRPr="00564DBC">
        <w:rPr>
          <w:rFonts w:ascii="Book Antiqua" w:eastAsia="宋体" w:hAnsi="Book Antiqua" w:cs="宋体"/>
          <w:sz w:val="24"/>
          <w:szCs w:val="24"/>
          <w:lang w:val="en-US" w:eastAsia="zh-CN"/>
        </w:rPr>
        <w:t xml:space="preserve"> R, van </w:t>
      </w:r>
      <w:proofErr w:type="spellStart"/>
      <w:r w:rsidRPr="00564DBC">
        <w:rPr>
          <w:rFonts w:ascii="Book Antiqua" w:eastAsia="宋体" w:hAnsi="Book Antiqua" w:cs="宋体"/>
          <w:sz w:val="24"/>
          <w:szCs w:val="24"/>
          <w:lang w:val="en-US" w:eastAsia="zh-CN"/>
        </w:rPr>
        <w:t>Krieken</w:t>
      </w:r>
      <w:proofErr w:type="spellEnd"/>
      <w:r w:rsidRPr="00564DBC">
        <w:rPr>
          <w:rFonts w:ascii="Book Antiqua" w:eastAsia="宋体" w:hAnsi="Book Antiqua" w:cs="宋体"/>
          <w:sz w:val="24"/>
          <w:szCs w:val="24"/>
          <w:lang w:val="en-US" w:eastAsia="zh-CN"/>
        </w:rPr>
        <w:t xml:space="preserve"> JH, </w:t>
      </w:r>
      <w:proofErr w:type="spellStart"/>
      <w:r w:rsidRPr="00564DBC">
        <w:rPr>
          <w:rFonts w:ascii="Book Antiqua" w:eastAsia="宋体" w:hAnsi="Book Antiqua" w:cs="宋体"/>
          <w:sz w:val="24"/>
          <w:szCs w:val="24"/>
          <w:lang w:val="en-US" w:eastAsia="zh-CN"/>
        </w:rPr>
        <w:t>Droese</w:t>
      </w:r>
      <w:proofErr w:type="spellEnd"/>
      <w:r w:rsidRPr="00564DBC">
        <w:rPr>
          <w:rFonts w:ascii="Book Antiqua" w:eastAsia="宋体" w:hAnsi="Book Antiqua" w:cs="宋体"/>
          <w:sz w:val="24"/>
          <w:szCs w:val="24"/>
          <w:lang w:val="en-US" w:eastAsia="zh-CN"/>
        </w:rPr>
        <w:t xml:space="preserve"> J, González D, Bastard C, White HE, </w:t>
      </w:r>
      <w:proofErr w:type="spellStart"/>
      <w:r w:rsidRPr="00564DBC">
        <w:rPr>
          <w:rFonts w:ascii="Book Antiqua" w:eastAsia="宋体" w:hAnsi="Book Antiqua" w:cs="宋体"/>
          <w:sz w:val="24"/>
          <w:szCs w:val="24"/>
          <w:lang w:val="en-US" w:eastAsia="zh-CN"/>
        </w:rPr>
        <w:t>Spaargaren</w:t>
      </w:r>
      <w:proofErr w:type="spellEnd"/>
      <w:r w:rsidRPr="00564DBC">
        <w:rPr>
          <w:rFonts w:ascii="Book Antiqua" w:eastAsia="宋体" w:hAnsi="Book Antiqua" w:cs="宋体"/>
          <w:sz w:val="24"/>
          <w:szCs w:val="24"/>
          <w:lang w:val="en-US" w:eastAsia="zh-CN"/>
        </w:rPr>
        <w:t xml:space="preserve"> M, González M, </w:t>
      </w:r>
      <w:proofErr w:type="spellStart"/>
      <w:r w:rsidRPr="00564DBC">
        <w:rPr>
          <w:rFonts w:ascii="Book Antiqua" w:eastAsia="宋体" w:hAnsi="Book Antiqua" w:cs="宋体"/>
          <w:sz w:val="24"/>
          <w:szCs w:val="24"/>
          <w:lang w:val="en-US" w:eastAsia="zh-CN"/>
        </w:rPr>
        <w:lastRenderedPageBreak/>
        <w:t>Parreira</w:t>
      </w:r>
      <w:proofErr w:type="spellEnd"/>
      <w:r w:rsidRPr="00564DBC">
        <w:rPr>
          <w:rFonts w:ascii="Book Antiqua" w:eastAsia="宋体" w:hAnsi="Book Antiqua" w:cs="宋体"/>
          <w:sz w:val="24"/>
          <w:szCs w:val="24"/>
          <w:lang w:val="en-US" w:eastAsia="zh-CN"/>
        </w:rPr>
        <w:t xml:space="preserve"> A, Smith JL, Morgan GJ, </w:t>
      </w:r>
      <w:proofErr w:type="spellStart"/>
      <w:r w:rsidRPr="00564DBC">
        <w:rPr>
          <w:rFonts w:ascii="Book Antiqua" w:eastAsia="宋体" w:hAnsi="Book Antiqua" w:cs="宋体"/>
          <w:sz w:val="24"/>
          <w:szCs w:val="24"/>
          <w:lang w:val="en-US" w:eastAsia="zh-CN"/>
        </w:rPr>
        <w:t>Kneba</w:t>
      </w:r>
      <w:proofErr w:type="spellEnd"/>
      <w:r w:rsidRPr="00564DBC">
        <w:rPr>
          <w:rFonts w:ascii="Book Antiqua" w:eastAsia="宋体" w:hAnsi="Book Antiqua" w:cs="宋体"/>
          <w:sz w:val="24"/>
          <w:szCs w:val="24"/>
          <w:lang w:val="en-US" w:eastAsia="zh-CN"/>
        </w:rPr>
        <w:t xml:space="preserve"> M, Macintyre EA. Design and standardization of PCR primers and protocols for detection of clonal immunoglobulin and T-cell receptor gene </w:t>
      </w:r>
      <w:proofErr w:type="spellStart"/>
      <w:r w:rsidRPr="00564DBC">
        <w:rPr>
          <w:rFonts w:ascii="Book Antiqua" w:eastAsia="宋体" w:hAnsi="Book Antiqua" w:cs="宋体"/>
          <w:sz w:val="24"/>
          <w:szCs w:val="24"/>
          <w:lang w:val="en-US" w:eastAsia="zh-CN"/>
        </w:rPr>
        <w:t>recombinations</w:t>
      </w:r>
      <w:proofErr w:type="spellEnd"/>
      <w:r w:rsidRPr="00564DBC">
        <w:rPr>
          <w:rFonts w:ascii="Book Antiqua" w:eastAsia="宋体" w:hAnsi="Book Antiqua" w:cs="宋体"/>
          <w:sz w:val="24"/>
          <w:szCs w:val="24"/>
          <w:lang w:val="en-US" w:eastAsia="zh-CN"/>
        </w:rPr>
        <w:t xml:space="preserve"> in suspect </w:t>
      </w:r>
      <w:proofErr w:type="spellStart"/>
      <w:r w:rsidRPr="00564DBC">
        <w:rPr>
          <w:rFonts w:ascii="Book Antiqua" w:eastAsia="宋体" w:hAnsi="Book Antiqua" w:cs="宋体"/>
          <w:sz w:val="24"/>
          <w:szCs w:val="24"/>
          <w:lang w:val="en-US" w:eastAsia="zh-CN"/>
        </w:rPr>
        <w:t>lymphoproliferations</w:t>
      </w:r>
      <w:proofErr w:type="spellEnd"/>
      <w:r w:rsidRPr="00564DBC">
        <w:rPr>
          <w:rFonts w:ascii="Book Antiqua" w:eastAsia="宋体" w:hAnsi="Book Antiqua" w:cs="宋体"/>
          <w:sz w:val="24"/>
          <w:szCs w:val="24"/>
          <w:lang w:val="en-US" w:eastAsia="zh-CN"/>
        </w:rPr>
        <w:t xml:space="preserve">: report of the BIOMED-2 Concerted Action BMH4-CT98-3936. </w:t>
      </w:r>
      <w:r w:rsidRPr="00564DBC">
        <w:rPr>
          <w:rFonts w:ascii="Book Antiqua" w:eastAsia="宋体" w:hAnsi="Book Antiqua" w:cs="宋体"/>
          <w:i/>
          <w:iCs/>
          <w:sz w:val="24"/>
          <w:szCs w:val="24"/>
          <w:lang w:val="en-US" w:eastAsia="zh-CN"/>
        </w:rPr>
        <w:t>Leukemia</w:t>
      </w:r>
      <w:r w:rsidRPr="00564DBC">
        <w:rPr>
          <w:rFonts w:ascii="Book Antiqua" w:eastAsia="宋体" w:hAnsi="Book Antiqua" w:cs="宋体"/>
          <w:sz w:val="24"/>
          <w:szCs w:val="24"/>
          <w:lang w:val="en-US" w:eastAsia="zh-CN"/>
        </w:rPr>
        <w:t xml:space="preserve"> 2003; </w:t>
      </w:r>
      <w:r w:rsidRPr="00564DBC">
        <w:rPr>
          <w:rFonts w:ascii="Book Antiqua" w:eastAsia="宋体" w:hAnsi="Book Antiqua" w:cs="宋体"/>
          <w:b/>
          <w:bCs/>
          <w:sz w:val="24"/>
          <w:szCs w:val="24"/>
          <w:lang w:val="en-US" w:eastAsia="zh-CN"/>
        </w:rPr>
        <w:t>17</w:t>
      </w:r>
      <w:r w:rsidRPr="00564DBC">
        <w:rPr>
          <w:rFonts w:ascii="Book Antiqua" w:eastAsia="宋体" w:hAnsi="Book Antiqua" w:cs="宋体"/>
          <w:sz w:val="24"/>
          <w:szCs w:val="24"/>
          <w:lang w:val="en-US" w:eastAsia="zh-CN"/>
        </w:rPr>
        <w:t>: 2257-2317 [PMID: 14671650 DOI: 10.1038/sj.leu.2403202]</w:t>
      </w:r>
    </w:p>
    <w:p w:rsidR="00906D1E" w:rsidRPr="00564DBC" w:rsidRDefault="00906D1E" w:rsidP="00564DBC">
      <w:pPr>
        <w:widowControl w:val="0"/>
        <w:spacing w:after="0" w:line="360" w:lineRule="auto"/>
        <w:jc w:val="both"/>
        <w:rPr>
          <w:rFonts w:ascii="Book Antiqua" w:eastAsia="宋体" w:hAnsi="Book Antiqua" w:cs="宋体"/>
          <w:sz w:val="24"/>
          <w:szCs w:val="24"/>
          <w:lang w:val="en-US" w:eastAsia="zh-CN"/>
        </w:rPr>
      </w:pPr>
      <w:r w:rsidRPr="00564DBC">
        <w:rPr>
          <w:rFonts w:ascii="Book Antiqua" w:eastAsia="宋体" w:hAnsi="Book Antiqua" w:cs="宋体"/>
          <w:sz w:val="24"/>
          <w:szCs w:val="24"/>
          <w:lang w:val="en-US" w:eastAsia="zh-CN"/>
        </w:rPr>
        <w:t xml:space="preserve">7 </w:t>
      </w:r>
      <w:r w:rsidRPr="00564DBC">
        <w:rPr>
          <w:rFonts w:ascii="Book Antiqua" w:eastAsia="宋体" w:hAnsi="Book Antiqua" w:cs="宋体"/>
          <w:b/>
          <w:bCs/>
          <w:sz w:val="24"/>
          <w:szCs w:val="24"/>
          <w:lang w:val="en-US" w:eastAsia="zh-CN"/>
        </w:rPr>
        <w:t>Sandberg Y</w:t>
      </w:r>
      <w:r w:rsidRPr="00564DBC">
        <w:rPr>
          <w:rFonts w:ascii="Book Antiqua" w:eastAsia="宋体" w:hAnsi="Book Antiqua" w:cs="宋体"/>
          <w:sz w:val="24"/>
          <w:szCs w:val="24"/>
          <w:lang w:val="en-US" w:eastAsia="zh-CN"/>
        </w:rPr>
        <w:t xml:space="preserve">, van </w:t>
      </w:r>
      <w:proofErr w:type="spellStart"/>
      <w:r w:rsidRPr="00564DBC">
        <w:rPr>
          <w:rFonts w:ascii="Book Antiqua" w:eastAsia="宋体" w:hAnsi="Book Antiqua" w:cs="宋体"/>
          <w:sz w:val="24"/>
          <w:szCs w:val="24"/>
          <w:lang w:val="en-US" w:eastAsia="zh-CN"/>
        </w:rPr>
        <w:t>Gastel-Mol</w:t>
      </w:r>
      <w:proofErr w:type="spellEnd"/>
      <w:r w:rsidRPr="00564DBC">
        <w:rPr>
          <w:rFonts w:ascii="Book Antiqua" w:eastAsia="宋体" w:hAnsi="Book Antiqua" w:cs="宋体"/>
          <w:sz w:val="24"/>
          <w:szCs w:val="24"/>
          <w:lang w:val="en-US" w:eastAsia="zh-CN"/>
        </w:rPr>
        <w:t xml:space="preserve"> EJ, </w:t>
      </w:r>
      <w:proofErr w:type="spellStart"/>
      <w:r w:rsidRPr="00564DBC">
        <w:rPr>
          <w:rFonts w:ascii="Book Antiqua" w:eastAsia="宋体" w:hAnsi="Book Antiqua" w:cs="宋体"/>
          <w:sz w:val="24"/>
          <w:szCs w:val="24"/>
          <w:lang w:val="en-US" w:eastAsia="zh-CN"/>
        </w:rPr>
        <w:t>Verhaaf</w:t>
      </w:r>
      <w:proofErr w:type="spellEnd"/>
      <w:r w:rsidRPr="00564DBC">
        <w:rPr>
          <w:rFonts w:ascii="Book Antiqua" w:eastAsia="宋体" w:hAnsi="Book Antiqua" w:cs="宋体"/>
          <w:sz w:val="24"/>
          <w:szCs w:val="24"/>
          <w:lang w:val="en-US" w:eastAsia="zh-CN"/>
        </w:rPr>
        <w:t xml:space="preserve"> B, Lam KH, van </w:t>
      </w:r>
      <w:proofErr w:type="spellStart"/>
      <w:r w:rsidRPr="00564DBC">
        <w:rPr>
          <w:rFonts w:ascii="Book Antiqua" w:eastAsia="宋体" w:hAnsi="Book Antiqua" w:cs="宋体"/>
          <w:sz w:val="24"/>
          <w:szCs w:val="24"/>
          <w:lang w:val="en-US" w:eastAsia="zh-CN"/>
        </w:rPr>
        <w:t>Dongen</w:t>
      </w:r>
      <w:proofErr w:type="spellEnd"/>
      <w:r w:rsidRPr="00564DBC">
        <w:rPr>
          <w:rFonts w:ascii="Book Antiqua" w:eastAsia="宋体" w:hAnsi="Book Antiqua" w:cs="宋体"/>
          <w:sz w:val="24"/>
          <w:szCs w:val="24"/>
          <w:lang w:val="en-US" w:eastAsia="zh-CN"/>
        </w:rPr>
        <w:t xml:space="preserve"> JJ, </w:t>
      </w:r>
      <w:proofErr w:type="spellStart"/>
      <w:r w:rsidRPr="00564DBC">
        <w:rPr>
          <w:rFonts w:ascii="Book Antiqua" w:eastAsia="宋体" w:hAnsi="Book Antiqua" w:cs="宋体"/>
          <w:sz w:val="24"/>
          <w:szCs w:val="24"/>
          <w:lang w:val="en-US" w:eastAsia="zh-CN"/>
        </w:rPr>
        <w:t>Langerak</w:t>
      </w:r>
      <w:proofErr w:type="spellEnd"/>
      <w:r w:rsidRPr="00564DBC">
        <w:rPr>
          <w:rFonts w:ascii="Book Antiqua" w:eastAsia="宋体" w:hAnsi="Book Antiqua" w:cs="宋体"/>
          <w:sz w:val="24"/>
          <w:szCs w:val="24"/>
          <w:lang w:val="en-US" w:eastAsia="zh-CN"/>
        </w:rPr>
        <w:t xml:space="preserve"> AW. BIOMED-2 multiplex immunoglobulin/T-cell receptor polymerase chain reaction protocols can reliably replace Southern blot analysis in routine </w:t>
      </w:r>
      <w:proofErr w:type="spellStart"/>
      <w:r w:rsidRPr="00564DBC">
        <w:rPr>
          <w:rFonts w:ascii="Book Antiqua" w:eastAsia="宋体" w:hAnsi="Book Antiqua" w:cs="宋体"/>
          <w:sz w:val="24"/>
          <w:szCs w:val="24"/>
          <w:lang w:val="en-US" w:eastAsia="zh-CN"/>
        </w:rPr>
        <w:t>clonality</w:t>
      </w:r>
      <w:proofErr w:type="spellEnd"/>
      <w:r w:rsidRPr="00564DBC">
        <w:rPr>
          <w:rFonts w:ascii="Book Antiqua" w:eastAsia="宋体" w:hAnsi="Book Antiqua" w:cs="宋体"/>
          <w:sz w:val="24"/>
          <w:szCs w:val="24"/>
          <w:lang w:val="en-US" w:eastAsia="zh-CN"/>
        </w:rPr>
        <w:t xml:space="preserve"> diagnostics. </w:t>
      </w:r>
      <w:r w:rsidRPr="00564DBC">
        <w:rPr>
          <w:rFonts w:ascii="Book Antiqua" w:eastAsia="宋体" w:hAnsi="Book Antiqua" w:cs="宋体"/>
          <w:i/>
          <w:iCs/>
          <w:sz w:val="24"/>
          <w:szCs w:val="24"/>
          <w:lang w:val="en-US" w:eastAsia="zh-CN"/>
        </w:rPr>
        <w:t xml:space="preserve">J </w:t>
      </w:r>
      <w:proofErr w:type="spellStart"/>
      <w:r w:rsidRPr="00564DBC">
        <w:rPr>
          <w:rFonts w:ascii="Book Antiqua" w:eastAsia="宋体" w:hAnsi="Book Antiqua" w:cs="宋体"/>
          <w:i/>
          <w:iCs/>
          <w:sz w:val="24"/>
          <w:szCs w:val="24"/>
          <w:lang w:val="en-US" w:eastAsia="zh-CN"/>
        </w:rPr>
        <w:t>Mol</w:t>
      </w:r>
      <w:proofErr w:type="spellEnd"/>
      <w:r w:rsidRPr="00564DBC">
        <w:rPr>
          <w:rFonts w:ascii="Book Antiqua" w:eastAsia="宋体" w:hAnsi="Book Antiqua" w:cs="宋体"/>
          <w:i/>
          <w:iCs/>
          <w:sz w:val="24"/>
          <w:szCs w:val="24"/>
          <w:lang w:val="en-US" w:eastAsia="zh-CN"/>
        </w:rPr>
        <w:t xml:space="preserve"> </w:t>
      </w:r>
      <w:proofErr w:type="spellStart"/>
      <w:r w:rsidRPr="00564DBC">
        <w:rPr>
          <w:rFonts w:ascii="Book Antiqua" w:eastAsia="宋体" w:hAnsi="Book Antiqua" w:cs="宋体"/>
          <w:i/>
          <w:iCs/>
          <w:sz w:val="24"/>
          <w:szCs w:val="24"/>
          <w:lang w:val="en-US" w:eastAsia="zh-CN"/>
        </w:rPr>
        <w:t>Diagn</w:t>
      </w:r>
      <w:proofErr w:type="spellEnd"/>
      <w:r w:rsidRPr="00564DBC">
        <w:rPr>
          <w:rFonts w:ascii="Book Antiqua" w:eastAsia="宋体" w:hAnsi="Book Antiqua" w:cs="宋体"/>
          <w:sz w:val="24"/>
          <w:szCs w:val="24"/>
          <w:lang w:val="en-US" w:eastAsia="zh-CN"/>
        </w:rPr>
        <w:t xml:space="preserve"> 2005; </w:t>
      </w:r>
      <w:r w:rsidRPr="00564DBC">
        <w:rPr>
          <w:rFonts w:ascii="Book Antiqua" w:eastAsia="宋体" w:hAnsi="Book Antiqua" w:cs="宋体"/>
          <w:b/>
          <w:bCs/>
          <w:sz w:val="24"/>
          <w:szCs w:val="24"/>
          <w:lang w:val="en-US" w:eastAsia="zh-CN"/>
        </w:rPr>
        <w:t>7</w:t>
      </w:r>
      <w:r w:rsidRPr="00564DBC">
        <w:rPr>
          <w:rFonts w:ascii="Book Antiqua" w:eastAsia="宋体" w:hAnsi="Book Antiqua" w:cs="宋体"/>
          <w:sz w:val="24"/>
          <w:szCs w:val="24"/>
          <w:lang w:val="en-US" w:eastAsia="zh-CN"/>
        </w:rPr>
        <w:t>: 495-503 [PMID: 16237219 DOI: 10.1016/S1525-1578(10)60580-6]</w:t>
      </w:r>
    </w:p>
    <w:p w:rsidR="00906D1E" w:rsidRPr="00564DBC" w:rsidRDefault="00906D1E" w:rsidP="00564DBC">
      <w:pPr>
        <w:widowControl w:val="0"/>
        <w:spacing w:after="0" w:line="360" w:lineRule="auto"/>
        <w:jc w:val="both"/>
        <w:rPr>
          <w:rFonts w:ascii="Book Antiqua" w:eastAsia="宋体" w:hAnsi="Book Antiqua" w:cs="宋体"/>
          <w:sz w:val="24"/>
          <w:szCs w:val="24"/>
          <w:lang w:val="en-US" w:eastAsia="zh-CN"/>
        </w:rPr>
      </w:pPr>
      <w:r w:rsidRPr="00564DBC">
        <w:rPr>
          <w:rFonts w:ascii="Book Antiqua" w:eastAsia="宋体" w:hAnsi="Book Antiqua" w:cs="宋体"/>
          <w:sz w:val="24"/>
          <w:szCs w:val="24"/>
          <w:lang w:val="en-US" w:eastAsia="zh-CN"/>
        </w:rPr>
        <w:t xml:space="preserve">8 </w:t>
      </w:r>
      <w:r w:rsidRPr="00564DBC">
        <w:rPr>
          <w:rFonts w:ascii="Book Antiqua" w:eastAsia="宋体" w:hAnsi="Book Antiqua" w:cs="宋体"/>
          <w:b/>
          <w:bCs/>
          <w:sz w:val="24"/>
          <w:szCs w:val="24"/>
          <w:lang w:val="en-US" w:eastAsia="zh-CN"/>
        </w:rPr>
        <w:t>Barrington SF</w:t>
      </w:r>
      <w:r w:rsidRPr="00564DBC">
        <w:rPr>
          <w:rFonts w:ascii="Book Antiqua" w:eastAsia="宋体" w:hAnsi="Book Antiqua" w:cs="宋体"/>
          <w:sz w:val="24"/>
          <w:szCs w:val="24"/>
          <w:lang w:val="en-US" w:eastAsia="zh-CN"/>
        </w:rPr>
        <w:t xml:space="preserve">, </w:t>
      </w:r>
      <w:proofErr w:type="spellStart"/>
      <w:r w:rsidRPr="00564DBC">
        <w:rPr>
          <w:rFonts w:ascii="Book Antiqua" w:eastAsia="宋体" w:hAnsi="Book Antiqua" w:cs="宋体"/>
          <w:sz w:val="24"/>
          <w:szCs w:val="24"/>
          <w:lang w:val="en-US" w:eastAsia="zh-CN"/>
        </w:rPr>
        <w:t>Mikhaeel</w:t>
      </w:r>
      <w:proofErr w:type="spellEnd"/>
      <w:r w:rsidRPr="00564DBC">
        <w:rPr>
          <w:rFonts w:ascii="Book Antiqua" w:eastAsia="宋体" w:hAnsi="Book Antiqua" w:cs="宋体"/>
          <w:sz w:val="24"/>
          <w:szCs w:val="24"/>
          <w:lang w:val="en-US" w:eastAsia="zh-CN"/>
        </w:rPr>
        <w:t xml:space="preserve"> NG, </w:t>
      </w:r>
      <w:proofErr w:type="spellStart"/>
      <w:r w:rsidRPr="00564DBC">
        <w:rPr>
          <w:rFonts w:ascii="Book Antiqua" w:eastAsia="宋体" w:hAnsi="Book Antiqua" w:cs="宋体"/>
          <w:sz w:val="24"/>
          <w:szCs w:val="24"/>
          <w:lang w:val="en-US" w:eastAsia="zh-CN"/>
        </w:rPr>
        <w:t>Kostakoglu</w:t>
      </w:r>
      <w:proofErr w:type="spellEnd"/>
      <w:r w:rsidRPr="00564DBC">
        <w:rPr>
          <w:rFonts w:ascii="Book Antiqua" w:eastAsia="宋体" w:hAnsi="Book Antiqua" w:cs="宋体"/>
          <w:sz w:val="24"/>
          <w:szCs w:val="24"/>
          <w:lang w:val="en-US" w:eastAsia="zh-CN"/>
        </w:rPr>
        <w:t xml:space="preserve"> L, </w:t>
      </w:r>
      <w:proofErr w:type="spellStart"/>
      <w:r w:rsidRPr="00564DBC">
        <w:rPr>
          <w:rFonts w:ascii="Book Antiqua" w:eastAsia="宋体" w:hAnsi="Book Antiqua" w:cs="宋体"/>
          <w:sz w:val="24"/>
          <w:szCs w:val="24"/>
          <w:lang w:val="en-US" w:eastAsia="zh-CN"/>
        </w:rPr>
        <w:t>Meignan</w:t>
      </w:r>
      <w:proofErr w:type="spellEnd"/>
      <w:r w:rsidRPr="00564DBC">
        <w:rPr>
          <w:rFonts w:ascii="Book Antiqua" w:eastAsia="宋体" w:hAnsi="Book Antiqua" w:cs="宋体"/>
          <w:sz w:val="24"/>
          <w:szCs w:val="24"/>
          <w:lang w:val="en-US" w:eastAsia="zh-CN"/>
        </w:rPr>
        <w:t xml:space="preserve"> M, Hutchings M, </w:t>
      </w:r>
      <w:proofErr w:type="spellStart"/>
      <w:r w:rsidRPr="00564DBC">
        <w:rPr>
          <w:rFonts w:ascii="Book Antiqua" w:eastAsia="宋体" w:hAnsi="Book Antiqua" w:cs="宋体"/>
          <w:sz w:val="24"/>
          <w:szCs w:val="24"/>
          <w:lang w:val="en-US" w:eastAsia="zh-CN"/>
        </w:rPr>
        <w:t>Müeller</w:t>
      </w:r>
      <w:proofErr w:type="spellEnd"/>
      <w:r w:rsidRPr="00564DBC">
        <w:rPr>
          <w:rFonts w:ascii="Book Antiqua" w:eastAsia="宋体" w:hAnsi="Book Antiqua" w:cs="宋体"/>
          <w:sz w:val="24"/>
          <w:szCs w:val="24"/>
          <w:lang w:val="en-US" w:eastAsia="zh-CN"/>
        </w:rPr>
        <w:t xml:space="preserve"> SP, Schwartz LH, </w:t>
      </w:r>
      <w:proofErr w:type="spellStart"/>
      <w:r w:rsidRPr="00564DBC">
        <w:rPr>
          <w:rFonts w:ascii="Book Antiqua" w:eastAsia="宋体" w:hAnsi="Book Antiqua" w:cs="宋体"/>
          <w:sz w:val="24"/>
          <w:szCs w:val="24"/>
          <w:lang w:val="en-US" w:eastAsia="zh-CN"/>
        </w:rPr>
        <w:t>Zucca</w:t>
      </w:r>
      <w:proofErr w:type="spellEnd"/>
      <w:r w:rsidRPr="00564DBC">
        <w:rPr>
          <w:rFonts w:ascii="Book Antiqua" w:eastAsia="宋体" w:hAnsi="Book Antiqua" w:cs="宋体"/>
          <w:sz w:val="24"/>
          <w:szCs w:val="24"/>
          <w:lang w:val="en-US" w:eastAsia="zh-CN"/>
        </w:rPr>
        <w:t xml:space="preserve"> E, Fisher RI, Trotman J, Hoekstra OS, Hicks RJ, </w:t>
      </w:r>
      <w:proofErr w:type="spellStart"/>
      <w:r w:rsidRPr="00564DBC">
        <w:rPr>
          <w:rFonts w:ascii="Book Antiqua" w:eastAsia="宋体" w:hAnsi="Book Antiqua" w:cs="宋体"/>
          <w:sz w:val="24"/>
          <w:szCs w:val="24"/>
          <w:lang w:val="en-US" w:eastAsia="zh-CN"/>
        </w:rPr>
        <w:t>O'Doherty</w:t>
      </w:r>
      <w:proofErr w:type="spellEnd"/>
      <w:r w:rsidRPr="00564DBC">
        <w:rPr>
          <w:rFonts w:ascii="Book Antiqua" w:eastAsia="宋体" w:hAnsi="Book Antiqua" w:cs="宋体"/>
          <w:sz w:val="24"/>
          <w:szCs w:val="24"/>
          <w:lang w:val="en-US" w:eastAsia="zh-CN"/>
        </w:rPr>
        <w:t xml:space="preserve"> MJ, </w:t>
      </w:r>
      <w:proofErr w:type="spellStart"/>
      <w:r w:rsidRPr="00564DBC">
        <w:rPr>
          <w:rFonts w:ascii="Book Antiqua" w:eastAsia="宋体" w:hAnsi="Book Antiqua" w:cs="宋体"/>
          <w:sz w:val="24"/>
          <w:szCs w:val="24"/>
          <w:lang w:val="en-US" w:eastAsia="zh-CN"/>
        </w:rPr>
        <w:t>Hustinx</w:t>
      </w:r>
      <w:proofErr w:type="spellEnd"/>
      <w:r w:rsidRPr="00564DBC">
        <w:rPr>
          <w:rFonts w:ascii="Book Antiqua" w:eastAsia="宋体" w:hAnsi="Book Antiqua" w:cs="宋体"/>
          <w:sz w:val="24"/>
          <w:szCs w:val="24"/>
          <w:lang w:val="en-US" w:eastAsia="zh-CN"/>
        </w:rPr>
        <w:t xml:space="preserve"> R, </w:t>
      </w:r>
      <w:proofErr w:type="spellStart"/>
      <w:r w:rsidRPr="00564DBC">
        <w:rPr>
          <w:rFonts w:ascii="Book Antiqua" w:eastAsia="宋体" w:hAnsi="Book Antiqua" w:cs="宋体"/>
          <w:sz w:val="24"/>
          <w:szCs w:val="24"/>
          <w:lang w:val="en-US" w:eastAsia="zh-CN"/>
        </w:rPr>
        <w:t>Biggi</w:t>
      </w:r>
      <w:proofErr w:type="spellEnd"/>
      <w:r w:rsidRPr="00564DBC">
        <w:rPr>
          <w:rFonts w:ascii="Book Antiqua" w:eastAsia="宋体" w:hAnsi="Book Antiqua" w:cs="宋体"/>
          <w:sz w:val="24"/>
          <w:szCs w:val="24"/>
          <w:lang w:val="en-US" w:eastAsia="zh-CN"/>
        </w:rPr>
        <w:t xml:space="preserve"> A, </w:t>
      </w:r>
      <w:proofErr w:type="spellStart"/>
      <w:r w:rsidRPr="00564DBC">
        <w:rPr>
          <w:rFonts w:ascii="Book Antiqua" w:eastAsia="宋体" w:hAnsi="Book Antiqua" w:cs="宋体"/>
          <w:sz w:val="24"/>
          <w:szCs w:val="24"/>
          <w:lang w:val="en-US" w:eastAsia="zh-CN"/>
        </w:rPr>
        <w:t>Cheson</w:t>
      </w:r>
      <w:proofErr w:type="spellEnd"/>
      <w:r w:rsidRPr="00564DBC">
        <w:rPr>
          <w:rFonts w:ascii="Book Antiqua" w:eastAsia="宋体" w:hAnsi="Book Antiqua" w:cs="宋体"/>
          <w:sz w:val="24"/>
          <w:szCs w:val="24"/>
          <w:lang w:val="en-US" w:eastAsia="zh-CN"/>
        </w:rPr>
        <w:t xml:space="preserve"> BD. Role of imaging in the staging and response assessment of lymphoma: consensus of the International Conference on Malignant Lymphomas Imaging Working Group. </w:t>
      </w:r>
      <w:r w:rsidRPr="00564DBC">
        <w:rPr>
          <w:rFonts w:ascii="Book Antiqua" w:eastAsia="宋体" w:hAnsi="Book Antiqua" w:cs="宋体"/>
          <w:i/>
          <w:iCs/>
          <w:sz w:val="24"/>
          <w:szCs w:val="24"/>
          <w:lang w:val="en-US" w:eastAsia="zh-CN"/>
        </w:rPr>
        <w:t xml:space="preserve">J </w:t>
      </w:r>
      <w:proofErr w:type="spellStart"/>
      <w:r w:rsidRPr="00564DBC">
        <w:rPr>
          <w:rFonts w:ascii="Book Antiqua" w:eastAsia="宋体" w:hAnsi="Book Antiqua" w:cs="宋体"/>
          <w:i/>
          <w:iCs/>
          <w:sz w:val="24"/>
          <w:szCs w:val="24"/>
          <w:lang w:val="en-US" w:eastAsia="zh-CN"/>
        </w:rPr>
        <w:t>Clin</w:t>
      </w:r>
      <w:proofErr w:type="spellEnd"/>
      <w:r w:rsidRPr="00564DBC">
        <w:rPr>
          <w:rFonts w:ascii="Book Antiqua" w:eastAsia="宋体" w:hAnsi="Book Antiqua" w:cs="宋体"/>
          <w:i/>
          <w:iCs/>
          <w:sz w:val="24"/>
          <w:szCs w:val="24"/>
          <w:lang w:val="en-US" w:eastAsia="zh-CN"/>
        </w:rPr>
        <w:t xml:space="preserve"> </w:t>
      </w:r>
      <w:proofErr w:type="spellStart"/>
      <w:r w:rsidRPr="00564DBC">
        <w:rPr>
          <w:rFonts w:ascii="Book Antiqua" w:eastAsia="宋体" w:hAnsi="Book Antiqua" w:cs="宋体"/>
          <w:i/>
          <w:iCs/>
          <w:sz w:val="24"/>
          <w:szCs w:val="24"/>
          <w:lang w:val="en-US" w:eastAsia="zh-CN"/>
        </w:rPr>
        <w:t>Oncol</w:t>
      </w:r>
      <w:proofErr w:type="spellEnd"/>
      <w:r w:rsidRPr="00564DBC">
        <w:rPr>
          <w:rFonts w:ascii="Book Antiqua" w:eastAsia="宋体" w:hAnsi="Book Antiqua" w:cs="宋体"/>
          <w:sz w:val="24"/>
          <w:szCs w:val="24"/>
          <w:lang w:val="en-US" w:eastAsia="zh-CN"/>
        </w:rPr>
        <w:t xml:space="preserve"> 2014; </w:t>
      </w:r>
      <w:r w:rsidRPr="00564DBC">
        <w:rPr>
          <w:rFonts w:ascii="Book Antiqua" w:eastAsia="宋体" w:hAnsi="Book Antiqua" w:cs="宋体"/>
          <w:b/>
          <w:bCs/>
          <w:sz w:val="24"/>
          <w:szCs w:val="24"/>
          <w:lang w:val="en-US" w:eastAsia="zh-CN"/>
        </w:rPr>
        <w:t>32</w:t>
      </w:r>
      <w:r w:rsidRPr="00564DBC">
        <w:rPr>
          <w:rFonts w:ascii="Book Antiqua" w:eastAsia="宋体" w:hAnsi="Book Antiqua" w:cs="宋体"/>
          <w:sz w:val="24"/>
          <w:szCs w:val="24"/>
          <w:lang w:val="en-US" w:eastAsia="zh-CN"/>
        </w:rPr>
        <w:t>: 3048-3058 [PMID: 25113771 DOI: 10.1200/JCO.2013.53.5229]</w:t>
      </w:r>
    </w:p>
    <w:p w:rsidR="00906D1E" w:rsidRPr="00564DBC" w:rsidRDefault="00906D1E" w:rsidP="00564DBC">
      <w:pPr>
        <w:widowControl w:val="0"/>
        <w:spacing w:after="0" w:line="360" w:lineRule="auto"/>
        <w:jc w:val="both"/>
        <w:rPr>
          <w:rFonts w:ascii="Book Antiqua" w:eastAsia="宋体" w:hAnsi="Book Antiqua" w:cs="宋体"/>
          <w:sz w:val="24"/>
          <w:szCs w:val="24"/>
          <w:lang w:val="en-US" w:eastAsia="zh-CN"/>
        </w:rPr>
      </w:pPr>
      <w:r w:rsidRPr="00564DBC">
        <w:rPr>
          <w:rFonts w:ascii="Book Antiqua" w:eastAsia="宋体" w:hAnsi="Book Antiqua" w:cs="宋体"/>
          <w:sz w:val="24"/>
          <w:szCs w:val="24"/>
          <w:lang w:val="en-US" w:eastAsia="zh-CN"/>
        </w:rPr>
        <w:t xml:space="preserve">9 </w:t>
      </w:r>
      <w:proofErr w:type="spellStart"/>
      <w:r w:rsidRPr="00564DBC">
        <w:rPr>
          <w:rFonts w:ascii="Book Antiqua" w:eastAsia="宋体" w:hAnsi="Book Antiqua" w:cs="宋体"/>
          <w:b/>
          <w:bCs/>
          <w:sz w:val="24"/>
          <w:szCs w:val="24"/>
          <w:lang w:val="en-US" w:eastAsia="zh-CN"/>
        </w:rPr>
        <w:t>Kako</w:t>
      </w:r>
      <w:proofErr w:type="spellEnd"/>
      <w:r w:rsidRPr="00564DBC">
        <w:rPr>
          <w:rFonts w:ascii="Book Antiqua" w:eastAsia="宋体" w:hAnsi="Book Antiqua" w:cs="宋体"/>
          <w:b/>
          <w:bCs/>
          <w:sz w:val="24"/>
          <w:szCs w:val="24"/>
          <w:lang w:val="en-US" w:eastAsia="zh-CN"/>
        </w:rPr>
        <w:t xml:space="preserve"> S</w:t>
      </w:r>
      <w:r w:rsidRPr="00564DBC">
        <w:rPr>
          <w:rFonts w:ascii="Book Antiqua" w:eastAsia="宋体" w:hAnsi="Book Antiqua" w:cs="宋体"/>
          <w:sz w:val="24"/>
          <w:szCs w:val="24"/>
          <w:lang w:val="en-US" w:eastAsia="zh-CN"/>
        </w:rPr>
        <w:t xml:space="preserve">, </w:t>
      </w:r>
      <w:proofErr w:type="spellStart"/>
      <w:r w:rsidRPr="00564DBC">
        <w:rPr>
          <w:rFonts w:ascii="Book Antiqua" w:eastAsia="宋体" w:hAnsi="Book Antiqua" w:cs="宋体"/>
          <w:sz w:val="24"/>
          <w:szCs w:val="24"/>
          <w:lang w:val="en-US" w:eastAsia="zh-CN"/>
        </w:rPr>
        <w:t>Izutsu</w:t>
      </w:r>
      <w:proofErr w:type="spellEnd"/>
      <w:r w:rsidRPr="00564DBC">
        <w:rPr>
          <w:rFonts w:ascii="Book Antiqua" w:eastAsia="宋体" w:hAnsi="Book Antiqua" w:cs="宋体"/>
          <w:sz w:val="24"/>
          <w:szCs w:val="24"/>
          <w:lang w:val="en-US" w:eastAsia="zh-CN"/>
        </w:rPr>
        <w:t xml:space="preserve"> K, Ota Y, </w:t>
      </w:r>
      <w:proofErr w:type="spellStart"/>
      <w:r w:rsidRPr="00564DBC">
        <w:rPr>
          <w:rFonts w:ascii="Book Antiqua" w:eastAsia="宋体" w:hAnsi="Book Antiqua" w:cs="宋体"/>
          <w:sz w:val="24"/>
          <w:szCs w:val="24"/>
          <w:lang w:val="en-US" w:eastAsia="zh-CN"/>
        </w:rPr>
        <w:t>Minatani</w:t>
      </w:r>
      <w:proofErr w:type="spellEnd"/>
      <w:r w:rsidRPr="00564DBC">
        <w:rPr>
          <w:rFonts w:ascii="Book Antiqua" w:eastAsia="宋体" w:hAnsi="Book Antiqua" w:cs="宋体"/>
          <w:sz w:val="24"/>
          <w:szCs w:val="24"/>
          <w:lang w:val="en-US" w:eastAsia="zh-CN"/>
        </w:rPr>
        <w:t xml:space="preserve"> Y, </w:t>
      </w:r>
      <w:proofErr w:type="spellStart"/>
      <w:r w:rsidRPr="00564DBC">
        <w:rPr>
          <w:rFonts w:ascii="Book Antiqua" w:eastAsia="宋体" w:hAnsi="Book Antiqua" w:cs="宋体"/>
          <w:sz w:val="24"/>
          <w:szCs w:val="24"/>
          <w:lang w:val="en-US" w:eastAsia="zh-CN"/>
        </w:rPr>
        <w:t>Sugaya</w:t>
      </w:r>
      <w:proofErr w:type="spellEnd"/>
      <w:r w:rsidRPr="00564DBC">
        <w:rPr>
          <w:rFonts w:ascii="Book Antiqua" w:eastAsia="宋体" w:hAnsi="Book Antiqua" w:cs="宋体"/>
          <w:sz w:val="24"/>
          <w:szCs w:val="24"/>
          <w:lang w:val="en-US" w:eastAsia="zh-CN"/>
        </w:rPr>
        <w:t xml:space="preserve"> M, </w:t>
      </w:r>
      <w:proofErr w:type="spellStart"/>
      <w:r w:rsidRPr="00564DBC">
        <w:rPr>
          <w:rFonts w:ascii="Book Antiqua" w:eastAsia="宋体" w:hAnsi="Book Antiqua" w:cs="宋体"/>
          <w:sz w:val="24"/>
          <w:szCs w:val="24"/>
          <w:lang w:val="en-US" w:eastAsia="zh-CN"/>
        </w:rPr>
        <w:t>Momose</w:t>
      </w:r>
      <w:proofErr w:type="spellEnd"/>
      <w:r w:rsidRPr="00564DBC">
        <w:rPr>
          <w:rFonts w:ascii="Book Antiqua" w:eastAsia="宋体" w:hAnsi="Book Antiqua" w:cs="宋体"/>
          <w:sz w:val="24"/>
          <w:szCs w:val="24"/>
          <w:lang w:val="en-US" w:eastAsia="zh-CN"/>
        </w:rPr>
        <w:t xml:space="preserve"> T, </w:t>
      </w:r>
      <w:proofErr w:type="spellStart"/>
      <w:r w:rsidRPr="00564DBC">
        <w:rPr>
          <w:rFonts w:ascii="Book Antiqua" w:eastAsia="宋体" w:hAnsi="Book Antiqua" w:cs="宋体"/>
          <w:sz w:val="24"/>
          <w:szCs w:val="24"/>
          <w:lang w:val="en-US" w:eastAsia="zh-CN"/>
        </w:rPr>
        <w:t>Ohtomo</w:t>
      </w:r>
      <w:proofErr w:type="spellEnd"/>
      <w:r w:rsidRPr="00564DBC">
        <w:rPr>
          <w:rFonts w:ascii="Book Antiqua" w:eastAsia="宋体" w:hAnsi="Book Antiqua" w:cs="宋体"/>
          <w:sz w:val="24"/>
          <w:szCs w:val="24"/>
          <w:lang w:val="en-US" w:eastAsia="zh-CN"/>
        </w:rPr>
        <w:t xml:space="preserve"> K, Kanda Y, Chiba S, </w:t>
      </w:r>
      <w:proofErr w:type="spellStart"/>
      <w:r w:rsidRPr="00564DBC">
        <w:rPr>
          <w:rFonts w:ascii="Book Antiqua" w:eastAsia="宋体" w:hAnsi="Book Antiqua" w:cs="宋体"/>
          <w:sz w:val="24"/>
          <w:szCs w:val="24"/>
          <w:lang w:val="en-US" w:eastAsia="zh-CN"/>
        </w:rPr>
        <w:t>Motokura</w:t>
      </w:r>
      <w:proofErr w:type="spellEnd"/>
      <w:r w:rsidRPr="00564DBC">
        <w:rPr>
          <w:rFonts w:ascii="Book Antiqua" w:eastAsia="宋体" w:hAnsi="Book Antiqua" w:cs="宋体"/>
          <w:sz w:val="24"/>
          <w:szCs w:val="24"/>
          <w:lang w:val="en-US" w:eastAsia="zh-CN"/>
        </w:rPr>
        <w:t xml:space="preserve"> T, </w:t>
      </w:r>
      <w:proofErr w:type="spellStart"/>
      <w:r w:rsidRPr="00564DBC">
        <w:rPr>
          <w:rFonts w:ascii="Book Antiqua" w:eastAsia="宋体" w:hAnsi="Book Antiqua" w:cs="宋体"/>
          <w:sz w:val="24"/>
          <w:szCs w:val="24"/>
          <w:lang w:val="en-US" w:eastAsia="zh-CN"/>
        </w:rPr>
        <w:t>Kurokawa</w:t>
      </w:r>
      <w:proofErr w:type="spellEnd"/>
      <w:r w:rsidRPr="00564DBC">
        <w:rPr>
          <w:rFonts w:ascii="Book Antiqua" w:eastAsia="宋体" w:hAnsi="Book Antiqua" w:cs="宋体"/>
          <w:sz w:val="24"/>
          <w:szCs w:val="24"/>
          <w:lang w:val="en-US" w:eastAsia="zh-CN"/>
        </w:rPr>
        <w:t xml:space="preserve"> M. FDG-PET in T-cell and NK-cell neoplasms. </w:t>
      </w:r>
      <w:r w:rsidRPr="00564DBC">
        <w:rPr>
          <w:rFonts w:ascii="Book Antiqua" w:eastAsia="宋体" w:hAnsi="Book Antiqua" w:cs="宋体"/>
          <w:i/>
          <w:iCs/>
          <w:sz w:val="24"/>
          <w:szCs w:val="24"/>
          <w:lang w:val="en-US" w:eastAsia="zh-CN"/>
        </w:rPr>
        <w:t xml:space="preserve">Ann </w:t>
      </w:r>
      <w:proofErr w:type="spellStart"/>
      <w:r w:rsidRPr="00564DBC">
        <w:rPr>
          <w:rFonts w:ascii="Book Antiqua" w:eastAsia="宋体" w:hAnsi="Book Antiqua" w:cs="宋体"/>
          <w:i/>
          <w:iCs/>
          <w:sz w:val="24"/>
          <w:szCs w:val="24"/>
          <w:lang w:val="en-US" w:eastAsia="zh-CN"/>
        </w:rPr>
        <w:t>Oncol</w:t>
      </w:r>
      <w:proofErr w:type="spellEnd"/>
      <w:r w:rsidRPr="00564DBC">
        <w:rPr>
          <w:rFonts w:ascii="Book Antiqua" w:eastAsia="宋体" w:hAnsi="Book Antiqua" w:cs="宋体"/>
          <w:sz w:val="24"/>
          <w:szCs w:val="24"/>
          <w:lang w:val="en-US" w:eastAsia="zh-CN"/>
        </w:rPr>
        <w:t xml:space="preserve"> 2007; </w:t>
      </w:r>
      <w:r w:rsidRPr="00564DBC">
        <w:rPr>
          <w:rFonts w:ascii="Book Antiqua" w:eastAsia="宋体" w:hAnsi="Book Antiqua" w:cs="宋体"/>
          <w:b/>
          <w:bCs/>
          <w:sz w:val="24"/>
          <w:szCs w:val="24"/>
          <w:lang w:val="en-US" w:eastAsia="zh-CN"/>
        </w:rPr>
        <w:t>18</w:t>
      </w:r>
      <w:r w:rsidRPr="00564DBC">
        <w:rPr>
          <w:rFonts w:ascii="Book Antiqua" w:eastAsia="宋体" w:hAnsi="Book Antiqua" w:cs="宋体"/>
          <w:sz w:val="24"/>
          <w:szCs w:val="24"/>
          <w:lang w:val="en-US" w:eastAsia="zh-CN"/>
        </w:rPr>
        <w:t>: 1685-1690 [PMID: 17716987 DOI: 10.1093/</w:t>
      </w:r>
      <w:proofErr w:type="spellStart"/>
      <w:r w:rsidRPr="00564DBC">
        <w:rPr>
          <w:rFonts w:ascii="Book Antiqua" w:eastAsia="宋体" w:hAnsi="Book Antiqua" w:cs="宋体"/>
          <w:sz w:val="24"/>
          <w:szCs w:val="24"/>
          <w:lang w:val="en-US" w:eastAsia="zh-CN"/>
        </w:rPr>
        <w:t>annonc</w:t>
      </w:r>
      <w:proofErr w:type="spellEnd"/>
      <w:r w:rsidRPr="00564DBC">
        <w:rPr>
          <w:rFonts w:ascii="Book Antiqua" w:eastAsia="宋体" w:hAnsi="Book Antiqua" w:cs="宋体"/>
          <w:sz w:val="24"/>
          <w:szCs w:val="24"/>
          <w:lang w:val="en-US" w:eastAsia="zh-CN"/>
        </w:rPr>
        <w:t>/mdm265]</w:t>
      </w:r>
    </w:p>
    <w:p w:rsidR="00906D1E" w:rsidRPr="00564DBC" w:rsidRDefault="00906D1E" w:rsidP="00564DBC">
      <w:pPr>
        <w:widowControl w:val="0"/>
        <w:spacing w:after="0" w:line="360" w:lineRule="auto"/>
        <w:jc w:val="both"/>
        <w:rPr>
          <w:rFonts w:ascii="Book Antiqua" w:eastAsia="宋体" w:hAnsi="Book Antiqua" w:cs="宋体"/>
          <w:sz w:val="24"/>
          <w:szCs w:val="24"/>
          <w:lang w:val="en-US" w:eastAsia="zh-CN"/>
        </w:rPr>
      </w:pPr>
      <w:r w:rsidRPr="00564DBC">
        <w:rPr>
          <w:rFonts w:ascii="Book Antiqua" w:eastAsia="宋体" w:hAnsi="Book Antiqua" w:cs="宋体"/>
          <w:sz w:val="24"/>
          <w:szCs w:val="24"/>
          <w:lang w:val="en-US" w:eastAsia="zh-CN"/>
        </w:rPr>
        <w:t xml:space="preserve">10 </w:t>
      </w:r>
      <w:r w:rsidRPr="00564DBC">
        <w:rPr>
          <w:rFonts w:ascii="Book Antiqua" w:eastAsia="宋体" w:hAnsi="Book Antiqua" w:cs="宋体"/>
          <w:b/>
          <w:bCs/>
          <w:sz w:val="24"/>
          <w:szCs w:val="24"/>
          <w:lang w:val="en-US" w:eastAsia="zh-CN"/>
        </w:rPr>
        <w:t>Rodriguez VR</w:t>
      </w:r>
      <w:r w:rsidRPr="00564DBC">
        <w:rPr>
          <w:rFonts w:ascii="Book Antiqua" w:eastAsia="宋体" w:hAnsi="Book Antiqua" w:cs="宋体"/>
          <w:sz w:val="24"/>
          <w:szCs w:val="24"/>
          <w:lang w:val="en-US" w:eastAsia="zh-CN"/>
        </w:rPr>
        <w:t xml:space="preserve">, Joshi A, Peng F, </w:t>
      </w:r>
      <w:proofErr w:type="spellStart"/>
      <w:r w:rsidRPr="00564DBC">
        <w:rPr>
          <w:rFonts w:ascii="Book Antiqua" w:eastAsia="宋体" w:hAnsi="Book Antiqua" w:cs="宋体"/>
          <w:sz w:val="24"/>
          <w:szCs w:val="24"/>
          <w:lang w:val="en-US" w:eastAsia="zh-CN"/>
        </w:rPr>
        <w:t>Rabah</w:t>
      </w:r>
      <w:proofErr w:type="spellEnd"/>
      <w:r w:rsidRPr="00564DBC">
        <w:rPr>
          <w:rFonts w:ascii="Book Antiqua" w:eastAsia="宋体" w:hAnsi="Book Antiqua" w:cs="宋体"/>
          <w:sz w:val="24"/>
          <w:szCs w:val="24"/>
          <w:lang w:val="en-US" w:eastAsia="zh-CN"/>
        </w:rPr>
        <w:t xml:space="preserve"> RM, </w:t>
      </w:r>
      <w:proofErr w:type="spellStart"/>
      <w:r w:rsidRPr="00564DBC">
        <w:rPr>
          <w:rFonts w:ascii="Book Antiqua" w:eastAsia="宋体" w:hAnsi="Book Antiqua" w:cs="宋体"/>
          <w:sz w:val="24"/>
          <w:szCs w:val="24"/>
          <w:lang w:val="en-US" w:eastAsia="zh-CN"/>
        </w:rPr>
        <w:t>Stockmann</w:t>
      </w:r>
      <w:proofErr w:type="spellEnd"/>
      <w:r w:rsidRPr="00564DBC">
        <w:rPr>
          <w:rFonts w:ascii="Book Antiqua" w:eastAsia="宋体" w:hAnsi="Book Antiqua" w:cs="宋体"/>
          <w:sz w:val="24"/>
          <w:szCs w:val="24"/>
          <w:lang w:val="en-US" w:eastAsia="zh-CN"/>
        </w:rPr>
        <w:t xml:space="preserve"> PT, </w:t>
      </w:r>
      <w:proofErr w:type="spellStart"/>
      <w:r w:rsidRPr="00564DBC">
        <w:rPr>
          <w:rFonts w:ascii="Book Antiqua" w:eastAsia="宋体" w:hAnsi="Book Antiqua" w:cs="宋体"/>
          <w:sz w:val="24"/>
          <w:szCs w:val="24"/>
          <w:lang w:val="en-US" w:eastAsia="zh-CN"/>
        </w:rPr>
        <w:t>Sava</w:t>
      </w:r>
      <w:r w:rsidRPr="00564DBC">
        <w:rPr>
          <w:rFonts w:ascii="Book Antiqua" w:eastAsia="MS Mincho" w:hAnsi="Book Antiqua" w:cs="MS Mincho"/>
          <w:sz w:val="24"/>
          <w:szCs w:val="24"/>
          <w:lang w:val="en-US" w:eastAsia="zh-CN"/>
        </w:rPr>
        <w:t>ş</w:t>
      </w:r>
      <w:r w:rsidRPr="00564DBC">
        <w:rPr>
          <w:rFonts w:ascii="Book Antiqua" w:eastAsia="宋体" w:hAnsi="Book Antiqua" w:cs="宋体"/>
          <w:sz w:val="24"/>
          <w:szCs w:val="24"/>
          <w:lang w:val="en-US" w:eastAsia="zh-CN"/>
        </w:rPr>
        <w:t>an</w:t>
      </w:r>
      <w:proofErr w:type="spellEnd"/>
      <w:r w:rsidRPr="00564DBC">
        <w:rPr>
          <w:rFonts w:ascii="Book Antiqua" w:eastAsia="宋体" w:hAnsi="Book Antiqua" w:cs="宋体"/>
          <w:sz w:val="24"/>
          <w:szCs w:val="24"/>
          <w:lang w:val="en-US" w:eastAsia="zh-CN"/>
        </w:rPr>
        <w:t xml:space="preserve"> S. Positron emission tomography in subcutaneous panniculitis-like T-cell lymphoma. </w:t>
      </w:r>
      <w:proofErr w:type="spellStart"/>
      <w:r w:rsidRPr="00564DBC">
        <w:rPr>
          <w:rFonts w:ascii="Book Antiqua" w:eastAsia="宋体" w:hAnsi="Book Antiqua" w:cs="宋体"/>
          <w:i/>
          <w:iCs/>
          <w:sz w:val="24"/>
          <w:szCs w:val="24"/>
          <w:lang w:val="en-US" w:eastAsia="zh-CN"/>
        </w:rPr>
        <w:t>Pediatr</w:t>
      </w:r>
      <w:proofErr w:type="spellEnd"/>
      <w:r w:rsidRPr="00564DBC">
        <w:rPr>
          <w:rFonts w:ascii="Book Antiqua" w:eastAsia="宋体" w:hAnsi="Book Antiqua" w:cs="宋体"/>
          <w:i/>
          <w:iCs/>
          <w:sz w:val="24"/>
          <w:szCs w:val="24"/>
          <w:lang w:val="en-US" w:eastAsia="zh-CN"/>
        </w:rPr>
        <w:t xml:space="preserve"> Blood Cancer</w:t>
      </w:r>
      <w:r w:rsidRPr="00564DBC">
        <w:rPr>
          <w:rFonts w:ascii="Book Antiqua" w:eastAsia="宋体" w:hAnsi="Book Antiqua" w:cs="宋体"/>
          <w:sz w:val="24"/>
          <w:szCs w:val="24"/>
          <w:lang w:val="en-US" w:eastAsia="zh-CN"/>
        </w:rPr>
        <w:t xml:space="preserve"> 2009; </w:t>
      </w:r>
      <w:r w:rsidRPr="00564DBC">
        <w:rPr>
          <w:rFonts w:ascii="Book Antiqua" w:eastAsia="宋体" w:hAnsi="Book Antiqua" w:cs="宋体"/>
          <w:b/>
          <w:bCs/>
          <w:sz w:val="24"/>
          <w:szCs w:val="24"/>
          <w:lang w:val="en-US" w:eastAsia="zh-CN"/>
        </w:rPr>
        <w:t>52</w:t>
      </w:r>
      <w:r w:rsidRPr="00564DBC">
        <w:rPr>
          <w:rFonts w:ascii="Book Antiqua" w:eastAsia="宋体" w:hAnsi="Book Antiqua" w:cs="宋体"/>
          <w:sz w:val="24"/>
          <w:szCs w:val="24"/>
          <w:lang w:val="en-US" w:eastAsia="zh-CN"/>
        </w:rPr>
        <w:t>: 406-408 [PMID: 18985722 DOI: 10.1002/pbc.21805]</w:t>
      </w:r>
    </w:p>
    <w:p w:rsidR="00906D1E" w:rsidRPr="00564DBC" w:rsidRDefault="00906D1E" w:rsidP="00564DBC">
      <w:pPr>
        <w:widowControl w:val="0"/>
        <w:spacing w:after="0" w:line="360" w:lineRule="auto"/>
        <w:jc w:val="both"/>
        <w:rPr>
          <w:rFonts w:ascii="Book Antiqua" w:eastAsia="宋体" w:hAnsi="Book Antiqua" w:cs="宋体"/>
          <w:sz w:val="24"/>
          <w:szCs w:val="24"/>
          <w:lang w:val="en-US" w:eastAsia="zh-CN"/>
        </w:rPr>
      </w:pPr>
      <w:r w:rsidRPr="00564DBC">
        <w:rPr>
          <w:rFonts w:ascii="Book Antiqua" w:eastAsia="宋体" w:hAnsi="Book Antiqua" w:cs="宋体"/>
          <w:sz w:val="24"/>
          <w:szCs w:val="24"/>
          <w:lang w:val="en-US" w:eastAsia="zh-CN"/>
        </w:rPr>
        <w:t xml:space="preserve">11 </w:t>
      </w:r>
      <w:r w:rsidRPr="00564DBC">
        <w:rPr>
          <w:rFonts w:ascii="Book Antiqua" w:eastAsia="宋体" w:hAnsi="Book Antiqua" w:cs="宋体"/>
          <w:b/>
          <w:bCs/>
          <w:sz w:val="24"/>
          <w:szCs w:val="24"/>
          <w:lang w:val="en-US" w:eastAsia="zh-CN"/>
        </w:rPr>
        <w:t>Feeney J</w:t>
      </w:r>
      <w:r w:rsidRPr="00564DBC">
        <w:rPr>
          <w:rFonts w:ascii="Book Antiqua" w:eastAsia="宋体" w:hAnsi="Book Antiqua" w:cs="宋体"/>
          <w:sz w:val="24"/>
          <w:szCs w:val="24"/>
          <w:lang w:val="en-US" w:eastAsia="zh-CN"/>
        </w:rPr>
        <w:t xml:space="preserve">, Horwitz S, </w:t>
      </w:r>
      <w:proofErr w:type="spellStart"/>
      <w:r w:rsidRPr="00564DBC">
        <w:rPr>
          <w:rFonts w:ascii="Book Antiqua" w:eastAsia="宋体" w:hAnsi="Book Antiqua" w:cs="宋体"/>
          <w:sz w:val="24"/>
          <w:szCs w:val="24"/>
          <w:lang w:val="en-US" w:eastAsia="zh-CN"/>
        </w:rPr>
        <w:t>Gönen</w:t>
      </w:r>
      <w:proofErr w:type="spellEnd"/>
      <w:r w:rsidRPr="00564DBC">
        <w:rPr>
          <w:rFonts w:ascii="Book Antiqua" w:eastAsia="宋体" w:hAnsi="Book Antiqua" w:cs="宋体"/>
          <w:sz w:val="24"/>
          <w:szCs w:val="24"/>
          <w:lang w:val="en-US" w:eastAsia="zh-CN"/>
        </w:rPr>
        <w:t xml:space="preserve"> M, </w:t>
      </w:r>
      <w:proofErr w:type="spellStart"/>
      <w:r w:rsidRPr="00564DBC">
        <w:rPr>
          <w:rFonts w:ascii="Book Antiqua" w:eastAsia="宋体" w:hAnsi="Book Antiqua" w:cs="宋体"/>
          <w:sz w:val="24"/>
          <w:szCs w:val="24"/>
          <w:lang w:val="en-US" w:eastAsia="zh-CN"/>
        </w:rPr>
        <w:t>Schöder</w:t>
      </w:r>
      <w:proofErr w:type="spellEnd"/>
      <w:r w:rsidRPr="00564DBC">
        <w:rPr>
          <w:rFonts w:ascii="Book Antiqua" w:eastAsia="宋体" w:hAnsi="Book Antiqua" w:cs="宋体"/>
          <w:sz w:val="24"/>
          <w:szCs w:val="24"/>
          <w:lang w:val="en-US" w:eastAsia="zh-CN"/>
        </w:rPr>
        <w:t xml:space="preserve"> H. Characterization of T-cell lymphomas by FDG PET/CT. </w:t>
      </w:r>
      <w:r w:rsidRPr="00564DBC">
        <w:rPr>
          <w:rFonts w:ascii="Book Antiqua" w:eastAsia="宋体" w:hAnsi="Book Antiqua" w:cs="宋体"/>
          <w:i/>
          <w:iCs/>
          <w:sz w:val="24"/>
          <w:szCs w:val="24"/>
          <w:lang w:val="en-US" w:eastAsia="zh-CN"/>
        </w:rPr>
        <w:t xml:space="preserve">AJR Am J </w:t>
      </w:r>
      <w:proofErr w:type="spellStart"/>
      <w:r w:rsidRPr="00564DBC">
        <w:rPr>
          <w:rFonts w:ascii="Book Antiqua" w:eastAsia="宋体" w:hAnsi="Book Antiqua" w:cs="宋体"/>
          <w:i/>
          <w:iCs/>
          <w:sz w:val="24"/>
          <w:szCs w:val="24"/>
          <w:lang w:val="en-US" w:eastAsia="zh-CN"/>
        </w:rPr>
        <w:t>Roentgenol</w:t>
      </w:r>
      <w:proofErr w:type="spellEnd"/>
      <w:r w:rsidRPr="00564DBC">
        <w:rPr>
          <w:rFonts w:ascii="Book Antiqua" w:eastAsia="宋体" w:hAnsi="Book Antiqua" w:cs="宋体"/>
          <w:sz w:val="24"/>
          <w:szCs w:val="24"/>
          <w:lang w:val="en-US" w:eastAsia="zh-CN"/>
        </w:rPr>
        <w:t xml:space="preserve"> 2010; </w:t>
      </w:r>
      <w:r w:rsidRPr="00564DBC">
        <w:rPr>
          <w:rFonts w:ascii="Book Antiqua" w:eastAsia="宋体" w:hAnsi="Book Antiqua" w:cs="宋体"/>
          <w:b/>
          <w:bCs/>
          <w:sz w:val="24"/>
          <w:szCs w:val="24"/>
          <w:lang w:val="en-US" w:eastAsia="zh-CN"/>
        </w:rPr>
        <w:t>195</w:t>
      </w:r>
      <w:r w:rsidRPr="00564DBC">
        <w:rPr>
          <w:rFonts w:ascii="Book Antiqua" w:eastAsia="宋体" w:hAnsi="Book Antiqua" w:cs="宋体"/>
          <w:sz w:val="24"/>
          <w:szCs w:val="24"/>
          <w:lang w:val="en-US" w:eastAsia="zh-CN"/>
        </w:rPr>
        <w:t>: 333-340 [PMID: 20651187 DOI: 10.2214/AJR.09.3665]</w:t>
      </w:r>
    </w:p>
    <w:p w:rsidR="00906D1E" w:rsidRPr="00564DBC" w:rsidRDefault="00906D1E" w:rsidP="00564DBC">
      <w:pPr>
        <w:widowControl w:val="0"/>
        <w:spacing w:after="0" w:line="360" w:lineRule="auto"/>
        <w:jc w:val="both"/>
        <w:rPr>
          <w:rFonts w:ascii="Book Antiqua" w:eastAsia="宋体" w:hAnsi="Book Antiqua" w:cs="宋体"/>
          <w:sz w:val="24"/>
          <w:szCs w:val="24"/>
          <w:lang w:val="en-US" w:eastAsia="zh-CN"/>
        </w:rPr>
      </w:pPr>
      <w:r w:rsidRPr="00564DBC">
        <w:rPr>
          <w:rFonts w:ascii="Book Antiqua" w:eastAsia="宋体" w:hAnsi="Book Antiqua" w:cs="宋体"/>
          <w:sz w:val="24"/>
          <w:szCs w:val="24"/>
          <w:lang w:val="en-US" w:eastAsia="zh-CN"/>
        </w:rPr>
        <w:t xml:space="preserve">12 </w:t>
      </w:r>
      <w:r w:rsidRPr="00564DBC">
        <w:rPr>
          <w:rFonts w:ascii="Book Antiqua" w:eastAsia="宋体" w:hAnsi="Book Antiqua" w:cs="宋体"/>
          <w:b/>
          <w:bCs/>
          <w:sz w:val="24"/>
          <w:szCs w:val="24"/>
          <w:lang w:val="en-US" w:eastAsia="zh-CN"/>
        </w:rPr>
        <w:t>Babb A</w:t>
      </w:r>
      <w:r w:rsidRPr="00564DBC">
        <w:rPr>
          <w:rFonts w:ascii="Book Antiqua" w:eastAsia="宋体" w:hAnsi="Book Antiqua" w:cs="宋体"/>
          <w:sz w:val="24"/>
          <w:szCs w:val="24"/>
          <w:lang w:val="en-US" w:eastAsia="zh-CN"/>
        </w:rPr>
        <w:t xml:space="preserve">, </w:t>
      </w:r>
      <w:proofErr w:type="spellStart"/>
      <w:r w:rsidRPr="00564DBC">
        <w:rPr>
          <w:rFonts w:ascii="Book Antiqua" w:eastAsia="宋体" w:hAnsi="Book Antiqua" w:cs="宋体"/>
          <w:sz w:val="24"/>
          <w:szCs w:val="24"/>
          <w:lang w:val="en-US" w:eastAsia="zh-CN"/>
        </w:rPr>
        <w:t>Zerizer</w:t>
      </w:r>
      <w:proofErr w:type="spellEnd"/>
      <w:r w:rsidRPr="00564DBC">
        <w:rPr>
          <w:rFonts w:ascii="Book Antiqua" w:eastAsia="宋体" w:hAnsi="Book Antiqua" w:cs="宋体"/>
          <w:sz w:val="24"/>
          <w:szCs w:val="24"/>
          <w:lang w:val="en-US" w:eastAsia="zh-CN"/>
        </w:rPr>
        <w:t xml:space="preserve"> I, Naresh KN, Macdonald D. Subcutaneous panniculitis-like T-cell lymphoma with </w:t>
      </w:r>
      <w:proofErr w:type="spellStart"/>
      <w:r w:rsidRPr="00564DBC">
        <w:rPr>
          <w:rFonts w:ascii="Book Antiqua" w:eastAsia="宋体" w:hAnsi="Book Antiqua" w:cs="宋体"/>
          <w:sz w:val="24"/>
          <w:szCs w:val="24"/>
          <w:lang w:val="en-US" w:eastAsia="zh-CN"/>
        </w:rPr>
        <w:t>extracutaneous</w:t>
      </w:r>
      <w:proofErr w:type="spellEnd"/>
      <w:r w:rsidRPr="00564DBC">
        <w:rPr>
          <w:rFonts w:ascii="Book Antiqua" w:eastAsia="宋体" w:hAnsi="Book Antiqua" w:cs="宋体"/>
          <w:sz w:val="24"/>
          <w:szCs w:val="24"/>
          <w:lang w:val="en-US" w:eastAsia="zh-CN"/>
        </w:rPr>
        <w:t xml:space="preserve"> dissemination demonstrated on FDG PET/CT. </w:t>
      </w:r>
      <w:r w:rsidRPr="00564DBC">
        <w:rPr>
          <w:rFonts w:ascii="Book Antiqua" w:eastAsia="宋体" w:hAnsi="Book Antiqua" w:cs="宋体"/>
          <w:i/>
          <w:iCs/>
          <w:sz w:val="24"/>
          <w:szCs w:val="24"/>
          <w:lang w:val="en-US" w:eastAsia="zh-CN"/>
        </w:rPr>
        <w:t xml:space="preserve">Am J </w:t>
      </w:r>
      <w:proofErr w:type="spellStart"/>
      <w:r w:rsidRPr="00564DBC">
        <w:rPr>
          <w:rFonts w:ascii="Book Antiqua" w:eastAsia="宋体" w:hAnsi="Book Antiqua" w:cs="宋体"/>
          <w:i/>
          <w:iCs/>
          <w:sz w:val="24"/>
          <w:szCs w:val="24"/>
          <w:lang w:val="en-US" w:eastAsia="zh-CN"/>
        </w:rPr>
        <w:t>Hematol</w:t>
      </w:r>
      <w:proofErr w:type="spellEnd"/>
      <w:r w:rsidRPr="00564DBC">
        <w:rPr>
          <w:rFonts w:ascii="Book Antiqua" w:eastAsia="宋体" w:hAnsi="Book Antiqua" w:cs="宋体"/>
          <w:sz w:val="24"/>
          <w:szCs w:val="24"/>
          <w:lang w:val="en-US" w:eastAsia="zh-CN"/>
        </w:rPr>
        <w:t xml:space="preserve"> 2011; </w:t>
      </w:r>
      <w:r w:rsidRPr="00564DBC">
        <w:rPr>
          <w:rFonts w:ascii="Book Antiqua" w:eastAsia="宋体" w:hAnsi="Book Antiqua" w:cs="宋体"/>
          <w:b/>
          <w:bCs/>
          <w:sz w:val="24"/>
          <w:szCs w:val="24"/>
          <w:lang w:val="en-US" w:eastAsia="zh-CN"/>
        </w:rPr>
        <w:t>86</w:t>
      </w:r>
      <w:r w:rsidRPr="00564DBC">
        <w:rPr>
          <w:rFonts w:ascii="Book Antiqua" w:eastAsia="宋体" w:hAnsi="Book Antiqua" w:cs="宋体"/>
          <w:sz w:val="24"/>
          <w:szCs w:val="24"/>
          <w:lang w:val="en-US" w:eastAsia="zh-CN"/>
        </w:rPr>
        <w:t xml:space="preserve">: 375-376 [PMID: </w:t>
      </w:r>
      <w:r w:rsidRPr="00564DBC">
        <w:rPr>
          <w:rFonts w:ascii="Book Antiqua" w:eastAsia="宋体" w:hAnsi="Book Antiqua" w:cs="宋体"/>
          <w:sz w:val="24"/>
          <w:szCs w:val="24"/>
          <w:lang w:val="en-US" w:eastAsia="zh-CN"/>
        </w:rPr>
        <w:lastRenderedPageBreak/>
        <w:t>21442643 DOI: 10.1002/ajh.21874]</w:t>
      </w:r>
    </w:p>
    <w:p w:rsidR="00906D1E" w:rsidRPr="00564DBC" w:rsidRDefault="00906D1E" w:rsidP="00564DBC">
      <w:pPr>
        <w:widowControl w:val="0"/>
        <w:spacing w:after="0" w:line="360" w:lineRule="auto"/>
        <w:jc w:val="both"/>
        <w:rPr>
          <w:rFonts w:ascii="Book Antiqua" w:eastAsia="宋体" w:hAnsi="Book Antiqua" w:cs="宋体"/>
          <w:sz w:val="24"/>
          <w:szCs w:val="24"/>
          <w:lang w:val="en-US" w:eastAsia="zh-CN"/>
        </w:rPr>
      </w:pPr>
      <w:proofErr w:type="gramStart"/>
      <w:r w:rsidRPr="00564DBC">
        <w:rPr>
          <w:rFonts w:ascii="Book Antiqua" w:eastAsia="宋体" w:hAnsi="Book Antiqua" w:cs="宋体"/>
          <w:sz w:val="24"/>
          <w:szCs w:val="24"/>
          <w:lang w:val="en-US" w:eastAsia="zh-CN"/>
        </w:rPr>
        <w:t xml:space="preserve">13 </w:t>
      </w:r>
      <w:proofErr w:type="spellStart"/>
      <w:r w:rsidRPr="00564DBC">
        <w:rPr>
          <w:rFonts w:ascii="Book Antiqua" w:eastAsia="宋体" w:hAnsi="Book Antiqua" w:cs="宋体"/>
          <w:b/>
          <w:bCs/>
          <w:sz w:val="24"/>
          <w:szCs w:val="24"/>
          <w:lang w:val="en-US" w:eastAsia="zh-CN"/>
        </w:rPr>
        <w:t>Uematsu</w:t>
      </w:r>
      <w:proofErr w:type="spellEnd"/>
      <w:r w:rsidRPr="00564DBC">
        <w:rPr>
          <w:rFonts w:ascii="Book Antiqua" w:eastAsia="宋体" w:hAnsi="Book Antiqua" w:cs="宋体"/>
          <w:b/>
          <w:bCs/>
          <w:sz w:val="24"/>
          <w:szCs w:val="24"/>
          <w:lang w:val="en-US" w:eastAsia="zh-CN"/>
        </w:rPr>
        <w:t xml:space="preserve"> T</w:t>
      </w:r>
      <w:r w:rsidRPr="00564DBC">
        <w:rPr>
          <w:rFonts w:ascii="Book Antiqua" w:eastAsia="宋体" w:hAnsi="Book Antiqua" w:cs="宋体"/>
          <w:sz w:val="24"/>
          <w:szCs w:val="24"/>
          <w:lang w:val="en-US" w:eastAsia="zh-CN"/>
        </w:rPr>
        <w:t xml:space="preserve">, </w:t>
      </w:r>
      <w:proofErr w:type="spellStart"/>
      <w:r w:rsidRPr="00564DBC">
        <w:rPr>
          <w:rFonts w:ascii="Book Antiqua" w:eastAsia="宋体" w:hAnsi="Book Antiqua" w:cs="宋体"/>
          <w:sz w:val="24"/>
          <w:szCs w:val="24"/>
          <w:lang w:val="en-US" w:eastAsia="zh-CN"/>
        </w:rPr>
        <w:t>Kasami</w:t>
      </w:r>
      <w:proofErr w:type="spellEnd"/>
      <w:r w:rsidRPr="00564DBC">
        <w:rPr>
          <w:rFonts w:ascii="Book Antiqua" w:eastAsia="宋体" w:hAnsi="Book Antiqua" w:cs="宋体"/>
          <w:sz w:val="24"/>
          <w:szCs w:val="24"/>
          <w:lang w:val="en-US" w:eastAsia="zh-CN"/>
        </w:rPr>
        <w:t xml:space="preserve"> M. 3T-MRI, </w:t>
      </w:r>
      <w:proofErr w:type="spellStart"/>
      <w:r w:rsidRPr="00564DBC">
        <w:rPr>
          <w:rFonts w:ascii="Book Antiqua" w:eastAsia="宋体" w:hAnsi="Book Antiqua" w:cs="宋体"/>
          <w:sz w:val="24"/>
          <w:szCs w:val="24"/>
          <w:lang w:val="en-US" w:eastAsia="zh-CN"/>
        </w:rPr>
        <w:t>elastography</w:t>
      </w:r>
      <w:proofErr w:type="spellEnd"/>
      <w:r w:rsidRPr="00564DBC">
        <w:rPr>
          <w:rFonts w:ascii="Book Antiqua" w:eastAsia="宋体" w:hAnsi="Book Antiqua" w:cs="宋体"/>
          <w:sz w:val="24"/>
          <w:szCs w:val="24"/>
          <w:lang w:val="en-US" w:eastAsia="zh-CN"/>
        </w:rPr>
        <w:t>, digital mammography, and FDG-PET CT findings of subcutaneous panniculitis-like T-cell lymphoma (SPTCL) of the breast.</w:t>
      </w:r>
      <w:proofErr w:type="gramEnd"/>
      <w:r w:rsidRPr="00564DBC">
        <w:rPr>
          <w:rFonts w:ascii="Book Antiqua" w:eastAsia="宋体" w:hAnsi="Book Antiqua" w:cs="宋体"/>
          <w:sz w:val="24"/>
          <w:szCs w:val="24"/>
          <w:lang w:val="en-US" w:eastAsia="zh-CN"/>
        </w:rPr>
        <w:t xml:space="preserve"> </w:t>
      </w:r>
      <w:proofErr w:type="spellStart"/>
      <w:r w:rsidRPr="00564DBC">
        <w:rPr>
          <w:rFonts w:ascii="Book Antiqua" w:eastAsia="宋体" w:hAnsi="Book Antiqua" w:cs="宋体"/>
          <w:i/>
          <w:iCs/>
          <w:sz w:val="24"/>
          <w:szCs w:val="24"/>
          <w:lang w:val="en-US" w:eastAsia="zh-CN"/>
        </w:rPr>
        <w:t>Jpn</w:t>
      </w:r>
      <w:proofErr w:type="spellEnd"/>
      <w:r w:rsidRPr="00564DBC">
        <w:rPr>
          <w:rFonts w:ascii="Book Antiqua" w:eastAsia="宋体" w:hAnsi="Book Antiqua" w:cs="宋体"/>
          <w:i/>
          <w:iCs/>
          <w:sz w:val="24"/>
          <w:szCs w:val="24"/>
          <w:lang w:val="en-US" w:eastAsia="zh-CN"/>
        </w:rPr>
        <w:t xml:space="preserve"> J </w:t>
      </w:r>
      <w:proofErr w:type="spellStart"/>
      <w:r w:rsidRPr="00564DBC">
        <w:rPr>
          <w:rFonts w:ascii="Book Antiqua" w:eastAsia="宋体" w:hAnsi="Book Antiqua" w:cs="宋体"/>
          <w:i/>
          <w:iCs/>
          <w:sz w:val="24"/>
          <w:szCs w:val="24"/>
          <w:lang w:val="en-US" w:eastAsia="zh-CN"/>
        </w:rPr>
        <w:t>Radiol</w:t>
      </w:r>
      <w:proofErr w:type="spellEnd"/>
      <w:r w:rsidRPr="00564DBC">
        <w:rPr>
          <w:rFonts w:ascii="Book Antiqua" w:eastAsia="宋体" w:hAnsi="Book Antiqua" w:cs="宋体"/>
          <w:sz w:val="24"/>
          <w:szCs w:val="24"/>
          <w:lang w:val="en-US" w:eastAsia="zh-CN"/>
        </w:rPr>
        <w:t xml:space="preserve"> 2012; </w:t>
      </w:r>
      <w:r w:rsidRPr="00564DBC">
        <w:rPr>
          <w:rFonts w:ascii="Book Antiqua" w:eastAsia="宋体" w:hAnsi="Book Antiqua" w:cs="宋体"/>
          <w:b/>
          <w:bCs/>
          <w:sz w:val="24"/>
          <w:szCs w:val="24"/>
          <w:lang w:val="en-US" w:eastAsia="zh-CN"/>
        </w:rPr>
        <w:t>30</w:t>
      </w:r>
      <w:r w:rsidRPr="00564DBC">
        <w:rPr>
          <w:rFonts w:ascii="Book Antiqua" w:eastAsia="宋体" w:hAnsi="Book Antiqua" w:cs="宋体"/>
          <w:sz w:val="24"/>
          <w:szCs w:val="24"/>
          <w:lang w:val="en-US" w:eastAsia="zh-CN"/>
        </w:rPr>
        <w:t>: 766-771 [PMID: 22872501 DOI: 10.1007/s11604-012-0112-5]</w:t>
      </w:r>
    </w:p>
    <w:p w:rsidR="00906D1E" w:rsidRPr="00564DBC" w:rsidRDefault="00906D1E" w:rsidP="00564DBC">
      <w:pPr>
        <w:widowControl w:val="0"/>
        <w:spacing w:after="0" w:line="360" w:lineRule="auto"/>
        <w:jc w:val="both"/>
        <w:rPr>
          <w:rFonts w:ascii="Book Antiqua" w:eastAsia="宋体" w:hAnsi="Book Antiqua" w:cs="宋体"/>
          <w:sz w:val="24"/>
          <w:szCs w:val="24"/>
          <w:lang w:val="en-US" w:eastAsia="zh-CN"/>
        </w:rPr>
      </w:pPr>
      <w:r w:rsidRPr="00564DBC">
        <w:rPr>
          <w:rFonts w:ascii="Book Antiqua" w:eastAsia="宋体" w:hAnsi="Book Antiqua" w:cs="宋体"/>
          <w:sz w:val="24"/>
          <w:szCs w:val="24"/>
          <w:lang w:val="en-US" w:eastAsia="zh-CN"/>
        </w:rPr>
        <w:t xml:space="preserve">14 </w:t>
      </w:r>
      <w:r w:rsidRPr="00564DBC">
        <w:rPr>
          <w:rFonts w:ascii="Book Antiqua" w:eastAsia="宋体" w:hAnsi="Book Antiqua" w:cs="宋体"/>
          <w:b/>
          <w:bCs/>
          <w:sz w:val="24"/>
          <w:szCs w:val="24"/>
          <w:lang w:val="en-US" w:eastAsia="zh-CN"/>
        </w:rPr>
        <w:t>Kim JS</w:t>
      </w:r>
      <w:r w:rsidRPr="00564DBC">
        <w:rPr>
          <w:rFonts w:ascii="Book Antiqua" w:eastAsia="宋体" w:hAnsi="Book Antiqua" w:cs="宋体"/>
          <w:sz w:val="24"/>
          <w:szCs w:val="24"/>
          <w:lang w:val="en-US" w:eastAsia="zh-CN"/>
        </w:rPr>
        <w:t xml:space="preserve">, </w:t>
      </w:r>
      <w:proofErr w:type="spellStart"/>
      <w:r w:rsidRPr="00564DBC">
        <w:rPr>
          <w:rFonts w:ascii="Book Antiqua" w:eastAsia="宋体" w:hAnsi="Book Antiqua" w:cs="宋体"/>
          <w:sz w:val="24"/>
          <w:szCs w:val="24"/>
          <w:lang w:val="en-US" w:eastAsia="zh-CN"/>
        </w:rPr>
        <w:t>Jeong</w:t>
      </w:r>
      <w:proofErr w:type="spellEnd"/>
      <w:r w:rsidRPr="00564DBC">
        <w:rPr>
          <w:rFonts w:ascii="Book Antiqua" w:eastAsia="宋体" w:hAnsi="Book Antiqua" w:cs="宋体"/>
          <w:sz w:val="24"/>
          <w:szCs w:val="24"/>
          <w:lang w:val="en-US" w:eastAsia="zh-CN"/>
        </w:rPr>
        <w:t xml:space="preserve"> YJ, </w:t>
      </w:r>
      <w:proofErr w:type="spellStart"/>
      <w:r w:rsidRPr="00564DBC">
        <w:rPr>
          <w:rFonts w:ascii="Book Antiqua" w:eastAsia="宋体" w:hAnsi="Book Antiqua" w:cs="宋体"/>
          <w:sz w:val="24"/>
          <w:szCs w:val="24"/>
          <w:lang w:val="en-US" w:eastAsia="zh-CN"/>
        </w:rPr>
        <w:t>Sohn</w:t>
      </w:r>
      <w:proofErr w:type="spellEnd"/>
      <w:r w:rsidRPr="00564DBC">
        <w:rPr>
          <w:rFonts w:ascii="Book Antiqua" w:eastAsia="宋体" w:hAnsi="Book Antiqua" w:cs="宋体"/>
          <w:sz w:val="24"/>
          <w:szCs w:val="24"/>
          <w:lang w:val="en-US" w:eastAsia="zh-CN"/>
        </w:rPr>
        <w:t xml:space="preserve"> MH, </w:t>
      </w:r>
      <w:proofErr w:type="spellStart"/>
      <w:r w:rsidRPr="00564DBC">
        <w:rPr>
          <w:rFonts w:ascii="Book Antiqua" w:eastAsia="宋体" w:hAnsi="Book Antiqua" w:cs="宋体"/>
          <w:sz w:val="24"/>
          <w:szCs w:val="24"/>
          <w:lang w:val="en-US" w:eastAsia="zh-CN"/>
        </w:rPr>
        <w:t>Jeong</w:t>
      </w:r>
      <w:proofErr w:type="spellEnd"/>
      <w:r w:rsidRPr="00564DBC">
        <w:rPr>
          <w:rFonts w:ascii="Book Antiqua" w:eastAsia="宋体" w:hAnsi="Book Antiqua" w:cs="宋体"/>
          <w:sz w:val="24"/>
          <w:szCs w:val="24"/>
          <w:lang w:val="en-US" w:eastAsia="zh-CN"/>
        </w:rPr>
        <w:t xml:space="preserve"> HJ, Lim ST, Kim DW, </w:t>
      </w:r>
      <w:proofErr w:type="spellStart"/>
      <w:r w:rsidRPr="00564DBC">
        <w:rPr>
          <w:rFonts w:ascii="Book Antiqua" w:eastAsia="宋体" w:hAnsi="Book Antiqua" w:cs="宋体"/>
          <w:sz w:val="24"/>
          <w:szCs w:val="24"/>
          <w:lang w:val="en-US" w:eastAsia="zh-CN"/>
        </w:rPr>
        <w:t>Kwak</w:t>
      </w:r>
      <w:proofErr w:type="spellEnd"/>
      <w:r w:rsidRPr="00564DBC">
        <w:rPr>
          <w:rFonts w:ascii="Book Antiqua" w:eastAsia="宋体" w:hAnsi="Book Antiqua" w:cs="宋体"/>
          <w:sz w:val="24"/>
          <w:szCs w:val="24"/>
          <w:lang w:val="en-US" w:eastAsia="zh-CN"/>
        </w:rPr>
        <w:t xml:space="preserve"> JY, </w:t>
      </w:r>
      <w:proofErr w:type="spellStart"/>
      <w:r w:rsidRPr="00564DBC">
        <w:rPr>
          <w:rFonts w:ascii="Book Antiqua" w:eastAsia="宋体" w:hAnsi="Book Antiqua" w:cs="宋体"/>
          <w:sz w:val="24"/>
          <w:szCs w:val="24"/>
          <w:lang w:val="en-US" w:eastAsia="zh-CN"/>
        </w:rPr>
        <w:t>Yim</w:t>
      </w:r>
      <w:proofErr w:type="spellEnd"/>
      <w:r w:rsidRPr="00564DBC">
        <w:rPr>
          <w:rFonts w:ascii="Book Antiqua" w:eastAsia="宋体" w:hAnsi="Book Antiqua" w:cs="宋体"/>
          <w:sz w:val="24"/>
          <w:szCs w:val="24"/>
          <w:lang w:val="en-US" w:eastAsia="zh-CN"/>
        </w:rPr>
        <w:t xml:space="preserve"> CY. Usefulness of F-18 FDG PET/CT in subcutaneous panniculitis-like T cell lymphoma: disease extent and treatment response evaluation. </w:t>
      </w:r>
      <w:proofErr w:type="spellStart"/>
      <w:r w:rsidRPr="00564DBC">
        <w:rPr>
          <w:rFonts w:ascii="Book Antiqua" w:eastAsia="宋体" w:hAnsi="Book Antiqua" w:cs="宋体"/>
          <w:i/>
          <w:iCs/>
          <w:sz w:val="24"/>
          <w:szCs w:val="24"/>
          <w:lang w:val="en-US" w:eastAsia="zh-CN"/>
        </w:rPr>
        <w:t>Radiol</w:t>
      </w:r>
      <w:proofErr w:type="spellEnd"/>
      <w:r w:rsidRPr="00564DBC">
        <w:rPr>
          <w:rFonts w:ascii="Book Antiqua" w:eastAsia="宋体" w:hAnsi="Book Antiqua" w:cs="宋体"/>
          <w:i/>
          <w:iCs/>
          <w:sz w:val="24"/>
          <w:szCs w:val="24"/>
          <w:lang w:val="en-US" w:eastAsia="zh-CN"/>
        </w:rPr>
        <w:t xml:space="preserve"> </w:t>
      </w:r>
      <w:proofErr w:type="spellStart"/>
      <w:r w:rsidRPr="00564DBC">
        <w:rPr>
          <w:rFonts w:ascii="Book Antiqua" w:eastAsia="宋体" w:hAnsi="Book Antiqua" w:cs="宋体"/>
          <w:i/>
          <w:iCs/>
          <w:sz w:val="24"/>
          <w:szCs w:val="24"/>
          <w:lang w:val="en-US" w:eastAsia="zh-CN"/>
        </w:rPr>
        <w:t>Oncol</w:t>
      </w:r>
      <w:proofErr w:type="spellEnd"/>
      <w:r w:rsidRPr="00564DBC">
        <w:rPr>
          <w:rFonts w:ascii="Book Antiqua" w:eastAsia="宋体" w:hAnsi="Book Antiqua" w:cs="宋体"/>
          <w:sz w:val="24"/>
          <w:szCs w:val="24"/>
          <w:lang w:val="en-US" w:eastAsia="zh-CN"/>
        </w:rPr>
        <w:t xml:space="preserve"> 2012; </w:t>
      </w:r>
      <w:r w:rsidRPr="00564DBC">
        <w:rPr>
          <w:rFonts w:ascii="Book Antiqua" w:eastAsia="宋体" w:hAnsi="Book Antiqua" w:cs="宋体"/>
          <w:b/>
          <w:bCs/>
          <w:sz w:val="24"/>
          <w:szCs w:val="24"/>
          <w:lang w:val="en-US" w:eastAsia="zh-CN"/>
        </w:rPr>
        <w:t>46</w:t>
      </w:r>
      <w:r w:rsidRPr="00564DBC">
        <w:rPr>
          <w:rFonts w:ascii="Book Antiqua" w:eastAsia="宋体" w:hAnsi="Book Antiqua" w:cs="宋体"/>
          <w:sz w:val="24"/>
          <w:szCs w:val="24"/>
          <w:lang w:val="en-US" w:eastAsia="zh-CN"/>
        </w:rPr>
        <w:t>: 279-283 [PMID: 23412422 DOI: 10.2478/v10019-012-0017-z]</w:t>
      </w:r>
    </w:p>
    <w:p w:rsidR="00906D1E" w:rsidRPr="00564DBC" w:rsidRDefault="00906D1E" w:rsidP="00564DBC">
      <w:pPr>
        <w:widowControl w:val="0"/>
        <w:spacing w:after="0" w:line="360" w:lineRule="auto"/>
        <w:jc w:val="both"/>
        <w:rPr>
          <w:rFonts w:ascii="Book Antiqua" w:eastAsia="宋体" w:hAnsi="Book Antiqua" w:cs="宋体"/>
          <w:sz w:val="24"/>
          <w:szCs w:val="24"/>
          <w:lang w:val="en-US" w:eastAsia="zh-CN"/>
        </w:rPr>
      </w:pPr>
      <w:r w:rsidRPr="00564DBC">
        <w:rPr>
          <w:rFonts w:ascii="Book Antiqua" w:eastAsia="宋体" w:hAnsi="Book Antiqua" w:cs="宋体"/>
          <w:sz w:val="24"/>
          <w:szCs w:val="24"/>
          <w:lang w:val="en-US" w:eastAsia="zh-CN"/>
        </w:rPr>
        <w:t xml:space="preserve">15 </w:t>
      </w:r>
      <w:proofErr w:type="spellStart"/>
      <w:r w:rsidRPr="00564DBC">
        <w:rPr>
          <w:rFonts w:ascii="Book Antiqua" w:eastAsia="宋体" w:hAnsi="Book Antiqua" w:cs="宋体"/>
          <w:b/>
          <w:bCs/>
          <w:sz w:val="24"/>
          <w:szCs w:val="24"/>
          <w:lang w:val="en-US" w:eastAsia="zh-CN"/>
        </w:rPr>
        <w:t>Mitsuhashi</w:t>
      </w:r>
      <w:proofErr w:type="spellEnd"/>
      <w:r w:rsidRPr="00564DBC">
        <w:rPr>
          <w:rFonts w:ascii="Book Antiqua" w:eastAsia="宋体" w:hAnsi="Book Antiqua" w:cs="宋体"/>
          <w:b/>
          <w:bCs/>
          <w:sz w:val="24"/>
          <w:szCs w:val="24"/>
          <w:lang w:val="en-US" w:eastAsia="zh-CN"/>
        </w:rPr>
        <w:t xml:space="preserve"> K</w:t>
      </w:r>
      <w:r w:rsidRPr="00564DBC">
        <w:rPr>
          <w:rFonts w:ascii="Book Antiqua" w:eastAsia="宋体" w:hAnsi="Book Antiqua" w:cs="宋体"/>
          <w:sz w:val="24"/>
          <w:szCs w:val="24"/>
          <w:lang w:val="en-US" w:eastAsia="zh-CN"/>
        </w:rPr>
        <w:t xml:space="preserve">, </w:t>
      </w:r>
      <w:proofErr w:type="spellStart"/>
      <w:r w:rsidRPr="00564DBC">
        <w:rPr>
          <w:rFonts w:ascii="Book Antiqua" w:eastAsia="宋体" w:hAnsi="Book Antiqua" w:cs="宋体"/>
          <w:sz w:val="24"/>
          <w:szCs w:val="24"/>
          <w:lang w:val="en-US" w:eastAsia="zh-CN"/>
        </w:rPr>
        <w:t>Momose</w:t>
      </w:r>
      <w:proofErr w:type="spellEnd"/>
      <w:r w:rsidRPr="00564DBC">
        <w:rPr>
          <w:rFonts w:ascii="Book Antiqua" w:eastAsia="宋体" w:hAnsi="Book Antiqua" w:cs="宋体"/>
          <w:sz w:val="24"/>
          <w:szCs w:val="24"/>
          <w:lang w:val="en-US" w:eastAsia="zh-CN"/>
        </w:rPr>
        <w:t xml:space="preserve"> M, Masuda A, </w:t>
      </w:r>
      <w:proofErr w:type="spellStart"/>
      <w:r w:rsidRPr="00564DBC">
        <w:rPr>
          <w:rFonts w:ascii="Book Antiqua" w:eastAsia="宋体" w:hAnsi="Book Antiqua" w:cs="宋体"/>
          <w:sz w:val="24"/>
          <w:szCs w:val="24"/>
          <w:lang w:val="en-US" w:eastAsia="zh-CN"/>
        </w:rPr>
        <w:t>Tsunemi</w:t>
      </w:r>
      <w:proofErr w:type="spellEnd"/>
      <w:r w:rsidRPr="00564DBC">
        <w:rPr>
          <w:rFonts w:ascii="Book Antiqua" w:eastAsia="宋体" w:hAnsi="Book Antiqua" w:cs="宋体"/>
          <w:sz w:val="24"/>
          <w:szCs w:val="24"/>
          <w:lang w:val="en-US" w:eastAsia="zh-CN"/>
        </w:rPr>
        <w:t xml:space="preserve"> Y, </w:t>
      </w:r>
      <w:proofErr w:type="spellStart"/>
      <w:r w:rsidRPr="00564DBC">
        <w:rPr>
          <w:rFonts w:ascii="Book Antiqua" w:eastAsia="宋体" w:hAnsi="Book Antiqua" w:cs="宋体"/>
          <w:sz w:val="24"/>
          <w:szCs w:val="24"/>
          <w:lang w:val="en-US" w:eastAsia="zh-CN"/>
        </w:rPr>
        <w:t>Motoji</w:t>
      </w:r>
      <w:proofErr w:type="spellEnd"/>
      <w:r w:rsidRPr="00564DBC">
        <w:rPr>
          <w:rFonts w:ascii="Book Antiqua" w:eastAsia="宋体" w:hAnsi="Book Antiqua" w:cs="宋体"/>
          <w:sz w:val="24"/>
          <w:szCs w:val="24"/>
          <w:lang w:val="en-US" w:eastAsia="zh-CN"/>
        </w:rPr>
        <w:t xml:space="preserve"> T. Positron emission tomography revealed diffuse involvement of the lower legs and occult </w:t>
      </w:r>
      <w:proofErr w:type="spellStart"/>
      <w:r w:rsidRPr="00564DBC">
        <w:rPr>
          <w:rFonts w:ascii="Book Antiqua" w:eastAsia="宋体" w:hAnsi="Book Antiqua" w:cs="宋体"/>
          <w:sz w:val="24"/>
          <w:szCs w:val="24"/>
          <w:lang w:val="en-US" w:eastAsia="zh-CN"/>
        </w:rPr>
        <w:t>extracutaneous</w:t>
      </w:r>
      <w:proofErr w:type="spellEnd"/>
      <w:r w:rsidRPr="00564DBC">
        <w:rPr>
          <w:rFonts w:ascii="Book Antiqua" w:eastAsia="宋体" w:hAnsi="Book Antiqua" w:cs="宋体"/>
          <w:sz w:val="24"/>
          <w:szCs w:val="24"/>
          <w:lang w:val="en-US" w:eastAsia="zh-CN"/>
        </w:rPr>
        <w:t xml:space="preserve"> lesions in subcutaneous panniculitis-like T-cell lymphoma. </w:t>
      </w:r>
      <w:proofErr w:type="spellStart"/>
      <w:r w:rsidRPr="00564DBC">
        <w:rPr>
          <w:rFonts w:ascii="Book Antiqua" w:eastAsia="宋体" w:hAnsi="Book Antiqua" w:cs="宋体"/>
          <w:i/>
          <w:iCs/>
          <w:sz w:val="24"/>
          <w:szCs w:val="24"/>
          <w:lang w:val="en-US" w:eastAsia="zh-CN"/>
        </w:rPr>
        <w:t>Clin</w:t>
      </w:r>
      <w:proofErr w:type="spellEnd"/>
      <w:r w:rsidRPr="00564DBC">
        <w:rPr>
          <w:rFonts w:ascii="Book Antiqua" w:eastAsia="宋体" w:hAnsi="Book Antiqua" w:cs="宋体"/>
          <w:i/>
          <w:iCs/>
          <w:sz w:val="24"/>
          <w:szCs w:val="24"/>
          <w:lang w:val="en-US" w:eastAsia="zh-CN"/>
        </w:rPr>
        <w:t xml:space="preserve"> </w:t>
      </w:r>
      <w:proofErr w:type="spellStart"/>
      <w:r w:rsidRPr="00564DBC">
        <w:rPr>
          <w:rFonts w:ascii="Book Antiqua" w:eastAsia="宋体" w:hAnsi="Book Antiqua" w:cs="宋体"/>
          <w:i/>
          <w:iCs/>
          <w:sz w:val="24"/>
          <w:szCs w:val="24"/>
          <w:lang w:val="en-US" w:eastAsia="zh-CN"/>
        </w:rPr>
        <w:t>Nucl</w:t>
      </w:r>
      <w:proofErr w:type="spellEnd"/>
      <w:r w:rsidRPr="00564DBC">
        <w:rPr>
          <w:rFonts w:ascii="Book Antiqua" w:eastAsia="宋体" w:hAnsi="Book Antiqua" w:cs="宋体"/>
          <w:i/>
          <w:iCs/>
          <w:sz w:val="24"/>
          <w:szCs w:val="24"/>
          <w:lang w:val="en-US" w:eastAsia="zh-CN"/>
        </w:rPr>
        <w:t xml:space="preserve"> Med</w:t>
      </w:r>
      <w:r w:rsidRPr="00564DBC">
        <w:rPr>
          <w:rFonts w:ascii="Book Antiqua" w:eastAsia="宋体" w:hAnsi="Book Antiqua" w:cs="宋体"/>
          <w:sz w:val="24"/>
          <w:szCs w:val="24"/>
          <w:lang w:val="en-US" w:eastAsia="zh-CN"/>
        </w:rPr>
        <w:t xml:space="preserve"> 2013; </w:t>
      </w:r>
      <w:r w:rsidRPr="00564DBC">
        <w:rPr>
          <w:rFonts w:ascii="Book Antiqua" w:eastAsia="宋体" w:hAnsi="Book Antiqua" w:cs="宋体"/>
          <w:b/>
          <w:bCs/>
          <w:sz w:val="24"/>
          <w:szCs w:val="24"/>
          <w:lang w:val="en-US" w:eastAsia="zh-CN"/>
        </w:rPr>
        <w:t>38</w:t>
      </w:r>
      <w:r w:rsidRPr="00564DBC">
        <w:rPr>
          <w:rFonts w:ascii="Book Antiqua" w:eastAsia="宋体" w:hAnsi="Book Antiqua" w:cs="宋体"/>
          <w:sz w:val="24"/>
          <w:szCs w:val="24"/>
          <w:lang w:val="en-US" w:eastAsia="zh-CN"/>
        </w:rPr>
        <w:t>: 209-211 [PMID: 23354029 DOI: 10.1097/RLU.0b013e31827087ca]</w:t>
      </w:r>
    </w:p>
    <w:p w:rsidR="00906D1E" w:rsidRPr="00564DBC" w:rsidRDefault="00906D1E" w:rsidP="00564DBC">
      <w:pPr>
        <w:widowControl w:val="0"/>
        <w:spacing w:after="0" w:line="360" w:lineRule="auto"/>
        <w:jc w:val="both"/>
        <w:rPr>
          <w:rFonts w:ascii="Book Antiqua" w:eastAsia="宋体" w:hAnsi="Book Antiqua" w:cs="宋体"/>
          <w:sz w:val="24"/>
          <w:szCs w:val="24"/>
          <w:lang w:val="en-US" w:eastAsia="zh-CN"/>
        </w:rPr>
      </w:pPr>
      <w:r w:rsidRPr="00564DBC">
        <w:rPr>
          <w:rFonts w:ascii="Book Antiqua" w:eastAsia="宋体" w:hAnsi="Book Antiqua" w:cs="宋体"/>
          <w:sz w:val="24"/>
          <w:szCs w:val="24"/>
          <w:lang w:val="en-US" w:eastAsia="zh-CN"/>
        </w:rPr>
        <w:t xml:space="preserve">16 </w:t>
      </w:r>
      <w:r w:rsidRPr="00564DBC">
        <w:rPr>
          <w:rFonts w:ascii="Book Antiqua" w:eastAsia="宋体" w:hAnsi="Book Antiqua" w:cs="宋体"/>
          <w:b/>
          <w:bCs/>
          <w:sz w:val="24"/>
          <w:szCs w:val="24"/>
          <w:lang w:val="en-US" w:eastAsia="zh-CN"/>
        </w:rPr>
        <w:t>Lester L</w:t>
      </w:r>
      <w:r w:rsidRPr="00564DBC">
        <w:rPr>
          <w:rFonts w:ascii="Book Antiqua" w:eastAsia="宋体" w:hAnsi="Book Antiqua" w:cs="宋体"/>
          <w:sz w:val="24"/>
          <w:szCs w:val="24"/>
          <w:lang w:val="en-US" w:eastAsia="zh-CN"/>
        </w:rPr>
        <w:t xml:space="preserve">, </w:t>
      </w:r>
      <w:proofErr w:type="spellStart"/>
      <w:r w:rsidRPr="00564DBC">
        <w:rPr>
          <w:rFonts w:ascii="Book Antiqua" w:eastAsia="宋体" w:hAnsi="Book Antiqua" w:cs="宋体"/>
          <w:sz w:val="24"/>
          <w:szCs w:val="24"/>
          <w:lang w:val="en-US" w:eastAsia="zh-CN"/>
        </w:rPr>
        <w:t>Ewalt</w:t>
      </w:r>
      <w:proofErr w:type="spellEnd"/>
      <w:r w:rsidRPr="00564DBC">
        <w:rPr>
          <w:rFonts w:ascii="Book Antiqua" w:eastAsia="宋体" w:hAnsi="Book Antiqua" w:cs="宋体"/>
          <w:sz w:val="24"/>
          <w:szCs w:val="24"/>
          <w:lang w:val="en-US" w:eastAsia="zh-CN"/>
        </w:rPr>
        <w:t xml:space="preserve"> M, </w:t>
      </w:r>
      <w:proofErr w:type="spellStart"/>
      <w:r w:rsidRPr="00564DBC">
        <w:rPr>
          <w:rFonts w:ascii="Book Antiqua" w:eastAsia="宋体" w:hAnsi="Book Antiqua" w:cs="宋体"/>
          <w:sz w:val="24"/>
          <w:szCs w:val="24"/>
          <w:lang w:val="en-US" w:eastAsia="zh-CN"/>
        </w:rPr>
        <w:t>Warnke</w:t>
      </w:r>
      <w:proofErr w:type="spellEnd"/>
      <w:r w:rsidRPr="00564DBC">
        <w:rPr>
          <w:rFonts w:ascii="Book Antiqua" w:eastAsia="宋体" w:hAnsi="Book Antiqua" w:cs="宋体"/>
          <w:sz w:val="24"/>
          <w:szCs w:val="24"/>
          <w:lang w:val="en-US" w:eastAsia="zh-CN"/>
        </w:rPr>
        <w:t xml:space="preserve"> R, Kim J. Systemic panniculitis-like T-cell lymphoma with involvement of mesenteric fat and </w:t>
      </w:r>
      <w:proofErr w:type="spellStart"/>
      <w:r w:rsidRPr="00564DBC">
        <w:rPr>
          <w:rFonts w:ascii="Book Antiqua" w:eastAsia="宋体" w:hAnsi="Book Antiqua" w:cs="宋体"/>
          <w:sz w:val="24"/>
          <w:szCs w:val="24"/>
          <w:lang w:val="en-US" w:eastAsia="zh-CN"/>
        </w:rPr>
        <w:t>subcutis</w:t>
      </w:r>
      <w:proofErr w:type="spellEnd"/>
      <w:r w:rsidRPr="00564DBC">
        <w:rPr>
          <w:rFonts w:ascii="Book Antiqua" w:eastAsia="宋体" w:hAnsi="Book Antiqua" w:cs="宋体"/>
          <w:sz w:val="24"/>
          <w:szCs w:val="24"/>
          <w:lang w:val="en-US" w:eastAsia="zh-CN"/>
        </w:rPr>
        <w:t xml:space="preserve">. </w:t>
      </w:r>
      <w:r w:rsidRPr="00564DBC">
        <w:rPr>
          <w:rFonts w:ascii="Book Antiqua" w:eastAsia="宋体" w:hAnsi="Book Antiqua" w:cs="宋体"/>
          <w:i/>
          <w:iCs/>
          <w:sz w:val="24"/>
          <w:szCs w:val="24"/>
          <w:lang w:val="en-US" w:eastAsia="zh-CN"/>
        </w:rPr>
        <w:t xml:space="preserve">J </w:t>
      </w:r>
      <w:proofErr w:type="spellStart"/>
      <w:r w:rsidRPr="00564DBC">
        <w:rPr>
          <w:rFonts w:ascii="Book Antiqua" w:eastAsia="宋体" w:hAnsi="Book Antiqua" w:cs="宋体"/>
          <w:i/>
          <w:iCs/>
          <w:sz w:val="24"/>
          <w:szCs w:val="24"/>
          <w:lang w:val="en-US" w:eastAsia="zh-CN"/>
        </w:rPr>
        <w:t>Cutan</w:t>
      </w:r>
      <w:proofErr w:type="spellEnd"/>
      <w:r w:rsidRPr="00564DBC">
        <w:rPr>
          <w:rFonts w:ascii="Book Antiqua" w:eastAsia="宋体" w:hAnsi="Book Antiqua" w:cs="宋体"/>
          <w:i/>
          <w:iCs/>
          <w:sz w:val="24"/>
          <w:szCs w:val="24"/>
          <w:lang w:val="en-US" w:eastAsia="zh-CN"/>
        </w:rPr>
        <w:t xml:space="preserve"> </w:t>
      </w:r>
      <w:proofErr w:type="spellStart"/>
      <w:r w:rsidRPr="00564DBC">
        <w:rPr>
          <w:rFonts w:ascii="Book Antiqua" w:eastAsia="宋体" w:hAnsi="Book Antiqua" w:cs="宋体"/>
          <w:i/>
          <w:iCs/>
          <w:sz w:val="24"/>
          <w:szCs w:val="24"/>
          <w:lang w:val="en-US" w:eastAsia="zh-CN"/>
        </w:rPr>
        <w:t>Pathol</w:t>
      </w:r>
      <w:proofErr w:type="spellEnd"/>
      <w:r w:rsidRPr="00564DBC">
        <w:rPr>
          <w:rFonts w:ascii="Book Antiqua" w:eastAsia="宋体" w:hAnsi="Book Antiqua" w:cs="宋体"/>
          <w:sz w:val="24"/>
          <w:szCs w:val="24"/>
          <w:lang w:val="en-US" w:eastAsia="zh-CN"/>
        </w:rPr>
        <w:t xml:space="preserve"> 2015; </w:t>
      </w:r>
      <w:r w:rsidRPr="00564DBC">
        <w:rPr>
          <w:rFonts w:ascii="Book Antiqua" w:eastAsia="宋体" w:hAnsi="Book Antiqua" w:cs="宋体"/>
          <w:b/>
          <w:bCs/>
          <w:sz w:val="24"/>
          <w:szCs w:val="24"/>
          <w:lang w:val="en-US" w:eastAsia="zh-CN"/>
        </w:rPr>
        <w:t>42</w:t>
      </w:r>
      <w:r w:rsidRPr="00564DBC">
        <w:rPr>
          <w:rFonts w:ascii="Book Antiqua" w:eastAsia="宋体" w:hAnsi="Book Antiqua" w:cs="宋体"/>
          <w:sz w:val="24"/>
          <w:szCs w:val="24"/>
          <w:lang w:val="en-US" w:eastAsia="zh-CN"/>
        </w:rPr>
        <w:t>: 46-49 [PMID: 25384366 DOI: 10.1111/cup.12436]</w:t>
      </w:r>
    </w:p>
    <w:p w:rsidR="00906D1E" w:rsidRPr="00564DBC" w:rsidRDefault="00906D1E" w:rsidP="00564DBC">
      <w:pPr>
        <w:widowControl w:val="0"/>
        <w:spacing w:after="0" w:line="360" w:lineRule="auto"/>
        <w:jc w:val="both"/>
        <w:rPr>
          <w:rFonts w:ascii="Book Antiqua" w:eastAsia="宋体" w:hAnsi="Book Antiqua" w:cs="宋体"/>
          <w:sz w:val="24"/>
          <w:szCs w:val="24"/>
          <w:lang w:val="en-US" w:eastAsia="zh-CN"/>
        </w:rPr>
      </w:pPr>
      <w:r w:rsidRPr="00564DBC">
        <w:rPr>
          <w:rFonts w:ascii="Book Antiqua" w:eastAsia="宋体" w:hAnsi="Book Antiqua" w:cs="宋体"/>
          <w:sz w:val="24"/>
          <w:szCs w:val="24"/>
          <w:lang w:val="en-US" w:eastAsia="zh-CN"/>
        </w:rPr>
        <w:t xml:space="preserve">17 </w:t>
      </w:r>
      <w:r w:rsidRPr="00564DBC">
        <w:rPr>
          <w:rFonts w:ascii="Book Antiqua" w:eastAsia="宋体" w:hAnsi="Book Antiqua" w:cs="宋体"/>
          <w:b/>
          <w:bCs/>
          <w:sz w:val="24"/>
          <w:szCs w:val="24"/>
          <w:lang w:val="en-US" w:eastAsia="zh-CN"/>
        </w:rPr>
        <w:t>Quintanilla-Martinez L</w:t>
      </w:r>
      <w:r w:rsidRPr="00564DBC">
        <w:rPr>
          <w:rFonts w:ascii="Book Antiqua" w:eastAsia="宋体" w:hAnsi="Book Antiqua" w:cs="宋体"/>
          <w:sz w:val="24"/>
          <w:szCs w:val="24"/>
          <w:lang w:val="en-US" w:eastAsia="zh-CN"/>
        </w:rPr>
        <w:t xml:space="preserve">, Jansen PM, Kinney MC, </w:t>
      </w:r>
      <w:proofErr w:type="spellStart"/>
      <w:r w:rsidRPr="00564DBC">
        <w:rPr>
          <w:rFonts w:ascii="Book Antiqua" w:eastAsia="宋体" w:hAnsi="Book Antiqua" w:cs="宋体"/>
          <w:sz w:val="24"/>
          <w:szCs w:val="24"/>
          <w:lang w:val="en-US" w:eastAsia="zh-CN"/>
        </w:rPr>
        <w:t>Swerdlow</w:t>
      </w:r>
      <w:proofErr w:type="spellEnd"/>
      <w:r w:rsidRPr="00564DBC">
        <w:rPr>
          <w:rFonts w:ascii="Book Antiqua" w:eastAsia="宋体" w:hAnsi="Book Antiqua" w:cs="宋体"/>
          <w:sz w:val="24"/>
          <w:szCs w:val="24"/>
          <w:lang w:val="en-US" w:eastAsia="zh-CN"/>
        </w:rPr>
        <w:t xml:space="preserve"> SH, </w:t>
      </w:r>
      <w:proofErr w:type="spellStart"/>
      <w:r w:rsidRPr="00564DBC">
        <w:rPr>
          <w:rFonts w:ascii="Book Antiqua" w:eastAsia="宋体" w:hAnsi="Book Antiqua" w:cs="宋体"/>
          <w:sz w:val="24"/>
          <w:szCs w:val="24"/>
          <w:lang w:val="en-US" w:eastAsia="zh-CN"/>
        </w:rPr>
        <w:t>Willemze</w:t>
      </w:r>
      <w:proofErr w:type="spellEnd"/>
      <w:r w:rsidRPr="00564DBC">
        <w:rPr>
          <w:rFonts w:ascii="Book Antiqua" w:eastAsia="宋体" w:hAnsi="Book Antiqua" w:cs="宋体"/>
          <w:sz w:val="24"/>
          <w:szCs w:val="24"/>
          <w:lang w:val="en-US" w:eastAsia="zh-CN"/>
        </w:rPr>
        <w:t xml:space="preserve"> R. Non-mycosis </w:t>
      </w:r>
      <w:proofErr w:type="spellStart"/>
      <w:r w:rsidRPr="00564DBC">
        <w:rPr>
          <w:rFonts w:ascii="Book Antiqua" w:eastAsia="宋体" w:hAnsi="Book Antiqua" w:cs="宋体"/>
          <w:sz w:val="24"/>
          <w:szCs w:val="24"/>
          <w:lang w:val="en-US" w:eastAsia="zh-CN"/>
        </w:rPr>
        <w:t>fungoides</w:t>
      </w:r>
      <w:proofErr w:type="spellEnd"/>
      <w:r w:rsidRPr="00564DBC">
        <w:rPr>
          <w:rFonts w:ascii="Book Antiqua" w:eastAsia="宋体" w:hAnsi="Book Antiqua" w:cs="宋体"/>
          <w:sz w:val="24"/>
          <w:szCs w:val="24"/>
          <w:lang w:val="en-US" w:eastAsia="zh-CN"/>
        </w:rPr>
        <w:t xml:space="preserve"> cutaneous T-cell lymphomas: report of the 2011 Society for </w:t>
      </w:r>
      <w:proofErr w:type="spellStart"/>
      <w:r w:rsidRPr="00564DBC">
        <w:rPr>
          <w:rFonts w:ascii="Book Antiqua" w:eastAsia="宋体" w:hAnsi="Book Antiqua" w:cs="宋体"/>
          <w:sz w:val="24"/>
          <w:szCs w:val="24"/>
          <w:lang w:val="en-US" w:eastAsia="zh-CN"/>
        </w:rPr>
        <w:t>Hematopathology</w:t>
      </w:r>
      <w:proofErr w:type="spellEnd"/>
      <w:r w:rsidRPr="00564DBC">
        <w:rPr>
          <w:rFonts w:ascii="Book Antiqua" w:eastAsia="宋体" w:hAnsi="Book Antiqua" w:cs="宋体"/>
          <w:sz w:val="24"/>
          <w:szCs w:val="24"/>
          <w:lang w:val="en-US" w:eastAsia="zh-CN"/>
        </w:rPr>
        <w:t xml:space="preserve">/European Association for </w:t>
      </w:r>
      <w:proofErr w:type="spellStart"/>
      <w:r w:rsidRPr="00564DBC">
        <w:rPr>
          <w:rFonts w:ascii="Book Antiqua" w:eastAsia="宋体" w:hAnsi="Book Antiqua" w:cs="宋体"/>
          <w:sz w:val="24"/>
          <w:szCs w:val="24"/>
          <w:lang w:val="en-US" w:eastAsia="zh-CN"/>
        </w:rPr>
        <w:t>Haematopathology</w:t>
      </w:r>
      <w:proofErr w:type="spellEnd"/>
      <w:r w:rsidRPr="00564DBC">
        <w:rPr>
          <w:rFonts w:ascii="Book Antiqua" w:eastAsia="宋体" w:hAnsi="Book Antiqua" w:cs="宋体"/>
          <w:sz w:val="24"/>
          <w:szCs w:val="24"/>
          <w:lang w:val="en-US" w:eastAsia="zh-CN"/>
        </w:rPr>
        <w:t xml:space="preserve"> workshop. </w:t>
      </w:r>
      <w:r w:rsidRPr="00564DBC">
        <w:rPr>
          <w:rFonts w:ascii="Book Antiqua" w:eastAsia="宋体" w:hAnsi="Book Antiqua" w:cs="宋体"/>
          <w:i/>
          <w:iCs/>
          <w:sz w:val="24"/>
          <w:szCs w:val="24"/>
          <w:lang w:val="en-US" w:eastAsia="zh-CN"/>
        </w:rPr>
        <w:t xml:space="preserve">Am J </w:t>
      </w:r>
      <w:proofErr w:type="spellStart"/>
      <w:r w:rsidRPr="00564DBC">
        <w:rPr>
          <w:rFonts w:ascii="Book Antiqua" w:eastAsia="宋体" w:hAnsi="Book Antiqua" w:cs="宋体"/>
          <w:i/>
          <w:iCs/>
          <w:sz w:val="24"/>
          <w:szCs w:val="24"/>
          <w:lang w:val="en-US" w:eastAsia="zh-CN"/>
        </w:rPr>
        <w:t>Clin</w:t>
      </w:r>
      <w:proofErr w:type="spellEnd"/>
      <w:r w:rsidRPr="00564DBC">
        <w:rPr>
          <w:rFonts w:ascii="Book Antiqua" w:eastAsia="宋体" w:hAnsi="Book Antiqua" w:cs="宋体"/>
          <w:i/>
          <w:iCs/>
          <w:sz w:val="24"/>
          <w:szCs w:val="24"/>
          <w:lang w:val="en-US" w:eastAsia="zh-CN"/>
        </w:rPr>
        <w:t xml:space="preserve"> </w:t>
      </w:r>
      <w:proofErr w:type="spellStart"/>
      <w:r w:rsidRPr="00564DBC">
        <w:rPr>
          <w:rFonts w:ascii="Book Antiqua" w:eastAsia="宋体" w:hAnsi="Book Antiqua" w:cs="宋体"/>
          <w:i/>
          <w:iCs/>
          <w:sz w:val="24"/>
          <w:szCs w:val="24"/>
          <w:lang w:val="en-US" w:eastAsia="zh-CN"/>
        </w:rPr>
        <w:t>Pathol</w:t>
      </w:r>
      <w:proofErr w:type="spellEnd"/>
      <w:r w:rsidRPr="00564DBC">
        <w:rPr>
          <w:rFonts w:ascii="Book Antiqua" w:eastAsia="宋体" w:hAnsi="Book Antiqua" w:cs="宋体"/>
          <w:sz w:val="24"/>
          <w:szCs w:val="24"/>
          <w:lang w:val="en-US" w:eastAsia="zh-CN"/>
        </w:rPr>
        <w:t xml:space="preserve"> 2013; </w:t>
      </w:r>
      <w:r w:rsidRPr="00564DBC">
        <w:rPr>
          <w:rFonts w:ascii="Book Antiqua" w:eastAsia="宋体" w:hAnsi="Book Antiqua" w:cs="宋体"/>
          <w:b/>
          <w:bCs/>
          <w:sz w:val="24"/>
          <w:szCs w:val="24"/>
          <w:lang w:val="en-US" w:eastAsia="zh-CN"/>
        </w:rPr>
        <w:t>139</w:t>
      </w:r>
      <w:r w:rsidRPr="00564DBC">
        <w:rPr>
          <w:rFonts w:ascii="Book Antiqua" w:eastAsia="宋体" w:hAnsi="Book Antiqua" w:cs="宋体"/>
          <w:sz w:val="24"/>
          <w:szCs w:val="24"/>
          <w:lang w:val="en-US" w:eastAsia="zh-CN"/>
        </w:rPr>
        <w:t>: 491-514 [PMID: 23525618 DOI: 10.1309/AJCP83AOQTMLOJTM]</w:t>
      </w:r>
    </w:p>
    <w:p w:rsidR="00906D1E" w:rsidRPr="00564DBC" w:rsidRDefault="00906D1E" w:rsidP="00564DBC">
      <w:pPr>
        <w:widowControl w:val="0"/>
        <w:spacing w:after="0" w:line="360" w:lineRule="auto"/>
        <w:jc w:val="both"/>
        <w:rPr>
          <w:rFonts w:ascii="Book Antiqua" w:eastAsia="宋体" w:hAnsi="Book Antiqua" w:cs="宋体"/>
          <w:sz w:val="24"/>
          <w:szCs w:val="24"/>
          <w:lang w:val="en-US" w:eastAsia="zh-CN"/>
        </w:rPr>
      </w:pPr>
      <w:r w:rsidRPr="00564DBC">
        <w:rPr>
          <w:rFonts w:ascii="Book Antiqua" w:eastAsia="宋体" w:hAnsi="Book Antiqua" w:cs="宋体"/>
          <w:sz w:val="24"/>
          <w:szCs w:val="24"/>
          <w:lang w:val="en-US" w:eastAsia="zh-CN"/>
        </w:rPr>
        <w:t xml:space="preserve">18 </w:t>
      </w:r>
      <w:r w:rsidRPr="00564DBC">
        <w:rPr>
          <w:rFonts w:ascii="Book Antiqua" w:eastAsia="宋体" w:hAnsi="Book Antiqua" w:cs="宋体"/>
          <w:b/>
          <w:bCs/>
          <w:sz w:val="24"/>
          <w:szCs w:val="24"/>
          <w:lang w:val="en-US" w:eastAsia="zh-CN"/>
        </w:rPr>
        <w:t>Ng M</w:t>
      </w:r>
      <w:r w:rsidRPr="00564DBC">
        <w:rPr>
          <w:rFonts w:ascii="Book Antiqua" w:eastAsia="宋体" w:hAnsi="Book Antiqua" w:cs="宋体"/>
          <w:sz w:val="24"/>
          <w:szCs w:val="24"/>
          <w:lang w:val="en-US" w:eastAsia="zh-CN"/>
        </w:rPr>
        <w:t xml:space="preserve">, Waters J, Cunningham D, Chau I, </w:t>
      </w:r>
      <w:proofErr w:type="spellStart"/>
      <w:r w:rsidRPr="00564DBC">
        <w:rPr>
          <w:rFonts w:ascii="Book Antiqua" w:eastAsia="宋体" w:hAnsi="Book Antiqua" w:cs="宋体"/>
          <w:sz w:val="24"/>
          <w:szCs w:val="24"/>
          <w:lang w:val="en-US" w:eastAsia="zh-CN"/>
        </w:rPr>
        <w:t>Horwich</w:t>
      </w:r>
      <w:proofErr w:type="spellEnd"/>
      <w:r w:rsidRPr="00564DBC">
        <w:rPr>
          <w:rFonts w:ascii="Book Antiqua" w:eastAsia="宋体" w:hAnsi="Book Antiqua" w:cs="宋体"/>
          <w:sz w:val="24"/>
          <w:szCs w:val="24"/>
          <w:lang w:val="en-US" w:eastAsia="zh-CN"/>
        </w:rPr>
        <w:t xml:space="preserve"> A, Hill M, Norman AR, </w:t>
      </w:r>
      <w:proofErr w:type="spellStart"/>
      <w:r w:rsidRPr="00564DBC">
        <w:rPr>
          <w:rFonts w:ascii="Book Antiqua" w:eastAsia="宋体" w:hAnsi="Book Antiqua" w:cs="宋体"/>
          <w:sz w:val="24"/>
          <w:szCs w:val="24"/>
          <w:lang w:val="en-US" w:eastAsia="zh-CN"/>
        </w:rPr>
        <w:t>Wotherspoon</w:t>
      </w:r>
      <w:proofErr w:type="spellEnd"/>
      <w:r w:rsidRPr="00564DBC">
        <w:rPr>
          <w:rFonts w:ascii="Book Antiqua" w:eastAsia="宋体" w:hAnsi="Book Antiqua" w:cs="宋体"/>
          <w:sz w:val="24"/>
          <w:szCs w:val="24"/>
          <w:lang w:val="en-US" w:eastAsia="zh-CN"/>
        </w:rPr>
        <w:t xml:space="preserve"> A, </w:t>
      </w:r>
      <w:proofErr w:type="spellStart"/>
      <w:r w:rsidRPr="00564DBC">
        <w:rPr>
          <w:rFonts w:ascii="Book Antiqua" w:eastAsia="宋体" w:hAnsi="Book Antiqua" w:cs="宋体"/>
          <w:sz w:val="24"/>
          <w:szCs w:val="24"/>
          <w:lang w:val="en-US" w:eastAsia="zh-CN"/>
        </w:rPr>
        <w:t>Catovsky</w:t>
      </w:r>
      <w:proofErr w:type="spellEnd"/>
      <w:r w:rsidRPr="00564DBC">
        <w:rPr>
          <w:rFonts w:ascii="Book Antiqua" w:eastAsia="宋体" w:hAnsi="Book Antiqua" w:cs="宋体"/>
          <w:sz w:val="24"/>
          <w:szCs w:val="24"/>
          <w:lang w:val="en-US" w:eastAsia="zh-CN"/>
        </w:rPr>
        <w:t xml:space="preserve"> D. Gemcitabine, cisplatin and methylprednisolone (GEM-P) is an effective salvage regimen in patients with relapsed and refractory lymphoma. </w:t>
      </w:r>
      <w:r w:rsidRPr="00564DBC">
        <w:rPr>
          <w:rFonts w:ascii="Book Antiqua" w:eastAsia="宋体" w:hAnsi="Book Antiqua" w:cs="宋体"/>
          <w:i/>
          <w:iCs/>
          <w:sz w:val="24"/>
          <w:szCs w:val="24"/>
          <w:lang w:val="en-US" w:eastAsia="zh-CN"/>
        </w:rPr>
        <w:t>Br J Cancer</w:t>
      </w:r>
      <w:r w:rsidRPr="00564DBC">
        <w:rPr>
          <w:rFonts w:ascii="Book Antiqua" w:eastAsia="宋体" w:hAnsi="Book Antiqua" w:cs="宋体"/>
          <w:sz w:val="24"/>
          <w:szCs w:val="24"/>
          <w:lang w:val="en-US" w:eastAsia="zh-CN"/>
        </w:rPr>
        <w:t xml:space="preserve"> 2005; </w:t>
      </w:r>
      <w:r w:rsidRPr="00564DBC">
        <w:rPr>
          <w:rFonts w:ascii="Book Antiqua" w:eastAsia="宋体" w:hAnsi="Book Antiqua" w:cs="宋体"/>
          <w:b/>
          <w:bCs/>
          <w:sz w:val="24"/>
          <w:szCs w:val="24"/>
          <w:lang w:val="en-US" w:eastAsia="zh-CN"/>
        </w:rPr>
        <w:t>92</w:t>
      </w:r>
      <w:r w:rsidRPr="00564DBC">
        <w:rPr>
          <w:rFonts w:ascii="Book Antiqua" w:eastAsia="宋体" w:hAnsi="Book Antiqua" w:cs="宋体"/>
          <w:sz w:val="24"/>
          <w:szCs w:val="24"/>
          <w:lang w:val="en-US" w:eastAsia="zh-CN"/>
        </w:rPr>
        <w:t>: 1352-1357 [PMID: 15812553 DOI: 10.1038/sj.bjc.6602514]</w:t>
      </w:r>
    </w:p>
    <w:p w:rsidR="00906D1E" w:rsidRPr="00564DBC" w:rsidRDefault="00906D1E" w:rsidP="00564DBC">
      <w:pPr>
        <w:widowControl w:val="0"/>
        <w:spacing w:after="0" w:line="360" w:lineRule="auto"/>
        <w:jc w:val="both"/>
        <w:rPr>
          <w:rFonts w:ascii="Book Antiqua" w:eastAsia="宋体" w:hAnsi="Book Antiqua" w:cs="宋体"/>
          <w:sz w:val="24"/>
          <w:szCs w:val="24"/>
          <w:lang w:val="en-US" w:eastAsia="zh-CN"/>
        </w:rPr>
      </w:pPr>
      <w:r w:rsidRPr="00564DBC">
        <w:rPr>
          <w:rFonts w:ascii="Book Antiqua" w:eastAsia="宋体" w:hAnsi="Book Antiqua" w:cs="宋体"/>
          <w:sz w:val="24"/>
          <w:szCs w:val="24"/>
          <w:lang w:val="en-US" w:eastAsia="zh-CN"/>
        </w:rPr>
        <w:t xml:space="preserve">19 </w:t>
      </w:r>
      <w:proofErr w:type="spellStart"/>
      <w:r w:rsidRPr="00564DBC">
        <w:rPr>
          <w:rFonts w:ascii="Book Antiqua" w:eastAsia="宋体" w:hAnsi="Book Antiqua" w:cs="宋体"/>
          <w:b/>
          <w:bCs/>
          <w:sz w:val="24"/>
          <w:szCs w:val="24"/>
          <w:lang w:val="en-US" w:eastAsia="zh-CN"/>
        </w:rPr>
        <w:t>Arkenau</w:t>
      </w:r>
      <w:proofErr w:type="spellEnd"/>
      <w:r w:rsidRPr="00564DBC">
        <w:rPr>
          <w:rFonts w:ascii="Book Antiqua" w:eastAsia="宋体" w:hAnsi="Book Antiqua" w:cs="宋体"/>
          <w:b/>
          <w:bCs/>
          <w:sz w:val="24"/>
          <w:szCs w:val="24"/>
          <w:lang w:val="en-US" w:eastAsia="zh-CN"/>
        </w:rPr>
        <w:t xml:space="preserve"> HT</w:t>
      </w:r>
      <w:r w:rsidRPr="00564DBC">
        <w:rPr>
          <w:rFonts w:ascii="Book Antiqua" w:eastAsia="宋体" w:hAnsi="Book Antiqua" w:cs="宋体"/>
          <w:sz w:val="24"/>
          <w:szCs w:val="24"/>
          <w:lang w:val="en-US" w:eastAsia="zh-CN"/>
        </w:rPr>
        <w:t xml:space="preserve">, Chong G, Cunningham D, Watkins D, </w:t>
      </w:r>
      <w:proofErr w:type="spellStart"/>
      <w:r w:rsidRPr="00564DBC">
        <w:rPr>
          <w:rFonts w:ascii="Book Antiqua" w:eastAsia="宋体" w:hAnsi="Book Antiqua" w:cs="宋体"/>
          <w:sz w:val="24"/>
          <w:szCs w:val="24"/>
          <w:lang w:val="en-US" w:eastAsia="zh-CN"/>
        </w:rPr>
        <w:t>Sirohi</w:t>
      </w:r>
      <w:proofErr w:type="spellEnd"/>
      <w:r w:rsidRPr="00564DBC">
        <w:rPr>
          <w:rFonts w:ascii="Book Antiqua" w:eastAsia="宋体" w:hAnsi="Book Antiqua" w:cs="宋体"/>
          <w:sz w:val="24"/>
          <w:szCs w:val="24"/>
          <w:lang w:val="en-US" w:eastAsia="zh-CN"/>
        </w:rPr>
        <w:t xml:space="preserve"> B, Chau I, </w:t>
      </w:r>
      <w:proofErr w:type="spellStart"/>
      <w:r w:rsidRPr="00564DBC">
        <w:rPr>
          <w:rFonts w:ascii="Book Antiqua" w:eastAsia="宋体" w:hAnsi="Book Antiqua" w:cs="宋体"/>
          <w:sz w:val="24"/>
          <w:szCs w:val="24"/>
          <w:lang w:val="en-US" w:eastAsia="zh-CN"/>
        </w:rPr>
        <w:t>Wotherspoon</w:t>
      </w:r>
      <w:proofErr w:type="spellEnd"/>
      <w:r w:rsidRPr="00564DBC">
        <w:rPr>
          <w:rFonts w:ascii="Book Antiqua" w:eastAsia="宋体" w:hAnsi="Book Antiqua" w:cs="宋体"/>
          <w:sz w:val="24"/>
          <w:szCs w:val="24"/>
          <w:lang w:val="en-US" w:eastAsia="zh-CN"/>
        </w:rPr>
        <w:t xml:space="preserve"> A, Norman A, </w:t>
      </w:r>
      <w:proofErr w:type="spellStart"/>
      <w:r w:rsidRPr="00564DBC">
        <w:rPr>
          <w:rFonts w:ascii="Book Antiqua" w:eastAsia="宋体" w:hAnsi="Book Antiqua" w:cs="宋体"/>
          <w:sz w:val="24"/>
          <w:szCs w:val="24"/>
          <w:lang w:val="en-US" w:eastAsia="zh-CN"/>
        </w:rPr>
        <w:t>Horwich</w:t>
      </w:r>
      <w:proofErr w:type="spellEnd"/>
      <w:r w:rsidRPr="00564DBC">
        <w:rPr>
          <w:rFonts w:ascii="Book Antiqua" w:eastAsia="宋体" w:hAnsi="Book Antiqua" w:cs="宋体"/>
          <w:sz w:val="24"/>
          <w:szCs w:val="24"/>
          <w:lang w:val="en-US" w:eastAsia="zh-CN"/>
        </w:rPr>
        <w:t xml:space="preserve"> A, </w:t>
      </w:r>
      <w:proofErr w:type="spellStart"/>
      <w:r w:rsidRPr="00564DBC">
        <w:rPr>
          <w:rFonts w:ascii="Book Antiqua" w:eastAsia="宋体" w:hAnsi="Book Antiqua" w:cs="宋体"/>
          <w:sz w:val="24"/>
          <w:szCs w:val="24"/>
          <w:lang w:val="en-US" w:eastAsia="zh-CN"/>
        </w:rPr>
        <w:t>Matutes</w:t>
      </w:r>
      <w:proofErr w:type="spellEnd"/>
      <w:r w:rsidRPr="00564DBC">
        <w:rPr>
          <w:rFonts w:ascii="Book Antiqua" w:eastAsia="宋体" w:hAnsi="Book Antiqua" w:cs="宋体"/>
          <w:sz w:val="24"/>
          <w:szCs w:val="24"/>
          <w:lang w:val="en-US" w:eastAsia="zh-CN"/>
        </w:rPr>
        <w:t xml:space="preserve"> E. Gemcitabine, cisplatin and methylprednisolone for the treatment of patients with peripheral T-cell lymphoma: the Royal Marsden Hospital experience. </w:t>
      </w:r>
      <w:proofErr w:type="spellStart"/>
      <w:r w:rsidRPr="00564DBC">
        <w:rPr>
          <w:rFonts w:ascii="Book Antiqua" w:eastAsia="宋体" w:hAnsi="Book Antiqua" w:cs="宋体"/>
          <w:i/>
          <w:iCs/>
          <w:sz w:val="24"/>
          <w:szCs w:val="24"/>
          <w:lang w:val="en-US" w:eastAsia="zh-CN"/>
        </w:rPr>
        <w:t>Haematologica</w:t>
      </w:r>
      <w:proofErr w:type="spellEnd"/>
      <w:r w:rsidRPr="00564DBC">
        <w:rPr>
          <w:rFonts w:ascii="Book Antiqua" w:eastAsia="宋体" w:hAnsi="Book Antiqua" w:cs="宋体"/>
          <w:sz w:val="24"/>
          <w:szCs w:val="24"/>
          <w:lang w:val="en-US" w:eastAsia="zh-CN"/>
        </w:rPr>
        <w:t xml:space="preserve"> 2007; </w:t>
      </w:r>
      <w:r w:rsidRPr="00564DBC">
        <w:rPr>
          <w:rFonts w:ascii="Book Antiqua" w:eastAsia="宋体" w:hAnsi="Book Antiqua" w:cs="宋体"/>
          <w:b/>
          <w:bCs/>
          <w:sz w:val="24"/>
          <w:szCs w:val="24"/>
          <w:lang w:val="en-US" w:eastAsia="zh-CN"/>
        </w:rPr>
        <w:t>92</w:t>
      </w:r>
      <w:r w:rsidRPr="00564DBC">
        <w:rPr>
          <w:rFonts w:ascii="Book Antiqua" w:eastAsia="宋体" w:hAnsi="Book Antiqua" w:cs="宋体"/>
          <w:sz w:val="24"/>
          <w:szCs w:val="24"/>
          <w:lang w:val="en-US" w:eastAsia="zh-CN"/>
        </w:rPr>
        <w:t xml:space="preserve">: </w:t>
      </w:r>
      <w:r w:rsidRPr="00564DBC">
        <w:rPr>
          <w:rFonts w:ascii="Book Antiqua" w:eastAsia="宋体" w:hAnsi="Book Antiqua" w:cs="宋体"/>
          <w:sz w:val="24"/>
          <w:szCs w:val="24"/>
          <w:lang w:val="en-US" w:eastAsia="zh-CN"/>
        </w:rPr>
        <w:lastRenderedPageBreak/>
        <w:t>271-272 [PMID: 17296587 DOI: 10.3324/haematol.10737]</w:t>
      </w:r>
    </w:p>
    <w:p w:rsidR="00906D1E" w:rsidRPr="00564DBC" w:rsidRDefault="00906D1E" w:rsidP="00564DBC">
      <w:pPr>
        <w:widowControl w:val="0"/>
        <w:spacing w:after="0" w:line="360" w:lineRule="auto"/>
        <w:jc w:val="both"/>
        <w:rPr>
          <w:rFonts w:ascii="Book Antiqua" w:eastAsia="宋体" w:hAnsi="Book Antiqua" w:cs="宋体"/>
          <w:sz w:val="24"/>
          <w:szCs w:val="24"/>
          <w:lang w:val="en-US" w:eastAsia="zh-CN"/>
        </w:rPr>
      </w:pPr>
      <w:r w:rsidRPr="00564DBC">
        <w:rPr>
          <w:rFonts w:ascii="Book Antiqua" w:eastAsia="宋体" w:hAnsi="Book Antiqua" w:cs="宋体"/>
          <w:sz w:val="24"/>
          <w:szCs w:val="24"/>
          <w:lang w:val="en-US" w:eastAsia="zh-CN"/>
        </w:rPr>
        <w:t xml:space="preserve">20 </w:t>
      </w:r>
      <w:proofErr w:type="spellStart"/>
      <w:r w:rsidRPr="00564DBC">
        <w:rPr>
          <w:rFonts w:ascii="Book Antiqua" w:eastAsia="宋体" w:hAnsi="Book Antiqua" w:cs="宋体"/>
          <w:b/>
          <w:bCs/>
          <w:sz w:val="24"/>
          <w:szCs w:val="24"/>
          <w:lang w:val="en-US" w:eastAsia="zh-CN"/>
        </w:rPr>
        <w:t>Yim</w:t>
      </w:r>
      <w:proofErr w:type="spellEnd"/>
      <w:r w:rsidRPr="00564DBC">
        <w:rPr>
          <w:rFonts w:ascii="Book Antiqua" w:eastAsia="宋体" w:hAnsi="Book Antiqua" w:cs="宋体"/>
          <w:b/>
          <w:bCs/>
          <w:sz w:val="24"/>
          <w:szCs w:val="24"/>
          <w:lang w:val="en-US" w:eastAsia="zh-CN"/>
        </w:rPr>
        <w:t xml:space="preserve"> KL</w:t>
      </w:r>
      <w:r w:rsidRPr="00564DBC">
        <w:rPr>
          <w:rFonts w:ascii="Book Antiqua" w:eastAsia="宋体" w:hAnsi="Book Antiqua" w:cs="宋体"/>
          <w:sz w:val="24"/>
          <w:szCs w:val="24"/>
          <w:lang w:val="en-US" w:eastAsia="zh-CN"/>
        </w:rPr>
        <w:t xml:space="preserve">, Ashley S. Assessment of gemcitabine, cisplatin and methylprednisolone (GEM-P) combination treatment for non-Hodgkin T </w:t>
      </w:r>
      <w:proofErr w:type="gramStart"/>
      <w:r w:rsidRPr="00564DBC">
        <w:rPr>
          <w:rFonts w:ascii="Book Antiqua" w:eastAsia="宋体" w:hAnsi="Book Antiqua" w:cs="宋体"/>
          <w:sz w:val="24"/>
          <w:szCs w:val="24"/>
          <w:lang w:val="en-US" w:eastAsia="zh-CN"/>
        </w:rPr>
        <w:t>cell</w:t>
      </w:r>
      <w:proofErr w:type="gramEnd"/>
      <w:r w:rsidRPr="00564DBC">
        <w:rPr>
          <w:rFonts w:ascii="Book Antiqua" w:eastAsia="宋体" w:hAnsi="Book Antiqua" w:cs="宋体"/>
          <w:sz w:val="24"/>
          <w:szCs w:val="24"/>
          <w:lang w:val="en-US" w:eastAsia="zh-CN"/>
        </w:rPr>
        <w:t xml:space="preserve"> lymphoma. </w:t>
      </w:r>
      <w:r w:rsidRPr="00564DBC">
        <w:rPr>
          <w:rFonts w:ascii="Book Antiqua" w:eastAsia="宋体" w:hAnsi="Book Antiqua" w:cs="宋体"/>
          <w:i/>
          <w:iCs/>
          <w:sz w:val="24"/>
          <w:szCs w:val="24"/>
          <w:lang w:val="en-US" w:eastAsia="zh-CN"/>
        </w:rPr>
        <w:t xml:space="preserve">Med </w:t>
      </w:r>
      <w:proofErr w:type="spellStart"/>
      <w:r w:rsidRPr="00564DBC">
        <w:rPr>
          <w:rFonts w:ascii="Book Antiqua" w:eastAsia="宋体" w:hAnsi="Book Antiqua" w:cs="宋体"/>
          <w:i/>
          <w:iCs/>
          <w:sz w:val="24"/>
          <w:szCs w:val="24"/>
          <w:lang w:val="en-US" w:eastAsia="zh-CN"/>
        </w:rPr>
        <w:t>Oncol</w:t>
      </w:r>
      <w:proofErr w:type="spellEnd"/>
      <w:r w:rsidRPr="00564DBC">
        <w:rPr>
          <w:rFonts w:ascii="Book Antiqua" w:eastAsia="宋体" w:hAnsi="Book Antiqua" w:cs="宋体"/>
          <w:sz w:val="24"/>
          <w:szCs w:val="24"/>
          <w:lang w:val="en-US" w:eastAsia="zh-CN"/>
        </w:rPr>
        <w:t xml:space="preserve"> 2012; </w:t>
      </w:r>
      <w:r w:rsidRPr="00564DBC">
        <w:rPr>
          <w:rFonts w:ascii="Book Antiqua" w:eastAsia="宋体" w:hAnsi="Book Antiqua" w:cs="宋体"/>
          <w:b/>
          <w:bCs/>
          <w:sz w:val="24"/>
          <w:szCs w:val="24"/>
          <w:lang w:val="en-US" w:eastAsia="zh-CN"/>
        </w:rPr>
        <w:t>29</w:t>
      </w:r>
      <w:r w:rsidRPr="00564DBC">
        <w:rPr>
          <w:rFonts w:ascii="Book Antiqua" w:eastAsia="宋体" w:hAnsi="Book Antiqua" w:cs="宋体"/>
          <w:sz w:val="24"/>
          <w:szCs w:val="24"/>
          <w:lang w:val="en-US" w:eastAsia="zh-CN"/>
        </w:rPr>
        <w:t>: 3535-3539 [PMID: 22825684 DOI: 10.1007/s12032-012-0309-6]</w:t>
      </w:r>
    </w:p>
    <w:p w:rsidR="00906D1E" w:rsidRPr="00564DBC" w:rsidRDefault="00906D1E" w:rsidP="00564DBC">
      <w:pPr>
        <w:widowControl w:val="0"/>
        <w:spacing w:after="0" w:line="360" w:lineRule="auto"/>
        <w:jc w:val="both"/>
        <w:rPr>
          <w:rFonts w:ascii="Book Antiqua" w:eastAsia="宋体" w:hAnsi="Book Antiqua" w:cs="宋体"/>
          <w:sz w:val="24"/>
          <w:szCs w:val="24"/>
          <w:lang w:val="en-US" w:eastAsia="zh-CN"/>
        </w:rPr>
      </w:pPr>
      <w:r w:rsidRPr="00564DBC">
        <w:rPr>
          <w:rFonts w:ascii="Book Antiqua" w:eastAsia="宋体" w:hAnsi="Book Antiqua" w:cs="宋体"/>
          <w:sz w:val="24"/>
          <w:szCs w:val="24"/>
          <w:lang w:val="en-US" w:eastAsia="zh-CN"/>
        </w:rPr>
        <w:t xml:space="preserve">21 </w:t>
      </w:r>
      <w:r w:rsidRPr="00564DBC">
        <w:rPr>
          <w:rFonts w:ascii="Book Antiqua" w:eastAsia="宋体" w:hAnsi="Book Antiqua" w:cs="宋体"/>
          <w:b/>
          <w:bCs/>
          <w:sz w:val="24"/>
          <w:szCs w:val="24"/>
          <w:lang w:val="en-US" w:eastAsia="zh-CN"/>
        </w:rPr>
        <w:t>Velez NF</w:t>
      </w:r>
      <w:r w:rsidRPr="00564DBC">
        <w:rPr>
          <w:rFonts w:ascii="Book Antiqua" w:eastAsia="宋体" w:hAnsi="Book Antiqua" w:cs="宋体"/>
          <w:sz w:val="24"/>
          <w:szCs w:val="24"/>
          <w:lang w:val="en-US" w:eastAsia="zh-CN"/>
        </w:rPr>
        <w:t xml:space="preserve">, </w:t>
      </w:r>
      <w:proofErr w:type="spellStart"/>
      <w:r w:rsidRPr="00564DBC">
        <w:rPr>
          <w:rFonts w:ascii="Book Antiqua" w:eastAsia="宋体" w:hAnsi="Book Antiqua" w:cs="宋体"/>
          <w:sz w:val="24"/>
          <w:szCs w:val="24"/>
          <w:lang w:val="en-US" w:eastAsia="zh-CN"/>
        </w:rPr>
        <w:t>Ishizawar</w:t>
      </w:r>
      <w:proofErr w:type="spellEnd"/>
      <w:r w:rsidRPr="00564DBC">
        <w:rPr>
          <w:rFonts w:ascii="Book Antiqua" w:eastAsia="宋体" w:hAnsi="Book Antiqua" w:cs="宋体"/>
          <w:sz w:val="24"/>
          <w:szCs w:val="24"/>
          <w:lang w:val="en-US" w:eastAsia="zh-CN"/>
        </w:rPr>
        <w:t xml:space="preserve"> RC, </w:t>
      </w:r>
      <w:proofErr w:type="spellStart"/>
      <w:r w:rsidRPr="00564DBC">
        <w:rPr>
          <w:rFonts w:ascii="Book Antiqua" w:eastAsia="宋体" w:hAnsi="Book Antiqua" w:cs="宋体"/>
          <w:sz w:val="24"/>
          <w:szCs w:val="24"/>
          <w:lang w:val="en-US" w:eastAsia="zh-CN"/>
        </w:rPr>
        <w:t>Dellaripa</w:t>
      </w:r>
      <w:proofErr w:type="spellEnd"/>
      <w:r w:rsidRPr="00564DBC">
        <w:rPr>
          <w:rFonts w:ascii="Book Antiqua" w:eastAsia="宋体" w:hAnsi="Book Antiqua" w:cs="宋体"/>
          <w:sz w:val="24"/>
          <w:szCs w:val="24"/>
          <w:lang w:val="en-US" w:eastAsia="zh-CN"/>
        </w:rPr>
        <w:t xml:space="preserve"> PF, Saavedra AP, </w:t>
      </w:r>
      <w:proofErr w:type="spellStart"/>
      <w:r w:rsidRPr="00564DBC">
        <w:rPr>
          <w:rFonts w:ascii="Book Antiqua" w:eastAsia="宋体" w:hAnsi="Book Antiqua" w:cs="宋体"/>
          <w:sz w:val="24"/>
          <w:szCs w:val="24"/>
          <w:lang w:val="en-US" w:eastAsia="zh-CN"/>
        </w:rPr>
        <w:t>Laga</w:t>
      </w:r>
      <w:proofErr w:type="spellEnd"/>
      <w:r w:rsidRPr="00564DBC">
        <w:rPr>
          <w:rFonts w:ascii="Book Antiqua" w:eastAsia="宋体" w:hAnsi="Book Antiqua" w:cs="宋体"/>
          <w:sz w:val="24"/>
          <w:szCs w:val="24"/>
          <w:lang w:val="en-US" w:eastAsia="zh-CN"/>
        </w:rPr>
        <w:t xml:space="preserve"> AC, Murphy GF, Fisher DC, </w:t>
      </w:r>
      <w:proofErr w:type="spellStart"/>
      <w:r w:rsidRPr="00564DBC">
        <w:rPr>
          <w:rFonts w:ascii="Book Antiqua" w:eastAsia="宋体" w:hAnsi="Book Antiqua" w:cs="宋体"/>
          <w:sz w:val="24"/>
          <w:szCs w:val="24"/>
          <w:lang w:val="en-US" w:eastAsia="zh-CN"/>
        </w:rPr>
        <w:t>Kupper</w:t>
      </w:r>
      <w:proofErr w:type="spellEnd"/>
      <w:r w:rsidRPr="00564DBC">
        <w:rPr>
          <w:rFonts w:ascii="Book Antiqua" w:eastAsia="宋体" w:hAnsi="Book Antiqua" w:cs="宋体"/>
          <w:sz w:val="24"/>
          <w:szCs w:val="24"/>
          <w:lang w:val="en-US" w:eastAsia="zh-CN"/>
        </w:rPr>
        <w:t xml:space="preserve"> TS, </w:t>
      </w:r>
      <w:proofErr w:type="spellStart"/>
      <w:r w:rsidRPr="00564DBC">
        <w:rPr>
          <w:rFonts w:ascii="Book Antiqua" w:eastAsia="宋体" w:hAnsi="Book Antiqua" w:cs="宋体"/>
          <w:sz w:val="24"/>
          <w:szCs w:val="24"/>
          <w:lang w:val="en-US" w:eastAsia="zh-CN"/>
        </w:rPr>
        <w:t>Vleugels</w:t>
      </w:r>
      <w:proofErr w:type="spellEnd"/>
      <w:r w:rsidRPr="00564DBC">
        <w:rPr>
          <w:rFonts w:ascii="Book Antiqua" w:eastAsia="宋体" w:hAnsi="Book Antiqua" w:cs="宋体"/>
          <w:sz w:val="24"/>
          <w:szCs w:val="24"/>
          <w:lang w:val="en-US" w:eastAsia="zh-CN"/>
        </w:rPr>
        <w:t xml:space="preserve"> RA. Full facial edema: a novel presentation of subcutaneous panniculitis-like T-cell lymphoma. </w:t>
      </w:r>
      <w:r w:rsidRPr="00564DBC">
        <w:rPr>
          <w:rFonts w:ascii="Book Antiqua" w:eastAsia="宋体" w:hAnsi="Book Antiqua" w:cs="宋体"/>
          <w:i/>
          <w:iCs/>
          <w:sz w:val="24"/>
          <w:szCs w:val="24"/>
          <w:lang w:val="en-US" w:eastAsia="zh-CN"/>
        </w:rPr>
        <w:t xml:space="preserve">J </w:t>
      </w:r>
      <w:proofErr w:type="spellStart"/>
      <w:r w:rsidRPr="00564DBC">
        <w:rPr>
          <w:rFonts w:ascii="Book Antiqua" w:eastAsia="宋体" w:hAnsi="Book Antiqua" w:cs="宋体"/>
          <w:i/>
          <w:iCs/>
          <w:sz w:val="24"/>
          <w:szCs w:val="24"/>
          <w:lang w:val="en-US" w:eastAsia="zh-CN"/>
        </w:rPr>
        <w:t>Clin</w:t>
      </w:r>
      <w:proofErr w:type="spellEnd"/>
      <w:r w:rsidRPr="00564DBC">
        <w:rPr>
          <w:rFonts w:ascii="Book Antiqua" w:eastAsia="宋体" w:hAnsi="Book Antiqua" w:cs="宋体"/>
          <w:i/>
          <w:iCs/>
          <w:sz w:val="24"/>
          <w:szCs w:val="24"/>
          <w:lang w:val="en-US" w:eastAsia="zh-CN"/>
        </w:rPr>
        <w:t xml:space="preserve"> </w:t>
      </w:r>
      <w:proofErr w:type="spellStart"/>
      <w:r w:rsidRPr="00564DBC">
        <w:rPr>
          <w:rFonts w:ascii="Book Antiqua" w:eastAsia="宋体" w:hAnsi="Book Antiqua" w:cs="宋体"/>
          <w:i/>
          <w:iCs/>
          <w:sz w:val="24"/>
          <w:szCs w:val="24"/>
          <w:lang w:val="en-US" w:eastAsia="zh-CN"/>
        </w:rPr>
        <w:t>Oncol</w:t>
      </w:r>
      <w:proofErr w:type="spellEnd"/>
      <w:r w:rsidRPr="00564DBC">
        <w:rPr>
          <w:rFonts w:ascii="Book Antiqua" w:eastAsia="宋体" w:hAnsi="Book Antiqua" w:cs="宋体"/>
          <w:sz w:val="24"/>
          <w:szCs w:val="24"/>
          <w:lang w:val="en-US" w:eastAsia="zh-CN"/>
        </w:rPr>
        <w:t xml:space="preserve"> 2012; </w:t>
      </w:r>
      <w:r w:rsidRPr="00564DBC">
        <w:rPr>
          <w:rFonts w:ascii="Book Antiqua" w:eastAsia="宋体" w:hAnsi="Book Antiqua" w:cs="宋体"/>
          <w:b/>
          <w:bCs/>
          <w:sz w:val="24"/>
          <w:szCs w:val="24"/>
          <w:lang w:val="en-US" w:eastAsia="zh-CN"/>
        </w:rPr>
        <w:t>30</w:t>
      </w:r>
      <w:r w:rsidRPr="00564DBC">
        <w:rPr>
          <w:rFonts w:ascii="Book Antiqua" w:eastAsia="宋体" w:hAnsi="Book Antiqua" w:cs="宋体"/>
          <w:sz w:val="24"/>
          <w:szCs w:val="24"/>
          <w:lang w:val="en-US" w:eastAsia="zh-CN"/>
        </w:rPr>
        <w:t>: e233-e236 [PMID: 22826278 DOI: 10.1200/JCO.2011.40.7684]</w:t>
      </w:r>
    </w:p>
    <w:p w:rsidR="006E094B" w:rsidRPr="00564DBC" w:rsidRDefault="006E094B" w:rsidP="00564DBC">
      <w:pPr>
        <w:widowControl w:val="0"/>
        <w:spacing w:after="0" w:line="360" w:lineRule="auto"/>
        <w:jc w:val="right"/>
        <w:rPr>
          <w:rFonts w:ascii="Book Antiqua" w:hAnsi="Book Antiqua"/>
          <w:b/>
          <w:sz w:val="24"/>
          <w:szCs w:val="24"/>
          <w:lang w:val="en-US" w:eastAsia="zh-CN" w:bidi="hi-IN"/>
        </w:rPr>
      </w:pPr>
    </w:p>
    <w:p w:rsidR="005B6993" w:rsidRPr="00564DBC" w:rsidRDefault="005B6993" w:rsidP="00564DBC">
      <w:pPr>
        <w:widowControl w:val="0"/>
        <w:spacing w:after="0" w:line="360" w:lineRule="auto"/>
        <w:jc w:val="right"/>
        <w:rPr>
          <w:rFonts w:ascii="Book Antiqua" w:hAnsi="Book Antiqua"/>
          <w:sz w:val="24"/>
          <w:szCs w:val="24"/>
          <w:lang w:val="en-US" w:eastAsia="zh-CN"/>
        </w:rPr>
      </w:pPr>
      <w:r w:rsidRPr="00564DBC">
        <w:rPr>
          <w:rFonts w:ascii="Book Antiqua" w:hAnsi="Book Antiqua"/>
          <w:b/>
          <w:sz w:val="24"/>
          <w:szCs w:val="24"/>
        </w:rPr>
        <w:t xml:space="preserve">P-Reviewer: </w:t>
      </w:r>
      <w:r w:rsidR="00FE66CE" w:rsidRPr="00564DBC">
        <w:rPr>
          <w:rFonts w:ascii="Book Antiqua" w:hAnsi="Book Antiqua"/>
          <w:sz w:val="24"/>
          <w:szCs w:val="24"/>
        </w:rPr>
        <w:t>Mehdi</w:t>
      </w:r>
      <w:r w:rsidR="00FE66CE" w:rsidRPr="00564DBC">
        <w:rPr>
          <w:rFonts w:ascii="Book Antiqua" w:hAnsi="Book Antiqua"/>
          <w:sz w:val="24"/>
          <w:szCs w:val="24"/>
          <w:lang w:eastAsia="zh-CN"/>
        </w:rPr>
        <w:t xml:space="preserve"> I, </w:t>
      </w:r>
      <w:r w:rsidR="00FE66CE" w:rsidRPr="00564DBC">
        <w:rPr>
          <w:rFonts w:ascii="Book Antiqua" w:hAnsi="Book Antiqua"/>
          <w:sz w:val="24"/>
          <w:szCs w:val="24"/>
        </w:rPr>
        <w:t>Mocellin</w:t>
      </w:r>
      <w:r w:rsidR="00FE66CE" w:rsidRPr="00564DBC">
        <w:rPr>
          <w:rFonts w:ascii="Book Antiqua" w:hAnsi="Book Antiqua"/>
          <w:sz w:val="24"/>
          <w:szCs w:val="24"/>
          <w:lang w:eastAsia="zh-CN"/>
        </w:rPr>
        <w:t xml:space="preserve"> S </w:t>
      </w:r>
      <w:r w:rsidRPr="00564DBC">
        <w:rPr>
          <w:rFonts w:ascii="Book Antiqua" w:hAnsi="Book Antiqua"/>
          <w:b/>
          <w:sz w:val="24"/>
          <w:szCs w:val="24"/>
        </w:rPr>
        <w:t xml:space="preserve">S-Editor: </w:t>
      </w:r>
      <w:r w:rsidRPr="00564DBC">
        <w:rPr>
          <w:rFonts w:ascii="Book Antiqua" w:hAnsi="Book Antiqua"/>
          <w:sz w:val="24"/>
          <w:szCs w:val="24"/>
        </w:rPr>
        <w:t>Ji FF</w:t>
      </w:r>
      <w:r w:rsidRPr="00564DBC">
        <w:rPr>
          <w:rFonts w:ascii="Book Antiqua" w:hAnsi="Book Antiqua"/>
          <w:b/>
          <w:sz w:val="24"/>
          <w:szCs w:val="24"/>
        </w:rPr>
        <w:t xml:space="preserve"> L-Editor: E-Editor:</w:t>
      </w:r>
    </w:p>
    <w:p w:rsidR="006E094B" w:rsidRPr="00564DBC" w:rsidRDefault="006E094B" w:rsidP="00564DBC">
      <w:pPr>
        <w:widowControl w:val="0"/>
        <w:spacing w:after="0" w:line="360" w:lineRule="auto"/>
        <w:jc w:val="both"/>
        <w:rPr>
          <w:rFonts w:ascii="Book Antiqua" w:hAnsi="Book Antiqua"/>
          <w:sz w:val="24"/>
          <w:szCs w:val="24"/>
          <w:lang w:val="en-US" w:eastAsia="ru-RU"/>
        </w:rPr>
      </w:pPr>
    </w:p>
    <w:p w:rsidR="006E094B" w:rsidRPr="00564DBC" w:rsidRDefault="006E094B" w:rsidP="00564DBC">
      <w:pPr>
        <w:widowControl w:val="0"/>
        <w:spacing w:after="0" w:line="360" w:lineRule="auto"/>
        <w:jc w:val="both"/>
        <w:rPr>
          <w:rFonts w:ascii="Book Antiqua" w:hAnsi="Book Antiqua"/>
          <w:sz w:val="24"/>
          <w:szCs w:val="24"/>
          <w:lang w:val="en-US" w:eastAsia="ru-RU"/>
        </w:rPr>
        <w:sectPr w:rsidR="006E094B" w:rsidRPr="00564DBC" w:rsidSect="00064D90">
          <w:footerReference w:type="default" r:id="rId8"/>
          <w:type w:val="continuous"/>
          <w:pgSz w:w="11906" w:h="16838"/>
          <w:pgMar w:top="1440" w:right="1800" w:bottom="1440" w:left="1800" w:header="706" w:footer="706" w:gutter="0"/>
          <w:cols w:space="708"/>
          <w:docGrid w:linePitch="360"/>
        </w:sectPr>
      </w:pPr>
    </w:p>
    <w:p w:rsidR="006E094B" w:rsidRPr="00564DBC" w:rsidRDefault="006E094B" w:rsidP="00564DBC">
      <w:pPr>
        <w:widowControl w:val="0"/>
        <w:spacing w:after="0" w:line="360" w:lineRule="auto"/>
        <w:jc w:val="both"/>
        <w:rPr>
          <w:rFonts w:ascii="Book Antiqua" w:hAnsi="Book Antiqua"/>
          <w:sz w:val="24"/>
          <w:szCs w:val="24"/>
          <w:lang w:val="en-US" w:eastAsia="ru-RU"/>
        </w:rPr>
      </w:pPr>
      <w:r w:rsidRPr="00564DBC">
        <w:rPr>
          <w:rFonts w:ascii="Book Antiqua" w:hAnsi="Book Antiqua"/>
          <w:noProof/>
          <w:sz w:val="24"/>
          <w:szCs w:val="24"/>
          <w:lang w:val="en-US"/>
        </w:rPr>
        <w:lastRenderedPageBreak/>
        <w:drawing>
          <wp:anchor distT="0" distB="0" distL="114300" distR="114300" simplePos="0" relativeHeight="251659264" behindDoc="0" locked="0" layoutInCell="1" allowOverlap="1" wp14:anchorId="4DA8566C" wp14:editId="4E084101">
            <wp:simplePos x="0" y="0"/>
            <wp:positionH relativeFrom="column">
              <wp:posOffset>864870</wp:posOffset>
            </wp:positionH>
            <wp:positionV relativeFrom="paragraph">
              <wp:posOffset>-203200</wp:posOffset>
            </wp:positionV>
            <wp:extent cx="6489700" cy="2146300"/>
            <wp:effectExtent l="0" t="0" r="6350" b="6350"/>
            <wp:wrapNone/>
            <wp:docPr id="3" name="图片 3" descr="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igur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9700" cy="214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94B" w:rsidRPr="00564DBC" w:rsidRDefault="006E094B" w:rsidP="00564DBC">
      <w:pPr>
        <w:widowControl w:val="0"/>
        <w:spacing w:after="0" w:line="360" w:lineRule="auto"/>
        <w:jc w:val="both"/>
        <w:rPr>
          <w:rFonts w:ascii="Book Antiqua" w:hAnsi="Book Antiqua"/>
          <w:sz w:val="24"/>
          <w:szCs w:val="24"/>
          <w:lang w:val="en-US" w:eastAsia="ru-RU"/>
        </w:rPr>
      </w:pPr>
    </w:p>
    <w:p w:rsidR="006E094B" w:rsidRPr="00564DBC" w:rsidRDefault="006E094B" w:rsidP="00564DBC">
      <w:pPr>
        <w:widowControl w:val="0"/>
        <w:spacing w:after="0" w:line="360" w:lineRule="auto"/>
        <w:jc w:val="both"/>
        <w:rPr>
          <w:rFonts w:ascii="Book Antiqua" w:hAnsi="Book Antiqua"/>
          <w:sz w:val="24"/>
          <w:szCs w:val="24"/>
          <w:lang w:val="en-US" w:eastAsia="ru-RU"/>
        </w:rPr>
      </w:pPr>
    </w:p>
    <w:p w:rsidR="006E094B" w:rsidRPr="00564DBC" w:rsidRDefault="006E094B" w:rsidP="00564DBC">
      <w:pPr>
        <w:widowControl w:val="0"/>
        <w:spacing w:after="0" w:line="360" w:lineRule="auto"/>
        <w:jc w:val="both"/>
        <w:rPr>
          <w:rFonts w:ascii="Book Antiqua" w:hAnsi="Book Antiqua"/>
          <w:sz w:val="24"/>
          <w:szCs w:val="24"/>
          <w:lang w:val="en-US" w:eastAsia="ru-RU"/>
        </w:rPr>
      </w:pPr>
    </w:p>
    <w:p w:rsidR="006E094B" w:rsidRPr="00564DBC" w:rsidRDefault="006E094B" w:rsidP="00564DBC">
      <w:pPr>
        <w:widowControl w:val="0"/>
        <w:spacing w:after="0" w:line="360" w:lineRule="auto"/>
        <w:jc w:val="both"/>
        <w:rPr>
          <w:rFonts w:ascii="Book Antiqua" w:hAnsi="Book Antiqua"/>
          <w:sz w:val="24"/>
          <w:szCs w:val="24"/>
          <w:lang w:val="en-US" w:eastAsia="ru-RU"/>
        </w:rPr>
      </w:pPr>
    </w:p>
    <w:p w:rsidR="006E094B" w:rsidRPr="00564DBC" w:rsidRDefault="006E094B" w:rsidP="00564DBC">
      <w:pPr>
        <w:widowControl w:val="0"/>
        <w:spacing w:after="0" w:line="360" w:lineRule="auto"/>
        <w:jc w:val="both"/>
        <w:rPr>
          <w:rFonts w:ascii="Book Antiqua" w:hAnsi="Book Antiqua"/>
          <w:sz w:val="24"/>
          <w:szCs w:val="24"/>
          <w:lang w:val="en-US" w:eastAsia="ru-RU"/>
        </w:rPr>
      </w:pPr>
    </w:p>
    <w:p w:rsidR="006E094B" w:rsidRPr="00564DBC" w:rsidRDefault="006E094B" w:rsidP="00564DBC">
      <w:pPr>
        <w:widowControl w:val="0"/>
        <w:spacing w:after="0" w:line="360" w:lineRule="auto"/>
        <w:jc w:val="both"/>
        <w:rPr>
          <w:rFonts w:ascii="Book Antiqua" w:hAnsi="Book Antiqua"/>
          <w:sz w:val="24"/>
          <w:szCs w:val="24"/>
          <w:lang w:val="en-US" w:eastAsia="ru-RU"/>
        </w:rPr>
      </w:pPr>
    </w:p>
    <w:p w:rsidR="006E094B" w:rsidRPr="00564DBC" w:rsidRDefault="006E094B" w:rsidP="00564DBC">
      <w:pPr>
        <w:widowControl w:val="0"/>
        <w:spacing w:after="0" w:line="360" w:lineRule="auto"/>
        <w:jc w:val="both"/>
        <w:rPr>
          <w:rFonts w:ascii="Book Antiqua" w:hAnsi="Book Antiqua"/>
          <w:sz w:val="24"/>
          <w:szCs w:val="24"/>
          <w:lang w:val="en-US" w:eastAsia="ru-RU"/>
        </w:rPr>
      </w:pPr>
    </w:p>
    <w:p w:rsidR="006E094B" w:rsidRPr="00564DBC" w:rsidRDefault="006E094B" w:rsidP="00564DBC">
      <w:pPr>
        <w:widowControl w:val="0"/>
        <w:tabs>
          <w:tab w:val="left" w:pos="9214"/>
        </w:tabs>
        <w:spacing w:after="0" w:line="360" w:lineRule="auto"/>
        <w:jc w:val="both"/>
        <w:rPr>
          <w:rFonts w:ascii="Book Antiqua" w:hAnsi="Book Antiqua"/>
          <w:sz w:val="24"/>
          <w:szCs w:val="24"/>
          <w:lang w:val="en-US" w:eastAsia="ru-RU"/>
        </w:rPr>
      </w:pPr>
      <w:r w:rsidRPr="00564DBC">
        <w:rPr>
          <w:rFonts w:ascii="Book Antiqua" w:hAnsi="Book Antiqua"/>
          <w:b/>
          <w:sz w:val="24"/>
          <w:szCs w:val="24"/>
          <w:lang w:val="en-US" w:eastAsia="ru-RU"/>
        </w:rPr>
        <w:t>Figure 1 Case 1.</w:t>
      </w:r>
      <w:r w:rsidRPr="00564DBC">
        <w:rPr>
          <w:rFonts w:ascii="Book Antiqua" w:hAnsi="Book Antiqua"/>
          <w:sz w:val="24"/>
          <w:szCs w:val="24"/>
          <w:lang w:val="en-US" w:eastAsia="ru-RU"/>
        </w:rPr>
        <w:t xml:space="preserve"> A: Before treatment, showing multiple confluent pathological foci of hypermetabolic activity in subcutaneous fat (the largest are indicated by arrows on the whole-body image) and pathological foci in the breasts (in transverse sections); B: After 6 cycles of the CHOP regimen, showing no changes in the follow-up examinations, with conservation of previously defined lesions and development of new ones in the subcutaneous tissue (indicated by arrows on the whole-body image) and pathological focus of hypermetabolic activity which had developed in the mesentery of the descending colon (indicated by circles, on the whole-body image as well); C: After 6 cycles of the GEM-P chemotherapy regimen, showing marked improvement, as indicated by resorption of all previously defined foci. CHOP: Cyclophosphamide, </w:t>
      </w:r>
      <w:proofErr w:type="spellStart"/>
      <w:r w:rsidRPr="00564DBC">
        <w:rPr>
          <w:rFonts w:ascii="Book Antiqua" w:hAnsi="Book Antiqua"/>
          <w:sz w:val="24"/>
          <w:szCs w:val="24"/>
          <w:lang w:val="en-US" w:eastAsia="ru-RU"/>
        </w:rPr>
        <w:t>doxorubicine</w:t>
      </w:r>
      <w:proofErr w:type="spellEnd"/>
      <w:r w:rsidRPr="00564DBC">
        <w:rPr>
          <w:rFonts w:ascii="Book Antiqua" w:hAnsi="Book Antiqua"/>
          <w:sz w:val="24"/>
          <w:szCs w:val="24"/>
          <w:lang w:val="en-US" w:eastAsia="ru-RU"/>
        </w:rPr>
        <w:t xml:space="preserve">, vincristine and prednisolone; GEM-P: </w:t>
      </w:r>
      <w:r w:rsidRPr="00564DBC">
        <w:rPr>
          <w:rFonts w:ascii="Book Antiqua" w:hAnsi="Book Antiqua"/>
          <w:sz w:val="24"/>
          <w:szCs w:val="24"/>
          <w:lang w:val="en-US"/>
        </w:rPr>
        <w:t>Gemcitabine, cisplatin and methylprednisolone.</w:t>
      </w:r>
    </w:p>
    <w:p w:rsidR="007D7F60" w:rsidRPr="00564DBC" w:rsidRDefault="007D7F60" w:rsidP="00564DBC">
      <w:pPr>
        <w:widowControl w:val="0"/>
        <w:spacing w:after="0" w:line="360" w:lineRule="auto"/>
        <w:jc w:val="both"/>
        <w:rPr>
          <w:rFonts w:ascii="Book Antiqua" w:hAnsi="Book Antiqua"/>
          <w:sz w:val="24"/>
          <w:szCs w:val="24"/>
          <w:lang w:val="en-US" w:eastAsia="ru-RU"/>
        </w:rPr>
      </w:pPr>
      <w:r w:rsidRPr="00564DBC">
        <w:rPr>
          <w:rFonts w:ascii="Book Antiqua" w:hAnsi="Book Antiqua"/>
          <w:sz w:val="24"/>
          <w:szCs w:val="24"/>
          <w:lang w:val="en-US" w:eastAsia="ru-RU"/>
        </w:rPr>
        <w:br w:type="page"/>
      </w:r>
    </w:p>
    <w:p w:rsidR="006E094B" w:rsidRPr="00564DBC" w:rsidRDefault="006E094B" w:rsidP="00564DBC">
      <w:pPr>
        <w:widowControl w:val="0"/>
        <w:spacing w:after="0" w:line="360" w:lineRule="auto"/>
        <w:jc w:val="both"/>
        <w:rPr>
          <w:rFonts w:ascii="Book Antiqua" w:hAnsi="Book Antiqua"/>
          <w:sz w:val="24"/>
          <w:szCs w:val="24"/>
          <w:lang w:val="en-US" w:eastAsia="ru-RU"/>
        </w:rPr>
      </w:pPr>
    </w:p>
    <w:p w:rsidR="006E094B" w:rsidRPr="00564DBC" w:rsidRDefault="006E094B" w:rsidP="00564DBC">
      <w:pPr>
        <w:widowControl w:val="0"/>
        <w:spacing w:after="0" w:line="360" w:lineRule="auto"/>
        <w:jc w:val="both"/>
        <w:rPr>
          <w:rFonts w:ascii="Book Antiqua" w:hAnsi="Book Antiqua"/>
          <w:sz w:val="24"/>
          <w:szCs w:val="24"/>
          <w:lang w:val="en-US" w:eastAsia="ru-RU"/>
        </w:rPr>
      </w:pPr>
    </w:p>
    <w:p w:rsidR="006E094B" w:rsidRPr="00564DBC" w:rsidRDefault="006E094B" w:rsidP="00564DBC">
      <w:pPr>
        <w:widowControl w:val="0"/>
        <w:spacing w:after="0" w:line="360" w:lineRule="auto"/>
        <w:jc w:val="both"/>
        <w:rPr>
          <w:rFonts w:ascii="Book Antiqua" w:hAnsi="Book Antiqua"/>
          <w:sz w:val="24"/>
          <w:szCs w:val="24"/>
          <w:lang w:val="en-US" w:eastAsia="ru-RU"/>
        </w:rPr>
      </w:pPr>
      <w:r w:rsidRPr="00564DBC">
        <w:rPr>
          <w:rFonts w:ascii="Book Antiqua" w:hAnsi="Book Antiqua"/>
          <w:noProof/>
          <w:sz w:val="24"/>
          <w:szCs w:val="24"/>
          <w:lang w:val="en-US"/>
        </w:rPr>
        <w:drawing>
          <wp:anchor distT="0" distB="0" distL="114300" distR="114300" simplePos="0" relativeHeight="251660288" behindDoc="0" locked="0" layoutInCell="1" allowOverlap="1" wp14:anchorId="33D42599" wp14:editId="6CB31B7F">
            <wp:simplePos x="0" y="0"/>
            <wp:positionH relativeFrom="column">
              <wp:posOffset>750570</wp:posOffset>
            </wp:positionH>
            <wp:positionV relativeFrom="paragraph">
              <wp:posOffset>-368300</wp:posOffset>
            </wp:positionV>
            <wp:extent cx="6565900" cy="3060700"/>
            <wp:effectExtent l="0" t="0" r="6350" b="6350"/>
            <wp:wrapNone/>
            <wp:docPr id="2" name="图片 2" descr="Figu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igura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5900" cy="306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94B" w:rsidRPr="00564DBC" w:rsidRDefault="006E094B" w:rsidP="00564DBC">
      <w:pPr>
        <w:widowControl w:val="0"/>
        <w:spacing w:after="0" w:line="360" w:lineRule="auto"/>
        <w:jc w:val="both"/>
        <w:rPr>
          <w:rFonts w:ascii="Book Antiqua" w:hAnsi="Book Antiqua"/>
          <w:sz w:val="24"/>
          <w:szCs w:val="24"/>
          <w:lang w:val="en-US" w:eastAsia="ru-RU"/>
        </w:rPr>
      </w:pPr>
    </w:p>
    <w:p w:rsidR="006E094B" w:rsidRPr="00564DBC" w:rsidRDefault="006E094B" w:rsidP="00564DBC">
      <w:pPr>
        <w:widowControl w:val="0"/>
        <w:spacing w:after="0" w:line="360" w:lineRule="auto"/>
        <w:jc w:val="both"/>
        <w:rPr>
          <w:rFonts w:ascii="Book Antiqua" w:hAnsi="Book Antiqua"/>
          <w:sz w:val="24"/>
          <w:szCs w:val="24"/>
          <w:lang w:val="en-US" w:eastAsia="ru-RU"/>
        </w:rPr>
      </w:pPr>
    </w:p>
    <w:p w:rsidR="006E094B" w:rsidRPr="00564DBC" w:rsidRDefault="006E094B" w:rsidP="00564DBC">
      <w:pPr>
        <w:widowControl w:val="0"/>
        <w:spacing w:after="0" w:line="360" w:lineRule="auto"/>
        <w:jc w:val="both"/>
        <w:rPr>
          <w:rFonts w:ascii="Book Antiqua" w:hAnsi="Book Antiqua"/>
          <w:sz w:val="24"/>
          <w:szCs w:val="24"/>
          <w:lang w:val="en-US" w:eastAsia="ru-RU"/>
        </w:rPr>
      </w:pPr>
    </w:p>
    <w:p w:rsidR="006E094B" w:rsidRPr="00564DBC" w:rsidRDefault="006E094B" w:rsidP="00564DBC">
      <w:pPr>
        <w:widowControl w:val="0"/>
        <w:spacing w:after="0" w:line="360" w:lineRule="auto"/>
        <w:jc w:val="both"/>
        <w:rPr>
          <w:rFonts w:ascii="Book Antiqua" w:hAnsi="Book Antiqua"/>
          <w:sz w:val="24"/>
          <w:szCs w:val="24"/>
          <w:lang w:val="en-US" w:eastAsia="ru-RU"/>
        </w:rPr>
      </w:pPr>
    </w:p>
    <w:p w:rsidR="006E094B" w:rsidRPr="00564DBC" w:rsidRDefault="006E094B" w:rsidP="00564DBC">
      <w:pPr>
        <w:widowControl w:val="0"/>
        <w:spacing w:after="0" w:line="360" w:lineRule="auto"/>
        <w:jc w:val="both"/>
        <w:rPr>
          <w:rFonts w:ascii="Book Antiqua" w:hAnsi="Book Antiqua"/>
          <w:sz w:val="24"/>
          <w:szCs w:val="24"/>
          <w:lang w:val="en-US" w:eastAsia="ru-RU"/>
        </w:rPr>
      </w:pPr>
    </w:p>
    <w:p w:rsidR="006E094B" w:rsidRPr="00564DBC" w:rsidRDefault="006E094B" w:rsidP="00564DBC">
      <w:pPr>
        <w:widowControl w:val="0"/>
        <w:spacing w:after="0" w:line="360" w:lineRule="auto"/>
        <w:jc w:val="both"/>
        <w:rPr>
          <w:rFonts w:ascii="Book Antiqua" w:hAnsi="Book Antiqua"/>
          <w:sz w:val="24"/>
          <w:szCs w:val="24"/>
          <w:lang w:val="en-US" w:eastAsia="ru-RU"/>
        </w:rPr>
      </w:pPr>
    </w:p>
    <w:p w:rsidR="006E094B" w:rsidRPr="00564DBC" w:rsidRDefault="006E094B" w:rsidP="00564DBC">
      <w:pPr>
        <w:widowControl w:val="0"/>
        <w:spacing w:after="0" w:line="360" w:lineRule="auto"/>
        <w:jc w:val="both"/>
        <w:rPr>
          <w:rFonts w:ascii="Book Antiqua" w:hAnsi="Book Antiqua"/>
          <w:sz w:val="24"/>
          <w:szCs w:val="24"/>
          <w:lang w:val="en-US" w:eastAsia="ru-RU"/>
        </w:rPr>
      </w:pPr>
    </w:p>
    <w:p w:rsidR="006E094B" w:rsidRPr="00564DBC" w:rsidRDefault="006E094B" w:rsidP="00564DBC">
      <w:pPr>
        <w:widowControl w:val="0"/>
        <w:spacing w:after="0" w:line="360" w:lineRule="auto"/>
        <w:jc w:val="both"/>
        <w:rPr>
          <w:rFonts w:ascii="Book Antiqua" w:hAnsi="Book Antiqua"/>
          <w:sz w:val="24"/>
          <w:szCs w:val="24"/>
          <w:lang w:val="en-US" w:eastAsia="ru-RU"/>
        </w:rPr>
      </w:pPr>
    </w:p>
    <w:p w:rsidR="006E094B" w:rsidRPr="00564DBC" w:rsidRDefault="006E094B" w:rsidP="00564DBC">
      <w:pPr>
        <w:widowControl w:val="0"/>
        <w:spacing w:after="0" w:line="360" w:lineRule="auto"/>
        <w:jc w:val="both"/>
        <w:rPr>
          <w:rFonts w:ascii="Book Antiqua" w:hAnsi="Book Antiqua"/>
          <w:sz w:val="24"/>
          <w:szCs w:val="24"/>
          <w:lang w:val="en-US" w:eastAsia="ru-RU"/>
        </w:rPr>
      </w:pPr>
    </w:p>
    <w:p w:rsidR="006E094B" w:rsidRPr="00564DBC" w:rsidRDefault="006E094B" w:rsidP="00564DBC">
      <w:pPr>
        <w:widowControl w:val="0"/>
        <w:spacing w:after="0" w:line="360" w:lineRule="auto"/>
        <w:jc w:val="both"/>
        <w:rPr>
          <w:rFonts w:ascii="Book Antiqua" w:hAnsi="Book Antiqua"/>
          <w:sz w:val="24"/>
          <w:szCs w:val="24"/>
          <w:lang w:val="en-US" w:eastAsia="ru-RU"/>
        </w:rPr>
      </w:pPr>
    </w:p>
    <w:p w:rsidR="006E094B" w:rsidRPr="00564DBC" w:rsidRDefault="006E094B" w:rsidP="00564DBC">
      <w:pPr>
        <w:widowControl w:val="0"/>
        <w:spacing w:after="0" w:line="360" w:lineRule="auto"/>
        <w:jc w:val="both"/>
        <w:rPr>
          <w:rFonts w:ascii="Book Antiqua" w:hAnsi="Book Antiqua"/>
          <w:sz w:val="24"/>
          <w:szCs w:val="24"/>
          <w:lang w:val="en-US" w:eastAsia="ru-RU"/>
        </w:rPr>
      </w:pPr>
      <w:r w:rsidRPr="00564DBC">
        <w:rPr>
          <w:rFonts w:ascii="Book Antiqua" w:hAnsi="Book Antiqua"/>
          <w:b/>
          <w:sz w:val="24"/>
          <w:szCs w:val="24"/>
          <w:lang w:val="en-US" w:eastAsia="ru-RU"/>
        </w:rPr>
        <w:t>Figure 2 Case 2.</w:t>
      </w:r>
      <w:r w:rsidRPr="00564DBC">
        <w:rPr>
          <w:rFonts w:ascii="Book Antiqua" w:hAnsi="Book Antiqua"/>
          <w:sz w:val="24"/>
          <w:szCs w:val="24"/>
          <w:lang w:val="en-US" w:eastAsia="ru-RU"/>
        </w:rPr>
        <w:t xml:space="preserve"> A: Before treatment, showing multiple separate and confluent pathological foci of fluorine-18 </w:t>
      </w:r>
      <w:proofErr w:type="spellStart"/>
      <w:r w:rsidRPr="00564DBC">
        <w:rPr>
          <w:rFonts w:ascii="Book Antiqua" w:hAnsi="Book Antiqua"/>
          <w:sz w:val="24"/>
          <w:szCs w:val="24"/>
          <w:lang w:val="en-US" w:eastAsia="ru-RU"/>
        </w:rPr>
        <w:t>fluorodeoxyglucose</w:t>
      </w:r>
      <w:proofErr w:type="spellEnd"/>
      <w:r w:rsidRPr="00564DBC">
        <w:rPr>
          <w:rFonts w:ascii="Book Antiqua" w:hAnsi="Book Antiqua"/>
          <w:sz w:val="24"/>
          <w:szCs w:val="24"/>
          <w:lang w:val="en-US" w:eastAsia="ru-RU"/>
        </w:rPr>
        <w:t xml:space="preserve"> uptake in local dense areas of subcutaneous fat (the largest are indicated by arrows on the whole-body image); B: After 7 cycles of the GEM-P chemotherapy regimen, showing preservation of metabolically inactive areas of consolidation of subcutaneous fat. GEM-P: </w:t>
      </w:r>
      <w:r w:rsidRPr="00564DBC">
        <w:rPr>
          <w:rFonts w:ascii="Book Antiqua" w:hAnsi="Book Antiqua"/>
          <w:sz w:val="24"/>
          <w:szCs w:val="24"/>
          <w:lang w:val="en-US"/>
        </w:rPr>
        <w:t>Gemcitabine, cisplatin and methylprednisolone.</w:t>
      </w:r>
    </w:p>
    <w:p w:rsidR="007D7F60" w:rsidRPr="00564DBC" w:rsidRDefault="007D7F60" w:rsidP="00564DBC">
      <w:pPr>
        <w:widowControl w:val="0"/>
        <w:spacing w:after="0" w:line="360" w:lineRule="auto"/>
        <w:jc w:val="both"/>
        <w:rPr>
          <w:rFonts w:ascii="Book Antiqua" w:hAnsi="Book Antiqua"/>
          <w:sz w:val="24"/>
          <w:szCs w:val="24"/>
          <w:lang w:val="en-US" w:eastAsia="ru-RU"/>
        </w:rPr>
      </w:pPr>
      <w:r w:rsidRPr="00564DBC">
        <w:rPr>
          <w:rFonts w:ascii="Book Antiqua" w:hAnsi="Book Antiqua"/>
          <w:sz w:val="24"/>
          <w:szCs w:val="24"/>
          <w:lang w:val="en-US" w:eastAsia="ru-RU"/>
        </w:rPr>
        <w:br w:type="page"/>
      </w:r>
    </w:p>
    <w:p w:rsidR="006E094B" w:rsidRPr="00564DBC" w:rsidRDefault="006E094B" w:rsidP="00564DBC">
      <w:pPr>
        <w:widowControl w:val="0"/>
        <w:spacing w:after="0" w:line="360" w:lineRule="auto"/>
        <w:jc w:val="both"/>
        <w:rPr>
          <w:rFonts w:ascii="Book Antiqua" w:hAnsi="Book Antiqua"/>
          <w:sz w:val="24"/>
          <w:szCs w:val="24"/>
          <w:lang w:val="en-US" w:eastAsia="ru-RU"/>
        </w:rPr>
      </w:pPr>
    </w:p>
    <w:p w:rsidR="006E094B" w:rsidRPr="00564DBC" w:rsidRDefault="006E094B" w:rsidP="00564DBC">
      <w:pPr>
        <w:widowControl w:val="0"/>
        <w:spacing w:after="0" w:line="360" w:lineRule="auto"/>
        <w:jc w:val="both"/>
        <w:rPr>
          <w:rFonts w:ascii="Book Antiqua" w:hAnsi="Book Antiqua"/>
          <w:sz w:val="24"/>
          <w:szCs w:val="24"/>
          <w:lang w:val="en-US" w:eastAsia="ru-RU"/>
        </w:rPr>
      </w:pPr>
      <w:r w:rsidRPr="00564DBC">
        <w:rPr>
          <w:rFonts w:ascii="Book Antiqua" w:hAnsi="Book Antiqua"/>
          <w:noProof/>
          <w:sz w:val="24"/>
          <w:szCs w:val="24"/>
          <w:lang w:val="en-US"/>
        </w:rPr>
        <w:drawing>
          <wp:anchor distT="0" distB="0" distL="114300" distR="114300" simplePos="0" relativeHeight="251661312" behindDoc="0" locked="0" layoutInCell="1" allowOverlap="1" wp14:anchorId="4383E02A" wp14:editId="353B77FC">
            <wp:simplePos x="0" y="0"/>
            <wp:positionH relativeFrom="column">
              <wp:posOffset>712470</wp:posOffset>
            </wp:positionH>
            <wp:positionV relativeFrom="paragraph">
              <wp:posOffset>0</wp:posOffset>
            </wp:positionV>
            <wp:extent cx="6642100" cy="1841500"/>
            <wp:effectExtent l="0" t="0" r="6350" b="6350"/>
            <wp:wrapNone/>
            <wp:docPr id="1" name="图片 1"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Figura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2100" cy="184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94B" w:rsidRPr="00564DBC" w:rsidRDefault="006E094B" w:rsidP="00564DBC">
      <w:pPr>
        <w:widowControl w:val="0"/>
        <w:spacing w:after="0" w:line="360" w:lineRule="auto"/>
        <w:jc w:val="both"/>
        <w:rPr>
          <w:rFonts w:ascii="Book Antiqua" w:hAnsi="Book Antiqua"/>
          <w:sz w:val="24"/>
          <w:szCs w:val="24"/>
          <w:lang w:val="en-US" w:eastAsia="ru-RU"/>
        </w:rPr>
      </w:pPr>
    </w:p>
    <w:p w:rsidR="006E094B" w:rsidRPr="00564DBC" w:rsidRDefault="006E094B" w:rsidP="00564DBC">
      <w:pPr>
        <w:widowControl w:val="0"/>
        <w:spacing w:after="0" w:line="360" w:lineRule="auto"/>
        <w:jc w:val="both"/>
        <w:rPr>
          <w:rFonts w:ascii="Book Antiqua" w:hAnsi="Book Antiqua"/>
          <w:sz w:val="24"/>
          <w:szCs w:val="24"/>
          <w:lang w:val="en-US" w:eastAsia="ru-RU"/>
        </w:rPr>
      </w:pPr>
    </w:p>
    <w:p w:rsidR="006E094B" w:rsidRPr="00564DBC" w:rsidRDefault="006E094B" w:rsidP="00564DBC">
      <w:pPr>
        <w:widowControl w:val="0"/>
        <w:spacing w:after="0" w:line="360" w:lineRule="auto"/>
        <w:jc w:val="both"/>
        <w:rPr>
          <w:rFonts w:ascii="Book Antiqua" w:hAnsi="Book Antiqua"/>
          <w:sz w:val="24"/>
          <w:szCs w:val="24"/>
          <w:lang w:val="en-US" w:eastAsia="ru-RU"/>
        </w:rPr>
      </w:pPr>
    </w:p>
    <w:p w:rsidR="006E094B" w:rsidRPr="00564DBC" w:rsidRDefault="006E094B" w:rsidP="00564DBC">
      <w:pPr>
        <w:widowControl w:val="0"/>
        <w:spacing w:after="0" w:line="360" w:lineRule="auto"/>
        <w:jc w:val="both"/>
        <w:rPr>
          <w:rFonts w:ascii="Book Antiqua" w:hAnsi="Book Antiqua"/>
          <w:sz w:val="24"/>
          <w:szCs w:val="24"/>
          <w:lang w:val="en-US" w:eastAsia="ru-RU"/>
        </w:rPr>
      </w:pPr>
    </w:p>
    <w:p w:rsidR="006E094B" w:rsidRPr="00564DBC" w:rsidRDefault="006E094B" w:rsidP="00564DBC">
      <w:pPr>
        <w:widowControl w:val="0"/>
        <w:spacing w:after="0" w:line="360" w:lineRule="auto"/>
        <w:jc w:val="both"/>
        <w:rPr>
          <w:rFonts w:ascii="Book Antiqua" w:hAnsi="Book Antiqua"/>
          <w:sz w:val="24"/>
          <w:szCs w:val="24"/>
          <w:lang w:val="en-US" w:eastAsia="ru-RU"/>
        </w:rPr>
      </w:pPr>
    </w:p>
    <w:p w:rsidR="006E094B" w:rsidRPr="00564DBC" w:rsidRDefault="006E094B" w:rsidP="00564DBC">
      <w:pPr>
        <w:widowControl w:val="0"/>
        <w:spacing w:after="0" w:line="360" w:lineRule="auto"/>
        <w:jc w:val="both"/>
        <w:rPr>
          <w:rFonts w:ascii="Book Antiqua" w:hAnsi="Book Antiqua"/>
          <w:sz w:val="24"/>
          <w:szCs w:val="24"/>
          <w:lang w:val="en-US" w:eastAsia="zh-CN"/>
        </w:rPr>
      </w:pPr>
    </w:p>
    <w:p w:rsidR="006E094B" w:rsidRPr="00564DBC" w:rsidRDefault="006E094B" w:rsidP="00564DBC">
      <w:pPr>
        <w:widowControl w:val="0"/>
        <w:spacing w:after="0" w:line="360" w:lineRule="auto"/>
        <w:jc w:val="both"/>
        <w:rPr>
          <w:rFonts w:ascii="Book Antiqua" w:hAnsi="Book Antiqua"/>
          <w:sz w:val="24"/>
          <w:szCs w:val="24"/>
          <w:lang w:val="en-US" w:eastAsia="ru-RU"/>
        </w:rPr>
      </w:pPr>
      <w:r w:rsidRPr="00564DBC">
        <w:rPr>
          <w:rFonts w:ascii="Book Antiqua" w:hAnsi="Book Antiqua"/>
          <w:b/>
          <w:sz w:val="24"/>
          <w:szCs w:val="24"/>
          <w:lang w:val="en-US" w:eastAsia="ru-RU"/>
        </w:rPr>
        <w:t>Figure 3 Case 3.</w:t>
      </w:r>
      <w:r w:rsidRPr="00564DBC">
        <w:rPr>
          <w:rFonts w:ascii="Book Antiqua" w:hAnsi="Book Antiqua"/>
          <w:sz w:val="24"/>
          <w:szCs w:val="24"/>
          <w:lang w:val="en-US" w:eastAsia="ru-RU"/>
        </w:rPr>
        <w:t xml:space="preserve"> A: Before treatment, showing multiple pathological foci of hypermetabolic activity in local dense areas of subcutaneous fat (the largest are indicated by arrows, on the whole-body image as well) and pathological foci of fluorine-18 </w:t>
      </w:r>
      <w:proofErr w:type="spellStart"/>
      <w:r w:rsidRPr="00564DBC">
        <w:rPr>
          <w:rFonts w:ascii="Book Antiqua" w:hAnsi="Book Antiqua"/>
          <w:sz w:val="24"/>
          <w:szCs w:val="24"/>
          <w:lang w:val="en-US" w:eastAsia="ru-RU"/>
        </w:rPr>
        <w:t>fluorodeoxyglucose</w:t>
      </w:r>
      <w:proofErr w:type="spellEnd"/>
      <w:r w:rsidRPr="00564DBC">
        <w:rPr>
          <w:rFonts w:ascii="Book Antiqua" w:hAnsi="Book Antiqua"/>
          <w:sz w:val="24"/>
          <w:szCs w:val="24"/>
          <w:lang w:val="en-US" w:eastAsia="ru-RU"/>
        </w:rPr>
        <w:t xml:space="preserve"> uptake in the </w:t>
      </w:r>
      <w:proofErr w:type="spellStart"/>
      <w:r w:rsidRPr="00564DBC">
        <w:rPr>
          <w:rFonts w:ascii="Book Antiqua" w:hAnsi="Book Antiqua"/>
          <w:sz w:val="24"/>
          <w:szCs w:val="24"/>
          <w:lang w:val="en-US" w:eastAsia="ru-RU"/>
        </w:rPr>
        <w:t>epiploon</w:t>
      </w:r>
      <w:proofErr w:type="spellEnd"/>
      <w:r w:rsidRPr="00564DBC">
        <w:rPr>
          <w:rFonts w:ascii="Book Antiqua" w:hAnsi="Book Antiqua"/>
          <w:sz w:val="24"/>
          <w:szCs w:val="24"/>
          <w:lang w:val="en-US" w:eastAsia="ru-RU"/>
        </w:rPr>
        <w:t xml:space="preserve"> in the left </w:t>
      </w:r>
      <w:proofErr w:type="spellStart"/>
      <w:r w:rsidRPr="00564DBC">
        <w:rPr>
          <w:rFonts w:ascii="Book Antiqua" w:hAnsi="Book Antiqua"/>
          <w:sz w:val="24"/>
          <w:szCs w:val="24"/>
          <w:lang w:val="en-US" w:eastAsia="ru-RU"/>
        </w:rPr>
        <w:t>mesogastric</w:t>
      </w:r>
      <w:proofErr w:type="spellEnd"/>
      <w:r w:rsidRPr="00564DBC">
        <w:rPr>
          <w:rFonts w:ascii="Book Antiqua" w:hAnsi="Book Antiqua"/>
          <w:sz w:val="24"/>
          <w:szCs w:val="24"/>
          <w:lang w:val="en-US" w:eastAsia="ru-RU"/>
        </w:rPr>
        <w:t xml:space="preserve"> area (indicated by circles, on the whole-body image as well); B: After 3 cycles of FCM, showing resorption of all previously defined foci (including those in the greater </w:t>
      </w:r>
      <w:proofErr w:type="spellStart"/>
      <w:r w:rsidRPr="00564DBC">
        <w:rPr>
          <w:rFonts w:ascii="Book Antiqua" w:hAnsi="Book Antiqua"/>
          <w:sz w:val="24"/>
          <w:szCs w:val="24"/>
          <w:lang w:val="en-US" w:eastAsia="ru-RU"/>
        </w:rPr>
        <w:t>omentum</w:t>
      </w:r>
      <w:proofErr w:type="spellEnd"/>
      <w:r w:rsidRPr="00564DBC">
        <w:rPr>
          <w:rFonts w:ascii="Book Antiqua" w:hAnsi="Book Antiqua"/>
          <w:sz w:val="24"/>
          <w:szCs w:val="24"/>
          <w:lang w:val="en-US" w:eastAsia="ru-RU"/>
        </w:rPr>
        <w:t xml:space="preserve">) but development of new ones in the subcutaneous tissue; C: After 3 cycles of GEM-P, showing marked improvement that was indicated by resorption of all previously defined foci. </w:t>
      </w:r>
      <w:r w:rsidRPr="00564DBC">
        <w:rPr>
          <w:rFonts w:ascii="Book Antiqua" w:hAnsi="Book Antiqua"/>
          <w:sz w:val="24"/>
          <w:szCs w:val="24"/>
          <w:lang w:val="en-US"/>
        </w:rPr>
        <w:t xml:space="preserve">FCM: </w:t>
      </w:r>
      <w:proofErr w:type="spellStart"/>
      <w:r w:rsidRPr="00564DBC">
        <w:rPr>
          <w:rFonts w:ascii="Book Antiqua" w:hAnsi="Book Antiqua"/>
          <w:sz w:val="24"/>
          <w:szCs w:val="24"/>
          <w:lang w:val="en-US" w:eastAsia="ru-RU"/>
        </w:rPr>
        <w:t>Fludarabine</w:t>
      </w:r>
      <w:proofErr w:type="spellEnd"/>
      <w:r w:rsidRPr="00564DBC">
        <w:rPr>
          <w:rFonts w:ascii="Book Antiqua" w:hAnsi="Book Antiqua"/>
          <w:sz w:val="24"/>
          <w:szCs w:val="24"/>
          <w:lang w:val="en-US" w:eastAsia="ru-RU"/>
        </w:rPr>
        <w:t xml:space="preserve">, </w:t>
      </w:r>
      <w:proofErr w:type="spellStart"/>
      <w:r w:rsidRPr="00564DBC">
        <w:rPr>
          <w:rFonts w:ascii="Book Antiqua" w:hAnsi="Book Antiqua"/>
          <w:sz w:val="24"/>
          <w:szCs w:val="24"/>
          <w:lang w:val="en-US" w:eastAsia="ru-RU"/>
        </w:rPr>
        <w:t>mitoxantrone</w:t>
      </w:r>
      <w:proofErr w:type="spellEnd"/>
      <w:r w:rsidRPr="00564DBC">
        <w:rPr>
          <w:rFonts w:ascii="Book Antiqua" w:hAnsi="Book Antiqua"/>
          <w:sz w:val="24"/>
          <w:szCs w:val="24"/>
          <w:lang w:val="en-US" w:eastAsia="ru-RU"/>
        </w:rPr>
        <w:t xml:space="preserve"> and cyclophosphamide; GEM-P: </w:t>
      </w:r>
      <w:r w:rsidRPr="00564DBC">
        <w:rPr>
          <w:rFonts w:ascii="Book Antiqua" w:hAnsi="Book Antiqua"/>
          <w:sz w:val="24"/>
          <w:szCs w:val="24"/>
          <w:lang w:val="en-US"/>
        </w:rPr>
        <w:t>Gemcitabine, cisplatin and methylprednisolone</w:t>
      </w:r>
      <w:r w:rsidRPr="00564DBC">
        <w:rPr>
          <w:rFonts w:ascii="Book Antiqua" w:hAnsi="Book Antiqua"/>
          <w:sz w:val="24"/>
          <w:szCs w:val="24"/>
          <w:lang w:val="en-US" w:eastAsia="ru-RU"/>
        </w:rPr>
        <w:t>.</w:t>
      </w:r>
    </w:p>
    <w:p w:rsidR="006E094B" w:rsidRPr="00564DBC" w:rsidRDefault="006E094B" w:rsidP="00564DBC">
      <w:pPr>
        <w:widowControl w:val="0"/>
        <w:spacing w:after="0" w:line="360" w:lineRule="auto"/>
        <w:jc w:val="both"/>
        <w:rPr>
          <w:rFonts w:ascii="Book Antiqua" w:hAnsi="Book Antiqua"/>
          <w:b/>
          <w:sz w:val="24"/>
          <w:szCs w:val="24"/>
          <w:lang w:val="en-US"/>
        </w:rPr>
      </w:pPr>
      <w:r w:rsidRPr="00564DBC">
        <w:rPr>
          <w:rFonts w:ascii="Book Antiqua" w:hAnsi="Book Antiqua"/>
          <w:sz w:val="24"/>
          <w:szCs w:val="24"/>
          <w:lang w:val="en-US" w:eastAsia="ru-RU"/>
        </w:rPr>
        <w:br w:type="page"/>
      </w:r>
      <w:r w:rsidRPr="00564DBC">
        <w:rPr>
          <w:rFonts w:ascii="Book Antiqua" w:hAnsi="Book Antiqua"/>
          <w:b/>
          <w:sz w:val="24"/>
          <w:szCs w:val="24"/>
          <w:lang w:val="en-US" w:eastAsia="ru-RU"/>
        </w:rPr>
        <w:lastRenderedPageBreak/>
        <w:t>Table 1 Clinical features of the 3 cases of subcutaneous panniculitis like T cell lymphoma</w:t>
      </w:r>
    </w:p>
    <w:tbl>
      <w:tblPr>
        <w:tblW w:w="13590" w:type="dxa"/>
        <w:tblInd w:w="-612" w:type="dxa"/>
        <w:tblBorders>
          <w:top w:val="single" w:sz="4" w:space="0" w:color="auto"/>
          <w:bottom w:val="single" w:sz="4" w:space="0" w:color="auto"/>
        </w:tblBorders>
        <w:tblLayout w:type="fixed"/>
        <w:tblLook w:val="04A0" w:firstRow="1" w:lastRow="0" w:firstColumn="1" w:lastColumn="0" w:noHBand="0" w:noVBand="1"/>
      </w:tblPr>
      <w:tblGrid>
        <w:gridCol w:w="720"/>
        <w:gridCol w:w="1530"/>
        <w:gridCol w:w="2808"/>
        <w:gridCol w:w="1559"/>
        <w:gridCol w:w="1276"/>
        <w:gridCol w:w="1134"/>
        <w:gridCol w:w="709"/>
        <w:gridCol w:w="2126"/>
        <w:gridCol w:w="1728"/>
      </w:tblGrid>
      <w:tr w:rsidR="00564DBC" w:rsidRPr="00564DBC" w:rsidTr="007D7F60">
        <w:tc>
          <w:tcPr>
            <w:tcW w:w="720" w:type="dxa"/>
            <w:tcBorders>
              <w:top w:val="single" w:sz="4" w:space="0" w:color="auto"/>
              <w:left w:val="single" w:sz="4" w:space="0" w:color="auto"/>
              <w:bottom w:val="single" w:sz="4" w:space="0" w:color="auto"/>
              <w:right w:val="single" w:sz="4" w:space="0" w:color="auto"/>
            </w:tcBorders>
          </w:tcPr>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bCs/>
                <w:sz w:val="24"/>
                <w:szCs w:val="24"/>
                <w:lang w:val="en-US"/>
              </w:rPr>
              <w:t>Case</w:t>
            </w:r>
          </w:p>
        </w:tc>
        <w:tc>
          <w:tcPr>
            <w:tcW w:w="1530" w:type="dxa"/>
            <w:tcBorders>
              <w:top w:val="single" w:sz="4" w:space="0" w:color="auto"/>
              <w:left w:val="single" w:sz="4" w:space="0" w:color="auto"/>
              <w:bottom w:val="single" w:sz="4" w:space="0" w:color="auto"/>
              <w:right w:val="single" w:sz="4" w:space="0" w:color="auto"/>
            </w:tcBorders>
          </w:tcPr>
          <w:p w:rsidR="006E094B" w:rsidRPr="00564DBC" w:rsidRDefault="006E094B" w:rsidP="00564DBC">
            <w:pPr>
              <w:widowControl w:val="0"/>
              <w:autoSpaceDE w:val="0"/>
              <w:autoSpaceDN w:val="0"/>
              <w:adjustRightInd w:val="0"/>
              <w:spacing w:after="0" w:line="360" w:lineRule="auto"/>
              <w:jc w:val="both"/>
              <w:rPr>
                <w:rFonts w:ascii="Book Antiqua" w:eastAsia="Times New Roman" w:hAnsi="Book Antiqua"/>
                <w:bCs/>
                <w:sz w:val="24"/>
                <w:szCs w:val="24"/>
                <w:lang w:val="en-US" w:eastAsia="ru-RU" w:bidi="hi-IN"/>
              </w:rPr>
            </w:pPr>
            <w:r w:rsidRPr="00564DBC">
              <w:rPr>
                <w:rFonts w:ascii="Book Antiqua" w:hAnsi="Book Antiqua"/>
                <w:bCs/>
                <w:sz w:val="24"/>
                <w:szCs w:val="24"/>
                <w:lang w:val="en-US" w:eastAsia="ru-RU"/>
              </w:rPr>
              <w:t>Age in years/</w:t>
            </w:r>
          </w:p>
          <w:p w:rsidR="006E094B" w:rsidRPr="00564DBC" w:rsidRDefault="007D7F60" w:rsidP="00564DBC">
            <w:pPr>
              <w:widowControl w:val="0"/>
              <w:autoSpaceDE w:val="0"/>
              <w:autoSpaceDN w:val="0"/>
              <w:adjustRightInd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rPr>
              <w:t>s</w:t>
            </w:r>
            <w:r w:rsidR="006E094B" w:rsidRPr="00564DBC">
              <w:rPr>
                <w:rFonts w:ascii="Book Antiqua" w:hAnsi="Book Antiqua"/>
                <w:sz w:val="24"/>
                <w:szCs w:val="24"/>
                <w:lang w:val="en-US"/>
              </w:rPr>
              <w:t>ex</w:t>
            </w:r>
          </w:p>
        </w:tc>
        <w:tc>
          <w:tcPr>
            <w:tcW w:w="2808" w:type="dxa"/>
            <w:tcBorders>
              <w:top w:val="single" w:sz="4" w:space="0" w:color="auto"/>
              <w:left w:val="single" w:sz="4" w:space="0" w:color="auto"/>
              <w:bottom w:val="single" w:sz="4" w:space="0" w:color="auto"/>
              <w:right w:val="single" w:sz="4" w:space="0" w:color="auto"/>
            </w:tcBorders>
          </w:tcPr>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bCs/>
                <w:sz w:val="24"/>
                <w:szCs w:val="24"/>
                <w:lang w:val="en-US" w:eastAsia="ru-RU"/>
              </w:rPr>
              <w:t>Localization</w:t>
            </w:r>
          </w:p>
        </w:tc>
        <w:tc>
          <w:tcPr>
            <w:tcW w:w="1559" w:type="dxa"/>
            <w:tcBorders>
              <w:top w:val="single" w:sz="4" w:space="0" w:color="auto"/>
              <w:left w:val="single" w:sz="4" w:space="0" w:color="auto"/>
              <w:bottom w:val="single" w:sz="4" w:space="0" w:color="auto"/>
              <w:right w:val="single" w:sz="4" w:space="0" w:color="auto"/>
            </w:tcBorders>
          </w:tcPr>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rPr>
              <w:t>Autoimmune disorders</w:t>
            </w:r>
          </w:p>
        </w:tc>
        <w:tc>
          <w:tcPr>
            <w:tcW w:w="1276" w:type="dxa"/>
            <w:tcBorders>
              <w:top w:val="single" w:sz="4" w:space="0" w:color="auto"/>
              <w:left w:val="single" w:sz="4" w:space="0" w:color="auto"/>
              <w:bottom w:val="single" w:sz="4" w:space="0" w:color="auto"/>
              <w:right w:val="single" w:sz="4" w:space="0" w:color="auto"/>
            </w:tcBorders>
          </w:tcPr>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rPr>
              <w:t>B-symptoms</w:t>
            </w:r>
          </w:p>
        </w:tc>
        <w:tc>
          <w:tcPr>
            <w:tcW w:w="1134" w:type="dxa"/>
            <w:tcBorders>
              <w:top w:val="single" w:sz="4" w:space="0" w:color="auto"/>
              <w:left w:val="single" w:sz="4" w:space="0" w:color="auto"/>
              <w:bottom w:val="single" w:sz="4" w:space="0" w:color="auto"/>
              <w:right w:val="single" w:sz="4" w:space="0" w:color="auto"/>
            </w:tcBorders>
          </w:tcPr>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eastAsia="ru-RU"/>
              </w:rPr>
              <w:t>LDH, IU/mL</w:t>
            </w:r>
            <w:r w:rsidRPr="00564DBC">
              <w:rPr>
                <w:rFonts w:ascii="Book Antiqua" w:hAnsi="Book Antiqua"/>
                <w:sz w:val="24"/>
                <w:szCs w:val="24"/>
                <w:vertAlign w:val="superscript"/>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6E094B" w:rsidRPr="00564DBC" w:rsidRDefault="006E094B" w:rsidP="00564DBC">
            <w:pPr>
              <w:widowControl w:val="0"/>
              <w:spacing w:after="0" w:line="360" w:lineRule="auto"/>
              <w:jc w:val="both"/>
              <w:rPr>
                <w:rFonts w:ascii="Book Antiqua" w:eastAsia="Times New Roman" w:hAnsi="Book Antiqua"/>
                <w:bCs/>
                <w:sz w:val="24"/>
                <w:szCs w:val="24"/>
                <w:lang w:val="en-US" w:eastAsia="ru-RU" w:bidi="hi-IN"/>
              </w:rPr>
            </w:pPr>
            <w:proofErr w:type="spellStart"/>
            <w:r w:rsidRPr="00564DBC">
              <w:rPr>
                <w:rFonts w:ascii="Book Antiqua" w:hAnsi="Book Antiqua"/>
                <w:sz w:val="24"/>
                <w:szCs w:val="24"/>
                <w:lang w:val="en-US"/>
              </w:rPr>
              <w:t>SUVmax</w:t>
            </w:r>
            <w:proofErr w:type="spellEnd"/>
          </w:p>
        </w:tc>
        <w:tc>
          <w:tcPr>
            <w:tcW w:w="2126" w:type="dxa"/>
            <w:tcBorders>
              <w:top w:val="single" w:sz="4" w:space="0" w:color="auto"/>
              <w:left w:val="single" w:sz="4" w:space="0" w:color="auto"/>
              <w:bottom w:val="single" w:sz="4" w:space="0" w:color="auto"/>
              <w:right w:val="single" w:sz="4" w:space="0" w:color="auto"/>
            </w:tcBorders>
          </w:tcPr>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bCs/>
                <w:sz w:val="24"/>
                <w:szCs w:val="24"/>
                <w:lang w:val="en-US" w:eastAsia="ru-RU"/>
              </w:rPr>
              <w:t>Chemotherapy</w:t>
            </w:r>
          </w:p>
        </w:tc>
        <w:tc>
          <w:tcPr>
            <w:tcW w:w="1728" w:type="dxa"/>
            <w:tcBorders>
              <w:top w:val="single" w:sz="4" w:space="0" w:color="auto"/>
              <w:left w:val="single" w:sz="4" w:space="0" w:color="auto"/>
              <w:bottom w:val="single" w:sz="4" w:space="0" w:color="auto"/>
              <w:right w:val="nil"/>
            </w:tcBorders>
          </w:tcPr>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bCs/>
                <w:sz w:val="24"/>
                <w:szCs w:val="24"/>
                <w:lang w:val="en-US" w:eastAsia="ru-RU"/>
              </w:rPr>
              <w:t>Outcome,</w:t>
            </w:r>
            <w:r w:rsidRPr="00564DBC">
              <w:rPr>
                <w:rFonts w:ascii="Book Antiqua" w:hAnsi="Book Antiqua"/>
                <w:sz w:val="24"/>
                <w:szCs w:val="24"/>
                <w:lang w:val="en-US" w:eastAsia="ru-RU"/>
              </w:rPr>
              <w:t xml:space="preserve"> FU in </w:t>
            </w:r>
            <w:proofErr w:type="spellStart"/>
            <w:r w:rsidRPr="00564DBC">
              <w:rPr>
                <w:rFonts w:ascii="Book Antiqua" w:hAnsi="Book Antiqua"/>
                <w:sz w:val="24"/>
                <w:szCs w:val="24"/>
                <w:lang w:val="en-US" w:eastAsia="ru-RU"/>
              </w:rPr>
              <w:t>mo</w:t>
            </w:r>
            <w:proofErr w:type="spellEnd"/>
          </w:p>
        </w:tc>
      </w:tr>
      <w:tr w:rsidR="00564DBC" w:rsidRPr="00564DBC" w:rsidTr="007D7F60">
        <w:tc>
          <w:tcPr>
            <w:tcW w:w="720" w:type="dxa"/>
            <w:tcBorders>
              <w:top w:val="single" w:sz="4" w:space="0" w:color="auto"/>
              <w:left w:val="single" w:sz="4" w:space="0" w:color="auto"/>
              <w:bottom w:val="single" w:sz="4" w:space="0" w:color="auto"/>
              <w:right w:val="single" w:sz="4" w:space="0" w:color="auto"/>
            </w:tcBorders>
          </w:tcPr>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p>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rPr>
              <w:t>1</w:t>
            </w:r>
          </w:p>
        </w:tc>
        <w:tc>
          <w:tcPr>
            <w:tcW w:w="1530" w:type="dxa"/>
            <w:tcBorders>
              <w:top w:val="single" w:sz="4" w:space="0" w:color="auto"/>
              <w:left w:val="single" w:sz="4" w:space="0" w:color="auto"/>
              <w:bottom w:val="single" w:sz="4" w:space="0" w:color="auto"/>
              <w:right w:val="single" w:sz="4" w:space="0" w:color="auto"/>
            </w:tcBorders>
          </w:tcPr>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p>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rPr>
              <w:t>27/F</w:t>
            </w:r>
          </w:p>
        </w:tc>
        <w:tc>
          <w:tcPr>
            <w:tcW w:w="2808" w:type="dxa"/>
            <w:tcBorders>
              <w:top w:val="single" w:sz="4" w:space="0" w:color="auto"/>
              <w:left w:val="single" w:sz="4" w:space="0" w:color="auto"/>
              <w:bottom w:val="single" w:sz="4" w:space="0" w:color="auto"/>
              <w:right w:val="single" w:sz="4" w:space="0" w:color="auto"/>
            </w:tcBorders>
          </w:tcPr>
          <w:p w:rsidR="006E094B" w:rsidRPr="00564DBC" w:rsidRDefault="007D7F60"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rPr>
              <w:t>H</w:t>
            </w:r>
            <w:r w:rsidR="006E094B" w:rsidRPr="00564DBC">
              <w:rPr>
                <w:rFonts w:ascii="Book Antiqua" w:hAnsi="Book Antiqua"/>
                <w:sz w:val="24"/>
                <w:szCs w:val="24"/>
                <w:lang w:val="en-US"/>
              </w:rPr>
              <w:t xml:space="preserve">ead, neck, upper extremities, chest, breasts, </w:t>
            </w:r>
            <w:proofErr w:type="spellStart"/>
            <w:r w:rsidR="006E094B" w:rsidRPr="00564DBC">
              <w:rPr>
                <w:rFonts w:ascii="Book Antiqua" w:hAnsi="Book Antiqua"/>
                <w:sz w:val="24"/>
                <w:szCs w:val="24"/>
                <w:lang w:val="en-US"/>
              </w:rPr>
              <w:t>mesocolon</w:t>
            </w:r>
            <w:proofErr w:type="spellEnd"/>
            <w:r w:rsidR="006E094B" w:rsidRPr="00564DBC">
              <w:rPr>
                <w:rFonts w:ascii="Book Antiqua" w:hAnsi="Book Antiqua"/>
                <w:sz w:val="24"/>
                <w:szCs w:val="24"/>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p>
          <w:p w:rsidR="006E094B" w:rsidRPr="00564DBC" w:rsidRDefault="006E094B" w:rsidP="00564DBC">
            <w:pPr>
              <w:widowControl w:val="0"/>
              <w:spacing w:after="0" w:line="360" w:lineRule="auto"/>
              <w:jc w:val="both"/>
              <w:rPr>
                <w:rFonts w:ascii="Book Antiqua" w:hAnsi="Book Antiqua"/>
                <w:sz w:val="24"/>
                <w:szCs w:val="24"/>
                <w:lang w:val="en-US"/>
              </w:rPr>
            </w:pPr>
            <w:r w:rsidRPr="00564DBC">
              <w:rPr>
                <w:rFonts w:ascii="Book Antiqua" w:hAnsi="Book Antiqua"/>
                <w:sz w:val="24"/>
                <w:szCs w:val="24"/>
                <w:lang w:val="en-US"/>
              </w:rPr>
              <w:t>-</w:t>
            </w:r>
          </w:p>
          <w:p w:rsidR="006E094B" w:rsidRPr="00564DBC" w:rsidRDefault="006E094B" w:rsidP="00564DBC">
            <w:pPr>
              <w:widowControl w:val="0"/>
              <w:spacing w:after="0" w:line="360" w:lineRule="auto"/>
              <w:jc w:val="both"/>
              <w:rPr>
                <w:rFonts w:ascii="Book Antiqua" w:hAnsi="Book Antiqua"/>
                <w:sz w:val="24"/>
                <w:szCs w:val="24"/>
                <w:lang w:val="en-US"/>
              </w:rPr>
            </w:pPr>
          </w:p>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p>
        </w:tc>
        <w:tc>
          <w:tcPr>
            <w:tcW w:w="1276" w:type="dxa"/>
            <w:tcBorders>
              <w:top w:val="single" w:sz="4" w:space="0" w:color="auto"/>
              <w:left w:val="single" w:sz="4" w:space="0" w:color="auto"/>
              <w:bottom w:val="single" w:sz="4" w:space="0" w:color="auto"/>
              <w:right w:val="single" w:sz="4" w:space="0" w:color="auto"/>
            </w:tcBorders>
          </w:tcPr>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p>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p>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rPr>
              <w:t>1.165</w:t>
            </w:r>
          </w:p>
        </w:tc>
        <w:tc>
          <w:tcPr>
            <w:tcW w:w="709" w:type="dxa"/>
            <w:tcBorders>
              <w:top w:val="single" w:sz="4" w:space="0" w:color="auto"/>
              <w:left w:val="single" w:sz="4" w:space="0" w:color="auto"/>
              <w:bottom w:val="single" w:sz="4" w:space="0" w:color="auto"/>
              <w:right w:val="single" w:sz="4" w:space="0" w:color="auto"/>
            </w:tcBorders>
          </w:tcPr>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p>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rPr>
              <w:t>14.6</w:t>
            </w:r>
          </w:p>
        </w:tc>
        <w:tc>
          <w:tcPr>
            <w:tcW w:w="2126" w:type="dxa"/>
            <w:tcBorders>
              <w:top w:val="single" w:sz="4" w:space="0" w:color="auto"/>
              <w:left w:val="single" w:sz="4" w:space="0" w:color="auto"/>
              <w:bottom w:val="single" w:sz="4" w:space="0" w:color="auto"/>
              <w:right w:val="single" w:sz="4" w:space="0" w:color="auto"/>
            </w:tcBorders>
          </w:tcPr>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p>
          <w:p w:rsidR="006E094B" w:rsidRPr="00564DBC" w:rsidRDefault="006E094B" w:rsidP="00564DBC">
            <w:pPr>
              <w:widowControl w:val="0"/>
              <w:spacing w:after="0" w:line="360" w:lineRule="auto"/>
              <w:jc w:val="both"/>
              <w:rPr>
                <w:rFonts w:ascii="Book Antiqua" w:hAnsi="Book Antiqua"/>
                <w:sz w:val="24"/>
                <w:szCs w:val="24"/>
                <w:lang w:val="en-US"/>
              </w:rPr>
            </w:pPr>
            <w:r w:rsidRPr="00564DBC">
              <w:rPr>
                <w:rFonts w:ascii="Book Antiqua" w:hAnsi="Book Antiqua"/>
                <w:sz w:val="24"/>
                <w:szCs w:val="24"/>
                <w:lang w:val="en-US"/>
              </w:rPr>
              <w:t>PD</w:t>
            </w:r>
            <w:r w:rsidRPr="00564DBC">
              <w:rPr>
                <w:rFonts w:ascii="Book Antiqua" w:hAnsi="Book Antiqua"/>
                <w:sz w:val="24"/>
                <w:szCs w:val="24"/>
                <w:lang w:val="en-US"/>
              </w:rPr>
              <w:sym w:font="Symbol" w:char="F0AE"/>
            </w:r>
            <w:r w:rsidRPr="00564DBC">
              <w:rPr>
                <w:rFonts w:ascii="Book Antiqua" w:hAnsi="Book Antiqua"/>
                <w:sz w:val="24"/>
                <w:szCs w:val="24"/>
                <w:lang w:val="en-US"/>
              </w:rPr>
              <w:t>6</w:t>
            </w:r>
            <w:r w:rsidR="007D7F60" w:rsidRPr="00564DBC">
              <w:rPr>
                <w:rFonts w:ascii="Book Antiqua" w:hAnsi="Book Antiqua" w:hint="eastAsia"/>
                <w:sz w:val="24"/>
                <w:szCs w:val="24"/>
                <w:lang w:val="en-US" w:eastAsia="zh-CN"/>
              </w:rPr>
              <w:t xml:space="preserve"> </w:t>
            </w:r>
            <w:r w:rsidRPr="00564DBC">
              <w:rPr>
                <w:rFonts w:ascii="Book Antiqua" w:hAnsi="Book Antiqua"/>
                <w:sz w:val="24"/>
                <w:szCs w:val="24"/>
                <w:lang w:val="en-US"/>
              </w:rPr>
              <w:t>×</w:t>
            </w:r>
            <w:r w:rsidR="007D7F60" w:rsidRPr="00564DBC">
              <w:rPr>
                <w:rFonts w:ascii="Book Antiqua" w:hAnsi="Book Antiqua" w:hint="eastAsia"/>
                <w:sz w:val="24"/>
                <w:szCs w:val="24"/>
                <w:lang w:val="en-US" w:eastAsia="zh-CN"/>
              </w:rPr>
              <w:t xml:space="preserve"> </w:t>
            </w:r>
            <w:r w:rsidRPr="00564DBC">
              <w:rPr>
                <w:rFonts w:ascii="Book Antiqua" w:hAnsi="Book Antiqua"/>
                <w:sz w:val="24"/>
                <w:szCs w:val="24"/>
                <w:lang w:val="en-US"/>
              </w:rPr>
              <w:t>CHOP</w:t>
            </w:r>
            <w:r w:rsidRPr="00564DBC">
              <w:rPr>
                <w:rFonts w:ascii="Book Antiqua" w:hAnsi="Book Antiqua"/>
                <w:sz w:val="24"/>
                <w:szCs w:val="24"/>
                <w:lang w:val="en-US"/>
              </w:rPr>
              <w:sym w:font="Symbol" w:char="F0AE"/>
            </w:r>
          </w:p>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rPr>
              <w:t>6</w:t>
            </w:r>
            <w:r w:rsidR="007D7F60" w:rsidRPr="00564DBC">
              <w:rPr>
                <w:rFonts w:ascii="Book Antiqua" w:hAnsi="Book Antiqua" w:hint="eastAsia"/>
                <w:sz w:val="24"/>
                <w:szCs w:val="24"/>
                <w:lang w:val="en-US" w:eastAsia="zh-CN"/>
              </w:rPr>
              <w:t xml:space="preserve"> </w:t>
            </w:r>
            <w:r w:rsidRPr="00564DBC">
              <w:rPr>
                <w:rFonts w:ascii="Book Antiqua" w:hAnsi="Book Antiqua"/>
                <w:sz w:val="24"/>
                <w:szCs w:val="24"/>
                <w:lang w:val="en-US"/>
              </w:rPr>
              <w:t>×</w:t>
            </w:r>
            <w:r w:rsidR="007D7F60" w:rsidRPr="00564DBC">
              <w:rPr>
                <w:rFonts w:ascii="Book Antiqua" w:hAnsi="Book Antiqua" w:hint="eastAsia"/>
                <w:sz w:val="24"/>
                <w:szCs w:val="24"/>
                <w:lang w:val="en-US" w:eastAsia="zh-CN"/>
              </w:rPr>
              <w:t xml:space="preserve"> </w:t>
            </w:r>
            <w:r w:rsidRPr="00564DBC">
              <w:rPr>
                <w:rFonts w:ascii="Book Antiqua" w:hAnsi="Book Antiqua"/>
                <w:sz w:val="24"/>
                <w:szCs w:val="24"/>
                <w:lang w:val="en-US"/>
              </w:rPr>
              <w:t>GEM-P</w:t>
            </w:r>
          </w:p>
        </w:tc>
        <w:tc>
          <w:tcPr>
            <w:tcW w:w="1728" w:type="dxa"/>
            <w:tcBorders>
              <w:top w:val="single" w:sz="4" w:space="0" w:color="auto"/>
              <w:left w:val="single" w:sz="4" w:space="0" w:color="auto"/>
              <w:bottom w:val="nil"/>
              <w:right w:val="nil"/>
            </w:tcBorders>
          </w:tcPr>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p>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rPr>
              <w:t>CR, 29</w:t>
            </w:r>
          </w:p>
        </w:tc>
      </w:tr>
      <w:tr w:rsidR="00564DBC" w:rsidRPr="00564DBC" w:rsidTr="007D7F60">
        <w:tc>
          <w:tcPr>
            <w:tcW w:w="720" w:type="dxa"/>
            <w:tcBorders>
              <w:top w:val="single" w:sz="4" w:space="0" w:color="auto"/>
              <w:left w:val="single" w:sz="4" w:space="0" w:color="auto"/>
              <w:bottom w:val="single" w:sz="4" w:space="0" w:color="auto"/>
              <w:right w:val="single" w:sz="4" w:space="0" w:color="auto"/>
            </w:tcBorders>
          </w:tcPr>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p>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rPr>
              <w:t>2</w:t>
            </w:r>
          </w:p>
        </w:tc>
        <w:tc>
          <w:tcPr>
            <w:tcW w:w="1530" w:type="dxa"/>
            <w:tcBorders>
              <w:top w:val="single" w:sz="4" w:space="0" w:color="auto"/>
              <w:left w:val="single" w:sz="4" w:space="0" w:color="auto"/>
              <w:bottom w:val="single" w:sz="4" w:space="0" w:color="auto"/>
              <w:right w:val="single" w:sz="4" w:space="0" w:color="auto"/>
            </w:tcBorders>
          </w:tcPr>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p>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rPr>
              <w:t>22/M</w:t>
            </w:r>
          </w:p>
        </w:tc>
        <w:tc>
          <w:tcPr>
            <w:tcW w:w="2808" w:type="dxa"/>
            <w:tcBorders>
              <w:top w:val="single" w:sz="4" w:space="0" w:color="auto"/>
              <w:left w:val="single" w:sz="4" w:space="0" w:color="auto"/>
              <w:bottom w:val="single" w:sz="4" w:space="0" w:color="auto"/>
              <w:right w:val="single" w:sz="4" w:space="0" w:color="auto"/>
            </w:tcBorders>
          </w:tcPr>
          <w:p w:rsidR="006E094B" w:rsidRPr="00564DBC" w:rsidRDefault="007D7F60"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rPr>
              <w:t>R</w:t>
            </w:r>
            <w:r w:rsidR="006E094B" w:rsidRPr="00564DBC">
              <w:rPr>
                <w:rFonts w:ascii="Book Antiqua" w:hAnsi="Book Antiqua"/>
                <w:sz w:val="24"/>
                <w:szCs w:val="24"/>
                <w:lang w:val="en-US"/>
              </w:rPr>
              <w:t>ight cheek, upper and lower extremities, trunk</w:t>
            </w:r>
          </w:p>
        </w:tc>
        <w:tc>
          <w:tcPr>
            <w:tcW w:w="1559" w:type="dxa"/>
            <w:tcBorders>
              <w:top w:val="single" w:sz="4" w:space="0" w:color="auto"/>
              <w:left w:val="single" w:sz="4" w:space="0" w:color="auto"/>
              <w:bottom w:val="single" w:sz="4" w:space="0" w:color="auto"/>
              <w:right w:val="single" w:sz="4" w:space="0" w:color="auto"/>
            </w:tcBorders>
          </w:tcPr>
          <w:p w:rsidR="006E094B" w:rsidRPr="00564DBC" w:rsidRDefault="007D7F60" w:rsidP="00564DBC">
            <w:pPr>
              <w:widowControl w:val="0"/>
              <w:spacing w:after="0" w:line="360" w:lineRule="auto"/>
              <w:jc w:val="both"/>
              <w:rPr>
                <w:rFonts w:ascii="Book Antiqua" w:hAnsi="Book Antiqua"/>
                <w:sz w:val="24"/>
                <w:szCs w:val="24"/>
                <w:lang w:val="en-US" w:eastAsia="zh-CN"/>
              </w:rPr>
            </w:pPr>
            <w:r w:rsidRPr="00564DBC">
              <w:rPr>
                <w:rFonts w:ascii="Book Antiqua" w:hAnsi="Book Antiqua"/>
                <w:sz w:val="24"/>
                <w:szCs w:val="24"/>
                <w:lang w:val="en-US"/>
              </w:rPr>
              <w:t>P</w:t>
            </w:r>
            <w:r w:rsidR="006E094B" w:rsidRPr="00564DBC">
              <w:rPr>
                <w:rFonts w:ascii="Book Antiqua" w:hAnsi="Book Antiqua"/>
                <w:sz w:val="24"/>
                <w:szCs w:val="24"/>
                <w:lang w:val="en-US"/>
              </w:rPr>
              <w:t>ositive direct Coombs test</w:t>
            </w:r>
          </w:p>
        </w:tc>
        <w:tc>
          <w:tcPr>
            <w:tcW w:w="1276" w:type="dxa"/>
            <w:tcBorders>
              <w:top w:val="single" w:sz="4" w:space="0" w:color="auto"/>
              <w:left w:val="single" w:sz="4" w:space="0" w:color="auto"/>
              <w:bottom w:val="single" w:sz="4" w:space="0" w:color="auto"/>
              <w:right w:val="single" w:sz="4" w:space="0" w:color="auto"/>
            </w:tcBorders>
          </w:tcPr>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p>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p>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rPr>
              <w:t>1.741</w:t>
            </w:r>
          </w:p>
        </w:tc>
        <w:tc>
          <w:tcPr>
            <w:tcW w:w="709" w:type="dxa"/>
            <w:tcBorders>
              <w:top w:val="single" w:sz="4" w:space="0" w:color="auto"/>
              <w:left w:val="single" w:sz="4" w:space="0" w:color="auto"/>
              <w:bottom w:val="single" w:sz="4" w:space="0" w:color="auto"/>
              <w:right w:val="single" w:sz="4" w:space="0" w:color="auto"/>
            </w:tcBorders>
          </w:tcPr>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p>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rPr>
              <w:t>10.5</w:t>
            </w:r>
          </w:p>
        </w:tc>
        <w:tc>
          <w:tcPr>
            <w:tcW w:w="2126" w:type="dxa"/>
            <w:tcBorders>
              <w:top w:val="single" w:sz="4" w:space="0" w:color="auto"/>
              <w:left w:val="single" w:sz="4" w:space="0" w:color="auto"/>
              <w:bottom w:val="single" w:sz="4" w:space="0" w:color="auto"/>
              <w:right w:val="single" w:sz="4" w:space="0" w:color="auto"/>
            </w:tcBorders>
          </w:tcPr>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p>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rPr>
              <w:t>7</w:t>
            </w:r>
            <w:r w:rsidR="007D7F60" w:rsidRPr="00564DBC">
              <w:rPr>
                <w:rFonts w:ascii="Book Antiqua" w:hAnsi="Book Antiqua" w:hint="eastAsia"/>
                <w:sz w:val="24"/>
                <w:szCs w:val="24"/>
                <w:lang w:val="en-US" w:eastAsia="zh-CN"/>
              </w:rPr>
              <w:t xml:space="preserve"> </w:t>
            </w:r>
            <w:r w:rsidRPr="00564DBC">
              <w:rPr>
                <w:rFonts w:ascii="Book Antiqua" w:hAnsi="Book Antiqua"/>
                <w:sz w:val="24"/>
                <w:szCs w:val="24"/>
                <w:lang w:val="en-US"/>
              </w:rPr>
              <w:t>×</w:t>
            </w:r>
            <w:r w:rsidR="007D7F60" w:rsidRPr="00564DBC">
              <w:rPr>
                <w:rFonts w:ascii="Book Antiqua" w:hAnsi="Book Antiqua" w:hint="eastAsia"/>
                <w:sz w:val="24"/>
                <w:szCs w:val="24"/>
                <w:lang w:val="en-US" w:eastAsia="zh-CN"/>
              </w:rPr>
              <w:t xml:space="preserve"> </w:t>
            </w:r>
            <w:r w:rsidRPr="00564DBC">
              <w:rPr>
                <w:rFonts w:ascii="Book Antiqua" w:hAnsi="Book Antiqua"/>
                <w:sz w:val="24"/>
                <w:szCs w:val="24"/>
                <w:lang w:val="en-US"/>
              </w:rPr>
              <w:t>GEM-P</w:t>
            </w:r>
          </w:p>
        </w:tc>
        <w:tc>
          <w:tcPr>
            <w:tcW w:w="1728" w:type="dxa"/>
            <w:tcBorders>
              <w:top w:val="nil"/>
              <w:left w:val="single" w:sz="4" w:space="0" w:color="auto"/>
              <w:bottom w:val="nil"/>
              <w:right w:val="nil"/>
            </w:tcBorders>
          </w:tcPr>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p>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rPr>
              <w:t>CR, 26</w:t>
            </w:r>
          </w:p>
        </w:tc>
      </w:tr>
      <w:tr w:rsidR="00564DBC" w:rsidRPr="00564DBC" w:rsidTr="007D7F60">
        <w:tc>
          <w:tcPr>
            <w:tcW w:w="720" w:type="dxa"/>
            <w:tcBorders>
              <w:top w:val="single" w:sz="4" w:space="0" w:color="auto"/>
              <w:left w:val="single" w:sz="4" w:space="0" w:color="auto"/>
              <w:bottom w:val="single" w:sz="4" w:space="0" w:color="auto"/>
              <w:right w:val="single" w:sz="4" w:space="0" w:color="auto"/>
            </w:tcBorders>
          </w:tcPr>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p>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rPr>
              <w:t>3</w:t>
            </w:r>
          </w:p>
        </w:tc>
        <w:tc>
          <w:tcPr>
            <w:tcW w:w="1530" w:type="dxa"/>
            <w:tcBorders>
              <w:top w:val="single" w:sz="4" w:space="0" w:color="auto"/>
              <w:left w:val="single" w:sz="4" w:space="0" w:color="auto"/>
              <w:bottom w:val="single" w:sz="4" w:space="0" w:color="auto"/>
              <w:right w:val="single" w:sz="4" w:space="0" w:color="auto"/>
            </w:tcBorders>
          </w:tcPr>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p>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rPr>
              <w:t>53/F</w:t>
            </w:r>
          </w:p>
        </w:tc>
        <w:tc>
          <w:tcPr>
            <w:tcW w:w="2808" w:type="dxa"/>
            <w:tcBorders>
              <w:top w:val="single" w:sz="4" w:space="0" w:color="auto"/>
              <w:left w:val="single" w:sz="4" w:space="0" w:color="auto"/>
              <w:bottom w:val="single" w:sz="4" w:space="0" w:color="auto"/>
              <w:right w:val="single" w:sz="4" w:space="0" w:color="auto"/>
            </w:tcBorders>
          </w:tcPr>
          <w:p w:rsidR="006E094B" w:rsidRPr="00564DBC" w:rsidRDefault="007D7F60"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rPr>
              <w:t>H</w:t>
            </w:r>
            <w:r w:rsidR="006E094B" w:rsidRPr="00564DBC">
              <w:rPr>
                <w:rFonts w:ascii="Book Antiqua" w:hAnsi="Book Antiqua"/>
                <w:sz w:val="24"/>
                <w:szCs w:val="24"/>
                <w:lang w:val="en-US"/>
              </w:rPr>
              <w:t xml:space="preserve">ead, trunk, upper and lower extremities, </w:t>
            </w:r>
            <w:proofErr w:type="spellStart"/>
            <w:r w:rsidR="006E094B" w:rsidRPr="00564DBC">
              <w:rPr>
                <w:rFonts w:ascii="Book Antiqua" w:hAnsi="Book Antiqua"/>
                <w:sz w:val="24"/>
                <w:szCs w:val="24"/>
                <w:lang w:val="en-US"/>
              </w:rPr>
              <w:t>epiploon</w:t>
            </w:r>
            <w:proofErr w:type="spellEnd"/>
            <w:r w:rsidR="006E094B" w:rsidRPr="00564DBC">
              <w:rPr>
                <w:rFonts w:ascii="Book Antiqua" w:hAnsi="Book Antiqua"/>
                <w:sz w:val="24"/>
                <w:szCs w:val="24"/>
                <w:lang w:val="en-US"/>
              </w:rPr>
              <w:t xml:space="preserve"> in the left </w:t>
            </w:r>
            <w:proofErr w:type="spellStart"/>
            <w:r w:rsidR="006E094B" w:rsidRPr="00564DBC">
              <w:rPr>
                <w:rFonts w:ascii="Book Antiqua" w:hAnsi="Book Antiqua"/>
                <w:sz w:val="24"/>
                <w:szCs w:val="24"/>
                <w:lang w:val="en-US"/>
              </w:rPr>
              <w:t>mesogastric</w:t>
            </w:r>
            <w:proofErr w:type="spellEnd"/>
            <w:r w:rsidR="006E094B" w:rsidRPr="00564DBC">
              <w:rPr>
                <w:rFonts w:ascii="Book Antiqua" w:hAnsi="Book Antiqua"/>
                <w:sz w:val="24"/>
                <w:szCs w:val="24"/>
                <w:lang w:val="en-US"/>
              </w:rPr>
              <w:t xml:space="preserve"> area</w:t>
            </w:r>
          </w:p>
        </w:tc>
        <w:tc>
          <w:tcPr>
            <w:tcW w:w="1559" w:type="dxa"/>
            <w:tcBorders>
              <w:top w:val="single" w:sz="4" w:space="0" w:color="auto"/>
              <w:left w:val="single" w:sz="4" w:space="0" w:color="auto"/>
              <w:bottom w:val="single" w:sz="4" w:space="0" w:color="auto"/>
              <w:right w:val="single" w:sz="4" w:space="0" w:color="auto"/>
            </w:tcBorders>
          </w:tcPr>
          <w:p w:rsidR="006E094B" w:rsidRPr="00564DBC" w:rsidRDefault="007D7F60"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rPr>
              <w:t>A</w:t>
            </w:r>
            <w:r w:rsidR="006E094B" w:rsidRPr="00564DBC">
              <w:rPr>
                <w:rFonts w:ascii="Book Antiqua" w:hAnsi="Book Antiqua"/>
                <w:sz w:val="24"/>
                <w:szCs w:val="24"/>
                <w:lang w:val="en-US"/>
              </w:rPr>
              <w:t>utoimmune thyroiditis, 2-fold increase of anti-La/SS-B level</w:t>
            </w:r>
          </w:p>
        </w:tc>
        <w:tc>
          <w:tcPr>
            <w:tcW w:w="1276" w:type="dxa"/>
            <w:tcBorders>
              <w:top w:val="single" w:sz="4" w:space="0" w:color="auto"/>
              <w:left w:val="single" w:sz="4" w:space="0" w:color="auto"/>
              <w:bottom w:val="single" w:sz="4" w:space="0" w:color="auto"/>
              <w:right w:val="single" w:sz="4" w:space="0" w:color="auto"/>
            </w:tcBorders>
          </w:tcPr>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p>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p>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rPr>
              <w:t>274</w:t>
            </w:r>
          </w:p>
        </w:tc>
        <w:tc>
          <w:tcPr>
            <w:tcW w:w="709" w:type="dxa"/>
            <w:tcBorders>
              <w:top w:val="single" w:sz="4" w:space="0" w:color="auto"/>
              <w:left w:val="single" w:sz="4" w:space="0" w:color="auto"/>
              <w:bottom w:val="single" w:sz="4" w:space="0" w:color="auto"/>
              <w:right w:val="single" w:sz="4" w:space="0" w:color="auto"/>
            </w:tcBorders>
          </w:tcPr>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p>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rPr>
              <w:t>13.8</w:t>
            </w:r>
          </w:p>
        </w:tc>
        <w:tc>
          <w:tcPr>
            <w:tcW w:w="2126" w:type="dxa"/>
            <w:tcBorders>
              <w:top w:val="single" w:sz="4" w:space="0" w:color="auto"/>
              <w:left w:val="single" w:sz="4" w:space="0" w:color="auto"/>
              <w:bottom w:val="single" w:sz="4" w:space="0" w:color="auto"/>
              <w:right w:val="single" w:sz="4" w:space="0" w:color="auto"/>
            </w:tcBorders>
          </w:tcPr>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p>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rPr>
              <w:t>3</w:t>
            </w:r>
            <w:r w:rsidR="007D7F60" w:rsidRPr="00564DBC">
              <w:rPr>
                <w:rFonts w:ascii="Book Antiqua" w:hAnsi="Book Antiqua" w:hint="eastAsia"/>
                <w:sz w:val="24"/>
                <w:szCs w:val="24"/>
                <w:lang w:val="en-US" w:eastAsia="zh-CN"/>
              </w:rPr>
              <w:t xml:space="preserve"> </w:t>
            </w:r>
            <w:r w:rsidRPr="00564DBC">
              <w:rPr>
                <w:rFonts w:ascii="Book Antiqua" w:hAnsi="Book Antiqua"/>
                <w:sz w:val="24"/>
                <w:szCs w:val="24"/>
                <w:lang w:val="en-US"/>
              </w:rPr>
              <w:t>×</w:t>
            </w:r>
            <w:r w:rsidR="007D7F60" w:rsidRPr="00564DBC">
              <w:rPr>
                <w:rFonts w:ascii="Book Antiqua" w:hAnsi="Book Antiqua" w:hint="eastAsia"/>
                <w:sz w:val="24"/>
                <w:szCs w:val="24"/>
                <w:lang w:val="en-US" w:eastAsia="zh-CN"/>
              </w:rPr>
              <w:t xml:space="preserve"> </w:t>
            </w:r>
            <w:r w:rsidRPr="00564DBC">
              <w:rPr>
                <w:rFonts w:ascii="Book Antiqua" w:hAnsi="Book Antiqua"/>
                <w:sz w:val="24"/>
                <w:szCs w:val="24"/>
                <w:lang w:val="en-US"/>
              </w:rPr>
              <w:t>FCM</w:t>
            </w:r>
            <w:r w:rsidRPr="00564DBC">
              <w:rPr>
                <w:rFonts w:ascii="Book Antiqua" w:hAnsi="Book Antiqua"/>
                <w:sz w:val="24"/>
                <w:szCs w:val="24"/>
                <w:lang w:val="en-US"/>
              </w:rPr>
              <w:sym w:font="Symbol" w:char="F0AE"/>
            </w:r>
            <w:r w:rsidRPr="00564DBC">
              <w:rPr>
                <w:rFonts w:ascii="Book Antiqua" w:hAnsi="Book Antiqua"/>
                <w:sz w:val="24"/>
                <w:szCs w:val="24"/>
                <w:lang w:val="en-US"/>
              </w:rPr>
              <w:t>6</w:t>
            </w:r>
            <w:r w:rsidR="007D7F60" w:rsidRPr="00564DBC">
              <w:rPr>
                <w:rFonts w:ascii="Book Antiqua" w:hAnsi="Book Antiqua" w:hint="eastAsia"/>
                <w:sz w:val="24"/>
                <w:szCs w:val="24"/>
                <w:lang w:val="en-US" w:eastAsia="zh-CN"/>
              </w:rPr>
              <w:t xml:space="preserve"> </w:t>
            </w:r>
            <w:r w:rsidRPr="00564DBC">
              <w:rPr>
                <w:rFonts w:ascii="Book Antiqua" w:hAnsi="Book Antiqua"/>
                <w:sz w:val="24"/>
                <w:szCs w:val="24"/>
                <w:lang w:val="en-US"/>
              </w:rPr>
              <w:t>×</w:t>
            </w:r>
            <w:r w:rsidR="007D7F60" w:rsidRPr="00564DBC">
              <w:rPr>
                <w:rFonts w:ascii="Book Antiqua" w:hAnsi="Book Antiqua" w:hint="eastAsia"/>
                <w:sz w:val="24"/>
                <w:szCs w:val="24"/>
                <w:lang w:val="en-US" w:eastAsia="zh-CN"/>
              </w:rPr>
              <w:t xml:space="preserve"> </w:t>
            </w:r>
            <w:r w:rsidRPr="00564DBC">
              <w:rPr>
                <w:rFonts w:ascii="Book Antiqua" w:hAnsi="Book Antiqua"/>
                <w:sz w:val="24"/>
                <w:szCs w:val="24"/>
                <w:lang w:val="en-US"/>
              </w:rPr>
              <w:t>GEM-P</w:t>
            </w:r>
          </w:p>
        </w:tc>
        <w:tc>
          <w:tcPr>
            <w:tcW w:w="1728" w:type="dxa"/>
            <w:tcBorders>
              <w:top w:val="nil"/>
              <w:left w:val="single" w:sz="4" w:space="0" w:color="auto"/>
              <w:bottom w:val="single" w:sz="4" w:space="0" w:color="auto"/>
              <w:right w:val="nil"/>
            </w:tcBorders>
          </w:tcPr>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p>
          <w:p w:rsidR="006E094B" w:rsidRPr="00564DBC" w:rsidRDefault="006E094B" w:rsidP="00564DBC">
            <w:pPr>
              <w:widowControl w:val="0"/>
              <w:spacing w:after="0" w:line="360" w:lineRule="auto"/>
              <w:jc w:val="both"/>
              <w:rPr>
                <w:rFonts w:ascii="Book Antiqua" w:eastAsia="Times New Roman" w:hAnsi="Book Antiqua"/>
                <w:sz w:val="24"/>
                <w:szCs w:val="24"/>
                <w:lang w:val="en-US" w:eastAsia="hi-IN" w:bidi="hi-IN"/>
              </w:rPr>
            </w:pPr>
            <w:r w:rsidRPr="00564DBC">
              <w:rPr>
                <w:rFonts w:ascii="Book Antiqua" w:hAnsi="Book Antiqua"/>
                <w:sz w:val="24"/>
                <w:szCs w:val="24"/>
                <w:lang w:val="en-US"/>
              </w:rPr>
              <w:t xml:space="preserve">CR, 8 </w:t>
            </w:r>
          </w:p>
        </w:tc>
      </w:tr>
    </w:tbl>
    <w:p w:rsidR="006E094B" w:rsidRPr="00564DBC" w:rsidRDefault="006E094B" w:rsidP="00564DBC">
      <w:pPr>
        <w:widowControl w:val="0"/>
        <w:spacing w:after="0" w:line="360" w:lineRule="auto"/>
        <w:jc w:val="both"/>
        <w:rPr>
          <w:rFonts w:ascii="Book Antiqua" w:hAnsi="Book Antiqua"/>
          <w:sz w:val="24"/>
          <w:szCs w:val="24"/>
          <w:lang w:val="en-US"/>
        </w:rPr>
      </w:pPr>
      <w:r w:rsidRPr="00564DBC">
        <w:rPr>
          <w:rFonts w:ascii="Book Antiqua" w:hAnsi="Book Antiqua"/>
          <w:sz w:val="24"/>
          <w:szCs w:val="24"/>
          <w:vertAlign w:val="superscript"/>
          <w:lang w:val="en-US"/>
        </w:rPr>
        <w:t>1</w:t>
      </w:r>
      <w:r w:rsidRPr="00564DBC">
        <w:rPr>
          <w:rFonts w:ascii="Book Antiqua" w:hAnsi="Book Antiqua"/>
          <w:sz w:val="24"/>
          <w:szCs w:val="24"/>
          <w:lang w:val="en-US" w:eastAsia="ru-RU"/>
        </w:rPr>
        <w:t>Normal range, &lt; 225 IU/</w:t>
      </w:r>
      <w:proofErr w:type="spellStart"/>
      <w:r w:rsidRPr="00564DBC">
        <w:rPr>
          <w:rFonts w:ascii="Book Antiqua" w:hAnsi="Book Antiqua"/>
          <w:sz w:val="24"/>
          <w:szCs w:val="24"/>
          <w:lang w:val="en-US" w:eastAsia="ru-RU"/>
        </w:rPr>
        <w:t>mL.</w:t>
      </w:r>
      <w:proofErr w:type="spellEnd"/>
      <w:r w:rsidRPr="00564DBC">
        <w:rPr>
          <w:rFonts w:ascii="Book Antiqua" w:hAnsi="Book Antiqua"/>
          <w:sz w:val="24"/>
          <w:szCs w:val="24"/>
          <w:lang w:val="en-US" w:eastAsia="ru-RU"/>
        </w:rPr>
        <w:t xml:space="preserve"> CHOP: Cyclophosphamide, </w:t>
      </w:r>
      <w:proofErr w:type="spellStart"/>
      <w:r w:rsidRPr="00564DBC">
        <w:rPr>
          <w:rFonts w:ascii="Book Antiqua" w:hAnsi="Book Antiqua"/>
          <w:sz w:val="24"/>
          <w:szCs w:val="24"/>
          <w:lang w:val="en-US" w:eastAsia="ru-RU"/>
        </w:rPr>
        <w:t>doxorubicine</w:t>
      </w:r>
      <w:proofErr w:type="spellEnd"/>
      <w:r w:rsidRPr="00564DBC">
        <w:rPr>
          <w:rFonts w:ascii="Book Antiqua" w:hAnsi="Book Antiqua"/>
          <w:sz w:val="24"/>
          <w:szCs w:val="24"/>
          <w:lang w:val="en-US" w:eastAsia="ru-RU"/>
        </w:rPr>
        <w:t xml:space="preserve">, vincristine and prednisolone; CR: Complete response; </w:t>
      </w:r>
      <w:r w:rsidRPr="00564DBC">
        <w:rPr>
          <w:rFonts w:ascii="Book Antiqua" w:hAnsi="Book Antiqua"/>
          <w:sz w:val="24"/>
          <w:szCs w:val="24"/>
          <w:lang w:val="en-US"/>
        </w:rPr>
        <w:t xml:space="preserve">FCM: </w:t>
      </w:r>
      <w:proofErr w:type="spellStart"/>
      <w:r w:rsidRPr="00564DBC">
        <w:rPr>
          <w:rFonts w:ascii="Book Antiqua" w:hAnsi="Book Antiqua"/>
          <w:sz w:val="24"/>
          <w:szCs w:val="24"/>
          <w:lang w:val="en-US" w:eastAsia="ru-RU"/>
        </w:rPr>
        <w:t>Fludarabine</w:t>
      </w:r>
      <w:proofErr w:type="spellEnd"/>
      <w:r w:rsidRPr="00564DBC">
        <w:rPr>
          <w:rFonts w:ascii="Book Antiqua" w:hAnsi="Book Antiqua"/>
          <w:sz w:val="24"/>
          <w:szCs w:val="24"/>
          <w:lang w:val="en-US" w:eastAsia="ru-RU"/>
        </w:rPr>
        <w:t xml:space="preserve">, </w:t>
      </w:r>
      <w:proofErr w:type="spellStart"/>
      <w:r w:rsidRPr="00564DBC">
        <w:rPr>
          <w:rFonts w:ascii="Book Antiqua" w:hAnsi="Book Antiqua"/>
          <w:sz w:val="24"/>
          <w:szCs w:val="24"/>
          <w:lang w:val="en-US" w:eastAsia="ru-RU"/>
        </w:rPr>
        <w:t>mitoxantrone</w:t>
      </w:r>
      <w:proofErr w:type="spellEnd"/>
      <w:r w:rsidRPr="00564DBC">
        <w:rPr>
          <w:rFonts w:ascii="Book Antiqua" w:hAnsi="Book Antiqua"/>
          <w:sz w:val="24"/>
          <w:szCs w:val="24"/>
          <w:lang w:val="en-US" w:eastAsia="ru-RU"/>
        </w:rPr>
        <w:t xml:space="preserve"> and cyclophosphamide; FU: </w:t>
      </w:r>
      <w:r w:rsidRPr="00564DBC">
        <w:rPr>
          <w:rFonts w:ascii="Book Antiqua" w:hAnsi="Book Antiqua"/>
          <w:sz w:val="24"/>
          <w:szCs w:val="24"/>
          <w:lang w:val="en-US"/>
        </w:rPr>
        <w:t xml:space="preserve">Follow-up; </w:t>
      </w:r>
      <w:r w:rsidRPr="00564DBC">
        <w:rPr>
          <w:rFonts w:ascii="Book Antiqua" w:hAnsi="Book Antiqua"/>
          <w:sz w:val="24"/>
          <w:szCs w:val="24"/>
          <w:lang w:val="en-US" w:eastAsia="ru-RU"/>
        </w:rPr>
        <w:t xml:space="preserve">GEM-P: </w:t>
      </w:r>
      <w:r w:rsidRPr="00564DBC">
        <w:rPr>
          <w:rFonts w:ascii="Book Antiqua" w:hAnsi="Book Antiqua"/>
          <w:sz w:val="24"/>
          <w:szCs w:val="24"/>
          <w:lang w:val="en-US"/>
        </w:rPr>
        <w:t>Gemcitabine, cisplatin and methylprednisolone</w:t>
      </w:r>
      <w:r w:rsidRPr="00564DBC">
        <w:rPr>
          <w:rFonts w:ascii="Book Antiqua" w:hAnsi="Book Antiqua"/>
          <w:sz w:val="24"/>
          <w:szCs w:val="24"/>
          <w:lang w:val="en-US" w:eastAsia="ru-RU"/>
        </w:rPr>
        <w:t>; PD: Prednisone</w:t>
      </w:r>
      <w:r w:rsidR="007D7F60" w:rsidRPr="00564DBC">
        <w:rPr>
          <w:rFonts w:ascii="Book Antiqua" w:hAnsi="Book Antiqua" w:hint="eastAsia"/>
          <w:sz w:val="24"/>
          <w:szCs w:val="24"/>
          <w:lang w:val="en-US" w:eastAsia="zh-CN"/>
        </w:rPr>
        <w:t xml:space="preserve">; </w:t>
      </w:r>
      <w:r w:rsidR="007D7F60" w:rsidRPr="00564DBC">
        <w:rPr>
          <w:rFonts w:ascii="Book Antiqua" w:hAnsi="Book Antiqua"/>
          <w:sz w:val="24"/>
          <w:szCs w:val="24"/>
          <w:lang w:val="en-US" w:eastAsia="zh-CN"/>
        </w:rPr>
        <w:t>F</w:t>
      </w:r>
      <w:r w:rsidR="007D7F60" w:rsidRPr="00564DBC">
        <w:rPr>
          <w:rFonts w:ascii="Book Antiqua" w:hAnsi="Book Antiqua" w:hint="eastAsia"/>
          <w:sz w:val="24"/>
          <w:szCs w:val="24"/>
          <w:lang w:val="en-US" w:eastAsia="zh-CN"/>
        </w:rPr>
        <w:t>: F</w:t>
      </w:r>
      <w:r w:rsidR="007D7F60" w:rsidRPr="00564DBC">
        <w:rPr>
          <w:rFonts w:ascii="Book Antiqua" w:hAnsi="Book Antiqua"/>
          <w:sz w:val="24"/>
          <w:szCs w:val="24"/>
          <w:lang w:val="en-US" w:eastAsia="zh-CN"/>
        </w:rPr>
        <w:t>emale</w:t>
      </w:r>
      <w:r w:rsidR="007D7F60" w:rsidRPr="00564DBC">
        <w:rPr>
          <w:rFonts w:ascii="Book Antiqua" w:hAnsi="Book Antiqua" w:hint="eastAsia"/>
          <w:sz w:val="24"/>
          <w:szCs w:val="24"/>
          <w:lang w:val="en-US" w:eastAsia="zh-CN"/>
        </w:rPr>
        <w:t>; M: M</w:t>
      </w:r>
      <w:r w:rsidR="007D7F60" w:rsidRPr="00564DBC">
        <w:rPr>
          <w:rFonts w:ascii="Book Antiqua" w:hAnsi="Book Antiqua"/>
          <w:sz w:val="24"/>
          <w:szCs w:val="24"/>
          <w:lang w:val="en-US" w:eastAsia="zh-CN"/>
        </w:rPr>
        <w:t>ale.</w:t>
      </w:r>
      <w:r w:rsidR="007D7F60" w:rsidRPr="00564DBC">
        <w:rPr>
          <w:rFonts w:ascii="Book Antiqua" w:hAnsi="Book Antiqua"/>
          <w:sz w:val="24"/>
          <w:szCs w:val="24"/>
          <w:lang w:val="en-US"/>
        </w:rPr>
        <w:t xml:space="preserve"> </w:t>
      </w:r>
    </w:p>
    <w:p w:rsidR="006E094B" w:rsidRPr="00564DBC" w:rsidRDefault="006E094B" w:rsidP="00564DBC">
      <w:pPr>
        <w:widowControl w:val="0"/>
        <w:spacing w:after="0" w:line="360" w:lineRule="auto"/>
        <w:jc w:val="both"/>
        <w:rPr>
          <w:rFonts w:ascii="Book Antiqua" w:hAnsi="Book Antiqua"/>
          <w:sz w:val="24"/>
          <w:szCs w:val="24"/>
          <w:lang w:val="en-US"/>
        </w:rPr>
      </w:pPr>
    </w:p>
    <w:p w:rsidR="00171C9A" w:rsidRPr="00564DBC" w:rsidRDefault="00654316" w:rsidP="00564DBC">
      <w:pPr>
        <w:widowControl w:val="0"/>
        <w:spacing w:after="0" w:line="360" w:lineRule="auto"/>
        <w:jc w:val="both"/>
        <w:rPr>
          <w:rFonts w:ascii="Book Antiqua" w:hAnsi="Book Antiqua"/>
          <w:sz w:val="24"/>
          <w:szCs w:val="24"/>
        </w:rPr>
      </w:pPr>
    </w:p>
    <w:sectPr w:rsidR="00171C9A" w:rsidRPr="00564DBC" w:rsidSect="007D7F60">
      <w:pgSz w:w="11894" w:h="16819"/>
      <w:pgMar w:top="720" w:right="720"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F58" w:rsidRDefault="008A7F58">
      <w:pPr>
        <w:spacing w:after="0" w:line="240" w:lineRule="auto"/>
      </w:pPr>
      <w:r>
        <w:separator/>
      </w:r>
    </w:p>
  </w:endnote>
  <w:endnote w:type="continuationSeparator" w:id="0">
    <w:p w:rsidR="008A7F58" w:rsidRDefault="008A7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NewtonC-Italic">
    <w:altName w:val="Arial Unicode MS"/>
    <w:panose1 w:val="00000000000000000000"/>
    <w:charset w:val="80"/>
    <w:family w:val="auto"/>
    <w:notTrueType/>
    <w:pitch w:val="default"/>
    <w:sig w:usb0="00000000" w:usb1="08070000" w:usb2="00000010" w:usb3="00000000" w:csb0="00020000" w:csb1="00000000"/>
  </w:font>
  <w:font w:name="MinionPro-It">
    <w:panose1 w:val="00000000000000000000"/>
    <w:charset w:val="CC"/>
    <w:family w:val="auto"/>
    <w:notTrueType/>
    <w:pitch w:val="default"/>
    <w:sig w:usb0="00000201" w:usb1="00000000" w:usb2="00000000" w:usb3="00000000" w:csb0="00000004"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inionPro-Regular">
    <w:panose1 w:val="00000000000000000000"/>
    <w:charset w:val="CC"/>
    <w:family w:val="auto"/>
    <w:notTrueType/>
    <w:pitch w:val="default"/>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ArialNarrow">
    <w:altName w:val="Arial"/>
    <w:panose1 w:val="00000000000000000000"/>
    <w:charset w:val="00"/>
    <w:family w:val="swiss"/>
    <w:notTrueType/>
    <w:pitch w:val="default"/>
    <w:sig w:usb0="00000203" w:usb1="00000000" w:usb2="00000000" w:usb3="00000000" w:csb0="00000005"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07" w:rsidRPr="0003798A" w:rsidRDefault="00816A51">
    <w:pPr>
      <w:pStyle w:val="Footer"/>
      <w:jc w:val="center"/>
      <w:rPr>
        <w:rFonts w:ascii="Book Antiqua" w:hAnsi="Book Antiqua"/>
        <w:sz w:val="24"/>
        <w:szCs w:val="24"/>
      </w:rPr>
    </w:pPr>
    <w:r w:rsidRPr="0003798A">
      <w:rPr>
        <w:rFonts w:ascii="Book Antiqua" w:hAnsi="Book Antiqua"/>
        <w:sz w:val="24"/>
        <w:szCs w:val="24"/>
      </w:rPr>
      <w:fldChar w:fldCharType="begin"/>
    </w:r>
    <w:r w:rsidRPr="0003798A">
      <w:rPr>
        <w:rFonts w:ascii="Book Antiqua" w:hAnsi="Book Antiqua"/>
        <w:sz w:val="24"/>
        <w:szCs w:val="24"/>
      </w:rPr>
      <w:instrText>PAGE   \* MERGEFORMAT</w:instrText>
    </w:r>
    <w:r w:rsidRPr="0003798A">
      <w:rPr>
        <w:rFonts w:ascii="Book Antiqua" w:hAnsi="Book Antiqua"/>
        <w:sz w:val="24"/>
        <w:szCs w:val="24"/>
      </w:rPr>
      <w:fldChar w:fldCharType="separate"/>
    </w:r>
    <w:r w:rsidR="00654316">
      <w:rPr>
        <w:rFonts w:ascii="Book Antiqua" w:hAnsi="Book Antiqua"/>
        <w:noProof/>
        <w:sz w:val="24"/>
        <w:szCs w:val="24"/>
      </w:rPr>
      <w:t>20</w:t>
    </w:r>
    <w:r w:rsidRPr="0003798A">
      <w:rPr>
        <w:rFonts w:ascii="Book Antiqua" w:hAnsi="Book Antiqua"/>
        <w:sz w:val="24"/>
        <w:szCs w:val="24"/>
      </w:rPr>
      <w:fldChar w:fldCharType="end"/>
    </w:r>
  </w:p>
  <w:p w:rsidR="001C2607" w:rsidRDefault="006543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F58" w:rsidRDefault="008A7F58">
      <w:pPr>
        <w:spacing w:after="0" w:line="240" w:lineRule="auto"/>
      </w:pPr>
      <w:r>
        <w:separator/>
      </w:r>
    </w:p>
  </w:footnote>
  <w:footnote w:type="continuationSeparator" w:id="0">
    <w:p w:rsidR="008A7F58" w:rsidRDefault="008A7F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D44F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9B"/>
    <w:rsid w:val="00064D90"/>
    <w:rsid w:val="00221345"/>
    <w:rsid w:val="003E6726"/>
    <w:rsid w:val="00542E62"/>
    <w:rsid w:val="00564DBC"/>
    <w:rsid w:val="005B6993"/>
    <w:rsid w:val="00654316"/>
    <w:rsid w:val="00654A04"/>
    <w:rsid w:val="0068294E"/>
    <w:rsid w:val="006E094B"/>
    <w:rsid w:val="007D7F60"/>
    <w:rsid w:val="00816A51"/>
    <w:rsid w:val="00870827"/>
    <w:rsid w:val="008A7F58"/>
    <w:rsid w:val="00906D1E"/>
    <w:rsid w:val="00C4439B"/>
    <w:rsid w:val="00E34CF4"/>
    <w:rsid w:val="00F55B8C"/>
    <w:rsid w:val="00FE6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4B"/>
    <w:pPr>
      <w:spacing w:after="200" w:line="276" w:lineRule="auto"/>
      <w:jc w:val="left"/>
    </w:pPr>
    <w:rPr>
      <w:rFonts w:ascii="Calibri" w:hAnsi="Calibri" w:cs="Times New Roman"/>
      <w:kern w:val="0"/>
      <w:sz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E094B"/>
    <w:rPr>
      <w:color w:val="0000FF"/>
      <w:u w:val="single"/>
    </w:rPr>
  </w:style>
  <w:style w:type="paragraph" w:styleId="Header">
    <w:name w:val="header"/>
    <w:basedOn w:val="Normal"/>
    <w:link w:val="HeaderChar"/>
    <w:uiPriority w:val="99"/>
    <w:unhideWhenUsed/>
    <w:rsid w:val="006E094B"/>
    <w:pPr>
      <w:tabs>
        <w:tab w:val="center" w:pos="4677"/>
        <w:tab w:val="right" w:pos="9355"/>
      </w:tabs>
    </w:pPr>
  </w:style>
  <w:style w:type="character" w:customStyle="1" w:styleId="HeaderChar">
    <w:name w:val="Header Char"/>
    <w:basedOn w:val="DefaultParagraphFont"/>
    <w:link w:val="Header"/>
    <w:uiPriority w:val="99"/>
    <w:rsid w:val="006E094B"/>
    <w:rPr>
      <w:rFonts w:ascii="Calibri" w:hAnsi="Calibri" w:cs="Times New Roman"/>
      <w:kern w:val="0"/>
      <w:sz w:val="22"/>
      <w:lang w:val="ru-RU" w:eastAsia="en-US"/>
    </w:rPr>
  </w:style>
  <w:style w:type="paragraph" w:styleId="Footer">
    <w:name w:val="footer"/>
    <w:basedOn w:val="Normal"/>
    <w:link w:val="FooterChar"/>
    <w:uiPriority w:val="99"/>
    <w:unhideWhenUsed/>
    <w:rsid w:val="006E094B"/>
    <w:pPr>
      <w:tabs>
        <w:tab w:val="center" w:pos="4677"/>
        <w:tab w:val="right" w:pos="9355"/>
      </w:tabs>
    </w:pPr>
  </w:style>
  <w:style w:type="character" w:customStyle="1" w:styleId="FooterChar">
    <w:name w:val="Footer Char"/>
    <w:basedOn w:val="DefaultParagraphFont"/>
    <w:link w:val="Footer"/>
    <w:uiPriority w:val="99"/>
    <w:rsid w:val="006E094B"/>
    <w:rPr>
      <w:rFonts w:ascii="Calibri" w:hAnsi="Calibri" w:cs="Times New Roman"/>
      <w:kern w:val="0"/>
      <w:sz w:val="22"/>
      <w:lang w:val="ru-RU" w:eastAsia="en-US"/>
    </w:rPr>
  </w:style>
  <w:style w:type="paragraph" w:styleId="BalloonText">
    <w:name w:val="Balloon Text"/>
    <w:basedOn w:val="Normal"/>
    <w:link w:val="BalloonTextChar"/>
    <w:uiPriority w:val="99"/>
    <w:semiHidden/>
    <w:unhideWhenUsed/>
    <w:rsid w:val="006E09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94B"/>
    <w:rPr>
      <w:rFonts w:ascii="Lucida Grande" w:hAnsi="Lucida Grande" w:cs="Lucida Grande"/>
      <w:kern w:val="0"/>
      <w:sz w:val="18"/>
      <w:szCs w:val="18"/>
      <w:lang w:val="ru-RU" w:eastAsia="en-US"/>
    </w:rPr>
  </w:style>
  <w:style w:type="character" w:styleId="CommentReference">
    <w:name w:val="annotation reference"/>
    <w:uiPriority w:val="99"/>
    <w:semiHidden/>
    <w:unhideWhenUsed/>
    <w:rsid w:val="006E094B"/>
    <w:rPr>
      <w:sz w:val="18"/>
      <w:szCs w:val="18"/>
    </w:rPr>
  </w:style>
  <w:style w:type="paragraph" w:styleId="CommentText">
    <w:name w:val="annotation text"/>
    <w:basedOn w:val="Normal"/>
    <w:link w:val="CommentTextChar"/>
    <w:uiPriority w:val="99"/>
    <w:semiHidden/>
    <w:unhideWhenUsed/>
    <w:rsid w:val="006E094B"/>
    <w:rPr>
      <w:sz w:val="24"/>
      <w:szCs w:val="24"/>
    </w:rPr>
  </w:style>
  <w:style w:type="character" w:customStyle="1" w:styleId="CommentTextChar">
    <w:name w:val="Comment Text Char"/>
    <w:basedOn w:val="DefaultParagraphFont"/>
    <w:link w:val="CommentText"/>
    <w:uiPriority w:val="99"/>
    <w:semiHidden/>
    <w:rsid w:val="006E094B"/>
    <w:rPr>
      <w:rFonts w:ascii="Calibri" w:hAnsi="Calibri" w:cs="Times New Roman"/>
      <w:kern w:val="0"/>
      <w:sz w:val="24"/>
      <w:szCs w:val="24"/>
      <w:lang w:val="ru-RU" w:eastAsia="en-US"/>
    </w:rPr>
  </w:style>
  <w:style w:type="paragraph" w:styleId="CommentSubject">
    <w:name w:val="annotation subject"/>
    <w:basedOn w:val="CommentText"/>
    <w:next w:val="CommentText"/>
    <w:link w:val="CommentSubjectChar"/>
    <w:uiPriority w:val="99"/>
    <w:semiHidden/>
    <w:unhideWhenUsed/>
    <w:rsid w:val="006E094B"/>
    <w:rPr>
      <w:b/>
      <w:bCs/>
      <w:sz w:val="20"/>
      <w:szCs w:val="20"/>
    </w:rPr>
  </w:style>
  <w:style w:type="character" w:customStyle="1" w:styleId="CommentSubjectChar">
    <w:name w:val="Comment Subject Char"/>
    <w:basedOn w:val="CommentTextChar"/>
    <w:link w:val="CommentSubject"/>
    <w:uiPriority w:val="99"/>
    <w:semiHidden/>
    <w:rsid w:val="006E094B"/>
    <w:rPr>
      <w:rFonts w:ascii="Calibri" w:hAnsi="Calibri" w:cs="Times New Roman"/>
      <w:b/>
      <w:bCs/>
      <w:kern w:val="0"/>
      <w:sz w:val="20"/>
      <w:szCs w:val="20"/>
      <w:lang w:val="ru-RU" w:eastAsia="en-US"/>
    </w:rPr>
  </w:style>
  <w:style w:type="character" w:styleId="Emphasis">
    <w:name w:val="Emphasis"/>
    <w:qFormat/>
    <w:rsid w:val="0065431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4B"/>
    <w:pPr>
      <w:spacing w:after="200" w:line="276" w:lineRule="auto"/>
      <w:jc w:val="left"/>
    </w:pPr>
    <w:rPr>
      <w:rFonts w:ascii="Calibri" w:hAnsi="Calibri" w:cs="Times New Roman"/>
      <w:kern w:val="0"/>
      <w:sz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E094B"/>
    <w:rPr>
      <w:color w:val="0000FF"/>
      <w:u w:val="single"/>
    </w:rPr>
  </w:style>
  <w:style w:type="paragraph" w:styleId="Header">
    <w:name w:val="header"/>
    <w:basedOn w:val="Normal"/>
    <w:link w:val="HeaderChar"/>
    <w:uiPriority w:val="99"/>
    <w:unhideWhenUsed/>
    <w:rsid w:val="006E094B"/>
    <w:pPr>
      <w:tabs>
        <w:tab w:val="center" w:pos="4677"/>
        <w:tab w:val="right" w:pos="9355"/>
      </w:tabs>
    </w:pPr>
  </w:style>
  <w:style w:type="character" w:customStyle="1" w:styleId="HeaderChar">
    <w:name w:val="Header Char"/>
    <w:basedOn w:val="DefaultParagraphFont"/>
    <w:link w:val="Header"/>
    <w:uiPriority w:val="99"/>
    <w:rsid w:val="006E094B"/>
    <w:rPr>
      <w:rFonts w:ascii="Calibri" w:hAnsi="Calibri" w:cs="Times New Roman"/>
      <w:kern w:val="0"/>
      <w:sz w:val="22"/>
      <w:lang w:val="ru-RU" w:eastAsia="en-US"/>
    </w:rPr>
  </w:style>
  <w:style w:type="paragraph" w:styleId="Footer">
    <w:name w:val="footer"/>
    <w:basedOn w:val="Normal"/>
    <w:link w:val="FooterChar"/>
    <w:uiPriority w:val="99"/>
    <w:unhideWhenUsed/>
    <w:rsid w:val="006E094B"/>
    <w:pPr>
      <w:tabs>
        <w:tab w:val="center" w:pos="4677"/>
        <w:tab w:val="right" w:pos="9355"/>
      </w:tabs>
    </w:pPr>
  </w:style>
  <w:style w:type="character" w:customStyle="1" w:styleId="FooterChar">
    <w:name w:val="Footer Char"/>
    <w:basedOn w:val="DefaultParagraphFont"/>
    <w:link w:val="Footer"/>
    <w:uiPriority w:val="99"/>
    <w:rsid w:val="006E094B"/>
    <w:rPr>
      <w:rFonts w:ascii="Calibri" w:hAnsi="Calibri" w:cs="Times New Roman"/>
      <w:kern w:val="0"/>
      <w:sz w:val="22"/>
      <w:lang w:val="ru-RU" w:eastAsia="en-US"/>
    </w:rPr>
  </w:style>
  <w:style w:type="paragraph" w:styleId="BalloonText">
    <w:name w:val="Balloon Text"/>
    <w:basedOn w:val="Normal"/>
    <w:link w:val="BalloonTextChar"/>
    <w:uiPriority w:val="99"/>
    <w:semiHidden/>
    <w:unhideWhenUsed/>
    <w:rsid w:val="006E09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94B"/>
    <w:rPr>
      <w:rFonts w:ascii="Lucida Grande" w:hAnsi="Lucida Grande" w:cs="Lucida Grande"/>
      <w:kern w:val="0"/>
      <w:sz w:val="18"/>
      <w:szCs w:val="18"/>
      <w:lang w:val="ru-RU" w:eastAsia="en-US"/>
    </w:rPr>
  </w:style>
  <w:style w:type="character" w:styleId="CommentReference">
    <w:name w:val="annotation reference"/>
    <w:uiPriority w:val="99"/>
    <w:semiHidden/>
    <w:unhideWhenUsed/>
    <w:rsid w:val="006E094B"/>
    <w:rPr>
      <w:sz w:val="18"/>
      <w:szCs w:val="18"/>
    </w:rPr>
  </w:style>
  <w:style w:type="paragraph" w:styleId="CommentText">
    <w:name w:val="annotation text"/>
    <w:basedOn w:val="Normal"/>
    <w:link w:val="CommentTextChar"/>
    <w:uiPriority w:val="99"/>
    <w:semiHidden/>
    <w:unhideWhenUsed/>
    <w:rsid w:val="006E094B"/>
    <w:rPr>
      <w:sz w:val="24"/>
      <w:szCs w:val="24"/>
    </w:rPr>
  </w:style>
  <w:style w:type="character" w:customStyle="1" w:styleId="CommentTextChar">
    <w:name w:val="Comment Text Char"/>
    <w:basedOn w:val="DefaultParagraphFont"/>
    <w:link w:val="CommentText"/>
    <w:uiPriority w:val="99"/>
    <w:semiHidden/>
    <w:rsid w:val="006E094B"/>
    <w:rPr>
      <w:rFonts w:ascii="Calibri" w:hAnsi="Calibri" w:cs="Times New Roman"/>
      <w:kern w:val="0"/>
      <w:sz w:val="24"/>
      <w:szCs w:val="24"/>
      <w:lang w:val="ru-RU" w:eastAsia="en-US"/>
    </w:rPr>
  </w:style>
  <w:style w:type="paragraph" w:styleId="CommentSubject">
    <w:name w:val="annotation subject"/>
    <w:basedOn w:val="CommentText"/>
    <w:next w:val="CommentText"/>
    <w:link w:val="CommentSubjectChar"/>
    <w:uiPriority w:val="99"/>
    <w:semiHidden/>
    <w:unhideWhenUsed/>
    <w:rsid w:val="006E094B"/>
    <w:rPr>
      <w:b/>
      <w:bCs/>
      <w:sz w:val="20"/>
      <w:szCs w:val="20"/>
    </w:rPr>
  </w:style>
  <w:style w:type="character" w:customStyle="1" w:styleId="CommentSubjectChar">
    <w:name w:val="Comment Subject Char"/>
    <w:basedOn w:val="CommentTextChar"/>
    <w:link w:val="CommentSubject"/>
    <w:uiPriority w:val="99"/>
    <w:semiHidden/>
    <w:rsid w:val="006E094B"/>
    <w:rPr>
      <w:rFonts w:ascii="Calibri" w:hAnsi="Calibri" w:cs="Times New Roman"/>
      <w:b/>
      <w:bCs/>
      <w:kern w:val="0"/>
      <w:sz w:val="20"/>
      <w:szCs w:val="20"/>
      <w:lang w:val="ru-RU" w:eastAsia="en-US"/>
    </w:rPr>
  </w:style>
  <w:style w:type="character" w:styleId="Emphasis">
    <w:name w:val="Emphasis"/>
    <w:qFormat/>
    <w:rsid w:val="0065431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394684">
      <w:bodyDiv w:val="1"/>
      <w:marLeft w:val="0"/>
      <w:marRight w:val="0"/>
      <w:marTop w:val="0"/>
      <w:marBottom w:val="0"/>
      <w:divBdr>
        <w:top w:val="none" w:sz="0" w:space="0" w:color="auto"/>
        <w:left w:val="none" w:sz="0" w:space="0" w:color="auto"/>
        <w:bottom w:val="none" w:sz="0" w:space="0" w:color="auto"/>
        <w:right w:val="none" w:sz="0" w:space="0" w:color="auto"/>
      </w:divBdr>
      <w:divsChild>
        <w:div w:id="1930889354">
          <w:marLeft w:val="0"/>
          <w:marRight w:val="0"/>
          <w:marTop w:val="0"/>
          <w:marBottom w:val="0"/>
          <w:divBdr>
            <w:top w:val="none" w:sz="0" w:space="0" w:color="auto"/>
            <w:left w:val="none" w:sz="0" w:space="0" w:color="auto"/>
            <w:bottom w:val="none" w:sz="0" w:space="0" w:color="auto"/>
            <w:right w:val="none" w:sz="0" w:space="0" w:color="auto"/>
          </w:divBdr>
          <w:divsChild>
            <w:div w:id="333067343">
              <w:marLeft w:val="0"/>
              <w:marRight w:val="0"/>
              <w:marTop w:val="0"/>
              <w:marBottom w:val="0"/>
              <w:divBdr>
                <w:top w:val="none" w:sz="0" w:space="0" w:color="auto"/>
                <w:left w:val="none" w:sz="0" w:space="0" w:color="auto"/>
                <w:bottom w:val="none" w:sz="0" w:space="0" w:color="auto"/>
                <w:right w:val="none" w:sz="0" w:space="0" w:color="auto"/>
              </w:divBdr>
            </w:div>
            <w:div w:id="1237981019">
              <w:marLeft w:val="0"/>
              <w:marRight w:val="0"/>
              <w:marTop w:val="0"/>
              <w:marBottom w:val="0"/>
              <w:divBdr>
                <w:top w:val="none" w:sz="0" w:space="0" w:color="auto"/>
                <w:left w:val="none" w:sz="0" w:space="0" w:color="auto"/>
                <w:bottom w:val="none" w:sz="0" w:space="0" w:color="auto"/>
                <w:right w:val="none" w:sz="0" w:space="0" w:color="auto"/>
              </w:divBdr>
            </w:div>
            <w:div w:id="253630997">
              <w:marLeft w:val="0"/>
              <w:marRight w:val="0"/>
              <w:marTop w:val="0"/>
              <w:marBottom w:val="0"/>
              <w:divBdr>
                <w:top w:val="none" w:sz="0" w:space="0" w:color="auto"/>
                <w:left w:val="none" w:sz="0" w:space="0" w:color="auto"/>
                <w:bottom w:val="none" w:sz="0" w:space="0" w:color="auto"/>
                <w:right w:val="none" w:sz="0" w:space="0" w:color="auto"/>
              </w:divBdr>
            </w:div>
            <w:div w:id="363136077">
              <w:marLeft w:val="0"/>
              <w:marRight w:val="0"/>
              <w:marTop w:val="0"/>
              <w:marBottom w:val="0"/>
              <w:divBdr>
                <w:top w:val="none" w:sz="0" w:space="0" w:color="auto"/>
                <w:left w:val="none" w:sz="0" w:space="0" w:color="auto"/>
                <w:bottom w:val="none" w:sz="0" w:space="0" w:color="auto"/>
                <w:right w:val="none" w:sz="0" w:space="0" w:color="auto"/>
              </w:divBdr>
            </w:div>
            <w:div w:id="2031374757">
              <w:marLeft w:val="0"/>
              <w:marRight w:val="0"/>
              <w:marTop w:val="0"/>
              <w:marBottom w:val="0"/>
              <w:divBdr>
                <w:top w:val="none" w:sz="0" w:space="0" w:color="auto"/>
                <w:left w:val="none" w:sz="0" w:space="0" w:color="auto"/>
                <w:bottom w:val="none" w:sz="0" w:space="0" w:color="auto"/>
                <w:right w:val="none" w:sz="0" w:space="0" w:color="auto"/>
              </w:divBdr>
            </w:div>
            <w:div w:id="1392462240">
              <w:marLeft w:val="0"/>
              <w:marRight w:val="0"/>
              <w:marTop w:val="0"/>
              <w:marBottom w:val="0"/>
              <w:divBdr>
                <w:top w:val="none" w:sz="0" w:space="0" w:color="auto"/>
                <w:left w:val="none" w:sz="0" w:space="0" w:color="auto"/>
                <w:bottom w:val="none" w:sz="0" w:space="0" w:color="auto"/>
                <w:right w:val="none" w:sz="0" w:space="0" w:color="auto"/>
              </w:divBdr>
            </w:div>
            <w:div w:id="785659601">
              <w:marLeft w:val="0"/>
              <w:marRight w:val="0"/>
              <w:marTop w:val="0"/>
              <w:marBottom w:val="0"/>
              <w:divBdr>
                <w:top w:val="none" w:sz="0" w:space="0" w:color="auto"/>
                <w:left w:val="none" w:sz="0" w:space="0" w:color="auto"/>
                <w:bottom w:val="none" w:sz="0" w:space="0" w:color="auto"/>
                <w:right w:val="none" w:sz="0" w:space="0" w:color="auto"/>
              </w:divBdr>
            </w:div>
            <w:div w:id="56829960">
              <w:marLeft w:val="0"/>
              <w:marRight w:val="0"/>
              <w:marTop w:val="0"/>
              <w:marBottom w:val="0"/>
              <w:divBdr>
                <w:top w:val="none" w:sz="0" w:space="0" w:color="auto"/>
                <w:left w:val="none" w:sz="0" w:space="0" w:color="auto"/>
                <w:bottom w:val="none" w:sz="0" w:space="0" w:color="auto"/>
                <w:right w:val="none" w:sz="0" w:space="0" w:color="auto"/>
              </w:divBdr>
            </w:div>
            <w:div w:id="1140532201">
              <w:marLeft w:val="0"/>
              <w:marRight w:val="0"/>
              <w:marTop w:val="0"/>
              <w:marBottom w:val="0"/>
              <w:divBdr>
                <w:top w:val="none" w:sz="0" w:space="0" w:color="auto"/>
                <w:left w:val="none" w:sz="0" w:space="0" w:color="auto"/>
                <w:bottom w:val="none" w:sz="0" w:space="0" w:color="auto"/>
                <w:right w:val="none" w:sz="0" w:space="0" w:color="auto"/>
              </w:divBdr>
            </w:div>
            <w:div w:id="1155411371">
              <w:marLeft w:val="0"/>
              <w:marRight w:val="0"/>
              <w:marTop w:val="0"/>
              <w:marBottom w:val="0"/>
              <w:divBdr>
                <w:top w:val="none" w:sz="0" w:space="0" w:color="auto"/>
                <w:left w:val="none" w:sz="0" w:space="0" w:color="auto"/>
                <w:bottom w:val="none" w:sz="0" w:space="0" w:color="auto"/>
                <w:right w:val="none" w:sz="0" w:space="0" w:color="auto"/>
              </w:divBdr>
            </w:div>
            <w:div w:id="282032327">
              <w:marLeft w:val="0"/>
              <w:marRight w:val="0"/>
              <w:marTop w:val="0"/>
              <w:marBottom w:val="0"/>
              <w:divBdr>
                <w:top w:val="none" w:sz="0" w:space="0" w:color="auto"/>
                <w:left w:val="none" w:sz="0" w:space="0" w:color="auto"/>
                <w:bottom w:val="none" w:sz="0" w:space="0" w:color="auto"/>
                <w:right w:val="none" w:sz="0" w:space="0" w:color="auto"/>
              </w:divBdr>
            </w:div>
            <w:div w:id="289868946">
              <w:marLeft w:val="0"/>
              <w:marRight w:val="0"/>
              <w:marTop w:val="0"/>
              <w:marBottom w:val="0"/>
              <w:divBdr>
                <w:top w:val="none" w:sz="0" w:space="0" w:color="auto"/>
                <w:left w:val="none" w:sz="0" w:space="0" w:color="auto"/>
                <w:bottom w:val="none" w:sz="0" w:space="0" w:color="auto"/>
                <w:right w:val="none" w:sz="0" w:space="0" w:color="auto"/>
              </w:divBdr>
            </w:div>
            <w:div w:id="1461805629">
              <w:marLeft w:val="0"/>
              <w:marRight w:val="0"/>
              <w:marTop w:val="0"/>
              <w:marBottom w:val="0"/>
              <w:divBdr>
                <w:top w:val="none" w:sz="0" w:space="0" w:color="auto"/>
                <w:left w:val="none" w:sz="0" w:space="0" w:color="auto"/>
                <w:bottom w:val="none" w:sz="0" w:space="0" w:color="auto"/>
                <w:right w:val="none" w:sz="0" w:space="0" w:color="auto"/>
              </w:divBdr>
            </w:div>
            <w:div w:id="1795441107">
              <w:marLeft w:val="0"/>
              <w:marRight w:val="0"/>
              <w:marTop w:val="0"/>
              <w:marBottom w:val="0"/>
              <w:divBdr>
                <w:top w:val="none" w:sz="0" w:space="0" w:color="auto"/>
                <w:left w:val="none" w:sz="0" w:space="0" w:color="auto"/>
                <w:bottom w:val="none" w:sz="0" w:space="0" w:color="auto"/>
                <w:right w:val="none" w:sz="0" w:space="0" w:color="auto"/>
              </w:divBdr>
            </w:div>
            <w:div w:id="1497844057">
              <w:marLeft w:val="0"/>
              <w:marRight w:val="0"/>
              <w:marTop w:val="0"/>
              <w:marBottom w:val="0"/>
              <w:divBdr>
                <w:top w:val="none" w:sz="0" w:space="0" w:color="auto"/>
                <w:left w:val="none" w:sz="0" w:space="0" w:color="auto"/>
                <w:bottom w:val="none" w:sz="0" w:space="0" w:color="auto"/>
                <w:right w:val="none" w:sz="0" w:space="0" w:color="auto"/>
              </w:divBdr>
            </w:div>
            <w:div w:id="2002003360">
              <w:marLeft w:val="0"/>
              <w:marRight w:val="0"/>
              <w:marTop w:val="0"/>
              <w:marBottom w:val="0"/>
              <w:divBdr>
                <w:top w:val="none" w:sz="0" w:space="0" w:color="auto"/>
                <w:left w:val="none" w:sz="0" w:space="0" w:color="auto"/>
                <w:bottom w:val="none" w:sz="0" w:space="0" w:color="auto"/>
                <w:right w:val="none" w:sz="0" w:space="0" w:color="auto"/>
              </w:divBdr>
            </w:div>
            <w:div w:id="1835879508">
              <w:marLeft w:val="0"/>
              <w:marRight w:val="0"/>
              <w:marTop w:val="0"/>
              <w:marBottom w:val="0"/>
              <w:divBdr>
                <w:top w:val="none" w:sz="0" w:space="0" w:color="auto"/>
                <w:left w:val="none" w:sz="0" w:space="0" w:color="auto"/>
                <w:bottom w:val="none" w:sz="0" w:space="0" w:color="auto"/>
                <w:right w:val="none" w:sz="0" w:space="0" w:color="auto"/>
              </w:divBdr>
            </w:div>
            <w:div w:id="1313677326">
              <w:marLeft w:val="0"/>
              <w:marRight w:val="0"/>
              <w:marTop w:val="0"/>
              <w:marBottom w:val="0"/>
              <w:divBdr>
                <w:top w:val="none" w:sz="0" w:space="0" w:color="auto"/>
                <w:left w:val="none" w:sz="0" w:space="0" w:color="auto"/>
                <w:bottom w:val="none" w:sz="0" w:space="0" w:color="auto"/>
                <w:right w:val="none" w:sz="0" w:space="0" w:color="auto"/>
              </w:divBdr>
            </w:div>
            <w:div w:id="1063868001">
              <w:marLeft w:val="0"/>
              <w:marRight w:val="0"/>
              <w:marTop w:val="0"/>
              <w:marBottom w:val="0"/>
              <w:divBdr>
                <w:top w:val="none" w:sz="0" w:space="0" w:color="auto"/>
                <w:left w:val="none" w:sz="0" w:space="0" w:color="auto"/>
                <w:bottom w:val="none" w:sz="0" w:space="0" w:color="auto"/>
                <w:right w:val="none" w:sz="0" w:space="0" w:color="auto"/>
              </w:divBdr>
            </w:div>
            <w:div w:id="1794402517">
              <w:marLeft w:val="0"/>
              <w:marRight w:val="0"/>
              <w:marTop w:val="0"/>
              <w:marBottom w:val="0"/>
              <w:divBdr>
                <w:top w:val="none" w:sz="0" w:space="0" w:color="auto"/>
                <w:left w:val="none" w:sz="0" w:space="0" w:color="auto"/>
                <w:bottom w:val="none" w:sz="0" w:space="0" w:color="auto"/>
                <w:right w:val="none" w:sz="0" w:space="0" w:color="auto"/>
              </w:divBdr>
            </w:div>
            <w:div w:id="14409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3963</Words>
  <Characters>22591</Characters>
  <Application>Microsoft Macintosh Word</Application>
  <DocSecurity>0</DocSecurity>
  <Lines>188</Lines>
  <Paragraphs>53</Paragraphs>
  <ScaleCrop>false</ScaleCrop>
  <Company>微软中国</Company>
  <LinksUpToDate>false</LinksUpToDate>
  <CharactersWithSpaces>26501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Na Ma</cp:lastModifiedBy>
  <cp:revision>2</cp:revision>
  <dcterms:created xsi:type="dcterms:W3CDTF">2016-07-12T01:02:00Z</dcterms:created>
  <dcterms:modified xsi:type="dcterms:W3CDTF">2016-07-12T01:02:00Z</dcterms:modified>
</cp:coreProperties>
</file>