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B5E05B" w14:textId="4E8E1CE5" w:rsidR="0002190B" w:rsidRPr="005E456A" w:rsidRDefault="0002190B" w:rsidP="005E456A">
      <w:pPr>
        <w:spacing w:after="0" w:line="360" w:lineRule="auto"/>
        <w:jc w:val="both"/>
        <w:rPr>
          <w:rFonts w:ascii="Book Antiqua" w:hAnsi="Book Antiqua"/>
          <w:sz w:val="24"/>
          <w:szCs w:val="24"/>
        </w:rPr>
      </w:pPr>
      <w:r w:rsidRPr="005E456A">
        <w:rPr>
          <w:rFonts w:ascii="Book Antiqua" w:hAnsi="Book Antiqua"/>
          <w:b/>
          <w:sz w:val="24"/>
          <w:szCs w:val="24"/>
        </w:rPr>
        <w:t>Name of Journal:</w:t>
      </w:r>
      <w:r w:rsidRPr="005E456A">
        <w:rPr>
          <w:rFonts w:ascii="Book Antiqua" w:hAnsi="Book Antiqua"/>
          <w:b/>
          <w:i/>
          <w:sz w:val="24"/>
          <w:szCs w:val="24"/>
        </w:rPr>
        <w:t xml:space="preserve"> World Journal of Gastrointestinal Endoscopy</w:t>
      </w:r>
    </w:p>
    <w:p w14:paraId="6C6CE570" w14:textId="3F58F2FF" w:rsidR="0002190B" w:rsidRPr="005E456A" w:rsidRDefault="0002190B" w:rsidP="005E456A">
      <w:pPr>
        <w:spacing w:after="0" w:line="360" w:lineRule="auto"/>
        <w:jc w:val="both"/>
        <w:rPr>
          <w:rFonts w:ascii="Book Antiqua" w:hAnsi="Book Antiqua"/>
          <w:b/>
          <w:sz w:val="24"/>
          <w:szCs w:val="24"/>
        </w:rPr>
      </w:pPr>
      <w:r w:rsidRPr="005E456A">
        <w:rPr>
          <w:rFonts w:ascii="Book Antiqua" w:hAnsi="Book Antiqua"/>
          <w:b/>
          <w:sz w:val="24"/>
          <w:szCs w:val="24"/>
        </w:rPr>
        <w:t>ESPS Manuscript NO: 26113</w:t>
      </w:r>
    </w:p>
    <w:p w14:paraId="28AAE67C" w14:textId="5646A1FB" w:rsidR="0002190B" w:rsidRPr="005E456A" w:rsidRDefault="0002190B" w:rsidP="005E456A">
      <w:pPr>
        <w:spacing w:after="0" w:line="360" w:lineRule="auto"/>
        <w:jc w:val="both"/>
        <w:rPr>
          <w:rFonts w:ascii="Book Antiqua" w:hAnsi="Book Antiqua"/>
          <w:b/>
          <w:sz w:val="24"/>
          <w:szCs w:val="24"/>
        </w:rPr>
      </w:pPr>
      <w:r w:rsidRPr="005E456A">
        <w:rPr>
          <w:rFonts w:ascii="Book Antiqua" w:hAnsi="Book Antiqua"/>
          <w:b/>
          <w:sz w:val="24"/>
          <w:szCs w:val="24"/>
        </w:rPr>
        <w:t>Manuscript Type: Review</w:t>
      </w:r>
    </w:p>
    <w:p w14:paraId="526EF335" w14:textId="77777777" w:rsidR="0002190B" w:rsidRPr="005E456A" w:rsidRDefault="0002190B" w:rsidP="005E456A">
      <w:pPr>
        <w:spacing w:after="0" w:line="360" w:lineRule="auto"/>
        <w:jc w:val="both"/>
        <w:rPr>
          <w:rFonts w:ascii="Book Antiqua" w:hAnsi="Book Antiqua"/>
          <w:b/>
          <w:sz w:val="24"/>
          <w:szCs w:val="24"/>
        </w:rPr>
      </w:pPr>
    </w:p>
    <w:p w14:paraId="052B859B" w14:textId="41DEA744" w:rsidR="001B5254" w:rsidRPr="005E456A" w:rsidRDefault="0029727B" w:rsidP="005E456A">
      <w:pPr>
        <w:spacing w:after="0" w:line="360" w:lineRule="auto"/>
        <w:jc w:val="both"/>
        <w:rPr>
          <w:rFonts w:ascii="Book Antiqua" w:hAnsi="Book Antiqua" w:cs="Arial"/>
          <w:b/>
          <w:sz w:val="24"/>
          <w:szCs w:val="24"/>
        </w:rPr>
      </w:pPr>
      <w:r w:rsidRPr="005E456A">
        <w:rPr>
          <w:rFonts w:ascii="Book Antiqua" w:hAnsi="Book Antiqua" w:cs="Arial"/>
          <w:b/>
          <w:sz w:val="24"/>
          <w:szCs w:val="24"/>
        </w:rPr>
        <w:t>E</w:t>
      </w:r>
      <w:r w:rsidR="001B5254" w:rsidRPr="005E456A">
        <w:rPr>
          <w:rFonts w:ascii="Book Antiqua" w:hAnsi="Book Antiqua" w:cs="Arial"/>
          <w:b/>
          <w:sz w:val="24"/>
          <w:szCs w:val="24"/>
        </w:rPr>
        <w:t>vidence based review of the impact of image enhanced endoscopy in the diagnosis of gastric disorders</w:t>
      </w:r>
    </w:p>
    <w:p w14:paraId="108E41DE" w14:textId="77777777" w:rsidR="0029727B" w:rsidRPr="005E456A" w:rsidRDefault="0029727B" w:rsidP="005E456A">
      <w:pPr>
        <w:spacing w:after="0" w:line="360" w:lineRule="auto"/>
        <w:jc w:val="both"/>
        <w:rPr>
          <w:rFonts w:ascii="Book Antiqua" w:hAnsi="Book Antiqua" w:cs="Arial"/>
          <w:b/>
          <w:sz w:val="24"/>
          <w:szCs w:val="24"/>
        </w:rPr>
      </w:pPr>
    </w:p>
    <w:p w14:paraId="71B14500" w14:textId="04B7D1DB" w:rsidR="008055D3" w:rsidRPr="005E456A" w:rsidRDefault="0029727B" w:rsidP="005E456A">
      <w:pPr>
        <w:spacing w:after="0" w:line="360" w:lineRule="auto"/>
        <w:jc w:val="both"/>
        <w:rPr>
          <w:rFonts w:ascii="Book Antiqua" w:hAnsi="Book Antiqua" w:cs="Arial"/>
          <w:sz w:val="24"/>
          <w:szCs w:val="24"/>
        </w:rPr>
      </w:pPr>
      <w:r w:rsidRPr="005E456A">
        <w:rPr>
          <w:rFonts w:ascii="Book Antiqua" w:hAnsi="Book Antiqua" w:cs="Arial"/>
          <w:sz w:val="24"/>
          <w:szCs w:val="24"/>
        </w:rPr>
        <w:t xml:space="preserve">Hussain I </w:t>
      </w:r>
      <w:r w:rsidRPr="005E456A">
        <w:rPr>
          <w:rFonts w:ascii="Book Antiqua" w:hAnsi="Book Antiqua" w:cs="Arial"/>
          <w:i/>
          <w:sz w:val="24"/>
          <w:szCs w:val="24"/>
        </w:rPr>
        <w:t>et al</w:t>
      </w:r>
      <w:r w:rsidRPr="005E456A">
        <w:rPr>
          <w:rFonts w:ascii="Book Antiqua" w:hAnsi="Book Antiqua" w:cs="Arial"/>
          <w:sz w:val="24"/>
          <w:szCs w:val="24"/>
        </w:rPr>
        <w:t xml:space="preserve">. </w:t>
      </w:r>
      <w:r w:rsidR="001407D2" w:rsidRPr="005E456A">
        <w:rPr>
          <w:rFonts w:ascii="Book Antiqua" w:hAnsi="Book Antiqua" w:cs="Arial"/>
          <w:sz w:val="24"/>
          <w:szCs w:val="24"/>
        </w:rPr>
        <w:t>I</w:t>
      </w:r>
      <w:r w:rsidR="00EF63B5" w:rsidRPr="005E456A">
        <w:rPr>
          <w:rFonts w:ascii="Book Antiqua" w:hAnsi="Book Antiqua" w:cs="Arial"/>
          <w:sz w:val="24"/>
          <w:szCs w:val="24"/>
        </w:rPr>
        <w:t>m</w:t>
      </w:r>
      <w:r w:rsidR="000A6D61" w:rsidRPr="005E456A">
        <w:rPr>
          <w:rFonts w:ascii="Book Antiqua" w:hAnsi="Book Antiqua" w:cs="Arial"/>
          <w:sz w:val="24"/>
          <w:szCs w:val="24"/>
        </w:rPr>
        <w:t>age enhanced endoscopy gastric</w:t>
      </w:r>
    </w:p>
    <w:p w14:paraId="38B10BF5" w14:textId="77777777" w:rsidR="000A6D61" w:rsidRPr="005E456A" w:rsidRDefault="000A6D61" w:rsidP="005E456A">
      <w:pPr>
        <w:spacing w:after="0" w:line="360" w:lineRule="auto"/>
        <w:jc w:val="both"/>
        <w:rPr>
          <w:rFonts w:ascii="Book Antiqua" w:hAnsi="Book Antiqua" w:cs="Arial"/>
          <w:b/>
          <w:sz w:val="24"/>
          <w:szCs w:val="24"/>
        </w:rPr>
      </w:pPr>
    </w:p>
    <w:p w14:paraId="7B2492B0" w14:textId="6F5D83D3" w:rsidR="001B5254" w:rsidRPr="005E456A" w:rsidRDefault="00BA1BEC" w:rsidP="005E456A">
      <w:pPr>
        <w:spacing w:after="0" w:line="360" w:lineRule="auto"/>
        <w:jc w:val="both"/>
        <w:rPr>
          <w:rFonts w:ascii="Book Antiqua" w:hAnsi="Book Antiqua" w:cs="Arial"/>
          <w:b/>
          <w:sz w:val="24"/>
          <w:szCs w:val="24"/>
        </w:rPr>
      </w:pPr>
      <w:r w:rsidRPr="005E456A">
        <w:rPr>
          <w:rFonts w:ascii="Book Antiqua" w:hAnsi="Book Antiqua" w:cs="Arial"/>
          <w:b/>
          <w:sz w:val="24"/>
          <w:szCs w:val="24"/>
        </w:rPr>
        <w:t>I</w:t>
      </w:r>
      <w:r w:rsidR="00A04606" w:rsidRPr="005E456A">
        <w:rPr>
          <w:rFonts w:ascii="Book Antiqua" w:hAnsi="Book Antiqua" w:cs="Arial"/>
          <w:b/>
          <w:sz w:val="24"/>
          <w:szCs w:val="24"/>
        </w:rPr>
        <w:t>kram Hussain, Tiing Leong</w:t>
      </w:r>
      <w:r w:rsidR="007F4F67" w:rsidRPr="005E456A">
        <w:rPr>
          <w:rFonts w:ascii="Book Antiqua" w:hAnsi="Book Antiqua" w:cs="Arial"/>
          <w:b/>
          <w:sz w:val="24"/>
          <w:szCs w:val="24"/>
        </w:rPr>
        <w:t xml:space="preserve"> Ang</w:t>
      </w:r>
    </w:p>
    <w:p w14:paraId="451C5E3A" w14:textId="77777777" w:rsidR="008055D3" w:rsidRPr="005E456A" w:rsidRDefault="008055D3" w:rsidP="005E456A">
      <w:pPr>
        <w:spacing w:after="0" w:line="360" w:lineRule="auto"/>
        <w:jc w:val="both"/>
        <w:rPr>
          <w:rFonts w:ascii="Book Antiqua" w:hAnsi="Book Antiqua" w:cs="Arial"/>
          <w:b/>
          <w:sz w:val="24"/>
          <w:szCs w:val="24"/>
        </w:rPr>
      </w:pPr>
    </w:p>
    <w:p w14:paraId="6C57AD4F" w14:textId="4BBBD101" w:rsidR="00A50D50" w:rsidRPr="005E456A" w:rsidRDefault="0029727B" w:rsidP="005E456A">
      <w:pPr>
        <w:spacing w:after="0" w:line="360" w:lineRule="auto"/>
        <w:jc w:val="both"/>
        <w:rPr>
          <w:rFonts w:ascii="Book Antiqua" w:hAnsi="Book Antiqua" w:cs="Arial"/>
          <w:b/>
          <w:sz w:val="24"/>
          <w:szCs w:val="24"/>
        </w:rPr>
      </w:pPr>
      <w:r w:rsidRPr="005E456A">
        <w:rPr>
          <w:rFonts w:ascii="Book Antiqua" w:hAnsi="Book Antiqua" w:cs="Arial"/>
          <w:b/>
          <w:sz w:val="24"/>
          <w:szCs w:val="24"/>
        </w:rPr>
        <w:t xml:space="preserve">Ikram Hussain, Tiing Leong Ang, </w:t>
      </w:r>
      <w:r w:rsidR="00A50D50" w:rsidRPr="005E456A">
        <w:rPr>
          <w:rFonts w:ascii="Book Antiqua" w:hAnsi="Book Antiqua" w:cs="Arial"/>
          <w:sz w:val="24"/>
          <w:szCs w:val="24"/>
        </w:rPr>
        <w:t>Department of Gastroenterology and Hepatology, Changi Gene</w:t>
      </w:r>
      <w:r w:rsidR="00963874" w:rsidRPr="005E456A">
        <w:rPr>
          <w:rFonts w:ascii="Book Antiqua" w:hAnsi="Book Antiqua" w:cs="Arial"/>
          <w:sz w:val="24"/>
          <w:szCs w:val="24"/>
        </w:rPr>
        <w:t xml:space="preserve">ral Hospital, </w:t>
      </w:r>
      <w:r w:rsidR="005E456A" w:rsidRPr="005E456A">
        <w:rPr>
          <w:rFonts w:ascii="Book Antiqua" w:hAnsi="Book Antiqua" w:cs="Arial"/>
          <w:sz w:val="24"/>
          <w:szCs w:val="24"/>
        </w:rPr>
        <w:t>Singapore 529889, Singapore</w:t>
      </w:r>
    </w:p>
    <w:p w14:paraId="7AA0B285" w14:textId="77777777" w:rsidR="00B50930" w:rsidRPr="005E456A" w:rsidRDefault="00B50930" w:rsidP="005E456A">
      <w:pPr>
        <w:spacing w:after="0" w:line="360" w:lineRule="auto"/>
        <w:jc w:val="both"/>
        <w:rPr>
          <w:rFonts w:ascii="Book Antiqua" w:hAnsi="Book Antiqua" w:cs="Arial"/>
          <w:sz w:val="24"/>
          <w:szCs w:val="24"/>
        </w:rPr>
      </w:pPr>
    </w:p>
    <w:p w14:paraId="01ED9E38" w14:textId="786E5E08" w:rsidR="00B50930" w:rsidRPr="005E456A" w:rsidRDefault="00B50930" w:rsidP="005E456A">
      <w:pPr>
        <w:spacing w:after="0" w:line="360" w:lineRule="auto"/>
        <w:jc w:val="both"/>
        <w:rPr>
          <w:rFonts w:ascii="Book Antiqua" w:hAnsi="Book Antiqua" w:cs="Arial"/>
          <w:sz w:val="24"/>
          <w:szCs w:val="24"/>
        </w:rPr>
      </w:pPr>
      <w:r w:rsidRPr="005E456A">
        <w:rPr>
          <w:rFonts w:ascii="Book Antiqua" w:hAnsi="Book Antiqua" w:cs="Arial"/>
          <w:b/>
          <w:sz w:val="24"/>
          <w:szCs w:val="24"/>
        </w:rPr>
        <w:t xml:space="preserve">Author </w:t>
      </w:r>
      <w:r w:rsidR="00DE7641" w:rsidRPr="005E456A">
        <w:rPr>
          <w:rFonts w:ascii="Book Antiqua" w:hAnsi="Book Antiqua" w:cs="Arial"/>
          <w:b/>
          <w:sz w:val="24"/>
          <w:szCs w:val="24"/>
        </w:rPr>
        <w:t>c</w:t>
      </w:r>
      <w:r w:rsidRPr="005E456A">
        <w:rPr>
          <w:rFonts w:ascii="Book Antiqua" w:hAnsi="Book Antiqua" w:cs="Arial"/>
          <w:b/>
          <w:sz w:val="24"/>
          <w:szCs w:val="24"/>
        </w:rPr>
        <w:t>ontributions:</w:t>
      </w:r>
      <w:r w:rsidRPr="005E456A">
        <w:rPr>
          <w:rFonts w:ascii="Book Antiqua" w:hAnsi="Book Antiqua" w:cs="Arial"/>
          <w:sz w:val="24"/>
          <w:szCs w:val="24"/>
        </w:rPr>
        <w:t xml:space="preserve"> Both authors contributed </w:t>
      </w:r>
      <w:r w:rsidR="001E58D7" w:rsidRPr="005E456A">
        <w:rPr>
          <w:rFonts w:ascii="Book Antiqua" w:hAnsi="Book Antiqua" w:cs="Arial"/>
          <w:sz w:val="24"/>
          <w:szCs w:val="24"/>
        </w:rPr>
        <w:t xml:space="preserve">equally </w:t>
      </w:r>
      <w:r w:rsidRPr="005E456A">
        <w:rPr>
          <w:rFonts w:ascii="Book Antiqua" w:hAnsi="Book Antiqua" w:cs="Arial"/>
          <w:sz w:val="24"/>
          <w:szCs w:val="24"/>
        </w:rPr>
        <w:t>to the writing of this manuscript</w:t>
      </w:r>
      <w:r w:rsidR="00D92080">
        <w:rPr>
          <w:rFonts w:ascii="Book Antiqua" w:hAnsi="Book Antiqua" w:cs="Arial" w:hint="eastAsia"/>
          <w:sz w:val="24"/>
          <w:szCs w:val="24"/>
        </w:rPr>
        <w:t>.</w:t>
      </w:r>
    </w:p>
    <w:p w14:paraId="13DB6E3D" w14:textId="77777777" w:rsidR="008055D3" w:rsidRPr="005E456A" w:rsidRDefault="008055D3" w:rsidP="005E456A">
      <w:pPr>
        <w:spacing w:after="0" w:line="360" w:lineRule="auto"/>
        <w:jc w:val="both"/>
        <w:rPr>
          <w:rFonts w:ascii="Book Antiqua" w:hAnsi="Book Antiqua" w:cs="Arial"/>
          <w:sz w:val="24"/>
          <w:szCs w:val="24"/>
        </w:rPr>
      </w:pPr>
    </w:p>
    <w:p w14:paraId="6420CDDC" w14:textId="3D1A49AD" w:rsidR="00B50930" w:rsidRDefault="0041084D" w:rsidP="005E456A">
      <w:pPr>
        <w:spacing w:after="0" w:line="360" w:lineRule="auto"/>
        <w:jc w:val="both"/>
        <w:rPr>
          <w:rFonts w:ascii="Book Antiqua" w:hAnsi="Book Antiqua" w:cs="Arial"/>
          <w:sz w:val="24"/>
          <w:szCs w:val="24"/>
        </w:rPr>
      </w:pPr>
      <w:r w:rsidRPr="005E456A">
        <w:rPr>
          <w:rFonts w:ascii="Book Antiqua" w:hAnsi="Book Antiqua" w:cs="Arial"/>
          <w:b/>
          <w:sz w:val="24"/>
          <w:szCs w:val="24"/>
        </w:rPr>
        <w:t>Conflict-of-interest statement:</w:t>
      </w:r>
      <w:r w:rsidRPr="005E456A">
        <w:rPr>
          <w:rFonts w:ascii="Book Antiqua" w:hAnsi="Book Antiqua" w:cs="Arial"/>
          <w:sz w:val="24"/>
          <w:szCs w:val="24"/>
        </w:rPr>
        <w:t xml:space="preserve"> Authors declare no conflict of interests for this article</w:t>
      </w:r>
      <w:r w:rsidR="00D92080">
        <w:rPr>
          <w:rFonts w:ascii="Book Antiqua" w:hAnsi="Book Antiqua" w:cs="Arial" w:hint="eastAsia"/>
          <w:sz w:val="24"/>
          <w:szCs w:val="24"/>
        </w:rPr>
        <w:t>.</w:t>
      </w:r>
    </w:p>
    <w:p w14:paraId="5773C022" w14:textId="77777777" w:rsidR="00083E75" w:rsidRDefault="00083E75" w:rsidP="005E456A">
      <w:pPr>
        <w:spacing w:after="0" w:line="360" w:lineRule="auto"/>
        <w:jc w:val="both"/>
        <w:rPr>
          <w:rFonts w:ascii="Book Antiqua" w:hAnsi="Book Antiqua" w:cs="Arial"/>
          <w:sz w:val="24"/>
          <w:szCs w:val="24"/>
        </w:rPr>
      </w:pPr>
    </w:p>
    <w:p w14:paraId="279F6978" w14:textId="77777777" w:rsidR="00773105" w:rsidRPr="00773105" w:rsidRDefault="00773105" w:rsidP="00773105">
      <w:pPr>
        <w:widowControl w:val="0"/>
        <w:spacing w:after="0" w:line="360" w:lineRule="auto"/>
        <w:jc w:val="both"/>
        <w:rPr>
          <w:rFonts w:ascii="Book Antiqua" w:eastAsia="宋体" w:hAnsi="Book Antiqua" w:cs="Times New Roman"/>
          <w:kern w:val="2"/>
          <w:sz w:val="24"/>
          <w:szCs w:val="24"/>
          <w:lang w:val="en-US"/>
        </w:rPr>
      </w:pPr>
      <w:bookmarkStart w:id="0" w:name="OLE_LINK507"/>
      <w:bookmarkStart w:id="1" w:name="OLE_LINK506"/>
      <w:bookmarkStart w:id="2" w:name="OLE_LINK496"/>
      <w:bookmarkStart w:id="3" w:name="OLE_LINK479"/>
      <w:bookmarkStart w:id="4" w:name="OLE_LINK297"/>
      <w:bookmarkStart w:id="5" w:name="OLE_LINK298"/>
      <w:r w:rsidRPr="00773105">
        <w:rPr>
          <w:rFonts w:ascii="Book Antiqua" w:eastAsia="宋体" w:hAnsi="Book Antiqua" w:cs="Times New Roman"/>
          <w:b/>
          <w:kern w:val="2"/>
          <w:sz w:val="24"/>
          <w:szCs w:val="24"/>
          <w:lang w:val="en-US"/>
        </w:rPr>
        <w:t xml:space="preserve">Open-Access: </w:t>
      </w:r>
      <w:r w:rsidRPr="00773105">
        <w:rPr>
          <w:rFonts w:ascii="Book Antiqua" w:eastAsia="宋体" w:hAnsi="Book Antiqua" w:cs="Times New Roman"/>
          <w:kern w:val="2"/>
          <w:sz w:val="24"/>
          <w:szCs w:val="24"/>
          <w:lang w:val="en-US"/>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773105">
          <w:rPr>
            <w:rFonts w:ascii="Book Antiqua" w:eastAsia="宋体" w:hAnsi="Book Antiqua" w:cs="Times New Roman"/>
            <w:kern w:val="2"/>
            <w:sz w:val="24"/>
            <w:szCs w:val="24"/>
            <w:lang w:val="en-US"/>
          </w:rPr>
          <w:t>http://creativecommons.org/licenses/by-nc/4.0/</w:t>
        </w:r>
      </w:hyperlink>
      <w:bookmarkEnd w:id="0"/>
      <w:bookmarkEnd w:id="1"/>
      <w:bookmarkEnd w:id="2"/>
      <w:bookmarkEnd w:id="3"/>
    </w:p>
    <w:bookmarkEnd w:id="4"/>
    <w:bookmarkEnd w:id="5"/>
    <w:p w14:paraId="0E9EB93D" w14:textId="77777777" w:rsidR="00083E75" w:rsidRPr="005E456A" w:rsidRDefault="00083E75" w:rsidP="005E456A">
      <w:pPr>
        <w:spacing w:after="0" w:line="360" w:lineRule="auto"/>
        <w:jc w:val="both"/>
        <w:rPr>
          <w:rFonts w:ascii="Book Antiqua" w:hAnsi="Book Antiqua" w:cs="Arial"/>
          <w:sz w:val="24"/>
          <w:szCs w:val="24"/>
        </w:rPr>
      </w:pPr>
    </w:p>
    <w:p w14:paraId="53F54BF8" w14:textId="77777777" w:rsidR="00773105" w:rsidRPr="00773105" w:rsidRDefault="00773105" w:rsidP="00773105">
      <w:pPr>
        <w:widowControl w:val="0"/>
        <w:spacing w:after="0" w:line="360" w:lineRule="auto"/>
        <w:jc w:val="both"/>
        <w:rPr>
          <w:rFonts w:ascii="Book Antiqua" w:eastAsia="宋体" w:hAnsi="Book Antiqua" w:cs="Times New Roman"/>
          <w:kern w:val="2"/>
          <w:sz w:val="24"/>
          <w:szCs w:val="24"/>
          <w:lang w:val="en-US"/>
        </w:rPr>
      </w:pPr>
      <w:bookmarkStart w:id="6" w:name="OLE_LINK264"/>
      <w:bookmarkStart w:id="7" w:name="OLE_LINK265"/>
      <w:r w:rsidRPr="00773105">
        <w:rPr>
          <w:rFonts w:ascii="Book Antiqua" w:eastAsia="宋体" w:hAnsi="Book Antiqua" w:cs="Times New Roman"/>
          <w:b/>
          <w:kern w:val="2"/>
          <w:sz w:val="24"/>
          <w:szCs w:val="24"/>
          <w:lang w:val="en-US"/>
        </w:rPr>
        <w:t xml:space="preserve">Manuscript source: </w:t>
      </w:r>
      <w:r w:rsidRPr="00773105">
        <w:rPr>
          <w:rFonts w:ascii="Book Antiqua" w:eastAsia="宋体" w:hAnsi="Book Antiqua" w:cs="Times New Roman"/>
          <w:kern w:val="2"/>
          <w:sz w:val="24"/>
          <w:szCs w:val="24"/>
          <w:lang w:val="en-US"/>
        </w:rPr>
        <w:t>Invited manuscript</w:t>
      </w:r>
    </w:p>
    <w:bookmarkEnd w:id="6"/>
    <w:bookmarkEnd w:id="7"/>
    <w:p w14:paraId="59866E80" w14:textId="77777777" w:rsidR="00A50D50" w:rsidRPr="00773105" w:rsidRDefault="00A50D50" w:rsidP="005E456A">
      <w:pPr>
        <w:spacing w:after="0" w:line="360" w:lineRule="auto"/>
        <w:jc w:val="both"/>
        <w:rPr>
          <w:rFonts w:ascii="Book Antiqua" w:hAnsi="Book Antiqua" w:cs="Arial"/>
          <w:sz w:val="24"/>
          <w:szCs w:val="24"/>
          <w:lang w:val="en-US"/>
        </w:rPr>
      </w:pPr>
    </w:p>
    <w:p w14:paraId="36DE7C1A" w14:textId="626754D7" w:rsidR="005E456A" w:rsidRDefault="008055D3" w:rsidP="005E456A">
      <w:pPr>
        <w:spacing w:after="0" w:line="360" w:lineRule="auto"/>
        <w:jc w:val="both"/>
        <w:rPr>
          <w:rFonts w:ascii="Book Antiqua" w:hAnsi="Book Antiqua" w:cs="Arial"/>
          <w:sz w:val="24"/>
          <w:szCs w:val="24"/>
        </w:rPr>
      </w:pPr>
      <w:r w:rsidRPr="005E456A">
        <w:rPr>
          <w:rFonts w:ascii="Book Antiqua" w:hAnsi="Book Antiqua" w:cs="Arial"/>
          <w:b/>
          <w:sz w:val="24"/>
          <w:szCs w:val="24"/>
        </w:rPr>
        <w:t>Correspondence to:</w:t>
      </w:r>
      <w:r w:rsidRPr="0038264A">
        <w:rPr>
          <w:rFonts w:ascii="Book Antiqua" w:hAnsi="Book Antiqua" w:cs="Arial"/>
          <w:b/>
          <w:sz w:val="24"/>
          <w:szCs w:val="24"/>
        </w:rPr>
        <w:t xml:space="preserve"> </w:t>
      </w:r>
      <w:r w:rsidR="0038264A" w:rsidRPr="0038264A">
        <w:rPr>
          <w:rFonts w:ascii="Book Antiqua" w:hAnsi="Book Antiqua" w:cs="Arial"/>
          <w:b/>
          <w:sz w:val="24"/>
          <w:szCs w:val="24"/>
        </w:rPr>
        <w:t>Tiing Leong Ang, MBBS, MRCP (UK), FRCP Edin, Associate Professor,</w:t>
      </w:r>
      <w:r w:rsidR="0038264A" w:rsidRPr="0038264A">
        <w:rPr>
          <w:rFonts w:ascii="Book Antiqua" w:hAnsi="Book Antiqua" w:cs="Arial" w:hint="eastAsia"/>
          <w:b/>
          <w:sz w:val="24"/>
          <w:szCs w:val="24"/>
        </w:rPr>
        <w:t xml:space="preserve"> </w:t>
      </w:r>
      <w:r w:rsidRPr="005E456A">
        <w:rPr>
          <w:rFonts w:ascii="Book Antiqua" w:hAnsi="Book Antiqua" w:cs="Arial"/>
          <w:sz w:val="24"/>
          <w:szCs w:val="24"/>
        </w:rPr>
        <w:t xml:space="preserve">Department of Gastroenterology and Hepatology, Changi General Hospital, 2 Simei Street 3, </w:t>
      </w:r>
      <w:r w:rsidR="005E456A" w:rsidRPr="005E456A">
        <w:rPr>
          <w:rFonts w:ascii="Book Antiqua" w:hAnsi="Book Antiqua" w:cs="Arial"/>
          <w:sz w:val="24"/>
          <w:szCs w:val="24"/>
        </w:rPr>
        <w:t>Singapore 529889, Singapore</w:t>
      </w:r>
      <w:r w:rsidR="005E456A">
        <w:rPr>
          <w:rFonts w:ascii="Book Antiqua" w:hAnsi="Book Antiqua" w:cs="Arial"/>
          <w:sz w:val="24"/>
          <w:szCs w:val="24"/>
        </w:rPr>
        <w:t>.</w:t>
      </w:r>
      <w:r w:rsidR="005E456A">
        <w:rPr>
          <w:rFonts w:ascii="Book Antiqua" w:hAnsi="Book Antiqua" w:cs="Arial" w:hint="eastAsia"/>
          <w:sz w:val="24"/>
          <w:szCs w:val="24"/>
        </w:rPr>
        <w:t xml:space="preserve"> </w:t>
      </w:r>
      <w:hyperlink r:id="rId10" w:history="1">
        <w:r w:rsidRPr="005E456A">
          <w:rPr>
            <w:rStyle w:val="Hyperlink"/>
            <w:rFonts w:ascii="Book Antiqua" w:hAnsi="Book Antiqua" w:cs="Arial"/>
            <w:color w:val="auto"/>
            <w:sz w:val="24"/>
            <w:szCs w:val="24"/>
            <w:u w:val="none"/>
          </w:rPr>
          <w:t>tiing_leong_ang@cgh.com.sg</w:t>
        </w:r>
      </w:hyperlink>
    </w:p>
    <w:p w14:paraId="547B58B0" w14:textId="062F9FBE" w:rsidR="005E456A" w:rsidRDefault="008055D3" w:rsidP="005E456A">
      <w:pPr>
        <w:spacing w:after="0" w:line="360" w:lineRule="auto"/>
        <w:jc w:val="both"/>
        <w:rPr>
          <w:rFonts w:ascii="Book Antiqua" w:hAnsi="Book Antiqua" w:cs="Arial"/>
          <w:sz w:val="24"/>
          <w:szCs w:val="24"/>
        </w:rPr>
      </w:pPr>
      <w:r w:rsidRPr="005E456A">
        <w:rPr>
          <w:rFonts w:ascii="Book Antiqua" w:hAnsi="Book Antiqua" w:cs="Arial"/>
          <w:b/>
          <w:sz w:val="24"/>
          <w:szCs w:val="24"/>
        </w:rPr>
        <w:lastRenderedPageBreak/>
        <w:t>Telephone:</w:t>
      </w:r>
      <w:r w:rsidR="0014640A">
        <w:rPr>
          <w:rFonts w:ascii="Book Antiqua" w:hAnsi="Book Antiqua" w:cs="Arial"/>
          <w:sz w:val="24"/>
          <w:szCs w:val="24"/>
        </w:rPr>
        <w:t xml:space="preserve"> +65-6788</w:t>
      </w:r>
      <w:r w:rsidRPr="005E456A">
        <w:rPr>
          <w:rFonts w:ascii="Book Antiqua" w:hAnsi="Book Antiqua" w:cs="Arial"/>
          <w:sz w:val="24"/>
          <w:szCs w:val="24"/>
        </w:rPr>
        <w:t>8833</w:t>
      </w:r>
    </w:p>
    <w:p w14:paraId="1BBBB0BA" w14:textId="1B062890" w:rsidR="00BA422E" w:rsidRPr="005E456A" w:rsidRDefault="008055D3" w:rsidP="005E456A">
      <w:pPr>
        <w:spacing w:after="0" w:line="360" w:lineRule="auto"/>
        <w:jc w:val="both"/>
        <w:rPr>
          <w:rFonts w:ascii="Book Antiqua" w:hAnsi="Book Antiqua" w:cs="Arial"/>
          <w:sz w:val="24"/>
          <w:szCs w:val="24"/>
        </w:rPr>
      </w:pPr>
      <w:r w:rsidRPr="005E456A">
        <w:rPr>
          <w:rFonts w:ascii="Book Antiqua" w:hAnsi="Book Antiqua" w:cs="Arial"/>
          <w:b/>
          <w:sz w:val="24"/>
          <w:szCs w:val="24"/>
        </w:rPr>
        <w:t>Fax:</w:t>
      </w:r>
      <w:r w:rsidR="00963874" w:rsidRPr="005E456A">
        <w:rPr>
          <w:rFonts w:ascii="Book Antiqua" w:hAnsi="Book Antiqua" w:cs="Arial"/>
          <w:sz w:val="24"/>
          <w:szCs w:val="24"/>
        </w:rPr>
        <w:t xml:space="preserve"> +65-67616202</w:t>
      </w:r>
    </w:p>
    <w:p w14:paraId="233A1DBB" w14:textId="77777777" w:rsidR="00963874" w:rsidRPr="005E456A" w:rsidRDefault="00963874" w:rsidP="005E456A">
      <w:pPr>
        <w:spacing w:after="0" w:line="360" w:lineRule="auto"/>
        <w:jc w:val="both"/>
        <w:rPr>
          <w:rFonts w:ascii="Book Antiqua" w:hAnsi="Book Antiqua" w:cs="Arial"/>
          <w:b/>
          <w:sz w:val="24"/>
          <w:szCs w:val="24"/>
        </w:rPr>
      </w:pPr>
    </w:p>
    <w:p w14:paraId="5F0F0E5A" w14:textId="5F029BE7" w:rsidR="008C758E" w:rsidRPr="00B137CF" w:rsidRDefault="008C758E" w:rsidP="008C758E">
      <w:pPr>
        <w:pStyle w:val="PlainText"/>
        <w:spacing w:line="360" w:lineRule="auto"/>
        <w:rPr>
          <w:rFonts w:ascii="Book Antiqua" w:hAnsi="Book Antiqua" w:cs="Times New Roman"/>
          <w:b/>
          <w:sz w:val="24"/>
          <w:szCs w:val="24"/>
        </w:rPr>
      </w:pPr>
      <w:bookmarkStart w:id="8" w:name="OLE_LINK284"/>
      <w:bookmarkStart w:id="9" w:name="OLE_LINK285"/>
      <w:r w:rsidRPr="00B137CF">
        <w:rPr>
          <w:rFonts w:ascii="Book Antiqua" w:hAnsi="Book Antiqua" w:cs="Times New Roman"/>
          <w:b/>
          <w:sz w:val="24"/>
          <w:szCs w:val="24"/>
        </w:rPr>
        <w:t>Received:</w:t>
      </w:r>
      <w:r w:rsidRPr="00B137CF">
        <w:rPr>
          <w:rFonts w:ascii="Book Antiqua" w:hAnsi="Book Antiqua" w:cs="Times New Roman"/>
          <w:sz w:val="24"/>
          <w:szCs w:val="24"/>
        </w:rPr>
        <w:t xml:space="preserve"> </w:t>
      </w:r>
      <w:r w:rsidR="00A25FE3">
        <w:rPr>
          <w:rFonts w:ascii="Book Antiqua" w:hAnsi="Book Antiqua" w:cs="Times New Roman" w:hint="eastAsia"/>
          <w:sz w:val="24"/>
          <w:szCs w:val="24"/>
        </w:rPr>
        <w:t>March 29</w:t>
      </w:r>
      <w:r w:rsidRPr="00B137CF">
        <w:rPr>
          <w:rFonts w:ascii="Book Antiqua" w:hAnsi="Book Antiqua" w:cs="Times New Roman"/>
          <w:sz w:val="24"/>
          <w:szCs w:val="24"/>
        </w:rPr>
        <w:t>, 2016</w:t>
      </w:r>
    </w:p>
    <w:p w14:paraId="5FA6712E" w14:textId="2463360B" w:rsidR="008C758E" w:rsidRPr="00B137CF" w:rsidRDefault="008C758E" w:rsidP="008C758E">
      <w:pPr>
        <w:pStyle w:val="PlainText"/>
        <w:spacing w:line="360" w:lineRule="auto"/>
        <w:rPr>
          <w:rFonts w:ascii="Book Antiqua" w:hAnsi="Book Antiqua" w:cs="Times New Roman"/>
          <w:b/>
          <w:sz w:val="24"/>
          <w:szCs w:val="24"/>
        </w:rPr>
      </w:pPr>
      <w:r w:rsidRPr="00B137CF">
        <w:rPr>
          <w:rFonts w:ascii="Book Antiqua" w:hAnsi="Book Antiqua" w:cs="Times New Roman"/>
          <w:b/>
          <w:sz w:val="24"/>
          <w:szCs w:val="24"/>
        </w:rPr>
        <w:t>Peer-review started:</w:t>
      </w:r>
      <w:r w:rsidRPr="00B137CF">
        <w:rPr>
          <w:rFonts w:ascii="Book Antiqua" w:hAnsi="Book Antiqua" w:cs="Times New Roman"/>
          <w:sz w:val="24"/>
          <w:szCs w:val="24"/>
        </w:rPr>
        <w:t xml:space="preserve"> </w:t>
      </w:r>
      <w:r w:rsidR="00A25FE3">
        <w:rPr>
          <w:rFonts w:ascii="Book Antiqua" w:hAnsi="Book Antiqua" w:cs="Times New Roman" w:hint="eastAsia"/>
          <w:sz w:val="24"/>
          <w:szCs w:val="24"/>
        </w:rPr>
        <w:t>April</w:t>
      </w:r>
      <w:r w:rsidRPr="00B137CF">
        <w:rPr>
          <w:rFonts w:ascii="Book Antiqua" w:hAnsi="Book Antiqua" w:cs="Times New Roman"/>
          <w:sz w:val="24"/>
          <w:szCs w:val="24"/>
        </w:rPr>
        <w:t xml:space="preserve"> </w:t>
      </w:r>
      <w:r w:rsidR="00A25FE3">
        <w:rPr>
          <w:rFonts w:ascii="Book Antiqua" w:hAnsi="Book Antiqua" w:cs="Times New Roman" w:hint="eastAsia"/>
          <w:sz w:val="24"/>
          <w:szCs w:val="24"/>
        </w:rPr>
        <w:t>1</w:t>
      </w:r>
      <w:r w:rsidRPr="00B137CF">
        <w:rPr>
          <w:rFonts w:ascii="Book Antiqua" w:hAnsi="Book Antiqua" w:cs="Times New Roman"/>
          <w:sz w:val="24"/>
          <w:szCs w:val="24"/>
        </w:rPr>
        <w:t>, 2016</w:t>
      </w:r>
    </w:p>
    <w:p w14:paraId="0F50CD6D" w14:textId="2A84A620" w:rsidR="008C758E" w:rsidRPr="00B137CF" w:rsidRDefault="008C758E" w:rsidP="008C758E">
      <w:pPr>
        <w:pStyle w:val="PlainText"/>
        <w:spacing w:line="360" w:lineRule="auto"/>
        <w:rPr>
          <w:rFonts w:ascii="Book Antiqua" w:hAnsi="Book Antiqua" w:cs="Times New Roman"/>
          <w:b/>
          <w:sz w:val="24"/>
          <w:szCs w:val="24"/>
        </w:rPr>
      </w:pPr>
      <w:r w:rsidRPr="00B137CF">
        <w:rPr>
          <w:rFonts w:ascii="Book Antiqua" w:hAnsi="Book Antiqua" w:cs="Times New Roman"/>
          <w:b/>
          <w:sz w:val="24"/>
          <w:szCs w:val="24"/>
        </w:rPr>
        <w:t>First decision:</w:t>
      </w:r>
      <w:r w:rsidRPr="00B137CF">
        <w:rPr>
          <w:rFonts w:ascii="Book Antiqua" w:hAnsi="Book Antiqua" w:cs="Times New Roman"/>
          <w:sz w:val="24"/>
          <w:szCs w:val="24"/>
        </w:rPr>
        <w:t xml:space="preserve"> </w:t>
      </w:r>
      <w:r>
        <w:rPr>
          <w:rFonts w:ascii="Book Antiqua" w:hAnsi="Book Antiqua" w:cs="Times New Roman" w:hint="eastAsia"/>
          <w:sz w:val="24"/>
          <w:szCs w:val="24"/>
        </w:rPr>
        <w:t>Ju</w:t>
      </w:r>
      <w:r w:rsidR="0032160B">
        <w:rPr>
          <w:rFonts w:ascii="Book Antiqua" w:hAnsi="Book Antiqua" w:cs="Times New Roman" w:hint="eastAsia"/>
          <w:sz w:val="24"/>
          <w:szCs w:val="24"/>
        </w:rPr>
        <w:t>ne</w:t>
      </w:r>
      <w:r w:rsidRPr="00B137CF">
        <w:rPr>
          <w:rFonts w:ascii="Book Antiqua" w:hAnsi="Book Antiqua" w:cs="Times New Roman"/>
          <w:sz w:val="24"/>
          <w:szCs w:val="24"/>
        </w:rPr>
        <w:t xml:space="preserve"> </w:t>
      </w:r>
      <w:r w:rsidR="0032160B">
        <w:rPr>
          <w:rFonts w:ascii="Book Antiqua" w:hAnsi="Book Antiqua" w:cs="Times New Roman" w:hint="eastAsia"/>
          <w:sz w:val="24"/>
          <w:szCs w:val="24"/>
        </w:rPr>
        <w:t>12</w:t>
      </w:r>
      <w:r w:rsidRPr="00B137CF">
        <w:rPr>
          <w:rFonts w:ascii="Book Antiqua" w:hAnsi="Book Antiqua" w:cs="Times New Roman"/>
          <w:sz w:val="24"/>
          <w:szCs w:val="24"/>
        </w:rPr>
        <w:t>, 2016</w:t>
      </w:r>
    </w:p>
    <w:p w14:paraId="29E58EAA" w14:textId="39976F74" w:rsidR="008C758E" w:rsidRPr="00F96EC2" w:rsidRDefault="008C758E" w:rsidP="008C758E">
      <w:pPr>
        <w:pStyle w:val="PlainText"/>
        <w:spacing w:line="360" w:lineRule="auto"/>
        <w:rPr>
          <w:rFonts w:ascii="Book Antiqua" w:hAnsi="Book Antiqua" w:cs="Times New Roman"/>
          <w:b/>
          <w:sz w:val="24"/>
          <w:szCs w:val="24"/>
        </w:rPr>
      </w:pPr>
      <w:r w:rsidRPr="00B137CF">
        <w:rPr>
          <w:rFonts w:ascii="Book Antiqua" w:hAnsi="Book Antiqua" w:cs="Times New Roman"/>
          <w:b/>
          <w:sz w:val="24"/>
          <w:szCs w:val="24"/>
        </w:rPr>
        <w:t xml:space="preserve">Revised: </w:t>
      </w:r>
      <w:r>
        <w:rPr>
          <w:rFonts w:ascii="Book Antiqua" w:hAnsi="Book Antiqua" w:cs="Times New Roman" w:hint="eastAsia"/>
          <w:sz w:val="24"/>
          <w:szCs w:val="24"/>
        </w:rPr>
        <w:t>July</w:t>
      </w:r>
      <w:r w:rsidRPr="00B137CF">
        <w:rPr>
          <w:rFonts w:ascii="Book Antiqua" w:hAnsi="Book Antiqua" w:cs="Times New Roman"/>
          <w:sz w:val="24"/>
          <w:szCs w:val="24"/>
        </w:rPr>
        <w:t xml:space="preserve"> </w:t>
      </w:r>
      <w:r>
        <w:rPr>
          <w:rFonts w:ascii="Book Antiqua" w:hAnsi="Book Antiqua" w:cs="Times New Roman" w:hint="eastAsia"/>
          <w:sz w:val="24"/>
          <w:szCs w:val="24"/>
        </w:rPr>
        <w:t>2</w:t>
      </w:r>
      <w:r w:rsidR="0032160B">
        <w:rPr>
          <w:rFonts w:ascii="Book Antiqua" w:hAnsi="Book Antiqua" w:cs="Times New Roman" w:hint="eastAsia"/>
          <w:sz w:val="24"/>
          <w:szCs w:val="24"/>
        </w:rPr>
        <w:t>8</w:t>
      </w:r>
      <w:r w:rsidRPr="00B137CF">
        <w:rPr>
          <w:rFonts w:ascii="Book Antiqua" w:hAnsi="Book Antiqua" w:cs="Times New Roman"/>
          <w:sz w:val="24"/>
          <w:szCs w:val="24"/>
        </w:rPr>
        <w:t>, 2016</w:t>
      </w:r>
    </w:p>
    <w:p w14:paraId="669ECED8" w14:textId="09B9313F" w:rsidR="008C758E" w:rsidRPr="00AD0E2B" w:rsidRDefault="008C758E" w:rsidP="008C758E">
      <w:pPr>
        <w:pStyle w:val="PlainText"/>
        <w:spacing w:line="360" w:lineRule="auto"/>
        <w:rPr>
          <w:rFonts w:ascii="Book Antiqua" w:hAnsi="Book Antiqua" w:cs="Times New Roman"/>
          <w:b/>
          <w:iCs/>
          <w:sz w:val="24"/>
          <w:szCs w:val="24"/>
        </w:rPr>
      </w:pPr>
      <w:r w:rsidRPr="00B137CF">
        <w:rPr>
          <w:rFonts w:ascii="Book Antiqua" w:hAnsi="Book Antiqua" w:cs="Times New Roman"/>
          <w:b/>
          <w:sz w:val="24"/>
          <w:szCs w:val="24"/>
        </w:rPr>
        <w:t xml:space="preserve">Accepted: </w:t>
      </w:r>
      <w:r w:rsidR="00AD0E2B" w:rsidRPr="00AD0E2B">
        <w:rPr>
          <w:rFonts w:ascii="Book Antiqua" w:hAnsi="Book Antiqua" w:cs="Times New Roman"/>
          <w:iCs/>
          <w:sz w:val="24"/>
          <w:szCs w:val="24"/>
        </w:rPr>
        <w:t xml:space="preserve">September </w:t>
      </w:r>
      <w:r w:rsidR="00AD0E2B" w:rsidRPr="00AD0E2B">
        <w:rPr>
          <w:rFonts w:ascii="Book Antiqua" w:hAnsi="Book Antiqua" w:cs="Times New Roman" w:hint="eastAsia"/>
          <w:iCs/>
          <w:sz w:val="24"/>
          <w:szCs w:val="24"/>
        </w:rPr>
        <w:t>21</w:t>
      </w:r>
      <w:r w:rsidR="00AD0E2B" w:rsidRPr="00AD0E2B">
        <w:rPr>
          <w:rFonts w:ascii="Book Antiqua" w:hAnsi="Book Antiqua" w:cs="Times New Roman"/>
          <w:iCs/>
          <w:sz w:val="24"/>
          <w:szCs w:val="24"/>
        </w:rPr>
        <w:t>, 2016</w:t>
      </w:r>
      <w:bookmarkStart w:id="10" w:name="_GoBack"/>
      <w:bookmarkEnd w:id="10"/>
    </w:p>
    <w:p w14:paraId="7572326C" w14:textId="77777777" w:rsidR="008C758E" w:rsidRPr="00B137CF" w:rsidRDefault="008C758E" w:rsidP="008C758E">
      <w:pPr>
        <w:pStyle w:val="PlainText"/>
        <w:spacing w:line="360" w:lineRule="auto"/>
        <w:rPr>
          <w:rFonts w:ascii="Book Antiqua" w:hAnsi="Book Antiqua" w:cs="Times New Roman"/>
          <w:b/>
          <w:sz w:val="24"/>
          <w:szCs w:val="24"/>
        </w:rPr>
      </w:pPr>
      <w:r w:rsidRPr="00B137CF">
        <w:rPr>
          <w:rFonts w:ascii="Book Antiqua" w:hAnsi="Book Antiqua" w:cs="Times New Roman"/>
          <w:b/>
          <w:sz w:val="24"/>
          <w:szCs w:val="24"/>
        </w:rPr>
        <w:t xml:space="preserve">Article in press: </w:t>
      </w:r>
    </w:p>
    <w:p w14:paraId="39054009" w14:textId="77777777" w:rsidR="008C758E" w:rsidRPr="00B137CF" w:rsidRDefault="008C758E" w:rsidP="008C758E">
      <w:pPr>
        <w:pStyle w:val="PlainText"/>
        <w:spacing w:line="360" w:lineRule="auto"/>
        <w:rPr>
          <w:rFonts w:ascii="Book Antiqua" w:hAnsi="Book Antiqua" w:cs="Times New Roman"/>
          <w:b/>
          <w:sz w:val="24"/>
          <w:szCs w:val="24"/>
        </w:rPr>
      </w:pPr>
      <w:r w:rsidRPr="00B137CF">
        <w:rPr>
          <w:rFonts w:ascii="Book Antiqua" w:hAnsi="Book Antiqua" w:cs="Times New Roman"/>
          <w:b/>
          <w:sz w:val="24"/>
          <w:szCs w:val="24"/>
        </w:rPr>
        <w:t xml:space="preserve">Published online: </w:t>
      </w:r>
    </w:p>
    <w:bookmarkEnd w:id="8"/>
    <w:bookmarkEnd w:id="9"/>
    <w:p w14:paraId="079349C2" w14:textId="77777777" w:rsidR="00963874" w:rsidRPr="008C758E" w:rsidRDefault="00963874" w:rsidP="005E456A">
      <w:pPr>
        <w:spacing w:after="0" w:line="360" w:lineRule="auto"/>
        <w:jc w:val="both"/>
        <w:rPr>
          <w:rFonts w:ascii="Book Antiqua" w:hAnsi="Book Antiqua" w:cs="Arial"/>
          <w:b/>
          <w:sz w:val="24"/>
          <w:szCs w:val="24"/>
          <w:lang w:val="en-US"/>
        </w:rPr>
      </w:pPr>
    </w:p>
    <w:p w14:paraId="45CAFBC6" w14:textId="77777777" w:rsidR="00977475" w:rsidRPr="005E456A" w:rsidRDefault="00977475" w:rsidP="005E456A">
      <w:pPr>
        <w:spacing w:after="0" w:line="360" w:lineRule="auto"/>
        <w:jc w:val="both"/>
        <w:rPr>
          <w:rFonts w:ascii="Book Antiqua" w:hAnsi="Book Antiqua" w:cs="Arial"/>
          <w:b/>
          <w:sz w:val="24"/>
          <w:szCs w:val="24"/>
        </w:rPr>
      </w:pPr>
    </w:p>
    <w:p w14:paraId="1729B54C" w14:textId="77777777" w:rsidR="00977475" w:rsidRPr="005E456A" w:rsidRDefault="00977475" w:rsidP="005E456A">
      <w:pPr>
        <w:spacing w:after="0" w:line="360" w:lineRule="auto"/>
        <w:jc w:val="both"/>
        <w:rPr>
          <w:rFonts w:ascii="Book Antiqua" w:hAnsi="Book Antiqua" w:cs="Arial"/>
          <w:b/>
          <w:sz w:val="24"/>
          <w:szCs w:val="24"/>
        </w:rPr>
      </w:pPr>
    </w:p>
    <w:p w14:paraId="361CDA55" w14:textId="77777777" w:rsidR="00977475" w:rsidRPr="005E456A" w:rsidRDefault="00977475" w:rsidP="005E456A">
      <w:pPr>
        <w:spacing w:after="0" w:line="360" w:lineRule="auto"/>
        <w:jc w:val="both"/>
        <w:rPr>
          <w:rFonts w:ascii="Book Antiqua" w:hAnsi="Book Antiqua" w:cs="Arial"/>
          <w:b/>
          <w:sz w:val="24"/>
          <w:szCs w:val="24"/>
        </w:rPr>
      </w:pPr>
    </w:p>
    <w:p w14:paraId="0BF0D1CA" w14:textId="77777777" w:rsidR="00977475" w:rsidRPr="005E456A" w:rsidRDefault="00977475" w:rsidP="005E456A">
      <w:pPr>
        <w:spacing w:after="0" w:line="360" w:lineRule="auto"/>
        <w:jc w:val="both"/>
        <w:rPr>
          <w:rFonts w:ascii="Book Antiqua" w:hAnsi="Book Antiqua" w:cs="Arial"/>
          <w:b/>
          <w:sz w:val="24"/>
          <w:szCs w:val="24"/>
        </w:rPr>
      </w:pPr>
    </w:p>
    <w:p w14:paraId="3080CF2F" w14:textId="77777777" w:rsidR="001E58D7" w:rsidRPr="005E456A" w:rsidRDefault="001E58D7" w:rsidP="005E456A">
      <w:pPr>
        <w:spacing w:after="0" w:line="360" w:lineRule="auto"/>
        <w:jc w:val="both"/>
        <w:rPr>
          <w:rFonts w:ascii="Book Antiqua" w:hAnsi="Book Antiqua" w:cs="Arial"/>
          <w:b/>
          <w:sz w:val="24"/>
          <w:szCs w:val="24"/>
        </w:rPr>
      </w:pPr>
    </w:p>
    <w:p w14:paraId="4961327E" w14:textId="77777777" w:rsidR="0032160B" w:rsidRDefault="0032160B">
      <w:pPr>
        <w:rPr>
          <w:rFonts w:ascii="Book Antiqua" w:hAnsi="Book Antiqua" w:cs="Arial"/>
          <w:b/>
          <w:sz w:val="24"/>
          <w:szCs w:val="24"/>
        </w:rPr>
      </w:pPr>
      <w:r>
        <w:rPr>
          <w:rFonts w:ascii="Book Antiqua" w:hAnsi="Book Antiqua" w:cs="Arial"/>
          <w:b/>
          <w:sz w:val="24"/>
          <w:szCs w:val="24"/>
        </w:rPr>
        <w:br w:type="page"/>
      </w:r>
    </w:p>
    <w:p w14:paraId="52C4C3E8" w14:textId="019B99A0" w:rsidR="00BB568A" w:rsidRPr="005E456A" w:rsidRDefault="00BB568A" w:rsidP="005E456A">
      <w:pPr>
        <w:spacing w:after="0" w:line="360" w:lineRule="auto"/>
        <w:jc w:val="both"/>
        <w:rPr>
          <w:rFonts w:ascii="Book Antiqua" w:hAnsi="Book Antiqua" w:cs="Arial"/>
          <w:b/>
          <w:sz w:val="24"/>
          <w:szCs w:val="24"/>
        </w:rPr>
      </w:pPr>
      <w:r w:rsidRPr="005E456A">
        <w:rPr>
          <w:rFonts w:ascii="Book Antiqua" w:hAnsi="Book Antiqua" w:cs="Arial"/>
          <w:b/>
          <w:sz w:val="24"/>
          <w:szCs w:val="24"/>
        </w:rPr>
        <w:lastRenderedPageBreak/>
        <w:t>A</w:t>
      </w:r>
      <w:r w:rsidR="000510E6" w:rsidRPr="005E456A">
        <w:rPr>
          <w:rFonts w:ascii="Book Antiqua" w:hAnsi="Book Antiqua" w:cs="Arial"/>
          <w:b/>
          <w:sz w:val="24"/>
          <w:szCs w:val="24"/>
        </w:rPr>
        <w:t>bstract</w:t>
      </w:r>
    </w:p>
    <w:p w14:paraId="619C76B1" w14:textId="6C7AA018" w:rsidR="008055D3" w:rsidRPr="005E456A" w:rsidRDefault="008055D3" w:rsidP="005E456A">
      <w:pPr>
        <w:spacing w:after="0" w:line="360" w:lineRule="auto"/>
        <w:jc w:val="both"/>
        <w:rPr>
          <w:rFonts w:ascii="Book Antiqua" w:hAnsi="Book Antiqua" w:cs="Arial"/>
          <w:sz w:val="24"/>
          <w:szCs w:val="24"/>
        </w:rPr>
      </w:pPr>
      <w:r w:rsidRPr="005E456A">
        <w:rPr>
          <w:rFonts w:ascii="Book Antiqua" w:hAnsi="Book Antiqua" w:cs="Arial"/>
          <w:sz w:val="24"/>
          <w:szCs w:val="24"/>
        </w:rPr>
        <w:t>Gastric cancer is</w:t>
      </w:r>
      <w:r w:rsidR="009B544E" w:rsidRPr="005E456A">
        <w:rPr>
          <w:rFonts w:ascii="Book Antiqua" w:hAnsi="Book Antiqua" w:cs="Arial"/>
          <w:sz w:val="24"/>
          <w:szCs w:val="24"/>
        </w:rPr>
        <w:t xml:space="preserve"> the</w:t>
      </w:r>
      <w:r w:rsidRPr="005E456A">
        <w:rPr>
          <w:rFonts w:ascii="Book Antiqua" w:hAnsi="Book Antiqua" w:cs="Arial"/>
          <w:sz w:val="24"/>
          <w:szCs w:val="24"/>
        </w:rPr>
        <w:t xml:space="preserve"> third most common cause of cancer-related death. </w:t>
      </w:r>
      <w:r w:rsidR="00033B37" w:rsidRPr="005E456A">
        <w:rPr>
          <w:rFonts w:ascii="Book Antiqua" w:hAnsi="Book Antiqua" w:cs="Arial"/>
          <w:sz w:val="24"/>
          <w:szCs w:val="24"/>
        </w:rPr>
        <w:t xml:space="preserve">Advanced stages of gastric cancers generally have grim prognosis. But, good prognosis can be achieved if such cancers are detected, diagnosed and resected at early stages. </w:t>
      </w:r>
      <w:r w:rsidRPr="005E456A">
        <w:rPr>
          <w:rFonts w:ascii="Book Antiqua" w:hAnsi="Book Antiqua" w:cs="Arial"/>
          <w:sz w:val="24"/>
          <w:szCs w:val="24"/>
        </w:rPr>
        <w:t>However, early gastric cancers</w:t>
      </w:r>
      <w:r w:rsidR="00552F7B" w:rsidRPr="005E456A">
        <w:rPr>
          <w:rFonts w:ascii="Book Antiqua" w:hAnsi="Book Antiqua" w:cs="Arial"/>
          <w:sz w:val="24"/>
          <w:szCs w:val="24"/>
        </w:rPr>
        <w:t xml:space="preserve"> and its precursors</w:t>
      </w:r>
      <w:r w:rsidRPr="005E456A">
        <w:rPr>
          <w:rFonts w:ascii="Book Antiqua" w:hAnsi="Book Antiqua" w:cs="Arial"/>
          <w:sz w:val="24"/>
          <w:szCs w:val="24"/>
        </w:rPr>
        <w:t xml:space="preserve"> often produce </w:t>
      </w:r>
      <w:r w:rsidR="00B8470A" w:rsidRPr="005E456A">
        <w:rPr>
          <w:rFonts w:ascii="Book Antiqua" w:hAnsi="Book Antiqua" w:cs="Arial"/>
          <w:sz w:val="24"/>
          <w:szCs w:val="24"/>
        </w:rPr>
        <w:t xml:space="preserve">only </w:t>
      </w:r>
      <w:r w:rsidRPr="005E456A">
        <w:rPr>
          <w:rFonts w:ascii="Book Antiqua" w:hAnsi="Book Antiqua" w:cs="Arial"/>
          <w:sz w:val="24"/>
          <w:szCs w:val="24"/>
        </w:rPr>
        <w:t xml:space="preserve">subtle mucosal changes and therefore quite </w:t>
      </w:r>
      <w:r w:rsidR="00C934A0" w:rsidRPr="005E456A">
        <w:rPr>
          <w:rFonts w:ascii="Book Antiqua" w:hAnsi="Book Antiqua" w:cs="Arial"/>
          <w:sz w:val="24"/>
          <w:szCs w:val="24"/>
        </w:rPr>
        <w:t xml:space="preserve">commonly </w:t>
      </w:r>
      <w:r w:rsidR="002671EE" w:rsidRPr="005E456A">
        <w:rPr>
          <w:rFonts w:ascii="Book Antiqua" w:hAnsi="Book Antiqua" w:cs="Arial"/>
          <w:sz w:val="24"/>
          <w:szCs w:val="24"/>
        </w:rPr>
        <w:t>remain elusive at</w:t>
      </w:r>
      <w:r w:rsidRPr="005E456A">
        <w:rPr>
          <w:rFonts w:ascii="Book Antiqua" w:hAnsi="Book Antiqua" w:cs="Arial"/>
          <w:sz w:val="24"/>
          <w:szCs w:val="24"/>
        </w:rPr>
        <w:t xml:space="preserve"> the conventional examination</w:t>
      </w:r>
      <w:r w:rsidR="004D13B5" w:rsidRPr="005E456A">
        <w:rPr>
          <w:rFonts w:ascii="Book Antiqua" w:hAnsi="Book Antiqua" w:cs="Arial"/>
          <w:sz w:val="24"/>
          <w:szCs w:val="24"/>
        </w:rPr>
        <w:t xml:space="preserve"> with</w:t>
      </w:r>
      <w:r w:rsidR="00963874" w:rsidRPr="005E456A">
        <w:rPr>
          <w:rFonts w:ascii="Book Antiqua" w:hAnsi="Book Antiqua" w:cs="Arial"/>
          <w:sz w:val="24"/>
          <w:szCs w:val="24"/>
        </w:rPr>
        <w:t xml:space="preserve"> white light endoscopy</w:t>
      </w:r>
      <w:r w:rsidRPr="005E456A">
        <w:rPr>
          <w:rFonts w:ascii="Book Antiqua" w:hAnsi="Book Antiqua" w:cs="Arial"/>
          <w:sz w:val="24"/>
          <w:szCs w:val="24"/>
        </w:rPr>
        <w:t>.</w:t>
      </w:r>
      <w:r w:rsidR="00963874" w:rsidRPr="005E456A">
        <w:rPr>
          <w:rFonts w:ascii="Book Antiqua" w:hAnsi="Book Antiqua" w:cs="Arial"/>
          <w:sz w:val="24"/>
          <w:szCs w:val="24"/>
        </w:rPr>
        <w:t xml:space="preserve"> Image-enhanced endoscopy </w:t>
      </w:r>
      <w:r w:rsidR="00C934A0" w:rsidRPr="005E456A">
        <w:rPr>
          <w:rFonts w:ascii="Book Antiqua" w:hAnsi="Book Antiqua" w:cs="Arial"/>
          <w:sz w:val="24"/>
          <w:szCs w:val="24"/>
        </w:rPr>
        <w:t xml:space="preserve">makes mucosal lesions more conspicuous and can therefore </w:t>
      </w:r>
      <w:r w:rsidR="007F4F67" w:rsidRPr="005E456A">
        <w:rPr>
          <w:rFonts w:ascii="Book Antiqua" w:hAnsi="Book Antiqua" w:cs="Arial"/>
          <w:sz w:val="24"/>
          <w:szCs w:val="24"/>
        </w:rPr>
        <w:t xml:space="preserve">potentially </w:t>
      </w:r>
      <w:r w:rsidR="00C934A0" w:rsidRPr="005E456A">
        <w:rPr>
          <w:rFonts w:ascii="Book Antiqua" w:hAnsi="Book Antiqua" w:cs="Arial"/>
          <w:sz w:val="24"/>
          <w:szCs w:val="24"/>
        </w:rPr>
        <w:t xml:space="preserve">yield earlier and </w:t>
      </w:r>
      <w:r w:rsidR="00033B37" w:rsidRPr="005E456A">
        <w:rPr>
          <w:rFonts w:ascii="Book Antiqua" w:hAnsi="Book Antiqua" w:cs="Arial"/>
          <w:sz w:val="24"/>
          <w:szCs w:val="24"/>
        </w:rPr>
        <w:t xml:space="preserve">more </w:t>
      </w:r>
      <w:r w:rsidR="00C934A0" w:rsidRPr="005E456A">
        <w:rPr>
          <w:rFonts w:ascii="Book Antiqua" w:hAnsi="Book Antiqua" w:cs="Arial"/>
          <w:sz w:val="24"/>
          <w:szCs w:val="24"/>
        </w:rPr>
        <w:t xml:space="preserve">accurate diagnoses. </w:t>
      </w:r>
      <w:r w:rsidR="00773CDF" w:rsidRPr="005E456A">
        <w:rPr>
          <w:rFonts w:ascii="Book Antiqua" w:hAnsi="Book Antiqua" w:cs="Arial"/>
          <w:sz w:val="24"/>
          <w:szCs w:val="24"/>
        </w:rPr>
        <w:t xml:space="preserve">Recent years have seen </w:t>
      </w:r>
      <w:r w:rsidR="00C934A0" w:rsidRPr="005E456A">
        <w:rPr>
          <w:rFonts w:ascii="Book Antiqua" w:hAnsi="Book Antiqua" w:cs="Arial"/>
          <w:sz w:val="24"/>
          <w:szCs w:val="24"/>
        </w:rPr>
        <w:t xml:space="preserve">growing work of research in support of various types of IEE techniques </w:t>
      </w:r>
      <w:r w:rsidR="0032160B">
        <w:rPr>
          <w:rFonts w:ascii="Book Antiqua" w:hAnsi="Book Antiqua" w:cs="Arial" w:hint="eastAsia"/>
          <w:sz w:val="24"/>
          <w:szCs w:val="24"/>
        </w:rPr>
        <w:t>[</w:t>
      </w:r>
      <w:r w:rsidR="009F1CAF" w:rsidRPr="009F1CAF">
        <w:rPr>
          <w:rFonts w:ascii="Book Antiqua" w:hAnsi="Book Antiqua" w:cs="Arial"/>
          <w:i/>
          <w:sz w:val="24"/>
          <w:szCs w:val="24"/>
        </w:rPr>
        <w:t>e.g.,</w:t>
      </w:r>
      <w:r w:rsidR="00773CDF" w:rsidRPr="005E456A">
        <w:rPr>
          <w:rFonts w:ascii="Book Antiqua" w:hAnsi="Book Antiqua" w:cs="Arial"/>
          <w:sz w:val="24"/>
          <w:szCs w:val="24"/>
        </w:rPr>
        <w:t xml:space="preserve"> dye-chromoendoscopy; magnification endoscopy; narrow-band imaging (NBI); flexible spectral imaging</w:t>
      </w:r>
      <w:r w:rsidR="007A0242" w:rsidRPr="005E456A">
        <w:rPr>
          <w:rFonts w:ascii="Book Antiqua" w:hAnsi="Book Antiqua" w:cs="Arial"/>
          <w:sz w:val="24"/>
          <w:szCs w:val="24"/>
        </w:rPr>
        <w:t xml:space="preserve"> color enhancement (FICE); and I-</w:t>
      </w:r>
      <w:r w:rsidR="00773CDF" w:rsidRPr="005E456A">
        <w:rPr>
          <w:rFonts w:ascii="Book Antiqua" w:hAnsi="Book Antiqua" w:cs="Arial"/>
          <w:sz w:val="24"/>
          <w:szCs w:val="24"/>
        </w:rPr>
        <w:t>SCAN</w:t>
      </w:r>
      <w:r w:rsidR="0032160B">
        <w:rPr>
          <w:rFonts w:ascii="Book Antiqua" w:hAnsi="Book Antiqua" w:cs="Arial" w:hint="eastAsia"/>
          <w:sz w:val="24"/>
          <w:szCs w:val="24"/>
        </w:rPr>
        <w:t>]</w:t>
      </w:r>
      <w:r w:rsidR="00773CDF" w:rsidRPr="005E456A">
        <w:rPr>
          <w:rFonts w:ascii="Book Antiqua" w:hAnsi="Book Antiqua" w:cs="Arial"/>
          <w:sz w:val="24"/>
          <w:szCs w:val="24"/>
        </w:rPr>
        <w:t xml:space="preserve"> </w:t>
      </w:r>
      <w:r w:rsidR="00C934A0" w:rsidRPr="005E456A">
        <w:rPr>
          <w:rFonts w:ascii="Book Antiqua" w:hAnsi="Book Antiqua" w:cs="Arial"/>
          <w:sz w:val="24"/>
          <w:szCs w:val="24"/>
        </w:rPr>
        <w:t xml:space="preserve">for a variety of </w:t>
      </w:r>
      <w:r w:rsidR="00033B37" w:rsidRPr="005E456A">
        <w:rPr>
          <w:rFonts w:ascii="Book Antiqua" w:hAnsi="Book Antiqua" w:cs="Arial"/>
          <w:sz w:val="24"/>
          <w:szCs w:val="24"/>
        </w:rPr>
        <w:t>gastric</w:t>
      </w:r>
      <w:r w:rsidR="00C934A0" w:rsidRPr="005E456A">
        <w:rPr>
          <w:rFonts w:ascii="Book Antiqua" w:hAnsi="Book Antiqua" w:cs="Arial"/>
          <w:sz w:val="24"/>
          <w:szCs w:val="24"/>
        </w:rPr>
        <w:t xml:space="preserve"> pathologies. In this review, we </w:t>
      </w:r>
      <w:r w:rsidR="00E32FD9" w:rsidRPr="005E456A">
        <w:rPr>
          <w:rFonts w:ascii="Book Antiqua" w:hAnsi="Book Antiqua" w:cs="Arial"/>
          <w:sz w:val="24"/>
          <w:szCs w:val="24"/>
        </w:rPr>
        <w:t xml:space="preserve">will examine the evidence </w:t>
      </w:r>
      <w:r w:rsidR="00EF63B5" w:rsidRPr="005E456A">
        <w:rPr>
          <w:rFonts w:ascii="Book Antiqua" w:hAnsi="Book Antiqua" w:cs="Arial"/>
          <w:sz w:val="24"/>
          <w:szCs w:val="24"/>
        </w:rPr>
        <w:t xml:space="preserve">for </w:t>
      </w:r>
      <w:r w:rsidR="00E32FD9" w:rsidRPr="005E456A">
        <w:rPr>
          <w:rFonts w:ascii="Book Antiqua" w:hAnsi="Book Antiqua" w:cs="Arial"/>
          <w:sz w:val="24"/>
          <w:szCs w:val="24"/>
        </w:rPr>
        <w:t>the utilization of various IEE techniques in</w:t>
      </w:r>
      <w:r w:rsidR="00C934A0" w:rsidRPr="005E456A">
        <w:rPr>
          <w:rFonts w:ascii="Book Antiqua" w:hAnsi="Book Antiqua" w:cs="Arial"/>
          <w:sz w:val="24"/>
          <w:szCs w:val="24"/>
        </w:rPr>
        <w:t xml:space="preserve"> </w:t>
      </w:r>
      <w:r w:rsidR="00EF63B5" w:rsidRPr="005E456A">
        <w:rPr>
          <w:rFonts w:ascii="Book Antiqua" w:hAnsi="Book Antiqua" w:cs="Arial"/>
          <w:sz w:val="24"/>
          <w:szCs w:val="24"/>
        </w:rPr>
        <w:t>the diagnosis of gastric disorders</w:t>
      </w:r>
      <w:r w:rsidR="00C934A0" w:rsidRPr="005E456A">
        <w:rPr>
          <w:rFonts w:ascii="Book Antiqua" w:hAnsi="Book Antiqua" w:cs="Arial"/>
          <w:sz w:val="24"/>
          <w:szCs w:val="24"/>
        </w:rPr>
        <w:t xml:space="preserve">. </w:t>
      </w:r>
    </w:p>
    <w:p w14:paraId="4A825538" w14:textId="77777777" w:rsidR="00310069" w:rsidRPr="005E456A" w:rsidRDefault="00310069" w:rsidP="005E456A">
      <w:pPr>
        <w:spacing w:after="0" w:line="360" w:lineRule="auto"/>
        <w:jc w:val="both"/>
        <w:rPr>
          <w:rFonts w:ascii="Book Antiqua" w:hAnsi="Book Antiqua" w:cs="Arial"/>
          <w:sz w:val="24"/>
          <w:szCs w:val="24"/>
        </w:rPr>
      </w:pPr>
    </w:p>
    <w:p w14:paraId="050C14EC" w14:textId="4F83C579" w:rsidR="00310069" w:rsidRPr="005E456A" w:rsidRDefault="00310069" w:rsidP="005E456A">
      <w:pPr>
        <w:spacing w:after="0" w:line="360" w:lineRule="auto"/>
        <w:jc w:val="both"/>
        <w:rPr>
          <w:rFonts w:ascii="Book Antiqua" w:hAnsi="Book Antiqua" w:cs="Arial"/>
          <w:sz w:val="24"/>
          <w:szCs w:val="24"/>
        </w:rPr>
      </w:pPr>
      <w:r w:rsidRPr="005E456A">
        <w:rPr>
          <w:rFonts w:ascii="Book Antiqua" w:hAnsi="Book Antiqua" w:cs="Arial"/>
          <w:b/>
          <w:sz w:val="24"/>
          <w:szCs w:val="24"/>
        </w:rPr>
        <w:t xml:space="preserve">Key </w:t>
      </w:r>
      <w:r w:rsidR="0032160B" w:rsidRPr="005E456A">
        <w:rPr>
          <w:rFonts w:ascii="Book Antiqua" w:hAnsi="Book Antiqua" w:cs="Arial"/>
          <w:b/>
          <w:sz w:val="24"/>
          <w:szCs w:val="24"/>
        </w:rPr>
        <w:t>wo</w:t>
      </w:r>
      <w:r w:rsidRPr="005E456A">
        <w:rPr>
          <w:rFonts w:ascii="Book Antiqua" w:hAnsi="Book Antiqua" w:cs="Arial"/>
          <w:b/>
          <w:sz w:val="24"/>
          <w:szCs w:val="24"/>
        </w:rPr>
        <w:t>rds:</w:t>
      </w:r>
      <w:r w:rsidR="00246E48" w:rsidRPr="005E456A">
        <w:rPr>
          <w:rFonts w:ascii="Book Antiqua" w:hAnsi="Book Antiqua" w:cs="Arial"/>
          <w:sz w:val="24"/>
          <w:szCs w:val="24"/>
        </w:rPr>
        <w:t xml:space="preserve"> </w:t>
      </w:r>
      <w:r w:rsidR="007F11B6" w:rsidRPr="005E456A">
        <w:rPr>
          <w:rFonts w:ascii="Book Antiqua" w:hAnsi="Book Antiqua" w:cs="Arial"/>
          <w:sz w:val="24"/>
          <w:szCs w:val="24"/>
        </w:rPr>
        <w:t xml:space="preserve">Gastritis; </w:t>
      </w:r>
      <w:r w:rsidR="00246E48" w:rsidRPr="005E456A">
        <w:rPr>
          <w:rFonts w:ascii="Book Antiqua" w:hAnsi="Book Antiqua" w:cs="Arial"/>
          <w:sz w:val="24"/>
          <w:szCs w:val="24"/>
        </w:rPr>
        <w:t xml:space="preserve">Gastric </w:t>
      </w:r>
      <w:r w:rsidR="0032160B" w:rsidRPr="005E456A">
        <w:rPr>
          <w:rFonts w:ascii="Book Antiqua" w:hAnsi="Book Antiqua" w:cs="Arial"/>
          <w:sz w:val="24"/>
          <w:szCs w:val="24"/>
        </w:rPr>
        <w:t>c</w:t>
      </w:r>
      <w:r w:rsidR="00246E48" w:rsidRPr="005E456A">
        <w:rPr>
          <w:rFonts w:ascii="Book Antiqua" w:hAnsi="Book Antiqua" w:cs="Arial"/>
          <w:sz w:val="24"/>
          <w:szCs w:val="24"/>
        </w:rPr>
        <w:t>ancer;</w:t>
      </w:r>
      <w:r w:rsidRPr="005E456A">
        <w:rPr>
          <w:rFonts w:ascii="Book Antiqua" w:hAnsi="Book Antiqua" w:cs="Arial"/>
          <w:sz w:val="24"/>
          <w:szCs w:val="24"/>
        </w:rPr>
        <w:t xml:space="preserve"> Image</w:t>
      </w:r>
      <w:r w:rsidR="0032160B" w:rsidRPr="005E456A">
        <w:rPr>
          <w:rFonts w:ascii="Book Antiqua" w:hAnsi="Book Antiqua" w:cs="Arial"/>
          <w:sz w:val="24"/>
          <w:szCs w:val="24"/>
        </w:rPr>
        <w:t xml:space="preserve"> enhanced e</w:t>
      </w:r>
      <w:r w:rsidRPr="005E456A">
        <w:rPr>
          <w:rFonts w:ascii="Book Antiqua" w:hAnsi="Book Antiqua" w:cs="Arial"/>
          <w:sz w:val="24"/>
          <w:szCs w:val="24"/>
        </w:rPr>
        <w:t>ndoscopy</w:t>
      </w:r>
      <w:r w:rsidR="00246E48" w:rsidRPr="005E456A">
        <w:rPr>
          <w:rFonts w:ascii="Book Antiqua" w:hAnsi="Book Antiqua" w:cs="Arial"/>
          <w:sz w:val="24"/>
          <w:szCs w:val="24"/>
        </w:rPr>
        <w:t>;</w:t>
      </w:r>
      <w:r w:rsidRPr="005E456A">
        <w:rPr>
          <w:rFonts w:ascii="Book Antiqua" w:hAnsi="Book Antiqua" w:cs="Arial"/>
          <w:sz w:val="24"/>
          <w:szCs w:val="24"/>
        </w:rPr>
        <w:t xml:space="preserve"> </w:t>
      </w:r>
      <w:r w:rsidR="0080474D" w:rsidRPr="005E456A">
        <w:rPr>
          <w:rFonts w:ascii="Book Antiqua" w:hAnsi="Book Antiqua" w:cs="Arial"/>
          <w:sz w:val="24"/>
          <w:szCs w:val="24"/>
        </w:rPr>
        <w:t>Chromoendoscopy; Narro</w:t>
      </w:r>
      <w:r w:rsidR="0032160B" w:rsidRPr="005E456A">
        <w:rPr>
          <w:rFonts w:ascii="Book Antiqua" w:hAnsi="Book Antiqua" w:cs="Arial"/>
          <w:sz w:val="24"/>
          <w:szCs w:val="24"/>
        </w:rPr>
        <w:t>w band i</w:t>
      </w:r>
      <w:r w:rsidR="0080474D" w:rsidRPr="005E456A">
        <w:rPr>
          <w:rFonts w:ascii="Book Antiqua" w:hAnsi="Book Antiqua" w:cs="Arial"/>
          <w:sz w:val="24"/>
          <w:szCs w:val="24"/>
        </w:rPr>
        <w:t>maging</w:t>
      </w:r>
    </w:p>
    <w:p w14:paraId="0BACA3BE" w14:textId="57DC52C7" w:rsidR="00590437" w:rsidRPr="005E456A" w:rsidRDefault="00590437" w:rsidP="00314275">
      <w:pPr>
        <w:tabs>
          <w:tab w:val="left" w:pos="1160"/>
        </w:tabs>
        <w:spacing w:after="0" w:line="360" w:lineRule="auto"/>
        <w:jc w:val="both"/>
        <w:rPr>
          <w:rFonts w:ascii="Book Antiqua" w:hAnsi="Book Antiqua" w:cs="Arial"/>
          <w:sz w:val="24"/>
          <w:szCs w:val="24"/>
        </w:rPr>
      </w:pPr>
    </w:p>
    <w:p w14:paraId="2919280C" w14:textId="77777777" w:rsidR="006D3530" w:rsidRPr="006D3530" w:rsidRDefault="006D3530" w:rsidP="006D3530">
      <w:pPr>
        <w:widowControl w:val="0"/>
        <w:spacing w:after="0" w:line="360" w:lineRule="auto"/>
        <w:jc w:val="both"/>
        <w:rPr>
          <w:rFonts w:ascii="Book Antiqua" w:eastAsia="宋体" w:hAnsi="Book Antiqua" w:cs="Arial"/>
          <w:kern w:val="2"/>
          <w:sz w:val="24"/>
          <w:szCs w:val="24"/>
          <w:lang w:val="en-US"/>
        </w:rPr>
      </w:pPr>
      <w:r w:rsidRPr="006D3530">
        <w:rPr>
          <w:rFonts w:ascii="Book Antiqua" w:eastAsia="宋体" w:hAnsi="Book Antiqua" w:cs="Times New Roman"/>
          <w:b/>
          <w:kern w:val="2"/>
          <w:sz w:val="24"/>
          <w:szCs w:val="24"/>
          <w:lang w:val="en-US"/>
        </w:rPr>
        <w:t xml:space="preserve">© </w:t>
      </w:r>
      <w:r w:rsidRPr="006D3530">
        <w:rPr>
          <w:rFonts w:ascii="Book Antiqua" w:eastAsia="宋体" w:hAnsi="Book Antiqua" w:cs="Arial"/>
          <w:b/>
          <w:kern w:val="2"/>
          <w:sz w:val="24"/>
          <w:szCs w:val="24"/>
          <w:lang w:val="en-US"/>
        </w:rPr>
        <w:t>The Author(s) 2016.</w:t>
      </w:r>
      <w:r w:rsidRPr="006D3530">
        <w:rPr>
          <w:rFonts w:ascii="Book Antiqua" w:eastAsia="宋体" w:hAnsi="Book Antiqua" w:cs="Arial"/>
          <w:kern w:val="2"/>
          <w:sz w:val="24"/>
          <w:szCs w:val="24"/>
          <w:lang w:val="en-US"/>
        </w:rPr>
        <w:t xml:space="preserve"> Published by Baishideng Publishing Group Inc. All rights reserved.</w:t>
      </w:r>
    </w:p>
    <w:p w14:paraId="79126B83" w14:textId="77777777" w:rsidR="009C6BD9" w:rsidRPr="005E456A" w:rsidRDefault="009C6BD9" w:rsidP="005E456A">
      <w:pPr>
        <w:spacing w:after="0" w:line="360" w:lineRule="auto"/>
        <w:jc w:val="both"/>
        <w:rPr>
          <w:rFonts w:ascii="Book Antiqua" w:hAnsi="Book Antiqua" w:cs="Arial"/>
          <w:sz w:val="24"/>
          <w:szCs w:val="24"/>
        </w:rPr>
      </w:pPr>
    </w:p>
    <w:p w14:paraId="3A609108" w14:textId="79B0B8C1" w:rsidR="00314275" w:rsidRPr="005E456A" w:rsidRDefault="00314275" w:rsidP="00314275">
      <w:pPr>
        <w:spacing w:after="0" w:line="360" w:lineRule="auto"/>
        <w:jc w:val="both"/>
        <w:rPr>
          <w:rFonts w:ascii="Book Antiqua" w:hAnsi="Book Antiqua" w:cs="Arial"/>
          <w:sz w:val="24"/>
          <w:szCs w:val="24"/>
        </w:rPr>
      </w:pPr>
      <w:r w:rsidRPr="005E456A">
        <w:rPr>
          <w:rFonts w:ascii="Book Antiqua" w:hAnsi="Book Antiqua" w:cs="Arial"/>
          <w:b/>
          <w:sz w:val="24"/>
          <w:szCs w:val="24"/>
        </w:rPr>
        <w:t xml:space="preserve">Core </w:t>
      </w:r>
      <w:r w:rsidR="009F1CAF" w:rsidRPr="005E456A">
        <w:rPr>
          <w:rFonts w:ascii="Book Antiqua" w:hAnsi="Book Antiqua" w:cs="Arial"/>
          <w:b/>
          <w:sz w:val="24"/>
          <w:szCs w:val="24"/>
        </w:rPr>
        <w:t>t</w:t>
      </w:r>
      <w:r w:rsidRPr="005E456A">
        <w:rPr>
          <w:rFonts w:ascii="Book Antiqua" w:hAnsi="Book Antiqua" w:cs="Arial"/>
          <w:b/>
          <w:sz w:val="24"/>
          <w:szCs w:val="24"/>
        </w:rPr>
        <w:t>ip:</w:t>
      </w:r>
      <w:r w:rsidRPr="005E456A">
        <w:rPr>
          <w:rFonts w:ascii="Book Antiqua" w:hAnsi="Book Antiqua" w:cs="Arial"/>
          <w:sz w:val="24"/>
          <w:szCs w:val="24"/>
        </w:rPr>
        <w:t xml:space="preserve"> Image-enhanced endoscopy is useful for an accurate real-time diagnosis of a variety of gastric diseases. </w:t>
      </w:r>
      <w:r w:rsidR="009477B6" w:rsidRPr="005E456A">
        <w:rPr>
          <w:rFonts w:ascii="Book Antiqua" w:hAnsi="Book Antiqua" w:cs="Arial"/>
          <w:sz w:val="24"/>
          <w:szCs w:val="24"/>
        </w:rPr>
        <w:t xml:space="preserve">But, good prognosis can be achieved if such cancers are detected, diagnosed and resected at early stages. However, early gastric cancers and its precursors often produce only subtle mucosal changes and therefore quite commonly remain elusive at the conventional examination with white light endoscopy. Image-enhanced endoscopy makes mucosal lesions more conspicuous and can therefore potentially yield earlier and more accurate diagnoses. Recent years have seen growing work of research in support of various types of IEE techniques </w:t>
      </w:r>
      <w:r w:rsidR="009477B6">
        <w:rPr>
          <w:rFonts w:ascii="Book Antiqua" w:hAnsi="Book Antiqua" w:cs="Arial" w:hint="eastAsia"/>
          <w:sz w:val="24"/>
          <w:szCs w:val="24"/>
        </w:rPr>
        <w:t>[</w:t>
      </w:r>
      <w:r w:rsidR="009F1CAF" w:rsidRPr="009F1CAF">
        <w:rPr>
          <w:rFonts w:ascii="Book Antiqua" w:hAnsi="Book Antiqua" w:cs="Arial"/>
          <w:i/>
          <w:sz w:val="24"/>
          <w:szCs w:val="24"/>
        </w:rPr>
        <w:t>e.g.,</w:t>
      </w:r>
      <w:r w:rsidR="009477B6" w:rsidRPr="005E456A">
        <w:rPr>
          <w:rFonts w:ascii="Book Antiqua" w:hAnsi="Book Antiqua" w:cs="Arial"/>
          <w:sz w:val="24"/>
          <w:szCs w:val="24"/>
        </w:rPr>
        <w:t xml:space="preserve"> dye-chromoendoscopy; magnification endoscopy; narrow-band imaging (NBI); flexible spectral imaging color enhancement (FICE); and I-SCAN</w:t>
      </w:r>
      <w:r w:rsidR="009477B6">
        <w:rPr>
          <w:rFonts w:ascii="Book Antiqua" w:hAnsi="Book Antiqua" w:cs="Arial" w:hint="eastAsia"/>
          <w:sz w:val="24"/>
          <w:szCs w:val="24"/>
        </w:rPr>
        <w:t>]</w:t>
      </w:r>
      <w:r w:rsidR="009477B6" w:rsidRPr="005E456A">
        <w:rPr>
          <w:rFonts w:ascii="Book Antiqua" w:hAnsi="Book Antiqua" w:cs="Arial"/>
          <w:sz w:val="24"/>
          <w:szCs w:val="24"/>
        </w:rPr>
        <w:t xml:space="preserve"> for a variety of </w:t>
      </w:r>
      <w:r w:rsidR="009477B6" w:rsidRPr="005E456A">
        <w:rPr>
          <w:rFonts w:ascii="Book Antiqua" w:hAnsi="Book Antiqua" w:cs="Arial"/>
          <w:sz w:val="24"/>
          <w:szCs w:val="24"/>
        </w:rPr>
        <w:lastRenderedPageBreak/>
        <w:t>gastric pathologies.</w:t>
      </w:r>
      <w:r w:rsidR="00124466" w:rsidRPr="00124466">
        <w:rPr>
          <w:rFonts w:ascii="Book Antiqua" w:hAnsi="Book Antiqua" w:cs="Arial"/>
          <w:sz w:val="24"/>
          <w:szCs w:val="24"/>
        </w:rPr>
        <w:t xml:space="preserve"> </w:t>
      </w:r>
      <w:r w:rsidR="00124466" w:rsidRPr="005E456A">
        <w:rPr>
          <w:rFonts w:ascii="Book Antiqua" w:hAnsi="Book Antiqua" w:cs="Arial"/>
          <w:sz w:val="24"/>
          <w:szCs w:val="24"/>
        </w:rPr>
        <w:t>In this review, we will examine the evidence for the utilization of various IEE techniques in the diagnosis of gastric disorders.</w:t>
      </w:r>
    </w:p>
    <w:p w14:paraId="72A20A1C" w14:textId="77777777" w:rsidR="00977475" w:rsidRPr="00314275" w:rsidRDefault="00977475" w:rsidP="005E456A">
      <w:pPr>
        <w:spacing w:after="0" w:line="360" w:lineRule="auto"/>
        <w:jc w:val="both"/>
        <w:rPr>
          <w:rFonts w:ascii="Book Antiqua" w:hAnsi="Book Antiqua" w:cs="Arial"/>
          <w:b/>
          <w:sz w:val="24"/>
          <w:szCs w:val="24"/>
        </w:rPr>
      </w:pPr>
    </w:p>
    <w:p w14:paraId="35D42C6F" w14:textId="4290A968" w:rsidR="00C610CE" w:rsidRPr="00C610CE" w:rsidRDefault="00C610CE" w:rsidP="00C610CE">
      <w:pPr>
        <w:spacing w:after="0" w:line="360" w:lineRule="auto"/>
        <w:jc w:val="both"/>
        <w:rPr>
          <w:rFonts w:ascii="Book Antiqua" w:hAnsi="Book Antiqua" w:cs="Arial"/>
          <w:sz w:val="24"/>
          <w:szCs w:val="24"/>
        </w:rPr>
      </w:pPr>
      <w:r w:rsidRPr="00C610CE">
        <w:rPr>
          <w:rFonts w:ascii="Book Antiqua" w:hAnsi="Book Antiqua" w:cs="Arial"/>
          <w:sz w:val="24"/>
          <w:szCs w:val="24"/>
        </w:rPr>
        <w:t>Hussain</w:t>
      </w:r>
      <w:r>
        <w:rPr>
          <w:rFonts w:ascii="Book Antiqua" w:hAnsi="Book Antiqua" w:cs="Arial" w:hint="eastAsia"/>
          <w:sz w:val="24"/>
          <w:szCs w:val="24"/>
        </w:rPr>
        <w:t xml:space="preserve"> I</w:t>
      </w:r>
      <w:r w:rsidRPr="00C610CE">
        <w:rPr>
          <w:rFonts w:ascii="Book Antiqua" w:hAnsi="Book Antiqua" w:cs="Arial"/>
          <w:sz w:val="24"/>
          <w:szCs w:val="24"/>
        </w:rPr>
        <w:t>, Ang</w:t>
      </w:r>
      <w:r>
        <w:rPr>
          <w:rFonts w:ascii="Book Antiqua" w:hAnsi="Book Antiqua" w:cs="Arial" w:hint="eastAsia"/>
          <w:sz w:val="24"/>
          <w:szCs w:val="24"/>
        </w:rPr>
        <w:t xml:space="preserve"> TL. </w:t>
      </w:r>
      <w:r w:rsidRPr="00C610CE">
        <w:rPr>
          <w:rFonts w:ascii="Book Antiqua" w:hAnsi="Book Antiqua" w:cs="Arial"/>
          <w:sz w:val="24"/>
          <w:szCs w:val="24"/>
        </w:rPr>
        <w:t>Evidence based review of the impact of image enhanced endoscopy in the diagnosis of gastric disorders</w:t>
      </w:r>
      <w:r>
        <w:rPr>
          <w:rFonts w:ascii="Book Antiqua" w:hAnsi="Book Antiqua" w:cs="Arial" w:hint="eastAsia"/>
          <w:sz w:val="24"/>
          <w:szCs w:val="24"/>
        </w:rPr>
        <w:t>.</w:t>
      </w:r>
      <w:r w:rsidRPr="00C610CE">
        <w:rPr>
          <w:rFonts w:ascii="Book Antiqua" w:hAnsi="Book Antiqua"/>
          <w:i/>
          <w:iCs/>
          <w:sz w:val="24"/>
          <w:szCs w:val="24"/>
        </w:rPr>
        <w:t xml:space="preserve"> </w:t>
      </w:r>
      <w:r w:rsidRPr="00125820">
        <w:rPr>
          <w:rFonts w:ascii="Book Antiqua" w:hAnsi="Book Antiqua"/>
          <w:i/>
          <w:iCs/>
          <w:sz w:val="24"/>
          <w:szCs w:val="24"/>
        </w:rPr>
        <w:t>World J Gastrointest Endosc</w:t>
      </w:r>
      <w:r>
        <w:rPr>
          <w:rFonts w:ascii="Book Antiqua" w:hAnsi="Book Antiqua" w:hint="eastAsia"/>
          <w:iCs/>
          <w:sz w:val="24"/>
          <w:szCs w:val="24"/>
        </w:rPr>
        <w:t xml:space="preserve"> 2016; In press</w:t>
      </w:r>
    </w:p>
    <w:p w14:paraId="4D6ACFBA" w14:textId="77777777" w:rsidR="00977475" w:rsidRPr="00C610CE" w:rsidRDefault="00977475" w:rsidP="005E456A">
      <w:pPr>
        <w:spacing w:after="0" w:line="360" w:lineRule="auto"/>
        <w:jc w:val="both"/>
        <w:rPr>
          <w:rFonts w:ascii="Book Antiqua" w:hAnsi="Book Antiqua" w:cs="Arial"/>
          <w:b/>
          <w:sz w:val="24"/>
          <w:szCs w:val="24"/>
        </w:rPr>
      </w:pPr>
    </w:p>
    <w:p w14:paraId="15B000A5" w14:textId="77777777" w:rsidR="00977475" w:rsidRPr="005E456A" w:rsidRDefault="00977475" w:rsidP="005E456A">
      <w:pPr>
        <w:spacing w:after="0" w:line="360" w:lineRule="auto"/>
        <w:jc w:val="both"/>
        <w:rPr>
          <w:rFonts w:ascii="Book Antiqua" w:hAnsi="Book Antiqua" w:cs="Arial"/>
          <w:b/>
          <w:sz w:val="24"/>
          <w:szCs w:val="24"/>
        </w:rPr>
      </w:pPr>
    </w:p>
    <w:p w14:paraId="5BF34B13" w14:textId="77777777" w:rsidR="00033535" w:rsidRDefault="00033535">
      <w:pPr>
        <w:rPr>
          <w:rFonts w:ascii="Book Antiqua" w:hAnsi="Book Antiqua" w:cs="Arial"/>
          <w:b/>
          <w:sz w:val="24"/>
          <w:szCs w:val="24"/>
        </w:rPr>
      </w:pPr>
      <w:r>
        <w:rPr>
          <w:rFonts w:ascii="Book Antiqua" w:hAnsi="Book Antiqua" w:cs="Arial"/>
          <w:b/>
          <w:sz w:val="24"/>
          <w:szCs w:val="24"/>
        </w:rPr>
        <w:br w:type="page"/>
      </w:r>
    </w:p>
    <w:p w14:paraId="41E07892" w14:textId="02DC63F4" w:rsidR="001B5254" w:rsidRPr="005E456A" w:rsidRDefault="000C1BA8" w:rsidP="005E456A">
      <w:pPr>
        <w:spacing w:after="0" w:line="360" w:lineRule="auto"/>
        <w:jc w:val="both"/>
        <w:rPr>
          <w:rFonts w:ascii="Book Antiqua" w:hAnsi="Book Antiqua" w:cs="Arial"/>
          <w:b/>
          <w:sz w:val="24"/>
          <w:szCs w:val="24"/>
        </w:rPr>
      </w:pPr>
      <w:r w:rsidRPr="005E456A">
        <w:rPr>
          <w:rFonts w:ascii="Book Antiqua" w:hAnsi="Book Antiqua" w:cs="Arial"/>
          <w:b/>
          <w:sz w:val="24"/>
          <w:szCs w:val="24"/>
        </w:rPr>
        <w:lastRenderedPageBreak/>
        <w:t>INTRODUCTION</w:t>
      </w:r>
    </w:p>
    <w:p w14:paraId="279E8A2A" w14:textId="6EE22CF9" w:rsidR="00AE5E24" w:rsidRPr="005E456A" w:rsidRDefault="00AE5E24" w:rsidP="005E456A">
      <w:pPr>
        <w:spacing w:after="0" w:line="360" w:lineRule="auto"/>
        <w:jc w:val="both"/>
        <w:rPr>
          <w:rFonts w:ascii="Book Antiqua" w:hAnsi="Book Antiqua" w:cs="Arial"/>
          <w:sz w:val="24"/>
          <w:szCs w:val="24"/>
        </w:rPr>
      </w:pPr>
      <w:r w:rsidRPr="005E456A">
        <w:rPr>
          <w:rFonts w:ascii="Book Antiqua" w:hAnsi="Book Antiqua" w:cs="Arial"/>
          <w:sz w:val="24"/>
          <w:szCs w:val="24"/>
        </w:rPr>
        <w:t>In 1957, Hirchowitz</w:t>
      </w:r>
      <w:r w:rsidRPr="00F43C12">
        <w:rPr>
          <w:rFonts w:ascii="Book Antiqua" w:hAnsi="Book Antiqua" w:cs="Arial"/>
          <w:i/>
          <w:sz w:val="24"/>
          <w:szCs w:val="24"/>
        </w:rPr>
        <w:t xml:space="preserve"> et al</w:t>
      </w:r>
      <w:r w:rsidR="00F43C12" w:rsidRPr="005E456A">
        <w:rPr>
          <w:rFonts w:ascii="Book Antiqua" w:hAnsi="Book Antiqua" w:cs="Arial"/>
          <w:sz w:val="24"/>
          <w:szCs w:val="24"/>
          <w:vertAlign w:val="superscript"/>
        </w:rPr>
        <w:t>[1]</w:t>
      </w:r>
      <w:r w:rsidRPr="005E456A">
        <w:rPr>
          <w:rFonts w:ascii="Book Antiqua" w:hAnsi="Book Antiqua" w:cs="Arial"/>
          <w:sz w:val="24"/>
          <w:szCs w:val="24"/>
        </w:rPr>
        <w:t xml:space="preserve"> pioneered the use of flexible endoscope to visualize the GI tract. These early fibreoptic endoscopes were cumbersome to use and had dim views of the GI tract. Diagnosis of frank gastric pathologies (</w:t>
      </w:r>
      <w:r w:rsidR="009F1CAF" w:rsidRPr="009F1CAF">
        <w:rPr>
          <w:rFonts w:ascii="Book Antiqua" w:hAnsi="Book Antiqua" w:cs="Arial"/>
          <w:i/>
          <w:sz w:val="24"/>
          <w:szCs w:val="24"/>
        </w:rPr>
        <w:t>e.g.,</w:t>
      </w:r>
      <w:r w:rsidRPr="005E456A">
        <w:rPr>
          <w:rFonts w:ascii="Book Antiqua" w:hAnsi="Book Antiqua" w:cs="Arial"/>
          <w:sz w:val="24"/>
          <w:szCs w:val="24"/>
        </w:rPr>
        <w:t xml:space="preserve"> ulcer or malignant tumor) was straightforward. However, subtle abnormalities in the mucosa often got missed or misdiagnosed. This is especially relevant in stomach where early and confident detection of subtle pre-malignant features has potential to save </w:t>
      </w:r>
      <w:r w:rsidR="00CC523A">
        <w:rPr>
          <w:rFonts w:ascii="Book Antiqua" w:hAnsi="Book Antiqua" w:cs="Arial"/>
          <w:sz w:val="24"/>
          <w:szCs w:val="24"/>
        </w:rPr>
        <w:t>the organ and life of a patient</w:t>
      </w:r>
      <w:r w:rsidRPr="005E456A">
        <w:rPr>
          <w:rFonts w:ascii="Book Antiqua" w:hAnsi="Book Antiqua" w:cs="Arial"/>
          <w:sz w:val="24"/>
          <w:szCs w:val="24"/>
          <w:vertAlign w:val="superscript"/>
        </w:rPr>
        <w:t>[2]</w:t>
      </w:r>
      <w:r w:rsidRPr="005E456A">
        <w:rPr>
          <w:rFonts w:ascii="Book Antiqua" w:hAnsi="Book Antiqua" w:cs="Arial"/>
          <w:sz w:val="24"/>
          <w:szCs w:val="24"/>
        </w:rPr>
        <w:t xml:space="preserve">. </w:t>
      </w:r>
    </w:p>
    <w:p w14:paraId="08272588" w14:textId="0ED47C18" w:rsidR="00AE5E24" w:rsidRPr="005E456A" w:rsidRDefault="00AE5E24" w:rsidP="005E456A">
      <w:pPr>
        <w:spacing w:after="0" w:line="360" w:lineRule="auto"/>
        <w:ind w:firstLine="720"/>
        <w:jc w:val="both"/>
        <w:rPr>
          <w:rFonts w:ascii="Book Antiqua" w:hAnsi="Book Antiqua" w:cs="Arial"/>
          <w:sz w:val="24"/>
          <w:szCs w:val="24"/>
        </w:rPr>
      </w:pPr>
      <w:r w:rsidRPr="005E456A">
        <w:rPr>
          <w:rFonts w:ascii="Book Antiqua" w:hAnsi="Book Antiqua" w:cs="Arial"/>
          <w:sz w:val="24"/>
          <w:szCs w:val="24"/>
        </w:rPr>
        <w:t xml:space="preserve">Recent years have witnessed tremendous progress in various novel endoscopic techniques. These techniques claim easy and confident detection, diagnosis and assistance in endoscopic resection of gastric subtle mucosal abnormalities. Simplistically, these techniques make a gastrointestinal (GI) mucosal lesion appear more conspicuous. In a consensus methodological classification (in year 2008), such techniques were classified into five categories by Tajiri </w:t>
      </w:r>
      <w:r w:rsidR="00281E10" w:rsidRPr="00281E10">
        <w:rPr>
          <w:rFonts w:ascii="Book Antiqua" w:hAnsi="Book Antiqua" w:cs="Arial" w:hint="eastAsia"/>
          <w:i/>
          <w:sz w:val="24"/>
          <w:szCs w:val="24"/>
        </w:rPr>
        <w:t>et al</w:t>
      </w:r>
      <w:r w:rsidRPr="005E456A">
        <w:rPr>
          <w:rFonts w:ascii="Book Antiqua" w:hAnsi="Book Antiqua" w:cs="Arial"/>
          <w:sz w:val="24"/>
          <w:szCs w:val="24"/>
          <w:vertAlign w:val="superscript"/>
        </w:rPr>
        <w:t>[3]</w:t>
      </w:r>
      <w:r w:rsidRPr="005E456A">
        <w:rPr>
          <w:rFonts w:ascii="Book Antiqua" w:hAnsi="Book Antiqua" w:cs="Arial"/>
          <w:sz w:val="24"/>
          <w:szCs w:val="24"/>
        </w:rPr>
        <w:t>: (</w:t>
      </w:r>
      <w:r w:rsidR="00CC523A">
        <w:rPr>
          <w:rFonts w:ascii="Book Antiqua" w:hAnsi="Book Antiqua" w:cs="Arial" w:hint="eastAsia"/>
          <w:sz w:val="24"/>
          <w:szCs w:val="24"/>
        </w:rPr>
        <w:t>1</w:t>
      </w:r>
      <w:r w:rsidRPr="005E456A">
        <w:rPr>
          <w:rFonts w:ascii="Book Antiqua" w:hAnsi="Book Antiqua" w:cs="Arial"/>
          <w:sz w:val="24"/>
          <w:szCs w:val="24"/>
        </w:rPr>
        <w:t xml:space="preserve">) </w:t>
      </w:r>
      <w:r w:rsidR="00AB45FE" w:rsidRPr="005E456A">
        <w:rPr>
          <w:rFonts w:ascii="Book Antiqua" w:hAnsi="Book Antiqua" w:cs="Arial"/>
          <w:sz w:val="24"/>
          <w:szCs w:val="24"/>
        </w:rPr>
        <w:t xml:space="preserve">conventional </w:t>
      </w:r>
      <w:r w:rsidR="00AB45FE">
        <w:rPr>
          <w:rFonts w:ascii="Book Antiqua" w:hAnsi="Book Antiqua" w:cs="Arial"/>
          <w:sz w:val="24"/>
          <w:szCs w:val="24"/>
        </w:rPr>
        <w:t>white light endoscopy (</w:t>
      </w:r>
      <w:r w:rsidR="00517E68">
        <w:rPr>
          <w:rFonts w:ascii="Book Antiqua" w:hAnsi="Book Antiqua" w:cs="Arial"/>
          <w:sz w:val="24"/>
          <w:szCs w:val="24"/>
        </w:rPr>
        <w:t>WLE</w:t>
      </w:r>
      <w:r w:rsidR="00AB45FE">
        <w:rPr>
          <w:rFonts w:ascii="Book Antiqua" w:hAnsi="Book Antiqua" w:cs="Arial"/>
          <w:sz w:val="24"/>
          <w:szCs w:val="24"/>
        </w:rPr>
        <w:t>)</w:t>
      </w:r>
      <w:r w:rsidR="00AB45FE" w:rsidRPr="005E456A">
        <w:rPr>
          <w:rFonts w:ascii="Book Antiqua" w:hAnsi="Book Antiqua" w:cs="Arial"/>
          <w:sz w:val="24"/>
          <w:szCs w:val="24"/>
        </w:rPr>
        <w:t>; (</w:t>
      </w:r>
      <w:r w:rsidR="00AB45FE">
        <w:rPr>
          <w:rFonts w:ascii="Book Antiqua" w:hAnsi="Book Antiqua" w:cs="Arial"/>
          <w:sz w:val="24"/>
          <w:szCs w:val="24"/>
        </w:rPr>
        <w:t>2) image-enhanced endoscopy (</w:t>
      </w:r>
      <w:r w:rsidR="00AB45FE" w:rsidRPr="005E456A">
        <w:rPr>
          <w:rFonts w:ascii="Book Antiqua" w:hAnsi="Book Antiqua" w:cs="Arial"/>
          <w:sz w:val="24"/>
          <w:szCs w:val="24"/>
        </w:rPr>
        <w:t>iee</w:t>
      </w:r>
      <w:r w:rsidR="00AB45FE">
        <w:rPr>
          <w:rFonts w:ascii="Book Antiqua" w:hAnsi="Book Antiqua" w:cs="Arial"/>
          <w:sz w:val="24"/>
          <w:szCs w:val="24"/>
        </w:rPr>
        <w:t>)</w:t>
      </w:r>
      <w:r w:rsidR="00AB45FE" w:rsidRPr="005E456A">
        <w:rPr>
          <w:rFonts w:ascii="Book Antiqua" w:hAnsi="Book Antiqua" w:cs="Arial"/>
          <w:sz w:val="24"/>
          <w:szCs w:val="24"/>
        </w:rPr>
        <w:t>; (</w:t>
      </w:r>
      <w:r w:rsidR="00AB45FE">
        <w:rPr>
          <w:rFonts w:ascii="Book Antiqua" w:hAnsi="Book Antiqua" w:cs="Arial"/>
          <w:sz w:val="24"/>
          <w:szCs w:val="24"/>
        </w:rPr>
        <w:t>3) magnifying endoscopy (me)</w:t>
      </w:r>
      <w:r w:rsidR="00AB45FE" w:rsidRPr="005E456A">
        <w:rPr>
          <w:rFonts w:ascii="Book Antiqua" w:hAnsi="Book Antiqua" w:cs="Arial"/>
          <w:sz w:val="24"/>
          <w:szCs w:val="24"/>
        </w:rPr>
        <w:t>; (</w:t>
      </w:r>
      <w:r w:rsidR="00AB45FE">
        <w:rPr>
          <w:rFonts w:ascii="Book Antiqua" w:hAnsi="Book Antiqua" w:cs="Arial"/>
          <w:sz w:val="24"/>
          <w:szCs w:val="24"/>
        </w:rPr>
        <w:t>4</w:t>
      </w:r>
      <w:r w:rsidR="00AB45FE" w:rsidRPr="005E456A">
        <w:rPr>
          <w:rFonts w:ascii="Book Antiqua" w:hAnsi="Book Antiqua" w:cs="Arial"/>
          <w:sz w:val="24"/>
          <w:szCs w:val="24"/>
        </w:rPr>
        <w:t>) microscopic endoscopy; and (</w:t>
      </w:r>
      <w:r w:rsidR="00AB45FE">
        <w:rPr>
          <w:rFonts w:ascii="Book Antiqua" w:hAnsi="Book Antiqua" w:cs="Arial"/>
          <w:sz w:val="24"/>
          <w:szCs w:val="24"/>
        </w:rPr>
        <w:t>5</w:t>
      </w:r>
      <w:r w:rsidR="00AB45FE" w:rsidRPr="005E456A">
        <w:rPr>
          <w:rFonts w:ascii="Book Antiqua" w:hAnsi="Book Antiqua" w:cs="Arial"/>
          <w:sz w:val="24"/>
          <w:szCs w:val="24"/>
        </w:rPr>
        <w:t>) to</w:t>
      </w:r>
      <w:r w:rsidRPr="005E456A">
        <w:rPr>
          <w:rFonts w:ascii="Book Antiqua" w:hAnsi="Book Antiqua" w:cs="Arial"/>
          <w:sz w:val="24"/>
          <w:szCs w:val="24"/>
        </w:rPr>
        <w:t>mographic. As these technologies offer different advantages and disadvantages, some have become indispensable tools inside every endoscopy room while others remain research tools.</w:t>
      </w:r>
    </w:p>
    <w:p w14:paraId="60D795B1" w14:textId="28F8C9C4" w:rsidR="00AE5E24" w:rsidRPr="005E456A" w:rsidRDefault="00AE5E24" w:rsidP="005E456A">
      <w:pPr>
        <w:spacing w:after="0" w:line="360" w:lineRule="auto"/>
        <w:ind w:firstLine="720"/>
        <w:jc w:val="both"/>
        <w:rPr>
          <w:rFonts w:ascii="Book Antiqua" w:hAnsi="Book Antiqua" w:cs="Arial"/>
          <w:sz w:val="24"/>
          <w:szCs w:val="24"/>
        </w:rPr>
      </w:pPr>
      <w:r w:rsidRPr="005E456A">
        <w:rPr>
          <w:rFonts w:ascii="Book Antiqua" w:hAnsi="Book Antiqua" w:cs="Arial"/>
          <w:sz w:val="24"/>
          <w:szCs w:val="24"/>
        </w:rPr>
        <w:t>Like in any disease, the endoscopic assessment of a mucosal abnormality also follows the logical sequence comprising “identification (or screening)”, “characterization”, “confirmation” by a gold standard (</w:t>
      </w:r>
      <w:r w:rsidR="009F1CAF" w:rsidRPr="009F1CAF">
        <w:rPr>
          <w:rFonts w:ascii="Book Antiqua" w:hAnsi="Book Antiqua" w:cs="Arial"/>
          <w:i/>
          <w:sz w:val="24"/>
          <w:szCs w:val="24"/>
        </w:rPr>
        <w:t>e.g.,</w:t>
      </w:r>
      <w:r w:rsidRPr="005E456A">
        <w:rPr>
          <w:rFonts w:ascii="Book Antiqua" w:hAnsi="Book Antiqua" w:cs="Arial"/>
          <w:sz w:val="24"/>
          <w:szCs w:val="24"/>
        </w:rPr>
        <w:t xml:space="preserve"> histology), and finally “treatment”. Explicit identification or screening of significant lesions is important to achieve low false miss-rates during endoscopy. At the same time, an accurate characterization, before histological assessment, is equally crucial to enable endoscopic resection for a significant lesion while leaving behind benign findings. Various IEE techniques have been studied for </w:t>
      </w:r>
      <w:r w:rsidR="004E7E7D">
        <w:rPr>
          <w:rFonts w:ascii="Book Antiqua" w:hAnsi="Book Antiqua" w:cs="Arial"/>
          <w:sz w:val="24"/>
          <w:szCs w:val="24"/>
        </w:rPr>
        <w:t>“</w:t>
      </w:r>
      <w:r w:rsidRPr="005E456A">
        <w:rPr>
          <w:rFonts w:ascii="Book Antiqua" w:hAnsi="Book Antiqua" w:cs="Arial"/>
          <w:sz w:val="24"/>
          <w:szCs w:val="24"/>
        </w:rPr>
        <w:t>identification</w:t>
      </w:r>
      <w:r w:rsidR="004E7E7D">
        <w:rPr>
          <w:rFonts w:ascii="Book Antiqua" w:hAnsi="Book Antiqua" w:cs="Arial"/>
          <w:sz w:val="24"/>
          <w:szCs w:val="24"/>
        </w:rPr>
        <w:t>”</w:t>
      </w:r>
      <w:r w:rsidRPr="005E456A">
        <w:rPr>
          <w:rFonts w:ascii="Book Antiqua" w:hAnsi="Book Antiqua" w:cs="Arial"/>
          <w:sz w:val="24"/>
          <w:szCs w:val="24"/>
        </w:rPr>
        <w:t xml:space="preserve"> and </w:t>
      </w:r>
      <w:r w:rsidR="004E7E7D">
        <w:rPr>
          <w:rFonts w:ascii="Book Antiqua" w:hAnsi="Book Antiqua" w:cs="Arial"/>
          <w:sz w:val="24"/>
          <w:szCs w:val="24"/>
        </w:rPr>
        <w:t>“</w:t>
      </w:r>
      <w:r w:rsidRPr="005E456A">
        <w:rPr>
          <w:rFonts w:ascii="Book Antiqua" w:hAnsi="Book Antiqua" w:cs="Arial"/>
          <w:sz w:val="24"/>
          <w:szCs w:val="24"/>
        </w:rPr>
        <w:t>characterization</w:t>
      </w:r>
      <w:r w:rsidR="004E7E7D">
        <w:rPr>
          <w:rFonts w:ascii="Book Antiqua" w:hAnsi="Book Antiqua" w:cs="Arial"/>
          <w:sz w:val="24"/>
          <w:szCs w:val="24"/>
        </w:rPr>
        <w:t>”</w:t>
      </w:r>
      <w:r w:rsidRPr="005E456A">
        <w:rPr>
          <w:rFonts w:ascii="Book Antiqua" w:hAnsi="Book Antiqua" w:cs="Arial"/>
          <w:sz w:val="24"/>
          <w:szCs w:val="24"/>
        </w:rPr>
        <w:t xml:space="preserve"> of gastric pathologies. In this review, we </w:t>
      </w:r>
      <w:r w:rsidR="004F2D25" w:rsidRPr="005E456A">
        <w:rPr>
          <w:rFonts w:ascii="Book Antiqua" w:hAnsi="Book Antiqua" w:cs="Arial"/>
          <w:sz w:val="24"/>
          <w:szCs w:val="24"/>
        </w:rPr>
        <w:t>will</w:t>
      </w:r>
      <w:r w:rsidRPr="005E456A">
        <w:rPr>
          <w:rFonts w:ascii="Book Antiqua" w:hAnsi="Book Antiqua" w:cs="Arial"/>
          <w:sz w:val="24"/>
          <w:szCs w:val="24"/>
        </w:rPr>
        <w:t xml:space="preserve"> </w:t>
      </w:r>
      <w:r w:rsidR="004F2D25" w:rsidRPr="005E456A">
        <w:rPr>
          <w:rFonts w:ascii="Book Antiqua" w:hAnsi="Book Antiqua" w:cs="Arial"/>
          <w:sz w:val="24"/>
          <w:szCs w:val="24"/>
        </w:rPr>
        <w:t>study various IEE techniques and review their respective evidences for</w:t>
      </w:r>
      <w:r w:rsidRPr="005E456A">
        <w:rPr>
          <w:rFonts w:ascii="Book Antiqua" w:hAnsi="Book Antiqua" w:cs="Arial"/>
          <w:sz w:val="24"/>
          <w:szCs w:val="24"/>
        </w:rPr>
        <w:t xml:space="preserve"> utilization in stomach.</w:t>
      </w:r>
    </w:p>
    <w:p w14:paraId="3152A28D" w14:textId="77777777" w:rsidR="00052FD1" w:rsidRPr="005E456A" w:rsidRDefault="00052FD1" w:rsidP="005E456A">
      <w:pPr>
        <w:spacing w:after="0" w:line="360" w:lineRule="auto"/>
        <w:jc w:val="both"/>
        <w:rPr>
          <w:rFonts w:ascii="Book Antiqua" w:hAnsi="Book Antiqua" w:cs="Arial"/>
          <w:sz w:val="24"/>
          <w:szCs w:val="24"/>
        </w:rPr>
      </w:pPr>
    </w:p>
    <w:p w14:paraId="170380AF" w14:textId="77777777" w:rsidR="001B5254" w:rsidRPr="005E456A" w:rsidRDefault="00150707" w:rsidP="005E456A">
      <w:pPr>
        <w:spacing w:after="0" w:line="360" w:lineRule="auto"/>
        <w:jc w:val="both"/>
        <w:rPr>
          <w:rFonts w:ascii="Book Antiqua" w:hAnsi="Book Antiqua" w:cs="Arial"/>
          <w:b/>
          <w:sz w:val="24"/>
          <w:szCs w:val="24"/>
        </w:rPr>
      </w:pPr>
      <w:r w:rsidRPr="005E456A">
        <w:rPr>
          <w:rFonts w:ascii="Book Antiqua" w:hAnsi="Book Antiqua" w:cs="Arial"/>
          <w:b/>
          <w:sz w:val="24"/>
          <w:szCs w:val="24"/>
        </w:rPr>
        <w:t>METHODOLOGY</w:t>
      </w:r>
    </w:p>
    <w:p w14:paraId="6A942FDF" w14:textId="5C954445" w:rsidR="00577505" w:rsidRPr="005E456A" w:rsidRDefault="001B5254" w:rsidP="004B6C57">
      <w:pPr>
        <w:spacing w:after="0" w:line="360" w:lineRule="auto"/>
        <w:jc w:val="both"/>
        <w:rPr>
          <w:rFonts w:ascii="Book Antiqua" w:hAnsi="Book Antiqua" w:cs="Arial"/>
          <w:sz w:val="24"/>
          <w:szCs w:val="24"/>
        </w:rPr>
      </w:pPr>
      <w:r w:rsidRPr="005E456A">
        <w:rPr>
          <w:rFonts w:ascii="Book Antiqua" w:hAnsi="Book Antiqua" w:cs="Arial"/>
          <w:sz w:val="24"/>
          <w:szCs w:val="24"/>
        </w:rPr>
        <w:t xml:space="preserve">Publications in English language, limited to humans, were searched in the databases of </w:t>
      </w:r>
      <w:r w:rsidR="004B6C57">
        <w:rPr>
          <w:rFonts w:ascii="Book Antiqua" w:hAnsi="Book Antiqua" w:cs="Arial"/>
          <w:sz w:val="24"/>
          <w:szCs w:val="24"/>
        </w:rPr>
        <w:t>“</w:t>
      </w:r>
      <w:r w:rsidRPr="005E456A">
        <w:rPr>
          <w:rFonts w:ascii="Book Antiqua" w:hAnsi="Book Antiqua" w:cs="Arial"/>
          <w:sz w:val="24"/>
          <w:szCs w:val="24"/>
        </w:rPr>
        <w:t>PUBMED/MEDLINE</w:t>
      </w:r>
      <w:r w:rsidR="004B6C57">
        <w:rPr>
          <w:rFonts w:ascii="Book Antiqua" w:hAnsi="Book Antiqua" w:cs="Arial"/>
          <w:sz w:val="24"/>
          <w:szCs w:val="24"/>
        </w:rPr>
        <w:t>”</w:t>
      </w:r>
      <w:r w:rsidRPr="005E456A">
        <w:rPr>
          <w:rFonts w:ascii="Book Antiqua" w:hAnsi="Book Antiqua" w:cs="Arial"/>
          <w:sz w:val="24"/>
          <w:szCs w:val="24"/>
        </w:rPr>
        <w:t xml:space="preserve">, </w:t>
      </w:r>
      <w:r w:rsidR="004B6C57">
        <w:rPr>
          <w:rFonts w:ascii="Book Antiqua" w:hAnsi="Book Antiqua" w:cs="Arial"/>
          <w:sz w:val="24"/>
          <w:szCs w:val="24"/>
        </w:rPr>
        <w:t>“</w:t>
      </w:r>
      <w:r w:rsidRPr="005E456A">
        <w:rPr>
          <w:rFonts w:ascii="Book Antiqua" w:hAnsi="Book Antiqua" w:cs="Arial"/>
          <w:sz w:val="24"/>
          <w:szCs w:val="24"/>
        </w:rPr>
        <w:t>the Cochrane Library</w:t>
      </w:r>
      <w:r w:rsidR="004B6C57">
        <w:rPr>
          <w:rFonts w:ascii="Book Antiqua" w:hAnsi="Book Antiqua" w:cs="Arial"/>
          <w:sz w:val="24"/>
          <w:szCs w:val="24"/>
        </w:rPr>
        <w:t>”</w:t>
      </w:r>
      <w:r w:rsidRPr="005E456A">
        <w:rPr>
          <w:rFonts w:ascii="Book Antiqua" w:hAnsi="Book Antiqua" w:cs="Arial"/>
          <w:sz w:val="24"/>
          <w:szCs w:val="24"/>
        </w:rPr>
        <w:t xml:space="preserve">, and </w:t>
      </w:r>
      <w:r w:rsidR="004B6C57">
        <w:rPr>
          <w:rFonts w:ascii="Book Antiqua" w:hAnsi="Book Antiqua" w:cs="Arial"/>
          <w:sz w:val="24"/>
          <w:szCs w:val="24"/>
        </w:rPr>
        <w:t>“</w:t>
      </w:r>
      <w:r w:rsidRPr="005E456A">
        <w:rPr>
          <w:rFonts w:ascii="Book Antiqua" w:hAnsi="Book Antiqua" w:cs="Arial"/>
          <w:sz w:val="24"/>
          <w:szCs w:val="24"/>
        </w:rPr>
        <w:t>Google Scholar</w:t>
      </w:r>
      <w:r w:rsidR="004B6C57">
        <w:rPr>
          <w:rFonts w:ascii="Book Antiqua" w:hAnsi="Book Antiqua" w:cs="Arial"/>
          <w:sz w:val="24"/>
          <w:szCs w:val="24"/>
        </w:rPr>
        <w:t>”</w:t>
      </w:r>
      <w:r w:rsidRPr="005E456A">
        <w:rPr>
          <w:rFonts w:ascii="Book Antiqua" w:hAnsi="Book Antiqua" w:cs="Arial"/>
          <w:sz w:val="24"/>
          <w:szCs w:val="24"/>
        </w:rPr>
        <w:t xml:space="preserve">. The </w:t>
      </w:r>
      <w:r w:rsidRPr="005E456A">
        <w:rPr>
          <w:rFonts w:ascii="Book Antiqua" w:hAnsi="Book Antiqua" w:cs="Arial"/>
          <w:sz w:val="24"/>
          <w:szCs w:val="24"/>
        </w:rPr>
        <w:lastRenderedPageBreak/>
        <w:t>studies were searched between January 1995 and Jan</w:t>
      </w:r>
      <w:r w:rsidR="00E512AF" w:rsidRPr="005E456A">
        <w:rPr>
          <w:rFonts w:ascii="Book Antiqua" w:hAnsi="Book Antiqua" w:cs="Arial"/>
          <w:sz w:val="24"/>
          <w:szCs w:val="24"/>
        </w:rPr>
        <w:t>uary</w:t>
      </w:r>
      <w:r w:rsidRPr="005E456A">
        <w:rPr>
          <w:rFonts w:ascii="Book Antiqua" w:hAnsi="Book Antiqua" w:cs="Arial"/>
          <w:sz w:val="24"/>
          <w:szCs w:val="24"/>
        </w:rPr>
        <w:t xml:space="preserve"> 2016. Only studies published in peer-reviewed journals were taken into consideration. </w:t>
      </w:r>
      <w:r w:rsidR="00C00D7C" w:rsidRPr="005E456A">
        <w:rPr>
          <w:rFonts w:ascii="Book Antiqua" w:hAnsi="Book Antiqua" w:cs="Arial"/>
          <w:sz w:val="24"/>
          <w:szCs w:val="24"/>
        </w:rPr>
        <w:t>R</w:t>
      </w:r>
      <w:r w:rsidRPr="005E456A">
        <w:rPr>
          <w:rFonts w:ascii="Book Antiqua" w:hAnsi="Book Antiqua" w:cs="Arial"/>
          <w:sz w:val="24"/>
          <w:szCs w:val="24"/>
        </w:rPr>
        <w:t>elevant studies from the references of selected articles</w:t>
      </w:r>
      <w:r w:rsidR="00C00D7C" w:rsidRPr="005E456A">
        <w:rPr>
          <w:rFonts w:ascii="Book Antiqua" w:hAnsi="Book Antiqua" w:cs="Arial"/>
          <w:sz w:val="24"/>
          <w:szCs w:val="24"/>
        </w:rPr>
        <w:t xml:space="preserve"> were also screened</w:t>
      </w:r>
      <w:r w:rsidRPr="005E456A">
        <w:rPr>
          <w:rFonts w:ascii="Book Antiqua" w:hAnsi="Book Antiqua" w:cs="Arial"/>
          <w:sz w:val="24"/>
          <w:szCs w:val="24"/>
        </w:rPr>
        <w:t>. The search keywords were: “Endoscopy, digestive system”, “Narrow Band”, “NBI”, “white light”, “Image Enhance”, “Image enhanced”, “Endoscopy/methods”, “Gastroscopy/methods”, “white light endoscopy”, “chromoendoscopy”, “blue laser”, “</w:t>
      </w:r>
      <w:r w:rsidR="007A0242" w:rsidRPr="005E456A">
        <w:rPr>
          <w:rFonts w:ascii="Book Antiqua" w:hAnsi="Book Antiqua" w:cs="Arial"/>
          <w:sz w:val="24"/>
          <w:szCs w:val="24"/>
        </w:rPr>
        <w:t>Fujinon intelligent”, “FICE”, “I</w:t>
      </w:r>
      <w:r w:rsidRPr="005E456A">
        <w:rPr>
          <w:rFonts w:ascii="Book Antiqua" w:hAnsi="Book Antiqua" w:cs="Arial"/>
          <w:sz w:val="24"/>
          <w:szCs w:val="24"/>
        </w:rPr>
        <w:t xml:space="preserve">-SCAN”, “methylene blue”, “indigo carmine”, “acetic acid”, “dye endoscopy”, “Helicobacter”, “gastric atrophy”, “atrophic gastritis”, “intestinal metaplasia”, “gastric tumor”, “gastric cancer”, “stomach cancer”, and “gastric neoplasm”. The two sets of keywords were combined individually. The studies were searched as free texts and as Medical Subject Headings (MeSH) terms. </w:t>
      </w:r>
    </w:p>
    <w:p w14:paraId="1E1F5076" w14:textId="77777777" w:rsidR="007D6D6F" w:rsidRPr="005E456A" w:rsidRDefault="007D6D6F" w:rsidP="005E456A">
      <w:pPr>
        <w:spacing w:after="0" w:line="360" w:lineRule="auto"/>
        <w:jc w:val="both"/>
        <w:rPr>
          <w:rFonts w:ascii="Book Antiqua" w:hAnsi="Book Antiqua" w:cs="Arial"/>
          <w:sz w:val="24"/>
          <w:szCs w:val="24"/>
        </w:rPr>
      </w:pPr>
    </w:p>
    <w:p w14:paraId="51FD5EBE" w14:textId="0DEE6312" w:rsidR="00A1567A" w:rsidRPr="005E456A" w:rsidRDefault="00AC6954" w:rsidP="005E456A">
      <w:pPr>
        <w:spacing w:after="0" w:line="360" w:lineRule="auto"/>
        <w:jc w:val="both"/>
        <w:rPr>
          <w:rFonts w:ascii="Book Antiqua" w:hAnsi="Book Antiqua" w:cs="Arial"/>
          <w:b/>
          <w:sz w:val="24"/>
          <w:szCs w:val="24"/>
        </w:rPr>
      </w:pPr>
      <w:r w:rsidRPr="005E456A">
        <w:rPr>
          <w:rFonts w:ascii="Book Antiqua" w:hAnsi="Book Antiqua" w:cs="Arial"/>
          <w:b/>
          <w:sz w:val="24"/>
          <w:szCs w:val="24"/>
        </w:rPr>
        <w:t xml:space="preserve">WHITE-LIGHT ENDOSCOPY </w:t>
      </w:r>
    </w:p>
    <w:p w14:paraId="2E8E86FB" w14:textId="64213B92" w:rsidR="00A1567A" w:rsidRPr="005E456A" w:rsidRDefault="00A1567A" w:rsidP="004B6C57">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t>The last decades of 20</w:t>
      </w:r>
      <w:r w:rsidRPr="005E456A">
        <w:rPr>
          <w:rFonts w:ascii="Book Antiqua" w:hAnsi="Book Antiqua" w:cs="Arial"/>
          <w:sz w:val="24"/>
          <w:szCs w:val="24"/>
          <w:vertAlign w:val="superscript"/>
        </w:rPr>
        <w:t>th</w:t>
      </w:r>
      <w:r w:rsidRPr="005E456A">
        <w:rPr>
          <w:rFonts w:ascii="Book Antiqua" w:hAnsi="Book Antiqua" w:cs="Arial"/>
          <w:sz w:val="24"/>
          <w:szCs w:val="24"/>
        </w:rPr>
        <w:t xml:space="preserve"> century saw the advent of video-endoscopes equipped with charge-coupled devices (CCDs). These CCD chips produced</w:t>
      </w:r>
      <w:r w:rsidR="004B6C57">
        <w:rPr>
          <w:rFonts w:ascii="Book Antiqua" w:hAnsi="Book Antiqua" w:cs="Arial"/>
          <w:sz w:val="24"/>
          <w:szCs w:val="24"/>
        </w:rPr>
        <w:t xml:space="preserve"> image signal of 100000 to 400</w:t>
      </w:r>
      <w:r w:rsidRPr="005E456A">
        <w:rPr>
          <w:rFonts w:ascii="Book Antiqua" w:hAnsi="Book Antiqua" w:cs="Arial"/>
          <w:sz w:val="24"/>
          <w:szCs w:val="24"/>
        </w:rPr>
        <w:t xml:space="preserve">000 pixels, </w:t>
      </w:r>
      <w:r w:rsidR="005C3CF7" w:rsidRPr="005E456A">
        <w:rPr>
          <w:rFonts w:ascii="Book Antiqua" w:hAnsi="Book Antiqua" w:cs="Arial"/>
          <w:sz w:val="24"/>
          <w:szCs w:val="24"/>
        </w:rPr>
        <w:t xml:space="preserve">allowing </w:t>
      </w:r>
      <w:r w:rsidRPr="005E456A">
        <w:rPr>
          <w:rFonts w:ascii="Book Antiqua" w:hAnsi="Book Antiqua" w:cs="Arial"/>
          <w:sz w:val="24"/>
          <w:szCs w:val="24"/>
        </w:rPr>
        <w:t xml:space="preserve">clear images of </w:t>
      </w:r>
      <w:r w:rsidR="009C0228" w:rsidRPr="005E456A">
        <w:rPr>
          <w:rFonts w:ascii="Book Antiqua" w:hAnsi="Book Antiqua" w:cs="Arial"/>
          <w:sz w:val="24"/>
          <w:szCs w:val="24"/>
        </w:rPr>
        <w:t>GI</w:t>
      </w:r>
      <w:r w:rsidRPr="005E456A">
        <w:rPr>
          <w:rFonts w:ascii="Book Antiqua" w:hAnsi="Book Antiqua" w:cs="Arial"/>
          <w:sz w:val="24"/>
          <w:szCs w:val="24"/>
        </w:rPr>
        <w:t xml:space="preserve"> mucosa</w:t>
      </w:r>
      <w:r w:rsidR="00557DFA" w:rsidRPr="005E456A">
        <w:rPr>
          <w:rFonts w:ascii="Book Antiqua" w:hAnsi="Book Antiqua" w:cs="Arial"/>
          <w:sz w:val="24"/>
          <w:szCs w:val="24"/>
          <w:vertAlign w:val="superscript"/>
        </w:rPr>
        <w:t>[</w:t>
      </w:r>
      <w:r w:rsidR="004F2D25" w:rsidRPr="005E456A">
        <w:rPr>
          <w:rFonts w:ascii="Book Antiqua" w:hAnsi="Book Antiqua" w:cs="Arial"/>
          <w:sz w:val="24"/>
          <w:szCs w:val="24"/>
          <w:vertAlign w:val="superscript"/>
        </w:rPr>
        <w:t>4</w:t>
      </w:r>
      <w:r w:rsidR="00557DFA" w:rsidRPr="005E456A">
        <w:rPr>
          <w:rFonts w:ascii="Book Antiqua" w:hAnsi="Book Antiqua" w:cs="Arial"/>
          <w:sz w:val="24"/>
          <w:szCs w:val="24"/>
          <w:vertAlign w:val="superscript"/>
        </w:rPr>
        <w:t>]</w:t>
      </w:r>
      <w:r w:rsidRPr="005E456A">
        <w:rPr>
          <w:rFonts w:ascii="Book Antiqua" w:hAnsi="Book Antiqua" w:cs="Arial"/>
          <w:sz w:val="24"/>
          <w:szCs w:val="24"/>
        </w:rPr>
        <w:t xml:space="preserve">. Each pixel represents a unit of sample image, and therefore higher pixel-density meant </w:t>
      </w:r>
      <w:r w:rsidR="009C0228" w:rsidRPr="005E456A">
        <w:rPr>
          <w:rFonts w:ascii="Book Antiqua" w:hAnsi="Book Antiqua" w:cs="Arial"/>
          <w:sz w:val="24"/>
          <w:szCs w:val="24"/>
        </w:rPr>
        <w:t xml:space="preserve">greater spatial resolution and </w:t>
      </w:r>
      <w:r w:rsidR="00E2034B" w:rsidRPr="005E456A">
        <w:rPr>
          <w:rFonts w:ascii="Book Antiqua" w:hAnsi="Book Antiqua" w:cs="Arial"/>
          <w:sz w:val="24"/>
          <w:szCs w:val="24"/>
        </w:rPr>
        <w:t>sharper</w:t>
      </w:r>
      <w:r w:rsidRPr="005E456A">
        <w:rPr>
          <w:rFonts w:ascii="Book Antiqua" w:hAnsi="Book Antiqua" w:cs="Arial"/>
          <w:sz w:val="24"/>
          <w:szCs w:val="24"/>
        </w:rPr>
        <w:t xml:space="preserve"> images. Although good in detecting significant lesions in the GI tract, these standard definition</w:t>
      </w:r>
      <w:r w:rsidR="000747C1" w:rsidRPr="005E456A">
        <w:rPr>
          <w:rFonts w:ascii="Book Antiqua" w:hAnsi="Book Antiqua" w:cs="Arial"/>
          <w:sz w:val="24"/>
          <w:szCs w:val="24"/>
        </w:rPr>
        <w:t xml:space="preserve"> (SD)</w:t>
      </w:r>
      <w:r w:rsidRPr="005E456A">
        <w:rPr>
          <w:rFonts w:ascii="Book Antiqua" w:hAnsi="Book Antiqua" w:cs="Arial"/>
          <w:sz w:val="24"/>
          <w:szCs w:val="24"/>
        </w:rPr>
        <w:t xml:space="preserve"> video-endoscopes still had high miss-rates for subtle mucosal abnormalities. </w:t>
      </w:r>
    </w:p>
    <w:p w14:paraId="2CDD1584" w14:textId="568F6AE8" w:rsidR="00557DFA" w:rsidRPr="005E456A" w:rsidRDefault="005C3CF7" w:rsidP="005E456A">
      <w:pPr>
        <w:pStyle w:val="ListParagraph"/>
        <w:spacing w:after="0" w:line="360" w:lineRule="auto"/>
        <w:ind w:left="0" w:firstLine="720"/>
        <w:jc w:val="both"/>
        <w:rPr>
          <w:rFonts w:ascii="Book Antiqua" w:hAnsi="Book Antiqua" w:cs="Arial"/>
          <w:sz w:val="24"/>
          <w:szCs w:val="24"/>
        </w:rPr>
      </w:pPr>
      <w:r w:rsidRPr="005E456A">
        <w:rPr>
          <w:rFonts w:ascii="Book Antiqua" w:hAnsi="Book Antiqua" w:cs="Arial"/>
          <w:sz w:val="24"/>
          <w:szCs w:val="24"/>
        </w:rPr>
        <w:t>The currently available</w:t>
      </w:r>
      <w:r w:rsidR="00A1567A" w:rsidRPr="005E456A">
        <w:rPr>
          <w:rFonts w:ascii="Book Antiqua" w:hAnsi="Book Antiqua" w:cs="Arial"/>
          <w:sz w:val="24"/>
          <w:szCs w:val="24"/>
        </w:rPr>
        <w:t xml:space="preserve"> high-definition (HD) endoscopes produce images with resolution of up to a million pixels and </w:t>
      </w:r>
      <w:r w:rsidR="008E4BC7" w:rsidRPr="005E456A">
        <w:rPr>
          <w:rFonts w:ascii="Book Antiqua" w:hAnsi="Book Antiqua" w:cs="Arial"/>
          <w:sz w:val="24"/>
          <w:szCs w:val="24"/>
        </w:rPr>
        <w:t xml:space="preserve">can magnify </w:t>
      </w:r>
      <w:r w:rsidR="00A1567A" w:rsidRPr="005E456A">
        <w:rPr>
          <w:rFonts w:ascii="Book Antiqua" w:hAnsi="Book Antiqua" w:cs="Arial"/>
          <w:sz w:val="24"/>
          <w:szCs w:val="24"/>
        </w:rPr>
        <w:t>the mucosal image by 30- to 35 fold. These images can be further magnified</w:t>
      </w:r>
      <w:r w:rsidR="008E4BC7" w:rsidRPr="005E456A">
        <w:rPr>
          <w:rFonts w:ascii="Book Antiqua" w:hAnsi="Book Antiqua" w:cs="Arial"/>
          <w:sz w:val="24"/>
          <w:szCs w:val="24"/>
        </w:rPr>
        <w:t xml:space="preserve"> optically</w:t>
      </w:r>
      <w:r w:rsidR="00A1567A" w:rsidRPr="005E456A">
        <w:rPr>
          <w:rFonts w:ascii="Book Antiqua" w:hAnsi="Book Antiqua" w:cs="Arial"/>
          <w:sz w:val="24"/>
          <w:szCs w:val="24"/>
        </w:rPr>
        <w:t xml:space="preserve"> by having an in-built motor-driven optical lens at the tip of endoscope. The lens can be focused upon an area-of-interest to provide a genuinely close-up image without sacrificing any pixel or image resolution. Contrary to the electronic magnification, the optical zoom </w:t>
      </w:r>
      <w:r w:rsidR="00050451" w:rsidRPr="005E456A">
        <w:rPr>
          <w:rFonts w:ascii="Book Antiqua" w:hAnsi="Book Antiqua" w:cs="Arial"/>
          <w:sz w:val="24"/>
          <w:szCs w:val="24"/>
        </w:rPr>
        <w:t xml:space="preserve">produces </w:t>
      </w:r>
      <w:r w:rsidR="00A1567A" w:rsidRPr="005E456A">
        <w:rPr>
          <w:rFonts w:ascii="Book Antiqua" w:hAnsi="Book Antiqua" w:cs="Arial"/>
          <w:sz w:val="24"/>
          <w:szCs w:val="24"/>
        </w:rPr>
        <w:t xml:space="preserve">a truly </w:t>
      </w:r>
      <w:r w:rsidR="004F2D25" w:rsidRPr="005E456A">
        <w:rPr>
          <w:rFonts w:ascii="Book Antiqua" w:hAnsi="Book Antiqua" w:cs="Arial"/>
          <w:sz w:val="24"/>
          <w:szCs w:val="24"/>
        </w:rPr>
        <w:t>magnified (</w:t>
      </w:r>
      <w:r w:rsidR="000747C1" w:rsidRPr="005E456A">
        <w:rPr>
          <w:rFonts w:ascii="Book Antiqua" w:hAnsi="Book Antiqua" w:cs="Arial"/>
          <w:sz w:val="24"/>
          <w:szCs w:val="24"/>
        </w:rPr>
        <w:t xml:space="preserve">up to 150-times) </w:t>
      </w:r>
      <w:r w:rsidR="00A1567A" w:rsidRPr="005E456A">
        <w:rPr>
          <w:rFonts w:ascii="Book Antiqua" w:hAnsi="Book Antiqua" w:cs="Arial"/>
          <w:sz w:val="24"/>
          <w:szCs w:val="24"/>
        </w:rPr>
        <w:t>and sharp image. Since the lens needs to be focused 2-3 mm away from the lesion, it is almost essential to have short hood or cap at the tip of magnifying-endoscope</w:t>
      </w:r>
      <w:r w:rsidR="008E4BC7" w:rsidRPr="005E456A">
        <w:rPr>
          <w:rFonts w:ascii="Book Antiqua" w:hAnsi="Book Antiqua" w:cs="Arial"/>
          <w:sz w:val="24"/>
          <w:szCs w:val="24"/>
        </w:rPr>
        <w:t xml:space="preserve"> to maintain the focal length</w:t>
      </w:r>
      <w:r w:rsidR="00A1567A" w:rsidRPr="005E456A">
        <w:rPr>
          <w:rFonts w:ascii="Book Antiqua" w:hAnsi="Book Antiqua" w:cs="Arial"/>
          <w:sz w:val="24"/>
          <w:szCs w:val="24"/>
        </w:rPr>
        <w:t xml:space="preserve">. </w:t>
      </w:r>
      <w:r w:rsidR="00557DFA" w:rsidRPr="005E456A">
        <w:rPr>
          <w:rFonts w:ascii="Book Antiqua" w:hAnsi="Book Antiqua" w:cs="Arial"/>
          <w:sz w:val="24"/>
          <w:szCs w:val="24"/>
        </w:rPr>
        <w:t xml:space="preserve">These advances in endoscopic resolution have accompanied the considerable improvements in endoscope processors, which can convert tremendous amount of photonic data into a high-definition image without many artefacts. To get such HD </w:t>
      </w:r>
      <w:r w:rsidR="00557DFA" w:rsidRPr="005E456A">
        <w:rPr>
          <w:rFonts w:ascii="Book Antiqua" w:hAnsi="Book Antiqua" w:cs="Arial"/>
          <w:sz w:val="24"/>
          <w:szCs w:val="24"/>
        </w:rPr>
        <w:lastRenderedPageBreak/>
        <w:t xml:space="preserve">images, it is imperative to have a compatible set of </w:t>
      </w:r>
      <w:r w:rsidRPr="005E456A">
        <w:rPr>
          <w:rFonts w:ascii="Book Antiqua" w:hAnsi="Book Antiqua" w:cs="Arial"/>
          <w:sz w:val="24"/>
          <w:szCs w:val="24"/>
        </w:rPr>
        <w:t>HD</w:t>
      </w:r>
      <w:r w:rsidR="00557DFA" w:rsidRPr="005E456A">
        <w:rPr>
          <w:rFonts w:ascii="Book Antiqua" w:hAnsi="Book Antiqua" w:cs="Arial"/>
          <w:sz w:val="24"/>
          <w:szCs w:val="24"/>
        </w:rPr>
        <w:t xml:space="preserve"> endoscopes, processor, monitors and transmission cables. </w:t>
      </w:r>
      <w:r w:rsidR="00894D66" w:rsidRPr="005E456A">
        <w:rPr>
          <w:rFonts w:ascii="Book Antiqua" w:hAnsi="Book Antiqua" w:cs="Arial"/>
          <w:sz w:val="24"/>
          <w:szCs w:val="24"/>
        </w:rPr>
        <w:t>Figure 1</w:t>
      </w:r>
      <w:r w:rsidR="0014531B" w:rsidRPr="005E456A">
        <w:rPr>
          <w:rFonts w:ascii="Book Antiqua" w:hAnsi="Book Antiqua" w:cs="Arial"/>
          <w:sz w:val="24"/>
          <w:szCs w:val="24"/>
        </w:rPr>
        <w:t xml:space="preserve"> illustrate</w:t>
      </w:r>
      <w:r w:rsidR="00115935">
        <w:rPr>
          <w:rFonts w:ascii="Book Antiqua" w:hAnsi="Book Antiqua" w:cs="Arial" w:hint="eastAsia"/>
          <w:sz w:val="24"/>
          <w:szCs w:val="24"/>
        </w:rPr>
        <w:t>s</w:t>
      </w:r>
      <w:r w:rsidR="00894D66" w:rsidRPr="005E456A">
        <w:rPr>
          <w:rFonts w:ascii="Book Antiqua" w:hAnsi="Book Antiqua" w:cs="Arial"/>
          <w:sz w:val="24"/>
          <w:szCs w:val="24"/>
        </w:rPr>
        <w:t xml:space="preserve"> </w:t>
      </w:r>
      <w:r w:rsidR="0014531B" w:rsidRPr="005E456A">
        <w:rPr>
          <w:rFonts w:ascii="Book Antiqua" w:hAnsi="Book Antiqua" w:cs="Arial"/>
          <w:sz w:val="24"/>
          <w:szCs w:val="24"/>
        </w:rPr>
        <w:t>c</w:t>
      </w:r>
      <w:r w:rsidR="00894D66" w:rsidRPr="005E456A">
        <w:rPr>
          <w:rFonts w:ascii="Book Antiqua" w:hAnsi="Book Antiqua" w:cs="Arial"/>
          <w:sz w:val="24"/>
          <w:szCs w:val="24"/>
        </w:rPr>
        <w:t>ase</w:t>
      </w:r>
      <w:r w:rsidR="0014531B" w:rsidRPr="005E456A">
        <w:rPr>
          <w:rFonts w:ascii="Book Antiqua" w:hAnsi="Book Antiqua" w:cs="Arial"/>
          <w:sz w:val="24"/>
          <w:szCs w:val="24"/>
        </w:rPr>
        <w:t>s</w:t>
      </w:r>
      <w:r w:rsidR="00894D66" w:rsidRPr="005E456A">
        <w:rPr>
          <w:rFonts w:ascii="Book Antiqua" w:hAnsi="Book Antiqua" w:cs="Arial"/>
          <w:sz w:val="24"/>
          <w:szCs w:val="24"/>
        </w:rPr>
        <w:t xml:space="preserve"> of EGC detected by HD-WLE. </w:t>
      </w:r>
      <w:r w:rsidR="0014531B" w:rsidRPr="005E456A">
        <w:rPr>
          <w:rFonts w:ascii="Book Antiqua" w:hAnsi="Book Antiqua" w:cs="Arial"/>
          <w:sz w:val="24"/>
          <w:szCs w:val="24"/>
        </w:rPr>
        <w:t xml:space="preserve">They appear </w:t>
      </w:r>
      <w:r w:rsidR="00894D66" w:rsidRPr="005E456A">
        <w:rPr>
          <w:rFonts w:ascii="Book Antiqua" w:hAnsi="Book Antiqua" w:cs="Arial"/>
          <w:sz w:val="24"/>
          <w:szCs w:val="24"/>
        </w:rPr>
        <w:t xml:space="preserve">as a mildly depressed lesion with discoloration compared to adjacent normal mucosa. </w:t>
      </w:r>
    </w:p>
    <w:p w14:paraId="517835C0" w14:textId="1866B5E5" w:rsidR="003301B6" w:rsidRPr="005E456A" w:rsidRDefault="000747C1" w:rsidP="005E456A">
      <w:pPr>
        <w:pStyle w:val="ListParagraph"/>
        <w:spacing w:after="0" w:line="360" w:lineRule="auto"/>
        <w:ind w:left="0" w:firstLine="720"/>
        <w:jc w:val="both"/>
        <w:rPr>
          <w:rFonts w:ascii="Book Antiqua" w:hAnsi="Book Antiqua" w:cs="Arial"/>
          <w:sz w:val="24"/>
          <w:szCs w:val="24"/>
        </w:rPr>
      </w:pPr>
      <w:r w:rsidRPr="005E456A">
        <w:rPr>
          <w:rFonts w:ascii="Book Antiqua" w:hAnsi="Book Antiqua" w:cs="Arial"/>
          <w:sz w:val="24"/>
          <w:szCs w:val="24"/>
        </w:rPr>
        <w:t>Very</w:t>
      </w:r>
      <w:r w:rsidR="00557DFA" w:rsidRPr="005E456A">
        <w:rPr>
          <w:rFonts w:ascii="Book Antiqua" w:hAnsi="Book Antiqua" w:cs="Arial"/>
          <w:sz w:val="24"/>
          <w:szCs w:val="24"/>
        </w:rPr>
        <w:t xml:space="preserve"> few studies</w:t>
      </w:r>
      <w:r w:rsidRPr="005E456A">
        <w:rPr>
          <w:rFonts w:ascii="Book Antiqua" w:hAnsi="Book Antiqua" w:cs="Arial"/>
          <w:sz w:val="24"/>
          <w:szCs w:val="24"/>
        </w:rPr>
        <w:t xml:space="preserve"> have</w:t>
      </w:r>
      <w:r w:rsidR="00557DFA" w:rsidRPr="005E456A">
        <w:rPr>
          <w:rFonts w:ascii="Book Antiqua" w:hAnsi="Book Antiqua" w:cs="Arial"/>
          <w:sz w:val="24"/>
          <w:szCs w:val="24"/>
        </w:rPr>
        <w:t xml:space="preserve"> directly compare</w:t>
      </w:r>
      <w:r w:rsidRPr="005E456A">
        <w:rPr>
          <w:rFonts w:ascii="Book Antiqua" w:hAnsi="Book Antiqua" w:cs="Arial"/>
          <w:sz w:val="24"/>
          <w:szCs w:val="24"/>
        </w:rPr>
        <w:t>d</w:t>
      </w:r>
      <w:r w:rsidR="00557DFA" w:rsidRPr="005E456A">
        <w:rPr>
          <w:rFonts w:ascii="Book Antiqua" w:hAnsi="Book Antiqua" w:cs="Arial"/>
          <w:sz w:val="24"/>
          <w:szCs w:val="24"/>
        </w:rPr>
        <w:t xml:space="preserve"> HD-endoscopy with SD-endoscopy. For </w:t>
      </w:r>
      <w:r w:rsidR="004F2D25" w:rsidRPr="005E456A">
        <w:rPr>
          <w:rFonts w:ascii="Book Antiqua" w:hAnsi="Book Antiqua" w:cs="Arial"/>
          <w:sz w:val="24"/>
          <w:szCs w:val="24"/>
        </w:rPr>
        <w:t xml:space="preserve">example in colon, </w:t>
      </w:r>
      <w:r w:rsidR="00557DFA" w:rsidRPr="005E456A">
        <w:rPr>
          <w:rFonts w:ascii="Book Antiqua" w:hAnsi="Book Antiqua" w:cs="Arial"/>
          <w:sz w:val="24"/>
          <w:szCs w:val="24"/>
        </w:rPr>
        <w:t xml:space="preserve">these </w:t>
      </w:r>
      <w:r w:rsidR="008B3592" w:rsidRPr="005E456A">
        <w:rPr>
          <w:rFonts w:ascii="Book Antiqua" w:hAnsi="Book Antiqua" w:cs="Arial"/>
          <w:sz w:val="24"/>
          <w:szCs w:val="24"/>
        </w:rPr>
        <w:t>HD</w:t>
      </w:r>
      <w:r w:rsidR="00557DFA" w:rsidRPr="005E456A">
        <w:rPr>
          <w:rFonts w:ascii="Book Antiqua" w:hAnsi="Book Antiqua" w:cs="Arial"/>
          <w:sz w:val="24"/>
          <w:szCs w:val="24"/>
        </w:rPr>
        <w:t xml:space="preserve"> endoscopes showed marginal benefit in a meta-analysis with a number needed to treat of 25 to identify on</w:t>
      </w:r>
      <w:r w:rsidRPr="005E456A">
        <w:rPr>
          <w:rFonts w:ascii="Book Antiqua" w:hAnsi="Book Antiqua" w:cs="Arial"/>
          <w:sz w:val="24"/>
          <w:szCs w:val="24"/>
        </w:rPr>
        <w:t xml:space="preserve">e additional polyp or </w:t>
      </w:r>
      <w:r w:rsidR="004F2D25" w:rsidRPr="005E456A">
        <w:rPr>
          <w:rFonts w:ascii="Book Antiqua" w:hAnsi="Book Antiqua" w:cs="Arial"/>
          <w:sz w:val="24"/>
          <w:szCs w:val="24"/>
        </w:rPr>
        <w:t>adenoma</w:t>
      </w:r>
      <w:r w:rsidR="004F2D25" w:rsidRPr="005E456A">
        <w:rPr>
          <w:rFonts w:ascii="Book Antiqua" w:hAnsi="Book Antiqua" w:cs="Arial"/>
          <w:sz w:val="24"/>
          <w:szCs w:val="24"/>
          <w:vertAlign w:val="superscript"/>
        </w:rPr>
        <w:t>[5</w:t>
      </w:r>
      <w:r w:rsidRPr="005E456A">
        <w:rPr>
          <w:rFonts w:ascii="Book Antiqua" w:hAnsi="Book Antiqua" w:cs="Arial"/>
          <w:sz w:val="24"/>
          <w:szCs w:val="24"/>
          <w:vertAlign w:val="superscript"/>
        </w:rPr>
        <w:t>]</w:t>
      </w:r>
      <w:r w:rsidR="00557DFA" w:rsidRPr="005E456A">
        <w:rPr>
          <w:rFonts w:ascii="Book Antiqua" w:hAnsi="Book Antiqua" w:cs="Arial"/>
          <w:sz w:val="24"/>
          <w:szCs w:val="24"/>
        </w:rPr>
        <w:t>.</w:t>
      </w:r>
      <w:r w:rsidR="00D04643">
        <w:rPr>
          <w:rFonts w:ascii="Book Antiqua" w:hAnsi="Book Antiqua" w:cs="Arial" w:hint="eastAsia"/>
          <w:sz w:val="24"/>
          <w:szCs w:val="24"/>
        </w:rPr>
        <w:t xml:space="preserve"> </w:t>
      </w:r>
      <w:r w:rsidR="00C637D9" w:rsidRPr="005E456A">
        <w:rPr>
          <w:rFonts w:ascii="Book Antiqua" w:hAnsi="Book Antiqua" w:cs="Arial"/>
          <w:sz w:val="24"/>
          <w:szCs w:val="24"/>
        </w:rPr>
        <w:t xml:space="preserve">Such objective data are not available for the upper GI tract but the </w:t>
      </w:r>
      <w:r w:rsidR="008B3592" w:rsidRPr="005E456A">
        <w:rPr>
          <w:rFonts w:ascii="Book Antiqua" w:hAnsi="Book Antiqua" w:cs="Arial"/>
          <w:sz w:val="24"/>
          <w:szCs w:val="24"/>
        </w:rPr>
        <w:t>expectation is similar</w:t>
      </w:r>
      <w:r w:rsidR="00C637D9" w:rsidRPr="005E456A">
        <w:rPr>
          <w:rFonts w:ascii="Book Antiqua" w:hAnsi="Book Antiqua" w:cs="Arial"/>
          <w:sz w:val="24"/>
          <w:szCs w:val="24"/>
        </w:rPr>
        <w:t xml:space="preserve">. </w:t>
      </w:r>
    </w:p>
    <w:p w14:paraId="471C2504" w14:textId="77777777" w:rsidR="004F2D25" w:rsidRPr="005E456A" w:rsidRDefault="004F2D25" w:rsidP="005E456A">
      <w:pPr>
        <w:pStyle w:val="ListParagraph"/>
        <w:spacing w:after="0" w:line="360" w:lineRule="auto"/>
        <w:ind w:left="0" w:firstLine="720"/>
        <w:jc w:val="both"/>
        <w:rPr>
          <w:rFonts w:ascii="Book Antiqua" w:hAnsi="Book Antiqua" w:cs="Arial"/>
          <w:sz w:val="24"/>
          <w:szCs w:val="24"/>
        </w:rPr>
      </w:pPr>
    </w:p>
    <w:p w14:paraId="0BB2F426" w14:textId="69A0C689" w:rsidR="003301B6" w:rsidRPr="005E456A" w:rsidRDefault="00AC6954" w:rsidP="005E456A">
      <w:pPr>
        <w:pStyle w:val="ListParagraph"/>
        <w:spacing w:after="0" w:line="360" w:lineRule="auto"/>
        <w:ind w:left="0"/>
        <w:jc w:val="both"/>
        <w:rPr>
          <w:rFonts w:ascii="Book Antiqua" w:hAnsi="Book Antiqua" w:cs="Arial"/>
          <w:b/>
          <w:sz w:val="24"/>
          <w:szCs w:val="24"/>
        </w:rPr>
      </w:pPr>
      <w:r w:rsidRPr="005E456A">
        <w:rPr>
          <w:rFonts w:ascii="Book Antiqua" w:hAnsi="Book Antiqua" w:cs="Arial"/>
          <w:b/>
          <w:sz w:val="24"/>
          <w:szCs w:val="24"/>
        </w:rPr>
        <w:t>WHITE LIGHT ENDOSCOPY WITH MAGNIFICATION</w:t>
      </w:r>
      <w:r w:rsidR="00D04643">
        <w:rPr>
          <w:rFonts w:ascii="Book Antiqua" w:hAnsi="Book Antiqua" w:cs="Arial" w:hint="eastAsia"/>
          <w:b/>
          <w:sz w:val="24"/>
          <w:szCs w:val="24"/>
        </w:rPr>
        <w:t xml:space="preserve"> </w:t>
      </w:r>
    </w:p>
    <w:p w14:paraId="5EA63CCA" w14:textId="2C163DE7" w:rsidR="00052FD1" w:rsidRPr="005E456A" w:rsidRDefault="00952C9E" w:rsidP="004B6C57">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t xml:space="preserve">WLE with magnification has potential to provide detailed mucosal views. </w:t>
      </w:r>
      <w:r w:rsidR="00A6337E" w:rsidRPr="005E456A">
        <w:rPr>
          <w:rFonts w:ascii="Book Antiqua" w:hAnsi="Book Antiqua" w:cs="Arial"/>
          <w:sz w:val="24"/>
          <w:szCs w:val="24"/>
        </w:rPr>
        <w:t xml:space="preserve">In 1978, </w:t>
      </w:r>
      <w:r w:rsidR="003301B6" w:rsidRPr="005E456A">
        <w:rPr>
          <w:rFonts w:ascii="Book Antiqua" w:hAnsi="Book Antiqua" w:cs="Arial"/>
          <w:sz w:val="24"/>
          <w:szCs w:val="24"/>
        </w:rPr>
        <w:t>Sakaki</w:t>
      </w:r>
      <w:r w:rsidR="00A6337E" w:rsidRPr="005E456A">
        <w:rPr>
          <w:rFonts w:ascii="Book Antiqua" w:hAnsi="Book Antiqua" w:cs="Arial"/>
          <w:sz w:val="24"/>
          <w:szCs w:val="24"/>
        </w:rPr>
        <w:t xml:space="preserve"> </w:t>
      </w:r>
      <w:r w:rsidR="00A6337E" w:rsidRPr="004B6C57">
        <w:rPr>
          <w:rFonts w:ascii="Book Antiqua" w:hAnsi="Book Antiqua" w:cs="Arial"/>
          <w:i/>
          <w:sz w:val="24"/>
          <w:szCs w:val="24"/>
        </w:rPr>
        <w:t>et al</w:t>
      </w:r>
      <w:r w:rsidR="004B6C57" w:rsidRPr="005E456A">
        <w:rPr>
          <w:rFonts w:ascii="Book Antiqua" w:hAnsi="Book Antiqua" w:cs="Arial"/>
          <w:sz w:val="24"/>
          <w:szCs w:val="24"/>
          <w:vertAlign w:val="superscript"/>
        </w:rPr>
        <w:t>[6]</w:t>
      </w:r>
      <w:r w:rsidR="003301B6" w:rsidRPr="005E456A">
        <w:rPr>
          <w:rFonts w:ascii="Book Antiqua" w:hAnsi="Book Antiqua" w:cs="Arial"/>
          <w:sz w:val="24"/>
          <w:szCs w:val="24"/>
        </w:rPr>
        <w:t xml:space="preserve"> </w:t>
      </w:r>
      <w:r w:rsidR="00A6337E" w:rsidRPr="005E456A">
        <w:rPr>
          <w:rFonts w:ascii="Book Antiqua" w:hAnsi="Book Antiqua" w:cs="Arial"/>
          <w:sz w:val="24"/>
          <w:szCs w:val="24"/>
        </w:rPr>
        <w:t>described classification of</w:t>
      </w:r>
      <w:r w:rsidR="003301B6" w:rsidRPr="005E456A">
        <w:rPr>
          <w:rFonts w:ascii="Book Antiqua" w:hAnsi="Book Antiqua" w:cs="Arial"/>
          <w:sz w:val="24"/>
          <w:szCs w:val="24"/>
        </w:rPr>
        <w:t xml:space="preserve"> the stomach mucosa according to the </w:t>
      </w:r>
      <w:r w:rsidR="004B6C57">
        <w:rPr>
          <w:rFonts w:ascii="Book Antiqua" w:hAnsi="Book Antiqua" w:cs="Arial"/>
          <w:sz w:val="24"/>
          <w:szCs w:val="24"/>
        </w:rPr>
        <w:t>“</w:t>
      </w:r>
      <w:r w:rsidR="003301B6" w:rsidRPr="005E456A">
        <w:rPr>
          <w:rFonts w:ascii="Book Antiqua" w:hAnsi="Book Antiqua" w:cs="Arial"/>
          <w:sz w:val="24"/>
          <w:szCs w:val="24"/>
        </w:rPr>
        <w:t>minute gastric mucosal patterns</w:t>
      </w:r>
      <w:r w:rsidR="004B6C57">
        <w:rPr>
          <w:rFonts w:ascii="Book Antiqua" w:hAnsi="Book Antiqua" w:cs="Arial"/>
          <w:sz w:val="24"/>
          <w:szCs w:val="24"/>
        </w:rPr>
        <w:t>”</w:t>
      </w:r>
      <w:r w:rsidR="003301B6" w:rsidRPr="005E456A">
        <w:rPr>
          <w:rFonts w:ascii="Book Antiqua" w:hAnsi="Book Antiqua" w:cs="Arial"/>
          <w:sz w:val="24"/>
          <w:szCs w:val="24"/>
        </w:rPr>
        <w:t xml:space="preserve">. Since 1999, true magnifying endoscopes (for example, GIF-Q240Z by Olympus Corporation or EG-450ZH by Fujinon) were introduced which could optically zoom the image by up to 80 times. Such spatially resolved and magnified images </w:t>
      </w:r>
      <w:r w:rsidR="00C637D9" w:rsidRPr="005E456A">
        <w:rPr>
          <w:rFonts w:ascii="Book Antiqua" w:hAnsi="Book Antiqua" w:cs="Arial"/>
          <w:sz w:val="24"/>
          <w:szCs w:val="24"/>
        </w:rPr>
        <w:t xml:space="preserve">revealed </w:t>
      </w:r>
      <w:r w:rsidR="003301B6" w:rsidRPr="005E456A">
        <w:rPr>
          <w:rFonts w:ascii="Book Antiqua" w:hAnsi="Book Antiqua" w:cs="Arial"/>
          <w:sz w:val="24"/>
          <w:szCs w:val="24"/>
        </w:rPr>
        <w:t xml:space="preserve">surface and microvascular patterns of stomach mucosa in great details. </w:t>
      </w:r>
      <w:r w:rsidR="00DF1357" w:rsidRPr="005E456A">
        <w:rPr>
          <w:rFonts w:ascii="Book Antiqua" w:hAnsi="Book Antiqua" w:cs="Arial"/>
          <w:sz w:val="24"/>
          <w:szCs w:val="24"/>
        </w:rPr>
        <w:t xml:space="preserve">These studies are summarized in </w:t>
      </w:r>
      <w:r w:rsidR="004B6C57" w:rsidRPr="005E456A">
        <w:rPr>
          <w:rFonts w:ascii="Book Antiqua" w:hAnsi="Book Antiqua" w:cs="Arial"/>
          <w:sz w:val="24"/>
          <w:szCs w:val="24"/>
        </w:rPr>
        <w:t>T</w:t>
      </w:r>
      <w:r w:rsidR="00DF1357" w:rsidRPr="005E456A">
        <w:rPr>
          <w:rFonts w:ascii="Book Antiqua" w:hAnsi="Book Antiqua" w:cs="Arial"/>
          <w:sz w:val="24"/>
          <w:szCs w:val="24"/>
        </w:rPr>
        <w:t xml:space="preserve">able 1. </w:t>
      </w:r>
    </w:p>
    <w:p w14:paraId="5AB53EBC" w14:textId="77777777" w:rsidR="000510E6" w:rsidRPr="005E456A" w:rsidRDefault="000510E6" w:rsidP="005E456A">
      <w:pPr>
        <w:spacing w:after="0" w:line="360" w:lineRule="auto"/>
        <w:jc w:val="both"/>
        <w:rPr>
          <w:rFonts w:ascii="Book Antiqua" w:hAnsi="Book Antiqua" w:cs="Arial"/>
          <w:b/>
          <w:sz w:val="24"/>
          <w:szCs w:val="24"/>
        </w:rPr>
      </w:pPr>
    </w:p>
    <w:p w14:paraId="5D645B9F" w14:textId="04D5A530" w:rsidR="003301B6" w:rsidRPr="005E456A" w:rsidRDefault="003301B6" w:rsidP="005E456A">
      <w:pPr>
        <w:spacing w:after="0" w:line="360" w:lineRule="auto"/>
        <w:jc w:val="both"/>
        <w:rPr>
          <w:rFonts w:ascii="Book Antiqua" w:hAnsi="Book Antiqua" w:cs="Arial"/>
          <w:b/>
          <w:i/>
          <w:sz w:val="24"/>
          <w:szCs w:val="24"/>
        </w:rPr>
      </w:pPr>
      <w:r w:rsidRPr="005E456A">
        <w:rPr>
          <w:rFonts w:ascii="Book Antiqua" w:hAnsi="Book Antiqua" w:cs="Arial"/>
          <w:b/>
          <w:i/>
          <w:sz w:val="24"/>
          <w:szCs w:val="24"/>
        </w:rPr>
        <w:t xml:space="preserve">Appearance of normal gastric mucosa with </w:t>
      </w:r>
      <w:r w:rsidR="004B6C57">
        <w:rPr>
          <w:rFonts w:ascii="Book Antiqua" w:hAnsi="Book Antiqua" w:cs="Arial"/>
          <w:b/>
          <w:i/>
          <w:sz w:val="24"/>
          <w:szCs w:val="24"/>
        </w:rPr>
        <w:t>“</w:t>
      </w:r>
      <w:r w:rsidRPr="005E456A">
        <w:rPr>
          <w:rFonts w:ascii="Book Antiqua" w:hAnsi="Book Antiqua" w:cs="Arial"/>
          <w:b/>
          <w:i/>
          <w:sz w:val="24"/>
          <w:szCs w:val="24"/>
        </w:rPr>
        <w:t>only ME</w:t>
      </w:r>
      <w:r w:rsidR="004B6C57">
        <w:rPr>
          <w:rFonts w:ascii="Book Antiqua" w:hAnsi="Book Antiqua" w:cs="Arial"/>
          <w:b/>
          <w:i/>
          <w:sz w:val="24"/>
          <w:szCs w:val="24"/>
        </w:rPr>
        <w:t>”</w:t>
      </w:r>
    </w:p>
    <w:p w14:paraId="3955CF29" w14:textId="33993A84" w:rsidR="009A2F25" w:rsidRPr="005E456A" w:rsidRDefault="003301B6" w:rsidP="004B6C57">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t>Magnified views of normal gastric mucosa have been classified and named differently by various authors. In a preliminary study in 2001, Kenshi Yao described the magnifying views of antrum as coil-shaped network with rare collecting venules, and of corpus as honeycomb pattern with interspersed collecting venules</w:t>
      </w:r>
      <w:r w:rsidR="004F2D25" w:rsidRPr="005E456A">
        <w:rPr>
          <w:rFonts w:ascii="Book Antiqua" w:hAnsi="Book Antiqua" w:cs="Arial"/>
          <w:sz w:val="24"/>
          <w:szCs w:val="24"/>
          <w:vertAlign w:val="superscript"/>
        </w:rPr>
        <w:t>[7</w:t>
      </w:r>
      <w:r w:rsidR="00E048C8" w:rsidRPr="005E456A">
        <w:rPr>
          <w:rFonts w:ascii="Book Antiqua" w:hAnsi="Book Antiqua" w:cs="Arial"/>
          <w:sz w:val="24"/>
          <w:szCs w:val="24"/>
          <w:vertAlign w:val="superscript"/>
        </w:rPr>
        <w:t>]</w:t>
      </w:r>
      <w:r w:rsidRPr="005E456A">
        <w:rPr>
          <w:rFonts w:ascii="Book Antiqua" w:hAnsi="Book Antiqua" w:cs="Arial"/>
          <w:sz w:val="24"/>
          <w:szCs w:val="24"/>
        </w:rPr>
        <w:t xml:space="preserve">. Absence of sub-epithelial capillary network (SECN) along with proliferation of irregular microvessels was observed in differentiated </w:t>
      </w:r>
      <w:r w:rsidR="00952A71" w:rsidRPr="005E456A">
        <w:rPr>
          <w:rFonts w:ascii="Book Antiqua" w:hAnsi="Book Antiqua" w:cs="Arial"/>
          <w:sz w:val="24"/>
          <w:szCs w:val="24"/>
        </w:rPr>
        <w:t>early gastric cancer (EG</w:t>
      </w:r>
      <w:r w:rsidR="008B3592" w:rsidRPr="005E456A">
        <w:rPr>
          <w:rFonts w:ascii="Book Antiqua" w:hAnsi="Book Antiqua" w:cs="Arial"/>
          <w:sz w:val="24"/>
          <w:szCs w:val="24"/>
        </w:rPr>
        <w:t>C</w:t>
      </w:r>
      <w:r w:rsidR="00952A71" w:rsidRPr="005E456A">
        <w:rPr>
          <w:rFonts w:ascii="Book Antiqua" w:hAnsi="Book Antiqua" w:cs="Arial"/>
          <w:sz w:val="24"/>
          <w:szCs w:val="24"/>
        </w:rPr>
        <w:t>)</w:t>
      </w:r>
      <w:r w:rsidR="00AC3BAA" w:rsidRPr="005E456A">
        <w:rPr>
          <w:rFonts w:ascii="Book Antiqua" w:hAnsi="Book Antiqua" w:cs="Arial"/>
          <w:sz w:val="24"/>
          <w:szCs w:val="24"/>
        </w:rPr>
        <w:t xml:space="preserve">. </w:t>
      </w:r>
      <w:r w:rsidR="00B5357C" w:rsidRPr="005E456A">
        <w:rPr>
          <w:rFonts w:ascii="Book Antiqua" w:hAnsi="Book Antiqua" w:cs="Arial"/>
          <w:sz w:val="24"/>
          <w:szCs w:val="24"/>
        </w:rPr>
        <w:t xml:space="preserve">Similarly, Yagi </w:t>
      </w:r>
      <w:r w:rsidR="00B5357C" w:rsidRPr="004B6C57">
        <w:rPr>
          <w:rFonts w:ascii="Book Antiqua" w:hAnsi="Book Antiqua" w:cs="Arial"/>
          <w:i/>
          <w:sz w:val="24"/>
          <w:szCs w:val="24"/>
        </w:rPr>
        <w:t>et al</w:t>
      </w:r>
      <w:r w:rsidR="004B6C57" w:rsidRPr="005E456A">
        <w:rPr>
          <w:rFonts w:ascii="Book Antiqua" w:hAnsi="Book Antiqua" w:cs="Arial"/>
          <w:sz w:val="24"/>
          <w:szCs w:val="24"/>
          <w:vertAlign w:val="superscript"/>
        </w:rPr>
        <w:t>[8]</w:t>
      </w:r>
      <w:r w:rsidR="00B5357C" w:rsidRPr="005E456A">
        <w:rPr>
          <w:rFonts w:ascii="Book Antiqua" w:hAnsi="Book Antiqua" w:cs="Arial"/>
          <w:sz w:val="24"/>
          <w:szCs w:val="24"/>
        </w:rPr>
        <w:t xml:space="preserve"> studied the mucosal patterns in normal stomach without</w:t>
      </w:r>
      <w:r w:rsidR="008B3592" w:rsidRPr="005E456A">
        <w:rPr>
          <w:rFonts w:ascii="Book Antiqua" w:hAnsi="Book Antiqua" w:cs="Arial"/>
          <w:sz w:val="24"/>
          <w:szCs w:val="24"/>
        </w:rPr>
        <w:t xml:space="preserve"> </w:t>
      </w:r>
      <w:r w:rsidR="00B5357C" w:rsidRPr="005E456A">
        <w:rPr>
          <w:rFonts w:ascii="Book Antiqua" w:hAnsi="Book Antiqua" w:cs="Arial"/>
          <w:i/>
          <w:sz w:val="24"/>
          <w:szCs w:val="24"/>
        </w:rPr>
        <w:t>H</w:t>
      </w:r>
      <w:r w:rsidR="006E56C3" w:rsidRPr="005E456A">
        <w:rPr>
          <w:rFonts w:ascii="Book Antiqua" w:hAnsi="Book Antiqua" w:cs="Arial"/>
          <w:i/>
          <w:sz w:val="24"/>
          <w:szCs w:val="24"/>
        </w:rPr>
        <w:t>. pylori</w:t>
      </w:r>
      <w:r w:rsidR="006E56C3" w:rsidRPr="005E456A">
        <w:rPr>
          <w:rFonts w:ascii="Book Antiqua" w:hAnsi="Book Antiqua" w:cs="Arial"/>
          <w:sz w:val="24"/>
          <w:szCs w:val="24"/>
        </w:rPr>
        <w:t xml:space="preserve"> </w:t>
      </w:r>
      <w:r w:rsidR="00B5357C" w:rsidRPr="005E456A">
        <w:rPr>
          <w:rFonts w:ascii="Book Antiqua" w:hAnsi="Book Antiqua" w:cs="Arial"/>
          <w:sz w:val="24"/>
          <w:szCs w:val="24"/>
        </w:rPr>
        <w:t>infection. The study</w:t>
      </w:r>
      <w:r w:rsidRPr="005E456A">
        <w:rPr>
          <w:rFonts w:ascii="Book Antiqua" w:hAnsi="Book Antiqua" w:cs="Arial"/>
          <w:sz w:val="24"/>
          <w:szCs w:val="24"/>
        </w:rPr>
        <w:t xml:space="preserve"> concluded that the presence of regular arrangement of collecting venules (RAC) </w:t>
      </w:r>
      <w:r w:rsidR="006E56C3" w:rsidRPr="005E456A">
        <w:rPr>
          <w:rFonts w:ascii="Book Antiqua" w:hAnsi="Book Antiqua" w:cs="Arial"/>
          <w:sz w:val="24"/>
          <w:szCs w:val="24"/>
        </w:rPr>
        <w:t xml:space="preserve">could predict the absence of </w:t>
      </w:r>
      <w:r w:rsidR="006E56C3" w:rsidRPr="005E456A">
        <w:rPr>
          <w:rFonts w:ascii="Book Antiqua" w:hAnsi="Book Antiqua" w:cs="Arial"/>
          <w:i/>
          <w:sz w:val="24"/>
          <w:szCs w:val="24"/>
        </w:rPr>
        <w:t xml:space="preserve">H. </w:t>
      </w:r>
      <w:r w:rsidR="004F2D25" w:rsidRPr="005E456A">
        <w:rPr>
          <w:rFonts w:ascii="Book Antiqua" w:hAnsi="Book Antiqua" w:cs="Arial"/>
          <w:i/>
          <w:sz w:val="24"/>
          <w:szCs w:val="24"/>
        </w:rPr>
        <w:t>pylori</w:t>
      </w:r>
      <w:r w:rsidR="004F2D25" w:rsidRPr="005E456A">
        <w:rPr>
          <w:rFonts w:ascii="Book Antiqua" w:hAnsi="Book Antiqua" w:cs="Arial"/>
          <w:sz w:val="24"/>
          <w:szCs w:val="24"/>
        </w:rPr>
        <w:t xml:space="preserve"> gastritis</w:t>
      </w:r>
      <w:r w:rsidRPr="005E456A">
        <w:rPr>
          <w:rFonts w:ascii="Book Antiqua" w:hAnsi="Book Antiqua" w:cs="Arial"/>
          <w:sz w:val="24"/>
          <w:szCs w:val="24"/>
        </w:rPr>
        <w:t xml:space="preserve"> with 95.5% accuracy. </w:t>
      </w:r>
      <w:r w:rsidR="004F2D25" w:rsidRPr="005E456A">
        <w:rPr>
          <w:rFonts w:ascii="Book Antiqua" w:hAnsi="Book Antiqua" w:cs="Arial"/>
          <w:sz w:val="24"/>
          <w:szCs w:val="24"/>
        </w:rPr>
        <w:t>Moreover, t</w:t>
      </w:r>
      <w:r w:rsidR="006E56C3" w:rsidRPr="005E456A">
        <w:rPr>
          <w:rFonts w:ascii="Book Antiqua" w:hAnsi="Book Antiqua" w:cs="Arial"/>
          <w:sz w:val="24"/>
          <w:szCs w:val="24"/>
        </w:rPr>
        <w:t xml:space="preserve">he </w:t>
      </w:r>
      <w:r w:rsidRPr="005E456A">
        <w:rPr>
          <w:rFonts w:ascii="Book Antiqua" w:hAnsi="Book Antiqua" w:cs="Arial"/>
          <w:sz w:val="24"/>
          <w:szCs w:val="24"/>
        </w:rPr>
        <w:t xml:space="preserve">presence of well-defined ridge pattern (wDRP) in antrum had 100% specificity for </w:t>
      </w:r>
      <w:r w:rsidR="009A2F25" w:rsidRPr="005E456A">
        <w:rPr>
          <w:rFonts w:ascii="Book Antiqua" w:hAnsi="Book Antiqua" w:cs="Arial"/>
          <w:sz w:val="24"/>
          <w:szCs w:val="24"/>
        </w:rPr>
        <w:t xml:space="preserve">the </w:t>
      </w:r>
      <w:r w:rsidRPr="005E456A">
        <w:rPr>
          <w:rFonts w:ascii="Book Antiqua" w:hAnsi="Book Antiqua" w:cs="Arial"/>
          <w:sz w:val="24"/>
          <w:szCs w:val="24"/>
        </w:rPr>
        <w:t xml:space="preserve">absence of </w:t>
      </w:r>
      <w:r w:rsidRPr="005E456A">
        <w:rPr>
          <w:rFonts w:ascii="Book Antiqua" w:hAnsi="Book Antiqua" w:cs="Arial"/>
          <w:i/>
          <w:sz w:val="24"/>
          <w:szCs w:val="24"/>
        </w:rPr>
        <w:t>H</w:t>
      </w:r>
      <w:r w:rsidR="006E56C3" w:rsidRPr="005E456A">
        <w:rPr>
          <w:rFonts w:ascii="Book Antiqua" w:hAnsi="Book Antiqua" w:cs="Arial"/>
          <w:i/>
          <w:sz w:val="24"/>
          <w:szCs w:val="24"/>
        </w:rPr>
        <w:t>.</w:t>
      </w:r>
      <w:r w:rsidR="00D04643">
        <w:rPr>
          <w:rFonts w:ascii="Book Antiqua" w:hAnsi="Book Antiqua" w:cs="Arial" w:hint="eastAsia"/>
          <w:sz w:val="24"/>
          <w:szCs w:val="24"/>
        </w:rPr>
        <w:t xml:space="preserve"> </w:t>
      </w:r>
      <w:r w:rsidRPr="005E456A">
        <w:rPr>
          <w:rFonts w:ascii="Book Antiqua" w:hAnsi="Book Antiqua" w:cs="Arial"/>
          <w:i/>
          <w:sz w:val="24"/>
          <w:szCs w:val="24"/>
        </w:rPr>
        <w:t xml:space="preserve">pylori </w:t>
      </w:r>
      <w:r w:rsidRPr="005E456A">
        <w:rPr>
          <w:rFonts w:ascii="Book Antiqua" w:hAnsi="Book Antiqua" w:cs="Arial"/>
          <w:sz w:val="24"/>
          <w:szCs w:val="24"/>
        </w:rPr>
        <w:t xml:space="preserve">gastritis, although its sensitivity was relatively </w:t>
      </w:r>
      <w:r w:rsidRPr="005E456A">
        <w:rPr>
          <w:rFonts w:ascii="Book Antiqua" w:hAnsi="Book Antiqua" w:cs="Arial"/>
          <w:sz w:val="24"/>
          <w:szCs w:val="24"/>
        </w:rPr>
        <w:lastRenderedPageBreak/>
        <w:t>low at 54.5%.</w:t>
      </w:r>
      <w:r w:rsidR="00D04643">
        <w:rPr>
          <w:rFonts w:ascii="Book Antiqua" w:hAnsi="Book Antiqua" w:cs="Arial" w:hint="eastAsia"/>
          <w:sz w:val="24"/>
          <w:szCs w:val="24"/>
        </w:rPr>
        <w:t xml:space="preserve"> </w:t>
      </w:r>
      <w:r w:rsidRPr="005E456A">
        <w:rPr>
          <w:rFonts w:ascii="Book Antiqua" w:hAnsi="Book Antiqua" w:cs="Arial"/>
          <w:sz w:val="24"/>
          <w:szCs w:val="24"/>
        </w:rPr>
        <w:t xml:space="preserve">In another study, the ME views of corpus were grouped into four types (Z-0 to Z-3) and almost all patients without </w:t>
      </w:r>
      <w:r w:rsidRPr="005E456A">
        <w:rPr>
          <w:rFonts w:ascii="Book Antiqua" w:hAnsi="Book Antiqua" w:cs="Arial"/>
          <w:i/>
          <w:sz w:val="24"/>
          <w:szCs w:val="24"/>
        </w:rPr>
        <w:t>H</w:t>
      </w:r>
      <w:r w:rsidR="006E56C3" w:rsidRPr="005E456A">
        <w:rPr>
          <w:rFonts w:ascii="Book Antiqua" w:hAnsi="Book Antiqua" w:cs="Arial"/>
          <w:i/>
          <w:sz w:val="24"/>
          <w:szCs w:val="24"/>
        </w:rPr>
        <w:t>.</w:t>
      </w:r>
      <w:r w:rsidR="00D04643">
        <w:rPr>
          <w:rFonts w:ascii="Book Antiqua" w:hAnsi="Book Antiqua" w:cs="Arial" w:hint="eastAsia"/>
          <w:i/>
          <w:sz w:val="24"/>
          <w:szCs w:val="24"/>
        </w:rPr>
        <w:t xml:space="preserve"> </w:t>
      </w:r>
      <w:r w:rsidRPr="005E456A">
        <w:rPr>
          <w:rFonts w:ascii="Book Antiqua" w:hAnsi="Book Antiqua" w:cs="Arial"/>
          <w:i/>
          <w:sz w:val="24"/>
          <w:szCs w:val="24"/>
        </w:rPr>
        <w:t>pylori</w:t>
      </w:r>
      <w:r w:rsidRPr="005E456A">
        <w:rPr>
          <w:rFonts w:ascii="Book Antiqua" w:hAnsi="Book Antiqua" w:cs="Arial"/>
          <w:sz w:val="24"/>
          <w:szCs w:val="24"/>
        </w:rPr>
        <w:t xml:space="preserve"> gastritis had Z-0 pattern</w:t>
      </w:r>
      <w:r w:rsidR="009A2F25" w:rsidRPr="005E456A">
        <w:rPr>
          <w:rFonts w:ascii="Book Antiqua" w:hAnsi="Book Antiqua" w:cs="Arial"/>
          <w:sz w:val="24"/>
          <w:szCs w:val="24"/>
          <w:vertAlign w:val="superscript"/>
        </w:rPr>
        <w:t>[</w:t>
      </w:r>
      <w:r w:rsidR="004F2D25" w:rsidRPr="005E456A">
        <w:rPr>
          <w:rFonts w:ascii="Book Antiqua" w:hAnsi="Book Antiqua" w:cs="Arial"/>
          <w:sz w:val="24"/>
          <w:szCs w:val="24"/>
          <w:vertAlign w:val="superscript"/>
        </w:rPr>
        <w:t>9</w:t>
      </w:r>
      <w:r w:rsidR="009A2F25" w:rsidRPr="005E456A">
        <w:rPr>
          <w:rFonts w:ascii="Book Antiqua" w:hAnsi="Book Antiqua" w:cs="Arial"/>
          <w:sz w:val="24"/>
          <w:szCs w:val="24"/>
          <w:vertAlign w:val="superscript"/>
        </w:rPr>
        <w:t>]</w:t>
      </w:r>
      <w:r w:rsidRPr="005E456A">
        <w:rPr>
          <w:rFonts w:ascii="Book Antiqua" w:hAnsi="Book Antiqua" w:cs="Arial"/>
          <w:sz w:val="24"/>
          <w:szCs w:val="24"/>
        </w:rPr>
        <w:t xml:space="preserve">. </w:t>
      </w:r>
    </w:p>
    <w:p w14:paraId="160CD7D5" w14:textId="77777777" w:rsidR="000510E6" w:rsidRPr="005E456A" w:rsidRDefault="000510E6" w:rsidP="005E456A">
      <w:pPr>
        <w:spacing w:after="0" w:line="360" w:lineRule="auto"/>
        <w:jc w:val="both"/>
        <w:rPr>
          <w:rFonts w:ascii="Book Antiqua" w:hAnsi="Book Antiqua" w:cs="Arial"/>
          <w:b/>
          <w:i/>
          <w:sz w:val="24"/>
          <w:szCs w:val="24"/>
        </w:rPr>
      </w:pPr>
    </w:p>
    <w:p w14:paraId="2BF92FC9" w14:textId="5BB0B32F" w:rsidR="003301B6" w:rsidRPr="005E456A" w:rsidRDefault="003301B6" w:rsidP="005E456A">
      <w:pPr>
        <w:spacing w:after="0" w:line="360" w:lineRule="auto"/>
        <w:jc w:val="both"/>
        <w:rPr>
          <w:rFonts w:ascii="Book Antiqua" w:hAnsi="Book Antiqua" w:cs="Arial"/>
          <w:b/>
          <w:i/>
          <w:sz w:val="24"/>
          <w:szCs w:val="24"/>
        </w:rPr>
      </w:pPr>
      <w:r w:rsidRPr="005E456A">
        <w:rPr>
          <w:rFonts w:ascii="Book Antiqua" w:hAnsi="Book Antiqua" w:cs="Arial"/>
          <w:b/>
          <w:i/>
          <w:sz w:val="24"/>
          <w:szCs w:val="24"/>
        </w:rPr>
        <w:t>H</w:t>
      </w:r>
      <w:r w:rsidR="006E56C3" w:rsidRPr="005E456A">
        <w:rPr>
          <w:rFonts w:ascii="Book Antiqua" w:hAnsi="Book Antiqua" w:cs="Arial"/>
          <w:b/>
          <w:i/>
          <w:sz w:val="24"/>
          <w:szCs w:val="24"/>
        </w:rPr>
        <w:t xml:space="preserve">. </w:t>
      </w:r>
      <w:r w:rsidRPr="005E456A">
        <w:rPr>
          <w:rFonts w:ascii="Book Antiqua" w:hAnsi="Book Antiqua" w:cs="Arial"/>
          <w:b/>
          <w:i/>
          <w:sz w:val="24"/>
          <w:szCs w:val="24"/>
        </w:rPr>
        <w:t xml:space="preserve">pylori assessment with </w:t>
      </w:r>
      <w:r w:rsidR="004E7E7D">
        <w:rPr>
          <w:rFonts w:ascii="Book Antiqua" w:hAnsi="Book Antiqua" w:cs="Arial"/>
          <w:b/>
          <w:i/>
          <w:sz w:val="24"/>
          <w:szCs w:val="24"/>
        </w:rPr>
        <w:t>“</w:t>
      </w:r>
      <w:r w:rsidRPr="005E456A">
        <w:rPr>
          <w:rFonts w:ascii="Book Antiqua" w:hAnsi="Book Antiqua" w:cs="Arial"/>
          <w:b/>
          <w:i/>
          <w:sz w:val="24"/>
          <w:szCs w:val="24"/>
        </w:rPr>
        <w:t>only ME</w:t>
      </w:r>
      <w:r w:rsidR="004E7E7D">
        <w:rPr>
          <w:rFonts w:ascii="Book Antiqua" w:hAnsi="Book Antiqua" w:cs="Arial"/>
          <w:b/>
          <w:i/>
          <w:sz w:val="24"/>
          <w:szCs w:val="24"/>
        </w:rPr>
        <w:t>”</w:t>
      </w:r>
    </w:p>
    <w:p w14:paraId="24EEC017" w14:textId="1D333BB4" w:rsidR="00952A71" w:rsidRPr="005E456A" w:rsidRDefault="004F2D25" w:rsidP="00375373">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t xml:space="preserve">Six prospective studies have reported the use of </w:t>
      </w:r>
      <w:r w:rsidR="00375373">
        <w:rPr>
          <w:rFonts w:ascii="Book Antiqua" w:hAnsi="Book Antiqua" w:cs="Arial"/>
          <w:sz w:val="24"/>
          <w:szCs w:val="24"/>
        </w:rPr>
        <w:t>“</w:t>
      </w:r>
      <w:r w:rsidRPr="005E456A">
        <w:rPr>
          <w:rFonts w:ascii="Book Antiqua" w:hAnsi="Book Antiqua" w:cs="Arial"/>
          <w:sz w:val="24"/>
          <w:szCs w:val="24"/>
        </w:rPr>
        <w:t>only ME</w:t>
      </w:r>
      <w:r w:rsidR="00375373">
        <w:rPr>
          <w:rFonts w:ascii="Book Antiqua" w:hAnsi="Book Antiqua" w:cs="Arial"/>
          <w:sz w:val="24"/>
          <w:szCs w:val="24"/>
        </w:rPr>
        <w:t>”</w:t>
      </w:r>
      <w:r w:rsidRPr="005E456A">
        <w:rPr>
          <w:rFonts w:ascii="Book Antiqua" w:hAnsi="Book Antiqua" w:cs="Arial"/>
          <w:sz w:val="24"/>
          <w:szCs w:val="24"/>
        </w:rPr>
        <w:t xml:space="preserve"> in predicting the gastritis (</w:t>
      </w:r>
      <w:r w:rsidR="003301B6" w:rsidRPr="005E456A">
        <w:rPr>
          <w:rFonts w:ascii="Book Antiqua" w:hAnsi="Book Antiqua" w:cs="Arial"/>
          <w:sz w:val="24"/>
          <w:szCs w:val="24"/>
        </w:rPr>
        <w:t xml:space="preserve">especially </w:t>
      </w:r>
      <w:r w:rsidR="003301B6" w:rsidRPr="005E456A">
        <w:rPr>
          <w:rFonts w:ascii="Book Antiqua" w:hAnsi="Book Antiqua" w:cs="Arial"/>
          <w:i/>
          <w:sz w:val="24"/>
          <w:szCs w:val="24"/>
        </w:rPr>
        <w:t>H</w:t>
      </w:r>
      <w:r w:rsidR="00830970" w:rsidRPr="005E456A">
        <w:rPr>
          <w:rFonts w:ascii="Book Antiqua" w:hAnsi="Book Antiqua" w:cs="Arial"/>
          <w:i/>
          <w:sz w:val="24"/>
          <w:szCs w:val="24"/>
        </w:rPr>
        <w:t xml:space="preserve">. </w:t>
      </w:r>
      <w:r w:rsidR="003301B6" w:rsidRPr="005E456A">
        <w:rPr>
          <w:rFonts w:ascii="Book Antiqua" w:hAnsi="Book Antiqua" w:cs="Arial"/>
          <w:i/>
          <w:sz w:val="24"/>
          <w:szCs w:val="24"/>
        </w:rPr>
        <w:t>pylori</w:t>
      </w:r>
      <w:r w:rsidR="00375373">
        <w:rPr>
          <w:rFonts w:ascii="Book Antiqua" w:hAnsi="Book Antiqua" w:cs="Arial"/>
          <w:sz w:val="24"/>
          <w:szCs w:val="24"/>
        </w:rPr>
        <w:t xml:space="preserve"> gastritis)</w:t>
      </w:r>
      <w:r w:rsidR="009A2F25" w:rsidRPr="005E456A">
        <w:rPr>
          <w:rFonts w:ascii="Book Antiqua" w:hAnsi="Book Antiqua" w:cs="Arial"/>
          <w:sz w:val="24"/>
          <w:szCs w:val="24"/>
          <w:vertAlign w:val="superscript"/>
        </w:rPr>
        <w:t>[</w:t>
      </w:r>
      <w:r w:rsidRPr="005E456A">
        <w:rPr>
          <w:rFonts w:ascii="Book Antiqua" w:hAnsi="Book Antiqua" w:cs="Arial"/>
          <w:sz w:val="24"/>
          <w:szCs w:val="24"/>
          <w:vertAlign w:val="superscript"/>
        </w:rPr>
        <w:t>8-13</w:t>
      </w:r>
      <w:r w:rsidR="009A2F25" w:rsidRPr="005E456A">
        <w:rPr>
          <w:rFonts w:ascii="Book Antiqua" w:hAnsi="Book Antiqua" w:cs="Arial"/>
          <w:sz w:val="24"/>
          <w:szCs w:val="24"/>
          <w:vertAlign w:val="superscript"/>
        </w:rPr>
        <w:t>]</w:t>
      </w:r>
      <w:r w:rsidR="003301B6" w:rsidRPr="005E456A">
        <w:rPr>
          <w:rFonts w:ascii="Book Antiqua" w:hAnsi="Book Antiqua" w:cs="Arial"/>
          <w:sz w:val="24"/>
          <w:szCs w:val="24"/>
        </w:rPr>
        <w:t xml:space="preserve">. </w:t>
      </w:r>
      <w:r w:rsidRPr="005E456A">
        <w:rPr>
          <w:rFonts w:ascii="Book Antiqua" w:hAnsi="Book Antiqua" w:cs="Arial"/>
          <w:sz w:val="24"/>
          <w:szCs w:val="24"/>
        </w:rPr>
        <w:t>However, a variety of different mucosal</w:t>
      </w:r>
      <w:r w:rsidR="003301B6" w:rsidRPr="005E456A">
        <w:rPr>
          <w:rFonts w:ascii="Book Antiqua" w:hAnsi="Book Antiqua" w:cs="Arial"/>
          <w:sz w:val="24"/>
          <w:szCs w:val="24"/>
        </w:rPr>
        <w:t xml:space="preserve"> classification</w:t>
      </w:r>
      <w:r w:rsidR="009A2F25" w:rsidRPr="005E456A">
        <w:rPr>
          <w:rFonts w:ascii="Book Antiqua" w:hAnsi="Book Antiqua" w:cs="Arial"/>
          <w:sz w:val="24"/>
          <w:szCs w:val="24"/>
        </w:rPr>
        <w:t>s</w:t>
      </w:r>
      <w:r w:rsidR="00830970" w:rsidRPr="005E456A">
        <w:rPr>
          <w:rFonts w:ascii="Book Antiqua" w:hAnsi="Book Antiqua" w:cs="Arial"/>
          <w:sz w:val="24"/>
          <w:szCs w:val="24"/>
        </w:rPr>
        <w:t xml:space="preserve"> </w:t>
      </w:r>
      <w:r w:rsidRPr="005E456A">
        <w:rPr>
          <w:rFonts w:ascii="Book Antiqua" w:hAnsi="Book Antiqua" w:cs="Arial"/>
          <w:sz w:val="24"/>
          <w:szCs w:val="24"/>
        </w:rPr>
        <w:t>were used and proposed</w:t>
      </w:r>
      <w:r w:rsidR="003301B6" w:rsidRPr="005E456A">
        <w:rPr>
          <w:rFonts w:ascii="Book Antiqua" w:hAnsi="Book Antiqua" w:cs="Arial"/>
          <w:sz w:val="24"/>
          <w:szCs w:val="24"/>
        </w:rPr>
        <w:t xml:space="preserve"> to correlate with </w:t>
      </w:r>
      <w:r w:rsidR="003301B6" w:rsidRPr="005E456A">
        <w:rPr>
          <w:rFonts w:ascii="Book Antiqua" w:hAnsi="Book Antiqua" w:cs="Arial"/>
          <w:i/>
          <w:sz w:val="24"/>
          <w:szCs w:val="24"/>
        </w:rPr>
        <w:t>H</w:t>
      </w:r>
      <w:r w:rsidR="00830970" w:rsidRPr="005E456A">
        <w:rPr>
          <w:rFonts w:ascii="Book Antiqua" w:hAnsi="Book Antiqua" w:cs="Arial"/>
          <w:i/>
          <w:sz w:val="24"/>
          <w:szCs w:val="24"/>
        </w:rPr>
        <w:t xml:space="preserve">. </w:t>
      </w:r>
      <w:r w:rsidR="003301B6" w:rsidRPr="005E456A">
        <w:rPr>
          <w:rFonts w:ascii="Book Antiqua" w:hAnsi="Book Antiqua" w:cs="Arial"/>
          <w:i/>
          <w:sz w:val="24"/>
          <w:szCs w:val="24"/>
        </w:rPr>
        <w:t>pylori</w:t>
      </w:r>
      <w:r w:rsidR="003301B6" w:rsidRPr="005E456A">
        <w:rPr>
          <w:rFonts w:ascii="Book Antiqua" w:hAnsi="Book Antiqua" w:cs="Arial"/>
          <w:sz w:val="24"/>
          <w:szCs w:val="24"/>
        </w:rPr>
        <w:t xml:space="preserve"> status</w:t>
      </w:r>
      <w:r w:rsidR="004A20D2" w:rsidRPr="005E456A">
        <w:rPr>
          <w:rFonts w:ascii="Book Antiqua" w:hAnsi="Book Antiqua" w:cs="Arial"/>
          <w:sz w:val="24"/>
          <w:szCs w:val="24"/>
        </w:rPr>
        <w:t xml:space="preserve">. </w:t>
      </w:r>
      <w:r w:rsidRPr="005E456A">
        <w:rPr>
          <w:rFonts w:ascii="Book Antiqua" w:hAnsi="Book Antiqua" w:cs="Arial"/>
          <w:sz w:val="24"/>
          <w:szCs w:val="24"/>
        </w:rPr>
        <w:t xml:space="preserve">As mentioned in the earlier section, </w:t>
      </w:r>
      <w:r w:rsidR="003301B6" w:rsidRPr="005E456A">
        <w:rPr>
          <w:rFonts w:ascii="Book Antiqua" w:hAnsi="Book Antiqua" w:cs="Arial"/>
          <w:sz w:val="24"/>
          <w:szCs w:val="24"/>
        </w:rPr>
        <w:t xml:space="preserve">Yagi </w:t>
      </w:r>
      <w:r w:rsidR="003301B6" w:rsidRPr="00127164">
        <w:rPr>
          <w:rFonts w:ascii="Book Antiqua" w:hAnsi="Book Antiqua" w:cs="Arial"/>
          <w:i/>
          <w:sz w:val="24"/>
          <w:szCs w:val="24"/>
        </w:rPr>
        <w:t>et al</w:t>
      </w:r>
      <w:r w:rsidR="00127164" w:rsidRPr="005E456A">
        <w:rPr>
          <w:rFonts w:ascii="Book Antiqua" w:hAnsi="Book Antiqua" w:cs="Arial"/>
          <w:sz w:val="24"/>
          <w:szCs w:val="24"/>
          <w:vertAlign w:val="superscript"/>
        </w:rPr>
        <w:t>[</w:t>
      </w:r>
      <w:r w:rsidR="00127164">
        <w:rPr>
          <w:rFonts w:ascii="Book Antiqua" w:hAnsi="Book Antiqua" w:cs="Arial"/>
          <w:sz w:val="24"/>
          <w:szCs w:val="24"/>
          <w:vertAlign w:val="superscript"/>
        </w:rPr>
        <w:t>8,</w:t>
      </w:r>
      <w:r w:rsidR="00127164" w:rsidRPr="005E456A">
        <w:rPr>
          <w:rFonts w:ascii="Book Antiqua" w:hAnsi="Book Antiqua" w:cs="Arial"/>
          <w:sz w:val="24"/>
          <w:szCs w:val="24"/>
          <w:vertAlign w:val="superscript"/>
        </w:rPr>
        <w:t>9]</w:t>
      </w:r>
      <w:r w:rsidR="003301B6" w:rsidRPr="005E456A">
        <w:rPr>
          <w:rFonts w:ascii="Book Antiqua" w:hAnsi="Book Antiqua" w:cs="Arial"/>
          <w:sz w:val="24"/>
          <w:szCs w:val="24"/>
        </w:rPr>
        <w:t xml:space="preserve"> correlated </w:t>
      </w:r>
      <w:r w:rsidR="003301B6" w:rsidRPr="005E456A">
        <w:rPr>
          <w:rFonts w:ascii="Book Antiqua" w:hAnsi="Book Antiqua" w:cs="Arial"/>
          <w:i/>
          <w:sz w:val="24"/>
          <w:szCs w:val="24"/>
        </w:rPr>
        <w:t>H</w:t>
      </w:r>
      <w:r w:rsidR="00830970" w:rsidRPr="005E456A">
        <w:rPr>
          <w:rFonts w:ascii="Book Antiqua" w:hAnsi="Book Antiqua" w:cs="Arial"/>
          <w:i/>
          <w:sz w:val="24"/>
          <w:szCs w:val="24"/>
        </w:rPr>
        <w:t>. pylori</w:t>
      </w:r>
      <w:r w:rsidR="003301B6" w:rsidRPr="005E456A">
        <w:rPr>
          <w:rFonts w:ascii="Book Antiqua" w:hAnsi="Book Antiqua" w:cs="Arial"/>
          <w:sz w:val="24"/>
          <w:szCs w:val="24"/>
        </w:rPr>
        <w:t xml:space="preserve"> status with RAC in corpus, wDRP in antrum and Z0-Z4 classification</w:t>
      </w:r>
      <w:r w:rsidR="009A2F25" w:rsidRPr="005E456A">
        <w:rPr>
          <w:rFonts w:ascii="Book Antiqua" w:hAnsi="Book Antiqua" w:cs="Arial"/>
          <w:sz w:val="24"/>
          <w:szCs w:val="24"/>
        </w:rPr>
        <w:t xml:space="preserve"> in corpus</w:t>
      </w:r>
      <w:r w:rsidR="003301B6" w:rsidRPr="005E456A">
        <w:rPr>
          <w:rFonts w:ascii="Book Antiqua" w:hAnsi="Book Antiqua" w:cs="Arial"/>
          <w:sz w:val="24"/>
          <w:szCs w:val="24"/>
        </w:rPr>
        <w:t xml:space="preserve"> with good </w:t>
      </w:r>
      <w:r w:rsidR="001328D8" w:rsidRPr="005E456A">
        <w:rPr>
          <w:rFonts w:ascii="Book Antiqua" w:hAnsi="Book Antiqua" w:cs="Arial"/>
          <w:sz w:val="24"/>
          <w:szCs w:val="24"/>
        </w:rPr>
        <w:t>success</w:t>
      </w:r>
      <w:r w:rsidR="003301B6" w:rsidRPr="005E456A">
        <w:rPr>
          <w:rFonts w:ascii="Book Antiqua" w:hAnsi="Book Antiqua" w:cs="Arial"/>
          <w:sz w:val="24"/>
          <w:szCs w:val="24"/>
        </w:rPr>
        <w:t xml:space="preserve">. Based on </w:t>
      </w:r>
      <w:r w:rsidR="009A2F25" w:rsidRPr="005E456A">
        <w:rPr>
          <w:rFonts w:ascii="Book Antiqua" w:hAnsi="Book Antiqua" w:cs="Arial"/>
          <w:sz w:val="24"/>
          <w:szCs w:val="24"/>
        </w:rPr>
        <w:t xml:space="preserve">the same </w:t>
      </w:r>
      <w:r w:rsidR="003301B6" w:rsidRPr="005E456A">
        <w:rPr>
          <w:rFonts w:ascii="Book Antiqua" w:hAnsi="Book Antiqua" w:cs="Arial"/>
          <w:sz w:val="24"/>
          <w:szCs w:val="24"/>
        </w:rPr>
        <w:t xml:space="preserve">Z0-Z4 classification, a group from Turkey showed superior results with </w:t>
      </w:r>
      <w:r w:rsidR="00830970" w:rsidRPr="005E456A">
        <w:rPr>
          <w:rFonts w:ascii="Book Antiqua" w:hAnsi="Book Antiqua" w:cs="Arial"/>
          <w:i/>
          <w:sz w:val="24"/>
          <w:szCs w:val="24"/>
        </w:rPr>
        <w:t>H. pylori</w:t>
      </w:r>
      <w:r w:rsidR="003301B6" w:rsidRPr="005E456A">
        <w:rPr>
          <w:rFonts w:ascii="Book Antiqua" w:hAnsi="Book Antiqua" w:cs="Arial"/>
          <w:sz w:val="24"/>
          <w:szCs w:val="24"/>
        </w:rPr>
        <w:t xml:space="preserve"> detection w</w:t>
      </w:r>
      <w:r w:rsidR="00F77269" w:rsidRPr="005E456A">
        <w:rPr>
          <w:rFonts w:ascii="Book Antiqua" w:hAnsi="Book Antiqua" w:cs="Arial"/>
          <w:sz w:val="24"/>
          <w:szCs w:val="24"/>
        </w:rPr>
        <w:t xml:space="preserve">hen compared with standard </w:t>
      </w:r>
      <w:r w:rsidR="003301B6" w:rsidRPr="005E456A">
        <w:rPr>
          <w:rFonts w:ascii="Book Antiqua" w:hAnsi="Book Antiqua" w:cs="Arial"/>
          <w:sz w:val="24"/>
          <w:szCs w:val="24"/>
        </w:rPr>
        <w:t>endoscopy</w:t>
      </w:r>
      <w:r w:rsidRPr="005E456A">
        <w:rPr>
          <w:rFonts w:ascii="Book Antiqua" w:hAnsi="Book Antiqua" w:cs="Arial"/>
          <w:sz w:val="24"/>
          <w:szCs w:val="24"/>
          <w:vertAlign w:val="superscript"/>
        </w:rPr>
        <w:t>[10</w:t>
      </w:r>
      <w:r w:rsidR="009A2F25" w:rsidRPr="005E456A">
        <w:rPr>
          <w:rFonts w:ascii="Book Antiqua" w:hAnsi="Book Antiqua" w:cs="Arial"/>
          <w:sz w:val="24"/>
          <w:szCs w:val="24"/>
          <w:vertAlign w:val="superscript"/>
        </w:rPr>
        <w:t>]</w:t>
      </w:r>
      <w:r w:rsidR="003301B6" w:rsidRPr="005E456A">
        <w:rPr>
          <w:rFonts w:ascii="Book Antiqua" w:hAnsi="Book Antiqua" w:cs="Arial"/>
          <w:sz w:val="24"/>
          <w:szCs w:val="24"/>
        </w:rPr>
        <w:t xml:space="preserve">. </w:t>
      </w:r>
      <w:r w:rsidRPr="005E456A">
        <w:rPr>
          <w:rFonts w:ascii="Book Antiqua" w:hAnsi="Book Antiqua" w:cs="Arial"/>
          <w:sz w:val="24"/>
          <w:szCs w:val="24"/>
        </w:rPr>
        <w:t xml:space="preserve">In another study, </w:t>
      </w:r>
      <w:r w:rsidR="003301B6" w:rsidRPr="005E456A">
        <w:rPr>
          <w:rFonts w:ascii="Book Antiqua" w:hAnsi="Book Antiqua" w:cs="Arial"/>
          <w:sz w:val="24"/>
          <w:szCs w:val="24"/>
        </w:rPr>
        <w:t xml:space="preserve">Anagnostopoulos </w:t>
      </w:r>
      <w:r w:rsidR="003301B6" w:rsidRPr="007A7BBA">
        <w:rPr>
          <w:rFonts w:ascii="Book Antiqua" w:hAnsi="Book Antiqua" w:cs="Arial"/>
          <w:i/>
          <w:sz w:val="24"/>
          <w:szCs w:val="24"/>
        </w:rPr>
        <w:t>et al</w:t>
      </w:r>
      <w:r w:rsidR="007A7BBA" w:rsidRPr="005E456A">
        <w:rPr>
          <w:rFonts w:ascii="Book Antiqua" w:hAnsi="Book Antiqua" w:cs="Arial"/>
          <w:sz w:val="24"/>
          <w:szCs w:val="24"/>
          <w:vertAlign w:val="superscript"/>
        </w:rPr>
        <w:t>[11]</w:t>
      </w:r>
      <w:r w:rsidR="003301B6" w:rsidRPr="005E456A">
        <w:rPr>
          <w:rFonts w:ascii="Book Antiqua" w:hAnsi="Book Antiqua" w:cs="Arial"/>
          <w:sz w:val="24"/>
          <w:szCs w:val="24"/>
        </w:rPr>
        <w:t xml:space="preserve"> grouped ME views of corpus (</w:t>
      </w:r>
      <w:r w:rsidR="00F77269" w:rsidRPr="005E456A">
        <w:rPr>
          <w:rFonts w:ascii="Book Antiqua" w:hAnsi="Book Antiqua" w:cs="Arial"/>
          <w:sz w:val="24"/>
          <w:szCs w:val="24"/>
        </w:rPr>
        <w:t xml:space="preserve">GIF Q240-Z, </w:t>
      </w:r>
      <w:r w:rsidRPr="005E456A">
        <w:rPr>
          <w:rFonts w:ascii="Book Antiqua" w:hAnsi="Book Antiqua" w:cs="Arial"/>
          <w:sz w:val="24"/>
          <w:szCs w:val="24"/>
        </w:rPr>
        <w:t xml:space="preserve">115 </w:t>
      </w:r>
      <w:r w:rsidR="00AF11FC" w:rsidRPr="00026D49">
        <w:rPr>
          <w:rFonts w:ascii="Book Antiqua" w:hAnsi="Book Antiqua" w:cs="Times New Roman"/>
          <w:color w:val="000000"/>
          <w:sz w:val="24"/>
          <w:szCs w:val="24"/>
        </w:rPr>
        <w:t>×</w:t>
      </w:r>
      <w:r w:rsidRPr="005E456A">
        <w:rPr>
          <w:rFonts w:ascii="Book Antiqua" w:hAnsi="Book Antiqua" w:cs="Arial"/>
          <w:sz w:val="24"/>
          <w:szCs w:val="24"/>
        </w:rPr>
        <w:t xml:space="preserve"> magnifications</w:t>
      </w:r>
      <w:r w:rsidR="003301B6" w:rsidRPr="005E456A">
        <w:rPr>
          <w:rFonts w:ascii="Book Antiqua" w:hAnsi="Book Antiqua" w:cs="Arial"/>
          <w:sz w:val="24"/>
          <w:szCs w:val="24"/>
        </w:rPr>
        <w:t xml:space="preserve">) into four types with high inter-observer </w:t>
      </w:r>
      <w:r w:rsidRPr="005E456A">
        <w:rPr>
          <w:rFonts w:ascii="Book Antiqua" w:hAnsi="Book Antiqua" w:cs="Arial"/>
          <w:sz w:val="24"/>
          <w:szCs w:val="24"/>
        </w:rPr>
        <w:t>agreement</w:t>
      </w:r>
      <w:r w:rsidR="003301B6" w:rsidRPr="005E456A">
        <w:rPr>
          <w:rFonts w:ascii="Book Antiqua" w:hAnsi="Book Antiqua" w:cs="Arial"/>
          <w:sz w:val="24"/>
          <w:szCs w:val="24"/>
        </w:rPr>
        <w:t xml:space="preserve">. </w:t>
      </w:r>
      <w:r w:rsidRPr="005E456A">
        <w:rPr>
          <w:rFonts w:ascii="Book Antiqua" w:hAnsi="Book Antiqua" w:cs="Arial"/>
          <w:sz w:val="24"/>
          <w:szCs w:val="24"/>
        </w:rPr>
        <w:t xml:space="preserve">Their classification </w:t>
      </w:r>
      <w:r w:rsidR="003301B6" w:rsidRPr="005E456A">
        <w:rPr>
          <w:rFonts w:ascii="Book Antiqua" w:hAnsi="Book Antiqua" w:cs="Arial"/>
          <w:sz w:val="24"/>
          <w:szCs w:val="24"/>
        </w:rPr>
        <w:t xml:space="preserve">identified </w:t>
      </w:r>
      <w:r w:rsidR="00830970" w:rsidRPr="005E456A">
        <w:rPr>
          <w:rFonts w:ascii="Book Antiqua" w:hAnsi="Book Antiqua" w:cs="Arial"/>
          <w:i/>
          <w:sz w:val="24"/>
          <w:szCs w:val="24"/>
        </w:rPr>
        <w:t>H. pylori</w:t>
      </w:r>
      <w:r w:rsidR="003301B6" w:rsidRPr="005E456A">
        <w:rPr>
          <w:rFonts w:ascii="Book Antiqua" w:hAnsi="Book Antiqua" w:cs="Arial"/>
          <w:sz w:val="24"/>
          <w:szCs w:val="24"/>
        </w:rPr>
        <w:t xml:space="preserve"> gastritis with sensitivity and specificity of 100% and 92.7% respectively. Similarly, other authors have reported excellent results with other classifications. </w:t>
      </w:r>
    </w:p>
    <w:p w14:paraId="2A76F99C" w14:textId="0E4CCE76" w:rsidR="00052FD1" w:rsidRPr="005E456A" w:rsidRDefault="00952A71" w:rsidP="005E456A">
      <w:pPr>
        <w:pStyle w:val="ListParagraph"/>
        <w:spacing w:after="0" w:line="360" w:lineRule="auto"/>
        <w:ind w:left="0" w:firstLine="720"/>
        <w:jc w:val="both"/>
        <w:rPr>
          <w:rFonts w:ascii="Book Antiqua" w:hAnsi="Book Antiqua" w:cs="Arial"/>
          <w:sz w:val="24"/>
          <w:szCs w:val="24"/>
        </w:rPr>
      </w:pPr>
      <w:r w:rsidRPr="005E456A">
        <w:rPr>
          <w:rFonts w:ascii="Book Antiqua" w:hAnsi="Book Antiqua" w:cs="Arial"/>
          <w:sz w:val="24"/>
          <w:szCs w:val="24"/>
        </w:rPr>
        <w:t>Worldwide,</w:t>
      </w:r>
      <w:r w:rsidRPr="005E456A">
        <w:rPr>
          <w:rFonts w:ascii="Book Antiqua" w:hAnsi="Book Antiqua" w:cs="Arial"/>
          <w:i/>
          <w:sz w:val="24"/>
          <w:szCs w:val="24"/>
        </w:rPr>
        <w:t xml:space="preserve"> H. pylori</w:t>
      </w:r>
      <w:r w:rsidRPr="005E456A">
        <w:rPr>
          <w:rFonts w:ascii="Book Antiqua" w:hAnsi="Book Antiqua" w:cs="Arial"/>
          <w:sz w:val="24"/>
          <w:szCs w:val="24"/>
        </w:rPr>
        <w:t xml:space="preserve"> gastric infection is considered the primary carcinogen for develo</w:t>
      </w:r>
      <w:r w:rsidR="00D04643">
        <w:rPr>
          <w:rFonts w:ascii="Book Antiqua" w:hAnsi="Book Antiqua" w:cs="Arial"/>
          <w:sz w:val="24"/>
          <w:szCs w:val="24"/>
        </w:rPr>
        <w:t>pment of gastric adenocarcinoma</w:t>
      </w:r>
      <w:r w:rsidRPr="005E456A">
        <w:rPr>
          <w:rFonts w:ascii="Book Antiqua" w:hAnsi="Book Antiqua" w:cs="Arial"/>
          <w:sz w:val="24"/>
          <w:szCs w:val="24"/>
          <w:vertAlign w:val="superscript"/>
        </w:rPr>
        <w:t>[14]</w:t>
      </w:r>
      <w:r w:rsidRPr="005E456A">
        <w:rPr>
          <w:rFonts w:ascii="Book Antiqua" w:hAnsi="Book Antiqua" w:cs="Arial"/>
          <w:sz w:val="24"/>
          <w:szCs w:val="24"/>
        </w:rPr>
        <w:t xml:space="preserve">. </w:t>
      </w:r>
      <w:r w:rsidR="003301B6" w:rsidRPr="005E456A">
        <w:rPr>
          <w:rFonts w:ascii="Book Antiqua" w:hAnsi="Book Antiqua" w:cs="Arial"/>
          <w:sz w:val="24"/>
          <w:szCs w:val="24"/>
        </w:rPr>
        <w:t xml:space="preserve">Real-time diagnosis of </w:t>
      </w:r>
      <w:r w:rsidR="00830970" w:rsidRPr="005E456A">
        <w:rPr>
          <w:rFonts w:ascii="Book Antiqua" w:hAnsi="Book Antiqua" w:cs="Arial"/>
          <w:i/>
          <w:sz w:val="24"/>
          <w:szCs w:val="24"/>
        </w:rPr>
        <w:t>H. pylori</w:t>
      </w:r>
      <w:r w:rsidR="003301B6" w:rsidRPr="005E456A">
        <w:rPr>
          <w:rFonts w:ascii="Book Antiqua" w:hAnsi="Book Antiqua" w:cs="Arial"/>
          <w:sz w:val="24"/>
          <w:szCs w:val="24"/>
        </w:rPr>
        <w:t xml:space="preserve"> and other types of gastritis with ME may be beneficial in a sense that detection of such types of abnormal mucosal patterns may make an endoscopist more vigilant to the possibil</w:t>
      </w:r>
      <w:r w:rsidR="00F77269" w:rsidRPr="005E456A">
        <w:rPr>
          <w:rFonts w:ascii="Book Antiqua" w:hAnsi="Book Antiqua" w:cs="Arial"/>
          <w:sz w:val="24"/>
          <w:szCs w:val="24"/>
        </w:rPr>
        <w:t>ity of dysplastic</w:t>
      </w:r>
      <w:r w:rsidR="003301B6" w:rsidRPr="005E456A">
        <w:rPr>
          <w:rFonts w:ascii="Book Antiqua" w:hAnsi="Book Antiqua" w:cs="Arial"/>
          <w:sz w:val="24"/>
          <w:szCs w:val="24"/>
        </w:rPr>
        <w:t xml:space="preserve"> gastric les</w:t>
      </w:r>
      <w:r w:rsidR="00F77269" w:rsidRPr="005E456A">
        <w:rPr>
          <w:rFonts w:ascii="Book Antiqua" w:hAnsi="Book Antiqua" w:cs="Arial"/>
          <w:sz w:val="24"/>
          <w:szCs w:val="24"/>
        </w:rPr>
        <w:t xml:space="preserve">ions. However </w:t>
      </w:r>
      <w:r w:rsidR="003301B6" w:rsidRPr="005E456A">
        <w:rPr>
          <w:rFonts w:ascii="Book Antiqua" w:hAnsi="Book Antiqua" w:cs="Arial"/>
          <w:sz w:val="24"/>
          <w:szCs w:val="24"/>
        </w:rPr>
        <w:t xml:space="preserve">it should be emphasized that there are inherent difficulties in interpretation of these subjective classifications and all studies have been done by experts. </w:t>
      </w:r>
      <w:r w:rsidR="004459A8" w:rsidRPr="005E456A">
        <w:rPr>
          <w:rFonts w:ascii="Book Antiqua" w:hAnsi="Book Antiqua" w:cs="Arial"/>
          <w:sz w:val="24"/>
          <w:szCs w:val="24"/>
        </w:rPr>
        <w:t>Moreover, g</w:t>
      </w:r>
      <w:r w:rsidR="003301B6" w:rsidRPr="005E456A">
        <w:rPr>
          <w:rFonts w:ascii="Book Antiqua" w:hAnsi="Book Antiqua" w:cs="Arial"/>
          <w:sz w:val="24"/>
          <w:szCs w:val="24"/>
        </w:rPr>
        <w:t xml:space="preserve">iven the widespread availability of relatively cheap, objective and sensitive tests to detect </w:t>
      </w:r>
      <w:r w:rsidR="00830970" w:rsidRPr="005E456A">
        <w:rPr>
          <w:rFonts w:ascii="Book Antiqua" w:hAnsi="Book Antiqua" w:cs="Arial"/>
          <w:i/>
          <w:sz w:val="24"/>
          <w:szCs w:val="24"/>
        </w:rPr>
        <w:t>H. pylori</w:t>
      </w:r>
      <w:r w:rsidR="003301B6" w:rsidRPr="005E456A">
        <w:rPr>
          <w:rFonts w:ascii="Book Antiqua" w:hAnsi="Book Antiqua" w:cs="Arial"/>
          <w:sz w:val="24"/>
          <w:szCs w:val="24"/>
        </w:rPr>
        <w:t xml:space="preserve"> gastritis (</w:t>
      </w:r>
      <w:r w:rsidR="009F1CAF" w:rsidRPr="009F1CAF">
        <w:rPr>
          <w:rFonts w:ascii="Book Antiqua" w:hAnsi="Book Antiqua" w:cs="Arial"/>
          <w:i/>
          <w:sz w:val="24"/>
          <w:szCs w:val="24"/>
        </w:rPr>
        <w:t>e.g.,</w:t>
      </w:r>
      <w:r w:rsidR="003301B6" w:rsidRPr="005E456A">
        <w:rPr>
          <w:rFonts w:ascii="Book Antiqua" w:hAnsi="Book Antiqua" w:cs="Arial"/>
          <w:sz w:val="24"/>
          <w:szCs w:val="24"/>
        </w:rPr>
        <w:t xml:space="preserve"> rapid urease test), </w:t>
      </w:r>
      <w:r w:rsidR="004459A8" w:rsidRPr="005E456A">
        <w:rPr>
          <w:rFonts w:ascii="Book Antiqua" w:hAnsi="Book Antiqua" w:cs="Arial"/>
          <w:sz w:val="24"/>
          <w:szCs w:val="24"/>
        </w:rPr>
        <w:t xml:space="preserve">routine </w:t>
      </w:r>
      <w:r w:rsidR="003301B6" w:rsidRPr="005E456A">
        <w:rPr>
          <w:rFonts w:ascii="Book Antiqua" w:hAnsi="Book Antiqua" w:cs="Arial"/>
          <w:sz w:val="24"/>
          <w:szCs w:val="24"/>
        </w:rPr>
        <w:t xml:space="preserve">utilization of ME </w:t>
      </w:r>
      <w:r w:rsidR="00F77269" w:rsidRPr="005E456A">
        <w:rPr>
          <w:rFonts w:ascii="Book Antiqua" w:hAnsi="Book Antiqua" w:cs="Arial"/>
          <w:sz w:val="24"/>
          <w:szCs w:val="24"/>
        </w:rPr>
        <w:t xml:space="preserve">alone </w:t>
      </w:r>
      <w:r w:rsidR="003301B6" w:rsidRPr="005E456A">
        <w:rPr>
          <w:rFonts w:ascii="Book Antiqua" w:hAnsi="Book Antiqua" w:cs="Arial"/>
          <w:sz w:val="24"/>
          <w:szCs w:val="24"/>
        </w:rPr>
        <w:t xml:space="preserve">for </w:t>
      </w:r>
      <w:r w:rsidR="00830970" w:rsidRPr="005E456A">
        <w:rPr>
          <w:rFonts w:ascii="Book Antiqua" w:hAnsi="Book Antiqua" w:cs="Arial"/>
          <w:sz w:val="24"/>
          <w:szCs w:val="24"/>
        </w:rPr>
        <w:t xml:space="preserve">diagnosis </w:t>
      </w:r>
      <w:r w:rsidR="003301B6" w:rsidRPr="005E456A">
        <w:rPr>
          <w:rFonts w:ascii="Book Antiqua" w:hAnsi="Book Antiqua" w:cs="Arial"/>
          <w:sz w:val="24"/>
          <w:szCs w:val="24"/>
        </w:rPr>
        <w:t xml:space="preserve">of </w:t>
      </w:r>
      <w:r w:rsidR="00830970" w:rsidRPr="005E456A">
        <w:rPr>
          <w:rFonts w:ascii="Book Antiqua" w:hAnsi="Book Antiqua" w:cs="Arial"/>
          <w:i/>
          <w:sz w:val="24"/>
          <w:szCs w:val="24"/>
        </w:rPr>
        <w:t>H. pylori</w:t>
      </w:r>
      <w:r w:rsidR="003301B6" w:rsidRPr="005E456A">
        <w:rPr>
          <w:rFonts w:ascii="Book Antiqua" w:hAnsi="Book Antiqua" w:cs="Arial"/>
          <w:sz w:val="24"/>
          <w:szCs w:val="24"/>
        </w:rPr>
        <w:t xml:space="preserve"> </w:t>
      </w:r>
      <w:r w:rsidR="004459A8" w:rsidRPr="005E456A">
        <w:rPr>
          <w:rFonts w:ascii="Book Antiqua" w:hAnsi="Book Antiqua" w:cs="Arial"/>
          <w:sz w:val="24"/>
          <w:szCs w:val="24"/>
        </w:rPr>
        <w:t>should be undertaken with caution</w:t>
      </w:r>
      <w:r w:rsidR="00830970" w:rsidRPr="005E456A">
        <w:rPr>
          <w:rFonts w:ascii="Book Antiqua" w:hAnsi="Book Antiqua" w:cs="Arial"/>
          <w:sz w:val="24"/>
          <w:szCs w:val="24"/>
        </w:rPr>
        <w:t xml:space="preserve"> and biopsy based tests remain the standard for diagnosis</w:t>
      </w:r>
      <w:r w:rsidR="004459A8" w:rsidRPr="005E456A">
        <w:rPr>
          <w:rFonts w:ascii="Book Antiqua" w:hAnsi="Book Antiqua" w:cs="Arial"/>
          <w:sz w:val="24"/>
          <w:szCs w:val="24"/>
        </w:rPr>
        <w:t>.</w:t>
      </w:r>
    </w:p>
    <w:p w14:paraId="0FFA524D" w14:textId="77777777" w:rsidR="007822B3" w:rsidRPr="005E456A" w:rsidRDefault="007822B3" w:rsidP="005E456A">
      <w:pPr>
        <w:spacing w:after="0" w:line="360" w:lineRule="auto"/>
        <w:jc w:val="both"/>
        <w:rPr>
          <w:rFonts w:ascii="Book Antiqua" w:hAnsi="Book Antiqua" w:cs="Arial"/>
          <w:b/>
          <w:sz w:val="24"/>
          <w:szCs w:val="24"/>
        </w:rPr>
      </w:pPr>
    </w:p>
    <w:p w14:paraId="5919EF00" w14:textId="3BF7E56B" w:rsidR="003301B6" w:rsidRPr="005E456A" w:rsidRDefault="003301B6" w:rsidP="005E456A">
      <w:pPr>
        <w:spacing w:after="0" w:line="360" w:lineRule="auto"/>
        <w:jc w:val="both"/>
        <w:rPr>
          <w:rFonts w:ascii="Book Antiqua" w:hAnsi="Book Antiqua" w:cs="Arial"/>
          <w:b/>
          <w:i/>
          <w:sz w:val="24"/>
          <w:szCs w:val="24"/>
        </w:rPr>
      </w:pPr>
      <w:r w:rsidRPr="005E456A">
        <w:rPr>
          <w:rFonts w:ascii="Book Antiqua" w:hAnsi="Book Antiqua" w:cs="Arial"/>
          <w:b/>
          <w:i/>
          <w:sz w:val="24"/>
          <w:szCs w:val="24"/>
        </w:rPr>
        <w:t xml:space="preserve">Characterization of </w:t>
      </w:r>
      <w:r w:rsidR="00D50DF9" w:rsidRPr="005E456A">
        <w:rPr>
          <w:rFonts w:ascii="Book Antiqua" w:hAnsi="Book Antiqua" w:cs="Arial"/>
          <w:b/>
          <w:i/>
          <w:sz w:val="24"/>
          <w:szCs w:val="24"/>
        </w:rPr>
        <w:t>EGC</w:t>
      </w:r>
      <w:r w:rsidRPr="005E456A">
        <w:rPr>
          <w:rFonts w:ascii="Book Antiqua" w:hAnsi="Book Antiqua" w:cs="Arial"/>
          <w:b/>
          <w:i/>
          <w:sz w:val="24"/>
          <w:szCs w:val="24"/>
        </w:rPr>
        <w:t xml:space="preserve"> with </w:t>
      </w:r>
      <w:r w:rsidR="00375373">
        <w:rPr>
          <w:rFonts w:ascii="Book Antiqua" w:hAnsi="Book Antiqua" w:cs="Arial"/>
          <w:b/>
          <w:i/>
          <w:sz w:val="24"/>
          <w:szCs w:val="24"/>
        </w:rPr>
        <w:t>“</w:t>
      </w:r>
      <w:r w:rsidRPr="005E456A">
        <w:rPr>
          <w:rFonts w:ascii="Book Antiqua" w:hAnsi="Book Antiqua" w:cs="Arial"/>
          <w:b/>
          <w:i/>
          <w:sz w:val="24"/>
          <w:szCs w:val="24"/>
        </w:rPr>
        <w:t>only ME</w:t>
      </w:r>
      <w:r w:rsidR="00375373">
        <w:rPr>
          <w:rFonts w:ascii="Book Antiqua" w:hAnsi="Book Antiqua" w:cs="Arial"/>
          <w:b/>
          <w:i/>
          <w:sz w:val="24"/>
          <w:szCs w:val="24"/>
        </w:rPr>
        <w:t>”</w:t>
      </w:r>
    </w:p>
    <w:p w14:paraId="16221F98" w14:textId="10FC0869" w:rsidR="00F5644E" w:rsidRPr="005E456A" w:rsidRDefault="003301B6" w:rsidP="00375373">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t xml:space="preserve">As the area of mucosal view is small with ME, its role for screening or </w:t>
      </w:r>
      <w:r w:rsidR="007078F9" w:rsidRPr="005E456A">
        <w:rPr>
          <w:rFonts w:ascii="Book Antiqua" w:hAnsi="Book Antiqua" w:cs="Arial"/>
          <w:sz w:val="24"/>
          <w:szCs w:val="24"/>
        </w:rPr>
        <w:t xml:space="preserve">identification of pre </w:t>
      </w:r>
      <w:r w:rsidRPr="005E456A">
        <w:rPr>
          <w:rFonts w:ascii="Book Antiqua" w:hAnsi="Book Antiqua" w:cs="Arial"/>
          <w:sz w:val="24"/>
          <w:szCs w:val="24"/>
        </w:rPr>
        <w:t xml:space="preserve">or early malignant </w:t>
      </w:r>
      <w:r w:rsidR="007078F9" w:rsidRPr="005E456A">
        <w:rPr>
          <w:rFonts w:ascii="Book Antiqua" w:hAnsi="Book Antiqua" w:cs="Arial"/>
          <w:sz w:val="24"/>
          <w:szCs w:val="24"/>
        </w:rPr>
        <w:t xml:space="preserve">lesions in stomach is </w:t>
      </w:r>
      <w:r w:rsidRPr="005E456A">
        <w:rPr>
          <w:rFonts w:ascii="Book Antiqua" w:hAnsi="Book Antiqua" w:cs="Arial"/>
          <w:sz w:val="24"/>
          <w:szCs w:val="24"/>
        </w:rPr>
        <w:t xml:space="preserve">limited. However, ME has a role in characterization of subtle gastric lesions which are detected by screening </w:t>
      </w:r>
      <w:r w:rsidR="007078F9" w:rsidRPr="005E456A">
        <w:rPr>
          <w:rFonts w:ascii="Book Antiqua" w:hAnsi="Book Antiqua" w:cs="Arial"/>
          <w:sz w:val="24"/>
          <w:szCs w:val="24"/>
        </w:rPr>
        <w:t>WLE</w:t>
      </w:r>
      <w:r w:rsidRPr="005E456A">
        <w:rPr>
          <w:rFonts w:ascii="Book Antiqua" w:hAnsi="Book Antiqua" w:cs="Arial"/>
          <w:sz w:val="24"/>
          <w:szCs w:val="24"/>
        </w:rPr>
        <w:t>.</w:t>
      </w:r>
      <w:r w:rsidR="004459A8" w:rsidRPr="005E456A">
        <w:rPr>
          <w:rFonts w:ascii="Book Antiqua" w:hAnsi="Book Antiqua" w:cs="Arial"/>
          <w:sz w:val="24"/>
          <w:szCs w:val="24"/>
        </w:rPr>
        <w:t xml:space="preserve"> </w:t>
      </w:r>
      <w:r w:rsidR="00D50DF9" w:rsidRPr="005E456A">
        <w:rPr>
          <w:rFonts w:ascii="Book Antiqua" w:hAnsi="Book Antiqua" w:cs="Arial"/>
          <w:sz w:val="24"/>
          <w:szCs w:val="24"/>
        </w:rPr>
        <w:t>A</w:t>
      </w:r>
      <w:r w:rsidRPr="005E456A">
        <w:rPr>
          <w:rFonts w:ascii="Book Antiqua" w:hAnsi="Book Antiqua" w:cs="Arial"/>
          <w:sz w:val="24"/>
          <w:szCs w:val="24"/>
        </w:rPr>
        <w:t xml:space="preserve"> variety of patterns hav</w:t>
      </w:r>
      <w:r w:rsidR="007078F9" w:rsidRPr="005E456A">
        <w:rPr>
          <w:rFonts w:ascii="Book Antiqua" w:hAnsi="Book Antiqua" w:cs="Arial"/>
          <w:sz w:val="24"/>
          <w:szCs w:val="24"/>
        </w:rPr>
        <w:t>e been described to differentiate EGC from benign</w:t>
      </w:r>
      <w:r w:rsidRPr="005E456A">
        <w:rPr>
          <w:rFonts w:ascii="Book Antiqua" w:hAnsi="Book Antiqua" w:cs="Arial"/>
          <w:sz w:val="24"/>
          <w:szCs w:val="24"/>
        </w:rPr>
        <w:t xml:space="preserve"> gastric </w:t>
      </w:r>
      <w:r w:rsidRPr="005E456A">
        <w:rPr>
          <w:rFonts w:ascii="Book Antiqua" w:hAnsi="Book Antiqua" w:cs="Arial"/>
          <w:sz w:val="24"/>
          <w:szCs w:val="24"/>
        </w:rPr>
        <w:lastRenderedPageBreak/>
        <w:t xml:space="preserve">mucosa. </w:t>
      </w:r>
      <w:r w:rsidR="00D50DF9" w:rsidRPr="005E456A">
        <w:rPr>
          <w:rFonts w:ascii="Book Antiqua" w:hAnsi="Book Antiqua" w:cs="Arial"/>
          <w:sz w:val="24"/>
          <w:szCs w:val="24"/>
        </w:rPr>
        <w:t>A</w:t>
      </w:r>
      <w:r w:rsidRPr="005E456A">
        <w:rPr>
          <w:rFonts w:ascii="Book Antiqua" w:hAnsi="Book Antiqua" w:cs="Arial"/>
          <w:sz w:val="24"/>
          <w:szCs w:val="24"/>
        </w:rPr>
        <w:t xml:space="preserve"> variety of patterns have </w:t>
      </w:r>
      <w:r w:rsidR="00D50DF9" w:rsidRPr="005E456A">
        <w:rPr>
          <w:rFonts w:ascii="Book Antiqua" w:hAnsi="Book Antiqua" w:cs="Arial"/>
          <w:sz w:val="24"/>
          <w:szCs w:val="24"/>
        </w:rPr>
        <w:t xml:space="preserve">also </w:t>
      </w:r>
      <w:r w:rsidRPr="005E456A">
        <w:rPr>
          <w:rFonts w:ascii="Book Antiqua" w:hAnsi="Book Antiqua" w:cs="Arial"/>
          <w:sz w:val="24"/>
          <w:szCs w:val="24"/>
        </w:rPr>
        <w:t>been described for characterization of differentiated EGC from undifferentiated EGC. There have been six prospective studies using ME-al</w:t>
      </w:r>
      <w:r w:rsidR="007078F9" w:rsidRPr="005E456A">
        <w:rPr>
          <w:rFonts w:ascii="Book Antiqua" w:hAnsi="Book Antiqua" w:cs="Arial"/>
          <w:sz w:val="24"/>
          <w:szCs w:val="24"/>
        </w:rPr>
        <w:t>one for characterization of EGC</w:t>
      </w:r>
      <w:r w:rsidR="003A32C6" w:rsidRPr="005E456A">
        <w:rPr>
          <w:rFonts w:ascii="Book Antiqua" w:hAnsi="Book Antiqua" w:cs="Arial"/>
          <w:sz w:val="24"/>
          <w:szCs w:val="24"/>
          <w:vertAlign w:val="superscript"/>
        </w:rPr>
        <w:t>[</w:t>
      </w:r>
      <w:r w:rsidR="00EA36BA" w:rsidRPr="005E456A">
        <w:rPr>
          <w:rFonts w:ascii="Book Antiqua" w:hAnsi="Book Antiqua" w:cs="Arial"/>
          <w:sz w:val="24"/>
          <w:szCs w:val="24"/>
          <w:vertAlign w:val="superscript"/>
        </w:rPr>
        <w:t>15-20</w:t>
      </w:r>
      <w:r w:rsidR="003A32C6" w:rsidRPr="005E456A">
        <w:rPr>
          <w:rFonts w:ascii="Book Antiqua" w:hAnsi="Book Antiqua" w:cs="Arial"/>
          <w:sz w:val="24"/>
          <w:szCs w:val="24"/>
          <w:vertAlign w:val="superscript"/>
        </w:rPr>
        <w:t>]</w:t>
      </w:r>
      <w:r w:rsidRPr="005E456A">
        <w:rPr>
          <w:rFonts w:ascii="Book Antiqua" w:hAnsi="Book Antiqua" w:cs="Arial"/>
          <w:sz w:val="24"/>
          <w:szCs w:val="24"/>
        </w:rPr>
        <w:t>.</w:t>
      </w:r>
      <w:r w:rsidR="000776F4" w:rsidRPr="005E456A">
        <w:rPr>
          <w:rFonts w:ascii="Book Antiqua" w:hAnsi="Book Antiqua" w:cs="Arial"/>
          <w:sz w:val="24"/>
          <w:szCs w:val="24"/>
        </w:rPr>
        <w:t xml:space="preserve"> In 2001,</w:t>
      </w:r>
      <w:r w:rsidRPr="005E456A">
        <w:rPr>
          <w:rFonts w:ascii="Book Antiqua" w:hAnsi="Book Antiqua" w:cs="Arial"/>
          <w:sz w:val="24"/>
          <w:szCs w:val="24"/>
        </w:rPr>
        <w:t xml:space="preserve"> Tobita </w:t>
      </w:r>
      <w:r w:rsidR="00375373" w:rsidRPr="00375373">
        <w:rPr>
          <w:rFonts w:ascii="Book Antiqua" w:hAnsi="Book Antiqua" w:cs="Arial" w:hint="eastAsia"/>
          <w:i/>
          <w:sz w:val="24"/>
          <w:szCs w:val="24"/>
        </w:rPr>
        <w:t>et al</w:t>
      </w:r>
      <w:r w:rsidR="00375373" w:rsidRPr="005E456A">
        <w:rPr>
          <w:rFonts w:ascii="Book Antiqua" w:hAnsi="Book Antiqua" w:cs="Arial"/>
          <w:sz w:val="24"/>
          <w:szCs w:val="24"/>
          <w:vertAlign w:val="superscript"/>
        </w:rPr>
        <w:t>[15]</w:t>
      </w:r>
      <w:r w:rsidR="00375373">
        <w:rPr>
          <w:rFonts w:ascii="Book Antiqua" w:hAnsi="Book Antiqua" w:cs="Arial" w:hint="eastAsia"/>
          <w:sz w:val="24"/>
          <w:szCs w:val="24"/>
          <w:vertAlign w:val="superscript"/>
        </w:rPr>
        <w:t xml:space="preserve"> </w:t>
      </w:r>
      <w:r w:rsidRPr="005E456A">
        <w:rPr>
          <w:rFonts w:ascii="Book Antiqua" w:hAnsi="Book Antiqua" w:cs="Arial"/>
          <w:sz w:val="24"/>
          <w:szCs w:val="24"/>
        </w:rPr>
        <w:t xml:space="preserve">from Japan first described ME findings in 103 depressed gastric lesions (including 63 malignant lesions) using Fujinon, EG-410CR at </w:t>
      </w:r>
      <w:bookmarkStart w:id="11" w:name="OLE_LINK137"/>
      <w:bookmarkStart w:id="12" w:name="OLE_LINK138"/>
      <w:bookmarkStart w:id="13" w:name="OLE_LINK166"/>
      <w:r w:rsidR="00A70680" w:rsidRPr="00026D49">
        <w:rPr>
          <w:rFonts w:ascii="Book Antiqua" w:hAnsi="Book Antiqua" w:cs="Times New Roman"/>
          <w:color w:val="000000"/>
          <w:sz w:val="24"/>
          <w:szCs w:val="24"/>
        </w:rPr>
        <w:t>×</w:t>
      </w:r>
      <w:bookmarkEnd w:id="11"/>
      <w:bookmarkEnd w:id="12"/>
      <w:bookmarkEnd w:id="13"/>
      <w:r w:rsidR="00A70680">
        <w:rPr>
          <w:rFonts w:ascii="Book Antiqua" w:hAnsi="Book Antiqua" w:cs="Times New Roman" w:hint="eastAsia"/>
          <w:color w:val="000000"/>
          <w:sz w:val="24"/>
          <w:szCs w:val="24"/>
        </w:rPr>
        <w:t xml:space="preserve"> </w:t>
      </w:r>
      <w:r w:rsidRPr="005E456A">
        <w:rPr>
          <w:rFonts w:ascii="Book Antiqua" w:hAnsi="Book Antiqua" w:cs="Arial"/>
          <w:sz w:val="24"/>
          <w:szCs w:val="24"/>
        </w:rPr>
        <w:t xml:space="preserve">60 magnification. </w:t>
      </w:r>
      <w:r w:rsidR="000776F4" w:rsidRPr="005E456A">
        <w:rPr>
          <w:rFonts w:ascii="Book Antiqua" w:hAnsi="Book Antiqua" w:cs="Arial"/>
          <w:sz w:val="24"/>
          <w:szCs w:val="24"/>
        </w:rPr>
        <w:t xml:space="preserve">It was concluded that the </w:t>
      </w:r>
      <w:r w:rsidRPr="005E456A">
        <w:rPr>
          <w:rFonts w:ascii="Book Antiqua" w:hAnsi="Book Antiqua" w:cs="Arial"/>
          <w:sz w:val="24"/>
          <w:szCs w:val="24"/>
        </w:rPr>
        <w:t xml:space="preserve">findings of </w:t>
      </w:r>
      <w:r w:rsidR="00A70680">
        <w:rPr>
          <w:rFonts w:ascii="Book Antiqua" w:hAnsi="Book Antiqua" w:cs="Arial"/>
          <w:sz w:val="24"/>
          <w:szCs w:val="24"/>
        </w:rPr>
        <w:t>“</w:t>
      </w:r>
      <w:r w:rsidRPr="005E456A">
        <w:rPr>
          <w:rFonts w:ascii="Book Antiqua" w:hAnsi="Book Antiqua" w:cs="Arial"/>
          <w:sz w:val="24"/>
          <w:szCs w:val="24"/>
        </w:rPr>
        <w:t>irregular protrusion</w:t>
      </w:r>
      <w:r w:rsidR="00A70680">
        <w:rPr>
          <w:rFonts w:ascii="Book Antiqua" w:hAnsi="Book Antiqua" w:cs="Arial"/>
          <w:sz w:val="24"/>
          <w:szCs w:val="24"/>
        </w:rPr>
        <w:t>”</w:t>
      </w:r>
      <w:r w:rsidRPr="005E456A">
        <w:rPr>
          <w:rFonts w:ascii="Book Antiqua" w:hAnsi="Book Antiqua" w:cs="Arial"/>
          <w:sz w:val="24"/>
          <w:szCs w:val="24"/>
        </w:rPr>
        <w:t xml:space="preserve"> and </w:t>
      </w:r>
      <w:r w:rsidR="00A70680">
        <w:rPr>
          <w:rFonts w:ascii="Book Antiqua" w:hAnsi="Book Antiqua" w:cs="Arial"/>
          <w:sz w:val="24"/>
          <w:szCs w:val="24"/>
        </w:rPr>
        <w:t>“</w:t>
      </w:r>
      <w:r w:rsidRPr="005E456A">
        <w:rPr>
          <w:rFonts w:ascii="Book Antiqua" w:hAnsi="Book Antiqua" w:cs="Arial"/>
          <w:sz w:val="24"/>
          <w:szCs w:val="24"/>
        </w:rPr>
        <w:t>minute vessels in amorphia</w:t>
      </w:r>
      <w:r w:rsidR="00A70680">
        <w:rPr>
          <w:rFonts w:ascii="Book Antiqua" w:hAnsi="Book Antiqua" w:cs="Arial"/>
          <w:sz w:val="24"/>
          <w:szCs w:val="24"/>
        </w:rPr>
        <w:t>”</w:t>
      </w:r>
      <w:r w:rsidRPr="005E456A">
        <w:rPr>
          <w:rFonts w:ascii="Book Antiqua" w:hAnsi="Book Antiqua" w:cs="Arial"/>
          <w:sz w:val="24"/>
          <w:szCs w:val="24"/>
        </w:rPr>
        <w:t xml:space="preserve"> were specific for malignancy. However, t</w:t>
      </w:r>
      <w:r w:rsidR="000776F4" w:rsidRPr="005E456A">
        <w:rPr>
          <w:rFonts w:ascii="Book Antiqua" w:hAnsi="Book Antiqua" w:cs="Arial"/>
          <w:sz w:val="24"/>
          <w:szCs w:val="24"/>
        </w:rPr>
        <w:t>he</w:t>
      </w:r>
      <w:r w:rsidRPr="005E456A">
        <w:rPr>
          <w:rFonts w:ascii="Book Antiqua" w:hAnsi="Book Antiqua" w:cs="Arial"/>
          <w:sz w:val="24"/>
          <w:szCs w:val="24"/>
        </w:rPr>
        <w:t xml:space="preserve"> c</w:t>
      </w:r>
      <w:r w:rsidR="007078F9" w:rsidRPr="005E456A">
        <w:rPr>
          <w:rFonts w:ascii="Book Antiqua" w:hAnsi="Book Antiqua" w:cs="Arial"/>
          <w:sz w:val="24"/>
          <w:szCs w:val="24"/>
        </w:rPr>
        <w:t xml:space="preserve">lassification had inherent subjectivity as it </w:t>
      </w:r>
      <w:r w:rsidR="000776F4" w:rsidRPr="005E456A">
        <w:rPr>
          <w:rFonts w:ascii="Book Antiqua" w:hAnsi="Book Antiqua" w:cs="Arial"/>
          <w:sz w:val="24"/>
          <w:szCs w:val="24"/>
        </w:rPr>
        <w:t xml:space="preserve">was assessed by one expert </w:t>
      </w:r>
      <w:r w:rsidR="007078F9" w:rsidRPr="005E456A">
        <w:rPr>
          <w:rFonts w:ascii="Book Antiqua" w:hAnsi="Book Antiqua" w:cs="Arial"/>
          <w:sz w:val="24"/>
          <w:szCs w:val="24"/>
        </w:rPr>
        <w:t>and was</w:t>
      </w:r>
      <w:r w:rsidRPr="005E456A">
        <w:rPr>
          <w:rFonts w:ascii="Book Antiqua" w:hAnsi="Book Antiqua" w:cs="Arial"/>
          <w:sz w:val="24"/>
          <w:szCs w:val="24"/>
        </w:rPr>
        <w:t xml:space="preserve"> not been validated externally. In another prospective study</w:t>
      </w:r>
      <w:r w:rsidR="000776F4" w:rsidRPr="005E456A">
        <w:rPr>
          <w:rFonts w:ascii="Book Antiqua" w:hAnsi="Book Antiqua" w:cs="Arial"/>
          <w:sz w:val="24"/>
          <w:szCs w:val="24"/>
        </w:rPr>
        <w:t xml:space="preserve"> in 2002</w:t>
      </w:r>
      <w:r w:rsidRPr="005E456A">
        <w:rPr>
          <w:rFonts w:ascii="Book Antiqua" w:hAnsi="Book Antiqua" w:cs="Arial"/>
          <w:sz w:val="24"/>
          <w:szCs w:val="24"/>
        </w:rPr>
        <w:t xml:space="preserve">, Tajiri </w:t>
      </w:r>
      <w:r w:rsidRPr="00A70680">
        <w:rPr>
          <w:rFonts w:ascii="Book Antiqua" w:hAnsi="Book Antiqua" w:cs="Arial"/>
          <w:i/>
          <w:sz w:val="24"/>
          <w:szCs w:val="24"/>
        </w:rPr>
        <w:t>et al</w:t>
      </w:r>
      <w:r w:rsidR="00A70680" w:rsidRPr="005E456A">
        <w:rPr>
          <w:rFonts w:ascii="Book Antiqua" w:hAnsi="Book Antiqua" w:cs="Arial"/>
          <w:sz w:val="24"/>
          <w:szCs w:val="24"/>
          <w:vertAlign w:val="superscript"/>
        </w:rPr>
        <w:t>[16]</w:t>
      </w:r>
      <w:r w:rsidRPr="005E456A">
        <w:rPr>
          <w:rFonts w:ascii="Book Antiqua" w:hAnsi="Book Antiqua" w:cs="Arial"/>
          <w:sz w:val="24"/>
          <w:szCs w:val="24"/>
        </w:rPr>
        <w:t xml:space="preserve"> compared WLE-examination with ME (Olympus, GIF-Q240Z) in 211 consecutive gastric lesions. The authors found 89 </w:t>
      </w:r>
      <w:r w:rsidR="00D50DF9" w:rsidRPr="005E456A">
        <w:rPr>
          <w:rFonts w:ascii="Book Antiqua" w:hAnsi="Book Antiqua" w:cs="Arial"/>
          <w:sz w:val="24"/>
          <w:szCs w:val="24"/>
        </w:rPr>
        <w:t>EGC</w:t>
      </w:r>
      <w:r w:rsidRPr="005E456A">
        <w:rPr>
          <w:rFonts w:ascii="Book Antiqua" w:hAnsi="Book Antiqua" w:cs="Arial"/>
          <w:sz w:val="24"/>
          <w:szCs w:val="24"/>
        </w:rPr>
        <w:t xml:space="preserve"> (58 depressed-type, 31 elevated-type). Using their classification, the accuracy of ME-examination was significantly superior to WLE-examination for any type of small (</w:t>
      </w:r>
      <w:r w:rsidR="000776F4" w:rsidRPr="005E456A">
        <w:rPr>
          <w:rFonts w:ascii="Book Antiqua" w:hAnsi="Book Antiqua" w:cs="Arial"/>
          <w:sz w:val="24"/>
          <w:szCs w:val="24"/>
        </w:rPr>
        <w:t>≤</w:t>
      </w:r>
      <w:r w:rsidR="00DC2C4C">
        <w:rPr>
          <w:rFonts w:ascii="Book Antiqua" w:hAnsi="Book Antiqua" w:cs="Arial" w:hint="eastAsia"/>
          <w:sz w:val="24"/>
          <w:szCs w:val="24"/>
        </w:rPr>
        <w:t xml:space="preserve"> </w:t>
      </w:r>
      <w:r w:rsidRPr="005E456A">
        <w:rPr>
          <w:rFonts w:ascii="Book Antiqua" w:hAnsi="Book Antiqua" w:cs="Arial"/>
          <w:sz w:val="24"/>
          <w:szCs w:val="24"/>
        </w:rPr>
        <w:t>1</w:t>
      </w:r>
      <w:r w:rsidR="000776F4" w:rsidRPr="005E456A">
        <w:rPr>
          <w:rFonts w:ascii="Book Antiqua" w:hAnsi="Book Antiqua" w:cs="Arial"/>
          <w:sz w:val="24"/>
          <w:szCs w:val="24"/>
        </w:rPr>
        <w:t xml:space="preserve"> cm</w:t>
      </w:r>
      <w:r w:rsidRPr="005E456A">
        <w:rPr>
          <w:rFonts w:ascii="Book Antiqua" w:hAnsi="Book Antiqua" w:cs="Arial"/>
          <w:sz w:val="24"/>
          <w:szCs w:val="24"/>
        </w:rPr>
        <w:t xml:space="preserve">) EGC. </w:t>
      </w:r>
      <w:r w:rsidR="00D50DF9" w:rsidRPr="005E456A">
        <w:rPr>
          <w:rFonts w:ascii="Book Antiqua" w:hAnsi="Book Antiqua" w:cs="Arial"/>
          <w:sz w:val="24"/>
          <w:szCs w:val="24"/>
        </w:rPr>
        <w:t>In the same</w:t>
      </w:r>
      <w:r w:rsidR="000776F4" w:rsidRPr="005E456A">
        <w:rPr>
          <w:rFonts w:ascii="Book Antiqua" w:hAnsi="Book Antiqua" w:cs="Arial"/>
          <w:sz w:val="24"/>
          <w:szCs w:val="24"/>
        </w:rPr>
        <w:t xml:space="preserve"> year</w:t>
      </w:r>
      <w:r w:rsidR="007078F9" w:rsidRPr="005E456A">
        <w:rPr>
          <w:rFonts w:ascii="Book Antiqua" w:hAnsi="Book Antiqua" w:cs="Arial"/>
          <w:sz w:val="24"/>
          <w:szCs w:val="24"/>
        </w:rPr>
        <w:t xml:space="preserve">, </w:t>
      </w:r>
      <w:r w:rsidRPr="005E456A">
        <w:rPr>
          <w:rFonts w:ascii="Book Antiqua" w:hAnsi="Book Antiqua" w:cs="Arial"/>
          <w:sz w:val="24"/>
          <w:szCs w:val="24"/>
        </w:rPr>
        <w:t>Yao proposed a classification of magnified views of gastric mu</w:t>
      </w:r>
      <w:r w:rsidR="007078F9" w:rsidRPr="005E456A">
        <w:rPr>
          <w:rFonts w:ascii="Book Antiqua" w:hAnsi="Book Antiqua" w:cs="Arial"/>
          <w:sz w:val="24"/>
          <w:szCs w:val="24"/>
        </w:rPr>
        <w:t>cosa which subsequently beca</w:t>
      </w:r>
      <w:r w:rsidRPr="005E456A">
        <w:rPr>
          <w:rFonts w:ascii="Book Antiqua" w:hAnsi="Book Antiqua" w:cs="Arial"/>
          <w:sz w:val="24"/>
          <w:szCs w:val="24"/>
        </w:rPr>
        <w:t xml:space="preserve">me the most widely utilized classification in studies of ME with </w:t>
      </w:r>
      <w:r w:rsidR="00DD3BC3" w:rsidRPr="005E456A">
        <w:rPr>
          <w:rFonts w:ascii="Book Antiqua" w:hAnsi="Book Antiqua" w:cs="Arial"/>
          <w:sz w:val="24"/>
          <w:szCs w:val="24"/>
        </w:rPr>
        <w:t xml:space="preserve">IEE </w:t>
      </w:r>
      <w:r w:rsidRPr="005E456A">
        <w:rPr>
          <w:rFonts w:ascii="Book Antiqua" w:hAnsi="Book Antiqua" w:cs="Arial"/>
          <w:sz w:val="24"/>
          <w:szCs w:val="24"/>
        </w:rPr>
        <w:t>techniques</w:t>
      </w:r>
      <w:r w:rsidR="000776F4" w:rsidRPr="005E456A">
        <w:rPr>
          <w:rFonts w:ascii="Book Antiqua" w:hAnsi="Book Antiqua" w:cs="Arial"/>
          <w:sz w:val="24"/>
          <w:szCs w:val="24"/>
          <w:vertAlign w:val="superscript"/>
        </w:rPr>
        <w:t>[1</w:t>
      </w:r>
      <w:r w:rsidR="00EA36BA" w:rsidRPr="005E456A">
        <w:rPr>
          <w:rFonts w:ascii="Book Antiqua" w:hAnsi="Book Antiqua" w:cs="Arial"/>
          <w:sz w:val="24"/>
          <w:szCs w:val="24"/>
          <w:vertAlign w:val="superscript"/>
        </w:rPr>
        <w:t>7</w:t>
      </w:r>
      <w:r w:rsidR="000776F4" w:rsidRPr="005E456A">
        <w:rPr>
          <w:rFonts w:ascii="Book Antiqua" w:hAnsi="Book Antiqua" w:cs="Arial"/>
          <w:sz w:val="24"/>
          <w:szCs w:val="24"/>
          <w:vertAlign w:val="superscript"/>
        </w:rPr>
        <w:t>]</w:t>
      </w:r>
      <w:r w:rsidRPr="005E456A">
        <w:rPr>
          <w:rFonts w:ascii="Book Antiqua" w:hAnsi="Book Antiqua" w:cs="Arial"/>
          <w:sz w:val="24"/>
          <w:szCs w:val="24"/>
        </w:rPr>
        <w:t xml:space="preserve">. The mucosa was classified based on </w:t>
      </w:r>
      <w:r w:rsidR="00C72E05">
        <w:rPr>
          <w:rFonts w:ascii="Book Antiqua" w:hAnsi="Book Antiqua" w:cs="Arial"/>
          <w:sz w:val="24"/>
          <w:szCs w:val="24"/>
        </w:rPr>
        <w:t>“</w:t>
      </w:r>
      <w:r w:rsidRPr="005E456A">
        <w:rPr>
          <w:rFonts w:ascii="Book Antiqua" w:hAnsi="Book Antiqua" w:cs="Arial"/>
          <w:sz w:val="24"/>
          <w:szCs w:val="24"/>
        </w:rPr>
        <w:t>microvascular</w:t>
      </w:r>
      <w:r w:rsidR="00C72E05">
        <w:rPr>
          <w:rFonts w:ascii="Book Antiqua" w:hAnsi="Book Antiqua" w:cs="Arial"/>
          <w:sz w:val="24"/>
          <w:szCs w:val="24"/>
        </w:rPr>
        <w:t>”</w:t>
      </w:r>
      <w:r w:rsidRPr="005E456A">
        <w:rPr>
          <w:rFonts w:ascii="Book Antiqua" w:hAnsi="Book Antiqua" w:cs="Arial"/>
          <w:sz w:val="24"/>
          <w:szCs w:val="24"/>
        </w:rPr>
        <w:t xml:space="preserve"> and </w:t>
      </w:r>
      <w:r w:rsidR="00C72E05">
        <w:rPr>
          <w:rFonts w:ascii="Book Antiqua" w:hAnsi="Book Antiqua" w:cs="Arial"/>
          <w:sz w:val="24"/>
          <w:szCs w:val="24"/>
        </w:rPr>
        <w:t>“</w:t>
      </w:r>
      <w:r w:rsidRPr="005E456A">
        <w:rPr>
          <w:rFonts w:ascii="Book Antiqua" w:hAnsi="Book Antiqua" w:cs="Arial"/>
          <w:sz w:val="24"/>
          <w:szCs w:val="24"/>
        </w:rPr>
        <w:t>microsurface</w:t>
      </w:r>
      <w:r w:rsidR="00C72E05">
        <w:rPr>
          <w:rFonts w:ascii="Book Antiqua" w:hAnsi="Book Antiqua" w:cs="Arial"/>
          <w:sz w:val="24"/>
          <w:szCs w:val="24"/>
        </w:rPr>
        <w:t>”</w:t>
      </w:r>
      <w:r w:rsidRPr="005E456A">
        <w:rPr>
          <w:rFonts w:ascii="Book Antiqua" w:hAnsi="Book Antiqua" w:cs="Arial"/>
          <w:sz w:val="24"/>
          <w:szCs w:val="24"/>
        </w:rPr>
        <w:t xml:space="preserve"> patterns, </w:t>
      </w:r>
      <w:r w:rsidR="000776F4" w:rsidRPr="005E456A">
        <w:rPr>
          <w:rFonts w:ascii="Book Antiqua" w:hAnsi="Book Antiqua" w:cs="Arial"/>
          <w:sz w:val="24"/>
          <w:szCs w:val="24"/>
        </w:rPr>
        <w:t xml:space="preserve">later </w:t>
      </w:r>
      <w:r w:rsidRPr="005E456A">
        <w:rPr>
          <w:rFonts w:ascii="Book Antiqua" w:hAnsi="Book Antiqua" w:cs="Arial"/>
          <w:sz w:val="24"/>
          <w:szCs w:val="24"/>
        </w:rPr>
        <w:t>known as the “VS classification”. Non-cancerous mucosa were found to have regular appearances of sub-e</w:t>
      </w:r>
      <w:r w:rsidR="00650B37" w:rsidRPr="005E456A">
        <w:rPr>
          <w:rFonts w:ascii="Book Antiqua" w:hAnsi="Book Antiqua" w:cs="Arial"/>
          <w:sz w:val="24"/>
          <w:szCs w:val="24"/>
        </w:rPr>
        <w:t>pithelial capillary network (SEC</w:t>
      </w:r>
      <w:r w:rsidRPr="005E456A">
        <w:rPr>
          <w:rFonts w:ascii="Book Antiqua" w:hAnsi="Book Antiqua" w:cs="Arial"/>
          <w:sz w:val="24"/>
          <w:szCs w:val="24"/>
        </w:rPr>
        <w:t>N), all differentiated EGC had</w:t>
      </w:r>
      <w:r w:rsidR="000776F4" w:rsidRPr="005E456A">
        <w:rPr>
          <w:rFonts w:ascii="Book Antiqua" w:hAnsi="Book Antiqua" w:cs="Arial"/>
          <w:sz w:val="24"/>
          <w:szCs w:val="24"/>
        </w:rPr>
        <w:t xml:space="preserve"> a</w:t>
      </w:r>
      <w:r w:rsidRPr="005E456A">
        <w:rPr>
          <w:rFonts w:ascii="Book Antiqua" w:hAnsi="Book Antiqua" w:cs="Arial"/>
          <w:sz w:val="24"/>
          <w:szCs w:val="24"/>
        </w:rPr>
        <w:t xml:space="preserve"> demarcation line and irregular microvessels, while all undifferentiated EGC had absent demarcation line with absent o</w:t>
      </w:r>
      <w:r w:rsidR="007078F9" w:rsidRPr="005E456A">
        <w:rPr>
          <w:rFonts w:ascii="Book Antiqua" w:hAnsi="Book Antiqua" w:cs="Arial"/>
          <w:sz w:val="24"/>
          <w:szCs w:val="24"/>
        </w:rPr>
        <w:t>r reduced S</w:t>
      </w:r>
      <w:r w:rsidR="00D41BE2" w:rsidRPr="005E456A">
        <w:rPr>
          <w:rFonts w:ascii="Book Antiqua" w:hAnsi="Book Antiqua" w:cs="Arial"/>
          <w:sz w:val="24"/>
          <w:szCs w:val="24"/>
        </w:rPr>
        <w:t>EC</w:t>
      </w:r>
      <w:r w:rsidR="007078F9" w:rsidRPr="005E456A">
        <w:rPr>
          <w:rFonts w:ascii="Book Antiqua" w:hAnsi="Book Antiqua" w:cs="Arial"/>
          <w:sz w:val="24"/>
          <w:szCs w:val="24"/>
        </w:rPr>
        <w:t xml:space="preserve">N. In 2007, </w:t>
      </w:r>
      <w:r w:rsidRPr="005E456A">
        <w:rPr>
          <w:rFonts w:ascii="Book Antiqua" w:hAnsi="Book Antiqua" w:cs="Arial"/>
          <w:sz w:val="24"/>
          <w:szCs w:val="24"/>
        </w:rPr>
        <w:t xml:space="preserve">Yao </w:t>
      </w:r>
      <w:r w:rsidR="007078F9" w:rsidRPr="00C72E05">
        <w:rPr>
          <w:rFonts w:ascii="Book Antiqua" w:hAnsi="Book Antiqua" w:cs="Arial"/>
          <w:i/>
          <w:sz w:val="24"/>
          <w:szCs w:val="24"/>
        </w:rPr>
        <w:t>et al</w:t>
      </w:r>
      <w:r w:rsidR="00C72E05" w:rsidRPr="005E456A">
        <w:rPr>
          <w:rFonts w:ascii="Book Antiqua" w:hAnsi="Book Antiqua" w:cs="Arial"/>
          <w:sz w:val="24"/>
          <w:szCs w:val="24"/>
          <w:vertAlign w:val="superscript"/>
        </w:rPr>
        <w:t>[18]</w:t>
      </w:r>
      <w:r w:rsidR="007078F9" w:rsidRPr="005E456A">
        <w:rPr>
          <w:rFonts w:ascii="Book Antiqua" w:hAnsi="Book Antiqua" w:cs="Arial"/>
          <w:sz w:val="24"/>
          <w:szCs w:val="24"/>
        </w:rPr>
        <w:t xml:space="preserve"> </w:t>
      </w:r>
      <w:r w:rsidRPr="005E456A">
        <w:rPr>
          <w:rFonts w:ascii="Book Antiqua" w:hAnsi="Book Antiqua" w:cs="Arial"/>
          <w:sz w:val="24"/>
          <w:szCs w:val="24"/>
        </w:rPr>
        <w:t xml:space="preserve">validated their classification on a larger sample. For characterization of EGC with ME, other authors have used varied classification with good </w:t>
      </w:r>
      <w:r w:rsidR="008171D3" w:rsidRPr="005E456A">
        <w:rPr>
          <w:rFonts w:ascii="Book Antiqua" w:hAnsi="Book Antiqua" w:cs="Arial"/>
          <w:sz w:val="24"/>
          <w:szCs w:val="24"/>
        </w:rPr>
        <w:t>results</w:t>
      </w:r>
      <w:r w:rsidR="008171D3" w:rsidRPr="005E456A">
        <w:rPr>
          <w:rFonts w:ascii="Book Antiqua" w:hAnsi="Book Antiqua" w:cs="Arial"/>
          <w:sz w:val="24"/>
          <w:szCs w:val="24"/>
          <w:vertAlign w:val="superscript"/>
        </w:rPr>
        <w:t>[</w:t>
      </w:r>
      <w:r w:rsidR="00F045AB">
        <w:rPr>
          <w:rFonts w:ascii="Book Antiqua" w:hAnsi="Book Antiqua" w:cs="Arial"/>
          <w:sz w:val="24"/>
          <w:szCs w:val="24"/>
          <w:vertAlign w:val="superscript"/>
        </w:rPr>
        <w:t>19,</w:t>
      </w:r>
      <w:r w:rsidR="00EA36BA" w:rsidRPr="005E456A">
        <w:rPr>
          <w:rFonts w:ascii="Book Antiqua" w:hAnsi="Book Antiqua" w:cs="Arial"/>
          <w:sz w:val="24"/>
          <w:szCs w:val="24"/>
          <w:vertAlign w:val="superscript"/>
        </w:rPr>
        <w:t>20</w:t>
      </w:r>
      <w:r w:rsidR="00A40C08" w:rsidRPr="005E456A">
        <w:rPr>
          <w:rFonts w:ascii="Book Antiqua" w:hAnsi="Book Antiqua" w:cs="Arial"/>
          <w:sz w:val="24"/>
          <w:szCs w:val="24"/>
          <w:vertAlign w:val="superscript"/>
        </w:rPr>
        <w:t>]</w:t>
      </w:r>
      <w:r w:rsidRPr="005E456A">
        <w:rPr>
          <w:rFonts w:ascii="Book Antiqua" w:hAnsi="Book Antiqua" w:cs="Arial"/>
          <w:sz w:val="24"/>
          <w:szCs w:val="24"/>
        </w:rPr>
        <w:t xml:space="preserve">. </w:t>
      </w:r>
    </w:p>
    <w:p w14:paraId="5A4495D1" w14:textId="71C7E23D" w:rsidR="00052FD1" w:rsidRPr="005E456A" w:rsidRDefault="00052FD1" w:rsidP="005E456A">
      <w:pPr>
        <w:pStyle w:val="ListParagraph"/>
        <w:spacing w:after="0" w:line="360" w:lineRule="auto"/>
        <w:ind w:left="0" w:firstLine="720"/>
        <w:jc w:val="both"/>
        <w:rPr>
          <w:rFonts w:ascii="Book Antiqua" w:hAnsi="Book Antiqua" w:cs="Arial"/>
          <w:sz w:val="24"/>
          <w:szCs w:val="24"/>
        </w:rPr>
      </w:pPr>
      <w:r w:rsidRPr="005E456A">
        <w:rPr>
          <w:rFonts w:ascii="Book Antiqua" w:hAnsi="Book Antiqua" w:cs="Arial"/>
          <w:sz w:val="24"/>
          <w:szCs w:val="24"/>
        </w:rPr>
        <w:t xml:space="preserve">Overall, the efficacy of ME-alone in the stomach has been studied by a few authors, mainly from Japan. The various uses of ME-alone in stomach are summarized in </w:t>
      </w:r>
      <w:r w:rsidR="00E11A89" w:rsidRPr="005E456A">
        <w:rPr>
          <w:rFonts w:ascii="Book Antiqua" w:hAnsi="Book Antiqua" w:cs="Arial"/>
          <w:sz w:val="24"/>
          <w:szCs w:val="24"/>
        </w:rPr>
        <w:t>T</w:t>
      </w:r>
      <w:r w:rsidRPr="005E456A">
        <w:rPr>
          <w:rFonts w:ascii="Book Antiqua" w:hAnsi="Book Antiqua" w:cs="Arial"/>
          <w:sz w:val="24"/>
          <w:szCs w:val="24"/>
        </w:rPr>
        <w:t xml:space="preserve">able 1. However as will be discussed later, the majority of studies of ME in stomach have been performed in combination with other IEE techniques. </w:t>
      </w:r>
    </w:p>
    <w:p w14:paraId="2C5825CE" w14:textId="77777777" w:rsidR="00EA36BA" w:rsidRPr="005E456A" w:rsidRDefault="00EA36BA" w:rsidP="005E456A">
      <w:pPr>
        <w:pStyle w:val="ListParagraph"/>
        <w:spacing w:after="0" w:line="360" w:lineRule="auto"/>
        <w:ind w:left="0"/>
        <w:jc w:val="both"/>
        <w:rPr>
          <w:rFonts w:ascii="Book Antiqua" w:hAnsi="Book Antiqua" w:cs="Arial"/>
          <w:sz w:val="24"/>
          <w:szCs w:val="24"/>
        </w:rPr>
      </w:pPr>
    </w:p>
    <w:p w14:paraId="6CA654EA" w14:textId="451D3426" w:rsidR="00EF4FC1" w:rsidRPr="005E456A" w:rsidRDefault="00EF4FC1" w:rsidP="005E456A">
      <w:pPr>
        <w:pStyle w:val="ListParagraph"/>
        <w:spacing w:after="0" w:line="360" w:lineRule="auto"/>
        <w:ind w:left="0"/>
        <w:jc w:val="both"/>
        <w:rPr>
          <w:rFonts w:ascii="Book Antiqua" w:hAnsi="Book Antiqua" w:cs="Arial"/>
          <w:b/>
          <w:sz w:val="24"/>
          <w:szCs w:val="24"/>
        </w:rPr>
      </w:pPr>
      <w:r w:rsidRPr="005E456A">
        <w:rPr>
          <w:rFonts w:ascii="Book Antiqua" w:hAnsi="Book Antiqua" w:cs="Arial"/>
          <w:b/>
          <w:sz w:val="24"/>
          <w:szCs w:val="24"/>
        </w:rPr>
        <w:t>C</w:t>
      </w:r>
      <w:r w:rsidR="007D6D6F" w:rsidRPr="005E456A">
        <w:rPr>
          <w:rFonts w:ascii="Book Antiqua" w:hAnsi="Book Antiqua" w:cs="Arial"/>
          <w:b/>
          <w:sz w:val="24"/>
          <w:szCs w:val="24"/>
        </w:rPr>
        <w:t>ONVENTIONAL CHROMOENDOSCOPY</w:t>
      </w:r>
    </w:p>
    <w:p w14:paraId="4414791D" w14:textId="669F51CE" w:rsidR="00EF4FC1" w:rsidRPr="005E456A" w:rsidRDefault="000A560E" w:rsidP="00F045AB">
      <w:pPr>
        <w:spacing w:after="0" w:line="360" w:lineRule="auto"/>
        <w:jc w:val="both"/>
        <w:rPr>
          <w:rFonts w:ascii="Book Antiqua" w:hAnsi="Book Antiqua" w:cs="Arial"/>
          <w:sz w:val="24"/>
          <w:szCs w:val="24"/>
        </w:rPr>
      </w:pPr>
      <w:r w:rsidRPr="005E456A">
        <w:rPr>
          <w:rFonts w:ascii="Book Antiqua" w:hAnsi="Book Antiqua" w:cs="Arial"/>
          <w:sz w:val="24"/>
          <w:szCs w:val="24"/>
        </w:rPr>
        <w:t>Introduced</w:t>
      </w:r>
      <w:r w:rsidR="00EF4FC1" w:rsidRPr="005E456A">
        <w:rPr>
          <w:rFonts w:ascii="Book Antiqua" w:hAnsi="Book Antiqua" w:cs="Arial"/>
          <w:sz w:val="24"/>
          <w:szCs w:val="24"/>
        </w:rPr>
        <w:t xml:space="preserve"> in </w:t>
      </w:r>
      <w:r w:rsidRPr="005E456A">
        <w:rPr>
          <w:rFonts w:ascii="Book Antiqua" w:hAnsi="Book Antiqua" w:cs="Arial"/>
          <w:sz w:val="24"/>
          <w:szCs w:val="24"/>
        </w:rPr>
        <w:t xml:space="preserve">the </w:t>
      </w:r>
      <w:r w:rsidR="00EF4FC1" w:rsidRPr="005E456A">
        <w:rPr>
          <w:rFonts w:ascii="Book Antiqua" w:hAnsi="Book Antiqua" w:cs="Arial"/>
          <w:sz w:val="24"/>
          <w:szCs w:val="24"/>
        </w:rPr>
        <w:t xml:space="preserve">1990s, chromoendoscopy (CE) </w:t>
      </w:r>
      <w:r w:rsidRPr="005E456A">
        <w:rPr>
          <w:rFonts w:ascii="Book Antiqua" w:hAnsi="Book Antiqua" w:cs="Arial"/>
          <w:sz w:val="24"/>
          <w:szCs w:val="24"/>
        </w:rPr>
        <w:t>refers to</w:t>
      </w:r>
      <w:r w:rsidR="00EF4FC1" w:rsidRPr="005E456A">
        <w:rPr>
          <w:rFonts w:ascii="Book Antiqua" w:hAnsi="Book Antiqua" w:cs="Arial"/>
          <w:sz w:val="24"/>
          <w:szCs w:val="24"/>
        </w:rPr>
        <w:t xml:space="preserve"> spra</w:t>
      </w:r>
      <w:r w:rsidR="007D6D6F" w:rsidRPr="005E456A">
        <w:rPr>
          <w:rFonts w:ascii="Book Antiqua" w:hAnsi="Book Antiqua" w:cs="Arial"/>
          <w:sz w:val="24"/>
          <w:szCs w:val="24"/>
        </w:rPr>
        <w:t xml:space="preserve">ying of harmless dyes </w:t>
      </w:r>
      <w:r w:rsidR="00EF4FC1" w:rsidRPr="005E456A">
        <w:rPr>
          <w:rFonts w:ascii="Book Antiqua" w:hAnsi="Book Antiqua" w:cs="Arial"/>
          <w:sz w:val="24"/>
          <w:szCs w:val="24"/>
        </w:rPr>
        <w:t xml:space="preserve">to stain the mucosal surface. This is usually done after a preliminary inspection with </w:t>
      </w:r>
      <w:r w:rsidRPr="005E456A">
        <w:rPr>
          <w:rFonts w:ascii="Book Antiqua" w:hAnsi="Book Antiqua" w:cs="Arial"/>
          <w:sz w:val="24"/>
          <w:szCs w:val="24"/>
        </w:rPr>
        <w:t>WLE</w:t>
      </w:r>
      <w:r w:rsidR="00EF4FC1" w:rsidRPr="005E456A">
        <w:rPr>
          <w:rFonts w:ascii="Book Antiqua" w:hAnsi="Book Antiqua" w:cs="Arial"/>
          <w:sz w:val="24"/>
          <w:szCs w:val="24"/>
        </w:rPr>
        <w:t xml:space="preserve">. The staining of surface makes subtle mucosal patterns more obvious. A variety of stains have been used in the </w:t>
      </w:r>
      <w:r w:rsidRPr="005E456A">
        <w:rPr>
          <w:rFonts w:ascii="Book Antiqua" w:hAnsi="Book Antiqua" w:cs="Arial"/>
          <w:sz w:val="24"/>
          <w:szCs w:val="24"/>
        </w:rPr>
        <w:t xml:space="preserve">GI </w:t>
      </w:r>
      <w:r w:rsidR="00EF4FC1" w:rsidRPr="005E456A">
        <w:rPr>
          <w:rFonts w:ascii="Book Antiqua" w:hAnsi="Book Antiqua" w:cs="Arial"/>
          <w:sz w:val="24"/>
          <w:szCs w:val="24"/>
        </w:rPr>
        <w:t xml:space="preserve">tract and these are classified </w:t>
      </w:r>
      <w:r w:rsidR="000F3695" w:rsidRPr="005E456A">
        <w:rPr>
          <w:rFonts w:ascii="Book Antiqua" w:hAnsi="Book Antiqua" w:cs="Arial"/>
          <w:sz w:val="24"/>
          <w:szCs w:val="24"/>
        </w:rPr>
        <w:t xml:space="preserve">into three types </w:t>
      </w:r>
      <w:r w:rsidR="00EF4FC1" w:rsidRPr="005E456A">
        <w:rPr>
          <w:rFonts w:ascii="Book Antiqua" w:hAnsi="Book Antiqua" w:cs="Arial"/>
          <w:sz w:val="24"/>
          <w:szCs w:val="24"/>
        </w:rPr>
        <w:t xml:space="preserve">based </w:t>
      </w:r>
      <w:r w:rsidR="00EF4FC1" w:rsidRPr="005E456A">
        <w:rPr>
          <w:rFonts w:ascii="Book Antiqua" w:hAnsi="Book Antiqua" w:cs="Arial"/>
          <w:sz w:val="24"/>
          <w:szCs w:val="24"/>
        </w:rPr>
        <w:lastRenderedPageBreak/>
        <w:t>on their actions</w:t>
      </w:r>
      <w:r w:rsidR="000F3695" w:rsidRPr="005E456A">
        <w:rPr>
          <w:rFonts w:ascii="Book Antiqua" w:hAnsi="Book Antiqua" w:cs="Arial"/>
          <w:sz w:val="24"/>
          <w:szCs w:val="24"/>
        </w:rPr>
        <w:t xml:space="preserve">: </w:t>
      </w:r>
      <w:r w:rsidR="00EF4FC1" w:rsidRPr="005E456A">
        <w:rPr>
          <w:rFonts w:ascii="Book Antiqua" w:hAnsi="Book Antiqua" w:cs="Arial"/>
          <w:sz w:val="24"/>
          <w:szCs w:val="24"/>
        </w:rPr>
        <w:t>absorptive (or vital) stains, contrast stains, and reactive stains. Absorptive stains (</w:t>
      </w:r>
      <w:r w:rsidR="009F1CAF" w:rsidRPr="009F1CAF">
        <w:rPr>
          <w:rFonts w:ascii="Book Antiqua" w:hAnsi="Book Antiqua" w:cs="Arial"/>
          <w:i/>
          <w:sz w:val="24"/>
          <w:szCs w:val="24"/>
        </w:rPr>
        <w:t>e.g.,</w:t>
      </w:r>
      <w:r w:rsidR="00EF4FC1" w:rsidRPr="005E456A">
        <w:rPr>
          <w:rFonts w:ascii="Book Antiqua" w:hAnsi="Book Antiqua" w:cs="Arial"/>
          <w:sz w:val="24"/>
          <w:szCs w:val="24"/>
        </w:rPr>
        <w:t xml:space="preserve"> Lugol’s iodine, methylene blue) have property of differential absorption into different cell types, thus highlighting one type of tissue over other. For example, methylene blue is absorbed by cell</w:t>
      </w:r>
      <w:r w:rsidR="00C25F16" w:rsidRPr="005E456A">
        <w:rPr>
          <w:rFonts w:ascii="Book Antiqua" w:hAnsi="Book Antiqua" w:cs="Arial"/>
          <w:sz w:val="24"/>
          <w:szCs w:val="24"/>
        </w:rPr>
        <w:t>s</w:t>
      </w:r>
      <w:r w:rsidR="00EF4FC1" w:rsidRPr="005E456A">
        <w:rPr>
          <w:rFonts w:ascii="Book Antiqua" w:hAnsi="Book Antiqua" w:cs="Arial"/>
          <w:sz w:val="24"/>
          <w:szCs w:val="24"/>
        </w:rPr>
        <w:t xml:space="preserve"> of small intestine and colon, and therefore a stained focus in the stomach theoretically indicates </w:t>
      </w:r>
      <w:r w:rsidR="007C5322" w:rsidRPr="005E456A">
        <w:rPr>
          <w:rFonts w:ascii="Book Antiqua" w:hAnsi="Book Antiqua" w:cs="Arial"/>
          <w:sz w:val="24"/>
          <w:szCs w:val="24"/>
        </w:rPr>
        <w:t>IM</w:t>
      </w:r>
      <w:r w:rsidR="00EF4FC1" w:rsidRPr="005E456A">
        <w:rPr>
          <w:rFonts w:ascii="Book Antiqua" w:hAnsi="Book Antiqua" w:cs="Arial"/>
          <w:sz w:val="24"/>
          <w:szCs w:val="24"/>
        </w:rPr>
        <w:t xml:space="preserve">. </w:t>
      </w:r>
      <w:r w:rsidR="000232BB" w:rsidRPr="005E456A">
        <w:rPr>
          <w:rFonts w:ascii="Book Antiqua" w:hAnsi="Book Antiqua" w:cs="Arial"/>
          <w:sz w:val="24"/>
          <w:szCs w:val="24"/>
        </w:rPr>
        <w:t>On the contrary, the c</w:t>
      </w:r>
      <w:r w:rsidR="00EF4FC1" w:rsidRPr="005E456A">
        <w:rPr>
          <w:rFonts w:ascii="Book Antiqua" w:hAnsi="Book Antiqua" w:cs="Arial"/>
          <w:sz w:val="24"/>
          <w:szCs w:val="24"/>
        </w:rPr>
        <w:t>ontrast stains (</w:t>
      </w:r>
      <w:r w:rsidR="009F1CAF" w:rsidRPr="009F1CAF">
        <w:rPr>
          <w:rFonts w:ascii="Book Antiqua" w:hAnsi="Book Antiqua" w:cs="Arial"/>
          <w:i/>
          <w:sz w:val="24"/>
          <w:szCs w:val="24"/>
        </w:rPr>
        <w:t>e.g.,</w:t>
      </w:r>
      <w:r w:rsidR="00EF4FC1" w:rsidRPr="005E456A">
        <w:rPr>
          <w:rFonts w:ascii="Book Antiqua" w:hAnsi="Book Antiqua" w:cs="Arial"/>
          <w:sz w:val="24"/>
          <w:szCs w:val="24"/>
        </w:rPr>
        <w:t xml:space="preserve"> indigo carmine) do not react with </w:t>
      </w:r>
      <w:r w:rsidR="00A940F8" w:rsidRPr="005E456A">
        <w:rPr>
          <w:rFonts w:ascii="Book Antiqua" w:hAnsi="Book Antiqua" w:cs="Arial"/>
          <w:sz w:val="24"/>
          <w:szCs w:val="24"/>
        </w:rPr>
        <w:t xml:space="preserve">the </w:t>
      </w:r>
      <w:r w:rsidR="00EF4FC1" w:rsidRPr="005E456A">
        <w:rPr>
          <w:rFonts w:ascii="Book Antiqua" w:hAnsi="Book Antiqua" w:cs="Arial"/>
          <w:sz w:val="24"/>
          <w:szCs w:val="24"/>
        </w:rPr>
        <w:t xml:space="preserve">cells, but accumulate in the pits and crevices of a mucosal lesion </w:t>
      </w:r>
      <w:r w:rsidRPr="005E456A">
        <w:rPr>
          <w:rFonts w:ascii="Book Antiqua" w:hAnsi="Book Antiqua" w:cs="Arial"/>
          <w:sz w:val="24"/>
          <w:szCs w:val="24"/>
        </w:rPr>
        <w:t xml:space="preserve">thus </w:t>
      </w:r>
      <w:r w:rsidR="00EF4FC1" w:rsidRPr="005E456A">
        <w:rPr>
          <w:rFonts w:ascii="Book Antiqua" w:hAnsi="Book Antiqua" w:cs="Arial"/>
          <w:sz w:val="24"/>
          <w:szCs w:val="24"/>
        </w:rPr>
        <w:t>accentuating the surface pattern (or</w:t>
      </w:r>
      <w:r w:rsidR="00403E3D" w:rsidRPr="005E456A">
        <w:rPr>
          <w:rFonts w:ascii="Book Antiqua" w:hAnsi="Book Antiqua" w:cs="Arial"/>
          <w:sz w:val="24"/>
          <w:szCs w:val="24"/>
        </w:rPr>
        <w:t xml:space="preserve"> the</w:t>
      </w:r>
      <w:r w:rsidR="00EF4FC1" w:rsidRPr="005E456A">
        <w:rPr>
          <w:rFonts w:ascii="Book Antiqua" w:hAnsi="Book Antiqua" w:cs="Arial"/>
          <w:sz w:val="24"/>
          <w:szCs w:val="24"/>
        </w:rPr>
        <w:t xml:space="preserve"> topography), mucosal irregularities and boundaries of a lesion</w:t>
      </w:r>
      <w:r w:rsidR="008C25A7" w:rsidRPr="005E456A">
        <w:rPr>
          <w:rFonts w:ascii="Book Antiqua" w:hAnsi="Book Antiqua" w:cs="Arial"/>
          <w:sz w:val="24"/>
          <w:szCs w:val="24"/>
        </w:rPr>
        <w:t xml:space="preserve"> </w:t>
      </w:r>
      <w:r w:rsidR="00977475" w:rsidRPr="005E456A">
        <w:rPr>
          <w:rFonts w:ascii="Book Antiqua" w:hAnsi="Book Antiqua" w:cs="Arial"/>
          <w:sz w:val="24"/>
          <w:szCs w:val="24"/>
        </w:rPr>
        <w:t>(Fig</w:t>
      </w:r>
      <w:r w:rsidR="008C25A7" w:rsidRPr="005E456A">
        <w:rPr>
          <w:rFonts w:ascii="Book Antiqua" w:hAnsi="Book Antiqua" w:cs="Arial"/>
          <w:sz w:val="24"/>
          <w:szCs w:val="24"/>
        </w:rPr>
        <w:t>ure</w:t>
      </w:r>
      <w:r w:rsidR="00115935">
        <w:rPr>
          <w:rFonts w:ascii="Book Antiqua" w:hAnsi="Book Antiqua" w:cs="Arial" w:hint="eastAsia"/>
          <w:sz w:val="24"/>
          <w:szCs w:val="24"/>
        </w:rPr>
        <w:t xml:space="preserve"> 2</w:t>
      </w:r>
      <w:r w:rsidR="00977475" w:rsidRPr="005E456A">
        <w:rPr>
          <w:rFonts w:ascii="Book Antiqua" w:hAnsi="Book Antiqua" w:cs="Arial"/>
          <w:sz w:val="24"/>
          <w:szCs w:val="24"/>
        </w:rPr>
        <w:t>)</w:t>
      </w:r>
      <w:r w:rsidR="00EF4FC1" w:rsidRPr="005E456A">
        <w:rPr>
          <w:rFonts w:ascii="Book Antiqua" w:hAnsi="Book Antiqua" w:cs="Arial"/>
          <w:sz w:val="24"/>
          <w:szCs w:val="24"/>
        </w:rPr>
        <w:t xml:space="preserve">. </w:t>
      </w:r>
      <w:r w:rsidR="00785082" w:rsidRPr="005E456A">
        <w:rPr>
          <w:rFonts w:ascii="Book Antiqua" w:hAnsi="Book Antiqua" w:cs="Arial"/>
          <w:sz w:val="24"/>
          <w:szCs w:val="24"/>
        </w:rPr>
        <w:t>The last category, the r</w:t>
      </w:r>
      <w:r w:rsidR="00EF4FC1" w:rsidRPr="005E456A">
        <w:rPr>
          <w:rFonts w:ascii="Book Antiqua" w:hAnsi="Book Antiqua" w:cs="Arial"/>
          <w:sz w:val="24"/>
          <w:szCs w:val="24"/>
        </w:rPr>
        <w:t>eactive stains (</w:t>
      </w:r>
      <w:r w:rsidR="009F1CAF" w:rsidRPr="009F1CAF">
        <w:rPr>
          <w:rFonts w:ascii="Book Antiqua" w:hAnsi="Book Antiqua" w:cs="Arial"/>
          <w:i/>
          <w:sz w:val="24"/>
          <w:szCs w:val="24"/>
        </w:rPr>
        <w:t>e.g.,</w:t>
      </w:r>
      <w:r w:rsidR="00EF4FC1" w:rsidRPr="005E456A">
        <w:rPr>
          <w:rFonts w:ascii="Book Antiqua" w:hAnsi="Book Antiqua" w:cs="Arial"/>
          <w:sz w:val="24"/>
          <w:szCs w:val="24"/>
        </w:rPr>
        <w:t xml:space="preserve"> acetic acid, phenol red) change color by coming in contact with a particular protein on the surface. For example, Phenol red </w:t>
      </w:r>
      <w:r w:rsidR="00F045AB">
        <w:rPr>
          <w:rFonts w:ascii="Book Antiqua" w:hAnsi="Book Antiqua" w:cs="Arial" w:hint="eastAsia"/>
          <w:sz w:val="24"/>
          <w:szCs w:val="24"/>
        </w:rPr>
        <w:t>and</w:t>
      </w:r>
      <w:r w:rsidR="00EF4FC1" w:rsidRPr="005E456A">
        <w:rPr>
          <w:rFonts w:ascii="Book Antiqua" w:hAnsi="Book Antiqua" w:cs="Arial"/>
          <w:sz w:val="24"/>
          <w:szCs w:val="24"/>
        </w:rPr>
        <w:t xml:space="preserve"> Congo red are reactive stains which turn red in an alkali</w:t>
      </w:r>
      <w:r w:rsidR="0046515C" w:rsidRPr="005E456A">
        <w:rPr>
          <w:rFonts w:ascii="Book Antiqua" w:hAnsi="Book Antiqua" w:cs="Arial"/>
          <w:sz w:val="24"/>
          <w:szCs w:val="24"/>
        </w:rPr>
        <w:t xml:space="preserve">ne </w:t>
      </w:r>
      <w:r w:rsidR="007E4897" w:rsidRPr="005E456A">
        <w:rPr>
          <w:rFonts w:ascii="Book Antiqua" w:hAnsi="Book Antiqua" w:cs="Arial"/>
          <w:sz w:val="24"/>
          <w:szCs w:val="24"/>
        </w:rPr>
        <w:t>gastric environment signalling infection with</w:t>
      </w:r>
      <w:r w:rsidR="00EF4FC1" w:rsidRPr="005E456A">
        <w:rPr>
          <w:rFonts w:ascii="Book Antiqua" w:hAnsi="Book Antiqua" w:cs="Arial"/>
          <w:sz w:val="24"/>
          <w:szCs w:val="24"/>
        </w:rPr>
        <w:t xml:space="preserve"> </w:t>
      </w:r>
      <w:r w:rsidR="00A8153F" w:rsidRPr="005E456A">
        <w:rPr>
          <w:rFonts w:ascii="Book Antiqua" w:hAnsi="Book Antiqua" w:cs="Arial"/>
          <w:i/>
          <w:sz w:val="24"/>
          <w:szCs w:val="24"/>
        </w:rPr>
        <w:t>H. pylori</w:t>
      </w:r>
      <w:r w:rsidR="007E4897" w:rsidRPr="005E456A">
        <w:rPr>
          <w:rFonts w:ascii="Book Antiqua" w:hAnsi="Book Antiqua" w:cs="Arial"/>
          <w:sz w:val="24"/>
          <w:szCs w:val="24"/>
        </w:rPr>
        <w:t>.</w:t>
      </w:r>
      <w:r w:rsidR="00EF4FC1" w:rsidRPr="005E456A">
        <w:rPr>
          <w:rFonts w:ascii="Book Antiqua" w:hAnsi="Book Antiqua" w:cs="Arial"/>
          <w:sz w:val="24"/>
          <w:szCs w:val="24"/>
        </w:rPr>
        <w:t xml:space="preserve"> </w:t>
      </w:r>
    </w:p>
    <w:p w14:paraId="3A522293" w14:textId="7E854821" w:rsidR="00B24125" w:rsidRPr="005E456A" w:rsidRDefault="00A10C08" w:rsidP="005E456A">
      <w:pPr>
        <w:spacing w:after="0" w:line="360" w:lineRule="auto"/>
        <w:ind w:firstLine="360"/>
        <w:jc w:val="both"/>
        <w:rPr>
          <w:rFonts w:ascii="Book Antiqua" w:hAnsi="Book Antiqua" w:cs="Arial"/>
          <w:sz w:val="24"/>
          <w:szCs w:val="24"/>
        </w:rPr>
      </w:pPr>
      <w:r w:rsidRPr="005E456A">
        <w:rPr>
          <w:rFonts w:ascii="Book Antiqua" w:hAnsi="Book Antiqua" w:cs="Arial"/>
          <w:sz w:val="24"/>
          <w:szCs w:val="24"/>
        </w:rPr>
        <w:t>CE</w:t>
      </w:r>
      <w:r w:rsidR="00EF4FC1" w:rsidRPr="005E456A">
        <w:rPr>
          <w:rFonts w:ascii="Book Antiqua" w:hAnsi="Book Antiqua" w:cs="Arial"/>
          <w:sz w:val="24"/>
          <w:szCs w:val="24"/>
        </w:rPr>
        <w:t xml:space="preserve"> </w:t>
      </w:r>
      <w:r w:rsidR="001A75A7" w:rsidRPr="005E456A">
        <w:rPr>
          <w:rFonts w:ascii="Book Antiqua" w:hAnsi="Book Antiqua" w:cs="Arial"/>
          <w:sz w:val="24"/>
          <w:szCs w:val="24"/>
        </w:rPr>
        <w:t>can be</w:t>
      </w:r>
      <w:r w:rsidR="00EF4FC1" w:rsidRPr="005E456A">
        <w:rPr>
          <w:rFonts w:ascii="Book Antiqua" w:hAnsi="Book Antiqua" w:cs="Arial"/>
          <w:sz w:val="24"/>
          <w:szCs w:val="24"/>
        </w:rPr>
        <w:t xml:space="preserve"> performed in two </w:t>
      </w:r>
      <w:r w:rsidR="00D7315E" w:rsidRPr="005E456A">
        <w:rPr>
          <w:rFonts w:ascii="Book Antiqua" w:hAnsi="Book Antiqua" w:cs="Arial"/>
          <w:sz w:val="24"/>
          <w:szCs w:val="24"/>
        </w:rPr>
        <w:t>ways</w:t>
      </w:r>
      <w:r w:rsidR="00EF4FC1" w:rsidRPr="005E456A">
        <w:rPr>
          <w:rFonts w:ascii="Book Antiqua" w:hAnsi="Book Antiqua" w:cs="Arial"/>
          <w:sz w:val="24"/>
          <w:szCs w:val="24"/>
        </w:rPr>
        <w:t>: (</w:t>
      </w:r>
      <w:r w:rsidR="00110BFA">
        <w:rPr>
          <w:rFonts w:ascii="Book Antiqua" w:hAnsi="Book Antiqua" w:cs="Arial" w:hint="eastAsia"/>
          <w:sz w:val="24"/>
          <w:szCs w:val="24"/>
        </w:rPr>
        <w:t>1</w:t>
      </w:r>
      <w:r w:rsidR="00EF4FC1" w:rsidRPr="005E456A">
        <w:rPr>
          <w:rFonts w:ascii="Book Antiqua" w:hAnsi="Book Antiqua" w:cs="Arial"/>
          <w:sz w:val="24"/>
          <w:szCs w:val="24"/>
        </w:rPr>
        <w:t>) pan-chromoendoscopy, which involves spraying the dye blindly and voluminously t</w:t>
      </w:r>
      <w:r w:rsidR="00BE070A" w:rsidRPr="005E456A">
        <w:rPr>
          <w:rFonts w:ascii="Book Antiqua" w:hAnsi="Book Antiqua" w:cs="Arial"/>
          <w:sz w:val="24"/>
          <w:szCs w:val="24"/>
        </w:rPr>
        <w:t>o screen for any abnormal areas;</w:t>
      </w:r>
      <w:r w:rsidR="00EF4FC1" w:rsidRPr="005E456A">
        <w:rPr>
          <w:rFonts w:ascii="Book Antiqua" w:hAnsi="Book Antiqua" w:cs="Arial"/>
          <w:sz w:val="24"/>
          <w:szCs w:val="24"/>
        </w:rPr>
        <w:t xml:space="preserve"> or</w:t>
      </w:r>
      <w:r w:rsidR="00C66E4E" w:rsidRPr="005E456A">
        <w:rPr>
          <w:rFonts w:ascii="Book Antiqua" w:hAnsi="Book Antiqua" w:cs="Arial"/>
          <w:sz w:val="24"/>
          <w:szCs w:val="24"/>
        </w:rPr>
        <w:t xml:space="preserve"> (</w:t>
      </w:r>
      <w:r w:rsidR="00110BFA">
        <w:rPr>
          <w:rFonts w:ascii="Book Antiqua" w:hAnsi="Book Antiqua" w:cs="Arial" w:hint="eastAsia"/>
          <w:sz w:val="24"/>
          <w:szCs w:val="24"/>
        </w:rPr>
        <w:t>2</w:t>
      </w:r>
      <w:r w:rsidR="00C66E4E" w:rsidRPr="005E456A">
        <w:rPr>
          <w:rFonts w:ascii="Book Antiqua" w:hAnsi="Book Antiqua" w:cs="Arial"/>
          <w:sz w:val="24"/>
          <w:szCs w:val="24"/>
        </w:rPr>
        <w:t>) targeted staining, where</w:t>
      </w:r>
      <w:r w:rsidR="00EF4FC1" w:rsidRPr="005E456A">
        <w:rPr>
          <w:rFonts w:ascii="Book Antiqua" w:hAnsi="Book Antiqua" w:cs="Arial"/>
          <w:sz w:val="24"/>
          <w:szCs w:val="24"/>
        </w:rPr>
        <w:t xml:space="preserve"> </w:t>
      </w:r>
      <w:r w:rsidR="00C66E4E" w:rsidRPr="005E456A">
        <w:rPr>
          <w:rFonts w:ascii="Book Antiqua" w:hAnsi="Book Antiqua" w:cs="Arial"/>
          <w:sz w:val="24"/>
          <w:szCs w:val="24"/>
        </w:rPr>
        <w:t xml:space="preserve">a </w:t>
      </w:r>
      <w:r w:rsidR="00EF4FC1" w:rsidRPr="005E456A">
        <w:rPr>
          <w:rFonts w:ascii="Book Antiqua" w:hAnsi="Book Antiqua" w:cs="Arial"/>
          <w:sz w:val="24"/>
          <w:szCs w:val="24"/>
        </w:rPr>
        <w:t xml:space="preserve">dye is </w:t>
      </w:r>
      <w:r w:rsidR="004116A3" w:rsidRPr="005E456A">
        <w:rPr>
          <w:rFonts w:ascii="Book Antiqua" w:hAnsi="Book Antiqua" w:cs="Arial"/>
          <w:sz w:val="24"/>
          <w:szCs w:val="24"/>
        </w:rPr>
        <w:t>sprayed</w:t>
      </w:r>
      <w:r w:rsidR="00EF4FC1" w:rsidRPr="005E456A">
        <w:rPr>
          <w:rFonts w:ascii="Book Antiqua" w:hAnsi="Book Antiqua" w:cs="Arial"/>
          <w:sz w:val="24"/>
          <w:szCs w:val="24"/>
        </w:rPr>
        <w:t xml:space="preserve"> over a lesion of interest to further characterize it. Several </w:t>
      </w:r>
      <w:r w:rsidR="00973ADF" w:rsidRPr="005E456A">
        <w:rPr>
          <w:rFonts w:ascii="Book Antiqua" w:hAnsi="Book Antiqua" w:cs="Arial"/>
          <w:sz w:val="24"/>
          <w:szCs w:val="24"/>
        </w:rPr>
        <w:t xml:space="preserve">studies </w:t>
      </w:r>
      <w:r w:rsidR="00EF4FC1" w:rsidRPr="005E456A">
        <w:rPr>
          <w:rFonts w:ascii="Book Antiqua" w:hAnsi="Book Antiqua" w:cs="Arial"/>
          <w:sz w:val="24"/>
          <w:szCs w:val="24"/>
        </w:rPr>
        <w:t>have attempted a variety of stains in the stomach, either alone or in combination, to identify, characterize and outline focal lesions (</w:t>
      </w:r>
      <w:r w:rsidR="009F1CAF" w:rsidRPr="009F1CAF">
        <w:rPr>
          <w:rFonts w:ascii="Book Antiqua" w:hAnsi="Book Antiqua" w:cs="Arial"/>
          <w:i/>
          <w:sz w:val="24"/>
          <w:szCs w:val="24"/>
        </w:rPr>
        <w:t>e.g.,</w:t>
      </w:r>
      <w:r w:rsidR="00EF4FC1" w:rsidRPr="005E456A">
        <w:rPr>
          <w:rFonts w:ascii="Book Antiqua" w:hAnsi="Book Antiqua" w:cs="Arial"/>
          <w:sz w:val="24"/>
          <w:szCs w:val="24"/>
        </w:rPr>
        <w:t xml:space="preserve"> </w:t>
      </w:r>
      <w:r w:rsidR="00D7315E" w:rsidRPr="005E456A">
        <w:rPr>
          <w:rFonts w:ascii="Book Antiqua" w:hAnsi="Book Antiqua" w:cs="Arial"/>
          <w:sz w:val="24"/>
          <w:szCs w:val="24"/>
        </w:rPr>
        <w:t>IM</w:t>
      </w:r>
      <w:r w:rsidR="00EF4FC1" w:rsidRPr="005E456A">
        <w:rPr>
          <w:rFonts w:ascii="Book Antiqua" w:hAnsi="Book Antiqua" w:cs="Arial"/>
          <w:sz w:val="24"/>
          <w:szCs w:val="24"/>
        </w:rPr>
        <w:t xml:space="preserve"> or </w:t>
      </w:r>
      <w:r w:rsidR="00D7315E" w:rsidRPr="005E456A">
        <w:rPr>
          <w:rFonts w:ascii="Book Antiqua" w:hAnsi="Book Antiqua" w:cs="Arial"/>
          <w:sz w:val="24"/>
          <w:szCs w:val="24"/>
        </w:rPr>
        <w:t>EGC</w:t>
      </w:r>
      <w:r w:rsidR="007D6D6F" w:rsidRPr="005E456A">
        <w:rPr>
          <w:rFonts w:ascii="Book Antiqua" w:hAnsi="Book Antiqua" w:cs="Arial"/>
          <w:sz w:val="24"/>
          <w:szCs w:val="24"/>
        </w:rPr>
        <w:t xml:space="preserve">). </w:t>
      </w:r>
      <w:r w:rsidR="00EF4FC1" w:rsidRPr="005E456A">
        <w:rPr>
          <w:rFonts w:ascii="Book Antiqua" w:hAnsi="Book Antiqua" w:cs="Arial"/>
          <w:sz w:val="24"/>
          <w:szCs w:val="24"/>
        </w:rPr>
        <w:t xml:space="preserve">CE is technically easy to perform and has shown significant advantages in detecting flat colorectal neoplasia and </w:t>
      </w:r>
      <w:r w:rsidR="00A27D29" w:rsidRPr="005E456A">
        <w:rPr>
          <w:rFonts w:ascii="Book Antiqua" w:hAnsi="Book Antiqua" w:cs="Arial"/>
          <w:sz w:val="24"/>
          <w:szCs w:val="24"/>
        </w:rPr>
        <w:t>colitis-associated neoplasia</w:t>
      </w:r>
      <w:r w:rsidR="00A27D29" w:rsidRPr="005E456A">
        <w:rPr>
          <w:rFonts w:ascii="Book Antiqua" w:hAnsi="Book Antiqua" w:cs="Arial"/>
          <w:sz w:val="24"/>
          <w:szCs w:val="24"/>
          <w:vertAlign w:val="superscript"/>
        </w:rPr>
        <w:t>[2</w:t>
      </w:r>
      <w:r w:rsidR="00EA36BA" w:rsidRPr="005E456A">
        <w:rPr>
          <w:rFonts w:ascii="Book Antiqua" w:hAnsi="Book Antiqua" w:cs="Arial"/>
          <w:sz w:val="24"/>
          <w:szCs w:val="24"/>
          <w:vertAlign w:val="superscript"/>
        </w:rPr>
        <w:t>1</w:t>
      </w:r>
      <w:r w:rsidR="00A27D29" w:rsidRPr="005E456A">
        <w:rPr>
          <w:rFonts w:ascii="Book Antiqua" w:hAnsi="Book Antiqua" w:cs="Arial"/>
          <w:sz w:val="24"/>
          <w:szCs w:val="24"/>
          <w:vertAlign w:val="superscript"/>
        </w:rPr>
        <w:t>]</w:t>
      </w:r>
      <w:r w:rsidR="00EF4FC1" w:rsidRPr="005E456A">
        <w:rPr>
          <w:rFonts w:ascii="Book Antiqua" w:hAnsi="Book Antiqua" w:cs="Arial"/>
          <w:sz w:val="24"/>
          <w:szCs w:val="24"/>
        </w:rPr>
        <w:t xml:space="preserve">. </w:t>
      </w:r>
    </w:p>
    <w:p w14:paraId="7B7EEE25" w14:textId="77777777" w:rsidR="007822B3" w:rsidRPr="005E456A" w:rsidRDefault="007822B3" w:rsidP="005E456A">
      <w:pPr>
        <w:spacing w:after="0" w:line="360" w:lineRule="auto"/>
        <w:jc w:val="both"/>
        <w:rPr>
          <w:rFonts w:ascii="Book Antiqua" w:hAnsi="Book Antiqua" w:cs="Arial"/>
          <w:b/>
          <w:sz w:val="24"/>
          <w:szCs w:val="24"/>
        </w:rPr>
      </w:pPr>
    </w:p>
    <w:p w14:paraId="6DDED99D" w14:textId="0BB876E9" w:rsidR="00EF4FC1" w:rsidRPr="005E456A" w:rsidRDefault="006B43F7" w:rsidP="005E456A">
      <w:pPr>
        <w:spacing w:after="0" w:line="360" w:lineRule="auto"/>
        <w:jc w:val="both"/>
        <w:rPr>
          <w:rFonts w:ascii="Book Antiqua" w:hAnsi="Book Antiqua" w:cs="Arial"/>
          <w:b/>
          <w:i/>
          <w:sz w:val="24"/>
          <w:szCs w:val="24"/>
        </w:rPr>
      </w:pPr>
      <w:r w:rsidRPr="005E456A">
        <w:rPr>
          <w:rFonts w:ascii="Book Antiqua" w:hAnsi="Book Antiqua" w:cs="Arial"/>
          <w:b/>
          <w:i/>
          <w:sz w:val="24"/>
          <w:szCs w:val="24"/>
        </w:rPr>
        <w:t>Use of acetic acid in stomach</w:t>
      </w:r>
    </w:p>
    <w:p w14:paraId="194F5E6A" w14:textId="508E8B36" w:rsidR="008A3098" w:rsidRPr="005E456A" w:rsidRDefault="00B11FD4" w:rsidP="00110BFA">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t>A</w:t>
      </w:r>
      <w:r w:rsidR="00EF4FC1" w:rsidRPr="005E456A">
        <w:rPr>
          <w:rFonts w:ascii="Book Antiqua" w:hAnsi="Book Antiqua" w:cs="Arial"/>
          <w:sz w:val="24"/>
          <w:szCs w:val="24"/>
        </w:rPr>
        <w:t xml:space="preserve">cetic acid causes a reversible and transient alteration in the tertiary structure of the cellular proteins which leads </w:t>
      </w:r>
      <w:r w:rsidRPr="005E456A">
        <w:rPr>
          <w:rFonts w:ascii="Book Antiqua" w:hAnsi="Book Antiqua" w:cs="Arial"/>
          <w:sz w:val="24"/>
          <w:szCs w:val="24"/>
        </w:rPr>
        <w:t xml:space="preserve">to temporary </w:t>
      </w:r>
      <w:r w:rsidR="00EF4FC1" w:rsidRPr="005E456A">
        <w:rPr>
          <w:rFonts w:ascii="Book Antiqua" w:hAnsi="Book Antiqua" w:cs="Arial"/>
          <w:sz w:val="24"/>
          <w:szCs w:val="24"/>
        </w:rPr>
        <w:t xml:space="preserve">opacification of mucosal surface. This produces a vivid mucosal image with crypts </w:t>
      </w:r>
      <w:r w:rsidR="007C5322" w:rsidRPr="005E456A">
        <w:rPr>
          <w:rFonts w:ascii="Book Antiqua" w:hAnsi="Book Antiqua" w:cs="Arial"/>
          <w:sz w:val="24"/>
          <w:szCs w:val="24"/>
        </w:rPr>
        <w:t xml:space="preserve">turning </w:t>
      </w:r>
      <w:r w:rsidR="00EF4FC1" w:rsidRPr="005E456A">
        <w:rPr>
          <w:rFonts w:ascii="Book Antiqua" w:hAnsi="Book Antiqua" w:cs="Arial"/>
          <w:sz w:val="24"/>
          <w:szCs w:val="24"/>
        </w:rPr>
        <w:t xml:space="preserve">brown while the intervening epithelial surface appearing white. </w:t>
      </w:r>
      <w:r w:rsidR="005147A8" w:rsidRPr="005E456A">
        <w:rPr>
          <w:rFonts w:ascii="Book Antiqua" w:hAnsi="Book Antiqua" w:cs="Arial"/>
          <w:sz w:val="24"/>
          <w:szCs w:val="24"/>
        </w:rPr>
        <w:t xml:space="preserve">While the non-cancerous mucosa changes into white, the dysplastic and cancerous cells remain unstained, producing a good contrast. </w:t>
      </w:r>
      <w:r w:rsidR="008139F7" w:rsidRPr="005E456A">
        <w:rPr>
          <w:rFonts w:ascii="Book Antiqua" w:hAnsi="Book Antiqua" w:cs="Arial"/>
          <w:sz w:val="24"/>
          <w:szCs w:val="24"/>
        </w:rPr>
        <w:t>After spray of acetic acid, the mucosal details are visualized with magnification. This</w:t>
      </w:r>
      <w:r w:rsidR="00EF4FC1" w:rsidRPr="005E456A">
        <w:rPr>
          <w:rFonts w:ascii="Book Antiqua" w:hAnsi="Book Antiqua" w:cs="Arial"/>
          <w:sz w:val="24"/>
          <w:szCs w:val="24"/>
        </w:rPr>
        <w:t xml:space="preserve"> combination of acetic acid instillation and </w:t>
      </w:r>
      <w:r w:rsidR="007C5322" w:rsidRPr="005E456A">
        <w:rPr>
          <w:rFonts w:ascii="Book Antiqua" w:hAnsi="Book Antiqua" w:cs="Arial"/>
          <w:sz w:val="24"/>
          <w:szCs w:val="24"/>
        </w:rPr>
        <w:t>ME</w:t>
      </w:r>
      <w:r w:rsidR="00EF4FC1" w:rsidRPr="005E456A">
        <w:rPr>
          <w:rFonts w:ascii="Book Antiqua" w:hAnsi="Book Antiqua" w:cs="Arial"/>
          <w:sz w:val="24"/>
          <w:szCs w:val="24"/>
        </w:rPr>
        <w:t xml:space="preserve"> is often termed as </w:t>
      </w:r>
      <w:r w:rsidRPr="005E456A">
        <w:rPr>
          <w:rFonts w:ascii="Book Antiqua" w:hAnsi="Book Antiqua" w:cs="Arial"/>
          <w:sz w:val="24"/>
          <w:szCs w:val="24"/>
        </w:rPr>
        <w:t>“</w:t>
      </w:r>
      <w:r w:rsidR="00EF4FC1" w:rsidRPr="005E456A">
        <w:rPr>
          <w:rFonts w:ascii="Book Antiqua" w:hAnsi="Book Antiqua" w:cs="Arial"/>
          <w:sz w:val="24"/>
          <w:szCs w:val="24"/>
        </w:rPr>
        <w:t>Enhanced-magnification endoscopy (EME)</w:t>
      </w:r>
      <w:r w:rsidRPr="005E456A">
        <w:rPr>
          <w:rFonts w:ascii="Book Antiqua" w:hAnsi="Book Antiqua" w:cs="Arial"/>
          <w:sz w:val="24"/>
          <w:szCs w:val="24"/>
        </w:rPr>
        <w:t>”</w:t>
      </w:r>
      <w:r w:rsidR="00EF4FC1" w:rsidRPr="005E456A">
        <w:rPr>
          <w:rFonts w:ascii="Book Antiqua" w:hAnsi="Book Antiqua" w:cs="Arial"/>
          <w:sz w:val="24"/>
          <w:szCs w:val="24"/>
        </w:rPr>
        <w:t xml:space="preserve">, which allows visualization of villi and crypts. </w:t>
      </w:r>
      <w:r w:rsidR="008A3098" w:rsidRPr="005E456A">
        <w:rPr>
          <w:rFonts w:ascii="Book Antiqua" w:hAnsi="Book Antiqua" w:cs="Arial"/>
          <w:sz w:val="24"/>
          <w:szCs w:val="24"/>
        </w:rPr>
        <w:t>In 2005</w:t>
      </w:r>
      <w:r w:rsidR="00EF4FC1" w:rsidRPr="005E456A">
        <w:rPr>
          <w:rFonts w:ascii="Book Antiqua" w:hAnsi="Book Antiqua" w:cs="Arial"/>
          <w:sz w:val="24"/>
          <w:szCs w:val="24"/>
        </w:rPr>
        <w:t xml:space="preserve">, Yagi </w:t>
      </w:r>
      <w:r w:rsidR="00EF4FC1" w:rsidRPr="00A75C76">
        <w:rPr>
          <w:rFonts w:ascii="Book Antiqua" w:hAnsi="Book Antiqua" w:cs="Arial"/>
          <w:i/>
          <w:sz w:val="24"/>
          <w:szCs w:val="24"/>
        </w:rPr>
        <w:t>et al</w:t>
      </w:r>
      <w:r w:rsidR="00A75C76" w:rsidRPr="005E456A">
        <w:rPr>
          <w:rFonts w:ascii="Book Antiqua" w:hAnsi="Book Antiqua" w:cs="Arial"/>
          <w:sz w:val="24"/>
          <w:szCs w:val="24"/>
          <w:vertAlign w:val="superscript"/>
        </w:rPr>
        <w:t>[22]</w:t>
      </w:r>
      <w:r w:rsidR="00EF4FC1" w:rsidRPr="005E456A">
        <w:rPr>
          <w:rFonts w:ascii="Book Antiqua" w:hAnsi="Book Antiqua" w:cs="Arial"/>
          <w:sz w:val="24"/>
          <w:szCs w:val="24"/>
        </w:rPr>
        <w:t xml:space="preserve"> </w:t>
      </w:r>
      <w:r w:rsidR="008A3098" w:rsidRPr="005E456A">
        <w:rPr>
          <w:rFonts w:ascii="Book Antiqua" w:hAnsi="Book Antiqua" w:cs="Arial"/>
          <w:sz w:val="24"/>
          <w:szCs w:val="24"/>
        </w:rPr>
        <w:t xml:space="preserve">studied the </w:t>
      </w:r>
      <w:r w:rsidR="00E22DA3" w:rsidRPr="005E456A">
        <w:rPr>
          <w:rFonts w:ascii="Book Antiqua" w:hAnsi="Book Antiqua" w:cs="Arial"/>
          <w:sz w:val="24"/>
          <w:szCs w:val="24"/>
        </w:rPr>
        <w:t>value</w:t>
      </w:r>
      <w:r w:rsidR="008A3098" w:rsidRPr="005E456A">
        <w:rPr>
          <w:rFonts w:ascii="Book Antiqua" w:hAnsi="Book Antiqua" w:cs="Arial"/>
          <w:sz w:val="24"/>
          <w:szCs w:val="24"/>
        </w:rPr>
        <w:t xml:space="preserve"> of </w:t>
      </w:r>
      <w:r w:rsidR="00E22DA3" w:rsidRPr="005E456A">
        <w:rPr>
          <w:rFonts w:ascii="Book Antiqua" w:hAnsi="Book Antiqua" w:cs="Arial"/>
          <w:sz w:val="24"/>
          <w:szCs w:val="24"/>
        </w:rPr>
        <w:t>EME in stomach</w:t>
      </w:r>
      <w:r w:rsidR="008A3098" w:rsidRPr="005E456A">
        <w:rPr>
          <w:rFonts w:ascii="Book Antiqua" w:hAnsi="Book Antiqua" w:cs="Arial"/>
          <w:sz w:val="24"/>
          <w:szCs w:val="24"/>
        </w:rPr>
        <w:t xml:space="preserve"> in 45 </w:t>
      </w:r>
      <w:r w:rsidR="00E22DA3" w:rsidRPr="005E456A">
        <w:rPr>
          <w:rFonts w:ascii="Book Antiqua" w:hAnsi="Book Antiqua" w:cs="Arial"/>
          <w:sz w:val="24"/>
          <w:szCs w:val="24"/>
        </w:rPr>
        <w:t>patients</w:t>
      </w:r>
      <w:r w:rsidR="008A3098" w:rsidRPr="005E456A">
        <w:rPr>
          <w:rFonts w:ascii="Book Antiqua" w:hAnsi="Book Antiqua" w:cs="Arial"/>
          <w:sz w:val="24"/>
          <w:szCs w:val="24"/>
        </w:rPr>
        <w:t xml:space="preserve">. The mean duration of whitening differed with each histologic type: low-grade adenoma, 94 s; high-grade adenoma, 24.3 s; </w:t>
      </w:r>
      <w:r w:rsidR="00631157" w:rsidRPr="005E456A">
        <w:rPr>
          <w:rFonts w:ascii="Book Antiqua" w:hAnsi="Book Antiqua" w:cs="Arial"/>
          <w:sz w:val="24"/>
          <w:szCs w:val="24"/>
        </w:rPr>
        <w:t>non-invasive</w:t>
      </w:r>
      <w:r w:rsidR="008A3098" w:rsidRPr="005E456A">
        <w:rPr>
          <w:rFonts w:ascii="Book Antiqua" w:hAnsi="Book Antiqua" w:cs="Arial"/>
          <w:sz w:val="24"/>
          <w:szCs w:val="24"/>
        </w:rPr>
        <w:t xml:space="preserve"> carcinoma, 20.1 s; invasive </w:t>
      </w:r>
      <w:r w:rsidR="008A3098" w:rsidRPr="005E456A">
        <w:rPr>
          <w:rFonts w:ascii="Book Antiqua" w:hAnsi="Book Antiqua" w:cs="Arial"/>
          <w:sz w:val="24"/>
          <w:szCs w:val="24"/>
        </w:rPr>
        <w:lastRenderedPageBreak/>
        <w:t>intramucosal carcinoma, 3.5 s; and submucosal carcinoma or beyond, 2.5 s.</w:t>
      </w:r>
      <w:r w:rsidR="007B194F" w:rsidRPr="005E456A">
        <w:rPr>
          <w:rFonts w:ascii="Book Antiqua" w:hAnsi="Book Antiqua" w:cs="Arial"/>
          <w:sz w:val="24"/>
          <w:szCs w:val="24"/>
        </w:rPr>
        <w:t xml:space="preserve"> Therefore, the acetic-acid with ME was useful in differentiating between neoplasia and non-neoplasia based on duration of whitening.</w:t>
      </w:r>
    </w:p>
    <w:p w14:paraId="3CAFE75F" w14:textId="712A4AD2" w:rsidR="00D4593A" w:rsidRPr="005E456A" w:rsidRDefault="00EF4FC1" w:rsidP="005E456A">
      <w:pPr>
        <w:pStyle w:val="ListParagraph"/>
        <w:spacing w:after="0" w:line="360" w:lineRule="auto"/>
        <w:ind w:left="0" w:firstLine="360"/>
        <w:jc w:val="both"/>
        <w:rPr>
          <w:rFonts w:ascii="Book Antiqua" w:hAnsi="Book Antiqua" w:cs="Arial"/>
          <w:sz w:val="24"/>
          <w:szCs w:val="24"/>
        </w:rPr>
      </w:pPr>
      <w:r w:rsidRPr="005E456A">
        <w:rPr>
          <w:rFonts w:ascii="Book Antiqua" w:hAnsi="Book Antiqua" w:cs="Arial"/>
          <w:sz w:val="24"/>
          <w:szCs w:val="24"/>
        </w:rPr>
        <w:t xml:space="preserve"> </w:t>
      </w:r>
      <w:r w:rsidR="0033057E" w:rsidRPr="005E456A">
        <w:rPr>
          <w:rFonts w:ascii="Book Antiqua" w:hAnsi="Book Antiqua" w:cs="Arial"/>
          <w:sz w:val="24"/>
          <w:szCs w:val="24"/>
        </w:rPr>
        <w:tab/>
      </w:r>
      <w:r w:rsidRPr="005E456A">
        <w:rPr>
          <w:rFonts w:ascii="Book Antiqua" w:hAnsi="Book Antiqua" w:cs="Arial"/>
          <w:sz w:val="24"/>
          <w:szCs w:val="24"/>
        </w:rPr>
        <w:t xml:space="preserve">One year later in 2006, Tanaka </w:t>
      </w:r>
      <w:r w:rsidRPr="0095123E">
        <w:rPr>
          <w:rFonts w:ascii="Book Antiqua" w:hAnsi="Book Antiqua" w:cs="Arial"/>
          <w:i/>
          <w:sz w:val="24"/>
          <w:szCs w:val="24"/>
        </w:rPr>
        <w:t>et al</w:t>
      </w:r>
      <w:r w:rsidR="0095123E" w:rsidRPr="005E456A">
        <w:rPr>
          <w:rFonts w:ascii="Book Antiqua" w:hAnsi="Book Antiqua" w:cs="Arial"/>
          <w:sz w:val="24"/>
          <w:szCs w:val="24"/>
          <w:vertAlign w:val="superscript"/>
        </w:rPr>
        <w:t>[23]</w:t>
      </w:r>
      <w:r w:rsidRPr="005E456A">
        <w:rPr>
          <w:rFonts w:ascii="Book Antiqua" w:hAnsi="Book Antiqua" w:cs="Arial"/>
          <w:sz w:val="24"/>
          <w:szCs w:val="24"/>
        </w:rPr>
        <w:t xml:space="preserve"> proposed a classification of EME findings in stomach based on forty seven consecutive patients, into five categories: type I, small round pits; type II, slit-like pits, type III, gyrus and villous patterns; type IV, irregular arrangements and sizes; type V, destructive patterns. Elevated gastric carcinomas showed type III or IV patterns; while depressed carcinomas showed type IV or V patterns. Later the same group, in a separate observational study, found that the surface patterns were evident in 100% of lesions by EME as compared to only 66.4% with conventional</w:t>
      </w:r>
      <w:r w:rsidR="008A3098" w:rsidRPr="005E456A">
        <w:rPr>
          <w:rFonts w:ascii="Book Antiqua" w:hAnsi="Book Antiqua" w:cs="Arial"/>
          <w:sz w:val="24"/>
          <w:szCs w:val="24"/>
        </w:rPr>
        <w:t xml:space="preserve"> or magnification endoscopies</w:t>
      </w:r>
      <w:r w:rsidR="00EA36BA" w:rsidRPr="005E456A">
        <w:rPr>
          <w:rFonts w:ascii="Book Antiqua" w:hAnsi="Book Antiqua" w:cs="Arial"/>
          <w:sz w:val="24"/>
          <w:szCs w:val="24"/>
          <w:vertAlign w:val="superscript"/>
        </w:rPr>
        <w:t>[24</w:t>
      </w:r>
      <w:r w:rsidR="008A3098" w:rsidRPr="005E456A">
        <w:rPr>
          <w:rFonts w:ascii="Book Antiqua" w:hAnsi="Book Antiqua" w:cs="Arial"/>
          <w:sz w:val="24"/>
          <w:szCs w:val="24"/>
          <w:vertAlign w:val="superscript"/>
        </w:rPr>
        <w:t>]</w:t>
      </w:r>
      <w:r w:rsidRPr="005E456A">
        <w:rPr>
          <w:rFonts w:ascii="Book Antiqua" w:hAnsi="Book Antiqua" w:cs="Arial"/>
          <w:sz w:val="24"/>
          <w:szCs w:val="24"/>
        </w:rPr>
        <w:t xml:space="preserve">. The type IV-V lesions were strongly associated with gastric cancer with a sensitivity of 100% and specificity of 89.7%. </w:t>
      </w:r>
    </w:p>
    <w:p w14:paraId="7CC5EF5C" w14:textId="77777777" w:rsidR="007822B3" w:rsidRPr="005E456A" w:rsidRDefault="007822B3" w:rsidP="005E456A">
      <w:pPr>
        <w:spacing w:after="0" w:line="360" w:lineRule="auto"/>
        <w:jc w:val="both"/>
        <w:rPr>
          <w:rFonts w:ascii="Book Antiqua" w:hAnsi="Book Antiqua" w:cs="Arial"/>
          <w:b/>
          <w:sz w:val="24"/>
          <w:szCs w:val="24"/>
        </w:rPr>
      </w:pPr>
    </w:p>
    <w:p w14:paraId="16B5C6AD" w14:textId="2CF67FE9" w:rsidR="0033057E" w:rsidRPr="005E456A" w:rsidRDefault="00CC2C58" w:rsidP="005E456A">
      <w:pPr>
        <w:spacing w:after="0" w:line="360" w:lineRule="auto"/>
        <w:jc w:val="both"/>
        <w:rPr>
          <w:rFonts w:ascii="Book Antiqua" w:hAnsi="Book Antiqua" w:cs="Arial"/>
          <w:i/>
          <w:sz w:val="24"/>
          <w:szCs w:val="24"/>
        </w:rPr>
      </w:pPr>
      <w:r w:rsidRPr="005E456A">
        <w:rPr>
          <w:rFonts w:ascii="Book Antiqua" w:hAnsi="Book Antiqua" w:cs="Arial"/>
          <w:b/>
          <w:i/>
          <w:sz w:val="24"/>
          <w:szCs w:val="24"/>
        </w:rPr>
        <w:t xml:space="preserve">Use of </w:t>
      </w:r>
      <w:r w:rsidR="004C73FF" w:rsidRPr="005E456A">
        <w:rPr>
          <w:rFonts w:ascii="Book Antiqua" w:hAnsi="Book Antiqua" w:cs="Arial"/>
          <w:b/>
          <w:i/>
          <w:sz w:val="24"/>
          <w:szCs w:val="24"/>
        </w:rPr>
        <w:t>c</w:t>
      </w:r>
      <w:r w:rsidR="00EF4FC1" w:rsidRPr="005E456A">
        <w:rPr>
          <w:rFonts w:ascii="Book Antiqua" w:hAnsi="Book Antiqua" w:cs="Arial"/>
          <w:b/>
          <w:i/>
          <w:sz w:val="24"/>
          <w:szCs w:val="24"/>
        </w:rPr>
        <w:t>ongo-red</w:t>
      </w:r>
      <w:r w:rsidRPr="005E456A">
        <w:rPr>
          <w:rFonts w:ascii="Book Antiqua" w:hAnsi="Book Antiqua" w:cs="Arial"/>
          <w:b/>
          <w:i/>
          <w:sz w:val="24"/>
          <w:szCs w:val="24"/>
        </w:rPr>
        <w:t xml:space="preserve"> </w:t>
      </w:r>
      <w:r w:rsidR="00B24125" w:rsidRPr="005E456A">
        <w:rPr>
          <w:rFonts w:ascii="Book Antiqua" w:hAnsi="Book Antiqua" w:cs="Arial"/>
          <w:b/>
          <w:i/>
          <w:sz w:val="24"/>
          <w:szCs w:val="24"/>
        </w:rPr>
        <w:t xml:space="preserve">and phenol-red </w:t>
      </w:r>
      <w:r w:rsidR="008139F7" w:rsidRPr="005E456A">
        <w:rPr>
          <w:rFonts w:ascii="Book Antiqua" w:hAnsi="Book Antiqua" w:cs="Arial"/>
          <w:b/>
          <w:i/>
          <w:sz w:val="24"/>
          <w:szCs w:val="24"/>
        </w:rPr>
        <w:t>in stomach</w:t>
      </w:r>
    </w:p>
    <w:p w14:paraId="058806AB" w14:textId="4B188E00" w:rsidR="00C25AE9" w:rsidRPr="005E456A" w:rsidRDefault="00EF4FC1" w:rsidP="004C73FF">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t xml:space="preserve">Utilizing its tendency to turn red in an </w:t>
      </w:r>
      <w:r w:rsidR="00B24125" w:rsidRPr="005E456A">
        <w:rPr>
          <w:rFonts w:ascii="Book Antiqua" w:hAnsi="Book Antiqua" w:cs="Arial"/>
          <w:sz w:val="24"/>
          <w:szCs w:val="24"/>
        </w:rPr>
        <w:t>alkaline environment, this Congo-red</w:t>
      </w:r>
      <w:r w:rsidRPr="005E456A">
        <w:rPr>
          <w:rFonts w:ascii="Book Antiqua" w:hAnsi="Book Antiqua" w:cs="Arial"/>
          <w:sz w:val="24"/>
          <w:szCs w:val="24"/>
        </w:rPr>
        <w:t xml:space="preserve"> has </w:t>
      </w:r>
      <w:r w:rsidR="00B24125" w:rsidRPr="005E456A">
        <w:rPr>
          <w:rFonts w:ascii="Book Antiqua" w:hAnsi="Book Antiqua" w:cs="Arial"/>
          <w:sz w:val="24"/>
          <w:szCs w:val="24"/>
        </w:rPr>
        <w:t>been used</w:t>
      </w:r>
      <w:r w:rsidRPr="005E456A">
        <w:rPr>
          <w:rFonts w:ascii="Book Antiqua" w:hAnsi="Book Antiqua" w:cs="Arial"/>
          <w:sz w:val="24"/>
          <w:szCs w:val="24"/>
        </w:rPr>
        <w:t xml:space="preserve"> for detection of atrophic gastritis</w:t>
      </w:r>
      <w:r w:rsidR="00383512" w:rsidRPr="005E456A">
        <w:rPr>
          <w:rFonts w:ascii="Book Antiqua" w:hAnsi="Book Antiqua" w:cs="Arial"/>
          <w:sz w:val="24"/>
          <w:szCs w:val="24"/>
        </w:rPr>
        <w:t xml:space="preserve"> (AG)</w:t>
      </w:r>
      <w:r w:rsidRPr="005E456A">
        <w:rPr>
          <w:rFonts w:ascii="Book Antiqua" w:hAnsi="Book Antiqua" w:cs="Arial"/>
          <w:sz w:val="24"/>
          <w:szCs w:val="24"/>
        </w:rPr>
        <w:t xml:space="preserve">, </w:t>
      </w:r>
      <w:r w:rsidR="007C5322" w:rsidRPr="005E456A">
        <w:rPr>
          <w:rFonts w:ascii="Book Antiqua" w:hAnsi="Book Antiqua" w:cs="Arial"/>
          <w:i/>
          <w:sz w:val="24"/>
          <w:szCs w:val="24"/>
        </w:rPr>
        <w:t>H. pylori</w:t>
      </w:r>
      <w:r w:rsidRPr="005E456A">
        <w:rPr>
          <w:rFonts w:ascii="Book Antiqua" w:hAnsi="Book Antiqua" w:cs="Arial"/>
          <w:sz w:val="24"/>
          <w:szCs w:val="24"/>
        </w:rPr>
        <w:t xml:space="preserve"> infection and </w:t>
      </w:r>
      <w:r w:rsidR="007C5322" w:rsidRPr="005E456A">
        <w:rPr>
          <w:rFonts w:ascii="Book Antiqua" w:hAnsi="Book Antiqua" w:cs="Arial"/>
          <w:sz w:val="24"/>
          <w:szCs w:val="24"/>
        </w:rPr>
        <w:t>IM</w:t>
      </w:r>
      <w:r w:rsidRPr="005E456A">
        <w:rPr>
          <w:rFonts w:ascii="Book Antiqua" w:hAnsi="Book Antiqua" w:cs="Arial"/>
          <w:sz w:val="24"/>
          <w:szCs w:val="24"/>
        </w:rPr>
        <w:t>.</w:t>
      </w:r>
      <w:r w:rsidR="007C5322" w:rsidRPr="005E456A">
        <w:rPr>
          <w:rFonts w:ascii="Book Antiqua" w:hAnsi="Book Antiqua" w:cs="Arial"/>
          <w:sz w:val="24"/>
          <w:szCs w:val="24"/>
        </w:rPr>
        <w:t xml:space="preserve"> Data are limited.</w:t>
      </w:r>
      <w:r w:rsidR="00B24125" w:rsidRPr="005E456A">
        <w:rPr>
          <w:rFonts w:ascii="Book Antiqua" w:hAnsi="Book Antiqua" w:cs="Arial"/>
          <w:sz w:val="24"/>
          <w:szCs w:val="24"/>
        </w:rPr>
        <w:t xml:space="preserve"> Phenol-red</w:t>
      </w:r>
      <w:r w:rsidR="00B24125" w:rsidRPr="005E456A">
        <w:rPr>
          <w:rFonts w:ascii="Book Antiqua" w:hAnsi="Book Antiqua" w:cs="Arial"/>
          <w:b/>
          <w:sz w:val="24"/>
          <w:szCs w:val="24"/>
        </w:rPr>
        <w:t xml:space="preserve"> </w:t>
      </w:r>
      <w:r w:rsidRPr="005E456A">
        <w:rPr>
          <w:rFonts w:ascii="Book Antiqua" w:hAnsi="Book Antiqua" w:cs="Arial"/>
          <w:sz w:val="24"/>
          <w:szCs w:val="24"/>
        </w:rPr>
        <w:t xml:space="preserve">has been used in old studies to map the gastric mucosa for </w:t>
      </w:r>
      <w:r w:rsidR="007C5322" w:rsidRPr="005E456A">
        <w:rPr>
          <w:rFonts w:ascii="Book Antiqua" w:hAnsi="Book Antiqua" w:cs="Arial"/>
          <w:i/>
          <w:sz w:val="24"/>
          <w:szCs w:val="24"/>
        </w:rPr>
        <w:t>H. pylori</w:t>
      </w:r>
      <w:r w:rsidRPr="005E456A">
        <w:rPr>
          <w:rFonts w:ascii="Book Antiqua" w:hAnsi="Book Antiqua" w:cs="Arial"/>
          <w:sz w:val="24"/>
          <w:szCs w:val="24"/>
        </w:rPr>
        <w:t xml:space="preserve"> infection. With phenol red spraying endos</w:t>
      </w:r>
      <w:r w:rsidR="00D4593A" w:rsidRPr="005E456A">
        <w:rPr>
          <w:rFonts w:ascii="Book Antiqua" w:hAnsi="Book Antiqua" w:cs="Arial"/>
          <w:sz w:val="24"/>
          <w:szCs w:val="24"/>
        </w:rPr>
        <w:t xml:space="preserve">copy, Kohli </w:t>
      </w:r>
      <w:r w:rsidR="00D4593A" w:rsidRPr="00D032B6">
        <w:rPr>
          <w:rFonts w:ascii="Book Antiqua" w:hAnsi="Book Antiqua" w:cs="Arial"/>
          <w:i/>
          <w:sz w:val="24"/>
          <w:szCs w:val="24"/>
        </w:rPr>
        <w:t>et al</w:t>
      </w:r>
      <w:r w:rsidR="00D032B6" w:rsidRPr="005E456A">
        <w:rPr>
          <w:rFonts w:ascii="Book Antiqua" w:hAnsi="Book Antiqua" w:cs="Arial"/>
          <w:sz w:val="24"/>
          <w:szCs w:val="24"/>
          <w:vertAlign w:val="superscript"/>
        </w:rPr>
        <w:t>[25]</w:t>
      </w:r>
      <w:r w:rsidR="00D4593A" w:rsidRPr="005E456A">
        <w:rPr>
          <w:rFonts w:ascii="Book Antiqua" w:hAnsi="Book Antiqua" w:cs="Arial"/>
          <w:sz w:val="24"/>
          <w:szCs w:val="24"/>
        </w:rPr>
        <w:t xml:space="preserve"> identifed</w:t>
      </w:r>
      <w:r w:rsidRPr="005E456A">
        <w:rPr>
          <w:rFonts w:ascii="Book Antiqua" w:hAnsi="Book Antiqua" w:cs="Arial"/>
          <w:sz w:val="24"/>
          <w:szCs w:val="24"/>
        </w:rPr>
        <w:t xml:space="preserve"> </w:t>
      </w:r>
      <w:r w:rsidRPr="005E456A">
        <w:rPr>
          <w:rFonts w:ascii="Book Antiqua" w:hAnsi="Book Antiqua" w:cs="Arial"/>
          <w:i/>
          <w:sz w:val="24"/>
          <w:szCs w:val="24"/>
        </w:rPr>
        <w:t xml:space="preserve">H. pylori </w:t>
      </w:r>
      <w:r w:rsidRPr="005E456A">
        <w:rPr>
          <w:rFonts w:ascii="Book Antiqua" w:hAnsi="Book Antiqua" w:cs="Arial"/>
          <w:sz w:val="24"/>
          <w:szCs w:val="24"/>
        </w:rPr>
        <w:t xml:space="preserve">infection with sensitivity and specificity of 100% and 84.6% respectively. </w:t>
      </w:r>
    </w:p>
    <w:p w14:paraId="44E0A742" w14:textId="77777777" w:rsidR="007822B3" w:rsidRPr="005E456A" w:rsidRDefault="007822B3" w:rsidP="005E456A">
      <w:pPr>
        <w:spacing w:after="0" w:line="360" w:lineRule="auto"/>
        <w:jc w:val="both"/>
        <w:rPr>
          <w:rFonts w:ascii="Book Antiqua" w:hAnsi="Book Antiqua" w:cs="Arial"/>
          <w:b/>
          <w:sz w:val="24"/>
          <w:szCs w:val="24"/>
        </w:rPr>
      </w:pPr>
    </w:p>
    <w:p w14:paraId="4E749407" w14:textId="350ED5D4" w:rsidR="00CC2C58" w:rsidRPr="005E456A" w:rsidRDefault="00CC2C58" w:rsidP="005E456A">
      <w:pPr>
        <w:spacing w:after="0" w:line="360" w:lineRule="auto"/>
        <w:jc w:val="both"/>
        <w:rPr>
          <w:rFonts w:ascii="Book Antiqua" w:hAnsi="Book Antiqua" w:cs="Arial"/>
          <w:b/>
          <w:i/>
          <w:sz w:val="24"/>
          <w:szCs w:val="24"/>
        </w:rPr>
      </w:pPr>
      <w:r w:rsidRPr="005E456A">
        <w:rPr>
          <w:rFonts w:ascii="Book Antiqua" w:hAnsi="Book Antiqua" w:cs="Arial"/>
          <w:b/>
          <w:i/>
          <w:sz w:val="24"/>
          <w:szCs w:val="24"/>
        </w:rPr>
        <w:t xml:space="preserve">Use of </w:t>
      </w:r>
      <w:r w:rsidR="00E83F6A" w:rsidRPr="005E456A">
        <w:rPr>
          <w:rFonts w:ascii="Book Antiqua" w:hAnsi="Book Antiqua" w:cs="Arial"/>
          <w:b/>
          <w:i/>
          <w:sz w:val="24"/>
          <w:szCs w:val="24"/>
        </w:rPr>
        <w:t>m</w:t>
      </w:r>
      <w:r w:rsidR="00EF4FC1" w:rsidRPr="005E456A">
        <w:rPr>
          <w:rFonts w:ascii="Book Antiqua" w:hAnsi="Book Antiqua" w:cs="Arial"/>
          <w:b/>
          <w:i/>
          <w:sz w:val="24"/>
          <w:szCs w:val="24"/>
        </w:rPr>
        <w:t>ethylene-blue</w:t>
      </w:r>
      <w:r w:rsidRPr="005E456A">
        <w:rPr>
          <w:rFonts w:ascii="Book Antiqua" w:hAnsi="Book Antiqua" w:cs="Arial"/>
          <w:b/>
          <w:i/>
          <w:sz w:val="24"/>
          <w:szCs w:val="24"/>
        </w:rPr>
        <w:t xml:space="preserve"> in stomach</w:t>
      </w:r>
    </w:p>
    <w:p w14:paraId="434C0493" w14:textId="27EAAE37" w:rsidR="00D4593A" w:rsidRPr="005E456A" w:rsidRDefault="007C5322" w:rsidP="00E83F6A">
      <w:pPr>
        <w:spacing w:after="0" w:line="360" w:lineRule="auto"/>
        <w:jc w:val="both"/>
        <w:rPr>
          <w:rFonts w:ascii="Book Antiqua" w:hAnsi="Book Antiqua" w:cs="Arial"/>
          <w:sz w:val="24"/>
          <w:szCs w:val="24"/>
        </w:rPr>
      </w:pPr>
      <w:r w:rsidRPr="005E456A">
        <w:rPr>
          <w:rFonts w:ascii="Book Antiqua" w:hAnsi="Book Antiqua" w:cs="Arial"/>
          <w:sz w:val="24"/>
          <w:szCs w:val="24"/>
        </w:rPr>
        <w:t>M</w:t>
      </w:r>
      <w:r w:rsidR="00EF4FC1" w:rsidRPr="005E456A">
        <w:rPr>
          <w:rFonts w:ascii="Book Antiqua" w:hAnsi="Book Antiqua" w:cs="Arial"/>
          <w:sz w:val="24"/>
          <w:szCs w:val="24"/>
        </w:rPr>
        <w:t>ethylene blue is absor</w:t>
      </w:r>
      <w:r w:rsidR="00D4593A" w:rsidRPr="005E456A">
        <w:rPr>
          <w:rFonts w:ascii="Book Antiqua" w:hAnsi="Book Antiqua" w:cs="Arial"/>
          <w:sz w:val="24"/>
          <w:szCs w:val="24"/>
        </w:rPr>
        <w:t xml:space="preserve">bed by intestinal cells and thus </w:t>
      </w:r>
      <w:r w:rsidR="00EF4FC1" w:rsidRPr="005E456A">
        <w:rPr>
          <w:rFonts w:ascii="Book Antiqua" w:hAnsi="Book Antiqua" w:cs="Arial"/>
          <w:sz w:val="24"/>
          <w:szCs w:val="24"/>
        </w:rPr>
        <w:t>highlight</w:t>
      </w:r>
      <w:r w:rsidR="00D4593A" w:rsidRPr="005E456A">
        <w:rPr>
          <w:rFonts w:ascii="Book Antiqua" w:hAnsi="Book Antiqua" w:cs="Arial"/>
          <w:sz w:val="24"/>
          <w:szCs w:val="24"/>
        </w:rPr>
        <w:t>s gastric</w:t>
      </w:r>
      <w:r w:rsidR="00EF4FC1" w:rsidRPr="005E456A">
        <w:rPr>
          <w:rFonts w:ascii="Book Antiqua" w:hAnsi="Book Antiqua" w:cs="Arial"/>
          <w:sz w:val="24"/>
          <w:szCs w:val="24"/>
        </w:rPr>
        <w:t xml:space="preserve"> </w:t>
      </w:r>
      <w:r w:rsidRPr="005E456A">
        <w:rPr>
          <w:rFonts w:ascii="Book Antiqua" w:hAnsi="Book Antiqua" w:cs="Arial"/>
          <w:sz w:val="24"/>
          <w:szCs w:val="24"/>
        </w:rPr>
        <w:t>IM</w:t>
      </w:r>
      <w:r w:rsidR="00977475" w:rsidRPr="005E456A">
        <w:rPr>
          <w:rFonts w:ascii="Book Antiqua" w:hAnsi="Book Antiqua" w:cs="Arial"/>
          <w:sz w:val="24"/>
          <w:szCs w:val="24"/>
        </w:rPr>
        <w:t xml:space="preserve"> (Fig</w:t>
      </w:r>
      <w:r w:rsidR="008C25A7" w:rsidRPr="005E456A">
        <w:rPr>
          <w:rFonts w:ascii="Book Antiqua" w:hAnsi="Book Antiqua" w:cs="Arial"/>
          <w:sz w:val="24"/>
          <w:szCs w:val="24"/>
        </w:rPr>
        <w:t xml:space="preserve">ure </w:t>
      </w:r>
      <w:r w:rsidR="00115935">
        <w:rPr>
          <w:rFonts w:ascii="Book Antiqua" w:hAnsi="Book Antiqua" w:cs="Arial" w:hint="eastAsia"/>
          <w:sz w:val="24"/>
          <w:szCs w:val="24"/>
        </w:rPr>
        <w:t>3</w:t>
      </w:r>
      <w:r w:rsidR="00977475" w:rsidRPr="005E456A">
        <w:rPr>
          <w:rFonts w:ascii="Book Antiqua" w:hAnsi="Book Antiqua" w:cs="Arial"/>
          <w:sz w:val="24"/>
          <w:szCs w:val="24"/>
        </w:rPr>
        <w:t>)</w:t>
      </w:r>
      <w:r w:rsidR="00EF4FC1" w:rsidRPr="005E456A">
        <w:rPr>
          <w:rFonts w:ascii="Book Antiqua" w:hAnsi="Book Antiqua" w:cs="Arial"/>
          <w:sz w:val="24"/>
          <w:szCs w:val="24"/>
        </w:rPr>
        <w:t xml:space="preserve">. Dinis-Rebeiro </w:t>
      </w:r>
      <w:r w:rsidR="00EF4FC1" w:rsidRPr="00CE6019">
        <w:rPr>
          <w:rFonts w:ascii="Book Antiqua" w:hAnsi="Book Antiqua" w:cs="Arial"/>
          <w:i/>
          <w:sz w:val="24"/>
          <w:szCs w:val="24"/>
        </w:rPr>
        <w:t>et al</w:t>
      </w:r>
      <w:r w:rsidR="00CE6019" w:rsidRPr="005E456A">
        <w:rPr>
          <w:rFonts w:ascii="Book Antiqua" w:hAnsi="Book Antiqua" w:cs="Arial"/>
          <w:sz w:val="24"/>
          <w:szCs w:val="24"/>
          <w:vertAlign w:val="superscript"/>
        </w:rPr>
        <w:t>[26]</w:t>
      </w:r>
      <w:r w:rsidR="00EF4FC1" w:rsidRPr="005E456A">
        <w:rPr>
          <w:rFonts w:ascii="Book Antiqua" w:hAnsi="Book Antiqua" w:cs="Arial"/>
          <w:sz w:val="24"/>
          <w:szCs w:val="24"/>
        </w:rPr>
        <w:t xml:space="preserve"> examined and proposed a classification in 136 patients using </w:t>
      </w:r>
      <w:r w:rsidRPr="005E456A">
        <w:rPr>
          <w:rFonts w:ascii="Book Antiqua" w:hAnsi="Book Antiqua" w:cs="Arial"/>
          <w:sz w:val="24"/>
          <w:szCs w:val="24"/>
        </w:rPr>
        <w:t>ME</w:t>
      </w:r>
      <w:r w:rsidR="00EF4FC1" w:rsidRPr="005E456A">
        <w:rPr>
          <w:rFonts w:ascii="Book Antiqua" w:hAnsi="Book Antiqua" w:cs="Arial"/>
          <w:sz w:val="24"/>
          <w:szCs w:val="24"/>
        </w:rPr>
        <w:t xml:space="preserve"> after methylene blue (1%) spray and could identify </w:t>
      </w:r>
      <w:r w:rsidRPr="005E456A">
        <w:rPr>
          <w:rFonts w:ascii="Book Antiqua" w:hAnsi="Book Antiqua" w:cs="Arial"/>
          <w:sz w:val="24"/>
          <w:szCs w:val="24"/>
        </w:rPr>
        <w:t>IM</w:t>
      </w:r>
      <w:r w:rsidR="00EF4FC1" w:rsidRPr="005E456A">
        <w:rPr>
          <w:rFonts w:ascii="Book Antiqua" w:hAnsi="Book Antiqua" w:cs="Arial"/>
          <w:sz w:val="24"/>
          <w:szCs w:val="24"/>
        </w:rPr>
        <w:t xml:space="preserve"> and dyspl</w:t>
      </w:r>
      <w:r w:rsidR="00D4593A" w:rsidRPr="005E456A">
        <w:rPr>
          <w:rFonts w:ascii="Book Antiqua" w:hAnsi="Book Antiqua" w:cs="Arial"/>
          <w:sz w:val="24"/>
          <w:szCs w:val="24"/>
        </w:rPr>
        <w:t xml:space="preserve">asia with 84% and 83% accuracy </w:t>
      </w:r>
      <w:r w:rsidR="00EF4FC1" w:rsidRPr="005E456A">
        <w:rPr>
          <w:rFonts w:ascii="Book Antiqua" w:hAnsi="Book Antiqua" w:cs="Arial"/>
          <w:sz w:val="24"/>
          <w:szCs w:val="24"/>
        </w:rPr>
        <w:t xml:space="preserve">respectively. The findings were externally validated at another centre in Portugal in forty two patients with </w:t>
      </w:r>
      <w:r w:rsidR="00204CAE" w:rsidRPr="005E456A">
        <w:rPr>
          <w:rFonts w:ascii="Book Antiqua" w:hAnsi="Book Antiqua" w:cs="Arial"/>
          <w:sz w:val="24"/>
          <w:szCs w:val="24"/>
        </w:rPr>
        <w:t>AG</w:t>
      </w:r>
      <w:r w:rsidR="00EF4FC1" w:rsidRPr="005E456A">
        <w:rPr>
          <w:rFonts w:ascii="Book Antiqua" w:hAnsi="Book Antiqua" w:cs="Arial"/>
          <w:sz w:val="24"/>
          <w:szCs w:val="24"/>
        </w:rPr>
        <w:t xml:space="preserve"> with or without </w:t>
      </w:r>
      <w:r w:rsidRPr="005E456A">
        <w:rPr>
          <w:rFonts w:ascii="Book Antiqua" w:hAnsi="Book Antiqua" w:cs="Arial"/>
          <w:sz w:val="24"/>
          <w:szCs w:val="24"/>
        </w:rPr>
        <w:t>IM</w:t>
      </w:r>
      <w:r w:rsidR="00EF4FC1" w:rsidRPr="005E456A">
        <w:rPr>
          <w:rFonts w:ascii="Book Antiqua" w:hAnsi="Book Antiqua" w:cs="Arial"/>
          <w:sz w:val="24"/>
          <w:szCs w:val="24"/>
        </w:rPr>
        <w:t>, and the results showed excellent reproducibility for the classification</w:t>
      </w:r>
      <w:r w:rsidR="00085B0E" w:rsidRPr="005E456A">
        <w:rPr>
          <w:rFonts w:ascii="Book Antiqua" w:hAnsi="Book Antiqua" w:cs="Arial"/>
          <w:sz w:val="24"/>
          <w:szCs w:val="24"/>
          <w:vertAlign w:val="superscript"/>
        </w:rPr>
        <w:t>[</w:t>
      </w:r>
      <w:r w:rsidR="00AB626B" w:rsidRPr="005E456A">
        <w:rPr>
          <w:rFonts w:ascii="Book Antiqua" w:hAnsi="Book Antiqua" w:cs="Arial"/>
          <w:sz w:val="24"/>
          <w:szCs w:val="24"/>
          <w:vertAlign w:val="superscript"/>
        </w:rPr>
        <w:t>27</w:t>
      </w:r>
      <w:r w:rsidR="00085B0E" w:rsidRPr="005E456A">
        <w:rPr>
          <w:rFonts w:ascii="Book Antiqua" w:hAnsi="Book Antiqua" w:cs="Arial"/>
          <w:sz w:val="24"/>
          <w:szCs w:val="24"/>
          <w:vertAlign w:val="superscript"/>
        </w:rPr>
        <w:t>]</w:t>
      </w:r>
      <w:r w:rsidR="00EF4FC1" w:rsidRPr="005E456A">
        <w:rPr>
          <w:rFonts w:ascii="Book Antiqua" w:hAnsi="Book Antiqua" w:cs="Arial"/>
          <w:sz w:val="24"/>
          <w:szCs w:val="24"/>
        </w:rPr>
        <w:t>.</w:t>
      </w:r>
      <w:r w:rsidR="00D04643">
        <w:rPr>
          <w:rFonts w:ascii="Book Antiqua" w:hAnsi="Book Antiqua" w:cs="Arial" w:hint="eastAsia"/>
          <w:sz w:val="24"/>
          <w:szCs w:val="24"/>
        </w:rPr>
        <w:t xml:space="preserve"> </w:t>
      </w:r>
      <w:r w:rsidR="0088309F" w:rsidRPr="005E456A">
        <w:rPr>
          <w:rFonts w:ascii="Book Antiqua" w:hAnsi="Book Antiqua" w:cs="Arial"/>
          <w:sz w:val="24"/>
          <w:szCs w:val="24"/>
        </w:rPr>
        <w:t xml:space="preserve">In a tandem study with only thirty-three patients, </w:t>
      </w:r>
      <w:r w:rsidR="00924D82" w:rsidRPr="005E456A">
        <w:rPr>
          <w:rFonts w:ascii="Book Antiqua" w:hAnsi="Book Antiqua" w:cs="Arial"/>
          <w:sz w:val="24"/>
          <w:szCs w:val="24"/>
        </w:rPr>
        <w:t xml:space="preserve">Taghavi </w:t>
      </w:r>
      <w:r w:rsidR="00924D82" w:rsidRPr="00AB6DAB">
        <w:rPr>
          <w:rFonts w:ascii="Book Antiqua" w:hAnsi="Book Antiqua" w:cs="Arial"/>
          <w:i/>
          <w:sz w:val="24"/>
          <w:szCs w:val="24"/>
        </w:rPr>
        <w:t>et al</w:t>
      </w:r>
      <w:r w:rsidR="00AB6DAB" w:rsidRPr="005E456A">
        <w:rPr>
          <w:rFonts w:ascii="Book Antiqua" w:hAnsi="Book Antiqua" w:cs="Arial"/>
          <w:sz w:val="24"/>
          <w:szCs w:val="24"/>
          <w:vertAlign w:val="superscript"/>
        </w:rPr>
        <w:t>[28]</w:t>
      </w:r>
      <w:r w:rsidR="00924D82" w:rsidRPr="005E456A">
        <w:rPr>
          <w:rFonts w:ascii="Book Antiqua" w:hAnsi="Book Antiqua" w:cs="Arial"/>
          <w:sz w:val="24"/>
          <w:szCs w:val="24"/>
        </w:rPr>
        <w:t xml:space="preserve"> compared conventional endoscopy </w:t>
      </w:r>
      <w:r w:rsidRPr="005E456A">
        <w:rPr>
          <w:rFonts w:ascii="Book Antiqua" w:hAnsi="Book Antiqua" w:cs="Arial"/>
          <w:sz w:val="24"/>
          <w:szCs w:val="24"/>
        </w:rPr>
        <w:t xml:space="preserve">against </w:t>
      </w:r>
      <w:r w:rsidR="00D4593A" w:rsidRPr="005E456A">
        <w:rPr>
          <w:rFonts w:ascii="Book Antiqua" w:hAnsi="Book Antiqua" w:cs="Arial"/>
          <w:sz w:val="24"/>
          <w:szCs w:val="24"/>
        </w:rPr>
        <w:t>CE</w:t>
      </w:r>
      <w:r w:rsidR="00EF4FC1" w:rsidRPr="005E456A">
        <w:rPr>
          <w:rFonts w:ascii="Book Antiqua" w:hAnsi="Book Antiqua" w:cs="Arial"/>
          <w:sz w:val="24"/>
          <w:szCs w:val="24"/>
        </w:rPr>
        <w:t xml:space="preserve"> with methylene blue</w:t>
      </w:r>
      <w:r w:rsidR="00D4593A" w:rsidRPr="005E456A">
        <w:rPr>
          <w:rFonts w:ascii="Book Antiqua" w:hAnsi="Book Antiqua" w:cs="Arial"/>
          <w:sz w:val="24"/>
          <w:szCs w:val="24"/>
        </w:rPr>
        <w:t>. The CE</w:t>
      </w:r>
      <w:r w:rsidR="00924D82" w:rsidRPr="005E456A">
        <w:rPr>
          <w:rFonts w:ascii="Book Antiqua" w:hAnsi="Book Antiqua" w:cs="Arial"/>
          <w:sz w:val="24"/>
          <w:szCs w:val="24"/>
        </w:rPr>
        <w:t xml:space="preserve"> group </w:t>
      </w:r>
      <w:r w:rsidR="00EF4FC1" w:rsidRPr="005E456A">
        <w:rPr>
          <w:rFonts w:ascii="Book Antiqua" w:hAnsi="Book Antiqua" w:cs="Arial"/>
          <w:sz w:val="24"/>
          <w:szCs w:val="24"/>
        </w:rPr>
        <w:t xml:space="preserve">yielded more </w:t>
      </w:r>
      <w:r w:rsidRPr="005E456A">
        <w:rPr>
          <w:rFonts w:ascii="Book Antiqua" w:hAnsi="Book Antiqua" w:cs="Arial"/>
          <w:sz w:val="24"/>
          <w:szCs w:val="24"/>
        </w:rPr>
        <w:t>IM</w:t>
      </w:r>
      <w:r w:rsidR="00D4593A" w:rsidRPr="005E456A">
        <w:rPr>
          <w:rFonts w:ascii="Book Antiqua" w:hAnsi="Book Antiqua" w:cs="Arial"/>
          <w:sz w:val="24"/>
          <w:szCs w:val="24"/>
        </w:rPr>
        <w:t xml:space="preserve"> lesions </w:t>
      </w:r>
      <w:r w:rsidR="00EF4FC1" w:rsidRPr="005E456A">
        <w:rPr>
          <w:rFonts w:ascii="Book Antiqua" w:hAnsi="Book Antiqua" w:cs="Arial"/>
          <w:sz w:val="24"/>
          <w:szCs w:val="24"/>
        </w:rPr>
        <w:t xml:space="preserve">compared to </w:t>
      </w:r>
      <w:r w:rsidR="00924D82" w:rsidRPr="005E456A">
        <w:rPr>
          <w:rFonts w:ascii="Book Antiqua" w:hAnsi="Book Antiqua" w:cs="Arial"/>
          <w:sz w:val="24"/>
          <w:szCs w:val="24"/>
        </w:rPr>
        <w:t>conventional endoscopy</w:t>
      </w:r>
      <w:r w:rsidR="00D4593A" w:rsidRPr="005E456A">
        <w:rPr>
          <w:rFonts w:ascii="Book Antiqua" w:hAnsi="Book Antiqua" w:cs="Arial"/>
          <w:sz w:val="24"/>
          <w:szCs w:val="24"/>
        </w:rPr>
        <w:t>.</w:t>
      </w:r>
      <w:r w:rsidR="00D04643">
        <w:rPr>
          <w:rFonts w:ascii="Book Antiqua" w:hAnsi="Book Antiqua" w:cs="Arial" w:hint="eastAsia"/>
          <w:sz w:val="24"/>
          <w:szCs w:val="24"/>
        </w:rPr>
        <w:t xml:space="preserve"> </w:t>
      </w:r>
    </w:p>
    <w:p w14:paraId="329D5E03" w14:textId="77777777" w:rsidR="007822B3" w:rsidRPr="005E456A" w:rsidRDefault="007822B3" w:rsidP="005E456A">
      <w:pPr>
        <w:spacing w:after="0" w:line="360" w:lineRule="auto"/>
        <w:jc w:val="both"/>
        <w:rPr>
          <w:rFonts w:ascii="Book Antiqua" w:hAnsi="Book Antiqua" w:cs="Arial"/>
          <w:b/>
          <w:sz w:val="24"/>
          <w:szCs w:val="24"/>
        </w:rPr>
      </w:pPr>
    </w:p>
    <w:p w14:paraId="0C235D79" w14:textId="628D3A12" w:rsidR="00EF4FC1" w:rsidRPr="005E456A" w:rsidRDefault="00CC2C58" w:rsidP="005E456A">
      <w:pPr>
        <w:spacing w:after="0" w:line="360" w:lineRule="auto"/>
        <w:jc w:val="both"/>
        <w:rPr>
          <w:rFonts w:ascii="Book Antiqua" w:hAnsi="Book Antiqua" w:cs="Arial"/>
          <w:b/>
          <w:i/>
          <w:sz w:val="24"/>
          <w:szCs w:val="24"/>
        </w:rPr>
      </w:pPr>
      <w:r w:rsidRPr="005E456A">
        <w:rPr>
          <w:rFonts w:ascii="Book Antiqua" w:hAnsi="Book Antiqua" w:cs="Arial"/>
          <w:b/>
          <w:i/>
          <w:sz w:val="24"/>
          <w:szCs w:val="24"/>
        </w:rPr>
        <w:lastRenderedPageBreak/>
        <w:t xml:space="preserve">Use of </w:t>
      </w:r>
      <w:r w:rsidR="00CB5487" w:rsidRPr="005E456A">
        <w:rPr>
          <w:rFonts w:ascii="Book Antiqua" w:hAnsi="Book Antiqua" w:cs="Arial"/>
          <w:b/>
          <w:i/>
          <w:sz w:val="24"/>
          <w:szCs w:val="24"/>
        </w:rPr>
        <w:t>h</w:t>
      </w:r>
      <w:r w:rsidR="00C25AE9" w:rsidRPr="005E456A">
        <w:rPr>
          <w:rFonts w:ascii="Book Antiqua" w:hAnsi="Book Antiqua" w:cs="Arial"/>
          <w:b/>
          <w:i/>
          <w:sz w:val="24"/>
          <w:szCs w:val="24"/>
        </w:rPr>
        <w:t>aematoxylin</w:t>
      </w:r>
      <w:r w:rsidRPr="005E456A">
        <w:rPr>
          <w:rFonts w:ascii="Book Antiqua" w:hAnsi="Book Antiqua" w:cs="Arial"/>
          <w:b/>
          <w:i/>
          <w:sz w:val="24"/>
          <w:szCs w:val="24"/>
        </w:rPr>
        <w:t xml:space="preserve"> in stomach</w:t>
      </w:r>
    </w:p>
    <w:p w14:paraId="04EDA630" w14:textId="70271F5A" w:rsidR="00A57972" w:rsidRPr="005E456A" w:rsidRDefault="008537EA" w:rsidP="00CB5487">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t>Haematoxylin</w:t>
      </w:r>
      <w:r w:rsidR="00EF4FC1" w:rsidRPr="005E456A">
        <w:rPr>
          <w:rFonts w:ascii="Book Antiqua" w:hAnsi="Book Antiqua" w:cs="Arial"/>
          <w:sz w:val="24"/>
          <w:szCs w:val="24"/>
        </w:rPr>
        <w:t xml:space="preserve"> is a common stain used in histological assessment since it stains the nuclei of cells. To date, there is only a single study utilizing </w:t>
      </w:r>
      <w:r w:rsidRPr="005E456A">
        <w:rPr>
          <w:rFonts w:ascii="Book Antiqua" w:hAnsi="Book Antiqua" w:cs="Arial"/>
          <w:sz w:val="24"/>
          <w:szCs w:val="24"/>
        </w:rPr>
        <w:t>haematoxylin</w:t>
      </w:r>
      <w:r w:rsidR="00D4593A" w:rsidRPr="005E456A">
        <w:rPr>
          <w:rFonts w:ascii="Book Antiqua" w:hAnsi="Book Antiqua" w:cs="Arial"/>
          <w:sz w:val="24"/>
          <w:szCs w:val="24"/>
        </w:rPr>
        <w:t xml:space="preserve"> as CE</w:t>
      </w:r>
      <w:r w:rsidR="00EF4FC1" w:rsidRPr="005E456A">
        <w:rPr>
          <w:rFonts w:ascii="Book Antiqua" w:hAnsi="Book Antiqua" w:cs="Arial"/>
          <w:sz w:val="24"/>
          <w:szCs w:val="24"/>
        </w:rPr>
        <w:t xml:space="preserve"> on </w:t>
      </w:r>
      <w:r w:rsidR="00F901BD" w:rsidRPr="005E456A">
        <w:rPr>
          <w:rFonts w:ascii="Book Antiqua" w:hAnsi="Book Antiqua" w:cs="Arial"/>
          <w:sz w:val="24"/>
          <w:szCs w:val="24"/>
        </w:rPr>
        <w:t xml:space="preserve">a </w:t>
      </w:r>
      <w:r w:rsidRPr="005E456A">
        <w:rPr>
          <w:rFonts w:ascii="Book Antiqua" w:hAnsi="Book Antiqua" w:cs="Arial"/>
          <w:sz w:val="24"/>
          <w:szCs w:val="24"/>
        </w:rPr>
        <w:t>heterogeneous</w:t>
      </w:r>
      <w:r w:rsidR="00F901BD" w:rsidRPr="005E456A">
        <w:rPr>
          <w:rFonts w:ascii="Book Antiqua" w:hAnsi="Book Antiqua" w:cs="Arial"/>
          <w:sz w:val="24"/>
          <w:szCs w:val="24"/>
        </w:rPr>
        <w:t xml:space="preserve"> sample of gastric abnormalities</w:t>
      </w:r>
      <w:r w:rsidR="00AB626B" w:rsidRPr="005E456A">
        <w:rPr>
          <w:rFonts w:ascii="Book Antiqua" w:hAnsi="Book Antiqua" w:cs="Arial"/>
          <w:sz w:val="24"/>
          <w:szCs w:val="24"/>
          <w:vertAlign w:val="superscript"/>
        </w:rPr>
        <w:t>[29</w:t>
      </w:r>
      <w:r w:rsidRPr="005E456A">
        <w:rPr>
          <w:rFonts w:ascii="Book Antiqua" w:hAnsi="Book Antiqua" w:cs="Arial"/>
          <w:sz w:val="24"/>
          <w:szCs w:val="24"/>
          <w:vertAlign w:val="superscript"/>
        </w:rPr>
        <w:t>]</w:t>
      </w:r>
      <w:r w:rsidR="00EF4FC1" w:rsidRPr="005E456A">
        <w:rPr>
          <w:rFonts w:ascii="Book Antiqua" w:hAnsi="Book Antiqua" w:cs="Arial"/>
          <w:sz w:val="24"/>
          <w:szCs w:val="24"/>
        </w:rPr>
        <w:t>. Although high sensitivity</w:t>
      </w:r>
      <w:r w:rsidR="00F901BD" w:rsidRPr="005E456A">
        <w:rPr>
          <w:rFonts w:ascii="Book Antiqua" w:hAnsi="Book Antiqua" w:cs="Arial"/>
          <w:sz w:val="24"/>
          <w:szCs w:val="24"/>
        </w:rPr>
        <w:t xml:space="preserve"> (92.9%)</w:t>
      </w:r>
      <w:r w:rsidR="00EF4FC1" w:rsidRPr="005E456A">
        <w:rPr>
          <w:rFonts w:ascii="Book Antiqua" w:hAnsi="Book Antiqua" w:cs="Arial"/>
          <w:sz w:val="24"/>
          <w:szCs w:val="24"/>
        </w:rPr>
        <w:t xml:space="preserve"> and specificity </w:t>
      </w:r>
      <w:r w:rsidR="00F901BD" w:rsidRPr="005E456A">
        <w:rPr>
          <w:rFonts w:ascii="Book Antiqua" w:hAnsi="Book Antiqua" w:cs="Arial"/>
          <w:sz w:val="24"/>
          <w:szCs w:val="24"/>
        </w:rPr>
        <w:t xml:space="preserve">(89.3%) </w:t>
      </w:r>
      <w:r w:rsidR="00EF4FC1" w:rsidRPr="005E456A">
        <w:rPr>
          <w:rFonts w:ascii="Book Antiqua" w:hAnsi="Book Antiqua" w:cs="Arial"/>
          <w:sz w:val="24"/>
          <w:szCs w:val="24"/>
        </w:rPr>
        <w:t>for diagnosing</w:t>
      </w:r>
      <w:r w:rsidR="00F901BD" w:rsidRPr="005E456A">
        <w:rPr>
          <w:rFonts w:ascii="Book Antiqua" w:hAnsi="Book Antiqua" w:cs="Arial"/>
          <w:sz w:val="24"/>
          <w:szCs w:val="24"/>
        </w:rPr>
        <w:t xml:space="preserve"> gastric neoplasia </w:t>
      </w:r>
      <w:r w:rsidR="00EF4FC1" w:rsidRPr="005E456A">
        <w:rPr>
          <w:rFonts w:ascii="Book Antiqua" w:hAnsi="Book Antiqua" w:cs="Arial"/>
          <w:sz w:val="24"/>
          <w:szCs w:val="24"/>
        </w:rPr>
        <w:t xml:space="preserve">were reported, there were only three cases </w:t>
      </w:r>
      <w:r w:rsidR="00B66F01" w:rsidRPr="005E456A">
        <w:rPr>
          <w:rFonts w:ascii="Book Antiqua" w:hAnsi="Book Antiqua" w:cs="Arial"/>
          <w:sz w:val="24"/>
          <w:szCs w:val="24"/>
        </w:rPr>
        <w:t xml:space="preserve">of </w:t>
      </w:r>
      <w:r w:rsidR="00EF4FC1" w:rsidRPr="005E456A">
        <w:rPr>
          <w:rFonts w:ascii="Book Antiqua" w:hAnsi="Book Antiqua" w:cs="Arial"/>
          <w:sz w:val="24"/>
          <w:szCs w:val="24"/>
        </w:rPr>
        <w:t xml:space="preserve">cancer. </w:t>
      </w:r>
    </w:p>
    <w:p w14:paraId="2D5D5E7B" w14:textId="77777777" w:rsidR="007822B3" w:rsidRPr="005E456A" w:rsidRDefault="007822B3" w:rsidP="005E456A">
      <w:pPr>
        <w:spacing w:after="0" w:line="360" w:lineRule="auto"/>
        <w:jc w:val="both"/>
        <w:rPr>
          <w:rFonts w:ascii="Book Antiqua" w:hAnsi="Book Antiqua" w:cs="Arial"/>
          <w:b/>
          <w:sz w:val="24"/>
          <w:szCs w:val="24"/>
        </w:rPr>
      </w:pPr>
    </w:p>
    <w:p w14:paraId="2C0D310B" w14:textId="110D3FFC" w:rsidR="00EF4FC1" w:rsidRPr="005E456A" w:rsidRDefault="00F3102E" w:rsidP="005E456A">
      <w:pPr>
        <w:spacing w:after="0" w:line="360" w:lineRule="auto"/>
        <w:jc w:val="both"/>
        <w:rPr>
          <w:rFonts w:ascii="Book Antiqua" w:hAnsi="Book Antiqua" w:cs="Arial"/>
          <w:b/>
          <w:i/>
          <w:sz w:val="24"/>
          <w:szCs w:val="24"/>
        </w:rPr>
      </w:pPr>
      <w:r w:rsidRPr="005E456A">
        <w:rPr>
          <w:rFonts w:ascii="Book Antiqua" w:hAnsi="Book Antiqua" w:cs="Arial"/>
          <w:b/>
          <w:i/>
          <w:sz w:val="24"/>
          <w:szCs w:val="24"/>
        </w:rPr>
        <w:t xml:space="preserve">Use of </w:t>
      </w:r>
      <w:r w:rsidR="00CB5487">
        <w:rPr>
          <w:rFonts w:ascii="Book Antiqua" w:hAnsi="Book Antiqua" w:cs="Arial"/>
          <w:b/>
          <w:i/>
          <w:sz w:val="24"/>
          <w:szCs w:val="24"/>
        </w:rPr>
        <w:t>“</w:t>
      </w:r>
      <w:r w:rsidR="00CB5487" w:rsidRPr="005E456A">
        <w:rPr>
          <w:rFonts w:ascii="Book Antiqua" w:hAnsi="Book Antiqua" w:cs="Arial"/>
          <w:b/>
          <w:i/>
          <w:sz w:val="24"/>
          <w:szCs w:val="24"/>
        </w:rPr>
        <w:t xml:space="preserve">acetic acid plus indigo </w:t>
      </w:r>
      <w:r w:rsidRPr="005E456A">
        <w:rPr>
          <w:rFonts w:ascii="Book Antiqua" w:hAnsi="Book Antiqua" w:cs="Arial"/>
          <w:b/>
          <w:i/>
          <w:sz w:val="24"/>
          <w:szCs w:val="24"/>
        </w:rPr>
        <w:t>carmine</w:t>
      </w:r>
      <w:r w:rsidR="00CB5487">
        <w:rPr>
          <w:rFonts w:ascii="Book Antiqua" w:hAnsi="Book Antiqua" w:cs="Arial"/>
          <w:b/>
          <w:i/>
          <w:sz w:val="24"/>
          <w:szCs w:val="24"/>
        </w:rPr>
        <w:t>”</w:t>
      </w:r>
      <w:r w:rsidRPr="005E456A">
        <w:rPr>
          <w:rFonts w:ascii="Book Antiqua" w:hAnsi="Book Antiqua" w:cs="Arial"/>
          <w:b/>
          <w:i/>
          <w:sz w:val="24"/>
          <w:szCs w:val="24"/>
        </w:rPr>
        <w:t xml:space="preserve"> in stomach</w:t>
      </w:r>
    </w:p>
    <w:p w14:paraId="111F2FEA" w14:textId="703303D6" w:rsidR="00363D9D" w:rsidRPr="005E456A" w:rsidRDefault="00B828F5" w:rsidP="00CB5487">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t>Acetic acid whitens the non-cancerous gastric mucosal epithelial cell while the cancerous cells remain unstained. As detailed above, multiple studies have utilized acetic acid with ME in technique known EME.</w:t>
      </w:r>
      <w:r w:rsidR="00D04643">
        <w:rPr>
          <w:rFonts w:ascii="Book Antiqua" w:hAnsi="Book Antiqua" w:cs="Arial" w:hint="eastAsia"/>
          <w:sz w:val="24"/>
          <w:szCs w:val="24"/>
        </w:rPr>
        <w:t xml:space="preserve"> </w:t>
      </w:r>
      <w:r w:rsidRPr="005E456A">
        <w:rPr>
          <w:rFonts w:ascii="Book Antiqua" w:hAnsi="Book Antiqua" w:cs="Arial"/>
          <w:sz w:val="24"/>
          <w:szCs w:val="24"/>
        </w:rPr>
        <w:t xml:space="preserve">However, </w:t>
      </w:r>
      <w:r w:rsidR="00B66F01" w:rsidRPr="005E456A">
        <w:rPr>
          <w:rFonts w:ascii="Book Antiqua" w:hAnsi="Book Antiqua" w:cs="Arial"/>
          <w:sz w:val="24"/>
          <w:szCs w:val="24"/>
        </w:rPr>
        <w:t xml:space="preserve">some </w:t>
      </w:r>
      <w:r w:rsidRPr="005E456A">
        <w:rPr>
          <w:rFonts w:ascii="Book Antiqua" w:hAnsi="Book Antiqua" w:cs="Arial"/>
          <w:sz w:val="24"/>
          <w:szCs w:val="24"/>
        </w:rPr>
        <w:t>authors believe that the use of ME may be cumbersome for neoplastic lesions</w:t>
      </w:r>
      <w:r w:rsidR="008A12F8" w:rsidRPr="005E456A">
        <w:rPr>
          <w:rFonts w:ascii="Book Antiqua" w:hAnsi="Book Antiqua" w:cs="Arial"/>
          <w:sz w:val="24"/>
          <w:szCs w:val="24"/>
        </w:rPr>
        <w:t xml:space="preserve"> (especially if lesion is large or located at a difficult position</w:t>
      </w:r>
      <w:r w:rsidRPr="005E456A">
        <w:rPr>
          <w:rFonts w:ascii="Book Antiqua" w:hAnsi="Book Antiqua" w:cs="Arial"/>
          <w:sz w:val="24"/>
          <w:szCs w:val="24"/>
        </w:rPr>
        <w:t xml:space="preserve">). Therefore, </w:t>
      </w:r>
      <w:r w:rsidR="00D4593A" w:rsidRPr="005E456A">
        <w:rPr>
          <w:rFonts w:ascii="Book Antiqua" w:hAnsi="Book Antiqua" w:cs="Arial"/>
          <w:sz w:val="24"/>
          <w:szCs w:val="24"/>
        </w:rPr>
        <w:t xml:space="preserve">CE using </w:t>
      </w:r>
      <w:r w:rsidRPr="005E456A">
        <w:rPr>
          <w:rFonts w:ascii="Book Antiqua" w:hAnsi="Book Antiqua" w:cs="Arial"/>
          <w:sz w:val="24"/>
          <w:szCs w:val="24"/>
        </w:rPr>
        <w:t xml:space="preserve">a </w:t>
      </w:r>
      <w:r w:rsidR="007C2F8E" w:rsidRPr="005E456A">
        <w:rPr>
          <w:rFonts w:ascii="Book Antiqua" w:hAnsi="Book Antiqua" w:cs="Arial"/>
          <w:sz w:val="24"/>
          <w:szCs w:val="24"/>
        </w:rPr>
        <w:t xml:space="preserve">sequential </w:t>
      </w:r>
      <w:r w:rsidRPr="005E456A">
        <w:rPr>
          <w:rFonts w:ascii="Book Antiqua" w:hAnsi="Book Antiqua" w:cs="Arial"/>
          <w:sz w:val="24"/>
          <w:szCs w:val="24"/>
        </w:rPr>
        <w:t xml:space="preserve">combination of acetic acid </w:t>
      </w:r>
      <w:r w:rsidR="007C2F8E" w:rsidRPr="005E456A">
        <w:rPr>
          <w:rFonts w:ascii="Book Antiqua" w:hAnsi="Book Antiqua" w:cs="Arial"/>
          <w:sz w:val="24"/>
          <w:szCs w:val="24"/>
        </w:rPr>
        <w:t xml:space="preserve">spray followed by another spray </w:t>
      </w:r>
      <w:r w:rsidRPr="005E456A">
        <w:rPr>
          <w:rFonts w:ascii="Book Antiqua" w:hAnsi="Book Antiqua" w:cs="Arial"/>
          <w:sz w:val="24"/>
          <w:szCs w:val="24"/>
        </w:rPr>
        <w:t xml:space="preserve">with indigo carmine (AI) </w:t>
      </w:r>
      <w:r w:rsidR="00B66F01" w:rsidRPr="005E456A">
        <w:rPr>
          <w:rFonts w:ascii="Book Antiqua" w:hAnsi="Book Antiqua" w:cs="Arial"/>
          <w:sz w:val="24"/>
          <w:szCs w:val="24"/>
        </w:rPr>
        <w:t xml:space="preserve">has been </w:t>
      </w:r>
      <w:r w:rsidRPr="005E456A">
        <w:rPr>
          <w:rFonts w:ascii="Book Antiqua" w:hAnsi="Book Antiqua" w:cs="Arial"/>
          <w:sz w:val="24"/>
          <w:szCs w:val="24"/>
        </w:rPr>
        <w:t xml:space="preserve">proposed </w:t>
      </w:r>
      <w:r w:rsidR="008A12F8" w:rsidRPr="005E456A">
        <w:rPr>
          <w:rFonts w:ascii="Book Antiqua" w:hAnsi="Book Antiqua" w:cs="Arial"/>
          <w:sz w:val="24"/>
          <w:szCs w:val="24"/>
        </w:rPr>
        <w:t xml:space="preserve">for </w:t>
      </w:r>
      <w:r w:rsidR="00B66F01" w:rsidRPr="005E456A">
        <w:rPr>
          <w:rFonts w:ascii="Book Antiqua" w:hAnsi="Book Antiqua" w:cs="Arial"/>
          <w:sz w:val="24"/>
          <w:szCs w:val="24"/>
        </w:rPr>
        <w:t xml:space="preserve">examination </w:t>
      </w:r>
      <w:r w:rsidR="008A12F8" w:rsidRPr="005E456A">
        <w:rPr>
          <w:rFonts w:ascii="Book Antiqua" w:hAnsi="Book Antiqua" w:cs="Arial"/>
          <w:sz w:val="24"/>
          <w:szCs w:val="24"/>
        </w:rPr>
        <w:t>of a</w:t>
      </w:r>
      <w:r w:rsidRPr="005E456A">
        <w:rPr>
          <w:rFonts w:ascii="Book Antiqua" w:hAnsi="Book Antiqua" w:cs="Arial"/>
          <w:sz w:val="24"/>
          <w:szCs w:val="24"/>
        </w:rPr>
        <w:t xml:space="preserve"> mucosal neoplastic lesion. </w:t>
      </w:r>
      <w:r w:rsidR="00EF4FC1" w:rsidRPr="005E456A">
        <w:rPr>
          <w:rFonts w:ascii="Book Antiqua" w:hAnsi="Book Antiqua" w:cs="Arial"/>
          <w:sz w:val="24"/>
          <w:szCs w:val="24"/>
        </w:rPr>
        <w:t xml:space="preserve">Multiple studies have shown </w:t>
      </w:r>
      <w:r w:rsidR="00B66F01" w:rsidRPr="005E456A">
        <w:rPr>
          <w:rFonts w:ascii="Book Antiqua" w:hAnsi="Book Antiqua" w:cs="Arial"/>
          <w:sz w:val="24"/>
          <w:szCs w:val="24"/>
        </w:rPr>
        <w:t xml:space="preserve">the </w:t>
      </w:r>
      <w:r w:rsidR="00D4593A" w:rsidRPr="005E456A">
        <w:rPr>
          <w:rFonts w:ascii="Book Antiqua" w:hAnsi="Book Antiqua" w:cs="Arial"/>
          <w:sz w:val="24"/>
          <w:szCs w:val="24"/>
        </w:rPr>
        <w:t xml:space="preserve">efficacy of </w:t>
      </w:r>
      <w:r w:rsidR="00B30A1C" w:rsidRPr="005E456A">
        <w:rPr>
          <w:rFonts w:ascii="Book Antiqua" w:hAnsi="Book Antiqua" w:cs="Arial"/>
          <w:sz w:val="24"/>
          <w:szCs w:val="24"/>
        </w:rPr>
        <w:t>AI</w:t>
      </w:r>
      <w:r w:rsidR="00EF4FC1" w:rsidRPr="005E456A">
        <w:rPr>
          <w:rFonts w:ascii="Book Antiqua" w:hAnsi="Book Antiqua" w:cs="Arial"/>
          <w:sz w:val="24"/>
          <w:szCs w:val="24"/>
        </w:rPr>
        <w:t xml:space="preserve"> for delineating the margins of </w:t>
      </w:r>
      <w:r w:rsidR="00B66F01" w:rsidRPr="005E456A">
        <w:rPr>
          <w:rFonts w:ascii="Book Antiqua" w:hAnsi="Book Antiqua" w:cs="Arial"/>
          <w:sz w:val="24"/>
          <w:szCs w:val="24"/>
        </w:rPr>
        <w:t>EGC</w:t>
      </w:r>
      <w:r w:rsidR="00EF4FC1" w:rsidRPr="005E456A">
        <w:rPr>
          <w:rFonts w:ascii="Book Antiqua" w:hAnsi="Book Antiqua" w:cs="Arial"/>
          <w:sz w:val="24"/>
          <w:szCs w:val="24"/>
        </w:rPr>
        <w:t xml:space="preserve"> before endoscopic resection</w:t>
      </w:r>
      <w:r w:rsidR="00B30A1C" w:rsidRPr="005E456A">
        <w:rPr>
          <w:rFonts w:ascii="Book Antiqua" w:hAnsi="Book Antiqua" w:cs="Arial"/>
          <w:sz w:val="24"/>
          <w:szCs w:val="24"/>
        </w:rPr>
        <w:t xml:space="preserve">. In the first published study on AI use with </w:t>
      </w:r>
      <w:r w:rsidR="00EF4FC1" w:rsidRPr="005E456A">
        <w:rPr>
          <w:rFonts w:ascii="Book Antiqua" w:hAnsi="Book Antiqua" w:cs="Arial"/>
          <w:sz w:val="24"/>
          <w:szCs w:val="24"/>
        </w:rPr>
        <w:t xml:space="preserve">114 patients, </w:t>
      </w:r>
      <w:r w:rsidR="00B30A1C" w:rsidRPr="005E456A">
        <w:rPr>
          <w:rFonts w:ascii="Book Antiqua" w:hAnsi="Book Antiqua" w:cs="Arial"/>
          <w:sz w:val="24"/>
          <w:szCs w:val="24"/>
        </w:rPr>
        <w:t>AI</w:t>
      </w:r>
      <w:r w:rsidR="00EF4FC1" w:rsidRPr="005E456A">
        <w:rPr>
          <w:rFonts w:ascii="Book Antiqua" w:hAnsi="Book Antiqua" w:cs="Arial"/>
          <w:sz w:val="24"/>
          <w:szCs w:val="24"/>
        </w:rPr>
        <w:t xml:space="preserve"> was much more effective in delineating the lateral spread of cancers as comp</w:t>
      </w:r>
      <w:r w:rsidR="00D04643">
        <w:rPr>
          <w:rFonts w:ascii="Book Antiqua" w:hAnsi="Book Antiqua" w:cs="Arial"/>
          <w:sz w:val="24"/>
          <w:szCs w:val="24"/>
        </w:rPr>
        <w:t>ared to indigo carmine alone</w:t>
      </w:r>
      <w:r w:rsidR="00B30A1C" w:rsidRPr="005E456A">
        <w:rPr>
          <w:rFonts w:ascii="Book Antiqua" w:hAnsi="Book Antiqua" w:cs="Arial"/>
          <w:sz w:val="24"/>
          <w:szCs w:val="24"/>
          <w:vertAlign w:val="superscript"/>
        </w:rPr>
        <w:t>[3</w:t>
      </w:r>
      <w:r w:rsidR="00AB626B" w:rsidRPr="005E456A">
        <w:rPr>
          <w:rFonts w:ascii="Book Antiqua" w:hAnsi="Book Antiqua" w:cs="Arial"/>
          <w:sz w:val="24"/>
          <w:szCs w:val="24"/>
          <w:vertAlign w:val="superscript"/>
        </w:rPr>
        <w:t>0</w:t>
      </w:r>
      <w:r w:rsidR="00B30A1C" w:rsidRPr="005E456A">
        <w:rPr>
          <w:rFonts w:ascii="Book Antiqua" w:hAnsi="Book Antiqua" w:cs="Arial"/>
          <w:sz w:val="24"/>
          <w:szCs w:val="24"/>
          <w:vertAlign w:val="superscript"/>
        </w:rPr>
        <w:t>]</w:t>
      </w:r>
      <w:r w:rsidR="00EF4FC1" w:rsidRPr="005E456A">
        <w:rPr>
          <w:rFonts w:ascii="Book Antiqua" w:hAnsi="Book Antiqua" w:cs="Arial"/>
          <w:sz w:val="24"/>
          <w:szCs w:val="24"/>
        </w:rPr>
        <w:t xml:space="preserve">. </w:t>
      </w:r>
      <w:r w:rsidR="00B66F01" w:rsidRPr="005E456A">
        <w:rPr>
          <w:rFonts w:ascii="Book Antiqua" w:hAnsi="Book Antiqua" w:cs="Arial"/>
          <w:sz w:val="24"/>
          <w:szCs w:val="24"/>
        </w:rPr>
        <w:t>I</w:t>
      </w:r>
      <w:r w:rsidR="00B30A1C" w:rsidRPr="005E456A">
        <w:rPr>
          <w:rFonts w:ascii="Book Antiqua" w:hAnsi="Book Antiqua" w:cs="Arial"/>
          <w:sz w:val="24"/>
          <w:szCs w:val="24"/>
        </w:rPr>
        <w:t>n another prospective comparative study,</w:t>
      </w:r>
      <w:r w:rsidR="00D4593A" w:rsidRPr="005E456A">
        <w:rPr>
          <w:rFonts w:ascii="Book Antiqua" w:hAnsi="Book Antiqua" w:cs="Arial"/>
          <w:sz w:val="24"/>
          <w:szCs w:val="24"/>
        </w:rPr>
        <w:t xml:space="preserve"> Sakai</w:t>
      </w:r>
      <w:r w:rsidR="00D4593A" w:rsidRPr="00BB7D39">
        <w:rPr>
          <w:rFonts w:ascii="Book Antiqua" w:hAnsi="Book Antiqua" w:cs="Arial"/>
          <w:i/>
          <w:sz w:val="24"/>
          <w:szCs w:val="24"/>
        </w:rPr>
        <w:t xml:space="preserve"> et al</w:t>
      </w:r>
      <w:r w:rsidR="00BB7D39" w:rsidRPr="005E456A">
        <w:rPr>
          <w:rFonts w:ascii="Book Antiqua" w:hAnsi="Book Antiqua" w:cs="Arial"/>
          <w:sz w:val="24"/>
          <w:szCs w:val="24"/>
          <w:vertAlign w:val="superscript"/>
        </w:rPr>
        <w:t>[31]</w:t>
      </w:r>
      <w:r w:rsidR="00D4593A" w:rsidRPr="005E456A">
        <w:rPr>
          <w:rFonts w:ascii="Book Antiqua" w:hAnsi="Book Antiqua" w:cs="Arial"/>
          <w:sz w:val="24"/>
          <w:szCs w:val="24"/>
        </w:rPr>
        <w:t xml:space="preserve"> used AI</w:t>
      </w:r>
      <w:r w:rsidR="00B30A1C" w:rsidRPr="005E456A">
        <w:rPr>
          <w:rFonts w:ascii="Book Antiqua" w:hAnsi="Book Antiqua" w:cs="Arial"/>
          <w:sz w:val="24"/>
          <w:szCs w:val="24"/>
        </w:rPr>
        <w:t xml:space="preserve"> in 53 consecutive gastric lesions</w:t>
      </w:r>
      <w:r w:rsidR="00667E5D" w:rsidRPr="005E456A">
        <w:rPr>
          <w:rFonts w:ascii="Book Antiqua" w:hAnsi="Book Antiqua" w:cs="Arial"/>
          <w:sz w:val="24"/>
          <w:szCs w:val="24"/>
        </w:rPr>
        <w:t xml:space="preserve"> before endoscopic submucosal dissection</w:t>
      </w:r>
      <w:r w:rsidR="00D4593A" w:rsidRPr="005E456A">
        <w:rPr>
          <w:rFonts w:ascii="Book Antiqua" w:hAnsi="Book Antiqua" w:cs="Arial"/>
          <w:sz w:val="24"/>
          <w:szCs w:val="24"/>
        </w:rPr>
        <w:t xml:space="preserve"> </w:t>
      </w:r>
      <w:r w:rsidR="00B30A1C" w:rsidRPr="005E456A">
        <w:rPr>
          <w:rFonts w:ascii="Book Antiqua" w:hAnsi="Book Antiqua" w:cs="Arial"/>
          <w:sz w:val="24"/>
          <w:szCs w:val="24"/>
        </w:rPr>
        <w:t xml:space="preserve">and good interobserver agreement was </w:t>
      </w:r>
      <w:r w:rsidR="00B113C9" w:rsidRPr="005E456A">
        <w:rPr>
          <w:rFonts w:ascii="Book Antiqua" w:hAnsi="Book Antiqua" w:cs="Arial"/>
          <w:sz w:val="24"/>
          <w:szCs w:val="24"/>
        </w:rPr>
        <w:t>reported</w:t>
      </w:r>
      <w:r w:rsidR="00B30A1C" w:rsidRPr="005E456A">
        <w:rPr>
          <w:rFonts w:ascii="Book Antiqua" w:hAnsi="Book Antiqua" w:cs="Arial"/>
          <w:sz w:val="24"/>
          <w:szCs w:val="24"/>
        </w:rPr>
        <w:t xml:space="preserve"> between the two endoscopists (kappa</w:t>
      </w:r>
      <w:r w:rsidR="00C710F6">
        <w:rPr>
          <w:rFonts w:ascii="Book Antiqua" w:hAnsi="Book Antiqua" w:cs="Arial" w:hint="eastAsia"/>
          <w:sz w:val="24"/>
          <w:szCs w:val="24"/>
        </w:rPr>
        <w:t xml:space="preserve"> </w:t>
      </w:r>
      <w:r w:rsidR="00B30A1C" w:rsidRPr="005E456A">
        <w:rPr>
          <w:rFonts w:ascii="Book Antiqua" w:hAnsi="Book Antiqua" w:cs="Arial"/>
          <w:sz w:val="24"/>
          <w:szCs w:val="24"/>
        </w:rPr>
        <w:t>=</w:t>
      </w:r>
      <w:r w:rsidR="00C710F6">
        <w:rPr>
          <w:rFonts w:ascii="Book Antiqua" w:hAnsi="Book Antiqua" w:cs="Arial" w:hint="eastAsia"/>
          <w:sz w:val="24"/>
          <w:szCs w:val="24"/>
        </w:rPr>
        <w:t xml:space="preserve"> </w:t>
      </w:r>
      <w:r w:rsidR="00B30A1C" w:rsidRPr="005E456A">
        <w:rPr>
          <w:rFonts w:ascii="Book Antiqua" w:hAnsi="Book Antiqua" w:cs="Arial"/>
          <w:sz w:val="24"/>
          <w:szCs w:val="24"/>
        </w:rPr>
        <w:t>0.764).</w:t>
      </w:r>
      <w:r w:rsidR="00EF4FC1" w:rsidRPr="005E456A">
        <w:rPr>
          <w:rFonts w:ascii="Book Antiqua" w:hAnsi="Book Antiqua" w:cs="Arial"/>
          <w:sz w:val="24"/>
          <w:szCs w:val="24"/>
        </w:rPr>
        <w:t xml:space="preserve"> </w:t>
      </w:r>
      <w:r w:rsidR="00B30A1C" w:rsidRPr="005E456A">
        <w:rPr>
          <w:rFonts w:ascii="Book Antiqua" w:hAnsi="Book Antiqua" w:cs="Arial"/>
          <w:sz w:val="24"/>
          <w:szCs w:val="24"/>
        </w:rPr>
        <w:t xml:space="preserve">The diagnostic performance of AI was significantly better than either indigo carmine or acetic acid alone. </w:t>
      </w:r>
      <w:r w:rsidR="00CE65C8" w:rsidRPr="005E456A">
        <w:rPr>
          <w:rFonts w:ascii="Book Antiqua" w:hAnsi="Book Antiqua" w:cs="Arial"/>
          <w:sz w:val="24"/>
          <w:szCs w:val="24"/>
        </w:rPr>
        <w:t xml:space="preserve">In another prospective study on 108 EGC </w:t>
      </w:r>
      <w:r w:rsidR="00707A7A" w:rsidRPr="005E456A">
        <w:rPr>
          <w:rFonts w:ascii="Book Antiqua" w:hAnsi="Book Antiqua" w:cs="Arial"/>
          <w:sz w:val="24"/>
          <w:szCs w:val="24"/>
        </w:rPr>
        <w:t>lesions</w:t>
      </w:r>
      <w:r w:rsidR="00CE65C8" w:rsidRPr="005E456A">
        <w:rPr>
          <w:rFonts w:ascii="Book Antiqua" w:hAnsi="Book Antiqua" w:cs="Arial"/>
          <w:sz w:val="24"/>
          <w:szCs w:val="24"/>
        </w:rPr>
        <w:t xml:space="preserve">, Kawhara </w:t>
      </w:r>
      <w:r w:rsidR="00CE65C8" w:rsidRPr="00E80879">
        <w:rPr>
          <w:rFonts w:ascii="Book Antiqua" w:hAnsi="Book Antiqua" w:cs="Arial"/>
          <w:i/>
          <w:sz w:val="24"/>
          <w:szCs w:val="24"/>
        </w:rPr>
        <w:t>et al</w:t>
      </w:r>
      <w:r w:rsidR="00E80879" w:rsidRPr="005E456A">
        <w:rPr>
          <w:rFonts w:ascii="Book Antiqua" w:hAnsi="Book Antiqua" w:cs="Arial"/>
          <w:sz w:val="24"/>
          <w:szCs w:val="24"/>
          <w:vertAlign w:val="superscript"/>
        </w:rPr>
        <w:t>[32]</w:t>
      </w:r>
      <w:r w:rsidR="00CE65C8" w:rsidRPr="005E456A">
        <w:rPr>
          <w:rFonts w:ascii="Book Antiqua" w:hAnsi="Book Antiqua" w:cs="Arial"/>
          <w:sz w:val="24"/>
          <w:szCs w:val="24"/>
        </w:rPr>
        <w:t xml:space="preserve"> compared WLE</w:t>
      </w:r>
      <w:r w:rsidR="00D4593A" w:rsidRPr="005E456A">
        <w:rPr>
          <w:rFonts w:ascii="Book Antiqua" w:hAnsi="Book Antiqua" w:cs="Arial"/>
          <w:sz w:val="24"/>
          <w:szCs w:val="24"/>
        </w:rPr>
        <w:t xml:space="preserve">, indigo-carmine </w:t>
      </w:r>
      <w:r w:rsidR="00CE65C8" w:rsidRPr="005E456A">
        <w:rPr>
          <w:rFonts w:ascii="Book Antiqua" w:hAnsi="Book Antiqua" w:cs="Arial"/>
          <w:sz w:val="24"/>
          <w:szCs w:val="24"/>
        </w:rPr>
        <w:t xml:space="preserve">and AI for delineation of margins before ESD. All endoscopic examinations were performed by one endoscopist. When correlated with pathological specimens, the diagnostic accuracy of AI was higher when compared to WLE or indigo-carmine (90.7% </w:t>
      </w:r>
      <w:r w:rsidR="00CE65C8" w:rsidRPr="0050552C">
        <w:rPr>
          <w:rFonts w:ascii="Book Antiqua" w:hAnsi="Book Antiqua" w:cs="Arial"/>
          <w:i/>
          <w:sz w:val="24"/>
          <w:szCs w:val="24"/>
        </w:rPr>
        <w:t>vs</w:t>
      </w:r>
      <w:r w:rsidR="00CE65C8" w:rsidRPr="005E456A">
        <w:rPr>
          <w:rFonts w:ascii="Book Antiqua" w:hAnsi="Book Antiqua" w:cs="Arial"/>
          <w:sz w:val="24"/>
          <w:szCs w:val="24"/>
        </w:rPr>
        <w:t xml:space="preserve"> 50.0% </w:t>
      </w:r>
      <w:r w:rsidR="00CE65C8" w:rsidRPr="0050552C">
        <w:rPr>
          <w:rFonts w:ascii="Book Antiqua" w:hAnsi="Book Antiqua" w:cs="Arial"/>
          <w:i/>
          <w:sz w:val="24"/>
          <w:szCs w:val="24"/>
        </w:rPr>
        <w:t>vs</w:t>
      </w:r>
      <w:r w:rsidR="00CE65C8" w:rsidRPr="005E456A">
        <w:rPr>
          <w:rFonts w:ascii="Book Antiqua" w:hAnsi="Book Antiqua" w:cs="Arial"/>
          <w:sz w:val="24"/>
          <w:szCs w:val="24"/>
        </w:rPr>
        <w:t xml:space="preserve"> 75.9%, respectively).</w:t>
      </w:r>
      <w:r w:rsidR="00D04643">
        <w:rPr>
          <w:rFonts w:ascii="Book Antiqua" w:hAnsi="Book Antiqua" w:cs="Arial" w:hint="eastAsia"/>
          <w:sz w:val="24"/>
          <w:szCs w:val="24"/>
        </w:rPr>
        <w:t xml:space="preserve"> </w:t>
      </w:r>
    </w:p>
    <w:p w14:paraId="1EA0351B" w14:textId="5A655DEF" w:rsidR="00E05464" w:rsidRPr="005E456A" w:rsidRDefault="00BE456E" w:rsidP="005E456A">
      <w:pPr>
        <w:pStyle w:val="ListParagraph"/>
        <w:spacing w:after="0" w:line="360" w:lineRule="auto"/>
        <w:ind w:left="0" w:firstLine="720"/>
        <w:jc w:val="both"/>
        <w:rPr>
          <w:rFonts w:ascii="Book Antiqua" w:hAnsi="Book Antiqua" w:cs="Arial"/>
          <w:sz w:val="24"/>
          <w:szCs w:val="24"/>
        </w:rPr>
      </w:pPr>
      <w:r w:rsidRPr="005E456A">
        <w:rPr>
          <w:rFonts w:ascii="Book Antiqua" w:hAnsi="Book Antiqua" w:cs="Arial"/>
          <w:sz w:val="24"/>
          <w:szCs w:val="24"/>
        </w:rPr>
        <w:t>Over</w:t>
      </w:r>
      <w:r w:rsidR="00D4593A" w:rsidRPr="005E456A">
        <w:rPr>
          <w:rFonts w:ascii="Book Antiqua" w:hAnsi="Book Antiqua" w:cs="Arial"/>
          <w:sz w:val="24"/>
          <w:szCs w:val="24"/>
        </w:rPr>
        <w:t>all, the studies with AI</w:t>
      </w:r>
      <w:r w:rsidRPr="005E456A">
        <w:rPr>
          <w:rFonts w:ascii="Book Antiqua" w:hAnsi="Book Antiqua" w:cs="Arial"/>
          <w:sz w:val="24"/>
          <w:szCs w:val="24"/>
        </w:rPr>
        <w:t xml:space="preserve"> have shown </w:t>
      </w:r>
      <w:r w:rsidR="00B66F01" w:rsidRPr="005E456A">
        <w:rPr>
          <w:rFonts w:ascii="Book Antiqua" w:hAnsi="Book Antiqua" w:cs="Arial"/>
          <w:sz w:val="24"/>
          <w:szCs w:val="24"/>
        </w:rPr>
        <w:t xml:space="preserve">an </w:t>
      </w:r>
      <w:r w:rsidRPr="005E456A">
        <w:rPr>
          <w:rFonts w:ascii="Book Antiqua" w:hAnsi="Book Antiqua" w:cs="Arial"/>
          <w:sz w:val="24"/>
          <w:szCs w:val="24"/>
        </w:rPr>
        <w:t>excellent efficacy in demarcation of EGC before endoscopic resection. The technique does not require additional equipment (</w:t>
      </w:r>
      <w:r w:rsidR="009F1CAF" w:rsidRPr="009F1CAF">
        <w:rPr>
          <w:rFonts w:ascii="Book Antiqua" w:hAnsi="Book Antiqua" w:cs="Arial"/>
          <w:i/>
          <w:sz w:val="24"/>
          <w:szCs w:val="24"/>
        </w:rPr>
        <w:t>e.g.,</w:t>
      </w:r>
      <w:r w:rsidRPr="005E456A">
        <w:rPr>
          <w:rFonts w:ascii="Book Antiqua" w:hAnsi="Book Antiqua" w:cs="Arial"/>
          <w:sz w:val="24"/>
          <w:szCs w:val="24"/>
        </w:rPr>
        <w:t xml:space="preserve"> magnification endoscope)</w:t>
      </w:r>
      <w:r w:rsidR="00D4593A" w:rsidRPr="005E456A">
        <w:rPr>
          <w:rFonts w:ascii="Book Antiqua" w:hAnsi="Book Antiqua" w:cs="Arial"/>
          <w:sz w:val="24"/>
          <w:szCs w:val="24"/>
        </w:rPr>
        <w:t>.</w:t>
      </w:r>
      <w:r w:rsidR="00D04643">
        <w:rPr>
          <w:rFonts w:ascii="Book Antiqua" w:hAnsi="Book Antiqua" w:cs="Arial" w:hint="eastAsia"/>
          <w:sz w:val="24"/>
          <w:szCs w:val="24"/>
        </w:rPr>
        <w:t xml:space="preserve"> </w:t>
      </w:r>
    </w:p>
    <w:p w14:paraId="1FCD55BA" w14:textId="77777777" w:rsidR="00AB626B" w:rsidRPr="005E456A" w:rsidRDefault="00AB626B" w:rsidP="005E456A">
      <w:pPr>
        <w:pStyle w:val="ListParagraph"/>
        <w:spacing w:after="0" w:line="360" w:lineRule="auto"/>
        <w:ind w:left="0"/>
        <w:jc w:val="both"/>
        <w:rPr>
          <w:rFonts w:ascii="Book Antiqua" w:hAnsi="Book Antiqua" w:cs="Arial"/>
          <w:sz w:val="24"/>
          <w:szCs w:val="24"/>
        </w:rPr>
      </w:pPr>
    </w:p>
    <w:p w14:paraId="4A0A46D9" w14:textId="05BEA1F8" w:rsidR="00C25AE9" w:rsidRPr="005E456A" w:rsidRDefault="00D4593A" w:rsidP="005E456A">
      <w:pPr>
        <w:pStyle w:val="ListParagraph"/>
        <w:spacing w:after="0" w:line="360" w:lineRule="auto"/>
        <w:ind w:left="0"/>
        <w:jc w:val="both"/>
        <w:rPr>
          <w:rFonts w:ascii="Book Antiqua" w:hAnsi="Book Antiqua" w:cs="Arial"/>
          <w:b/>
          <w:sz w:val="24"/>
          <w:szCs w:val="24"/>
        </w:rPr>
      </w:pPr>
      <w:r w:rsidRPr="005E456A">
        <w:rPr>
          <w:rFonts w:ascii="Book Antiqua" w:hAnsi="Book Antiqua" w:cs="Arial"/>
          <w:b/>
          <w:sz w:val="24"/>
          <w:szCs w:val="24"/>
        </w:rPr>
        <w:t xml:space="preserve">NARROW BAND IMAGING </w:t>
      </w:r>
    </w:p>
    <w:p w14:paraId="074CC722" w14:textId="375CC0CC" w:rsidR="000B74EE" w:rsidRPr="005E456A" w:rsidRDefault="00C25AE9" w:rsidP="008E61DB">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lastRenderedPageBreak/>
        <w:t>NBI is a proprietary optical image-enhancement technology launched by the Olympus Corporation (Tokyo, Jap</w:t>
      </w:r>
      <w:r w:rsidR="00D4593A" w:rsidRPr="005E456A">
        <w:rPr>
          <w:rFonts w:ascii="Book Antiqua" w:hAnsi="Book Antiqua" w:cs="Arial"/>
          <w:sz w:val="24"/>
          <w:szCs w:val="24"/>
        </w:rPr>
        <w:t xml:space="preserve">an) in year 2005. </w:t>
      </w:r>
      <w:r w:rsidRPr="005E456A">
        <w:rPr>
          <w:rFonts w:ascii="Book Antiqua" w:hAnsi="Book Antiqua" w:cs="Arial"/>
          <w:sz w:val="24"/>
          <w:szCs w:val="24"/>
        </w:rPr>
        <w:t xml:space="preserve">NBI is the most </w:t>
      </w:r>
      <w:r w:rsidR="00D4593A" w:rsidRPr="005E456A">
        <w:rPr>
          <w:rFonts w:ascii="Book Antiqua" w:hAnsi="Book Antiqua" w:cs="Arial"/>
          <w:sz w:val="24"/>
          <w:szCs w:val="24"/>
        </w:rPr>
        <w:t>widely utilized electronic IEE technique with demonstrated</w:t>
      </w:r>
      <w:r w:rsidRPr="005E456A">
        <w:rPr>
          <w:rFonts w:ascii="Book Antiqua" w:hAnsi="Book Antiqua" w:cs="Arial"/>
          <w:sz w:val="24"/>
          <w:szCs w:val="24"/>
        </w:rPr>
        <w:t xml:space="preserve"> scientific evidence for its efficacy in </w:t>
      </w:r>
      <w:r w:rsidR="00E07884" w:rsidRPr="005E456A">
        <w:rPr>
          <w:rFonts w:ascii="Book Antiqua" w:hAnsi="Book Antiqua" w:cs="Arial"/>
          <w:sz w:val="24"/>
          <w:szCs w:val="24"/>
        </w:rPr>
        <w:t xml:space="preserve">GI </w:t>
      </w:r>
      <w:r w:rsidRPr="005E456A">
        <w:rPr>
          <w:rFonts w:ascii="Book Antiqua" w:hAnsi="Book Antiqua" w:cs="Arial"/>
          <w:sz w:val="24"/>
          <w:szCs w:val="24"/>
        </w:rPr>
        <w:t xml:space="preserve">diseases. Normally, the wavelengths of white light range from 400 to 700 nm. During </w:t>
      </w:r>
      <w:r w:rsidR="00C45FDC" w:rsidRPr="005E456A">
        <w:rPr>
          <w:rFonts w:ascii="Book Antiqua" w:hAnsi="Book Antiqua" w:cs="Arial"/>
          <w:sz w:val="24"/>
          <w:szCs w:val="24"/>
        </w:rPr>
        <w:t xml:space="preserve">conventional </w:t>
      </w:r>
      <w:r w:rsidR="00D4593A" w:rsidRPr="005E456A">
        <w:rPr>
          <w:rFonts w:ascii="Book Antiqua" w:hAnsi="Book Antiqua" w:cs="Arial"/>
          <w:sz w:val="24"/>
          <w:szCs w:val="24"/>
        </w:rPr>
        <w:t>WLE</w:t>
      </w:r>
      <w:r w:rsidRPr="005E456A">
        <w:rPr>
          <w:rFonts w:ascii="Book Antiqua" w:hAnsi="Book Antiqua" w:cs="Arial"/>
          <w:sz w:val="24"/>
          <w:szCs w:val="24"/>
        </w:rPr>
        <w:t xml:space="preserve">, the illuminating </w:t>
      </w:r>
      <w:r w:rsidR="00DC74BC" w:rsidRPr="005E456A">
        <w:rPr>
          <w:rFonts w:ascii="Book Antiqua" w:hAnsi="Book Antiqua" w:cs="Arial"/>
          <w:sz w:val="24"/>
          <w:szCs w:val="24"/>
        </w:rPr>
        <w:t xml:space="preserve">white </w:t>
      </w:r>
      <w:r w:rsidRPr="005E456A">
        <w:rPr>
          <w:rFonts w:ascii="Book Antiqua" w:hAnsi="Book Antiqua" w:cs="Arial"/>
          <w:sz w:val="24"/>
          <w:szCs w:val="24"/>
        </w:rPr>
        <w:t xml:space="preserve">light travels from the xenon lamp </w:t>
      </w:r>
      <w:r w:rsidRPr="00D04643">
        <w:rPr>
          <w:rFonts w:ascii="Book Antiqua" w:hAnsi="Book Antiqua" w:cs="Arial"/>
          <w:i/>
          <w:sz w:val="24"/>
          <w:szCs w:val="24"/>
        </w:rPr>
        <w:t>via</w:t>
      </w:r>
      <w:r w:rsidRPr="005E456A">
        <w:rPr>
          <w:rFonts w:ascii="Book Antiqua" w:hAnsi="Book Antiqua" w:cs="Arial"/>
          <w:sz w:val="24"/>
          <w:szCs w:val="24"/>
        </w:rPr>
        <w:t xml:space="preserve"> a rotating red-green-blue (RGB) rotatory filter. In NBI, an additional filter is placed between the xenon lamp and the RGB filter</w:t>
      </w:r>
      <w:r w:rsidR="00AB626B" w:rsidRPr="005E456A">
        <w:rPr>
          <w:rFonts w:ascii="Book Antiqua" w:hAnsi="Book Antiqua" w:cs="Arial"/>
          <w:sz w:val="24"/>
          <w:szCs w:val="24"/>
          <w:vertAlign w:val="superscript"/>
        </w:rPr>
        <w:t>[33</w:t>
      </w:r>
      <w:r w:rsidR="000C349D" w:rsidRPr="005E456A">
        <w:rPr>
          <w:rFonts w:ascii="Book Antiqua" w:hAnsi="Book Antiqua" w:cs="Arial"/>
          <w:sz w:val="24"/>
          <w:szCs w:val="24"/>
          <w:vertAlign w:val="superscript"/>
        </w:rPr>
        <w:t>]</w:t>
      </w:r>
      <w:r w:rsidRPr="005E456A">
        <w:rPr>
          <w:rFonts w:ascii="Book Antiqua" w:hAnsi="Book Antiqua" w:cs="Arial"/>
          <w:sz w:val="24"/>
          <w:szCs w:val="24"/>
        </w:rPr>
        <w:t xml:space="preserve">. This whole NBI system is simply activated by a push of button on the control handle of the endoscope without interrupting the views on monitor. By this additional NBI filter, the light is converted from a broad RGB into narrow bands of blue and green </w:t>
      </w:r>
      <w:r w:rsidR="00D4593A" w:rsidRPr="005E456A">
        <w:rPr>
          <w:rFonts w:ascii="Book Antiqua" w:hAnsi="Book Antiqua" w:cs="Arial"/>
          <w:sz w:val="24"/>
          <w:szCs w:val="24"/>
        </w:rPr>
        <w:t>at 415 (± 15) nm and 540 (±</w:t>
      </w:r>
      <w:r w:rsidR="008E61DB">
        <w:rPr>
          <w:rFonts w:ascii="Book Antiqua" w:hAnsi="Book Antiqua" w:cs="Arial" w:hint="eastAsia"/>
          <w:sz w:val="24"/>
          <w:szCs w:val="24"/>
        </w:rPr>
        <w:t xml:space="preserve"> </w:t>
      </w:r>
      <w:r w:rsidR="00D4593A" w:rsidRPr="005E456A">
        <w:rPr>
          <w:rFonts w:ascii="Book Antiqua" w:hAnsi="Book Antiqua" w:cs="Arial"/>
          <w:sz w:val="24"/>
          <w:szCs w:val="24"/>
        </w:rPr>
        <w:t>15)</w:t>
      </w:r>
      <w:r w:rsidRPr="005E456A">
        <w:rPr>
          <w:rFonts w:ascii="Book Antiqua" w:hAnsi="Book Antiqua" w:cs="Arial"/>
          <w:sz w:val="24"/>
          <w:szCs w:val="24"/>
        </w:rPr>
        <w:t xml:space="preserve"> nm wavelengths respectively. The narrow wavelengths of illuminating light increase the saturation. Moreover, biological tissues behave differently at different wavelengths of light due to their characteristic patterns of absorption and scattering of light. Since haemoglobin molecule has two absorption peaks at 415 nm and 540 nm, the </w:t>
      </w:r>
      <w:r w:rsidR="00E07884" w:rsidRPr="005E456A">
        <w:rPr>
          <w:rFonts w:ascii="Book Antiqua" w:hAnsi="Book Antiqua" w:cs="Arial"/>
          <w:sz w:val="24"/>
          <w:szCs w:val="24"/>
        </w:rPr>
        <w:t xml:space="preserve">mucosal </w:t>
      </w:r>
      <w:r w:rsidRPr="005E456A">
        <w:rPr>
          <w:rFonts w:ascii="Book Antiqua" w:hAnsi="Book Antiqua" w:cs="Arial"/>
          <w:sz w:val="24"/>
          <w:szCs w:val="24"/>
        </w:rPr>
        <w:t xml:space="preserve">microvascular patterns are </w:t>
      </w:r>
      <w:r w:rsidR="00E07884" w:rsidRPr="005E456A">
        <w:rPr>
          <w:rFonts w:ascii="Book Antiqua" w:hAnsi="Book Antiqua" w:cs="Arial"/>
          <w:sz w:val="24"/>
          <w:szCs w:val="24"/>
        </w:rPr>
        <w:t xml:space="preserve">highlighted </w:t>
      </w:r>
      <w:r w:rsidRPr="005E456A">
        <w:rPr>
          <w:rFonts w:ascii="Book Antiqua" w:hAnsi="Book Antiqua" w:cs="Arial"/>
          <w:sz w:val="24"/>
          <w:szCs w:val="24"/>
        </w:rPr>
        <w:t>in extensive detail with NBI</w:t>
      </w:r>
      <w:r w:rsidR="000C349D" w:rsidRPr="005E456A">
        <w:rPr>
          <w:rFonts w:ascii="Book Antiqua" w:hAnsi="Book Antiqua" w:cs="Arial"/>
          <w:sz w:val="24"/>
          <w:szCs w:val="24"/>
          <w:vertAlign w:val="superscript"/>
        </w:rPr>
        <w:t>[3</w:t>
      </w:r>
      <w:r w:rsidR="00AB626B" w:rsidRPr="005E456A">
        <w:rPr>
          <w:rFonts w:ascii="Book Antiqua" w:hAnsi="Book Antiqua" w:cs="Arial"/>
          <w:sz w:val="24"/>
          <w:szCs w:val="24"/>
          <w:vertAlign w:val="superscript"/>
        </w:rPr>
        <w:t>4</w:t>
      </w:r>
      <w:r w:rsidR="000C349D" w:rsidRPr="005E456A">
        <w:rPr>
          <w:rFonts w:ascii="Book Antiqua" w:hAnsi="Book Antiqua" w:cs="Arial"/>
          <w:sz w:val="24"/>
          <w:szCs w:val="24"/>
          <w:vertAlign w:val="superscript"/>
        </w:rPr>
        <w:t>]</w:t>
      </w:r>
      <w:r w:rsidRPr="005E456A">
        <w:rPr>
          <w:rFonts w:ascii="Book Antiqua" w:hAnsi="Book Antiqua" w:cs="Arial"/>
          <w:sz w:val="24"/>
          <w:szCs w:val="24"/>
        </w:rPr>
        <w:t xml:space="preserve">. </w:t>
      </w:r>
    </w:p>
    <w:p w14:paraId="77A8184E" w14:textId="7C5D2B32" w:rsidR="00C25AE9" w:rsidRPr="005E456A" w:rsidRDefault="00BB1070" w:rsidP="005E456A">
      <w:pPr>
        <w:pStyle w:val="ListParagraph"/>
        <w:spacing w:after="0" w:line="360" w:lineRule="auto"/>
        <w:ind w:left="0" w:firstLine="720"/>
        <w:jc w:val="both"/>
        <w:rPr>
          <w:rFonts w:ascii="Book Antiqua" w:hAnsi="Book Antiqua" w:cs="Arial"/>
          <w:sz w:val="24"/>
          <w:szCs w:val="24"/>
        </w:rPr>
      </w:pPr>
      <w:r w:rsidRPr="005E456A">
        <w:rPr>
          <w:rFonts w:ascii="Book Antiqua" w:hAnsi="Book Antiqua" w:cs="Arial"/>
          <w:sz w:val="24"/>
          <w:szCs w:val="24"/>
        </w:rPr>
        <w:t>NBI can</w:t>
      </w:r>
      <w:r w:rsidR="000D1708" w:rsidRPr="005E456A">
        <w:rPr>
          <w:rFonts w:ascii="Book Antiqua" w:hAnsi="Book Antiqua" w:cs="Arial"/>
          <w:sz w:val="24"/>
          <w:szCs w:val="24"/>
        </w:rPr>
        <w:t xml:space="preserve"> diagnose the s</w:t>
      </w:r>
      <w:r w:rsidR="00C25AE9" w:rsidRPr="005E456A">
        <w:rPr>
          <w:rFonts w:ascii="Book Antiqua" w:hAnsi="Book Antiqua" w:cs="Arial"/>
          <w:sz w:val="24"/>
          <w:szCs w:val="24"/>
        </w:rPr>
        <w:t xml:space="preserve">ubtle and flat mucosal </w:t>
      </w:r>
      <w:r w:rsidR="00E07884" w:rsidRPr="005E456A">
        <w:rPr>
          <w:rFonts w:ascii="Book Antiqua" w:hAnsi="Book Antiqua" w:cs="Arial"/>
          <w:sz w:val="24"/>
          <w:szCs w:val="24"/>
        </w:rPr>
        <w:t xml:space="preserve">GI </w:t>
      </w:r>
      <w:r w:rsidR="00C25AE9" w:rsidRPr="005E456A">
        <w:rPr>
          <w:rFonts w:ascii="Book Antiqua" w:hAnsi="Book Antiqua" w:cs="Arial"/>
          <w:sz w:val="24"/>
          <w:szCs w:val="24"/>
        </w:rPr>
        <w:t xml:space="preserve">lesions which are often missed or remain uncharacterized </w:t>
      </w:r>
      <w:r w:rsidR="000D1708" w:rsidRPr="005E456A">
        <w:rPr>
          <w:rFonts w:ascii="Book Antiqua" w:hAnsi="Book Antiqua" w:cs="Arial"/>
          <w:sz w:val="24"/>
          <w:szCs w:val="24"/>
        </w:rPr>
        <w:t xml:space="preserve">on WLE. </w:t>
      </w:r>
      <w:r w:rsidR="00C25AE9" w:rsidRPr="005E456A">
        <w:rPr>
          <w:rFonts w:ascii="Book Antiqua" w:hAnsi="Book Antiqua" w:cs="Arial"/>
          <w:sz w:val="24"/>
          <w:szCs w:val="24"/>
        </w:rPr>
        <w:t>Since the sub-epithelial capillaries of stomach h</w:t>
      </w:r>
      <w:r w:rsidR="000B74EE" w:rsidRPr="005E456A">
        <w:rPr>
          <w:rFonts w:ascii="Book Antiqua" w:hAnsi="Book Antiqua" w:cs="Arial"/>
          <w:sz w:val="24"/>
          <w:szCs w:val="24"/>
        </w:rPr>
        <w:t>ave minimum diameter of 8 µm</w:t>
      </w:r>
      <w:r w:rsidR="000B74EE" w:rsidRPr="005E456A">
        <w:rPr>
          <w:rFonts w:ascii="Book Antiqua" w:hAnsi="Book Antiqua" w:cs="Arial"/>
          <w:sz w:val="24"/>
          <w:szCs w:val="24"/>
          <w:vertAlign w:val="superscript"/>
        </w:rPr>
        <w:t>[1</w:t>
      </w:r>
      <w:r w:rsidR="00AB626B" w:rsidRPr="005E456A">
        <w:rPr>
          <w:rFonts w:ascii="Book Antiqua" w:hAnsi="Book Antiqua" w:cs="Arial"/>
          <w:sz w:val="24"/>
          <w:szCs w:val="24"/>
          <w:vertAlign w:val="superscript"/>
        </w:rPr>
        <w:t>7</w:t>
      </w:r>
      <w:r w:rsidR="000B74EE" w:rsidRPr="005E456A">
        <w:rPr>
          <w:rFonts w:ascii="Book Antiqua" w:hAnsi="Book Antiqua" w:cs="Arial"/>
          <w:sz w:val="24"/>
          <w:szCs w:val="24"/>
          <w:vertAlign w:val="superscript"/>
        </w:rPr>
        <w:t>]</w:t>
      </w:r>
      <w:r w:rsidR="00D4593A" w:rsidRPr="005E456A">
        <w:rPr>
          <w:rFonts w:ascii="Book Antiqua" w:hAnsi="Book Antiqua" w:cs="Arial"/>
          <w:sz w:val="24"/>
          <w:szCs w:val="24"/>
        </w:rPr>
        <w:t xml:space="preserve">, </w:t>
      </w:r>
      <w:r w:rsidR="000D1708" w:rsidRPr="005E456A">
        <w:rPr>
          <w:rFonts w:ascii="Book Antiqua" w:hAnsi="Book Antiqua" w:cs="Arial"/>
          <w:sz w:val="24"/>
          <w:szCs w:val="24"/>
        </w:rPr>
        <w:t>combining ME with NBI has been studied for detailed examination of capillary patterns in stomach</w:t>
      </w:r>
      <w:r w:rsidR="006571B2" w:rsidRPr="005E456A">
        <w:rPr>
          <w:rFonts w:ascii="Book Antiqua" w:hAnsi="Book Antiqua" w:cs="Arial"/>
          <w:sz w:val="24"/>
          <w:szCs w:val="24"/>
        </w:rPr>
        <w:t xml:space="preserve">. </w:t>
      </w:r>
      <w:r w:rsidR="000D1708" w:rsidRPr="005E456A">
        <w:rPr>
          <w:rFonts w:ascii="Book Antiqua" w:hAnsi="Book Antiqua" w:cs="Arial"/>
          <w:sz w:val="24"/>
          <w:szCs w:val="24"/>
        </w:rPr>
        <w:t>As described below, most o</w:t>
      </w:r>
      <w:r w:rsidR="00C25AE9" w:rsidRPr="005E456A">
        <w:rPr>
          <w:rFonts w:ascii="Book Antiqua" w:hAnsi="Book Antiqua" w:cs="Arial"/>
          <w:sz w:val="24"/>
          <w:szCs w:val="24"/>
        </w:rPr>
        <w:t xml:space="preserve">f the </w:t>
      </w:r>
      <w:r w:rsidR="006571B2" w:rsidRPr="005E456A">
        <w:rPr>
          <w:rFonts w:ascii="Book Antiqua" w:hAnsi="Book Antiqua" w:cs="Arial"/>
          <w:sz w:val="24"/>
          <w:szCs w:val="24"/>
        </w:rPr>
        <w:t>published studies</w:t>
      </w:r>
      <w:r w:rsidR="00C25AE9" w:rsidRPr="005E456A">
        <w:rPr>
          <w:rFonts w:ascii="Book Antiqua" w:hAnsi="Book Antiqua" w:cs="Arial"/>
          <w:sz w:val="24"/>
          <w:szCs w:val="24"/>
        </w:rPr>
        <w:t xml:space="preserve"> have utilized a simultaneous </w:t>
      </w:r>
      <w:r w:rsidR="000D1708" w:rsidRPr="005E456A">
        <w:rPr>
          <w:rFonts w:ascii="Book Antiqua" w:hAnsi="Book Antiqua" w:cs="Arial"/>
          <w:sz w:val="24"/>
          <w:szCs w:val="24"/>
        </w:rPr>
        <w:t xml:space="preserve">combination of ME </w:t>
      </w:r>
      <w:r w:rsidR="008E61DB">
        <w:rPr>
          <w:rFonts w:ascii="Book Antiqua" w:hAnsi="Book Antiqua" w:cs="Arial" w:hint="eastAsia"/>
          <w:sz w:val="24"/>
          <w:szCs w:val="24"/>
        </w:rPr>
        <w:t>and</w:t>
      </w:r>
      <w:r w:rsidR="000D1708" w:rsidRPr="005E456A">
        <w:rPr>
          <w:rFonts w:ascii="Book Antiqua" w:hAnsi="Book Antiqua" w:cs="Arial"/>
          <w:sz w:val="24"/>
          <w:szCs w:val="24"/>
        </w:rPr>
        <w:t xml:space="preserve"> NBI</w:t>
      </w:r>
      <w:r w:rsidR="00C25AE9" w:rsidRPr="005E456A">
        <w:rPr>
          <w:rFonts w:ascii="Book Antiqua" w:hAnsi="Book Antiqua" w:cs="Arial"/>
          <w:sz w:val="24"/>
          <w:szCs w:val="24"/>
        </w:rPr>
        <w:t>.</w:t>
      </w:r>
      <w:r w:rsidR="00D04643">
        <w:rPr>
          <w:rFonts w:ascii="Book Antiqua" w:hAnsi="Book Antiqua" w:cs="Arial" w:hint="eastAsia"/>
          <w:sz w:val="24"/>
          <w:szCs w:val="24"/>
        </w:rPr>
        <w:t xml:space="preserve"> </w:t>
      </w:r>
      <w:r w:rsidR="00211529" w:rsidRPr="005E456A">
        <w:rPr>
          <w:rFonts w:ascii="Book Antiqua" w:hAnsi="Book Antiqua" w:cs="Arial"/>
          <w:sz w:val="24"/>
          <w:szCs w:val="24"/>
        </w:rPr>
        <w:t xml:space="preserve">It must be recognized that there are two NBI systems in use, the </w:t>
      </w:r>
      <w:r w:rsidRPr="005E456A">
        <w:rPr>
          <w:rFonts w:ascii="Book Antiqua" w:hAnsi="Book Antiqua" w:cs="Arial"/>
          <w:sz w:val="24"/>
          <w:szCs w:val="24"/>
        </w:rPr>
        <w:t>EVIS EXERA a</w:t>
      </w:r>
      <w:r w:rsidR="00211529" w:rsidRPr="005E456A">
        <w:rPr>
          <w:rFonts w:ascii="Book Antiqua" w:hAnsi="Book Antiqua" w:cs="Arial"/>
          <w:sz w:val="24"/>
          <w:szCs w:val="24"/>
        </w:rPr>
        <w:t xml:space="preserve">nd the </w:t>
      </w:r>
      <w:r w:rsidRPr="005E456A">
        <w:rPr>
          <w:rFonts w:ascii="Book Antiqua" w:hAnsi="Book Antiqua" w:cs="Arial"/>
          <w:sz w:val="24"/>
          <w:szCs w:val="24"/>
        </w:rPr>
        <w:t xml:space="preserve">EVIS </w:t>
      </w:r>
      <w:r w:rsidR="00211529" w:rsidRPr="005E456A">
        <w:rPr>
          <w:rFonts w:ascii="Book Antiqua" w:hAnsi="Book Antiqua" w:cs="Arial"/>
          <w:sz w:val="24"/>
          <w:szCs w:val="24"/>
        </w:rPr>
        <w:t>LUCERA system</w:t>
      </w:r>
      <w:r w:rsidRPr="005E456A">
        <w:rPr>
          <w:rFonts w:ascii="Book Antiqua" w:hAnsi="Book Antiqua" w:cs="Arial"/>
          <w:sz w:val="24"/>
          <w:szCs w:val="24"/>
        </w:rPr>
        <w:t>s.</w:t>
      </w:r>
      <w:r w:rsidR="00D04643">
        <w:rPr>
          <w:rFonts w:ascii="Book Antiqua" w:hAnsi="Book Antiqua" w:cs="Arial" w:hint="eastAsia"/>
          <w:sz w:val="24"/>
          <w:szCs w:val="24"/>
        </w:rPr>
        <w:t xml:space="preserve"> </w:t>
      </w:r>
      <w:r w:rsidRPr="005E456A">
        <w:rPr>
          <w:rFonts w:ascii="Book Antiqua" w:hAnsi="Book Antiqua" w:cs="Arial"/>
          <w:sz w:val="24"/>
          <w:szCs w:val="24"/>
        </w:rPr>
        <w:t xml:space="preserve">For the EXERA system, the magnification achieved is by digital magnification and a specific technique called “Dual Focus” which </w:t>
      </w:r>
      <w:r w:rsidR="00346E6A" w:rsidRPr="005E456A">
        <w:rPr>
          <w:rFonts w:ascii="Book Antiqua" w:hAnsi="Book Antiqua" w:cs="Arial"/>
          <w:sz w:val="24"/>
          <w:szCs w:val="24"/>
        </w:rPr>
        <w:t>allows near mode imaging</w:t>
      </w:r>
      <w:r w:rsidRPr="005E456A">
        <w:rPr>
          <w:rFonts w:ascii="Book Antiqua" w:hAnsi="Book Antiqua" w:cs="Arial"/>
          <w:sz w:val="24"/>
          <w:szCs w:val="24"/>
        </w:rPr>
        <w:t xml:space="preserve">; in contrast, </w:t>
      </w:r>
      <w:r w:rsidR="002A45CC" w:rsidRPr="005E456A">
        <w:rPr>
          <w:rFonts w:ascii="Book Antiqua" w:hAnsi="Book Antiqua" w:cs="Arial"/>
          <w:sz w:val="24"/>
          <w:szCs w:val="24"/>
        </w:rPr>
        <w:t xml:space="preserve">the LUCERA system allows </w:t>
      </w:r>
      <w:r w:rsidRPr="005E456A">
        <w:rPr>
          <w:rFonts w:ascii="Book Antiqua" w:hAnsi="Book Antiqua" w:cs="Arial"/>
          <w:sz w:val="24"/>
          <w:szCs w:val="24"/>
        </w:rPr>
        <w:t>optical magnification and this is the main system used in prior studies of magnifying NBI.</w:t>
      </w:r>
      <w:r w:rsidR="002B54EA" w:rsidRPr="005E456A">
        <w:rPr>
          <w:rFonts w:ascii="Book Antiqua" w:hAnsi="Book Antiqua" w:cs="Arial"/>
          <w:sz w:val="24"/>
          <w:szCs w:val="24"/>
        </w:rPr>
        <w:t xml:space="preserve"> An overview of NBI studies are provided in </w:t>
      </w:r>
      <w:r w:rsidR="00DB7BCC" w:rsidRPr="005E456A">
        <w:rPr>
          <w:rFonts w:ascii="Book Antiqua" w:hAnsi="Book Antiqua" w:cs="Arial"/>
          <w:sz w:val="24"/>
          <w:szCs w:val="24"/>
        </w:rPr>
        <w:t>T</w:t>
      </w:r>
      <w:r w:rsidR="002B54EA" w:rsidRPr="005E456A">
        <w:rPr>
          <w:rFonts w:ascii="Book Antiqua" w:hAnsi="Book Antiqua" w:cs="Arial"/>
          <w:sz w:val="24"/>
          <w:szCs w:val="24"/>
        </w:rPr>
        <w:t xml:space="preserve">able 2. </w:t>
      </w:r>
    </w:p>
    <w:p w14:paraId="4835EF5A" w14:textId="77777777" w:rsidR="007822B3" w:rsidRPr="005E456A" w:rsidRDefault="007822B3" w:rsidP="005E456A">
      <w:pPr>
        <w:spacing w:after="0" w:line="360" w:lineRule="auto"/>
        <w:jc w:val="both"/>
        <w:rPr>
          <w:rFonts w:ascii="Book Antiqua" w:hAnsi="Book Antiqua" w:cs="Arial"/>
          <w:b/>
          <w:sz w:val="24"/>
          <w:szCs w:val="24"/>
        </w:rPr>
      </w:pPr>
    </w:p>
    <w:p w14:paraId="06B96864" w14:textId="77777777" w:rsidR="00C25AE9" w:rsidRPr="005E456A" w:rsidRDefault="00C25AE9" w:rsidP="005E456A">
      <w:pPr>
        <w:spacing w:after="0" w:line="360" w:lineRule="auto"/>
        <w:jc w:val="both"/>
        <w:rPr>
          <w:rFonts w:ascii="Book Antiqua" w:hAnsi="Book Antiqua" w:cs="Arial"/>
          <w:b/>
          <w:i/>
          <w:sz w:val="24"/>
          <w:szCs w:val="24"/>
        </w:rPr>
      </w:pPr>
      <w:r w:rsidRPr="005E456A">
        <w:rPr>
          <w:rFonts w:ascii="Book Antiqua" w:hAnsi="Book Antiqua" w:cs="Arial"/>
          <w:b/>
          <w:i/>
          <w:sz w:val="24"/>
          <w:szCs w:val="24"/>
        </w:rPr>
        <w:t>NBI for screening of gastric pathologies</w:t>
      </w:r>
    </w:p>
    <w:p w14:paraId="11E68824" w14:textId="22AB8B8C" w:rsidR="00C25AE9" w:rsidRPr="005E456A" w:rsidRDefault="000D1708" w:rsidP="00107249">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t>At narrow wavelengths of light with NBI</w:t>
      </w:r>
      <w:r w:rsidR="00C25AE9" w:rsidRPr="005E456A">
        <w:rPr>
          <w:rFonts w:ascii="Book Antiqua" w:hAnsi="Book Antiqua" w:cs="Arial"/>
          <w:sz w:val="24"/>
          <w:szCs w:val="24"/>
        </w:rPr>
        <w:t>, the intensity of illumination is compromised resulting in darker images when compared to ima</w:t>
      </w:r>
      <w:r w:rsidR="006571B2" w:rsidRPr="005E456A">
        <w:rPr>
          <w:rFonts w:ascii="Book Antiqua" w:hAnsi="Book Antiqua" w:cs="Arial"/>
          <w:sz w:val="24"/>
          <w:szCs w:val="24"/>
        </w:rPr>
        <w:t>ges during WLE</w:t>
      </w:r>
      <w:r w:rsidR="00C25AE9" w:rsidRPr="005E456A">
        <w:rPr>
          <w:rFonts w:ascii="Book Antiqua" w:hAnsi="Book Antiqua" w:cs="Arial"/>
          <w:sz w:val="24"/>
          <w:szCs w:val="24"/>
        </w:rPr>
        <w:t>. This is especially relevant while examining the stomach, a capaciou</w:t>
      </w:r>
      <w:r w:rsidR="006571B2" w:rsidRPr="005E456A">
        <w:rPr>
          <w:rFonts w:ascii="Book Antiqua" w:hAnsi="Book Antiqua" w:cs="Arial"/>
          <w:sz w:val="24"/>
          <w:szCs w:val="24"/>
        </w:rPr>
        <w:t xml:space="preserve">s organ, where </w:t>
      </w:r>
      <w:r w:rsidR="006571B2" w:rsidRPr="005E456A">
        <w:rPr>
          <w:rFonts w:ascii="Book Antiqua" w:hAnsi="Book Antiqua" w:cs="Arial"/>
          <w:sz w:val="24"/>
          <w:szCs w:val="24"/>
        </w:rPr>
        <w:lastRenderedPageBreak/>
        <w:t>dark views result in</w:t>
      </w:r>
      <w:r w:rsidR="00C25AE9" w:rsidRPr="005E456A">
        <w:rPr>
          <w:rFonts w:ascii="Book Antiqua" w:hAnsi="Book Antiqua" w:cs="Arial"/>
          <w:sz w:val="24"/>
          <w:szCs w:val="24"/>
        </w:rPr>
        <w:t xml:space="preserve"> NBI </w:t>
      </w:r>
      <w:r w:rsidR="006571B2" w:rsidRPr="005E456A">
        <w:rPr>
          <w:rFonts w:ascii="Book Antiqua" w:hAnsi="Book Antiqua" w:cs="Arial"/>
          <w:sz w:val="24"/>
          <w:szCs w:val="24"/>
        </w:rPr>
        <w:t xml:space="preserve">being </w:t>
      </w:r>
      <w:r w:rsidR="00C25AE9" w:rsidRPr="005E456A">
        <w:rPr>
          <w:rFonts w:ascii="Book Antiqua" w:hAnsi="Book Antiqua" w:cs="Arial"/>
          <w:sz w:val="24"/>
          <w:szCs w:val="24"/>
        </w:rPr>
        <w:t>not so useful for screening of focal gastric lesions. However, NBI can be utilized as a second-look method to focus on lesions detected upon screening with WLE. This technique appears to increase detection rate of gastric focal lesions. At least five prospective studies have studied NBI using this approach</w:t>
      </w:r>
      <w:r w:rsidR="00142210" w:rsidRPr="005E456A">
        <w:rPr>
          <w:rFonts w:ascii="Book Antiqua" w:hAnsi="Book Antiqua" w:cs="Arial"/>
          <w:sz w:val="24"/>
          <w:szCs w:val="24"/>
          <w:vertAlign w:val="superscript"/>
        </w:rPr>
        <w:t>[3</w:t>
      </w:r>
      <w:r w:rsidR="00AB626B" w:rsidRPr="005E456A">
        <w:rPr>
          <w:rFonts w:ascii="Book Antiqua" w:hAnsi="Book Antiqua" w:cs="Arial"/>
          <w:sz w:val="24"/>
          <w:szCs w:val="24"/>
          <w:vertAlign w:val="superscript"/>
        </w:rPr>
        <w:t>5-39</w:t>
      </w:r>
      <w:r w:rsidR="00142210" w:rsidRPr="005E456A">
        <w:rPr>
          <w:rFonts w:ascii="Book Antiqua" w:hAnsi="Book Antiqua" w:cs="Arial"/>
          <w:sz w:val="24"/>
          <w:szCs w:val="24"/>
          <w:vertAlign w:val="superscript"/>
        </w:rPr>
        <w:t>]</w:t>
      </w:r>
      <w:r w:rsidR="00C25AE9" w:rsidRPr="005E456A">
        <w:rPr>
          <w:rFonts w:ascii="Book Antiqua" w:hAnsi="Book Antiqua" w:cs="Arial"/>
          <w:sz w:val="24"/>
          <w:szCs w:val="24"/>
        </w:rPr>
        <w:t xml:space="preserve">. In a prospective study </w:t>
      </w:r>
      <w:r w:rsidR="00D22102" w:rsidRPr="005E456A">
        <w:rPr>
          <w:rFonts w:ascii="Book Antiqua" w:hAnsi="Book Antiqua" w:cs="Arial"/>
          <w:sz w:val="24"/>
          <w:szCs w:val="24"/>
        </w:rPr>
        <w:t>on an unselected population,</w:t>
      </w:r>
      <w:r w:rsidR="00AB626B" w:rsidRPr="005E456A">
        <w:rPr>
          <w:rFonts w:ascii="Book Antiqua" w:hAnsi="Book Antiqua" w:cs="Arial"/>
          <w:sz w:val="24"/>
          <w:szCs w:val="24"/>
        </w:rPr>
        <w:t xml:space="preserve"> our group</w:t>
      </w:r>
      <w:r w:rsidR="00C25AE9" w:rsidRPr="005E456A">
        <w:rPr>
          <w:rFonts w:ascii="Book Antiqua" w:hAnsi="Book Antiqua" w:cs="Arial"/>
          <w:sz w:val="24"/>
          <w:szCs w:val="24"/>
        </w:rPr>
        <w:t xml:space="preserve"> screened for focal gastric lesions </w:t>
      </w:r>
      <w:r w:rsidR="00D22102" w:rsidRPr="005E456A">
        <w:rPr>
          <w:rFonts w:ascii="Book Antiqua" w:hAnsi="Book Antiqua" w:cs="Arial"/>
          <w:sz w:val="24"/>
          <w:szCs w:val="24"/>
        </w:rPr>
        <w:t>using</w:t>
      </w:r>
      <w:r w:rsidR="00C25AE9" w:rsidRPr="005E456A">
        <w:rPr>
          <w:rFonts w:ascii="Book Antiqua" w:hAnsi="Book Antiqua" w:cs="Arial"/>
          <w:sz w:val="24"/>
          <w:szCs w:val="24"/>
        </w:rPr>
        <w:t xml:space="preserve"> WLE followed by characterization of detected lesions by </w:t>
      </w:r>
      <w:r w:rsidR="00EA2F63" w:rsidRPr="005E456A">
        <w:rPr>
          <w:rFonts w:ascii="Book Antiqua" w:hAnsi="Book Antiqua" w:cs="Arial"/>
          <w:sz w:val="24"/>
          <w:szCs w:val="24"/>
        </w:rPr>
        <w:t>magnified NBI (</w:t>
      </w:r>
      <w:r w:rsidR="00C25AE9" w:rsidRPr="005E456A">
        <w:rPr>
          <w:rFonts w:ascii="Book Antiqua" w:hAnsi="Book Antiqua" w:cs="Arial"/>
          <w:sz w:val="24"/>
          <w:szCs w:val="24"/>
        </w:rPr>
        <w:t>M-NB</w:t>
      </w:r>
      <w:r w:rsidR="00D22102" w:rsidRPr="005E456A">
        <w:rPr>
          <w:rFonts w:ascii="Book Antiqua" w:hAnsi="Book Antiqua" w:cs="Arial"/>
          <w:sz w:val="24"/>
          <w:szCs w:val="24"/>
        </w:rPr>
        <w:t>I</w:t>
      </w:r>
      <w:r w:rsidR="00EA2F63" w:rsidRPr="005E456A">
        <w:rPr>
          <w:rFonts w:ascii="Book Antiqua" w:hAnsi="Book Antiqua" w:cs="Arial"/>
          <w:sz w:val="24"/>
          <w:szCs w:val="24"/>
        </w:rPr>
        <w:t>)</w:t>
      </w:r>
      <w:r w:rsidR="00EA2F63" w:rsidRPr="005E456A">
        <w:rPr>
          <w:rFonts w:ascii="Book Antiqua" w:hAnsi="Book Antiqua" w:cs="Arial"/>
          <w:sz w:val="24"/>
          <w:szCs w:val="24"/>
          <w:vertAlign w:val="superscript"/>
        </w:rPr>
        <w:t>[3</w:t>
      </w:r>
      <w:r w:rsidR="00AB626B" w:rsidRPr="005E456A">
        <w:rPr>
          <w:rFonts w:ascii="Book Antiqua" w:hAnsi="Book Antiqua" w:cs="Arial"/>
          <w:sz w:val="24"/>
          <w:szCs w:val="24"/>
          <w:vertAlign w:val="superscript"/>
        </w:rPr>
        <w:t>4</w:t>
      </w:r>
      <w:r w:rsidR="00EA2F63" w:rsidRPr="005E456A">
        <w:rPr>
          <w:rFonts w:ascii="Book Antiqua" w:hAnsi="Book Antiqua" w:cs="Arial"/>
          <w:sz w:val="24"/>
          <w:szCs w:val="24"/>
          <w:vertAlign w:val="superscript"/>
        </w:rPr>
        <w:t>]</w:t>
      </w:r>
      <w:r w:rsidR="00C25AE9" w:rsidRPr="005E456A">
        <w:rPr>
          <w:rFonts w:ascii="Book Antiqua" w:hAnsi="Book Antiqua" w:cs="Arial"/>
          <w:sz w:val="24"/>
          <w:szCs w:val="24"/>
        </w:rPr>
        <w:t xml:space="preserve">. </w:t>
      </w:r>
      <w:r w:rsidR="00135C6D" w:rsidRPr="005E456A">
        <w:rPr>
          <w:rFonts w:ascii="Book Antiqua" w:hAnsi="Book Antiqua" w:cs="Arial"/>
          <w:sz w:val="24"/>
          <w:szCs w:val="24"/>
        </w:rPr>
        <w:t>Additional 15% lesions</w:t>
      </w:r>
      <w:r w:rsidR="00C25AE9" w:rsidRPr="005E456A">
        <w:rPr>
          <w:rFonts w:ascii="Book Antiqua" w:hAnsi="Book Antiqua" w:cs="Arial"/>
          <w:sz w:val="24"/>
          <w:szCs w:val="24"/>
        </w:rPr>
        <w:t xml:space="preserve"> (mostly </w:t>
      </w:r>
      <w:r w:rsidR="00E07884" w:rsidRPr="005E456A">
        <w:rPr>
          <w:rFonts w:ascii="Book Antiqua" w:hAnsi="Book Antiqua" w:cs="Arial"/>
          <w:sz w:val="24"/>
          <w:szCs w:val="24"/>
        </w:rPr>
        <w:t>IM</w:t>
      </w:r>
      <w:r w:rsidR="00C25AE9" w:rsidRPr="005E456A">
        <w:rPr>
          <w:rFonts w:ascii="Book Antiqua" w:hAnsi="Book Antiqua" w:cs="Arial"/>
          <w:sz w:val="24"/>
          <w:szCs w:val="24"/>
        </w:rPr>
        <w:t>) were detected with M-NBI</w:t>
      </w:r>
      <w:r w:rsidR="00977475" w:rsidRPr="005E456A">
        <w:rPr>
          <w:rFonts w:ascii="Book Antiqua" w:hAnsi="Book Antiqua" w:cs="Arial"/>
          <w:sz w:val="24"/>
          <w:szCs w:val="24"/>
        </w:rPr>
        <w:t xml:space="preserve"> (Fig</w:t>
      </w:r>
      <w:r w:rsidR="008C25A7" w:rsidRPr="005E456A">
        <w:rPr>
          <w:rFonts w:ascii="Book Antiqua" w:hAnsi="Book Antiqua" w:cs="Arial"/>
          <w:sz w:val="24"/>
          <w:szCs w:val="24"/>
        </w:rPr>
        <w:t xml:space="preserve">ure </w:t>
      </w:r>
      <w:r w:rsidR="00115935">
        <w:rPr>
          <w:rFonts w:ascii="Book Antiqua" w:hAnsi="Book Antiqua" w:cs="Arial" w:hint="eastAsia"/>
          <w:sz w:val="24"/>
          <w:szCs w:val="24"/>
        </w:rPr>
        <w:t>4</w:t>
      </w:r>
      <w:r w:rsidR="00977475" w:rsidRPr="005E456A">
        <w:rPr>
          <w:rFonts w:ascii="Book Antiqua" w:hAnsi="Book Antiqua" w:cs="Arial"/>
          <w:sz w:val="24"/>
          <w:szCs w:val="24"/>
        </w:rPr>
        <w:t>)</w:t>
      </w:r>
      <w:r w:rsidR="00C25AE9" w:rsidRPr="005E456A">
        <w:rPr>
          <w:rFonts w:ascii="Book Antiqua" w:hAnsi="Book Antiqua" w:cs="Arial"/>
          <w:sz w:val="24"/>
          <w:szCs w:val="24"/>
        </w:rPr>
        <w:t>. In another multicentre prospective study using the similar sequence (WLE followed by M-NBI), the accuracy of M-NBI for high confidence diagnoses of gastric lesions was 98%</w:t>
      </w:r>
      <w:r w:rsidR="004325E0" w:rsidRPr="005E456A">
        <w:rPr>
          <w:rFonts w:ascii="Book Antiqua" w:hAnsi="Book Antiqua" w:cs="Arial"/>
          <w:sz w:val="24"/>
          <w:szCs w:val="24"/>
          <w:vertAlign w:val="superscript"/>
        </w:rPr>
        <w:t>[3</w:t>
      </w:r>
      <w:r w:rsidR="00AB626B" w:rsidRPr="005E456A">
        <w:rPr>
          <w:rFonts w:ascii="Book Antiqua" w:hAnsi="Book Antiqua" w:cs="Arial"/>
          <w:sz w:val="24"/>
          <w:szCs w:val="24"/>
          <w:vertAlign w:val="superscript"/>
        </w:rPr>
        <w:t>5</w:t>
      </w:r>
      <w:r w:rsidR="004325E0" w:rsidRPr="005E456A">
        <w:rPr>
          <w:rFonts w:ascii="Book Antiqua" w:hAnsi="Book Antiqua" w:cs="Arial"/>
          <w:sz w:val="24"/>
          <w:szCs w:val="24"/>
          <w:vertAlign w:val="superscript"/>
        </w:rPr>
        <w:t>]</w:t>
      </w:r>
      <w:r w:rsidR="00C25AE9" w:rsidRPr="005E456A">
        <w:rPr>
          <w:rFonts w:ascii="Book Antiqua" w:hAnsi="Book Antiqua" w:cs="Arial"/>
          <w:sz w:val="24"/>
          <w:szCs w:val="24"/>
        </w:rPr>
        <w:t>. In a recent prospective study with more than three thousands non-selected patients, gastric examination</w:t>
      </w:r>
      <w:r w:rsidR="002C1B7E" w:rsidRPr="005E456A">
        <w:rPr>
          <w:rFonts w:ascii="Book Antiqua" w:hAnsi="Book Antiqua" w:cs="Arial"/>
          <w:sz w:val="24"/>
          <w:szCs w:val="24"/>
        </w:rPr>
        <w:t>s were</w:t>
      </w:r>
      <w:r w:rsidR="00C25AE9" w:rsidRPr="005E456A">
        <w:rPr>
          <w:rFonts w:ascii="Book Antiqua" w:hAnsi="Book Antiqua" w:cs="Arial"/>
          <w:sz w:val="24"/>
          <w:szCs w:val="24"/>
        </w:rPr>
        <w:t xml:space="preserve"> performed with high-definition white light (HD-WLE) followed by magnification end</w:t>
      </w:r>
      <w:r w:rsidR="00D04643">
        <w:rPr>
          <w:rFonts w:ascii="Book Antiqua" w:hAnsi="Book Antiqua" w:cs="Arial"/>
          <w:sz w:val="24"/>
          <w:szCs w:val="24"/>
        </w:rPr>
        <w:t>oscopy (ME) and then with M-NBI</w:t>
      </w:r>
      <w:r w:rsidR="00AB626B" w:rsidRPr="005E456A">
        <w:rPr>
          <w:rFonts w:ascii="Book Antiqua" w:hAnsi="Book Antiqua" w:cs="Arial"/>
          <w:sz w:val="24"/>
          <w:szCs w:val="24"/>
          <w:vertAlign w:val="superscript"/>
        </w:rPr>
        <w:t>[36</w:t>
      </w:r>
      <w:r w:rsidR="00DD1BB4" w:rsidRPr="005E456A">
        <w:rPr>
          <w:rFonts w:ascii="Book Antiqua" w:hAnsi="Book Antiqua" w:cs="Arial"/>
          <w:sz w:val="24"/>
          <w:szCs w:val="24"/>
          <w:vertAlign w:val="superscript"/>
        </w:rPr>
        <w:t>]</w:t>
      </w:r>
      <w:r w:rsidR="00C25AE9" w:rsidRPr="005E456A">
        <w:rPr>
          <w:rFonts w:ascii="Book Antiqua" w:hAnsi="Book Antiqua" w:cs="Arial"/>
          <w:sz w:val="24"/>
          <w:szCs w:val="24"/>
        </w:rPr>
        <w:t xml:space="preserve">. Using such strategy to detect </w:t>
      </w:r>
      <w:r w:rsidR="00E07884" w:rsidRPr="005E456A">
        <w:rPr>
          <w:rFonts w:ascii="Book Antiqua" w:hAnsi="Book Antiqua" w:cs="Arial"/>
          <w:sz w:val="24"/>
          <w:szCs w:val="24"/>
        </w:rPr>
        <w:t>EGC</w:t>
      </w:r>
      <w:r w:rsidR="00C25AE9" w:rsidRPr="005E456A">
        <w:rPr>
          <w:rFonts w:ascii="Book Antiqua" w:hAnsi="Book Antiqua" w:cs="Arial"/>
          <w:sz w:val="24"/>
          <w:szCs w:val="24"/>
        </w:rPr>
        <w:t>, ME and M-NBI had significantly higher sensitivities when compared to HD-WLE. However, there were no differences among specificities of th</w:t>
      </w:r>
      <w:r w:rsidR="006571B2" w:rsidRPr="005E456A">
        <w:rPr>
          <w:rFonts w:ascii="Book Antiqua" w:hAnsi="Book Antiqua" w:cs="Arial"/>
          <w:sz w:val="24"/>
          <w:szCs w:val="24"/>
        </w:rPr>
        <w:t>e</w:t>
      </w:r>
      <w:r w:rsidR="00C25AE9" w:rsidRPr="005E456A">
        <w:rPr>
          <w:rFonts w:ascii="Book Antiqua" w:hAnsi="Book Antiqua" w:cs="Arial"/>
          <w:sz w:val="24"/>
          <w:szCs w:val="24"/>
        </w:rPr>
        <w:t xml:space="preserve"> </w:t>
      </w:r>
      <w:r w:rsidR="006571B2" w:rsidRPr="005E456A">
        <w:rPr>
          <w:rFonts w:ascii="Book Antiqua" w:hAnsi="Book Antiqua" w:cs="Arial"/>
          <w:sz w:val="24"/>
          <w:szCs w:val="24"/>
        </w:rPr>
        <w:t xml:space="preserve">techniques. </w:t>
      </w:r>
    </w:p>
    <w:p w14:paraId="5AE3DFC7" w14:textId="2A153BA6" w:rsidR="00C25AE9" w:rsidRPr="005E456A" w:rsidRDefault="006571B2" w:rsidP="005E456A">
      <w:pPr>
        <w:pStyle w:val="ListParagraph"/>
        <w:spacing w:after="0" w:line="360" w:lineRule="auto"/>
        <w:ind w:left="0" w:firstLine="360"/>
        <w:jc w:val="both"/>
        <w:rPr>
          <w:rFonts w:ascii="Book Antiqua" w:hAnsi="Book Antiqua" w:cs="Arial"/>
          <w:sz w:val="24"/>
          <w:szCs w:val="24"/>
        </w:rPr>
      </w:pPr>
      <w:r w:rsidRPr="005E456A">
        <w:rPr>
          <w:rFonts w:ascii="Book Antiqua" w:hAnsi="Book Antiqua" w:cs="Arial"/>
          <w:sz w:val="24"/>
          <w:szCs w:val="24"/>
        </w:rPr>
        <w:t>T</w:t>
      </w:r>
      <w:r w:rsidR="00C25AE9" w:rsidRPr="005E456A">
        <w:rPr>
          <w:rFonts w:ascii="Book Antiqua" w:hAnsi="Book Antiqua" w:cs="Arial"/>
          <w:sz w:val="24"/>
          <w:szCs w:val="24"/>
        </w:rPr>
        <w:t>he ne</w:t>
      </w:r>
      <w:r w:rsidRPr="005E456A">
        <w:rPr>
          <w:rFonts w:ascii="Book Antiqua" w:hAnsi="Book Antiqua" w:cs="Arial"/>
          <w:sz w:val="24"/>
          <w:szCs w:val="24"/>
        </w:rPr>
        <w:t xml:space="preserve">w generation NBI system </w:t>
      </w:r>
      <w:r w:rsidR="007A0242" w:rsidRPr="005E456A">
        <w:rPr>
          <w:rFonts w:ascii="Book Antiqua" w:hAnsi="Book Antiqua" w:cs="Arial"/>
          <w:sz w:val="24"/>
          <w:szCs w:val="24"/>
        </w:rPr>
        <w:t>introduced</w:t>
      </w:r>
      <w:r w:rsidRPr="005E456A">
        <w:rPr>
          <w:rFonts w:ascii="Book Antiqua" w:hAnsi="Book Antiqua" w:cs="Arial"/>
          <w:sz w:val="24"/>
          <w:szCs w:val="24"/>
        </w:rPr>
        <w:t xml:space="preserve"> in 2012</w:t>
      </w:r>
      <w:r w:rsidR="00425F78" w:rsidRPr="005E456A">
        <w:rPr>
          <w:rFonts w:ascii="Book Antiqua" w:hAnsi="Book Antiqua" w:cs="Arial"/>
          <w:sz w:val="24"/>
          <w:szCs w:val="24"/>
        </w:rPr>
        <w:t xml:space="preserve"> (</w:t>
      </w:r>
      <w:r w:rsidR="009F1CAF" w:rsidRPr="009F1CAF">
        <w:rPr>
          <w:rFonts w:ascii="Book Antiqua" w:hAnsi="Book Antiqua" w:cs="Arial"/>
          <w:i/>
          <w:sz w:val="24"/>
          <w:szCs w:val="24"/>
        </w:rPr>
        <w:t>e.g.,</w:t>
      </w:r>
      <w:r w:rsidR="00425F78" w:rsidRPr="005E456A">
        <w:rPr>
          <w:rFonts w:ascii="Book Antiqua" w:hAnsi="Book Antiqua" w:cs="Arial"/>
          <w:sz w:val="24"/>
          <w:szCs w:val="24"/>
        </w:rPr>
        <w:t xml:space="preserve"> the “EVIS EXERA III” or “EVIS LUCERA</w:t>
      </w:r>
      <w:r w:rsidR="00C25AE9" w:rsidRPr="005E456A">
        <w:rPr>
          <w:rFonts w:ascii="Book Antiqua" w:hAnsi="Book Antiqua" w:cs="Arial"/>
          <w:sz w:val="24"/>
          <w:szCs w:val="24"/>
        </w:rPr>
        <w:t>”</w:t>
      </w:r>
      <w:r w:rsidRPr="005E456A">
        <w:rPr>
          <w:rFonts w:ascii="Book Antiqua" w:hAnsi="Book Antiqua" w:cs="Arial"/>
          <w:sz w:val="24"/>
          <w:szCs w:val="24"/>
        </w:rPr>
        <w:t xml:space="preserve"> from Olympus Corporation) attempt</w:t>
      </w:r>
      <w:r w:rsidR="00C25AE9" w:rsidRPr="005E456A">
        <w:rPr>
          <w:rFonts w:ascii="Book Antiqua" w:hAnsi="Book Antiqua" w:cs="Arial"/>
          <w:sz w:val="24"/>
          <w:szCs w:val="24"/>
        </w:rPr>
        <w:t xml:space="preserve"> to overcome the drawback of dark views by having an upgraded xenon light source. Besides</w:t>
      </w:r>
      <w:r w:rsidR="00230602" w:rsidRPr="005E456A">
        <w:rPr>
          <w:rFonts w:ascii="Book Antiqua" w:hAnsi="Book Antiqua" w:cs="Arial"/>
          <w:sz w:val="24"/>
          <w:szCs w:val="24"/>
        </w:rPr>
        <w:t xml:space="preserve"> this</w:t>
      </w:r>
      <w:r w:rsidR="00C25AE9" w:rsidRPr="005E456A">
        <w:rPr>
          <w:rFonts w:ascii="Book Antiqua" w:hAnsi="Book Antiqua" w:cs="Arial"/>
          <w:sz w:val="24"/>
          <w:szCs w:val="24"/>
        </w:rPr>
        <w:t>, the new systems</w:t>
      </w:r>
      <w:r w:rsidR="007258C9" w:rsidRPr="005E456A">
        <w:rPr>
          <w:rFonts w:ascii="Book Antiqua" w:hAnsi="Book Antiqua" w:cs="Arial"/>
          <w:sz w:val="24"/>
          <w:szCs w:val="24"/>
        </w:rPr>
        <w:t xml:space="preserve"> also</w:t>
      </w:r>
      <w:r w:rsidR="00C25AE9" w:rsidRPr="005E456A">
        <w:rPr>
          <w:rFonts w:ascii="Book Antiqua" w:hAnsi="Book Antiqua" w:cs="Arial"/>
          <w:sz w:val="24"/>
          <w:szCs w:val="24"/>
        </w:rPr>
        <w:t xml:space="preserve"> have two filters for blue light and one filter for green light in contrast with previous NBI system where only one filter each is used for blue and green. Thus, this new generation NBI system (sometimes known as bright-NBI) produce</w:t>
      </w:r>
      <w:r w:rsidR="00A33D9C" w:rsidRPr="005E456A">
        <w:rPr>
          <w:rFonts w:ascii="Book Antiqua" w:hAnsi="Book Antiqua" w:cs="Arial"/>
          <w:sz w:val="24"/>
          <w:szCs w:val="24"/>
        </w:rPr>
        <w:t>s</w:t>
      </w:r>
      <w:r w:rsidR="00C25AE9" w:rsidRPr="005E456A">
        <w:rPr>
          <w:rFonts w:ascii="Book Antiqua" w:hAnsi="Book Antiqua" w:cs="Arial"/>
          <w:sz w:val="24"/>
          <w:szCs w:val="24"/>
        </w:rPr>
        <w:t xml:space="preserve"> brighter </w:t>
      </w:r>
      <w:r w:rsidR="00A33D9C" w:rsidRPr="005E456A">
        <w:rPr>
          <w:rFonts w:ascii="Book Antiqua" w:hAnsi="Book Antiqua" w:cs="Arial"/>
          <w:sz w:val="24"/>
          <w:szCs w:val="24"/>
        </w:rPr>
        <w:t>NBI images even from a distance</w:t>
      </w:r>
      <w:r w:rsidR="00C25AE9" w:rsidRPr="005E456A">
        <w:rPr>
          <w:rFonts w:ascii="Book Antiqua" w:hAnsi="Book Antiqua" w:cs="Arial"/>
          <w:sz w:val="24"/>
          <w:szCs w:val="24"/>
        </w:rPr>
        <w:t xml:space="preserve">. In a recent multicentre prospective </w:t>
      </w:r>
      <w:r w:rsidR="00E07884" w:rsidRPr="005E456A">
        <w:rPr>
          <w:rFonts w:ascii="Book Antiqua" w:hAnsi="Book Antiqua" w:cs="Arial"/>
          <w:sz w:val="24"/>
          <w:szCs w:val="24"/>
        </w:rPr>
        <w:t xml:space="preserve">randomized </w:t>
      </w:r>
      <w:r w:rsidR="00AB626B" w:rsidRPr="005E456A">
        <w:rPr>
          <w:rFonts w:ascii="Book Antiqua" w:hAnsi="Book Antiqua" w:cs="Arial"/>
          <w:sz w:val="24"/>
          <w:szCs w:val="24"/>
        </w:rPr>
        <w:t>study, our group</w:t>
      </w:r>
      <w:r w:rsidR="00C25AE9" w:rsidRPr="005E456A">
        <w:rPr>
          <w:rFonts w:ascii="Book Antiqua" w:hAnsi="Book Antiqua" w:cs="Arial"/>
          <w:sz w:val="24"/>
          <w:szCs w:val="24"/>
        </w:rPr>
        <w:t xml:space="preserve"> compared the HD-WLE with the new generation bright-NBI system (either 190-NBI or 290-NBI) for screening of focal gastric lesions (FGL)</w:t>
      </w:r>
      <w:r w:rsidR="00A33D9C" w:rsidRPr="005E456A">
        <w:rPr>
          <w:rFonts w:ascii="Book Antiqua" w:hAnsi="Book Antiqua" w:cs="Arial"/>
          <w:sz w:val="24"/>
          <w:szCs w:val="24"/>
          <w:vertAlign w:val="superscript"/>
        </w:rPr>
        <w:t>[4</w:t>
      </w:r>
      <w:r w:rsidR="00AB626B" w:rsidRPr="005E456A">
        <w:rPr>
          <w:rFonts w:ascii="Book Antiqua" w:hAnsi="Book Antiqua" w:cs="Arial"/>
          <w:sz w:val="24"/>
          <w:szCs w:val="24"/>
          <w:vertAlign w:val="superscript"/>
        </w:rPr>
        <w:t>0]</w:t>
      </w:r>
      <w:r w:rsidR="00C25AE9" w:rsidRPr="005E456A">
        <w:rPr>
          <w:rFonts w:ascii="Book Antiqua" w:hAnsi="Book Antiqua" w:cs="Arial"/>
          <w:sz w:val="24"/>
          <w:szCs w:val="24"/>
        </w:rPr>
        <w:t>. The detection rate of FGL was higher with bright</w:t>
      </w:r>
      <w:r w:rsidR="00566F96">
        <w:rPr>
          <w:rFonts w:ascii="Book Antiqua" w:hAnsi="Book Antiqua" w:cs="Arial"/>
          <w:sz w:val="24"/>
          <w:szCs w:val="24"/>
        </w:rPr>
        <w:t xml:space="preserve">-NBI than with HD-WLE (41% </w:t>
      </w:r>
      <w:r w:rsidR="00566F96" w:rsidRPr="00566F96">
        <w:rPr>
          <w:rFonts w:ascii="Book Antiqua" w:hAnsi="Book Antiqua" w:cs="Arial"/>
          <w:i/>
          <w:sz w:val="24"/>
          <w:szCs w:val="24"/>
        </w:rPr>
        <w:t>v</w:t>
      </w:r>
      <w:r w:rsidR="00C25AE9" w:rsidRPr="00566F96">
        <w:rPr>
          <w:rFonts w:ascii="Book Antiqua" w:hAnsi="Book Antiqua" w:cs="Arial"/>
          <w:i/>
          <w:sz w:val="24"/>
          <w:szCs w:val="24"/>
        </w:rPr>
        <w:t xml:space="preserve">s </w:t>
      </w:r>
      <w:r w:rsidR="00C25AE9" w:rsidRPr="005E456A">
        <w:rPr>
          <w:rFonts w:ascii="Book Antiqua" w:hAnsi="Book Antiqua" w:cs="Arial"/>
          <w:sz w:val="24"/>
          <w:szCs w:val="24"/>
        </w:rPr>
        <w:t xml:space="preserve">29%; </w:t>
      </w:r>
      <w:r w:rsidR="00107249" w:rsidRPr="00107249">
        <w:rPr>
          <w:rFonts w:ascii="Book Antiqua" w:hAnsi="Book Antiqua" w:cs="Arial"/>
          <w:i/>
          <w:sz w:val="24"/>
          <w:szCs w:val="24"/>
        </w:rPr>
        <w:t xml:space="preserve">P </w:t>
      </w:r>
      <w:r w:rsidR="00107249">
        <w:rPr>
          <w:rFonts w:ascii="Book Antiqua" w:hAnsi="Book Antiqua" w:cs="Arial" w:hint="eastAsia"/>
          <w:sz w:val="24"/>
          <w:szCs w:val="24"/>
        </w:rPr>
        <w:t>=</w:t>
      </w:r>
      <w:r w:rsidR="00C25AE9" w:rsidRPr="005E456A">
        <w:rPr>
          <w:rFonts w:ascii="Book Antiqua" w:hAnsi="Book Antiqua" w:cs="Arial"/>
          <w:sz w:val="24"/>
          <w:szCs w:val="24"/>
        </w:rPr>
        <w:t xml:space="preserve"> 0.003). </w:t>
      </w:r>
    </w:p>
    <w:p w14:paraId="4A83EDE5" w14:textId="77777777" w:rsidR="007822B3" w:rsidRPr="005E456A" w:rsidRDefault="007822B3" w:rsidP="005E456A">
      <w:pPr>
        <w:spacing w:after="0" w:line="360" w:lineRule="auto"/>
        <w:jc w:val="both"/>
        <w:rPr>
          <w:rFonts w:ascii="Book Antiqua" w:hAnsi="Book Antiqua" w:cs="Arial"/>
          <w:b/>
          <w:sz w:val="24"/>
          <w:szCs w:val="24"/>
        </w:rPr>
      </w:pPr>
    </w:p>
    <w:p w14:paraId="730CCED3" w14:textId="1306A4E3" w:rsidR="00C25AE9" w:rsidRPr="005E456A" w:rsidRDefault="00C25AE9" w:rsidP="005E456A">
      <w:pPr>
        <w:spacing w:after="0" w:line="360" w:lineRule="auto"/>
        <w:jc w:val="both"/>
        <w:rPr>
          <w:rFonts w:ascii="Book Antiqua" w:hAnsi="Book Antiqua" w:cs="Arial"/>
          <w:b/>
          <w:i/>
          <w:sz w:val="24"/>
          <w:szCs w:val="24"/>
        </w:rPr>
      </w:pPr>
      <w:r w:rsidRPr="005E456A">
        <w:rPr>
          <w:rFonts w:ascii="Book Antiqua" w:hAnsi="Book Antiqua" w:cs="Arial"/>
          <w:b/>
          <w:i/>
          <w:sz w:val="24"/>
          <w:szCs w:val="24"/>
        </w:rPr>
        <w:t xml:space="preserve">Magnifying-NBI for </w:t>
      </w:r>
      <w:r w:rsidR="00AB626B" w:rsidRPr="005E456A">
        <w:rPr>
          <w:rFonts w:ascii="Book Antiqua" w:hAnsi="Book Antiqua" w:cs="Arial"/>
          <w:b/>
          <w:i/>
          <w:sz w:val="24"/>
          <w:szCs w:val="24"/>
        </w:rPr>
        <w:t xml:space="preserve">diagnosis of </w:t>
      </w:r>
      <w:r w:rsidR="00E07884" w:rsidRPr="00566F96">
        <w:rPr>
          <w:rFonts w:ascii="Book Antiqua" w:hAnsi="Book Antiqua" w:cs="Arial"/>
          <w:b/>
          <w:i/>
          <w:sz w:val="24"/>
          <w:szCs w:val="24"/>
        </w:rPr>
        <w:t>H. pylori</w:t>
      </w:r>
      <w:r w:rsidR="00135C6D" w:rsidRPr="005E456A">
        <w:rPr>
          <w:rFonts w:ascii="Book Antiqua" w:hAnsi="Book Antiqua" w:cs="Arial"/>
          <w:b/>
          <w:i/>
          <w:sz w:val="24"/>
          <w:szCs w:val="24"/>
        </w:rPr>
        <w:t xml:space="preserve"> </w:t>
      </w:r>
      <w:r w:rsidRPr="005E456A">
        <w:rPr>
          <w:rFonts w:ascii="Book Antiqua" w:hAnsi="Book Antiqua" w:cs="Arial"/>
          <w:b/>
          <w:i/>
          <w:sz w:val="24"/>
          <w:szCs w:val="24"/>
        </w:rPr>
        <w:t>gastritis</w:t>
      </w:r>
    </w:p>
    <w:p w14:paraId="12CD2066" w14:textId="4C5CFB09" w:rsidR="00C25AE9" w:rsidRPr="005E456A" w:rsidRDefault="00C25AE9" w:rsidP="00566F96">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t xml:space="preserve">Since </w:t>
      </w:r>
      <w:r w:rsidR="00873EC8" w:rsidRPr="005E456A">
        <w:rPr>
          <w:rFonts w:ascii="Book Antiqua" w:hAnsi="Book Antiqua" w:cs="Arial"/>
          <w:i/>
          <w:sz w:val="24"/>
          <w:szCs w:val="24"/>
        </w:rPr>
        <w:t>H. pylori</w:t>
      </w:r>
      <w:r w:rsidRPr="005E456A">
        <w:rPr>
          <w:rFonts w:ascii="Book Antiqua" w:hAnsi="Book Antiqua" w:cs="Arial"/>
          <w:sz w:val="24"/>
          <w:szCs w:val="24"/>
        </w:rPr>
        <w:t xml:space="preserve"> infection produces alterations in the microsurface structures and microvascular patterns of gastric mucosa, it is postulated that the magnified NBI views may be helpful for real-time diagnosis of </w:t>
      </w:r>
      <w:r w:rsidR="00873EC8" w:rsidRPr="005E456A">
        <w:rPr>
          <w:rFonts w:ascii="Book Antiqua" w:hAnsi="Book Antiqua" w:cs="Arial"/>
          <w:i/>
          <w:sz w:val="24"/>
          <w:szCs w:val="24"/>
        </w:rPr>
        <w:t>H. pylori</w:t>
      </w:r>
      <w:r w:rsidRPr="005E456A">
        <w:rPr>
          <w:rFonts w:ascii="Book Antiqua" w:hAnsi="Book Antiqua" w:cs="Arial"/>
          <w:sz w:val="24"/>
          <w:szCs w:val="24"/>
        </w:rPr>
        <w:t xml:space="preserve"> gastritis. For this pathology, there has been considerable interest by researchers for two reasons. First, the high-</w:t>
      </w:r>
      <w:r w:rsidRPr="005E456A">
        <w:rPr>
          <w:rFonts w:ascii="Book Antiqua" w:hAnsi="Book Antiqua" w:cs="Arial"/>
          <w:sz w:val="24"/>
          <w:szCs w:val="24"/>
        </w:rPr>
        <w:lastRenderedPageBreak/>
        <w:t xml:space="preserve">confidence real-time diagnosis of </w:t>
      </w:r>
      <w:r w:rsidR="00873EC8" w:rsidRPr="005E456A">
        <w:rPr>
          <w:rFonts w:ascii="Book Antiqua" w:hAnsi="Book Antiqua" w:cs="Arial"/>
          <w:i/>
          <w:sz w:val="24"/>
          <w:szCs w:val="24"/>
        </w:rPr>
        <w:t>H. pylori</w:t>
      </w:r>
      <w:r w:rsidRPr="005E456A">
        <w:rPr>
          <w:rFonts w:ascii="Book Antiqua" w:hAnsi="Book Antiqua" w:cs="Arial"/>
          <w:sz w:val="24"/>
          <w:szCs w:val="24"/>
        </w:rPr>
        <w:t xml:space="preserve"> may stimulate an endoscopist to be more vigilant for</w:t>
      </w:r>
      <w:r w:rsidR="006A0291" w:rsidRPr="005E456A">
        <w:rPr>
          <w:rFonts w:ascii="Book Antiqua" w:hAnsi="Book Antiqua" w:cs="Arial"/>
          <w:sz w:val="24"/>
          <w:szCs w:val="24"/>
        </w:rPr>
        <w:t xml:space="preserve"> concomitant</w:t>
      </w:r>
      <w:r w:rsidRPr="005E456A">
        <w:rPr>
          <w:rFonts w:ascii="Book Antiqua" w:hAnsi="Book Antiqua" w:cs="Arial"/>
          <w:sz w:val="24"/>
          <w:szCs w:val="24"/>
        </w:rPr>
        <w:t xml:space="preserve"> pre-malignant and malignant lesions of stomach. Also, the real-time gastric mucosal pattern analyses may theoretically help in obtaining targeted biopsies instead of routine practice of blind-biopsies for </w:t>
      </w:r>
      <w:r w:rsidR="00873EC8" w:rsidRPr="005E456A">
        <w:rPr>
          <w:rFonts w:ascii="Book Antiqua" w:hAnsi="Book Antiqua" w:cs="Arial"/>
          <w:i/>
          <w:sz w:val="24"/>
          <w:szCs w:val="24"/>
        </w:rPr>
        <w:t>H. pylori</w:t>
      </w:r>
      <w:r w:rsidRPr="005E456A">
        <w:rPr>
          <w:rFonts w:ascii="Book Antiqua" w:hAnsi="Book Antiqua" w:cs="Arial"/>
          <w:sz w:val="24"/>
          <w:szCs w:val="24"/>
        </w:rPr>
        <w:t xml:space="preserve"> check. In a prospective st</w:t>
      </w:r>
      <w:r w:rsidR="003F7C99" w:rsidRPr="005E456A">
        <w:rPr>
          <w:rFonts w:ascii="Book Antiqua" w:hAnsi="Book Antiqua" w:cs="Arial"/>
          <w:sz w:val="24"/>
          <w:szCs w:val="24"/>
        </w:rPr>
        <w:t xml:space="preserve">udy in 2009, Tahara </w:t>
      </w:r>
      <w:r w:rsidR="003F7C99" w:rsidRPr="00566F96">
        <w:rPr>
          <w:rFonts w:ascii="Book Antiqua" w:hAnsi="Book Antiqua" w:cs="Arial"/>
          <w:i/>
          <w:sz w:val="24"/>
          <w:szCs w:val="24"/>
        </w:rPr>
        <w:t>et al</w:t>
      </w:r>
      <w:r w:rsidR="00566F96" w:rsidRPr="005E456A">
        <w:rPr>
          <w:rFonts w:ascii="Book Antiqua" w:hAnsi="Book Antiqua" w:cs="Arial"/>
          <w:sz w:val="24"/>
          <w:szCs w:val="24"/>
          <w:vertAlign w:val="superscript"/>
        </w:rPr>
        <w:t>[41]</w:t>
      </w:r>
      <w:r w:rsidR="003F7C99" w:rsidRPr="005E456A">
        <w:rPr>
          <w:rFonts w:ascii="Book Antiqua" w:hAnsi="Book Antiqua" w:cs="Arial"/>
          <w:sz w:val="24"/>
          <w:szCs w:val="24"/>
        </w:rPr>
        <w:t xml:space="preserve"> </w:t>
      </w:r>
      <w:r w:rsidRPr="005E456A">
        <w:rPr>
          <w:rFonts w:ascii="Book Antiqua" w:hAnsi="Book Antiqua" w:cs="Arial"/>
          <w:sz w:val="24"/>
          <w:szCs w:val="24"/>
        </w:rPr>
        <w:t xml:space="preserve">attempted to correlate gastric mucosal patterns on </w:t>
      </w:r>
      <w:r w:rsidR="008F36D6">
        <w:rPr>
          <w:rFonts w:ascii="Book Antiqua" w:hAnsi="Book Antiqua" w:cs="Arial" w:hint="eastAsia"/>
          <w:sz w:val="24"/>
          <w:szCs w:val="24"/>
        </w:rPr>
        <w:t>m</w:t>
      </w:r>
      <w:r w:rsidR="008F36D6" w:rsidRPr="008F36D6">
        <w:rPr>
          <w:rFonts w:ascii="Book Antiqua" w:hAnsi="Book Antiqua" w:cs="Arial"/>
          <w:sz w:val="24"/>
          <w:szCs w:val="24"/>
        </w:rPr>
        <w:t>agnifying-NBI (M-NBI)</w:t>
      </w:r>
      <w:r w:rsidRPr="008F36D6">
        <w:rPr>
          <w:rFonts w:ascii="Book Antiqua" w:hAnsi="Book Antiqua" w:cs="Arial"/>
          <w:sz w:val="24"/>
          <w:szCs w:val="24"/>
        </w:rPr>
        <w:t xml:space="preserve"> </w:t>
      </w:r>
      <w:r w:rsidRPr="005E456A">
        <w:rPr>
          <w:rFonts w:ascii="Book Antiqua" w:hAnsi="Book Antiqua" w:cs="Arial"/>
          <w:sz w:val="24"/>
          <w:szCs w:val="24"/>
        </w:rPr>
        <w:t xml:space="preserve">with </w:t>
      </w:r>
      <w:r w:rsidR="002C6AC0" w:rsidRPr="005E456A">
        <w:rPr>
          <w:rFonts w:ascii="Book Antiqua" w:hAnsi="Book Antiqua" w:cs="Arial"/>
          <w:i/>
          <w:sz w:val="24"/>
          <w:szCs w:val="24"/>
        </w:rPr>
        <w:t>H. pylori</w:t>
      </w:r>
      <w:r w:rsidRPr="005E456A">
        <w:rPr>
          <w:rFonts w:ascii="Book Antiqua" w:hAnsi="Book Antiqua" w:cs="Arial"/>
          <w:sz w:val="24"/>
          <w:szCs w:val="24"/>
        </w:rPr>
        <w:t xml:space="preserve"> gastritis.</w:t>
      </w:r>
      <w:r w:rsidR="00D04643">
        <w:rPr>
          <w:rFonts w:ascii="Book Antiqua" w:hAnsi="Book Antiqua" w:cs="Arial" w:hint="eastAsia"/>
          <w:sz w:val="24"/>
          <w:szCs w:val="24"/>
        </w:rPr>
        <w:t xml:space="preserve"> </w:t>
      </w:r>
      <w:r w:rsidRPr="005E456A">
        <w:rPr>
          <w:rFonts w:ascii="Book Antiqua" w:hAnsi="Book Antiqua" w:cs="Arial"/>
          <w:sz w:val="24"/>
          <w:szCs w:val="24"/>
        </w:rPr>
        <w:t>At M-NBI, the normal gastric corpus pattern was identified as small, round pits with regular subepithelial capillary networks (SECN). The abnormal patterns were classifi</w:t>
      </w:r>
      <w:r w:rsidR="00215D9F" w:rsidRPr="005E456A">
        <w:rPr>
          <w:rFonts w:ascii="Book Antiqua" w:hAnsi="Book Antiqua" w:cs="Arial"/>
          <w:sz w:val="24"/>
          <w:szCs w:val="24"/>
        </w:rPr>
        <w:t>ed into three (type 1 to 3) categories</w:t>
      </w:r>
      <w:r w:rsidRPr="005E456A">
        <w:rPr>
          <w:rFonts w:ascii="Book Antiqua" w:hAnsi="Book Antiqua" w:cs="Arial"/>
          <w:sz w:val="24"/>
          <w:szCs w:val="24"/>
        </w:rPr>
        <w:t xml:space="preserve">. The sensitivity and specificity of abnormal patterns (type 1 + 2 + 3) for </w:t>
      </w:r>
      <w:r w:rsidR="003F7C99" w:rsidRPr="005E456A">
        <w:rPr>
          <w:rFonts w:ascii="Book Antiqua" w:hAnsi="Book Antiqua" w:cs="Arial"/>
          <w:i/>
          <w:sz w:val="24"/>
          <w:szCs w:val="24"/>
        </w:rPr>
        <w:t>H. pylori</w:t>
      </w:r>
      <w:r w:rsidRPr="005E456A">
        <w:rPr>
          <w:rFonts w:ascii="Book Antiqua" w:hAnsi="Book Antiqua" w:cs="Arial"/>
          <w:sz w:val="24"/>
          <w:szCs w:val="24"/>
        </w:rPr>
        <w:t xml:space="preserve"> gastritis were 95.2% and 82.2%, respectively. In </w:t>
      </w:r>
      <w:r w:rsidR="00863A8A" w:rsidRPr="005E456A">
        <w:rPr>
          <w:rFonts w:ascii="Book Antiqua" w:hAnsi="Book Antiqua" w:cs="Arial"/>
          <w:sz w:val="24"/>
          <w:szCs w:val="24"/>
        </w:rPr>
        <w:t xml:space="preserve">a </w:t>
      </w:r>
      <w:r w:rsidRPr="005E456A">
        <w:rPr>
          <w:rFonts w:ascii="Book Antiqua" w:hAnsi="Book Antiqua" w:cs="Arial"/>
          <w:sz w:val="24"/>
          <w:szCs w:val="24"/>
        </w:rPr>
        <w:t xml:space="preserve">comparative trial in 2014, Yagi </w:t>
      </w:r>
      <w:r w:rsidRPr="006B3EA3">
        <w:rPr>
          <w:rFonts w:ascii="Book Antiqua" w:hAnsi="Book Antiqua" w:cs="Arial"/>
          <w:i/>
          <w:sz w:val="24"/>
          <w:szCs w:val="24"/>
        </w:rPr>
        <w:t>et al</w:t>
      </w:r>
      <w:r w:rsidR="006B3EA3" w:rsidRPr="005E456A">
        <w:rPr>
          <w:rFonts w:ascii="Book Antiqua" w:hAnsi="Book Antiqua" w:cs="Arial"/>
          <w:sz w:val="24"/>
          <w:szCs w:val="24"/>
          <w:vertAlign w:val="superscript"/>
        </w:rPr>
        <w:t>[42]</w:t>
      </w:r>
      <w:r w:rsidRPr="005E456A">
        <w:rPr>
          <w:rFonts w:ascii="Book Antiqua" w:hAnsi="Book Antiqua" w:cs="Arial"/>
          <w:sz w:val="24"/>
          <w:szCs w:val="24"/>
        </w:rPr>
        <w:t xml:space="preserve"> compared conventional WLE with M-NBI for detection of </w:t>
      </w:r>
      <w:r w:rsidR="006D52E7" w:rsidRPr="005E456A">
        <w:rPr>
          <w:rFonts w:ascii="Book Antiqua" w:hAnsi="Book Antiqua" w:cs="Arial"/>
          <w:i/>
          <w:sz w:val="24"/>
          <w:szCs w:val="24"/>
        </w:rPr>
        <w:t>H. pylori</w:t>
      </w:r>
      <w:r w:rsidRPr="005E456A">
        <w:rPr>
          <w:rFonts w:ascii="Book Antiqua" w:hAnsi="Book Antiqua" w:cs="Arial"/>
          <w:sz w:val="24"/>
          <w:szCs w:val="24"/>
        </w:rPr>
        <w:t xml:space="preserve"> gastritis in patients diagnosed with </w:t>
      </w:r>
      <w:r w:rsidR="006D52E7" w:rsidRPr="005E456A">
        <w:rPr>
          <w:rFonts w:ascii="Book Antiqua" w:hAnsi="Book Antiqua" w:cs="Arial"/>
          <w:sz w:val="24"/>
          <w:szCs w:val="24"/>
        </w:rPr>
        <w:t>EGC</w:t>
      </w:r>
      <w:r w:rsidRPr="005E456A">
        <w:rPr>
          <w:rFonts w:ascii="Book Antiqua" w:hAnsi="Book Antiqua" w:cs="Arial"/>
          <w:sz w:val="24"/>
          <w:szCs w:val="24"/>
        </w:rPr>
        <w:t xml:space="preserve">. For diagnosis of </w:t>
      </w:r>
      <w:r w:rsidR="006D52E7" w:rsidRPr="005E456A">
        <w:rPr>
          <w:rFonts w:ascii="Book Antiqua" w:hAnsi="Book Antiqua" w:cs="Arial"/>
          <w:i/>
          <w:sz w:val="24"/>
          <w:szCs w:val="24"/>
        </w:rPr>
        <w:t>H. pylori</w:t>
      </w:r>
      <w:r w:rsidRPr="005E456A">
        <w:rPr>
          <w:rFonts w:ascii="Book Antiqua" w:hAnsi="Book Antiqua" w:cs="Arial"/>
          <w:sz w:val="24"/>
          <w:szCs w:val="24"/>
        </w:rPr>
        <w:t xml:space="preserve"> gastritis, the sensitivity and specificity in M-NBI group were higher than in WLE gr</w:t>
      </w:r>
      <w:r w:rsidR="003F7C99" w:rsidRPr="005E456A">
        <w:rPr>
          <w:rFonts w:ascii="Book Antiqua" w:hAnsi="Book Antiqua" w:cs="Arial"/>
          <w:sz w:val="24"/>
          <w:szCs w:val="24"/>
        </w:rPr>
        <w:t xml:space="preserve">oup. </w:t>
      </w:r>
    </w:p>
    <w:p w14:paraId="6199B0D9" w14:textId="77777777" w:rsidR="007822B3" w:rsidRPr="005E456A" w:rsidRDefault="007822B3" w:rsidP="005E456A">
      <w:pPr>
        <w:spacing w:after="0" w:line="360" w:lineRule="auto"/>
        <w:jc w:val="both"/>
        <w:rPr>
          <w:rFonts w:ascii="Book Antiqua" w:hAnsi="Book Antiqua" w:cs="Arial"/>
          <w:b/>
          <w:sz w:val="24"/>
          <w:szCs w:val="24"/>
        </w:rPr>
      </w:pPr>
    </w:p>
    <w:p w14:paraId="62609CE7" w14:textId="2BC9197F" w:rsidR="00C25AE9" w:rsidRPr="005E456A" w:rsidRDefault="007822B3" w:rsidP="005E456A">
      <w:pPr>
        <w:spacing w:after="0" w:line="360" w:lineRule="auto"/>
        <w:jc w:val="both"/>
        <w:rPr>
          <w:rFonts w:ascii="Book Antiqua" w:hAnsi="Book Antiqua" w:cs="Arial"/>
          <w:b/>
          <w:i/>
          <w:sz w:val="24"/>
          <w:szCs w:val="24"/>
        </w:rPr>
      </w:pPr>
      <w:r w:rsidRPr="005E456A">
        <w:rPr>
          <w:rFonts w:ascii="Book Antiqua" w:hAnsi="Book Antiqua" w:cs="Arial"/>
          <w:b/>
          <w:i/>
          <w:sz w:val="24"/>
          <w:szCs w:val="24"/>
        </w:rPr>
        <w:t>M</w:t>
      </w:r>
      <w:r w:rsidR="00C25AE9" w:rsidRPr="005E456A">
        <w:rPr>
          <w:rFonts w:ascii="Book Antiqua" w:hAnsi="Book Antiqua" w:cs="Arial"/>
          <w:b/>
          <w:i/>
          <w:sz w:val="24"/>
          <w:szCs w:val="24"/>
        </w:rPr>
        <w:t>-NBI for</w:t>
      </w:r>
      <w:r w:rsidR="00AB626B" w:rsidRPr="005E456A">
        <w:rPr>
          <w:rFonts w:ascii="Book Antiqua" w:hAnsi="Book Antiqua" w:cs="Arial"/>
          <w:b/>
          <w:i/>
          <w:sz w:val="24"/>
          <w:szCs w:val="24"/>
        </w:rPr>
        <w:t xml:space="preserve"> diagnosis of atrophic gastritis</w:t>
      </w:r>
      <w:r w:rsidRPr="005E456A">
        <w:rPr>
          <w:rFonts w:ascii="Book Antiqua" w:hAnsi="Book Antiqua" w:cs="Arial"/>
          <w:b/>
          <w:i/>
          <w:sz w:val="24"/>
          <w:szCs w:val="24"/>
        </w:rPr>
        <w:t xml:space="preserve"> </w:t>
      </w:r>
      <w:r w:rsidR="00520D23">
        <w:rPr>
          <w:rFonts w:ascii="Book Antiqua" w:hAnsi="Book Antiqua" w:cs="Arial" w:hint="eastAsia"/>
          <w:b/>
          <w:i/>
          <w:sz w:val="24"/>
          <w:szCs w:val="24"/>
        </w:rPr>
        <w:t>and</w:t>
      </w:r>
      <w:r w:rsidR="00544536" w:rsidRPr="005E456A">
        <w:rPr>
          <w:rFonts w:ascii="Book Antiqua" w:hAnsi="Book Antiqua" w:cs="Arial"/>
          <w:b/>
          <w:i/>
          <w:sz w:val="24"/>
          <w:szCs w:val="24"/>
        </w:rPr>
        <w:t xml:space="preserve"> </w:t>
      </w:r>
      <w:r w:rsidRPr="005E456A">
        <w:rPr>
          <w:rFonts w:ascii="Book Antiqua" w:hAnsi="Book Antiqua" w:cs="Arial"/>
          <w:b/>
          <w:i/>
          <w:sz w:val="24"/>
          <w:szCs w:val="24"/>
        </w:rPr>
        <w:t>IM</w:t>
      </w:r>
    </w:p>
    <w:p w14:paraId="74621ADF" w14:textId="34368CEC" w:rsidR="002734B9" w:rsidRPr="005E456A" w:rsidRDefault="00DD796C" w:rsidP="00520D23">
      <w:pPr>
        <w:pStyle w:val="ListParagraph"/>
        <w:spacing w:after="0" w:line="360" w:lineRule="auto"/>
        <w:ind w:left="0"/>
        <w:jc w:val="both"/>
        <w:rPr>
          <w:rFonts w:ascii="Book Antiqua" w:hAnsi="Book Antiqua" w:cs="Arial"/>
          <w:sz w:val="24"/>
          <w:szCs w:val="24"/>
        </w:rPr>
      </w:pPr>
      <w:r w:rsidRPr="00DD796C">
        <w:rPr>
          <w:rFonts w:ascii="Book Antiqua" w:hAnsi="Book Antiqua" w:cs="Arial" w:hint="eastAsia"/>
          <w:sz w:val="24"/>
          <w:szCs w:val="24"/>
        </w:rPr>
        <w:t>A</w:t>
      </w:r>
      <w:r w:rsidRPr="00DD796C">
        <w:rPr>
          <w:rFonts w:ascii="Book Antiqua" w:hAnsi="Book Antiqua" w:cs="Arial"/>
          <w:sz w:val="24"/>
          <w:szCs w:val="24"/>
        </w:rPr>
        <w:t>trophic gastritis (AG)</w:t>
      </w:r>
      <w:r w:rsidR="00C25AE9" w:rsidRPr="005E456A">
        <w:rPr>
          <w:rFonts w:ascii="Book Antiqua" w:hAnsi="Book Antiqua" w:cs="Arial"/>
          <w:sz w:val="24"/>
          <w:szCs w:val="24"/>
        </w:rPr>
        <w:t xml:space="preserve"> and </w:t>
      </w:r>
      <w:r w:rsidR="006D52E7" w:rsidRPr="005E456A">
        <w:rPr>
          <w:rFonts w:ascii="Book Antiqua" w:hAnsi="Book Antiqua" w:cs="Arial"/>
          <w:sz w:val="24"/>
          <w:szCs w:val="24"/>
        </w:rPr>
        <w:t>IM</w:t>
      </w:r>
      <w:r w:rsidR="00C25AE9" w:rsidRPr="005E456A">
        <w:rPr>
          <w:rFonts w:ascii="Book Antiqua" w:hAnsi="Book Antiqua" w:cs="Arial"/>
          <w:sz w:val="24"/>
          <w:szCs w:val="24"/>
        </w:rPr>
        <w:t xml:space="preserve"> represent significant milestones in the</w:t>
      </w:r>
      <w:r w:rsidR="005D6127" w:rsidRPr="005E456A">
        <w:rPr>
          <w:rFonts w:ascii="Book Antiqua" w:hAnsi="Book Antiqua" w:cs="Arial"/>
          <w:sz w:val="24"/>
          <w:szCs w:val="24"/>
        </w:rPr>
        <w:t xml:space="preserve"> sequence of </w:t>
      </w:r>
      <w:r w:rsidR="00C25AE9" w:rsidRPr="005E456A">
        <w:rPr>
          <w:rFonts w:ascii="Book Antiqua" w:hAnsi="Book Antiqua" w:cs="Arial"/>
          <w:sz w:val="24"/>
          <w:szCs w:val="24"/>
        </w:rPr>
        <w:t>gastric carcinogenesis</w:t>
      </w:r>
      <w:r w:rsidR="001E7122" w:rsidRPr="005E456A">
        <w:rPr>
          <w:rFonts w:ascii="Book Antiqua" w:hAnsi="Book Antiqua" w:cs="Arial"/>
          <w:sz w:val="24"/>
          <w:szCs w:val="24"/>
          <w:vertAlign w:val="superscript"/>
        </w:rPr>
        <w:t>[</w:t>
      </w:r>
      <w:r w:rsidR="002734B9" w:rsidRPr="005E456A">
        <w:rPr>
          <w:rFonts w:ascii="Book Antiqua" w:hAnsi="Book Antiqua" w:cs="Arial"/>
          <w:sz w:val="24"/>
          <w:szCs w:val="24"/>
          <w:vertAlign w:val="superscript"/>
        </w:rPr>
        <w:t>1</w:t>
      </w:r>
      <w:r w:rsidR="001E7122" w:rsidRPr="005E456A">
        <w:rPr>
          <w:rFonts w:ascii="Book Antiqua" w:hAnsi="Book Antiqua" w:cs="Arial"/>
          <w:sz w:val="24"/>
          <w:szCs w:val="24"/>
          <w:vertAlign w:val="superscript"/>
        </w:rPr>
        <w:t>4]</w:t>
      </w:r>
      <w:r w:rsidR="003F7C99" w:rsidRPr="005E456A">
        <w:rPr>
          <w:rFonts w:ascii="Book Antiqua" w:hAnsi="Book Antiqua" w:cs="Arial"/>
          <w:sz w:val="24"/>
          <w:szCs w:val="24"/>
        </w:rPr>
        <w:t xml:space="preserve">. On conventional WLE, corpus AG </w:t>
      </w:r>
      <w:r w:rsidR="00C25AE9" w:rsidRPr="005E456A">
        <w:rPr>
          <w:rFonts w:ascii="Book Antiqua" w:hAnsi="Book Antiqua" w:cs="Arial"/>
          <w:sz w:val="24"/>
          <w:szCs w:val="24"/>
        </w:rPr>
        <w:t xml:space="preserve">is suspected based on </w:t>
      </w:r>
      <w:r w:rsidR="00770E43" w:rsidRPr="005E456A">
        <w:rPr>
          <w:rFonts w:ascii="Book Antiqua" w:hAnsi="Book Antiqua" w:cs="Arial"/>
          <w:sz w:val="24"/>
          <w:szCs w:val="24"/>
        </w:rPr>
        <w:t xml:space="preserve">a </w:t>
      </w:r>
      <w:r w:rsidR="004B3E62" w:rsidRPr="005E456A">
        <w:rPr>
          <w:rFonts w:ascii="Book Antiqua" w:hAnsi="Book Antiqua" w:cs="Arial"/>
          <w:sz w:val="24"/>
          <w:szCs w:val="24"/>
        </w:rPr>
        <w:t xml:space="preserve">paucity of </w:t>
      </w:r>
      <w:r w:rsidR="00C25AE9" w:rsidRPr="005E456A">
        <w:rPr>
          <w:rFonts w:ascii="Book Antiqua" w:hAnsi="Book Antiqua" w:cs="Arial"/>
          <w:sz w:val="24"/>
          <w:szCs w:val="24"/>
        </w:rPr>
        <w:t xml:space="preserve">gastric rugae </w:t>
      </w:r>
      <w:r w:rsidR="00770E43" w:rsidRPr="005E456A">
        <w:rPr>
          <w:rFonts w:ascii="Book Antiqua" w:hAnsi="Book Antiqua" w:cs="Arial"/>
          <w:sz w:val="24"/>
          <w:szCs w:val="24"/>
        </w:rPr>
        <w:t>with</w:t>
      </w:r>
      <w:r w:rsidR="00C25AE9" w:rsidRPr="005E456A">
        <w:rPr>
          <w:rFonts w:ascii="Book Antiqua" w:hAnsi="Book Antiqua" w:cs="Arial"/>
          <w:sz w:val="24"/>
          <w:szCs w:val="24"/>
        </w:rPr>
        <w:t xml:space="preserve"> </w:t>
      </w:r>
      <w:r w:rsidR="00770E43" w:rsidRPr="005E456A">
        <w:rPr>
          <w:rFonts w:ascii="Book Antiqua" w:hAnsi="Book Antiqua" w:cs="Arial"/>
          <w:sz w:val="24"/>
          <w:szCs w:val="24"/>
        </w:rPr>
        <w:t xml:space="preserve">more </w:t>
      </w:r>
      <w:r w:rsidR="00C25AE9" w:rsidRPr="005E456A">
        <w:rPr>
          <w:rFonts w:ascii="Book Antiqua" w:hAnsi="Book Antiqua" w:cs="Arial"/>
          <w:sz w:val="24"/>
          <w:szCs w:val="24"/>
        </w:rPr>
        <w:t>marked ap</w:t>
      </w:r>
      <w:r w:rsidR="00770E43" w:rsidRPr="005E456A">
        <w:rPr>
          <w:rFonts w:ascii="Book Antiqua" w:hAnsi="Book Antiqua" w:cs="Arial"/>
          <w:sz w:val="24"/>
          <w:szCs w:val="24"/>
        </w:rPr>
        <w:t>pearances of submucosal vessels; while</w:t>
      </w:r>
      <w:r w:rsidR="00C25AE9" w:rsidRPr="005E456A">
        <w:rPr>
          <w:rFonts w:ascii="Book Antiqua" w:hAnsi="Book Antiqua" w:cs="Arial"/>
          <w:sz w:val="24"/>
          <w:szCs w:val="24"/>
        </w:rPr>
        <w:t xml:space="preserve"> IM appears as patchy, white, raised or flat spots. However, WLE is considered insensi</w:t>
      </w:r>
      <w:r w:rsidR="003F7C99" w:rsidRPr="005E456A">
        <w:rPr>
          <w:rFonts w:ascii="Book Antiqua" w:hAnsi="Book Antiqua" w:cs="Arial"/>
          <w:sz w:val="24"/>
          <w:szCs w:val="24"/>
        </w:rPr>
        <w:t xml:space="preserve">tive for diagnosis of AG and IM. </w:t>
      </w:r>
      <w:r w:rsidR="00C25AE9" w:rsidRPr="005E456A">
        <w:rPr>
          <w:rFonts w:ascii="Book Antiqua" w:hAnsi="Book Antiqua" w:cs="Arial"/>
          <w:sz w:val="24"/>
          <w:szCs w:val="24"/>
        </w:rPr>
        <w:t xml:space="preserve">On NBI, </w:t>
      </w:r>
      <w:r w:rsidR="00204CAE" w:rsidRPr="005E456A">
        <w:rPr>
          <w:rFonts w:ascii="Book Antiqua" w:hAnsi="Book Antiqua" w:cs="Arial"/>
          <w:sz w:val="24"/>
          <w:szCs w:val="24"/>
        </w:rPr>
        <w:t>AG</w:t>
      </w:r>
      <w:r w:rsidR="00C25AE9" w:rsidRPr="005E456A">
        <w:rPr>
          <w:rFonts w:ascii="Book Antiqua" w:hAnsi="Book Antiqua" w:cs="Arial"/>
          <w:sz w:val="24"/>
          <w:szCs w:val="24"/>
        </w:rPr>
        <w:t xml:space="preserve"> is characterized by a com</w:t>
      </w:r>
      <w:r w:rsidR="007F1084" w:rsidRPr="005E456A">
        <w:rPr>
          <w:rFonts w:ascii="Book Antiqua" w:hAnsi="Book Antiqua" w:cs="Arial"/>
          <w:sz w:val="24"/>
          <w:szCs w:val="24"/>
        </w:rPr>
        <w:t>plete loss of pit-pattern and SEC</w:t>
      </w:r>
      <w:r w:rsidR="00C25AE9" w:rsidRPr="005E456A">
        <w:rPr>
          <w:rFonts w:ascii="Book Antiqua" w:hAnsi="Book Antiqua" w:cs="Arial"/>
          <w:sz w:val="24"/>
          <w:szCs w:val="24"/>
        </w:rPr>
        <w:t xml:space="preserve">N, with </w:t>
      </w:r>
      <w:r w:rsidR="00770E43" w:rsidRPr="005E456A">
        <w:rPr>
          <w:rFonts w:ascii="Book Antiqua" w:hAnsi="Book Antiqua" w:cs="Arial"/>
          <w:sz w:val="24"/>
          <w:szCs w:val="24"/>
        </w:rPr>
        <w:t xml:space="preserve">presence of </w:t>
      </w:r>
      <w:r w:rsidR="00C25AE9" w:rsidRPr="005E456A">
        <w:rPr>
          <w:rFonts w:ascii="Book Antiqua" w:hAnsi="Book Antiqua" w:cs="Arial"/>
          <w:sz w:val="24"/>
          <w:szCs w:val="24"/>
        </w:rPr>
        <w:t xml:space="preserve">only collecting venules. In a randomized, </w:t>
      </w:r>
      <w:r w:rsidR="00DE5CCF" w:rsidRPr="005E456A">
        <w:rPr>
          <w:rFonts w:ascii="Book Antiqua" w:hAnsi="Book Antiqua" w:cs="Arial"/>
          <w:sz w:val="24"/>
          <w:szCs w:val="24"/>
        </w:rPr>
        <w:t xml:space="preserve">prospective and crossover study by Dutta </w:t>
      </w:r>
      <w:r w:rsidR="00DE5CCF" w:rsidRPr="007D0DA6">
        <w:rPr>
          <w:rFonts w:ascii="Book Antiqua" w:hAnsi="Book Antiqua" w:cs="Arial"/>
          <w:i/>
          <w:sz w:val="24"/>
          <w:szCs w:val="24"/>
        </w:rPr>
        <w:t>et al</w:t>
      </w:r>
      <w:r w:rsidR="007D0DA6" w:rsidRPr="005E456A">
        <w:rPr>
          <w:rFonts w:ascii="Book Antiqua" w:hAnsi="Book Antiqua" w:cs="Arial"/>
          <w:sz w:val="24"/>
          <w:szCs w:val="24"/>
          <w:vertAlign w:val="superscript"/>
        </w:rPr>
        <w:t>[38]</w:t>
      </w:r>
      <w:r w:rsidR="00C25AE9" w:rsidRPr="005E456A">
        <w:rPr>
          <w:rFonts w:ascii="Book Antiqua" w:hAnsi="Book Antiqua" w:cs="Arial"/>
          <w:sz w:val="24"/>
          <w:szCs w:val="24"/>
        </w:rPr>
        <w:t xml:space="preserve"> NBI was superior to WLE for dete</w:t>
      </w:r>
      <w:r w:rsidR="00977DC8" w:rsidRPr="005E456A">
        <w:rPr>
          <w:rFonts w:ascii="Book Antiqua" w:hAnsi="Book Antiqua" w:cs="Arial"/>
          <w:sz w:val="24"/>
          <w:szCs w:val="24"/>
        </w:rPr>
        <w:t xml:space="preserve">ction of </w:t>
      </w:r>
      <w:r w:rsidR="00204CAE" w:rsidRPr="005E456A">
        <w:rPr>
          <w:rFonts w:ascii="Book Antiqua" w:hAnsi="Book Antiqua" w:cs="Arial"/>
          <w:sz w:val="24"/>
          <w:szCs w:val="24"/>
        </w:rPr>
        <w:t>AG</w:t>
      </w:r>
      <w:r w:rsidR="00C25AE9" w:rsidRPr="005E456A">
        <w:rPr>
          <w:rFonts w:ascii="Book Antiqua" w:hAnsi="Book Antiqua" w:cs="Arial"/>
          <w:sz w:val="24"/>
          <w:szCs w:val="24"/>
        </w:rPr>
        <w:t xml:space="preserve">. </w:t>
      </w:r>
      <w:r w:rsidR="003F7C99" w:rsidRPr="005E456A">
        <w:rPr>
          <w:rFonts w:ascii="Book Antiqua" w:hAnsi="Book Antiqua" w:cs="Arial"/>
          <w:sz w:val="24"/>
          <w:szCs w:val="24"/>
        </w:rPr>
        <w:t>With NBI</w:t>
      </w:r>
      <w:r w:rsidR="00977DC8" w:rsidRPr="005E456A">
        <w:rPr>
          <w:rFonts w:ascii="Book Antiqua" w:hAnsi="Book Antiqua" w:cs="Arial"/>
          <w:sz w:val="24"/>
          <w:szCs w:val="24"/>
        </w:rPr>
        <w:t xml:space="preserve"> v</w:t>
      </w:r>
      <w:r w:rsidR="00C25AE9" w:rsidRPr="005E456A">
        <w:rPr>
          <w:rFonts w:ascii="Book Antiqua" w:hAnsi="Book Antiqua" w:cs="Arial"/>
          <w:sz w:val="24"/>
          <w:szCs w:val="24"/>
        </w:rPr>
        <w:t xml:space="preserve">arious appearances have been </w:t>
      </w:r>
      <w:r w:rsidR="00977DC8" w:rsidRPr="005E456A">
        <w:rPr>
          <w:rFonts w:ascii="Book Antiqua" w:hAnsi="Book Antiqua" w:cs="Arial"/>
          <w:sz w:val="24"/>
          <w:szCs w:val="24"/>
        </w:rPr>
        <w:t>proposed for</w:t>
      </w:r>
      <w:r w:rsidR="00C25AE9" w:rsidRPr="005E456A">
        <w:rPr>
          <w:rFonts w:ascii="Book Antiqua" w:hAnsi="Book Antiqua" w:cs="Arial"/>
          <w:sz w:val="24"/>
          <w:szCs w:val="24"/>
        </w:rPr>
        <w:t xml:space="preserve"> characteriz</w:t>
      </w:r>
      <w:r w:rsidR="00977DC8" w:rsidRPr="005E456A">
        <w:rPr>
          <w:rFonts w:ascii="Book Antiqua" w:hAnsi="Book Antiqua" w:cs="Arial"/>
          <w:sz w:val="24"/>
          <w:szCs w:val="24"/>
        </w:rPr>
        <w:t>ation of IM</w:t>
      </w:r>
      <w:r w:rsidR="00C25AE9" w:rsidRPr="005E456A">
        <w:rPr>
          <w:rFonts w:ascii="Book Antiqua" w:hAnsi="Book Antiqua" w:cs="Arial"/>
          <w:sz w:val="24"/>
          <w:szCs w:val="24"/>
        </w:rPr>
        <w:t xml:space="preserve">. The most </w:t>
      </w:r>
      <w:r w:rsidR="006D52E7" w:rsidRPr="005E456A">
        <w:rPr>
          <w:rFonts w:ascii="Book Antiqua" w:hAnsi="Book Antiqua" w:cs="Arial"/>
          <w:sz w:val="24"/>
          <w:szCs w:val="24"/>
        </w:rPr>
        <w:t xml:space="preserve">important </w:t>
      </w:r>
      <w:r w:rsidR="00C25AE9" w:rsidRPr="005E456A">
        <w:rPr>
          <w:rFonts w:ascii="Book Antiqua" w:hAnsi="Book Antiqua" w:cs="Arial"/>
          <w:sz w:val="24"/>
          <w:szCs w:val="24"/>
        </w:rPr>
        <w:t xml:space="preserve">of these is the identification of light blue crests (LBC). </w:t>
      </w:r>
    </w:p>
    <w:p w14:paraId="0017ED1D" w14:textId="1545DB75" w:rsidR="00C25AE9" w:rsidRPr="005E456A" w:rsidRDefault="00C25AE9" w:rsidP="005E456A">
      <w:pPr>
        <w:pStyle w:val="ListParagraph"/>
        <w:spacing w:after="0" w:line="360" w:lineRule="auto"/>
        <w:ind w:left="0" w:firstLine="720"/>
        <w:jc w:val="both"/>
        <w:rPr>
          <w:rFonts w:ascii="Book Antiqua" w:hAnsi="Book Antiqua" w:cs="Arial"/>
          <w:sz w:val="24"/>
          <w:szCs w:val="24"/>
        </w:rPr>
      </w:pPr>
      <w:r w:rsidRPr="005E456A">
        <w:rPr>
          <w:rFonts w:ascii="Book Antiqua" w:hAnsi="Book Antiqua" w:cs="Arial"/>
          <w:sz w:val="24"/>
          <w:szCs w:val="24"/>
        </w:rPr>
        <w:t xml:space="preserve">In 2006, Uedo </w:t>
      </w:r>
      <w:r w:rsidRPr="00100811">
        <w:rPr>
          <w:rFonts w:ascii="Book Antiqua" w:hAnsi="Book Antiqua" w:cs="Arial"/>
          <w:i/>
          <w:sz w:val="24"/>
          <w:szCs w:val="24"/>
        </w:rPr>
        <w:t>et al</w:t>
      </w:r>
      <w:r w:rsidR="00100811" w:rsidRPr="005E456A">
        <w:rPr>
          <w:rFonts w:ascii="Book Antiqua" w:hAnsi="Book Antiqua" w:cs="Arial"/>
          <w:sz w:val="24"/>
          <w:szCs w:val="24"/>
          <w:vertAlign w:val="superscript"/>
        </w:rPr>
        <w:t>[43]</w:t>
      </w:r>
      <w:r w:rsidRPr="005E456A">
        <w:rPr>
          <w:rFonts w:ascii="Book Antiqua" w:hAnsi="Book Antiqua" w:cs="Arial"/>
          <w:sz w:val="24"/>
          <w:szCs w:val="24"/>
        </w:rPr>
        <w:t xml:space="preserve"> first described LBC as fine blue-white lines on the crests of the epithelial surface/gyri, similar to a</w:t>
      </w:r>
      <w:r w:rsidR="00977DC8" w:rsidRPr="005E456A">
        <w:rPr>
          <w:rFonts w:ascii="Book Antiqua" w:hAnsi="Book Antiqua" w:cs="Arial"/>
          <w:sz w:val="24"/>
          <w:szCs w:val="24"/>
        </w:rPr>
        <w:t xml:space="preserve"> light reflected from mirror</w:t>
      </w:r>
      <w:r w:rsidRPr="005E456A">
        <w:rPr>
          <w:rFonts w:ascii="Book Antiqua" w:hAnsi="Book Antiqua" w:cs="Arial"/>
          <w:sz w:val="24"/>
          <w:szCs w:val="24"/>
        </w:rPr>
        <w:t>. In this seminal study, the sensitivity and specificity of LBC for diagnosis of IM were 89% and 93% respectively. Similarly, high diagnostic values of LBC</w:t>
      </w:r>
      <w:r w:rsidR="00977DC8" w:rsidRPr="005E456A">
        <w:rPr>
          <w:rFonts w:ascii="Book Antiqua" w:hAnsi="Book Antiqua" w:cs="Arial"/>
          <w:sz w:val="24"/>
          <w:szCs w:val="24"/>
        </w:rPr>
        <w:t xml:space="preserve"> for characterization of IM </w:t>
      </w:r>
      <w:r w:rsidRPr="005E456A">
        <w:rPr>
          <w:rFonts w:ascii="Book Antiqua" w:hAnsi="Book Antiqua" w:cs="Arial"/>
          <w:sz w:val="24"/>
          <w:szCs w:val="24"/>
        </w:rPr>
        <w:t>have been shown by other authors</w:t>
      </w:r>
      <w:r w:rsidR="00C05097" w:rsidRPr="005E456A">
        <w:rPr>
          <w:rFonts w:ascii="Book Antiqua" w:hAnsi="Book Antiqua" w:cs="Arial"/>
          <w:sz w:val="24"/>
          <w:szCs w:val="24"/>
        </w:rPr>
        <w:t xml:space="preserve"> (Figure </w:t>
      </w:r>
      <w:r w:rsidR="00115935">
        <w:rPr>
          <w:rFonts w:ascii="Book Antiqua" w:hAnsi="Book Antiqua" w:cs="Arial" w:hint="eastAsia"/>
          <w:sz w:val="24"/>
          <w:szCs w:val="24"/>
        </w:rPr>
        <w:t>5A</w:t>
      </w:r>
      <w:r w:rsidR="00C05097" w:rsidRPr="005E456A">
        <w:rPr>
          <w:rFonts w:ascii="Book Antiqua" w:hAnsi="Book Antiqua" w:cs="Arial"/>
          <w:sz w:val="24"/>
          <w:szCs w:val="24"/>
        </w:rPr>
        <w:t>)</w:t>
      </w:r>
      <w:r w:rsidRPr="005E456A">
        <w:rPr>
          <w:rFonts w:ascii="Book Antiqua" w:hAnsi="Book Antiqua" w:cs="Arial"/>
          <w:sz w:val="24"/>
          <w:szCs w:val="24"/>
        </w:rPr>
        <w:t>. A recent meta-analysis by</w:t>
      </w:r>
      <w:r w:rsidR="00CE75D1">
        <w:rPr>
          <w:rFonts w:ascii="Book Antiqua" w:hAnsi="Book Antiqua" w:cs="Arial" w:hint="eastAsia"/>
          <w:sz w:val="24"/>
          <w:szCs w:val="24"/>
        </w:rPr>
        <w:t xml:space="preserve"> </w:t>
      </w:r>
      <w:r w:rsidRPr="005E456A">
        <w:rPr>
          <w:rFonts w:ascii="Book Antiqua" w:hAnsi="Book Antiqua" w:cs="Arial"/>
          <w:sz w:val="24"/>
          <w:szCs w:val="24"/>
        </w:rPr>
        <w:t xml:space="preserve">Wang </w:t>
      </w:r>
      <w:r w:rsidRPr="00CE75D1">
        <w:rPr>
          <w:rFonts w:ascii="Book Antiqua" w:hAnsi="Book Antiqua" w:cs="Arial"/>
          <w:i/>
          <w:sz w:val="24"/>
          <w:szCs w:val="24"/>
        </w:rPr>
        <w:t>et al</w:t>
      </w:r>
      <w:r w:rsidR="00CE75D1" w:rsidRPr="005E456A">
        <w:rPr>
          <w:rFonts w:ascii="Book Antiqua" w:hAnsi="Book Antiqua" w:cs="Arial"/>
          <w:sz w:val="24"/>
          <w:szCs w:val="24"/>
          <w:vertAlign w:val="superscript"/>
        </w:rPr>
        <w:t>[44]</w:t>
      </w:r>
      <w:r w:rsidRPr="005E456A">
        <w:rPr>
          <w:rFonts w:ascii="Book Antiqua" w:hAnsi="Book Antiqua" w:cs="Arial"/>
          <w:sz w:val="24"/>
          <w:szCs w:val="24"/>
        </w:rPr>
        <w:t xml:space="preserve">, which included four prospective studies without significant heterogeneity, documented that the pooled sensitivity and specificity of LBC for diagnosis of IM </w:t>
      </w:r>
      <w:r w:rsidRPr="005E456A">
        <w:rPr>
          <w:rFonts w:ascii="Book Antiqua" w:hAnsi="Book Antiqua" w:cs="Arial"/>
          <w:sz w:val="24"/>
          <w:szCs w:val="24"/>
        </w:rPr>
        <w:lastRenderedPageBreak/>
        <w:t>we</w:t>
      </w:r>
      <w:r w:rsidR="009462B2" w:rsidRPr="005E456A">
        <w:rPr>
          <w:rFonts w:ascii="Book Antiqua" w:hAnsi="Book Antiqua" w:cs="Arial"/>
          <w:sz w:val="24"/>
          <w:szCs w:val="24"/>
        </w:rPr>
        <w:t>re 84% and 93% respectively</w:t>
      </w:r>
      <w:r w:rsidR="00AD3FE3" w:rsidRPr="005E456A">
        <w:rPr>
          <w:rFonts w:ascii="Book Antiqua" w:hAnsi="Book Antiqua" w:cs="Arial"/>
          <w:sz w:val="24"/>
          <w:szCs w:val="24"/>
        </w:rPr>
        <w:t>. I</w:t>
      </w:r>
      <w:r w:rsidR="009462B2" w:rsidRPr="005E456A">
        <w:rPr>
          <w:rFonts w:ascii="Book Antiqua" w:hAnsi="Book Antiqua" w:cs="Arial"/>
          <w:sz w:val="24"/>
          <w:szCs w:val="24"/>
        </w:rPr>
        <w:t>n</w:t>
      </w:r>
      <w:r w:rsidRPr="005E456A">
        <w:rPr>
          <w:rFonts w:ascii="Book Antiqua" w:hAnsi="Book Antiqua" w:cs="Arial"/>
          <w:sz w:val="24"/>
          <w:szCs w:val="24"/>
        </w:rPr>
        <w:t xml:space="preserve"> a pilot feasibility trial, Bansal </w:t>
      </w:r>
      <w:r w:rsidRPr="001C0C4E">
        <w:rPr>
          <w:rFonts w:ascii="Book Antiqua" w:hAnsi="Book Antiqua" w:cs="Arial"/>
          <w:i/>
          <w:sz w:val="24"/>
          <w:szCs w:val="24"/>
        </w:rPr>
        <w:t>et al</w:t>
      </w:r>
      <w:r w:rsidR="001C0C4E" w:rsidRPr="005E456A">
        <w:rPr>
          <w:rFonts w:ascii="Book Antiqua" w:hAnsi="Book Antiqua" w:cs="Arial"/>
          <w:sz w:val="24"/>
          <w:szCs w:val="24"/>
          <w:vertAlign w:val="superscript"/>
        </w:rPr>
        <w:t>[45]</w:t>
      </w:r>
      <w:r w:rsidRPr="005E456A">
        <w:rPr>
          <w:rFonts w:ascii="Book Antiqua" w:hAnsi="Book Antiqua" w:cs="Arial"/>
          <w:sz w:val="24"/>
          <w:szCs w:val="24"/>
        </w:rPr>
        <w:t xml:space="preserve"> found sensitivity and specificity of </w:t>
      </w:r>
      <w:r w:rsidR="001C0C4E">
        <w:rPr>
          <w:rFonts w:ascii="Book Antiqua" w:hAnsi="Book Antiqua" w:cs="Arial"/>
          <w:sz w:val="24"/>
          <w:szCs w:val="24"/>
        </w:rPr>
        <w:t>“</w:t>
      </w:r>
      <w:r w:rsidRPr="005E456A">
        <w:rPr>
          <w:rFonts w:ascii="Book Antiqua" w:hAnsi="Book Antiqua" w:cs="Arial"/>
          <w:sz w:val="24"/>
          <w:szCs w:val="24"/>
        </w:rPr>
        <w:t>ridge/villous pattern</w:t>
      </w:r>
      <w:r w:rsidR="001C0C4E">
        <w:rPr>
          <w:rFonts w:ascii="Book Antiqua" w:hAnsi="Book Antiqua" w:cs="Arial"/>
          <w:sz w:val="24"/>
          <w:szCs w:val="24"/>
        </w:rPr>
        <w:t>”</w:t>
      </w:r>
      <w:r w:rsidRPr="005E456A">
        <w:rPr>
          <w:rFonts w:ascii="Book Antiqua" w:hAnsi="Book Antiqua" w:cs="Arial"/>
          <w:sz w:val="24"/>
          <w:szCs w:val="24"/>
        </w:rPr>
        <w:t xml:space="preserve"> for IM to </w:t>
      </w:r>
      <w:r w:rsidR="00CB5E3B" w:rsidRPr="005E456A">
        <w:rPr>
          <w:rFonts w:ascii="Book Antiqua" w:hAnsi="Book Antiqua" w:cs="Arial"/>
          <w:sz w:val="24"/>
          <w:szCs w:val="24"/>
        </w:rPr>
        <w:t>be 80% and 100% respectively</w:t>
      </w:r>
      <w:r w:rsidRPr="005E456A">
        <w:rPr>
          <w:rFonts w:ascii="Book Antiqua" w:hAnsi="Book Antiqua" w:cs="Arial"/>
          <w:sz w:val="24"/>
          <w:szCs w:val="24"/>
        </w:rPr>
        <w:t xml:space="preserve">. </w:t>
      </w:r>
    </w:p>
    <w:p w14:paraId="5AF0AB24" w14:textId="77777777" w:rsidR="007822B3" w:rsidRPr="005E456A" w:rsidRDefault="007822B3" w:rsidP="005E456A">
      <w:pPr>
        <w:spacing w:after="0" w:line="360" w:lineRule="auto"/>
        <w:jc w:val="both"/>
        <w:rPr>
          <w:rFonts w:ascii="Book Antiqua" w:hAnsi="Book Antiqua" w:cs="Arial"/>
          <w:b/>
          <w:sz w:val="24"/>
          <w:szCs w:val="24"/>
        </w:rPr>
      </w:pPr>
    </w:p>
    <w:p w14:paraId="30F01B45" w14:textId="77777777" w:rsidR="00C25AE9" w:rsidRPr="005E456A" w:rsidRDefault="00CB5E3B" w:rsidP="005E456A">
      <w:pPr>
        <w:spacing w:after="0" w:line="360" w:lineRule="auto"/>
        <w:jc w:val="both"/>
        <w:rPr>
          <w:rFonts w:ascii="Book Antiqua" w:hAnsi="Book Antiqua" w:cs="Arial"/>
          <w:b/>
          <w:i/>
          <w:sz w:val="24"/>
          <w:szCs w:val="24"/>
        </w:rPr>
      </w:pPr>
      <w:r w:rsidRPr="005E456A">
        <w:rPr>
          <w:rFonts w:ascii="Book Antiqua" w:hAnsi="Book Antiqua" w:cs="Arial"/>
          <w:b/>
          <w:i/>
          <w:sz w:val="24"/>
          <w:szCs w:val="24"/>
        </w:rPr>
        <w:t>M-</w:t>
      </w:r>
      <w:r w:rsidR="00C25AE9" w:rsidRPr="005E456A">
        <w:rPr>
          <w:rFonts w:ascii="Book Antiqua" w:hAnsi="Book Antiqua" w:cs="Arial"/>
          <w:b/>
          <w:i/>
          <w:sz w:val="24"/>
          <w:szCs w:val="24"/>
        </w:rPr>
        <w:t xml:space="preserve">NBI for characterization of </w:t>
      </w:r>
      <w:r w:rsidR="006D52E7" w:rsidRPr="005E456A">
        <w:rPr>
          <w:rFonts w:ascii="Book Antiqua" w:hAnsi="Book Antiqua" w:cs="Arial"/>
          <w:b/>
          <w:i/>
          <w:sz w:val="24"/>
          <w:szCs w:val="24"/>
        </w:rPr>
        <w:t>EGC</w:t>
      </w:r>
    </w:p>
    <w:p w14:paraId="06530694" w14:textId="0EB55E48" w:rsidR="00C25AE9" w:rsidRPr="005E456A" w:rsidRDefault="00AD3FE3" w:rsidP="00A83DE6">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t>Perhaps the most important</w:t>
      </w:r>
      <w:r w:rsidR="00C25AE9" w:rsidRPr="005E456A">
        <w:rPr>
          <w:rFonts w:ascii="Book Antiqua" w:hAnsi="Book Antiqua" w:cs="Arial"/>
          <w:sz w:val="24"/>
          <w:szCs w:val="24"/>
        </w:rPr>
        <w:t xml:space="preserve"> and most extensively investigated use of NBI in </w:t>
      </w:r>
      <w:r w:rsidRPr="005E456A">
        <w:rPr>
          <w:rFonts w:ascii="Book Antiqua" w:hAnsi="Book Antiqua" w:cs="Arial"/>
          <w:sz w:val="24"/>
          <w:szCs w:val="24"/>
        </w:rPr>
        <w:t xml:space="preserve">the </w:t>
      </w:r>
      <w:r w:rsidR="00C25AE9" w:rsidRPr="005E456A">
        <w:rPr>
          <w:rFonts w:ascii="Book Antiqua" w:hAnsi="Book Antiqua" w:cs="Arial"/>
          <w:sz w:val="24"/>
          <w:szCs w:val="24"/>
        </w:rPr>
        <w:t>stomach is for the characterizati</w:t>
      </w:r>
      <w:r w:rsidR="00CB5E3B" w:rsidRPr="005E456A">
        <w:rPr>
          <w:rFonts w:ascii="Book Antiqua" w:hAnsi="Book Antiqua" w:cs="Arial"/>
          <w:sz w:val="24"/>
          <w:szCs w:val="24"/>
        </w:rPr>
        <w:t xml:space="preserve">on of </w:t>
      </w:r>
      <w:r w:rsidR="006D52E7" w:rsidRPr="005E456A">
        <w:rPr>
          <w:rFonts w:ascii="Book Antiqua" w:hAnsi="Book Antiqua" w:cs="Arial"/>
          <w:sz w:val="24"/>
          <w:szCs w:val="24"/>
        </w:rPr>
        <w:t>EGC</w:t>
      </w:r>
      <w:r w:rsidR="00C25AE9" w:rsidRPr="005E456A">
        <w:rPr>
          <w:rFonts w:ascii="Book Antiqua" w:hAnsi="Book Antiqua" w:cs="Arial"/>
          <w:sz w:val="24"/>
          <w:szCs w:val="24"/>
        </w:rPr>
        <w:t>. The accurate identification of EGC is important since endoscopic resection for such early cancers achieves &gt;</w:t>
      </w:r>
      <w:r w:rsidR="0069643A">
        <w:rPr>
          <w:rFonts w:ascii="Book Antiqua" w:hAnsi="Book Antiqua" w:cs="Arial" w:hint="eastAsia"/>
          <w:sz w:val="24"/>
          <w:szCs w:val="24"/>
        </w:rPr>
        <w:t xml:space="preserve"> </w:t>
      </w:r>
      <w:r w:rsidR="00C25AE9" w:rsidRPr="005E456A">
        <w:rPr>
          <w:rFonts w:ascii="Book Antiqua" w:hAnsi="Book Antiqua" w:cs="Arial"/>
          <w:sz w:val="24"/>
          <w:szCs w:val="24"/>
        </w:rPr>
        <w:t>90% five</w:t>
      </w:r>
      <w:r w:rsidRPr="005E456A">
        <w:rPr>
          <w:rFonts w:ascii="Book Antiqua" w:hAnsi="Book Antiqua" w:cs="Arial"/>
          <w:sz w:val="24"/>
          <w:szCs w:val="24"/>
        </w:rPr>
        <w:t xml:space="preserve">-year survival. Morphologically EGC </w:t>
      </w:r>
      <w:r w:rsidR="00C25AE9" w:rsidRPr="005E456A">
        <w:rPr>
          <w:rFonts w:ascii="Book Antiqua" w:hAnsi="Book Antiqua" w:cs="Arial"/>
          <w:sz w:val="24"/>
          <w:szCs w:val="24"/>
        </w:rPr>
        <w:t>are categorized mainly into three types by the Paris classification</w:t>
      </w:r>
      <w:r w:rsidR="009D05DE" w:rsidRPr="005E456A">
        <w:rPr>
          <w:rFonts w:ascii="Book Antiqua" w:hAnsi="Book Antiqua" w:cs="Arial"/>
          <w:sz w:val="24"/>
          <w:szCs w:val="24"/>
          <w:vertAlign w:val="superscript"/>
        </w:rPr>
        <w:t>[4</w:t>
      </w:r>
      <w:r w:rsidR="002734B9" w:rsidRPr="005E456A">
        <w:rPr>
          <w:rFonts w:ascii="Book Antiqua" w:hAnsi="Book Antiqua" w:cs="Arial"/>
          <w:sz w:val="24"/>
          <w:szCs w:val="24"/>
          <w:vertAlign w:val="superscript"/>
        </w:rPr>
        <w:t>6</w:t>
      </w:r>
      <w:r w:rsidR="009D05DE" w:rsidRPr="005E456A">
        <w:rPr>
          <w:rFonts w:ascii="Book Antiqua" w:hAnsi="Book Antiqua" w:cs="Arial"/>
          <w:sz w:val="24"/>
          <w:szCs w:val="24"/>
          <w:vertAlign w:val="superscript"/>
        </w:rPr>
        <w:t>]</w:t>
      </w:r>
      <w:r w:rsidR="00C25AE9" w:rsidRPr="005E456A">
        <w:rPr>
          <w:rFonts w:ascii="Book Antiqua" w:hAnsi="Book Antiqua" w:cs="Arial"/>
          <w:sz w:val="24"/>
          <w:szCs w:val="24"/>
        </w:rPr>
        <w:t xml:space="preserve">: </w:t>
      </w:r>
      <w:r w:rsidR="00A83DE6" w:rsidRPr="005E456A">
        <w:rPr>
          <w:rFonts w:ascii="Book Antiqua" w:hAnsi="Book Antiqua" w:cs="Arial"/>
          <w:sz w:val="24"/>
          <w:szCs w:val="24"/>
        </w:rPr>
        <w:t>S</w:t>
      </w:r>
      <w:r w:rsidR="00C25AE9" w:rsidRPr="005E456A">
        <w:rPr>
          <w:rFonts w:ascii="Book Antiqua" w:hAnsi="Book Antiqua" w:cs="Arial"/>
          <w:sz w:val="24"/>
          <w:szCs w:val="24"/>
        </w:rPr>
        <w:t xml:space="preserve">uperficial elevated (0-IIa), superficial flat (0-IIb), and superficial depressed (0-IIc). </w:t>
      </w:r>
      <w:r w:rsidR="004577E8" w:rsidRPr="005E456A">
        <w:rPr>
          <w:rFonts w:ascii="Book Antiqua" w:hAnsi="Book Antiqua" w:cs="Arial"/>
          <w:sz w:val="24"/>
          <w:szCs w:val="24"/>
        </w:rPr>
        <w:t>EGCs often</w:t>
      </w:r>
      <w:r w:rsidR="00C25AE9" w:rsidRPr="005E456A">
        <w:rPr>
          <w:rFonts w:ascii="Book Antiqua" w:hAnsi="Book Antiqua" w:cs="Arial"/>
          <w:sz w:val="24"/>
          <w:szCs w:val="24"/>
        </w:rPr>
        <w:t xml:space="preserve"> produce subtle m</w:t>
      </w:r>
      <w:r w:rsidR="004577E8" w:rsidRPr="005E456A">
        <w:rPr>
          <w:rFonts w:ascii="Book Antiqua" w:hAnsi="Book Antiqua" w:cs="Arial"/>
          <w:sz w:val="24"/>
          <w:szCs w:val="24"/>
        </w:rPr>
        <w:t xml:space="preserve">ucosal changes (sometimes </w:t>
      </w:r>
      <w:r w:rsidR="00130221" w:rsidRPr="005E456A">
        <w:rPr>
          <w:rFonts w:ascii="Book Antiqua" w:hAnsi="Book Antiqua" w:cs="Arial"/>
          <w:sz w:val="24"/>
          <w:szCs w:val="24"/>
        </w:rPr>
        <w:t xml:space="preserve">known </w:t>
      </w:r>
      <w:r w:rsidR="00C25AE9" w:rsidRPr="005E456A">
        <w:rPr>
          <w:rFonts w:ascii="Book Antiqua" w:hAnsi="Book Antiqua" w:cs="Arial"/>
          <w:sz w:val="24"/>
          <w:szCs w:val="24"/>
        </w:rPr>
        <w:t xml:space="preserve">as </w:t>
      </w:r>
      <w:r w:rsidR="002E48C5">
        <w:rPr>
          <w:rFonts w:ascii="Book Antiqua" w:hAnsi="Book Antiqua" w:cs="Arial"/>
          <w:sz w:val="24"/>
          <w:szCs w:val="24"/>
        </w:rPr>
        <w:t>“</w:t>
      </w:r>
      <w:r w:rsidR="00C25AE9" w:rsidRPr="005E456A">
        <w:rPr>
          <w:rFonts w:ascii="Book Antiqua" w:hAnsi="Book Antiqua" w:cs="Arial"/>
          <w:sz w:val="24"/>
          <w:szCs w:val="24"/>
        </w:rPr>
        <w:t>gastritis-like cancers</w:t>
      </w:r>
      <w:r w:rsidR="002E48C5">
        <w:rPr>
          <w:rFonts w:ascii="Book Antiqua" w:hAnsi="Book Antiqua" w:cs="Arial"/>
          <w:sz w:val="24"/>
          <w:szCs w:val="24"/>
        </w:rPr>
        <w:t>”</w:t>
      </w:r>
      <w:r w:rsidR="00C25AE9" w:rsidRPr="005E456A">
        <w:rPr>
          <w:rFonts w:ascii="Book Antiqua" w:hAnsi="Book Antiqua" w:cs="Arial"/>
          <w:sz w:val="24"/>
          <w:szCs w:val="24"/>
        </w:rPr>
        <w:t xml:space="preserve">) and can be easily missed on conventional WLE. The major contribution of M-NBI lies in accurate differentiation of such lesions from normal or inflamed gastric mucosa. </w:t>
      </w:r>
    </w:p>
    <w:p w14:paraId="1CCED141" w14:textId="4B69FB8B" w:rsidR="00C418E8" w:rsidRPr="005E456A" w:rsidRDefault="00AD3FE3" w:rsidP="005E456A">
      <w:pPr>
        <w:pStyle w:val="ListParagraph"/>
        <w:spacing w:after="0" w:line="360" w:lineRule="auto"/>
        <w:ind w:left="0" w:firstLine="720"/>
        <w:jc w:val="both"/>
        <w:rPr>
          <w:rFonts w:ascii="Book Antiqua" w:hAnsi="Book Antiqua" w:cs="Arial"/>
          <w:sz w:val="24"/>
          <w:szCs w:val="24"/>
        </w:rPr>
      </w:pPr>
      <w:r w:rsidRPr="005E456A">
        <w:rPr>
          <w:rFonts w:ascii="Book Antiqua" w:hAnsi="Book Antiqua" w:cs="Arial"/>
          <w:sz w:val="24"/>
          <w:szCs w:val="24"/>
        </w:rPr>
        <w:t>T</w:t>
      </w:r>
      <w:r w:rsidR="00C25AE9" w:rsidRPr="005E456A">
        <w:rPr>
          <w:rFonts w:ascii="Book Antiqua" w:hAnsi="Book Antiqua" w:cs="Arial"/>
          <w:sz w:val="24"/>
          <w:szCs w:val="24"/>
        </w:rPr>
        <w:t xml:space="preserve">he most widely studied and utilized classification is the </w:t>
      </w:r>
      <w:r w:rsidR="002E48C5">
        <w:rPr>
          <w:rFonts w:ascii="Book Antiqua" w:hAnsi="Book Antiqua" w:cs="Arial"/>
          <w:sz w:val="24"/>
          <w:szCs w:val="24"/>
        </w:rPr>
        <w:t>“</w:t>
      </w:r>
      <w:r w:rsidR="00C25AE9" w:rsidRPr="005E456A">
        <w:rPr>
          <w:rFonts w:ascii="Book Antiqua" w:hAnsi="Book Antiqua" w:cs="Arial"/>
          <w:sz w:val="24"/>
          <w:szCs w:val="24"/>
        </w:rPr>
        <w:t>VS classification</w:t>
      </w:r>
      <w:r w:rsidR="002E48C5">
        <w:rPr>
          <w:rFonts w:ascii="Book Antiqua" w:hAnsi="Book Antiqua" w:cs="Arial"/>
          <w:sz w:val="24"/>
          <w:szCs w:val="24"/>
        </w:rPr>
        <w:t>”</w:t>
      </w:r>
      <w:r w:rsidR="00C25AE9" w:rsidRPr="005E456A">
        <w:rPr>
          <w:rFonts w:ascii="Book Antiqua" w:hAnsi="Book Antiqua" w:cs="Arial"/>
          <w:sz w:val="24"/>
          <w:szCs w:val="24"/>
        </w:rPr>
        <w:t xml:space="preserve"> by Yao </w:t>
      </w:r>
      <w:r w:rsidR="00C25AE9" w:rsidRPr="002E48C5">
        <w:rPr>
          <w:rFonts w:ascii="Book Antiqua" w:hAnsi="Book Antiqua" w:cs="Arial"/>
          <w:i/>
          <w:sz w:val="24"/>
          <w:szCs w:val="24"/>
        </w:rPr>
        <w:t>et al</w:t>
      </w:r>
      <w:r w:rsidR="002E48C5" w:rsidRPr="005E456A">
        <w:rPr>
          <w:rFonts w:ascii="Book Antiqua" w:hAnsi="Book Antiqua" w:cs="Arial"/>
          <w:sz w:val="24"/>
          <w:szCs w:val="24"/>
          <w:vertAlign w:val="superscript"/>
        </w:rPr>
        <w:t>[47]</w:t>
      </w:r>
      <w:r w:rsidR="002E48C5">
        <w:rPr>
          <w:rFonts w:ascii="Book Antiqua" w:hAnsi="Book Antiqua" w:cs="Arial" w:hint="eastAsia"/>
          <w:sz w:val="24"/>
          <w:szCs w:val="24"/>
          <w:vertAlign w:val="superscript"/>
        </w:rPr>
        <w:t xml:space="preserve"> </w:t>
      </w:r>
      <w:r w:rsidR="00C25AE9" w:rsidRPr="005E456A">
        <w:rPr>
          <w:rFonts w:ascii="Book Antiqua" w:hAnsi="Book Antiqua" w:cs="Arial"/>
          <w:sz w:val="24"/>
          <w:szCs w:val="24"/>
        </w:rPr>
        <w:t xml:space="preserve">where </w:t>
      </w:r>
      <w:r w:rsidR="002E48C5">
        <w:rPr>
          <w:rFonts w:ascii="Book Antiqua" w:hAnsi="Book Antiqua" w:cs="Arial"/>
          <w:sz w:val="24"/>
          <w:szCs w:val="24"/>
        </w:rPr>
        <w:t>“</w:t>
      </w:r>
      <w:r w:rsidR="00C25AE9" w:rsidRPr="005E456A">
        <w:rPr>
          <w:rFonts w:ascii="Book Antiqua" w:hAnsi="Book Antiqua" w:cs="Arial"/>
          <w:sz w:val="24"/>
          <w:szCs w:val="24"/>
        </w:rPr>
        <w:t>V</w:t>
      </w:r>
      <w:r w:rsidR="002E48C5">
        <w:rPr>
          <w:rFonts w:ascii="Book Antiqua" w:hAnsi="Book Antiqua" w:cs="Arial"/>
          <w:sz w:val="24"/>
          <w:szCs w:val="24"/>
        </w:rPr>
        <w:t>”</w:t>
      </w:r>
      <w:r w:rsidR="00C25AE9" w:rsidRPr="005E456A">
        <w:rPr>
          <w:rFonts w:ascii="Book Antiqua" w:hAnsi="Book Antiqua" w:cs="Arial"/>
          <w:sz w:val="24"/>
          <w:szCs w:val="24"/>
        </w:rPr>
        <w:t xml:space="preserve"> stands for microvascular patterns while </w:t>
      </w:r>
      <w:r w:rsidR="00DA14CF">
        <w:rPr>
          <w:rFonts w:ascii="Book Antiqua" w:hAnsi="Book Antiqua" w:cs="Arial"/>
          <w:sz w:val="24"/>
          <w:szCs w:val="24"/>
        </w:rPr>
        <w:t>“</w:t>
      </w:r>
      <w:r w:rsidR="00C25AE9" w:rsidRPr="005E456A">
        <w:rPr>
          <w:rFonts w:ascii="Book Antiqua" w:hAnsi="Book Antiqua" w:cs="Arial"/>
          <w:sz w:val="24"/>
          <w:szCs w:val="24"/>
        </w:rPr>
        <w:t>S</w:t>
      </w:r>
      <w:r w:rsidR="00DA14CF">
        <w:rPr>
          <w:rFonts w:ascii="Book Antiqua" w:hAnsi="Book Antiqua" w:cs="Arial"/>
          <w:sz w:val="24"/>
          <w:szCs w:val="24"/>
        </w:rPr>
        <w:t>”</w:t>
      </w:r>
      <w:r w:rsidR="00C25AE9" w:rsidRPr="005E456A">
        <w:rPr>
          <w:rFonts w:ascii="Book Antiqua" w:hAnsi="Book Antiqua" w:cs="Arial"/>
          <w:sz w:val="24"/>
          <w:szCs w:val="24"/>
        </w:rPr>
        <w:t xml:space="preserve"> stand</w:t>
      </w:r>
      <w:r w:rsidR="009E5EFE" w:rsidRPr="005E456A">
        <w:rPr>
          <w:rFonts w:ascii="Book Antiqua" w:hAnsi="Book Antiqua" w:cs="Arial"/>
          <w:sz w:val="24"/>
          <w:szCs w:val="24"/>
        </w:rPr>
        <w:t>s for surface microstructures</w:t>
      </w:r>
      <w:r w:rsidR="00C25AE9" w:rsidRPr="005E456A">
        <w:rPr>
          <w:rFonts w:ascii="Book Antiqua" w:hAnsi="Book Antiqua" w:cs="Arial"/>
          <w:sz w:val="24"/>
          <w:szCs w:val="24"/>
        </w:rPr>
        <w:t>. In this classification, an EGC is accurately identified based on two features: (1) a demarcat</w:t>
      </w:r>
      <w:r w:rsidR="007F1084" w:rsidRPr="005E456A">
        <w:rPr>
          <w:rFonts w:ascii="Book Antiqua" w:hAnsi="Book Antiqua" w:cs="Arial"/>
          <w:sz w:val="24"/>
          <w:szCs w:val="24"/>
        </w:rPr>
        <w:t>ion line (DL) with loss of SEC</w:t>
      </w:r>
      <w:r w:rsidR="009E5EFE" w:rsidRPr="005E456A">
        <w:rPr>
          <w:rFonts w:ascii="Book Antiqua" w:hAnsi="Book Antiqua" w:cs="Arial"/>
          <w:sz w:val="24"/>
          <w:szCs w:val="24"/>
        </w:rPr>
        <w:t>N;</w:t>
      </w:r>
      <w:r w:rsidR="00C25AE9" w:rsidRPr="005E456A">
        <w:rPr>
          <w:rFonts w:ascii="Book Antiqua" w:hAnsi="Book Antiqua" w:cs="Arial"/>
          <w:sz w:val="24"/>
          <w:szCs w:val="24"/>
        </w:rPr>
        <w:t xml:space="preserve"> and (2) an irregular microvascular pattern (IMVP) or an irregular microstructural pattern (IMSP)</w:t>
      </w:r>
      <w:r w:rsidR="003A7D65" w:rsidRPr="005E456A">
        <w:rPr>
          <w:rFonts w:ascii="Book Antiqua" w:hAnsi="Book Antiqua" w:cs="Arial"/>
          <w:sz w:val="24"/>
          <w:szCs w:val="24"/>
        </w:rPr>
        <w:t>. These features are best visualized with optical magnification</w:t>
      </w:r>
      <w:r w:rsidR="00115935">
        <w:rPr>
          <w:rFonts w:ascii="Book Antiqua" w:hAnsi="Book Antiqua" w:cs="Arial"/>
          <w:sz w:val="24"/>
          <w:szCs w:val="24"/>
        </w:rPr>
        <w:t xml:space="preserve"> (Figure</w:t>
      </w:r>
      <w:r w:rsidR="005B7A36" w:rsidRPr="005E456A">
        <w:rPr>
          <w:rFonts w:ascii="Book Antiqua" w:hAnsi="Book Antiqua" w:cs="Arial"/>
          <w:sz w:val="24"/>
          <w:szCs w:val="24"/>
        </w:rPr>
        <w:t xml:space="preserve"> </w:t>
      </w:r>
      <w:r w:rsidR="00115935">
        <w:rPr>
          <w:rFonts w:ascii="Book Antiqua" w:hAnsi="Book Antiqua" w:cs="Arial" w:hint="eastAsia"/>
          <w:sz w:val="24"/>
          <w:szCs w:val="24"/>
        </w:rPr>
        <w:t>5</w:t>
      </w:r>
      <w:r w:rsidR="003A7D65" w:rsidRPr="005E456A">
        <w:rPr>
          <w:rFonts w:ascii="Book Antiqua" w:hAnsi="Book Antiqua" w:cs="Arial"/>
          <w:sz w:val="24"/>
          <w:szCs w:val="24"/>
        </w:rPr>
        <w:t xml:space="preserve">). Digital magnification combined with dual focus imaging may provide an adequate view of the demarcation line and microstructural pattern, but will not be able to clearly visualize </w:t>
      </w:r>
      <w:r w:rsidR="005B7A36" w:rsidRPr="005E456A">
        <w:rPr>
          <w:rFonts w:ascii="Book Antiqua" w:hAnsi="Book Antiqua" w:cs="Arial"/>
          <w:sz w:val="24"/>
          <w:szCs w:val="24"/>
        </w:rPr>
        <w:t>the microvascular</w:t>
      </w:r>
      <w:r w:rsidR="003A7D65" w:rsidRPr="005E456A">
        <w:rPr>
          <w:rFonts w:ascii="Book Antiqua" w:hAnsi="Book Antiqua" w:cs="Arial"/>
          <w:sz w:val="24"/>
          <w:szCs w:val="24"/>
        </w:rPr>
        <w:t xml:space="preserve"> pattern (Figure </w:t>
      </w:r>
      <w:r w:rsidR="00115935">
        <w:rPr>
          <w:rFonts w:ascii="Book Antiqua" w:hAnsi="Book Antiqua" w:cs="Arial" w:hint="eastAsia"/>
          <w:sz w:val="24"/>
          <w:szCs w:val="24"/>
        </w:rPr>
        <w:t>6</w:t>
      </w:r>
      <w:r w:rsidR="003A7D65" w:rsidRPr="005E456A">
        <w:rPr>
          <w:rFonts w:ascii="Book Antiqua" w:hAnsi="Book Antiqua" w:cs="Arial"/>
          <w:sz w:val="24"/>
          <w:szCs w:val="24"/>
        </w:rPr>
        <w:t>)</w:t>
      </w:r>
      <w:r w:rsidR="00C25AE9" w:rsidRPr="005E456A">
        <w:rPr>
          <w:rFonts w:ascii="Book Antiqua" w:hAnsi="Book Antiqua" w:cs="Arial"/>
          <w:sz w:val="24"/>
          <w:szCs w:val="24"/>
        </w:rPr>
        <w:t xml:space="preserve">. </w:t>
      </w:r>
    </w:p>
    <w:p w14:paraId="6C74B91B" w14:textId="4AA0A483" w:rsidR="00C418E8" w:rsidRPr="005E456A" w:rsidRDefault="009E5EFE" w:rsidP="005E456A">
      <w:pPr>
        <w:pStyle w:val="ListParagraph"/>
        <w:spacing w:after="0" w:line="360" w:lineRule="auto"/>
        <w:ind w:left="0" w:firstLine="720"/>
        <w:jc w:val="both"/>
        <w:rPr>
          <w:rFonts w:ascii="Book Antiqua" w:hAnsi="Book Antiqua" w:cs="Arial"/>
          <w:sz w:val="24"/>
          <w:szCs w:val="24"/>
        </w:rPr>
      </w:pPr>
      <w:r w:rsidRPr="005E456A">
        <w:rPr>
          <w:rFonts w:ascii="Book Antiqua" w:hAnsi="Book Antiqua" w:cs="Arial"/>
          <w:sz w:val="24"/>
          <w:szCs w:val="24"/>
        </w:rPr>
        <w:t xml:space="preserve">In 2010, Ezoe </w:t>
      </w:r>
      <w:r w:rsidRPr="00DA14CF">
        <w:rPr>
          <w:rFonts w:ascii="Book Antiqua" w:hAnsi="Book Antiqua" w:cs="Arial"/>
          <w:i/>
          <w:sz w:val="24"/>
          <w:szCs w:val="24"/>
        </w:rPr>
        <w:t>et al</w:t>
      </w:r>
      <w:r w:rsidR="00DA14CF" w:rsidRPr="005E456A">
        <w:rPr>
          <w:rFonts w:ascii="Book Antiqua" w:hAnsi="Book Antiqua" w:cs="Arial"/>
          <w:sz w:val="24"/>
          <w:szCs w:val="24"/>
          <w:vertAlign w:val="superscript"/>
        </w:rPr>
        <w:t>[48]</w:t>
      </w:r>
      <w:r w:rsidRPr="005E456A">
        <w:rPr>
          <w:rFonts w:ascii="Book Antiqua" w:hAnsi="Book Antiqua" w:cs="Arial"/>
          <w:sz w:val="24"/>
          <w:szCs w:val="24"/>
        </w:rPr>
        <w:t xml:space="preserve"> </w:t>
      </w:r>
      <w:r w:rsidR="00CC2267" w:rsidRPr="005E456A">
        <w:rPr>
          <w:rFonts w:ascii="Book Antiqua" w:hAnsi="Book Antiqua" w:cs="Arial"/>
          <w:sz w:val="24"/>
          <w:szCs w:val="24"/>
        </w:rPr>
        <w:t xml:space="preserve">prospectively </w:t>
      </w:r>
      <w:r w:rsidRPr="005E456A">
        <w:rPr>
          <w:rFonts w:ascii="Book Antiqua" w:hAnsi="Book Antiqua" w:cs="Arial"/>
          <w:sz w:val="24"/>
          <w:szCs w:val="24"/>
        </w:rPr>
        <w:t>compared diagnostic efficacies of</w:t>
      </w:r>
      <w:r w:rsidR="00CC2267" w:rsidRPr="005E456A">
        <w:rPr>
          <w:rFonts w:ascii="Book Antiqua" w:hAnsi="Book Antiqua" w:cs="Arial"/>
          <w:sz w:val="24"/>
          <w:szCs w:val="24"/>
        </w:rPr>
        <w:t xml:space="preserve"> ME</w:t>
      </w:r>
      <w:r w:rsidRPr="005E456A">
        <w:rPr>
          <w:rFonts w:ascii="Book Antiqua" w:hAnsi="Book Antiqua" w:cs="Arial"/>
          <w:sz w:val="24"/>
          <w:szCs w:val="24"/>
        </w:rPr>
        <w:t xml:space="preserve"> with M-NBI using VS classification i</w:t>
      </w:r>
      <w:r w:rsidR="00C25AE9" w:rsidRPr="005E456A">
        <w:rPr>
          <w:rFonts w:ascii="Book Antiqua" w:hAnsi="Book Antiqua" w:cs="Arial"/>
          <w:sz w:val="24"/>
          <w:szCs w:val="24"/>
        </w:rPr>
        <w:t xml:space="preserve">n a sample of 57 depressed gastric lesions (including 27 malignant). For accurate diagnosis of EGC, the diagnostic accuracy and sensitivity were significantly higher for M-NBI as compared to </w:t>
      </w:r>
      <w:r w:rsidR="000A7BD0" w:rsidRPr="005E456A">
        <w:rPr>
          <w:rFonts w:ascii="Book Antiqua" w:hAnsi="Book Antiqua" w:cs="Arial"/>
          <w:sz w:val="24"/>
          <w:szCs w:val="24"/>
        </w:rPr>
        <w:t>ME</w:t>
      </w:r>
      <w:r w:rsidR="00C25AE9" w:rsidRPr="005E456A">
        <w:rPr>
          <w:rFonts w:ascii="Book Antiqua" w:hAnsi="Book Antiqua" w:cs="Arial"/>
          <w:sz w:val="24"/>
          <w:szCs w:val="24"/>
        </w:rPr>
        <w:t>. Subsequently, the same comparison was studied in much larger sample in a rando</w:t>
      </w:r>
      <w:r w:rsidR="000A7BD0" w:rsidRPr="005E456A">
        <w:rPr>
          <w:rFonts w:ascii="Book Antiqua" w:hAnsi="Book Antiqua" w:cs="Arial"/>
          <w:sz w:val="24"/>
          <w:szCs w:val="24"/>
        </w:rPr>
        <w:t>mized and multicentre trial</w:t>
      </w:r>
      <w:r w:rsidR="000A7BD0" w:rsidRPr="005E456A">
        <w:rPr>
          <w:rFonts w:ascii="Book Antiqua" w:hAnsi="Book Antiqua" w:cs="Arial"/>
          <w:sz w:val="24"/>
          <w:szCs w:val="24"/>
          <w:vertAlign w:val="superscript"/>
        </w:rPr>
        <w:t>[</w:t>
      </w:r>
      <w:r w:rsidR="00C418E8" w:rsidRPr="005E456A">
        <w:rPr>
          <w:rFonts w:ascii="Book Antiqua" w:hAnsi="Book Antiqua" w:cs="Arial"/>
          <w:sz w:val="24"/>
          <w:szCs w:val="24"/>
          <w:vertAlign w:val="superscript"/>
        </w:rPr>
        <w:t>49</w:t>
      </w:r>
      <w:r w:rsidR="000A7BD0" w:rsidRPr="005E456A">
        <w:rPr>
          <w:rFonts w:ascii="Book Antiqua" w:hAnsi="Book Antiqua" w:cs="Arial"/>
          <w:sz w:val="24"/>
          <w:szCs w:val="24"/>
          <w:vertAlign w:val="superscript"/>
        </w:rPr>
        <w:t>]</w:t>
      </w:r>
      <w:r w:rsidR="00C25AE9" w:rsidRPr="005E456A">
        <w:rPr>
          <w:rFonts w:ascii="Book Antiqua" w:hAnsi="Book Antiqua" w:cs="Arial"/>
          <w:sz w:val="24"/>
          <w:szCs w:val="24"/>
        </w:rPr>
        <w:t>. Again for diagnosis of depressed-type EGC, the M-NBI was superior to</w:t>
      </w:r>
      <w:r w:rsidR="000A7BD0" w:rsidRPr="005E456A">
        <w:rPr>
          <w:rFonts w:ascii="Book Antiqua" w:hAnsi="Book Antiqua" w:cs="Arial"/>
          <w:sz w:val="24"/>
          <w:szCs w:val="24"/>
        </w:rPr>
        <w:t xml:space="preserve"> ME</w:t>
      </w:r>
      <w:r w:rsidR="00C25AE9" w:rsidRPr="005E456A">
        <w:rPr>
          <w:rFonts w:ascii="Book Antiqua" w:hAnsi="Book Antiqua" w:cs="Arial"/>
          <w:sz w:val="24"/>
          <w:szCs w:val="24"/>
        </w:rPr>
        <w:t xml:space="preserve">. The sensitivity and specificity of M-NBI were 95.0% and 96.8% respectively. </w:t>
      </w:r>
    </w:p>
    <w:p w14:paraId="3A301B15" w14:textId="0FD42503" w:rsidR="00C25AE9" w:rsidRPr="005E456A" w:rsidRDefault="00C25AE9" w:rsidP="005E456A">
      <w:pPr>
        <w:pStyle w:val="ListParagraph"/>
        <w:spacing w:after="0" w:line="360" w:lineRule="auto"/>
        <w:ind w:left="0" w:firstLine="720"/>
        <w:jc w:val="both"/>
        <w:rPr>
          <w:rFonts w:ascii="Book Antiqua" w:hAnsi="Book Antiqua" w:cs="Arial"/>
          <w:sz w:val="24"/>
          <w:szCs w:val="24"/>
        </w:rPr>
      </w:pPr>
      <w:r w:rsidRPr="005E456A">
        <w:rPr>
          <w:rFonts w:ascii="Book Antiqua" w:hAnsi="Book Antiqua" w:cs="Arial"/>
          <w:sz w:val="24"/>
          <w:szCs w:val="24"/>
        </w:rPr>
        <w:t>In the recent post-hoc analysis of this study, a sequential strategy for diagnosing a cancerou</w:t>
      </w:r>
      <w:r w:rsidR="00EF38AD" w:rsidRPr="005E456A">
        <w:rPr>
          <w:rFonts w:ascii="Book Antiqua" w:hAnsi="Book Antiqua" w:cs="Arial"/>
          <w:sz w:val="24"/>
          <w:szCs w:val="24"/>
        </w:rPr>
        <w:t>s gastric lesion was proposed</w:t>
      </w:r>
      <w:r w:rsidR="00EF38AD" w:rsidRPr="005E456A">
        <w:rPr>
          <w:rFonts w:ascii="Book Antiqua" w:hAnsi="Book Antiqua" w:cs="Arial"/>
          <w:sz w:val="24"/>
          <w:szCs w:val="24"/>
          <w:vertAlign w:val="superscript"/>
        </w:rPr>
        <w:t>[5</w:t>
      </w:r>
      <w:r w:rsidR="00C418E8" w:rsidRPr="005E456A">
        <w:rPr>
          <w:rFonts w:ascii="Book Antiqua" w:hAnsi="Book Antiqua" w:cs="Arial"/>
          <w:sz w:val="24"/>
          <w:szCs w:val="24"/>
          <w:vertAlign w:val="superscript"/>
        </w:rPr>
        <w:t>0</w:t>
      </w:r>
      <w:r w:rsidR="00EF38AD" w:rsidRPr="005E456A">
        <w:rPr>
          <w:rFonts w:ascii="Book Antiqua" w:hAnsi="Book Antiqua" w:cs="Arial"/>
          <w:sz w:val="24"/>
          <w:szCs w:val="24"/>
          <w:vertAlign w:val="superscript"/>
        </w:rPr>
        <w:t>]</w:t>
      </w:r>
      <w:r w:rsidRPr="005E456A">
        <w:rPr>
          <w:rFonts w:ascii="Book Antiqua" w:hAnsi="Book Antiqua" w:cs="Arial"/>
          <w:sz w:val="24"/>
          <w:szCs w:val="24"/>
        </w:rPr>
        <w:t xml:space="preserve">. For a depressed gastric lesion </w:t>
      </w:r>
      <w:r w:rsidRPr="005E456A">
        <w:rPr>
          <w:rFonts w:ascii="Book Antiqua" w:hAnsi="Book Antiqua" w:cs="Arial"/>
          <w:sz w:val="24"/>
          <w:szCs w:val="24"/>
        </w:rPr>
        <w:lastRenderedPageBreak/>
        <w:t>on white-light examination, M-NBI was suggested to look for a DL</w:t>
      </w:r>
      <w:r w:rsidR="00EF38AD" w:rsidRPr="005E456A">
        <w:rPr>
          <w:rFonts w:ascii="Book Antiqua" w:hAnsi="Book Antiqua" w:cs="Arial"/>
          <w:sz w:val="24"/>
          <w:szCs w:val="24"/>
        </w:rPr>
        <w:t xml:space="preserve"> first</w:t>
      </w:r>
      <w:r w:rsidRPr="005E456A">
        <w:rPr>
          <w:rFonts w:ascii="Book Antiqua" w:hAnsi="Book Antiqua" w:cs="Arial"/>
          <w:sz w:val="24"/>
          <w:szCs w:val="24"/>
        </w:rPr>
        <w:t xml:space="preserve"> since presence of DL had high sensitivity and </w:t>
      </w:r>
      <w:r w:rsidR="00EF38AD" w:rsidRPr="005E456A">
        <w:rPr>
          <w:rFonts w:ascii="Book Antiqua" w:hAnsi="Book Antiqua" w:cs="Arial"/>
          <w:sz w:val="24"/>
          <w:szCs w:val="24"/>
        </w:rPr>
        <w:t xml:space="preserve">high </w:t>
      </w:r>
      <w:r w:rsidRPr="005E456A">
        <w:rPr>
          <w:rFonts w:ascii="Book Antiqua" w:hAnsi="Book Antiqua" w:cs="Arial"/>
          <w:sz w:val="24"/>
          <w:szCs w:val="24"/>
        </w:rPr>
        <w:t xml:space="preserve">negative predictive value for </w:t>
      </w:r>
      <w:r w:rsidR="00EF38AD" w:rsidRPr="005E456A">
        <w:rPr>
          <w:rFonts w:ascii="Book Antiqua" w:hAnsi="Book Antiqua" w:cs="Arial"/>
          <w:sz w:val="24"/>
          <w:szCs w:val="24"/>
        </w:rPr>
        <w:t xml:space="preserve">a </w:t>
      </w:r>
      <w:r w:rsidRPr="005E456A">
        <w:rPr>
          <w:rFonts w:ascii="Book Antiqua" w:hAnsi="Book Antiqua" w:cs="Arial"/>
          <w:sz w:val="24"/>
          <w:szCs w:val="24"/>
        </w:rPr>
        <w:t xml:space="preserve">malignant lesion. In lesions with DL, an absence of IMVP was </w:t>
      </w:r>
      <w:r w:rsidR="00644A76" w:rsidRPr="005E456A">
        <w:rPr>
          <w:rFonts w:ascii="Book Antiqua" w:hAnsi="Book Antiqua" w:cs="Arial"/>
          <w:sz w:val="24"/>
          <w:szCs w:val="24"/>
        </w:rPr>
        <w:t>proposed</w:t>
      </w:r>
      <w:r w:rsidRPr="005E456A">
        <w:rPr>
          <w:rFonts w:ascii="Book Antiqua" w:hAnsi="Book Antiqua" w:cs="Arial"/>
          <w:sz w:val="24"/>
          <w:szCs w:val="24"/>
        </w:rPr>
        <w:t xml:space="preserve"> to rule out malignant lesions because of high specificity of IMVP. In another prospective study, Kato </w:t>
      </w:r>
      <w:r w:rsidRPr="00AD6FD6">
        <w:rPr>
          <w:rFonts w:ascii="Book Antiqua" w:hAnsi="Book Antiqua" w:cs="Arial"/>
          <w:i/>
          <w:sz w:val="24"/>
          <w:szCs w:val="24"/>
        </w:rPr>
        <w:t>et al</w:t>
      </w:r>
      <w:r w:rsidR="00AD6FD6" w:rsidRPr="005E456A">
        <w:rPr>
          <w:rFonts w:ascii="Book Antiqua" w:hAnsi="Book Antiqua" w:cs="Arial"/>
          <w:sz w:val="24"/>
          <w:szCs w:val="24"/>
          <w:vertAlign w:val="superscript"/>
        </w:rPr>
        <w:t>[51]</w:t>
      </w:r>
      <w:r w:rsidRPr="005E456A">
        <w:rPr>
          <w:rFonts w:ascii="Book Antiqua" w:hAnsi="Book Antiqua" w:cs="Arial"/>
          <w:sz w:val="24"/>
          <w:szCs w:val="24"/>
        </w:rPr>
        <w:t xml:space="preserve"> surveyed 111 high-risk patients for EGC based on a triad of findings on M-NBI: (1) disappearance of mucosal pattern, (2) microvascular dilatation, and </w:t>
      </w:r>
      <w:r w:rsidR="00644A76" w:rsidRPr="005E456A">
        <w:rPr>
          <w:rFonts w:ascii="Book Antiqua" w:hAnsi="Book Antiqua" w:cs="Arial"/>
          <w:sz w:val="24"/>
          <w:szCs w:val="24"/>
        </w:rPr>
        <w:t>(3) heterogeneity</w:t>
      </w:r>
      <w:r w:rsidRPr="005E456A">
        <w:rPr>
          <w:rFonts w:ascii="Book Antiqua" w:hAnsi="Book Antiqua" w:cs="Arial"/>
          <w:sz w:val="24"/>
          <w:szCs w:val="24"/>
        </w:rPr>
        <w:t xml:space="preserve">. Although only 14 gastric cancers were detected, the sensitivity and specificity of M-NBI (92.9% and 94.7% respectively) were superior to WLE (42.9% and 61.0% respectively). </w:t>
      </w:r>
    </w:p>
    <w:p w14:paraId="2588A548" w14:textId="589C9B63" w:rsidR="00C25AE9" w:rsidRPr="005E456A" w:rsidRDefault="00C25AE9" w:rsidP="005E456A">
      <w:pPr>
        <w:pStyle w:val="ListParagraph"/>
        <w:spacing w:after="0" w:line="360" w:lineRule="auto"/>
        <w:ind w:left="0" w:firstLine="360"/>
        <w:jc w:val="both"/>
        <w:rPr>
          <w:rFonts w:ascii="Book Antiqua" w:hAnsi="Book Antiqua" w:cs="Arial"/>
          <w:sz w:val="24"/>
          <w:szCs w:val="24"/>
        </w:rPr>
      </w:pPr>
      <w:r w:rsidRPr="005E456A">
        <w:rPr>
          <w:rFonts w:ascii="Book Antiqua" w:hAnsi="Book Antiqua" w:cs="Arial"/>
          <w:sz w:val="24"/>
          <w:szCs w:val="24"/>
        </w:rPr>
        <w:t xml:space="preserve">In a recent meta-analysis by Zhang </w:t>
      </w:r>
      <w:r w:rsidRPr="00FB333B">
        <w:rPr>
          <w:rFonts w:ascii="Book Antiqua" w:hAnsi="Book Antiqua" w:cs="Arial"/>
          <w:i/>
          <w:sz w:val="24"/>
          <w:szCs w:val="24"/>
        </w:rPr>
        <w:t>et al</w:t>
      </w:r>
      <w:r w:rsidR="00FB333B" w:rsidRPr="005E456A">
        <w:rPr>
          <w:rFonts w:ascii="Book Antiqua" w:hAnsi="Book Antiqua" w:cs="Arial"/>
          <w:sz w:val="24"/>
          <w:szCs w:val="24"/>
          <w:vertAlign w:val="superscript"/>
        </w:rPr>
        <w:t>[52]</w:t>
      </w:r>
      <w:r w:rsidRPr="005E456A">
        <w:rPr>
          <w:rFonts w:ascii="Book Antiqua" w:hAnsi="Book Antiqua" w:cs="Arial"/>
          <w:sz w:val="24"/>
          <w:szCs w:val="24"/>
        </w:rPr>
        <w:t xml:space="preserve"> the pooled sensitivity and specificity of M-NBI for diagnosis of EGC were</w:t>
      </w:r>
      <w:r w:rsidR="00644A76" w:rsidRPr="005E456A">
        <w:rPr>
          <w:rFonts w:ascii="Book Antiqua" w:hAnsi="Book Antiqua" w:cs="Arial"/>
          <w:sz w:val="24"/>
          <w:szCs w:val="24"/>
        </w:rPr>
        <w:t xml:space="preserve"> 0.83 and 0.96 respectively. However, there were</w:t>
      </w:r>
      <w:r w:rsidRPr="005E456A">
        <w:rPr>
          <w:rFonts w:ascii="Book Antiqua" w:hAnsi="Book Antiqua" w:cs="Arial"/>
          <w:sz w:val="24"/>
          <w:szCs w:val="24"/>
        </w:rPr>
        <w:t xml:space="preserve"> significant heterogeneity among the studies and also, a combination of retrospective and prospective studies were pooled together. Another recent meta-analysis, which only included six prospective studies, also showed high pooled sensitivity (0.85) and specificity (0.96) </w:t>
      </w:r>
      <w:r w:rsidR="00B64190" w:rsidRPr="005E456A">
        <w:rPr>
          <w:rFonts w:ascii="Book Antiqua" w:hAnsi="Book Antiqua" w:cs="Arial"/>
          <w:sz w:val="24"/>
          <w:szCs w:val="24"/>
        </w:rPr>
        <w:t>for M-NBI diagnosis of EGC</w:t>
      </w:r>
      <w:r w:rsidR="00644A76" w:rsidRPr="005E456A">
        <w:rPr>
          <w:rFonts w:ascii="Book Antiqua" w:hAnsi="Book Antiqua" w:cs="Arial"/>
          <w:sz w:val="24"/>
          <w:szCs w:val="24"/>
          <w:vertAlign w:val="superscript"/>
        </w:rPr>
        <w:t>[5</w:t>
      </w:r>
      <w:r w:rsidR="00C418E8" w:rsidRPr="005E456A">
        <w:rPr>
          <w:rFonts w:ascii="Book Antiqua" w:hAnsi="Book Antiqua" w:cs="Arial"/>
          <w:sz w:val="24"/>
          <w:szCs w:val="24"/>
          <w:vertAlign w:val="superscript"/>
        </w:rPr>
        <w:t>3</w:t>
      </w:r>
      <w:r w:rsidR="00644A76" w:rsidRPr="005E456A">
        <w:rPr>
          <w:rFonts w:ascii="Book Antiqua" w:hAnsi="Book Antiqua" w:cs="Arial"/>
          <w:sz w:val="24"/>
          <w:szCs w:val="24"/>
          <w:vertAlign w:val="superscript"/>
        </w:rPr>
        <w:t>]</w:t>
      </w:r>
      <w:r w:rsidRPr="005E456A">
        <w:rPr>
          <w:rFonts w:ascii="Book Antiqua" w:hAnsi="Book Antiqua" w:cs="Arial"/>
          <w:sz w:val="24"/>
          <w:szCs w:val="24"/>
        </w:rPr>
        <w:t>. A significant heterogeneity among studies was also observed in this meta-analysis.</w:t>
      </w:r>
      <w:r w:rsidR="00D04643">
        <w:rPr>
          <w:rFonts w:ascii="Book Antiqua" w:hAnsi="Book Antiqua" w:cs="Arial" w:hint="eastAsia"/>
          <w:sz w:val="24"/>
          <w:szCs w:val="24"/>
        </w:rPr>
        <w:t xml:space="preserve"> </w:t>
      </w:r>
    </w:p>
    <w:p w14:paraId="0F73F55A" w14:textId="77777777" w:rsidR="005B7A36" w:rsidRPr="005E456A" w:rsidRDefault="005B7A36" w:rsidP="005E456A">
      <w:pPr>
        <w:spacing w:after="0" w:line="360" w:lineRule="auto"/>
        <w:jc w:val="both"/>
        <w:rPr>
          <w:rFonts w:ascii="Book Antiqua" w:hAnsi="Book Antiqua" w:cs="Arial"/>
          <w:b/>
          <w:sz w:val="24"/>
          <w:szCs w:val="24"/>
        </w:rPr>
      </w:pPr>
    </w:p>
    <w:p w14:paraId="063977DA" w14:textId="115D8254" w:rsidR="00C25AE9" w:rsidRPr="005E456A" w:rsidRDefault="00C418E8" w:rsidP="005E456A">
      <w:pPr>
        <w:spacing w:after="0" w:line="360" w:lineRule="auto"/>
        <w:jc w:val="both"/>
        <w:rPr>
          <w:rFonts w:ascii="Book Antiqua" w:hAnsi="Book Antiqua" w:cs="Arial"/>
          <w:b/>
          <w:i/>
          <w:sz w:val="24"/>
          <w:szCs w:val="24"/>
        </w:rPr>
      </w:pPr>
      <w:r w:rsidRPr="005E456A">
        <w:rPr>
          <w:rFonts w:ascii="Book Antiqua" w:hAnsi="Book Antiqua" w:cs="Arial"/>
          <w:b/>
          <w:i/>
          <w:sz w:val="24"/>
          <w:szCs w:val="24"/>
        </w:rPr>
        <w:t>M-NBI for</w:t>
      </w:r>
      <w:r w:rsidR="00C25AE9" w:rsidRPr="005E456A">
        <w:rPr>
          <w:rFonts w:ascii="Book Antiqua" w:hAnsi="Book Antiqua" w:cs="Arial"/>
          <w:b/>
          <w:i/>
          <w:sz w:val="24"/>
          <w:szCs w:val="24"/>
        </w:rPr>
        <w:t xml:space="preserve"> histological differentiation of EGC</w:t>
      </w:r>
    </w:p>
    <w:p w14:paraId="65B79E9D" w14:textId="1D1D76C7" w:rsidR="00C25AE9" w:rsidRPr="005E456A" w:rsidRDefault="0078413E" w:rsidP="00AE2F72">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t>Besides</w:t>
      </w:r>
      <w:r w:rsidR="00B64190" w:rsidRPr="005E456A">
        <w:rPr>
          <w:rFonts w:ascii="Book Antiqua" w:hAnsi="Book Antiqua" w:cs="Arial"/>
          <w:sz w:val="24"/>
          <w:szCs w:val="24"/>
        </w:rPr>
        <w:t xml:space="preserve"> differentiating</w:t>
      </w:r>
      <w:r w:rsidR="00C25AE9" w:rsidRPr="005E456A">
        <w:rPr>
          <w:rFonts w:ascii="Book Antiqua" w:hAnsi="Book Antiqua" w:cs="Arial"/>
          <w:sz w:val="24"/>
          <w:szCs w:val="24"/>
        </w:rPr>
        <w:t xml:space="preserve"> between cancerous and non-cancerous lesions, several studies have attempted </w:t>
      </w:r>
      <w:r w:rsidR="00B91E87" w:rsidRPr="005E456A">
        <w:rPr>
          <w:rFonts w:ascii="Book Antiqua" w:hAnsi="Book Antiqua" w:cs="Arial"/>
          <w:sz w:val="24"/>
          <w:szCs w:val="24"/>
        </w:rPr>
        <w:t xml:space="preserve">to use </w:t>
      </w:r>
      <w:r w:rsidR="00C25AE9" w:rsidRPr="005E456A">
        <w:rPr>
          <w:rFonts w:ascii="Book Antiqua" w:hAnsi="Book Antiqua" w:cs="Arial"/>
          <w:sz w:val="24"/>
          <w:szCs w:val="24"/>
        </w:rPr>
        <w:t>M-NBI for prediction of his</w:t>
      </w:r>
      <w:r w:rsidR="00C418E8" w:rsidRPr="005E456A">
        <w:rPr>
          <w:rFonts w:ascii="Book Antiqua" w:hAnsi="Book Antiqua" w:cs="Arial"/>
          <w:sz w:val="24"/>
          <w:szCs w:val="24"/>
        </w:rPr>
        <w:t xml:space="preserve">tologic differentiation of EGC. </w:t>
      </w:r>
      <w:r w:rsidR="00116C97" w:rsidRPr="005E456A">
        <w:rPr>
          <w:rFonts w:ascii="Book Antiqua" w:hAnsi="Book Antiqua" w:cs="Arial"/>
          <w:sz w:val="24"/>
          <w:szCs w:val="24"/>
        </w:rPr>
        <w:t xml:space="preserve">During </w:t>
      </w:r>
      <w:r w:rsidR="00B91E87" w:rsidRPr="005E456A">
        <w:rPr>
          <w:rFonts w:ascii="Book Antiqua" w:hAnsi="Book Antiqua" w:cs="Arial"/>
          <w:sz w:val="24"/>
          <w:szCs w:val="24"/>
        </w:rPr>
        <w:t xml:space="preserve">the </w:t>
      </w:r>
      <w:r w:rsidR="00116C97" w:rsidRPr="005E456A">
        <w:rPr>
          <w:rFonts w:ascii="Book Antiqua" w:hAnsi="Book Antiqua" w:cs="Arial"/>
          <w:sz w:val="24"/>
          <w:szCs w:val="24"/>
        </w:rPr>
        <w:t xml:space="preserve">early years of NBI technique, </w:t>
      </w:r>
      <w:r w:rsidR="00C25AE9" w:rsidRPr="005E456A">
        <w:rPr>
          <w:rFonts w:ascii="Book Antiqua" w:hAnsi="Book Antiqua" w:cs="Arial"/>
          <w:sz w:val="24"/>
          <w:szCs w:val="24"/>
        </w:rPr>
        <w:t>Nakayoshi</w:t>
      </w:r>
      <w:r w:rsidR="00C25AE9" w:rsidRPr="00B36835">
        <w:rPr>
          <w:rFonts w:ascii="Book Antiqua" w:hAnsi="Book Antiqua" w:cs="Arial"/>
          <w:i/>
          <w:sz w:val="24"/>
          <w:szCs w:val="24"/>
        </w:rPr>
        <w:t xml:space="preserve"> et al</w:t>
      </w:r>
      <w:r w:rsidR="00B36835" w:rsidRPr="005E456A">
        <w:rPr>
          <w:rFonts w:ascii="Book Antiqua" w:hAnsi="Book Antiqua" w:cs="Arial"/>
          <w:sz w:val="24"/>
          <w:szCs w:val="24"/>
          <w:vertAlign w:val="superscript"/>
        </w:rPr>
        <w:t>[54]</w:t>
      </w:r>
      <w:r w:rsidR="00C25AE9" w:rsidRPr="005E456A">
        <w:rPr>
          <w:rFonts w:ascii="Book Antiqua" w:hAnsi="Book Antiqua" w:cs="Arial"/>
          <w:sz w:val="24"/>
          <w:szCs w:val="24"/>
        </w:rPr>
        <w:t xml:space="preserve"> studied 165 depressed-type o</w:t>
      </w:r>
      <w:r w:rsidR="00644A76" w:rsidRPr="005E456A">
        <w:rPr>
          <w:rFonts w:ascii="Book Antiqua" w:hAnsi="Book Antiqua" w:cs="Arial"/>
          <w:sz w:val="24"/>
          <w:szCs w:val="24"/>
        </w:rPr>
        <w:t>f EGC with M-NBI</w:t>
      </w:r>
      <w:r w:rsidR="00C25AE9" w:rsidRPr="005E456A">
        <w:rPr>
          <w:rFonts w:ascii="Book Antiqua" w:hAnsi="Book Antiqua" w:cs="Arial"/>
          <w:sz w:val="24"/>
          <w:szCs w:val="24"/>
        </w:rPr>
        <w:t>. The microvascular patterns were divided into three patterns: fine network, corkscrew and unclassified. The fine network patterns were seen m</w:t>
      </w:r>
      <w:r w:rsidR="00B64190" w:rsidRPr="005E456A">
        <w:rPr>
          <w:rFonts w:ascii="Book Antiqua" w:hAnsi="Book Antiqua" w:cs="Arial"/>
          <w:sz w:val="24"/>
          <w:szCs w:val="24"/>
        </w:rPr>
        <w:t xml:space="preserve">ore commonly in differentiated </w:t>
      </w:r>
      <w:r w:rsidR="00C25AE9" w:rsidRPr="005E456A">
        <w:rPr>
          <w:rFonts w:ascii="Book Antiqua" w:hAnsi="Book Antiqua" w:cs="Arial"/>
          <w:sz w:val="24"/>
          <w:szCs w:val="24"/>
        </w:rPr>
        <w:t xml:space="preserve">EGC as compared to the undifferentiated type (66.1% </w:t>
      </w:r>
      <w:r w:rsidR="00C25AE9" w:rsidRPr="00AE2F72">
        <w:rPr>
          <w:rFonts w:ascii="Book Antiqua" w:hAnsi="Book Antiqua" w:cs="Arial"/>
          <w:i/>
          <w:sz w:val="24"/>
          <w:szCs w:val="24"/>
        </w:rPr>
        <w:t>vs</w:t>
      </w:r>
      <w:r w:rsidR="00C25AE9" w:rsidRPr="005E456A">
        <w:rPr>
          <w:rFonts w:ascii="Book Antiqua" w:hAnsi="Book Antiqua" w:cs="Arial"/>
          <w:sz w:val="24"/>
          <w:szCs w:val="24"/>
        </w:rPr>
        <w:t xml:space="preserve"> 3.7%), whereas corkscrew patterns were seen more commonly in undiffere</w:t>
      </w:r>
      <w:r w:rsidR="00B64190" w:rsidRPr="005E456A">
        <w:rPr>
          <w:rFonts w:ascii="Book Antiqua" w:hAnsi="Book Antiqua" w:cs="Arial"/>
          <w:sz w:val="24"/>
          <w:szCs w:val="24"/>
        </w:rPr>
        <w:t xml:space="preserve">ntiated-type (85.7% </w:t>
      </w:r>
      <w:r w:rsidR="00B64190" w:rsidRPr="00AE2F72">
        <w:rPr>
          <w:rFonts w:ascii="Book Antiqua" w:hAnsi="Book Antiqua" w:cs="Arial"/>
          <w:i/>
          <w:sz w:val="24"/>
          <w:szCs w:val="24"/>
        </w:rPr>
        <w:t>vs</w:t>
      </w:r>
      <w:r w:rsidR="00B64190" w:rsidRPr="005E456A">
        <w:rPr>
          <w:rFonts w:ascii="Book Antiqua" w:hAnsi="Book Antiqua" w:cs="Arial"/>
          <w:sz w:val="24"/>
          <w:szCs w:val="24"/>
        </w:rPr>
        <w:t xml:space="preserve"> 3.6%; </w:t>
      </w:r>
      <w:r w:rsidR="00AE2F72" w:rsidRPr="00AE2F72">
        <w:rPr>
          <w:rFonts w:ascii="Book Antiqua" w:hAnsi="Book Antiqua" w:cs="Arial"/>
          <w:i/>
          <w:sz w:val="24"/>
          <w:szCs w:val="24"/>
        </w:rPr>
        <w:t>P</w:t>
      </w:r>
      <w:r w:rsidR="00B64190" w:rsidRPr="005E456A">
        <w:rPr>
          <w:rFonts w:ascii="Book Antiqua" w:hAnsi="Book Antiqua" w:cs="Arial"/>
          <w:sz w:val="24"/>
          <w:szCs w:val="24"/>
        </w:rPr>
        <w:t xml:space="preserve"> = </w:t>
      </w:r>
      <w:r w:rsidR="00C25AE9" w:rsidRPr="005E456A">
        <w:rPr>
          <w:rFonts w:ascii="Book Antiqua" w:hAnsi="Book Antiqua" w:cs="Arial"/>
          <w:sz w:val="24"/>
          <w:szCs w:val="24"/>
        </w:rPr>
        <w:t xml:space="preserve">0.0011). </w:t>
      </w:r>
      <w:r w:rsidR="00116C97" w:rsidRPr="005E456A">
        <w:rPr>
          <w:rFonts w:ascii="Book Antiqua" w:hAnsi="Book Antiqua" w:cs="Arial"/>
          <w:sz w:val="24"/>
          <w:szCs w:val="24"/>
        </w:rPr>
        <w:t>However, t</w:t>
      </w:r>
      <w:r w:rsidR="00C25AE9" w:rsidRPr="005E456A">
        <w:rPr>
          <w:rFonts w:ascii="Book Antiqua" w:hAnsi="Book Antiqua" w:cs="Arial"/>
          <w:sz w:val="24"/>
          <w:szCs w:val="24"/>
        </w:rPr>
        <w:t xml:space="preserve">he conclusion was that the real-time optical diagnosis with M-NBI, although beneficial, was </w:t>
      </w:r>
      <w:r w:rsidR="00116C97" w:rsidRPr="005E456A">
        <w:rPr>
          <w:rFonts w:ascii="Book Antiqua" w:hAnsi="Book Antiqua" w:cs="Arial"/>
          <w:sz w:val="24"/>
          <w:szCs w:val="24"/>
        </w:rPr>
        <w:t xml:space="preserve">still </w:t>
      </w:r>
      <w:r w:rsidR="00C25AE9" w:rsidRPr="005E456A">
        <w:rPr>
          <w:rFonts w:ascii="Book Antiqua" w:hAnsi="Book Antiqua" w:cs="Arial"/>
          <w:sz w:val="24"/>
          <w:szCs w:val="24"/>
        </w:rPr>
        <w:t>not sufficient to replace histopathological confirmation.</w:t>
      </w:r>
    </w:p>
    <w:p w14:paraId="30EB7DB5" w14:textId="0932AE3D" w:rsidR="00C25AE9" w:rsidRDefault="00C25AE9" w:rsidP="005E456A">
      <w:pPr>
        <w:pStyle w:val="ListParagraph"/>
        <w:spacing w:after="0" w:line="360" w:lineRule="auto"/>
        <w:ind w:left="0" w:firstLine="720"/>
        <w:jc w:val="both"/>
        <w:rPr>
          <w:rFonts w:ascii="Book Antiqua" w:hAnsi="Book Antiqua" w:cs="Arial"/>
          <w:sz w:val="24"/>
          <w:szCs w:val="24"/>
        </w:rPr>
      </w:pPr>
      <w:r w:rsidRPr="005E456A">
        <w:rPr>
          <w:rFonts w:ascii="Book Antiqua" w:hAnsi="Book Antiqua" w:cs="Arial"/>
          <w:sz w:val="24"/>
          <w:szCs w:val="24"/>
        </w:rPr>
        <w:t xml:space="preserve">Similarly, Yokayama </w:t>
      </w:r>
      <w:r w:rsidRPr="00A609D1">
        <w:rPr>
          <w:rFonts w:ascii="Book Antiqua" w:hAnsi="Book Antiqua" w:cs="Arial"/>
          <w:i/>
          <w:sz w:val="24"/>
          <w:szCs w:val="24"/>
        </w:rPr>
        <w:t>et al</w:t>
      </w:r>
      <w:r w:rsidR="00A609D1" w:rsidRPr="005E456A">
        <w:rPr>
          <w:rFonts w:ascii="Book Antiqua" w:hAnsi="Book Antiqua" w:cs="Arial"/>
          <w:sz w:val="24"/>
          <w:szCs w:val="24"/>
          <w:vertAlign w:val="superscript"/>
        </w:rPr>
        <w:t>[55]</w:t>
      </w:r>
      <w:r w:rsidRPr="005E456A">
        <w:rPr>
          <w:rFonts w:ascii="Book Antiqua" w:hAnsi="Book Antiqua" w:cs="Arial"/>
          <w:sz w:val="24"/>
          <w:szCs w:val="24"/>
        </w:rPr>
        <w:t xml:space="preserve"> studied 257 consecutive EGC with M-NBI and divided the microvascular patterns into four categories: fine-network, corkscrew, intra-lobular loop</w:t>
      </w:r>
      <w:r w:rsidR="002B744D" w:rsidRPr="005E456A">
        <w:rPr>
          <w:rFonts w:ascii="Book Antiqua" w:hAnsi="Book Antiqua" w:cs="Arial"/>
          <w:sz w:val="24"/>
          <w:szCs w:val="24"/>
        </w:rPr>
        <w:t>-1, and intra-lobular loop-2</w:t>
      </w:r>
      <w:r w:rsidRPr="005E456A">
        <w:rPr>
          <w:rFonts w:ascii="Book Antiqua" w:hAnsi="Book Antiqua" w:cs="Arial"/>
          <w:sz w:val="24"/>
          <w:szCs w:val="24"/>
        </w:rPr>
        <w:t>. When correlated with histopat</w:t>
      </w:r>
      <w:r w:rsidR="00B64190" w:rsidRPr="005E456A">
        <w:rPr>
          <w:rFonts w:ascii="Book Antiqua" w:hAnsi="Book Antiqua" w:cs="Arial"/>
          <w:sz w:val="24"/>
          <w:szCs w:val="24"/>
        </w:rPr>
        <w:t>hology, differentiated-type EGC</w:t>
      </w:r>
      <w:r w:rsidRPr="005E456A">
        <w:rPr>
          <w:rFonts w:ascii="Book Antiqua" w:hAnsi="Book Antiqua" w:cs="Arial"/>
          <w:sz w:val="24"/>
          <w:szCs w:val="24"/>
        </w:rPr>
        <w:t xml:space="preserve"> mostly had fine-network pattern or intra-lobular loop </w:t>
      </w:r>
      <w:r w:rsidRPr="005E456A">
        <w:rPr>
          <w:rFonts w:ascii="Book Antiqua" w:hAnsi="Book Antiqua" w:cs="Arial"/>
          <w:sz w:val="24"/>
          <w:szCs w:val="24"/>
        </w:rPr>
        <w:lastRenderedPageBreak/>
        <w:t>patterns. On the contrary, t</w:t>
      </w:r>
      <w:r w:rsidR="00B64190" w:rsidRPr="005E456A">
        <w:rPr>
          <w:rFonts w:ascii="Book Antiqua" w:hAnsi="Book Antiqua" w:cs="Arial"/>
          <w:sz w:val="24"/>
          <w:szCs w:val="24"/>
        </w:rPr>
        <w:t>he undifferentiated-type of EGC</w:t>
      </w:r>
      <w:r w:rsidRPr="005E456A">
        <w:rPr>
          <w:rFonts w:ascii="Book Antiqua" w:hAnsi="Book Antiqua" w:cs="Arial"/>
          <w:sz w:val="24"/>
          <w:szCs w:val="24"/>
        </w:rPr>
        <w:t xml:space="preserve"> had intra-lobular loop-2 pattern and corkscrew pattern in almost all patients (41.2% and 58.2% respectively). </w:t>
      </w:r>
    </w:p>
    <w:p w14:paraId="14DAC6EC" w14:textId="77777777" w:rsidR="00C86A2D" w:rsidRPr="005E456A" w:rsidRDefault="00C86A2D" w:rsidP="005E456A">
      <w:pPr>
        <w:pStyle w:val="ListParagraph"/>
        <w:spacing w:after="0" w:line="360" w:lineRule="auto"/>
        <w:ind w:left="0" w:firstLine="720"/>
        <w:jc w:val="both"/>
        <w:rPr>
          <w:rFonts w:ascii="Book Antiqua" w:hAnsi="Book Antiqua" w:cs="Arial"/>
          <w:sz w:val="24"/>
          <w:szCs w:val="24"/>
        </w:rPr>
      </w:pPr>
    </w:p>
    <w:p w14:paraId="55424957" w14:textId="616EAE00" w:rsidR="00C25AE9" w:rsidRPr="005E456A" w:rsidRDefault="00C418E8" w:rsidP="005E456A">
      <w:pPr>
        <w:spacing w:after="0" w:line="360" w:lineRule="auto"/>
        <w:jc w:val="both"/>
        <w:rPr>
          <w:rFonts w:ascii="Book Antiqua" w:hAnsi="Book Antiqua" w:cs="Arial"/>
          <w:b/>
          <w:i/>
          <w:sz w:val="24"/>
          <w:szCs w:val="24"/>
        </w:rPr>
      </w:pPr>
      <w:r w:rsidRPr="005E456A">
        <w:rPr>
          <w:rFonts w:ascii="Book Antiqua" w:hAnsi="Book Antiqua" w:cs="Arial"/>
          <w:b/>
          <w:i/>
          <w:sz w:val="24"/>
          <w:szCs w:val="24"/>
        </w:rPr>
        <w:t>M-NBI to determine the</w:t>
      </w:r>
      <w:r w:rsidR="00C25AE9" w:rsidRPr="005E456A">
        <w:rPr>
          <w:rFonts w:ascii="Book Antiqua" w:hAnsi="Book Antiqua" w:cs="Arial"/>
          <w:b/>
          <w:i/>
          <w:sz w:val="24"/>
          <w:szCs w:val="24"/>
        </w:rPr>
        <w:t xml:space="preserve"> horizontal extent of EGC</w:t>
      </w:r>
    </w:p>
    <w:p w14:paraId="17448EDC" w14:textId="1DD4E64E" w:rsidR="00C418E8" w:rsidRPr="005E456A" w:rsidRDefault="00C25AE9" w:rsidP="00C86A2D">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t xml:space="preserve">Delineating </w:t>
      </w:r>
      <w:r w:rsidR="00B64190" w:rsidRPr="005E456A">
        <w:rPr>
          <w:rFonts w:ascii="Book Antiqua" w:hAnsi="Book Antiqua" w:cs="Arial"/>
          <w:sz w:val="24"/>
          <w:szCs w:val="24"/>
        </w:rPr>
        <w:t xml:space="preserve">the horizontal extent of </w:t>
      </w:r>
      <w:r w:rsidRPr="005E456A">
        <w:rPr>
          <w:rFonts w:ascii="Book Antiqua" w:hAnsi="Book Antiqua" w:cs="Arial"/>
          <w:sz w:val="24"/>
          <w:szCs w:val="24"/>
        </w:rPr>
        <w:t xml:space="preserve">EGC is important for </w:t>
      </w:r>
      <w:r w:rsidR="00C418E8" w:rsidRPr="005E456A">
        <w:rPr>
          <w:rFonts w:ascii="Book Antiqua" w:hAnsi="Book Antiqua" w:cs="Arial"/>
          <w:sz w:val="24"/>
          <w:szCs w:val="24"/>
        </w:rPr>
        <w:t>margin-free</w:t>
      </w:r>
      <w:r w:rsidR="002B744D" w:rsidRPr="005E456A">
        <w:rPr>
          <w:rFonts w:ascii="Book Antiqua" w:hAnsi="Book Antiqua" w:cs="Arial"/>
          <w:sz w:val="24"/>
          <w:szCs w:val="24"/>
        </w:rPr>
        <w:t xml:space="preserve"> </w:t>
      </w:r>
      <w:r w:rsidRPr="005E456A">
        <w:rPr>
          <w:rFonts w:ascii="Book Antiqua" w:hAnsi="Book Antiqua" w:cs="Arial"/>
          <w:sz w:val="24"/>
          <w:szCs w:val="24"/>
        </w:rPr>
        <w:t xml:space="preserve">endoscopic resection. Traditionally, </w:t>
      </w:r>
      <w:r w:rsidR="00B64190" w:rsidRPr="005E456A">
        <w:rPr>
          <w:rFonts w:ascii="Book Antiqua" w:hAnsi="Book Antiqua" w:cs="Arial"/>
          <w:sz w:val="24"/>
          <w:szCs w:val="24"/>
        </w:rPr>
        <w:t>CE</w:t>
      </w:r>
      <w:r w:rsidRPr="005E456A">
        <w:rPr>
          <w:rFonts w:ascii="Book Antiqua" w:hAnsi="Book Antiqua" w:cs="Arial"/>
          <w:sz w:val="24"/>
          <w:szCs w:val="24"/>
        </w:rPr>
        <w:t xml:space="preserve"> with indigo-carmine has been used to highlight abnormal mucosal patterns before endoscopic resection. In 2002, Yao </w:t>
      </w:r>
      <w:r w:rsidR="00C86A2D" w:rsidRPr="00C86A2D">
        <w:rPr>
          <w:rFonts w:ascii="Book Antiqua" w:hAnsi="Book Antiqua" w:cs="Arial" w:hint="eastAsia"/>
          <w:i/>
          <w:sz w:val="24"/>
          <w:szCs w:val="24"/>
        </w:rPr>
        <w:t>et al</w:t>
      </w:r>
      <w:r w:rsidR="00C86A2D" w:rsidRPr="005E456A">
        <w:rPr>
          <w:rFonts w:ascii="Book Antiqua" w:hAnsi="Book Antiqua" w:cs="Arial"/>
          <w:sz w:val="24"/>
          <w:szCs w:val="24"/>
          <w:vertAlign w:val="superscript"/>
        </w:rPr>
        <w:t>[56]</w:t>
      </w:r>
      <w:r w:rsidR="00C86A2D">
        <w:rPr>
          <w:rFonts w:ascii="Book Antiqua" w:hAnsi="Book Antiqua" w:cs="Arial" w:hint="eastAsia"/>
          <w:sz w:val="24"/>
          <w:szCs w:val="24"/>
          <w:vertAlign w:val="superscript"/>
        </w:rPr>
        <w:t xml:space="preserve"> </w:t>
      </w:r>
      <w:r w:rsidRPr="005E456A">
        <w:rPr>
          <w:rFonts w:ascii="Book Antiqua" w:hAnsi="Book Antiqua" w:cs="Arial"/>
          <w:sz w:val="24"/>
          <w:szCs w:val="24"/>
        </w:rPr>
        <w:t>published a case report where demarcation of a well-differentiated EGC was made with an image-enhanced technol</w:t>
      </w:r>
      <w:r w:rsidR="00B82DBF" w:rsidRPr="005E456A">
        <w:rPr>
          <w:rFonts w:ascii="Book Antiqua" w:hAnsi="Book Antiqua" w:cs="Arial"/>
          <w:sz w:val="24"/>
          <w:szCs w:val="24"/>
        </w:rPr>
        <w:t xml:space="preserve">ogy using </w:t>
      </w:r>
      <w:r w:rsidR="00C86A2D">
        <w:rPr>
          <w:rFonts w:ascii="Book Antiqua" w:hAnsi="Book Antiqua" w:cs="Arial"/>
          <w:sz w:val="24"/>
          <w:szCs w:val="24"/>
        </w:rPr>
        <w:t>“</w:t>
      </w:r>
      <w:r w:rsidR="00B82DBF" w:rsidRPr="005E456A">
        <w:rPr>
          <w:rFonts w:ascii="Book Antiqua" w:hAnsi="Book Antiqua" w:cs="Arial"/>
          <w:sz w:val="24"/>
          <w:szCs w:val="24"/>
        </w:rPr>
        <w:t>hemoglobin index</w:t>
      </w:r>
      <w:r w:rsidR="00C86A2D">
        <w:rPr>
          <w:rFonts w:ascii="Book Antiqua" w:hAnsi="Book Antiqua" w:cs="Arial"/>
          <w:sz w:val="24"/>
          <w:szCs w:val="24"/>
        </w:rPr>
        <w:t>”</w:t>
      </w:r>
      <w:r w:rsidR="00C418E8" w:rsidRPr="005E456A">
        <w:rPr>
          <w:rFonts w:ascii="Book Antiqua" w:hAnsi="Book Antiqua" w:cs="Arial"/>
          <w:sz w:val="24"/>
          <w:szCs w:val="24"/>
        </w:rPr>
        <w:t>.</w:t>
      </w:r>
    </w:p>
    <w:p w14:paraId="6D7FE83C" w14:textId="0CAA158E" w:rsidR="00C418E8" w:rsidRPr="005E456A" w:rsidRDefault="00C25AE9" w:rsidP="00DD796C">
      <w:pPr>
        <w:pStyle w:val="ListParagraph"/>
        <w:spacing w:after="0" w:line="360" w:lineRule="auto"/>
        <w:ind w:left="0" w:firstLineChars="100" w:firstLine="240"/>
        <w:jc w:val="both"/>
        <w:rPr>
          <w:rFonts w:ascii="Book Antiqua" w:hAnsi="Book Antiqua" w:cs="Arial"/>
          <w:sz w:val="24"/>
          <w:szCs w:val="24"/>
        </w:rPr>
      </w:pPr>
      <w:r w:rsidRPr="005E456A">
        <w:rPr>
          <w:rFonts w:ascii="Book Antiqua" w:hAnsi="Book Antiqua" w:cs="Arial"/>
          <w:sz w:val="24"/>
          <w:szCs w:val="24"/>
        </w:rPr>
        <w:t>Subsequ</w:t>
      </w:r>
      <w:r w:rsidR="00B64190" w:rsidRPr="005E456A">
        <w:rPr>
          <w:rFonts w:ascii="Book Antiqua" w:hAnsi="Book Antiqua" w:cs="Arial"/>
          <w:sz w:val="24"/>
          <w:szCs w:val="24"/>
        </w:rPr>
        <w:t>ently in a sample of twelve EGC</w:t>
      </w:r>
      <w:r w:rsidRPr="005E456A">
        <w:rPr>
          <w:rFonts w:ascii="Book Antiqua" w:hAnsi="Book Antiqua" w:cs="Arial"/>
          <w:sz w:val="24"/>
          <w:szCs w:val="24"/>
        </w:rPr>
        <w:t xml:space="preserve">, Sumiyama </w:t>
      </w:r>
      <w:r w:rsidRPr="00172401">
        <w:rPr>
          <w:rFonts w:ascii="Book Antiqua" w:hAnsi="Book Antiqua" w:cs="Arial"/>
          <w:i/>
          <w:sz w:val="24"/>
          <w:szCs w:val="24"/>
        </w:rPr>
        <w:t>et al</w:t>
      </w:r>
      <w:r w:rsidR="00172401" w:rsidRPr="005E456A">
        <w:rPr>
          <w:rFonts w:ascii="Book Antiqua" w:hAnsi="Book Antiqua" w:cs="Arial"/>
          <w:sz w:val="24"/>
          <w:szCs w:val="24"/>
          <w:vertAlign w:val="superscript"/>
        </w:rPr>
        <w:t>[57]</w:t>
      </w:r>
      <w:r w:rsidRPr="005E456A">
        <w:rPr>
          <w:rFonts w:ascii="Book Antiqua" w:hAnsi="Book Antiqua" w:cs="Arial"/>
          <w:sz w:val="24"/>
          <w:szCs w:val="24"/>
        </w:rPr>
        <w:t xml:space="preserve"> used a combination of M-NBI and a multibending endoscope for </w:t>
      </w:r>
      <w:r w:rsidRPr="001F743B">
        <w:rPr>
          <w:rFonts w:ascii="Book Antiqua" w:hAnsi="Book Antiqua" w:cs="Arial"/>
          <w:i/>
          <w:sz w:val="24"/>
          <w:szCs w:val="24"/>
        </w:rPr>
        <w:t>en bloc</w:t>
      </w:r>
      <w:r w:rsidRPr="005E456A">
        <w:rPr>
          <w:rFonts w:ascii="Book Antiqua" w:hAnsi="Book Antiqua" w:cs="Arial"/>
          <w:sz w:val="24"/>
          <w:szCs w:val="24"/>
        </w:rPr>
        <w:t xml:space="preserve"> </w:t>
      </w:r>
      <w:r w:rsidR="00B82DBF" w:rsidRPr="005E456A">
        <w:rPr>
          <w:rFonts w:ascii="Book Antiqua" w:hAnsi="Book Antiqua" w:cs="Arial"/>
          <w:sz w:val="24"/>
          <w:szCs w:val="24"/>
        </w:rPr>
        <w:t>endoscopic mucosal resection</w:t>
      </w:r>
      <w:r w:rsidRPr="005E456A">
        <w:rPr>
          <w:rFonts w:ascii="Book Antiqua" w:hAnsi="Book Antiqua" w:cs="Arial"/>
          <w:sz w:val="24"/>
          <w:szCs w:val="24"/>
        </w:rPr>
        <w:t xml:space="preserve">. Using this combination, 91.7% (11/12) en-bloc resections were made feasible as compared to 35% in conventional endoscopy group. </w:t>
      </w:r>
      <w:r w:rsidR="00EC12F3" w:rsidRPr="005E456A">
        <w:rPr>
          <w:rFonts w:ascii="Book Antiqua" w:hAnsi="Book Antiqua" w:cs="Arial"/>
          <w:sz w:val="24"/>
          <w:szCs w:val="24"/>
        </w:rPr>
        <w:t>However, authors stated that it was unclear as to which of these factors (</w:t>
      </w:r>
      <w:r w:rsidR="00EC12F3" w:rsidRPr="00D10E20">
        <w:rPr>
          <w:rFonts w:ascii="Book Antiqua" w:hAnsi="Book Antiqua" w:cs="Arial"/>
          <w:i/>
          <w:sz w:val="24"/>
          <w:szCs w:val="24"/>
        </w:rPr>
        <w:t>i.e.,</w:t>
      </w:r>
      <w:r w:rsidR="00EC12F3" w:rsidRPr="005E456A">
        <w:rPr>
          <w:rFonts w:ascii="Book Antiqua" w:hAnsi="Book Antiqua" w:cs="Arial"/>
          <w:sz w:val="24"/>
          <w:szCs w:val="24"/>
        </w:rPr>
        <w:t xml:space="preserve"> either NBI or multibending endoscope or both) </w:t>
      </w:r>
      <w:r w:rsidR="00C418E8" w:rsidRPr="005E456A">
        <w:rPr>
          <w:rFonts w:ascii="Book Antiqua" w:hAnsi="Book Antiqua" w:cs="Arial"/>
          <w:sz w:val="24"/>
          <w:szCs w:val="24"/>
        </w:rPr>
        <w:t>led to this</w:t>
      </w:r>
      <w:r w:rsidR="00EC12F3" w:rsidRPr="005E456A">
        <w:rPr>
          <w:rFonts w:ascii="Book Antiqua" w:hAnsi="Book Antiqua" w:cs="Arial"/>
          <w:sz w:val="24"/>
          <w:szCs w:val="24"/>
        </w:rPr>
        <w:t xml:space="preserve"> satisfactory outcome. </w:t>
      </w:r>
    </w:p>
    <w:p w14:paraId="6B047E79" w14:textId="346D56AB" w:rsidR="00C25AE9" w:rsidRPr="005E456A" w:rsidRDefault="00C25AE9" w:rsidP="005E456A">
      <w:pPr>
        <w:pStyle w:val="ListParagraph"/>
        <w:spacing w:after="0" w:line="360" w:lineRule="auto"/>
        <w:ind w:left="0" w:firstLine="720"/>
        <w:jc w:val="both"/>
        <w:rPr>
          <w:rFonts w:ascii="Book Antiqua" w:hAnsi="Book Antiqua" w:cs="Arial"/>
          <w:sz w:val="24"/>
          <w:szCs w:val="24"/>
        </w:rPr>
      </w:pPr>
      <w:r w:rsidRPr="005E456A">
        <w:rPr>
          <w:rFonts w:ascii="Book Antiqua" w:hAnsi="Book Antiqua" w:cs="Arial"/>
          <w:sz w:val="24"/>
          <w:szCs w:val="24"/>
        </w:rPr>
        <w:t xml:space="preserve">Kiyotoki </w:t>
      </w:r>
      <w:r w:rsidRPr="00421C23">
        <w:rPr>
          <w:rFonts w:ascii="Book Antiqua" w:hAnsi="Book Antiqua" w:cs="Arial"/>
          <w:i/>
          <w:sz w:val="24"/>
          <w:szCs w:val="24"/>
        </w:rPr>
        <w:t>et al</w:t>
      </w:r>
      <w:r w:rsidR="00421C23" w:rsidRPr="005E456A">
        <w:rPr>
          <w:rFonts w:ascii="Book Antiqua" w:hAnsi="Book Antiqua" w:cs="Arial"/>
          <w:sz w:val="24"/>
          <w:szCs w:val="24"/>
          <w:vertAlign w:val="superscript"/>
        </w:rPr>
        <w:t>[58]</w:t>
      </w:r>
      <w:r w:rsidRPr="005E456A">
        <w:rPr>
          <w:rFonts w:ascii="Book Antiqua" w:hAnsi="Book Antiqua" w:cs="Arial"/>
          <w:sz w:val="24"/>
          <w:szCs w:val="24"/>
        </w:rPr>
        <w:t xml:space="preserve"> compared M-NBI with indigo-carmine based </w:t>
      </w:r>
      <w:r w:rsidR="00B64190" w:rsidRPr="005E456A">
        <w:rPr>
          <w:rFonts w:ascii="Book Antiqua" w:hAnsi="Book Antiqua" w:cs="Arial"/>
          <w:sz w:val="24"/>
          <w:szCs w:val="24"/>
        </w:rPr>
        <w:t>CE</w:t>
      </w:r>
      <w:r w:rsidR="009B7CF9" w:rsidRPr="005E456A">
        <w:rPr>
          <w:rFonts w:ascii="Book Antiqua" w:hAnsi="Book Antiqua" w:cs="Arial"/>
          <w:sz w:val="24"/>
          <w:szCs w:val="24"/>
        </w:rPr>
        <w:t xml:space="preserve"> in 118 EGC</w:t>
      </w:r>
      <w:r w:rsidRPr="005E456A">
        <w:rPr>
          <w:rFonts w:ascii="Book Antiqua" w:hAnsi="Book Antiqua" w:cs="Arial"/>
          <w:sz w:val="24"/>
          <w:szCs w:val="24"/>
        </w:rPr>
        <w:t xml:space="preserve">. For delineating margins of EGC, the accuracy was higher in M-NBI group as compared to the indigo-carmine (97.4% and 77.8% respectively; </w:t>
      </w:r>
      <w:r w:rsidR="007F65FC" w:rsidRPr="007F65FC">
        <w:rPr>
          <w:rFonts w:ascii="Book Antiqua" w:hAnsi="Book Antiqua" w:cs="Arial"/>
          <w:i/>
          <w:sz w:val="24"/>
          <w:szCs w:val="24"/>
        </w:rPr>
        <w:t>P</w:t>
      </w:r>
      <w:r w:rsidR="007F65FC">
        <w:rPr>
          <w:rFonts w:ascii="Book Antiqua" w:hAnsi="Book Antiqua" w:cs="Arial" w:hint="eastAsia"/>
          <w:sz w:val="24"/>
          <w:szCs w:val="24"/>
        </w:rPr>
        <w:t xml:space="preserve"> =</w:t>
      </w:r>
      <w:r w:rsidRPr="005E456A">
        <w:rPr>
          <w:rFonts w:ascii="Book Antiqua" w:hAnsi="Book Antiqua" w:cs="Arial"/>
          <w:sz w:val="24"/>
          <w:szCs w:val="24"/>
        </w:rPr>
        <w:t xml:space="preserve"> 0.009).</w:t>
      </w:r>
      <w:r w:rsidR="00D04643">
        <w:rPr>
          <w:rFonts w:ascii="Book Antiqua" w:hAnsi="Book Antiqua" w:cs="Arial" w:hint="eastAsia"/>
          <w:sz w:val="24"/>
          <w:szCs w:val="24"/>
        </w:rPr>
        <w:t xml:space="preserve"> </w:t>
      </w:r>
      <w:r w:rsidRPr="005E456A">
        <w:rPr>
          <w:rFonts w:ascii="Book Antiqua" w:hAnsi="Book Antiqua" w:cs="Arial"/>
          <w:sz w:val="24"/>
          <w:szCs w:val="24"/>
        </w:rPr>
        <w:t>Another prospective study by Nagahama</w:t>
      </w:r>
      <w:r w:rsidRPr="0089673A">
        <w:rPr>
          <w:rFonts w:ascii="Book Antiqua" w:hAnsi="Book Antiqua" w:cs="Arial"/>
          <w:i/>
          <w:sz w:val="24"/>
          <w:szCs w:val="24"/>
        </w:rPr>
        <w:t xml:space="preserve"> et al</w:t>
      </w:r>
      <w:r w:rsidR="0089673A" w:rsidRPr="005E456A">
        <w:rPr>
          <w:rFonts w:ascii="Book Antiqua" w:hAnsi="Book Antiqua" w:cs="Arial"/>
          <w:sz w:val="24"/>
          <w:szCs w:val="24"/>
          <w:vertAlign w:val="superscript"/>
        </w:rPr>
        <w:t>[59]</w:t>
      </w:r>
      <w:r w:rsidRPr="005E456A">
        <w:rPr>
          <w:rFonts w:ascii="Book Antiqua" w:hAnsi="Book Antiqua" w:cs="Arial"/>
          <w:sz w:val="24"/>
          <w:szCs w:val="24"/>
        </w:rPr>
        <w:t xml:space="preserve"> documented 72.6% accuracy f</w:t>
      </w:r>
      <w:r w:rsidR="00B64190" w:rsidRPr="005E456A">
        <w:rPr>
          <w:rFonts w:ascii="Book Antiqua" w:hAnsi="Book Antiqua" w:cs="Arial"/>
          <w:sz w:val="24"/>
          <w:szCs w:val="24"/>
        </w:rPr>
        <w:t xml:space="preserve">or identifying margins of </w:t>
      </w:r>
      <w:r w:rsidRPr="005E456A">
        <w:rPr>
          <w:rFonts w:ascii="Book Antiqua" w:hAnsi="Book Antiqua" w:cs="Arial"/>
          <w:sz w:val="24"/>
          <w:szCs w:val="24"/>
        </w:rPr>
        <w:t xml:space="preserve">EGC which could not be delineated with </w:t>
      </w:r>
      <w:r w:rsidR="009B7CF9" w:rsidRPr="005E456A">
        <w:rPr>
          <w:rFonts w:ascii="Book Antiqua" w:hAnsi="Book Antiqua" w:cs="Arial"/>
          <w:sz w:val="24"/>
          <w:szCs w:val="24"/>
        </w:rPr>
        <w:t>acetic acid chromoendoscopy</w:t>
      </w:r>
      <w:r w:rsidRPr="005E456A">
        <w:rPr>
          <w:rFonts w:ascii="Book Antiqua" w:hAnsi="Book Antiqua" w:cs="Arial"/>
          <w:sz w:val="24"/>
          <w:szCs w:val="24"/>
        </w:rPr>
        <w:t xml:space="preserve">. </w:t>
      </w:r>
    </w:p>
    <w:p w14:paraId="2674C911" w14:textId="0B0200C1" w:rsidR="00600D7F" w:rsidRPr="005E456A" w:rsidRDefault="00C25AE9" w:rsidP="005E456A">
      <w:pPr>
        <w:pStyle w:val="ListParagraph"/>
        <w:spacing w:after="0" w:line="360" w:lineRule="auto"/>
        <w:ind w:left="0" w:firstLine="360"/>
        <w:jc w:val="both"/>
        <w:rPr>
          <w:rFonts w:ascii="Book Antiqua" w:hAnsi="Book Antiqua" w:cs="Arial"/>
          <w:sz w:val="24"/>
          <w:szCs w:val="24"/>
        </w:rPr>
      </w:pPr>
      <w:r w:rsidRPr="005E456A">
        <w:rPr>
          <w:rFonts w:ascii="Book Antiqua" w:hAnsi="Book Antiqua" w:cs="Arial"/>
          <w:sz w:val="24"/>
          <w:szCs w:val="24"/>
        </w:rPr>
        <w:t xml:space="preserve">Overall, studies have shown beneficial results with M-NBI for delineation of margins </w:t>
      </w:r>
      <w:r w:rsidR="008B4AA5" w:rsidRPr="005E456A">
        <w:rPr>
          <w:rFonts w:ascii="Book Antiqua" w:hAnsi="Book Antiqua" w:cs="Arial"/>
          <w:sz w:val="24"/>
          <w:szCs w:val="24"/>
        </w:rPr>
        <w:t xml:space="preserve">only in </w:t>
      </w:r>
      <w:r w:rsidR="00B64190" w:rsidRPr="005E456A">
        <w:rPr>
          <w:rFonts w:ascii="Book Antiqua" w:hAnsi="Book Antiqua" w:cs="Arial"/>
          <w:sz w:val="24"/>
          <w:szCs w:val="24"/>
        </w:rPr>
        <w:t xml:space="preserve">the </w:t>
      </w:r>
      <w:r w:rsidRPr="005E456A">
        <w:rPr>
          <w:rFonts w:ascii="Book Antiqua" w:hAnsi="Book Antiqua" w:cs="Arial"/>
          <w:sz w:val="24"/>
          <w:szCs w:val="24"/>
        </w:rPr>
        <w:t>differentiated-type of EGC. Demarcation of undifferentiated-type of EGC is considered difficult since the malignant growth seems to creep more into the lamina propria which may not always produce endoscopically visible mucosal chang</w:t>
      </w:r>
      <w:r w:rsidR="00B64190" w:rsidRPr="005E456A">
        <w:rPr>
          <w:rFonts w:ascii="Book Antiqua" w:hAnsi="Book Antiqua" w:cs="Arial"/>
          <w:sz w:val="24"/>
          <w:szCs w:val="24"/>
        </w:rPr>
        <w:t xml:space="preserve">es. For example in the </w:t>
      </w:r>
      <w:r w:rsidRPr="005E456A">
        <w:rPr>
          <w:rFonts w:ascii="Book Antiqua" w:hAnsi="Book Antiqua" w:cs="Arial"/>
          <w:sz w:val="24"/>
          <w:szCs w:val="24"/>
        </w:rPr>
        <w:t>study by Nagah</w:t>
      </w:r>
      <w:r w:rsidR="00050811">
        <w:rPr>
          <w:rFonts w:ascii="Book Antiqua" w:hAnsi="Book Antiqua" w:cs="Arial" w:hint="eastAsia"/>
          <w:sz w:val="24"/>
          <w:szCs w:val="24"/>
        </w:rPr>
        <w:t>a</w:t>
      </w:r>
      <w:r w:rsidRPr="005E456A">
        <w:rPr>
          <w:rFonts w:ascii="Book Antiqua" w:hAnsi="Book Antiqua" w:cs="Arial"/>
          <w:sz w:val="24"/>
          <w:szCs w:val="24"/>
        </w:rPr>
        <w:t xml:space="preserve">ma </w:t>
      </w:r>
      <w:r w:rsidRPr="005C0F56">
        <w:rPr>
          <w:rFonts w:ascii="Book Antiqua" w:hAnsi="Book Antiqua" w:cs="Arial"/>
          <w:i/>
          <w:sz w:val="24"/>
          <w:szCs w:val="24"/>
        </w:rPr>
        <w:t>et al</w:t>
      </w:r>
      <w:r w:rsidR="005C0F56" w:rsidRPr="005E456A">
        <w:rPr>
          <w:rFonts w:ascii="Book Antiqua" w:hAnsi="Book Antiqua" w:cs="Arial"/>
          <w:sz w:val="24"/>
          <w:szCs w:val="24"/>
          <w:vertAlign w:val="superscript"/>
        </w:rPr>
        <w:t>[59]</w:t>
      </w:r>
      <w:r w:rsidRPr="005E456A">
        <w:rPr>
          <w:rFonts w:ascii="Book Antiqua" w:hAnsi="Book Antiqua" w:cs="Arial"/>
          <w:sz w:val="24"/>
          <w:szCs w:val="24"/>
        </w:rPr>
        <w:t xml:space="preserve"> the endoscopic delineation remained difficult for undifferentiated lesions. However one prospective study also showed high </w:t>
      </w:r>
      <w:r w:rsidR="00517C00" w:rsidRPr="005E456A">
        <w:rPr>
          <w:rFonts w:ascii="Book Antiqua" w:hAnsi="Book Antiqua" w:cs="Arial"/>
          <w:sz w:val="24"/>
          <w:szCs w:val="24"/>
        </w:rPr>
        <w:t>accuracy (81.6%) using</w:t>
      </w:r>
      <w:r w:rsidRPr="005E456A">
        <w:rPr>
          <w:rFonts w:ascii="Book Antiqua" w:hAnsi="Book Antiqua" w:cs="Arial"/>
          <w:sz w:val="24"/>
          <w:szCs w:val="24"/>
        </w:rPr>
        <w:t xml:space="preserve"> M-NBI for demarcation of u</w:t>
      </w:r>
      <w:r w:rsidR="00517C00" w:rsidRPr="005E456A">
        <w:rPr>
          <w:rFonts w:ascii="Book Antiqua" w:hAnsi="Book Antiqua" w:cs="Arial"/>
          <w:sz w:val="24"/>
          <w:szCs w:val="24"/>
        </w:rPr>
        <w:t>ndifferentiated-type of EGC</w:t>
      </w:r>
      <w:r w:rsidR="00A6747E" w:rsidRPr="005E456A">
        <w:rPr>
          <w:rFonts w:ascii="Book Antiqua" w:hAnsi="Book Antiqua" w:cs="Arial"/>
          <w:sz w:val="24"/>
          <w:szCs w:val="24"/>
          <w:vertAlign w:val="superscript"/>
        </w:rPr>
        <w:t>[60</w:t>
      </w:r>
      <w:r w:rsidR="00517C00" w:rsidRPr="005E456A">
        <w:rPr>
          <w:rFonts w:ascii="Book Antiqua" w:hAnsi="Book Antiqua" w:cs="Arial"/>
          <w:sz w:val="24"/>
          <w:szCs w:val="24"/>
          <w:vertAlign w:val="superscript"/>
        </w:rPr>
        <w:t>]</w:t>
      </w:r>
      <w:r w:rsidRPr="005E456A">
        <w:rPr>
          <w:rFonts w:ascii="Book Antiqua" w:hAnsi="Book Antiqua" w:cs="Arial"/>
          <w:sz w:val="24"/>
          <w:szCs w:val="24"/>
        </w:rPr>
        <w:t xml:space="preserve">. </w:t>
      </w:r>
    </w:p>
    <w:p w14:paraId="16767171" w14:textId="41D37324" w:rsidR="00C25AE9" w:rsidRPr="005E456A" w:rsidRDefault="00FA69DA" w:rsidP="005E456A">
      <w:pPr>
        <w:pStyle w:val="ListParagraph"/>
        <w:spacing w:after="0" w:line="360" w:lineRule="auto"/>
        <w:ind w:left="0" w:firstLine="360"/>
        <w:jc w:val="both"/>
        <w:rPr>
          <w:rFonts w:ascii="Book Antiqua" w:hAnsi="Book Antiqua" w:cs="Arial"/>
          <w:sz w:val="24"/>
          <w:szCs w:val="24"/>
        </w:rPr>
      </w:pPr>
      <w:r w:rsidRPr="005E456A">
        <w:rPr>
          <w:rFonts w:ascii="Book Antiqua" w:hAnsi="Book Antiqua" w:cs="Arial"/>
          <w:sz w:val="24"/>
          <w:szCs w:val="24"/>
        </w:rPr>
        <w:t>I</w:t>
      </w:r>
      <w:r w:rsidR="00C25AE9" w:rsidRPr="005E456A">
        <w:rPr>
          <w:rFonts w:ascii="Book Antiqua" w:hAnsi="Book Antiqua" w:cs="Arial"/>
          <w:sz w:val="24"/>
          <w:szCs w:val="24"/>
        </w:rPr>
        <w:t xml:space="preserve">t can be concluded that there is </w:t>
      </w:r>
      <w:r w:rsidR="00600D7F" w:rsidRPr="005E456A">
        <w:rPr>
          <w:rFonts w:ascii="Book Antiqua" w:hAnsi="Book Antiqua" w:cs="Arial"/>
          <w:sz w:val="24"/>
          <w:szCs w:val="24"/>
        </w:rPr>
        <w:t>good</w:t>
      </w:r>
      <w:r w:rsidR="00C25AE9" w:rsidRPr="005E456A">
        <w:rPr>
          <w:rFonts w:ascii="Book Antiqua" w:hAnsi="Book Antiqua" w:cs="Arial"/>
          <w:sz w:val="24"/>
          <w:szCs w:val="24"/>
        </w:rPr>
        <w:t xml:space="preserve"> evidence</w:t>
      </w:r>
      <w:r w:rsidR="00600D7F" w:rsidRPr="005E456A">
        <w:rPr>
          <w:rFonts w:ascii="Book Antiqua" w:hAnsi="Book Antiqua" w:cs="Arial"/>
          <w:sz w:val="24"/>
          <w:szCs w:val="24"/>
        </w:rPr>
        <w:t xml:space="preserve"> with prospective trials</w:t>
      </w:r>
      <w:r w:rsidR="00C25AE9" w:rsidRPr="005E456A">
        <w:rPr>
          <w:rFonts w:ascii="Book Antiqua" w:hAnsi="Book Antiqua" w:cs="Arial"/>
          <w:sz w:val="24"/>
          <w:szCs w:val="24"/>
        </w:rPr>
        <w:t xml:space="preserve"> in support of M-NBI for de</w:t>
      </w:r>
      <w:r w:rsidRPr="005E456A">
        <w:rPr>
          <w:rFonts w:ascii="Book Antiqua" w:hAnsi="Book Antiqua" w:cs="Arial"/>
          <w:sz w:val="24"/>
          <w:szCs w:val="24"/>
        </w:rPr>
        <w:t>marcation of differentiated EGC</w:t>
      </w:r>
      <w:r w:rsidR="00C25AE9" w:rsidRPr="005E456A">
        <w:rPr>
          <w:rFonts w:ascii="Book Antiqua" w:hAnsi="Book Antiqua" w:cs="Arial"/>
          <w:sz w:val="24"/>
          <w:szCs w:val="24"/>
        </w:rPr>
        <w:t xml:space="preserve"> before </w:t>
      </w:r>
      <w:r w:rsidR="00F038A0" w:rsidRPr="005E456A">
        <w:rPr>
          <w:rFonts w:ascii="Book Antiqua" w:hAnsi="Book Antiqua" w:cs="Arial"/>
          <w:sz w:val="24"/>
          <w:szCs w:val="24"/>
        </w:rPr>
        <w:t xml:space="preserve">performing </w:t>
      </w:r>
      <w:r w:rsidR="00C25AE9" w:rsidRPr="005E456A">
        <w:rPr>
          <w:rFonts w:ascii="Book Antiqua" w:hAnsi="Book Antiqua" w:cs="Arial"/>
          <w:sz w:val="24"/>
          <w:szCs w:val="24"/>
        </w:rPr>
        <w:t xml:space="preserve">endoscopic resection. However it should also be noted that the trials have generally included a small number of patients in whom experts have performed endoscopic examination </w:t>
      </w:r>
      <w:r w:rsidR="00C25AE9" w:rsidRPr="005E456A">
        <w:rPr>
          <w:rFonts w:ascii="Book Antiqua" w:hAnsi="Book Antiqua" w:cs="Arial"/>
          <w:sz w:val="24"/>
          <w:szCs w:val="24"/>
        </w:rPr>
        <w:lastRenderedPageBreak/>
        <w:t>while utilizing various types of classification for pattern categorization. Although histopathology is still considered the gold-standard for retrospective confirmation of clearance of margins, the real-time estimation of horizontal margins with M-NBI is helpful as a prospective guide for accurate en-bloc resection.</w:t>
      </w:r>
    </w:p>
    <w:p w14:paraId="3C475A15" w14:textId="77777777" w:rsidR="005B7A36" w:rsidRPr="005E456A" w:rsidRDefault="005B7A36" w:rsidP="005E456A">
      <w:pPr>
        <w:spacing w:after="0" w:line="360" w:lineRule="auto"/>
        <w:jc w:val="both"/>
        <w:rPr>
          <w:rFonts w:ascii="Book Antiqua" w:hAnsi="Book Antiqua" w:cs="Arial"/>
          <w:b/>
          <w:sz w:val="24"/>
          <w:szCs w:val="24"/>
        </w:rPr>
      </w:pPr>
    </w:p>
    <w:p w14:paraId="58EAC840" w14:textId="75880BF2" w:rsidR="00C25AE9" w:rsidRPr="005E456A" w:rsidRDefault="00C25AE9" w:rsidP="005E456A">
      <w:pPr>
        <w:spacing w:after="0" w:line="360" w:lineRule="auto"/>
        <w:jc w:val="both"/>
        <w:rPr>
          <w:rFonts w:ascii="Book Antiqua" w:hAnsi="Book Antiqua" w:cs="Arial"/>
          <w:b/>
          <w:i/>
          <w:sz w:val="24"/>
          <w:szCs w:val="24"/>
        </w:rPr>
      </w:pPr>
      <w:r w:rsidRPr="005E456A">
        <w:rPr>
          <w:rFonts w:ascii="Book Antiqua" w:hAnsi="Book Antiqua" w:cs="Arial"/>
          <w:b/>
          <w:i/>
          <w:sz w:val="24"/>
          <w:szCs w:val="24"/>
        </w:rPr>
        <w:t xml:space="preserve">M-NBI </w:t>
      </w:r>
      <w:r w:rsidR="00A6747E" w:rsidRPr="005E456A">
        <w:rPr>
          <w:rFonts w:ascii="Book Antiqua" w:hAnsi="Book Antiqua" w:cs="Arial"/>
          <w:b/>
          <w:i/>
          <w:sz w:val="24"/>
          <w:szCs w:val="24"/>
        </w:rPr>
        <w:t>to determine</w:t>
      </w:r>
      <w:r w:rsidRPr="005E456A">
        <w:rPr>
          <w:rFonts w:ascii="Book Antiqua" w:hAnsi="Book Antiqua" w:cs="Arial"/>
          <w:b/>
          <w:i/>
          <w:sz w:val="24"/>
          <w:szCs w:val="24"/>
        </w:rPr>
        <w:t xml:space="preserve"> </w:t>
      </w:r>
      <w:r w:rsidR="00FA69DA" w:rsidRPr="005E456A">
        <w:rPr>
          <w:rFonts w:ascii="Book Antiqua" w:hAnsi="Book Antiqua" w:cs="Arial"/>
          <w:b/>
          <w:i/>
          <w:sz w:val="24"/>
          <w:szCs w:val="24"/>
        </w:rPr>
        <w:t xml:space="preserve">the depth of </w:t>
      </w:r>
      <w:r w:rsidR="00A6747E" w:rsidRPr="005E456A">
        <w:rPr>
          <w:rFonts w:ascii="Book Antiqua" w:hAnsi="Book Antiqua" w:cs="Arial"/>
          <w:b/>
          <w:i/>
          <w:sz w:val="24"/>
          <w:szCs w:val="24"/>
        </w:rPr>
        <w:t>EGC</w:t>
      </w:r>
    </w:p>
    <w:p w14:paraId="4211350A" w14:textId="0B3263F4" w:rsidR="00C25AE9" w:rsidRPr="005E456A" w:rsidRDefault="00C25AE9" w:rsidP="00D647B8">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t>According to the Japanese Gastric Cancer Han</w:t>
      </w:r>
      <w:r w:rsidR="00FA69DA" w:rsidRPr="005E456A">
        <w:rPr>
          <w:rFonts w:ascii="Book Antiqua" w:hAnsi="Book Antiqua" w:cs="Arial"/>
          <w:sz w:val="24"/>
          <w:szCs w:val="24"/>
        </w:rPr>
        <w:t>dling Codes, the submucosal EGC</w:t>
      </w:r>
      <w:r w:rsidRPr="005E456A">
        <w:rPr>
          <w:rFonts w:ascii="Book Antiqua" w:hAnsi="Book Antiqua" w:cs="Arial"/>
          <w:sz w:val="24"/>
          <w:szCs w:val="24"/>
        </w:rPr>
        <w:t xml:space="preserve"> are divided into three types (SM1 to SM3) based on </w:t>
      </w:r>
      <w:r w:rsidR="00304A89" w:rsidRPr="005E456A">
        <w:rPr>
          <w:rFonts w:ascii="Book Antiqua" w:hAnsi="Book Antiqua" w:cs="Arial"/>
          <w:sz w:val="24"/>
          <w:szCs w:val="24"/>
        </w:rPr>
        <w:t xml:space="preserve">the </w:t>
      </w:r>
      <w:r w:rsidRPr="005E456A">
        <w:rPr>
          <w:rFonts w:ascii="Book Antiqua" w:hAnsi="Book Antiqua" w:cs="Arial"/>
          <w:sz w:val="24"/>
          <w:szCs w:val="24"/>
        </w:rPr>
        <w:t>depth of cancer invasion. The differentiated</w:t>
      </w:r>
      <w:r w:rsidR="00F90053" w:rsidRPr="005E456A">
        <w:rPr>
          <w:rFonts w:ascii="Book Antiqua" w:hAnsi="Book Antiqua" w:cs="Arial"/>
          <w:sz w:val="24"/>
          <w:szCs w:val="24"/>
        </w:rPr>
        <w:t>-</w:t>
      </w:r>
      <w:r w:rsidRPr="005E456A">
        <w:rPr>
          <w:rFonts w:ascii="Book Antiqua" w:hAnsi="Book Antiqua" w:cs="Arial"/>
          <w:sz w:val="24"/>
          <w:szCs w:val="24"/>
        </w:rPr>
        <w:t>type of SM1 (</w:t>
      </w:r>
      <w:r w:rsidRPr="00D10E20">
        <w:rPr>
          <w:rFonts w:ascii="Book Antiqua" w:hAnsi="Book Antiqua" w:cs="Arial"/>
          <w:i/>
          <w:sz w:val="24"/>
          <w:szCs w:val="24"/>
        </w:rPr>
        <w:t>i.e.,</w:t>
      </w:r>
      <w:r w:rsidRPr="005E456A">
        <w:rPr>
          <w:rFonts w:ascii="Book Antiqua" w:hAnsi="Book Antiqua" w:cs="Arial"/>
          <w:sz w:val="24"/>
          <w:szCs w:val="24"/>
        </w:rPr>
        <w:t xml:space="preserve"> v</w:t>
      </w:r>
      <w:r w:rsidR="00196B7F" w:rsidRPr="005E456A">
        <w:rPr>
          <w:rFonts w:ascii="Book Antiqua" w:hAnsi="Book Antiqua" w:cs="Arial"/>
          <w:sz w:val="24"/>
          <w:szCs w:val="24"/>
        </w:rPr>
        <w:t xml:space="preserve">ertical depth up to 500 µm) EGC </w:t>
      </w:r>
      <w:r w:rsidRPr="005E456A">
        <w:rPr>
          <w:rFonts w:ascii="Book Antiqua" w:hAnsi="Book Antiqua" w:cs="Arial"/>
          <w:sz w:val="24"/>
          <w:szCs w:val="24"/>
        </w:rPr>
        <w:t>can be considered as an expanded indication for endoscopic resection. But, surgical resection should be considered for SM2 and SM3 cancers as the probability of lymph n</w:t>
      </w:r>
      <w:r w:rsidR="00196B7F" w:rsidRPr="005E456A">
        <w:rPr>
          <w:rFonts w:ascii="Book Antiqua" w:hAnsi="Book Antiqua" w:cs="Arial"/>
          <w:sz w:val="24"/>
          <w:szCs w:val="24"/>
        </w:rPr>
        <w:t>ode metastatic disease is high</w:t>
      </w:r>
      <w:r w:rsidRPr="005E456A">
        <w:rPr>
          <w:rFonts w:ascii="Book Antiqua" w:hAnsi="Book Antiqua" w:cs="Arial"/>
          <w:sz w:val="24"/>
          <w:szCs w:val="24"/>
        </w:rPr>
        <w:t>. Prospective estimation of the depth of invasion is difficult and therefore endoscopic resection is considered complete only aft</w:t>
      </w:r>
      <w:r w:rsidR="00AB7B33" w:rsidRPr="005E456A">
        <w:rPr>
          <w:rFonts w:ascii="Book Antiqua" w:hAnsi="Book Antiqua" w:cs="Arial"/>
          <w:sz w:val="24"/>
          <w:szCs w:val="24"/>
        </w:rPr>
        <w:t>er histopathological assessment of the resected specimen.</w:t>
      </w:r>
      <w:r w:rsidRPr="005E456A">
        <w:rPr>
          <w:rFonts w:ascii="Book Antiqua" w:hAnsi="Book Antiqua" w:cs="Arial"/>
          <w:sz w:val="24"/>
          <w:szCs w:val="24"/>
        </w:rPr>
        <w:t xml:space="preserve"> </w:t>
      </w:r>
      <w:r w:rsidR="00B91E87" w:rsidRPr="005E456A">
        <w:rPr>
          <w:rFonts w:ascii="Book Antiqua" w:hAnsi="Book Antiqua" w:cs="Arial"/>
          <w:sz w:val="24"/>
          <w:szCs w:val="24"/>
        </w:rPr>
        <w:t>K</w:t>
      </w:r>
      <w:r w:rsidRPr="005E456A">
        <w:rPr>
          <w:rFonts w:ascii="Book Antiqua" w:hAnsi="Book Antiqua" w:cs="Arial"/>
          <w:sz w:val="24"/>
          <w:szCs w:val="24"/>
        </w:rPr>
        <w:t xml:space="preserve">nowledge of deep invasion </w:t>
      </w:r>
      <w:r w:rsidR="00B91E87" w:rsidRPr="005E456A">
        <w:rPr>
          <w:rFonts w:ascii="Book Antiqua" w:hAnsi="Book Antiqua" w:cs="Arial"/>
          <w:sz w:val="24"/>
          <w:szCs w:val="24"/>
        </w:rPr>
        <w:t xml:space="preserve">will avoid unwarranted </w:t>
      </w:r>
      <w:r w:rsidRPr="005E456A">
        <w:rPr>
          <w:rFonts w:ascii="Book Antiqua" w:hAnsi="Book Antiqua" w:cs="Arial"/>
          <w:sz w:val="24"/>
          <w:szCs w:val="24"/>
        </w:rPr>
        <w:t xml:space="preserve">endoscopic resection. Presence </w:t>
      </w:r>
      <w:r w:rsidR="00196B7F" w:rsidRPr="005E456A">
        <w:rPr>
          <w:rFonts w:ascii="Book Antiqua" w:hAnsi="Book Antiqua" w:cs="Arial"/>
          <w:sz w:val="24"/>
          <w:szCs w:val="24"/>
        </w:rPr>
        <w:t xml:space="preserve">of ulceration on </w:t>
      </w:r>
      <w:r w:rsidR="00A6747E" w:rsidRPr="005E456A">
        <w:rPr>
          <w:rFonts w:ascii="Book Antiqua" w:hAnsi="Book Antiqua" w:cs="Arial"/>
          <w:sz w:val="24"/>
          <w:szCs w:val="24"/>
        </w:rPr>
        <w:t>standard white light endoscopy suggests</w:t>
      </w:r>
      <w:r w:rsidRPr="005E456A">
        <w:rPr>
          <w:rFonts w:ascii="Book Antiqua" w:hAnsi="Book Antiqua" w:cs="Arial"/>
          <w:sz w:val="24"/>
          <w:szCs w:val="24"/>
        </w:rPr>
        <w:t xml:space="preserve"> deep invasion. But, it may be especially </w:t>
      </w:r>
      <w:r w:rsidR="00B91E87" w:rsidRPr="005E456A">
        <w:rPr>
          <w:rFonts w:ascii="Book Antiqua" w:hAnsi="Book Antiqua" w:cs="Arial"/>
          <w:sz w:val="24"/>
          <w:szCs w:val="24"/>
        </w:rPr>
        <w:t xml:space="preserve">difficult </w:t>
      </w:r>
      <w:r w:rsidR="001D59DF" w:rsidRPr="005E456A">
        <w:rPr>
          <w:rFonts w:ascii="Book Antiqua" w:hAnsi="Book Antiqua" w:cs="Arial"/>
          <w:sz w:val="24"/>
          <w:szCs w:val="24"/>
        </w:rPr>
        <w:t>to estimate depth of invasion</w:t>
      </w:r>
      <w:r w:rsidRPr="005E456A">
        <w:rPr>
          <w:rFonts w:ascii="Book Antiqua" w:hAnsi="Book Antiqua" w:cs="Arial"/>
          <w:sz w:val="24"/>
          <w:szCs w:val="24"/>
        </w:rPr>
        <w:t xml:space="preserve"> in flat (Pa</w:t>
      </w:r>
      <w:r w:rsidR="00196B7F" w:rsidRPr="005E456A">
        <w:rPr>
          <w:rFonts w:ascii="Book Antiqua" w:hAnsi="Book Antiqua" w:cs="Arial"/>
          <w:sz w:val="24"/>
          <w:szCs w:val="24"/>
        </w:rPr>
        <w:t>ris 0-IIa, 0-IIb and 0-IIc) EGC</w:t>
      </w:r>
      <w:r w:rsidRPr="005E456A">
        <w:rPr>
          <w:rFonts w:ascii="Book Antiqua" w:hAnsi="Book Antiqua" w:cs="Arial"/>
          <w:sz w:val="24"/>
          <w:szCs w:val="24"/>
        </w:rPr>
        <w:t xml:space="preserve">. </w:t>
      </w:r>
    </w:p>
    <w:p w14:paraId="292C88CA" w14:textId="3D6F1022" w:rsidR="00C25AE9" w:rsidRPr="005E456A" w:rsidRDefault="00196B7F" w:rsidP="005E456A">
      <w:pPr>
        <w:pStyle w:val="ListParagraph"/>
        <w:spacing w:after="0" w:line="360" w:lineRule="auto"/>
        <w:ind w:left="0" w:firstLine="720"/>
        <w:jc w:val="both"/>
        <w:rPr>
          <w:rFonts w:ascii="Book Antiqua" w:hAnsi="Book Antiqua" w:cs="Arial"/>
          <w:sz w:val="24"/>
          <w:szCs w:val="24"/>
        </w:rPr>
      </w:pPr>
      <w:r w:rsidRPr="005E456A">
        <w:rPr>
          <w:rFonts w:ascii="Book Antiqua" w:hAnsi="Book Antiqua" w:cs="Arial"/>
          <w:sz w:val="24"/>
          <w:szCs w:val="24"/>
        </w:rPr>
        <w:t xml:space="preserve">In </w:t>
      </w:r>
      <w:r w:rsidR="00C847AA" w:rsidRPr="005E456A">
        <w:rPr>
          <w:rFonts w:ascii="Book Antiqua" w:hAnsi="Book Antiqua" w:cs="Arial"/>
          <w:sz w:val="24"/>
          <w:szCs w:val="24"/>
        </w:rPr>
        <w:t xml:space="preserve">2008, </w:t>
      </w:r>
      <w:r w:rsidR="00C25AE9" w:rsidRPr="005E456A">
        <w:rPr>
          <w:rFonts w:ascii="Book Antiqua" w:hAnsi="Book Antiqua" w:cs="Arial"/>
          <w:sz w:val="24"/>
          <w:szCs w:val="24"/>
        </w:rPr>
        <w:t xml:space="preserve">Yagi </w:t>
      </w:r>
      <w:r w:rsidR="00C25AE9" w:rsidRPr="00B76BE3">
        <w:rPr>
          <w:rFonts w:ascii="Book Antiqua" w:hAnsi="Book Antiqua" w:cs="Arial"/>
          <w:i/>
          <w:sz w:val="24"/>
          <w:szCs w:val="24"/>
        </w:rPr>
        <w:t>et al</w:t>
      </w:r>
      <w:r w:rsidR="00B76BE3" w:rsidRPr="005E456A">
        <w:rPr>
          <w:rFonts w:ascii="Book Antiqua" w:hAnsi="Book Antiqua" w:cs="Arial"/>
          <w:sz w:val="24"/>
          <w:szCs w:val="24"/>
          <w:vertAlign w:val="superscript"/>
        </w:rPr>
        <w:t>[61]</w:t>
      </w:r>
      <w:r w:rsidR="00C25AE9" w:rsidRPr="005E456A">
        <w:rPr>
          <w:rFonts w:ascii="Book Antiqua" w:hAnsi="Book Antiqua" w:cs="Arial"/>
          <w:sz w:val="24"/>
          <w:szCs w:val="24"/>
        </w:rPr>
        <w:t xml:space="preserve"> correlated the M-NBI pattern</w:t>
      </w:r>
      <w:r w:rsidRPr="005E456A">
        <w:rPr>
          <w:rFonts w:ascii="Book Antiqua" w:hAnsi="Book Antiqua" w:cs="Arial"/>
          <w:sz w:val="24"/>
          <w:szCs w:val="24"/>
        </w:rPr>
        <w:t>s of 72 differentiated-type EGC</w:t>
      </w:r>
      <w:r w:rsidR="00C25AE9" w:rsidRPr="005E456A">
        <w:rPr>
          <w:rFonts w:ascii="Book Antiqua" w:hAnsi="Book Antiqua" w:cs="Arial"/>
          <w:sz w:val="24"/>
          <w:szCs w:val="24"/>
        </w:rPr>
        <w:t xml:space="preserve"> (10 elevated, 27 flat, and 35 depress</w:t>
      </w:r>
      <w:r w:rsidR="00C847AA" w:rsidRPr="005E456A">
        <w:rPr>
          <w:rFonts w:ascii="Book Antiqua" w:hAnsi="Book Antiqua" w:cs="Arial"/>
          <w:sz w:val="24"/>
          <w:szCs w:val="24"/>
        </w:rPr>
        <w:t>ed-type) with histopathology</w:t>
      </w:r>
      <w:r w:rsidR="00C25AE9" w:rsidRPr="005E456A">
        <w:rPr>
          <w:rFonts w:ascii="Book Antiqua" w:hAnsi="Book Antiqua" w:cs="Arial"/>
          <w:sz w:val="24"/>
          <w:szCs w:val="24"/>
        </w:rPr>
        <w:t>. All endoscopic examinations were performed by one expert and the patterns were classified in</w:t>
      </w:r>
      <w:r w:rsidR="00C847AA" w:rsidRPr="005E456A">
        <w:rPr>
          <w:rFonts w:ascii="Book Antiqua" w:hAnsi="Book Antiqua" w:cs="Arial"/>
          <w:sz w:val="24"/>
          <w:szCs w:val="24"/>
        </w:rPr>
        <w:t>to</w:t>
      </w:r>
      <w:r w:rsidR="00C25AE9" w:rsidRPr="005E456A">
        <w:rPr>
          <w:rFonts w:ascii="Book Antiqua" w:hAnsi="Book Antiqua" w:cs="Arial"/>
          <w:sz w:val="24"/>
          <w:szCs w:val="24"/>
        </w:rPr>
        <w:t xml:space="preserve"> three types: mesh, loop and interrupted. The mesh or loop pattern we</w:t>
      </w:r>
      <w:r w:rsidRPr="005E456A">
        <w:rPr>
          <w:rFonts w:ascii="Book Antiqua" w:hAnsi="Book Antiqua" w:cs="Arial"/>
          <w:sz w:val="24"/>
          <w:szCs w:val="24"/>
        </w:rPr>
        <w:t>re seen in 94.9% of mucosal EGC while 92.3% of submucosal EGC</w:t>
      </w:r>
      <w:r w:rsidR="00C25AE9" w:rsidRPr="005E456A">
        <w:rPr>
          <w:rFonts w:ascii="Book Antiqua" w:hAnsi="Book Antiqua" w:cs="Arial"/>
          <w:sz w:val="24"/>
          <w:szCs w:val="24"/>
        </w:rPr>
        <w:t xml:space="preserve"> had interrupted patterns. </w:t>
      </w:r>
      <w:r w:rsidR="006C293C" w:rsidRPr="005E456A">
        <w:rPr>
          <w:rFonts w:ascii="Book Antiqua" w:hAnsi="Book Antiqua" w:cs="Arial"/>
          <w:sz w:val="24"/>
          <w:szCs w:val="24"/>
        </w:rPr>
        <w:t xml:space="preserve">In </w:t>
      </w:r>
      <w:r w:rsidR="00BD4806" w:rsidRPr="005E456A">
        <w:rPr>
          <w:rFonts w:ascii="Book Antiqua" w:hAnsi="Book Antiqua" w:cs="Arial"/>
          <w:sz w:val="24"/>
          <w:szCs w:val="24"/>
        </w:rPr>
        <w:t>a</w:t>
      </w:r>
      <w:r w:rsidR="006B175C" w:rsidRPr="005E456A">
        <w:rPr>
          <w:rFonts w:ascii="Book Antiqua" w:hAnsi="Book Antiqua" w:cs="Arial"/>
          <w:sz w:val="24"/>
          <w:szCs w:val="24"/>
        </w:rPr>
        <w:t>nother</w:t>
      </w:r>
      <w:r w:rsidR="00BD4806" w:rsidRPr="005E456A">
        <w:rPr>
          <w:rFonts w:ascii="Book Antiqua" w:hAnsi="Book Antiqua" w:cs="Arial"/>
          <w:sz w:val="24"/>
          <w:szCs w:val="24"/>
        </w:rPr>
        <w:t xml:space="preserve"> prospective study from China</w:t>
      </w:r>
      <w:r w:rsidR="006C293C" w:rsidRPr="005E456A">
        <w:rPr>
          <w:rFonts w:ascii="Book Antiqua" w:hAnsi="Book Antiqua" w:cs="Arial"/>
          <w:sz w:val="24"/>
          <w:szCs w:val="24"/>
        </w:rPr>
        <w:t>, Li</w:t>
      </w:r>
      <w:r w:rsidR="006C293C" w:rsidRPr="00050811">
        <w:rPr>
          <w:rFonts w:ascii="Book Antiqua" w:hAnsi="Book Antiqua" w:cs="Arial"/>
          <w:i/>
          <w:sz w:val="24"/>
          <w:szCs w:val="24"/>
        </w:rPr>
        <w:t xml:space="preserve"> et al</w:t>
      </w:r>
      <w:r w:rsidR="00050811" w:rsidRPr="005E456A">
        <w:rPr>
          <w:rFonts w:ascii="Book Antiqua" w:hAnsi="Book Antiqua" w:cs="Arial"/>
          <w:sz w:val="24"/>
          <w:szCs w:val="24"/>
          <w:vertAlign w:val="superscript"/>
        </w:rPr>
        <w:t>[62]</w:t>
      </w:r>
      <w:r w:rsidR="006C293C" w:rsidRPr="005E456A">
        <w:rPr>
          <w:rFonts w:ascii="Book Antiqua" w:hAnsi="Book Antiqua" w:cs="Arial"/>
          <w:sz w:val="24"/>
          <w:szCs w:val="24"/>
        </w:rPr>
        <w:t xml:space="preserve"> reported findings of M-NBI in 164 suspected gastric lesions. </w:t>
      </w:r>
      <w:r w:rsidR="00BD4806" w:rsidRPr="005E456A">
        <w:rPr>
          <w:rFonts w:ascii="Book Antiqua" w:hAnsi="Book Antiqua" w:cs="Arial"/>
          <w:sz w:val="24"/>
          <w:szCs w:val="24"/>
        </w:rPr>
        <w:t>The patterns of M-NBI were categorized into three groups (A, B and C) based on both surface pattern and microvascular architecture. Besides excellent diagnostic values for characterization and differentiation of EGC, M-NBI classification was able to accurately predict the depth of invasion in 37 out of 39 differentiated adenocarcinomas (95%).</w:t>
      </w:r>
    </w:p>
    <w:p w14:paraId="2C888427" w14:textId="391C6AE1" w:rsidR="00D82B71" w:rsidRPr="005E456A" w:rsidRDefault="00C25AE9" w:rsidP="005E456A">
      <w:pPr>
        <w:pStyle w:val="ListParagraph"/>
        <w:spacing w:after="0" w:line="360" w:lineRule="auto"/>
        <w:ind w:left="0" w:firstLine="720"/>
        <w:jc w:val="both"/>
        <w:rPr>
          <w:rFonts w:ascii="Book Antiqua" w:hAnsi="Book Antiqua" w:cs="Arial"/>
          <w:sz w:val="24"/>
          <w:szCs w:val="24"/>
        </w:rPr>
      </w:pPr>
      <w:r w:rsidRPr="005E456A">
        <w:rPr>
          <w:rFonts w:ascii="Book Antiqua" w:hAnsi="Book Antiqua" w:cs="Arial"/>
          <w:sz w:val="24"/>
          <w:szCs w:val="24"/>
        </w:rPr>
        <w:t xml:space="preserve">Two retrospective studies have </w:t>
      </w:r>
      <w:r w:rsidR="00301B0B" w:rsidRPr="005E456A">
        <w:rPr>
          <w:rFonts w:ascii="Book Antiqua" w:hAnsi="Book Antiqua" w:cs="Arial"/>
          <w:sz w:val="24"/>
          <w:szCs w:val="24"/>
        </w:rPr>
        <w:t xml:space="preserve">also </w:t>
      </w:r>
      <w:r w:rsidRPr="005E456A">
        <w:rPr>
          <w:rFonts w:ascii="Book Antiqua" w:hAnsi="Book Antiqua" w:cs="Arial"/>
          <w:sz w:val="24"/>
          <w:szCs w:val="24"/>
        </w:rPr>
        <w:t xml:space="preserve">attempted correlation of M-NBI images (taken before the resection) with histopathology of resected specimens. In the first study by Kobara </w:t>
      </w:r>
      <w:r w:rsidRPr="0079331A">
        <w:rPr>
          <w:rFonts w:ascii="Book Antiqua" w:hAnsi="Book Antiqua" w:cs="Arial"/>
          <w:i/>
          <w:sz w:val="24"/>
          <w:szCs w:val="24"/>
        </w:rPr>
        <w:t>et al</w:t>
      </w:r>
      <w:r w:rsidR="0079331A" w:rsidRPr="005E456A">
        <w:rPr>
          <w:rFonts w:ascii="Book Antiqua" w:hAnsi="Book Antiqua" w:cs="Arial"/>
          <w:sz w:val="24"/>
          <w:szCs w:val="24"/>
          <w:vertAlign w:val="superscript"/>
        </w:rPr>
        <w:t>[63]</w:t>
      </w:r>
      <w:r w:rsidR="0079331A">
        <w:rPr>
          <w:rFonts w:ascii="Book Antiqua" w:hAnsi="Book Antiqua" w:cs="Arial" w:hint="eastAsia"/>
          <w:sz w:val="24"/>
          <w:szCs w:val="24"/>
          <w:vertAlign w:val="superscript"/>
        </w:rPr>
        <w:t xml:space="preserve"> </w:t>
      </w:r>
      <w:r w:rsidRPr="005E456A">
        <w:rPr>
          <w:rFonts w:ascii="Book Antiqua" w:hAnsi="Book Antiqua" w:cs="Arial"/>
          <w:sz w:val="24"/>
          <w:szCs w:val="24"/>
        </w:rPr>
        <w:t>it was concluded that the presence of non-structure, scattery vessels and multi-caliber vessels can possibly serve as indicators of SM2 invasion in</w:t>
      </w:r>
      <w:r w:rsidR="00196B7F" w:rsidRPr="005E456A">
        <w:rPr>
          <w:rFonts w:ascii="Book Antiqua" w:hAnsi="Book Antiqua" w:cs="Arial"/>
          <w:sz w:val="24"/>
          <w:szCs w:val="24"/>
        </w:rPr>
        <w:t xml:space="preserve"> differentiated-type of EGC</w:t>
      </w:r>
      <w:r w:rsidRPr="005E456A">
        <w:rPr>
          <w:rFonts w:ascii="Book Antiqua" w:hAnsi="Book Antiqua" w:cs="Arial"/>
          <w:sz w:val="24"/>
          <w:szCs w:val="24"/>
        </w:rPr>
        <w:t xml:space="preserve">. In the second study by Kikuchi </w:t>
      </w:r>
      <w:r w:rsidRPr="00E514C2">
        <w:rPr>
          <w:rFonts w:ascii="Book Antiqua" w:hAnsi="Book Antiqua" w:cs="Arial"/>
          <w:i/>
          <w:sz w:val="24"/>
          <w:szCs w:val="24"/>
        </w:rPr>
        <w:t>et al</w:t>
      </w:r>
      <w:r w:rsidR="00E514C2" w:rsidRPr="005E456A">
        <w:rPr>
          <w:rFonts w:ascii="Book Antiqua" w:hAnsi="Book Antiqua" w:cs="Arial"/>
          <w:sz w:val="24"/>
          <w:szCs w:val="24"/>
          <w:vertAlign w:val="superscript"/>
        </w:rPr>
        <w:t>[64]</w:t>
      </w:r>
      <w:r w:rsidRPr="005E456A">
        <w:rPr>
          <w:rFonts w:ascii="Book Antiqua" w:hAnsi="Book Antiqua" w:cs="Arial"/>
          <w:sz w:val="24"/>
          <w:szCs w:val="24"/>
        </w:rPr>
        <w:t xml:space="preserve"> M-NBI images were examined for dilated vessels (D-vessels) which were defined as vessels with diameter 3 times larger than that of</w:t>
      </w:r>
      <w:r w:rsidR="00301B0B" w:rsidRPr="005E456A">
        <w:rPr>
          <w:rFonts w:ascii="Book Antiqua" w:hAnsi="Book Antiqua" w:cs="Arial"/>
          <w:sz w:val="24"/>
          <w:szCs w:val="24"/>
        </w:rPr>
        <w:t xml:space="preserve"> the irregular microvessels</w:t>
      </w:r>
      <w:r w:rsidR="00196B7F" w:rsidRPr="005E456A">
        <w:rPr>
          <w:rFonts w:ascii="Book Antiqua" w:hAnsi="Book Antiqua" w:cs="Arial"/>
          <w:sz w:val="24"/>
          <w:szCs w:val="24"/>
        </w:rPr>
        <w:t>. T</w:t>
      </w:r>
      <w:r w:rsidRPr="005E456A">
        <w:rPr>
          <w:rFonts w:ascii="Book Antiqua" w:hAnsi="Book Antiqua" w:cs="Arial"/>
          <w:sz w:val="24"/>
          <w:szCs w:val="24"/>
        </w:rPr>
        <w:t xml:space="preserve">he sensitivity and specificity of D-vessels </w:t>
      </w:r>
      <w:r w:rsidR="00196B7F" w:rsidRPr="005E456A">
        <w:rPr>
          <w:rFonts w:ascii="Book Antiqua" w:hAnsi="Book Antiqua" w:cs="Arial"/>
          <w:sz w:val="24"/>
          <w:szCs w:val="24"/>
        </w:rPr>
        <w:t xml:space="preserve">for SM2 invasion </w:t>
      </w:r>
      <w:r w:rsidRPr="005E456A">
        <w:rPr>
          <w:rFonts w:ascii="Book Antiqua" w:hAnsi="Book Antiqua" w:cs="Arial"/>
          <w:sz w:val="24"/>
          <w:szCs w:val="24"/>
        </w:rPr>
        <w:t>were 37.5% and 88.3% respectively.</w:t>
      </w:r>
    </w:p>
    <w:p w14:paraId="246F298F" w14:textId="77777777" w:rsidR="000A2B7A" w:rsidRPr="005E456A" w:rsidRDefault="000A2B7A" w:rsidP="005E456A">
      <w:pPr>
        <w:spacing w:after="0" w:line="360" w:lineRule="auto"/>
        <w:jc w:val="both"/>
        <w:rPr>
          <w:rFonts w:ascii="Book Antiqua" w:hAnsi="Book Antiqua" w:cs="Arial"/>
          <w:b/>
          <w:sz w:val="24"/>
          <w:szCs w:val="24"/>
        </w:rPr>
      </w:pPr>
    </w:p>
    <w:p w14:paraId="579A103D" w14:textId="77777777" w:rsidR="00D82B71" w:rsidRPr="005E456A" w:rsidRDefault="00D82B71" w:rsidP="005E456A">
      <w:pPr>
        <w:pStyle w:val="ListParagraph"/>
        <w:spacing w:after="0" w:line="360" w:lineRule="auto"/>
        <w:ind w:left="0"/>
        <w:jc w:val="both"/>
        <w:rPr>
          <w:rFonts w:ascii="Book Antiqua" w:hAnsi="Book Antiqua" w:cs="Arial"/>
          <w:b/>
          <w:sz w:val="24"/>
          <w:szCs w:val="24"/>
        </w:rPr>
      </w:pPr>
      <w:r w:rsidRPr="005E456A">
        <w:rPr>
          <w:rFonts w:ascii="Book Antiqua" w:hAnsi="Book Antiqua" w:cs="Arial"/>
          <w:b/>
          <w:sz w:val="24"/>
          <w:szCs w:val="24"/>
        </w:rPr>
        <w:t>FLEXIBLE SPECTRAL IMAGING COLOR ENHANCEMENT (FICE)</w:t>
      </w:r>
    </w:p>
    <w:p w14:paraId="2EDD4122" w14:textId="68395801" w:rsidR="00D82B71" w:rsidRPr="005E456A" w:rsidRDefault="00D82B71" w:rsidP="00A8173E">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t xml:space="preserve">This technology is also known as </w:t>
      </w:r>
      <w:r w:rsidR="00A8173E">
        <w:rPr>
          <w:rFonts w:ascii="Book Antiqua" w:hAnsi="Book Antiqua" w:cs="Arial"/>
          <w:sz w:val="24"/>
          <w:szCs w:val="24"/>
        </w:rPr>
        <w:t>“</w:t>
      </w:r>
      <w:r w:rsidRPr="005E456A">
        <w:rPr>
          <w:rFonts w:ascii="Book Antiqua" w:hAnsi="Book Antiqua" w:cs="Arial"/>
          <w:sz w:val="24"/>
          <w:szCs w:val="24"/>
        </w:rPr>
        <w:t>Optimal Band Imaging</w:t>
      </w:r>
      <w:r w:rsidR="00A8173E">
        <w:rPr>
          <w:rFonts w:ascii="Book Antiqua" w:hAnsi="Book Antiqua" w:cs="Arial"/>
          <w:sz w:val="24"/>
          <w:szCs w:val="24"/>
        </w:rPr>
        <w:t>”</w:t>
      </w:r>
      <w:r w:rsidRPr="005E456A">
        <w:rPr>
          <w:rFonts w:ascii="Book Antiqua" w:hAnsi="Book Antiqua" w:cs="Arial"/>
          <w:sz w:val="24"/>
          <w:szCs w:val="24"/>
        </w:rPr>
        <w:t xml:space="preserve"> or </w:t>
      </w:r>
      <w:r w:rsidR="00A8173E">
        <w:rPr>
          <w:rFonts w:ascii="Book Antiqua" w:hAnsi="Book Antiqua" w:cs="Arial"/>
          <w:sz w:val="24"/>
          <w:szCs w:val="24"/>
        </w:rPr>
        <w:t>“</w:t>
      </w:r>
      <w:r w:rsidRPr="005E456A">
        <w:rPr>
          <w:rFonts w:ascii="Book Antiqua" w:hAnsi="Book Antiqua" w:cs="Arial"/>
          <w:sz w:val="24"/>
          <w:szCs w:val="24"/>
        </w:rPr>
        <w:t>Multi-band Imaging</w:t>
      </w:r>
      <w:r w:rsidR="00A8173E">
        <w:rPr>
          <w:rFonts w:ascii="Book Antiqua" w:hAnsi="Book Antiqua" w:cs="Arial"/>
          <w:sz w:val="24"/>
          <w:szCs w:val="24"/>
        </w:rPr>
        <w:t>”</w:t>
      </w:r>
      <w:r w:rsidRPr="005E456A">
        <w:rPr>
          <w:rFonts w:ascii="Book Antiqua" w:hAnsi="Book Antiqua" w:cs="Arial"/>
          <w:sz w:val="24"/>
          <w:szCs w:val="24"/>
        </w:rPr>
        <w:t>. FICE was introduced by Fujinon (Tokyo, Japan) in year 2005 and is currently its proprietary technology. In FICE, the ordinary white-light images are captured by the CCD and are mathematically processed in the processor by assigning specific ranges of wavelengths. Thereafter, electronically enhanced and reconstructed color images are displayed on the monitor</w:t>
      </w:r>
      <w:r w:rsidR="000A2B7A" w:rsidRPr="005E456A">
        <w:rPr>
          <w:rFonts w:ascii="Book Antiqua" w:hAnsi="Book Antiqua" w:cs="Arial"/>
          <w:sz w:val="24"/>
          <w:szCs w:val="24"/>
          <w:vertAlign w:val="superscript"/>
        </w:rPr>
        <w:t>[6</w:t>
      </w:r>
      <w:r w:rsidR="00FB62DA" w:rsidRPr="005E456A">
        <w:rPr>
          <w:rFonts w:ascii="Book Antiqua" w:hAnsi="Book Antiqua" w:cs="Arial"/>
          <w:sz w:val="24"/>
          <w:szCs w:val="24"/>
          <w:vertAlign w:val="superscript"/>
        </w:rPr>
        <w:t>5</w:t>
      </w:r>
      <w:r w:rsidR="000A2B7A" w:rsidRPr="005E456A">
        <w:rPr>
          <w:rFonts w:ascii="Book Antiqua" w:hAnsi="Book Antiqua" w:cs="Arial"/>
          <w:sz w:val="24"/>
          <w:szCs w:val="24"/>
          <w:vertAlign w:val="superscript"/>
        </w:rPr>
        <w:t>]</w:t>
      </w:r>
      <w:r w:rsidRPr="005E456A">
        <w:rPr>
          <w:rFonts w:ascii="Book Antiqua" w:hAnsi="Book Antiqua" w:cs="Arial"/>
          <w:sz w:val="24"/>
          <w:szCs w:val="24"/>
        </w:rPr>
        <w:t>. This is in contrast with the NBI where raw and enhanced images are captured by putting an optical filter in the path of illuminating light. Since FICE processes well-illuminated white-light images, this means that the FICE can provide enhanced images without compromising on brightness. At present, there are ten pre-settings of FICE which can be instantaneously activated by pushing a button on an accompanying keyboard. A total of three presets can also be assigned to the buttons on the control handle of the endoscope to ease the switching of the different FICE images. In recent years, several studies have claimed superior efficacy of FICE as compared to WLE for various pathologies of esophagus, colon and stomach. Only a few studies have studied FICE in stomach, with most performed for delineation of margins of early gastric cancers. However, a learning curve for pattern recognition, a requirement for separate endoscopic eq</w:t>
      </w:r>
      <w:r w:rsidR="000A2B7A" w:rsidRPr="005E456A">
        <w:rPr>
          <w:rFonts w:ascii="Book Antiqua" w:hAnsi="Book Antiqua" w:cs="Arial"/>
          <w:sz w:val="24"/>
          <w:szCs w:val="24"/>
        </w:rPr>
        <w:t>uipment and lack of consensus for</w:t>
      </w:r>
      <w:r w:rsidRPr="005E456A">
        <w:rPr>
          <w:rFonts w:ascii="Book Antiqua" w:hAnsi="Book Antiqua" w:cs="Arial"/>
          <w:sz w:val="24"/>
          <w:szCs w:val="24"/>
        </w:rPr>
        <w:t xml:space="preserve"> objective </w:t>
      </w:r>
      <w:r w:rsidR="006C3D37" w:rsidRPr="005E456A">
        <w:rPr>
          <w:rFonts w:ascii="Book Antiqua" w:hAnsi="Book Antiqua" w:cs="Arial"/>
          <w:sz w:val="24"/>
          <w:szCs w:val="24"/>
        </w:rPr>
        <w:t xml:space="preserve">diagnostic </w:t>
      </w:r>
      <w:r w:rsidRPr="005E456A">
        <w:rPr>
          <w:rFonts w:ascii="Book Antiqua" w:hAnsi="Book Antiqua" w:cs="Arial"/>
          <w:sz w:val="24"/>
          <w:szCs w:val="24"/>
        </w:rPr>
        <w:t>criteria has restricted use of FICE</w:t>
      </w:r>
      <w:r w:rsidR="006C293C" w:rsidRPr="005E456A">
        <w:rPr>
          <w:rFonts w:ascii="Book Antiqua" w:hAnsi="Book Antiqua" w:cs="Arial"/>
          <w:sz w:val="24"/>
          <w:szCs w:val="24"/>
        </w:rPr>
        <w:t>.</w:t>
      </w:r>
      <w:r w:rsidRPr="005E456A">
        <w:rPr>
          <w:rFonts w:ascii="Book Antiqua" w:hAnsi="Book Antiqua" w:cs="Arial"/>
          <w:sz w:val="24"/>
          <w:szCs w:val="24"/>
        </w:rPr>
        <w:t xml:space="preserve"> </w:t>
      </w:r>
    </w:p>
    <w:p w14:paraId="1E9861B3" w14:textId="77777777" w:rsidR="005B7A36" w:rsidRPr="005E456A" w:rsidRDefault="005B7A36" w:rsidP="005E456A">
      <w:pPr>
        <w:spacing w:after="0" w:line="360" w:lineRule="auto"/>
        <w:jc w:val="both"/>
        <w:rPr>
          <w:rFonts w:ascii="Book Antiqua" w:hAnsi="Book Antiqua" w:cs="Arial"/>
          <w:b/>
          <w:sz w:val="24"/>
          <w:szCs w:val="24"/>
        </w:rPr>
      </w:pPr>
    </w:p>
    <w:p w14:paraId="79188E4A" w14:textId="77777777" w:rsidR="00D82B71" w:rsidRPr="005E456A" w:rsidRDefault="00F97ADB" w:rsidP="005E456A">
      <w:pPr>
        <w:spacing w:after="0" w:line="360" w:lineRule="auto"/>
        <w:jc w:val="both"/>
        <w:rPr>
          <w:rFonts w:ascii="Book Antiqua" w:hAnsi="Book Antiqua" w:cs="Arial"/>
          <w:b/>
          <w:i/>
          <w:sz w:val="24"/>
          <w:szCs w:val="24"/>
        </w:rPr>
      </w:pPr>
      <w:r w:rsidRPr="005E456A">
        <w:rPr>
          <w:rFonts w:ascii="Book Antiqua" w:hAnsi="Book Antiqua" w:cs="Arial"/>
          <w:b/>
          <w:i/>
          <w:sz w:val="24"/>
          <w:szCs w:val="24"/>
        </w:rPr>
        <w:t xml:space="preserve">Use of </w:t>
      </w:r>
      <w:r w:rsidR="00D82B71" w:rsidRPr="005E456A">
        <w:rPr>
          <w:rFonts w:ascii="Book Antiqua" w:hAnsi="Book Antiqua" w:cs="Arial"/>
          <w:b/>
          <w:i/>
          <w:sz w:val="24"/>
          <w:szCs w:val="24"/>
        </w:rPr>
        <w:t xml:space="preserve">FICE </w:t>
      </w:r>
      <w:r w:rsidRPr="005E456A">
        <w:rPr>
          <w:rFonts w:ascii="Book Antiqua" w:hAnsi="Book Antiqua" w:cs="Arial"/>
          <w:b/>
          <w:i/>
          <w:sz w:val="24"/>
          <w:szCs w:val="24"/>
        </w:rPr>
        <w:t>in</w:t>
      </w:r>
      <w:r w:rsidR="00D82B71" w:rsidRPr="005E456A">
        <w:rPr>
          <w:rFonts w:ascii="Book Antiqua" w:hAnsi="Book Antiqua" w:cs="Arial"/>
          <w:b/>
          <w:i/>
          <w:sz w:val="24"/>
          <w:szCs w:val="24"/>
        </w:rPr>
        <w:t xml:space="preserve"> early gastric cancer</w:t>
      </w:r>
    </w:p>
    <w:p w14:paraId="3E179E06" w14:textId="66E3B325" w:rsidR="00485274" w:rsidRPr="005E456A" w:rsidRDefault="002F43CC" w:rsidP="00A8173E">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t>In the management of EGC, the use of FICE has been limited to demarcation of alre</w:t>
      </w:r>
      <w:r w:rsidR="00196B7F" w:rsidRPr="005E456A">
        <w:rPr>
          <w:rFonts w:ascii="Book Antiqua" w:hAnsi="Book Antiqua" w:cs="Arial"/>
          <w:sz w:val="24"/>
          <w:szCs w:val="24"/>
        </w:rPr>
        <w:t xml:space="preserve">ady identified lesions. </w:t>
      </w:r>
      <w:r w:rsidRPr="005E456A">
        <w:rPr>
          <w:rFonts w:ascii="Book Antiqua" w:hAnsi="Book Antiqua" w:cs="Arial"/>
          <w:sz w:val="24"/>
          <w:szCs w:val="24"/>
        </w:rPr>
        <w:t>FICE has not been objectively studied as a screening tool to pick up early malignant lesion. In</w:t>
      </w:r>
      <w:r w:rsidR="00D82B71" w:rsidRPr="005E456A">
        <w:rPr>
          <w:rFonts w:ascii="Book Antiqua" w:hAnsi="Book Antiqua" w:cs="Arial"/>
          <w:sz w:val="24"/>
          <w:szCs w:val="24"/>
        </w:rPr>
        <w:t xml:space="preserve"> 2008, Osawa </w:t>
      </w:r>
      <w:r w:rsidR="00D82B71" w:rsidRPr="00A8173E">
        <w:rPr>
          <w:rFonts w:ascii="Book Antiqua" w:hAnsi="Book Antiqua" w:cs="Arial"/>
          <w:i/>
          <w:sz w:val="24"/>
          <w:szCs w:val="24"/>
        </w:rPr>
        <w:t xml:space="preserve">et </w:t>
      </w:r>
      <w:r w:rsidR="006B175C" w:rsidRPr="00A8173E">
        <w:rPr>
          <w:rFonts w:ascii="Book Antiqua" w:hAnsi="Book Antiqua" w:cs="Arial"/>
          <w:i/>
          <w:sz w:val="24"/>
          <w:szCs w:val="24"/>
        </w:rPr>
        <w:t>al</w:t>
      </w:r>
      <w:r w:rsidR="00A8173E" w:rsidRPr="005E456A">
        <w:rPr>
          <w:rFonts w:ascii="Book Antiqua" w:hAnsi="Book Antiqua" w:cs="Arial"/>
          <w:sz w:val="24"/>
          <w:szCs w:val="24"/>
          <w:vertAlign w:val="superscript"/>
        </w:rPr>
        <w:t>[66]</w:t>
      </w:r>
      <w:r w:rsidR="006B175C" w:rsidRPr="005E456A">
        <w:rPr>
          <w:rFonts w:ascii="Book Antiqua" w:hAnsi="Book Antiqua" w:cs="Arial"/>
          <w:sz w:val="24"/>
          <w:szCs w:val="24"/>
        </w:rPr>
        <w:t xml:space="preserve"> published</w:t>
      </w:r>
      <w:r w:rsidR="00D82B71" w:rsidRPr="005E456A">
        <w:rPr>
          <w:rFonts w:ascii="Book Antiqua" w:hAnsi="Book Antiqua" w:cs="Arial"/>
          <w:sz w:val="24"/>
          <w:szCs w:val="24"/>
        </w:rPr>
        <w:t xml:space="preserve"> the first clinical</w:t>
      </w:r>
      <w:r w:rsidR="00196B7F" w:rsidRPr="005E456A">
        <w:rPr>
          <w:rFonts w:ascii="Book Antiqua" w:hAnsi="Book Antiqua" w:cs="Arial"/>
          <w:sz w:val="24"/>
          <w:szCs w:val="24"/>
        </w:rPr>
        <w:t xml:space="preserve"> study</w:t>
      </w:r>
      <w:r w:rsidR="00D82B71" w:rsidRPr="005E456A">
        <w:rPr>
          <w:rFonts w:ascii="Book Antiqua" w:hAnsi="Book Antiqua" w:cs="Arial"/>
          <w:sz w:val="24"/>
          <w:szCs w:val="24"/>
        </w:rPr>
        <w:t xml:space="preserve"> in stomach. In this </w:t>
      </w:r>
      <w:r w:rsidR="00975A31" w:rsidRPr="005E456A">
        <w:rPr>
          <w:rFonts w:ascii="Book Antiqua" w:hAnsi="Book Antiqua" w:cs="Arial"/>
          <w:sz w:val="24"/>
          <w:szCs w:val="24"/>
        </w:rPr>
        <w:t xml:space="preserve">real-time </w:t>
      </w:r>
      <w:r w:rsidR="00D82B71" w:rsidRPr="005E456A">
        <w:rPr>
          <w:rFonts w:ascii="Book Antiqua" w:hAnsi="Book Antiqua" w:cs="Arial"/>
          <w:sz w:val="24"/>
          <w:szCs w:val="24"/>
        </w:rPr>
        <w:t>prospective study with a small sample of twenty-seven patients, four endoscopists, in real-time</w:t>
      </w:r>
      <w:r w:rsidR="00975A31" w:rsidRPr="005E456A">
        <w:rPr>
          <w:rFonts w:ascii="Book Antiqua" w:hAnsi="Book Antiqua" w:cs="Arial"/>
          <w:sz w:val="24"/>
          <w:szCs w:val="24"/>
        </w:rPr>
        <w:t xml:space="preserve"> </w:t>
      </w:r>
      <w:r w:rsidR="00D82B71" w:rsidRPr="005E456A">
        <w:rPr>
          <w:rFonts w:ascii="Book Antiqua" w:hAnsi="Book Antiqua" w:cs="Arial"/>
          <w:sz w:val="24"/>
          <w:szCs w:val="24"/>
        </w:rPr>
        <w:t>demarcate</w:t>
      </w:r>
      <w:r w:rsidR="00975A31" w:rsidRPr="005E456A">
        <w:rPr>
          <w:rFonts w:ascii="Book Antiqua" w:hAnsi="Book Antiqua" w:cs="Arial"/>
          <w:sz w:val="24"/>
          <w:szCs w:val="24"/>
        </w:rPr>
        <w:t>d</w:t>
      </w:r>
      <w:r w:rsidR="00D82B71" w:rsidRPr="005E456A">
        <w:rPr>
          <w:rFonts w:ascii="Book Antiqua" w:hAnsi="Book Antiqua" w:cs="Arial"/>
          <w:sz w:val="24"/>
          <w:szCs w:val="24"/>
        </w:rPr>
        <w:t xml:space="preserve"> the depressed type of </w:t>
      </w:r>
      <w:r w:rsidR="00196B7F" w:rsidRPr="005E456A">
        <w:rPr>
          <w:rFonts w:ascii="Book Antiqua" w:hAnsi="Book Antiqua" w:cs="Arial"/>
          <w:sz w:val="24"/>
          <w:szCs w:val="24"/>
        </w:rPr>
        <w:t>EGC</w:t>
      </w:r>
      <w:r w:rsidR="00D82B71" w:rsidRPr="005E456A">
        <w:rPr>
          <w:rFonts w:ascii="Book Antiqua" w:hAnsi="Book Antiqua" w:cs="Arial"/>
          <w:sz w:val="24"/>
          <w:szCs w:val="24"/>
        </w:rPr>
        <w:t xml:space="preserve"> with accuracy of 96%. In the same year, another study by the sa</w:t>
      </w:r>
      <w:r w:rsidR="00196B7F" w:rsidRPr="005E456A">
        <w:rPr>
          <w:rFonts w:ascii="Book Antiqua" w:hAnsi="Book Antiqua" w:cs="Arial"/>
          <w:sz w:val="24"/>
          <w:szCs w:val="24"/>
        </w:rPr>
        <w:t>me group claimed efficacy</w:t>
      </w:r>
      <w:r w:rsidR="00D82B71" w:rsidRPr="005E456A">
        <w:rPr>
          <w:rFonts w:ascii="Book Antiqua" w:hAnsi="Book Antiqua" w:cs="Arial"/>
          <w:sz w:val="24"/>
          <w:szCs w:val="24"/>
        </w:rPr>
        <w:t xml:space="preserve"> in demarcation of ele</w:t>
      </w:r>
      <w:r w:rsidR="00196B7F" w:rsidRPr="005E456A">
        <w:rPr>
          <w:rFonts w:ascii="Book Antiqua" w:hAnsi="Book Antiqua" w:cs="Arial"/>
          <w:sz w:val="24"/>
          <w:szCs w:val="24"/>
        </w:rPr>
        <w:t>vated and depressed type of EGC</w:t>
      </w:r>
      <w:r w:rsidR="00975A31" w:rsidRPr="005E456A">
        <w:rPr>
          <w:rFonts w:ascii="Book Antiqua" w:hAnsi="Book Antiqua" w:cs="Arial"/>
          <w:sz w:val="24"/>
          <w:szCs w:val="24"/>
          <w:vertAlign w:val="superscript"/>
        </w:rPr>
        <w:t>[</w:t>
      </w:r>
      <w:r w:rsidR="00FB62DA" w:rsidRPr="005E456A">
        <w:rPr>
          <w:rFonts w:ascii="Book Antiqua" w:hAnsi="Book Antiqua" w:cs="Arial"/>
          <w:sz w:val="24"/>
          <w:szCs w:val="24"/>
          <w:vertAlign w:val="superscript"/>
        </w:rPr>
        <w:t>67</w:t>
      </w:r>
      <w:r w:rsidR="00975A31" w:rsidRPr="005E456A">
        <w:rPr>
          <w:rFonts w:ascii="Book Antiqua" w:hAnsi="Book Antiqua" w:cs="Arial"/>
          <w:sz w:val="24"/>
          <w:szCs w:val="24"/>
          <w:vertAlign w:val="superscript"/>
        </w:rPr>
        <w:t>]</w:t>
      </w:r>
      <w:r w:rsidR="00D82B71" w:rsidRPr="005E456A">
        <w:rPr>
          <w:rFonts w:ascii="Book Antiqua" w:hAnsi="Book Antiqua" w:cs="Arial"/>
          <w:sz w:val="24"/>
          <w:szCs w:val="24"/>
        </w:rPr>
        <w:t>. However in this study, the objective results of efficacy</w:t>
      </w:r>
      <w:r w:rsidR="00975A31" w:rsidRPr="005E456A">
        <w:rPr>
          <w:rFonts w:ascii="Book Antiqua" w:hAnsi="Book Antiqua" w:cs="Arial"/>
          <w:sz w:val="24"/>
          <w:szCs w:val="24"/>
        </w:rPr>
        <w:t xml:space="preserve"> of this method</w:t>
      </w:r>
      <w:r w:rsidR="00D82B71" w:rsidRPr="005E456A">
        <w:rPr>
          <w:rFonts w:ascii="Book Antiqua" w:hAnsi="Book Antiqua" w:cs="Arial"/>
          <w:sz w:val="24"/>
          <w:szCs w:val="24"/>
        </w:rPr>
        <w:t xml:space="preserve"> were not reported. </w:t>
      </w:r>
      <w:r w:rsidR="00485274" w:rsidRPr="005E456A">
        <w:rPr>
          <w:rFonts w:ascii="Book Antiqua" w:hAnsi="Book Antiqua" w:cs="Arial"/>
          <w:sz w:val="24"/>
          <w:szCs w:val="24"/>
        </w:rPr>
        <w:t>In another</w:t>
      </w:r>
      <w:r w:rsidR="00196B7F" w:rsidRPr="005E456A">
        <w:rPr>
          <w:rFonts w:ascii="Book Antiqua" w:hAnsi="Book Antiqua" w:cs="Arial"/>
          <w:sz w:val="24"/>
          <w:szCs w:val="24"/>
        </w:rPr>
        <w:t xml:space="preserve"> study from the same group, it</w:t>
      </w:r>
      <w:r w:rsidR="00D82B71" w:rsidRPr="005E456A">
        <w:rPr>
          <w:rFonts w:ascii="Book Antiqua" w:hAnsi="Book Antiqua" w:cs="Arial"/>
          <w:sz w:val="24"/>
          <w:szCs w:val="24"/>
        </w:rPr>
        <w:t xml:space="preserve"> enabled delineation of </w:t>
      </w:r>
      <w:r w:rsidR="00196B7F" w:rsidRPr="005E456A">
        <w:rPr>
          <w:rFonts w:ascii="Book Antiqua" w:hAnsi="Book Antiqua" w:cs="Arial"/>
          <w:sz w:val="24"/>
          <w:szCs w:val="24"/>
        </w:rPr>
        <w:t>elevated-type of ECG</w:t>
      </w:r>
      <w:r w:rsidR="00D82B71" w:rsidRPr="005E456A">
        <w:rPr>
          <w:rFonts w:ascii="Book Antiqua" w:hAnsi="Book Antiqua" w:cs="Arial"/>
          <w:sz w:val="24"/>
          <w:szCs w:val="24"/>
        </w:rPr>
        <w:t xml:space="preserve"> in the background of </w:t>
      </w:r>
      <w:r w:rsidR="00204CAE" w:rsidRPr="005E456A">
        <w:rPr>
          <w:rFonts w:ascii="Book Antiqua" w:hAnsi="Book Antiqua" w:cs="Arial"/>
          <w:sz w:val="24"/>
          <w:szCs w:val="24"/>
        </w:rPr>
        <w:t>AG</w:t>
      </w:r>
      <w:r w:rsidR="00FB62DA" w:rsidRPr="005E456A">
        <w:rPr>
          <w:rFonts w:ascii="Book Antiqua" w:hAnsi="Book Antiqua" w:cs="Arial"/>
          <w:sz w:val="24"/>
          <w:szCs w:val="24"/>
          <w:vertAlign w:val="superscript"/>
        </w:rPr>
        <w:t>[68</w:t>
      </w:r>
      <w:r w:rsidR="00975A31" w:rsidRPr="005E456A">
        <w:rPr>
          <w:rFonts w:ascii="Book Antiqua" w:hAnsi="Book Antiqua" w:cs="Arial"/>
          <w:sz w:val="24"/>
          <w:szCs w:val="24"/>
          <w:vertAlign w:val="superscript"/>
        </w:rPr>
        <w:t>]</w:t>
      </w:r>
      <w:r w:rsidR="00D82B71" w:rsidRPr="005E456A">
        <w:rPr>
          <w:rFonts w:ascii="Book Antiqua" w:hAnsi="Book Antiqua" w:cs="Arial"/>
          <w:sz w:val="24"/>
          <w:szCs w:val="24"/>
        </w:rPr>
        <w:t xml:space="preserve">. </w:t>
      </w:r>
    </w:p>
    <w:p w14:paraId="0D5B4CDE" w14:textId="485C73C6" w:rsidR="00D82B71" w:rsidRPr="005E456A" w:rsidRDefault="00D82B71" w:rsidP="005E456A">
      <w:pPr>
        <w:pStyle w:val="ListParagraph"/>
        <w:spacing w:after="0" w:line="360" w:lineRule="auto"/>
        <w:ind w:left="0" w:firstLine="720"/>
        <w:jc w:val="both"/>
        <w:rPr>
          <w:rFonts w:ascii="Book Antiqua" w:hAnsi="Book Antiqua" w:cs="Arial"/>
          <w:sz w:val="24"/>
          <w:szCs w:val="24"/>
        </w:rPr>
      </w:pPr>
      <w:r w:rsidRPr="005E456A">
        <w:rPr>
          <w:rFonts w:ascii="Book Antiqua" w:hAnsi="Book Antiqua" w:cs="Arial"/>
          <w:sz w:val="24"/>
          <w:szCs w:val="24"/>
        </w:rPr>
        <w:t>Since a variety of wavelengths were being used for gastric examination with FICE, the most effective wavelength was studied in a retrospective fashion by another group in Japan</w:t>
      </w:r>
      <w:r w:rsidR="00485274" w:rsidRPr="005E456A">
        <w:rPr>
          <w:rFonts w:ascii="Book Antiqua" w:hAnsi="Book Antiqua" w:cs="Arial"/>
          <w:sz w:val="24"/>
          <w:szCs w:val="24"/>
          <w:vertAlign w:val="superscript"/>
        </w:rPr>
        <w:t>[</w:t>
      </w:r>
      <w:r w:rsidR="00FB62DA" w:rsidRPr="005E456A">
        <w:rPr>
          <w:rFonts w:ascii="Book Antiqua" w:hAnsi="Book Antiqua" w:cs="Arial"/>
          <w:sz w:val="24"/>
          <w:szCs w:val="24"/>
          <w:vertAlign w:val="superscript"/>
        </w:rPr>
        <w:t>69</w:t>
      </w:r>
      <w:r w:rsidR="00485274" w:rsidRPr="005E456A">
        <w:rPr>
          <w:rFonts w:ascii="Book Antiqua" w:hAnsi="Book Antiqua" w:cs="Arial"/>
          <w:sz w:val="24"/>
          <w:szCs w:val="24"/>
          <w:vertAlign w:val="superscript"/>
        </w:rPr>
        <w:t>]</w:t>
      </w:r>
      <w:r w:rsidRPr="005E456A">
        <w:rPr>
          <w:rFonts w:ascii="Book Antiqua" w:hAnsi="Book Antiqua" w:cs="Arial"/>
          <w:sz w:val="24"/>
          <w:szCs w:val="24"/>
        </w:rPr>
        <w:t>. Previously captured white-light</w:t>
      </w:r>
      <w:r w:rsidR="00196B7F" w:rsidRPr="005E456A">
        <w:rPr>
          <w:rFonts w:ascii="Book Antiqua" w:hAnsi="Book Antiqua" w:cs="Arial"/>
          <w:sz w:val="24"/>
          <w:szCs w:val="24"/>
        </w:rPr>
        <w:t xml:space="preserve"> images of EGC</w:t>
      </w:r>
      <w:r w:rsidRPr="005E456A">
        <w:rPr>
          <w:rFonts w:ascii="Book Antiqua" w:hAnsi="Book Antiqua" w:cs="Arial"/>
          <w:sz w:val="24"/>
          <w:szCs w:val="24"/>
        </w:rPr>
        <w:t xml:space="preserve"> were processed by the FICE processor and analysed. It was noted that the wavelength of 530 nm generated maximal difference in spectral reflectance between EGC and normal mucosa and there was significant improvement from the WLE images to the FICE images.</w:t>
      </w:r>
      <w:r w:rsidR="00984258" w:rsidRPr="005E456A">
        <w:rPr>
          <w:rFonts w:ascii="Book Antiqua" w:hAnsi="Book Antiqua" w:cs="Arial"/>
          <w:sz w:val="24"/>
          <w:szCs w:val="24"/>
        </w:rPr>
        <w:t xml:space="preserve"> FICE is proposed as a potential alternative to conventional </w:t>
      </w:r>
      <w:r w:rsidR="00196B7F" w:rsidRPr="005E456A">
        <w:rPr>
          <w:rFonts w:ascii="Book Antiqua" w:hAnsi="Book Antiqua" w:cs="Arial"/>
          <w:sz w:val="24"/>
          <w:szCs w:val="24"/>
        </w:rPr>
        <w:t>CE</w:t>
      </w:r>
      <w:r w:rsidR="00984258" w:rsidRPr="005E456A">
        <w:rPr>
          <w:rFonts w:ascii="Book Antiqua" w:hAnsi="Book Antiqua" w:cs="Arial"/>
          <w:sz w:val="24"/>
          <w:szCs w:val="24"/>
        </w:rPr>
        <w:t xml:space="preserve"> because it provides contrast enhancement of tissue surface structures.</w:t>
      </w:r>
      <w:r w:rsidR="002F43CC" w:rsidRPr="005E456A">
        <w:rPr>
          <w:rFonts w:ascii="Book Antiqua" w:hAnsi="Book Antiqua" w:cs="Arial"/>
          <w:sz w:val="24"/>
          <w:szCs w:val="24"/>
        </w:rPr>
        <w:t xml:space="preserve"> </w:t>
      </w:r>
      <w:r w:rsidR="00984258" w:rsidRPr="005E456A">
        <w:rPr>
          <w:rFonts w:ascii="Book Antiqua" w:hAnsi="Book Antiqua" w:cs="Arial"/>
          <w:sz w:val="24"/>
          <w:szCs w:val="24"/>
        </w:rPr>
        <w:t>However at present</w:t>
      </w:r>
      <w:r w:rsidR="002F43CC" w:rsidRPr="005E456A">
        <w:rPr>
          <w:rFonts w:ascii="Book Antiqua" w:hAnsi="Book Antiqua" w:cs="Arial"/>
          <w:sz w:val="24"/>
          <w:szCs w:val="24"/>
        </w:rPr>
        <w:t>, the evidence for its support has come from</w:t>
      </w:r>
      <w:r w:rsidR="00984258" w:rsidRPr="005E456A">
        <w:rPr>
          <w:rFonts w:ascii="Book Antiqua" w:hAnsi="Book Antiqua" w:cs="Arial"/>
          <w:sz w:val="24"/>
          <w:szCs w:val="24"/>
        </w:rPr>
        <w:t xml:space="preserve"> a few</w:t>
      </w:r>
      <w:r w:rsidR="002F43CC" w:rsidRPr="005E456A">
        <w:rPr>
          <w:rFonts w:ascii="Book Antiqua" w:hAnsi="Book Antiqua" w:cs="Arial"/>
          <w:sz w:val="24"/>
          <w:szCs w:val="24"/>
        </w:rPr>
        <w:t xml:space="preserve"> studies </w:t>
      </w:r>
      <w:r w:rsidR="00984258" w:rsidRPr="005E456A">
        <w:rPr>
          <w:rFonts w:ascii="Book Antiqua" w:hAnsi="Book Antiqua" w:cs="Arial"/>
          <w:sz w:val="24"/>
          <w:szCs w:val="24"/>
        </w:rPr>
        <w:t>with</w:t>
      </w:r>
      <w:r w:rsidR="002F43CC" w:rsidRPr="005E456A">
        <w:rPr>
          <w:rFonts w:ascii="Book Antiqua" w:hAnsi="Book Antiqua" w:cs="Arial"/>
          <w:sz w:val="24"/>
          <w:szCs w:val="24"/>
        </w:rPr>
        <w:t xml:space="preserve"> small </w:t>
      </w:r>
      <w:r w:rsidR="00984258" w:rsidRPr="005E456A">
        <w:rPr>
          <w:rFonts w:ascii="Book Antiqua" w:hAnsi="Book Antiqua" w:cs="Arial"/>
          <w:sz w:val="24"/>
          <w:szCs w:val="24"/>
        </w:rPr>
        <w:t>sample</w:t>
      </w:r>
      <w:r w:rsidR="002F43CC" w:rsidRPr="005E456A">
        <w:rPr>
          <w:rFonts w:ascii="Book Antiqua" w:hAnsi="Book Antiqua" w:cs="Arial"/>
          <w:sz w:val="24"/>
          <w:szCs w:val="24"/>
        </w:rPr>
        <w:t>. Since the technology requires a new set of equipment, further exte</w:t>
      </w:r>
      <w:r w:rsidR="00F97ADB" w:rsidRPr="005E456A">
        <w:rPr>
          <w:rFonts w:ascii="Book Antiqua" w:hAnsi="Book Antiqua" w:cs="Arial"/>
          <w:sz w:val="24"/>
          <w:szCs w:val="24"/>
        </w:rPr>
        <w:t>rnal and large-scale validation will be required before its widespread use.</w:t>
      </w:r>
    </w:p>
    <w:p w14:paraId="49B8745E" w14:textId="77777777" w:rsidR="005B7A36" w:rsidRPr="005E456A" w:rsidRDefault="005B7A36" w:rsidP="005E456A">
      <w:pPr>
        <w:spacing w:after="0" w:line="360" w:lineRule="auto"/>
        <w:jc w:val="both"/>
        <w:rPr>
          <w:rFonts w:ascii="Book Antiqua" w:hAnsi="Book Antiqua" w:cs="Arial"/>
          <w:b/>
          <w:sz w:val="24"/>
          <w:szCs w:val="24"/>
        </w:rPr>
      </w:pPr>
    </w:p>
    <w:p w14:paraId="02A0A80F" w14:textId="77777777" w:rsidR="00D82B71" w:rsidRPr="005E456A" w:rsidRDefault="001C4E2B" w:rsidP="005E456A">
      <w:pPr>
        <w:spacing w:after="0" w:line="360" w:lineRule="auto"/>
        <w:jc w:val="both"/>
        <w:rPr>
          <w:rFonts w:ascii="Book Antiqua" w:hAnsi="Book Antiqua" w:cs="Arial"/>
          <w:b/>
          <w:i/>
          <w:sz w:val="24"/>
          <w:szCs w:val="24"/>
        </w:rPr>
      </w:pPr>
      <w:r w:rsidRPr="005E456A">
        <w:rPr>
          <w:rFonts w:ascii="Book Antiqua" w:hAnsi="Book Antiqua" w:cs="Arial"/>
          <w:b/>
          <w:i/>
          <w:sz w:val="24"/>
          <w:szCs w:val="24"/>
        </w:rPr>
        <w:t xml:space="preserve">Use of </w:t>
      </w:r>
      <w:r w:rsidR="00D82B71" w:rsidRPr="005E456A">
        <w:rPr>
          <w:rFonts w:ascii="Book Antiqua" w:hAnsi="Book Antiqua" w:cs="Arial"/>
          <w:b/>
          <w:i/>
          <w:sz w:val="24"/>
          <w:szCs w:val="24"/>
        </w:rPr>
        <w:t>FICE for other gastric pathologies</w:t>
      </w:r>
    </w:p>
    <w:p w14:paraId="2C4E80EB" w14:textId="27901679" w:rsidR="00D82B71" w:rsidRPr="005E456A" w:rsidRDefault="00D82B71" w:rsidP="00992B3C">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t>In one study, FICE was studied for di</w:t>
      </w:r>
      <w:r w:rsidR="00196B7F" w:rsidRPr="005E456A">
        <w:rPr>
          <w:rFonts w:ascii="Book Antiqua" w:hAnsi="Book Antiqua" w:cs="Arial"/>
          <w:sz w:val="24"/>
          <w:szCs w:val="24"/>
        </w:rPr>
        <w:t>fferentiation</w:t>
      </w:r>
      <w:r w:rsidRPr="005E456A">
        <w:rPr>
          <w:rFonts w:ascii="Book Antiqua" w:hAnsi="Book Antiqua" w:cs="Arial"/>
          <w:sz w:val="24"/>
          <w:szCs w:val="24"/>
        </w:rPr>
        <w:t xml:space="preserve"> of non-neoplastic lesions, adenomas and cancers in the stomach</w:t>
      </w:r>
      <w:r w:rsidR="00FB62DA" w:rsidRPr="005E456A">
        <w:rPr>
          <w:rFonts w:ascii="Book Antiqua" w:hAnsi="Book Antiqua" w:cs="Arial"/>
          <w:sz w:val="24"/>
          <w:szCs w:val="24"/>
          <w:vertAlign w:val="superscript"/>
        </w:rPr>
        <w:t>[70</w:t>
      </w:r>
      <w:r w:rsidR="00F97ADB" w:rsidRPr="005E456A">
        <w:rPr>
          <w:rFonts w:ascii="Book Antiqua" w:hAnsi="Book Antiqua" w:cs="Arial"/>
          <w:sz w:val="24"/>
          <w:szCs w:val="24"/>
          <w:vertAlign w:val="superscript"/>
        </w:rPr>
        <w:t>]</w:t>
      </w:r>
      <w:r w:rsidRPr="005E456A">
        <w:rPr>
          <w:rFonts w:ascii="Book Antiqua" w:hAnsi="Book Antiqua" w:cs="Arial"/>
          <w:sz w:val="24"/>
          <w:szCs w:val="24"/>
        </w:rPr>
        <w:t xml:space="preserve">. A total of 171 gastric lesions were examined and FICE </w:t>
      </w:r>
      <w:r w:rsidR="00196B7F" w:rsidRPr="005E456A">
        <w:rPr>
          <w:rFonts w:ascii="Book Antiqua" w:hAnsi="Book Antiqua" w:cs="Arial"/>
          <w:sz w:val="24"/>
          <w:szCs w:val="24"/>
        </w:rPr>
        <w:t>performed better than</w:t>
      </w:r>
      <w:r w:rsidRPr="005E456A">
        <w:rPr>
          <w:rFonts w:ascii="Book Antiqua" w:hAnsi="Book Antiqua" w:cs="Arial"/>
          <w:sz w:val="24"/>
          <w:szCs w:val="24"/>
        </w:rPr>
        <w:t xml:space="preserve"> magnifying-</w:t>
      </w:r>
      <w:r w:rsidR="00F97ADB" w:rsidRPr="005E456A">
        <w:rPr>
          <w:rFonts w:ascii="Book Antiqua" w:hAnsi="Book Antiqua" w:cs="Arial"/>
          <w:sz w:val="24"/>
          <w:szCs w:val="24"/>
        </w:rPr>
        <w:t>WLE</w:t>
      </w:r>
      <w:r w:rsidRPr="005E456A">
        <w:rPr>
          <w:rFonts w:ascii="Book Antiqua" w:hAnsi="Book Antiqua" w:cs="Arial"/>
          <w:sz w:val="24"/>
          <w:szCs w:val="24"/>
        </w:rPr>
        <w:t xml:space="preserve">. Another study examined the role of FICE for diagnosis of </w:t>
      </w:r>
      <w:r w:rsidR="00CB44B0" w:rsidRPr="005E456A">
        <w:rPr>
          <w:rFonts w:ascii="Book Antiqua" w:hAnsi="Book Antiqua" w:cs="Arial"/>
          <w:sz w:val="24"/>
          <w:szCs w:val="24"/>
        </w:rPr>
        <w:t>gastric intestinal metaplasia</w:t>
      </w:r>
      <w:r w:rsidR="00FB62DA" w:rsidRPr="005E456A">
        <w:rPr>
          <w:rFonts w:ascii="Book Antiqua" w:hAnsi="Book Antiqua" w:cs="Arial"/>
          <w:sz w:val="24"/>
          <w:szCs w:val="24"/>
          <w:vertAlign w:val="superscript"/>
        </w:rPr>
        <w:t>[71</w:t>
      </w:r>
      <w:r w:rsidR="00CB44B0" w:rsidRPr="005E456A">
        <w:rPr>
          <w:rFonts w:ascii="Book Antiqua" w:hAnsi="Book Antiqua" w:cs="Arial"/>
          <w:sz w:val="24"/>
          <w:szCs w:val="24"/>
          <w:vertAlign w:val="superscript"/>
        </w:rPr>
        <w:t>]</w:t>
      </w:r>
      <w:r w:rsidRPr="005E456A">
        <w:rPr>
          <w:rFonts w:ascii="Book Antiqua" w:hAnsi="Book Antiqua" w:cs="Arial"/>
          <w:sz w:val="24"/>
          <w:szCs w:val="24"/>
        </w:rPr>
        <w:t>. FICE had sensitivity and specificity of IM diagnosis of 60% and 87% based on histological confirmation. Although this study might have diagnosed IM</w:t>
      </w:r>
      <w:r w:rsidR="00196B7F" w:rsidRPr="005E456A">
        <w:rPr>
          <w:rFonts w:ascii="Book Antiqua" w:hAnsi="Book Antiqua" w:cs="Arial"/>
          <w:sz w:val="24"/>
          <w:szCs w:val="24"/>
        </w:rPr>
        <w:t xml:space="preserve"> based on LBC</w:t>
      </w:r>
      <w:r w:rsidRPr="005E456A">
        <w:rPr>
          <w:rFonts w:ascii="Book Antiqua" w:hAnsi="Book Antiqua" w:cs="Arial"/>
          <w:sz w:val="24"/>
          <w:szCs w:val="24"/>
        </w:rPr>
        <w:t>, there is still no consensus on diagnostic criteria for IM on FICE.</w:t>
      </w:r>
    </w:p>
    <w:p w14:paraId="0E740D55" w14:textId="77777777" w:rsidR="005B7A36" w:rsidRPr="005E456A" w:rsidRDefault="005B7A36" w:rsidP="005E456A">
      <w:pPr>
        <w:spacing w:after="0" w:line="360" w:lineRule="auto"/>
        <w:jc w:val="both"/>
        <w:rPr>
          <w:rFonts w:ascii="Book Antiqua" w:hAnsi="Book Antiqua" w:cs="Arial"/>
          <w:b/>
          <w:sz w:val="24"/>
          <w:szCs w:val="24"/>
        </w:rPr>
      </w:pPr>
    </w:p>
    <w:p w14:paraId="5AB48D2A" w14:textId="02FAF47B" w:rsidR="00D82B71" w:rsidRPr="005E456A" w:rsidRDefault="00196B7F" w:rsidP="005E456A">
      <w:pPr>
        <w:spacing w:after="0" w:line="360" w:lineRule="auto"/>
        <w:jc w:val="both"/>
        <w:rPr>
          <w:rFonts w:ascii="Book Antiqua" w:hAnsi="Book Antiqua" w:cs="Arial"/>
          <w:b/>
          <w:i/>
          <w:sz w:val="24"/>
          <w:szCs w:val="24"/>
        </w:rPr>
      </w:pPr>
      <w:r w:rsidRPr="005E456A">
        <w:rPr>
          <w:rFonts w:ascii="Book Antiqua" w:hAnsi="Book Antiqua" w:cs="Arial"/>
          <w:b/>
          <w:i/>
          <w:sz w:val="24"/>
          <w:szCs w:val="24"/>
        </w:rPr>
        <w:t>Small-caliber g</w:t>
      </w:r>
      <w:r w:rsidR="00D82B71" w:rsidRPr="005E456A">
        <w:rPr>
          <w:rFonts w:ascii="Book Antiqua" w:hAnsi="Book Antiqua" w:cs="Arial"/>
          <w:b/>
          <w:i/>
          <w:sz w:val="24"/>
          <w:szCs w:val="24"/>
        </w:rPr>
        <w:t>astroscope with FICE</w:t>
      </w:r>
    </w:p>
    <w:p w14:paraId="7F3F182C" w14:textId="7E51A819" w:rsidR="00D82B71" w:rsidRPr="005E456A" w:rsidRDefault="00D82B71" w:rsidP="00992B3C">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t>Small-caliber endoscope has lower resolution but is more comfortable for the patients, especially if used as a screening tool for gastric pathologies. Theoretically, FICE combined with small-caliber gastroscope can enhance the color contrast of gastric pathologies. To date, there are two studies, from Japan, which have evaluated this hypothesis. Tanioka</w:t>
      </w:r>
      <w:r w:rsidR="00992B3C">
        <w:rPr>
          <w:rFonts w:ascii="Book Antiqua" w:hAnsi="Book Antiqua" w:cs="Arial" w:hint="eastAsia"/>
          <w:sz w:val="24"/>
          <w:szCs w:val="24"/>
        </w:rPr>
        <w:t xml:space="preserve"> </w:t>
      </w:r>
      <w:r w:rsidRPr="00992B3C">
        <w:rPr>
          <w:rFonts w:ascii="Book Antiqua" w:hAnsi="Book Antiqua" w:cs="Arial"/>
          <w:i/>
          <w:sz w:val="24"/>
          <w:szCs w:val="24"/>
        </w:rPr>
        <w:t>et al</w:t>
      </w:r>
      <w:r w:rsidR="00992B3C" w:rsidRPr="005E456A">
        <w:rPr>
          <w:rFonts w:ascii="Book Antiqua" w:hAnsi="Book Antiqua" w:cs="Arial"/>
          <w:sz w:val="24"/>
          <w:szCs w:val="24"/>
          <w:vertAlign w:val="superscript"/>
        </w:rPr>
        <w:t>[72]</w:t>
      </w:r>
      <w:r w:rsidRPr="005E456A">
        <w:rPr>
          <w:rFonts w:ascii="Book Antiqua" w:hAnsi="Book Antiqua" w:cs="Arial"/>
          <w:sz w:val="24"/>
          <w:szCs w:val="24"/>
        </w:rPr>
        <w:t xml:space="preserve"> retrospectively examined 50 gastric lesions which were previously identified on screening endoscopy with Ultraslim endoscope (Fujinon EG-530N2). After conversion into FICE images, superior visibility was seen in 54.7% upper </w:t>
      </w:r>
      <w:r w:rsidR="00204CAE" w:rsidRPr="005E456A">
        <w:rPr>
          <w:rFonts w:ascii="Book Antiqua" w:hAnsi="Book Antiqua" w:cs="Arial"/>
          <w:sz w:val="24"/>
          <w:szCs w:val="24"/>
        </w:rPr>
        <w:t xml:space="preserve">GI </w:t>
      </w:r>
      <w:r w:rsidRPr="005E456A">
        <w:rPr>
          <w:rFonts w:ascii="Book Antiqua" w:hAnsi="Book Antiqua" w:cs="Arial"/>
          <w:sz w:val="24"/>
          <w:szCs w:val="24"/>
        </w:rPr>
        <w:t xml:space="preserve">lesions as compared to conventional images. In another study by </w:t>
      </w:r>
      <w:r w:rsidR="00572845" w:rsidRPr="005E456A">
        <w:rPr>
          <w:rFonts w:ascii="Book Antiqua" w:hAnsi="Book Antiqua" w:cs="Arial"/>
          <w:sz w:val="24"/>
          <w:szCs w:val="24"/>
        </w:rPr>
        <w:t xml:space="preserve">Osawa </w:t>
      </w:r>
      <w:r w:rsidR="00572845" w:rsidRPr="00E61C74">
        <w:rPr>
          <w:rFonts w:ascii="Book Antiqua" w:hAnsi="Book Antiqua" w:cs="Arial"/>
          <w:i/>
          <w:sz w:val="24"/>
          <w:szCs w:val="24"/>
        </w:rPr>
        <w:t>et al</w:t>
      </w:r>
      <w:r w:rsidR="00E61C74" w:rsidRPr="005E456A">
        <w:rPr>
          <w:rFonts w:ascii="Book Antiqua" w:hAnsi="Book Antiqua" w:cs="Arial"/>
          <w:sz w:val="24"/>
          <w:szCs w:val="24"/>
          <w:vertAlign w:val="superscript"/>
        </w:rPr>
        <w:t>[73]</w:t>
      </w:r>
      <w:r w:rsidR="00196B7F" w:rsidRPr="005E456A">
        <w:rPr>
          <w:rFonts w:ascii="Book Antiqua" w:hAnsi="Book Antiqua" w:cs="Arial"/>
          <w:sz w:val="24"/>
          <w:szCs w:val="24"/>
        </w:rPr>
        <w:t xml:space="preserve"> 82 depressed-type EGC</w:t>
      </w:r>
      <w:r w:rsidRPr="005E456A">
        <w:rPr>
          <w:rFonts w:ascii="Book Antiqua" w:hAnsi="Book Antiqua" w:cs="Arial"/>
          <w:sz w:val="24"/>
          <w:szCs w:val="24"/>
        </w:rPr>
        <w:t xml:space="preserve"> (which were already diagnosed with conventional normal-caliber endoscopy) were examined with small-caliber (Fujinon EG-530N2) endoscopy and FICE by endoscopists who were blinded of the locations of the lesions</w:t>
      </w:r>
      <w:r w:rsidR="00572845" w:rsidRPr="005E456A">
        <w:rPr>
          <w:rFonts w:ascii="Book Antiqua" w:hAnsi="Book Antiqua" w:cs="Arial"/>
          <w:sz w:val="24"/>
          <w:szCs w:val="24"/>
        </w:rPr>
        <w:t>.</w:t>
      </w:r>
      <w:r w:rsidR="00196B7F" w:rsidRPr="005E456A">
        <w:rPr>
          <w:rFonts w:ascii="Book Antiqua" w:hAnsi="Book Antiqua" w:cs="Arial"/>
          <w:sz w:val="24"/>
          <w:szCs w:val="24"/>
        </w:rPr>
        <w:t xml:space="preserve"> Most EGC </w:t>
      </w:r>
      <w:r w:rsidRPr="005E456A">
        <w:rPr>
          <w:rFonts w:ascii="Book Antiqua" w:hAnsi="Book Antiqua" w:cs="Arial"/>
          <w:sz w:val="24"/>
          <w:szCs w:val="24"/>
        </w:rPr>
        <w:t xml:space="preserve">could be detected as reddish lesions on FICE with clear demarcation. </w:t>
      </w:r>
    </w:p>
    <w:p w14:paraId="480AA1C4" w14:textId="77777777" w:rsidR="005B7A36" w:rsidRPr="005E456A" w:rsidRDefault="005B7A36" w:rsidP="005E456A">
      <w:pPr>
        <w:spacing w:after="0" w:line="360" w:lineRule="auto"/>
        <w:jc w:val="both"/>
        <w:rPr>
          <w:rFonts w:ascii="Book Antiqua" w:hAnsi="Book Antiqua" w:cs="Arial"/>
          <w:b/>
          <w:sz w:val="24"/>
          <w:szCs w:val="24"/>
        </w:rPr>
      </w:pPr>
    </w:p>
    <w:p w14:paraId="328F56B5" w14:textId="77777777" w:rsidR="00D82B71" w:rsidRPr="005E456A" w:rsidRDefault="00D82B71" w:rsidP="005E456A">
      <w:pPr>
        <w:spacing w:after="0" w:line="360" w:lineRule="auto"/>
        <w:jc w:val="both"/>
        <w:rPr>
          <w:rFonts w:ascii="Book Antiqua" w:hAnsi="Book Antiqua" w:cs="Arial"/>
          <w:b/>
          <w:i/>
          <w:sz w:val="24"/>
          <w:szCs w:val="24"/>
        </w:rPr>
      </w:pPr>
      <w:r w:rsidRPr="005E456A">
        <w:rPr>
          <w:rFonts w:ascii="Book Antiqua" w:hAnsi="Book Antiqua" w:cs="Arial"/>
          <w:b/>
          <w:i/>
          <w:sz w:val="24"/>
          <w:szCs w:val="24"/>
        </w:rPr>
        <w:t>FICE combined with indigo carmine in stomach</w:t>
      </w:r>
    </w:p>
    <w:p w14:paraId="5F1C00C7" w14:textId="5DBAED48" w:rsidR="00FB62DA" w:rsidRPr="005E456A" w:rsidRDefault="00D82B71" w:rsidP="009A184B">
      <w:pPr>
        <w:pStyle w:val="ListParagraph"/>
        <w:spacing w:after="0" w:line="360" w:lineRule="auto"/>
        <w:ind w:left="0"/>
        <w:jc w:val="both"/>
        <w:rPr>
          <w:rFonts w:ascii="Book Antiqua" w:hAnsi="Book Antiqua" w:cs="Arial"/>
          <w:sz w:val="24"/>
          <w:szCs w:val="24"/>
        </w:rPr>
      </w:pPr>
      <w:r w:rsidRPr="005E456A">
        <w:rPr>
          <w:rFonts w:ascii="Book Antiqua" w:hAnsi="Book Antiqua" w:cs="Arial"/>
          <w:sz w:val="24"/>
          <w:szCs w:val="24"/>
        </w:rPr>
        <w:t>A single study from Japan has evaluated the usefulness of adding indigo-carmine to FICE examination (I-FICE)</w:t>
      </w:r>
      <w:r w:rsidR="00572845" w:rsidRPr="005E456A">
        <w:rPr>
          <w:rFonts w:ascii="Book Antiqua" w:hAnsi="Book Antiqua" w:cs="Arial"/>
          <w:sz w:val="24"/>
          <w:szCs w:val="24"/>
          <w:vertAlign w:val="superscript"/>
        </w:rPr>
        <w:t>[7</w:t>
      </w:r>
      <w:r w:rsidR="00FB62DA" w:rsidRPr="005E456A">
        <w:rPr>
          <w:rFonts w:ascii="Book Antiqua" w:hAnsi="Book Antiqua" w:cs="Arial"/>
          <w:sz w:val="24"/>
          <w:szCs w:val="24"/>
          <w:vertAlign w:val="superscript"/>
        </w:rPr>
        <w:t>4</w:t>
      </w:r>
      <w:r w:rsidR="00572845" w:rsidRPr="005E456A">
        <w:rPr>
          <w:rFonts w:ascii="Book Antiqua" w:hAnsi="Book Antiqua" w:cs="Arial"/>
          <w:sz w:val="24"/>
          <w:szCs w:val="24"/>
          <w:vertAlign w:val="superscript"/>
        </w:rPr>
        <w:t>]</w:t>
      </w:r>
      <w:r w:rsidRPr="005E456A">
        <w:rPr>
          <w:rFonts w:ascii="Book Antiqua" w:hAnsi="Book Antiqua" w:cs="Arial"/>
          <w:sz w:val="24"/>
          <w:szCs w:val="24"/>
        </w:rPr>
        <w:t>. In a s</w:t>
      </w:r>
      <w:r w:rsidR="00E82215" w:rsidRPr="005E456A">
        <w:rPr>
          <w:rFonts w:ascii="Book Antiqua" w:hAnsi="Book Antiqua" w:cs="Arial"/>
          <w:sz w:val="24"/>
          <w:szCs w:val="24"/>
        </w:rPr>
        <w:t>mall s</w:t>
      </w:r>
      <w:r w:rsidRPr="005E456A">
        <w:rPr>
          <w:rFonts w:ascii="Book Antiqua" w:hAnsi="Book Antiqua" w:cs="Arial"/>
          <w:sz w:val="24"/>
          <w:szCs w:val="24"/>
        </w:rPr>
        <w:t xml:space="preserve">ample of 29 well-differentiated </w:t>
      </w:r>
      <w:r w:rsidR="00984258" w:rsidRPr="005E456A">
        <w:rPr>
          <w:rFonts w:ascii="Book Antiqua" w:hAnsi="Book Antiqua" w:cs="Arial"/>
          <w:sz w:val="24"/>
          <w:szCs w:val="24"/>
        </w:rPr>
        <w:t>EGC</w:t>
      </w:r>
      <w:r w:rsidRPr="005E456A">
        <w:rPr>
          <w:rFonts w:ascii="Book Antiqua" w:hAnsi="Book Antiqua" w:cs="Arial"/>
          <w:sz w:val="24"/>
          <w:szCs w:val="24"/>
        </w:rPr>
        <w:t>, I-FICE was superior for demarcation of the lesion when compared to WLE, FICE and indigo-carmine chromoendoscopy.</w:t>
      </w:r>
    </w:p>
    <w:p w14:paraId="5056BE0A" w14:textId="77777777" w:rsidR="00FB62DA" w:rsidRPr="005E456A" w:rsidRDefault="00FB62DA" w:rsidP="005E456A">
      <w:pPr>
        <w:pStyle w:val="ListParagraph"/>
        <w:spacing w:after="0" w:line="360" w:lineRule="auto"/>
        <w:ind w:left="1080"/>
        <w:jc w:val="both"/>
        <w:rPr>
          <w:rFonts w:ascii="Book Antiqua" w:hAnsi="Book Antiqua" w:cs="Arial"/>
          <w:sz w:val="24"/>
          <w:szCs w:val="24"/>
        </w:rPr>
      </w:pPr>
    </w:p>
    <w:p w14:paraId="75D9E764" w14:textId="77777777" w:rsidR="00D82B71" w:rsidRPr="005E456A" w:rsidRDefault="006C3D37" w:rsidP="005E456A">
      <w:pPr>
        <w:pStyle w:val="ListParagraph"/>
        <w:spacing w:after="0" w:line="360" w:lineRule="auto"/>
        <w:ind w:left="0"/>
        <w:jc w:val="both"/>
        <w:rPr>
          <w:rFonts w:ascii="Book Antiqua" w:hAnsi="Book Antiqua" w:cs="Arial"/>
          <w:b/>
          <w:sz w:val="24"/>
          <w:szCs w:val="24"/>
        </w:rPr>
      </w:pPr>
      <w:r w:rsidRPr="005E456A">
        <w:rPr>
          <w:rFonts w:ascii="Book Antiqua" w:hAnsi="Book Antiqua" w:cs="Arial"/>
          <w:b/>
          <w:sz w:val="24"/>
          <w:szCs w:val="24"/>
        </w:rPr>
        <w:t>I-SCAN</w:t>
      </w:r>
    </w:p>
    <w:p w14:paraId="5AC2B042" w14:textId="672DCE60" w:rsidR="00D82B71" w:rsidRPr="005E456A" w:rsidRDefault="00D82B71" w:rsidP="009A184B">
      <w:pPr>
        <w:spacing w:after="0" w:line="360" w:lineRule="auto"/>
        <w:jc w:val="both"/>
        <w:rPr>
          <w:rFonts w:ascii="Book Antiqua" w:hAnsi="Book Antiqua" w:cs="Arial"/>
          <w:sz w:val="24"/>
          <w:szCs w:val="24"/>
        </w:rPr>
      </w:pPr>
      <w:r w:rsidRPr="005E456A">
        <w:rPr>
          <w:rFonts w:ascii="Book Antiqua" w:hAnsi="Book Antiqua" w:cs="Arial"/>
          <w:sz w:val="24"/>
          <w:szCs w:val="24"/>
        </w:rPr>
        <w:t>Conceptually similar to FICE, I</w:t>
      </w:r>
      <w:r w:rsidR="00FB567D" w:rsidRPr="005E456A">
        <w:rPr>
          <w:rFonts w:ascii="Book Antiqua" w:hAnsi="Book Antiqua" w:cs="Arial"/>
          <w:sz w:val="24"/>
          <w:szCs w:val="24"/>
        </w:rPr>
        <w:t>-</w:t>
      </w:r>
      <w:r w:rsidRPr="005E456A">
        <w:rPr>
          <w:rFonts w:ascii="Book Antiqua" w:hAnsi="Book Antiqua" w:cs="Arial"/>
          <w:sz w:val="24"/>
          <w:szCs w:val="24"/>
        </w:rPr>
        <w:t>SCAN is</w:t>
      </w:r>
      <w:r w:rsidR="0022161D" w:rsidRPr="005E456A">
        <w:rPr>
          <w:rFonts w:ascii="Book Antiqua" w:hAnsi="Book Antiqua" w:cs="Arial"/>
          <w:sz w:val="24"/>
          <w:szCs w:val="24"/>
        </w:rPr>
        <w:t xml:space="preserve"> a </w:t>
      </w:r>
      <w:r w:rsidRPr="005E456A">
        <w:rPr>
          <w:rFonts w:ascii="Book Antiqua" w:hAnsi="Book Antiqua" w:cs="Arial"/>
          <w:sz w:val="24"/>
          <w:szCs w:val="24"/>
        </w:rPr>
        <w:t>post-processing image-enhancement technology introduced by Pentax Corporation (Tokyo, Japan) in year 2007, allowing detailed views of mucosal vascular patterns</w:t>
      </w:r>
      <w:r w:rsidR="004779F9" w:rsidRPr="005E456A">
        <w:rPr>
          <w:rFonts w:ascii="Book Antiqua" w:hAnsi="Book Antiqua" w:cs="Arial"/>
          <w:sz w:val="24"/>
          <w:szCs w:val="24"/>
          <w:vertAlign w:val="superscript"/>
        </w:rPr>
        <w:t>[7</w:t>
      </w:r>
      <w:r w:rsidR="00FB62DA" w:rsidRPr="005E456A">
        <w:rPr>
          <w:rFonts w:ascii="Book Antiqua" w:hAnsi="Book Antiqua" w:cs="Arial"/>
          <w:sz w:val="24"/>
          <w:szCs w:val="24"/>
          <w:vertAlign w:val="superscript"/>
        </w:rPr>
        <w:t>5</w:t>
      </w:r>
      <w:r w:rsidR="004779F9" w:rsidRPr="005E456A">
        <w:rPr>
          <w:rFonts w:ascii="Book Antiqua" w:hAnsi="Book Antiqua" w:cs="Arial"/>
          <w:sz w:val="24"/>
          <w:szCs w:val="24"/>
          <w:vertAlign w:val="superscript"/>
        </w:rPr>
        <w:t>]</w:t>
      </w:r>
      <w:r w:rsidRPr="005E456A">
        <w:rPr>
          <w:rFonts w:ascii="Book Antiqua" w:hAnsi="Book Antiqua" w:cs="Arial"/>
          <w:sz w:val="24"/>
          <w:szCs w:val="24"/>
        </w:rPr>
        <w:t>. Special processors (EPKi high-definition, Pentax) are required for I-SCAN. The white-light images are processed arithmetically into three types of enhancements: surface enhancement (SE), contrast enhancement (CE), and tone enhancement (TE). The SE and CE are suggested useful for screening of early GI lesions, while TE is proposed for further characterization of identified lesions. The modes can be switched back and forth by pressing a button on the endoscope, and two modes can be displayed simultaneously. A small number of studies have explored this technique for colonic and esophageal pathologies, where equivocal benefits have been seen. Till date, there is only one study of I</w:t>
      </w:r>
      <w:r w:rsidR="004779F9" w:rsidRPr="005E456A">
        <w:rPr>
          <w:rFonts w:ascii="Book Antiqua" w:hAnsi="Book Antiqua" w:cs="Arial"/>
          <w:sz w:val="24"/>
          <w:szCs w:val="24"/>
        </w:rPr>
        <w:t>-</w:t>
      </w:r>
      <w:r w:rsidRPr="005E456A">
        <w:rPr>
          <w:rFonts w:ascii="Book Antiqua" w:hAnsi="Book Antiqua" w:cs="Arial"/>
          <w:sz w:val="24"/>
          <w:szCs w:val="24"/>
        </w:rPr>
        <w:t>SCAN’s use in stomach. Using magnified</w:t>
      </w:r>
      <w:r w:rsidR="004779F9" w:rsidRPr="005E456A">
        <w:rPr>
          <w:rFonts w:ascii="Book Antiqua" w:hAnsi="Book Antiqua" w:cs="Arial"/>
          <w:sz w:val="24"/>
          <w:szCs w:val="24"/>
        </w:rPr>
        <w:t xml:space="preserve"> </w:t>
      </w:r>
      <w:r w:rsidRPr="005E456A">
        <w:rPr>
          <w:rFonts w:ascii="Book Antiqua" w:hAnsi="Book Antiqua" w:cs="Arial"/>
          <w:sz w:val="24"/>
          <w:szCs w:val="24"/>
        </w:rPr>
        <w:t>I</w:t>
      </w:r>
      <w:r w:rsidR="004779F9" w:rsidRPr="005E456A">
        <w:rPr>
          <w:rFonts w:ascii="Book Antiqua" w:hAnsi="Book Antiqua" w:cs="Arial"/>
          <w:sz w:val="24"/>
          <w:szCs w:val="24"/>
        </w:rPr>
        <w:t>-</w:t>
      </w:r>
      <w:r w:rsidRPr="005E456A">
        <w:rPr>
          <w:rFonts w:ascii="Book Antiqua" w:hAnsi="Book Antiqua" w:cs="Arial"/>
          <w:sz w:val="24"/>
          <w:szCs w:val="24"/>
        </w:rPr>
        <w:t xml:space="preserve">SCAN in a small sample of 43 patients, Chang-Qing Li </w:t>
      </w:r>
      <w:r w:rsidRPr="009A184B">
        <w:rPr>
          <w:rFonts w:ascii="Book Antiqua" w:hAnsi="Book Antiqua" w:cs="Arial"/>
          <w:i/>
          <w:sz w:val="24"/>
          <w:szCs w:val="24"/>
        </w:rPr>
        <w:t>et al</w:t>
      </w:r>
      <w:r w:rsidR="009A184B" w:rsidRPr="005E456A">
        <w:rPr>
          <w:rFonts w:ascii="Book Antiqua" w:hAnsi="Book Antiqua" w:cs="Arial"/>
          <w:sz w:val="24"/>
          <w:szCs w:val="24"/>
          <w:vertAlign w:val="superscript"/>
        </w:rPr>
        <w:t>[76]</w:t>
      </w:r>
      <w:r w:rsidRPr="005E456A">
        <w:rPr>
          <w:rFonts w:ascii="Book Antiqua" w:hAnsi="Book Antiqua" w:cs="Arial"/>
          <w:sz w:val="24"/>
          <w:szCs w:val="24"/>
        </w:rPr>
        <w:t xml:space="preserve"> </w:t>
      </w:r>
      <w:r w:rsidR="009B39E6" w:rsidRPr="005E456A">
        <w:rPr>
          <w:rFonts w:ascii="Book Antiqua" w:hAnsi="Book Antiqua" w:cs="Arial"/>
          <w:sz w:val="24"/>
          <w:szCs w:val="24"/>
        </w:rPr>
        <w:t>performed a feasibility trial</w:t>
      </w:r>
      <w:r w:rsidR="0022161D" w:rsidRPr="005E456A">
        <w:rPr>
          <w:rFonts w:ascii="Book Antiqua" w:hAnsi="Book Antiqua" w:cs="Arial"/>
          <w:sz w:val="24"/>
          <w:szCs w:val="24"/>
        </w:rPr>
        <w:t>.</w:t>
      </w:r>
      <w:r w:rsidR="009B39E6" w:rsidRPr="005E456A">
        <w:rPr>
          <w:rFonts w:ascii="Book Antiqua" w:hAnsi="Book Antiqua" w:cs="Arial"/>
          <w:sz w:val="24"/>
          <w:szCs w:val="24"/>
        </w:rPr>
        <w:t xml:space="preserve"> Magnified I-SCAN was </w:t>
      </w:r>
      <w:r w:rsidRPr="005E456A">
        <w:rPr>
          <w:rFonts w:ascii="Book Antiqua" w:hAnsi="Book Antiqua" w:cs="Arial"/>
          <w:sz w:val="24"/>
          <w:szCs w:val="24"/>
        </w:rPr>
        <w:t xml:space="preserve">attempted to characterize a heterogeneous variety of small superficial gastric lesions. With histology as gold-standard, the specificity of real-time </w:t>
      </w:r>
      <w:r w:rsidR="004779F9" w:rsidRPr="005E456A">
        <w:rPr>
          <w:rFonts w:ascii="Book Antiqua" w:hAnsi="Book Antiqua" w:cs="Arial"/>
          <w:sz w:val="24"/>
          <w:szCs w:val="24"/>
        </w:rPr>
        <w:t xml:space="preserve">magnified </w:t>
      </w:r>
      <w:r w:rsidRPr="005E456A">
        <w:rPr>
          <w:rFonts w:ascii="Book Antiqua" w:hAnsi="Book Antiqua" w:cs="Arial"/>
          <w:sz w:val="24"/>
          <w:szCs w:val="24"/>
        </w:rPr>
        <w:t>I</w:t>
      </w:r>
      <w:r w:rsidR="004779F9" w:rsidRPr="005E456A">
        <w:rPr>
          <w:rFonts w:ascii="Book Antiqua" w:hAnsi="Book Antiqua" w:cs="Arial"/>
          <w:sz w:val="24"/>
          <w:szCs w:val="24"/>
        </w:rPr>
        <w:t>-</w:t>
      </w:r>
      <w:r w:rsidRPr="005E456A">
        <w:rPr>
          <w:rFonts w:ascii="Book Antiqua" w:hAnsi="Book Antiqua" w:cs="Arial"/>
          <w:sz w:val="24"/>
          <w:szCs w:val="24"/>
        </w:rPr>
        <w:t>SCAN was only 77% for neoplastic lesions. Therefore at present, the data for gastric use of I-SCAN is almost non-exist</w:t>
      </w:r>
      <w:r w:rsidR="005B303E" w:rsidRPr="005E456A">
        <w:rPr>
          <w:rFonts w:ascii="Book Antiqua" w:hAnsi="Book Antiqua" w:cs="Arial"/>
          <w:sz w:val="24"/>
          <w:szCs w:val="24"/>
        </w:rPr>
        <w:t xml:space="preserve">ent </w:t>
      </w:r>
      <w:r w:rsidRPr="005E456A">
        <w:rPr>
          <w:rFonts w:ascii="Book Antiqua" w:hAnsi="Book Antiqua" w:cs="Arial"/>
          <w:sz w:val="24"/>
          <w:szCs w:val="24"/>
        </w:rPr>
        <w:t xml:space="preserve">and further work will be </w:t>
      </w:r>
      <w:r w:rsidR="004779F9" w:rsidRPr="005E456A">
        <w:rPr>
          <w:rFonts w:ascii="Book Antiqua" w:hAnsi="Book Antiqua" w:cs="Arial"/>
          <w:sz w:val="24"/>
          <w:szCs w:val="24"/>
        </w:rPr>
        <w:t>required before routine use in stomach</w:t>
      </w:r>
      <w:r w:rsidRPr="005E456A">
        <w:rPr>
          <w:rFonts w:ascii="Book Antiqua" w:hAnsi="Book Antiqua" w:cs="Arial"/>
          <w:sz w:val="24"/>
          <w:szCs w:val="24"/>
        </w:rPr>
        <w:t>.</w:t>
      </w:r>
    </w:p>
    <w:p w14:paraId="3E10B85B" w14:textId="77777777" w:rsidR="00425F78" w:rsidRPr="005E456A" w:rsidRDefault="00425F78" w:rsidP="005E456A">
      <w:pPr>
        <w:spacing w:after="0" w:line="360" w:lineRule="auto"/>
        <w:jc w:val="both"/>
        <w:rPr>
          <w:rFonts w:ascii="Book Antiqua" w:hAnsi="Book Antiqua" w:cs="Arial"/>
          <w:b/>
          <w:sz w:val="24"/>
          <w:szCs w:val="24"/>
        </w:rPr>
      </w:pPr>
    </w:p>
    <w:p w14:paraId="79F0B5D4" w14:textId="7375643A" w:rsidR="006C3D37" w:rsidRPr="005E456A" w:rsidRDefault="006C3D37" w:rsidP="005E456A">
      <w:pPr>
        <w:spacing w:after="0" w:line="360" w:lineRule="auto"/>
        <w:jc w:val="both"/>
        <w:rPr>
          <w:rFonts w:ascii="Book Antiqua" w:hAnsi="Book Antiqua" w:cs="Arial"/>
          <w:b/>
          <w:sz w:val="24"/>
          <w:szCs w:val="24"/>
        </w:rPr>
      </w:pPr>
      <w:r w:rsidRPr="005E456A">
        <w:rPr>
          <w:rFonts w:ascii="Book Antiqua" w:hAnsi="Book Antiqua" w:cs="Arial"/>
          <w:b/>
          <w:sz w:val="24"/>
          <w:szCs w:val="24"/>
        </w:rPr>
        <w:t>BLUE-</w:t>
      </w:r>
      <w:r w:rsidR="0022161D" w:rsidRPr="005E456A">
        <w:rPr>
          <w:rFonts w:ascii="Book Antiqua" w:hAnsi="Book Antiqua" w:cs="Arial"/>
          <w:b/>
          <w:sz w:val="24"/>
          <w:szCs w:val="24"/>
        </w:rPr>
        <w:t>LASER IMAGING</w:t>
      </w:r>
    </w:p>
    <w:p w14:paraId="2FD74E40" w14:textId="052888D5" w:rsidR="00D82B71" w:rsidRPr="00A23886" w:rsidRDefault="00D82B71" w:rsidP="00A23886">
      <w:pPr>
        <w:spacing w:after="0" w:line="360" w:lineRule="auto"/>
        <w:jc w:val="both"/>
        <w:rPr>
          <w:rFonts w:ascii="Book Antiqua" w:hAnsi="Book Antiqua" w:cs="Arial"/>
          <w:b/>
          <w:sz w:val="24"/>
          <w:szCs w:val="24"/>
        </w:rPr>
      </w:pPr>
      <w:r w:rsidRPr="005E456A">
        <w:rPr>
          <w:rFonts w:ascii="Book Antiqua" w:hAnsi="Book Antiqua" w:cs="Arial"/>
          <w:sz w:val="24"/>
          <w:szCs w:val="24"/>
        </w:rPr>
        <w:t>Introduced in year 2012 by Fujifilm Corporation (Tokyo, Japan), this is the latest addition to the field of IEE. Contrary to NBI which, in the process of producing a narrow bandwidth, darkens the image,</w:t>
      </w:r>
      <w:r w:rsidRPr="00A23886">
        <w:rPr>
          <w:rFonts w:ascii="Book Antiqua" w:hAnsi="Book Antiqua" w:cs="Arial"/>
          <w:sz w:val="24"/>
          <w:szCs w:val="24"/>
        </w:rPr>
        <w:t xml:space="preserve"> </w:t>
      </w:r>
      <w:r w:rsidR="00A23886" w:rsidRPr="00A23886">
        <w:rPr>
          <w:rFonts w:ascii="Book Antiqua" w:hAnsi="Book Antiqua" w:cs="Arial"/>
          <w:sz w:val="24"/>
          <w:szCs w:val="24"/>
        </w:rPr>
        <w:t>blue-laser imaging (BLI)</w:t>
      </w:r>
      <w:r w:rsidRPr="005E456A">
        <w:rPr>
          <w:rFonts w:ascii="Book Antiqua" w:hAnsi="Book Antiqua" w:cs="Arial"/>
          <w:sz w:val="24"/>
          <w:szCs w:val="24"/>
        </w:rPr>
        <w:t xml:space="preserve"> generates brighter and sharper images. BLI utilizes two laser sources: one at 410 nm for illumination of superficial mucosa and another at 450 nm to visualize deep vascular mucosal image. Therefore, BLI pro</w:t>
      </w:r>
      <w:r w:rsidR="0022161D" w:rsidRPr="005E456A">
        <w:rPr>
          <w:rFonts w:ascii="Book Antiqua" w:hAnsi="Book Antiqua" w:cs="Arial"/>
          <w:sz w:val="24"/>
          <w:szCs w:val="24"/>
        </w:rPr>
        <w:t>duce</w:t>
      </w:r>
      <w:r w:rsidR="005B7A36" w:rsidRPr="005E456A">
        <w:rPr>
          <w:rFonts w:ascii="Book Antiqua" w:hAnsi="Book Antiqua" w:cs="Arial"/>
          <w:sz w:val="24"/>
          <w:szCs w:val="24"/>
        </w:rPr>
        <w:t>s</w:t>
      </w:r>
      <w:r w:rsidR="0022161D" w:rsidRPr="005E456A">
        <w:rPr>
          <w:rFonts w:ascii="Book Antiqua" w:hAnsi="Book Antiqua" w:cs="Arial"/>
          <w:sz w:val="24"/>
          <w:szCs w:val="24"/>
        </w:rPr>
        <w:t xml:space="preserve"> more vivid </w:t>
      </w:r>
      <w:r w:rsidRPr="005E456A">
        <w:rPr>
          <w:rFonts w:ascii="Book Antiqua" w:hAnsi="Book Antiqua" w:cs="Arial"/>
          <w:sz w:val="24"/>
          <w:szCs w:val="24"/>
        </w:rPr>
        <w:t>mucosal and microvascular architectural details. In 2014, first in-human clinical trial with BLI in stomach was reported by Kaneka</w:t>
      </w:r>
      <w:r w:rsidRPr="00595649">
        <w:rPr>
          <w:rFonts w:ascii="Book Antiqua" w:hAnsi="Book Antiqua" w:cs="Arial"/>
          <w:i/>
          <w:sz w:val="24"/>
          <w:szCs w:val="24"/>
        </w:rPr>
        <w:t xml:space="preserve"> et al</w:t>
      </w:r>
      <w:r w:rsidR="00595649" w:rsidRPr="005E456A">
        <w:rPr>
          <w:rFonts w:ascii="Book Antiqua" w:hAnsi="Book Antiqua" w:cs="Arial"/>
          <w:sz w:val="24"/>
          <w:szCs w:val="24"/>
          <w:vertAlign w:val="superscript"/>
        </w:rPr>
        <w:t>[77]</w:t>
      </w:r>
      <w:r w:rsidRPr="005E456A">
        <w:rPr>
          <w:rFonts w:ascii="Book Antiqua" w:hAnsi="Book Antiqua" w:cs="Arial"/>
          <w:sz w:val="24"/>
          <w:szCs w:val="24"/>
        </w:rPr>
        <w:t xml:space="preserve"> from Japan. Out of a variety of </w:t>
      </w:r>
      <w:r w:rsidR="002E2135" w:rsidRPr="005E456A">
        <w:rPr>
          <w:rFonts w:ascii="Book Antiqua" w:hAnsi="Book Antiqua" w:cs="Arial"/>
          <w:sz w:val="24"/>
          <w:szCs w:val="24"/>
        </w:rPr>
        <w:t xml:space="preserve">GI </w:t>
      </w:r>
      <w:r w:rsidRPr="005E456A">
        <w:rPr>
          <w:rFonts w:ascii="Book Antiqua" w:hAnsi="Book Antiqua" w:cs="Arial"/>
          <w:sz w:val="24"/>
          <w:szCs w:val="24"/>
        </w:rPr>
        <w:t xml:space="preserve">lesions, 14 patients had </w:t>
      </w:r>
      <w:r w:rsidR="005B303E" w:rsidRPr="005E456A">
        <w:rPr>
          <w:rFonts w:ascii="Book Antiqua" w:hAnsi="Book Antiqua" w:cs="Arial"/>
          <w:sz w:val="24"/>
          <w:szCs w:val="24"/>
        </w:rPr>
        <w:t>EGC</w:t>
      </w:r>
      <w:r w:rsidRPr="005E456A">
        <w:rPr>
          <w:rFonts w:ascii="Book Antiqua" w:hAnsi="Book Antiqua" w:cs="Arial"/>
          <w:sz w:val="24"/>
          <w:szCs w:val="24"/>
        </w:rPr>
        <w:t xml:space="preserve">. BLI-bright produced better far-field view as compared to </w:t>
      </w:r>
      <w:r w:rsidR="0022161D" w:rsidRPr="005E456A">
        <w:rPr>
          <w:rFonts w:ascii="Book Antiqua" w:hAnsi="Book Antiqua" w:cs="Arial"/>
          <w:sz w:val="24"/>
          <w:szCs w:val="24"/>
        </w:rPr>
        <w:t xml:space="preserve">the first generation </w:t>
      </w:r>
      <w:r w:rsidRPr="005E456A">
        <w:rPr>
          <w:rFonts w:ascii="Book Antiqua" w:hAnsi="Book Antiqua" w:cs="Arial"/>
          <w:sz w:val="24"/>
          <w:szCs w:val="24"/>
        </w:rPr>
        <w:t xml:space="preserve">NBI. Since the BLI technology is new, more </w:t>
      </w:r>
      <w:r w:rsidR="009B39E6" w:rsidRPr="005E456A">
        <w:rPr>
          <w:rFonts w:ascii="Book Antiqua" w:hAnsi="Book Antiqua" w:cs="Arial"/>
          <w:sz w:val="24"/>
          <w:szCs w:val="24"/>
        </w:rPr>
        <w:t xml:space="preserve">extensive </w:t>
      </w:r>
      <w:r w:rsidRPr="005E456A">
        <w:rPr>
          <w:rFonts w:ascii="Book Antiqua" w:hAnsi="Book Antiqua" w:cs="Arial"/>
          <w:sz w:val="24"/>
          <w:szCs w:val="24"/>
        </w:rPr>
        <w:t>work is warranted before any conclusion can be drawn.</w:t>
      </w:r>
      <w:r w:rsidR="005B303E" w:rsidRPr="005E456A">
        <w:rPr>
          <w:rFonts w:ascii="Book Antiqua" w:hAnsi="Book Antiqua" w:cs="Arial"/>
          <w:sz w:val="24"/>
          <w:szCs w:val="24"/>
        </w:rPr>
        <w:t xml:space="preserve"> However, it would appear to be very promising</w:t>
      </w:r>
      <w:r w:rsidR="002E2135" w:rsidRPr="005E456A">
        <w:rPr>
          <w:rFonts w:ascii="Book Antiqua" w:hAnsi="Book Antiqua" w:cs="Arial"/>
          <w:sz w:val="24"/>
          <w:szCs w:val="24"/>
        </w:rPr>
        <w:t xml:space="preserve">, and be similar to NBI in terms </w:t>
      </w:r>
      <w:r w:rsidR="006B175C" w:rsidRPr="005E456A">
        <w:rPr>
          <w:rFonts w:ascii="Book Antiqua" w:hAnsi="Book Antiqua" w:cs="Arial"/>
          <w:sz w:val="24"/>
          <w:szCs w:val="24"/>
        </w:rPr>
        <w:t>of performance</w:t>
      </w:r>
      <w:r w:rsidR="005B303E" w:rsidRPr="005E456A">
        <w:rPr>
          <w:rFonts w:ascii="Book Antiqua" w:hAnsi="Book Antiqua" w:cs="Arial"/>
          <w:sz w:val="24"/>
          <w:szCs w:val="24"/>
        </w:rPr>
        <w:t xml:space="preserve"> characteristics</w:t>
      </w:r>
      <w:r w:rsidR="00425F78" w:rsidRPr="005E456A">
        <w:rPr>
          <w:rFonts w:ascii="Book Antiqua" w:hAnsi="Book Antiqua" w:cs="Arial"/>
          <w:sz w:val="24"/>
          <w:szCs w:val="24"/>
        </w:rPr>
        <w:t xml:space="preserve"> (Fig</w:t>
      </w:r>
      <w:r w:rsidR="009665D5" w:rsidRPr="005E456A">
        <w:rPr>
          <w:rFonts w:ascii="Book Antiqua" w:hAnsi="Book Antiqua" w:cs="Arial"/>
          <w:sz w:val="24"/>
          <w:szCs w:val="24"/>
        </w:rPr>
        <w:t>ure</w:t>
      </w:r>
      <w:r w:rsidR="00115935">
        <w:rPr>
          <w:rFonts w:ascii="Book Antiqua" w:hAnsi="Book Antiqua" w:cs="Arial" w:hint="eastAsia"/>
          <w:sz w:val="24"/>
          <w:szCs w:val="24"/>
        </w:rPr>
        <w:t xml:space="preserve"> 7</w:t>
      </w:r>
      <w:r w:rsidR="00977475" w:rsidRPr="005E456A">
        <w:rPr>
          <w:rFonts w:ascii="Book Antiqua" w:hAnsi="Book Antiqua" w:cs="Arial"/>
          <w:sz w:val="24"/>
          <w:szCs w:val="24"/>
        </w:rPr>
        <w:t>)</w:t>
      </w:r>
      <w:r w:rsidR="005B303E" w:rsidRPr="005E456A">
        <w:rPr>
          <w:rFonts w:ascii="Book Antiqua" w:hAnsi="Book Antiqua" w:cs="Arial"/>
          <w:sz w:val="24"/>
          <w:szCs w:val="24"/>
        </w:rPr>
        <w:t>.</w:t>
      </w:r>
    </w:p>
    <w:p w14:paraId="71E1BBB2" w14:textId="77777777" w:rsidR="00A40C08" w:rsidRPr="005E456A" w:rsidRDefault="00A40C08" w:rsidP="005E456A">
      <w:pPr>
        <w:pStyle w:val="ListParagraph"/>
        <w:spacing w:after="0" w:line="360" w:lineRule="auto"/>
        <w:ind w:left="0"/>
        <w:jc w:val="both"/>
        <w:rPr>
          <w:rFonts w:ascii="Book Antiqua" w:hAnsi="Book Antiqua" w:cs="Arial"/>
          <w:sz w:val="24"/>
          <w:szCs w:val="24"/>
        </w:rPr>
      </w:pPr>
    </w:p>
    <w:p w14:paraId="7BEAA2AE" w14:textId="77777777" w:rsidR="003301B6" w:rsidRPr="005E456A" w:rsidRDefault="009B39E6" w:rsidP="005E456A">
      <w:pPr>
        <w:pStyle w:val="ListParagraph"/>
        <w:spacing w:after="0" w:line="360" w:lineRule="auto"/>
        <w:ind w:left="0"/>
        <w:jc w:val="both"/>
        <w:rPr>
          <w:rFonts w:ascii="Book Antiqua" w:hAnsi="Book Antiqua" w:cs="Arial"/>
          <w:b/>
          <w:sz w:val="24"/>
          <w:szCs w:val="24"/>
        </w:rPr>
      </w:pPr>
      <w:r w:rsidRPr="005E456A">
        <w:rPr>
          <w:rFonts w:ascii="Book Antiqua" w:hAnsi="Book Antiqua" w:cs="Arial"/>
          <w:b/>
          <w:sz w:val="24"/>
          <w:szCs w:val="24"/>
        </w:rPr>
        <w:t>CONCLUSION</w:t>
      </w:r>
    </w:p>
    <w:p w14:paraId="117663A9" w14:textId="24EBA686" w:rsidR="00EF63B5" w:rsidRPr="005E456A" w:rsidRDefault="00997A55" w:rsidP="005E456A">
      <w:pPr>
        <w:spacing w:after="0" w:line="360" w:lineRule="auto"/>
        <w:jc w:val="both"/>
        <w:rPr>
          <w:rFonts w:ascii="Book Antiqua" w:hAnsi="Book Antiqua" w:cs="Arial"/>
          <w:sz w:val="24"/>
          <w:szCs w:val="24"/>
        </w:rPr>
      </w:pPr>
      <w:r w:rsidRPr="005E456A">
        <w:rPr>
          <w:rFonts w:ascii="Book Antiqua" w:hAnsi="Book Antiqua" w:cs="Arial"/>
          <w:sz w:val="24"/>
          <w:szCs w:val="24"/>
          <w:lang w:val="en-US"/>
        </w:rPr>
        <w:t>Especially in last 15 years, there has been a proliferation of research for use of IEE in detection and characterization of gastric pathologies. T</w:t>
      </w:r>
      <w:r w:rsidR="002D4F98" w:rsidRPr="005E456A">
        <w:rPr>
          <w:rFonts w:ascii="Book Antiqua" w:hAnsi="Book Antiqua" w:cs="Arial"/>
          <w:sz w:val="24"/>
          <w:szCs w:val="24"/>
          <w:lang w:val="en-US"/>
        </w:rPr>
        <w:t>he role of IEE in screening</w:t>
      </w:r>
      <w:r w:rsidR="0022161D" w:rsidRPr="005E456A">
        <w:rPr>
          <w:rFonts w:ascii="Book Antiqua" w:hAnsi="Book Antiqua" w:cs="Arial"/>
          <w:sz w:val="24"/>
          <w:szCs w:val="24"/>
          <w:lang w:val="en-US"/>
        </w:rPr>
        <w:t xml:space="preserve"> is still limited and </w:t>
      </w:r>
      <w:r w:rsidRPr="005E456A">
        <w:rPr>
          <w:rFonts w:ascii="Book Antiqua" w:hAnsi="Book Antiqua" w:cs="Arial"/>
          <w:sz w:val="24"/>
          <w:szCs w:val="24"/>
          <w:lang w:val="en-US"/>
        </w:rPr>
        <w:t xml:space="preserve">WLE should still be used as first line method of examination. However, there is large amount of data in support of M-NBI for diagnosis, delineation and depth-estimation of EGC. </w:t>
      </w:r>
      <w:r w:rsidR="00053363" w:rsidRPr="005E456A">
        <w:rPr>
          <w:rFonts w:ascii="Book Antiqua" w:hAnsi="Book Antiqua" w:cs="Arial"/>
          <w:sz w:val="24"/>
          <w:szCs w:val="24"/>
          <w:lang w:val="en-US"/>
        </w:rPr>
        <w:t xml:space="preserve">M-NBI also has excellent diagnostic characteristics for IM. </w:t>
      </w:r>
      <w:r w:rsidRPr="005E456A">
        <w:rPr>
          <w:rFonts w:ascii="Book Antiqua" w:hAnsi="Book Antiqua" w:cs="Arial"/>
          <w:sz w:val="24"/>
          <w:szCs w:val="24"/>
          <w:lang w:val="en-US"/>
        </w:rPr>
        <w:t xml:space="preserve">It is important to emphasize that almost all studies have been done by experts in IEE highlighting the importance of a proper training in pattern recognition before general use. </w:t>
      </w:r>
      <w:r w:rsidR="00674E76" w:rsidRPr="005E456A">
        <w:rPr>
          <w:rFonts w:ascii="Book Antiqua" w:hAnsi="Book Antiqua" w:cs="Arial"/>
          <w:sz w:val="24"/>
          <w:szCs w:val="24"/>
          <w:lang w:val="en-US"/>
        </w:rPr>
        <w:t>The published data for other IEE techniques are more</w:t>
      </w:r>
      <w:r w:rsidRPr="005E456A">
        <w:rPr>
          <w:rFonts w:ascii="Book Antiqua" w:hAnsi="Book Antiqua" w:cs="Arial"/>
          <w:sz w:val="24"/>
          <w:szCs w:val="24"/>
          <w:lang w:val="en-US"/>
        </w:rPr>
        <w:t xml:space="preserve"> </w:t>
      </w:r>
      <w:r w:rsidR="0022161D" w:rsidRPr="005E456A">
        <w:rPr>
          <w:rFonts w:ascii="Book Antiqua" w:hAnsi="Book Antiqua" w:cs="Arial"/>
          <w:sz w:val="24"/>
          <w:szCs w:val="24"/>
          <w:lang w:val="en-US"/>
        </w:rPr>
        <w:t>limited. S</w:t>
      </w:r>
      <w:r w:rsidR="00674E76" w:rsidRPr="005E456A">
        <w:rPr>
          <w:rFonts w:ascii="Book Antiqua" w:hAnsi="Book Antiqua" w:cs="Arial"/>
          <w:sz w:val="24"/>
          <w:szCs w:val="24"/>
          <w:lang w:val="en-US"/>
        </w:rPr>
        <w:t xml:space="preserve">ince the principle of BLI is the same as NBI, it would be expected to </w:t>
      </w:r>
      <w:r w:rsidR="003E5A0E" w:rsidRPr="005E456A">
        <w:rPr>
          <w:rFonts w:ascii="Book Antiqua" w:hAnsi="Book Antiqua" w:cs="Arial"/>
          <w:sz w:val="24"/>
          <w:szCs w:val="24"/>
          <w:lang w:val="en-US"/>
        </w:rPr>
        <w:t>provide similar efficacy as NBI, especially with optical magnification. In contrast, it is probably not possible to extrap</w:t>
      </w:r>
      <w:r w:rsidR="007A0242" w:rsidRPr="005E456A">
        <w:rPr>
          <w:rFonts w:ascii="Book Antiqua" w:hAnsi="Book Antiqua" w:cs="Arial"/>
          <w:sz w:val="24"/>
          <w:szCs w:val="24"/>
          <w:lang w:val="en-US"/>
        </w:rPr>
        <w:t>olate the NBI data to FICE and I-SCAN</w:t>
      </w:r>
      <w:r w:rsidR="003E5A0E" w:rsidRPr="005E456A">
        <w:rPr>
          <w:rFonts w:ascii="Book Antiqua" w:hAnsi="Book Antiqua" w:cs="Arial"/>
          <w:sz w:val="24"/>
          <w:szCs w:val="24"/>
          <w:lang w:val="en-US"/>
        </w:rPr>
        <w:t>, since these are processed images without optical magnification</w:t>
      </w:r>
      <w:r w:rsidR="002B54EA" w:rsidRPr="005E456A">
        <w:rPr>
          <w:rFonts w:ascii="Book Antiqua" w:hAnsi="Book Antiqua" w:cs="Arial"/>
          <w:sz w:val="24"/>
          <w:szCs w:val="24"/>
          <w:lang w:val="en-US"/>
        </w:rPr>
        <w:t xml:space="preserve"> (Table 3)</w:t>
      </w:r>
      <w:r w:rsidR="003E5A0E" w:rsidRPr="005E456A">
        <w:rPr>
          <w:rFonts w:ascii="Book Antiqua" w:hAnsi="Book Antiqua" w:cs="Arial"/>
          <w:sz w:val="24"/>
          <w:szCs w:val="24"/>
          <w:lang w:val="en-US"/>
        </w:rPr>
        <w:t xml:space="preserve">. </w:t>
      </w:r>
    </w:p>
    <w:p w14:paraId="05D9F781" w14:textId="77777777" w:rsidR="00EF63B5" w:rsidRPr="005E456A" w:rsidRDefault="00EF63B5" w:rsidP="005E456A">
      <w:pPr>
        <w:pStyle w:val="ListParagraph"/>
        <w:spacing w:after="0" w:line="360" w:lineRule="auto"/>
        <w:ind w:left="0" w:firstLine="720"/>
        <w:jc w:val="both"/>
        <w:rPr>
          <w:rFonts w:ascii="Book Antiqua" w:hAnsi="Book Antiqua" w:cs="Arial"/>
          <w:sz w:val="24"/>
          <w:szCs w:val="24"/>
        </w:rPr>
      </w:pPr>
    </w:p>
    <w:p w14:paraId="298F191F" w14:textId="7F1607FA" w:rsidR="00AD6D38" w:rsidRPr="005E456A" w:rsidRDefault="00425F78" w:rsidP="005E456A">
      <w:pPr>
        <w:spacing w:after="0" w:line="360" w:lineRule="auto"/>
        <w:jc w:val="both"/>
        <w:rPr>
          <w:rFonts w:ascii="Book Antiqua" w:hAnsi="Book Antiqua" w:cs="Arial"/>
          <w:b/>
          <w:sz w:val="24"/>
          <w:szCs w:val="24"/>
          <w:lang w:val="en-US"/>
        </w:rPr>
      </w:pPr>
      <w:r w:rsidRPr="005E456A">
        <w:rPr>
          <w:rFonts w:ascii="Book Antiqua" w:hAnsi="Book Antiqua" w:cs="Arial"/>
          <w:b/>
          <w:sz w:val="24"/>
          <w:szCs w:val="24"/>
          <w:lang w:val="en-US"/>
        </w:rPr>
        <w:t>ACKNOWLEDGEMENT</w:t>
      </w:r>
      <w:r w:rsidR="00A23886">
        <w:rPr>
          <w:rFonts w:ascii="Book Antiqua" w:hAnsi="Book Antiqua" w:cs="Arial" w:hint="eastAsia"/>
          <w:b/>
          <w:sz w:val="24"/>
          <w:szCs w:val="24"/>
          <w:lang w:val="en-US"/>
        </w:rPr>
        <w:t>S</w:t>
      </w:r>
    </w:p>
    <w:p w14:paraId="72C2CCE8" w14:textId="581DAB28" w:rsidR="00AD6D38" w:rsidRPr="005E456A" w:rsidRDefault="00977475" w:rsidP="005E456A">
      <w:pPr>
        <w:spacing w:after="0" w:line="360" w:lineRule="auto"/>
        <w:jc w:val="both"/>
        <w:rPr>
          <w:rFonts w:ascii="Book Antiqua" w:hAnsi="Book Antiqua" w:cs="Arial"/>
          <w:sz w:val="24"/>
          <w:szCs w:val="24"/>
          <w:lang w:val="en-US"/>
        </w:rPr>
      </w:pPr>
      <w:r w:rsidRPr="005E456A">
        <w:rPr>
          <w:rFonts w:ascii="Book Antiqua" w:hAnsi="Book Antiqua" w:cs="Arial"/>
          <w:sz w:val="24"/>
          <w:szCs w:val="24"/>
          <w:lang w:val="en-US"/>
        </w:rPr>
        <w:t>We would like to acknowledge Dr Noriya Uedo</w:t>
      </w:r>
      <w:r w:rsidR="00211529" w:rsidRPr="005E456A">
        <w:rPr>
          <w:rFonts w:ascii="Book Antiqua" w:hAnsi="Book Antiqua" w:cs="Arial"/>
          <w:sz w:val="24"/>
          <w:szCs w:val="24"/>
          <w:lang w:val="en-US"/>
        </w:rPr>
        <w:t xml:space="preserve"> (Osaka, Japan) and </w:t>
      </w:r>
      <w:r w:rsidR="00055614" w:rsidRPr="005E456A">
        <w:rPr>
          <w:rFonts w:ascii="Book Antiqua" w:hAnsi="Book Antiqua" w:cs="Arial"/>
          <w:sz w:val="24"/>
          <w:szCs w:val="24"/>
          <w:lang w:val="en-US"/>
        </w:rPr>
        <w:t>FUJIFILM Asia Pacific Pte. Ltd.</w:t>
      </w:r>
      <w:r w:rsidR="00425F78" w:rsidRPr="005E456A">
        <w:rPr>
          <w:rFonts w:ascii="Book Antiqua" w:hAnsi="Book Antiqua" w:cs="Arial"/>
          <w:sz w:val="24"/>
          <w:szCs w:val="24"/>
          <w:lang w:val="en-US"/>
        </w:rPr>
        <w:t xml:space="preserve">, for contribution of </w:t>
      </w:r>
      <w:r w:rsidR="00211529" w:rsidRPr="005E456A">
        <w:rPr>
          <w:rFonts w:ascii="Book Antiqua" w:hAnsi="Book Antiqua" w:cs="Arial"/>
          <w:sz w:val="24"/>
          <w:szCs w:val="24"/>
          <w:lang w:val="en-US"/>
        </w:rPr>
        <w:t xml:space="preserve">images used in this paper. </w:t>
      </w:r>
    </w:p>
    <w:p w14:paraId="363BC775" w14:textId="77777777" w:rsidR="00AD6D38" w:rsidRPr="005E456A" w:rsidRDefault="00AD6D38" w:rsidP="005E456A">
      <w:pPr>
        <w:spacing w:after="0" w:line="360" w:lineRule="auto"/>
        <w:jc w:val="both"/>
        <w:rPr>
          <w:rFonts w:ascii="Book Antiqua" w:hAnsi="Book Antiqua" w:cs="Arial"/>
          <w:b/>
          <w:sz w:val="24"/>
          <w:szCs w:val="24"/>
          <w:lang w:val="en-US"/>
        </w:rPr>
      </w:pPr>
    </w:p>
    <w:p w14:paraId="053C06A9" w14:textId="77777777" w:rsidR="005B7A36" w:rsidRPr="005E456A" w:rsidRDefault="005B7A36" w:rsidP="005E456A">
      <w:pPr>
        <w:spacing w:after="0" w:line="360" w:lineRule="auto"/>
        <w:jc w:val="both"/>
        <w:rPr>
          <w:rFonts w:ascii="Book Antiqua" w:hAnsi="Book Antiqua" w:cs="Arial"/>
          <w:b/>
          <w:sz w:val="24"/>
          <w:szCs w:val="24"/>
          <w:lang w:val="en-US"/>
        </w:rPr>
      </w:pPr>
    </w:p>
    <w:p w14:paraId="6AD82ECC" w14:textId="77777777" w:rsidR="005B7A36" w:rsidRPr="005E456A" w:rsidRDefault="005B7A36" w:rsidP="005E456A">
      <w:pPr>
        <w:spacing w:after="0" w:line="360" w:lineRule="auto"/>
        <w:jc w:val="both"/>
        <w:rPr>
          <w:rFonts w:ascii="Book Antiqua" w:hAnsi="Book Antiqua" w:cs="Arial"/>
          <w:b/>
          <w:sz w:val="24"/>
          <w:szCs w:val="24"/>
          <w:lang w:val="en-US"/>
        </w:rPr>
      </w:pPr>
    </w:p>
    <w:p w14:paraId="02884B2A" w14:textId="77777777" w:rsidR="005B7A36" w:rsidRPr="005E456A" w:rsidRDefault="005B7A36" w:rsidP="005E456A">
      <w:pPr>
        <w:spacing w:after="0" w:line="360" w:lineRule="auto"/>
        <w:jc w:val="both"/>
        <w:rPr>
          <w:rFonts w:ascii="Book Antiqua" w:hAnsi="Book Antiqua" w:cs="Arial"/>
          <w:b/>
          <w:sz w:val="24"/>
          <w:szCs w:val="24"/>
          <w:lang w:val="en-US"/>
        </w:rPr>
      </w:pPr>
    </w:p>
    <w:p w14:paraId="41B831E5" w14:textId="77777777" w:rsidR="005B7A36" w:rsidRPr="005E456A" w:rsidRDefault="005B7A36" w:rsidP="005E456A">
      <w:pPr>
        <w:spacing w:after="0" w:line="360" w:lineRule="auto"/>
        <w:jc w:val="both"/>
        <w:rPr>
          <w:rFonts w:ascii="Book Antiqua" w:hAnsi="Book Antiqua" w:cs="Arial"/>
          <w:b/>
          <w:sz w:val="24"/>
          <w:szCs w:val="24"/>
          <w:lang w:val="en-US"/>
        </w:rPr>
      </w:pPr>
    </w:p>
    <w:p w14:paraId="525EFB67" w14:textId="77777777" w:rsidR="005B7A36" w:rsidRPr="005E456A" w:rsidRDefault="005B7A36" w:rsidP="005E456A">
      <w:pPr>
        <w:spacing w:after="0" w:line="360" w:lineRule="auto"/>
        <w:jc w:val="both"/>
        <w:rPr>
          <w:rFonts w:ascii="Book Antiqua" w:hAnsi="Book Antiqua" w:cs="Arial"/>
          <w:b/>
          <w:sz w:val="24"/>
          <w:szCs w:val="24"/>
          <w:lang w:val="en-US"/>
        </w:rPr>
      </w:pPr>
    </w:p>
    <w:p w14:paraId="20DF8DC3" w14:textId="77777777" w:rsidR="005B7A36" w:rsidRPr="005E456A" w:rsidRDefault="005B7A36" w:rsidP="005E456A">
      <w:pPr>
        <w:spacing w:after="0" w:line="360" w:lineRule="auto"/>
        <w:jc w:val="both"/>
        <w:rPr>
          <w:rFonts w:ascii="Book Antiqua" w:hAnsi="Book Antiqua" w:cs="Arial"/>
          <w:b/>
          <w:sz w:val="24"/>
          <w:szCs w:val="24"/>
          <w:lang w:val="en-US"/>
        </w:rPr>
      </w:pPr>
    </w:p>
    <w:p w14:paraId="3B4E4888" w14:textId="77777777" w:rsidR="005B7A36" w:rsidRPr="005E456A" w:rsidRDefault="005B7A36" w:rsidP="005E456A">
      <w:pPr>
        <w:spacing w:after="0" w:line="360" w:lineRule="auto"/>
        <w:jc w:val="both"/>
        <w:rPr>
          <w:rFonts w:ascii="Book Antiqua" w:hAnsi="Book Antiqua" w:cs="Arial"/>
          <w:b/>
          <w:sz w:val="24"/>
          <w:szCs w:val="24"/>
          <w:lang w:val="en-US"/>
        </w:rPr>
      </w:pPr>
    </w:p>
    <w:p w14:paraId="45416951" w14:textId="77777777" w:rsidR="005B7A36" w:rsidRPr="005E456A" w:rsidRDefault="005B7A36" w:rsidP="005E456A">
      <w:pPr>
        <w:spacing w:after="0" w:line="360" w:lineRule="auto"/>
        <w:jc w:val="both"/>
        <w:rPr>
          <w:rFonts w:ascii="Book Antiqua" w:hAnsi="Book Antiqua" w:cs="Arial"/>
          <w:b/>
          <w:sz w:val="24"/>
          <w:szCs w:val="24"/>
          <w:lang w:val="en-US"/>
        </w:rPr>
      </w:pPr>
    </w:p>
    <w:p w14:paraId="257964AD" w14:textId="05B2A47A" w:rsidR="00AD6D38" w:rsidRPr="005E456A" w:rsidRDefault="00AD6D38" w:rsidP="005E456A">
      <w:pPr>
        <w:spacing w:after="0" w:line="360" w:lineRule="auto"/>
        <w:jc w:val="both"/>
        <w:rPr>
          <w:rFonts w:ascii="Book Antiqua" w:hAnsi="Book Antiqua" w:cs="Arial"/>
          <w:b/>
          <w:sz w:val="24"/>
          <w:szCs w:val="24"/>
          <w:lang w:val="en-US"/>
        </w:rPr>
      </w:pPr>
      <w:r w:rsidRPr="005E456A">
        <w:rPr>
          <w:rFonts w:ascii="Book Antiqua" w:hAnsi="Book Antiqua" w:cs="Arial"/>
          <w:b/>
          <w:sz w:val="24"/>
          <w:szCs w:val="24"/>
          <w:lang w:val="en-US"/>
        </w:rPr>
        <w:t>REFERENCES</w:t>
      </w:r>
    </w:p>
    <w:p w14:paraId="6523C8A0"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bookmarkStart w:id="14" w:name="OLE_LINK1"/>
      <w:bookmarkStart w:id="15" w:name="OLE_LINK2"/>
      <w:bookmarkStart w:id="16" w:name="OLE_LINK8"/>
      <w:bookmarkStart w:id="17" w:name="OLE_LINK176"/>
      <w:bookmarkStart w:id="18" w:name="OLE_LINK187"/>
      <w:bookmarkStart w:id="19" w:name="OLE_LINK188"/>
      <w:r w:rsidRPr="00985F17">
        <w:rPr>
          <w:rFonts w:ascii="Book Antiqua" w:eastAsia="宋体" w:hAnsi="Book Antiqua" w:cs="宋体"/>
          <w:sz w:val="24"/>
          <w:szCs w:val="24"/>
          <w:lang w:val="en-US"/>
        </w:rPr>
        <w:t>1 </w:t>
      </w:r>
      <w:r w:rsidRPr="00985F17">
        <w:rPr>
          <w:rFonts w:ascii="Book Antiqua" w:eastAsia="宋体" w:hAnsi="Book Antiqua" w:cs="宋体"/>
          <w:b/>
          <w:bCs/>
          <w:sz w:val="24"/>
          <w:szCs w:val="24"/>
          <w:lang w:val="en-US"/>
        </w:rPr>
        <w:t>Subramanian V</w:t>
      </w:r>
      <w:r w:rsidRPr="00985F17">
        <w:rPr>
          <w:rFonts w:ascii="Book Antiqua" w:eastAsia="宋体" w:hAnsi="Book Antiqua" w:cs="宋体"/>
          <w:sz w:val="24"/>
          <w:szCs w:val="24"/>
          <w:lang w:val="en-US"/>
        </w:rPr>
        <w:t>, Ragunath K. Advanced endoscopic imaging: a review of commercially available technologies. </w:t>
      </w:r>
      <w:r w:rsidRPr="00985F17">
        <w:rPr>
          <w:rFonts w:ascii="Book Antiqua" w:eastAsia="宋体" w:hAnsi="Book Antiqua" w:cs="宋体"/>
          <w:i/>
          <w:iCs/>
          <w:sz w:val="24"/>
          <w:szCs w:val="24"/>
          <w:lang w:val="en-US"/>
        </w:rPr>
        <w:t>Clin Gastroenterol Hepatol</w:t>
      </w:r>
      <w:r w:rsidRPr="00985F17">
        <w:rPr>
          <w:rFonts w:ascii="Book Antiqua" w:eastAsia="宋体" w:hAnsi="Book Antiqua" w:cs="宋体"/>
          <w:sz w:val="24"/>
          <w:szCs w:val="24"/>
          <w:lang w:val="en-US"/>
        </w:rPr>
        <w:t> 2014; </w:t>
      </w:r>
      <w:r w:rsidRPr="00985F17">
        <w:rPr>
          <w:rFonts w:ascii="Book Antiqua" w:eastAsia="宋体" w:hAnsi="Book Antiqua" w:cs="宋体"/>
          <w:b/>
          <w:bCs/>
          <w:sz w:val="24"/>
          <w:szCs w:val="24"/>
          <w:lang w:val="en-US"/>
        </w:rPr>
        <w:t>12</w:t>
      </w:r>
      <w:r w:rsidRPr="00985F17">
        <w:rPr>
          <w:rFonts w:ascii="Book Antiqua" w:eastAsia="宋体" w:hAnsi="Book Antiqua" w:cs="宋体"/>
          <w:sz w:val="24"/>
          <w:szCs w:val="24"/>
          <w:lang w:val="en-US"/>
        </w:rPr>
        <w:t>: 368-76.e1 [PMID: 23811245 DOI: 10.1016/j.cgh.2013.06.015]</w:t>
      </w:r>
    </w:p>
    <w:p w14:paraId="28D48E66"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2 </w:t>
      </w:r>
      <w:r w:rsidRPr="00985F17">
        <w:rPr>
          <w:rFonts w:ascii="Book Antiqua" w:eastAsia="宋体" w:hAnsi="Book Antiqua" w:cs="宋体"/>
          <w:b/>
          <w:bCs/>
          <w:sz w:val="24"/>
          <w:szCs w:val="24"/>
          <w:lang w:val="en-US"/>
        </w:rPr>
        <w:t>Miyahara R</w:t>
      </w:r>
      <w:r w:rsidRPr="00985F17">
        <w:rPr>
          <w:rFonts w:ascii="Book Antiqua" w:eastAsia="宋体" w:hAnsi="Book Antiqua" w:cs="宋体"/>
          <w:sz w:val="24"/>
          <w:szCs w:val="24"/>
          <w:lang w:val="en-US"/>
        </w:rPr>
        <w:t>, Niwa Y, Matsuura T, Maeda O, Ando T, Ohmiya N, Itoh A, Hirooka Y, Goto H. Prevalence and prognosis of gastric cancer detected by screening in a large Japanese population: data from a single institute over 30 years. </w:t>
      </w:r>
      <w:r w:rsidRPr="00985F17">
        <w:rPr>
          <w:rFonts w:ascii="Book Antiqua" w:eastAsia="宋体" w:hAnsi="Book Antiqua" w:cs="宋体"/>
          <w:i/>
          <w:iCs/>
          <w:sz w:val="24"/>
          <w:szCs w:val="24"/>
          <w:lang w:val="en-US"/>
        </w:rPr>
        <w:t>J Gastroenterol Hepatol</w:t>
      </w:r>
      <w:r w:rsidRPr="00985F17">
        <w:rPr>
          <w:rFonts w:ascii="Book Antiqua" w:eastAsia="宋体" w:hAnsi="Book Antiqua" w:cs="宋体"/>
          <w:sz w:val="24"/>
          <w:szCs w:val="24"/>
          <w:lang w:val="en-US"/>
        </w:rPr>
        <w:t> 2007; </w:t>
      </w:r>
      <w:r w:rsidRPr="00985F17">
        <w:rPr>
          <w:rFonts w:ascii="Book Antiqua" w:eastAsia="宋体" w:hAnsi="Book Antiqua" w:cs="宋体"/>
          <w:b/>
          <w:bCs/>
          <w:sz w:val="24"/>
          <w:szCs w:val="24"/>
          <w:lang w:val="en-US"/>
        </w:rPr>
        <w:t>22</w:t>
      </w:r>
      <w:r w:rsidRPr="00985F17">
        <w:rPr>
          <w:rFonts w:ascii="Book Antiqua" w:eastAsia="宋体" w:hAnsi="Book Antiqua" w:cs="宋体"/>
          <w:sz w:val="24"/>
          <w:szCs w:val="24"/>
          <w:lang w:val="en-US"/>
        </w:rPr>
        <w:t>: 1435-1442 [PMID: 17573829 DOI: 10.1111/j.1440-1746.2007.04991.x]</w:t>
      </w:r>
    </w:p>
    <w:p w14:paraId="7D67B00C"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3 </w:t>
      </w:r>
      <w:r w:rsidRPr="00985F17">
        <w:rPr>
          <w:rFonts w:ascii="Book Antiqua" w:eastAsia="宋体" w:hAnsi="Book Antiqua" w:cs="宋体"/>
          <w:b/>
          <w:bCs/>
          <w:sz w:val="24"/>
          <w:szCs w:val="24"/>
          <w:lang w:val="en-US"/>
        </w:rPr>
        <w:t>Tajiri H</w:t>
      </w:r>
      <w:r w:rsidRPr="00985F17">
        <w:rPr>
          <w:rFonts w:ascii="Book Antiqua" w:eastAsia="宋体" w:hAnsi="Book Antiqua" w:cs="宋体"/>
          <w:sz w:val="24"/>
          <w:szCs w:val="24"/>
          <w:lang w:val="en-US"/>
        </w:rPr>
        <w:t>, Niwa H. Proposal for a consensus terminology in endoscopy: how should different endoscopic imaging techniques be grouped and defined? </w:t>
      </w:r>
      <w:r w:rsidRPr="00985F17">
        <w:rPr>
          <w:rFonts w:ascii="Book Antiqua" w:eastAsia="宋体" w:hAnsi="Book Antiqua" w:cs="宋体"/>
          <w:i/>
          <w:iCs/>
          <w:sz w:val="24"/>
          <w:szCs w:val="24"/>
          <w:lang w:val="en-US"/>
        </w:rPr>
        <w:t>Endoscopy</w:t>
      </w:r>
      <w:r w:rsidRPr="00985F17">
        <w:rPr>
          <w:rFonts w:ascii="Book Antiqua" w:eastAsia="宋体" w:hAnsi="Book Antiqua" w:cs="宋体"/>
          <w:sz w:val="24"/>
          <w:szCs w:val="24"/>
          <w:lang w:val="en-US"/>
        </w:rPr>
        <w:t> 2008; </w:t>
      </w:r>
      <w:r w:rsidRPr="00985F17">
        <w:rPr>
          <w:rFonts w:ascii="Book Antiqua" w:eastAsia="宋体" w:hAnsi="Book Antiqua" w:cs="宋体"/>
          <w:b/>
          <w:bCs/>
          <w:sz w:val="24"/>
          <w:szCs w:val="24"/>
          <w:lang w:val="en-US"/>
        </w:rPr>
        <w:t>40</w:t>
      </w:r>
      <w:r w:rsidRPr="00985F17">
        <w:rPr>
          <w:rFonts w:ascii="Book Antiqua" w:eastAsia="宋体" w:hAnsi="Book Antiqua" w:cs="宋体"/>
          <w:sz w:val="24"/>
          <w:szCs w:val="24"/>
          <w:lang w:val="en-US"/>
        </w:rPr>
        <w:t>: 775-778 [PMID: 18698532 DOI: 10.1055/s-2008-1077507]</w:t>
      </w:r>
    </w:p>
    <w:p w14:paraId="0DD9CA21"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4 </w:t>
      </w:r>
      <w:r w:rsidRPr="00985F17">
        <w:rPr>
          <w:rFonts w:ascii="Book Antiqua" w:eastAsia="宋体" w:hAnsi="Book Antiqua" w:cs="宋体"/>
          <w:b/>
          <w:bCs/>
          <w:sz w:val="24"/>
          <w:szCs w:val="24"/>
          <w:lang w:val="en-US"/>
        </w:rPr>
        <w:t>Kwon RS</w:t>
      </w:r>
      <w:r w:rsidRPr="00985F17">
        <w:rPr>
          <w:rFonts w:ascii="Book Antiqua" w:eastAsia="宋体" w:hAnsi="Book Antiqua" w:cs="宋体"/>
          <w:sz w:val="24"/>
          <w:szCs w:val="24"/>
          <w:lang w:val="en-US"/>
        </w:rPr>
        <w:t>, Adler DG, Chand B, Conway JD, Diehl DL, Kantsevoy SV, Mamula P, Rodriguez SA, Shah RJ, Wong Kee Song LM, Tierney WM. High-resolution and high-magnification endoscopes.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2009; </w:t>
      </w:r>
      <w:r w:rsidRPr="00985F17">
        <w:rPr>
          <w:rFonts w:ascii="Book Antiqua" w:eastAsia="宋体" w:hAnsi="Book Antiqua" w:cs="宋体"/>
          <w:b/>
          <w:bCs/>
          <w:sz w:val="24"/>
          <w:szCs w:val="24"/>
          <w:lang w:val="en-US"/>
        </w:rPr>
        <w:t>69</w:t>
      </w:r>
      <w:r w:rsidRPr="00985F17">
        <w:rPr>
          <w:rFonts w:ascii="Book Antiqua" w:eastAsia="宋体" w:hAnsi="Book Antiqua" w:cs="宋体"/>
          <w:sz w:val="24"/>
          <w:szCs w:val="24"/>
          <w:lang w:val="en-US"/>
        </w:rPr>
        <w:t>: 399-407 [PMID: 19231483 DOI: 10.1016/j.gie.2008.12.049]</w:t>
      </w:r>
    </w:p>
    <w:p w14:paraId="772BFA93"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5 </w:t>
      </w:r>
      <w:r w:rsidRPr="00985F17">
        <w:rPr>
          <w:rFonts w:ascii="Book Antiqua" w:eastAsia="宋体" w:hAnsi="Book Antiqua" w:cs="宋体"/>
          <w:b/>
          <w:bCs/>
          <w:sz w:val="24"/>
          <w:szCs w:val="24"/>
          <w:lang w:val="en-US"/>
        </w:rPr>
        <w:t>Subramanian V</w:t>
      </w:r>
      <w:r w:rsidRPr="00985F17">
        <w:rPr>
          <w:rFonts w:ascii="Book Antiqua" w:eastAsia="宋体" w:hAnsi="Book Antiqua" w:cs="宋体"/>
          <w:sz w:val="24"/>
          <w:szCs w:val="24"/>
          <w:lang w:val="en-US"/>
        </w:rPr>
        <w:t>, Mannath J, Hawkey CJ, Ragunath K. High definition colonoscopy vs. standard video endoscopy for the detection of colonic polyps: a meta-analysis. </w:t>
      </w:r>
      <w:r w:rsidRPr="00985F17">
        <w:rPr>
          <w:rFonts w:ascii="Book Antiqua" w:eastAsia="宋体" w:hAnsi="Book Antiqua" w:cs="宋体"/>
          <w:i/>
          <w:iCs/>
          <w:sz w:val="24"/>
          <w:szCs w:val="24"/>
          <w:lang w:val="en-US"/>
        </w:rPr>
        <w:t>Endoscopy</w:t>
      </w:r>
      <w:r w:rsidRPr="00985F17">
        <w:rPr>
          <w:rFonts w:ascii="Book Antiqua" w:eastAsia="宋体" w:hAnsi="Book Antiqua" w:cs="宋体"/>
          <w:sz w:val="24"/>
          <w:szCs w:val="24"/>
          <w:lang w:val="en-US"/>
        </w:rPr>
        <w:t> 2011; </w:t>
      </w:r>
      <w:r w:rsidRPr="00985F17">
        <w:rPr>
          <w:rFonts w:ascii="Book Antiqua" w:eastAsia="宋体" w:hAnsi="Book Antiqua" w:cs="宋体"/>
          <w:b/>
          <w:bCs/>
          <w:sz w:val="24"/>
          <w:szCs w:val="24"/>
          <w:lang w:val="en-US"/>
        </w:rPr>
        <w:t>43</w:t>
      </w:r>
      <w:r w:rsidRPr="00985F17">
        <w:rPr>
          <w:rFonts w:ascii="Book Antiqua" w:eastAsia="宋体" w:hAnsi="Book Antiqua" w:cs="宋体"/>
          <w:sz w:val="24"/>
          <w:szCs w:val="24"/>
          <w:lang w:val="en-US"/>
        </w:rPr>
        <w:t>: 499-505 [PMID: 21360420 DOI: 10.1055/s-0030-1256207]</w:t>
      </w:r>
    </w:p>
    <w:p w14:paraId="6D38C825"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6 </w:t>
      </w:r>
      <w:r w:rsidRPr="00985F17">
        <w:rPr>
          <w:rFonts w:ascii="Book Antiqua" w:eastAsia="宋体" w:hAnsi="Book Antiqua" w:cs="宋体"/>
          <w:b/>
          <w:bCs/>
          <w:sz w:val="24"/>
          <w:szCs w:val="24"/>
          <w:lang w:val="en-US"/>
        </w:rPr>
        <w:t>Sakaki N</w:t>
      </w:r>
      <w:r w:rsidRPr="00985F17">
        <w:rPr>
          <w:rFonts w:ascii="Book Antiqua" w:eastAsia="宋体" w:hAnsi="Book Antiqua" w:cs="宋体"/>
          <w:sz w:val="24"/>
          <w:szCs w:val="24"/>
          <w:lang w:val="en-US"/>
        </w:rPr>
        <w:t>, Iida Y, Okazaki Y, Kawamura S, Takemoto T. Magnifying endoscopic observation of the gastric mucosa, particularly in patients with atrophic gastritis. </w:t>
      </w:r>
      <w:r w:rsidRPr="00985F17">
        <w:rPr>
          <w:rFonts w:ascii="Book Antiqua" w:eastAsia="宋体" w:hAnsi="Book Antiqua" w:cs="宋体"/>
          <w:i/>
          <w:iCs/>
          <w:sz w:val="24"/>
          <w:szCs w:val="24"/>
          <w:lang w:val="en-US"/>
        </w:rPr>
        <w:t>Endoscopy</w:t>
      </w:r>
      <w:r w:rsidRPr="00985F17">
        <w:rPr>
          <w:rFonts w:ascii="Book Antiqua" w:eastAsia="宋体" w:hAnsi="Book Antiqua" w:cs="宋体"/>
          <w:sz w:val="24"/>
          <w:szCs w:val="24"/>
          <w:lang w:val="en-US"/>
        </w:rPr>
        <w:t> 1978; </w:t>
      </w:r>
      <w:r w:rsidRPr="00985F17">
        <w:rPr>
          <w:rFonts w:ascii="Book Antiqua" w:eastAsia="宋体" w:hAnsi="Book Antiqua" w:cs="宋体"/>
          <w:b/>
          <w:bCs/>
          <w:sz w:val="24"/>
          <w:szCs w:val="24"/>
          <w:lang w:val="en-US"/>
        </w:rPr>
        <w:t>10</w:t>
      </w:r>
      <w:r w:rsidRPr="00985F17">
        <w:rPr>
          <w:rFonts w:ascii="Book Antiqua" w:eastAsia="宋体" w:hAnsi="Book Antiqua" w:cs="宋体"/>
          <w:sz w:val="24"/>
          <w:szCs w:val="24"/>
          <w:lang w:val="en-US"/>
        </w:rPr>
        <w:t>: 269-274 [PMID: 738222 DOI: 10.1055/s-0028-1098307]</w:t>
      </w:r>
    </w:p>
    <w:p w14:paraId="36631F44"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7</w:t>
      </w:r>
      <w:r w:rsidRPr="00985F17">
        <w:rPr>
          <w:rFonts w:ascii="Book Antiqua" w:eastAsia="宋体" w:hAnsi="Book Antiqua" w:cs="宋体" w:hint="eastAsia"/>
          <w:sz w:val="24"/>
          <w:szCs w:val="24"/>
          <w:lang w:val="en-US"/>
        </w:rPr>
        <w:t xml:space="preserve"> </w:t>
      </w:r>
      <w:r w:rsidRPr="00985F17">
        <w:rPr>
          <w:rFonts w:ascii="Book Antiqua" w:eastAsia="宋体" w:hAnsi="Book Antiqua" w:cs="宋体"/>
          <w:b/>
          <w:sz w:val="24"/>
          <w:szCs w:val="24"/>
          <w:lang w:val="en-US"/>
        </w:rPr>
        <w:t>Yao K</w:t>
      </w:r>
      <w:r w:rsidRPr="00985F17">
        <w:rPr>
          <w:rFonts w:ascii="Book Antiqua" w:eastAsia="宋体" w:hAnsi="Book Antiqua" w:cs="宋体"/>
          <w:sz w:val="24"/>
          <w:szCs w:val="24"/>
          <w:lang w:val="en-US"/>
        </w:rPr>
        <w:t xml:space="preserve">, Oishi T. Microgastroscopic findings of mucosal microvascular architecture as visualized by magnifying endoscopy. </w:t>
      </w:r>
      <w:r w:rsidRPr="00985F17">
        <w:rPr>
          <w:rFonts w:ascii="Book Antiqua" w:eastAsia="宋体" w:hAnsi="Book Antiqua" w:cs="宋体"/>
          <w:i/>
          <w:sz w:val="24"/>
          <w:szCs w:val="24"/>
          <w:lang w:val="en-US"/>
        </w:rPr>
        <w:t xml:space="preserve">Digestive Endoscopy </w:t>
      </w:r>
      <w:r w:rsidRPr="00985F17">
        <w:rPr>
          <w:rFonts w:ascii="Book Antiqua" w:eastAsia="宋体" w:hAnsi="Book Antiqua" w:cs="宋体"/>
          <w:sz w:val="24"/>
          <w:szCs w:val="24"/>
          <w:lang w:val="en-US"/>
        </w:rPr>
        <w:t xml:space="preserve">2001; </w:t>
      </w:r>
      <w:r w:rsidRPr="00985F17">
        <w:rPr>
          <w:rFonts w:ascii="Book Antiqua" w:eastAsia="宋体" w:hAnsi="Book Antiqua" w:cs="宋体"/>
          <w:b/>
          <w:sz w:val="24"/>
          <w:szCs w:val="24"/>
          <w:lang w:val="en-US"/>
        </w:rPr>
        <w:t>13</w:t>
      </w:r>
      <w:r w:rsidRPr="00985F17">
        <w:rPr>
          <w:rFonts w:ascii="Book Antiqua" w:eastAsia="宋体" w:hAnsi="Book Antiqua" w:cs="宋体"/>
          <w:sz w:val="24"/>
          <w:szCs w:val="24"/>
          <w:lang w:val="en-US"/>
        </w:rPr>
        <w:t>: S27-S33</w:t>
      </w:r>
    </w:p>
    <w:p w14:paraId="13B335DE"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8 </w:t>
      </w:r>
      <w:r w:rsidRPr="00985F17">
        <w:rPr>
          <w:rFonts w:ascii="Book Antiqua" w:eastAsia="宋体" w:hAnsi="Book Antiqua" w:cs="宋体"/>
          <w:b/>
          <w:bCs/>
          <w:sz w:val="24"/>
          <w:szCs w:val="24"/>
          <w:lang w:val="en-US"/>
        </w:rPr>
        <w:t>Yagi K</w:t>
      </w:r>
      <w:r w:rsidRPr="00985F17">
        <w:rPr>
          <w:rFonts w:ascii="Book Antiqua" w:eastAsia="宋体" w:hAnsi="Book Antiqua" w:cs="宋体"/>
          <w:sz w:val="24"/>
          <w:szCs w:val="24"/>
          <w:lang w:val="en-US"/>
        </w:rPr>
        <w:t>, Nakamura A, Sekine A. Characteristic endoscopic and magnified endoscopic findings in the normal stomach without Helicobacter pylori infection. </w:t>
      </w:r>
      <w:r w:rsidRPr="00985F17">
        <w:rPr>
          <w:rFonts w:ascii="Book Antiqua" w:eastAsia="宋体" w:hAnsi="Book Antiqua" w:cs="宋体"/>
          <w:i/>
          <w:iCs/>
          <w:sz w:val="24"/>
          <w:szCs w:val="24"/>
          <w:lang w:val="en-US"/>
        </w:rPr>
        <w:t>J Gastroenterol Hepatol</w:t>
      </w:r>
      <w:r w:rsidRPr="00985F17">
        <w:rPr>
          <w:rFonts w:ascii="Book Antiqua" w:eastAsia="宋体" w:hAnsi="Book Antiqua" w:cs="宋体"/>
          <w:sz w:val="24"/>
          <w:szCs w:val="24"/>
          <w:lang w:val="en-US"/>
        </w:rPr>
        <w:t> 2002; </w:t>
      </w:r>
      <w:r w:rsidRPr="00985F17">
        <w:rPr>
          <w:rFonts w:ascii="Book Antiqua" w:eastAsia="宋体" w:hAnsi="Book Antiqua" w:cs="宋体"/>
          <w:b/>
          <w:bCs/>
          <w:sz w:val="24"/>
          <w:szCs w:val="24"/>
          <w:lang w:val="en-US"/>
        </w:rPr>
        <w:t>17</w:t>
      </w:r>
      <w:r w:rsidRPr="00985F17">
        <w:rPr>
          <w:rFonts w:ascii="Book Antiqua" w:eastAsia="宋体" w:hAnsi="Book Antiqua" w:cs="宋体"/>
          <w:sz w:val="24"/>
          <w:szCs w:val="24"/>
          <w:lang w:val="en-US"/>
        </w:rPr>
        <w:t>: 39-45 [PMID: 11895551 DOI: 10.1046/j.1440-1746.2002.02665.x]</w:t>
      </w:r>
    </w:p>
    <w:p w14:paraId="5D264809"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9 </w:t>
      </w:r>
      <w:r w:rsidRPr="00985F17">
        <w:rPr>
          <w:rFonts w:ascii="Book Antiqua" w:eastAsia="宋体" w:hAnsi="Book Antiqua" w:cs="宋体"/>
          <w:b/>
          <w:bCs/>
          <w:sz w:val="24"/>
          <w:szCs w:val="24"/>
          <w:lang w:val="en-US"/>
        </w:rPr>
        <w:t>Yagi K</w:t>
      </w:r>
      <w:r w:rsidRPr="00985F17">
        <w:rPr>
          <w:rFonts w:ascii="Book Antiqua" w:eastAsia="宋体" w:hAnsi="Book Antiqua" w:cs="宋体"/>
          <w:sz w:val="24"/>
          <w:szCs w:val="24"/>
          <w:lang w:val="en-US"/>
        </w:rPr>
        <w:t>, Nakamura A, Sekine A. Comparison between magnifying endoscopy and histological, culture and urease test findings from the gastric mucosa of the corpus. </w:t>
      </w:r>
      <w:r w:rsidRPr="00985F17">
        <w:rPr>
          <w:rFonts w:ascii="Book Antiqua" w:eastAsia="宋体" w:hAnsi="Book Antiqua" w:cs="宋体"/>
          <w:i/>
          <w:iCs/>
          <w:sz w:val="24"/>
          <w:szCs w:val="24"/>
          <w:lang w:val="en-US"/>
        </w:rPr>
        <w:t>Endoscopy</w:t>
      </w:r>
      <w:r w:rsidRPr="00985F17">
        <w:rPr>
          <w:rFonts w:ascii="Book Antiqua" w:eastAsia="宋体" w:hAnsi="Book Antiqua" w:cs="宋体"/>
          <w:sz w:val="24"/>
          <w:szCs w:val="24"/>
          <w:lang w:val="en-US"/>
        </w:rPr>
        <w:t> 2002; </w:t>
      </w:r>
      <w:r w:rsidRPr="00985F17">
        <w:rPr>
          <w:rFonts w:ascii="Book Antiqua" w:eastAsia="宋体" w:hAnsi="Book Antiqua" w:cs="宋体"/>
          <w:b/>
          <w:bCs/>
          <w:sz w:val="24"/>
          <w:szCs w:val="24"/>
          <w:lang w:val="en-US"/>
        </w:rPr>
        <w:t>34</w:t>
      </w:r>
      <w:r w:rsidRPr="00985F17">
        <w:rPr>
          <w:rFonts w:ascii="Book Antiqua" w:eastAsia="宋体" w:hAnsi="Book Antiqua" w:cs="宋体"/>
          <w:sz w:val="24"/>
          <w:szCs w:val="24"/>
          <w:lang w:val="en-US"/>
        </w:rPr>
        <w:t>: 376-381 [PMID: 11972268 DOI: 10.1055/s-2002-25281]</w:t>
      </w:r>
    </w:p>
    <w:p w14:paraId="20A65890"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10 </w:t>
      </w:r>
      <w:r w:rsidRPr="00985F17">
        <w:rPr>
          <w:rFonts w:ascii="Book Antiqua" w:eastAsia="宋体" w:hAnsi="Book Antiqua" w:cs="宋体"/>
          <w:b/>
          <w:bCs/>
          <w:sz w:val="24"/>
          <w:szCs w:val="24"/>
          <w:lang w:val="en-US"/>
        </w:rPr>
        <w:t>Gonen C</w:t>
      </w:r>
      <w:r w:rsidRPr="00985F17">
        <w:rPr>
          <w:rFonts w:ascii="Book Antiqua" w:eastAsia="宋体" w:hAnsi="Book Antiqua" w:cs="宋体"/>
          <w:sz w:val="24"/>
          <w:szCs w:val="24"/>
          <w:lang w:val="en-US"/>
        </w:rPr>
        <w:t>, Simsek I, Sarioglu S, Akpinar H. Comparison of high resolution magnifying endoscopy and standard videoendoscopy for the diagnosis of Helicobacter pylori gastritis in routine clinical practice: a prospective study. </w:t>
      </w:r>
      <w:r w:rsidRPr="00985F17">
        <w:rPr>
          <w:rFonts w:ascii="Book Antiqua" w:eastAsia="宋体" w:hAnsi="Book Antiqua" w:cs="宋体"/>
          <w:i/>
          <w:iCs/>
          <w:sz w:val="24"/>
          <w:szCs w:val="24"/>
          <w:lang w:val="en-US"/>
        </w:rPr>
        <w:t>Helicobacter</w:t>
      </w:r>
      <w:r w:rsidRPr="00985F17">
        <w:rPr>
          <w:rFonts w:ascii="Book Antiqua" w:eastAsia="宋体" w:hAnsi="Book Antiqua" w:cs="宋体"/>
          <w:sz w:val="24"/>
          <w:szCs w:val="24"/>
          <w:lang w:val="en-US"/>
        </w:rPr>
        <w:t> 2009; </w:t>
      </w:r>
      <w:r w:rsidRPr="00985F17">
        <w:rPr>
          <w:rFonts w:ascii="Book Antiqua" w:eastAsia="宋体" w:hAnsi="Book Antiqua" w:cs="宋体"/>
          <w:b/>
          <w:bCs/>
          <w:sz w:val="24"/>
          <w:szCs w:val="24"/>
          <w:lang w:val="en-US"/>
        </w:rPr>
        <w:t>14</w:t>
      </w:r>
      <w:r w:rsidRPr="00985F17">
        <w:rPr>
          <w:rFonts w:ascii="Book Antiqua" w:eastAsia="宋体" w:hAnsi="Book Antiqua" w:cs="宋体"/>
          <w:sz w:val="24"/>
          <w:szCs w:val="24"/>
          <w:lang w:val="en-US"/>
        </w:rPr>
        <w:t>: 12-21 [PMID: 19191891 DOI: 10.1111/j.1523-5378.2009.00650.x]</w:t>
      </w:r>
    </w:p>
    <w:p w14:paraId="28A0573E"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11 </w:t>
      </w:r>
      <w:r w:rsidRPr="00985F17">
        <w:rPr>
          <w:rFonts w:ascii="Book Antiqua" w:eastAsia="宋体" w:hAnsi="Book Antiqua" w:cs="宋体"/>
          <w:b/>
          <w:bCs/>
          <w:sz w:val="24"/>
          <w:szCs w:val="24"/>
          <w:lang w:val="en-US"/>
        </w:rPr>
        <w:t>Anagnostopoulos GK</w:t>
      </w:r>
      <w:r w:rsidRPr="00985F17">
        <w:rPr>
          <w:rFonts w:ascii="Book Antiqua" w:eastAsia="宋体" w:hAnsi="Book Antiqua" w:cs="宋体"/>
          <w:sz w:val="24"/>
          <w:szCs w:val="24"/>
          <w:lang w:val="en-US"/>
        </w:rPr>
        <w:t>, Yao K, Kaye P, Fogden E, Fortun P, Shonde A, Foley S, Sunil S, Atherton JJ, Hawkey C, Ragunath K. High-resolution magnification endoscopy can reliably identify normal gastric mucosa, Helicobacter pylori-associated gastritis, and gastric atrophy. </w:t>
      </w:r>
      <w:r w:rsidRPr="00985F17">
        <w:rPr>
          <w:rFonts w:ascii="Book Antiqua" w:eastAsia="宋体" w:hAnsi="Book Antiqua" w:cs="宋体"/>
          <w:i/>
          <w:iCs/>
          <w:sz w:val="24"/>
          <w:szCs w:val="24"/>
          <w:lang w:val="en-US"/>
        </w:rPr>
        <w:t>Endoscopy</w:t>
      </w:r>
      <w:r w:rsidRPr="00985F17">
        <w:rPr>
          <w:rFonts w:ascii="Book Antiqua" w:eastAsia="宋体" w:hAnsi="Book Antiqua" w:cs="宋体"/>
          <w:sz w:val="24"/>
          <w:szCs w:val="24"/>
          <w:lang w:val="en-US"/>
        </w:rPr>
        <w:t> 2007; </w:t>
      </w:r>
      <w:r w:rsidRPr="00985F17">
        <w:rPr>
          <w:rFonts w:ascii="Book Antiqua" w:eastAsia="宋体" w:hAnsi="Book Antiqua" w:cs="宋体"/>
          <w:b/>
          <w:bCs/>
          <w:sz w:val="24"/>
          <w:szCs w:val="24"/>
          <w:lang w:val="en-US"/>
        </w:rPr>
        <w:t>39</w:t>
      </w:r>
      <w:r w:rsidRPr="00985F17">
        <w:rPr>
          <w:rFonts w:ascii="Book Antiqua" w:eastAsia="宋体" w:hAnsi="Book Antiqua" w:cs="宋体"/>
          <w:sz w:val="24"/>
          <w:szCs w:val="24"/>
          <w:lang w:val="en-US"/>
        </w:rPr>
        <w:t>: 202-207 [PMID: 17273960 DOI: 10.1055/s-2006-945056]</w:t>
      </w:r>
    </w:p>
    <w:p w14:paraId="2A3FB194"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12 </w:t>
      </w:r>
      <w:r w:rsidRPr="00985F17">
        <w:rPr>
          <w:rFonts w:ascii="Book Antiqua" w:eastAsia="宋体" w:hAnsi="Book Antiqua" w:cs="宋体"/>
          <w:b/>
          <w:bCs/>
          <w:sz w:val="24"/>
          <w:szCs w:val="24"/>
          <w:lang w:val="en-US"/>
        </w:rPr>
        <w:t>Yang JM</w:t>
      </w:r>
      <w:r w:rsidRPr="00985F17">
        <w:rPr>
          <w:rFonts w:ascii="Book Antiqua" w:eastAsia="宋体" w:hAnsi="Book Antiqua" w:cs="宋体"/>
          <w:sz w:val="24"/>
          <w:szCs w:val="24"/>
          <w:lang w:val="en-US"/>
        </w:rPr>
        <w:t>, Chen L, Fan YL, Li XH, Yu X, Fang DC. Endoscopic patterns of gastric mucosa and its clinicopathological significance. </w:t>
      </w:r>
      <w:r w:rsidRPr="00985F17">
        <w:rPr>
          <w:rFonts w:ascii="Book Antiqua" w:eastAsia="宋体" w:hAnsi="Book Antiqua" w:cs="宋体"/>
          <w:i/>
          <w:iCs/>
          <w:sz w:val="24"/>
          <w:szCs w:val="24"/>
          <w:lang w:val="en-US"/>
        </w:rPr>
        <w:t>World J Gastroenterol</w:t>
      </w:r>
      <w:r w:rsidRPr="00985F17">
        <w:rPr>
          <w:rFonts w:ascii="Book Antiqua" w:eastAsia="宋体" w:hAnsi="Book Antiqua" w:cs="宋体"/>
          <w:sz w:val="24"/>
          <w:szCs w:val="24"/>
          <w:lang w:val="en-US"/>
        </w:rPr>
        <w:t> 2003; </w:t>
      </w:r>
      <w:r w:rsidRPr="00985F17">
        <w:rPr>
          <w:rFonts w:ascii="Book Antiqua" w:eastAsia="宋体" w:hAnsi="Book Antiqua" w:cs="宋体"/>
          <w:b/>
          <w:bCs/>
          <w:sz w:val="24"/>
          <w:szCs w:val="24"/>
          <w:lang w:val="en-US"/>
        </w:rPr>
        <w:t>9</w:t>
      </w:r>
      <w:r w:rsidRPr="00985F17">
        <w:rPr>
          <w:rFonts w:ascii="Book Antiqua" w:eastAsia="宋体" w:hAnsi="Book Antiqua" w:cs="宋体"/>
          <w:sz w:val="24"/>
          <w:szCs w:val="24"/>
          <w:lang w:val="en-US"/>
        </w:rPr>
        <w:t>: 2552-2556 [PMID: 14606095]</w:t>
      </w:r>
    </w:p>
    <w:p w14:paraId="688C3C40"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13 </w:t>
      </w:r>
      <w:r w:rsidRPr="00985F17">
        <w:rPr>
          <w:rFonts w:ascii="Book Antiqua" w:eastAsia="宋体" w:hAnsi="Book Antiqua" w:cs="宋体"/>
          <w:b/>
          <w:bCs/>
          <w:sz w:val="24"/>
          <w:szCs w:val="24"/>
          <w:lang w:val="en-US"/>
        </w:rPr>
        <w:t>Nakagawa S</w:t>
      </w:r>
      <w:r w:rsidRPr="00985F17">
        <w:rPr>
          <w:rFonts w:ascii="Book Antiqua" w:eastAsia="宋体" w:hAnsi="Book Antiqua" w:cs="宋体"/>
          <w:sz w:val="24"/>
          <w:szCs w:val="24"/>
          <w:lang w:val="en-US"/>
        </w:rPr>
        <w:t>, Kato M, Shimizu Y, Nakagawa M, Yamamoto J, Luis PA, Kodaira J, Kawarasaki M, Takeda H, Sugiyama T, Asaka M. Relationship between histopathologic gastritis and mucosal microvascularity: observations with magnifying endoscopy.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2003; </w:t>
      </w:r>
      <w:r w:rsidRPr="00985F17">
        <w:rPr>
          <w:rFonts w:ascii="Book Antiqua" w:eastAsia="宋体" w:hAnsi="Book Antiqua" w:cs="宋体"/>
          <w:b/>
          <w:bCs/>
          <w:sz w:val="24"/>
          <w:szCs w:val="24"/>
          <w:lang w:val="en-US"/>
        </w:rPr>
        <w:t>58</w:t>
      </w:r>
      <w:r w:rsidRPr="00985F17">
        <w:rPr>
          <w:rFonts w:ascii="Book Antiqua" w:eastAsia="宋体" w:hAnsi="Book Antiqua" w:cs="宋体"/>
          <w:sz w:val="24"/>
          <w:szCs w:val="24"/>
          <w:lang w:val="en-US"/>
        </w:rPr>
        <w:t>: 71-75 [PMID: 12838224 DOI: 10.1067/mge.2003.316]</w:t>
      </w:r>
    </w:p>
    <w:p w14:paraId="66F05A02"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14 </w:t>
      </w:r>
      <w:r w:rsidRPr="00985F17">
        <w:rPr>
          <w:rFonts w:ascii="Book Antiqua" w:eastAsia="宋体" w:hAnsi="Book Antiqua" w:cs="宋体"/>
          <w:b/>
          <w:bCs/>
          <w:sz w:val="24"/>
          <w:szCs w:val="24"/>
          <w:lang w:val="en-US"/>
        </w:rPr>
        <w:t>Correa P</w:t>
      </w:r>
      <w:r w:rsidRPr="00985F17">
        <w:rPr>
          <w:rFonts w:ascii="Book Antiqua" w:eastAsia="宋体" w:hAnsi="Book Antiqua" w:cs="宋体"/>
          <w:sz w:val="24"/>
          <w:szCs w:val="24"/>
          <w:lang w:val="en-US"/>
        </w:rPr>
        <w:t>. Human gastric carcinogenesis: a multistep and multifactorial process--First American Cancer Society Award Lecture on Cancer Epidemiology and Prevention. </w:t>
      </w:r>
      <w:r w:rsidRPr="00985F17">
        <w:rPr>
          <w:rFonts w:ascii="Book Antiqua" w:eastAsia="宋体" w:hAnsi="Book Antiqua" w:cs="宋体"/>
          <w:i/>
          <w:iCs/>
          <w:sz w:val="24"/>
          <w:szCs w:val="24"/>
          <w:lang w:val="en-US"/>
        </w:rPr>
        <w:t>Cancer Res</w:t>
      </w:r>
      <w:r w:rsidRPr="00985F17">
        <w:rPr>
          <w:rFonts w:ascii="Book Antiqua" w:eastAsia="宋体" w:hAnsi="Book Antiqua" w:cs="宋体"/>
          <w:sz w:val="24"/>
          <w:szCs w:val="24"/>
          <w:lang w:val="en-US"/>
        </w:rPr>
        <w:t> 1992; </w:t>
      </w:r>
      <w:r w:rsidRPr="00985F17">
        <w:rPr>
          <w:rFonts w:ascii="Book Antiqua" w:eastAsia="宋体" w:hAnsi="Book Antiqua" w:cs="宋体"/>
          <w:b/>
          <w:bCs/>
          <w:sz w:val="24"/>
          <w:szCs w:val="24"/>
          <w:lang w:val="en-US"/>
        </w:rPr>
        <w:t>52</w:t>
      </w:r>
      <w:r w:rsidRPr="00985F17">
        <w:rPr>
          <w:rFonts w:ascii="Book Antiqua" w:eastAsia="宋体" w:hAnsi="Book Antiqua" w:cs="宋体"/>
          <w:sz w:val="24"/>
          <w:szCs w:val="24"/>
          <w:lang w:val="en-US"/>
        </w:rPr>
        <w:t>: 6735-6740 [PMID: 1458460]</w:t>
      </w:r>
    </w:p>
    <w:p w14:paraId="2DB9FB1C"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15</w:t>
      </w:r>
      <w:r w:rsidRPr="00985F17">
        <w:rPr>
          <w:rFonts w:ascii="Book Antiqua" w:eastAsia="宋体" w:hAnsi="Book Antiqua" w:cs="宋体" w:hint="eastAsia"/>
          <w:sz w:val="24"/>
          <w:szCs w:val="24"/>
          <w:lang w:val="en-US"/>
        </w:rPr>
        <w:t xml:space="preserve"> </w:t>
      </w:r>
      <w:r w:rsidRPr="00985F17">
        <w:rPr>
          <w:rFonts w:ascii="Book Antiqua" w:eastAsia="宋体" w:hAnsi="Book Antiqua" w:cs="宋体"/>
          <w:b/>
          <w:sz w:val="24"/>
          <w:szCs w:val="24"/>
          <w:lang w:val="en-US"/>
        </w:rPr>
        <w:t>Tobita K</w:t>
      </w:r>
      <w:r w:rsidRPr="00985F17">
        <w:rPr>
          <w:rFonts w:ascii="Book Antiqua" w:eastAsia="宋体" w:hAnsi="Book Antiqua" w:cs="宋体"/>
          <w:sz w:val="24"/>
          <w:szCs w:val="24"/>
          <w:lang w:val="en-US"/>
        </w:rPr>
        <w:t xml:space="preserve">. Study on minute surface structures of the depressed-type early gastric cancer with magnifying endoscopy. </w:t>
      </w:r>
      <w:r w:rsidRPr="00985F17">
        <w:rPr>
          <w:rFonts w:ascii="Book Antiqua" w:eastAsia="宋体" w:hAnsi="Book Antiqua" w:cs="宋体"/>
          <w:i/>
          <w:sz w:val="24"/>
          <w:szCs w:val="24"/>
          <w:lang w:val="en-US"/>
        </w:rPr>
        <w:t>Digestive Endoscopy</w:t>
      </w:r>
      <w:r w:rsidRPr="00985F17">
        <w:rPr>
          <w:rFonts w:ascii="Book Antiqua" w:eastAsia="宋体" w:hAnsi="Book Antiqua" w:cs="宋体"/>
          <w:sz w:val="24"/>
          <w:szCs w:val="24"/>
          <w:lang w:val="en-US"/>
        </w:rPr>
        <w:t xml:space="preserve"> 2001; </w:t>
      </w:r>
      <w:r w:rsidRPr="00985F17">
        <w:rPr>
          <w:rFonts w:ascii="Book Antiqua" w:eastAsia="宋体" w:hAnsi="Book Antiqua" w:cs="宋体"/>
          <w:b/>
          <w:sz w:val="24"/>
          <w:szCs w:val="24"/>
          <w:lang w:val="en-US"/>
        </w:rPr>
        <w:t>13</w:t>
      </w:r>
      <w:r w:rsidRPr="00985F17">
        <w:rPr>
          <w:rFonts w:ascii="Book Antiqua" w:eastAsia="宋体" w:hAnsi="Book Antiqua" w:cs="宋体"/>
          <w:sz w:val="24"/>
          <w:szCs w:val="24"/>
          <w:lang w:val="en-US"/>
        </w:rPr>
        <w:t>: 121-</w:t>
      </w:r>
      <w:r w:rsidRPr="00985F17">
        <w:rPr>
          <w:rFonts w:ascii="Book Antiqua" w:eastAsia="宋体" w:hAnsi="Book Antiqua" w:cs="宋体" w:hint="eastAsia"/>
          <w:sz w:val="24"/>
          <w:szCs w:val="24"/>
          <w:lang w:val="en-US"/>
        </w:rPr>
        <w:t>1</w:t>
      </w:r>
      <w:r w:rsidRPr="00985F17">
        <w:rPr>
          <w:rFonts w:ascii="Book Antiqua" w:eastAsia="宋体" w:hAnsi="Book Antiqua" w:cs="宋体"/>
          <w:sz w:val="24"/>
          <w:szCs w:val="24"/>
          <w:lang w:val="en-US"/>
        </w:rPr>
        <w:t>26</w:t>
      </w:r>
    </w:p>
    <w:p w14:paraId="52E328BA"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16 </w:t>
      </w:r>
      <w:r w:rsidRPr="00985F17">
        <w:rPr>
          <w:rFonts w:ascii="Book Antiqua" w:eastAsia="宋体" w:hAnsi="Book Antiqua" w:cs="宋体"/>
          <w:b/>
          <w:bCs/>
          <w:sz w:val="24"/>
          <w:szCs w:val="24"/>
          <w:lang w:val="en-US"/>
        </w:rPr>
        <w:t>Tajiri H</w:t>
      </w:r>
      <w:r w:rsidRPr="00985F17">
        <w:rPr>
          <w:rFonts w:ascii="Book Antiqua" w:eastAsia="宋体" w:hAnsi="Book Antiqua" w:cs="宋体"/>
          <w:sz w:val="24"/>
          <w:szCs w:val="24"/>
          <w:lang w:val="en-US"/>
        </w:rPr>
        <w:t>, Doi T, Endo H, Nishina T, Terao T, Hyodo I, Matsuda K, Yagi K. Routine endoscopy using a magnifying endoscope for gastric cancer diagnosis. </w:t>
      </w:r>
      <w:r w:rsidRPr="00985F17">
        <w:rPr>
          <w:rFonts w:ascii="Book Antiqua" w:eastAsia="宋体" w:hAnsi="Book Antiqua" w:cs="宋体"/>
          <w:i/>
          <w:iCs/>
          <w:sz w:val="24"/>
          <w:szCs w:val="24"/>
          <w:lang w:val="en-US"/>
        </w:rPr>
        <w:t>Endoscopy</w:t>
      </w:r>
      <w:r w:rsidRPr="00985F17">
        <w:rPr>
          <w:rFonts w:ascii="Book Antiqua" w:eastAsia="宋体" w:hAnsi="Book Antiqua" w:cs="宋体"/>
          <w:sz w:val="24"/>
          <w:szCs w:val="24"/>
          <w:lang w:val="en-US"/>
        </w:rPr>
        <w:t> 2002; </w:t>
      </w:r>
      <w:r w:rsidRPr="00985F17">
        <w:rPr>
          <w:rFonts w:ascii="Book Antiqua" w:eastAsia="宋体" w:hAnsi="Book Antiqua" w:cs="宋体"/>
          <w:b/>
          <w:bCs/>
          <w:sz w:val="24"/>
          <w:szCs w:val="24"/>
          <w:lang w:val="en-US"/>
        </w:rPr>
        <w:t>34</w:t>
      </w:r>
      <w:r w:rsidRPr="00985F17">
        <w:rPr>
          <w:rFonts w:ascii="Book Antiqua" w:eastAsia="宋体" w:hAnsi="Book Antiqua" w:cs="宋体"/>
          <w:sz w:val="24"/>
          <w:szCs w:val="24"/>
          <w:lang w:val="en-US"/>
        </w:rPr>
        <w:t>: 772-777 [PMID: 12244497 DOI: 10.1055/s-2002-34267]</w:t>
      </w:r>
    </w:p>
    <w:p w14:paraId="6F9E5351"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17 </w:t>
      </w:r>
      <w:r w:rsidRPr="00985F17">
        <w:rPr>
          <w:rFonts w:ascii="Book Antiqua" w:eastAsia="宋体" w:hAnsi="Book Antiqua" w:cs="宋体"/>
          <w:b/>
          <w:bCs/>
          <w:sz w:val="24"/>
          <w:szCs w:val="24"/>
          <w:lang w:val="en-US"/>
        </w:rPr>
        <w:t>Yao K</w:t>
      </w:r>
      <w:r w:rsidRPr="00985F17">
        <w:rPr>
          <w:rFonts w:ascii="Book Antiqua" w:eastAsia="宋体" w:hAnsi="Book Antiqua" w:cs="宋体"/>
          <w:sz w:val="24"/>
          <w:szCs w:val="24"/>
          <w:lang w:val="en-US"/>
        </w:rPr>
        <w:t>, Oishi T, Matsui T, Yao T, Iwashita A. Novel magnified endoscopic findings of microvascular architecture in intramucosal gastric cancer.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2002; </w:t>
      </w:r>
      <w:r w:rsidRPr="00985F17">
        <w:rPr>
          <w:rFonts w:ascii="Book Antiqua" w:eastAsia="宋体" w:hAnsi="Book Antiqua" w:cs="宋体"/>
          <w:b/>
          <w:bCs/>
          <w:sz w:val="24"/>
          <w:szCs w:val="24"/>
          <w:lang w:val="en-US"/>
        </w:rPr>
        <w:t>56</w:t>
      </w:r>
      <w:r w:rsidRPr="00985F17">
        <w:rPr>
          <w:rFonts w:ascii="Book Antiqua" w:eastAsia="宋体" w:hAnsi="Book Antiqua" w:cs="宋体"/>
          <w:sz w:val="24"/>
          <w:szCs w:val="24"/>
          <w:lang w:val="en-US"/>
        </w:rPr>
        <w:t>: 279-284 [PMID: 12145613 DOI: 10.1016/S0016-5107(02)70194-6]</w:t>
      </w:r>
    </w:p>
    <w:p w14:paraId="27EF2BE9"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18 </w:t>
      </w:r>
      <w:r w:rsidRPr="00985F17">
        <w:rPr>
          <w:rFonts w:ascii="Book Antiqua" w:eastAsia="宋体" w:hAnsi="Book Antiqua" w:cs="宋体"/>
          <w:b/>
          <w:bCs/>
          <w:sz w:val="24"/>
          <w:szCs w:val="24"/>
          <w:lang w:val="en-US"/>
        </w:rPr>
        <w:t>Yao K</w:t>
      </w:r>
      <w:r w:rsidRPr="00985F17">
        <w:rPr>
          <w:rFonts w:ascii="Book Antiqua" w:eastAsia="宋体" w:hAnsi="Book Antiqua" w:cs="宋体"/>
          <w:sz w:val="24"/>
          <w:szCs w:val="24"/>
          <w:lang w:val="en-US"/>
        </w:rPr>
        <w:t>, Iwashita A, Tanabe H, Nagahama T, Matsui T, Ueki T, Sou S, Kikuchi Y, Yorioka M. Novel zoom endoscopy technique for diagnosis of small flat gastric cancer: a prospective, blind study. </w:t>
      </w:r>
      <w:r w:rsidRPr="00985F17">
        <w:rPr>
          <w:rFonts w:ascii="Book Antiqua" w:eastAsia="宋体" w:hAnsi="Book Antiqua" w:cs="宋体"/>
          <w:i/>
          <w:iCs/>
          <w:sz w:val="24"/>
          <w:szCs w:val="24"/>
          <w:lang w:val="en-US"/>
        </w:rPr>
        <w:t>Clin Gastroenterol Hepatol</w:t>
      </w:r>
      <w:r w:rsidRPr="00985F17">
        <w:rPr>
          <w:rFonts w:ascii="Book Antiqua" w:eastAsia="宋体" w:hAnsi="Book Antiqua" w:cs="宋体"/>
          <w:sz w:val="24"/>
          <w:szCs w:val="24"/>
          <w:lang w:val="en-US"/>
        </w:rPr>
        <w:t> 2007; </w:t>
      </w:r>
      <w:r w:rsidRPr="00985F17">
        <w:rPr>
          <w:rFonts w:ascii="Book Antiqua" w:eastAsia="宋体" w:hAnsi="Book Antiqua" w:cs="宋体"/>
          <w:b/>
          <w:bCs/>
          <w:sz w:val="24"/>
          <w:szCs w:val="24"/>
          <w:lang w:val="en-US"/>
        </w:rPr>
        <w:t>5</w:t>
      </w:r>
      <w:r w:rsidRPr="00985F17">
        <w:rPr>
          <w:rFonts w:ascii="Book Antiqua" w:eastAsia="宋体" w:hAnsi="Book Antiqua" w:cs="宋体"/>
          <w:sz w:val="24"/>
          <w:szCs w:val="24"/>
          <w:lang w:val="en-US"/>
        </w:rPr>
        <w:t>: 869-878 [PMID: 17544872 DOI: 10.1016/j.cgh.2007.02.034]</w:t>
      </w:r>
    </w:p>
    <w:p w14:paraId="1D744943"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19 </w:t>
      </w:r>
      <w:r w:rsidRPr="00985F17">
        <w:rPr>
          <w:rFonts w:ascii="Book Antiqua" w:eastAsia="宋体" w:hAnsi="Book Antiqua" w:cs="宋体"/>
          <w:b/>
          <w:bCs/>
          <w:sz w:val="24"/>
          <w:szCs w:val="24"/>
          <w:lang w:val="en-US"/>
        </w:rPr>
        <w:t>Otsuka Y</w:t>
      </w:r>
      <w:r w:rsidRPr="00985F17">
        <w:rPr>
          <w:rFonts w:ascii="Book Antiqua" w:eastAsia="宋体" w:hAnsi="Book Antiqua" w:cs="宋体"/>
          <w:sz w:val="24"/>
          <w:szCs w:val="24"/>
          <w:lang w:val="en-US"/>
        </w:rPr>
        <w:t>, Niwa Y, Ohmiya N, Ando N, Ohashi A, Hirooka Y, Goto H. Usefulness of magnifying endoscopy in the diagnosis of early gastric cancer. </w:t>
      </w:r>
      <w:r w:rsidRPr="00985F17">
        <w:rPr>
          <w:rFonts w:ascii="Book Antiqua" w:eastAsia="宋体" w:hAnsi="Book Antiqua" w:cs="宋体"/>
          <w:i/>
          <w:iCs/>
          <w:sz w:val="24"/>
          <w:szCs w:val="24"/>
          <w:lang w:val="en-US"/>
        </w:rPr>
        <w:t>Endoscopy</w:t>
      </w:r>
      <w:r w:rsidRPr="00985F17">
        <w:rPr>
          <w:rFonts w:ascii="Book Antiqua" w:eastAsia="宋体" w:hAnsi="Book Antiqua" w:cs="宋体"/>
          <w:sz w:val="24"/>
          <w:szCs w:val="24"/>
          <w:lang w:val="en-US"/>
        </w:rPr>
        <w:t> 2004; </w:t>
      </w:r>
      <w:r w:rsidRPr="00985F17">
        <w:rPr>
          <w:rFonts w:ascii="Book Antiqua" w:eastAsia="宋体" w:hAnsi="Book Antiqua" w:cs="宋体"/>
          <w:b/>
          <w:bCs/>
          <w:sz w:val="24"/>
          <w:szCs w:val="24"/>
          <w:lang w:val="en-US"/>
        </w:rPr>
        <w:t>36</w:t>
      </w:r>
      <w:r w:rsidRPr="00985F17">
        <w:rPr>
          <w:rFonts w:ascii="Book Antiqua" w:eastAsia="宋体" w:hAnsi="Book Antiqua" w:cs="宋体"/>
          <w:sz w:val="24"/>
          <w:szCs w:val="24"/>
          <w:lang w:val="en-US"/>
        </w:rPr>
        <w:t>: 165-169 [PMID: 14765314 DOI: 10.1055/s-2004-814184]</w:t>
      </w:r>
    </w:p>
    <w:p w14:paraId="112B4AFC"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20 </w:t>
      </w:r>
      <w:r w:rsidRPr="00985F17">
        <w:rPr>
          <w:rFonts w:ascii="Book Antiqua" w:eastAsia="宋体" w:hAnsi="Book Antiqua" w:cs="宋体"/>
          <w:b/>
          <w:bCs/>
          <w:sz w:val="24"/>
          <w:szCs w:val="24"/>
          <w:lang w:val="en-US"/>
        </w:rPr>
        <w:t>Yoshida T</w:t>
      </w:r>
      <w:r w:rsidRPr="00985F17">
        <w:rPr>
          <w:rFonts w:ascii="Book Antiqua" w:eastAsia="宋体" w:hAnsi="Book Antiqua" w:cs="宋体"/>
          <w:sz w:val="24"/>
          <w:szCs w:val="24"/>
          <w:lang w:val="en-US"/>
        </w:rPr>
        <w:t>, Kawachi H, Sasajima K, Shiokawa A, Kudo SE. The clinical meaning of a nonstructural pattern in early gastric cancer on magnifying endoscopy.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2005; </w:t>
      </w:r>
      <w:r w:rsidRPr="00985F17">
        <w:rPr>
          <w:rFonts w:ascii="Book Antiqua" w:eastAsia="宋体" w:hAnsi="Book Antiqua" w:cs="宋体"/>
          <w:b/>
          <w:bCs/>
          <w:sz w:val="24"/>
          <w:szCs w:val="24"/>
          <w:lang w:val="en-US"/>
        </w:rPr>
        <w:t>62</w:t>
      </w:r>
      <w:r w:rsidRPr="00985F17">
        <w:rPr>
          <w:rFonts w:ascii="Book Antiqua" w:eastAsia="宋体" w:hAnsi="Book Antiqua" w:cs="宋体"/>
          <w:sz w:val="24"/>
          <w:szCs w:val="24"/>
          <w:lang w:val="en-US"/>
        </w:rPr>
        <w:t>: 48-54 [PMID: 15990819 DOI: 10.1016/S0016-5107(05)00373-1]</w:t>
      </w:r>
    </w:p>
    <w:p w14:paraId="44E86F80"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21 </w:t>
      </w:r>
      <w:r w:rsidRPr="00985F17">
        <w:rPr>
          <w:rFonts w:ascii="Book Antiqua" w:eastAsia="宋体" w:hAnsi="Book Antiqua" w:cs="宋体"/>
          <w:b/>
          <w:bCs/>
          <w:sz w:val="24"/>
          <w:szCs w:val="24"/>
          <w:lang w:val="en-US"/>
        </w:rPr>
        <w:t>Kiesslich R</w:t>
      </w:r>
      <w:r w:rsidRPr="00985F17">
        <w:rPr>
          <w:rFonts w:ascii="Book Antiqua" w:eastAsia="宋体" w:hAnsi="Book Antiqua" w:cs="宋体"/>
          <w:sz w:val="24"/>
          <w:szCs w:val="24"/>
          <w:lang w:val="en-US"/>
        </w:rPr>
        <w:t>, Fritsch J, Holtmann M, Koehler HH, Stolte M, Kanzler S, Nafe B, Jung M, Galle PR, Neurath MF. Methylene blue-aided chromoendoscopy for the detection of intraepithelial neoplasia and colon cancer in ulcerative colitis. </w:t>
      </w:r>
      <w:r w:rsidRPr="00985F17">
        <w:rPr>
          <w:rFonts w:ascii="Book Antiqua" w:eastAsia="宋体" w:hAnsi="Book Antiqua" w:cs="宋体"/>
          <w:i/>
          <w:iCs/>
          <w:sz w:val="24"/>
          <w:szCs w:val="24"/>
          <w:lang w:val="en-US"/>
        </w:rPr>
        <w:t>Gastroenterology</w:t>
      </w:r>
      <w:r w:rsidRPr="00985F17">
        <w:rPr>
          <w:rFonts w:ascii="Book Antiqua" w:eastAsia="宋体" w:hAnsi="Book Antiqua" w:cs="宋体"/>
          <w:sz w:val="24"/>
          <w:szCs w:val="24"/>
          <w:lang w:val="en-US"/>
        </w:rPr>
        <w:t> 2003; </w:t>
      </w:r>
      <w:r w:rsidRPr="00985F17">
        <w:rPr>
          <w:rFonts w:ascii="Book Antiqua" w:eastAsia="宋体" w:hAnsi="Book Antiqua" w:cs="宋体"/>
          <w:b/>
          <w:bCs/>
          <w:sz w:val="24"/>
          <w:szCs w:val="24"/>
          <w:lang w:val="en-US"/>
        </w:rPr>
        <w:t>124</w:t>
      </w:r>
      <w:r w:rsidRPr="00985F17">
        <w:rPr>
          <w:rFonts w:ascii="Book Antiqua" w:eastAsia="宋体" w:hAnsi="Book Antiqua" w:cs="宋体"/>
          <w:sz w:val="24"/>
          <w:szCs w:val="24"/>
          <w:lang w:val="en-US"/>
        </w:rPr>
        <w:t>: 880-888 [PMID: 12671882 DOI: 10.1053/gast.2003.50146]</w:t>
      </w:r>
    </w:p>
    <w:p w14:paraId="240A660E"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22 </w:t>
      </w:r>
      <w:r w:rsidRPr="00985F17">
        <w:rPr>
          <w:rFonts w:ascii="Book Antiqua" w:eastAsia="宋体" w:hAnsi="Book Antiqua" w:cs="宋体"/>
          <w:b/>
          <w:bCs/>
          <w:sz w:val="24"/>
          <w:szCs w:val="24"/>
          <w:lang w:val="en-US"/>
        </w:rPr>
        <w:t>Yagi K</w:t>
      </w:r>
      <w:r w:rsidRPr="00985F17">
        <w:rPr>
          <w:rFonts w:ascii="Book Antiqua" w:eastAsia="宋体" w:hAnsi="Book Antiqua" w:cs="宋体"/>
          <w:sz w:val="24"/>
          <w:szCs w:val="24"/>
          <w:lang w:val="en-US"/>
        </w:rPr>
        <w:t>, Aruga Y, Nakamura A, Sekine A, Umezu H. The study of dynamic chemical magnifying endoscopy in gastric neoplasia.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2005; </w:t>
      </w:r>
      <w:r w:rsidRPr="00985F17">
        <w:rPr>
          <w:rFonts w:ascii="Book Antiqua" w:eastAsia="宋体" w:hAnsi="Book Antiqua" w:cs="宋体"/>
          <w:b/>
          <w:bCs/>
          <w:sz w:val="24"/>
          <w:szCs w:val="24"/>
          <w:lang w:val="en-US"/>
        </w:rPr>
        <w:t>62</w:t>
      </w:r>
      <w:r w:rsidRPr="00985F17">
        <w:rPr>
          <w:rFonts w:ascii="Book Antiqua" w:eastAsia="宋体" w:hAnsi="Book Antiqua" w:cs="宋体"/>
          <w:sz w:val="24"/>
          <w:szCs w:val="24"/>
          <w:lang w:val="en-US"/>
        </w:rPr>
        <w:t>: 963-969 [PMID: 16301045 DOI: 10.1016/j.gie.2005.08.050]</w:t>
      </w:r>
    </w:p>
    <w:p w14:paraId="3DF9F7C9"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23 </w:t>
      </w:r>
      <w:r w:rsidRPr="00985F17">
        <w:rPr>
          <w:rFonts w:ascii="Book Antiqua" w:eastAsia="宋体" w:hAnsi="Book Antiqua" w:cs="宋体"/>
          <w:b/>
          <w:bCs/>
          <w:sz w:val="24"/>
          <w:szCs w:val="24"/>
          <w:lang w:val="en-US"/>
        </w:rPr>
        <w:t>Tanaka K</w:t>
      </w:r>
      <w:r w:rsidRPr="00985F17">
        <w:rPr>
          <w:rFonts w:ascii="Book Antiqua" w:eastAsia="宋体" w:hAnsi="Book Antiqua" w:cs="宋体"/>
          <w:sz w:val="24"/>
          <w:szCs w:val="24"/>
          <w:lang w:val="en-US"/>
        </w:rPr>
        <w:t>, Toyoda H, Kadowaki S, Kosaka R, Shiraishi T, Imoto I, Shiku H, Adachi Y. Features of early gastric cancer and gastric adenoma by enhanced-magnification endoscopy. </w:t>
      </w:r>
      <w:r w:rsidRPr="00985F17">
        <w:rPr>
          <w:rFonts w:ascii="Book Antiqua" w:eastAsia="宋体" w:hAnsi="Book Antiqua" w:cs="宋体"/>
          <w:i/>
          <w:iCs/>
          <w:sz w:val="24"/>
          <w:szCs w:val="24"/>
          <w:lang w:val="en-US"/>
        </w:rPr>
        <w:t>J Gastroenterol</w:t>
      </w:r>
      <w:r w:rsidRPr="00985F17">
        <w:rPr>
          <w:rFonts w:ascii="Book Antiqua" w:eastAsia="宋体" w:hAnsi="Book Antiqua" w:cs="宋体"/>
          <w:sz w:val="24"/>
          <w:szCs w:val="24"/>
          <w:lang w:val="en-US"/>
        </w:rPr>
        <w:t> 2006; </w:t>
      </w:r>
      <w:r w:rsidRPr="00985F17">
        <w:rPr>
          <w:rFonts w:ascii="Book Antiqua" w:eastAsia="宋体" w:hAnsi="Book Antiqua" w:cs="宋体"/>
          <w:b/>
          <w:bCs/>
          <w:sz w:val="24"/>
          <w:szCs w:val="24"/>
          <w:lang w:val="en-US"/>
        </w:rPr>
        <w:t>41</w:t>
      </w:r>
      <w:r w:rsidRPr="00985F17">
        <w:rPr>
          <w:rFonts w:ascii="Book Antiqua" w:eastAsia="宋体" w:hAnsi="Book Antiqua" w:cs="宋体"/>
          <w:sz w:val="24"/>
          <w:szCs w:val="24"/>
          <w:lang w:val="en-US"/>
        </w:rPr>
        <w:t>: 332-338 [PMID: 16741612 DOI: 10.1007/s00535-005-1760-3]</w:t>
      </w:r>
    </w:p>
    <w:p w14:paraId="39A3A58C"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24 </w:t>
      </w:r>
      <w:r w:rsidRPr="00985F17">
        <w:rPr>
          <w:rFonts w:ascii="Book Antiqua" w:eastAsia="宋体" w:hAnsi="Book Antiqua" w:cs="宋体"/>
          <w:b/>
          <w:bCs/>
          <w:sz w:val="24"/>
          <w:szCs w:val="24"/>
          <w:lang w:val="en-US"/>
        </w:rPr>
        <w:t>Tanaka K</w:t>
      </w:r>
      <w:r w:rsidRPr="00985F17">
        <w:rPr>
          <w:rFonts w:ascii="Book Antiqua" w:eastAsia="宋体" w:hAnsi="Book Antiqua" w:cs="宋体"/>
          <w:sz w:val="24"/>
          <w:szCs w:val="24"/>
          <w:lang w:val="en-US"/>
        </w:rPr>
        <w:t>, Toyoda H, Kadowaki S, Hamada Y, Kosaka R, Matsuzaki S, Shiraishi T, Imoto I, Takei Y. Surface pattern classification by enhanced-magnification endoscopy for identifying early gastric cancers.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2008; </w:t>
      </w:r>
      <w:r w:rsidRPr="00985F17">
        <w:rPr>
          <w:rFonts w:ascii="Book Antiqua" w:eastAsia="宋体" w:hAnsi="Book Antiqua" w:cs="宋体"/>
          <w:b/>
          <w:bCs/>
          <w:sz w:val="24"/>
          <w:szCs w:val="24"/>
          <w:lang w:val="en-US"/>
        </w:rPr>
        <w:t>67</w:t>
      </w:r>
      <w:r w:rsidRPr="00985F17">
        <w:rPr>
          <w:rFonts w:ascii="Book Antiqua" w:eastAsia="宋体" w:hAnsi="Book Antiqua" w:cs="宋体"/>
          <w:sz w:val="24"/>
          <w:szCs w:val="24"/>
          <w:lang w:val="en-US"/>
        </w:rPr>
        <w:t>: 430-437 [PMID: 18294504 DOI: 10.1016/j.gie.2007.10.042]</w:t>
      </w:r>
    </w:p>
    <w:p w14:paraId="5612C94B"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25 </w:t>
      </w:r>
      <w:r w:rsidRPr="00985F17">
        <w:rPr>
          <w:rFonts w:ascii="Book Antiqua" w:eastAsia="宋体" w:hAnsi="Book Antiqua" w:cs="宋体"/>
          <w:b/>
          <w:bCs/>
          <w:sz w:val="24"/>
          <w:szCs w:val="24"/>
          <w:lang w:val="en-US"/>
        </w:rPr>
        <w:t>Kohli Y</w:t>
      </w:r>
      <w:r w:rsidRPr="00985F17">
        <w:rPr>
          <w:rFonts w:ascii="Book Antiqua" w:eastAsia="宋体" w:hAnsi="Book Antiqua" w:cs="宋体"/>
          <w:sz w:val="24"/>
          <w:szCs w:val="24"/>
          <w:lang w:val="en-US"/>
        </w:rPr>
        <w:t>, Kato T, Ito S. Helicobacter pylori an chronic atrophic gastritis. </w:t>
      </w:r>
      <w:r w:rsidRPr="00985F17">
        <w:rPr>
          <w:rFonts w:ascii="Book Antiqua" w:eastAsia="宋体" w:hAnsi="Book Antiqua" w:cs="宋体"/>
          <w:i/>
          <w:iCs/>
          <w:sz w:val="24"/>
          <w:szCs w:val="24"/>
          <w:lang w:val="en-US"/>
        </w:rPr>
        <w:t>J Gastroenterol</w:t>
      </w:r>
      <w:r w:rsidRPr="00985F17">
        <w:rPr>
          <w:rFonts w:ascii="Book Antiqua" w:eastAsia="宋体" w:hAnsi="Book Antiqua" w:cs="宋体"/>
          <w:sz w:val="24"/>
          <w:szCs w:val="24"/>
          <w:lang w:val="en-US"/>
        </w:rPr>
        <w:t> 1994; </w:t>
      </w:r>
      <w:r w:rsidRPr="00985F17">
        <w:rPr>
          <w:rFonts w:ascii="Book Antiqua" w:eastAsia="宋体" w:hAnsi="Book Antiqua" w:cs="宋体"/>
          <w:b/>
          <w:bCs/>
          <w:sz w:val="24"/>
          <w:szCs w:val="24"/>
          <w:lang w:val="en-US"/>
        </w:rPr>
        <w:t>29 Suppl 7</w:t>
      </w:r>
      <w:r w:rsidRPr="00985F17">
        <w:rPr>
          <w:rFonts w:ascii="Book Antiqua" w:eastAsia="宋体" w:hAnsi="Book Antiqua" w:cs="宋体"/>
          <w:sz w:val="24"/>
          <w:szCs w:val="24"/>
          <w:lang w:val="en-US"/>
        </w:rPr>
        <w:t>: 105-109 [PMID: 7921139]</w:t>
      </w:r>
    </w:p>
    <w:p w14:paraId="29C12F7E"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26 </w:t>
      </w:r>
      <w:r w:rsidRPr="00985F17">
        <w:rPr>
          <w:rFonts w:ascii="Book Antiqua" w:eastAsia="宋体" w:hAnsi="Book Antiqua" w:cs="宋体"/>
          <w:b/>
          <w:bCs/>
          <w:sz w:val="24"/>
          <w:szCs w:val="24"/>
          <w:lang w:val="en-US"/>
        </w:rPr>
        <w:t>Dinis-Ribeiro M</w:t>
      </w:r>
      <w:r w:rsidRPr="00985F17">
        <w:rPr>
          <w:rFonts w:ascii="Book Antiqua" w:eastAsia="宋体" w:hAnsi="Book Antiqua" w:cs="宋体"/>
          <w:sz w:val="24"/>
          <w:szCs w:val="24"/>
          <w:lang w:val="en-US"/>
        </w:rPr>
        <w:t>, da Costa-Pereira A, Lopes C, Lara-Santos L, Guilherme M, Moreira-Dias L, Lomba-Viana H, Ribeiro A, Santos C, Soares J, Mesquita N, Silva R, Lomba-Viana R. Magnification chromoendoscopy for the diagnosis of gastric intestinal metaplasia and dysplasia.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2003; </w:t>
      </w:r>
      <w:r w:rsidRPr="00985F17">
        <w:rPr>
          <w:rFonts w:ascii="Book Antiqua" w:eastAsia="宋体" w:hAnsi="Book Antiqua" w:cs="宋体"/>
          <w:b/>
          <w:bCs/>
          <w:sz w:val="24"/>
          <w:szCs w:val="24"/>
          <w:lang w:val="en-US"/>
        </w:rPr>
        <w:t>57</w:t>
      </w:r>
      <w:r w:rsidRPr="00985F17">
        <w:rPr>
          <w:rFonts w:ascii="Book Antiqua" w:eastAsia="宋体" w:hAnsi="Book Antiqua" w:cs="宋体"/>
          <w:sz w:val="24"/>
          <w:szCs w:val="24"/>
          <w:lang w:val="en-US"/>
        </w:rPr>
        <w:t>: 498-504 [PMID: 12665759 DOI: 10.1067/mge.2003.145]</w:t>
      </w:r>
    </w:p>
    <w:p w14:paraId="7347C82A"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27 </w:t>
      </w:r>
      <w:r w:rsidRPr="00985F17">
        <w:rPr>
          <w:rFonts w:ascii="Book Antiqua" w:eastAsia="宋体" w:hAnsi="Book Antiqua" w:cs="宋体"/>
          <w:b/>
          <w:bCs/>
          <w:sz w:val="24"/>
          <w:szCs w:val="24"/>
          <w:lang w:val="en-US"/>
        </w:rPr>
        <w:t>Areia M</w:t>
      </w:r>
      <w:r w:rsidRPr="00985F17">
        <w:rPr>
          <w:rFonts w:ascii="Book Antiqua" w:eastAsia="宋体" w:hAnsi="Book Antiqua" w:cs="宋体"/>
          <w:sz w:val="24"/>
          <w:szCs w:val="24"/>
          <w:lang w:val="en-US"/>
        </w:rPr>
        <w:t>, Amaro P, Dinis-Ribeiro M, Cipriano MA, Marinho C, Costa-Pereira A, Lopes C, Moreira-Dias L, Romãozinho JM, Gouveia H, Freitas D, Leitão MC. External validation of a classification for methylene blue magnification chromoendoscopy in premalignant gastric lesions.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2008; </w:t>
      </w:r>
      <w:r w:rsidRPr="00985F17">
        <w:rPr>
          <w:rFonts w:ascii="Book Antiqua" w:eastAsia="宋体" w:hAnsi="Book Antiqua" w:cs="宋体"/>
          <w:b/>
          <w:bCs/>
          <w:sz w:val="24"/>
          <w:szCs w:val="24"/>
          <w:lang w:val="en-US"/>
        </w:rPr>
        <w:t>67</w:t>
      </w:r>
      <w:r w:rsidRPr="00985F17">
        <w:rPr>
          <w:rFonts w:ascii="Book Antiqua" w:eastAsia="宋体" w:hAnsi="Book Antiqua" w:cs="宋体"/>
          <w:sz w:val="24"/>
          <w:szCs w:val="24"/>
          <w:lang w:val="en-US"/>
        </w:rPr>
        <w:t>: 1011-1018 [PMID: 18178207 DOI: 10.1016/j.gie.2007.08.044]</w:t>
      </w:r>
    </w:p>
    <w:p w14:paraId="23D6F9D5"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28 </w:t>
      </w:r>
      <w:r w:rsidRPr="00985F17">
        <w:rPr>
          <w:rFonts w:ascii="Book Antiqua" w:eastAsia="宋体" w:hAnsi="Book Antiqua" w:cs="宋体"/>
          <w:b/>
          <w:bCs/>
          <w:sz w:val="24"/>
          <w:szCs w:val="24"/>
          <w:lang w:val="en-US"/>
        </w:rPr>
        <w:t>Taghavi SA</w:t>
      </w:r>
      <w:r w:rsidRPr="00985F17">
        <w:rPr>
          <w:rFonts w:ascii="Book Antiqua" w:eastAsia="宋体" w:hAnsi="Book Antiqua" w:cs="宋体"/>
          <w:sz w:val="24"/>
          <w:szCs w:val="24"/>
          <w:lang w:val="en-US"/>
        </w:rPr>
        <w:t>, Membari ME, Eshraghian A, Dehghani SM, Hamidpour L, Khademalhoseini F. Comparison of chromoendoscopy and conventional endoscopy in the detection of premalignant gastric lesions. </w:t>
      </w:r>
      <w:r w:rsidRPr="00985F17">
        <w:rPr>
          <w:rFonts w:ascii="Book Antiqua" w:eastAsia="宋体" w:hAnsi="Book Antiqua" w:cs="宋体"/>
          <w:i/>
          <w:iCs/>
          <w:sz w:val="24"/>
          <w:szCs w:val="24"/>
          <w:lang w:val="en-US"/>
        </w:rPr>
        <w:t>Can J Gastroenterol</w:t>
      </w:r>
      <w:r w:rsidRPr="00985F17">
        <w:rPr>
          <w:rFonts w:ascii="Book Antiqua" w:eastAsia="宋体" w:hAnsi="Book Antiqua" w:cs="宋体"/>
          <w:sz w:val="24"/>
          <w:szCs w:val="24"/>
          <w:lang w:val="en-US"/>
        </w:rPr>
        <w:t> 2009; </w:t>
      </w:r>
      <w:r w:rsidRPr="00985F17">
        <w:rPr>
          <w:rFonts w:ascii="Book Antiqua" w:eastAsia="宋体" w:hAnsi="Book Antiqua" w:cs="宋体"/>
          <w:b/>
          <w:bCs/>
          <w:sz w:val="24"/>
          <w:szCs w:val="24"/>
          <w:lang w:val="en-US"/>
        </w:rPr>
        <w:t>23</w:t>
      </w:r>
      <w:r w:rsidRPr="00985F17">
        <w:rPr>
          <w:rFonts w:ascii="Book Antiqua" w:eastAsia="宋体" w:hAnsi="Book Antiqua" w:cs="宋体"/>
          <w:sz w:val="24"/>
          <w:szCs w:val="24"/>
          <w:lang w:val="en-US"/>
        </w:rPr>
        <w:t>: 105-108 [PMID: 19214285]</w:t>
      </w:r>
    </w:p>
    <w:p w14:paraId="093B1C8D"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29 </w:t>
      </w:r>
      <w:r w:rsidRPr="00985F17">
        <w:rPr>
          <w:rFonts w:ascii="Book Antiqua" w:eastAsia="宋体" w:hAnsi="Book Antiqua" w:cs="宋体"/>
          <w:b/>
          <w:bCs/>
          <w:sz w:val="24"/>
          <w:szCs w:val="24"/>
          <w:lang w:val="en-US"/>
        </w:rPr>
        <w:t>Mouzyka S</w:t>
      </w:r>
      <w:r w:rsidRPr="00985F17">
        <w:rPr>
          <w:rFonts w:ascii="Book Antiqua" w:eastAsia="宋体" w:hAnsi="Book Antiqua" w:cs="宋体"/>
          <w:sz w:val="24"/>
          <w:szCs w:val="24"/>
          <w:lang w:val="en-US"/>
        </w:rPr>
        <w:t>, Fedoseeva A. Chromoendoscopy with hematoxylin in the classification of gastric lesions. </w:t>
      </w:r>
      <w:r w:rsidRPr="00985F17">
        <w:rPr>
          <w:rFonts w:ascii="Book Antiqua" w:eastAsia="宋体" w:hAnsi="Book Antiqua" w:cs="宋体"/>
          <w:i/>
          <w:iCs/>
          <w:sz w:val="24"/>
          <w:szCs w:val="24"/>
          <w:lang w:val="en-US"/>
        </w:rPr>
        <w:t>Gastric Cancer</w:t>
      </w:r>
      <w:r w:rsidRPr="00985F17">
        <w:rPr>
          <w:rFonts w:ascii="Book Antiqua" w:eastAsia="宋体" w:hAnsi="Book Antiqua" w:cs="宋体"/>
          <w:sz w:val="24"/>
          <w:szCs w:val="24"/>
          <w:lang w:val="en-US"/>
        </w:rPr>
        <w:t> 2008; </w:t>
      </w:r>
      <w:r w:rsidRPr="00985F17">
        <w:rPr>
          <w:rFonts w:ascii="Book Antiqua" w:eastAsia="宋体" w:hAnsi="Book Antiqua" w:cs="宋体"/>
          <w:b/>
          <w:bCs/>
          <w:sz w:val="24"/>
          <w:szCs w:val="24"/>
          <w:lang w:val="en-US"/>
        </w:rPr>
        <w:t>11</w:t>
      </w:r>
      <w:r w:rsidRPr="00985F17">
        <w:rPr>
          <w:rFonts w:ascii="Book Antiqua" w:eastAsia="宋体" w:hAnsi="Book Antiqua" w:cs="宋体"/>
          <w:sz w:val="24"/>
          <w:szCs w:val="24"/>
          <w:lang w:val="en-US"/>
        </w:rPr>
        <w:t>: 15-21; discussion 21-2 [PMID: 18373173 DOI: 10.1007/s10120-007-0445-4]</w:t>
      </w:r>
    </w:p>
    <w:p w14:paraId="3BC2FB3B"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30 </w:t>
      </w:r>
      <w:r w:rsidRPr="00985F17">
        <w:rPr>
          <w:rFonts w:ascii="Book Antiqua" w:eastAsia="宋体" w:hAnsi="Book Antiqua" w:cs="宋体"/>
          <w:b/>
          <w:bCs/>
          <w:sz w:val="24"/>
          <w:szCs w:val="24"/>
          <w:lang w:val="en-US"/>
        </w:rPr>
        <w:t>Iizuka T</w:t>
      </w:r>
      <w:r w:rsidRPr="00985F17">
        <w:rPr>
          <w:rFonts w:ascii="Book Antiqua" w:eastAsia="宋体" w:hAnsi="Book Antiqua" w:cs="宋体"/>
          <w:sz w:val="24"/>
          <w:szCs w:val="24"/>
          <w:lang w:val="en-US"/>
        </w:rPr>
        <w:t>, Kikuchi D, Hoteya S, Yahagi N. The acetic acid + indigocarmine method in the delineation of gastric cancer. </w:t>
      </w:r>
      <w:r w:rsidRPr="00985F17">
        <w:rPr>
          <w:rFonts w:ascii="Book Antiqua" w:eastAsia="宋体" w:hAnsi="Book Antiqua" w:cs="宋体"/>
          <w:i/>
          <w:iCs/>
          <w:sz w:val="24"/>
          <w:szCs w:val="24"/>
          <w:lang w:val="en-US"/>
        </w:rPr>
        <w:t>J Gastroenterol Hepatol</w:t>
      </w:r>
      <w:r w:rsidRPr="00985F17">
        <w:rPr>
          <w:rFonts w:ascii="Book Antiqua" w:eastAsia="宋体" w:hAnsi="Book Antiqua" w:cs="宋体"/>
          <w:sz w:val="24"/>
          <w:szCs w:val="24"/>
          <w:lang w:val="en-US"/>
        </w:rPr>
        <w:t> 2008; </w:t>
      </w:r>
      <w:r w:rsidRPr="00985F17">
        <w:rPr>
          <w:rFonts w:ascii="Book Antiqua" w:eastAsia="宋体" w:hAnsi="Book Antiqua" w:cs="宋体"/>
          <w:b/>
          <w:bCs/>
          <w:sz w:val="24"/>
          <w:szCs w:val="24"/>
          <w:lang w:val="en-US"/>
        </w:rPr>
        <w:t>23</w:t>
      </w:r>
      <w:r w:rsidRPr="00985F17">
        <w:rPr>
          <w:rFonts w:ascii="Book Antiqua" w:eastAsia="宋体" w:hAnsi="Book Antiqua" w:cs="宋体"/>
          <w:sz w:val="24"/>
          <w:szCs w:val="24"/>
          <w:lang w:val="en-US"/>
        </w:rPr>
        <w:t>: 1358-1361 [PMID: 18853994 DOI: 10.1111/j.1440-1746.2008.05528.x]</w:t>
      </w:r>
    </w:p>
    <w:p w14:paraId="422CCE24"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31 </w:t>
      </w:r>
      <w:r w:rsidRPr="00985F17">
        <w:rPr>
          <w:rFonts w:ascii="Book Antiqua" w:eastAsia="宋体" w:hAnsi="Book Antiqua" w:cs="宋体"/>
          <w:b/>
          <w:bCs/>
          <w:sz w:val="24"/>
          <w:szCs w:val="24"/>
          <w:lang w:val="en-US"/>
        </w:rPr>
        <w:t>Sakai Y</w:t>
      </w:r>
      <w:r w:rsidRPr="00985F17">
        <w:rPr>
          <w:rFonts w:ascii="Book Antiqua" w:eastAsia="宋体" w:hAnsi="Book Antiqua" w:cs="宋体"/>
          <w:sz w:val="24"/>
          <w:szCs w:val="24"/>
          <w:lang w:val="en-US"/>
        </w:rPr>
        <w:t>, Eto R, Kasanuki J, Kondo F, Kato K, Arai M, Suzuki T, Kobayashi M, Matsumura T, Bekku D, Ito K, Nakamoto S, Tanaka T, Yokosuka O. Chromoendoscopy with indigo carmine dye added to acetic acid in the diagnosis of gastric neoplasia: a prospective comparative study.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2008; </w:t>
      </w:r>
      <w:r w:rsidRPr="00985F17">
        <w:rPr>
          <w:rFonts w:ascii="Book Antiqua" w:eastAsia="宋体" w:hAnsi="Book Antiqua" w:cs="宋体"/>
          <w:b/>
          <w:bCs/>
          <w:sz w:val="24"/>
          <w:szCs w:val="24"/>
          <w:lang w:val="en-US"/>
        </w:rPr>
        <w:t>68</w:t>
      </w:r>
      <w:r w:rsidRPr="00985F17">
        <w:rPr>
          <w:rFonts w:ascii="Book Antiqua" w:eastAsia="宋体" w:hAnsi="Book Antiqua" w:cs="宋体"/>
          <w:sz w:val="24"/>
          <w:szCs w:val="24"/>
          <w:lang w:val="en-US"/>
        </w:rPr>
        <w:t>: 635-641 [PMID: 18561923 DOI: 10.1016/j.gie.2008.03.1065]</w:t>
      </w:r>
    </w:p>
    <w:p w14:paraId="4BED0E66"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32 </w:t>
      </w:r>
      <w:r w:rsidRPr="00985F17">
        <w:rPr>
          <w:rFonts w:ascii="Book Antiqua" w:eastAsia="宋体" w:hAnsi="Book Antiqua" w:cs="宋体"/>
          <w:b/>
          <w:bCs/>
          <w:sz w:val="24"/>
          <w:szCs w:val="24"/>
          <w:lang w:val="en-US"/>
        </w:rPr>
        <w:t>Kawahara Y</w:t>
      </w:r>
      <w:r w:rsidRPr="00985F17">
        <w:rPr>
          <w:rFonts w:ascii="Book Antiqua" w:eastAsia="宋体" w:hAnsi="Book Antiqua" w:cs="宋体"/>
          <w:sz w:val="24"/>
          <w:szCs w:val="24"/>
          <w:lang w:val="en-US"/>
        </w:rPr>
        <w:t>, Takenaka R, Okada H, Kawano S, Inoue M, Tsuzuki T, Tanioka D, Hori K, Yamamoto K. Novel chromoendoscopic method using an acetic acid-indigocarmine mixture for diagnostic accuracy in delineating the margin of early gastric cancers. </w:t>
      </w:r>
      <w:r w:rsidRPr="00985F17">
        <w:rPr>
          <w:rFonts w:ascii="Book Antiqua" w:eastAsia="宋体" w:hAnsi="Book Antiqua" w:cs="宋体"/>
          <w:i/>
          <w:iCs/>
          <w:sz w:val="24"/>
          <w:szCs w:val="24"/>
          <w:lang w:val="en-US"/>
        </w:rPr>
        <w:t>Dig Endosc</w:t>
      </w:r>
      <w:r w:rsidRPr="00985F17">
        <w:rPr>
          <w:rFonts w:ascii="Book Antiqua" w:eastAsia="宋体" w:hAnsi="Book Antiqua" w:cs="宋体"/>
          <w:sz w:val="24"/>
          <w:szCs w:val="24"/>
          <w:lang w:val="en-US"/>
        </w:rPr>
        <w:t> 2009; </w:t>
      </w:r>
      <w:r w:rsidRPr="00985F17">
        <w:rPr>
          <w:rFonts w:ascii="Book Antiqua" w:eastAsia="宋体" w:hAnsi="Book Antiqua" w:cs="宋体"/>
          <w:b/>
          <w:bCs/>
          <w:sz w:val="24"/>
          <w:szCs w:val="24"/>
          <w:lang w:val="en-US"/>
        </w:rPr>
        <w:t>21</w:t>
      </w:r>
      <w:r w:rsidRPr="00985F17">
        <w:rPr>
          <w:rFonts w:ascii="Book Antiqua" w:eastAsia="宋体" w:hAnsi="Book Antiqua" w:cs="宋体"/>
          <w:sz w:val="24"/>
          <w:szCs w:val="24"/>
          <w:lang w:val="en-US"/>
        </w:rPr>
        <w:t>: 14-19 [PMID: 19691795 DOI: 10.1111/j.1443-1661.2008.00824.x]</w:t>
      </w:r>
    </w:p>
    <w:p w14:paraId="604E384B"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33 </w:t>
      </w:r>
      <w:r w:rsidRPr="00985F17">
        <w:rPr>
          <w:rFonts w:ascii="Book Antiqua" w:eastAsia="宋体" w:hAnsi="Book Antiqua" w:cs="宋体"/>
          <w:b/>
          <w:bCs/>
          <w:sz w:val="24"/>
          <w:szCs w:val="24"/>
          <w:lang w:val="en-US"/>
        </w:rPr>
        <w:t>Gono K</w:t>
      </w:r>
      <w:r w:rsidRPr="00985F17">
        <w:rPr>
          <w:rFonts w:ascii="Book Antiqua" w:eastAsia="宋体" w:hAnsi="Book Antiqua" w:cs="宋体"/>
          <w:sz w:val="24"/>
          <w:szCs w:val="24"/>
          <w:lang w:val="en-US"/>
        </w:rPr>
        <w:t>, Obi T, Yamaguchi M, Ohyama N, Machida H, Sano Y, Yoshida S, Hamamoto Y, Endo T. Appearance of enhanced tissue features in narrow-band endoscopic imaging. </w:t>
      </w:r>
      <w:r w:rsidRPr="00985F17">
        <w:rPr>
          <w:rFonts w:ascii="Book Antiqua" w:eastAsia="宋体" w:hAnsi="Book Antiqua" w:cs="宋体"/>
          <w:i/>
          <w:iCs/>
          <w:sz w:val="24"/>
          <w:szCs w:val="24"/>
          <w:lang w:val="en-US"/>
        </w:rPr>
        <w:t>J Biomed Opt</w:t>
      </w:r>
      <w:r w:rsidRPr="00985F17">
        <w:rPr>
          <w:rFonts w:ascii="Book Antiqua" w:eastAsia="宋体" w:hAnsi="Book Antiqua" w:cs="宋体"/>
          <w:sz w:val="24"/>
          <w:szCs w:val="24"/>
          <w:lang w:val="en-US"/>
        </w:rPr>
        <w:t> </w:t>
      </w:r>
      <w:r w:rsidRPr="00985F17">
        <w:rPr>
          <w:rFonts w:ascii="Book Antiqua" w:eastAsia="宋体" w:hAnsi="Book Antiqua" w:cs="宋体" w:hint="eastAsia"/>
          <w:sz w:val="24"/>
          <w:szCs w:val="24"/>
          <w:lang w:val="en-US"/>
        </w:rPr>
        <w:t>2004</w:t>
      </w:r>
      <w:r w:rsidRPr="00985F17">
        <w:rPr>
          <w:rFonts w:ascii="Book Antiqua" w:eastAsia="宋体" w:hAnsi="Book Antiqua" w:cs="宋体"/>
          <w:sz w:val="24"/>
          <w:szCs w:val="24"/>
          <w:lang w:val="en-US"/>
        </w:rPr>
        <w:t>; </w:t>
      </w:r>
      <w:r w:rsidRPr="00985F17">
        <w:rPr>
          <w:rFonts w:ascii="Book Antiqua" w:eastAsia="宋体" w:hAnsi="Book Antiqua" w:cs="宋体"/>
          <w:b/>
          <w:bCs/>
          <w:sz w:val="24"/>
          <w:szCs w:val="24"/>
          <w:lang w:val="en-US"/>
        </w:rPr>
        <w:t>9</w:t>
      </w:r>
      <w:r w:rsidRPr="00985F17">
        <w:rPr>
          <w:rFonts w:ascii="Book Antiqua" w:eastAsia="宋体" w:hAnsi="Book Antiqua" w:cs="宋体"/>
          <w:sz w:val="24"/>
          <w:szCs w:val="24"/>
          <w:lang w:val="en-US"/>
        </w:rPr>
        <w:t>: 568-577 [PMID: 15189095]</w:t>
      </w:r>
    </w:p>
    <w:p w14:paraId="33D27BE6"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34 </w:t>
      </w:r>
      <w:r w:rsidRPr="00985F17">
        <w:rPr>
          <w:rFonts w:ascii="Book Antiqua" w:eastAsia="宋体" w:hAnsi="Book Antiqua" w:cs="宋体"/>
          <w:b/>
          <w:bCs/>
          <w:sz w:val="24"/>
          <w:szCs w:val="24"/>
          <w:lang w:val="en-US"/>
        </w:rPr>
        <w:t>Gono K</w:t>
      </w:r>
      <w:r w:rsidRPr="00985F17">
        <w:rPr>
          <w:rFonts w:ascii="Book Antiqua" w:eastAsia="宋体" w:hAnsi="Book Antiqua" w:cs="宋体"/>
          <w:sz w:val="24"/>
          <w:szCs w:val="24"/>
          <w:lang w:val="en-US"/>
        </w:rPr>
        <w:t>. Narrow Band Imaging: Technology Basis and Research and Development History. </w:t>
      </w:r>
      <w:r w:rsidRPr="00985F17">
        <w:rPr>
          <w:rFonts w:ascii="Book Antiqua" w:eastAsia="宋体" w:hAnsi="Book Antiqua" w:cs="宋体"/>
          <w:i/>
          <w:iCs/>
          <w:sz w:val="24"/>
          <w:szCs w:val="24"/>
          <w:lang w:val="en-US"/>
        </w:rPr>
        <w:t>Clin Endosc</w:t>
      </w:r>
      <w:r w:rsidRPr="00985F17">
        <w:rPr>
          <w:rFonts w:ascii="Book Antiqua" w:eastAsia="宋体" w:hAnsi="Book Antiqua" w:cs="宋体"/>
          <w:sz w:val="24"/>
          <w:szCs w:val="24"/>
          <w:lang w:val="en-US"/>
        </w:rPr>
        <w:t> 2015; </w:t>
      </w:r>
      <w:r w:rsidRPr="00985F17">
        <w:rPr>
          <w:rFonts w:ascii="Book Antiqua" w:eastAsia="宋体" w:hAnsi="Book Antiqua" w:cs="宋体"/>
          <w:b/>
          <w:bCs/>
          <w:sz w:val="24"/>
          <w:szCs w:val="24"/>
          <w:lang w:val="en-US"/>
        </w:rPr>
        <w:t>48</w:t>
      </w:r>
      <w:r w:rsidRPr="00985F17">
        <w:rPr>
          <w:rFonts w:ascii="Book Antiqua" w:eastAsia="宋体" w:hAnsi="Book Antiqua" w:cs="宋体"/>
          <w:sz w:val="24"/>
          <w:szCs w:val="24"/>
          <w:lang w:val="en-US"/>
        </w:rPr>
        <w:t>: 476-480 [PMID: 26668792 DOI: 10.5946/ce.2015.48.6.476]</w:t>
      </w:r>
    </w:p>
    <w:p w14:paraId="2CE7FA8D"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35 </w:t>
      </w:r>
      <w:r w:rsidRPr="00985F17">
        <w:rPr>
          <w:rFonts w:ascii="Book Antiqua" w:eastAsia="宋体" w:hAnsi="Book Antiqua" w:cs="宋体"/>
          <w:b/>
          <w:bCs/>
          <w:sz w:val="24"/>
          <w:szCs w:val="24"/>
          <w:lang w:val="en-US"/>
        </w:rPr>
        <w:t>Ang TL</w:t>
      </w:r>
      <w:r w:rsidRPr="00985F17">
        <w:rPr>
          <w:rFonts w:ascii="Book Antiqua" w:eastAsia="宋体" w:hAnsi="Book Antiqua" w:cs="宋体"/>
          <w:sz w:val="24"/>
          <w:szCs w:val="24"/>
          <w:lang w:val="en-US"/>
        </w:rPr>
        <w:t>, Fock KM, Teo EK, Tan J, Poh CH, Ong J, Ang D. The diagnostic utility of narrow band imaging magnifying endoscopy in clinical practice in a population with intermediate gastric cancer risk. </w:t>
      </w:r>
      <w:r w:rsidRPr="00985F17">
        <w:rPr>
          <w:rFonts w:ascii="Book Antiqua" w:eastAsia="宋体" w:hAnsi="Book Antiqua" w:cs="宋体"/>
          <w:i/>
          <w:iCs/>
          <w:sz w:val="24"/>
          <w:szCs w:val="24"/>
          <w:lang w:val="en-US"/>
        </w:rPr>
        <w:t>Eur J Gastroenterol Hepatol</w:t>
      </w:r>
      <w:r w:rsidRPr="00985F17">
        <w:rPr>
          <w:rFonts w:ascii="Book Antiqua" w:eastAsia="宋体" w:hAnsi="Book Antiqua" w:cs="宋体"/>
          <w:sz w:val="24"/>
          <w:szCs w:val="24"/>
          <w:lang w:val="en-US"/>
        </w:rPr>
        <w:t> 2012; </w:t>
      </w:r>
      <w:r w:rsidRPr="00985F17">
        <w:rPr>
          <w:rFonts w:ascii="Book Antiqua" w:eastAsia="宋体" w:hAnsi="Book Antiqua" w:cs="宋体"/>
          <w:b/>
          <w:bCs/>
          <w:sz w:val="24"/>
          <w:szCs w:val="24"/>
          <w:lang w:val="en-US"/>
        </w:rPr>
        <w:t>24</w:t>
      </w:r>
      <w:r w:rsidRPr="00985F17">
        <w:rPr>
          <w:rFonts w:ascii="Book Antiqua" w:eastAsia="宋体" w:hAnsi="Book Antiqua" w:cs="宋体"/>
          <w:sz w:val="24"/>
          <w:szCs w:val="24"/>
          <w:lang w:val="en-US"/>
        </w:rPr>
        <w:t>: 362-367 [PMID: 22198222 DOI: 0.1097/MEG.0b013e3283500968]</w:t>
      </w:r>
    </w:p>
    <w:p w14:paraId="5A83BE73"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36 </w:t>
      </w:r>
      <w:r w:rsidRPr="00985F17">
        <w:rPr>
          <w:rFonts w:ascii="Book Antiqua" w:eastAsia="宋体" w:hAnsi="Book Antiqua" w:cs="宋体"/>
          <w:b/>
          <w:bCs/>
          <w:sz w:val="24"/>
          <w:szCs w:val="24"/>
          <w:lang w:val="en-US"/>
        </w:rPr>
        <w:t>Yao K</w:t>
      </w:r>
      <w:r w:rsidRPr="00985F17">
        <w:rPr>
          <w:rFonts w:ascii="Book Antiqua" w:eastAsia="宋体" w:hAnsi="Book Antiqua" w:cs="宋体"/>
          <w:sz w:val="24"/>
          <w:szCs w:val="24"/>
          <w:lang w:val="en-US"/>
        </w:rPr>
        <w:t>, Doyama H, Gotoda T, Ishikawa H, Nagahama T, Yokoi C, Oda I, Machida H, Uchita K, Tabuchi M. Diagnostic performance and limitations of magnifying narrow-band imaging in screening endoscopy of early gastric cancer: a prospective multicenter feasibility study. </w:t>
      </w:r>
      <w:r w:rsidRPr="00985F17">
        <w:rPr>
          <w:rFonts w:ascii="Book Antiqua" w:eastAsia="宋体" w:hAnsi="Book Antiqua" w:cs="宋体"/>
          <w:i/>
          <w:iCs/>
          <w:sz w:val="24"/>
          <w:szCs w:val="24"/>
          <w:lang w:val="en-US"/>
        </w:rPr>
        <w:t>Gastric Cancer</w:t>
      </w:r>
      <w:r w:rsidRPr="00985F17">
        <w:rPr>
          <w:rFonts w:ascii="Book Antiqua" w:eastAsia="宋体" w:hAnsi="Book Antiqua" w:cs="宋体"/>
          <w:sz w:val="24"/>
          <w:szCs w:val="24"/>
          <w:lang w:val="en-US"/>
        </w:rPr>
        <w:t> 2014; </w:t>
      </w:r>
      <w:r w:rsidRPr="00985F17">
        <w:rPr>
          <w:rFonts w:ascii="Book Antiqua" w:eastAsia="宋体" w:hAnsi="Book Antiqua" w:cs="宋体"/>
          <w:b/>
          <w:bCs/>
          <w:sz w:val="24"/>
          <w:szCs w:val="24"/>
          <w:lang w:val="en-US"/>
        </w:rPr>
        <w:t>17</w:t>
      </w:r>
      <w:r w:rsidRPr="00985F17">
        <w:rPr>
          <w:rFonts w:ascii="Book Antiqua" w:eastAsia="宋体" w:hAnsi="Book Antiqua" w:cs="宋体"/>
          <w:sz w:val="24"/>
          <w:szCs w:val="24"/>
          <w:lang w:val="en-US"/>
        </w:rPr>
        <w:t>: 669-679 [PMID: 24407989 DOI: 10.1007/s10120-013-0332-0]</w:t>
      </w:r>
    </w:p>
    <w:p w14:paraId="0B2E29B5"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37 </w:t>
      </w:r>
      <w:r w:rsidRPr="00985F17">
        <w:rPr>
          <w:rFonts w:ascii="Book Antiqua" w:eastAsia="宋体" w:hAnsi="Book Antiqua" w:cs="宋体"/>
          <w:b/>
          <w:bCs/>
          <w:sz w:val="24"/>
          <w:szCs w:val="24"/>
          <w:lang w:val="en-US"/>
        </w:rPr>
        <w:t>Yu H</w:t>
      </w:r>
      <w:r w:rsidRPr="00985F17">
        <w:rPr>
          <w:rFonts w:ascii="Book Antiqua" w:eastAsia="宋体" w:hAnsi="Book Antiqua" w:cs="宋体"/>
          <w:sz w:val="24"/>
          <w:szCs w:val="24"/>
          <w:lang w:val="en-US"/>
        </w:rPr>
        <w:t>, Yang AM, Lu XH, Zhou WX, Yao F, Fei GJ, Guo T, Yao LQ, He LP, Wang BM. Magnifying narrow-band imaging endoscopy is superior in diagnosis of early gastric cancer. </w:t>
      </w:r>
      <w:r w:rsidRPr="00985F17">
        <w:rPr>
          <w:rFonts w:ascii="Book Antiqua" w:eastAsia="宋体" w:hAnsi="Book Antiqua" w:cs="宋体"/>
          <w:i/>
          <w:iCs/>
          <w:sz w:val="24"/>
          <w:szCs w:val="24"/>
          <w:lang w:val="en-US"/>
        </w:rPr>
        <w:t>World J Gastroenterol</w:t>
      </w:r>
      <w:r w:rsidRPr="00985F17">
        <w:rPr>
          <w:rFonts w:ascii="Book Antiqua" w:eastAsia="宋体" w:hAnsi="Book Antiqua" w:cs="宋体"/>
          <w:sz w:val="24"/>
          <w:szCs w:val="24"/>
          <w:lang w:val="en-US"/>
        </w:rPr>
        <w:t> 2015; </w:t>
      </w:r>
      <w:r w:rsidRPr="00985F17">
        <w:rPr>
          <w:rFonts w:ascii="Book Antiqua" w:eastAsia="宋体" w:hAnsi="Book Antiqua" w:cs="宋体"/>
          <w:b/>
          <w:bCs/>
          <w:sz w:val="24"/>
          <w:szCs w:val="24"/>
          <w:lang w:val="en-US"/>
        </w:rPr>
        <w:t>21</w:t>
      </w:r>
      <w:r w:rsidRPr="00985F17">
        <w:rPr>
          <w:rFonts w:ascii="Book Antiqua" w:eastAsia="宋体" w:hAnsi="Book Antiqua" w:cs="宋体"/>
          <w:sz w:val="24"/>
          <w:szCs w:val="24"/>
          <w:lang w:val="en-US"/>
        </w:rPr>
        <w:t>: 9156-9162 [PMID: 26290643 DOI: 10.3748/wjg.v21.i30.9156]</w:t>
      </w:r>
    </w:p>
    <w:p w14:paraId="0502B5C3"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38 </w:t>
      </w:r>
      <w:r w:rsidRPr="00985F17">
        <w:rPr>
          <w:rFonts w:ascii="Book Antiqua" w:eastAsia="宋体" w:hAnsi="Book Antiqua" w:cs="宋体"/>
          <w:b/>
          <w:bCs/>
          <w:sz w:val="24"/>
          <w:szCs w:val="24"/>
          <w:lang w:val="en-US"/>
        </w:rPr>
        <w:t>Dutta AK</w:t>
      </w:r>
      <w:r w:rsidRPr="00985F17">
        <w:rPr>
          <w:rFonts w:ascii="Book Antiqua" w:eastAsia="宋体" w:hAnsi="Book Antiqua" w:cs="宋体"/>
          <w:sz w:val="24"/>
          <w:szCs w:val="24"/>
          <w:lang w:val="en-US"/>
        </w:rPr>
        <w:t>, Sajith KG, Pulimood AB, Chacko A. Narrow band imaging versus white light gastroscopy in detecting potentially premalignant gastric lesions: a randomized prospective crossover study. </w:t>
      </w:r>
      <w:r w:rsidRPr="00985F17">
        <w:rPr>
          <w:rFonts w:ascii="Book Antiqua" w:eastAsia="宋体" w:hAnsi="Book Antiqua" w:cs="宋体"/>
          <w:i/>
          <w:iCs/>
          <w:sz w:val="24"/>
          <w:szCs w:val="24"/>
          <w:lang w:val="en-US"/>
        </w:rPr>
        <w:t>Indian J Gastroenterol</w:t>
      </w:r>
      <w:r w:rsidRPr="00985F17">
        <w:rPr>
          <w:rFonts w:ascii="Book Antiqua" w:eastAsia="宋体" w:hAnsi="Book Antiqua" w:cs="宋体"/>
          <w:sz w:val="24"/>
          <w:szCs w:val="24"/>
          <w:lang w:val="en-US"/>
        </w:rPr>
        <w:t> 2013; </w:t>
      </w:r>
      <w:r w:rsidRPr="00985F17">
        <w:rPr>
          <w:rFonts w:ascii="Book Antiqua" w:eastAsia="宋体" w:hAnsi="Book Antiqua" w:cs="宋体"/>
          <w:b/>
          <w:bCs/>
          <w:sz w:val="24"/>
          <w:szCs w:val="24"/>
          <w:lang w:val="en-US"/>
        </w:rPr>
        <w:t>32</w:t>
      </w:r>
      <w:r w:rsidRPr="00985F17">
        <w:rPr>
          <w:rFonts w:ascii="Book Antiqua" w:eastAsia="宋体" w:hAnsi="Book Antiqua" w:cs="宋体"/>
          <w:sz w:val="24"/>
          <w:szCs w:val="24"/>
          <w:lang w:val="en-US"/>
        </w:rPr>
        <w:t>: 37-42 [PMID: 22983839 DOI: 10.1007/s12664-012-0246-5]</w:t>
      </w:r>
    </w:p>
    <w:p w14:paraId="5403A55F"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39 </w:t>
      </w:r>
      <w:r w:rsidRPr="00985F17">
        <w:rPr>
          <w:rFonts w:ascii="Book Antiqua" w:eastAsia="宋体" w:hAnsi="Book Antiqua" w:cs="宋体"/>
          <w:b/>
          <w:bCs/>
          <w:sz w:val="24"/>
          <w:szCs w:val="24"/>
          <w:lang w:val="en-US"/>
        </w:rPr>
        <w:t>Xirouchakis E</w:t>
      </w:r>
      <w:r w:rsidRPr="00985F17">
        <w:rPr>
          <w:rFonts w:ascii="Book Antiqua" w:eastAsia="宋体" w:hAnsi="Book Antiqua" w:cs="宋体"/>
          <w:sz w:val="24"/>
          <w:szCs w:val="24"/>
          <w:lang w:val="en-US"/>
        </w:rPr>
        <w:t>, Laoudi F, Tsartsali L, Spiliadi C, Georgopoulos SD. Screening for gastric premalignant lesions with narrow band imaging, white light and updated Sydney protocol or both? </w:t>
      </w:r>
      <w:r w:rsidRPr="00985F17">
        <w:rPr>
          <w:rFonts w:ascii="Book Antiqua" w:eastAsia="宋体" w:hAnsi="Book Antiqua" w:cs="宋体"/>
          <w:i/>
          <w:iCs/>
          <w:sz w:val="24"/>
          <w:szCs w:val="24"/>
          <w:lang w:val="en-US"/>
        </w:rPr>
        <w:t>Dig Dis Sci</w:t>
      </w:r>
      <w:r w:rsidRPr="00985F17">
        <w:rPr>
          <w:rFonts w:ascii="Book Antiqua" w:eastAsia="宋体" w:hAnsi="Book Antiqua" w:cs="宋体"/>
          <w:sz w:val="24"/>
          <w:szCs w:val="24"/>
          <w:lang w:val="en-US"/>
        </w:rPr>
        <w:t> 2013; </w:t>
      </w:r>
      <w:r w:rsidRPr="00985F17">
        <w:rPr>
          <w:rFonts w:ascii="Book Antiqua" w:eastAsia="宋体" w:hAnsi="Book Antiqua" w:cs="宋体"/>
          <w:b/>
          <w:bCs/>
          <w:sz w:val="24"/>
          <w:szCs w:val="24"/>
          <w:lang w:val="en-US"/>
        </w:rPr>
        <w:t>58</w:t>
      </w:r>
      <w:r w:rsidRPr="00985F17">
        <w:rPr>
          <w:rFonts w:ascii="Book Antiqua" w:eastAsia="宋体" w:hAnsi="Book Antiqua" w:cs="宋体"/>
          <w:sz w:val="24"/>
          <w:szCs w:val="24"/>
          <w:lang w:val="en-US"/>
        </w:rPr>
        <w:t>: 1084-1090 [PMID: 23086114 DOI: 10.1007/s10620-012-2431-x]</w:t>
      </w:r>
    </w:p>
    <w:p w14:paraId="2AEC1BCF"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40 </w:t>
      </w:r>
      <w:r w:rsidRPr="00985F17">
        <w:rPr>
          <w:rFonts w:ascii="Book Antiqua" w:eastAsia="宋体" w:hAnsi="Book Antiqua" w:cs="宋体"/>
          <w:b/>
          <w:bCs/>
          <w:sz w:val="24"/>
          <w:szCs w:val="24"/>
          <w:lang w:val="en-US"/>
        </w:rPr>
        <w:t>Ang TL</w:t>
      </w:r>
      <w:r w:rsidRPr="00985F17">
        <w:rPr>
          <w:rFonts w:ascii="Book Antiqua" w:eastAsia="宋体" w:hAnsi="Book Antiqua" w:cs="宋体"/>
          <w:sz w:val="24"/>
          <w:szCs w:val="24"/>
          <w:lang w:val="en-US"/>
        </w:rPr>
        <w:t>, Pittayanon R, Lau JY, Rerknimitr R, Ho SH, Singh R, Kwek AB, Ang DS, Chiu PW, Luk S, Goh KL, Ong JP, Tan JY, Teo EK, Fock KM. A multicenter randomized comparison between high-definition white light endoscopy and narrow band imaging for detection of gastric lesions. </w:t>
      </w:r>
      <w:r w:rsidRPr="00985F17">
        <w:rPr>
          <w:rFonts w:ascii="Book Antiqua" w:eastAsia="宋体" w:hAnsi="Book Antiqua" w:cs="宋体"/>
          <w:i/>
          <w:iCs/>
          <w:sz w:val="24"/>
          <w:szCs w:val="24"/>
          <w:lang w:val="en-US"/>
        </w:rPr>
        <w:t>Eur J Gastroenterol Hepatol</w:t>
      </w:r>
      <w:r w:rsidRPr="00985F17">
        <w:rPr>
          <w:rFonts w:ascii="Book Antiqua" w:eastAsia="宋体" w:hAnsi="Book Antiqua" w:cs="宋体"/>
          <w:sz w:val="24"/>
          <w:szCs w:val="24"/>
          <w:lang w:val="en-US"/>
        </w:rPr>
        <w:t> 2015; </w:t>
      </w:r>
      <w:r w:rsidRPr="00985F17">
        <w:rPr>
          <w:rFonts w:ascii="Book Antiqua" w:eastAsia="宋体" w:hAnsi="Book Antiqua" w:cs="宋体"/>
          <w:b/>
          <w:bCs/>
          <w:sz w:val="24"/>
          <w:szCs w:val="24"/>
          <w:lang w:val="en-US"/>
        </w:rPr>
        <w:t>27</w:t>
      </w:r>
      <w:r w:rsidRPr="00985F17">
        <w:rPr>
          <w:rFonts w:ascii="Book Antiqua" w:eastAsia="宋体" w:hAnsi="Book Antiqua" w:cs="宋体"/>
          <w:sz w:val="24"/>
          <w:szCs w:val="24"/>
          <w:lang w:val="en-US"/>
        </w:rPr>
        <w:t>: 1473-1478 [PMID: 26426836 DOI: 10.1097/meg.0000000000000478]</w:t>
      </w:r>
    </w:p>
    <w:p w14:paraId="3EF39610"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41 </w:t>
      </w:r>
      <w:r w:rsidRPr="00985F17">
        <w:rPr>
          <w:rFonts w:ascii="Book Antiqua" w:eastAsia="宋体" w:hAnsi="Book Antiqua" w:cs="宋体"/>
          <w:b/>
          <w:bCs/>
          <w:sz w:val="24"/>
          <w:szCs w:val="24"/>
          <w:lang w:val="en-US"/>
        </w:rPr>
        <w:t>Tahara T</w:t>
      </w:r>
      <w:r w:rsidRPr="00985F17">
        <w:rPr>
          <w:rFonts w:ascii="Book Antiqua" w:eastAsia="宋体" w:hAnsi="Book Antiqua" w:cs="宋体"/>
          <w:sz w:val="24"/>
          <w:szCs w:val="24"/>
          <w:lang w:val="en-US"/>
        </w:rPr>
        <w:t>, Shibata T, Nakamura M, Yoshioka D, Okubo M, Arisawa T, Hirata I. Gastric mucosal pattern by using magnifying narrow-band imaging endoscopy clearly distinguishes histological and serological severity of chronic gastritis.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2009; </w:t>
      </w:r>
      <w:r w:rsidRPr="00985F17">
        <w:rPr>
          <w:rFonts w:ascii="Book Antiqua" w:eastAsia="宋体" w:hAnsi="Book Antiqua" w:cs="宋体"/>
          <w:b/>
          <w:bCs/>
          <w:sz w:val="24"/>
          <w:szCs w:val="24"/>
          <w:lang w:val="en-US"/>
        </w:rPr>
        <w:t>70</w:t>
      </w:r>
      <w:r w:rsidRPr="00985F17">
        <w:rPr>
          <w:rFonts w:ascii="Book Antiqua" w:eastAsia="宋体" w:hAnsi="Book Antiqua" w:cs="宋体"/>
          <w:sz w:val="24"/>
          <w:szCs w:val="24"/>
          <w:lang w:val="en-US"/>
        </w:rPr>
        <w:t>: 246-253 [PMID: 19386303 DOI: 10.1016/j.gie.2008.11.046]</w:t>
      </w:r>
    </w:p>
    <w:p w14:paraId="21D0B0B1"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42 </w:t>
      </w:r>
      <w:r w:rsidRPr="00985F17">
        <w:rPr>
          <w:rFonts w:ascii="Book Antiqua" w:eastAsia="宋体" w:hAnsi="Book Antiqua" w:cs="宋体"/>
          <w:b/>
          <w:bCs/>
          <w:sz w:val="24"/>
          <w:szCs w:val="24"/>
          <w:lang w:val="en-US"/>
        </w:rPr>
        <w:t>Yagi K</w:t>
      </w:r>
      <w:r w:rsidRPr="00985F17">
        <w:rPr>
          <w:rFonts w:ascii="Book Antiqua" w:eastAsia="宋体" w:hAnsi="Book Antiqua" w:cs="宋体"/>
          <w:sz w:val="24"/>
          <w:szCs w:val="24"/>
          <w:lang w:val="en-US"/>
        </w:rPr>
        <w:t>, Saka A, Nozawa Y, Nakamura A. Prediction of Helicobacter pylori status by conventional endoscopy, narrow-band imaging magnifying endoscopy in stomach after endoscopic resection of gastric cancer. </w:t>
      </w:r>
      <w:r w:rsidRPr="00985F17">
        <w:rPr>
          <w:rFonts w:ascii="Book Antiqua" w:eastAsia="宋体" w:hAnsi="Book Antiqua" w:cs="宋体"/>
          <w:i/>
          <w:iCs/>
          <w:sz w:val="24"/>
          <w:szCs w:val="24"/>
          <w:lang w:val="en-US"/>
        </w:rPr>
        <w:t>Helicobacter</w:t>
      </w:r>
      <w:r w:rsidRPr="00985F17">
        <w:rPr>
          <w:rFonts w:ascii="Book Antiqua" w:eastAsia="宋体" w:hAnsi="Book Antiqua" w:cs="宋体"/>
          <w:sz w:val="24"/>
          <w:szCs w:val="24"/>
          <w:lang w:val="en-US"/>
        </w:rPr>
        <w:t> 2014; </w:t>
      </w:r>
      <w:r w:rsidRPr="00985F17">
        <w:rPr>
          <w:rFonts w:ascii="Book Antiqua" w:eastAsia="宋体" w:hAnsi="Book Antiqua" w:cs="宋体"/>
          <w:b/>
          <w:bCs/>
          <w:sz w:val="24"/>
          <w:szCs w:val="24"/>
          <w:lang w:val="en-US"/>
        </w:rPr>
        <w:t>19</w:t>
      </w:r>
      <w:r w:rsidRPr="00985F17">
        <w:rPr>
          <w:rFonts w:ascii="Book Antiqua" w:eastAsia="宋体" w:hAnsi="Book Antiqua" w:cs="宋体"/>
          <w:sz w:val="24"/>
          <w:szCs w:val="24"/>
          <w:lang w:val="en-US"/>
        </w:rPr>
        <w:t>: 111-115 [PMID: 24372729 DOI: 10.1111/hel.12104]</w:t>
      </w:r>
    </w:p>
    <w:p w14:paraId="5E1737B6"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43 </w:t>
      </w:r>
      <w:r w:rsidRPr="00985F17">
        <w:rPr>
          <w:rFonts w:ascii="Book Antiqua" w:eastAsia="宋体" w:hAnsi="Book Antiqua" w:cs="宋体"/>
          <w:b/>
          <w:bCs/>
          <w:sz w:val="24"/>
          <w:szCs w:val="24"/>
          <w:lang w:val="en-US"/>
        </w:rPr>
        <w:t>Uedo N</w:t>
      </w:r>
      <w:r w:rsidRPr="00985F17">
        <w:rPr>
          <w:rFonts w:ascii="Book Antiqua" w:eastAsia="宋体" w:hAnsi="Book Antiqua" w:cs="宋体"/>
          <w:sz w:val="24"/>
          <w:szCs w:val="24"/>
          <w:lang w:val="en-US"/>
        </w:rPr>
        <w:t>, Ishihara R, Iishi H, Yamamoto S, Yamamoto S, Yamada T, Imanaka K, Takeuchi Y, Higashino K, Ishiguro S, Tatsuta M. A new method of diagnosing gastric intestinal metaplasia: narrow-band imaging with magnifying endoscopy. </w:t>
      </w:r>
      <w:r w:rsidRPr="00985F17">
        <w:rPr>
          <w:rFonts w:ascii="Book Antiqua" w:eastAsia="宋体" w:hAnsi="Book Antiqua" w:cs="宋体"/>
          <w:i/>
          <w:iCs/>
          <w:sz w:val="24"/>
          <w:szCs w:val="24"/>
          <w:lang w:val="en-US"/>
        </w:rPr>
        <w:t>Endoscopy</w:t>
      </w:r>
      <w:r w:rsidRPr="00985F17">
        <w:rPr>
          <w:rFonts w:ascii="Book Antiqua" w:eastAsia="宋体" w:hAnsi="Book Antiqua" w:cs="宋体"/>
          <w:sz w:val="24"/>
          <w:szCs w:val="24"/>
          <w:lang w:val="en-US"/>
        </w:rPr>
        <w:t> 2006; </w:t>
      </w:r>
      <w:r w:rsidRPr="00985F17">
        <w:rPr>
          <w:rFonts w:ascii="Book Antiqua" w:eastAsia="宋体" w:hAnsi="Book Antiqua" w:cs="宋体"/>
          <w:b/>
          <w:bCs/>
          <w:sz w:val="24"/>
          <w:szCs w:val="24"/>
          <w:lang w:val="en-US"/>
        </w:rPr>
        <w:t>38</w:t>
      </w:r>
      <w:r w:rsidRPr="00985F17">
        <w:rPr>
          <w:rFonts w:ascii="Book Antiqua" w:eastAsia="宋体" w:hAnsi="Book Antiqua" w:cs="宋体"/>
          <w:sz w:val="24"/>
          <w:szCs w:val="24"/>
          <w:lang w:val="en-US"/>
        </w:rPr>
        <w:t>: 819-824 [PMID: 17001572 DOI: 10.1055/s-2006-944632]</w:t>
      </w:r>
    </w:p>
    <w:p w14:paraId="3BC130E9"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44 </w:t>
      </w:r>
      <w:r w:rsidRPr="00985F17">
        <w:rPr>
          <w:rFonts w:ascii="Book Antiqua" w:eastAsia="宋体" w:hAnsi="Book Antiqua" w:cs="宋体"/>
          <w:b/>
          <w:bCs/>
          <w:sz w:val="24"/>
          <w:szCs w:val="24"/>
          <w:lang w:val="en-US"/>
        </w:rPr>
        <w:t>Wang L</w:t>
      </w:r>
      <w:r w:rsidRPr="00985F17">
        <w:rPr>
          <w:rFonts w:ascii="Book Antiqua" w:eastAsia="宋体" w:hAnsi="Book Antiqua" w:cs="宋体"/>
          <w:sz w:val="24"/>
          <w:szCs w:val="24"/>
          <w:lang w:val="en-US"/>
        </w:rPr>
        <w:t>, Huang W, Du J, Chen Y, Yang J. Diagnostic yield of the light blue crest sign in gastric intestinal metaplasia: a meta-analysis. </w:t>
      </w:r>
      <w:r w:rsidRPr="00985F17">
        <w:rPr>
          <w:rFonts w:ascii="Book Antiqua" w:eastAsia="宋体" w:hAnsi="Book Antiqua" w:cs="宋体"/>
          <w:i/>
          <w:iCs/>
          <w:sz w:val="24"/>
          <w:szCs w:val="24"/>
          <w:lang w:val="en-US"/>
        </w:rPr>
        <w:t>PLoS One</w:t>
      </w:r>
      <w:r w:rsidRPr="00985F17">
        <w:rPr>
          <w:rFonts w:ascii="Book Antiqua" w:eastAsia="宋体" w:hAnsi="Book Antiqua" w:cs="宋体"/>
          <w:sz w:val="24"/>
          <w:szCs w:val="24"/>
          <w:lang w:val="en-US"/>
        </w:rPr>
        <w:t> 2014; </w:t>
      </w:r>
      <w:r w:rsidRPr="00985F17">
        <w:rPr>
          <w:rFonts w:ascii="Book Antiqua" w:eastAsia="宋体" w:hAnsi="Book Antiqua" w:cs="宋体"/>
          <w:b/>
          <w:bCs/>
          <w:sz w:val="24"/>
          <w:szCs w:val="24"/>
          <w:lang w:val="en-US"/>
        </w:rPr>
        <w:t>9</w:t>
      </w:r>
      <w:r w:rsidRPr="00985F17">
        <w:rPr>
          <w:rFonts w:ascii="Book Antiqua" w:eastAsia="宋体" w:hAnsi="Book Antiqua" w:cs="宋体"/>
          <w:sz w:val="24"/>
          <w:szCs w:val="24"/>
          <w:lang w:val="en-US"/>
        </w:rPr>
        <w:t>: e92874 [PMID: 24658503 DOI: 10.1371/journal.pone.0092874]</w:t>
      </w:r>
    </w:p>
    <w:p w14:paraId="7D7E34C8"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45 </w:t>
      </w:r>
      <w:r w:rsidRPr="00985F17">
        <w:rPr>
          <w:rFonts w:ascii="Book Antiqua" w:eastAsia="宋体" w:hAnsi="Book Antiqua" w:cs="宋体"/>
          <w:b/>
          <w:bCs/>
          <w:sz w:val="24"/>
          <w:szCs w:val="24"/>
          <w:lang w:val="en-US"/>
        </w:rPr>
        <w:t>Bansal A</w:t>
      </w:r>
      <w:r w:rsidRPr="00985F17">
        <w:rPr>
          <w:rFonts w:ascii="Book Antiqua" w:eastAsia="宋体" w:hAnsi="Book Antiqua" w:cs="宋体"/>
          <w:sz w:val="24"/>
          <w:szCs w:val="24"/>
          <w:lang w:val="en-US"/>
        </w:rPr>
        <w:t>, Ulusarac O, Mathur S, Sharma P. Correlation between narrow band imaging and nonneoplastic gastric pathology: a pilot feasibility trial.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2008; </w:t>
      </w:r>
      <w:r w:rsidRPr="00985F17">
        <w:rPr>
          <w:rFonts w:ascii="Book Antiqua" w:eastAsia="宋体" w:hAnsi="Book Antiqua" w:cs="宋体"/>
          <w:b/>
          <w:bCs/>
          <w:sz w:val="24"/>
          <w:szCs w:val="24"/>
          <w:lang w:val="en-US"/>
        </w:rPr>
        <w:t>67</w:t>
      </w:r>
      <w:r w:rsidRPr="00985F17">
        <w:rPr>
          <w:rFonts w:ascii="Book Antiqua" w:eastAsia="宋体" w:hAnsi="Book Antiqua" w:cs="宋体"/>
          <w:sz w:val="24"/>
          <w:szCs w:val="24"/>
          <w:lang w:val="en-US"/>
        </w:rPr>
        <w:t>: 210-216 [PMID: 18226682 DOI: 10.1016/j.gie.2007.06.009]</w:t>
      </w:r>
    </w:p>
    <w:p w14:paraId="6DBBCA33"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46</w:t>
      </w:r>
      <w:r w:rsidRPr="00985F17">
        <w:rPr>
          <w:rFonts w:ascii="Book Antiqua" w:eastAsia="宋体" w:hAnsi="Book Antiqua" w:cs="宋体" w:hint="eastAsia"/>
          <w:sz w:val="24"/>
          <w:szCs w:val="24"/>
          <w:lang w:val="en-US"/>
        </w:rPr>
        <w:t xml:space="preserve"> </w:t>
      </w:r>
      <w:r w:rsidRPr="00985F17">
        <w:rPr>
          <w:rFonts w:ascii="Book Antiqua" w:eastAsia="宋体" w:hAnsi="Book Antiqua" w:cs="宋体"/>
          <w:sz w:val="24"/>
          <w:szCs w:val="24"/>
          <w:lang w:val="en-US"/>
        </w:rPr>
        <w:t>The Paris endoscopic classification of superficial neoplastic lesions: esophagus, stomach, and colon: November 30 to December 1, 2002.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2003; </w:t>
      </w:r>
      <w:r w:rsidRPr="00985F17">
        <w:rPr>
          <w:rFonts w:ascii="Book Antiqua" w:eastAsia="宋体" w:hAnsi="Book Antiqua" w:cs="宋体"/>
          <w:b/>
          <w:bCs/>
          <w:sz w:val="24"/>
          <w:szCs w:val="24"/>
          <w:lang w:val="en-US"/>
        </w:rPr>
        <w:t>58</w:t>
      </w:r>
      <w:r w:rsidRPr="00985F17">
        <w:rPr>
          <w:rFonts w:ascii="Book Antiqua" w:eastAsia="宋体" w:hAnsi="Book Antiqua" w:cs="宋体"/>
          <w:sz w:val="24"/>
          <w:szCs w:val="24"/>
          <w:lang w:val="en-US"/>
        </w:rPr>
        <w:t>: S3-43 [PMID: 14652541 DOI: 10.1016/S0016-5107(03)02159-X]</w:t>
      </w:r>
    </w:p>
    <w:p w14:paraId="5848F5F2"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47 </w:t>
      </w:r>
      <w:r w:rsidRPr="00985F17">
        <w:rPr>
          <w:rFonts w:ascii="Book Antiqua" w:eastAsia="宋体" w:hAnsi="Book Antiqua" w:cs="宋体"/>
          <w:b/>
          <w:bCs/>
          <w:sz w:val="24"/>
          <w:szCs w:val="24"/>
          <w:lang w:val="en-US"/>
        </w:rPr>
        <w:t>Yao K</w:t>
      </w:r>
      <w:r w:rsidRPr="00985F17">
        <w:rPr>
          <w:rFonts w:ascii="Book Antiqua" w:eastAsia="宋体" w:hAnsi="Book Antiqua" w:cs="宋体"/>
          <w:sz w:val="24"/>
          <w:szCs w:val="24"/>
          <w:lang w:val="en-US"/>
        </w:rPr>
        <w:t>, Takaki Y, Matsui T, Iwashita A, Anagnostopoulos GK, Kaye P, Ragunath K. Clinical application of magnification endoscopy and narrow-band imaging in the upper gastrointestinal tract: new imaging techniques for detecting and characterizing gastrointestinal neoplasia. </w:t>
      </w:r>
      <w:r w:rsidRPr="00985F17">
        <w:rPr>
          <w:rFonts w:ascii="Book Antiqua" w:eastAsia="宋体" w:hAnsi="Book Antiqua" w:cs="宋体"/>
          <w:i/>
          <w:iCs/>
          <w:sz w:val="24"/>
          <w:szCs w:val="24"/>
          <w:lang w:val="en-US"/>
        </w:rPr>
        <w:t>Gastrointest Endosc Clin N Am</w:t>
      </w:r>
      <w:r w:rsidRPr="00985F17">
        <w:rPr>
          <w:rFonts w:ascii="Book Antiqua" w:eastAsia="宋体" w:hAnsi="Book Antiqua" w:cs="宋体"/>
          <w:sz w:val="24"/>
          <w:szCs w:val="24"/>
          <w:lang w:val="en-US"/>
        </w:rPr>
        <w:t> 2008; </w:t>
      </w:r>
      <w:r w:rsidRPr="00985F17">
        <w:rPr>
          <w:rFonts w:ascii="Book Antiqua" w:eastAsia="宋体" w:hAnsi="Book Antiqua" w:cs="宋体"/>
          <w:b/>
          <w:bCs/>
          <w:sz w:val="24"/>
          <w:szCs w:val="24"/>
          <w:lang w:val="en-US"/>
        </w:rPr>
        <w:t>18</w:t>
      </w:r>
      <w:r w:rsidRPr="00985F17">
        <w:rPr>
          <w:rFonts w:ascii="Book Antiqua" w:eastAsia="宋体" w:hAnsi="Book Antiqua" w:cs="宋体"/>
          <w:sz w:val="24"/>
          <w:szCs w:val="24"/>
          <w:lang w:val="en-US"/>
        </w:rPr>
        <w:t>: 415-33, vii-viii [PMID: 18674694 DOI: 10.1016/j.giec.2008.05.011]</w:t>
      </w:r>
    </w:p>
    <w:p w14:paraId="021022A7"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48 </w:t>
      </w:r>
      <w:r w:rsidRPr="00985F17">
        <w:rPr>
          <w:rFonts w:ascii="Book Antiqua" w:eastAsia="宋体" w:hAnsi="Book Antiqua" w:cs="宋体"/>
          <w:b/>
          <w:bCs/>
          <w:sz w:val="24"/>
          <w:szCs w:val="24"/>
          <w:lang w:val="en-US"/>
        </w:rPr>
        <w:t>Ezoe Y</w:t>
      </w:r>
      <w:r w:rsidRPr="00985F17">
        <w:rPr>
          <w:rFonts w:ascii="Book Antiqua" w:eastAsia="宋体" w:hAnsi="Book Antiqua" w:cs="宋体"/>
          <w:sz w:val="24"/>
          <w:szCs w:val="24"/>
          <w:lang w:val="en-US"/>
        </w:rPr>
        <w:t>, Muto M, Horimatsu T, Minashi K, Yano T, Sano Y, Chiba T, Ohtsu A. Magnifying narrow-band imaging versus magnifying white-light imaging for the differential diagnosis of gastric small depressive lesions: a prospective study.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2010; </w:t>
      </w:r>
      <w:r w:rsidRPr="00985F17">
        <w:rPr>
          <w:rFonts w:ascii="Book Antiqua" w:eastAsia="宋体" w:hAnsi="Book Antiqua" w:cs="宋体"/>
          <w:b/>
          <w:bCs/>
          <w:sz w:val="24"/>
          <w:szCs w:val="24"/>
          <w:lang w:val="en-US"/>
        </w:rPr>
        <w:t>71</w:t>
      </w:r>
      <w:r w:rsidRPr="00985F17">
        <w:rPr>
          <w:rFonts w:ascii="Book Antiqua" w:eastAsia="宋体" w:hAnsi="Book Antiqua" w:cs="宋体"/>
          <w:sz w:val="24"/>
          <w:szCs w:val="24"/>
          <w:lang w:val="en-US"/>
        </w:rPr>
        <w:t>: 477-484 [PMID: 20189506 DOI: 10.1016/j.gie.2009.10.036]</w:t>
      </w:r>
    </w:p>
    <w:p w14:paraId="400E1D0F"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49 </w:t>
      </w:r>
      <w:r w:rsidRPr="00985F17">
        <w:rPr>
          <w:rFonts w:ascii="Book Antiqua" w:eastAsia="宋体" w:hAnsi="Book Antiqua" w:cs="宋体"/>
          <w:b/>
          <w:bCs/>
          <w:sz w:val="24"/>
          <w:szCs w:val="24"/>
          <w:lang w:val="en-US"/>
        </w:rPr>
        <w:t>Ezoe Y</w:t>
      </w:r>
      <w:r w:rsidRPr="00985F17">
        <w:rPr>
          <w:rFonts w:ascii="Book Antiqua" w:eastAsia="宋体" w:hAnsi="Book Antiqua" w:cs="宋体"/>
          <w:sz w:val="24"/>
          <w:szCs w:val="24"/>
          <w:lang w:val="en-US"/>
        </w:rPr>
        <w:t>, Muto M, Uedo N, Doyama H, Yao K, Oda I, Kaneko K, Kawahara Y, Yokoi C, Sugiura Y, Ishikawa H, Takeuchi Y, Kaneko Y, Saito Y. Magnifying narrowband imaging is more accurate than conventional white-light imaging in diagnosis of gastric mucosal cancer. </w:t>
      </w:r>
      <w:r w:rsidRPr="00985F17">
        <w:rPr>
          <w:rFonts w:ascii="Book Antiqua" w:eastAsia="宋体" w:hAnsi="Book Antiqua" w:cs="宋体"/>
          <w:i/>
          <w:iCs/>
          <w:sz w:val="24"/>
          <w:szCs w:val="24"/>
          <w:lang w:val="en-US"/>
        </w:rPr>
        <w:t>Gastroenterology</w:t>
      </w:r>
      <w:r w:rsidRPr="00985F17">
        <w:rPr>
          <w:rFonts w:ascii="Book Antiqua" w:eastAsia="宋体" w:hAnsi="Book Antiqua" w:cs="宋体"/>
          <w:sz w:val="24"/>
          <w:szCs w:val="24"/>
          <w:lang w:val="en-US"/>
        </w:rPr>
        <w:t> 2011; </w:t>
      </w:r>
      <w:r w:rsidRPr="00985F17">
        <w:rPr>
          <w:rFonts w:ascii="Book Antiqua" w:eastAsia="宋体" w:hAnsi="Book Antiqua" w:cs="宋体"/>
          <w:b/>
          <w:bCs/>
          <w:sz w:val="24"/>
          <w:szCs w:val="24"/>
          <w:lang w:val="en-US"/>
        </w:rPr>
        <w:t>141</w:t>
      </w:r>
      <w:r w:rsidRPr="00985F17">
        <w:rPr>
          <w:rFonts w:ascii="Book Antiqua" w:eastAsia="宋体" w:hAnsi="Book Antiqua" w:cs="宋体"/>
          <w:sz w:val="24"/>
          <w:szCs w:val="24"/>
          <w:lang w:val="en-US"/>
        </w:rPr>
        <w:t>: 2017-2025.e3 [PMID: 21856268 DOI: 10.1053/j.gastro.2011.08.007]</w:t>
      </w:r>
    </w:p>
    <w:p w14:paraId="787DB1B9"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50 </w:t>
      </w:r>
      <w:r w:rsidRPr="00985F17">
        <w:rPr>
          <w:rFonts w:ascii="Book Antiqua" w:eastAsia="宋体" w:hAnsi="Book Antiqua" w:cs="宋体"/>
          <w:b/>
          <w:bCs/>
          <w:sz w:val="24"/>
          <w:szCs w:val="24"/>
          <w:lang w:val="en-US"/>
        </w:rPr>
        <w:t>Yamada S</w:t>
      </w:r>
      <w:r w:rsidRPr="00985F17">
        <w:rPr>
          <w:rFonts w:ascii="Book Antiqua" w:eastAsia="宋体" w:hAnsi="Book Antiqua" w:cs="宋体"/>
          <w:sz w:val="24"/>
          <w:szCs w:val="24"/>
          <w:lang w:val="en-US"/>
        </w:rPr>
        <w:t>, Doyama H, Yao K, Uedo N, Ezoe Y, Oda I, Kaneko K, Kawahara Y, Yokoi C, Sugiura Y, Ishikawa H, Takeuchi Y, Saito Y, Muto M. An efficient diagnostic strategy for small, depressed early gastric cancer with magnifying narrow-band imaging: a post-hoc analysis of a prospective randomized controlled trial.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2014; </w:t>
      </w:r>
      <w:r w:rsidRPr="00985F17">
        <w:rPr>
          <w:rFonts w:ascii="Book Antiqua" w:eastAsia="宋体" w:hAnsi="Book Antiqua" w:cs="宋体"/>
          <w:b/>
          <w:bCs/>
          <w:sz w:val="24"/>
          <w:szCs w:val="24"/>
          <w:lang w:val="en-US"/>
        </w:rPr>
        <w:t>79</w:t>
      </w:r>
      <w:r w:rsidRPr="00985F17">
        <w:rPr>
          <w:rFonts w:ascii="Book Antiqua" w:eastAsia="宋体" w:hAnsi="Book Antiqua" w:cs="宋体"/>
          <w:sz w:val="24"/>
          <w:szCs w:val="24"/>
          <w:lang w:val="en-US"/>
        </w:rPr>
        <w:t>: 55-63 [PMID: 23932092 DOI: 10.1016/j.gie.2013.07.008]</w:t>
      </w:r>
    </w:p>
    <w:p w14:paraId="0917FEEC"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51 </w:t>
      </w:r>
      <w:r w:rsidRPr="00985F17">
        <w:rPr>
          <w:rFonts w:ascii="Book Antiqua" w:eastAsia="宋体" w:hAnsi="Book Antiqua" w:cs="宋体"/>
          <w:b/>
          <w:bCs/>
          <w:sz w:val="24"/>
          <w:szCs w:val="24"/>
          <w:lang w:val="en-US"/>
        </w:rPr>
        <w:t>Kato M</w:t>
      </w:r>
      <w:r w:rsidRPr="00985F17">
        <w:rPr>
          <w:rFonts w:ascii="Book Antiqua" w:eastAsia="宋体" w:hAnsi="Book Antiqua" w:cs="宋体"/>
          <w:sz w:val="24"/>
          <w:szCs w:val="24"/>
          <w:lang w:val="en-US"/>
        </w:rPr>
        <w:t>, Kaise M, Yonezawa J, Toyoizumi H, Yoshimura N, Yoshida Y, Kawamura M, Tajiri H. Magnifying endoscopy with narrow-band imaging achieves superior accuracy in the differential diagnosis of superficial gastric lesions identified with white-light endoscopy: a prospective study.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2010; </w:t>
      </w:r>
      <w:r w:rsidRPr="00985F17">
        <w:rPr>
          <w:rFonts w:ascii="Book Antiqua" w:eastAsia="宋体" w:hAnsi="Book Antiqua" w:cs="宋体"/>
          <w:b/>
          <w:bCs/>
          <w:sz w:val="24"/>
          <w:szCs w:val="24"/>
          <w:lang w:val="en-US"/>
        </w:rPr>
        <w:t>72</w:t>
      </w:r>
      <w:r w:rsidRPr="00985F17">
        <w:rPr>
          <w:rFonts w:ascii="Book Antiqua" w:eastAsia="宋体" w:hAnsi="Book Antiqua" w:cs="宋体"/>
          <w:sz w:val="24"/>
          <w:szCs w:val="24"/>
          <w:lang w:val="en-US"/>
        </w:rPr>
        <w:t>: 523-529 [PMID: 20598685 DOI: 10.1016/j.gie.2010.04.041]</w:t>
      </w:r>
    </w:p>
    <w:p w14:paraId="789B48D2"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52 </w:t>
      </w:r>
      <w:r w:rsidRPr="00985F17">
        <w:rPr>
          <w:rFonts w:ascii="Book Antiqua" w:eastAsia="宋体" w:hAnsi="Book Antiqua" w:cs="宋体"/>
          <w:b/>
          <w:bCs/>
          <w:sz w:val="24"/>
          <w:szCs w:val="24"/>
          <w:lang w:val="en-US"/>
        </w:rPr>
        <w:t>Zhang Q</w:t>
      </w:r>
      <w:r w:rsidRPr="00985F17">
        <w:rPr>
          <w:rFonts w:ascii="Book Antiqua" w:eastAsia="宋体" w:hAnsi="Book Antiqua" w:cs="宋体"/>
          <w:sz w:val="24"/>
          <w:szCs w:val="24"/>
          <w:lang w:val="en-US"/>
        </w:rPr>
        <w:t>, Wang F, Chen ZY, Wang Z, Zhi FC, Liu SD, Bai Y. Comparison of the diagnostic efficacy of white light endoscopy and magnifying endoscopy with narrow band imaging for early gastric cancer: a meta-analysis. </w:t>
      </w:r>
      <w:r w:rsidRPr="00985F17">
        <w:rPr>
          <w:rFonts w:ascii="Book Antiqua" w:eastAsia="宋体" w:hAnsi="Book Antiqua" w:cs="宋体"/>
          <w:i/>
          <w:iCs/>
          <w:sz w:val="24"/>
          <w:szCs w:val="24"/>
          <w:lang w:val="en-US"/>
        </w:rPr>
        <w:t>Gastric Cancer</w:t>
      </w:r>
      <w:r w:rsidRPr="00985F17">
        <w:rPr>
          <w:rFonts w:ascii="Book Antiqua" w:eastAsia="宋体" w:hAnsi="Book Antiqua" w:cs="宋体"/>
          <w:sz w:val="24"/>
          <w:szCs w:val="24"/>
          <w:lang w:val="en-US"/>
        </w:rPr>
        <w:t> 2016; </w:t>
      </w:r>
      <w:r w:rsidRPr="00985F17">
        <w:rPr>
          <w:rFonts w:ascii="Book Antiqua" w:eastAsia="宋体" w:hAnsi="Book Antiqua" w:cs="宋体"/>
          <w:b/>
          <w:bCs/>
          <w:sz w:val="24"/>
          <w:szCs w:val="24"/>
          <w:lang w:val="en-US"/>
        </w:rPr>
        <w:t>19</w:t>
      </w:r>
      <w:r w:rsidRPr="00985F17">
        <w:rPr>
          <w:rFonts w:ascii="Book Antiqua" w:eastAsia="宋体" w:hAnsi="Book Antiqua" w:cs="宋体"/>
          <w:sz w:val="24"/>
          <w:szCs w:val="24"/>
          <w:lang w:val="en-US"/>
        </w:rPr>
        <w:t>: 543-552 [PMID: 25920526 DOI: 10.1007/s10120-015-0500-5]</w:t>
      </w:r>
    </w:p>
    <w:p w14:paraId="78459D1E"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53 </w:t>
      </w:r>
      <w:r w:rsidRPr="00985F17">
        <w:rPr>
          <w:rFonts w:ascii="Book Antiqua" w:eastAsia="宋体" w:hAnsi="Book Antiqua" w:cs="宋体"/>
          <w:b/>
          <w:bCs/>
          <w:sz w:val="24"/>
          <w:szCs w:val="24"/>
          <w:lang w:val="en-US"/>
        </w:rPr>
        <w:t>Lv X</w:t>
      </w:r>
      <w:r w:rsidRPr="00985F17">
        <w:rPr>
          <w:rFonts w:ascii="Book Antiqua" w:eastAsia="宋体" w:hAnsi="Book Antiqua" w:cs="宋体"/>
          <w:sz w:val="24"/>
          <w:szCs w:val="24"/>
          <w:lang w:val="en-US"/>
        </w:rPr>
        <w:t>, Wang C, Xie Y, Yan Z. Diagnostic efficacy of magnifying endoscopy with narrow-band imaging for gastric neoplasms: a meta-analysis. </w:t>
      </w:r>
      <w:r w:rsidRPr="00985F17">
        <w:rPr>
          <w:rFonts w:ascii="Book Antiqua" w:eastAsia="宋体" w:hAnsi="Book Antiqua" w:cs="宋体"/>
          <w:i/>
          <w:iCs/>
          <w:sz w:val="24"/>
          <w:szCs w:val="24"/>
          <w:lang w:val="en-US"/>
        </w:rPr>
        <w:t>PLoS One</w:t>
      </w:r>
      <w:r w:rsidRPr="00985F17">
        <w:rPr>
          <w:rFonts w:ascii="Book Antiqua" w:eastAsia="宋体" w:hAnsi="Book Antiqua" w:cs="宋体"/>
          <w:sz w:val="24"/>
          <w:szCs w:val="24"/>
          <w:lang w:val="en-US"/>
        </w:rPr>
        <w:t> 2015; </w:t>
      </w:r>
      <w:r w:rsidRPr="00985F17">
        <w:rPr>
          <w:rFonts w:ascii="Book Antiqua" w:eastAsia="宋体" w:hAnsi="Book Antiqua" w:cs="宋体"/>
          <w:b/>
          <w:bCs/>
          <w:sz w:val="24"/>
          <w:szCs w:val="24"/>
          <w:lang w:val="en-US"/>
        </w:rPr>
        <w:t>10</w:t>
      </w:r>
      <w:r w:rsidRPr="00985F17">
        <w:rPr>
          <w:rFonts w:ascii="Book Antiqua" w:eastAsia="宋体" w:hAnsi="Book Antiqua" w:cs="宋体"/>
          <w:sz w:val="24"/>
          <w:szCs w:val="24"/>
          <w:lang w:val="en-US"/>
        </w:rPr>
        <w:t>: e0123832 [PMID: 25856544 DOI: 10.1371/journal.pone.0123832]</w:t>
      </w:r>
    </w:p>
    <w:p w14:paraId="21A9796B"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54 </w:t>
      </w:r>
      <w:r w:rsidRPr="00985F17">
        <w:rPr>
          <w:rFonts w:ascii="Book Antiqua" w:eastAsia="宋体" w:hAnsi="Book Antiqua" w:cs="宋体"/>
          <w:b/>
          <w:bCs/>
          <w:sz w:val="24"/>
          <w:szCs w:val="24"/>
          <w:lang w:val="en-US"/>
        </w:rPr>
        <w:t>Nakayoshi T</w:t>
      </w:r>
      <w:r w:rsidRPr="00985F17">
        <w:rPr>
          <w:rFonts w:ascii="Book Antiqua" w:eastAsia="宋体" w:hAnsi="Book Antiqua" w:cs="宋体"/>
          <w:sz w:val="24"/>
          <w:szCs w:val="24"/>
          <w:lang w:val="en-US"/>
        </w:rPr>
        <w:t>, Tajiri H, Matsuda K, Kaise M, Ikegami M, Sasaki H. Magnifying endoscopy combined with narrow band imaging system for early gastric cancer: correlation of vascular pattern with histopathology (including video). </w:t>
      </w:r>
      <w:r w:rsidRPr="00985F17">
        <w:rPr>
          <w:rFonts w:ascii="Book Antiqua" w:eastAsia="宋体" w:hAnsi="Book Antiqua" w:cs="宋体"/>
          <w:i/>
          <w:iCs/>
          <w:sz w:val="24"/>
          <w:szCs w:val="24"/>
          <w:lang w:val="en-US"/>
        </w:rPr>
        <w:t>Endoscopy</w:t>
      </w:r>
      <w:r w:rsidRPr="00985F17">
        <w:rPr>
          <w:rFonts w:ascii="Book Antiqua" w:eastAsia="宋体" w:hAnsi="Book Antiqua" w:cs="宋体"/>
          <w:sz w:val="24"/>
          <w:szCs w:val="24"/>
          <w:lang w:val="en-US"/>
        </w:rPr>
        <w:t> 2004; </w:t>
      </w:r>
      <w:r w:rsidRPr="00985F17">
        <w:rPr>
          <w:rFonts w:ascii="Book Antiqua" w:eastAsia="宋体" w:hAnsi="Book Antiqua" w:cs="宋体"/>
          <w:b/>
          <w:bCs/>
          <w:sz w:val="24"/>
          <w:szCs w:val="24"/>
          <w:lang w:val="en-US"/>
        </w:rPr>
        <w:t>36</w:t>
      </w:r>
      <w:r w:rsidRPr="00985F17">
        <w:rPr>
          <w:rFonts w:ascii="Book Antiqua" w:eastAsia="宋体" w:hAnsi="Book Antiqua" w:cs="宋体"/>
          <w:sz w:val="24"/>
          <w:szCs w:val="24"/>
          <w:lang w:val="en-US"/>
        </w:rPr>
        <w:t>: 1080-1084 [PMID: 15578298 DOI: 10.1055/s-2004-825961]</w:t>
      </w:r>
    </w:p>
    <w:p w14:paraId="7DA3B889"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55 </w:t>
      </w:r>
      <w:r w:rsidRPr="00985F17">
        <w:rPr>
          <w:rFonts w:ascii="Book Antiqua" w:eastAsia="宋体" w:hAnsi="Book Antiqua" w:cs="宋体"/>
          <w:b/>
          <w:bCs/>
          <w:sz w:val="24"/>
          <w:szCs w:val="24"/>
          <w:lang w:val="en-US"/>
        </w:rPr>
        <w:t>Yokoyama A</w:t>
      </w:r>
      <w:r w:rsidRPr="00985F17">
        <w:rPr>
          <w:rFonts w:ascii="Book Antiqua" w:eastAsia="宋体" w:hAnsi="Book Antiqua" w:cs="宋体"/>
          <w:sz w:val="24"/>
          <w:szCs w:val="24"/>
          <w:lang w:val="en-US"/>
        </w:rPr>
        <w:t>, Inoue H, Minami H, Wada Y, Sato Y, Satodate H, Hamatani S, Kudo SE. Novel narrow-band imaging magnifying endoscopic classification for early gastric cancer. </w:t>
      </w:r>
      <w:r w:rsidRPr="00985F17">
        <w:rPr>
          <w:rFonts w:ascii="Book Antiqua" w:eastAsia="宋体" w:hAnsi="Book Antiqua" w:cs="宋体"/>
          <w:i/>
          <w:iCs/>
          <w:sz w:val="24"/>
          <w:szCs w:val="24"/>
          <w:lang w:val="en-US"/>
        </w:rPr>
        <w:t>Dig Liver Dis</w:t>
      </w:r>
      <w:r w:rsidRPr="00985F17">
        <w:rPr>
          <w:rFonts w:ascii="Book Antiqua" w:eastAsia="宋体" w:hAnsi="Book Antiqua" w:cs="宋体"/>
          <w:sz w:val="24"/>
          <w:szCs w:val="24"/>
          <w:lang w:val="en-US"/>
        </w:rPr>
        <w:t> 2010; </w:t>
      </w:r>
      <w:r w:rsidRPr="00985F17">
        <w:rPr>
          <w:rFonts w:ascii="Book Antiqua" w:eastAsia="宋体" w:hAnsi="Book Antiqua" w:cs="宋体"/>
          <w:b/>
          <w:bCs/>
          <w:sz w:val="24"/>
          <w:szCs w:val="24"/>
          <w:lang w:val="en-US"/>
        </w:rPr>
        <w:t>42</w:t>
      </w:r>
      <w:r w:rsidRPr="00985F17">
        <w:rPr>
          <w:rFonts w:ascii="Book Antiqua" w:eastAsia="宋体" w:hAnsi="Book Antiqua" w:cs="宋体"/>
          <w:sz w:val="24"/>
          <w:szCs w:val="24"/>
          <w:lang w:val="en-US"/>
        </w:rPr>
        <w:t>: 704-708 [PMID: 20462814 DOI: 10.1016/j.dld.2010.03.013]</w:t>
      </w:r>
    </w:p>
    <w:p w14:paraId="0CEB6898"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56</w:t>
      </w:r>
      <w:r w:rsidRPr="00985F17">
        <w:rPr>
          <w:rFonts w:ascii="Book Antiqua" w:eastAsia="宋体" w:hAnsi="Book Antiqua" w:cs="宋体" w:hint="eastAsia"/>
          <w:sz w:val="24"/>
          <w:szCs w:val="24"/>
          <w:lang w:val="en-US"/>
        </w:rPr>
        <w:t xml:space="preserve"> </w:t>
      </w:r>
      <w:r w:rsidRPr="00985F17">
        <w:rPr>
          <w:rFonts w:ascii="Book Antiqua" w:eastAsia="宋体" w:hAnsi="Book Antiqua" w:cs="宋体"/>
          <w:b/>
          <w:sz w:val="24"/>
          <w:szCs w:val="24"/>
          <w:lang w:val="en-US"/>
        </w:rPr>
        <w:t>Yao K</w:t>
      </w:r>
      <w:r w:rsidRPr="00985F17">
        <w:rPr>
          <w:rFonts w:ascii="Book Antiqua" w:eastAsia="宋体" w:hAnsi="Book Antiqua" w:cs="宋体"/>
          <w:sz w:val="24"/>
          <w:szCs w:val="24"/>
          <w:lang w:val="en-US"/>
        </w:rPr>
        <w:t xml:space="preserve">, Yao T, Iwashita A. Determining the horizontal extent of early gastric carcinoma: two modern techniques based on differences in the mucosal microvascular architecture and density between carcinomatous and non-carcinomatous mucosal. </w:t>
      </w:r>
      <w:r w:rsidRPr="00985F17">
        <w:rPr>
          <w:rFonts w:ascii="Book Antiqua" w:eastAsia="宋体" w:hAnsi="Book Antiqua" w:cs="宋体"/>
          <w:i/>
          <w:sz w:val="24"/>
          <w:szCs w:val="24"/>
          <w:lang w:val="en-US"/>
        </w:rPr>
        <w:t>Dig Endosc</w:t>
      </w:r>
      <w:r w:rsidRPr="00985F17">
        <w:rPr>
          <w:rFonts w:ascii="Book Antiqua" w:eastAsia="宋体" w:hAnsi="Book Antiqua" w:cs="宋体"/>
          <w:sz w:val="24"/>
          <w:szCs w:val="24"/>
          <w:lang w:val="en-US"/>
        </w:rPr>
        <w:t xml:space="preserve"> 2002; </w:t>
      </w:r>
      <w:r w:rsidRPr="00985F17">
        <w:rPr>
          <w:rFonts w:ascii="Book Antiqua" w:eastAsia="宋体" w:hAnsi="Book Antiqua" w:cs="宋体"/>
          <w:b/>
          <w:sz w:val="24"/>
          <w:szCs w:val="24"/>
          <w:lang w:val="en-US"/>
        </w:rPr>
        <w:t>14</w:t>
      </w:r>
      <w:r w:rsidRPr="00985F17">
        <w:rPr>
          <w:rFonts w:ascii="Book Antiqua" w:eastAsia="宋体" w:hAnsi="Book Antiqua" w:cs="宋体"/>
          <w:sz w:val="24"/>
          <w:szCs w:val="24"/>
          <w:lang w:val="en-US"/>
        </w:rPr>
        <w:t>: S83-S87</w:t>
      </w:r>
    </w:p>
    <w:p w14:paraId="3E183668"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57 </w:t>
      </w:r>
      <w:r w:rsidRPr="00985F17">
        <w:rPr>
          <w:rFonts w:ascii="Book Antiqua" w:eastAsia="宋体" w:hAnsi="Book Antiqua" w:cs="宋体"/>
          <w:b/>
          <w:bCs/>
          <w:sz w:val="24"/>
          <w:szCs w:val="24"/>
          <w:lang w:val="en-US"/>
        </w:rPr>
        <w:t>Sumiyama K</w:t>
      </w:r>
      <w:r w:rsidRPr="00985F17">
        <w:rPr>
          <w:rFonts w:ascii="Book Antiqua" w:eastAsia="宋体" w:hAnsi="Book Antiqua" w:cs="宋体"/>
          <w:sz w:val="24"/>
          <w:szCs w:val="24"/>
          <w:lang w:val="en-US"/>
        </w:rPr>
        <w:t>, Kaise M, Nakayoshi T, Kato M, Mashiko T, Uchiyama Y, Goda K, Hino S, Nakamura Y, Matsuda K, Mochizuki K, Kawamura M, Tajiri H. Combined use of a magnifying endoscope with a narrow band imaging system and a multibending endoscope for en bloc EMR of early stage gastric cancer.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2004; </w:t>
      </w:r>
      <w:r w:rsidRPr="00985F17">
        <w:rPr>
          <w:rFonts w:ascii="Book Antiqua" w:eastAsia="宋体" w:hAnsi="Book Antiqua" w:cs="宋体"/>
          <w:b/>
          <w:bCs/>
          <w:sz w:val="24"/>
          <w:szCs w:val="24"/>
          <w:lang w:val="en-US"/>
        </w:rPr>
        <w:t>60</w:t>
      </w:r>
      <w:r w:rsidRPr="00985F17">
        <w:rPr>
          <w:rFonts w:ascii="Book Antiqua" w:eastAsia="宋体" w:hAnsi="Book Antiqua" w:cs="宋体"/>
          <w:sz w:val="24"/>
          <w:szCs w:val="24"/>
          <w:lang w:val="en-US"/>
        </w:rPr>
        <w:t>: 79-84 [PMID: 15229430 DOI: 10.1016/S0016-5107(04)01285-4]</w:t>
      </w:r>
    </w:p>
    <w:p w14:paraId="41EC0D8C"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58 </w:t>
      </w:r>
      <w:r w:rsidRPr="00985F17">
        <w:rPr>
          <w:rFonts w:ascii="Book Antiqua" w:eastAsia="宋体" w:hAnsi="Book Antiqua" w:cs="宋体"/>
          <w:b/>
          <w:bCs/>
          <w:sz w:val="24"/>
          <w:szCs w:val="24"/>
          <w:lang w:val="en-US"/>
        </w:rPr>
        <w:t>Kiyotoki S</w:t>
      </w:r>
      <w:r w:rsidRPr="00985F17">
        <w:rPr>
          <w:rFonts w:ascii="Book Antiqua" w:eastAsia="宋体" w:hAnsi="Book Antiqua" w:cs="宋体"/>
          <w:sz w:val="24"/>
          <w:szCs w:val="24"/>
          <w:lang w:val="en-US"/>
        </w:rPr>
        <w:t>, Nishikawa J, Satake M, Fukagawa Y, Shirai Y, Hamabe K, Saito M, Okamoto T, Sakaida I. Usefulness of magnifying endoscopy with narrow-band imaging for determining gastric tumor margin. </w:t>
      </w:r>
      <w:r w:rsidRPr="00985F17">
        <w:rPr>
          <w:rFonts w:ascii="Book Antiqua" w:eastAsia="宋体" w:hAnsi="Book Antiqua" w:cs="宋体"/>
          <w:i/>
          <w:iCs/>
          <w:sz w:val="24"/>
          <w:szCs w:val="24"/>
          <w:lang w:val="en-US"/>
        </w:rPr>
        <w:t>J Gastroenterol Hepatol</w:t>
      </w:r>
      <w:r w:rsidRPr="00985F17">
        <w:rPr>
          <w:rFonts w:ascii="Book Antiqua" w:eastAsia="宋体" w:hAnsi="Book Antiqua" w:cs="宋体"/>
          <w:sz w:val="24"/>
          <w:szCs w:val="24"/>
          <w:lang w:val="en-US"/>
        </w:rPr>
        <w:t> 2010; </w:t>
      </w:r>
      <w:r w:rsidRPr="00985F17">
        <w:rPr>
          <w:rFonts w:ascii="Book Antiqua" w:eastAsia="宋体" w:hAnsi="Book Antiqua" w:cs="宋体"/>
          <w:b/>
          <w:bCs/>
          <w:sz w:val="24"/>
          <w:szCs w:val="24"/>
          <w:lang w:val="en-US"/>
        </w:rPr>
        <w:t>25</w:t>
      </w:r>
      <w:r w:rsidRPr="00985F17">
        <w:rPr>
          <w:rFonts w:ascii="Book Antiqua" w:eastAsia="宋体" w:hAnsi="Book Antiqua" w:cs="宋体"/>
          <w:sz w:val="24"/>
          <w:szCs w:val="24"/>
          <w:lang w:val="en-US"/>
        </w:rPr>
        <w:t>: 1636-1641 [PMID: 20880172 DOI: 10.1111/j.1440-1746.2010.06379.x]</w:t>
      </w:r>
    </w:p>
    <w:p w14:paraId="17D07E91"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59 </w:t>
      </w:r>
      <w:r w:rsidRPr="00985F17">
        <w:rPr>
          <w:rFonts w:ascii="Book Antiqua" w:eastAsia="宋体" w:hAnsi="Book Antiqua" w:cs="宋体"/>
          <w:b/>
          <w:bCs/>
          <w:sz w:val="24"/>
          <w:szCs w:val="24"/>
          <w:lang w:val="en-US"/>
        </w:rPr>
        <w:t>Nagahama T</w:t>
      </w:r>
      <w:r w:rsidRPr="00985F17">
        <w:rPr>
          <w:rFonts w:ascii="Book Antiqua" w:eastAsia="宋体" w:hAnsi="Book Antiqua" w:cs="宋体"/>
          <w:sz w:val="24"/>
          <w:szCs w:val="24"/>
          <w:lang w:val="en-US"/>
        </w:rPr>
        <w:t>, Yao K, Maki S, Yasaka M, Takaki Y, Matsui T, Tanabe H, Iwashita A, Ota A. Usefulness of magnifying endoscopy with narrow-band imaging for determining the horizontal extent of early gastric cancer when there is an unclear margin by chromoendoscopy (with video).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2011; </w:t>
      </w:r>
      <w:r w:rsidRPr="00985F17">
        <w:rPr>
          <w:rFonts w:ascii="Book Antiqua" w:eastAsia="宋体" w:hAnsi="Book Antiqua" w:cs="宋体"/>
          <w:b/>
          <w:bCs/>
          <w:sz w:val="24"/>
          <w:szCs w:val="24"/>
          <w:lang w:val="en-US"/>
        </w:rPr>
        <w:t>74</w:t>
      </w:r>
      <w:r w:rsidRPr="00985F17">
        <w:rPr>
          <w:rFonts w:ascii="Book Antiqua" w:eastAsia="宋体" w:hAnsi="Book Antiqua" w:cs="宋体"/>
          <w:sz w:val="24"/>
          <w:szCs w:val="24"/>
          <w:lang w:val="en-US"/>
        </w:rPr>
        <w:t>: 1259-1267 [PMID: 22136775 DOI: 10.1016/j.gie.2011.09.005]</w:t>
      </w:r>
    </w:p>
    <w:p w14:paraId="349437D3"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60 </w:t>
      </w:r>
      <w:r w:rsidRPr="00985F17">
        <w:rPr>
          <w:rFonts w:ascii="Book Antiqua" w:eastAsia="宋体" w:hAnsi="Book Antiqua" w:cs="宋体"/>
          <w:b/>
          <w:bCs/>
          <w:sz w:val="24"/>
          <w:szCs w:val="24"/>
          <w:lang w:val="en-US"/>
        </w:rPr>
        <w:t>Horiuchi Y</w:t>
      </w:r>
      <w:r w:rsidRPr="00985F17">
        <w:rPr>
          <w:rFonts w:ascii="Book Antiqua" w:eastAsia="宋体" w:hAnsi="Book Antiqua" w:cs="宋体"/>
          <w:sz w:val="24"/>
          <w:szCs w:val="24"/>
          <w:lang w:val="en-US"/>
        </w:rPr>
        <w:t>, Fujisaki J, Yamamoto N, Shimizu T, Miyamoto Y, Tomida H, Omae M, Ishiyama A, Yoshio T, Hirasawa T, Yamamoto Y, Tsuchida T, Igarashi M, Takahashi H. Accuracy of diagnostic demarcation of undifferentiated-type early gastric cancers for magnifying endoscopy with narrow-band imaging: endoscopic submucosal dissection cases. </w:t>
      </w:r>
      <w:r w:rsidRPr="00985F17">
        <w:rPr>
          <w:rFonts w:ascii="Book Antiqua" w:eastAsia="宋体" w:hAnsi="Book Antiqua" w:cs="宋体"/>
          <w:i/>
          <w:iCs/>
          <w:sz w:val="24"/>
          <w:szCs w:val="24"/>
          <w:lang w:val="en-US"/>
        </w:rPr>
        <w:t>Gastric Cancer</w:t>
      </w:r>
      <w:r w:rsidRPr="00985F17">
        <w:rPr>
          <w:rFonts w:ascii="Book Antiqua" w:eastAsia="宋体" w:hAnsi="Book Antiqua" w:cs="宋体"/>
          <w:sz w:val="24"/>
          <w:szCs w:val="24"/>
          <w:lang w:val="en-US"/>
        </w:rPr>
        <w:t> 2016; </w:t>
      </w:r>
      <w:r w:rsidRPr="00985F17">
        <w:rPr>
          <w:rFonts w:ascii="Book Antiqua" w:eastAsia="宋体" w:hAnsi="Book Antiqua" w:cs="宋体"/>
          <w:b/>
          <w:bCs/>
          <w:sz w:val="24"/>
          <w:szCs w:val="24"/>
          <w:lang w:val="en-US"/>
        </w:rPr>
        <w:t>19</w:t>
      </w:r>
      <w:r w:rsidRPr="00985F17">
        <w:rPr>
          <w:rFonts w:ascii="Book Antiqua" w:eastAsia="宋体" w:hAnsi="Book Antiqua" w:cs="宋体"/>
          <w:sz w:val="24"/>
          <w:szCs w:val="24"/>
          <w:lang w:val="en-US"/>
        </w:rPr>
        <w:t>: 515-523 [PMID: 25744291 DOI: 10.1007/s10120-015-0488-x]</w:t>
      </w:r>
    </w:p>
    <w:p w14:paraId="352E6781"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61</w:t>
      </w:r>
      <w:r w:rsidRPr="00985F17">
        <w:rPr>
          <w:rFonts w:ascii="Book Antiqua" w:eastAsia="宋体" w:hAnsi="Book Antiqua" w:cs="宋体" w:hint="eastAsia"/>
          <w:sz w:val="24"/>
          <w:szCs w:val="24"/>
          <w:lang w:val="en-US"/>
        </w:rPr>
        <w:t xml:space="preserve"> </w:t>
      </w:r>
      <w:r w:rsidRPr="00985F17">
        <w:rPr>
          <w:rFonts w:ascii="Book Antiqua" w:eastAsia="宋体" w:hAnsi="Book Antiqua" w:cs="宋体"/>
          <w:b/>
          <w:sz w:val="24"/>
          <w:szCs w:val="24"/>
          <w:lang w:val="en-US"/>
        </w:rPr>
        <w:t>Yagi K</w:t>
      </w:r>
      <w:r w:rsidRPr="00985F17">
        <w:rPr>
          <w:rFonts w:ascii="Book Antiqua" w:eastAsia="宋体" w:hAnsi="Book Antiqua" w:cs="宋体"/>
          <w:sz w:val="24"/>
          <w:szCs w:val="24"/>
          <w:lang w:val="en-US"/>
        </w:rPr>
        <w:t xml:space="preserve">, Nakamura A, Sekine A, Umezu H. Magnifying endoscopy with narrow band imaging for early differentiated gastric adenocarcinoma. </w:t>
      </w:r>
      <w:r w:rsidRPr="00985F17">
        <w:rPr>
          <w:rFonts w:ascii="Book Antiqua" w:eastAsia="宋体" w:hAnsi="Book Antiqua" w:cs="宋体"/>
          <w:i/>
          <w:sz w:val="24"/>
          <w:szCs w:val="24"/>
          <w:lang w:val="en-US"/>
        </w:rPr>
        <w:t>Dig Endosc</w:t>
      </w:r>
      <w:r w:rsidRPr="00985F17">
        <w:rPr>
          <w:rFonts w:ascii="Book Antiqua" w:eastAsia="宋体" w:hAnsi="Book Antiqua" w:cs="宋体"/>
          <w:sz w:val="24"/>
          <w:szCs w:val="24"/>
          <w:lang w:val="en-US"/>
        </w:rPr>
        <w:t xml:space="preserve"> 2008;</w:t>
      </w:r>
      <w:r w:rsidRPr="00985F17">
        <w:rPr>
          <w:rFonts w:ascii="Book Antiqua" w:eastAsia="宋体" w:hAnsi="Book Antiqua" w:cs="宋体"/>
          <w:b/>
          <w:sz w:val="24"/>
          <w:szCs w:val="24"/>
          <w:lang w:val="en-US"/>
        </w:rPr>
        <w:t xml:space="preserve"> 20</w:t>
      </w:r>
      <w:r w:rsidRPr="00985F17">
        <w:rPr>
          <w:rFonts w:ascii="Book Antiqua" w:eastAsia="宋体" w:hAnsi="Book Antiqua" w:cs="宋体"/>
          <w:sz w:val="24"/>
          <w:szCs w:val="24"/>
          <w:lang w:val="en-US"/>
        </w:rPr>
        <w:t>: 115-22</w:t>
      </w:r>
    </w:p>
    <w:p w14:paraId="50458F23"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62 </w:t>
      </w:r>
      <w:r w:rsidRPr="00985F17">
        <w:rPr>
          <w:rFonts w:ascii="Book Antiqua" w:eastAsia="宋体" w:hAnsi="Book Antiqua" w:cs="宋体"/>
          <w:b/>
          <w:bCs/>
          <w:sz w:val="24"/>
          <w:szCs w:val="24"/>
          <w:lang w:val="en-US"/>
        </w:rPr>
        <w:t>Li HY</w:t>
      </w:r>
      <w:r w:rsidRPr="00985F17">
        <w:rPr>
          <w:rFonts w:ascii="Book Antiqua" w:eastAsia="宋体" w:hAnsi="Book Antiqua" w:cs="宋体"/>
          <w:sz w:val="24"/>
          <w:szCs w:val="24"/>
          <w:lang w:val="en-US"/>
        </w:rPr>
        <w:t>, Dai J, Xue HB, Zhao YJ, Chen XY, Gao YJ, Song Y, Ge ZZ, Li XB. Application of magnifying endoscopy with narrow-band imaging in diagnosing gastric lesions: a prospective study.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2012; </w:t>
      </w:r>
      <w:r w:rsidRPr="00985F17">
        <w:rPr>
          <w:rFonts w:ascii="Book Antiqua" w:eastAsia="宋体" w:hAnsi="Book Antiqua" w:cs="宋体"/>
          <w:b/>
          <w:bCs/>
          <w:sz w:val="24"/>
          <w:szCs w:val="24"/>
          <w:lang w:val="en-US"/>
        </w:rPr>
        <w:t>76</w:t>
      </w:r>
      <w:r w:rsidRPr="00985F17">
        <w:rPr>
          <w:rFonts w:ascii="Book Antiqua" w:eastAsia="宋体" w:hAnsi="Book Antiqua" w:cs="宋体"/>
          <w:sz w:val="24"/>
          <w:szCs w:val="24"/>
          <w:lang w:val="en-US"/>
        </w:rPr>
        <w:t>: 1124-1132 [PMID: 23025977 DOI: 10.1016/j.gie.2012.08.015]</w:t>
      </w:r>
    </w:p>
    <w:p w14:paraId="1791124D"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63 </w:t>
      </w:r>
      <w:r w:rsidRPr="00985F17">
        <w:rPr>
          <w:rFonts w:ascii="Book Antiqua" w:eastAsia="宋体" w:hAnsi="Book Antiqua" w:cs="宋体"/>
          <w:b/>
          <w:bCs/>
          <w:sz w:val="24"/>
          <w:szCs w:val="24"/>
          <w:lang w:val="en-US"/>
        </w:rPr>
        <w:t>Kobara H</w:t>
      </w:r>
      <w:r w:rsidRPr="00985F17">
        <w:rPr>
          <w:rFonts w:ascii="Book Antiqua" w:eastAsia="宋体" w:hAnsi="Book Antiqua" w:cs="宋体"/>
          <w:sz w:val="24"/>
          <w:szCs w:val="24"/>
          <w:lang w:val="en-US"/>
        </w:rPr>
        <w:t>, Mori H, Fujihara S, Kobayashi M, Nishiyama N, Nomura T, Kato K, Ishihara S, Morito T, Mizobuchi K, Iwama H, Masaki T. Prediction of invasion depth for submucosal differentiated gastric cancer by magnifying endoscopy with narrow-band imaging. </w:t>
      </w:r>
      <w:r w:rsidRPr="00985F17">
        <w:rPr>
          <w:rFonts w:ascii="Book Antiqua" w:eastAsia="宋体" w:hAnsi="Book Antiqua" w:cs="宋体"/>
          <w:i/>
          <w:iCs/>
          <w:sz w:val="24"/>
          <w:szCs w:val="24"/>
          <w:lang w:val="en-US"/>
        </w:rPr>
        <w:t>Oncol Rep</w:t>
      </w:r>
      <w:r w:rsidRPr="00985F17">
        <w:rPr>
          <w:rFonts w:ascii="Book Antiqua" w:eastAsia="宋体" w:hAnsi="Book Antiqua" w:cs="宋体"/>
          <w:sz w:val="24"/>
          <w:szCs w:val="24"/>
          <w:lang w:val="en-US"/>
        </w:rPr>
        <w:t> 2012; </w:t>
      </w:r>
      <w:r w:rsidRPr="00985F17">
        <w:rPr>
          <w:rFonts w:ascii="Book Antiqua" w:eastAsia="宋体" w:hAnsi="Book Antiqua" w:cs="宋体"/>
          <w:b/>
          <w:bCs/>
          <w:sz w:val="24"/>
          <w:szCs w:val="24"/>
          <w:lang w:val="en-US"/>
        </w:rPr>
        <w:t>28</w:t>
      </w:r>
      <w:r w:rsidRPr="00985F17">
        <w:rPr>
          <w:rFonts w:ascii="Book Antiqua" w:eastAsia="宋体" w:hAnsi="Book Antiqua" w:cs="宋体"/>
          <w:sz w:val="24"/>
          <w:szCs w:val="24"/>
          <w:lang w:val="en-US"/>
        </w:rPr>
        <w:t>: 841-847 [PMID: 22752002 DOI: 10.3892/or.2012.1889]</w:t>
      </w:r>
    </w:p>
    <w:p w14:paraId="3377CC9F"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64 </w:t>
      </w:r>
      <w:r w:rsidRPr="00985F17">
        <w:rPr>
          <w:rFonts w:ascii="Book Antiqua" w:eastAsia="宋体" w:hAnsi="Book Antiqua" w:cs="宋体"/>
          <w:b/>
          <w:bCs/>
          <w:sz w:val="24"/>
          <w:szCs w:val="24"/>
          <w:lang w:val="en-US"/>
        </w:rPr>
        <w:t>Kikuchi D</w:t>
      </w:r>
      <w:r w:rsidRPr="00985F17">
        <w:rPr>
          <w:rFonts w:ascii="Book Antiqua" w:eastAsia="宋体" w:hAnsi="Book Antiqua" w:cs="宋体"/>
          <w:sz w:val="24"/>
          <w:szCs w:val="24"/>
          <w:lang w:val="en-US"/>
        </w:rPr>
        <w:t>, Iizuka T, Hoteya S, Yamada A, Furuhata T, Yamashita S, Domon K, Nakamura M, Matsui A, Mitani T, Ogawa O, Watanabe S, Kaise M. Usefulness of magnifying endoscopy with narrow-band imaging for determining tumor invasion depth in early gastric cancer. </w:t>
      </w:r>
      <w:r w:rsidRPr="00985F17">
        <w:rPr>
          <w:rFonts w:ascii="Book Antiqua" w:eastAsia="宋体" w:hAnsi="Book Antiqua" w:cs="宋体"/>
          <w:i/>
          <w:iCs/>
          <w:sz w:val="24"/>
          <w:szCs w:val="24"/>
          <w:lang w:val="en-US"/>
        </w:rPr>
        <w:t>Gastroenterol Res Pract</w:t>
      </w:r>
      <w:r w:rsidRPr="00985F17">
        <w:rPr>
          <w:rFonts w:ascii="Book Antiqua" w:eastAsia="宋体" w:hAnsi="Book Antiqua" w:cs="宋体"/>
          <w:sz w:val="24"/>
          <w:szCs w:val="24"/>
          <w:lang w:val="en-US"/>
        </w:rPr>
        <w:t> 2013; </w:t>
      </w:r>
      <w:r w:rsidRPr="00985F17">
        <w:rPr>
          <w:rFonts w:ascii="Book Antiqua" w:eastAsia="宋体" w:hAnsi="Book Antiqua" w:cs="宋体"/>
          <w:b/>
          <w:bCs/>
          <w:sz w:val="24"/>
          <w:szCs w:val="24"/>
          <w:lang w:val="en-US"/>
        </w:rPr>
        <w:t>2013</w:t>
      </w:r>
      <w:r w:rsidRPr="00985F17">
        <w:rPr>
          <w:rFonts w:ascii="Book Antiqua" w:eastAsia="宋体" w:hAnsi="Book Antiqua" w:cs="宋体"/>
          <w:sz w:val="24"/>
          <w:szCs w:val="24"/>
          <w:lang w:val="en-US"/>
        </w:rPr>
        <w:t>: 217695 [PMID: 23401676 DOI: 10.1155/2013/217695]</w:t>
      </w:r>
    </w:p>
    <w:p w14:paraId="15F1AF87"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65 </w:t>
      </w:r>
      <w:r w:rsidRPr="00985F17">
        <w:rPr>
          <w:rFonts w:ascii="Book Antiqua" w:eastAsia="宋体" w:hAnsi="Book Antiqua" w:cs="宋体"/>
          <w:b/>
          <w:bCs/>
          <w:sz w:val="24"/>
          <w:szCs w:val="24"/>
          <w:lang w:val="en-US"/>
        </w:rPr>
        <w:t>Cho JH</w:t>
      </w:r>
      <w:r w:rsidRPr="00985F17">
        <w:rPr>
          <w:rFonts w:ascii="Book Antiqua" w:eastAsia="宋体" w:hAnsi="Book Antiqua" w:cs="宋体"/>
          <w:sz w:val="24"/>
          <w:szCs w:val="24"/>
          <w:lang w:val="en-US"/>
        </w:rPr>
        <w:t>. Advanced Imaging Technology Other than Narrow Band Imaging. </w:t>
      </w:r>
      <w:r w:rsidRPr="00985F17">
        <w:rPr>
          <w:rFonts w:ascii="Book Antiqua" w:eastAsia="宋体" w:hAnsi="Book Antiqua" w:cs="宋体"/>
          <w:i/>
          <w:iCs/>
          <w:sz w:val="24"/>
          <w:szCs w:val="24"/>
          <w:lang w:val="en-US"/>
        </w:rPr>
        <w:t>Clin Endosc</w:t>
      </w:r>
      <w:r w:rsidRPr="00985F17">
        <w:rPr>
          <w:rFonts w:ascii="Book Antiqua" w:eastAsia="宋体" w:hAnsi="Book Antiqua" w:cs="宋体"/>
          <w:sz w:val="24"/>
          <w:szCs w:val="24"/>
          <w:lang w:val="en-US"/>
        </w:rPr>
        <w:t> 2015; </w:t>
      </w:r>
      <w:r w:rsidRPr="00985F17">
        <w:rPr>
          <w:rFonts w:ascii="Book Antiqua" w:eastAsia="宋体" w:hAnsi="Book Antiqua" w:cs="宋体"/>
          <w:b/>
          <w:bCs/>
          <w:sz w:val="24"/>
          <w:szCs w:val="24"/>
          <w:lang w:val="en-US"/>
        </w:rPr>
        <w:t>48</w:t>
      </w:r>
      <w:r w:rsidRPr="00985F17">
        <w:rPr>
          <w:rFonts w:ascii="Book Antiqua" w:eastAsia="宋体" w:hAnsi="Book Antiqua" w:cs="宋体"/>
          <w:sz w:val="24"/>
          <w:szCs w:val="24"/>
          <w:lang w:val="en-US"/>
        </w:rPr>
        <w:t>: 503-510 [PMID: 26668796 DOI: 10.5946/ce.2015.48.6.503]</w:t>
      </w:r>
    </w:p>
    <w:p w14:paraId="73E7979F"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66 </w:t>
      </w:r>
      <w:r w:rsidRPr="00985F17">
        <w:rPr>
          <w:rFonts w:ascii="Book Antiqua" w:eastAsia="宋体" w:hAnsi="Book Antiqua" w:cs="宋体"/>
          <w:b/>
          <w:bCs/>
          <w:sz w:val="24"/>
          <w:szCs w:val="24"/>
          <w:lang w:val="en-US"/>
        </w:rPr>
        <w:t>Osawa H</w:t>
      </w:r>
      <w:r w:rsidRPr="00985F17">
        <w:rPr>
          <w:rFonts w:ascii="Book Antiqua" w:eastAsia="宋体" w:hAnsi="Book Antiqua" w:cs="宋体"/>
          <w:sz w:val="24"/>
          <w:szCs w:val="24"/>
          <w:lang w:val="en-US"/>
        </w:rPr>
        <w:t>, Yoshizawa M, Yamamoto H, Kita H, Satoh K, Ohnishi H, Nakano H, Wada M, Arashiro M, Tsukui M, Ido K, Sugano K. Optimal band imaging system can facilitate detection of changes in depressed-type early gastric cancer.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2008; </w:t>
      </w:r>
      <w:r w:rsidRPr="00985F17">
        <w:rPr>
          <w:rFonts w:ascii="Book Antiqua" w:eastAsia="宋体" w:hAnsi="Book Antiqua" w:cs="宋体"/>
          <w:b/>
          <w:bCs/>
          <w:sz w:val="24"/>
          <w:szCs w:val="24"/>
          <w:lang w:val="en-US"/>
        </w:rPr>
        <w:t>67</w:t>
      </w:r>
      <w:r w:rsidRPr="00985F17">
        <w:rPr>
          <w:rFonts w:ascii="Book Antiqua" w:eastAsia="宋体" w:hAnsi="Book Antiqua" w:cs="宋体"/>
          <w:sz w:val="24"/>
          <w:szCs w:val="24"/>
          <w:lang w:val="en-US"/>
        </w:rPr>
        <w:t>: 226-234 [PMID: 18061596 DOI: 10.1016/j.gie.2007.06.067]</w:t>
      </w:r>
    </w:p>
    <w:p w14:paraId="16B096D7"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67</w:t>
      </w:r>
      <w:r w:rsidRPr="00985F17">
        <w:rPr>
          <w:rFonts w:ascii="Book Antiqua" w:eastAsia="宋体" w:hAnsi="Book Antiqua" w:cs="宋体" w:hint="eastAsia"/>
          <w:sz w:val="24"/>
          <w:szCs w:val="24"/>
          <w:lang w:val="en-US"/>
        </w:rPr>
        <w:t xml:space="preserve"> </w:t>
      </w:r>
      <w:r w:rsidRPr="00985F17">
        <w:rPr>
          <w:rFonts w:ascii="Book Antiqua" w:eastAsia="宋体" w:hAnsi="Book Antiqua" w:cs="宋体"/>
          <w:b/>
          <w:sz w:val="24"/>
          <w:szCs w:val="24"/>
          <w:lang w:val="en-US"/>
        </w:rPr>
        <w:t>Yoshizawa M</w:t>
      </w:r>
      <w:r w:rsidRPr="00985F17">
        <w:rPr>
          <w:rFonts w:ascii="Book Antiqua" w:eastAsia="宋体" w:hAnsi="Book Antiqua" w:cs="宋体"/>
          <w:sz w:val="24"/>
          <w:szCs w:val="24"/>
          <w:lang w:val="en-US"/>
        </w:rPr>
        <w:t>, Osawa H, Yamamoto H, Satoh K, Nakano H, Tsukui M, Sugano K. Newly developed optimal band imaging system for the diagnosis of early gastric cancer.</w:t>
      </w:r>
      <w:r w:rsidRPr="00985F17">
        <w:rPr>
          <w:rFonts w:ascii="Book Antiqua" w:eastAsia="宋体" w:hAnsi="Book Antiqua" w:cs="宋体"/>
          <w:i/>
          <w:sz w:val="24"/>
          <w:szCs w:val="24"/>
          <w:lang w:val="en-US"/>
        </w:rPr>
        <w:t xml:space="preserve"> Dig Endosc</w:t>
      </w:r>
      <w:r w:rsidRPr="00985F17">
        <w:rPr>
          <w:rFonts w:ascii="Book Antiqua" w:eastAsia="宋体" w:hAnsi="Book Antiqua" w:cs="宋体"/>
          <w:sz w:val="24"/>
          <w:szCs w:val="24"/>
          <w:lang w:val="en-US"/>
        </w:rPr>
        <w:t xml:space="preserve"> 2008; </w:t>
      </w:r>
      <w:r w:rsidRPr="00985F17">
        <w:rPr>
          <w:rFonts w:ascii="Book Antiqua" w:eastAsia="宋体" w:hAnsi="Book Antiqua" w:cs="宋体"/>
          <w:b/>
          <w:sz w:val="24"/>
          <w:szCs w:val="24"/>
          <w:lang w:val="en-US"/>
        </w:rPr>
        <w:t>20</w:t>
      </w:r>
      <w:r w:rsidRPr="00985F17">
        <w:rPr>
          <w:rFonts w:ascii="Book Antiqua" w:eastAsia="宋体" w:hAnsi="Book Antiqua" w:cs="宋体"/>
          <w:sz w:val="24"/>
          <w:szCs w:val="24"/>
          <w:lang w:val="en-US"/>
        </w:rPr>
        <w:t>: 194-97</w:t>
      </w:r>
    </w:p>
    <w:p w14:paraId="0F977520"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68 </w:t>
      </w:r>
      <w:r w:rsidRPr="00985F17">
        <w:rPr>
          <w:rFonts w:ascii="Book Antiqua" w:eastAsia="宋体" w:hAnsi="Book Antiqua" w:cs="宋体"/>
          <w:b/>
          <w:bCs/>
          <w:sz w:val="24"/>
          <w:szCs w:val="24"/>
          <w:lang w:val="en-US"/>
        </w:rPr>
        <w:t>Yoshizawa M</w:t>
      </w:r>
      <w:r w:rsidRPr="00985F17">
        <w:rPr>
          <w:rFonts w:ascii="Book Antiqua" w:eastAsia="宋体" w:hAnsi="Book Antiqua" w:cs="宋体"/>
          <w:sz w:val="24"/>
          <w:szCs w:val="24"/>
          <w:lang w:val="en-US"/>
        </w:rPr>
        <w:t>, Osawa H, Yamamoto H, Kita H, Nakano H, Satoh K, Shigemori M, Tsukui M, Sugano K. Diagnosis of elevated-type early gastric cancers by the optimal band imaging system.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2009; </w:t>
      </w:r>
      <w:r w:rsidRPr="00985F17">
        <w:rPr>
          <w:rFonts w:ascii="Book Antiqua" w:eastAsia="宋体" w:hAnsi="Book Antiqua" w:cs="宋体"/>
          <w:b/>
          <w:bCs/>
          <w:sz w:val="24"/>
          <w:szCs w:val="24"/>
          <w:lang w:val="en-US"/>
        </w:rPr>
        <w:t>69</w:t>
      </w:r>
      <w:r w:rsidRPr="00985F17">
        <w:rPr>
          <w:rFonts w:ascii="Book Antiqua" w:eastAsia="宋体" w:hAnsi="Book Antiqua" w:cs="宋体"/>
          <w:sz w:val="24"/>
          <w:szCs w:val="24"/>
          <w:lang w:val="en-US"/>
        </w:rPr>
        <w:t>: 19-28 [PMID: 19111685 DOI: 10.1016/j.gie.2008.09.007]</w:t>
      </w:r>
    </w:p>
    <w:p w14:paraId="4074F6E3"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69 </w:t>
      </w:r>
      <w:r w:rsidRPr="00985F17">
        <w:rPr>
          <w:rFonts w:ascii="Book Antiqua" w:eastAsia="宋体" w:hAnsi="Book Antiqua" w:cs="宋体"/>
          <w:b/>
          <w:bCs/>
          <w:sz w:val="24"/>
          <w:szCs w:val="24"/>
          <w:lang w:val="en-US"/>
        </w:rPr>
        <w:t>Mouri R</w:t>
      </w:r>
      <w:r w:rsidRPr="00985F17">
        <w:rPr>
          <w:rFonts w:ascii="Book Antiqua" w:eastAsia="宋体" w:hAnsi="Book Antiqua" w:cs="宋体"/>
          <w:sz w:val="24"/>
          <w:szCs w:val="24"/>
          <w:lang w:val="en-US"/>
        </w:rPr>
        <w:t>, Yoshida S, Tanaka S, Oka S, Yoshihara M, Chayama K. Evaluation and validation of computed virtual chromoendoscopy in early gastric cancer. </w:t>
      </w:r>
      <w:r w:rsidRPr="00985F17">
        <w:rPr>
          <w:rFonts w:ascii="Book Antiqua" w:eastAsia="宋体" w:hAnsi="Book Antiqua" w:cs="宋体"/>
          <w:i/>
          <w:iCs/>
          <w:sz w:val="24"/>
          <w:szCs w:val="24"/>
          <w:lang w:val="en-US"/>
        </w:rPr>
        <w:t>Gastrointest Endosc</w:t>
      </w:r>
      <w:r w:rsidRPr="00985F17">
        <w:rPr>
          <w:rFonts w:ascii="Book Antiqua" w:eastAsia="宋体" w:hAnsi="Book Antiqua" w:cs="宋体"/>
          <w:sz w:val="24"/>
          <w:szCs w:val="24"/>
          <w:lang w:val="en-US"/>
        </w:rPr>
        <w:t> 2009; </w:t>
      </w:r>
      <w:r w:rsidRPr="00985F17">
        <w:rPr>
          <w:rFonts w:ascii="Book Antiqua" w:eastAsia="宋体" w:hAnsi="Book Antiqua" w:cs="宋体"/>
          <w:b/>
          <w:bCs/>
          <w:sz w:val="24"/>
          <w:szCs w:val="24"/>
          <w:lang w:val="en-US"/>
        </w:rPr>
        <w:t>69</w:t>
      </w:r>
      <w:r w:rsidRPr="00985F17">
        <w:rPr>
          <w:rFonts w:ascii="Book Antiqua" w:eastAsia="宋体" w:hAnsi="Book Antiqua" w:cs="宋体"/>
          <w:sz w:val="24"/>
          <w:szCs w:val="24"/>
          <w:lang w:val="en-US"/>
        </w:rPr>
        <w:t>: 1052-1058 [PMID: 19152892 DOI: 10.1016/j.gie.2008.08.032]</w:t>
      </w:r>
    </w:p>
    <w:p w14:paraId="62302706"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70 </w:t>
      </w:r>
      <w:r w:rsidRPr="00985F17">
        <w:rPr>
          <w:rFonts w:ascii="Book Antiqua" w:eastAsia="宋体" w:hAnsi="Book Antiqua" w:cs="宋体"/>
          <w:b/>
          <w:bCs/>
          <w:sz w:val="24"/>
          <w:szCs w:val="24"/>
          <w:lang w:val="en-US"/>
        </w:rPr>
        <w:t>Jung SW</w:t>
      </w:r>
      <w:r w:rsidRPr="00985F17">
        <w:rPr>
          <w:rFonts w:ascii="Book Antiqua" w:eastAsia="宋体" w:hAnsi="Book Antiqua" w:cs="宋体"/>
          <w:sz w:val="24"/>
          <w:szCs w:val="24"/>
          <w:lang w:val="en-US"/>
        </w:rPr>
        <w:t>, Lim KS, Lim JU, Jeon JW, Shin HP, Kim SH, Lee EK, Park JJ, Cha JM, Joo KR, Lee JI. Flexible spectral imaging color enhancement (FICE) is useful to discriminate among non-neoplastic lesion, adenoma, and cancer of stomach. </w:t>
      </w:r>
      <w:r w:rsidRPr="00985F17">
        <w:rPr>
          <w:rFonts w:ascii="Book Antiqua" w:eastAsia="宋体" w:hAnsi="Book Antiqua" w:cs="宋体"/>
          <w:i/>
          <w:iCs/>
          <w:sz w:val="24"/>
          <w:szCs w:val="24"/>
          <w:lang w:val="en-US"/>
        </w:rPr>
        <w:t>Dig Dis Sci</w:t>
      </w:r>
      <w:r w:rsidRPr="00985F17">
        <w:rPr>
          <w:rFonts w:ascii="Book Antiqua" w:eastAsia="宋体" w:hAnsi="Book Antiqua" w:cs="宋体"/>
          <w:sz w:val="24"/>
          <w:szCs w:val="24"/>
          <w:lang w:val="en-US"/>
        </w:rPr>
        <w:t> 2011; </w:t>
      </w:r>
      <w:r w:rsidRPr="00985F17">
        <w:rPr>
          <w:rFonts w:ascii="Book Antiqua" w:eastAsia="宋体" w:hAnsi="Book Antiqua" w:cs="宋体"/>
          <w:b/>
          <w:bCs/>
          <w:sz w:val="24"/>
          <w:szCs w:val="24"/>
          <w:lang w:val="en-US"/>
        </w:rPr>
        <w:t>56</w:t>
      </w:r>
      <w:r w:rsidRPr="00985F17">
        <w:rPr>
          <w:rFonts w:ascii="Book Antiqua" w:eastAsia="宋体" w:hAnsi="Book Antiqua" w:cs="宋体"/>
          <w:sz w:val="24"/>
          <w:szCs w:val="24"/>
          <w:lang w:val="en-US"/>
        </w:rPr>
        <w:t>: 2879-2886 [PMID: 21800158 DOI: 10.1007/s10620-011-1831-7]</w:t>
      </w:r>
    </w:p>
    <w:p w14:paraId="6C55F2BC"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71 </w:t>
      </w:r>
      <w:r w:rsidRPr="00985F17">
        <w:rPr>
          <w:rFonts w:ascii="Book Antiqua" w:eastAsia="宋体" w:hAnsi="Book Antiqua" w:cs="宋体"/>
          <w:b/>
          <w:bCs/>
          <w:sz w:val="24"/>
          <w:szCs w:val="24"/>
          <w:lang w:val="en-US"/>
        </w:rPr>
        <w:t>Kikuste I</w:t>
      </w:r>
      <w:r w:rsidRPr="00985F17">
        <w:rPr>
          <w:rFonts w:ascii="Book Antiqua" w:eastAsia="宋体" w:hAnsi="Book Antiqua" w:cs="宋体"/>
          <w:sz w:val="24"/>
          <w:szCs w:val="24"/>
          <w:lang w:val="en-US"/>
        </w:rPr>
        <w:t>, Stirna D, Liepniece-Karele I, Leja M, Dinis-Ribeiro M. The accuracy of flexible spectral imaging colour enhancement for the diagnosis of gastric intestinal metaplasia: do we still need histology to select individuals at risk for adenocarcinoma? </w:t>
      </w:r>
      <w:r w:rsidRPr="00985F17">
        <w:rPr>
          <w:rFonts w:ascii="Book Antiqua" w:eastAsia="宋体" w:hAnsi="Book Antiqua" w:cs="宋体"/>
          <w:i/>
          <w:iCs/>
          <w:sz w:val="24"/>
          <w:szCs w:val="24"/>
          <w:lang w:val="en-US"/>
        </w:rPr>
        <w:t>Eur J Gastroenterol Hepatol</w:t>
      </w:r>
      <w:r w:rsidRPr="00985F17">
        <w:rPr>
          <w:rFonts w:ascii="Book Antiqua" w:eastAsia="宋体" w:hAnsi="Book Antiqua" w:cs="宋体"/>
          <w:sz w:val="24"/>
          <w:szCs w:val="24"/>
          <w:lang w:val="en-US"/>
        </w:rPr>
        <w:t> 2014; </w:t>
      </w:r>
      <w:r w:rsidRPr="00985F17">
        <w:rPr>
          <w:rFonts w:ascii="Book Antiqua" w:eastAsia="宋体" w:hAnsi="Book Antiqua" w:cs="宋体"/>
          <w:b/>
          <w:bCs/>
          <w:sz w:val="24"/>
          <w:szCs w:val="24"/>
          <w:lang w:val="en-US"/>
        </w:rPr>
        <w:t>26</w:t>
      </w:r>
      <w:r w:rsidRPr="00985F17">
        <w:rPr>
          <w:rFonts w:ascii="Book Antiqua" w:eastAsia="宋体" w:hAnsi="Book Antiqua" w:cs="宋体"/>
          <w:sz w:val="24"/>
          <w:szCs w:val="24"/>
          <w:lang w:val="en-US"/>
        </w:rPr>
        <w:t>: 704-709 [PMID: 24901816 DOI: 10.1097/MEG.0000000000000108]</w:t>
      </w:r>
    </w:p>
    <w:p w14:paraId="384E032B"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72 </w:t>
      </w:r>
      <w:r w:rsidRPr="00985F17">
        <w:rPr>
          <w:rFonts w:ascii="Book Antiqua" w:eastAsia="宋体" w:hAnsi="Book Antiqua" w:cs="宋体"/>
          <w:b/>
          <w:bCs/>
          <w:sz w:val="24"/>
          <w:szCs w:val="24"/>
          <w:lang w:val="en-US"/>
        </w:rPr>
        <w:t>Tanioka Y</w:t>
      </w:r>
      <w:r w:rsidRPr="00985F17">
        <w:rPr>
          <w:rFonts w:ascii="Book Antiqua" w:eastAsia="宋体" w:hAnsi="Book Antiqua" w:cs="宋体"/>
          <w:sz w:val="24"/>
          <w:szCs w:val="24"/>
          <w:lang w:val="en-US"/>
        </w:rPr>
        <w:t>, Yanai H, Sakaguchi E. Ultraslim endoscopy with flexible spectral imaging color enhancement for upper gastrointestinal neoplasms. </w:t>
      </w:r>
      <w:r w:rsidRPr="00985F17">
        <w:rPr>
          <w:rFonts w:ascii="Book Antiqua" w:eastAsia="宋体" w:hAnsi="Book Antiqua" w:cs="宋体"/>
          <w:i/>
          <w:iCs/>
          <w:sz w:val="24"/>
          <w:szCs w:val="24"/>
          <w:lang w:val="en-US"/>
        </w:rPr>
        <w:t>World J Gastrointest Endosc</w:t>
      </w:r>
      <w:r w:rsidRPr="00985F17">
        <w:rPr>
          <w:rFonts w:ascii="Book Antiqua" w:eastAsia="宋体" w:hAnsi="Book Antiqua" w:cs="宋体"/>
          <w:sz w:val="24"/>
          <w:szCs w:val="24"/>
          <w:lang w:val="en-US"/>
        </w:rPr>
        <w:t> 2011; </w:t>
      </w:r>
      <w:r w:rsidRPr="00985F17">
        <w:rPr>
          <w:rFonts w:ascii="Book Antiqua" w:eastAsia="宋体" w:hAnsi="Book Antiqua" w:cs="宋体"/>
          <w:b/>
          <w:bCs/>
          <w:sz w:val="24"/>
          <w:szCs w:val="24"/>
          <w:lang w:val="en-US"/>
        </w:rPr>
        <w:t>3</w:t>
      </w:r>
      <w:r w:rsidRPr="00985F17">
        <w:rPr>
          <w:rFonts w:ascii="Book Antiqua" w:eastAsia="宋体" w:hAnsi="Book Antiqua" w:cs="宋体"/>
          <w:sz w:val="24"/>
          <w:szCs w:val="24"/>
          <w:lang w:val="en-US"/>
        </w:rPr>
        <w:t>: 11-15 [PMID: 21258601 DOI: 10.4253/wjge.v3.i1.11]</w:t>
      </w:r>
    </w:p>
    <w:p w14:paraId="23DC5F9D"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73 </w:t>
      </w:r>
      <w:r w:rsidRPr="00985F17">
        <w:rPr>
          <w:rFonts w:ascii="Book Antiqua" w:eastAsia="宋体" w:hAnsi="Book Antiqua" w:cs="宋体"/>
          <w:b/>
          <w:bCs/>
          <w:sz w:val="24"/>
          <w:szCs w:val="24"/>
          <w:lang w:val="en-US"/>
        </w:rPr>
        <w:t>Osawa H</w:t>
      </w:r>
      <w:r w:rsidRPr="00985F17">
        <w:rPr>
          <w:rFonts w:ascii="Book Antiqua" w:eastAsia="宋体" w:hAnsi="Book Antiqua" w:cs="宋体"/>
          <w:sz w:val="24"/>
          <w:szCs w:val="24"/>
          <w:lang w:val="en-US"/>
        </w:rPr>
        <w:t>, Yamamoto H, Miura Y, Ajibe H, Shinhata H, Yoshizawa M, Sunada K, Toma S, Satoh K, Sugano K. Diagnosis of depressed-type early gastric cancer using small-caliber endoscopy with flexible spectral imaging color enhancement. </w:t>
      </w:r>
      <w:r w:rsidRPr="00985F17">
        <w:rPr>
          <w:rFonts w:ascii="Book Antiqua" w:eastAsia="宋体" w:hAnsi="Book Antiqua" w:cs="宋体"/>
          <w:i/>
          <w:iCs/>
          <w:sz w:val="24"/>
          <w:szCs w:val="24"/>
          <w:lang w:val="en-US"/>
        </w:rPr>
        <w:t>Dig Endosc</w:t>
      </w:r>
      <w:r w:rsidRPr="00985F17">
        <w:rPr>
          <w:rFonts w:ascii="Book Antiqua" w:eastAsia="宋体" w:hAnsi="Book Antiqua" w:cs="宋体"/>
          <w:sz w:val="24"/>
          <w:szCs w:val="24"/>
          <w:lang w:val="en-US"/>
        </w:rPr>
        <w:t> 2012; </w:t>
      </w:r>
      <w:r w:rsidRPr="00985F17">
        <w:rPr>
          <w:rFonts w:ascii="Book Antiqua" w:eastAsia="宋体" w:hAnsi="Book Antiqua" w:cs="宋体"/>
          <w:b/>
          <w:bCs/>
          <w:sz w:val="24"/>
          <w:szCs w:val="24"/>
          <w:lang w:val="en-US"/>
        </w:rPr>
        <w:t>24</w:t>
      </w:r>
      <w:r w:rsidRPr="00985F17">
        <w:rPr>
          <w:rFonts w:ascii="Book Antiqua" w:eastAsia="宋体" w:hAnsi="Book Antiqua" w:cs="宋体"/>
          <w:sz w:val="24"/>
          <w:szCs w:val="24"/>
          <w:lang w:val="en-US"/>
        </w:rPr>
        <w:t>: 231-236 [PMID: 22725107 DOI: 10.1111/j.1443-1661.2011.01224.x]</w:t>
      </w:r>
    </w:p>
    <w:p w14:paraId="584CDF74"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74 </w:t>
      </w:r>
      <w:r w:rsidRPr="00985F17">
        <w:rPr>
          <w:rFonts w:ascii="Book Antiqua" w:eastAsia="宋体" w:hAnsi="Book Antiqua" w:cs="宋体"/>
          <w:b/>
          <w:bCs/>
          <w:sz w:val="24"/>
          <w:szCs w:val="24"/>
          <w:lang w:val="en-US"/>
        </w:rPr>
        <w:t>Dohi O</w:t>
      </w:r>
      <w:r w:rsidRPr="00985F17">
        <w:rPr>
          <w:rFonts w:ascii="Book Antiqua" w:eastAsia="宋体" w:hAnsi="Book Antiqua" w:cs="宋体"/>
          <w:sz w:val="24"/>
          <w:szCs w:val="24"/>
          <w:lang w:val="en-US"/>
        </w:rPr>
        <w:t>, Yagi N, Wada T, Yamada N, Bito N, Yamada S, Gen Y, Yoshida N, Uchiyama K, Ishikawa T, Takagi T, Handa O, Konishi H, Wakabayashi N, Kokura S, Naito Y, Yoshikawa T. Recognition of endoscopic diagnosis in differentiated-type early gastric cancer by flexible spectral imaging color enhancement with indigo carmine. </w:t>
      </w:r>
      <w:r w:rsidRPr="00985F17">
        <w:rPr>
          <w:rFonts w:ascii="Book Antiqua" w:eastAsia="宋体" w:hAnsi="Book Antiqua" w:cs="宋体"/>
          <w:i/>
          <w:iCs/>
          <w:sz w:val="24"/>
          <w:szCs w:val="24"/>
          <w:lang w:val="en-US"/>
        </w:rPr>
        <w:t>Digestion</w:t>
      </w:r>
      <w:r w:rsidRPr="00985F17">
        <w:rPr>
          <w:rFonts w:ascii="Book Antiqua" w:eastAsia="宋体" w:hAnsi="Book Antiqua" w:cs="宋体"/>
          <w:sz w:val="24"/>
          <w:szCs w:val="24"/>
          <w:lang w:val="en-US"/>
        </w:rPr>
        <w:t> 2012; </w:t>
      </w:r>
      <w:r w:rsidRPr="00985F17">
        <w:rPr>
          <w:rFonts w:ascii="Book Antiqua" w:eastAsia="宋体" w:hAnsi="Book Antiqua" w:cs="宋体"/>
          <w:b/>
          <w:bCs/>
          <w:sz w:val="24"/>
          <w:szCs w:val="24"/>
          <w:lang w:val="en-US"/>
        </w:rPr>
        <w:t>86</w:t>
      </w:r>
      <w:r w:rsidRPr="00985F17">
        <w:rPr>
          <w:rFonts w:ascii="Book Antiqua" w:eastAsia="宋体" w:hAnsi="Book Antiqua" w:cs="宋体"/>
          <w:sz w:val="24"/>
          <w:szCs w:val="24"/>
          <w:lang w:val="en-US"/>
        </w:rPr>
        <w:t>: 161-170 [PMID: 22889937 DOI: 10.1159/000339878]</w:t>
      </w:r>
    </w:p>
    <w:p w14:paraId="182541AE"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75 </w:t>
      </w:r>
      <w:r w:rsidRPr="00985F17">
        <w:rPr>
          <w:rFonts w:ascii="Book Antiqua" w:eastAsia="宋体" w:hAnsi="Book Antiqua" w:cs="宋体"/>
          <w:b/>
          <w:bCs/>
          <w:sz w:val="24"/>
          <w:szCs w:val="24"/>
          <w:lang w:val="en-US"/>
        </w:rPr>
        <w:t>Kodashima S</w:t>
      </w:r>
      <w:r w:rsidRPr="00985F17">
        <w:rPr>
          <w:rFonts w:ascii="Book Antiqua" w:eastAsia="宋体" w:hAnsi="Book Antiqua" w:cs="宋体"/>
          <w:sz w:val="24"/>
          <w:szCs w:val="24"/>
          <w:lang w:val="en-US"/>
        </w:rPr>
        <w:t>, Fujishiro M. Novel image-enhanced endoscopy with i-scan technology. </w:t>
      </w:r>
      <w:r w:rsidRPr="00985F17">
        <w:rPr>
          <w:rFonts w:ascii="Book Antiqua" w:eastAsia="宋体" w:hAnsi="Book Antiqua" w:cs="宋体"/>
          <w:i/>
          <w:iCs/>
          <w:sz w:val="24"/>
          <w:szCs w:val="24"/>
          <w:lang w:val="en-US"/>
        </w:rPr>
        <w:t>World J Gastroenterol</w:t>
      </w:r>
      <w:r w:rsidRPr="00985F17">
        <w:rPr>
          <w:rFonts w:ascii="Book Antiqua" w:eastAsia="宋体" w:hAnsi="Book Antiqua" w:cs="宋体"/>
          <w:sz w:val="24"/>
          <w:szCs w:val="24"/>
          <w:lang w:val="en-US"/>
        </w:rPr>
        <w:t> 2010; </w:t>
      </w:r>
      <w:r w:rsidRPr="00985F17">
        <w:rPr>
          <w:rFonts w:ascii="Book Antiqua" w:eastAsia="宋体" w:hAnsi="Book Antiqua" w:cs="宋体"/>
          <w:b/>
          <w:bCs/>
          <w:sz w:val="24"/>
          <w:szCs w:val="24"/>
          <w:lang w:val="en-US"/>
        </w:rPr>
        <w:t>16</w:t>
      </w:r>
      <w:r w:rsidRPr="00985F17">
        <w:rPr>
          <w:rFonts w:ascii="Book Antiqua" w:eastAsia="宋体" w:hAnsi="Book Antiqua" w:cs="宋体"/>
          <w:sz w:val="24"/>
          <w:szCs w:val="24"/>
          <w:lang w:val="en-US"/>
        </w:rPr>
        <w:t>: 1043-1049 [PMID: 20205272 DOI: 10.3748/wjg.v16.i9.1043]</w:t>
      </w:r>
    </w:p>
    <w:p w14:paraId="68557033"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76 </w:t>
      </w:r>
      <w:r w:rsidRPr="00985F17">
        <w:rPr>
          <w:rFonts w:ascii="Book Antiqua" w:eastAsia="宋体" w:hAnsi="Book Antiqua" w:cs="宋体"/>
          <w:b/>
          <w:bCs/>
          <w:sz w:val="24"/>
          <w:szCs w:val="24"/>
          <w:lang w:val="en-US"/>
        </w:rPr>
        <w:t>Li CQ</w:t>
      </w:r>
      <w:r w:rsidRPr="00985F17">
        <w:rPr>
          <w:rFonts w:ascii="Book Antiqua" w:eastAsia="宋体" w:hAnsi="Book Antiqua" w:cs="宋体"/>
          <w:sz w:val="24"/>
          <w:szCs w:val="24"/>
          <w:lang w:val="en-US"/>
        </w:rPr>
        <w:t>, Li Y, Zuo XL, Ji R, Li Z, Gu XM, Yu T, Qi QQ, Zhou CJ, Li YQ. Magnified and enhanced computed virtual chromoendoscopy in gastric neoplasia: a feasibility study. </w:t>
      </w:r>
      <w:r w:rsidRPr="00985F17">
        <w:rPr>
          <w:rFonts w:ascii="Book Antiqua" w:eastAsia="宋体" w:hAnsi="Book Antiqua" w:cs="宋体"/>
          <w:i/>
          <w:iCs/>
          <w:sz w:val="24"/>
          <w:szCs w:val="24"/>
          <w:lang w:val="en-US"/>
        </w:rPr>
        <w:t>World J Gastroenterol</w:t>
      </w:r>
      <w:r w:rsidRPr="00985F17">
        <w:rPr>
          <w:rFonts w:ascii="Book Antiqua" w:eastAsia="宋体" w:hAnsi="Book Antiqua" w:cs="宋体"/>
          <w:sz w:val="24"/>
          <w:szCs w:val="24"/>
          <w:lang w:val="en-US"/>
        </w:rPr>
        <w:t> 2013; </w:t>
      </w:r>
      <w:r w:rsidRPr="00985F17">
        <w:rPr>
          <w:rFonts w:ascii="Book Antiqua" w:eastAsia="宋体" w:hAnsi="Book Antiqua" w:cs="宋体"/>
          <w:b/>
          <w:bCs/>
          <w:sz w:val="24"/>
          <w:szCs w:val="24"/>
          <w:lang w:val="en-US"/>
        </w:rPr>
        <w:t>19</w:t>
      </w:r>
      <w:r w:rsidRPr="00985F17">
        <w:rPr>
          <w:rFonts w:ascii="Book Antiqua" w:eastAsia="宋体" w:hAnsi="Book Antiqua" w:cs="宋体"/>
          <w:sz w:val="24"/>
          <w:szCs w:val="24"/>
          <w:lang w:val="en-US"/>
        </w:rPr>
        <w:t>: 4221-4227 [PMID: 23864787 DOI: 10.3748/wjg.v19.i26.4221]</w:t>
      </w:r>
    </w:p>
    <w:p w14:paraId="30BE3303"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r w:rsidRPr="00985F17">
        <w:rPr>
          <w:rFonts w:ascii="Book Antiqua" w:eastAsia="宋体" w:hAnsi="Book Antiqua" w:cs="宋体"/>
          <w:sz w:val="24"/>
          <w:szCs w:val="24"/>
          <w:lang w:val="en-US"/>
        </w:rPr>
        <w:t>77 </w:t>
      </w:r>
      <w:r w:rsidRPr="00985F17">
        <w:rPr>
          <w:rFonts w:ascii="Book Antiqua" w:eastAsia="宋体" w:hAnsi="Book Antiqua" w:cs="宋体"/>
          <w:b/>
          <w:bCs/>
          <w:sz w:val="24"/>
          <w:szCs w:val="24"/>
          <w:lang w:val="en-US"/>
        </w:rPr>
        <w:t>Kaneko K</w:t>
      </w:r>
      <w:r w:rsidRPr="00985F17">
        <w:rPr>
          <w:rFonts w:ascii="Book Antiqua" w:eastAsia="宋体" w:hAnsi="Book Antiqua" w:cs="宋体"/>
          <w:sz w:val="24"/>
          <w:szCs w:val="24"/>
          <w:lang w:val="en-US"/>
        </w:rPr>
        <w:t>, Oono Y, Yano T, Ikematsu H, Odagaki T, Yoda Y, Yagishita A, Sato A, Nomura S. Effect of novel bright image enhanced endoscopy using blue laser imaging (BLI). </w:t>
      </w:r>
      <w:r w:rsidRPr="00985F17">
        <w:rPr>
          <w:rFonts w:ascii="Book Antiqua" w:eastAsia="宋体" w:hAnsi="Book Antiqua" w:cs="宋体"/>
          <w:i/>
          <w:iCs/>
          <w:sz w:val="24"/>
          <w:szCs w:val="24"/>
          <w:lang w:val="en-US"/>
        </w:rPr>
        <w:t>Endosc Int Open</w:t>
      </w:r>
      <w:r w:rsidRPr="00985F17">
        <w:rPr>
          <w:rFonts w:ascii="Book Antiqua" w:eastAsia="宋体" w:hAnsi="Book Antiqua" w:cs="宋体"/>
          <w:sz w:val="24"/>
          <w:szCs w:val="24"/>
          <w:lang w:val="en-US"/>
        </w:rPr>
        <w:t> 2014; </w:t>
      </w:r>
      <w:r w:rsidRPr="00985F17">
        <w:rPr>
          <w:rFonts w:ascii="Book Antiqua" w:eastAsia="宋体" w:hAnsi="Book Antiqua" w:cs="宋体"/>
          <w:b/>
          <w:bCs/>
          <w:sz w:val="24"/>
          <w:szCs w:val="24"/>
          <w:lang w:val="en-US"/>
        </w:rPr>
        <w:t>2</w:t>
      </w:r>
      <w:r w:rsidRPr="00985F17">
        <w:rPr>
          <w:rFonts w:ascii="Book Antiqua" w:eastAsia="宋体" w:hAnsi="Book Antiqua" w:cs="宋体"/>
          <w:sz w:val="24"/>
          <w:szCs w:val="24"/>
          <w:lang w:val="en-US"/>
        </w:rPr>
        <w:t>: E212-E219 [PMID: 26135095 DOI: 10.1055/s-0034-1390707]</w:t>
      </w:r>
    </w:p>
    <w:p w14:paraId="0BB7D5CE" w14:textId="77777777" w:rsidR="00985F17" w:rsidRPr="00985F17" w:rsidRDefault="00985F17" w:rsidP="00985F17">
      <w:pPr>
        <w:tabs>
          <w:tab w:val="left" w:pos="5805"/>
        </w:tabs>
        <w:spacing w:after="0" w:line="360" w:lineRule="auto"/>
        <w:jc w:val="both"/>
        <w:rPr>
          <w:rFonts w:ascii="Book Antiqua" w:eastAsia="宋体" w:hAnsi="Book Antiqua" w:cs="宋体"/>
          <w:sz w:val="24"/>
          <w:szCs w:val="24"/>
          <w:lang w:val="en-US"/>
        </w:rPr>
      </w:pPr>
    </w:p>
    <w:p w14:paraId="5BD7AFC4" w14:textId="77777777" w:rsidR="00BD5875" w:rsidRDefault="00985F17" w:rsidP="00ED76B5">
      <w:pPr>
        <w:widowControl w:val="0"/>
        <w:wordWrap w:val="0"/>
        <w:spacing w:after="0" w:line="360" w:lineRule="auto"/>
        <w:jc w:val="right"/>
        <w:rPr>
          <w:rFonts w:ascii="Book Antiqua" w:eastAsia="宋体" w:hAnsi="Book Antiqua" w:cs="Courier New"/>
          <w:b/>
          <w:kern w:val="2"/>
          <w:sz w:val="24"/>
          <w:szCs w:val="24"/>
          <w:lang w:val="en-US"/>
        </w:rPr>
      </w:pPr>
      <w:r w:rsidRPr="00985F17">
        <w:rPr>
          <w:rFonts w:ascii="Book Antiqua" w:eastAsia="宋体" w:hAnsi="Book Antiqua" w:cs="Courier New"/>
          <w:b/>
          <w:kern w:val="2"/>
          <w:sz w:val="24"/>
          <w:szCs w:val="24"/>
          <w:lang w:val="en-US"/>
        </w:rPr>
        <w:t>P-Reviewer:</w:t>
      </w:r>
      <w:r w:rsidRPr="00985F17">
        <w:rPr>
          <w:rFonts w:ascii="Book Antiqua" w:eastAsia="宋体" w:hAnsi="Book Antiqua" w:cs="Courier New"/>
          <w:kern w:val="2"/>
          <w:sz w:val="24"/>
          <w:szCs w:val="24"/>
          <w:lang w:val="en-US"/>
        </w:rPr>
        <w:t xml:space="preserve"> Fogli</w:t>
      </w:r>
      <w:r w:rsidRPr="00985F17">
        <w:rPr>
          <w:rFonts w:ascii="Book Antiqua" w:eastAsia="宋体" w:hAnsi="Book Antiqua" w:cs="Courier New" w:hint="eastAsia"/>
          <w:kern w:val="2"/>
          <w:sz w:val="24"/>
          <w:szCs w:val="24"/>
          <w:lang w:val="en-US"/>
        </w:rPr>
        <w:t xml:space="preserve"> L, </w:t>
      </w:r>
      <w:r w:rsidRPr="00985F17">
        <w:rPr>
          <w:rFonts w:ascii="Book Antiqua" w:eastAsia="宋体" w:hAnsi="Book Antiqua" w:cs="Courier New"/>
          <w:kern w:val="2"/>
          <w:sz w:val="24"/>
          <w:szCs w:val="24"/>
          <w:lang w:val="en-US"/>
        </w:rPr>
        <w:t>Mayol</w:t>
      </w:r>
      <w:r w:rsidRPr="00985F17">
        <w:rPr>
          <w:rFonts w:ascii="Book Antiqua" w:eastAsia="宋体" w:hAnsi="Book Antiqua" w:cs="Courier New" w:hint="eastAsia"/>
          <w:kern w:val="2"/>
          <w:sz w:val="24"/>
          <w:szCs w:val="24"/>
          <w:lang w:val="en-US"/>
        </w:rPr>
        <w:t xml:space="preserve"> J, </w:t>
      </w:r>
      <w:r w:rsidRPr="00985F17">
        <w:rPr>
          <w:rFonts w:ascii="Book Antiqua" w:eastAsia="宋体" w:hAnsi="Book Antiqua" w:cs="Courier New"/>
          <w:kern w:val="2"/>
          <w:sz w:val="24"/>
          <w:szCs w:val="24"/>
          <w:lang w:val="en-US"/>
        </w:rPr>
        <w:t>Nakayama</w:t>
      </w:r>
      <w:r w:rsidRPr="00985F17">
        <w:rPr>
          <w:rFonts w:ascii="Book Antiqua" w:eastAsia="宋体" w:hAnsi="Book Antiqua" w:cs="Courier New" w:hint="eastAsia"/>
          <w:kern w:val="2"/>
          <w:sz w:val="24"/>
          <w:szCs w:val="24"/>
          <w:lang w:val="en-US"/>
        </w:rPr>
        <w:t xml:space="preserve"> Y, </w:t>
      </w:r>
      <w:r w:rsidRPr="00985F17">
        <w:rPr>
          <w:rFonts w:ascii="Book Antiqua" w:eastAsia="宋体" w:hAnsi="Book Antiqua" w:cs="Courier New"/>
          <w:kern w:val="2"/>
          <w:sz w:val="24"/>
          <w:szCs w:val="24"/>
          <w:lang w:val="en-US"/>
        </w:rPr>
        <w:t>Pavlidis</w:t>
      </w:r>
      <w:r w:rsidRPr="00985F17">
        <w:rPr>
          <w:rFonts w:ascii="Book Antiqua" w:eastAsia="宋体" w:hAnsi="Book Antiqua" w:cs="Courier New" w:hint="eastAsia"/>
          <w:kern w:val="2"/>
          <w:sz w:val="24"/>
          <w:szCs w:val="24"/>
          <w:lang w:val="en-US"/>
        </w:rPr>
        <w:t xml:space="preserve"> TE</w:t>
      </w:r>
      <w:r w:rsidRPr="00985F17">
        <w:rPr>
          <w:rFonts w:ascii="Book Antiqua" w:eastAsia="宋体" w:hAnsi="Book Antiqua" w:cs="Courier New"/>
          <w:kern w:val="2"/>
          <w:sz w:val="24"/>
          <w:szCs w:val="24"/>
          <w:lang w:val="en-US"/>
        </w:rPr>
        <w:t xml:space="preserve"> </w:t>
      </w:r>
      <w:r w:rsidRPr="00985F17">
        <w:rPr>
          <w:rFonts w:ascii="Book Antiqua" w:eastAsia="宋体" w:hAnsi="Book Antiqua" w:cs="Courier New"/>
          <w:b/>
          <w:kern w:val="2"/>
          <w:sz w:val="24"/>
          <w:szCs w:val="24"/>
          <w:lang w:val="en-US"/>
        </w:rPr>
        <w:t xml:space="preserve">S-Editor: </w:t>
      </w:r>
      <w:r w:rsidRPr="00985F17">
        <w:rPr>
          <w:rFonts w:ascii="Book Antiqua" w:eastAsia="宋体" w:hAnsi="Book Antiqua" w:cs="Courier New"/>
          <w:kern w:val="2"/>
          <w:sz w:val="24"/>
          <w:szCs w:val="24"/>
          <w:lang w:val="en-US"/>
        </w:rPr>
        <w:t>Qiu S</w:t>
      </w:r>
      <w:r w:rsidRPr="00985F17">
        <w:rPr>
          <w:rFonts w:ascii="Book Antiqua" w:eastAsia="宋体" w:hAnsi="Book Antiqua" w:cs="Courier New"/>
          <w:b/>
          <w:kern w:val="2"/>
          <w:sz w:val="24"/>
          <w:szCs w:val="24"/>
          <w:lang w:val="en-US"/>
        </w:rPr>
        <w:t xml:space="preserve"> </w:t>
      </w:r>
    </w:p>
    <w:p w14:paraId="451067F0" w14:textId="7C7ED914" w:rsidR="00ED76B5" w:rsidRDefault="00985F17" w:rsidP="00BD5875">
      <w:pPr>
        <w:widowControl w:val="0"/>
        <w:spacing w:after="0" w:line="360" w:lineRule="auto"/>
        <w:jc w:val="right"/>
        <w:rPr>
          <w:rFonts w:ascii="Book Antiqua" w:eastAsia="宋体" w:hAnsi="Book Antiqua" w:cs="Courier New"/>
          <w:b/>
          <w:kern w:val="2"/>
          <w:sz w:val="24"/>
          <w:szCs w:val="24"/>
          <w:lang w:val="en-US"/>
        </w:rPr>
      </w:pPr>
      <w:r w:rsidRPr="00985F17">
        <w:rPr>
          <w:rFonts w:ascii="Book Antiqua" w:eastAsia="宋体" w:hAnsi="Book Antiqua" w:cs="Courier New"/>
          <w:b/>
          <w:kern w:val="2"/>
          <w:sz w:val="24"/>
          <w:szCs w:val="24"/>
          <w:lang w:val="en-US"/>
        </w:rPr>
        <w:t>L-Editor: E-Editor</w:t>
      </w:r>
      <w:bookmarkEnd w:id="14"/>
      <w:bookmarkEnd w:id="15"/>
      <w:bookmarkEnd w:id="16"/>
      <w:bookmarkEnd w:id="17"/>
      <w:bookmarkEnd w:id="18"/>
      <w:bookmarkEnd w:id="19"/>
    </w:p>
    <w:p w14:paraId="43241E72" w14:textId="77777777" w:rsidR="00BD3B65" w:rsidRPr="00ED76B5" w:rsidRDefault="00BD3B65" w:rsidP="005E456A">
      <w:pPr>
        <w:spacing w:after="0" w:line="360" w:lineRule="auto"/>
        <w:jc w:val="both"/>
        <w:rPr>
          <w:rFonts w:ascii="Book Antiqua" w:hAnsi="Book Antiqua" w:cs="Arial"/>
          <w:b/>
          <w:sz w:val="24"/>
          <w:szCs w:val="24"/>
        </w:rPr>
      </w:pPr>
      <w:r w:rsidRPr="00ED76B5">
        <w:rPr>
          <w:rFonts w:ascii="Book Antiqua" w:hAnsi="Book Antiqua" w:cs="Arial"/>
          <w:b/>
          <w:sz w:val="24"/>
          <w:szCs w:val="24"/>
        </w:rPr>
        <w:t>Table 1 Summary of studies using magnification with white light</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1"/>
        <w:gridCol w:w="2108"/>
        <w:gridCol w:w="2119"/>
        <w:gridCol w:w="2784"/>
      </w:tblGrid>
      <w:tr w:rsidR="005E456A" w:rsidRPr="005E456A" w14:paraId="6E570063" w14:textId="77777777" w:rsidTr="003E13AB">
        <w:tc>
          <w:tcPr>
            <w:tcW w:w="2231" w:type="dxa"/>
            <w:tcBorders>
              <w:top w:val="single" w:sz="4" w:space="0" w:color="auto"/>
              <w:bottom w:val="single" w:sz="4" w:space="0" w:color="auto"/>
            </w:tcBorders>
          </w:tcPr>
          <w:p w14:paraId="787A844E" w14:textId="368B8AC2" w:rsidR="00BD3B65" w:rsidRPr="00BE76DC" w:rsidRDefault="00BD3B65" w:rsidP="005E456A">
            <w:pPr>
              <w:spacing w:line="360" w:lineRule="auto"/>
              <w:jc w:val="both"/>
              <w:rPr>
                <w:rFonts w:ascii="Book Antiqua" w:hAnsi="Book Antiqua" w:cs="Arial"/>
                <w:b/>
                <w:sz w:val="24"/>
                <w:szCs w:val="24"/>
              </w:rPr>
            </w:pPr>
            <w:r w:rsidRPr="00BE76DC">
              <w:rPr>
                <w:rFonts w:ascii="Book Antiqua" w:hAnsi="Book Antiqua"/>
                <w:b/>
                <w:sz w:val="24"/>
                <w:szCs w:val="24"/>
                <w:lang w:val="en-US"/>
              </w:rPr>
              <w:t>Use in stomach</w:t>
            </w:r>
          </w:p>
        </w:tc>
        <w:tc>
          <w:tcPr>
            <w:tcW w:w="2108" w:type="dxa"/>
            <w:tcBorders>
              <w:top w:val="single" w:sz="4" w:space="0" w:color="auto"/>
              <w:bottom w:val="single" w:sz="4" w:space="0" w:color="auto"/>
            </w:tcBorders>
          </w:tcPr>
          <w:p w14:paraId="0F32945B" w14:textId="22571536" w:rsidR="00BD3B65" w:rsidRPr="00BE76DC" w:rsidRDefault="00BD3B65" w:rsidP="005E456A">
            <w:pPr>
              <w:spacing w:line="360" w:lineRule="auto"/>
              <w:jc w:val="both"/>
              <w:rPr>
                <w:rFonts w:ascii="Book Antiqua" w:hAnsi="Book Antiqua" w:cs="Arial"/>
                <w:b/>
                <w:sz w:val="24"/>
                <w:szCs w:val="24"/>
              </w:rPr>
            </w:pPr>
            <w:r w:rsidRPr="00BE76DC">
              <w:rPr>
                <w:rFonts w:ascii="Book Antiqua" w:hAnsi="Book Antiqua"/>
                <w:b/>
                <w:sz w:val="24"/>
                <w:szCs w:val="24"/>
                <w:lang w:val="en-US"/>
              </w:rPr>
              <w:t>Type of evidence</w:t>
            </w:r>
          </w:p>
        </w:tc>
        <w:tc>
          <w:tcPr>
            <w:tcW w:w="2119" w:type="dxa"/>
            <w:tcBorders>
              <w:top w:val="single" w:sz="4" w:space="0" w:color="auto"/>
              <w:bottom w:val="single" w:sz="4" w:space="0" w:color="auto"/>
            </w:tcBorders>
          </w:tcPr>
          <w:p w14:paraId="22722FD1" w14:textId="01D57F34" w:rsidR="00BD3B65" w:rsidRPr="00BE76DC" w:rsidRDefault="00BD3B65" w:rsidP="005E456A">
            <w:pPr>
              <w:spacing w:line="360" w:lineRule="auto"/>
              <w:jc w:val="both"/>
              <w:rPr>
                <w:rFonts w:ascii="Book Antiqua" w:hAnsi="Book Antiqua" w:cs="Arial"/>
                <w:b/>
                <w:sz w:val="24"/>
                <w:szCs w:val="24"/>
              </w:rPr>
            </w:pPr>
            <w:r w:rsidRPr="00BE76DC">
              <w:rPr>
                <w:rFonts w:ascii="Book Antiqua" w:hAnsi="Book Antiqua"/>
                <w:b/>
                <w:sz w:val="24"/>
                <w:szCs w:val="24"/>
                <w:lang w:val="en-US"/>
              </w:rPr>
              <w:t>Description</w:t>
            </w:r>
          </w:p>
        </w:tc>
        <w:tc>
          <w:tcPr>
            <w:tcW w:w="2784" w:type="dxa"/>
            <w:tcBorders>
              <w:top w:val="single" w:sz="4" w:space="0" w:color="auto"/>
              <w:bottom w:val="single" w:sz="4" w:space="0" w:color="auto"/>
            </w:tcBorders>
          </w:tcPr>
          <w:p w14:paraId="11A126B7" w14:textId="767DA569" w:rsidR="00BD3B65" w:rsidRPr="00BE76DC" w:rsidRDefault="00BD3B65" w:rsidP="005E456A">
            <w:pPr>
              <w:spacing w:line="360" w:lineRule="auto"/>
              <w:jc w:val="both"/>
              <w:rPr>
                <w:rFonts w:ascii="Book Antiqua" w:hAnsi="Book Antiqua" w:cs="Arial"/>
                <w:b/>
                <w:sz w:val="24"/>
                <w:szCs w:val="24"/>
              </w:rPr>
            </w:pPr>
            <w:r w:rsidRPr="00BE76DC">
              <w:rPr>
                <w:rFonts w:ascii="Book Antiqua" w:hAnsi="Book Antiqua"/>
                <w:b/>
                <w:sz w:val="24"/>
                <w:szCs w:val="24"/>
                <w:lang w:val="en-US"/>
              </w:rPr>
              <w:t>Remarks</w:t>
            </w:r>
          </w:p>
        </w:tc>
      </w:tr>
      <w:tr w:rsidR="005E456A" w:rsidRPr="005E456A" w14:paraId="5E6077CE" w14:textId="77777777" w:rsidTr="003E13AB">
        <w:tc>
          <w:tcPr>
            <w:tcW w:w="2231" w:type="dxa"/>
            <w:tcBorders>
              <w:top w:val="single" w:sz="4" w:space="0" w:color="auto"/>
            </w:tcBorders>
          </w:tcPr>
          <w:p w14:paraId="1AB6C1DD" w14:textId="4D3F9DD7" w:rsidR="00BD3B65" w:rsidRPr="005E456A" w:rsidRDefault="00BD3B65" w:rsidP="005E456A">
            <w:pPr>
              <w:spacing w:line="360" w:lineRule="auto"/>
              <w:jc w:val="both"/>
              <w:rPr>
                <w:rFonts w:ascii="Book Antiqua" w:hAnsi="Book Antiqua" w:cs="Arial"/>
                <w:sz w:val="24"/>
                <w:szCs w:val="24"/>
              </w:rPr>
            </w:pPr>
            <w:r w:rsidRPr="005E456A">
              <w:rPr>
                <w:rFonts w:ascii="Book Antiqua" w:hAnsi="Book Antiqua"/>
                <w:sz w:val="24"/>
                <w:szCs w:val="24"/>
                <w:lang w:val="en-US"/>
              </w:rPr>
              <w:t>Identification of normal gastric mucosa</w:t>
            </w:r>
          </w:p>
        </w:tc>
        <w:tc>
          <w:tcPr>
            <w:tcW w:w="2108" w:type="dxa"/>
            <w:tcBorders>
              <w:top w:val="single" w:sz="4" w:space="0" w:color="auto"/>
            </w:tcBorders>
          </w:tcPr>
          <w:p w14:paraId="1C9712B4" w14:textId="39DAEE89" w:rsidR="00BD3B65" w:rsidRPr="005E456A" w:rsidRDefault="006F195F" w:rsidP="005E456A">
            <w:pPr>
              <w:spacing w:line="360" w:lineRule="auto"/>
              <w:jc w:val="both"/>
              <w:rPr>
                <w:rFonts w:ascii="Book Antiqua" w:hAnsi="Book Antiqua"/>
                <w:sz w:val="24"/>
                <w:szCs w:val="24"/>
                <w:lang w:val="en-US"/>
              </w:rPr>
            </w:pPr>
            <w:r>
              <w:rPr>
                <w:rFonts w:ascii="Book Antiqua" w:hAnsi="Book Antiqua"/>
                <w:sz w:val="24"/>
                <w:szCs w:val="24"/>
                <w:lang w:val="en-US"/>
              </w:rPr>
              <w:t>Descriptive study</w:t>
            </w:r>
            <w:r w:rsidR="00BD3B65" w:rsidRPr="005E456A">
              <w:rPr>
                <w:rFonts w:ascii="Book Antiqua" w:hAnsi="Book Antiqua"/>
                <w:sz w:val="24"/>
                <w:szCs w:val="24"/>
                <w:vertAlign w:val="superscript"/>
                <w:lang w:val="en-US"/>
              </w:rPr>
              <w:t>[7]</w:t>
            </w:r>
            <w:r w:rsidR="00BD3B65" w:rsidRPr="005E456A">
              <w:rPr>
                <w:rFonts w:ascii="Book Antiqua" w:hAnsi="Book Antiqua"/>
                <w:sz w:val="24"/>
                <w:szCs w:val="24"/>
                <w:lang w:val="en-US"/>
              </w:rPr>
              <w:t>;</w:t>
            </w:r>
          </w:p>
          <w:p w14:paraId="70380456" w14:textId="494ED956" w:rsidR="00BD3B65" w:rsidRPr="005E456A" w:rsidRDefault="00BD3B65" w:rsidP="005E456A">
            <w:pPr>
              <w:spacing w:line="360" w:lineRule="auto"/>
              <w:jc w:val="both"/>
              <w:rPr>
                <w:rFonts w:ascii="Book Antiqua" w:hAnsi="Book Antiqua" w:cs="Arial"/>
                <w:sz w:val="24"/>
                <w:szCs w:val="24"/>
              </w:rPr>
            </w:pPr>
            <w:r w:rsidRPr="005E456A">
              <w:rPr>
                <w:rFonts w:ascii="Book Antiqua" w:hAnsi="Book Antiqua"/>
                <w:sz w:val="24"/>
                <w:szCs w:val="24"/>
                <w:lang w:val="en-US"/>
              </w:rPr>
              <w:t>Cross-sectional stu</w:t>
            </w:r>
            <w:r w:rsidR="00F215DE">
              <w:rPr>
                <w:rFonts w:ascii="Book Antiqua" w:hAnsi="Book Antiqua"/>
                <w:sz w:val="24"/>
                <w:szCs w:val="24"/>
                <w:lang w:val="en-US"/>
              </w:rPr>
              <w:t>dy with comparison to histology</w:t>
            </w:r>
            <w:r w:rsidRPr="005E456A">
              <w:rPr>
                <w:rFonts w:ascii="Book Antiqua" w:hAnsi="Book Antiqua"/>
                <w:sz w:val="24"/>
                <w:szCs w:val="24"/>
                <w:vertAlign w:val="superscript"/>
                <w:lang w:val="en-US"/>
              </w:rPr>
              <w:t>[8]</w:t>
            </w:r>
          </w:p>
        </w:tc>
        <w:tc>
          <w:tcPr>
            <w:tcW w:w="2119" w:type="dxa"/>
            <w:tcBorders>
              <w:top w:val="single" w:sz="4" w:space="0" w:color="auto"/>
            </w:tcBorders>
          </w:tcPr>
          <w:p w14:paraId="49A9DEE9" w14:textId="5EDEBAF9"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 xml:space="preserve">Normal corpus: </w:t>
            </w:r>
            <w:r w:rsidR="006F195F" w:rsidRPr="005E456A">
              <w:rPr>
                <w:rFonts w:ascii="Book Antiqua" w:hAnsi="Book Antiqua"/>
                <w:sz w:val="24"/>
                <w:szCs w:val="24"/>
                <w:lang w:val="en-US"/>
              </w:rPr>
              <w:t>R</w:t>
            </w:r>
            <w:r w:rsidRPr="005E456A">
              <w:rPr>
                <w:rFonts w:ascii="Book Antiqua" w:hAnsi="Book Antiqua"/>
                <w:sz w:val="24"/>
                <w:szCs w:val="24"/>
                <w:lang w:val="en-US"/>
              </w:rPr>
              <w:t>egular honeycomb pattern</w:t>
            </w:r>
          </w:p>
          <w:p w14:paraId="14D95C06" w14:textId="77777777" w:rsidR="00BD3B65" w:rsidRPr="005E456A" w:rsidRDefault="00BD3B65" w:rsidP="005E456A">
            <w:pPr>
              <w:spacing w:line="360" w:lineRule="auto"/>
              <w:jc w:val="both"/>
              <w:rPr>
                <w:rFonts w:ascii="Book Antiqua" w:hAnsi="Book Antiqua"/>
                <w:sz w:val="24"/>
                <w:szCs w:val="24"/>
                <w:lang w:val="en-US"/>
              </w:rPr>
            </w:pPr>
          </w:p>
          <w:p w14:paraId="300B5B44" w14:textId="21B7CC08" w:rsidR="00BD3B65" w:rsidRPr="008743C5"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 xml:space="preserve">Normal antrum: </w:t>
            </w:r>
            <w:r w:rsidR="006F195F" w:rsidRPr="005E456A">
              <w:rPr>
                <w:rFonts w:ascii="Book Antiqua" w:hAnsi="Book Antiqua"/>
                <w:sz w:val="24"/>
                <w:szCs w:val="24"/>
                <w:lang w:val="en-US"/>
              </w:rPr>
              <w:t>C</w:t>
            </w:r>
            <w:r w:rsidRPr="005E456A">
              <w:rPr>
                <w:rFonts w:ascii="Book Antiqua" w:hAnsi="Book Antiqua"/>
                <w:sz w:val="24"/>
                <w:szCs w:val="24"/>
                <w:lang w:val="en-US"/>
              </w:rPr>
              <w:t>oil-shaped network with rare collecting venules</w:t>
            </w:r>
          </w:p>
        </w:tc>
        <w:tc>
          <w:tcPr>
            <w:tcW w:w="2784" w:type="dxa"/>
            <w:tcBorders>
              <w:top w:val="single" w:sz="4" w:space="0" w:color="auto"/>
            </w:tcBorders>
          </w:tcPr>
          <w:p w14:paraId="3EB91B7E" w14:textId="4DE9C3CA" w:rsidR="00BD3B65" w:rsidRPr="005E456A" w:rsidRDefault="00BD3B65" w:rsidP="005E456A">
            <w:pPr>
              <w:spacing w:line="360" w:lineRule="auto"/>
              <w:jc w:val="both"/>
              <w:rPr>
                <w:rFonts w:ascii="Book Antiqua" w:hAnsi="Book Antiqua" w:cs="Arial"/>
                <w:sz w:val="24"/>
                <w:szCs w:val="24"/>
              </w:rPr>
            </w:pPr>
            <w:r w:rsidRPr="005E456A">
              <w:rPr>
                <w:rFonts w:ascii="Book Antiqua" w:hAnsi="Book Antiqua"/>
                <w:sz w:val="24"/>
                <w:szCs w:val="24"/>
                <w:lang w:val="en-US"/>
              </w:rPr>
              <w:t>Different descriptive classifications have been used, but all emphasize on regular and uninterrupted mucosal and vascular patterns</w:t>
            </w:r>
          </w:p>
        </w:tc>
      </w:tr>
      <w:tr w:rsidR="005E456A" w:rsidRPr="005E456A" w14:paraId="39F9FAD6" w14:textId="77777777" w:rsidTr="003E13AB">
        <w:tc>
          <w:tcPr>
            <w:tcW w:w="2231" w:type="dxa"/>
          </w:tcPr>
          <w:p w14:paraId="35E0FB2B" w14:textId="1C0908BB" w:rsidR="00BD3B65" w:rsidRPr="005E456A" w:rsidRDefault="00BD3B65" w:rsidP="005E456A">
            <w:pPr>
              <w:spacing w:line="360" w:lineRule="auto"/>
              <w:jc w:val="both"/>
              <w:rPr>
                <w:rFonts w:ascii="Book Antiqua" w:hAnsi="Book Antiqua" w:cs="Arial"/>
                <w:sz w:val="24"/>
                <w:szCs w:val="24"/>
              </w:rPr>
            </w:pPr>
            <w:r w:rsidRPr="005E456A">
              <w:rPr>
                <w:rFonts w:ascii="Book Antiqua" w:hAnsi="Book Antiqua"/>
                <w:sz w:val="24"/>
                <w:szCs w:val="24"/>
                <w:lang w:val="en-US"/>
              </w:rPr>
              <w:t>Diagnosis of H pylori gastritis</w:t>
            </w:r>
          </w:p>
        </w:tc>
        <w:tc>
          <w:tcPr>
            <w:tcW w:w="2108" w:type="dxa"/>
          </w:tcPr>
          <w:p w14:paraId="13107897" w14:textId="131D09E5" w:rsidR="00BD3B65" w:rsidRPr="005E456A" w:rsidRDefault="00BD3B65" w:rsidP="005E456A">
            <w:pPr>
              <w:spacing w:line="360" w:lineRule="auto"/>
              <w:jc w:val="both"/>
              <w:rPr>
                <w:rFonts w:ascii="Book Antiqua" w:hAnsi="Book Antiqua" w:cs="Arial"/>
                <w:sz w:val="24"/>
                <w:szCs w:val="24"/>
              </w:rPr>
            </w:pPr>
            <w:r w:rsidRPr="005E456A">
              <w:rPr>
                <w:rFonts w:ascii="Book Antiqua" w:hAnsi="Book Antiqua"/>
                <w:sz w:val="24"/>
                <w:szCs w:val="24"/>
                <w:lang w:val="en-US"/>
              </w:rPr>
              <w:t>Six prospective studies w</w:t>
            </w:r>
            <w:r w:rsidR="00D04643">
              <w:rPr>
                <w:rFonts w:ascii="Book Antiqua" w:hAnsi="Book Antiqua"/>
                <w:sz w:val="24"/>
                <w:szCs w:val="24"/>
                <w:lang w:val="en-US"/>
              </w:rPr>
              <w:t>ith histology as the comparator</w:t>
            </w:r>
            <w:r w:rsidRPr="005E456A">
              <w:rPr>
                <w:rFonts w:ascii="Book Antiqua" w:hAnsi="Book Antiqua"/>
                <w:sz w:val="24"/>
                <w:szCs w:val="24"/>
                <w:vertAlign w:val="superscript"/>
                <w:lang w:val="en-US"/>
              </w:rPr>
              <w:t>[8-13]</w:t>
            </w:r>
          </w:p>
        </w:tc>
        <w:tc>
          <w:tcPr>
            <w:tcW w:w="2119" w:type="dxa"/>
          </w:tcPr>
          <w:p w14:paraId="2E1D1F9F"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 xml:space="preserve">High sensitivities and specificities for diagnosis of </w:t>
            </w:r>
            <w:r w:rsidRPr="00B47080">
              <w:rPr>
                <w:rFonts w:ascii="Book Antiqua" w:hAnsi="Book Antiqua"/>
                <w:i/>
                <w:sz w:val="24"/>
                <w:szCs w:val="24"/>
                <w:lang w:val="en-US"/>
              </w:rPr>
              <w:t>H pylori</w:t>
            </w:r>
          </w:p>
          <w:p w14:paraId="2E52F4CC" w14:textId="77777777" w:rsidR="00BD3B65" w:rsidRPr="005E456A" w:rsidRDefault="00BD3B65" w:rsidP="005E456A">
            <w:pPr>
              <w:spacing w:line="360" w:lineRule="auto"/>
              <w:jc w:val="both"/>
              <w:rPr>
                <w:rFonts w:ascii="Book Antiqua" w:hAnsi="Book Antiqua"/>
                <w:sz w:val="24"/>
                <w:szCs w:val="24"/>
                <w:lang w:val="en-US"/>
              </w:rPr>
            </w:pPr>
          </w:p>
          <w:p w14:paraId="3F860E60" w14:textId="77777777" w:rsidR="00BD3B65" w:rsidRPr="005E456A" w:rsidRDefault="00BD3B65" w:rsidP="005E456A">
            <w:pPr>
              <w:spacing w:line="360" w:lineRule="auto"/>
              <w:jc w:val="both"/>
              <w:rPr>
                <w:rFonts w:ascii="Book Antiqua" w:hAnsi="Book Antiqua"/>
                <w:sz w:val="24"/>
                <w:szCs w:val="24"/>
                <w:lang w:val="en-US"/>
              </w:rPr>
            </w:pPr>
          </w:p>
          <w:p w14:paraId="79EEF5C5" w14:textId="77777777" w:rsidR="00BD3B65" w:rsidRPr="005E456A" w:rsidRDefault="00BD3B65" w:rsidP="005E456A">
            <w:pPr>
              <w:spacing w:line="360" w:lineRule="auto"/>
              <w:jc w:val="both"/>
              <w:rPr>
                <w:rFonts w:ascii="Book Antiqua" w:hAnsi="Book Antiqua" w:cs="Arial"/>
                <w:sz w:val="24"/>
                <w:szCs w:val="24"/>
              </w:rPr>
            </w:pPr>
          </w:p>
        </w:tc>
        <w:tc>
          <w:tcPr>
            <w:tcW w:w="2784" w:type="dxa"/>
          </w:tcPr>
          <w:p w14:paraId="5F577A41" w14:textId="1A1DDAC9" w:rsidR="00BD3B65" w:rsidRPr="005E456A" w:rsidRDefault="00BD3B65" w:rsidP="005E456A">
            <w:pPr>
              <w:spacing w:line="360" w:lineRule="auto"/>
              <w:jc w:val="both"/>
              <w:rPr>
                <w:rFonts w:ascii="Book Antiqua" w:hAnsi="Book Antiqua" w:cs="Arial"/>
                <w:sz w:val="24"/>
                <w:szCs w:val="24"/>
              </w:rPr>
            </w:pPr>
            <w:r w:rsidRPr="005E456A">
              <w:rPr>
                <w:rFonts w:ascii="Book Antiqua" w:hAnsi="Book Antiqua"/>
                <w:sz w:val="24"/>
                <w:szCs w:val="24"/>
                <w:lang w:val="en-US"/>
              </w:rPr>
              <w:t>Multiple and varied pattern classifications with different endoscopes. Inherent subjectivity</w:t>
            </w:r>
            <w:r w:rsidR="003E13AB">
              <w:rPr>
                <w:rFonts w:ascii="Book Antiqua" w:hAnsi="Book Antiqua"/>
                <w:sz w:val="24"/>
                <w:szCs w:val="24"/>
                <w:lang w:val="en-US"/>
              </w:rPr>
              <w:t xml:space="preserve"> in classifications is an issue</w:t>
            </w:r>
          </w:p>
        </w:tc>
      </w:tr>
      <w:tr w:rsidR="005E456A" w:rsidRPr="005E456A" w14:paraId="4EAEE7B0" w14:textId="77777777" w:rsidTr="003E13AB">
        <w:tc>
          <w:tcPr>
            <w:tcW w:w="2231" w:type="dxa"/>
          </w:tcPr>
          <w:p w14:paraId="4618BACF" w14:textId="1447CF17" w:rsidR="00BD3B65" w:rsidRPr="005E456A" w:rsidRDefault="00BD3B65" w:rsidP="005E456A">
            <w:pPr>
              <w:spacing w:line="360" w:lineRule="auto"/>
              <w:jc w:val="both"/>
              <w:rPr>
                <w:rFonts w:ascii="Book Antiqua" w:hAnsi="Book Antiqua" w:cs="Arial"/>
                <w:sz w:val="24"/>
                <w:szCs w:val="24"/>
              </w:rPr>
            </w:pPr>
            <w:r w:rsidRPr="005E456A">
              <w:rPr>
                <w:rFonts w:ascii="Book Antiqua" w:hAnsi="Book Antiqua"/>
                <w:sz w:val="24"/>
                <w:szCs w:val="24"/>
                <w:lang w:val="en-US"/>
              </w:rPr>
              <w:t>Characterization of EGC</w:t>
            </w:r>
          </w:p>
        </w:tc>
        <w:tc>
          <w:tcPr>
            <w:tcW w:w="2108" w:type="dxa"/>
          </w:tcPr>
          <w:p w14:paraId="3DC37396" w14:textId="5822D0FB" w:rsidR="00BD3B65" w:rsidRPr="005E456A" w:rsidRDefault="00BD3B65" w:rsidP="005E456A">
            <w:pPr>
              <w:spacing w:line="360" w:lineRule="auto"/>
              <w:jc w:val="both"/>
              <w:rPr>
                <w:rFonts w:ascii="Book Antiqua" w:hAnsi="Book Antiqua" w:cs="Arial"/>
                <w:sz w:val="24"/>
                <w:szCs w:val="24"/>
              </w:rPr>
            </w:pPr>
            <w:r w:rsidRPr="005E456A">
              <w:rPr>
                <w:rFonts w:ascii="Book Antiqua" w:hAnsi="Book Antiqua"/>
                <w:sz w:val="24"/>
                <w:szCs w:val="24"/>
                <w:lang w:val="en-US"/>
              </w:rPr>
              <w:t>Six prospective studies w</w:t>
            </w:r>
            <w:r w:rsidR="00D04643">
              <w:rPr>
                <w:rFonts w:ascii="Book Antiqua" w:hAnsi="Book Antiqua"/>
                <w:sz w:val="24"/>
                <w:szCs w:val="24"/>
                <w:lang w:val="en-US"/>
              </w:rPr>
              <w:t>ith histology as the comparator</w:t>
            </w:r>
            <w:r w:rsidRPr="005E456A">
              <w:rPr>
                <w:rFonts w:ascii="Book Antiqua" w:hAnsi="Book Antiqua"/>
                <w:sz w:val="24"/>
                <w:szCs w:val="24"/>
                <w:vertAlign w:val="superscript"/>
                <w:lang w:val="en-US"/>
              </w:rPr>
              <w:t>[15-20]</w:t>
            </w:r>
          </w:p>
        </w:tc>
        <w:tc>
          <w:tcPr>
            <w:tcW w:w="2119" w:type="dxa"/>
          </w:tcPr>
          <w:p w14:paraId="0E3619E9" w14:textId="39F5AFEF" w:rsidR="00BD3B65" w:rsidRPr="005E456A" w:rsidRDefault="00BD3B65" w:rsidP="005E456A">
            <w:pPr>
              <w:spacing w:line="360" w:lineRule="auto"/>
              <w:jc w:val="both"/>
              <w:rPr>
                <w:rFonts w:ascii="Book Antiqua" w:hAnsi="Book Antiqua" w:cs="Arial"/>
                <w:sz w:val="24"/>
                <w:szCs w:val="24"/>
              </w:rPr>
            </w:pPr>
            <w:r w:rsidRPr="005E456A">
              <w:rPr>
                <w:rFonts w:ascii="Book Antiqua" w:hAnsi="Book Antiqua"/>
                <w:sz w:val="24"/>
                <w:szCs w:val="24"/>
                <w:lang w:val="en-US"/>
              </w:rPr>
              <w:t>Better results as compared to the traditional white light endoscopy</w:t>
            </w:r>
          </w:p>
        </w:tc>
        <w:tc>
          <w:tcPr>
            <w:tcW w:w="2784" w:type="dxa"/>
          </w:tcPr>
          <w:p w14:paraId="216B43BC" w14:textId="61DF8B14"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 xml:space="preserve">Multiple classifications bring inherent subjectivity; the most prevalent classification is the </w:t>
            </w:r>
            <w:r w:rsidR="003E13AB">
              <w:rPr>
                <w:rFonts w:ascii="Book Antiqua" w:hAnsi="Book Antiqua"/>
                <w:sz w:val="24"/>
                <w:szCs w:val="24"/>
                <w:lang w:val="en-US"/>
              </w:rPr>
              <w:t>“</w:t>
            </w:r>
            <w:r w:rsidRPr="005E456A">
              <w:rPr>
                <w:rFonts w:ascii="Book Antiqua" w:hAnsi="Book Antiqua"/>
                <w:sz w:val="24"/>
                <w:szCs w:val="24"/>
                <w:lang w:val="en-US"/>
              </w:rPr>
              <w:t>VS</w:t>
            </w:r>
            <w:r w:rsidR="003E13AB">
              <w:rPr>
                <w:rFonts w:ascii="Book Antiqua" w:hAnsi="Book Antiqua"/>
                <w:sz w:val="24"/>
                <w:szCs w:val="24"/>
                <w:lang w:val="en-US"/>
              </w:rPr>
              <w:t>”</w:t>
            </w:r>
            <w:r w:rsidR="00477634">
              <w:rPr>
                <w:rFonts w:ascii="Book Antiqua" w:hAnsi="Book Antiqua"/>
                <w:sz w:val="24"/>
                <w:szCs w:val="24"/>
                <w:lang w:val="en-US"/>
              </w:rPr>
              <w:t xml:space="preserve"> classification</w:t>
            </w:r>
            <w:r w:rsidRPr="005E456A">
              <w:rPr>
                <w:rFonts w:ascii="Book Antiqua" w:hAnsi="Book Antiqua"/>
                <w:sz w:val="24"/>
                <w:szCs w:val="24"/>
                <w:vertAlign w:val="superscript"/>
                <w:lang w:val="en-US"/>
              </w:rPr>
              <w:t xml:space="preserve">[17] </w:t>
            </w:r>
            <w:r w:rsidRPr="005E456A">
              <w:rPr>
                <w:rFonts w:ascii="Book Antiqua" w:hAnsi="Book Antiqua"/>
                <w:sz w:val="24"/>
                <w:szCs w:val="24"/>
                <w:lang w:val="en-US"/>
              </w:rPr>
              <w:t>which describes:</w:t>
            </w:r>
          </w:p>
          <w:p w14:paraId="2B1249F5" w14:textId="77777777" w:rsidR="00BD3B65" w:rsidRPr="005E456A" w:rsidRDefault="00BD3B65" w:rsidP="005E456A">
            <w:pPr>
              <w:pStyle w:val="ListParagraph"/>
              <w:numPr>
                <w:ilvl w:val="0"/>
                <w:numId w:val="12"/>
              </w:numPr>
              <w:spacing w:line="360" w:lineRule="auto"/>
              <w:jc w:val="both"/>
              <w:rPr>
                <w:rFonts w:ascii="Book Antiqua" w:hAnsi="Book Antiqua"/>
                <w:sz w:val="24"/>
                <w:szCs w:val="24"/>
                <w:lang w:val="en-US"/>
              </w:rPr>
            </w:pPr>
            <w:r w:rsidRPr="005E456A">
              <w:rPr>
                <w:rFonts w:ascii="Book Antiqua" w:hAnsi="Book Antiqua"/>
                <w:sz w:val="24"/>
                <w:szCs w:val="24"/>
                <w:lang w:val="en-US"/>
              </w:rPr>
              <w:t>Differentiated EGC: irregular microvessels with a demarcation line</w:t>
            </w:r>
          </w:p>
          <w:p w14:paraId="4C8CC002" w14:textId="3188EA74" w:rsidR="00BD3B65" w:rsidRPr="005E456A" w:rsidRDefault="00BD3B65" w:rsidP="003E13AB">
            <w:pPr>
              <w:spacing w:line="360" w:lineRule="auto"/>
              <w:jc w:val="both"/>
              <w:rPr>
                <w:rFonts w:ascii="Book Antiqua" w:hAnsi="Book Antiqua" w:cs="Arial"/>
                <w:sz w:val="24"/>
                <w:szCs w:val="24"/>
              </w:rPr>
            </w:pPr>
            <w:r w:rsidRPr="005E456A">
              <w:rPr>
                <w:rFonts w:ascii="Book Antiqua" w:hAnsi="Book Antiqua"/>
                <w:sz w:val="24"/>
                <w:szCs w:val="24"/>
                <w:lang w:val="en-US"/>
              </w:rPr>
              <w:t xml:space="preserve">Undifferentiated EGC: </w:t>
            </w:r>
            <w:r w:rsidR="003E13AB" w:rsidRPr="005E456A">
              <w:rPr>
                <w:rFonts w:ascii="Book Antiqua" w:hAnsi="Book Antiqua"/>
                <w:sz w:val="24"/>
                <w:szCs w:val="24"/>
                <w:lang w:val="en-US"/>
              </w:rPr>
              <w:t>A</w:t>
            </w:r>
            <w:r w:rsidRPr="005E456A">
              <w:rPr>
                <w:rFonts w:ascii="Book Antiqua" w:hAnsi="Book Antiqua"/>
                <w:sz w:val="24"/>
                <w:szCs w:val="24"/>
                <w:lang w:val="en-US"/>
              </w:rPr>
              <w:t>bsent demarcation line and absent sub-epithelial capillary networks</w:t>
            </w:r>
          </w:p>
        </w:tc>
      </w:tr>
    </w:tbl>
    <w:p w14:paraId="2DBCC6D8" w14:textId="524B2DE0" w:rsidR="00BD3B65" w:rsidRPr="005E456A" w:rsidRDefault="003E13AB" w:rsidP="005E456A">
      <w:pPr>
        <w:spacing w:after="0" w:line="360" w:lineRule="auto"/>
        <w:jc w:val="both"/>
        <w:rPr>
          <w:rFonts w:ascii="Book Antiqua" w:hAnsi="Book Antiqua" w:cs="Arial"/>
          <w:sz w:val="24"/>
          <w:szCs w:val="24"/>
        </w:rPr>
      </w:pPr>
      <w:r w:rsidRPr="005E456A">
        <w:rPr>
          <w:rFonts w:ascii="Book Antiqua" w:hAnsi="Book Antiqua"/>
          <w:sz w:val="24"/>
          <w:szCs w:val="24"/>
          <w:lang w:val="en-US"/>
        </w:rPr>
        <w:t>SECN</w:t>
      </w:r>
      <w:r>
        <w:rPr>
          <w:rFonts w:ascii="Book Antiqua" w:hAnsi="Book Antiqua" w:hint="eastAsia"/>
          <w:sz w:val="24"/>
          <w:szCs w:val="24"/>
          <w:lang w:val="en-US"/>
        </w:rPr>
        <w:t>:</w:t>
      </w:r>
      <w:r w:rsidRPr="003E13AB">
        <w:rPr>
          <w:rFonts w:ascii="Book Antiqua" w:hAnsi="Book Antiqua"/>
          <w:sz w:val="24"/>
          <w:szCs w:val="24"/>
          <w:lang w:val="en-US"/>
        </w:rPr>
        <w:t xml:space="preserve"> </w:t>
      </w:r>
      <w:r w:rsidRPr="005E456A">
        <w:rPr>
          <w:rFonts w:ascii="Book Antiqua" w:hAnsi="Book Antiqua"/>
          <w:sz w:val="24"/>
          <w:szCs w:val="24"/>
          <w:lang w:val="en-US"/>
        </w:rPr>
        <w:t>Sub-epithelial capillary networks</w:t>
      </w:r>
      <w:r>
        <w:rPr>
          <w:rFonts w:ascii="Book Antiqua" w:hAnsi="Book Antiqua" w:hint="eastAsia"/>
          <w:sz w:val="24"/>
          <w:szCs w:val="24"/>
          <w:lang w:val="en-US"/>
        </w:rPr>
        <w:t xml:space="preserve">; </w:t>
      </w:r>
      <w:r w:rsidRPr="005E456A">
        <w:rPr>
          <w:rFonts w:ascii="Book Antiqua" w:hAnsi="Book Antiqua"/>
          <w:sz w:val="24"/>
          <w:szCs w:val="24"/>
          <w:lang w:val="en-US"/>
        </w:rPr>
        <w:t>EGC</w:t>
      </w:r>
      <w:r>
        <w:rPr>
          <w:rFonts w:ascii="Book Antiqua" w:hAnsi="Book Antiqua" w:hint="eastAsia"/>
          <w:sz w:val="24"/>
          <w:szCs w:val="24"/>
          <w:lang w:val="en-US"/>
        </w:rPr>
        <w:t>:</w:t>
      </w:r>
      <w:r w:rsidRPr="003E13AB">
        <w:rPr>
          <w:rFonts w:ascii="Book Antiqua" w:hAnsi="Book Antiqua"/>
          <w:sz w:val="24"/>
          <w:szCs w:val="24"/>
          <w:lang w:val="en-US"/>
        </w:rPr>
        <w:t xml:space="preserve"> </w:t>
      </w:r>
      <w:r w:rsidRPr="005E456A">
        <w:rPr>
          <w:rFonts w:ascii="Book Antiqua" w:hAnsi="Book Antiqua"/>
          <w:sz w:val="24"/>
          <w:szCs w:val="24"/>
          <w:lang w:val="en-US"/>
        </w:rPr>
        <w:t>Early gastric cancer</w:t>
      </w:r>
      <w:r>
        <w:rPr>
          <w:rFonts w:ascii="Book Antiqua" w:hAnsi="Book Antiqua" w:hint="eastAsia"/>
          <w:sz w:val="24"/>
          <w:szCs w:val="24"/>
          <w:lang w:val="en-US"/>
        </w:rPr>
        <w:t>.</w:t>
      </w:r>
    </w:p>
    <w:p w14:paraId="5B6EDC0C" w14:textId="6F7F08D9" w:rsidR="00BD3B65" w:rsidRPr="005E456A" w:rsidRDefault="00BD3B65" w:rsidP="005E456A">
      <w:pPr>
        <w:spacing w:after="0" w:line="360" w:lineRule="auto"/>
        <w:jc w:val="both"/>
        <w:rPr>
          <w:rFonts w:ascii="Book Antiqua" w:hAnsi="Book Antiqua" w:cs="Arial"/>
          <w:sz w:val="24"/>
          <w:szCs w:val="24"/>
        </w:rPr>
      </w:pPr>
    </w:p>
    <w:p w14:paraId="46FCAED2" w14:textId="77777777" w:rsidR="00BD3B65" w:rsidRPr="005E456A" w:rsidRDefault="00BD3B65" w:rsidP="005E456A">
      <w:pPr>
        <w:spacing w:after="0" w:line="360" w:lineRule="auto"/>
        <w:jc w:val="both"/>
        <w:rPr>
          <w:rFonts w:ascii="Book Antiqua" w:hAnsi="Book Antiqua" w:cs="Arial"/>
          <w:sz w:val="24"/>
          <w:szCs w:val="24"/>
        </w:rPr>
      </w:pPr>
    </w:p>
    <w:p w14:paraId="66CB8ECB" w14:textId="77777777" w:rsidR="00BD3B65" w:rsidRPr="005E456A" w:rsidRDefault="00BD3B65" w:rsidP="005E456A">
      <w:pPr>
        <w:spacing w:after="0" w:line="360" w:lineRule="auto"/>
        <w:jc w:val="both"/>
        <w:rPr>
          <w:rFonts w:ascii="Book Antiqua" w:hAnsi="Book Antiqua" w:cs="Arial"/>
          <w:sz w:val="24"/>
          <w:szCs w:val="24"/>
        </w:rPr>
      </w:pPr>
    </w:p>
    <w:p w14:paraId="2A320027" w14:textId="77777777" w:rsidR="00BD3B65" w:rsidRPr="005E456A" w:rsidRDefault="00BD3B65" w:rsidP="005E456A">
      <w:pPr>
        <w:spacing w:after="0" w:line="360" w:lineRule="auto"/>
        <w:jc w:val="both"/>
        <w:rPr>
          <w:rFonts w:ascii="Book Antiqua" w:hAnsi="Book Antiqua" w:cs="Arial"/>
          <w:sz w:val="24"/>
          <w:szCs w:val="24"/>
        </w:rPr>
      </w:pPr>
    </w:p>
    <w:p w14:paraId="5B3C9C0D" w14:textId="77777777" w:rsidR="00BD3B65" w:rsidRPr="005E456A" w:rsidRDefault="00BD3B65" w:rsidP="005E456A">
      <w:pPr>
        <w:spacing w:after="0" w:line="360" w:lineRule="auto"/>
        <w:jc w:val="both"/>
        <w:rPr>
          <w:rFonts w:ascii="Book Antiqua" w:hAnsi="Book Antiqua" w:cs="Arial"/>
          <w:sz w:val="24"/>
          <w:szCs w:val="24"/>
        </w:rPr>
      </w:pPr>
    </w:p>
    <w:p w14:paraId="3F3B8E4B" w14:textId="77777777" w:rsidR="00BD3B65" w:rsidRPr="005E456A" w:rsidRDefault="00BD3B65" w:rsidP="005E456A">
      <w:pPr>
        <w:spacing w:after="0" w:line="360" w:lineRule="auto"/>
        <w:jc w:val="both"/>
        <w:rPr>
          <w:rFonts w:ascii="Book Antiqua" w:hAnsi="Book Antiqua" w:cs="Arial"/>
          <w:sz w:val="24"/>
          <w:szCs w:val="24"/>
        </w:rPr>
      </w:pPr>
    </w:p>
    <w:p w14:paraId="6ACE987A" w14:textId="77777777" w:rsidR="00BD3B65" w:rsidRPr="005E456A" w:rsidRDefault="00BD3B65" w:rsidP="005E456A">
      <w:pPr>
        <w:spacing w:after="0" w:line="360" w:lineRule="auto"/>
        <w:jc w:val="both"/>
        <w:rPr>
          <w:rFonts w:ascii="Book Antiqua" w:hAnsi="Book Antiqua" w:cs="Arial"/>
          <w:sz w:val="24"/>
          <w:szCs w:val="24"/>
        </w:rPr>
      </w:pPr>
    </w:p>
    <w:p w14:paraId="12BC7A3B" w14:textId="77777777" w:rsidR="00BD3B65" w:rsidRPr="005E456A" w:rsidRDefault="00BD3B65" w:rsidP="005E456A">
      <w:pPr>
        <w:spacing w:after="0" w:line="360" w:lineRule="auto"/>
        <w:jc w:val="both"/>
        <w:rPr>
          <w:rFonts w:ascii="Book Antiqua" w:hAnsi="Book Antiqua" w:cs="Arial"/>
          <w:sz w:val="24"/>
          <w:szCs w:val="24"/>
        </w:rPr>
      </w:pPr>
    </w:p>
    <w:p w14:paraId="02F9914B" w14:textId="77777777" w:rsidR="005D08D3" w:rsidRDefault="005D08D3">
      <w:pPr>
        <w:rPr>
          <w:rFonts w:ascii="Book Antiqua" w:hAnsi="Book Antiqua" w:cs="Arial"/>
          <w:sz w:val="24"/>
          <w:szCs w:val="24"/>
        </w:rPr>
      </w:pPr>
      <w:r>
        <w:rPr>
          <w:rFonts w:ascii="Book Antiqua" w:hAnsi="Book Antiqua" w:cs="Arial"/>
          <w:sz w:val="24"/>
          <w:szCs w:val="24"/>
        </w:rPr>
        <w:br w:type="page"/>
      </w:r>
    </w:p>
    <w:p w14:paraId="5BB0CCEF" w14:textId="477A3CDC" w:rsidR="00BD3B65" w:rsidRPr="005D08D3" w:rsidRDefault="00BD3B65" w:rsidP="005E456A">
      <w:pPr>
        <w:spacing w:after="0" w:line="360" w:lineRule="auto"/>
        <w:jc w:val="both"/>
        <w:rPr>
          <w:rFonts w:ascii="Book Antiqua" w:hAnsi="Book Antiqua" w:cs="Arial"/>
          <w:b/>
          <w:sz w:val="24"/>
          <w:szCs w:val="24"/>
        </w:rPr>
      </w:pPr>
      <w:r w:rsidRPr="005D08D3">
        <w:rPr>
          <w:rFonts w:ascii="Book Antiqua" w:hAnsi="Book Antiqua" w:cs="Arial"/>
          <w:b/>
          <w:sz w:val="24"/>
          <w:szCs w:val="24"/>
        </w:rPr>
        <w:t>Table 2 Summary of studies using narrow band imaging</w:t>
      </w:r>
      <w:r w:rsidR="005D08D3" w:rsidRPr="005D08D3">
        <w:rPr>
          <w:rFonts w:ascii="Book Antiqua" w:hAnsi="Book Antiqua" w:cs="Arial" w:hint="eastAsia"/>
          <w:b/>
          <w:sz w:val="24"/>
          <w:szCs w:val="24"/>
        </w:rPr>
        <w:t xml:space="preserve"> </w:t>
      </w:r>
      <w:r w:rsidRPr="005D08D3">
        <w:rPr>
          <w:rFonts w:ascii="Book Antiqua" w:hAnsi="Book Antiqua" w:cs="Arial"/>
          <w:b/>
          <w:sz w:val="24"/>
          <w:szCs w:val="24"/>
        </w:rPr>
        <w:t>in stomach</w:t>
      </w:r>
    </w:p>
    <w:tbl>
      <w:tblPr>
        <w:tblStyle w:val="TableGrid"/>
        <w:tblpPr w:leftFromText="180" w:rightFromText="180" w:vertAnchor="text" w:horzAnchor="margin" w:tblpXSpec="center" w:tblpY="60"/>
        <w:tblW w:w="1067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2404"/>
        <w:gridCol w:w="3107"/>
        <w:gridCol w:w="3178"/>
      </w:tblGrid>
      <w:tr w:rsidR="005E456A" w:rsidRPr="005E456A" w14:paraId="5D89E960" w14:textId="77777777" w:rsidTr="00C2695E">
        <w:trPr>
          <w:trHeight w:val="576"/>
        </w:trPr>
        <w:tc>
          <w:tcPr>
            <w:tcW w:w="1951" w:type="dxa"/>
            <w:tcBorders>
              <w:top w:val="single" w:sz="4" w:space="0" w:color="auto"/>
              <w:bottom w:val="single" w:sz="4" w:space="0" w:color="auto"/>
            </w:tcBorders>
          </w:tcPr>
          <w:p w14:paraId="7626D023" w14:textId="77777777" w:rsidR="00BD3B65" w:rsidRPr="00C2695E" w:rsidRDefault="00BD3B65" w:rsidP="005E456A">
            <w:pPr>
              <w:spacing w:line="360" w:lineRule="auto"/>
              <w:jc w:val="both"/>
              <w:rPr>
                <w:rFonts w:ascii="Book Antiqua" w:hAnsi="Book Antiqua"/>
                <w:b/>
                <w:sz w:val="24"/>
                <w:szCs w:val="24"/>
                <w:lang w:val="en-US"/>
              </w:rPr>
            </w:pPr>
            <w:r w:rsidRPr="00C2695E">
              <w:rPr>
                <w:rFonts w:ascii="Book Antiqua" w:hAnsi="Book Antiqua"/>
                <w:b/>
                <w:sz w:val="24"/>
                <w:szCs w:val="24"/>
                <w:lang w:val="en-US"/>
              </w:rPr>
              <w:t>Use in stomach</w:t>
            </w:r>
          </w:p>
        </w:tc>
        <w:tc>
          <w:tcPr>
            <w:tcW w:w="2410" w:type="dxa"/>
            <w:tcBorders>
              <w:top w:val="single" w:sz="4" w:space="0" w:color="auto"/>
              <w:bottom w:val="single" w:sz="4" w:space="0" w:color="auto"/>
            </w:tcBorders>
          </w:tcPr>
          <w:p w14:paraId="4A0BBA77" w14:textId="77777777" w:rsidR="00BD3B65" w:rsidRPr="00C2695E" w:rsidRDefault="00BD3B65" w:rsidP="005E456A">
            <w:pPr>
              <w:spacing w:line="360" w:lineRule="auto"/>
              <w:jc w:val="both"/>
              <w:rPr>
                <w:rFonts w:ascii="Book Antiqua" w:hAnsi="Book Antiqua"/>
                <w:b/>
                <w:sz w:val="24"/>
                <w:szCs w:val="24"/>
                <w:lang w:val="en-US"/>
              </w:rPr>
            </w:pPr>
            <w:r w:rsidRPr="00C2695E">
              <w:rPr>
                <w:rFonts w:ascii="Book Antiqua" w:hAnsi="Book Antiqua"/>
                <w:b/>
                <w:sz w:val="24"/>
                <w:szCs w:val="24"/>
                <w:lang w:val="en-US"/>
              </w:rPr>
              <w:t>Type of evidence</w:t>
            </w:r>
          </w:p>
        </w:tc>
        <w:tc>
          <w:tcPr>
            <w:tcW w:w="3118" w:type="dxa"/>
            <w:tcBorders>
              <w:top w:val="single" w:sz="4" w:space="0" w:color="auto"/>
              <w:bottom w:val="single" w:sz="4" w:space="0" w:color="auto"/>
            </w:tcBorders>
          </w:tcPr>
          <w:p w14:paraId="3EFD3947" w14:textId="77777777" w:rsidR="00BD3B65" w:rsidRPr="00C2695E" w:rsidRDefault="00BD3B65" w:rsidP="005E456A">
            <w:pPr>
              <w:spacing w:line="360" w:lineRule="auto"/>
              <w:jc w:val="both"/>
              <w:rPr>
                <w:rFonts w:ascii="Book Antiqua" w:hAnsi="Book Antiqua"/>
                <w:b/>
                <w:sz w:val="24"/>
                <w:szCs w:val="24"/>
                <w:lang w:val="en-US"/>
              </w:rPr>
            </w:pPr>
            <w:r w:rsidRPr="00C2695E">
              <w:rPr>
                <w:rFonts w:ascii="Book Antiqua" w:hAnsi="Book Antiqua"/>
                <w:b/>
                <w:sz w:val="24"/>
                <w:szCs w:val="24"/>
                <w:lang w:val="en-US"/>
              </w:rPr>
              <w:t>Description</w:t>
            </w:r>
          </w:p>
        </w:tc>
        <w:tc>
          <w:tcPr>
            <w:tcW w:w="3195" w:type="dxa"/>
            <w:tcBorders>
              <w:top w:val="single" w:sz="4" w:space="0" w:color="auto"/>
              <w:bottom w:val="single" w:sz="4" w:space="0" w:color="auto"/>
            </w:tcBorders>
          </w:tcPr>
          <w:p w14:paraId="138B2EAA" w14:textId="77777777" w:rsidR="00BD3B65" w:rsidRPr="00C2695E" w:rsidRDefault="00BD3B65" w:rsidP="005E456A">
            <w:pPr>
              <w:spacing w:line="360" w:lineRule="auto"/>
              <w:jc w:val="both"/>
              <w:rPr>
                <w:rFonts w:ascii="Book Antiqua" w:hAnsi="Book Antiqua"/>
                <w:b/>
                <w:sz w:val="24"/>
                <w:szCs w:val="24"/>
                <w:lang w:val="en-US"/>
              </w:rPr>
            </w:pPr>
            <w:r w:rsidRPr="00C2695E">
              <w:rPr>
                <w:rFonts w:ascii="Book Antiqua" w:hAnsi="Book Antiqua"/>
                <w:b/>
                <w:sz w:val="24"/>
                <w:szCs w:val="24"/>
                <w:lang w:val="en-US"/>
              </w:rPr>
              <w:t>Remarks</w:t>
            </w:r>
          </w:p>
        </w:tc>
      </w:tr>
      <w:tr w:rsidR="005E456A" w:rsidRPr="005E456A" w14:paraId="463DF200" w14:textId="77777777" w:rsidTr="00C2695E">
        <w:trPr>
          <w:trHeight w:val="1773"/>
        </w:trPr>
        <w:tc>
          <w:tcPr>
            <w:tcW w:w="1951" w:type="dxa"/>
            <w:tcBorders>
              <w:top w:val="single" w:sz="4" w:space="0" w:color="auto"/>
            </w:tcBorders>
          </w:tcPr>
          <w:p w14:paraId="0ECAFBDE"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Screening of focal lesions in stomach</w:t>
            </w:r>
          </w:p>
        </w:tc>
        <w:tc>
          <w:tcPr>
            <w:tcW w:w="2410" w:type="dxa"/>
            <w:tcBorders>
              <w:top w:val="single" w:sz="4" w:space="0" w:color="auto"/>
            </w:tcBorders>
          </w:tcPr>
          <w:p w14:paraId="1C2D2E05" w14:textId="4CD9617D" w:rsidR="00BD3B65" w:rsidRPr="005E456A" w:rsidRDefault="00D04643" w:rsidP="005E456A">
            <w:pPr>
              <w:spacing w:line="360" w:lineRule="auto"/>
              <w:jc w:val="both"/>
              <w:rPr>
                <w:rFonts w:ascii="Book Antiqua" w:hAnsi="Book Antiqua"/>
                <w:sz w:val="24"/>
                <w:szCs w:val="24"/>
                <w:lang w:val="en-US"/>
              </w:rPr>
            </w:pPr>
            <w:r>
              <w:rPr>
                <w:rFonts w:ascii="Book Antiqua" w:hAnsi="Book Antiqua"/>
                <w:sz w:val="24"/>
                <w:szCs w:val="24"/>
                <w:lang w:val="en-US"/>
              </w:rPr>
              <w:t>Five prospective studies</w:t>
            </w:r>
            <w:r w:rsidR="00BD3B65" w:rsidRPr="005E456A">
              <w:rPr>
                <w:rFonts w:ascii="Book Antiqua" w:hAnsi="Book Antiqua"/>
                <w:sz w:val="24"/>
                <w:szCs w:val="24"/>
                <w:vertAlign w:val="superscript"/>
                <w:lang w:val="en-US"/>
              </w:rPr>
              <w:t>[35-39]</w:t>
            </w:r>
            <w:r w:rsidR="00BD3B65" w:rsidRPr="005E456A">
              <w:rPr>
                <w:rFonts w:ascii="Book Antiqua" w:hAnsi="Book Antiqua"/>
                <w:sz w:val="24"/>
                <w:szCs w:val="24"/>
                <w:lang w:val="en-US"/>
              </w:rPr>
              <w:t xml:space="preserve"> studied screening with WLE followed by characterization of detected lesions with NBI</w:t>
            </w:r>
          </w:p>
          <w:p w14:paraId="0C4B3C67" w14:textId="77777777" w:rsidR="00BD3B65" w:rsidRPr="005E456A" w:rsidRDefault="00BD3B65" w:rsidP="005E456A">
            <w:pPr>
              <w:spacing w:line="360" w:lineRule="auto"/>
              <w:jc w:val="both"/>
              <w:rPr>
                <w:rFonts w:ascii="Book Antiqua" w:hAnsi="Book Antiqua"/>
                <w:sz w:val="24"/>
                <w:szCs w:val="24"/>
                <w:lang w:val="en-US"/>
              </w:rPr>
            </w:pPr>
          </w:p>
          <w:p w14:paraId="3D58F2F1" w14:textId="77777777" w:rsidR="00BD3B65" w:rsidRPr="005E456A" w:rsidRDefault="00BD3B65" w:rsidP="005E456A">
            <w:pPr>
              <w:spacing w:line="360" w:lineRule="auto"/>
              <w:jc w:val="both"/>
              <w:rPr>
                <w:rFonts w:ascii="Book Antiqua" w:hAnsi="Book Antiqua"/>
                <w:sz w:val="24"/>
                <w:szCs w:val="24"/>
                <w:lang w:val="en-US"/>
              </w:rPr>
            </w:pPr>
          </w:p>
          <w:p w14:paraId="21BC85C6" w14:textId="0A572ABA" w:rsidR="00BD3B65" w:rsidRPr="002F615C"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Single randomized pr</w:t>
            </w:r>
            <w:r w:rsidR="00D04643">
              <w:rPr>
                <w:rFonts w:ascii="Book Antiqua" w:hAnsi="Book Antiqua"/>
                <w:sz w:val="24"/>
                <w:szCs w:val="24"/>
                <w:lang w:val="en-US"/>
              </w:rPr>
              <w:t>ospective study with bright-NBI</w:t>
            </w:r>
            <w:r w:rsidRPr="005E456A">
              <w:rPr>
                <w:rFonts w:ascii="Book Antiqua" w:hAnsi="Book Antiqua"/>
                <w:sz w:val="24"/>
                <w:szCs w:val="24"/>
                <w:vertAlign w:val="superscript"/>
                <w:lang w:val="en-US"/>
              </w:rPr>
              <w:t>[40]</w:t>
            </w:r>
          </w:p>
        </w:tc>
        <w:tc>
          <w:tcPr>
            <w:tcW w:w="3118" w:type="dxa"/>
            <w:tcBorders>
              <w:top w:val="single" w:sz="4" w:space="0" w:color="auto"/>
            </w:tcBorders>
          </w:tcPr>
          <w:p w14:paraId="5864B905"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 xml:space="preserve">WLE followed by characterization with NBI seems to increase confidence in taking targeted biopsies. </w:t>
            </w:r>
          </w:p>
          <w:p w14:paraId="2B1AE895" w14:textId="77777777" w:rsidR="00BD3B65" w:rsidRPr="005E456A" w:rsidRDefault="00BD3B65" w:rsidP="005E456A">
            <w:pPr>
              <w:spacing w:line="360" w:lineRule="auto"/>
              <w:jc w:val="both"/>
              <w:rPr>
                <w:rFonts w:ascii="Book Antiqua" w:hAnsi="Book Antiqua"/>
                <w:sz w:val="24"/>
                <w:szCs w:val="24"/>
                <w:lang w:val="en-US"/>
              </w:rPr>
            </w:pPr>
          </w:p>
          <w:p w14:paraId="425967F5" w14:textId="77777777" w:rsidR="00BD3B65" w:rsidRPr="005E456A" w:rsidRDefault="00BD3B65" w:rsidP="005E456A">
            <w:pPr>
              <w:spacing w:line="360" w:lineRule="auto"/>
              <w:jc w:val="both"/>
              <w:rPr>
                <w:rFonts w:ascii="Book Antiqua" w:hAnsi="Book Antiqua"/>
                <w:sz w:val="24"/>
                <w:szCs w:val="24"/>
                <w:lang w:val="en-US"/>
              </w:rPr>
            </w:pPr>
          </w:p>
          <w:p w14:paraId="78BFB386" w14:textId="1D00C1C4"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 xml:space="preserve">New generation </w:t>
            </w:r>
            <w:r w:rsidR="00525874">
              <w:rPr>
                <w:rFonts w:ascii="Book Antiqua" w:hAnsi="Book Antiqua"/>
                <w:sz w:val="24"/>
                <w:szCs w:val="24"/>
                <w:lang w:val="en-US"/>
              </w:rPr>
              <w:t>“</w:t>
            </w:r>
            <w:r w:rsidRPr="005E456A">
              <w:rPr>
                <w:rFonts w:ascii="Book Antiqua" w:hAnsi="Book Antiqua"/>
                <w:sz w:val="24"/>
                <w:szCs w:val="24"/>
                <w:lang w:val="en-US"/>
              </w:rPr>
              <w:t>bright-NBI</w:t>
            </w:r>
            <w:r w:rsidR="00525874">
              <w:rPr>
                <w:rFonts w:ascii="Book Antiqua" w:hAnsi="Book Antiqua"/>
                <w:sz w:val="24"/>
                <w:szCs w:val="24"/>
                <w:lang w:val="en-US"/>
              </w:rPr>
              <w:t>”</w:t>
            </w:r>
            <w:r w:rsidR="00525874">
              <w:rPr>
                <w:rFonts w:ascii="Book Antiqua" w:hAnsi="Book Antiqua" w:hint="eastAsia"/>
                <w:sz w:val="24"/>
                <w:szCs w:val="24"/>
                <w:lang w:val="en-US"/>
              </w:rPr>
              <w:t xml:space="preserve"> </w:t>
            </w:r>
            <w:r w:rsidRPr="005E456A">
              <w:rPr>
                <w:rFonts w:ascii="Book Antiqua" w:hAnsi="Book Antiqua"/>
                <w:sz w:val="24"/>
                <w:szCs w:val="24"/>
                <w:lang w:val="en-US"/>
              </w:rPr>
              <w:t>appears promising to increase yield of FGL as single step examination in stomach.</w:t>
            </w:r>
          </w:p>
        </w:tc>
        <w:tc>
          <w:tcPr>
            <w:tcW w:w="3195" w:type="dxa"/>
            <w:tcBorders>
              <w:top w:val="single" w:sz="4" w:space="0" w:color="auto"/>
            </w:tcBorders>
          </w:tcPr>
          <w:p w14:paraId="6D571429"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Majority of the detected FGLs are intestinal metaplasia.</w:t>
            </w:r>
          </w:p>
          <w:p w14:paraId="40AD6C18" w14:textId="77777777" w:rsidR="00BD3B65" w:rsidRPr="005E456A" w:rsidRDefault="00BD3B65" w:rsidP="005E456A">
            <w:pPr>
              <w:spacing w:line="360" w:lineRule="auto"/>
              <w:jc w:val="both"/>
              <w:rPr>
                <w:rFonts w:ascii="Book Antiqua" w:hAnsi="Book Antiqua"/>
                <w:sz w:val="24"/>
                <w:szCs w:val="24"/>
                <w:lang w:val="en-US"/>
              </w:rPr>
            </w:pPr>
          </w:p>
          <w:p w14:paraId="5818B0A8"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Due to small sample sizes in these studies, it is unclear whether such strategy will improve detection of subtle malignant gastric lesions.</w:t>
            </w:r>
          </w:p>
        </w:tc>
      </w:tr>
      <w:tr w:rsidR="005E456A" w:rsidRPr="005E456A" w14:paraId="53BC36A4" w14:textId="77777777" w:rsidTr="00C2695E">
        <w:trPr>
          <w:trHeight w:val="1166"/>
        </w:trPr>
        <w:tc>
          <w:tcPr>
            <w:tcW w:w="1951" w:type="dxa"/>
          </w:tcPr>
          <w:p w14:paraId="5179C317"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Diagnosis of H pylori gastritis</w:t>
            </w:r>
          </w:p>
        </w:tc>
        <w:tc>
          <w:tcPr>
            <w:tcW w:w="2410" w:type="dxa"/>
          </w:tcPr>
          <w:p w14:paraId="473E2212" w14:textId="48DE1941" w:rsidR="00BD3B65" w:rsidRPr="005E456A" w:rsidRDefault="00525874" w:rsidP="005E456A">
            <w:pPr>
              <w:spacing w:line="360" w:lineRule="auto"/>
              <w:jc w:val="both"/>
              <w:rPr>
                <w:rFonts w:ascii="Book Antiqua" w:hAnsi="Book Antiqua"/>
                <w:sz w:val="24"/>
                <w:szCs w:val="24"/>
                <w:lang w:val="en-US"/>
              </w:rPr>
            </w:pPr>
            <w:r>
              <w:rPr>
                <w:rFonts w:ascii="Book Antiqua" w:hAnsi="Book Antiqua"/>
                <w:sz w:val="24"/>
                <w:szCs w:val="24"/>
                <w:lang w:val="en-US"/>
              </w:rPr>
              <w:t>Two prospective trials</w:t>
            </w:r>
            <w:r>
              <w:rPr>
                <w:rFonts w:ascii="Book Antiqua" w:hAnsi="Book Antiqua"/>
                <w:sz w:val="24"/>
                <w:szCs w:val="24"/>
                <w:vertAlign w:val="superscript"/>
                <w:lang w:val="en-US"/>
              </w:rPr>
              <w:t>[41,</w:t>
            </w:r>
            <w:r w:rsidR="00BD3B65" w:rsidRPr="005E456A">
              <w:rPr>
                <w:rFonts w:ascii="Book Antiqua" w:hAnsi="Book Antiqua"/>
                <w:sz w:val="24"/>
                <w:szCs w:val="24"/>
                <w:vertAlign w:val="superscript"/>
                <w:lang w:val="en-US"/>
              </w:rPr>
              <w:t>42]</w:t>
            </w:r>
            <w:r w:rsidR="00BD3B65" w:rsidRPr="005E456A">
              <w:rPr>
                <w:rFonts w:ascii="Book Antiqua" w:hAnsi="Book Antiqua"/>
                <w:sz w:val="24"/>
                <w:szCs w:val="24"/>
                <w:lang w:val="en-US"/>
              </w:rPr>
              <w:t xml:space="preserve"> using M-NBI with histology as comparator</w:t>
            </w:r>
          </w:p>
        </w:tc>
        <w:tc>
          <w:tcPr>
            <w:tcW w:w="3118" w:type="dxa"/>
          </w:tcPr>
          <w:p w14:paraId="6EA04888" w14:textId="5710079C" w:rsidR="00BD3B65" w:rsidRPr="002F615C"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Subjective classifications of mucosal microvascular patterns showed high sensitivity and specificity for real-time diagnosis of H pylori gastritis</w:t>
            </w:r>
          </w:p>
        </w:tc>
        <w:tc>
          <w:tcPr>
            <w:tcW w:w="3195" w:type="dxa"/>
          </w:tcPr>
          <w:p w14:paraId="160B8A10"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Inherent subjectivity in the classification is an issue</w:t>
            </w:r>
          </w:p>
        </w:tc>
      </w:tr>
      <w:tr w:rsidR="005E456A" w:rsidRPr="005E456A" w14:paraId="5E131967" w14:textId="77777777" w:rsidTr="00C2695E">
        <w:trPr>
          <w:trHeight w:val="1196"/>
        </w:trPr>
        <w:tc>
          <w:tcPr>
            <w:tcW w:w="1951" w:type="dxa"/>
          </w:tcPr>
          <w:p w14:paraId="76891F92"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Diagnosis of IM</w:t>
            </w:r>
          </w:p>
        </w:tc>
        <w:tc>
          <w:tcPr>
            <w:tcW w:w="2410" w:type="dxa"/>
          </w:tcPr>
          <w:p w14:paraId="058D16C2" w14:textId="24B38B3F"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Multiple prospective studi</w:t>
            </w:r>
            <w:r w:rsidR="006D198C">
              <w:rPr>
                <w:rFonts w:ascii="Book Antiqua" w:hAnsi="Book Antiqua"/>
                <w:sz w:val="24"/>
                <w:szCs w:val="24"/>
                <w:lang w:val="en-US"/>
              </w:rPr>
              <w:t>es and one recent meta-analysis</w:t>
            </w:r>
            <w:r w:rsidRPr="005E456A">
              <w:rPr>
                <w:rFonts w:ascii="Book Antiqua" w:hAnsi="Book Antiqua"/>
                <w:sz w:val="24"/>
                <w:szCs w:val="24"/>
                <w:vertAlign w:val="superscript"/>
                <w:lang w:val="en-US"/>
              </w:rPr>
              <w:t>[44]</w:t>
            </w:r>
            <w:r w:rsidRPr="005E456A">
              <w:rPr>
                <w:rFonts w:ascii="Book Antiqua" w:hAnsi="Book Antiqua"/>
                <w:sz w:val="24"/>
                <w:szCs w:val="24"/>
                <w:lang w:val="en-US"/>
              </w:rPr>
              <w:t xml:space="preserve"> using M-NBI for diagnosis of IM</w:t>
            </w:r>
          </w:p>
        </w:tc>
        <w:tc>
          <w:tcPr>
            <w:tcW w:w="3118" w:type="dxa"/>
          </w:tcPr>
          <w:p w14:paraId="10AEC78D" w14:textId="65965C5C"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 xml:space="preserve">Multiple patterns have been assigned for diagnosis of IM. The most prevalent is the </w:t>
            </w:r>
            <w:r w:rsidR="00525874">
              <w:rPr>
                <w:rFonts w:ascii="Book Antiqua" w:hAnsi="Book Antiqua"/>
                <w:sz w:val="24"/>
                <w:szCs w:val="24"/>
                <w:lang w:val="en-US"/>
              </w:rPr>
              <w:t>“LBC” sign</w:t>
            </w:r>
          </w:p>
          <w:p w14:paraId="1C2A331B" w14:textId="77777777" w:rsidR="00BD3B65" w:rsidRPr="005E456A" w:rsidRDefault="00BD3B65" w:rsidP="005E456A">
            <w:pPr>
              <w:spacing w:line="360" w:lineRule="auto"/>
              <w:jc w:val="both"/>
              <w:rPr>
                <w:rFonts w:ascii="Book Antiqua" w:hAnsi="Book Antiqua"/>
                <w:sz w:val="24"/>
                <w:szCs w:val="24"/>
                <w:lang w:val="en-US"/>
              </w:rPr>
            </w:pPr>
          </w:p>
          <w:p w14:paraId="19F76635" w14:textId="19ACAD09"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The pooled sensitivity and specificity of LBC for diagnosis o</w:t>
            </w:r>
            <w:r w:rsidR="002F615C">
              <w:rPr>
                <w:rFonts w:ascii="Book Antiqua" w:hAnsi="Book Antiqua"/>
                <w:sz w:val="24"/>
                <w:szCs w:val="24"/>
                <w:lang w:val="en-US"/>
              </w:rPr>
              <w:t xml:space="preserve">f IM are 84% </w:t>
            </w:r>
            <w:r w:rsidR="002F615C">
              <w:rPr>
                <w:rFonts w:ascii="Book Antiqua" w:hAnsi="Book Antiqua" w:hint="eastAsia"/>
                <w:sz w:val="24"/>
                <w:szCs w:val="24"/>
                <w:lang w:val="en-US"/>
              </w:rPr>
              <w:t>and</w:t>
            </w:r>
            <w:r w:rsidR="002F615C">
              <w:rPr>
                <w:rFonts w:ascii="Book Antiqua" w:hAnsi="Book Antiqua"/>
                <w:sz w:val="24"/>
                <w:szCs w:val="24"/>
                <w:lang w:val="en-US"/>
              </w:rPr>
              <w:t xml:space="preserve"> 93% respectively</w:t>
            </w:r>
          </w:p>
          <w:p w14:paraId="4318B919" w14:textId="77777777" w:rsidR="00BD3B65" w:rsidRPr="005E456A" w:rsidRDefault="00BD3B65" w:rsidP="005E456A">
            <w:pPr>
              <w:spacing w:line="360" w:lineRule="auto"/>
              <w:jc w:val="both"/>
              <w:rPr>
                <w:rFonts w:ascii="Book Antiqua" w:hAnsi="Book Antiqua"/>
                <w:sz w:val="24"/>
                <w:szCs w:val="24"/>
                <w:lang w:val="en-US"/>
              </w:rPr>
            </w:pPr>
          </w:p>
        </w:tc>
        <w:tc>
          <w:tcPr>
            <w:tcW w:w="3195" w:type="dxa"/>
          </w:tcPr>
          <w:p w14:paraId="2681D69D" w14:textId="262FF1F6"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LBC sign with M-NBI appears easy to learn and reliable</w:t>
            </w:r>
            <w:r w:rsidR="002F615C">
              <w:rPr>
                <w:rFonts w:ascii="Book Antiqua" w:hAnsi="Book Antiqua"/>
                <w:sz w:val="24"/>
                <w:szCs w:val="24"/>
                <w:lang w:val="en-US"/>
              </w:rPr>
              <w:t xml:space="preserve"> for real-time diagnosis of IM</w:t>
            </w:r>
          </w:p>
        </w:tc>
      </w:tr>
      <w:tr w:rsidR="005E456A" w:rsidRPr="005E456A" w14:paraId="5B407C8D" w14:textId="77777777" w:rsidTr="00C2695E">
        <w:trPr>
          <w:trHeight w:val="1196"/>
        </w:trPr>
        <w:tc>
          <w:tcPr>
            <w:tcW w:w="1951" w:type="dxa"/>
          </w:tcPr>
          <w:p w14:paraId="1DC2727D"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Characterization of an EGC</w:t>
            </w:r>
          </w:p>
        </w:tc>
        <w:tc>
          <w:tcPr>
            <w:tcW w:w="2410" w:type="dxa"/>
          </w:tcPr>
          <w:p w14:paraId="47AEF8BB" w14:textId="154E2BF5"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Multiple prospective studies inc</w:t>
            </w:r>
            <w:r w:rsidR="006D198C">
              <w:rPr>
                <w:rFonts w:ascii="Book Antiqua" w:hAnsi="Book Antiqua"/>
                <w:sz w:val="24"/>
                <w:szCs w:val="24"/>
                <w:lang w:val="en-US"/>
              </w:rPr>
              <w:t>luding two recent meta-analyses</w:t>
            </w:r>
            <w:r w:rsidR="006D198C">
              <w:rPr>
                <w:rFonts w:ascii="Book Antiqua" w:hAnsi="Book Antiqua"/>
                <w:sz w:val="24"/>
                <w:szCs w:val="24"/>
                <w:vertAlign w:val="superscript"/>
                <w:lang w:val="en-US"/>
              </w:rPr>
              <w:t>[52,</w:t>
            </w:r>
            <w:r w:rsidRPr="005E456A">
              <w:rPr>
                <w:rFonts w:ascii="Book Antiqua" w:hAnsi="Book Antiqua"/>
                <w:sz w:val="24"/>
                <w:szCs w:val="24"/>
                <w:vertAlign w:val="superscript"/>
                <w:lang w:val="en-US"/>
              </w:rPr>
              <w:t>53]</w:t>
            </w:r>
            <w:r w:rsidRPr="005E456A">
              <w:rPr>
                <w:rFonts w:ascii="Book Antiqua" w:hAnsi="Book Antiqua"/>
                <w:sz w:val="24"/>
                <w:szCs w:val="24"/>
                <w:lang w:val="en-US"/>
              </w:rPr>
              <w:t xml:space="preserve"> using M-NBI for characterization of an EGC</w:t>
            </w:r>
          </w:p>
        </w:tc>
        <w:tc>
          <w:tcPr>
            <w:tcW w:w="3118" w:type="dxa"/>
          </w:tcPr>
          <w:p w14:paraId="1E88F72D"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 xml:space="preserve">Various pattern-classification systems with M-NBI have been used in different studies to characterize a lesion as EGC. </w:t>
            </w:r>
          </w:p>
          <w:p w14:paraId="077F39A4" w14:textId="77777777" w:rsidR="00BD3B65" w:rsidRPr="005E456A" w:rsidRDefault="00BD3B65" w:rsidP="005E456A">
            <w:pPr>
              <w:spacing w:line="360" w:lineRule="auto"/>
              <w:jc w:val="both"/>
              <w:rPr>
                <w:rFonts w:ascii="Book Antiqua" w:hAnsi="Book Antiqua"/>
                <w:sz w:val="24"/>
                <w:szCs w:val="24"/>
                <w:lang w:val="en-US"/>
              </w:rPr>
            </w:pPr>
          </w:p>
          <w:p w14:paraId="36D2F636"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The pooled sensitivity: 0.83-0.85</w:t>
            </w:r>
          </w:p>
          <w:p w14:paraId="563C40D8"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The pooled specificity: 0.96</w:t>
            </w:r>
          </w:p>
          <w:p w14:paraId="60908665" w14:textId="77777777" w:rsidR="00BD3B65" w:rsidRPr="005E456A" w:rsidRDefault="00BD3B65" w:rsidP="005E456A">
            <w:pPr>
              <w:spacing w:line="360" w:lineRule="auto"/>
              <w:jc w:val="both"/>
              <w:rPr>
                <w:rFonts w:ascii="Book Antiqua" w:hAnsi="Book Antiqua"/>
                <w:sz w:val="24"/>
                <w:szCs w:val="24"/>
                <w:lang w:val="en-US"/>
              </w:rPr>
            </w:pPr>
          </w:p>
          <w:p w14:paraId="2380A80F" w14:textId="77777777" w:rsidR="00BD3B65" w:rsidRPr="005E456A" w:rsidRDefault="00BD3B65" w:rsidP="005E456A">
            <w:pPr>
              <w:spacing w:line="360" w:lineRule="auto"/>
              <w:jc w:val="both"/>
              <w:rPr>
                <w:rFonts w:ascii="Book Antiqua" w:hAnsi="Book Antiqua"/>
                <w:sz w:val="24"/>
                <w:szCs w:val="24"/>
                <w:lang w:val="en-US"/>
              </w:rPr>
            </w:pPr>
          </w:p>
        </w:tc>
        <w:tc>
          <w:tcPr>
            <w:tcW w:w="3195" w:type="dxa"/>
          </w:tcPr>
          <w:p w14:paraId="19BC1959"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 xml:space="preserve">Inherent subjectivities in a variety of classifications remain an issue. </w:t>
            </w:r>
          </w:p>
          <w:p w14:paraId="60253343" w14:textId="77777777" w:rsidR="00BD3B65" w:rsidRPr="005E456A" w:rsidRDefault="00BD3B65" w:rsidP="005E456A">
            <w:pPr>
              <w:spacing w:line="360" w:lineRule="auto"/>
              <w:jc w:val="both"/>
              <w:rPr>
                <w:rFonts w:ascii="Book Antiqua" w:hAnsi="Book Antiqua"/>
                <w:sz w:val="24"/>
                <w:szCs w:val="24"/>
                <w:lang w:val="en-US"/>
              </w:rPr>
            </w:pPr>
          </w:p>
          <w:p w14:paraId="0E2C7992"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Significant heterogeneity were observed in both meta-analyses</w:t>
            </w:r>
          </w:p>
        </w:tc>
      </w:tr>
      <w:tr w:rsidR="005E456A" w:rsidRPr="005E456A" w14:paraId="4BB4FD65" w14:textId="77777777" w:rsidTr="00C2695E">
        <w:trPr>
          <w:trHeight w:val="1196"/>
        </w:trPr>
        <w:tc>
          <w:tcPr>
            <w:tcW w:w="1951" w:type="dxa"/>
          </w:tcPr>
          <w:p w14:paraId="53F714FF"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Prediction of histological differentiation of an EGC</w:t>
            </w:r>
          </w:p>
        </w:tc>
        <w:tc>
          <w:tcPr>
            <w:tcW w:w="2410" w:type="dxa"/>
          </w:tcPr>
          <w:p w14:paraId="48ED6A6E" w14:textId="3E66ED7D"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A</w:t>
            </w:r>
            <w:r w:rsidR="006D198C">
              <w:rPr>
                <w:rFonts w:ascii="Book Antiqua" w:hAnsi="Book Antiqua"/>
                <w:sz w:val="24"/>
                <w:szCs w:val="24"/>
                <w:lang w:val="en-US"/>
              </w:rPr>
              <w:t>t least two prospective studies</w:t>
            </w:r>
            <w:r w:rsidR="006D198C">
              <w:rPr>
                <w:rFonts w:ascii="Book Antiqua" w:hAnsi="Book Antiqua"/>
                <w:sz w:val="24"/>
                <w:szCs w:val="24"/>
                <w:vertAlign w:val="superscript"/>
                <w:lang w:val="en-US"/>
              </w:rPr>
              <w:t>[54,</w:t>
            </w:r>
            <w:r w:rsidRPr="005E456A">
              <w:rPr>
                <w:rFonts w:ascii="Book Antiqua" w:hAnsi="Book Antiqua"/>
                <w:sz w:val="24"/>
                <w:szCs w:val="24"/>
                <w:vertAlign w:val="superscript"/>
                <w:lang w:val="en-US"/>
              </w:rPr>
              <w:t>55]</w:t>
            </w:r>
          </w:p>
        </w:tc>
        <w:tc>
          <w:tcPr>
            <w:tcW w:w="3118" w:type="dxa"/>
          </w:tcPr>
          <w:p w14:paraId="5718D819" w14:textId="737F6A0B"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Subjective pattern assignments were given; Only moderate sensitivities and specificities to determine histolo</w:t>
            </w:r>
            <w:r w:rsidR="006D198C">
              <w:rPr>
                <w:rFonts w:ascii="Book Antiqua" w:hAnsi="Book Antiqua"/>
                <w:sz w:val="24"/>
                <w:szCs w:val="24"/>
                <w:lang w:val="en-US"/>
              </w:rPr>
              <w:t>gical differentiation of an EGC</w:t>
            </w:r>
          </w:p>
        </w:tc>
        <w:tc>
          <w:tcPr>
            <w:tcW w:w="3195" w:type="dxa"/>
          </w:tcPr>
          <w:p w14:paraId="6F2724A0"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Inherent subjectivities in the classification system. Currently, histology is still required to determine histological differentiation of an EGC.</w:t>
            </w:r>
          </w:p>
        </w:tc>
      </w:tr>
      <w:tr w:rsidR="005E456A" w:rsidRPr="005E456A" w14:paraId="17F48F28" w14:textId="77777777" w:rsidTr="00C2695E">
        <w:trPr>
          <w:trHeight w:val="1196"/>
        </w:trPr>
        <w:tc>
          <w:tcPr>
            <w:tcW w:w="1951" w:type="dxa"/>
          </w:tcPr>
          <w:p w14:paraId="7969DB7D"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Determination of horizontal extent of an EGC</w:t>
            </w:r>
          </w:p>
        </w:tc>
        <w:tc>
          <w:tcPr>
            <w:tcW w:w="2410" w:type="dxa"/>
          </w:tcPr>
          <w:p w14:paraId="6D163568"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Few studies with small sample sizes</w:t>
            </w:r>
          </w:p>
        </w:tc>
        <w:tc>
          <w:tcPr>
            <w:tcW w:w="3118" w:type="dxa"/>
          </w:tcPr>
          <w:p w14:paraId="080BBF4F" w14:textId="6DE4B17C" w:rsidR="00BD3B65" w:rsidRPr="005E456A" w:rsidRDefault="006D198C" w:rsidP="005E456A">
            <w:pPr>
              <w:spacing w:line="360" w:lineRule="auto"/>
              <w:jc w:val="both"/>
              <w:rPr>
                <w:rFonts w:ascii="Book Antiqua" w:hAnsi="Book Antiqua"/>
                <w:sz w:val="24"/>
                <w:szCs w:val="24"/>
                <w:lang w:val="en-US"/>
              </w:rPr>
            </w:pPr>
            <w:r>
              <w:rPr>
                <w:rFonts w:ascii="Book Antiqua" w:hAnsi="Book Antiqua"/>
                <w:sz w:val="24"/>
                <w:szCs w:val="24"/>
                <w:lang w:val="en-US"/>
              </w:rPr>
              <w:t>One study</w:t>
            </w:r>
            <w:r w:rsidR="00BD3B65" w:rsidRPr="005E456A">
              <w:rPr>
                <w:rFonts w:ascii="Book Antiqua" w:hAnsi="Book Antiqua"/>
                <w:sz w:val="24"/>
                <w:szCs w:val="24"/>
                <w:vertAlign w:val="superscript"/>
                <w:lang w:val="en-US"/>
              </w:rPr>
              <w:t>[58]</w:t>
            </w:r>
            <w:r w:rsidR="00BD3B65" w:rsidRPr="005E456A">
              <w:rPr>
                <w:rFonts w:ascii="Book Antiqua" w:hAnsi="Book Antiqua"/>
                <w:sz w:val="24"/>
                <w:szCs w:val="24"/>
                <w:lang w:val="en-US"/>
              </w:rPr>
              <w:t xml:space="preserve"> showed better accuracy than indigo carmine chromoendoscopy</w:t>
            </w:r>
          </w:p>
        </w:tc>
        <w:tc>
          <w:tcPr>
            <w:tcW w:w="3195" w:type="dxa"/>
          </w:tcPr>
          <w:p w14:paraId="45B6FC29"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Real-time estimation of an EGC is useful before endoscopic resection. However, the histology still remains the gold-standard.</w:t>
            </w:r>
          </w:p>
        </w:tc>
      </w:tr>
      <w:tr w:rsidR="005E456A" w:rsidRPr="005E456A" w14:paraId="57FBE088" w14:textId="77777777" w:rsidTr="00C2695E">
        <w:trPr>
          <w:trHeight w:val="1196"/>
        </w:trPr>
        <w:tc>
          <w:tcPr>
            <w:tcW w:w="1951" w:type="dxa"/>
          </w:tcPr>
          <w:p w14:paraId="1C24B857"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Determination of depth of an EGC</w:t>
            </w:r>
          </w:p>
        </w:tc>
        <w:tc>
          <w:tcPr>
            <w:tcW w:w="2410" w:type="dxa"/>
          </w:tcPr>
          <w:p w14:paraId="47C0AE08" w14:textId="6F3B9299" w:rsidR="00BD3B65" w:rsidRPr="005E456A" w:rsidRDefault="006D198C" w:rsidP="005E456A">
            <w:pPr>
              <w:spacing w:line="360" w:lineRule="auto"/>
              <w:jc w:val="both"/>
              <w:rPr>
                <w:rFonts w:ascii="Book Antiqua" w:hAnsi="Book Antiqua"/>
                <w:sz w:val="24"/>
                <w:szCs w:val="24"/>
                <w:lang w:val="en-US"/>
              </w:rPr>
            </w:pPr>
            <w:r>
              <w:rPr>
                <w:rFonts w:ascii="Book Antiqua" w:hAnsi="Book Antiqua"/>
                <w:sz w:val="24"/>
                <w:szCs w:val="24"/>
                <w:lang w:val="en-US"/>
              </w:rPr>
              <w:t>Two prospective</w:t>
            </w:r>
            <w:r>
              <w:rPr>
                <w:rFonts w:ascii="Book Antiqua" w:hAnsi="Book Antiqua"/>
                <w:sz w:val="24"/>
                <w:szCs w:val="24"/>
                <w:vertAlign w:val="superscript"/>
                <w:lang w:val="en-US"/>
              </w:rPr>
              <w:t>[61,</w:t>
            </w:r>
            <w:r w:rsidR="00BD3B65" w:rsidRPr="005E456A">
              <w:rPr>
                <w:rFonts w:ascii="Book Antiqua" w:hAnsi="Book Antiqua"/>
                <w:sz w:val="24"/>
                <w:szCs w:val="24"/>
                <w:vertAlign w:val="superscript"/>
                <w:lang w:val="en-US"/>
              </w:rPr>
              <w:t xml:space="preserve">62] </w:t>
            </w:r>
            <w:r w:rsidR="00BD3B65" w:rsidRPr="005E456A">
              <w:rPr>
                <w:rFonts w:ascii="Book Antiqua" w:hAnsi="Book Antiqua"/>
                <w:sz w:val="24"/>
                <w:szCs w:val="24"/>
                <w:lang w:val="en-US"/>
              </w:rPr>
              <w:t>studies</w:t>
            </w:r>
          </w:p>
        </w:tc>
        <w:tc>
          <w:tcPr>
            <w:tcW w:w="3118" w:type="dxa"/>
          </w:tcPr>
          <w:p w14:paraId="45E14D3C"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Subjective classifications but with excellent accuracy</w:t>
            </w:r>
          </w:p>
        </w:tc>
        <w:tc>
          <w:tcPr>
            <w:tcW w:w="3195" w:type="dxa"/>
          </w:tcPr>
          <w:p w14:paraId="6F5CD8F3" w14:textId="0BADA37E"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 xml:space="preserve">Inherent subjectivities in the classification system. Currently, histology is still required to determine </w:t>
            </w:r>
            <w:r w:rsidR="006D198C">
              <w:rPr>
                <w:rFonts w:ascii="Book Antiqua" w:hAnsi="Book Antiqua"/>
                <w:sz w:val="24"/>
                <w:szCs w:val="24"/>
                <w:lang w:val="en-US"/>
              </w:rPr>
              <w:t>depth of an EGC</w:t>
            </w:r>
          </w:p>
        </w:tc>
      </w:tr>
    </w:tbl>
    <w:p w14:paraId="0E6F4D2A" w14:textId="3C3CA695" w:rsidR="00BD3B65" w:rsidRPr="005E456A" w:rsidRDefault="00BD3B65" w:rsidP="005E456A">
      <w:pPr>
        <w:spacing w:after="0" w:line="360" w:lineRule="auto"/>
        <w:jc w:val="both"/>
        <w:rPr>
          <w:rFonts w:ascii="Book Antiqua" w:hAnsi="Book Antiqua"/>
          <w:sz w:val="24"/>
          <w:szCs w:val="24"/>
          <w:lang w:val="en-US"/>
        </w:rPr>
      </w:pPr>
      <w:r w:rsidRPr="005E456A">
        <w:rPr>
          <w:rFonts w:ascii="Book Antiqua" w:hAnsi="Book Antiqua"/>
          <w:sz w:val="24"/>
          <w:szCs w:val="24"/>
          <w:lang w:val="en-US"/>
        </w:rPr>
        <w:t>FGL</w:t>
      </w:r>
      <w:r w:rsidR="006D198C">
        <w:rPr>
          <w:rFonts w:ascii="Book Antiqua" w:hAnsi="Book Antiqua" w:hint="eastAsia"/>
          <w:sz w:val="24"/>
          <w:szCs w:val="24"/>
          <w:lang w:val="en-US"/>
        </w:rPr>
        <w:t>:</w:t>
      </w:r>
      <w:r w:rsidRPr="005E456A">
        <w:rPr>
          <w:rFonts w:ascii="Book Antiqua" w:hAnsi="Book Antiqua"/>
          <w:sz w:val="24"/>
          <w:szCs w:val="24"/>
          <w:lang w:val="en-US"/>
        </w:rPr>
        <w:t xml:space="preserve"> </w:t>
      </w:r>
      <w:r w:rsidR="006D198C" w:rsidRPr="005E456A">
        <w:rPr>
          <w:rFonts w:ascii="Book Antiqua" w:hAnsi="Book Antiqua"/>
          <w:sz w:val="24"/>
          <w:szCs w:val="24"/>
          <w:lang w:val="en-US"/>
        </w:rPr>
        <w:t>F</w:t>
      </w:r>
      <w:r w:rsidRPr="005E456A">
        <w:rPr>
          <w:rFonts w:ascii="Book Antiqua" w:hAnsi="Book Antiqua"/>
          <w:sz w:val="24"/>
          <w:szCs w:val="24"/>
          <w:lang w:val="en-US"/>
        </w:rPr>
        <w:t>ocal gastric lesion; M-NBI</w:t>
      </w:r>
      <w:r w:rsidR="006D198C">
        <w:rPr>
          <w:rFonts w:ascii="Book Antiqua" w:hAnsi="Book Antiqua" w:hint="eastAsia"/>
          <w:sz w:val="24"/>
          <w:szCs w:val="24"/>
          <w:lang w:val="en-US"/>
        </w:rPr>
        <w:t>:</w:t>
      </w:r>
      <w:r w:rsidRPr="005E456A">
        <w:rPr>
          <w:rFonts w:ascii="Book Antiqua" w:hAnsi="Book Antiqua"/>
          <w:sz w:val="24"/>
          <w:szCs w:val="24"/>
          <w:lang w:val="en-US"/>
        </w:rPr>
        <w:t xml:space="preserve"> </w:t>
      </w:r>
      <w:r w:rsidR="006D198C" w:rsidRPr="005E456A">
        <w:rPr>
          <w:rFonts w:ascii="Book Antiqua" w:hAnsi="Book Antiqua"/>
          <w:sz w:val="24"/>
          <w:szCs w:val="24"/>
          <w:lang w:val="en-US"/>
        </w:rPr>
        <w:t>M</w:t>
      </w:r>
      <w:r w:rsidRPr="005E456A">
        <w:rPr>
          <w:rFonts w:ascii="Book Antiqua" w:hAnsi="Book Antiqua"/>
          <w:sz w:val="24"/>
          <w:szCs w:val="24"/>
          <w:lang w:val="en-US"/>
        </w:rPr>
        <w:t>agnifying narrow band imaging; IM</w:t>
      </w:r>
      <w:r w:rsidR="006D198C">
        <w:rPr>
          <w:rFonts w:ascii="Book Antiqua" w:hAnsi="Book Antiqua" w:hint="eastAsia"/>
          <w:sz w:val="24"/>
          <w:szCs w:val="24"/>
          <w:lang w:val="en-US"/>
        </w:rPr>
        <w:t>:</w:t>
      </w:r>
      <w:r w:rsidRPr="005E456A">
        <w:rPr>
          <w:rFonts w:ascii="Book Antiqua" w:hAnsi="Book Antiqua"/>
          <w:sz w:val="24"/>
          <w:szCs w:val="24"/>
          <w:lang w:val="en-US"/>
        </w:rPr>
        <w:t xml:space="preserve"> </w:t>
      </w:r>
      <w:r w:rsidR="006D198C" w:rsidRPr="005E456A">
        <w:rPr>
          <w:rFonts w:ascii="Book Antiqua" w:hAnsi="Book Antiqua"/>
          <w:sz w:val="24"/>
          <w:szCs w:val="24"/>
          <w:lang w:val="en-US"/>
        </w:rPr>
        <w:t>I</w:t>
      </w:r>
      <w:r w:rsidRPr="005E456A">
        <w:rPr>
          <w:rFonts w:ascii="Book Antiqua" w:hAnsi="Book Antiqua"/>
          <w:sz w:val="24"/>
          <w:szCs w:val="24"/>
          <w:lang w:val="en-US"/>
        </w:rPr>
        <w:t>ntestinal metaplasia</w:t>
      </w:r>
      <w:r w:rsidR="006D198C">
        <w:rPr>
          <w:rFonts w:ascii="Book Antiqua" w:hAnsi="Book Antiqua" w:hint="eastAsia"/>
          <w:sz w:val="24"/>
          <w:szCs w:val="24"/>
          <w:lang w:val="en-US"/>
        </w:rPr>
        <w:t>;</w:t>
      </w:r>
      <w:r w:rsidR="00525874">
        <w:rPr>
          <w:rFonts w:ascii="Book Antiqua" w:hAnsi="Book Antiqua" w:hint="eastAsia"/>
          <w:sz w:val="24"/>
          <w:szCs w:val="24"/>
          <w:lang w:val="en-US"/>
        </w:rPr>
        <w:t xml:space="preserve"> </w:t>
      </w:r>
      <w:r w:rsidR="00525874" w:rsidRPr="005E456A">
        <w:rPr>
          <w:rFonts w:ascii="Book Antiqua" w:hAnsi="Book Antiqua"/>
          <w:sz w:val="24"/>
          <w:szCs w:val="24"/>
          <w:lang w:val="en-US"/>
        </w:rPr>
        <w:t>LBC</w:t>
      </w:r>
      <w:r w:rsidR="00525874">
        <w:rPr>
          <w:rFonts w:ascii="Book Antiqua" w:hAnsi="Book Antiqua" w:hint="eastAsia"/>
          <w:sz w:val="24"/>
          <w:szCs w:val="24"/>
          <w:lang w:val="en-US"/>
        </w:rPr>
        <w:t>:</w:t>
      </w:r>
      <w:r w:rsidR="00525874" w:rsidRPr="00525874">
        <w:rPr>
          <w:rFonts w:ascii="Book Antiqua" w:hAnsi="Book Antiqua"/>
          <w:sz w:val="24"/>
          <w:szCs w:val="24"/>
          <w:lang w:val="en-US"/>
        </w:rPr>
        <w:t xml:space="preserve"> </w:t>
      </w:r>
      <w:r w:rsidR="006D198C" w:rsidRPr="005E456A">
        <w:rPr>
          <w:rFonts w:ascii="Book Antiqua" w:hAnsi="Book Antiqua"/>
          <w:sz w:val="24"/>
          <w:szCs w:val="24"/>
          <w:lang w:val="en-US"/>
        </w:rPr>
        <w:t>L</w:t>
      </w:r>
      <w:r w:rsidR="00525874" w:rsidRPr="005E456A">
        <w:rPr>
          <w:rFonts w:ascii="Book Antiqua" w:hAnsi="Book Antiqua"/>
          <w:sz w:val="24"/>
          <w:szCs w:val="24"/>
          <w:lang w:val="en-US"/>
        </w:rPr>
        <w:t>ight blue-crest</w:t>
      </w:r>
      <w:r w:rsidR="006D198C">
        <w:rPr>
          <w:rFonts w:ascii="Book Antiqua" w:hAnsi="Book Antiqua" w:hint="eastAsia"/>
          <w:sz w:val="24"/>
          <w:szCs w:val="24"/>
          <w:lang w:val="en-US"/>
        </w:rPr>
        <w:t>.</w:t>
      </w:r>
    </w:p>
    <w:p w14:paraId="73A07DA0" w14:textId="77777777" w:rsidR="00BD3B65" w:rsidRPr="005E456A" w:rsidRDefault="00BD3B65" w:rsidP="005E456A">
      <w:pPr>
        <w:spacing w:after="0" w:line="360" w:lineRule="auto"/>
        <w:jc w:val="both"/>
        <w:rPr>
          <w:rFonts w:ascii="Book Antiqua" w:hAnsi="Book Antiqua" w:cs="Arial"/>
          <w:sz w:val="24"/>
          <w:szCs w:val="24"/>
          <w:lang w:val="en-US"/>
        </w:rPr>
      </w:pPr>
    </w:p>
    <w:p w14:paraId="6F0061FA" w14:textId="77777777" w:rsidR="00BD3B65" w:rsidRPr="005E456A" w:rsidRDefault="00BD3B65" w:rsidP="005E456A">
      <w:pPr>
        <w:spacing w:after="0" w:line="360" w:lineRule="auto"/>
        <w:jc w:val="both"/>
        <w:rPr>
          <w:rFonts w:ascii="Book Antiqua" w:hAnsi="Book Antiqua" w:cs="Arial"/>
          <w:sz w:val="24"/>
          <w:szCs w:val="24"/>
        </w:rPr>
      </w:pPr>
    </w:p>
    <w:p w14:paraId="7CBBA196" w14:textId="77777777" w:rsidR="00BD3B65" w:rsidRPr="005E456A" w:rsidRDefault="00BD3B65" w:rsidP="005E456A">
      <w:pPr>
        <w:spacing w:after="0" w:line="360" w:lineRule="auto"/>
        <w:jc w:val="both"/>
        <w:rPr>
          <w:rFonts w:ascii="Book Antiqua" w:hAnsi="Book Antiqua" w:cs="Arial"/>
          <w:sz w:val="24"/>
          <w:szCs w:val="24"/>
        </w:rPr>
      </w:pPr>
    </w:p>
    <w:p w14:paraId="3DBD1EC9" w14:textId="77777777" w:rsidR="00F277C1" w:rsidRDefault="00F277C1">
      <w:pPr>
        <w:rPr>
          <w:rFonts w:ascii="Book Antiqua" w:hAnsi="Book Antiqua" w:cs="Arial"/>
          <w:sz w:val="24"/>
          <w:szCs w:val="24"/>
        </w:rPr>
      </w:pPr>
      <w:r>
        <w:rPr>
          <w:rFonts w:ascii="Book Antiqua" w:hAnsi="Book Antiqua" w:cs="Arial"/>
          <w:sz w:val="24"/>
          <w:szCs w:val="24"/>
        </w:rPr>
        <w:br w:type="page"/>
      </w:r>
    </w:p>
    <w:p w14:paraId="28B2DEA4" w14:textId="73F5F4CC" w:rsidR="00BD3B65" w:rsidRPr="00F277C1" w:rsidRDefault="00BD3B65" w:rsidP="005E456A">
      <w:pPr>
        <w:spacing w:after="0" w:line="360" w:lineRule="auto"/>
        <w:jc w:val="both"/>
        <w:rPr>
          <w:rFonts w:ascii="Book Antiqua" w:hAnsi="Book Antiqua" w:cs="Arial"/>
          <w:b/>
          <w:sz w:val="24"/>
          <w:szCs w:val="24"/>
        </w:rPr>
      </w:pPr>
      <w:r w:rsidRPr="00F277C1">
        <w:rPr>
          <w:rFonts w:ascii="Book Antiqua" w:hAnsi="Book Antiqua" w:cs="Arial"/>
          <w:b/>
          <w:sz w:val="24"/>
          <w:szCs w:val="24"/>
        </w:rPr>
        <w:t>Table 3 Summary of image-enhanced endoscopy in stomach</w:t>
      </w:r>
    </w:p>
    <w:tbl>
      <w:tblPr>
        <w:tblStyle w:val="TableGrid"/>
        <w:tblW w:w="969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3"/>
        <w:gridCol w:w="2423"/>
        <w:gridCol w:w="2423"/>
        <w:gridCol w:w="2424"/>
      </w:tblGrid>
      <w:tr w:rsidR="005E456A" w:rsidRPr="005E456A" w14:paraId="12A9F733" w14:textId="77777777" w:rsidTr="002A7973">
        <w:trPr>
          <w:trHeight w:val="615"/>
        </w:trPr>
        <w:tc>
          <w:tcPr>
            <w:tcW w:w="2423" w:type="dxa"/>
            <w:tcBorders>
              <w:top w:val="single" w:sz="4" w:space="0" w:color="auto"/>
              <w:bottom w:val="single" w:sz="4" w:space="0" w:color="auto"/>
            </w:tcBorders>
          </w:tcPr>
          <w:p w14:paraId="185B179E" w14:textId="77777777" w:rsidR="00BD3B65" w:rsidRPr="002A7973" w:rsidRDefault="00BD3B65" w:rsidP="005E456A">
            <w:pPr>
              <w:spacing w:line="360" w:lineRule="auto"/>
              <w:jc w:val="both"/>
              <w:rPr>
                <w:rFonts w:ascii="Book Antiqua" w:hAnsi="Book Antiqua"/>
                <w:b/>
                <w:sz w:val="24"/>
                <w:szCs w:val="24"/>
                <w:lang w:val="en-US"/>
              </w:rPr>
            </w:pPr>
            <w:r w:rsidRPr="002A7973">
              <w:rPr>
                <w:rFonts w:ascii="Book Antiqua" w:hAnsi="Book Antiqua"/>
                <w:b/>
                <w:sz w:val="24"/>
                <w:szCs w:val="24"/>
                <w:lang w:val="en-US"/>
              </w:rPr>
              <w:t>Technique</w:t>
            </w:r>
          </w:p>
        </w:tc>
        <w:tc>
          <w:tcPr>
            <w:tcW w:w="2423" w:type="dxa"/>
            <w:tcBorders>
              <w:top w:val="single" w:sz="4" w:space="0" w:color="auto"/>
              <w:bottom w:val="single" w:sz="4" w:space="0" w:color="auto"/>
            </w:tcBorders>
          </w:tcPr>
          <w:p w14:paraId="79A5C1DE" w14:textId="77777777" w:rsidR="00BD3B65" w:rsidRPr="002A7973" w:rsidRDefault="00BD3B65" w:rsidP="005E456A">
            <w:pPr>
              <w:spacing w:line="360" w:lineRule="auto"/>
              <w:jc w:val="both"/>
              <w:rPr>
                <w:rFonts w:ascii="Book Antiqua" w:hAnsi="Book Antiqua"/>
                <w:b/>
                <w:sz w:val="24"/>
                <w:szCs w:val="24"/>
                <w:lang w:val="en-US"/>
              </w:rPr>
            </w:pPr>
            <w:r w:rsidRPr="002A7973">
              <w:rPr>
                <w:rFonts w:ascii="Book Antiqua" w:hAnsi="Book Antiqua"/>
                <w:b/>
                <w:sz w:val="24"/>
                <w:szCs w:val="24"/>
                <w:lang w:val="en-US"/>
              </w:rPr>
              <w:t>Use</w:t>
            </w:r>
          </w:p>
        </w:tc>
        <w:tc>
          <w:tcPr>
            <w:tcW w:w="2423" w:type="dxa"/>
            <w:tcBorders>
              <w:top w:val="single" w:sz="4" w:space="0" w:color="auto"/>
              <w:bottom w:val="single" w:sz="4" w:space="0" w:color="auto"/>
            </w:tcBorders>
          </w:tcPr>
          <w:p w14:paraId="670B47B3" w14:textId="77777777" w:rsidR="00BD3B65" w:rsidRPr="002A7973" w:rsidRDefault="00BD3B65" w:rsidP="005E456A">
            <w:pPr>
              <w:spacing w:line="360" w:lineRule="auto"/>
              <w:jc w:val="both"/>
              <w:rPr>
                <w:rFonts w:ascii="Book Antiqua" w:hAnsi="Book Antiqua"/>
                <w:b/>
                <w:sz w:val="24"/>
                <w:szCs w:val="24"/>
                <w:lang w:val="en-US"/>
              </w:rPr>
            </w:pPr>
            <w:r w:rsidRPr="002A7973">
              <w:rPr>
                <w:rFonts w:ascii="Book Antiqua" w:hAnsi="Book Antiqua"/>
                <w:b/>
                <w:sz w:val="24"/>
                <w:szCs w:val="24"/>
                <w:lang w:val="en-US"/>
              </w:rPr>
              <w:t>Evidence</w:t>
            </w:r>
          </w:p>
        </w:tc>
        <w:tc>
          <w:tcPr>
            <w:tcW w:w="2424" w:type="dxa"/>
            <w:tcBorders>
              <w:top w:val="single" w:sz="4" w:space="0" w:color="auto"/>
              <w:bottom w:val="single" w:sz="4" w:space="0" w:color="auto"/>
            </w:tcBorders>
          </w:tcPr>
          <w:p w14:paraId="36CA8701" w14:textId="77777777" w:rsidR="00BD3B65" w:rsidRPr="002A7973" w:rsidRDefault="00BD3B65" w:rsidP="005E456A">
            <w:pPr>
              <w:spacing w:line="360" w:lineRule="auto"/>
              <w:jc w:val="both"/>
              <w:rPr>
                <w:rFonts w:ascii="Book Antiqua" w:hAnsi="Book Antiqua"/>
                <w:b/>
                <w:sz w:val="24"/>
                <w:szCs w:val="24"/>
                <w:lang w:val="en-US"/>
              </w:rPr>
            </w:pPr>
            <w:r w:rsidRPr="002A7973">
              <w:rPr>
                <w:rFonts w:ascii="Book Antiqua" w:hAnsi="Book Antiqua"/>
                <w:b/>
                <w:sz w:val="24"/>
                <w:szCs w:val="24"/>
                <w:lang w:val="en-US"/>
              </w:rPr>
              <w:t>Remarks</w:t>
            </w:r>
          </w:p>
        </w:tc>
      </w:tr>
      <w:tr w:rsidR="005E456A" w:rsidRPr="005E456A" w14:paraId="53B2BC20" w14:textId="77777777" w:rsidTr="002A7973">
        <w:trPr>
          <w:trHeight w:val="1232"/>
        </w:trPr>
        <w:tc>
          <w:tcPr>
            <w:tcW w:w="2423" w:type="dxa"/>
            <w:tcBorders>
              <w:top w:val="single" w:sz="4" w:space="0" w:color="auto"/>
            </w:tcBorders>
          </w:tcPr>
          <w:p w14:paraId="1D7D1E18"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High-definition WLE</w:t>
            </w:r>
          </w:p>
        </w:tc>
        <w:tc>
          <w:tcPr>
            <w:tcW w:w="2423" w:type="dxa"/>
            <w:tcBorders>
              <w:top w:val="single" w:sz="4" w:space="0" w:color="auto"/>
            </w:tcBorders>
          </w:tcPr>
          <w:p w14:paraId="63F84BE5"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Standard of care for initial examination of gastric mucosa</w:t>
            </w:r>
          </w:p>
        </w:tc>
        <w:tc>
          <w:tcPr>
            <w:tcW w:w="2423" w:type="dxa"/>
            <w:tcBorders>
              <w:top w:val="single" w:sz="4" w:space="0" w:color="auto"/>
            </w:tcBorders>
          </w:tcPr>
          <w:p w14:paraId="47846D7A"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Not available</w:t>
            </w:r>
          </w:p>
        </w:tc>
        <w:tc>
          <w:tcPr>
            <w:tcW w:w="2424" w:type="dxa"/>
            <w:tcBorders>
              <w:top w:val="single" w:sz="4" w:space="0" w:color="auto"/>
            </w:tcBorders>
          </w:tcPr>
          <w:p w14:paraId="3E68C0A1" w14:textId="77777777" w:rsidR="00BD3B65" w:rsidRPr="005E456A" w:rsidRDefault="00BD3B65" w:rsidP="005E456A">
            <w:pPr>
              <w:spacing w:line="360" w:lineRule="auto"/>
              <w:jc w:val="both"/>
              <w:rPr>
                <w:rFonts w:ascii="Book Antiqua" w:hAnsi="Book Antiqua"/>
                <w:sz w:val="24"/>
                <w:szCs w:val="24"/>
                <w:lang w:val="en-US"/>
              </w:rPr>
            </w:pPr>
          </w:p>
        </w:tc>
      </w:tr>
      <w:tr w:rsidR="005E456A" w:rsidRPr="005E456A" w14:paraId="1DDEAE9B" w14:textId="77777777" w:rsidTr="002A7973">
        <w:trPr>
          <w:trHeight w:val="491"/>
        </w:trPr>
        <w:tc>
          <w:tcPr>
            <w:tcW w:w="2423" w:type="dxa"/>
          </w:tcPr>
          <w:p w14:paraId="0AE7F716"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WLE with magnification</w:t>
            </w:r>
          </w:p>
        </w:tc>
        <w:tc>
          <w:tcPr>
            <w:tcW w:w="2423" w:type="dxa"/>
          </w:tcPr>
          <w:p w14:paraId="7FFECA33"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 xml:space="preserve">Helpful in describing normal mucosal patterns in corpus and antrum. </w:t>
            </w:r>
          </w:p>
          <w:p w14:paraId="6CA0041B"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Appears useful in predicting real-time diagnosis of H pylori infection.</w:t>
            </w:r>
          </w:p>
          <w:p w14:paraId="51CA6A22" w14:textId="1B7A70B5"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Better than W</w:t>
            </w:r>
            <w:r w:rsidR="00526459">
              <w:rPr>
                <w:rFonts w:ascii="Book Antiqua" w:hAnsi="Book Antiqua"/>
                <w:sz w:val="24"/>
                <w:szCs w:val="24"/>
                <w:lang w:val="en-US"/>
              </w:rPr>
              <w:t>LE for characterization of EGCs</w:t>
            </w:r>
          </w:p>
          <w:p w14:paraId="5D566A99" w14:textId="77777777" w:rsidR="00BD3B65" w:rsidRPr="005E456A" w:rsidRDefault="00BD3B65" w:rsidP="005E456A">
            <w:pPr>
              <w:spacing w:line="360" w:lineRule="auto"/>
              <w:jc w:val="both"/>
              <w:rPr>
                <w:rFonts w:ascii="Book Antiqua" w:hAnsi="Book Antiqua"/>
                <w:sz w:val="24"/>
                <w:szCs w:val="24"/>
                <w:lang w:val="en-US"/>
              </w:rPr>
            </w:pPr>
          </w:p>
        </w:tc>
        <w:tc>
          <w:tcPr>
            <w:tcW w:w="2423" w:type="dxa"/>
          </w:tcPr>
          <w:p w14:paraId="57445E06"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Multiple prospective comparative studies for identifying H pylori infection and for characterization of EGCs</w:t>
            </w:r>
          </w:p>
        </w:tc>
        <w:tc>
          <w:tcPr>
            <w:tcW w:w="2424" w:type="dxa"/>
          </w:tcPr>
          <w:p w14:paraId="74D80257" w14:textId="2EDBC641"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A variety of classifications in describing the normal and abnormal mucosal pattern makes interpretatio</w:t>
            </w:r>
            <w:r w:rsidR="001A2893">
              <w:rPr>
                <w:rFonts w:ascii="Book Antiqua" w:hAnsi="Book Antiqua"/>
                <w:sz w:val="24"/>
                <w:szCs w:val="24"/>
                <w:lang w:val="en-US"/>
              </w:rPr>
              <w:t>n difficult for widespread use</w:t>
            </w:r>
          </w:p>
        </w:tc>
      </w:tr>
      <w:tr w:rsidR="005E456A" w:rsidRPr="005E456A" w14:paraId="14532366" w14:textId="77777777" w:rsidTr="002A7973">
        <w:trPr>
          <w:trHeight w:val="508"/>
        </w:trPr>
        <w:tc>
          <w:tcPr>
            <w:tcW w:w="2423" w:type="dxa"/>
          </w:tcPr>
          <w:p w14:paraId="02DD3279"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Dye-based chromoendoscopy</w:t>
            </w:r>
          </w:p>
        </w:tc>
        <w:tc>
          <w:tcPr>
            <w:tcW w:w="2423" w:type="dxa"/>
          </w:tcPr>
          <w:p w14:paraId="7AE60E57"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Traditionally used for demarcation of EGC before resection</w:t>
            </w:r>
          </w:p>
          <w:p w14:paraId="66C11D43" w14:textId="77777777" w:rsidR="00BD3B65" w:rsidRPr="005E456A" w:rsidRDefault="00BD3B65" w:rsidP="005E456A">
            <w:pPr>
              <w:spacing w:line="360" w:lineRule="auto"/>
              <w:jc w:val="both"/>
              <w:rPr>
                <w:rFonts w:ascii="Book Antiqua" w:hAnsi="Book Antiqua"/>
                <w:sz w:val="24"/>
                <w:szCs w:val="24"/>
                <w:lang w:val="en-US"/>
              </w:rPr>
            </w:pPr>
          </w:p>
          <w:p w14:paraId="198C7546" w14:textId="77777777" w:rsidR="00BD3B65" w:rsidRPr="005E456A" w:rsidRDefault="00BD3B65" w:rsidP="005E456A">
            <w:pPr>
              <w:spacing w:line="360" w:lineRule="auto"/>
              <w:jc w:val="both"/>
              <w:rPr>
                <w:rFonts w:ascii="Book Antiqua" w:hAnsi="Book Antiqua"/>
                <w:sz w:val="24"/>
                <w:szCs w:val="24"/>
                <w:lang w:val="en-US"/>
              </w:rPr>
            </w:pPr>
          </w:p>
        </w:tc>
        <w:tc>
          <w:tcPr>
            <w:tcW w:w="2423" w:type="dxa"/>
          </w:tcPr>
          <w:p w14:paraId="3C7BC16B"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Few prospective studies are available, and more data will be needed</w:t>
            </w:r>
          </w:p>
        </w:tc>
        <w:tc>
          <w:tcPr>
            <w:tcW w:w="2424" w:type="dxa"/>
          </w:tcPr>
          <w:p w14:paraId="72B7E82E"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There are heterogeneity in the types of stain, technique of staining, classification in defining mucosal patterns</w:t>
            </w:r>
          </w:p>
        </w:tc>
      </w:tr>
      <w:tr w:rsidR="005E456A" w:rsidRPr="005E456A" w14:paraId="461606A7" w14:textId="77777777" w:rsidTr="002A7973">
        <w:trPr>
          <w:trHeight w:val="508"/>
        </w:trPr>
        <w:tc>
          <w:tcPr>
            <w:tcW w:w="2423" w:type="dxa"/>
          </w:tcPr>
          <w:p w14:paraId="5481CF1A"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Narrow Band Imaging</w:t>
            </w:r>
          </w:p>
        </w:tc>
        <w:tc>
          <w:tcPr>
            <w:tcW w:w="2423" w:type="dxa"/>
          </w:tcPr>
          <w:p w14:paraId="12F30A7D" w14:textId="37CA084D"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Good for characterization of a focal lesi</w:t>
            </w:r>
            <w:r w:rsidR="00E26083">
              <w:rPr>
                <w:rFonts w:ascii="Book Antiqua" w:hAnsi="Book Antiqua"/>
                <w:sz w:val="24"/>
                <w:szCs w:val="24"/>
                <w:lang w:val="en-US"/>
              </w:rPr>
              <w:t>on detected on WLE</w:t>
            </w:r>
          </w:p>
          <w:p w14:paraId="10E6226C" w14:textId="77777777" w:rsidR="00BD3B65" w:rsidRPr="005E456A" w:rsidRDefault="00BD3B65" w:rsidP="005E456A">
            <w:pPr>
              <w:spacing w:line="360" w:lineRule="auto"/>
              <w:jc w:val="both"/>
              <w:rPr>
                <w:rFonts w:ascii="Book Antiqua" w:hAnsi="Book Antiqua"/>
                <w:sz w:val="24"/>
                <w:szCs w:val="24"/>
                <w:lang w:val="en-US"/>
              </w:rPr>
            </w:pPr>
          </w:p>
          <w:p w14:paraId="67C347DF" w14:textId="6C352EA3"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 xml:space="preserve">May be useful for </w:t>
            </w:r>
            <w:r w:rsidR="00526459">
              <w:rPr>
                <w:rFonts w:ascii="Book Antiqua" w:hAnsi="Book Antiqua"/>
                <w:sz w:val="24"/>
                <w:szCs w:val="24"/>
                <w:lang w:val="en-US"/>
              </w:rPr>
              <w:t xml:space="preserve">real-time diagnosis of </w:t>
            </w:r>
            <w:r w:rsidR="00526459" w:rsidRPr="00526459">
              <w:rPr>
                <w:rFonts w:ascii="Book Antiqua" w:hAnsi="Book Antiqua"/>
                <w:i/>
                <w:sz w:val="24"/>
                <w:szCs w:val="24"/>
                <w:lang w:val="en-US"/>
              </w:rPr>
              <w:t>H pylori</w:t>
            </w:r>
          </w:p>
          <w:p w14:paraId="49A93085" w14:textId="77777777" w:rsidR="00BD3B65" w:rsidRPr="005E456A" w:rsidRDefault="00BD3B65" w:rsidP="005E456A">
            <w:pPr>
              <w:spacing w:line="360" w:lineRule="auto"/>
              <w:jc w:val="both"/>
              <w:rPr>
                <w:rFonts w:ascii="Book Antiqua" w:hAnsi="Book Antiqua"/>
                <w:sz w:val="24"/>
                <w:szCs w:val="24"/>
                <w:lang w:val="en-US"/>
              </w:rPr>
            </w:pPr>
          </w:p>
          <w:p w14:paraId="7AB7377A" w14:textId="2B67419D"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Appears reliable for dia</w:t>
            </w:r>
            <w:r w:rsidR="00C222B3">
              <w:rPr>
                <w:rFonts w:ascii="Book Antiqua" w:hAnsi="Book Antiqua"/>
                <w:sz w:val="24"/>
                <w:szCs w:val="24"/>
                <w:lang w:val="en-US"/>
              </w:rPr>
              <w:t>gnosis of intestinal metaplasia</w:t>
            </w:r>
          </w:p>
          <w:p w14:paraId="61D8495E" w14:textId="77777777" w:rsidR="00BD3B65" w:rsidRPr="005E456A" w:rsidRDefault="00BD3B65" w:rsidP="005E456A">
            <w:pPr>
              <w:spacing w:line="360" w:lineRule="auto"/>
              <w:jc w:val="both"/>
              <w:rPr>
                <w:rFonts w:ascii="Book Antiqua" w:hAnsi="Book Antiqua"/>
                <w:sz w:val="24"/>
                <w:szCs w:val="24"/>
                <w:lang w:val="en-US"/>
              </w:rPr>
            </w:pPr>
          </w:p>
          <w:p w14:paraId="41837357" w14:textId="440C189F"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High specifici</w:t>
            </w:r>
            <w:r w:rsidR="00C222B3">
              <w:rPr>
                <w:rFonts w:ascii="Book Antiqua" w:hAnsi="Book Antiqua"/>
                <w:sz w:val="24"/>
                <w:szCs w:val="24"/>
                <w:lang w:val="en-US"/>
              </w:rPr>
              <w:t>ty for characterization of EGCs</w:t>
            </w:r>
          </w:p>
          <w:p w14:paraId="6AECA26D" w14:textId="77777777" w:rsidR="00BD3B65" w:rsidRPr="005E456A" w:rsidRDefault="00BD3B65" w:rsidP="005E456A">
            <w:pPr>
              <w:spacing w:line="360" w:lineRule="auto"/>
              <w:jc w:val="both"/>
              <w:rPr>
                <w:rFonts w:ascii="Book Antiqua" w:hAnsi="Book Antiqua"/>
                <w:sz w:val="24"/>
                <w:szCs w:val="24"/>
                <w:lang w:val="en-US"/>
              </w:rPr>
            </w:pPr>
          </w:p>
          <w:p w14:paraId="132016ED" w14:textId="26A3E660"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May be useful for prediction of histological differentiation, prediction of depth of invasion, and in determinati</w:t>
            </w:r>
            <w:r w:rsidR="00C222B3">
              <w:rPr>
                <w:rFonts w:ascii="Book Antiqua" w:hAnsi="Book Antiqua"/>
                <w:sz w:val="24"/>
                <w:szCs w:val="24"/>
                <w:lang w:val="en-US"/>
              </w:rPr>
              <w:t>on of horizontal extent of EGCs</w:t>
            </w:r>
          </w:p>
          <w:p w14:paraId="046BB92E" w14:textId="77777777" w:rsidR="00BD3B65" w:rsidRPr="005E456A" w:rsidRDefault="00BD3B65" w:rsidP="005E456A">
            <w:pPr>
              <w:spacing w:line="360" w:lineRule="auto"/>
              <w:jc w:val="both"/>
              <w:rPr>
                <w:rFonts w:ascii="Book Antiqua" w:hAnsi="Book Antiqua"/>
                <w:sz w:val="24"/>
                <w:szCs w:val="24"/>
                <w:lang w:val="en-US"/>
              </w:rPr>
            </w:pPr>
          </w:p>
        </w:tc>
        <w:tc>
          <w:tcPr>
            <w:tcW w:w="2423" w:type="dxa"/>
          </w:tcPr>
          <w:p w14:paraId="33ABD1C2" w14:textId="7B4317C9"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Multiple prospective comparative study show good evidence in support of NBI for diagnosis of intestinal metaplas</w:t>
            </w:r>
            <w:r w:rsidR="00E26083">
              <w:rPr>
                <w:rFonts w:ascii="Book Antiqua" w:hAnsi="Book Antiqua"/>
                <w:sz w:val="24"/>
                <w:szCs w:val="24"/>
                <w:lang w:val="en-US"/>
              </w:rPr>
              <w:t>ia and characterization of EGCs</w:t>
            </w:r>
          </w:p>
          <w:p w14:paraId="619AD438" w14:textId="77777777" w:rsidR="00BD3B65" w:rsidRPr="005E456A" w:rsidRDefault="00BD3B65" w:rsidP="005E456A">
            <w:pPr>
              <w:spacing w:line="360" w:lineRule="auto"/>
              <w:jc w:val="both"/>
              <w:rPr>
                <w:rFonts w:ascii="Book Antiqua" w:hAnsi="Book Antiqua"/>
                <w:sz w:val="24"/>
                <w:szCs w:val="24"/>
                <w:lang w:val="en-US"/>
              </w:rPr>
            </w:pPr>
          </w:p>
          <w:p w14:paraId="0BCC52E5" w14:textId="77777777" w:rsidR="00BD3B65" w:rsidRPr="005E456A" w:rsidRDefault="00BD3B65" w:rsidP="005E456A">
            <w:pPr>
              <w:spacing w:line="360" w:lineRule="auto"/>
              <w:jc w:val="both"/>
              <w:rPr>
                <w:rFonts w:ascii="Book Antiqua" w:hAnsi="Book Antiqua"/>
                <w:sz w:val="24"/>
                <w:szCs w:val="24"/>
                <w:lang w:val="en-US"/>
              </w:rPr>
            </w:pPr>
          </w:p>
          <w:p w14:paraId="3894D9E8"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More evidence will be needed for other indications</w:t>
            </w:r>
          </w:p>
        </w:tc>
        <w:tc>
          <w:tcPr>
            <w:tcW w:w="2424" w:type="dxa"/>
          </w:tcPr>
          <w:p w14:paraId="41787465" w14:textId="002B28C4"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Identifying intestinal met</w:t>
            </w:r>
            <w:r w:rsidR="00E26083">
              <w:rPr>
                <w:rFonts w:ascii="Book Antiqua" w:hAnsi="Book Antiqua"/>
                <w:sz w:val="24"/>
                <w:szCs w:val="24"/>
                <w:lang w:val="en-US"/>
              </w:rPr>
              <w:t>aplasia appears straightforward</w:t>
            </w:r>
          </w:p>
          <w:p w14:paraId="45161BBC" w14:textId="77777777" w:rsidR="00BD3B65" w:rsidRPr="005E456A" w:rsidRDefault="00BD3B65" w:rsidP="005E456A">
            <w:pPr>
              <w:spacing w:line="360" w:lineRule="auto"/>
              <w:jc w:val="both"/>
              <w:rPr>
                <w:rFonts w:ascii="Book Antiqua" w:hAnsi="Book Antiqua"/>
                <w:sz w:val="24"/>
                <w:szCs w:val="24"/>
                <w:lang w:val="en-US"/>
              </w:rPr>
            </w:pPr>
          </w:p>
          <w:p w14:paraId="7C32DB5A"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A variety of classifications for different mucosal pattern bring difficulty in generalization of NBI</w:t>
            </w:r>
          </w:p>
        </w:tc>
      </w:tr>
      <w:tr w:rsidR="005E456A" w:rsidRPr="005E456A" w14:paraId="3A912726" w14:textId="77777777" w:rsidTr="002A7973">
        <w:trPr>
          <w:trHeight w:val="508"/>
        </w:trPr>
        <w:tc>
          <w:tcPr>
            <w:tcW w:w="2423" w:type="dxa"/>
          </w:tcPr>
          <w:p w14:paraId="560A115A"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FICE</w:t>
            </w:r>
          </w:p>
        </w:tc>
        <w:tc>
          <w:tcPr>
            <w:tcW w:w="2423" w:type="dxa"/>
          </w:tcPr>
          <w:p w14:paraId="5B489DFC"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May be useful for diagnosis of focal gastric lesions</w:t>
            </w:r>
          </w:p>
          <w:p w14:paraId="0BE1A2CB" w14:textId="77777777" w:rsidR="00BD3B65" w:rsidRPr="005E456A" w:rsidRDefault="00BD3B65" w:rsidP="005E456A">
            <w:pPr>
              <w:spacing w:line="360" w:lineRule="auto"/>
              <w:jc w:val="both"/>
              <w:rPr>
                <w:rFonts w:ascii="Book Antiqua" w:hAnsi="Book Antiqua"/>
                <w:sz w:val="24"/>
                <w:szCs w:val="24"/>
                <w:lang w:val="en-US"/>
              </w:rPr>
            </w:pPr>
          </w:p>
        </w:tc>
        <w:tc>
          <w:tcPr>
            <w:tcW w:w="2423" w:type="dxa"/>
          </w:tcPr>
          <w:p w14:paraId="6A2EFBD8"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Not much comparative prospective data is available</w:t>
            </w:r>
          </w:p>
          <w:p w14:paraId="04DCC9CE" w14:textId="77777777" w:rsidR="00BD3B65" w:rsidRPr="005E456A" w:rsidRDefault="00BD3B65" w:rsidP="005E456A">
            <w:pPr>
              <w:spacing w:line="360" w:lineRule="auto"/>
              <w:jc w:val="both"/>
              <w:rPr>
                <w:rFonts w:ascii="Book Antiqua" w:hAnsi="Book Antiqua"/>
                <w:sz w:val="24"/>
                <w:szCs w:val="24"/>
                <w:lang w:val="en-US"/>
              </w:rPr>
            </w:pPr>
          </w:p>
        </w:tc>
        <w:tc>
          <w:tcPr>
            <w:tcW w:w="2424" w:type="dxa"/>
          </w:tcPr>
          <w:p w14:paraId="253698D0" w14:textId="77777777" w:rsidR="00BD3B65" w:rsidRPr="005E456A" w:rsidRDefault="00BD3B65" w:rsidP="005E456A">
            <w:pPr>
              <w:spacing w:line="360" w:lineRule="auto"/>
              <w:jc w:val="both"/>
              <w:rPr>
                <w:rFonts w:ascii="Book Antiqua" w:hAnsi="Book Antiqua"/>
                <w:sz w:val="24"/>
                <w:szCs w:val="24"/>
                <w:lang w:val="en-US"/>
              </w:rPr>
            </w:pPr>
          </w:p>
        </w:tc>
      </w:tr>
      <w:tr w:rsidR="005E456A" w:rsidRPr="005E456A" w14:paraId="039C3353" w14:textId="77777777" w:rsidTr="002A7973">
        <w:trPr>
          <w:trHeight w:val="508"/>
        </w:trPr>
        <w:tc>
          <w:tcPr>
            <w:tcW w:w="2423" w:type="dxa"/>
          </w:tcPr>
          <w:p w14:paraId="6D97B07F"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I-SCAN</w:t>
            </w:r>
          </w:p>
        </w:tc>
        <w:tc>
          <w:tcPr>
            <w:tcW w:w="2423" w:type="dxa"/>
          </w:tcPr>
          <w:p w14:paraId="6F5AF437" w14:textId="77777777" w:rsidR="00BD3B65" w:rsidRPr="005E456A" w:rsidRDefault="00BD3B65" w:rsidP="005E456A">
            <w:pPr>
              <w:spacing w:line="360" w:lineRule="auto"/>
              <w:jc w:val="both"/>
              <w:rPr>
                <w:rFonts w:ascii="Book Antiqua" w:hAnsi="Book Antiqua"/>
                <w:sz w:val="24"/>
                <w:szCs w:val="24"/>
                <w:lang w:val="en-US"/>
              </w:rPr>
            </w:pPr>
          </w:p>
        </w:tc>
        <w:tc>
          <w:tcPr>
            <w:tcW w:w="2423" w:type="dxa"/>
          </w:tcPr>
          <w:p w14:paraId="38620446" w14:textId="78C9B50E" w:rsidR="00BD3B65" w:rsidRPr="00C222B3"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No comparative data for use of I-SCAN in stomach</w:t>
            </w:r>
          </w:p>
        </w:tc>
        <w:tc>
          <w:tcPr>
            <w:tcW w:w="2424" w:type="dxa"/>
          </w:tcPr>
          <w:p w14:paraId="234AB205" w14:textId="77777777" w:rsidR="00BD3B65" w:rsidRPr="005E456A" w:rsidRDefault="00BD3B65" w:rsidP="005E456A">
            <w:pPr>
              <w:spacing w:line="360" w:lineRule="auto"/>
              <w:jc w:val="both"/>
              <w:rPr>
                <w:rFonts w:ascii="Book Antiqua" w:hAnsi="Book Antiqua"/>
                <w:sz w:val="24"/>
                <w:szCs w:val="24"/>
                <w:lang w:val="en-US"/>
              </w:rPr>
            </w:pPr>
          </w:p>
        </w:tc>
      </w:tr>
      <w:tr w:rsidR="005E456A" w:rsidRPr="005E456A" w14:paraId="73D0FDEE" w14:textId="77777777" w:rsidTr="002A7973">
        <w:trPr>
          <w:trHeight w:val="508"/>
        </w:trPr>
        <w:tc>
          <w:tcPr>
            <w:tcW w:w="2423" w:type="dxa"/>
          </w:tcPr>
          <w:p w14:paraId="1A69B1E6"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Blue-Laser Imaging</w:t>
            </w:r>
          </w:p>
        </w:tc>
        <w:tc>
          <w:tcPr>
            <w:tcW w:w="2423" w:type="dxa"/>
          </w:tcPr>
          <w:p w14:paraId="63DA879D"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Is expected to be used in similar manner as NBI</w:t>
            </w:r>
          </w:p>
        </w:tc>
        <w:tc>
          <w:tcPr>
            <w:tcW w:w="2423" w:type="dxa"/>
          </w:tcPr>
          <w:p w14:paraId="519181AD" w14:textId="77777777"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Data mainly based on case series rather than comparative studies</w:t>
            </w:r>
          </w:p>
        </w:tc>
        <w:tc>
          <w:tcPr>
            <w:tcW w:w="2424" w:type="dxa"/>
          </w:tcPr>
          <w:p w14:paraId="5628BC69" w14:textId="0A95710C" w:rsidR="00BD3B65" w:rsidRPr="005E456A" w:rsidRDefault="00BD3B65" w:rsidP="005E456A">
            <w:pPr>
              <w:spacing w:line="360" w:lineRule="auto"/>
              <w:jc w:val="both"/>
              <w:rPr>
                <w:rFonts w:ascii="Book Antiqua" w:hAnsi="Book Antiqua"/>
                <w:sz w:val="24"/>
                <w:szCs w:val="24"/>
                <w:lang w:val="en-US"/>
              </w:rPr>
            </w:pPr>
            <w:r w:rsidRPr="005E456A">
              <w:rPr>
                <w:rFonts w:ascii="Book Antiqua" w:hAnsi="Book Antiqua"/>
                <w:sz w:val="24"/>
                <w:szCs w:val="24"/>
                <w:lang w:val="en-US"/>
              </w:rPr>
              <w:t>Based on anecdotal experience it is similar to NBI and therefore would be expec</w:t>
            </w:r>
            <w:r w:rsidR="009A6E8A">
              <w:rPr>
                <w:rFonts w:ascii="Book Antiqua" w:hAnsi="Book Antiqua"/>
                <w:sz w:val="24"/>
                <w:szCs w:val="24"/>
                <w:lang w:val="en-US"/>
              </w:rPr>
              <w:t>ted to provide similar outcomes</w:t>
            </w:r>
          </w:p>
        </w:tc>
      </w:tr>
    </w:tbl>
    <w:p w14:paraId="2F495107" w14:textId="3BD90112" w:rsidR="00A003CF" w:rsidRDefault="00BD3B65" w:rsidP="005E456A">
      <w:pPr>
        <w:spacing w:after="0" w:line="360" w:lineRule="auto"/>
        <w:jc w:val="both"/>
        <w:rPr>
          <w:rFonts w:ascii="Book Antiqua" w:hAnsi="Book Antiqua"/>
          <w:sz w:val="24"/>
          <w:szCs w:val="24"/>
          <w:lang w:val="en-US"/>
        </w:rPr>
      </w:pPr>
      <w:r w:rsidRPr="005E456A">
        <w:rPr>
          <w:rFonts w:ascii="Book Antiqua" w:hAnsi="Book Antiqua"/>
          <w:sz w:val="24"/>
          <w:szCs w:val="24"/>
          <w:lang w:val="en-US"/>
        </w:rPr>
        <w:t>WLE</w:t>
      </w:r>
      <w:r w:rsidR="00C222B3">
        <w:rPr>
          <w:rFonts w:ascii="Book Antiqua" w:hAnsi="Book Antiqua" w:hint="eastAsia"/>
          <w:sz w:val="24"/>
          <w:szCs w:val="24"/>
          <w:lang w:val="en-US"/>
        </w:rPr>
        <w:t>:</w:t>
      </w:r>
      <w:r w:rsidRPr="005E456A">
        <w:rPr>
          <w:rFonts w:ascii="Book Antiqua" w:hAnsi="Book Antiqua"/>
          <w:sz w:val="24"/>
          <w:szCs w:val="24"/>
          <w:lang w:val="en-US"/>
        </w:rPr>
        <w:t xml:space="preserve"> </w:t>
      </w:r>
      <w:r w:rsidR="00C222B3" w:rsidRPr="005E456A">
        <w:rPr>
          <w:rFonts w:ascii="Book Antiqua" w:hAnsi="Book Antiqua"/>
          <w:sz w:val="24"/>
          <w:szCs w:val="24"/>
          <w:lang w:val="en-US"/>
        </w:rPr>
        <w:t>W</w:t>
      </w:r>
      <w:r w:rsidRPr="005E456A">
        <w:rPr>
          <w:rFonts w:ascii="Book Antiqua" w:hAnsi="Book Antiqua"/>
          <w:sz w:val="24"/>
          <w:szCs w:val="24"/>
          <w:lang w:val="en-US"/>
        </w:rPr>
        <w:t>hite light endoscopy; EGC</w:t>
      </w:r>
      <w:r w:rsidR="00C222B3">
        <w:rPr>
          <w:rFonts w:ascii="Book Antiqua" w:hAnsi="Book Antiqua" w:hint="eastAsia"/>
          <w:sz w:val="24"/>
          <w:szCs w:val="24"/>
          <w:lang w:val="en-US"/>
        </w:rPr>
        <w:t>:</w:t>
      </w:r>
      <w:r w:rsidRPr="005E456A">
        <w:rPr>
          <w:rFonts w:ascii="Book Antiqua" w:hAnsi="Book Antiqua"/>
          <w:sz w:val="24"/>
          <w:szCs w:val="24"/>
          <w:lang w:val="en-US"/>
        </w:rPr>
        <w:t xml:space="preserve"> </w:t>
      </w:r>
      <w:r w:rsidR="00C222B3" w:rsidRPr="005E456A">
        <w:rPr>
          <w:rFonts w:ascii="Book Antiqua" w:hAnsi="Book Antiqua"/>
          <w:sz w:val="24"/>
          <w:szCs w:val="24"/>
          <w:lang w:val="en-US"/>
        </w:rPr>
        <w:t>E</w:t>
      </w:r>
      <w:r w:rsidRPr="005E456A">
        <w:rPr>
          <w:rFonts w:ascii="Book Antiqua" w:hAnsi="Book Antiqua"/>
          <w:sz w:val="24"/>
          <w:szCs w:val="24"/>
          <w:lang w:val="en-US"/>
        </w:rPr>
        <w:t>arly gastric cancer; NBI</w:t>
      </w:r>
      <w:r w:rsidR="00C222B3">
        <w:rPr>
          <w:rFonts w:ascii="Book Antiqua" w:hAnsi="Book Antiqua" w:hint="eastAsia"/>
          <w:sz w:val="24"/>
          <w:szCs w:val="24"/>
          <w:lang w:val="en-US"/>
        </w:rPr>
        <w:t>:</w:t>
      </w:r>
      <w:r w:rsidRPr="005E456A">
        <w:rPr>
          <w:rFonts w:ascii="Book Antiqua" w:hAnsi="Book Antiqua"/>
          <w:sz w:val="24"/>
          <w:szCs w:val="24"/>
          <w:lang w:val="en-US"/>
        </w:rPr>
        <w:t xml:space="preserve"> </w:t>
      </w:r>
      <w:r w:rsidR="00C222B3" w:rsidRPr="005E456A">
        <w:rPr>
          <w:rFonts w:ascii="Book Antiqua" w:hAnsi="Book Antiqua"/>
          <w:sz w:val="24"/>
          <w:szCs w:val="24"/>
          <w:lang w:val="en-US"/>
        </w:rPr>
        <w:t>N</w:t>
      </w:r>
      <w:r w:rsidR="00C4696A">
        <w:rPr>
          <w:rFonts w:ascii="Book Antiqua" w:hAnsi="Book Antiqua"/>
          <w:sz w:val="24"/>
          <w:szCs w:val="24"/>
          <w:lang w:val="en-US"/>
        </w:rPr>
        <w:t>arrow-band imaging;</w:t>
      </w:r>
      <w:r w:rsidR="00C4696A">
        <w:rPr>
          <w:rFonts w:ascii="Book Antiqua" w:hAnsi="Book Antiqua" w:hint="eastAsia"/>
          <w:sz w:val="24"/>
          <w:szCs w:val="24"/>
          <w:lang w:val="en-US"/>
        </w:rPr>
        <w:t xml:space="preserve"> </w:t>
      </w:r>
      <w:r w:rsidRPr="005E456A">
        <w:rPr>
          <w:rFonts w:ascii="Book Antiqua" w:hAnsi="Book Antiqua"/>
          <w:sz w:val="24"/>
          <w:szCs w:val="24"/>
          <w:lang w:val="en-US"/>
        </w:rPr>
        <w:t>FICE</w:t>
      </w:r>
      <w:r w:rsidR="00C222B3">
        <w:rPr>
          <w:rFonts w:ascii="Book Antiqua" w:hAnsi="Book Antiqua" w:hint="eastAsia"/>
          <w:sz w:val="24"/>
          <w:szCs w:val="24"/>
          <w:lang w:val="en-US"/>
        </w:rPr>
        <w:t>:</w:t>
      </w:r>
      <w:r w:rsidRPr="005E456A">
        <w:rPr>
          <w:rFonts w:ascii="Book Antiqua" w:hAnsi="Book Antiqua"/>
          <w:sz w:val="24"/>
          <w:szCs w:val="24"/>
          <w:lang w:val="en-US"/>
        </w:rPr>
        <w:t xml:space="preserve"> </w:t>
      </w:r>
      <w:r w:rsidR="00C222B3" w:rsidRPr="005E456A">
        <w:rPr>
          <w:rFonts w:ascii="Book Antiqua" w:hAnsi="Book Antiqua"/>
          <w:sz w:val="24"/>
          <w:szCs w:val="24"/>
          <w:lang w:val="en-US"/>
        </w:rPr>
        <w:t>F</w:t>
      </w:r>
      <w:r w:rsidRPr="005E456A">
        <w:rPr>
          <w:rFonts w:ascii="Book Antiqua" w:hAnsi="Book Antiqua"/>
          <w:sz w:val="24"/>
          <w:szCs w:val="24"/>
          <w:lang w:val="en-US"/>
        </w:rPr>
        <w:t>lexible spectral imaging color enhancement</w:t>
      </w:r>
      <w:r w:rsidR="00C222B3">
        <w:rPr>
          <w:rFonts w:ascii="Book Antiqua" w:hAnsi="Book Antiqua" w:hint="eastAsia"/>
          <w:sz w:val="24"/>
          <w:szCs w:val="24"/>
          <w:lang w:val="en-US"/>
        </w:rPr>
        <w:t>.</w:t>
      </w:r>
    </w:p>
    <w:p w14:paraId="590BA21D" w14:textId="77777777" w:rsidR="00A003CF" w:rsidRDefault="00A003CF">
      <w:pPr>
        <w:rPr>
          <w:rFonts w:ascii="Book Antiqua" w:hAnsi="Book Antiqua"/>
          <w:sz w:val="24"/>
          <w:szCs w:val="24"/>
          <w:lang w:val="en-US"/>
        </w:rPr>
      </w:pPr>
      <w:r>
        <w:rPr>
          <w:rFonts w:ascii="Book Antiqua" w:hAnsi="Book Antiqua"/>
          <w:sz w:val="24"/>
          <w:szCs w:val="24"/>
          <w:lang w:val="en-US"/>
        </w:rPr>
        <w:br w:type="page"/>
      </w:r>
    </w:p>
    <w:p w14:paraId="082E822C" w14:textId="146BADA5" w:rsidR="00BC27C7" w:rsidRDefault="00BC27C7" w:rsidP="00A003CF">
      <w:pPr>
        <w:spacing w:after="0" w:line="360" w:lineRule="auto"/>
        <w:jc w:val="both"/>
        <w:rPr>
          <w:rFonts w:ascii="Book Antiqua" w:hAnsi="Book Antiqua" w:cs="Arial"/>
          <w:b/>
          <w:sz w:val="24"/>
          <w:szCs w:val="24"/>
        </w:rPr>
      </w:pPr>
      <w:r>
        <w:rPr>
          <w:rFonts w:ascii="Book Antiqua" w:hAnsi="Book Antiqua" w:cs="Arial"/>
          <w:b/>
          <w:noProof/>
          <w:sz w:val="24"/>
          <w:szCs w:val="24"/>
          <w:lang w:val="en-US" w:eastAsia="en-US"/>
        </w:rPr>
        <w:drawing>
          <wp:inline distT="0" distB="0" distL="0" distR="0" wp14:anchorId="72B2DD59" wp14:editId="7319FA74">
            <wp:extent cx="2743200" cy="2362200"/>
            <wp:effectExtent l="0" t="0" r="0" b="0"/>
            <wp:docPr id="1" name="图片 1" descr="F:\修改后稿子\26113\Figures for revision\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修改后稿子\26113\Figures for revision\Figure 1.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3200" cy="2362200"/>
                    </a:xfrm>
                    <a:prstGeom prst="rect">
                      <a:avLst/>
                    </a:prstGeom>
                    <a:noFill/>
                    <a:ln>
                      <a:noFill/>
                    </a:ln>
                  </pic:spPr>
                </pic:pic>
              </a:graphicData>
            </a:graphic>
          </wp:inline>
        </w:drawing>
      </w:r>
      <w:r>
        <w:rPr>
          <w:rFonts w:ascii="Book Antiqua" w:hAnsi="Book Antiqua" w:cs="Arial" w:hint="eastAsia"/>
          <w:b/>
          <w:sz w:val="24"/>
          <w:szCs w:val="24"/>
        </w:rPr>
        <w:t>A</w:t>
      </w:r>
    </w:p>
    <w:p w14:paraId="0D9E7E9B" w14:textId="1FFEAC85" w:rsidR="00BC27C7" w:rsidRDefault="00BC27C7" w:rsidP="00A003CF">
      <w:pPr>
        <w:spacing w:after="0" w:line="360" w:lineRule="auto"/>
        <w:jc w:val="both"/>
        <w:rPr>
          <w:rFonts w:ascii="Book Antiqua" w:hAnsi="Book Antiqua" w:cs="Arial"/>
          <w:b/>
          <w:sz w:val="24"/>
          <w:szCs w:val="24"/>
        </w:rPr>
      </w:pPr>
      <w:r>
        <w:rPr>
          <w:rFonts w:ascii="Book Antiqua" w:hAnsi="Book Antiqua" w:cs="Arial"/>
          <w:b/>
          <w:noProof/>
          <w:sz w:val="24"/>
          <w:szCs w:val="24"/>
          <w:lang w:val="en-US" w:eastAsia="en-US"/>
        </w:rPr>
        <w:drawing>
          <wp:inline distT="0" distB="0" distL="0" distR="0" wp14:anchorId="37B30F8B" wp14:editId="1D9F06E6">
            <wp:extent cx="2743200" cy="2368550"/>
            <wp:effectExtent l="0" t="0" r="0" b="0"/>
            <wp:docPr id="2" name="图片 2" descr="F:\修改后稿子\26113\Figures for revision\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修改后稿子\26113\Figures for revision\Figure 2.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0" cy="2368550"/>
                    </a:xfrm>
                    <a:prstGeom prst="rect">
                      <a:avLst/>
                    </a:prstGeom>
                    <a:noFill/>
                    <a:ln>
                      <a:noFill/>
                    </a:ln>
                  </pic:spPr>
                </pic:pic>
              </a:graphicData>
            </a:graphic>
          </wp:inline>
        </w:drawing>
      </w:r>
      <w:r>
        <w:rPr>
          <w:rFonts w:ascii="Book Antiqua" w:hAnsi="Book Antiqua" w:cs="Arial" w:hint="eastAsia"/>
          <w:b/>
          <w:sz w:val="24"/>
          <w:szCs w:val="24"/>
        </w:rPr>
        <w:t>B</w:t>
      </w:r>
    </w:p>
    <w:p w14:paraId="234CA8CA" w14:textId="1F50C04B" w:rsidR="00D86044" w:rsidRDefault="00A003CF" w:rsidP="00A003CF">
      <w:pPr>
        <w:spacing w:after="0" w:line="360" w:lineRule="auto"/>
        <w:jc w:val="both"/>
        <w:rPr>
          <w:rFonts w:ascii="Book Antiqua" w:hAnsi="Book Antiqua" w:cs="Arial"/>
          <w:sz w:val="24"/>
          <w:szCs w:val="24"/>
        </w:rPr>
      </w:pPr>
      <w:r w:rsidRPr="00B848F9">
        <w:rPr>
          <w:rFonts w:ascii="Book Antiqua" w:hAnsi="Book Antiqua" w:cs="Arial"/>
          <w:b/>
          <w:sz w:val="24"/>
          <w:szCs w:val="24"/>
        </w:rPr>
        <w:t>Figure 1 High definition white light endoscopy view</w:t>
      </w:r>
      <w:r w:rsidR="00755E9F">
        <w:rPr>
          <w:rFonts w:ascii="Book Antiqua" w:hAnsi="Book Antiqua" w:cs="Arial" w:hint="eastAsia"/>
          <w:b/>
          <w:sz w:val="24"/>
          <w:szCs w:val="24"/>
        </w:rPr>
        <w:t>.</w:t>
      </w:r>
      <w:r w:rsidRPr="00B848F9">
        <w:rPr>
          <w:rFonts w:ascii="Book Antiqua" w:hAnsi="Book Antiqua" w:cs="Arial"/>
          <w:b/>
          <w:sz w:val="24"/>
          <w:szCs w:val="24"/>
        </w:rPr>
        <w:t xml:space="preserve"> </w:t>
      </w:r>
      <w:r w:rsidR="00755E9F" w:rsidRPr="00755E9F">
        <w:rPr>
          <w:rFonts w:ascii="Book Antiqua" w:hAnsi="Book Antiqua" w:cs="Arial" w:hint="eastAsia"/>
          <w:sz w:val="24"/>
          <w:szCs w:val="24"/>
        </w:rPr>
        <w:t xml:space="preserve">A: </w:t>
      </w:r>
      <w:r w:rsidR="00755E9F" w:rsidRPr="00755E9F">
        <w:rPr>
          <w:rFonts w:ascii="Book Antiqua" w:hAnsi="Book Antiqua" w:cs="Arial"/>
          <w:sz w:val="24"/>
          <w:szCs w:val="24"/>
        </w:rPr>
        <w:t>A</w:t>
      </w:r>
      <w:r w:rsidRPr="00755E9F">
        <w:rPr>
          <w:rFonts w:ascii="Book Antiqua" w:hAnsi="Book Antiqua" w:cs="Arial"/>
          <w:sz w:val="24"/>
          <w:szCs w:val="24"/>
        </w:rPr>
        <w:t xml:space="preserve"> depressed lesion with mucosal discoloration due to early gastric cancer</w:t>
      </w:r>
      <w:r w:rsidR="00755E9F" w:rsidRPr="00755E9F">
        <w:rPr>
          <w:rFonts w:ascii="Book Antiqua" w:hAnsi="Book Antiqua" w:cs="Arial" w:hint="eastAsia"/>
          <w:sz w:val="24"/>
          <w:szCs w:val="24"/>
        </w:rPr>
        <w:t xml:space="preserve">; B: </w:t>
      </w:r>
      <w:r w:rsidRPr="00755E9F">
        <w:rPr>
          <w:rFonts w:ascii="Book Antiqua" w:hAnsi="Book Antiqua" w:cs="Arial"/>
          <w:sz w:val="24"/>
          <w:szCs w:val="24"/>
        </w:rPr>
        <w:t>High definition white light endoscopy view of early gastric cancer</w:t>
      </w:r>
      <w:r w:rsidR="00BC27C7" w:rsidRPr="00755E9F">
        <w:rPr>
          <w:rFonts w:ascii="Book Antiqua" w:hAnsi="Book Antiqua" w:cs="Arial" w:hint="eastAsia"/>
          <w:sz w:val="24"/>
          <w:szCs w:val="24"/>
        </w:rPr>
        <w:t>.</w:t>
      </w:r>
    </w:p>
    <w:p w14:paraId="77EDAEEC" w14:textId="77777777" w:rsidR="00D86044" w:rsidRDefault="00D86044">
      <w:pPr>
        <w:rPr>
          <w:rFonts w:ascii="Book Antiqua" w:hAnsi="Book Antiqua" w:cs="Arial"/>
          <w:sz w:val="24"/>
          <w:szCs w:val="24"/>
        </w:rPr>
      </w:pPr>
      <w:r>
        <w:rPr>
          <w:rFonts w:ascii="Book Antiqua" w:hAnsi="Book Antiqua" w:cs="Arial"/>
          <w:sz w:val="24"/>
          <w:szCs w:val="24"/>
        </w:rPr>
        <w:br w:type="page"/>
      </w:r>
    </w:p>
    <w:p w14:paraId="33ECD268" w14:textId="57D3D93A" w:rsidR="00A003CF" w:rsidRPr="00D86044" w:rsidRDefault="00D86044" w:rsidP="00A003CF">
      <w:pPr>
        <w:spacing w:after="0" w:line="360" w:lineRule="auto"/>
        <w:jc w:val="both"/>
        <w:rPr>
          <w:rFonts w:ascii="Book Antiqua" w:hAnsi="Book Antiqua" w:cs="Arial"/>
          <w:b/>
          <w:sz w:val="24"/>
          <w:szCs w:val="24"/>
        </w:rPr>
      </w:pPr>
      <w:r>
        <w:rPr>
          <w:rFonts w:ascii="Book Antiqua" w:hAnsi="Book Antiqua" w:cs="Arial"/>
          <w:b/>
          <w:noProof/>
          <w:sz w:val="24"/>
          <w:szCs w:val="24"/>
          <w:lang w:val="en-US" w:eastAsia="en-US"/>
        </w:rPr>
        <w:drawing>
          <wp:inline distT="0" distB="0" distL="0" distR="0" wp14:anchorId="4458958C" wp14:editId="4E527035">
            <wp:extent cx="3143250" cy="3279279"/>
            <wp:effectExtent l="0" t="0" r="0" b="0"/>
            <wp:docPr id="3" name="图片 3" descr="F:\修改后稿子\26113\Figures for revision\Figure 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修改后稿子\26113\Figures for revision\Figure 2A.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43250" cy="3279279"/>
                    </a:xfrm>
                    <a:prstGeom prst="rect">
                      <a:avLst/>
                    </a:prstGeom>
                    <a:noFill/>
                    <a:ln>
                      <a:noFill/>
                    </a:ln>
                  </pic:spPr>
                </pic:pic>
              </a:graphicData>
            </a:graphic>
          </wp:inline>
        </w:drawing>
      </w:r>
      <w:r>
        <w:rPr>
          <w:rFonts w:ascii="Book Antiqua" w:hAnsi="Book Antiqua" w:cs="Arial" w:hint="eastAsia"/>
          <w:b/>
          <w:sz w:val="24"/>
          <w:szCs w:val="24"/>
        </w:rPr>
        <w:t>A</w:t>
      </w:r>
      <w:r w:rsidRPr="00D860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Book Antiqua" w:hAnsi="Book Antiqua" w:cs="Arial"/>
          <w:b/>
          <w:noProof/>
          <w:sz w:val="24"/>
          <w:szCs w:val="24"/>
          <w:lang w:val="en-US" w:eastAsia="en-US"/>
        </w:rPr>
        <w:drawing>
          <wp:inline distT="0" distB="0" distL="0" distR="0" wp14:anchorId="348E8559" wp14:editId="396AEFD8">
            <wp:extent cx="2743200" cy="2393950"/>
            <wp:effectExtent l="0" t="0" r="0" b="6350"/>
            <wp:docPr id="4" name="图片 4" descr="F:\修改后稿子\26113\Figures for revision\Figure 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修改后稿子\26113\Figures for revision\Figure 2B.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2393950"/>
                    </a:xfrm>
                    <a:prstGeom prst="rect">
                      <a:avLst/>
                    </a:prstGeom>
                    <a:noFill/>
                    <a:ln>
                      <a:noFill/>
                    </a:ln>
                  </pic:spPr>
                </pic:pic>
              </a:graphicData>
            </a:graphic>
          </wp:inline>
        </w:drawing>
      </w:r>
      <w:r>
        <w:rPr>
          <w:rFonts w:ascii="Times New Roman" w:hAnsi="Times New Roman" w:cs="Times New Roman" w:hint="eastAsia"/>
          <w:snapToGrid w:val="0"/>
          <w:color w:val="000000"/>
          <w:w w:val="0"/>
          <w:sz w:val="0"/>
          <w:szCs w:val="0"/>
          <w:u w:color="000000"/>
          <w:bdr w:val="none" w:sz="0" w:space="0" w:color="000000"/>
          <w:shd w:val="clear" w:color="000000" w:fill="000000"/>
          <w:lang w:val="x-none" w:bidi="x-none"/>
        </w:rPr>
        <w:t>BB</w:t>
      </w:r>
      <w:r w:rsidR="00D04643">
        <w:rPr>
          <w:rFonts w:ascii="Times New Roman" w:hAnsi="Times New Roman" w:cs="Times New Roman" w:hint="eastAsia"/>
          <w:snapToGrid w:val="0"/>
          <w:color w:val="000000"/>
          <w:w w:val="0"/>
          <w:sz w:val="0"/>
          <w:szCs w:val="0"/>
          <w:u w:color="000000"/>
          <w:bdr w:val="none" w:sz="0" w:space="0" w:color="000000"/>
          <w:shd w:val="clear" w:color="000000" w:fill="000000"/>
          <w:lang w:val="x-none" w:bidi="x-none"/>
        </w:rPr>
        <w:t xml:space="preserve"> </w:t>
      </w:r>
      <w:r>
        <w:rPr>
          <w:rFonts w:ascii="Times New Roman" w:hAnsi="Times New Roman" w:cs="Times New Roman" w:hint="eastAsia"/>
          <w:snapToGrid w:val="0"/>
          <w:color w:val="000000"/>
          <w:w w:val="0"/>
          <w:sz w:val="0"/>
          <w:szCs w:val="0"/>
          <w:u w:color="000000"/>
          <w:bdr w:val="none" w:sz="0" w:space="0" w:color="000000"/>
          <w:shd w:val="clear" w:color="000000" w:fill="000000"/>
          <w:lang w:val="x-none" w:bidi="x-none"/>
        </w:rPr>
        <w:t xml:space="preserve"> </w:t>
      </w:r>
      <w:r w:rsidR="00D04643">
        <w:rPr>
          <w:rFonts w:ascii="Times New Roman" w:hAnsi="Times New Roman" w:cs="Times New Roman" w:hint="eastAsia"/>
          <w:snapToGrid w:val="0"/>
          <w:color w:val="000000"/>
          <w:w w:val="0"/>
          <w:sz w:val="0"/>
          <w:szCs w:val="0"/>
          <w:u w:color="000000"/>
          <w:bdr w:val="none" w:sz="0" w:space="0" w:color="000000"/>
          <w:shd w:val="clear" w:color="000000" w:fill="000000"/>
          <w:lang w:val="x-none" w:bidi="x-none"/>
        </w:rPr>
        <w:t xml:space="preserve"> </w:t>
      </w:r>
      <w:r>
        <w:rPr>
          <w:rFonts w:ascii="Times New Roman" w:hAnsi="Times New Roman" w:cs="Times New Roman" w:hint="eastAsia"/>
          <w:snapToGrid w:val="0"/>
          <w:color w:val="000000"/>
          <w:w w:val="0"/>
          <w:sz w:val="0"/>
          <w:szCs w:val="0"/>
          <w:u w:color="000000"/>
          <w:bdr w:val="none" w:sz="0" w:space="0" w:color="000000"/>
          <w:shd w:val="clear" w:color="000000" w:fill="000000"/>
          <w:lang w:val="x-none" w:bidi="x-none"/>
        </w:rPr>
        <w:t xml:space="preserve">                 </w:t>
      </w:r>
      <w:r>
        <w:rPr>
          <w:rFonts w:ascii="Book Antiqua" w:hAnsi="Book Antiqua" w:cs="Times New Roman" w:hint="eastAsia"/>
          <w:snapToGrid w:val="0"/>
          <w:color w:val="000000"/>
          <w:w w:val="0"/>
          <w:sz w:val="24"/>
          <w:szCs w:val="24"/>
          <w:u w:color="000000"/>
          <w:bdr w:val="none" w:sz="0" w:space="0" w:color="000000"/>
          <w:shd w:val="clear" w:color="000000" w:fill="000000"/>
          <w:lang w:val="x-none" w:bidi="x-none"/>
        </w:rPr>
        <w:t>B</w:t>
      </w:r>
    </w:p>
    <w:p w14:paraId="066C5493" w14:textId="0ACEAA18" w:rsidR="00832197" w:rsidRDefault="00A003CF" w:rsidP="00A003CF">
      <w:pPr>
        <w:spacing w:after="0" w:line="360" w:lineRule="auto"/>
        <w:jc w:val="both"/>
        <w:rPr>
          <w:rFonts w:ascii="Book Antiqua" w:hAnsi="Book Antiqua" w:cs="Arial"/>
          <w:sz w:val="24"/>
          <w:szCs w:val="24"/>
        </w:rPr>
      </w:pPr>
      <w:r w:rsidRPr="001D613A">
        <w:rPr>
          <w:rFonts w:ascii="Book Antiqua" w:hAnsi="Book Antiqua" w:cs="Arial"/>
          <w:b/>
          <w:sz w:val="24"/>
          <w:szCs w:val="24"/>
        </w:rPr>
        <w:t xml:space="preserve">Figure </w:t>
      </w:r>
      <w:r w:rsidR="00D86044">
        <w:rPr>
          <w:rFonts w:ascii="Book Antiqua" w:hAnsi="Book Antiqua" w:cs="Arial" w:hint="eastAsia"/>
          <w:b/>
          <w:sz w:val="24"/>
          <w:szCs w:val="24"/>
        </w:rPr>
        <w:t>2</w:t>
      </w:r>
      <w:r w:rsidRPr="001D613A">
        <w:rPr>
          <w:rFonts w:ascii="Book Antiqua" w:hAnsi="Book Antiqua" w:cs="Arial"/>
          <w:b/>
          <w:sz w:val="24"/>
          <w:szCs w:val="24"/>
        </w:rPr>
        <w:t xml:space="preserve"> </w:t>
      </w:r>
      <w:r w:rsidR="001D613A" w:rsidRPr="001D613A">
        <w:rPr>
          <w:rFonts w:ascii="Book Antiqua" w:hAnsi="Book Antiqua" w:cs="Arial"/>
          <w:b/>
          <w:sz w:val="24"/>
          <w:szCs w:val="24"/>
        </w:rPr>
        <w:t>Mucosal irregularities and boundaries of a lesion</w:t>
      </w:r>
      <w:r w:rsidR="001D613A" w:rsidRPr="001D613A">
        <w:rPr>
          <w:rFonts w:ascii="Book Antiqua" w:hAnsi="Book Antiqua" w:cs="Arial" w:hint="eastAsia"/>
          <w:b/>
          <w:sz w:val="24"/>
          <w:szCs w:val="24"/>
        </w:rPr>
        <w:t>.</w:t>
      </w:r>
      <w:r w:rsidR="001D613A" w:rsidRPr="001D613A">
        <w:rPr>
          <w:rFonts w:ascii="Book Antiqua" w:hAnsi="Book Antiqua" w:cs="Arial"/>
          <w:sz w:val="24"/>
          <w:szCs w:val="24"/>
        </w:rPr>
        <w:t xml:space="preserve"> </w:t>
      </w:r>
      <w:r w:rsidR="001D613A" w:rsidRPr="001D613A">
        <w:rPr>
          <w:rFonts w:ascii="Book Antiqua" w:hAnsi="Book Antiqua" w:cs="Arial" w:hint="eastAsia"/>
          <w:sz w:val="24"/>
          <w:szCs w:val="24"/>
        </w:rPr>
        <w:t xml:space="preserve">A: </w:t>
      </w:r>
      <w:r w:rsidRPr="001D613A">
        <w:rPr>
          <w:rFonts w:ascii="Book Antiqua" w:hAnsi="Book Antiqua" w:cs="Arial"/>
          <w:sz w:val="24"/>
          <w:szCs w:val="24"/>
        </w:rPr>
        <w:t>Gastric adenoma accentuated by indigo carmine</w:t>
      </w:r>
      <w:r w:rsidR="001D613A" w:rsidRPr="001D613A">
        <w:rPr>
          <w:rFonts w:ascii="Book Antiqua" w:hAnsi="Book Antiqua" w:cs="Arial" w:hint="eastAsia"/>
          <w:sz w:val="24"/>
          <w:szCs w:val="24"/>
        </w:rPr>
        <w:t xml:space="preserve">; B: </w:t>
      </w:r>
      <w:r w:rsidRPr="001D613A">
        <w:rPr>
          <w:rFonts w:ascii="Book Antiqua" w:hAnsi="Book Antiqua" w:cs="Arial"/>
          <w:sz w:val="24"/>
          <w:szCs w:val="24"/>
        </w:rPr>
        <w:t>Early gastric cancer accentuated by indigo carmine</w:t>
      </w:r>
      <w:r w:rsidR="00BC27C7" w:rsidRPr="001D613A">
        <w:rPr>
          <w:rFonts w:ascii="Book Antiqua" w:hAnsi="Book Antiqua" w:cs="Arial" w:hint="eastAsia"/>
          <w:sz w:val="24"/>
          <w:szCs w:val="24"/>
        </w:rPr>
        <w:t>.</w:t>
      </w:r>
    </w:p>
    <w:p w14:paraId="35601371" w14:textId="77777777" w:rsidR="00832197" w:rsidRDefault="00832197">
      <w:pPr>
        <w:rPr>
          <w:rFonts w:ascii="Book Antiqua" w:hAnsi="Book Antiqua" w:cs="Arial"/>
          <w:sz w:val="24"/>
          <w:szCs w:val="24"/>
        </w:rPr>
      </w:pPr>
      <w:r>
        <w:rPr>
          <w:rFonts w:ascii="Book Antiqua" w:hAnsi="Book Antiqua" w:cs="Arial"/>
          <w:sz w:val="24"/>
          <w:szCs w:val="24"/>
        </w:rPr>
        <w:br w:type="page"/>
      </w:r>
    </w:p>
    <w:p w14:paraId="23D7045A" w14:textId="021053B3" w:rsidR="00A003CF" w:rsidRPr="00B848F9" w:rsidRDefault="00760324" w:rsidP="00A003CF">
      <w:pPr>
        <w:spacing w:after="0" w:line="360" w:lineRule="auto"/>
        <w:jc w:val="both"/>
        <w:rPr>
          <w:rFonts w:ascii="Book Antiqua" w:hAnsi="Book Antiqua" w:cs="Arial"/>
          <w:b/>
          <w:sz w:val="24"/>
          <w:szCs w:val="24"/>
        </w:rPr>
      </w:pPr>
      <w:r>
        <w:rPr>
          <w:rFonts w:ascii="Book Antiqua" w:hAnsi="Book Antiqua" w:cs="Arial"/>
          <w:b/>
          <w:noProof/>
          <w:sz w:val="24"/>
          <w:szCs w:val="24"/>
          <w:lang w:val="en-US" w:eastAsia="en-US"/>
        </w:rPr>
        <w:drawing>
          <wp:inline distT="0" distB="0" distL="0" distR="0" wp14:anchorId="53B4CEB5" wp14:editId="32159C0C">
            <wp:extent cx="2946400" cy="2324100"/>
            <wp:effectExtent l="0" t="0" r="6350" b="0"/>
            <wp:docPr id="5" name="图片 5" descr="F:\修改后稿子\26113\Figures for revision\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修改后稿子\26113\Figures for revision\Figure 3.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46400" cy="2324100"/>
                    </a:xfrm>
                    <a:prstGeom prst="rect">
                      <a:avLst/>
                    </a:prstGeom>
                    <a:noFill/>
                    <a:ln>
                      <a:noFill/>
                    </a:ln>
                  </pic:spPr>
                </pic:pic>
              </a:graphicData>
            </a:graphic>
          </wp:inline>
        </w:drawing>
      </w:r>
    </w:p>
    <w:p w14:paraId="04F53CC9" w14:textId="06B609A9" w:rsidR="00760324" w:rsidRDefault="00A003CF" w:rsidP="00A003CF">
      <w:pPr>
        <w:spacing w:after="0" w:line="360" w:lineRule="auto"/>
        <w:jc w:val="both"/>
        <w:rPr>
          <w:rFonts w:ascii="Book Antiqua" w:hAnsi="Book Antiqua" w:cs="Arial"/>
          <w:b/>
          <w:sz w:val="24"/>
          <w:szCs w:val="24"/>
        </w:rPr>
      </w:pPr>
      <w:r w:rsidRPr="00B848F9">
        <w:rPr>
          <w:rFonts w:ascii="Book Antiqua" w:hAnsi="Book Antiqua" w:cs="Arial"/>
          <w:b/>
          <w:sz w:val="24"/>
          <w:szCs w:val="24"/>
        </w:rPr>
        <w:t xml:space="preserve">Figure </w:t>
      </w:r>
      <w:r w:rsidR="00760324">
        <w:rPr>
          <w:rFonts w:ascii="Book Antiqua" w:hAnsi="Book Antiqua" w:cs="Arial" w:hint="eastAsia"/>
          <w:b/>
          <w:sz w:val="24"/>
          <w:szCs w:val="24"/>
        </w:rPr>
        <w:t>3</w:t>
      </w:r>
      <w:r w:rsidRPr="00B848F9">
        <w:rPr>
          <w:rFonts w:ascii="Book Antiqua" w:hAnsi="Book Antiqua" w:cs="Arial"/>
          <w:b/>
          <w:sz w:val="24"/>
          <w:szCs w:val="24"/>
        </w:rPr>
        <w:t xml:space="preserve"> Gastric intestinal metaplasia highlighted by methylene blue</w:t>
      </w:r>
      <w:r w:rsidR="00BC27C7">
        <w:rPr>
          <w:rFonts w:ascii="Book Antiqua" w:hAnsi="Book Antiqua" w:cs="Arial" w:hint="eastAsia"/>
          <w:b/>
          <w:sz w:val="24"/>
          <w:szCs w:val="24"/>
        </w:rPr>
        <w:t>.</w:t>
      </w:r>
    </w:p>
    <w:p w14:paraId="109D3B17" w14:textId="77777777" w:rsidR="00760324" w:rsidRDefault="00760324">
      <w:pPr>
        <w:rPr>
          <w:rFonts w:ascii="Book Antiqua" w:hAnsi="Book Antiqua" w:cs="Arial"/>
          <w:b/>
          <w:sz w:val="24"/>
          <w:szCs w:val="24"/>
        </w:rPr>
      </w:pPr>
      <w:r>
        <w:rPr>
          <w:rFonts w:ascii="Book Antiqua" w:hAnsi="Book Antiqua" w:cs="Arial"/>
          <w:b/>
          <w:sz w:val="24"/>
          <w:szCs w:val="24"/>
        </w:rPr>
        <w:br w:type="page"/>
      </w:r>
    </w:p>
    <w:p w14:paraId="71E203BB" w14:textId="5C2FEE12" w:rsidR="00A003CF" w:rsidRPr="00B848F9" w:rsidRDefault="00760324" w:rsidP="00A003CF">
      <w:pPr>
        <w:spacing w:after="0" w:line="360" w:lineRule="auto"/>
        <w:jc w:val="both"/>
        <w:rPr>
          <w:rFonts w:ascii="Book Antiqua" w:hAnsi="Book Antiqua" w:cs="Arial"/>
          <w:b/>
          <w:sz w:val="24"/>
          <w:szCs w:val="24"/>
        </w:rPr>
      </w:pPr>
      <w:r>
        <w:rPr>
          <w:rFonts w:ascii="Book Antiqua" w:hAnsi="Book Antiqua" w:cs="Arial"/>
          <w:b/>
          <w:noProof/>
          <w:sz w:val="24"/>
          <w:szCs w:val="24"/>
          <w:lang w:val="en-US" w:eastAsia="en-US"/>
        </w:rPr>
        <w:drawing>
          <wp:inline distT="0" distB="0" distL="0" distR="0" wp14:anchorId="00EC660D" wp14:editId="032FCF4A">
            <wp:extent cx="5461000" cy="4724400"/>
            <wp:effectExtent l="0" t="0" r="6350" b="0"/>
            <wp:docPr id="6" name="图片 6" descr="F:\修改后稿子\26113\Figures for revision\Figure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修改后稿子\26113\Figures for revision\Figure 4.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61000" cy="4724400"/>
                    </a:xfrm>
                    <a:prstGeom prst="rect">
                      <a:avLst/>
                    </a:prstGeom>
                    <a:noFill/>
                    <a:ln>
                      <a:noFill/>
                    </a:ln>
                  </pic:spPr>
                </pic:pic>
              </a:graphicData>
            </a:graphic>
          </wp:inline>
        </w:drawing>
      </w:r>
    </w:p>
    <w:p w14:paraId="4F299308" w14:textId="25E6890F" w:rsidR="00D75FE3" w:rsidRDefault="00A003CF" w:rsidP="00A003CF">
      <w:pPr>
        <w:spacing w:after="0" w:line="360" w:lineRule="auto"/>
        <w:jc w:val="both"/>
        <w:rPr>
          <w:rFonts w:ascii="Book Antiqua" w:hAnsi="Book Antiqua" w:cs="Arial"/>
          <w:b/>
          <w:sz w:val="24"/>
          <w:szCs w:val="24"/>
        </w:rPr>
      </w:pPr>
      <w:r w:rsidRPr="00B848F9">
        <w:rPr>
          <w:rFonts w:ascii="Book Antiqua" w:hAnsi="Book Antiqua" w:cs="Arial"/>
          <w:b/>
          <w:sz w:val="24"/>
          <w:szCs w:val="24"/>
        </w:rPr>
        <w:t xml:space="preserve">Figure </w:t>
      </w:r>
      <w:r w:rsidR="00760324">
        <w:rPr>
          <w:rFonts w:ascii="Book Antiqua" w:hAnsi="Book Antiqua" w:cs="Arial" w:hint="eastAsia"/>
          <w:b/>
          <w:sz w:val="24"/>
          <w:szCs w:val="24"/>
        </w:rPr>
        <w:t>4</w:t>
      </w:r>
      <w:r w:rsidRPr="00B848F9">
        <w:rPr>
          <w:rFonts w:ascii="Book Antiqua" w:hAnsi="Book Antiqua" w:cs="Arial"/>
          <w:b/>
          <w:sz w:val="24"/>
          <w:szCs w:val="24"/>
        </w:rPr>
        <w:t xml:space="preserve"> Gastric intestinal metaplasia highlighted by narrow band imaging using the EXERA III system with dual focus</w:t>
      </w:r>
      <w:r w:rsidR="00BC27C7">
        <w:rPr>
          <w:rFonts w:ascii="Book Antiqua" w:hAnsi="Book Antiqua" w:cs="Arial" w:hint="eastAsia"/>
          <w:b/>
          <w:sz w:val="24"/>
          <w:szCs w:val="24"/>
        </w:rPr>
        <w:t>.</w:t>
      </w:r>
    </w:p>
    <w:p w14:paraId="1824C2CB" w14:textId="77777777" w:rsidR="00D75FE3" w:rsidRDefault="00D75FE3">
      <w:pPr>
        <w:rPr>
          <w:rFonts w:ascii="Book Antiqua" w:hAnsi="Book Antiqua" w:cs="Arial"/>
          <w:b/>
          <w:sz w:val="24"/>
          <w:szCs w:val="24"/>
        </w:rPr>
      </w:pPr>
      <w:r>
        <w:rPr>
          <w:rFonts w:ascii="Book Antiqua" w:hAnsi="Book Antiqua" w:cs="Arial"/>
          <w:b/>
          <w:sz w:val="24"/>
          <w:szCs w:val="24"/>
        </w:rPr>
        <w:br w:type="page"/>
      </w:r>
    </w:p>
    <w:p w14:paraId="068B37C1" w14:textId="4C82EE86" w:rsidR="00A003CF" w:rsidRPr="000A7E4D" w:rsidRDefault="000A7E4D" w:rsidP="00A003CF">
      <w:pPr>
        <w:spacing w:after="0" w:line="360" w:lineRule="auto"/>
        <w:jc w:val="both"/>
        <w:rPr>
          <w:rFonts w:ascii="Book Antiqua" w:hAnsi="Book Antiqua" w:cs="Arial"/>
          <w:b/>
          <w:sz w:val="24"/>
          <w:szCs w:val="24"/>
        </w:rPr>
      </w:pPr>
      <w:r>
        <w:rPr>
          <w:rFonts w:ascii="Book Antiqua" w:hAnsi="Book Antiqua" w:cs="Arial"/>
          <w:b/>
          <w:noProof/>
          <w:sz w:val="24"/>
          <w:szCs w:val="24"/>
          <w:lang w:val="en-US" w:eastAsia="en-US"/>
        </w:rPr>
        <w:drawing>
          <wp:inline distT="0" distB="0" distL="0" distR="0" wp14:anchorId="67436F09" wp14:editId="63FB62F1">
            <wp:extent cx="3496733" cy="2622550"/>
            <wp:effectExtent l="0" t="0" r="8890" b="6350"/>
            <wp:docPr id="7" name="图片 7" descr="F:\修改后稿子\26113\Figures for revision\Figure 5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修改后稿子\26113\Figures for revision\Figure 5A.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96475" cy="2622357"/>
                    </a:xfrm>
                    <a:prstGeom prst="rect">
                      <a:avLst/>
                    </a:prstGeom>
                    <a:noFill/>
                    <a:ln>
                      <a:noFill/>
                    </a:ln>
                  </pic:spPr>
                </pic:pic>
              </a:graphicData>
            </a:graphic>
          </wp:inline>
        </w:drawing>
      </w:r>
      <w:r>
        <w:rPr>
          <w:rFonts w:ascii="Book Antiqua" w:hAnsi="Book Antiqua" w:cs="Arial" w:hint="eastAsia"/>
          <w:b/>
          <w:sz w:val="24"/>
          <w:szCs w:val="24"/>
        </w:rPr>
        <w:t>A</w:t>
      </w:r>
      <w:r w:rsidRPr="000A7E4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Book Antiqua" w:hAnsi="Book Antiqua" w:cs="Arial"/>
          <w:b/>
          <w:noProof/>
          <w:sz w:val="24"/>
          <w:szCs w:val="24"/>
          <w:lang w:val="en-US" w:eastAsia="en-US"/>
        </w:rPr>
        <w:drawing>
          <wp:inline distT="0" distB="0" distL="0" distR="0" wp14:anchorId="60F19305" wp14:editId="7AB0A73B">
            <wp:extent cx="2743200" cy="2368550"/>
            <wp:effectExtent l="0" t="0" r="0" b="0"/>
            <wp:docPr id="8" name="图片 8" descr="F:\修改后稿子\26113\Figures for revision\Figure 5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修改后稿子\26113\Figures for revision\Figure 5B.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3200" cy="2368550"/>
                    </a:xfrm>
                    <a:prstGeom prst="rect">
                      <a:avLst/>
                    </a:prstGeom>
                    <a:noFill/>
                    <a:ln>
                      <a:noFill/>
                    </a:ln>
                  </pic:spPr>
                </pic:pic>
              </a:graphicData>
            </a:graphic>
          </wp:inline>
        </w:drawing>
      </w:r>
      <w:r>
        <w:rPr>
          <w:rFonts w:ascii="Times New Roman" w:hAnsi="Times New Roman" w:cs="Times New Roman" w:hint="eastAsia"/>
          <w:snapToGrid w:val="0"/>
          <w:color w:val="000000"/>
          <w:w w:val="0"/>
          <w:sz w:val="0"/>
          <w:szCs w:val="0"/>
          <w:u w:color="000000"/>
          <w:bdr w:val="none" w:sz="0" w:space="0" w:color="000000"/>
          <w:shd w:val="clear" w:color="000000" w:fill="000000"/>
          <w:lang w:val="x-none" w:bidi="x-none"/>
        </w:rPr>
        <w:t xml:space="preserve">   </w:t>
      </w:r>
      <w:r>
        <w:rPr>
          <w:rFonts w:ascii="Times New Roman" w:hAnsi="Times New Roman" w:cs="Times New Roman" w:hint="eastAsia"/>
          <w:snapToGrid w:val="0"/>
          <w:color w:val="000000"/>
          <w:w w:val="0"/>
          <w:sz w:val="24"/>
          <w:szCs w:val="24"/>
          <w:u w:color="000000"/>
          <w:bdr w:val="none" w:sz="0" w:space="0" w:color="000000"/>
          <w:shd w:val="clear" w:color="000000" w:fill="000000"/>
          <w:lang w:val="x-none" w:bidi="x-none"/>
        </w:rPr>
        <w:t>B</w:t>
      </w:r>
    </w:p>
    <w:p w14:paraId="3E0FA313" w14:textId="26FF94C2" w:rsidR="000A7E4D" w:rsidRPr="00B848F9" w:rsidRDefault="00E83149" w:rsidP="00A003CF">
      <w:pPr>
        <w:spacing w:after="0" w:line="360" w:lineRule="auto"/>
        <w:jc w:val="both"/>
        <w:rPr>
          <w:rFonts w:ascii="Book Antiqua" w:hAnsi="Book Antiqua" w:cs="Arial"/>
          <w:b/>
          <w:sz w:val="24"/>
          <w:szCs w:val="24"/>
        </w:rPr>
      </w:pPr>
      <w:r>
        <w:rPr>
          <w:rFonts w:ascii="Book Antiqua" w:hAnsi="Book Antiqua" w:cs="Arial"/>
          <w:b/>
          <w:noProof/>
          <w:sz w:val="24"/>
          <w:szCs w:val="24"/>
          <w:lang w:val="en-US" w:eastAsia="en-US"/>
        </w:rPr>
        <w:drawing>
          <wp:inline distT="0" distB="0" distL="0" distR="0" wp14:anchorId="01C248C7" wp14:editId="23007C2B">
            <wp:extent cx="2743200" cy="2381250"/>
            <wp:effectExtent l="0" t="0" r="0" b="0"/>
            <wp:docPr id="9" name="图片 9" descr="F:\修改后稿子\26113\Figures for revision\Figure 5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修改后稿子\26113\Figures for revision\Figure 5C.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43200" cy="2381250"/>
                    </a:xfrm>
                    <a:prstGeom prst="rect">
                      <a:avLst/>
                    </a:prstGeom>
                    <a:noFill/>
                    <a:ln>
                      <a:noFill/>
                    </a:ln>
                  </pic:spPr>
                </pic:pic>
              </a:graphicData>
            </a:graphic>
          </wp:inline>
        </w:drawing>
      </w:r>
      <w:r>
        <w:rPr>
          <w:rFonts w:ascii="Book Antiqua" w:hAnsi="Book Antiqua" w:cs="Arial" w:hint="eastAsia"/>
          <w:b/>
          <w:sz w:val="24"/>
          <w:szCs w:val="24"/>
        </w:rPr>
        <w:t>C</w:t>
      </w:r>
    </w:p>
    <w:p w14:paraId="03E19D10" w14:textId="52E99302" w:rsidR="00E04FFC" w:rsidRDefault="00A003CF" w:rsidP="00A003CF">
      <w:pPr>
        <w:spacing w:after="0" w:line="360" w:lineRule="auto"/>
        <w:jc w:val="both"/>
        <w:rPr>
          <w:rFonts w:ascii="Book Antiqua" w:hAnsi="Book Antiqua" w:cs="Arial"/>
          <w:sz w:val="24"/>
          <w:szCs w:val="24"/>
        </w:rPr>
      </w:pPr>
      <w:r w:rsidRPr="00D75FE3">
        <w:rPr>
          <w:rFonts w:ascii="Book Antiqua" w:hAnsi="Book Antiqua" w:cs="Arial"/>
          <w:b/>
          <w:sz w:val="24"/>
          <w:szCs w:val="24"/>
        </w:rPr>
        <w:t xml:space="preserve">Figure </w:t>
      </w:r>
      <w:r w:rsidR="00D75FE3" w:rsidRPr="00D75FE3">
        <w:rPr>
          <w:rFonts w:ascii="Book Antiqua" w:hAnsi="Book Antiqua" w:cs="Arial" w:hint="eastAsia"/>
          <w:b/>
          <w:sz w:val="24"/>
          <w:szCs w:val="24"/>
        </w:rPr>
        <w:t>5</w:t>
      </w:r>
      <w:r w:rsidRPr="00D75FE3">
        <w:rPr>
          <w:rFonts w:ascii="Book Antiqua" w:hAnsi="Book Antiqua" w:cs="Arial"/>
          <w:b/>
          <w:sz w:val="24"/>
          <w:szCs w:val="24"/>
        </w:rPr>
        <w:t xml:space="preserve"> </w:t>
      </w:r>
      <w:r w:rsidR="00D75FE3" w:rsidRPr="00D75FE3">
        <w:rPr>
          <w:rFonts w:ascii="Book Antiqua" w:hAnsi="Book Antiqua" w:cs="Arial"/>
          <w:b/>
          <w:sz w:val="24"/>
          <w:szCs w:val="24"/>
        </w:rPr>
        <w:t>Best visualized with optical magnification</w:t>
      </w:r>
      <w:r w:rsidR="00D75FE3" w:rsidRPr="00D75FE3">
        <w:rPr>
          <w:rFonts w:ascii="Book Antiqua" w:hAnsi="Book Antiqua" w:cs="Arial" w:hint="eastAsia"/>
          <w:b/>
          <w:sz w:val="24"/>
          <w:szCs w:val="24"/>
        </w:rPr>
        <w:t>.</w:t>
      </w:r>
      <w:r w:rsidR="00D75FE3" w:rsidRPr="00B848F9">
        <w:rPr>
          <w:rFonts w:ascii="Book Antiqua" w:hAnsi="Book Antiqua" w:cs="Arial"/>
          <w:b/>
          <w:sz w:val="24"/>
          <w:szCs w:val="24"/>
        </w:rPr>
        <w:t xml:space="preserve"> </w:t>
      </w:r>
      <w:r w:rsidR="00EC0A64" w:rsidRPr="00EC0A64">
        <w:rPr>
          <w:rFonts w:ascii="Book Antiqua" w:hAnsi="Book Antiqua" w:cs="Arial" w:hint="eastAsia"/>
          <w:sz w:val="24"/>
          <w:szCs w:val="24"/>
        </w:rPr>
        <w:t xml:space="preserve">A: </w:t>
      </w:r>
      <w:r w:rsidRPr="00EC0A64">
        <w:rPr>
          <w:rFonts w:ascii="Book Antiqua" w:hAnsi="Book Antiqua" w:cs="Arial"/>
          <w:sz w:val="24"/>
          <w:szCs w:val="24"/>
        </w:rPr>
        <w:t>Magnifying narrow band image of gastric intestinal metaplasia showing</w:t>
      </w:r>
      <w:r w:rsidR="000A7E4D">
        <w:rPr>
          <w:rFonts w:ascii="Book Antiqua" w:hAnsi="Book Antiqua" w:cs="Arial" w:hint="eastAsia"/>
          <w:sz w:val="24"/>
          <w:szCs w:val="24"/>
        </w:rPr>
        <w:t>,</w:t>
      </w:r>
      <w:r w:rsidRPr="00EC0A64">
        <w:rPr>
          <w:rFonts w:ascii="Book Antiqua" w:hAnsi="Book Antiqua" w:cs="Arial"/>
          <w:sz w:val="24"/>
          <w:szCs w:val="24"/>
        </w:rPr>
        <w:t xml:space="preserve"> the light blue crest sign, surrounding central area of early gastric cancer</w:t>
      </w:r>
      <w:r w:rsidR="000A7E4D">
        <w:rPr>
          <w:rFonts w:ascii="Book Antiqua" w:hAnsi="Book Antiqua" w:cs="Arial" w:hint="eastAsia"/>
          <w:sz w:val="24"/>
          <w:szCs w:val="24"/>
        </w:rPr>
        <w:t xml:space="preserve">; B: </w:t>
      </w:r>
      <w:r w:rsidRPr="00EC0A64">
        <w:rPr>
          <w:rFonts w:ascii="Book Antiqua" w:hAnsi="Book Antiqua" w:cs="Arial"/>
          <w:sz w:val="24"/>
          <w:szCs w:val="24"/>
        </w:rPr>
        <w:t>Magnifying narrow band image of early gastric cancer</w:t>
      </w:r>
      <w:r w:rsidR="00E83149">
        <w:rPr>
          <w:rFonts w:ascii="Book Antiqua" w:hAnsi="Book Antiqua" w:cs="Arial" w:hint="eastAsia"/>
          <w:sz w:val="24"/>
          <w:szCs w:val="24"/>
        </w:rPr>
        <w:t xml:space="preserve">; C: </w:t>
      </w:r>
      <w:r w:rsidRPr="00EC0A64">
        <w:rPr>
          <w:rFonts w:ascii="Book Antiqua" w:hAnsi="Book Antiqua" w:cs="Arial"/>
          <w:sz w:val="24"/>
          <w:szCs w:val="24"/>
        </w:rPr>
        <w:t>Magnifying narrow band image of early gastric cancer</w:t>
      </w:r>
      <w:r w:rsidR="00BC27C7" w:rsidRPr="00EC0A64">
        <w:rPr>
          <w:rFonts w:ascii="Book Antiqua" w:hAnsi="Book Antiqua" w:cs="Arial" w:hint="eastAsia"/>
          <w:sz w:val="24"/>
          <w:szCs w:val="24"/>
        </w:rPr>
        <w:t>.</w:t>
      </w:r>
    </w:p>
    <w:p w14:paraId="65B9A311" w14:textId="79C49211" w:rsidR="00E04FFC" w:rsidRDefault="00E602BF">
      <w:pPr>
        <w:rPr>
          <w:rFonts w:ascii="Book Antiqua" w:hAnsi="Book Antiqua" w:cs="Arial"/>
          <w:sz w:val="24"/>
          <w:szCs w:val="24"/>
        </w:rPr>
      </w:pPr>
      <w:r>
        <w:rPr>
          <w:rFonts w:ascii="Book Antiqua" w:hAnsi="Book Antiqua" w:cs="Arial"/>
          <w:noProof/>
          <w:sz w:val="24"/>
          <w:szCs w:val="24"/>
          <w:lang w:val="en-US" w:eastAsia="en-US"/>
        </w:rPr>
        <w:drawing>
          <wp:inline distT="0" distB="0" distL="0" distR="0" wp14:anchorId="62D432EB" wp14:editId="1BCDDAB1">
            <wp:extent cx="5137389" cy="4679950"/>
            <wp:effectExtent l="0" t="0" r="6350" b="6350"/>
            <wp:docPr id="10" name="图片 10" descr="F:\修改后稿子\26113\Figures for revision\Figure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修改后稿子\26113\Figures for revision\Figure 6.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38836" cy="4681268"/>
                    </a:xfrm>
                    <a:prstGeom prst="rect">
                      <a:avLst/>
                    </a:prstGeom>
                    <a:noFill/>
                    <a:ln>
                      <a:noFill/>
                    </a:ln>
                  </pic:spPr>
                </pic:pic>
              </a:graphicData>
            </a:graphic>
          </wp:inline>
        </w:drawing>
      </w:r>
    </w:p>
    <w:p w14:paraId="015315EE" w14:textId="6CEE32DC" w:rsidR="00002EA8" w:rsidRDefault="00A003CF" w:rsidP="00A003CF">
      <w:pPr>
        <w:spacing w:after="0" w:line="360" w:lineRule="auto"/>
        <w:jc w:val="both"/>
        <w:rPr>
          <w:rFonts w:ascii="Book Antiqua" w:hAnsi="Book Antiqua" w:cs="Arial"/>
          <w:b/>
          <w:sz w:val="24"/>
          <w:szCs w:val="24"/>
        </w:rPr>
      </w:pPr>
      <w:r w:rsidRPr="00B848F9">
        <w:rPr>
          <w:rFonts w:ascii="Book Antiqua" w:hAnsi="Book Antiqua" w:cs="Arial"/>
          <w:b/>
          <w:sz w:val="24"/>
          <w:szCs w:val="24"/>
        </w:rPr>
        <w:t xml:space="preserve">Figure </w:t>
      </w:r>
      <w:r w:rsidR="00E602BF">
        <w:rPr>
          <w:rFonts w:ascii="Book Antiqua" w:hAnsi="Book Antiqua" w:cs="Arial" w:hint="eastAsia"/>
          <w:b/>
          <w:sz w:val="24"/>
          <w:szCs w:val="24"/>
        </w:rPr>
        <w:t>6</w:t>
      </w:r>
      <w:r w:rsidRPr="00B848F9">
        <w:rPr>
          <w:rFonts w:ascii="Book Antiqua" w:hAnsi="Book Antiqua" w:cs="Arial"/>
          <w:b/>
          <w:sz w:val="24"/>
          <w:szCs w:val="24"/>
        </w:rPr>
        <w:t xml:space="preserve"> Image of early gastric cancer visualized using narrow band imaging with digital magnification and dual focus imaging</w:t>
      </w:r>
      <w:r w:rsidR="00BC27C7">
        <w:rPr>
          <w:rFonts w:ascii="Book Antiqua" w:hAnsi="Book Antiqua" w:cs="Arial" w:hint="eastAsia"/>
          <w:b/>
          <w:sz w:val="24"/>
          <w:szCs w:val="24"/>
        </w:rPr>
        <w:t>.</w:t>
      </w:r>
    </w:p>
    <w:p w14:paraId="09221551" w14:textId="77777777" w:rsidR="00002EA8" w:rsidRDefault="00002EA8">
      <w:pPr>
        <w:rPr>
          <w:rFonts w:ascii="Book Antiqua" w:hAnsi="Book Antiqua" w:cs="Arial"/>
          <w:b/>
          <w:sz w:val="24"/>
          <w:szCs w:val="24"/>
        </w:rPr>
      </w:pPr>
      <w:r>
        <w:rPr>
          <w:rFonts w:ascii="Book Antiqua" w:hAnsi="Book Antiqua" w:cs="Arial"/>
          <w:b/>
          <w:sz w:val="24"/>
          <w:szCs w:val="24"/>
        </w:rPr>
        <w:br w:type="page"/>
      </w:r>
    </w:p>
    <w:p w14:paraId="12A206DE" w14:textId="56E801F6" w:rsidR="00A003CF" w:rsidRPr="000068C3" w:rsidRDefault="000068C3" w:rsidP="00A003CF">
      <w:pPr>
        <w:spacing w:after="0" w:line="360" w:lineRule="auto"/>
        <w:jc w:val="both"/>
        <w:rPr>
          <w:rFonts w:ascii="Book Antiqua" w:hAnsi="Book Antiqua" w:cs="Arial"/>
          <w:b/>
          <w:sz w:val="24"/>
          <w:szCs w:val="24"/>
        </w:rPr>
      </w:pPr>
      <w:r>
        <w:rPr>
          <w:rFonts w:ascii="Book Antiqua" w:hAnsi="Book Antiqua" w:cs="Arial"/>
          <w:b/>
          <w:noProof/>
          <w:sz w:val="24"/>
          <w:szCs w:val="24"/>
          <w:lang w:val="en-US" w:eastAsia="en-US"/>
        </w:rPr>
        <w:drawing>
          <wp:inline distT="0" distB="0" distL="0" distR="0" wp14:anchorId="6C7CA6CB" wp14:editId="7FD11D79">
            <wp:extent cx="4172121" cy="3130550"/>
            <wp:effectExtent l="0" t="0" r="0" b="0"/>
            <wp:docPr id="11" name="图片 11" descr="F:\修改后稿子\26113\Figures for revision\Figure 7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修改后稿子\26113\Figures for revision\Figure 7A.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73758" cy="3131778"/>
                    </a:xfrm>
                    <a:prstGeom prst="rect">
                      <a:avLst/>
                    </a:prstGeom>
                    <a:noFill/>
                    <a:ln>
                      <a:noFill/>
                    </a:ln>
                  </pic:spPr>
                </pic:pic>
              </a:graphicData>
            </a:graphic>
          </wp:inline>
        </w:drawing>
      </w:r>
      <w:r>
        <w:rPr>
          <w:rFonts w:ascii="Book Antiqua" w:hAnsi="Book Antiqua" w:cs="Arial" w:hint="eastAsia"/>
          <w:b/>
          <w:sz w:val="24"/>
          <w:szCs w:val="24"/>
        </w:rPr>
        <w:t>A</w:t>
      </w:r>
      <w:r w:rsidRPr="000068C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Book Antiqua" w:hAnsi="Book Antiqua" w:cs="Arial"/>
          <w:b/>
          <w:noProof/>
          <w:sz w:val="24"/>
          <w:szCs w:val="24"/>
          <w:lang w:val="en-US" w:eastAsia="en-US"/>
        </w:rPr>
        <w:drawing>
          <wp:inline distT="0" distB="0" distL="0" distR="0" wp14:anchorId="751BEE3F" wp14:editId="675488EF">
            <wp:extent cx="4045331" cy="3009900"/>
            <wp:effectExtent l="0" t="0" r="0" b="0"/>
            <wp:docPr id="12" name="图片 12" descr="F:\修改后稿子\26113\Figures for revision\Figure 7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修改后稿子\26113\Figures for revision\Figure 7B.t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48787" cy="3012471"/>
                    </a:xfrm>
                    <a:prstGeom prst="rect">
                      <a:avLst/>
                    </a:prstGeom>
                    <a:noFill/>
                    <a:ln>
                      <a:noFill/>
                    </a:ln>
                  </pic:spPr>
                </pic:pic>
              </a:graphicData>
            </a:graphic>
          </wp:inline>
        </w:drawing>
      </w:r>
      <w:r>
        <w:rPr>
          <w:rFonts w:ascii="Times New Roman" w:hAnsi="Times New Roman" w:cs="Times New Roman" w:hint="eastAsia"/>
          <w:snapToGrid w:val="0"/>
          <w:color w:val="000000"/>
          <w:w w:val="0"/>
          <w:sz w:val="24"/>
          <w:szCs w:val="24"/>
          <w:u w:color="000000"/>
          <w:bdr w:val="none" w:sz="0" w:space="0" w:color="000000"/>
          <w:shd w:val="clear" w:color="000000" w:fill="000000"/>
          <w:lang w:val="x-none" w:bidi="x-none"/>
        </w:rPr>
        <w:t>B</w:t>
      </w:r>
    </w:p>
    <w:p w14:paraId="343EDB05" w14:textId="1A53570C" w:rsidR="00A003CF" w:rsidRPr="00B848F9" w:rsidRDefault="00A003CF" w:rsidP="00A003CF">
      <w:pPr>
        <w:spacing w:after="0" w:line="360" w:lineRule="auto"/>
        <w:jc w:val="both"/>
        <w:rPr>
          <w:rFonts w:ascii="Book Antiqua" w:hAnsi="Book Antiqua" w:cs="Arial"/>
          <w:b/>
          <w:sz w:val="24"/>
          <w:szCs w:val="24"/>
        </w:rPr>
      </w:pPr>
      <w:r w:rsidRPr="00002EA8">
        <w:rPr>
          <w:rFonts w:ascii="Book Antiqua" w:hAnsi="Book Antiqua" w:cs="Arial"/>
          <w:b/>
          <w:sz w:val="24"/>
          <w:szCs w:val="24"/>
        </w:rPr>
        <w:t xml:space="preserve">Figure </w:t>
      </w:r>
      <w:r w:rsidR="00002EA8">
        <w:rPr>
          <w:rFonts w:ascii="Book Antiqua" w:hAnsi="Book Antiqua" w:cs="Arial" w:hint="eastAsia"/>
          <w:b/>
          <w:sz w:val="24"/>
          <w:szCs w:val="24"/>
        </w:rPr>
        <w:t>7</w:t>
      </w:r>
      <w:r w:rsidRPr="00002EA8">
        <w:rPr>
          <w:rFonts w:ascii="Book Antiqua" w:hAnsi="Book Antiqua" w:cs="Arial"/>
          <w:b/>
          <w:sz w:val="24"/>
          <w:szCs w:val="24"/>
        </w:rPr>
        <w:t xml:space="preserve"> </w:t>
      </w:r>
      <w:r w:rsidR="00002EA8" w:rsidRPr="00002EA8">
        <w:rPr>
          <w:rFonts w:ascii="Book Antiqua" w:hAnsi="Book Antiqua" w:cs="Arial"/>
          <w:b/>
          <w:sz w:val="24"/>
          <w:szCs w:val="24"/>
        </w:rPr>
        <w:t>Performance characteristics</w:t>
      </w:r>
      <w:r w:rsidR="00002EA8" w:rsidRPr="00002EA8">
        <w:rPr>
          <w:rFonts w:ascii="Book Antiqua" w:hAnsi="Book Antiqua" w:cs="Arial" w:hint="eastAsia"/>
          <w:b/>
          <w:sz w:val="24"/>
          <w:szCs w:val="24"/>
        </w:rPr>
        <w:t>.</w:t>
      </w:r>
      <w:r w:rsidR="00002EA8" w:rsidRPr="00002EA8">
        <w:rPr>
          <w:rFonts w:ascii="Book Antiqua" w:hAnsi="Book Antiqua" w:cs="Arial"/>
          <w:b/>
          <w:sz w:val="24"/>
          <w:szCs w:val="24"/>
        </w:rPr>
        <w:t xml:space="preserve"> </w:t>
      </w:r>
      <w:r w:rsidR="000068C3" w:rsidRPr="000068C3">
        <w:rPr>
          <w:rFonts w:ascii="Book Antiqua" w:hAnsi="Book Antiqua" w:cs="Arial" w:hint="eastAsia"/>
          <w:sz w:val="24"/>
          <w:szCs w:val="24"/>
        </w:rPr>
        <w:t xml:space="preserve">A: </w:t>
      </w:r>
      <w:r w:rsidRPr="000068C3">
        <w:rPr>
          <w:rFonts w:ascii="Book Antiqua" w:hAnsi="Book Antiqua" w:cs="Arial"/>
          <w:sz w:val="24"/>
          <w:szCs w:val="24"/>
        </w:rPr>
        <w:t>Image of gastric intestinal metaplasia visualized by blue laser imaging with optical magnification</w:t>
      </w:r>
      <w:r w:rsidR="000068C3" w:rsidRPr="000068C3">
        <w:rPr>
          <w:rFonts w:ascii="Book Antiqua" w:hAnsi="Book Antiqua" w:cs="Arial" w:hint="eastAsia"/>
          <w:sz w:val="24"/>
          <w:szCs w:val="24"/>
        </w:rPr>
        <w:t xml:space="preserve">; B: </w:t>
      </w:r>
      <w:r w:rsidRPr="000068C3">
        <w:rPr>
          <w:rFonts w:ascii="Book Antiqua" w:hAnsi="Book Antiqua" w:cs="Arial"/>
          <w:sz w:val="24"/>
          <w:szCs w:val="24"/>
        </w:rPr>
        <w:t>Image of early gastric cancer visualized by blue laser imaging with optical magnification</w:t>
      </w:r>
      <w:r w:rsidR="00BC27C7" w:rsidRPr="000068C3">
        <w:rPr>
          <w:rFonts w:ascii="Book Antiqua" w:hAnsi="Book Antiqua" w:cs="Arial" w:hint="eastAsia"/>
          <w:sz w:val="24"/>
          <w:szCs w:val="24"/>
        </w:rPr>
        <w:t>.</w:t>
      </w:r>
    </w:p>
    <w:p w14:paraId="393F8313" w14:textId="77777777" w:rsidR="00BD3B65" w:rsidRPr="00B848F9" w:rsidRDefault="00BD3B65" w:rsidP="005E456A">
      <w:pPr>
        <w:spacing w:after="0" w:line="360" w:lineRule="auto"/>
        <w:jc w:val="both"/>
        <w:rPr>
          <w:rFonts w:ascii="Book Antiqua" w:hAnsi="Book Antiqua"/>
          <w:sz w:val="24"/>
          <w:szCs w:val="24"/>
        </w:rPr>
      </w:pPr>
    </w:p>
    <w:sectPr w:rsidR="00BD3B65" w:rsidRPr="00B848F9">
      <w:headerReference w:type="default" r:id="rId2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C3AA02" w14:textId="77777777" w:rsidR="00CE7E74" w:rsidRDefault="00CE7E74" w:rsidP="007F4F67">
      <w:pPr>
        <w:spacing w:after="0" w:line="240" w:lineRule="auto"/>
      </w:pPr>
      <w:r>
        <w:separator/>
      </w:r>
    </w:p>
  </w:endnote>
  <w:endnote w:type="continuationSeparator" w:id="0">
    <w:p w14:paraId="2F099E61" w14:textId="77777777" w:rsidR="00CE7E74" w:rsidRDefault="00CE7E74" w:rsidP="007F4F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宋体">
    <w:altName w:val="宋体"/>
    <w:charset w:val="50"/>
    <w:family w:val="auto"/>
    <w:pitch w:val="variable"/>
    <w:sig w:usb0="00000001" w:usb1="080E0000" w:usb2="00000010" w:usb3="00000000" w:csb0="00040000" w:csb1="00000000"/>
  </w:font>
  <w:font w:name="Tahoma">
    <w:panose1 w:val="020B0604030504040204"/>
    <w:charset w:val="00"/>
    <w:family w:val="auto"/>
    <w:pitch w:val="variable"/>
    <w:sig w:usb0="E1002AFF" w:usb1="C000605B" w:usb2="00000029" w:usb3="00000000" w:csb0="000101FF" w:csb1="00000000"/>
  </w:font>
  <w:font w:name="Book Antiqua">
    <w:panose1 w:val="020406020503050303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EC700A" w14:textId="77777777" w:rsidR="00CE7E74" w:rsidRDefault="00CE7E74" w:rsidP="007F4F67">
      <w:pPr>
        <w:spacing w:after="0" w:line="240" w:lineRule="auto"/>
      </w:pPr>
      <w:r>
        <w:separator/>
      </w:r>
    </w:p>
  </w:footnote>
  <w:footnote w:type="continuationSeparator" w:id="0">
    <w:p w14:paraId="740E3B9E" w14:textId="77777777" w:rsidR="00CE7E74" w:rsidRDefault="00CE7E74" w:rsidP="007F4F67">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6900668"/>
      <w:docPartObj>
        <w:docPartGallery w:val="Page Numbers (Top of Page)"/>
        <w:docPartUnique/>
      </w:docPartObj>
    </w:sdtPr>
    <w:sdtEndPr>
      <w:rPr>
        <w:noProof/>
      </w:rPr>
    </w:sdtEndPr>
    <w:sdtContent>
      <w:p w14:paraId="46D60A4F" w14:textId="77777777" w:rsidR="006D70AF" w:rsidRDefault="006D70AF">
        <w:pPr>
          <w:pStyle w:val="Header"/>
          <w:jc w:val="right"/>
        </w:pPr>
        <w:r>
          <w:fldChar w:fldCharType="begin"/>
        </w:r>
        <w:r>
          <w:instrText xml:space="preserve"> PAGE   \* MERGEFORMAT </w:instrText>
        </w:r>
        <w:r>
          <w:fldChar w:fldCharType="separate"/>
        </w:r>
        <w:r w:rsidR="00463082">
          <w:rPr>
            <w:noProof/>
          </w:rPr>
          <w:t>18</w:t>
        </w:r>
        <w:r>
          <w:rPr>
            <w:noProof/>
          </w:rPr>
          <w:fldChar w:fldCharType="end"/>
        </w:r>
      </w:p>
    </w:sdtContent>
  </w:sdt>
  <w:p w14:paraId="1C564F8B" w14:textId="77777777" w:rsidR="006D70AF" w:rsidRDefault="006D70AF">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E3503"/>
    <w:multiLevelType w:val="hybridMultilevel"/>
    <w:tmpl w:val="7A580696"/>
    <w:lvl w:ilvl="0" w:tplc="38DE0F36">
      <w:start w:val="1"/>
      <w:numFmt w:val="upperLetter"/>
      <w:lvlText w:val="(%1)"/>
      <w:lvlJc w:val="left"/>
      <w:pPr>
        <w:ind w:left="720" w:hanging="360"/>
      </w:pPr>
      <w:rPr>
        <w:rFonts w:hint="default"/>
      </w:rPr>
    </w:lvl>
    <w:lvl w:ilvl="1" w:tplc="48090005">
      <w:start w:val="1"/>
      <w:numFmt w:val="bullet"/>
      <w:lvlText w:val=""/>
      <w:lvlJc w:val="left"/>
      <w:pPr>
        <w:ind w:left="1440" w:hanging="360"/>
      </w:pPr>
      <w:rPr>
        <w:rFonts w:ascii="Wingdings" w:hAnsi="Wingdings" w:hint="default"/>
      </w:r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
    <w:nsid w:val="10856479"/>
    <w:multiLevelType w:val="hybridMultilevel"/>
    <w:tmpl w:val="5990595C"/>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
    <w:nsid w:val="13A42673"/>
    <w:multiLevelType w:val="hybridMultilevel"/>
    <w:tmpl w:val="8584C0AA"/>
    <w:lvl w:ilvl="0" w:tplc="48090019">
      <w:start w:val="1"/>
      <w:numFmt w:val="lowerLetter"/>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
    <w:nsid w:val="21225175"/>
    <w:multiLevelType w:val="hybridMultilevel"/>
    <w:tmpl w:val="95BCBC50"/>
    <w:lvl w:ilvl="0" w:tplc="4809000F">
      <w:start w:val="1"/>
      <w:numFmt w:val="decimal"/>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4">
    <w:nsid w:val="231C19D0"/>
    <w:multiLevelType w:val="hybridMultilevel"/>
    <w:tmpl w:val="C8E0E036"/>
    <w:lvl w:ilvl="0" w:tplc="4809000F">
      <w:start w:val="1"/>
      <w:numFmt w:val="decimal"/>
      <w:lvlText w:val="%1."/>
      <w:lvlJc w:val="left"/>
      <w:pPr>
        <w:ind w:left="720" w:hanging="360"/>
      </w:pPr>
      <w:rPr>
        <w:rFonts w:hint="default"/>
        <w:b w:val="0"/>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5">
    <w:nsid w:val="349F7565"/>
    <w:multiLevelType w:val="hybridMultilevel"/>
    <w:tmpl w:val="45121A40"/>
    <w:lvl w:ilvl="0" w:tplc="4809000F">
      <w:start w:val="1"/>
      <w:numFmt w:val="decimal"/>
      <w:lvlText w:val="%1."/>
      <w:lvlJc w:val="left"/>
      <w:pPr>
        <w:ind w:left="720" w:hanging="360"/>
      </w:pPr>
    </w:lvl>
    <w:lvl w:ilvl="1" w:tplc="48090019">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6">
    <w:nsid w:val="40246ACB"/>
    <w:multiLevelType w:val="hybridMultilevel"/>
    <w:tmpl w:val="BDF4D520"/>
    <w:lvl w:ilvl="0" w:tplc="9990D368">
      <w:start w:val="1"/>
      <w:numFmt w:val="decimal"/>
      <w:lvlText w:val="%1."/>
      <w:lvlJc w:val="left"/>
      <w:pPr>
        <w:ind w:left="1080" w:hanging="360"/>
      </w:pPr>
      <w:rPr>
        <w:rFonts w:hint="default"/>
      </w:rPr>
    </w:lvl>
    <w:lvl w:ilvl="1" w:tplc="48090019" w:tentative="1">
      <w:start w:val="1"/>
      <w:numFmt w:val="lowerLetter"/>
      <w:lvlText w:val="%2."/>
      <w:lvlJc w:val="left"/>
      <w:pPr>
        <w:ind w:left="1800" w:hanging="360"/>
      </w:pPr>
    </w:lvl>
    <w:lvl w:ilvl="2" w:tplc="4809001B" w:tentative="1">
      <w:start w:val="1"/>
      <w:numFmt w:val="lowerRoman"/>
      <w:lvlText w:val="%3."/>
      <w:lvlJc w:val="right"/>
      <w:pPr>
        <w:ind w:left="2520" w:hanging="180"/>
      </w:pPr>
    </w:lvl>
    <w:lvl w:ilvl="3" w:tplc="4809000F" w:tentative="1">
      <w:start w:val="1"/>
      <w:numFmt w:val="decimal"/>
      <w:lvlText w:val="%4."/>
      <w:lvlJc w:val="left"/>
      <w:pPr>
        <w:ind w:left="3240" w:hanging="360"/>
      </w:pPr>
    </w:lvl>
    <w:lvl w:ilvl="4" w:tplc="48090019" w:tentative="1">
      <w:start w:val="1"/>
      <w:numFmt w:val="lowerLetter"/>
      <w:lvlText w:val="%5."/>
      <w:lvlJc w:val="left"/>
      <w:pPr>
        <w:ind w:left="3960" w:hanging="360"/>
      </w:pPr>
    </w:lvl>
    <w:lvl w:ilvl="5" w:tplc="4809001B" w:tentative="1">
      <w:start w:val="1"/>
      <w:numFmt w:val="lowerRoman"/>
      <w:lvlText w:val="%6."/>
      <w:lvlJc w:val="right"/>
      <w:pPr>
        <w:ind w:left="4680" w:hanging="180"/>
      </w:pPr>
    </w:lvl>
    <w:lvl w:ilvl="6" w:tplc="4809000F" w:tentative="1">
      <w:start w:val="1"/>
      <w:numFmt w:val="decimal"/>
      <w:lvlText w:val="%7."/>
      <w:lvlJc w:val="left"/>
      <w:pPr>
        <w:ind w:left="5400" w:hanging="360"/>
      </w:pPr>
    </w:lvl>
    <w:lvl w:ilvl="7" w:tplc="48090019" w:tentative="1">
      <w:start w:val="1"/>
      <w:numFmt w:val="lowerLetter"/>
      <w:lvlText w:val="%8."/>
      <w:lvlJc w:val="left"/>
      <w:pPr>
        <w:ind w:left="6120" w:hanging="360"/>
      </w:pPr>
    </w:lvl>
    <w:lvl w:ilvl="8" w:tplc="4809001B" w:tentative="1">
      <w:start w:val="1"/>
      <w:numFmt w:val="lowerRoman"/>
      <w:lvlText w:val="%9."/>
      <w:lvlJc w:val="right"/>
      <w:pPr>
        <w:ind w:left="6840" w:hanging="180"/>
      </w:pPr>
    </w:lvl>
  </w:abstractNum>
  <w:abstractNum w:abstractNumId="7">
    <w:nsid w:val="42C413AB"/>
    <w:multiLevelType w:val="hybridMultilevel"/>
    <w:tmpl w:val="7534DF50"/>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8">
    <w:nsid w:val="5D111B98"/>
    <w:multiLevelType w:val="hybridMultilevel"/>
    <w:tmpl w:val="ED8CD088"/>
    <w:lvl w:ilvl="0" w:tplc="48090019">
      <w:start w:val="1"/>
      <w:numFmt w:val="lowerLetter"/>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9">
    <w:nsid w:val="5FA16E16"/>
    <w:multiLevelType w:val="hybridMultilevel"/>
    <w:tmpl w:val="843680EA"/>
    <w:lvl w:ilvl="0" w:tplc="441A04E8">
      <w:start w:val="1"/>
      <w:numFmt w:val="lowerLetter"/>
      <w:lvlText w:val="%1."/>
      <w:lvlJc w:val="left"/>
      <w:pPr>
        <w:ind w:left="1080" w:hanging="360"/>
      </w:pPr>
      <w:rPr>
        <w:rFonts w:hint="default"/>
      </w:rPr>
    </w:lvl>
    <w:lvl w:ilvl="1" w:tplc="48090019" w:tentative="1">
      <w:start w:val="1"/>
      <w:numFmt w:val="lowerLetter"/>
      <w:lvlText w:val="%2."/>
      <w:lvlJc w:val="left"/>
      <w:pPr>
        <w:ind w:left="1800" w:hanging="360"/>
      </w:pPr>
    </w:lvl>
    <w:lvl w:ilvl="2" w:tplc="4809001B" w:tentative="1">
      <w:start w:val="1"/>
      <w:numFmt w:val="lowerRoman"/>
      <w:lvlText w:val="%3."/>
      <w:lvlJc w:val="right"/>
      <w:pPr>
        <w:ind w:left="2520" w:hanging="180"/>
      </w:pPr>
    </w:lvl>
    <w:lvl w:ilvl="3" w:tplc="4809000F" w:tentative="1">
      <w:start w:val="1"/>
      <w:numFmt w:val="decimal"/>
      <w:lvlText w:val="%4."/>
      <w:lvlJc w:val="left"/>
      <w:pPr>
        <w:ind w:left="3240" w:hanging="360"/>
      </w:pPr>
    </w:lvl>
    <w:lvl w:ilvl="4" w:tplc="48090019" w:tentative="1">
      <w:start w:val="1"/>
      <w:numFmt w:val="lowerLetter"/>
      <w:lvlText w:val="%5."/>
      <w:lvlJc w:val="left"/>
      <w:pPr>
        <w:ind w:left="3960" w:hanging="360"/>
      </w:pPr>
    </w:lvl>
    <w:lvl w:ilvl="5" w:tplc="4809001B" w:tentative="1">
      <w:start w:val="1"/>
      <w:numFmt w:val="lowerRoman"/>
      <w:lvlText w:val="%6."/>
      <w:lvlJc w:val="right"/>
      <w:pPr>
        <w:ind w:left="4680" w:hanging="180"/>
      </w:pPr>
    </w:lvl>
    <w:lvl w:ilvl="6" w:tplc="4809000F" w:tentative="1">
      <w:start w:val="1"/>
      <w:numFmt w:val="decimal"/>
      <w:lvlText w:val="%7."/>
      <w:lvlJc w:val="left"/>
      <w:pPr>
        <w:ind w:left="5400" w:hanging="360"/>
      </w:pPr>
    </w:lvl>
    <w:lvl w:ilvl="7" w:tplc="48090019" w:tentative="1">
      <w:start w:val="1"/>
      <w:numFmt w:val="lowerLetter"/>
      <w:lvlText w:val="%8."/>
      <w:lvlJc w:val="left"/>
      <w:pPr>
        <w:ind w:left="6120" w:hanging="360"/>
      </w:pPr>
    </w:lvl>
    <w:lvl w:ilvl="8" w:tplc="4809001B" w:tentative="1">
      <w:start w:val="1"/>
      <w:numFmt w:val="lowerRoman"/>
      <w:lvlText w:val="%9."/>
      <w:lvlJc w:val="right"/>
      <w:pPr>
        <w:ind w:left="6840" w:hanging="180"/>
      </w:pPr>
    </w:lvl>
  </w:abstractNum>
  <w:abstractNum w:abstractNumId="10">
    <w:nsid w:val="731F4D3E"/>
    <w:multiLevelType w:val="hybridMultilevel"/>
    <w:tmpl w:val="B45A5B1E"/>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1">
    <w:nsid w:val="7D840247"/>
    <w:multiLevelType w:val="hybridMultilevel"/>
    <w:tmpl w:val="1A84C3B4"/>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6"/>
  </w:num>
  <w:num w:numId="4">
    <w:abstractNumId w:val="3"/>
  </w:num>
  <w:num w:numId="5">
    <w:abstractNumId w:val="9"/>
  </w:num>
  <w:num w:numId="6">
    <w:abstractNumId w:val="1"/>
  </w:num>
  <w:num w:numId="7">
    <w:abstractNumId w:val="10"/>
  </w:num>
  <w:num w:numId="8">
    <w:abstractNumId w:val="2"/>
  </w:num>
  <w:num w:numId="9">
    <w:abstractNumId w:val="4"/>
  </w:num>
  <w:num w:numId="10">
    <w:abstractNumId w:val="7"/>
  </w:num>
  <w:num w:numId="11">
    <w:abstractNumId w:val="5"/>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5254"/>
    <w:rsid w:val="00000077"/>
    <w:rsid w:val="00000BE5"/>
    <w:rsid w:val="000013E0"/>
    <w:rsid w:val="0000211B"/>
    <w:rsid w:val="00002503"/>
    <w:rsid w:val="00002943"/>
    <w:rsid w:val="00002EA8"/>
    <w:rsid w:val="00004BC2"/>
    <w:rsid w:val="000068C3"/>
    <w:rsid w:val="00007684"/>
    <w:rsid w:val="00007940"/>
    <w:rsid w:val="0002190B"/>
    <w:rsid w:val="000232BB"/>
    <w:rsid w:val="000300F2"/>
    <w:rsid w:val="00033535"/>
    <w:rsid w:val="00033B37"/>
    <w:rsid w:val="00041769"/>
    <w:rsid w:val="00044615"/>
    <w:rsid w:val="00050451"/>
    <w:rsid w:val="00050811"/>
    <w:rsid w:val="000510E6"/>
    <w:rsid w:val="00052799"/>
    <w:rsid w:val="00052FD1"/>
    <w:rsid w:val="00053363"/>
    <w:rsid w:val="00055614"/>
    <w:rsid w:val="00060798"/>
    <w:rsid w:val="00060B44"/>
    <w:rsid w:val="000612C8"/>
    <w:rsid w:val="00062795"/>
    <w:rsid w:val="00062A06"/>
    <w:rsid w:val="000747C1"/>
    <w:rsid w:val="000776F4"/>
    <w:rsid w:val="0008251C"/>
    <w:rsid w:val="00083386"/>
    <w:rsid w:val="00083E75"/>
    <w:rsid w:val="00085B0E"/>
    <w:rsid w:val="00087FC5"/>
    <w:rsid w:val="000961B8"/>
    <w:rsid w:val="00097C18"/>
    <w:rsid w:val="000A2B7A"/>
    <w:rsid w:val="000A3F7F"/>
    <w:rsid w:val="000A53C5"/>
    <w:rsid w:val="000A560E"/>
    <w:rsid w:val="000A56E5"/>
    <w:rsid w:val="000A5842"/>
    <w:rsid w:val="000A6D61"/>
    <w:rsid w:val="000A7BD0"/>
    <w:rsid w:val="000A7E4D"/>
    <w:rsid w:val="000B1F65"/>
    <w:rsid w:val="000B61A2"/>
    <w:rsid w:val="000B62DA"/>
    <w:rsid w:val="000B7277"/>
    <w:rsid w:val="000B7499"/>
    <w:rsid w:val="000B74EE"/>
    <w:rsid w:val="000B774B"/>
    <w:rsid w:val="000C0A7E"/>
    <w:rsid w:val="000C0EDB"/>
    <w:rsid w:val="000C16E2"/>
    <w:rsid w:val="000C1BA8"/>
    <w:rsid w:val="000C349D"/>
    <w:rsid w:val="000D00D8"/>
    <w:rsid w:val="000D044C"/>
    <w:rsid w:val="000D1708"/>
    <w:rsid w:val="000D2783"/>
    <w:rsid w:val="000D3231"/>
    <w:rsid w:val="000E1AE0"/>
    <w:rsid w:val="000E45F5"/>
    <w:rsid w:val="000E799D"/>
    <w:rsid w:val="000F0BFB"/>
    <w:rsid w:val="000F1478"/>
    <w:rsid w:val="000F3695"/>
    <w:rsid w:val="000F6EE2"/>
    <w:rsid w:val="00100811"/>
    <w:rsid w:val="00104861"/>
    <w:rsid w:val="00105495"/>
    <w:rsid w:val="00107249"/>
    <w:rsid w:val="00110BFA"/>
    <w:rsid w:val="00114B5F"/>
    <w:rsid w:val="00115935"/>
    <w:rsid w:val="00116C97"/>
    <w:rsid w:val="001217A2"/>
    <w:rsid w:val="00124466"/>
    <w:rsid w:val="0012511E"/>
    <w:rsid w:val="00127164"/>
    <w:rsid w:val="00130221"/>
    <w:rsid w:val="001326C1"/>
    <w:rsid w:val="001328D8"/>
    <w:rsid w:val="00135C6D"/>
    <w:rsid w:val="001407D2"/>
    <w:rsid w:val="00142210"/>
    <w:rsid w:val="0014531B"/>
    <w:rsid w:val="0014640A"/>
    <w:rsid w:val="00150707"/>
    <w:rsid w:val="001547A6"/>
    <w:rsid w:val="0016515B"/>
    <w:rsid w:val="001658A4"/>
    <w:rsid w:val="0016691A"/>
    <w:rsid w:val="001703FC"/>
    <w:rsid w:val="00172401"/>
    <w:rsid w:val="00176069"/>
    <w:rsid w:val="001770D1"/>
    <w:rsid w:val="00183425"/>
    <w:rsid w:val="00184DA9"/>
    <w:rsid w:val="00191A0C"/>
    <w:rsid w:val="00194C0B"/>
    <w:rsid w:val="0019562A"/>
    <w:rsid w:val="00195BC9"/>
    <w:rsid w:val="00196B7F"/>
    <w:rsid w:val="001A2893"/>
    <w:rsid w:val="001A40F3"/>
    <w:rsid w:val="001A75A7"/>
    <w:rsid w:val="001B5254"/>
    <w:rsid w:val="001C0C4E"/>
    <w:rsid w:val="001C3079"/>
    <w:rsid w:val="001C34CD"/>
    <w:rsid w:val="001C4E2B"/>
    <w:rsid w:val="001C727C"/>
    <w:rsid w:val="001C7433"/>
    <w:rsid w:val="001D0883"/>
    <w:rsid w:val="001D16C2"/>
    <w:rsid w:val="001D2076"/>
    <w:rsid w:val="001D54B3"/>
    <w:rsid w:val="001D59DF"/>
    <w:rsid w:val="001D613A"/>
    <w:rsid w:val="001E58D7"/>
    <w:rsid w:val="001E7122"/>
    <w:rsid w:val="001F1B85"/>
    <w:rsid w:val="001F67FC"/>
    <w:rsid w:val="001F743B"/>
    <w:rsid w:val="00201471"/>
    <w:rsid w:val="00201EA7"/>
    <w:rsid w:val="002039C3"/>
    <w:rsid w:val="00204CAE"/>
    <w:rsid w:val="002061CF"/>
    <w:rsid w:val="00206D96"/>
    <w:rsid w:val="00211529"/>
    <w:rsid w:val="0021305F"/>
    <w:rsid w:val="00215D9F"/>
    <w:rsid w:val="00216FAF"/>
    <w:rsid w:val="00217053"/>
    <w:rsid w:val="00217D5D"/>
    <w:rsid w:val="0022161D"/>
    <w:rsid w:val="002255D6"/>
    <w:rsid w:val="002266D7"/>
    <w:rsid w:val="00230602"/>
    <w:rsid w:val="002330AE"/>
    <w:rsid w:val="00236908"/>
    <w:rsid w:val="00246E48"/>
    <w:rsid w:val="002476E1"/>
    <w:rsid w:val="002552B3"/>
    <w:rsid w:val="00256F71"/>
    <w:rsid w:val="00264985"/>
    <w:rsid w:val="002669A4"/>
    <w:rsid w:val="002671EE"/>
    <w:rsid w:val="00272A6C"/>
    <w:rsid w:val="002734B9"/>
    <w:rsid w:val="00281E10"/>
    <w:rsid w:val="0028680F"/>
    <w:rsid w:val="00290CD6"/>
    <w:rsid w:val="0029727B"/>
    <w:rsid w:val="002A45CC"/>
    <w:rsid w:val="002A7973"/>
    <w:rsid w:val="002A7F2C"/>
    <w:rsid w:val="002B1F54"/>
    <w:rsid w:val="002B22A6"/>
    <w:rsid w:val="002B3114"/>
    <w:rsid w:val="002B438F"/>
    <w:rsid w:val="002B54EA"/>
    <w:rsid w:val="002B7298"/>
    <w:rsid w:val="002B744D"/>
    <w:rsid w:val="002C1B7E"/>
    <w:rsid w:val="002C311F"/>
    <w:rsid w:val="002C418A"/>
    <w:rsid w:val="002C6AC0"/>
    <w:rsid w:val="002D4EF0"/>
    <w:rsid w:val="002D4F98"/>
    <w:rsid w:val="002E2135"/>
    <w:rsid w:val="002E48C5"/>
    <w:rsid w:val="002E5B39"/>
    <w:rsid w:val="002F43CC"/>
    <w:rsid w:val="002F615C"/>
    <w:rsid w:val="00301B0B"/>
    <w:rsid w:val="003023B4"/>
    <w:rsid w:val="00302775"/>
    <w:rsid w:val="00304A89"/>
    <w:rsid w:val="00310069"/>
    <w:rsid w:val="00313EDB"/>
    <w:rsid w:val="00314275"/>
    <w:rsid w:val="003160E0"/>
    <w:rsid w:val="0032160B"/>
    <w:rsid w:val="0032448A"/>
    <w:rsid w:val="00325DAE"/>
    <w:rsid w:val="003260BD"/>
    <w:rsid w:val="003301B6"/>
    <w:rsid w:val="0033057E"/>
    <w:rsid w:val="003316D9"/>
    <w:rsid w:val="00340865"/>
    <w:rsid w:val="003453F5"/>
    <w:rsid w:val="00346E6A"/>
    <w:rsid w:val="00351ED1"/>
    <w:rsid w:val="003575E7"/>
    <w:rsid w:val="00361A95"/>
    <w:rsid w:val="00363D9D"/>
    <w:rsid w:val="0036662F"/>
    <w:rsid w:val="0037160E"/>
    <w:rsid w:val="00371A92"/>
    <w:rsid w:val="00375373"/>
    <w:rsid w:val="0038264A"/>
    <w:rsid w:val="00383512"/>
    <w:rsid w:val="0039088A"/>
    <w:rsid w:val="003929A8"/>
    <w:rsid w:val="003A254B"/>
    <w:rsid w:val="003A32C6"/>
    <w:rsid w:val="003A7D65"/>
    <w:rsid w:val="003B4C28"/>
    <w:rsid w:val="003C1AB8"/>
    <w:rsid w:val="003D0F49"/>
    <w:rsid w:val="003D24A5"/>
    <w:rsid w:val="003D520F"/>
    <w:rsid w:val="003E13AB"/>
    <w:rsid w:val="003E5A0E"/>
    <w:rsid w:val="003E681A"/>
    <w:rsid w:val="003F7C99"/>
    <w:rsid w:val="00401E62"/>
    <w:rsid w:val="00403E3D"/>
    <w:rsid w:val="0041084D"/>
    <w:rsid w:val="004116A3"/>
    <w:rsid w:val="00414E1C"/>
    <w:rsid w:val="00415E24"/>
    <w:rsid w:val="00416DBA"/>
    <w:rsid w:val="004179B6"/>
    <w:rsid w:val="00421C23"/>
    <w:rsid w:val="00425F78"/>
    <w:rsid w:val="004325C3"/>
    <w:rsid w:val="004325E0"/>
    <w:rsid w:val="00435610"/>
    <w:rsid w:val="004358BB"/>
    <w:rsid w:val="00441745"/>
    <w:rsid w:val="004459A8"/>
    <w:rsid w:val="00447DDF"/>
    <w:rsid w:val="004537E9"/>
    <w:rsid w:val="0045695E"/>
    <w:rsid w:val="004577E8"/>
    <w:rsid w:val="00463082"/>
    <w:rsid w:val="00463F92"/>
    <w:rsid w:val="00464538"/>
    <w:rsid w:val="0046515C"/>
    <w:rsid w:val="00477343"/>
    <w:rsid w:val="00477634"/>
    <w:rsid w:val="004779F9"/>
    <w:rsid w:val="00485274"/>
    <w:rsid w:val="00494623"/>
    <w:rsid w:val="00495ABA"/>
    <w:rsid w:val="004A20D2"/>
    <w:rsid w:val="004A431B"/>
    <w:rsid w:val="004B033D"/>
    <w:rsid w:val="004B19AD"/>
    <w:rsid w:val="004B3E62"/>
    <w:rsid w:val="004B6C57"/>
    <w:rsid w:val="004C73FF"/>
    <w:rsid w:val="004D13B5"/>
    <w:rsid w:val="004D229B"/>
    <w:rsid w:val="004D4BE1"/>
    <w:rsid w:val="004D5BBE"/>
    <w:rsid w:val="004E22C7"/>
    <w:rsid w:val="004E3A36"/>
    <w:rsid w:val="004E3FF0"/>
    <w:rsid w:val="004E6BDF"/>
    <w:rsid w:val="004E7CA6"/>
    <w:rsid w:val="004E7E7D"/>
    <w:rsid w:val="004F2D25"/>
    <w:rsid w:val="00500D63"/>
    <w:rsid w:val="005014D6"/>
    <w:rsid w:val="0050552C"/>
    <w:rsid w:val="0050654D"/>
    <w:rsid w:val="00510725"/>
    <w:rsid w:val="005147A8"/>
    <w:rsid w:val="00517C00"/>
    <w:rsid w:val="00517E68"/>
    <w:rsid w:val="00520D23"/>
    <w:rsid w:val="00524498"/>
    <w:rsid w:val="00525874"/>
    <w:rsid w:val="00526459"/>
    <w:rsid w:val="00532CA0"/>
    <w:rsid w:val="0053362F"/>
    <w:rsid w:val="00534501"/>
    <w:rsid w:val="00535EB2"/>
    <w:rsid w:val="00544536"/>
    <w:rsid w:val="00545626"/>
    <w:rsid w:val="00552F7B"/>
    <w:rsid w:val="00553231"/>
    <w:rsid w:val="005536E6"/>
    <w:rsid w:val="00554510"/>
    <w:rsid w:val="0055587E"/>
    <w:rsid w:val="005563F8"/>
    <w:rsid w:val="0055646F"/>
    <w:rsid w:val="00557DFA"/>
    <w:rsid w:val="00560B3F"/>
    <w:rsid w:val="00566F96"/>
    <w:rsid w:val="005679C7"/>
    <w:rsid w:val="0057124A"/>
    <w:rsid w:val="00572845"/>
    <w:rsid w:val="005732F6"/>
    <w:rsid w:val="00577505"/>
    <w:rsid w:val="00577A31"/>
    <w:rsid w:val="00590437"/>
    <w:rsid w:val="005911AC"/>
    <w:rsid w:val="00594B49"/>
    <w:rsid w:val="00594BBC"/>
    <w:rsid w:val="00595649"/>
    <w:rsid w:val="00596E7C"/>
    <w:rsid w:val="005A04DF"/>
    <w:rsid w:val="005A2642"/>
    <w:rsid w:val="005A3B29"/>
    <w:rsid w:val="005B2B8D"/>
    <w:rsid w:val="005B303E"/>
    <w:rsid w:val="005B79B9"/>
    <w:rsid w:val="005B7A36"/>
    <w:rsid w:val="005C0F56"/>
    <w:rsid w:val="005C173E"/>
    <w:rsid w:val="005C18EC"/>
    <w:rsid w:val="005C1FE8"/>
    <w:rsid w:val="005C3AA8"/>
    <w:rsid w:val="005C3CF7"/>
    <w:rsid w:val="005D08D3"/>
    <w:rsid w:val="005D6127"/>
    <w:rsid w:val="005D71F5"/>
    <w:rsid w:val="005E3688"/>
    <w:rsid w:val="005E3903"/>
    <w:rsid w:val="005E456A"/>
    <w:rsid w:val="005E7C58"/>
    <w:rsid w:val="005F35BF"/>
    <w:rsid w:val="005F3EBF"/>
    <w:rsid w:val="00600D7F"/>
    <w:rsid w:val="006016F7"/>
    <w:rsid w:val="00603892"/>
    <w:rsid w:val="00615EC5"/>
    <w:rsid w:val="00620589"/>
    <w:rsid w:val="00621700"/>
    <w:rsid w:val="00622CE9"/>
    <w:rsid w:val="00624907"/>
    <w:rsid w:val="00631157"/>
    <w:rsid w:val="00631210"/>
    <w:rsid w:val="00633841"/>
    <w:rsid w:val="0064263D"/>
    <w:rsid w:val="00642E7E"/>
    <w:rsid w:val="00644A76"/>
    <w:rsid w:val="00650424"/>
    <w:rsid w:val="00650B37"/>
    <w:rsid w:val="00650BC8"/>
    <w:rsid w:val="00650CA1"/>
    <w:rsid w:val="00654155"/>
    <w:rsid w:val="006571B2"/>
    <w:rsid w:val="00667888"/>
    <w:rsid w:val="00667E5D"/>
    <w:rsid w:val="00671EB1"/>
    <w:rsid w:val="006744E3"/>
    <w:rsid w:val="00674E76"/>
    <w:rsid w:val="00683B45"/>
    <w:rsid w:val="0068415D"/>
    <w:rsid w:val="00687B68"/>
    <w:rsid w:val="00693BFA"/>
    <w:rsid w:val="0069643A"/>
    <w:rsid w:val="006A0291"/>
    <w:rsid w:val="006A2192"/>
    <w:rsid w:val="006A46F0"/>
    <w:rsid w:val="006A592B"/>
    <w:rsid w:val="006A753A"/>
    <w:rsid w:val="006B175C"/>
    <w:rsid w:val="006B338F"/>
    <w:rsid w:val="006B3EA3"/>
    <w:rsid w:val="006B42FB"/>
    <w:rsid w:val="006B43F7"/>
    <w:rsid w:val="006B4A22"/>
    <w:rsid w:val="006B5AC8"/>
    <w:rsid w:val="006B63BB"/>
    <w:rsid w:val="006C293C"/>
    <w:rsid w:val="006C3D37"/>
    <w:rsid w:val="006C4EC5"/>
    <w:rsid w:val="006D198C"/>
    <w:rsid w:val="006D1BA5"/>
    <w:rsid w:val="006D3530"/>
    <w:rsid w:val="006D52E7"/>
    <w:rsid w:val="006D70AF"/>
    <w:rsid w:val="006D71F7"/>
    <w:rsid w:val="006E56C3"/>
    <w:rsid w:val="006F195F"/>
    <w:rsid w:val="006F2715"/>
    <w:rsid w:val="006F2846"/>
    <w:rsid w:val="006F382F"/>
    <w:rsid w:val="006F4448"/>
    <w:rsid w:val="006F4CA1"/>
    <w:rsid w:val="00702D48"/>
    <w:rsid w:val="00704789"/>
    <w:rsid w:val="007067DD"/>
    <w:rsid w:val="007078F9"/>
    <w:rsid w:val="00707A7A"/>
    <w:rsid w:val="00722CE7"/>
    <w:rsid w:val="007258C9"/>
    <w:rsid w:val="0073168B"/>
    <w:rsid w:val="0073356F"/>
    <w:rsid w:val="00734695"/>
    <w:rsid w:val="007358B0"/>
    <w:rsid w:val="00743B78"/>
    <w:rsid w:val="00743BA6"/>
    <w:rsid w:val="00745E26"/>
    <w:rsid w:val="00755E9F"/>
    <w:rsid w:val="00756D7A"/>
    <w:rsid w:val="00756F40"/>
    <w:rsid w:val="00760324"/>
    <w:rsid w:val="00766BCA"/>
    <w:rsid w:val="007678A9"/>
    <w:rsid w:val="00770E43"/>
    <w:rsid w:val="00773105"/>
    <w:rsid w:val="00773CDF"/>
    <w:rsid w:val="007822B3"/>
    <w:rsid w:val="00782BE2"/>
    <w:rsid w:val="0078413E"/>
    <w:rsid w:val="00784D8E"/>
    <w:rsid w:val="00785082"/>
    <w:rsid w:val="00792982"/>
    <w:rsid w:val="0079331A"/>
    <w:rsid w:val="007A0242"/>
    <w:rsid w:val="007A439C"/>
    <w:rsid w:val="007A7BBA"/>
    <w:rsid w:val="007B194F"/>
    <w:rsid w:val="007C0132"/>
    <w:rsid w:val="007C2F8E"/>
    <w:rsid w:val="007C5322"/>
    <w:rsid w:val="007D0DA6"/>
    <w:rsid w:val="007D10E9"/>
    <w:rsid w:val="007D156A"/>
    <w:rsid w:val="007D2A02"/>
    <w:rsid w:val="007D5C50"/>
    <w:rsid w:val="007D6D6F"/>
    <w:rsid w:val="007D7220"/>
    <w:rsid w:val="007E33B6"/>
    <w:rsid w:val="007E4897"/>
    <w:rsid w:val="007F1084"/>
    <w:rsid w:val="007F11B6"/>
    <w:rsid w:val="007F1963"/>
    <w:rsid w:val="007F4F67"/>
    <w:rsid w:val="007F50CE"/>
    <w:rsid w:val="007F65FC"/>
    <w:rsid w:val="007F74A2"/>
    <w:rsid w:val="0080474D"/>
    <w:rsid w:val="008055D3"/>
    <w:rsid w:val="0081316B"/>
    <w:rsid w:val="008139F7"/>
    <w:rsid w:val="008171D3"/>
    <w:rsid w:val="00823CA4"/>
    <w:rsid w:val="00830970"/>
    <w:rsid w:val="00832197"/>
    <w:rsid w:val="008321E3"/>
    <w:rsid w:val="00833272"/>
    <w:rsid w:val="00845B76"/>
    <w:rsid w:val="008537EA"/>
    <w:rsid w:val="00863A8A"/>
    <w:rsid w:val="0086546A"/>
    <w:rsid w:val="00865A9E"/>
    <w:rsid w:val="00865AFA"/>
    <w:rsid w:val="00870045"/>
    <w:rsid w:val="00873EC8"/>
    <w:rsid w:val="008743C5"/>
    <w:rsid w:val="00874CBD"/>
    <w:rsid w:val="008766DE"/>
    <w:rsid w:val="00876BF7"/>
    <w:rsid w:val="0088309F"/>
    <w:rsid w:val="00885006"/>
    <w:rsid w:val="00894D66"/>
    <w:rsid w:val="0089673A"/>
    <w:rsid w:val="008975A7"/>
    <w:rsid w:val="008A12F8"/>
    <w:rsid w:val="008A3098"/>
    <w:rsid w:val="008A604B"/>
    <w:rsid w:val="008B3592"/>
    <w:rsid w:val="008B391F"/>
    <w:rsid w:val="008B4AA5"/>
    <w:rsid w:val="008C043D"/>
    <w:rsid w:val="008C25A7"/>
    <w:rsid w:val="008C50CD"/>
    <w:rsid w:val="008C758E"/>
    <w:rsid w:val="008E3161"/>
    <w:rsid w:val="008E4BC7"/>
    <w:rsid w:val="008E61DB"/>
    <w:rsid w:val="008E6590"/>
    <w:rsid w:val="008F01B0"/>
    <w:rsid w:val="008F36D6"/>
    <w:rsid w:val="008F75D6"/>
    <w:rsid w:val="00901210"/>
    <w:rsid w:val="00903600"/>
    <w:rsid w:val="0090535B"/>
    <w:rsid w:val="009073B7"/>
    <w:rsid w:val="0091570A"/>
    <w:rsid w:val="009244C6"/>
    <w:rsid w:val="00924D82"/>
    <w:rsid w:val="009301F1"/>
    <w:rsid w:val="00941BB0"/>
    <w:rsid w:val="00942428"/>
    <w:rsid w:val="009462B2"/>
    <w:rsid w:val="009477B6"/>
    <w:rsid w:val="0095123E"/>
    <w:rsid w:val="00952A71"/>
    <w:rsid w:val="00952C9E"/>
    <w:rsid w:val="00957564"/>
    <w:rsid w:val="00960457"/>
    <w:rsid w:val="00963874"/>
    <w:rsid w:val="00965313"/>
    <w:rsid w:val="009665D5"/>
    <w:rsid w:val="00973ADF"/>
    <w:rsid w:val="00975A31"/>
    <w:rsid w:val="00977475"/>
    <w:rsid w:val="00977DC8"/>
    <w:rsid w:val="00982B1B"/>
    <w:rsid w:val="00984258"/>
    <w:rsid w:val="00985F17"/>
    <w:rsid w:val="009904C5"/>
    <w:rsid w:val="0099247A"/>
    <w:rsid w:val="00992B3C"/>
    <w:rsid w:val="0099773D"/>
    <w:rsid w:val="00997A55"/>
    <w:rsid w:val="009A184B"/>
    <w:rsid w:val="009A2F25"/>
    <w:rsid w:val="009A6E8A"/>
    <w:rsid w:val="009B39E6"/>
    <w:rsid w:val="009B544E"/>
    <w:rsid w:val="009B7B3D"/>
    <w:rsid w:val="009B7CF9"/>
    <w:rsid w:val="009C0228"/>
    <w:rsid w:val="009C0ACB"/>
    <w:rsid w:val="009C69D5"/>
    <w:rsid w:val="009C6BD9"/>
    <w:rsid w:val="009D05DE"/>
    <w:rsid w:val="009D56ED"/>
    <w:rsid w:val="009D5D48"/>
    <w:rsid w:val="009E000F"/>
    <w:rsid w:val="009E00C0"/>
    <w:rsid w:val="009E5EFE"/>
    <w:rsid w:val="009F1CAF"/>
    <w:rsid w:val="009F510C"/>
    <w:rsid w:val="00A003CF"/>
    <w:rsid w:val="00A00A5D"/>
    <w:rsid w:val="00A03F1F"/>
    <w:rsid w:val="00A04606"/>
    <w:rsid w:val="00A051B0"/>
    <w:rsid w:val="00A075CF"/>
    <w:rsid w:val="00A10C08"/>
    <w:rsid w:val="00A10EFE"/>
    <w:rsid w:val="00A13CE2"/>
    <w:rsid w:val="00A1567A"/>
    <w:rsid w:val="00A23886"/>
    <w:rsid w:val="00A25C12"/>
    <w:rsid w:val="00A25FE3"/>
    <w:rsid w:val="00A26D2B"/>
    <w:rsid w:val="00A27D29"/>
    <w:rsid w:val="00A31804"/>
    <w:rsid w:val="00A33D9C"/>
    <w:rsid w:val="00A37396"/>
    <w:rsid w:val="00A40C08"/>
    <w:rsid w:val="00A42AD5"/>
    <w:rsid w:val="00A447D0"/>
    <w:rsid w:val="00A462D1"/>
    <w:rsid w:val="00A50983"/>
    <w:rsid w:val="00A50D50"/>
    <w:rsid w:val="00A525CC"/>
    <w:rsid w:val="00A57972"/>
    <w:rsid w:val="00A609D1"/>
    <w:rsid w:val="00A6337E"/>
    <w:rsid w:val="00A638CC"/>
    <w:rsid w:val="00A64F9A"/>
    <w:rsid w:val="00A6747E"/>
    <w:rsid w:val="00A70680"/>
    <w:rsid w:val="00A75C76"/>
    <w:rsid w:val="00A8153F"/>
    <w:rsid w:val="00A8173E"/>
    <w:rsid w:val="00A8247B"/>
    <w:rsid w:val="00A83DE6"/>
    <w:rsid w:val="00A849E6"/>
    <w:rsid w:val="00A907BE"/>
    <w:rsid w:val="00A940F8"/>
    <w:rsid w:val="00A97E73"/>
    <w:rsid w:val="00AA1A4F"/>
    <w:rsid w:val="00AA42C9"/>
    <w:rsid w:val="00AA62BD"/>
    <w:rsid w:val="00AB2356"/>
    <w:rsid w:val="00AB2A39"/>
    <w:rsid w:val="00AB45FE"/>
    <w:rsid w:val="00AB626B"/>
    <w:rsid w:val="00AB6DAB"/>
    <w:rsid w:val="00AB7B33"/>
    <w:rsid w:val="00AC0447"/>
    <w:rsid w:val="00AC3BAA"/>
    <w:rsid w:val="00AC4483"/>
    <w:rsid w:val="00AC6954"/>
    <w:rsid w:val="00AD0E2B"/>
    <w:rsid w:val="00AD203C"/>
    <w:rsid w:val="00AD3FE3"/>
    <w:rsid w:val="00AD6D38"/>
    <w:rsid w:val="00AD6FD6"/>
    <w:rsid w:val="00AE2F72"/>
    <w:rsid w:val="00AE5E24"/>
    <w:rsid w:val="00AE7FA0"/>
    <w:rsid w:val="00AF11FC"/>
    <w:rsid w:val="00AF78E5"/>
    <w:rsid w:val="00B009D1"/>
    <w:rsid w:val="00B10ABB"/>
    <w:rsid w:val="00B113C9"/>
    <w:rsid w:val="00B11FD4"/>
    <w:rsid w:val="00B142E8"/>
    <w:rsid w:val="00B24125"/>
    <w:rsid w:val="00B25084"/>
    <w:rsid w:val="00B30A1C"/>
    <w:rsid w:val="00B36835"/>
    <w:rsid w:val="00B43615"/>
    <w:rsid w:val="00B47080"/>
    <w:rsid w:val="00B50930"/>
    <w:rsid w:val="00B5357C"/>
    <w:rsid w:val="00B64190"/>
    <w:rsid w:val="00B657BD"/>
    <w:rsid w:val="00B66889"/>
    <w:rsid w:val="00B66F01"/>
    <w:rsid w:val="00B7026E"/>
    <w:rsid w:val="00B75932"/>
    <w:rsid w:val="00B76BE3"/>
    <w:rsid w:val="00B80998"/>
    <w:rsid w:val="00B82556"/>
    <w:rsid w:val="00B828F5"/>
    <w:rsid w:val="00B82DBF"/>
    <w:rsid w:val="00B842FC"/>
    <w:rsid w:val="00B8470A"/>
    <w:rsid w:val="00B847A9"/>
    <w:rsid w:val="00B848F9"/>
    <w:rsid w:val="00B91E87"/>
    <w:rsid w:val="00B92A33"/>
    <w:rsid w:val="00B92E94"/>
    <w:rsid w:val="00B95139"/>
    <w:rsid w:val="00B95F66"/>
    <w:rsid w:val="00B96F76"/>
    <w:rsid w:val="00BA1BEC"/>
    <w:rsid w:val="00BA422E"/>
    <w:rsid w:val="00BB1070"/>
    <w:rsid w:val="00BB1607"/>
    <w:rsid w:val="00BB568A"/>
    <w:rsid w:val="00BB7D39"/>
    <w:rsid w:val="00BC27C7"/>
    <w:rsid w:val="00BD2D74"/>
    <w:rsid w:val="00BD3B65"/>
    <w:rsid w:val="00BD4806"/>
    <w:rsid w:val="00BD5875"/>
    <w:rsid w:val="00BE070A"/>
    <w:rsid w:val="00BE380C"/>
    <w:rsid w:val="00BE4066"/>
    <w:rsid w:val="00BE456E"/>
    <w:rsid w:val="00BE68C2"/>
    <w:rsid w:val="00BE76DC"/>
    <w:rsid w:val="00BF043C"/>
    <w:rsid w:val="00C006FB"/>
    <w:rsid w:val="00C00D7C"/>
    <w:rsid w:val="00C03E04"/>
    <w:rsid w:val="00C05097"/>
    <w:rsid w:val="00C10A72"/>
    <w:rsid w:val="00C14611"/>
    <w:rsid w:val="00C16D62"/>
    <w:rsid w:val="00C221B3"/>
    <w:rsid w:val="00C222B3"/>
    <w:rsid w:val="00C25AE9"/>
    <w:rsid w:val="00C25F16"/>
    <w:rsid w:val="00C2695E"/>
    <w:rsid w:val="00C27D5C"/>
    <w:rsid w:val="00C30937"/>
    <w:rsid w:val="00C32DCE"/>
    <w:rsid w:val="00C35F22"/>
    <w:rsid w:val="00C418E8"/>
    <w:rsid w:val="00C45FDC"/>
    <w:rsid w:val="00C4696A"/>
    <w:rsid w:val="00C50A56"/>
    <w:rsid w:val="00C60250"/>
    <w:rsid w:val="00C610CE"/>
    <w:rsid w:val="00C62549"/>
    <w:rsid w:val="00C637D9"/>
    <w:rsid w:val="00C66E4E"/>
    <w:rsid w:val="00C710F6"/>
    <w:rsid w:val="00C72E05"/>
    <w:rsid w:val="00C810A0"/>
    <w:rsid w:val="00C847AA"/>
    <w:rsid w:val="00C85A1C"/>
    <w:rsid w:val="00C86A2D"/>
    <w:rsid w:val="00C9181D"/>
    <w:rsid w:val="00C934A0"/>
    <w:rsid w:val="00C94A72"/>
    <w:rsid w:val="00CA27B5"/>
    <w:rsid w:val="00CA7F61"/>
    <w:rsid w:val="00CB12B3"/>
    <w:rsid w:val="00CB44B0"/>
    <w:rsid w:val="00CB5487"/>
    <w:rsid w:val="00CB5E3B"/>
    <w:rsid w:val="00CC2267"/>
    <w:rsid w:val="00CC2C58"/>
    <w:rsid w:val="00CC523A"/>
    <w:rsid w:val="00CD3AFF"/>
    <w:rsid w:val="00CE1D73"/>
    <w:rsid w:val="00CE323F"/>
    <w:rsid w:val="00CE6019"/>
    <w:rsid w:val="00CE65C8"/>
    <w:rsid w:val="00CE75D1"/>
    <w:rsid w:val="00CE79CA"/>
    <w:rsid w:val="00CE7E74"/>
    <w:rsid w:val="00CF2FFE"/>
    <w:rsid w:val="00CF493B"/>
    <w:rsid w:val="00CF4E3C"/>
    <w:rsid w:val="00D01E38"/>
    <w:rsid w:val="00D032B6"/>
    <w:rsid w:val="00D04643"/>
    <w:rsid w:val="00D06827"/>
    <w:rsid w:val="00D10E20"/>
    <w:rsid w:val="00D15B91"/>
    <w:rsid w:val="00D22102"/>
    <w:rsid w:val="00D24A7A"/>
    <w:rsid w:val="00D25DDE"/>
    <w:rsid w:val="00D302BD"/>
    <w:rsid w:val="00D30658"/>
    <w:rsid w:val="00D365FB"/>
    <w:rsid w:val="00D41B0E"/>
    <w:rsid w:val="00D41BE2"/>
    <w:rsid w:val="00D4593A"/>
    <w:rsid w:val="00D50DF9"/>
    <w:rsid w:val="00D53402"/>
    <w:rsid w:val="00D5595C"/>
    <w:rsid w:val="00D55F32"/>
    <w:rsid w:val="00D647B8"/>
    <w:rsid w:val="00D7315E"/>
    <w:rsid w:val="00D73351"/>
    <w:rsid w:val="00D75634"/>
    <w:rsid w:val="00D75FE3"/>
    <w:rsid w:val="00D82B71"/>
    <w:rsid w:val="00D83673"/>
    <w:rsid w:val="00D86044"/>
    <w:rsid w:val="00D907F1"/>
    <w:rsid w:val="00D92080"/>
    <w:rsid w:val="00D921D8"/>
    <w:rsid w:val="00D93F38"/>
    <w:rsid w:val="00DA14CF"/>
    <w:rsid w:val="00DA3230"/>
    <w:rsid w:val="00DA56A8"/>
    <w:rsid w:val="00DA7029"/>
    <w:rsid w:val="00DB136D"/>
    <w:rsid w:val="00DB25A4"/>
    <w:rsid w:val="00DB7BCC"/>
    <w:rsid w:val="00DC2C4C"/>
    <w:rsid w:val="00DC3FF4"/>
    <w:rsid w:val="00DC74BC"/>
    <w:rsid w:val="00DD0903"/>
    <w:rsid w:val="00DD1BB4"/>
    <w:rsid w:val="00DD3BC3"/>
    <w:rsid w:val="00DD66DF"/>
    <w:rsid w:val="00DD796C"/>
    <w:rsid w:val="00DE3702"/>
    <w:rsid w:val="00DE5CCF"/>
    <w:rsid w:val="00DE659C"/>
    <w:rsid w:val="00DE7641"/>
    <w:rsid w:val="00DF1357"/>
    <w:rsid w:val="00DF1961"/>
    <w:rsid w:val="00DF1ECC"/>
    <w:rsid w:val="00DF21CF"/>
    <w:rsid w:val="00DF451F"/>
    <w:rsid w:val="00DF6576"/>
    <w:rsid w:val="00E02997"/>
    <w:rsid w:val="00E02BDC"/>
    <w:rsid w:val="00E048C8"/>
    <w:rsid w:val="00E04FFC"/>
    <w:rsid w:val="00E05464"/>
    <w:rsid w:val="00E07884"/>
    <w:rsid w:val="00E11A89"/>
    <w:rsid w:val="00E121AC"/>
    <w:rsid w:val="00E2034B"/>
    <w:rsid w:val="00E209CB"/>
    <w:rsid w:val="00E22DA3"/>
    <w:rsid w:val="00E23688"/>
    <w:rsid w:val="00E26083"/>
    <w:rsid w:val="00E321F8"/>
    <w:rsid w:val="00E32FD9"/>
    <w:rsid w:val="00E4776F"/>
    <w:rsid w:val="00E512AF"/>
    <w:rsid w:val="00E514C2"/>
    <w:rsid w:val="00E55E16"/>
    <w:rsid w:val="00E57B66"/>
    <w:rsid w:val="00E602BF"/>
    <w:rsid w:val="00E61C74"/>
    <w:rsid w:val="00E63D27"/>
    <w:rsid w:val="00E64F7F"/>
    <w:rsid w:val="00E7150F"/>
    <w:rsid w:val="00E74F02"/>
    <w:rsid w:val="00E750D6"/>
    <w:rsid w:val="00E75E19"/>
    <w:rsid w:val="00E80879"/>
    <w:rsid w:val="00E80EA7"/>
    <w:rsid w:val="00E82215"/>
    <w:rsid w:val="00E82998"/>
    <w:rsid w:val="00E83149"/>
    <w:rsid w:val="00E83732"/>
    <w:rsid w:val="00E83F6A"/>
    <w:rsid w:val="00E84432"/>
    <w:rsid w:val="00E935DD"/>
    <w:rsid w:val="00E9652D"/>
    <w:rsid w:val="00E97350"/>
    <w:rsid w:val="00EA2F63"/>
    <w:rsid w:val="00EA36BA"/>
    <w:rsid w:val="00EA4F84"/>
    <w:rsid w:val="00EA55BF"/>
    <w:rsid w:val="00EB3C01"/>
    <w:rsid w:val="00EB413F"/>
    <w:rsid w:val="00EB4999"/>
    <w:rsid w:val="00EC0A64"/>
    <w:rsid w:val="00EC12F3"/>
    <w:rsid w:val="00EC5FFE"/>
    <w:rsid w:val="00EC78D0"/>
    <w:rsid w:val="00ED5746"/>
    <w:rsid w:val="00ED76B5"/>
    <w:rsid w:val="00EE0607"/>
    <w:rsid w:val="00EE14CE"/>
    <w:rsid w:val="00EE3528"/>
    <w:rsid w:val="00EE70A6"/>
    <w:rsid w:val="00EF38AD"/>
    <w:rsid w:val="00EF4FC1"/>
    <w:rsid w:val="00EF63B5"/>
    <w:rsid w:val="00F00330"/>
    <w:rsid w:val="00F038A0"/>
    <w:rsid w:val="00F045AB"/>
    <w:rsid w:val="00F215DE"/>
    <w:rsid w:val="00F2255B"/>
    <w:rsid w:val="00F277C1"/>
    <w:rsid w:val="00F3102E"/>
    <w:rsid w:val="00F34E73"/>
    <w:rsid w:val="00F35C77"/>
    <w:rsid w:val="00F36BFB"/>
    <w:rsid w:val="00F43C12"/>
    <w:rsid w:val="00F5644E"/>
    <w:rsid w:val="00F56DE5"/>
    <w:rsid w:val="00F65A78"/>
    <w:rsid w:val="00F77269"/>
    <w:rsid w:val="00F837FF"/>
    <w:rsid w:val="00F84AA6"/>
    <w:rsid w:val="00F861BD"/>
    <w:rsid w:val="00F90053"/>
    <w:rsid w:val="00F901BD"/>
    <w:rsid w:val="00F9192B"/>
    <w:rsid w:val="00F96988"/>
    <w:rsid w:val="00F973A2"/>
    <w:rsid w:val="00F97ADB"/>
    <w:rsid w:val="00FA1762"/>
    <w:rsid w:val="00FA2905"/>
    <w:rsid w:val="00FA69DA"/>
    <w:rsid w:val="00FA6E8D"/>
    <w:rsid w:val="00FB14A9"/>
    <w:rsid w:val="00FB2347"/>
    <w:rsid w:val="00FB333B"/>
    <w:rsid w:val="00FB4348"/>
    <w:rsid w:val="00FB567D"/>
    <w:rsid w:val="00FB58B4"/>
    <w:rsid w:val="00FB62DA"/>
    <w:rsid w:val="00FB7C40"/>
    <w:rsid w:val="00FC288A"/>
    <w:rsid w:val="00FC5933"/>
    <w:rsid w:val="00FE074B"/>
    <w:rsid w:val="00FE07F8"/>
    <w:rsid w:val="00FE3F05"/>
    <w:rsid w:val="00FE6EDD"/>
    <w:rsid w:val="00FE7598"/>
    <w:rsid w:val="00FF6DEC"/>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B2190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SG" w:eastAsia="zh-CN"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5254"/>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055D3"/>
    <w:rPr>
      <w:color w:val="0000FF" w:themeColor="hyperlink"/>
      <w:u w:val="single"/>
    </w:rPr>
  </w:style>
  <w:style w:type="paragraph" w:styleId="ListParagraph">
    <w:name w:val="List Paragraph"/>
    <w:basedOn w:val="Normal"/>
    <w:uiPriority w:val="34"/>
    <w:qFormat/>
    <w:rsid w:val="00A1567A"/>
    <w:pPr>
      <w:ind w:left="720"/>
      <w:contextualSpacing/>
    </w:pPr>
  </w:style>
  <w:style w:type="character" w:styleId="Emphasis">
    <w:name w:val="Emphasis"/>
    <w:basedOn w:val="DefaultParagraphFont"/>
    <w:uiPriority w:val="20"/>
    <w:qFormat/>
    <w:rsid w:val="005F35BF"/>
    <w:rPr>
      <w:i/>
      <w:iCs/>
    </w:rPr>
  </w:style>
  <w:style w:type="paragraph" w:styleId="Header">
    <w:name w:val="header"/>
    <w:basedOn w:val="Normal"/>
    <w:link w:val="HeaderChar"/>
    <w:uiPriority w:val="99"/>
    <w:unhideWhenUsed/>
    <w:rsid w:val="007F4F6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F4F67"/>
  </w:style>
  <w:style w:type="paragraph" w:styleId="Footer">
    <w:name w:val="footer"/>
    <w:basedOn w:val="Normal"/>
    <w:link w:val="FooterChar"/>
    <w:uiPriority w:val="99"/>
    <w:unhideWhenUsed/>
    <w:rsid w:val="007F4F6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F4F67"/>
  </w:style>
  <w:style w:type="paragraph" w:styleId="BalloonText">
    <w:name w:val="Balloon Text"/>
    <w:basedOn w:val="Normal"/>
    <w:link w:val="BalloonTextChar"/>
    <w:uiPriority w:val="99"/>
    <w:semiHidden/>
    <w:unhideWhenUsed/>
    <w:rsid w:val="007F4F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4F67"/>
    <w:rPr>
      <w:rFonts w:ascii="Tahoma" w:hAnsi="Tahoma" w:cs="Tahoma"/>
      <w:sz w:val="16"/>
      <w:szCs w:val="16"/>
    </w:rPr>
  </w:style>
  <w:style w:type="table" w:styleId="TableGrid">
    <w:name w:val="Table Grid"/>
    <w:basedOn w:val="TableNormal"/>
    <w:uiPriority w:val="59"/>
    <w:rsid w:val="00BD3B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
    <w:rsid w:val="008C758E"/>
    <w:pPr>
      <w:widowControl w:val="0"/>
      <w:spacing w:after="0" w:line="240" w:lineRule="auto"/>
      <w:jc w:val="both"/>
    </w:pPr>
    <w:rPr>
      <w:rFonts w:ascii="宋体" w:eastAsia="宋体" w:hAnsi="Courier New" w:cs="Courier New"/>
      <w:kern w:val="2"/>
      <w:sz w:val="21"/>
      <w:szCs w:val="21"/>
      <w:lang w:val="en-US"/>
    </w:rPr>
  </w:style>
  <w:style w:type="character" w:customStyle="1" w:styleId="PlainTextChar">
    <w:name w:val="Plain Text Char"/>
    <w:basedOn w:val="DefaultParagraphFont"/>
    <w:link w:val="PlainText"/>
    <w:rsid w:val="008C758E"/>
    <w:rPr>
      <w:rFonts w:ascii="宋体" w:eastAsia="宋体" w:hAnsi="Courier New" w:cs="Courier New"/>
      <w:kern w:val="2"/>
      <w:sz w:val="21"/>
      <w:szCs w:val="21"/>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SG" w:eastAsia="zh-CN"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5254"/>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055D3"/>
    <w:rPr>
      <w:color w:val="0000FF" w:themeColor="hyperlink"/>
      <w:u w:val="single"/>
    </w:rPr>
  </w:style>
  <w:style w:type="paragraph" w:styleId="ListParagraph">
    <w:name w:val="List Paragraph"/>
    <w:basedOn w:val="Normal"/>
    <w:uiPriority w:val="34"/>
    <w:qFormat/>
    <w:rsid w:val="00A1567A"/>
    <w:pPr>
      <w:ind w:left="720"/>
      <w:contextualSpacing/>
    </w:pPr>
  </w:style>
  <w:style w:type="character" w:styleId="Emphasis">
    <w:name w:val="Emphasis"/>
    <w:basedOn w:val="DefaultParagraphFont"/>
    <w:uiPriority w:val="20"/>
    <w:qFormat/>
    <w:rsid w:val="005F35BF"/>
    <w:rPr>
      <w:i/>
      <w:iCs/>
    </w:rPr>
  </w:style>
  <w:style w:type="paragraph" w:styleId="Header">
    <w:name w:val="header"/>
    <w:basedOn w:val="Normal"/>
    <w:link w:val="HeaderChar"/>
    <w:uiPriority w:val="99"/>
    <w:unhideWhenUsed/>
    <w:rsid w:val="007F4F6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F4F67"/>
  </w:style>
  <w:style w:type="paragraph" w:styleId="Footer">
    <w:name w:val="footer"/>
    <w:basedOn w:val="Normal"/>
    <w:link w:val="FooterChar"/>
    <w:uiPriority w:val="99"/>
    <w:unhideWhenUsed/>
    <w:rsid w:val="007F4F6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F4F67"/>
  </w:style>
  <w:style w:type="paragraph" w:styleId="BalloonText">
    <w:name w:val="Balloon Text"/>
    <w:basedOn w:val="Normal"/>
    <w:link w:val="BalloonTextChar"/>
    <w:uiPriority w:val="99"/>
    <w:semiHidden/>
    <w:unhideWhenUsed/>
    <w:rsid w:val="007F4F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4F67"/>
    <w:rPr>
      <w:rFonts w:ascii="Tahoma" w:hAnsi="Tahoma" w:cs="Tahoma"/>
      <w:sz w:val="16"/>
      <w:szCs w:val="16"/>
    </w:rPr>
  </w:style>
  <w:style w:type="table" w:styleId="TableGrid">
    <w:name w:val="Table Grid"/>
    <w:basedOn w:val="TableNormal"/>
    <w:uiPriority w:val="59"/>
    <w:rsid w:val="00BD3B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
    <w:rsid w:val="008C758E"/>
    <w:pPr>
      <w:widowControl w:val="0"/>
      <w:spacing w:after="0" w:line="240" w:lineRule="auto"/>
      <w:jc w:val="both"/>
    </w:pPr>
    <w:rPr>
      <w:rFonts w:ascii="宋体" w:eastAsia="宋体" w:hAnsi="Courier New" w:cs="Courier New"/>
      <w:kern w:val="2"/>
      <w:sz w:val="21"/>
      <w:szCs w:val="21"/>
      <w:lang w:val="en-US"/>
    </w:rPr>
  </w:style>
  <w:style w:type="character" w:customStyle="1" w:styleId="PlainTextChar">
    <w:name w:val="Plain Text Char"/>
    <w:basedOn w:val="DefaultParagraphFont"/>
    <w:link w:val="PlainText"/>
    <w:rsid w:val="008C758E"/>
    <w:rPr>
      <w:rFonts w:ascii="宋体" w:eastAsia="宋体" w:hAnsi="Courier New" w:cs="Courier New"/>
      <w:kern w:val="2"/>
      <w:sz w:val="21"/>
      <w:szCs w:val="21"/>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3031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creativecommons.org/licenses/by-nc/4.0/" TargetMode="External"/><Relationship Id="rId20" Type="http://schemas.openxmlformats.org/officeDocument/2006/relationships/image" Target="media/image10.tiff"/><Relationship Id="rId21" Type="http://schemas.openxmlformats.org/officeDocument/2006/relationships/image" Target="media/image11.tiff"/><Relationship Id="rId22" Type="http://schemas.openxmlformats.org/officeDocument/2006/relationships/image" Target="media/image12.tiff"/><Relationship Id="rId23" Type="http://schemas.openxmlformats.org/officeDocument/2006/relationships/header" Target="header1.xm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hyperlink" Target="mailto:tiing_leong_ang@cgh.com.sg" TargetMode="External"/><Relationship Id="rId11" Type="http://schemas.openxmlformats.org/officeDocument/2006/relationships/image" Target="media/image1.tiff"/><Relationship Id="rId12" Type="http://schemas.openxmlformats.org/officeDocument/2006/relationships/image" Target="media/image2.tiff"/><Relationship Id="rId13" Type="http://schemas.openxmlformats.org/officeDocument/2006/relationships/image" Target="media/image3.tiff"/><Relationship Id="rId14" Type="http://schemas.openxmlformats.org/officeDocument/2006/relationships/image" Target="media/image4.tiff"/><Relationship Id="rId15" Type="http://schemas.openxmlformats.org/officeDocument/2006/relationships/image" Target="media/image5.tiff"/><Relationship Id="rId16" Type="http://schemas.openxmlformats.org/officeDocument/2006/relationships/image" Target="media/image6.tiff"/><Relationship Id="rId17" Type="http://schemas.openxmlformats.org/officeDocument/2006/relationships/image" Target="media/image7.tiff"/><Relationship Id="rId18" Type="http://schemas.openxmlformats.org/officeDocument/2006/relationships/image" Target="media/image8.tiff"/><Relationship Id="rId19" Type="http://schemas.openxmlformats.org/officeDocument/2006/relationships/image" Target="media/image9.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A9CA03-5CC9-E94E-A999-F0195EA4C4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11511</Words>
  <Characters>65613</Characters>
  <Application>Microsoft Macintosh Word</Application>
  <DocSecurity>0</DocSecurity>
  <Lines>546</Lines>
  <Paragraphs>153</Paragraphs>
  <ScaleCrop>false</ScaleCrop>
  <HeadingPairs>
    <vt:vector size="2" baseType="variant">
      <vt:variant>
        <vt:lpstr>Title</vt:lpstr>
      </vt:variant>
      <vt:variant>
        <vt:i4>1</vt:i4>
      </vt:variant>
    </vt:vector>
  </HeadingPairs>
  <TitlesOfParts>
    <vt:vector size="1" baseType="lpstr">
      <vt:lpstr/>
    </vt:vector>
  </TitlesOfParts>
  <Company>CGH</Company>
  <LinksUpToDate>false</LinksUpToDate>
  <CharactersWithSpaces>76971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cghelpdesk</dc:creator>
  <cp:lastModifiedBy>Na Ma</cp:lastModifiedBy>
  <cp:revision>2</cp:revision>
  <cp:lastPrinted>2016-07-15T02:34:00Z</cp:lastPrinted>
  <dcterms:created xsi:type="dcterms:W3CDTF">2016-09-21T22:36:00Z</dcterms:created>
  <dcterms:modified xsi:type="dcterms:W3CDTF">2016-09-21T22:36:00Z</dcterms:modified>
</cp:coreProperties>
</file>